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9049" w14:textId="77777777" w:rsidR="00BC6E89" w:rsidRDefault="00BC6E89" w:rsidP="00BC6E89">
      <w:pPr>
        <w:spacing w:line="360" w:lineRule="auto"/>
        <w:jc w:val="center"/>
        <w:rPr>
          <w:rFonts w:cs="Arial"/>
          <w:b/>
          <w:bCs/>
          <w:szCs w:val="24"/>
          <w:lang w:val="en-GB"/>
        </w:rPr>
      </w:pPr>
      <w:bookmarkStart w:id="0" w:name="_GoBack"/>
      <w:bookmarkEnd w:id="0"/>
      <w:r w:rsidRPr="005C46E8">
        <w:rPr>
          <w:noProof/>
          <w:lang w:eastAsia="en-ZA"/>
        </w:rPr>
        <w:drawing>
          <wp:anchor distT="0" distB="0" distL="114300" distR="114300" simplePos="0" relativeHeight="251659264" behindDoc="0" locked="0" layoutInCell="1" allowOverlap="1" wp14:anchorId="191A91D1" wp14:editId="2B58C4E9">
            <wp:simplePos x="0" y="0"/>
            <wp:positionH relativeFrom="column">
              <wp:posOffset>2522136</wp:posOffset>
            </wp:positionH>
            <wp:positionV relativeFrom="paragraph">
              <wp:posOffset>328</wp:posOffset>
            </wp:positionV>
            <wp:extent cx="740410" cy="923925"/>
            <wp:effectExtent l="0" t="0" r="2540" b="9525"/>
            <wp:wrapTopAndBottom/>
            <wp:docPr id="1" name="Picture 1" descr="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arm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14:sizeRelH relativeFrom="page">
              <wp14:pctWidth>0</wp14:pctWidth>
            </wp14:sizeRelH>
            <wp14:sizeRelV relativeFrom="page">
              <wp14:pctHeight>0</wp14:pctHeight>
            </wp14:sizeRelV>
          </wp:anchor>
        </w:drawing>
      </w:r>
    </w:p>
    <w:p w14:paraId="64A02705" w14:textId="6BCAB51C" w:rsidR="00BC6E89" w:rsidRPr="002277E7" w:rsidRDefault="00BC6E89" w:rsidP="00BC6E89">
      <w:pPr>
        <w:spacing w:line="360" w:lineRule="auto"/>
        <w:jc w:val="center"/>
        <w:rPr>
          <w:rFonts w:cs="Arial"/>
          <w:b/>
          <w:bCs/>
          <w:szCs w:val="24"/>
          <w:lang w:val="en-GB"/>
        </w:rPr>
      </w:pPr>
      <w:r w:rsidRPr="002277E7">
        <w:rPr>
          <w:rFonts w:cs="Arial"/>
          <w:b/>
          <w:bCs/>
          <w:szCs w:val="24"/>
          <w:lang w:val="en-GB"/>
        </w:rPr>
        <w:t xml:space="preserve">IN THE ELECTORAL </w:t>
      </w:r>
      <w:r w:rsidR="00C63692">
        <w:rPr>
          <w:rFonts w:cs="Arial"/>
          <w:b/>
          <w:bCs/>
          <w:szCs w:val="24"/>
          <w:lang w:val="en-GB"/>
        </w:rPr>
        <w:t>COURT</w:t>
      </w:r>
      <w:r w:rsidRPr="002277E7">
        <w:rPr>
          <w:rFonts w:cs="Arial"/>
          <w:b/>
          <w:bCs/>
          <w:szCs w:val="24"/>
          <w:lang w:val="en-GB"/>
        </w:rPr>
        <w:t xml:space="preserve"> OF SOUTH AFRICA</w:t>
      </w:r>
    </w:p>
    <w:p w14:paraId="6F05D73C" w14:textId="673F3886" w:rsidR="00BC6E89" w:rsidRPr="002277E7" w:rsidRDefault="00BC6E89" w:rsidP="00BC6E89">
      <w:pPr>
        <w:spacing w:line="360" w:lineRule="auto"/>
        <w:jc w:val="center"/>
        <w:rPr>
          <w:rFonts w:cs="Arial"/>
          <w:b/>
          <w:bCs/>
          <w:szCs w:val="24"/>
          <w:lang w:val="en-GB"/>
        </w:rPr>
      </w:pPr>
      <w:r w:rsidRPr="002277E7">
        <w:rPr>
          <w:rFonts w:cs="Arial"/>
          <w:b/>
          <w:bCs/>
          <w:szCs w:val="24"/>
          <w:lang w:val="en-GB"/>
        </w:rPr>
        <w:t>BLOEMFONTEIN</w:t>
      </w:r>
    </w:p>
    <w:p w14:paraId="0302E61C" w14:textId="77A8274C" w:rsidR="00A40A8C" w:rsidRDefault="00835133" w:rsidP="00A40A8C">
      <w:pPr>
        <w:spacing w:line="360" w:lineRule="auto"/>
        <w:jc w:val="right"/>
        <w:rPr>
          <w:rFonts w:cs="Arial"/>
          <w:b/>
          <w:bCs/>
          <w:szCs w:val="24"/>
          <w:lang w:val="en-GB"/>
        </w:rPr>
      </w:pPr>
      <w:r>
        <w:rPr>
          <w:rFonts w:cs="Arial"/>
          <w:b/>
          <w:bCs/>
          <w:szCs w:val="24"/>
          <w:lang w:val="en-GB"/>
        </w:rPr>
        <w:t xml:space="preserve">Reportable </w:t>
      </w:r>
    </w:p>
    <w:p w14:paraId="650209DD" w14:textId="21426A6F" w:rsidR="00A07258" w:rsidRPr="00A40A8C" w:rsidRDefault="00A40A8C" w:rsidP="00A40A8C">
      <w:pPr>
        <w:spacing w:line="360" w:lineRule="auto"/>
        <w:jc w:val="right"/>
        <w:rPr>
          <w:rFonts w:cs="Arial"/>
          <w:b/>
          <w:bCs/>
          <w:szCs w:val="24"/>
          <w:lang w:val="en-GB"/>
        </w:rPr>
      </w:pPr>
      <w:r w:rsidRPr="00A40A8C">
        <w:rPr>
          <w:rFonts w:cs="Arial"/>
          <w:b/>
          <w:bCs/>
          <w:szCs w:val="24"/>
          <w:lang w:val="en-GB"/>
        </w:rPr>
        <w:t>C</w:t>
      </w:r>
      <w:r w:rsidR="00A07258" w:rsidRPr="00A40A8C">
        <w:rPr>
          <w:rFonts w:cs="Arial"/>
          <w:b/>
          <w:bCs/>
          <w:color w:val="000000" w:themeColor="text1"/>
        </w:rPr>
        <w:t>ASE NUMBER:</w:t>
      </w:r>
      <w:r w:rsidR="00A07258" w:rsidRPr="007F6548">
        <w:rPr>
          <w:rFonts w:cs="Arial"/>
          <w:color w:val="000000" w:themeColor="text1"/>
        </w:rPr>
        <w:t xml:space="preserve"> 0011/23 EC</w:t>
      </w:r>
    </w:p>
    <w:p w14:paraId="1A414F42" w14:textId="77777777" w:rsidR="00A07258" w:rsidRPr="007F6548" w:rsidRDefault="00A07258" w:rsidP="00053CF4">
      <w:pPr>
        <w:spacing w:line="360" w:lineRule="auto"/>
        <w:rPr>
          <w:rFonts w:cs="Arial"/>
          <w:color w:val="000000" w:themeColor="text1"/>
        </w:rPr>
      </w:pPr>
      <w:r w:rsidRPr="007F6548">
        <w:rPr>
          <w:rFonts w:cs="Arial"/>
          <w:color w:val="000000" w:themeColor="text1"/>
        </w:rPr>
        <w:t>In the matter between:</w:t>
      </w:r>
    </w:p>
    <w:p w14:paraId="568A6700" w14:textId="77777777" w:rsidR="00A07258" w:rsidRPr="007F6548" w:rsidRDefault="00A07258" w:rsidP="00053CF4">
      <w:pPr>
        <w:pStyle w:val="Parties"/>
        <w:spacing w:line="360" w:lineRule="auto"/>
        <w:rPr>
          <w:rFonts w:cs="Arial"/>
          <w:b/>
          <w:color w:val="000000" w:themeColor="text1"/>
        </w:rPr>
      </w:pPr>
    </w:p>
    <w:p w14:paraId="169E448B" w14:textId="77777777" w:rsidR="00A07258" w:rsidRPr="007F6548" w:rsidRDefault="00A07258" w:rsidP="00053CF4">
      <w:pPr>
        <w:pStyle w:val="Parties"/>
        <w:spacing w:line="360" w:lineRule="auto"/>
        <w:rPr>
          <w:rFonts w:cs="Arial"/>
          <w:b/>
          <w:color w:val="000000" w:themeColor="text1"/>
        </w:rPr>
      </w:pPr>
      <w:r w:rsidRPr="007F6548">
        <w:rPr>
          <w:rFonts w:cs="Arial"/>
          <w:b/>
          <w:color w:val="000000" w:themeColor="text1"/>
        </w:rPr>
        <w:t>ELECTORAL COMMISSION OF SOUTH AFRICA</w:t>
      </w:r>
      <w:r w:rsidRPr="007F6548">
        <w:rPr>
          <w:rFonts w:cs="Arial"/>
          <w:b/>
          <w:color w:val="000000" w:themeColor="text1"/>
        </w:rPr>
        <w:tab/>
      </w:r>
      <w:r w:rsidRPr="007F6548">
        <w:rPr>
          <w:rFonts w:cs="Arial"/>
          <w:color w:val="000000" w:themeColor="text1"/>
        </w:rPr>
        <w:t>First applicant</w:t>
      </w:r>
    </w:p>
    <w:p w14:paraId="50B83E4B" w14:textId="77777777" w:rsidR="00A07258" w:rsidRPr="007F6548" w:rsidRDefault="00A07258" w:rsidP="00053CF4">
      <w:pPr>
        <w:pStyle w:val="Parties"/>
        <w:spacing w:line="360" w:lineRule="auto"/>
        <w:rPr>
          <w:rFonts w:cs="Arial"/>
          <w:b/>
          <w:color w:val="000000" w:themeColor="text1"/>
        </w:rPr>
      </w:pPr>
    </w:p>
    <w:p w14:paraId="473AAD1F" w14:textId="77777777" w:rsidR="00A07258" w:rsidRPr="007F6548" w:rsidRDefault="00A07258" w:rsidP="00053CF4">
      <w:pPr>
        <w:pStyle w:val="Parties"/>
        <w:spacing w:line="360" w:lineRule="auto"/>
        <w:rPr>
          <w:rFonts w:cs="Arial"/>
          <w:b/>
          <w:color w:val="000000" w:themeColor="text1"/>
        </w:rPr>
      </w:pPr>
      <w:r w:rsidRPr="007F6548">
        <w:rPr>
          <w:rFonts w:cs="Arial"/>
          <w:b/>
          <w:color w:val="000000" w:themeColor="text1"/>
        </w:rPr>
        <w:t xml:space="preserve">CHIEF ELECTORAL OFFICER </w:t>
      </w:r>
      <w:r w:rsidRPr="007F6548">
        <w:rPr>
          <w:rFonts w:cs="Arial"/>
          <w:b/>
          <w:color w:val="000000" w:themeColor="text1"/>
        </w:rPr>
        <w:tab/>
      </w:r>
      <w:r w:rsidRPr="007F6548">
        <w:rPr>
          <w:rFonts w:cs="Arial"/>
          <w:bCs/>
          <w:color w:val="000000" w:themeColor="text1"/>
        </w:rPr>
        <w:t>Second</w:t>
      </w:r>
      <w:r w:rsidRPr="007F6548">
        <w:rPr>
          <w:rFonts w:cs="Arial"/>
          <w:b/>
          <w:color w:val="000000" w:themeColor="text1"/>
        </w:rPr>
        <w:t xml:space="preserve"> </w:t>
      </w:r>
      <w:r w:rsidRPr="007F6548">
        <w:rPr>
          <w:rFonts w:cs="Arial"/>
          <w:color w:val="000000" w:themeColor="text1"/>
        </w:rPr>
        <w:t>applicant</w:t>
      </w:r>
    </w:p>
    <w:p w14:paraId="31104AFD" w14:textId="77777777" w:rsidR="00A07258" w:rsidRPr="007F6548" w:rsidRDefault="00A07258" w:rsidP="00053CF4">
      <w:pPr>
        <w:pStyle w:val="Parties"/>
        <w:spacing w:line="360" w:lineRule="auto"/>
        <w:rPr>
          <w:rFonts w:cs="Arial"/>
          <w:b/>
          <w:color w:val="000000" w:themeColor="text1"/>
        </w:rPr>
      </w:pPr>
    </w:p>
    <w:p w14:paraId="5919A5BF" w14:textId="0B327D43" w:rsidR="00A07258" w:rsidRPr="007F6548" w:rsidRDefault="00835133" w:rsidP="00053CF4">
      <w:pPr>
        <w:pStyle w:val="Parties"/>
        <w:spacing w:line="360" w:lineRule="auto"/>
        <w:rPr>
          <w:rFonts w:cs="Arial"/>
          <w:color w:val="000000" w:themeColor="text1"/>
        </w:rPr>
      </w:pPr>
      <w:r>
        <w:rPr>
          <w:rFonts w:cs="Arial"/>
          <w:color w:val="000000" w:themeColor="text1"/>
        </w:rPr>
        <w:t>A</w:t>
      </w:r>
      <w:r w:rsidR="00A07258" w:rsidRPr="007F6548">
        <w:rPr>
          <w:rFonts w:cs="Arial"/>
          <w:color w:val="000000" w:themeColor="text1"/>
        </w:rPr>
        <w:t>nd</w:t>
      </w:r>
    </w:p>
    <w:p w14:paraId="47F8886C" w14:textId="77777777" w:rsidR="00A07258" w:rsidRPr="007F6548" w:rsidRDefault="00A07258" w:rsidP="00053CF4">
      <w:pPr>
        <w:pStyle w:val="Parties"/>
        <w:spacing w:line="360" w:lineRule="auto"/>
        <w:rPr>
          <w:rFonts w:cs="Arial"/>
          <w:b/>
          <w:color w:val="000000" w:themeColor="text1"/>
        </w:rPr>
      </w:pPr>
    </w:p>
    <w:p w14:paraId="249670A0" w14:textId="77777777" w:rsidR="00A07258" w:rsidRPr="007F6548" w:rsidRDefault="00A07258" w:rsidP="00053CF4">
      <w:pPr>
        <w:pStyle w:val="Parties"/>
        <w:spacing w:line="360" w:lineRule="auto"/>
        <w:rPr>
          <w:rFonts w:cs="Arial"/>
          <w:b/>
          <w:color w:val="000000" w:themeColor="text1"/>
        </w:rPr>
      </w:pPr>
      <w:r w:rsidRPr="007F6548">
        <w:rPr>
          <w:rFonts w:cs="Arial"/>
          <w:b/>
          <w:color w:val="000000" w:themeColor="text1"/>
        </w:rPr>
        <w:t>AFRICAN INDEPENDENT CONGRESS</w:t>
      </w:r>
      <w:r w:rsidRPr="007F6548">
        <w:rPr>
          <w:rFonts w:cs="Arial"/>
          <w:b/>
          <w:color w:val="000000" w:themeColor="text1"/>
        </w:rPr>
        <w:tab/>
      </w:r>
      <w:r w:rsidRPr="007F6548">
        <w:rPr>
          <w:rFonts w:cs="Arial"/>
          <w:color w:val="000000" w:themeColor="text1"/>
        </w:rPr>
        <w:t>First respondent</w:t>
      </w:r>
    </w:p>
    <w:p w14:paraId="3A6B785A" w14:textId="77777777" w:rsidR="00A07258" w:rsidRPr="007F6548" w:rsidRDefault="00A07258" w:rsidP="00053CF4">
      <w:pPr>
        <w:pStyle w:val="Parties"/>
        <w:spacing w:line="360" w:lineRule="auto"/>
        <w:rPr>
          <w:rFonts w:cs="Arial"/>
          <w:b/>
          <w:color w:val="000000" w:themeColor="text1"/>
        </w:rPr>
      </w:pPr>
    </w:p>
    <w:p w14:paraId="47F4E073"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AFRICAN NATIONAL CONGRESS</w:t>
      </w:r>
      <w:r w:rsidRPr="007F6548">
        <w:rPr>
          <w:rFonts w:cs="Arial"/>
          <w:b/>
          <w:color w:val="000000" w:themeColor="text1"/>
        </w:rPr>
        <w:tab/>
      </w:r>
      <w:r w:rsidRPr="007F6548">
        <w:rPr>
          <w:rFonts w:cs="Arial"/>
          <w:color w:val="000000" w:themeColor="text1"/>
        </w:rPr>
        <w:t>Second respondent</w:t>
      </w:r>
    </w:p>
    <w:p w14:paraId="185367C2" w14:textId="77777777" w:rsidR="00A07258" w:rsidRPr="007F6548" w:rsidRDefault="00A07258" w:rsidP="00053CF4">
      <w:pPr>
        <w:pStyle w:val="Parties"/>
        <w:spacing w:line="360" w:lineRule="auto"/>
        <w:rPr>
          <w:rFonts w:cs="Arial"/>
          <w:b/>
          <w:color w:val="000000" w:themeColor="text1"/>
        </w:rPr>
      </w:pPr>
    </w:p>
    <w:p w14:paraId="52C037FF"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AFRICAN TRANSFORMATION MOVEMENT</w:t>
      </w:r>
      <w:r w:rsidRPr="007F6548">
        <w:rPr>
          <w:rFonts w:cs="Arial"/>
          <w:b/>
          <w:color w:val="000000" w:themeColor="text1"/>
        </w:rPr>
        <w:tab/>
      </w:r>
      <w:r w:rsidRPr="007F6548">
        <w:rPr>
          <w:rFonts w:cs="Arial"/>
          <w:color w:val="000000" w:themeColor="text1"/>
        </w:rPr>
        <w:t xml:space="preserve"> Third respondent</w:t>
      </w:r>
    </w:p>
    <w:p w14:paraId="33310628" w14:textId="77777777" w:rsidR="00A07258" w:rsidRPr="007F6548" w:rsidRDefault="00A07258" w:rsidP="00053CF4">
      <w:pPr>
        <w:pStyle w:val="Parties"/>
        <w:spacing w:line="360" w:lineRule="auto"/>
        <w:rPr>
          <w:rFonts w:cs="Arial"/>
          <w:b/>
          <w:color w:val="000000" w:themeColor="text1"/>
        </w:rPr>
      </w:pPr>
    </w:p>
    <w:p w14:paraId="7AC6022C"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CONGRESS OF THE PEOPLE</w:t>
      </w:r>
      <w:r w:rsidRPr="007F6548">
        <w:rPr>
          <w:rFonts w:cs="Arial"/>
          <w:b/>
          <w:color w:val="000000" w:themeColor="text1"/>
        </w:rPr>
        <w:tab/>
      </w:r>
      <w:r w:rsidRPr="007F6548">
        <w:rPr>
          <w:rFonts w:cs="Arial"/>
          <w:color w:val="000000" w:themeColor="text1"/>
        </w:rPr>
        <w:t xml:space="preserve"> Fourth respondent</w:t>
      </w:r>
    </w:p>
    <w:p w14:paraId="194E436E" w14:textId="77777777" w:rsidR="00A07258" w:rsidRPr="007F6548" w:rsidRDefault="00A07258" w:rsidP="00053CF4">
      <w:pPr>
        <w:pStyle w:val="Parties"/>
        <w:spacing w:line="360" w:lineRule="auto"/>
        <w:rPr>
          <w:rFonts w:cs="Arial"/>
          <w:color w:val="000000" w:themeColor="text1"/>
        </w:rPr>
      </w:pPr>
    </w:p>
    <w:p w14:paraId="6A7D86BC"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 xml:space="preserve">NATIONAL FREEDOM PARTY </w:t>
      </w:r>
      <w:r w:rsidRPr="007F6548">
        <w:rPr>
          <w:rFonts w:cs="Arial"/>
          <w:b/>
          <w:color w:val="000000" w:themeColor="text1"/>
        </w:rPr>
        <w:tab/>
      </w:r>
      <w:r w:rsidRPr="007F6548">
        <w:rPr>
          <w:rFonts w:cs="Arial"/>
          <w:color w:val="000000" w:themeColor="text1"/>
        </w:rPr>
        <w:t xml:space="preserve"> Fifth respondent</w:t>
      </w:r>
    </w:p>
    <w:p w14:paraId="6CA6C7D7" w14:textId="77777777" w:rsidR="00A07258" w:rsidRPr="007F6548" w:rsidRDefault="00A07258" w:rsidP="00053CF4">
      <w:pPr>
        <w:pStyle w:val="Parties"/>
        <w:spacing w:line="360" w:lineRule="auto"/>
        <w:rPr>
          <w:rFonts w:cs="Arial"/>
          <w:color w:val="000000" w:themeColor="text1"/>
        </w:rPr>
      </w:pPr>
    </w:p>
    <w:p w14:paraId="554D725F"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 xml:space="preserve">PAN AFRICANIST CONGRESS OF AZANIA </w:t>
      </w:r>
      <w:r w:rsidRPr="007F6548">
        <w:rPr>
          <w:rFonts w:cs="Arial"/>
          <w:b/>
          <w:color w:val="000000" w:themeColor="text1"/>
        </w:rPr>
        <w:tab/>
      </w:r>
      <w:r w:rsidRPr="007F6548">
        <w:rPr>
          <w:rFonts w:cs="Arial"/>
          <w:color w:val="000000" w:themeColor="text1"/>
        </w:rPr>
        <w:t xml:space="preserve"> Sixth respondent</w:t>
      </w:r>
    </w:p>
    <w:p w14:paraId="17299CAD" w14:textId="77777777" w:rsidR="00A07258" w:rsidRPr="007F6548" w:rsidRDefault="00A07258" w:rsidP="00053CF4">
      <w:pPr>
        <w:pStyle w:val="Parties"/>
        <w:spacing w:line="360" w:lineRule="auto"/>
        <w:rPr>
          <w:rFonts w:cs="Arial"/>
          <w:color w:val="000000" w:themeColor="text1"/>
        </w:rPr>
      </w:pPr>
    </w:p>
    <w:p w14:paraId="326C5D7C" w14:textId="77777777" w:rsidR="00A07258" w:rsidRPr="007F6548" w:rsidRDefault="00A07258" w:rsidP="00053CF4">
      <w:pPr>
        <w:pStyle w:val="Parties"/>
        <w:spacing w:line="360" w:lineRule="auto"/>
        <w:rPr>
          <w:rFonts w:cs="Arial"/>
          <w:color w:val="000000" w:themeColor="text1"/>
        </w:rPr>
      </w:pPr>
      <w:r w:rsidRPr="007F6548">
        <w:rPr>
          <w:rFonts w:cs="Arial"/>
          <w:b/>
          <w:color w:val="000000" w:themeColor="text1"/>
        </w:rPr>
        <w:t xml:space="preserve">486 OTHER RESPONDENTS AS LISTED IN ANNEXURE ‘A’ </w:t>
      </w:r>
      <w:r w:rsidRPr="007F6548">
        <w:rPr>
          <w:rFonts w:cs="Arial"/>
          <w:b/>
          <w:color w:val="000000" w:themeColor="text1"/>
        </w:rPr>
        <w:tab/>
      </w:r>
      <w:r w:rsidRPr="007F6548">
        <w:rPr>
          <w:rFonts w:cs="Arial"/>
          <w:color w:val="000000" w:themeColor="text1"/>
        </w:rPr>
        <w:t xml:space="preserve"> </w:t>
      </w:r>
    </w:p>
    <w:p w14:paraId="16BF7C9C" w14:textId="77777777" w:rsidR="00F72566" w:rsidRDefault="00F72566" w:rsidP="00053CF4">
      <w:pPr>
        <w:pStyle w:val="Parties"/>
        <w:spacing w:line="360" w:lineRule="auto"/>
        <w:rPr>
          <w:rFonts w:cs="Arial"/>
          <w:b/>
          <w:color w:val="000000" w:themeColor="text1"/>
        </w:rPr>
      </w:pPr>
    </w:p>
    <w:p w14:paraId="024B2036" w14:textId="11F80A47" w:rsidR="00A07258" w:rsidRDefault="00D54512" w:rsidP="00053CF4">
      <w:pPr>
        <w:pStyle w:val="Parties"/>
        <w:spacing w:line="360" w:lineRule="auto"/>
        <w:rPr>
          <w:rFonts w:cs="Arial"/>
          <w:b/>
          <w:color w:val="000000" w:themeColor="text1"/>
        </w:rPr>
      </w:pPr>
      <w:r w:rsidRPr="0024744F">
        <w:rPr>
          <w:rFonts w:cs="Arial"/>
          <w:b/>
          <w:color w:val="000000" w:themeColor="text1"/>
        </w:rPr>
        <w:t>N</w:t>
      </w:r>
      <w:r w:rsidR="00261451" w:rsidRPr="0024744F">
        <w:rPr>
          <w:rFonts w:cs="Arial"/>
          <w:b/>
          <w:color w:val="000000" w:themeColor="text1"/>
        </w:rPr>
        <w:t>eu</w:t>
      </w:r>
      <w:r w:rsidRPr="0024744F">
        <w:rPr>
          <w:rFonts w:cs="Arial"/>
          <w:b/>
          <w:color w:val="000000" w:themeColor="text1"/>
        </w:rPr>
        <w:t>tral citation</w:t>
      </w:r>
      <w:r w:rsidR="00F72566" w:rsidRPr="0024744F">
        <w:rPr>
          <w:rFonts w:cs="Arial"/>
          <w:b/>
          <w:color w:val="000000" w:themeColor="text1"/>
        </w:rPr>
        <w:t>:</w:t>
      </w:r>
      <w:r w:rsidR="00F72566">
        <w:rPr>
          <w:rFonts w:cs="Arial"/>
          <w:b/>
          <w:color w:val="000000" w:themeColor="text1"/>
        </w:rPr>
        <w:t xml:space="preserve"> </w:t>
      </w:r>
      <w:r w:rsidR="0024744F" w:rsidRPr="0024744F">
        <w:rPr>
          <w:rFonts w:cs="Arial"/>
          <w:i/>
          <w:color w:val="000000" w:themeColor="text1"/>
        </w:rPr>
        <w:t>Electoral Commission of South Africa v African Independent Congress and others</w:t>
      </w:r>
      <w:r w:rsidR="0024744F">
        <w:rPr>
          <w:rFonts w:cs="Arial"/>
          <w:color w:val="000000" w:themeColor="text1"/>
        </w:rPr>
        <w:t xml:space="preserve"> (0011/23EC) [2024] ZAEC 11 (10</w:t>
      </w:r>
      <w:r w:rsidR="0024744F" w:rsidRPr="0024744F">
        <w:rPr>
          <w:rFonts w:cs="Arial"/>
          <w:color w:val="000000" w:themeColor="text1"/>
        </w:rPr>
        <w:t xml:space="preserve"> May 2024)  </w:t>
      </w:r>
    </w:p>
    <w:p w14:paraId="124C14FF" w14:textId="77777777" w:rsidR="00F72566" w:rsidRDefault="00F72566" w:rsidP="00053CF4">
      <w:pPr>
        <w:pStyle w:val="Parties"/>
        <w:spacing w:line="360" w:lineRule="auto"/>
        <w:rPr>
          <w:rFonts w:cs="Arial"/>
          <w:b/>
          <w:color w:val="000000" w:themeColor="text1"/>
        </w:rPr>
      </w:pPr>
    </w:p>
    <w:p w14:paraId="6B515D16" w14:textId="79758303" w:rsidR="00B6164E" w:rsidRDefault="00F72566" w:rsidP="00B6164E">
      <w:pPr>
        <w:spacing w:line="360" w:lineRule="auto"/>
        <w:ind w:left="1440" w:hanging="1440"/>
        <w:rPr>
          <w:rFonts w:cs="Arial"/>
          <w:b/>
          <w:bCs/>
          <w:szCs w:val="24"/>
          <w:lang w:val="en-GB"/>
        </w:rPr>
      </w:pPr>
      <w:r>
        <w:rPr>
          <w:rFonts w:cs="Arial"/>
          <w:b/>
          <w:color w:val="000000" w:themeColor="text1"/>
        </w:rPr>
        <w:lastRenderedPageBreak/>
        <w:t xml:space="preserve">CORAM: </w:t>
      </w:r>
      <w:r w:rsidR="00B6164E">
        <w:rPr>
          <w:rFonts w:cs="Arial"/>
          <w:b/>
          <w:color w:val="000000" w:themeColor="text1"/>
        </w:rPr>
        <w:tab/>
      </w:r>
      <w:r w:rsidR="00B6164E" w:rsidRPr="00A25C21">
        <w:rPr>
          <w:rFonts w:cs="Arial"/>
          <w:b/>
          <w:bCs/>
          <w:szCs w:val="24"/>
          <w:lang w:val="en-GB"/>
        </w:rPr>
        <w:t>Zondi JA</w:t>
      </w:r>
      <w:r w:rsidR="00036F12">
        <w:rPr>
          <w:rFonts w:cs="Arial"/>
          <w:b/>
          <w:bCs/>
          <w:szCs w:val="24"/>
          <w:lang w:val="en-GB"/>
        </w:rPr>
        <w:t>,</w:t>
      </w:r>
      <w:r w:rsidR="00B6164E" w:rsidRPr="00A25C21">
        <w:rPr>
          <w:rFonts w:cs="Arial"/>
          <w:b/>
          <w:bCs/>
          <w:szCs w:val="24"/>
          <w:lang w:val="en-GB"/>
        </w:rPr>
        <w:t xml:space="preserve"> </w:t>
      </w:r>
      <w:r w:rsidR="00D9138A" w:rsidRPr="00A25C21">
        <w:rPr>
          <w:rFonts w:cs="Arial"/>
          <w:b/>
          <w:bCs/>
          <w:szCs w:val="24"/>
          <w:lang w:val="en-GB"/>
        </w:rPr>
        <w:t>Modiba J</w:t>
      </w:r>
      <w:r w:rsidR="00AC516D">
        <w:rPr>
          <w:rFonts w:cs="Arial"/>
          <w:b/>
          <w:bCs/>
          <w:szCs w:val="24"/>
          <w:lang w:val="en-GB"/>
        </w:rPr>
        <w:t xml:space="preserve"> and Adams AJ</w:t>
      </w:r>
      <w:r w:rsidR="00D9138A" w:rsidRPr="00A25C21">
        <w:rPr>
          <w:rFonts w:cs="Arial"/>
          <w:b/>
          <w:bCs/>
          <w:szCs w:val="24"/>
          <w:lang w:val="en-GB"/>
        </w:rPr>
        <w:t xml:space="preserve">, </w:t>
      </w:r>
      <w:r w:rsidR="00B6164E" w:rsidRPr="00A25C21">
        <w:rPr>
          <w:rFonts w:cs="Arial"/>
          <w:b/>
          <w:bCs/>
          <w:szCs w:val="24"/>
          <w:lang w:val="en-GB"/>
        </w:rPr>
        <w:t>Professor Ntlama-Makhanya and Professor Phooko, Additional Members</w:t>
      </w:r>
    </w:p>
    <w:p w14:paraId="31D6E86B" w14:textId="5C16397E" w:rsidR="00CC37FA" w:rsidRPr="00CC37FA" w:rsidRDefault="00CC37FA" w:rsidP="00CC37FA">
      <w:pPr>
        <w:spacing w:line="360" w:lineRule="auto"/>
        <w:ind w:left="1440" w:hanging="1440"/>
        <w:rPr>
          <w:rFonts w:cs="Arial"/>
          <w:bCs/>
          <w:szCs w:val="24"/>
          <w:lang w:val="en-GB"/>
        </w:rPr>
      </w:pPr>
      <w:r w:rsidRPr="00CC37FA">
        <w:rPr>
          <w:rFonts w:cs="Arial"/>
          <w:bCs/>
          <w:szCs w:val="24"/>
          <w:lang w:val="en-GB"/>
        </w:rPr>
        <w:t>Heard:</w:t>
      </w:r>
      <w:r w:rsidRPr="00CC37FA">
        <w:rPr>
          <w:rFonts w:cs="Arial"/>
          <w:bCs/>
          <w:szCs w:val="24"/>
          <w:lang w:val="en-GB"/>
        </w:rPr>
        <w:tab/>
        <w:t>Decided in chambers on the papers.</w:t>
      </w:r>
    </w:p>
    <w:p w14:paraId="116F4474" w14:textId="6EF41CE1" w:rsidR="00D54512" w:rsidRDefault="00CC37FA" w:rsidP="00392815">
      <w:pPr>
        <w:spacing w:line="360" w:lineRule="auto"/>
        <w:ind w:left="1440" w:hanging="1440"/>
        <w:rPr>
          <w:rFonts w:cs="Arial"/>
          <w:bCs/>
          <w:szCs w:val="24"/>
          <w:lang w:val="en-GB"/>
        </w:rPr>
      </w:pPr>
      <w:r>
        <w:rPr>
          <w:rFonts w:cs="Arial"/>
          <w:bCs/>
          <w:szCs w:val="24"/>
          <w:lang w:val="en-GB"/>
        </w:rPr>
        <w:t>Delivered:</w:t>
      </w:r>
      <w:r>
        <w:rPr>
          <w:rFonts w:cs="Arial"/>
          <w:bCs/>
          <w:szCs w:val="24"/>
          <w:lang w:val="en-GB"/>
        </w:rPr>
        <w:tab/>
        <w:t>10</w:t>
      </w:r>
      <w:r w:rsidRPr="00CC37FA">
        <w:rPr>
          <w:rFonts w:cs="Arial"/>
          <w:bCs/>
          <w:szCs w:val="24"/>
          <w:lang w:val="en-GB"/>
        </w:rPr>
        <w:t xml:space="preserve"> May 2024 – This judgment was handed down electronically by circulation to the parties' representatives via email, by publication on the website of the Supreme Court of Appeal and by release to SAFLII. The date and time fo</w:t>
      </w:r>
      <w:r>
        <w:rPr>
          <w:rFonts w:cs="Arial"/>
          <w:bCs/>
          <w:szCs w:val="24"/>
          <w:lang w:val="en-GB"/>
        </w:rPr>
        <w:t>r hand-down is deemed to be 11:0</w:t>
      </w:r>
      <w:r w:rsidRPr="00CC37FA">
        <w:rPr>
          <w:rFonts w:cs="Arial"/>
          <w:bCs/>
          <w:szCs w:val="24"/>
          <w:lang w:val="en-GB"/>
        </w:rPr>
        <w:t xml:space="preserve">0 on </w:t>
      </w:r>
      <w:r>
        <w:rPr>
          <w:rFonts w:cs="Arial"/>
          <w:bCs/>
          <w:szCs w:val="24"/>
          <w:lang w:val="en-GB"/>
        </w:rPr>
        <w:t>10</w:t>
      </w:r>
      <w:r w:rsidRPr="00CC37FA">
        <w:rPr>
          <w:rFonts w:cs="Arial"/>
          <w:bCs/>
          <w:szCs w:val="24"/>
          <w:lang w:val="en-GB"/>
        </w:rPr>
        <w:t xml:space="preserve"> May 2024.</w:t>
      </w:r>
    </w:p>
    <w:p w14:paraId="2604D029" w14:textId="77777777" w:rsidR="00392815" w:rsidRPr="00392815" w:rsidRDefault="00392815" w:rsidP="00392815">
      <w:pPr>
        <w:spacing w:line="360" w:lineRule="auto"/>
        <w:ind w:left="1440" w:hanging="1440"/>
        <w:rPr>
          <w:rFonts w:cs="Arial"/>
          <w:bCs/>
          <w:szCs w:val="24"/>
          <w:lang w:val="en-GB"/>
        </w:rPr>
      </w:pPr>
    </w:p>
    <w:p w14:paraId="1FB9A0AD" w14:textId="2456FA72" w:rsidR="000A7E3F" w:rsidRDefault="00B74C01" w:rsidP="000A7E3F">
      <w:pPr>
        <w:suppressAutoHyphens w:val="0"/>
        <w:spacing w:line="360" w:lineRule="auto"/>
        <w:rPr>
          <w:rFonts w:cs="Arial"/>
          <w:szCs w:val="24"/>
          <w:lang w:val="en-GB"/>
        </w:rPr>
      </w:pPr>
      <w:r w:rsidRPr="00A25C21">
        <w:rPr>
          <w:rFonts w:cs="Arial"/>
          <w:b/>
          <w:bCs/>
          <w:szCs w:val="24"/>
          <w:lang w:val="en-GB"/>
        </w:rPr>
        <w:t>Summary</w:t>
      </w:r>
      <w:r>
        <w:rPr>
          <w:rFonts w:cs="Arial"/>
          <w:b/>
          <w:bCs/>
          <w:szCs w:val="24"/>
          <w:lang w:val="en-GB"/>
        </w:rPr>
        <w:t xml:space="preserve">: </w:t>
      </w:r>
      <w:r w:rsidR="00392815">
        <w:rPr>
          <w:rFonts w:cs="Arial"/>
          <w:b/>
          <w:bCs/>
          <w:szCs w:val="24"/>
          <w:lang w:val="en-GB"/>
        </w:rPr>
        <w:tab/>
      </w:r>
      <w:r w:rsidRPr="00300F16">
        <w:rPr>
          <w:rFonts w:cs="Arial"/>
          <w:szCs w:val="24"/>
          <w:lang w:val="en-GB"/>
        </w:rPr>
        <w:t>Whether the respondents have complied with their o</w:t>
      </w:r>
      <w:r w:rsidR="00300F16" w:rsidRPr="00300F16">
        <w:rPr>
          <w:rFonts w:cs="Arial"/>
          <w:szCs w:val="24"/>
          <w:lang w:val="en-GB"/>
        </w:rPr>
        <w:t>b</w:t>
      </w:r>
      <w:r w:rsidRPr="00300F16">
        <w:rPr>
          <w:rFonts w:cs="Arial"/>
          <w:szCs w:val="24"/>
          <w:lang w:val="en-GB"/>
        </w:rPr>
        <w:t>li</w:t>
      </w:r>
      <w:r w:rsidR="00300F16" w:rsidRPr="00300F16">
        <w:rPr>
          <w:rFonts w:cs="Arial"/>
          <w:szCs w:val="24"/>
          <w:lang w:val="en-GB"/>
        </w:rPr>
        <w:t>g</w:t>
      </w:r>
      <w:r w:rsidRPr="00300F16">
        <w:rPr>
          <w:rFonts w:cs="Arial"/>
          <w:szCs w:val="24"/>
          <w:lang w:val="en-GB"/>
        </w:rPr>
        <w:t>ation</w:t>
      </w:r>
      <w:r w:rsidR="00300F16" w:rsidRPr="00300F16">
        <w:rPr>
          <w:rFonts w:cs="Arial"/>
          <w:szCs w:val="24"/>
          <w:lang w:val="en-GB"/>
        </w:rPr>
        <w:t>s</w:t>
      </w:r>
      <w:r w:rsidRPr="00300F16">
        <w:rPr>
          <w:rFonts w:cs="Arial"/>
          <w:szCs w:val="24"/>
          <w:lang w:val="en-GB"/>
        </w:rPr>
        <w:t xml:space="preserve"> in terms of s 12 read with Regulation 10 of the Political Parties Function Act</w:t>
      </w:r>
      <w:r w:rsidR="00D26AFB">
        <w:rPr>
          <w:rFonts w:cs="Arial"/>
          <w:szCs w:val="24"/>
          <w:lang w:val="en-GB"/>
        </w:rPr>
        <w:t xml:space="preserve"> 6 of 2018</w:t>
      </w:r>
      <w:r w:rsidRPr="00300F16">
        <w:rPr>
          <w:rFonts w:cs="Arial"/>
          <w:szCs w:val="24"/>
          <w:lang w:val="en-GB"/>
        </w:rPr>
        <w:t xml:space="preserve"> to account for their income</w:t>
      </w:r>
      <w:r w:rsidR="00A40A8C">
        <w:rPr>
          <w:rFonts w:cs="Arial"/>
          <w:szCs w:val="24"/>
          <w:lang w:val="en-GB"/>
        </w:rPr>
        <w:t xml:space="preserve"> - </w:t>
      </w:r>
      <w:r w:rsidR="00E63EC8">
        <w:rPr>
          <w:rFonts w:cs="Arial"/>
          <w:szCs w:val="24"/>
          <w:lang w:val="en-GB"/>
        </w:rPr>
        <w:t xml:space="preserve">The circumstances under which the Electoral Commission may approach this </w:t>
      </w:r>
      <w:r w:rsidR="00C63692">
        <w:rPr>
          <w:rFonts w:cs="Arial"/>
          <w:szCs w:val="24"/>
          <w:lang w:val="en-GB"/>
        </w:rPr>
        <w:t>Court</w:t>
      </w:r>
      <w:r w:rsidR="00E63EC8">
        <w:rPr>
          <w:rFonts w:cs="Arial"/>
          <w:szCs w:val="24"/>
          <w:lang w:val="en-GB"/>
        </w:rPr>
        <w:t xml:space="preserve"> for an order imposing administrative penalties on </w:t>
      </w:r>
      <w:r w:rsidR="00413ADB">
        <w:rPr>
          <w:rFonts w:cs="Arial"/>
          <w:szCs w:val="24"/>
          <w:lang w:val="en-GB"/>
        </w:rPr>
        <w:t xml:space="preserve">the respondents </w:t>
      </w:r>
      <w:r w:rsidR="00E404B1">
        <w:rPr>
          <w:rFonts w:cs="Arial"/>
          <w:szCs w:val="24"/>
          <w:lang w:val="en-GB"/>
        </w:rPr>
        <w:t xml:space="preserve">- </w:t>
      </w:r>
      <w:r w:rsidR="00413ADB">
        <w:rPr>
          <w:rFonts w:cs="Arial"/>
          <w:szCs w:val="24"/>
          <w:lang w:val="en-GB"/>
        </w:rPr>
        <w:t>Whether</w:t>
      </w:r>
      <w:r w:rsidR="000A7E3F">
        <w:rPr>
          <w:rFonts w:cs="Arial"/>
          <w:szCs w:val="24"/>
          <w:lang w:val="en-GB"/>
        </w:rPr>
        <w:t xml:space="preserve"> a proper case is made out for this </w:t>
      </w:r>
      <w:r w:rsidR="00C63692">
        <w:rPr>
          <w:rFonts w:cs="Arial"/>
          <w:szCs w:val="24"/>
          <w:lang w:val="en-GB"/>
        </w:rPr>
        <w:t>Court</w:t>
      </w:r>
      <w:r w:rsidR="000A7E3F">
        <w:rPr>
          <w:rFonts w:cs="Arial"/>
          <w:szCs w:val="24"/>
          <w:lang w:val="en-GB"/>
        </w:rPr>
        <w:t xml:space="preserve"> to impose administrative penalties on the respondents as prayed for by the applicants.</w:t>
      </w:r>
    </w:p>
    <w:p w14:paraId="1CB0138E" w14:textId="58202FBA" w:rsidR="00CB2EF9" w:rsidRDefault="00CB2EF9" w:rsidP="000A7E3F">
      <w:pPr>
        <w:suppressAutoHyphens w:val="0"/>
        <w:spacing w:line="360" w:lineRule="auto"/>
        <w:rPr>
          <w:rFonts w:cs="Arial"/>
          <w:szCs w:val="24"/>
          <w:lang w:val="en-GB"/>
        </w:rPr>
      </w:pPr>
    </w:p>
    <w:p w14:paraId="65D3DE9D" w14:textId="52FD62EC" w:rsidR="00CB2EF9" w:rsidRDefault="00CB2EF9" w:rsidP="000A7E3F">
      <w:pPr>
        <w:suppressAutoHyphens w:val="0"/>
        <w:spacing w:line="360" w:lineRule="auto"/>
        <w:rPr>
          <w:rFonts w:cs="Arial"/>
          <w:szCs w:val="24"/>
          <w:lang w:val="en-GB"/>
        </w:rPr>
      </w:pPr>
    </w:p>
    <w:p w14:paraId="5DC8DE16" w14:textId="4FCF899F" w:rsidR="00CB2EF9" w:rsidRDefault="00CB2EF9" w:rsidP="000A7E3F">
      <w:pPr>
        <w:suppressAutoHyphens w:val="0"/>
        <w:spacing w:line="360" w:lineRule="auto"/>
        <w:rPr>
          <w:rFonts w:cs="Arial"/>
          <w:szCs w:val="24"/>
          <w:lang w:val="en-GB"/>
        </w:rPr>
      </w:pPr>
    </w:p>
    <w:p w14:paraId="67DF821C" w14:textId="46B5A295" w:rsidR="00CB2EF9" w:rsidRDefault="00CB2EF9" w:rsidP="000A7E3F">
      <w:pPr>
        <w:suppressAutoHyphens w:val="0"/>
        <w:spacing w:line="360" w:lineRule="auto"/>
        <w:rPr>
          <w:rFonts w:cs="Arial"/>
          <w:szCs w:val="24"/>
          <w:lang w:val="en-GB"/>
        </w:rPr>
      </w:pPr>
    </w:p>
    <w:p w14:paraId="412AF9CF" w14:textId="21A18B3B" w:rsidR="00CB2EF9" w:rsidRDefault="00CB2EF9" w:rsidP="000A7E3F">
      <w:pPr>
        <w:suppressAutoHyphens w:val="0"/>
        <w:spacing w:line="360" w:lineRule="auto"/>
        <w:rPr>
          <w:rFonts w:cs="Arial"/>
          <w:szCs w:val="24"/>
          <w:lang w:val="en-GB"/>
        </w:rPr>
      </w:pPr>
    </w:p>
    <w:p w14:paraId="4D670F4E" w14:textId="34452D26" w:rsidR="00CB2EF9" w:rsidRDefault="00CB2EF9" w:rsidP="000A7E3F">
      <w:pPr>
        <w:suppressAutoHyphens w:val="0"/>
        <w:spacing w:line="360" w:lineRule="auto"/>
        <w:rPr>
          <w:rFonts w:cs="Arial"/>
          <w:szCs w:val="24"/>
          <w:lang w:val="en-GB"/>
        </w:rPr>
      </w:pPr>
    </w:p>
    <w:p w14:paraId="5CE1C818" w14:textId="03431E19" w:rsidR="00CB2EF9" w:rsidRDefault="00CB2EF9" w:rsidP="000A7E3F">
      <w:pPr>
        <w:suppressAutoHyphens w:val="0"/>
        <w:spacing w:line="360" w:lineRule="auto"/>
        <w:rPr>
          <w:rFonts w:cs="Arial"/>
          <w:szCs w:val="24"/>
          <w:lang w:val="en-GB"/>
        </w:rPr>
      </w:pPr>
    </w:p>
    <w:p w14:paraId="40E6642C" w14:textId="4460B61E" w:rsidR="00CB2EF9" w:rsidRDefault="00CB2EF9" w:rsidP="000A7E3F">
      <w:pPr>
        <w:suppressAutoHyphens w:val="0"/>
        <w:spacing w:line="360" w:lineRule="auto"/>
        <w:rPr>
          <w:rFonts w:cs="Arial"/>
          <w:szCs w:val="24"/>
          <w:lang w:val="en-GB"/>
        </w:rPr>
      </w:pPr>
    </w:p>
    <w:p w14:paraId="4D378739" w14:textId="01E2999C" w:rsidR="00CB2EF9" w:rsidRDefault="00CB2EF9" w:rsidP="000A7E3F">
      <w:pPr>
        <w:suppressAutoHyphens w:val="0"/>
        <w:spacing w:line="360" w:lineRule="auto"/>
        <w:rPr>
          <w:rFonts w:cs="Arial"/>
          <w:szCs w:val="24"/>
          <w:lang w:val="en-GB"/>
        </w:rPr>
      </w:pPr>
    </w:p>
    <w:p w14:paraId="6D2BA2DA" w14:textId="6990428C" w:rsidR="00CB2EF9" w:rsidRDefault="00CB2EF9" w:rsidP="000A7E3F">
      <w:pPr>
        <w:suppressAutoHyphens w:val="0"/>
        <w:spacing w:line="360" w:lineRule="auto"/>
        <w:rPr>
          <w:rFonts w:cs="Arial"/>
          <w:szCs w:val="24"/>
          <w:lang w:val="en-GB"/>
        </w:rPr>
      </w:pPr>
    </w:p>
    <w:p w14:paraId="5E55D54A" w14:textId="473DD3EA" w:rsidR="00CB2EF9" w:rsidRDefault="00CB2EF9" w:rsidP="000A7E3F">
      <w:pPr>
        <w:suppressAutoHyphens w:val="0"/>
        <w:spacing w:line="360" w:lineRule="auto"/>
        <w:rPr>
          <w:rFonts w:cs="Arial"/>
          <w:szCs w:val="24"/>
          <w:lang w:val="en-GB"/>
        </w:rPr>
      </w:pPr>
    </w:p>
    <w:p w14:paraId="29F793CC" w14:textId="46FF2811" w:rsidR="00CB2EF9" w:rsidRDefault="00CB2EF9" w:rsidP="000A7E3F">
      <w:pPr>
        <w:suppressAutoHyphens w:val="0"/>
        <w:spacing w:line="360" w:lineRule="auto"/>
        <w:rPr>
          <w:rFonts w:cs="Arial"/>
          <w:szCs w:val="24"/>
          <w:lang w:val="en-GB"/>
        </w:rPr>
      </w:pPr>
    </w:p>
    <w:p w14:paraId="45B101DF" w14:textId="610ECCB6" w:rsidR="00CB2EF9" w:rsidRDefault="00CB2EF9" w:rsidP="000A7E3F">
      <w:pPr>
        <w:suppressAutoHyphens w:val="0"/>
        <w:spacing w:line="360" w:lineRule="auto"/>
        <w:rPr>
          <w:rFonts w:cs="Arial"/>
          <w:szCs w:val="24"/>
          <w:lang w:val="en-GB"/>
        </w:rPr>
      </w:pPr>
    </w:p>
    <w:p w14:paraId="0FD04507" w14:textId="1B070281" w:rsidR="00CB2EF9" w:rsidRDefault="00CB2EF9" w:rsidP="000A7E3F">
      <w:pPr>
        <w:suppressAutoHyphens w:val="0"/>
        <w:spacing w:line="360" w:lineRule="auto"/>
        <w:rPr>
          <w:rFonts w:cs="Arial"/>
          <w:szCs w:val="24"/>
          <w:lang w:val="en-GB"/>
        </w:rPr>
      </w:pPr>
    </w:p>
    <w:p w14:paraId="76F7C5DC" w14:textId="76395FF9" w:rsidR="00CB2EF9" w:rsidRDefault="00CB2EF9" w:rsidP="000A7E3F">
      <w:pPr>
        <w:suppressAutoHyphens w:val="0"/>
        <w:spacing w:line="360" w:lineRule="auto"/>
        <w:rPr>
          <w:rFonts w:cs="Arial"/>
          <w:szCs w:val="24"/>
          <w:lang w:val="en-GB"/>
        </w:rPr>
      </w:pPr>
    </w:p>
    <w:p w14:paraId="1223DB74" w14:textId="4C28A82E" w:rsidR="00CB2EF9" w:rsidRDefault="00CB2EF9" w:rsidP="000A7E3F">
      <w:pPr>
        <w:suppressAutoHyphens w:val="0"/>
        <w:spacing w:line="360" w:lineRule="auto"/>
        <w:rPr>
          <w:rFonts w:cs="Arial"/>
          <w:szCs w:val="24"/>
          <w:lang w:val="en-GB"/>
        </w:rPr>
      </w:pPr>
    </w:p>
    <w:p w14:paraId="4EC8CC8B" w14:textId="70A8003D" w:rsidR="00CB2EF9" w:rsidRDefault="00CB2EF9" w:rsidP="000A7E3F">
      <w:pPr>
        <w:suppressAutoHyphens w:val="0"/>
        <w:spacing w:line="360" w:lineRule="auto"/>
        <w:rPr>
          <w:rFonts w:cs="Arial"/>
          <w:szCs w:val="24"/>
          <w:lang w:val="en-GB"/>
        </w:rPr>
      </w:pPr>
    </w:p>
    <w:p w14:paraId="781E1F90" w14:textId="1A50C002" w:rsidR="00CB2EF9" w:rsidRDefault="00CB2EF9" w:rsidP="000A7E3F">
      <w:pPr>
        <w:suppressAutoHyphens w:val="0"/>
        <w:spacing w:line="360" w:lineRule="auto"/>
        <w:rPr>
          <w:rFonts w:cs="Arial"/>
          <w:szCs w:val="24"/>
          <w:lang w:val="en-GB"/>
        </w:rPr>
      </w:pPr>
    </w:p>
    <w:p w14:paraId="26E2D52F" w14:textId="4FB53B82" w:rsidR="00CB2EF9" w:rsidRDefault="00CB2EF9" w:rsidP="000A7E3F">
      <w:pPr>
        <w:suppressAutoHyphens w:val="0"/>
        <w:spacing w:line="360" w:lineRule="auto"/>
        <w:rPr>
          <w:rFonts w:cs="Arial"/>
          <w:szCs w:val="24"/>
          <w:lang w:val="en-GB"/>
        </w:rPr>
      </w:pPr>
    </w:p>
    <w:p w14:paraId="23AA3A17" w14:textId="3E46E695" w:rsidR="00240F82" w:rsidRDefault="00240F82" w:rsidP="000A7E3F">
      <w:pPr>
        <w:suppressAutoHyphens w:val="0"/>
        <w:spacing w:line="360" w:lineRule="auto"/>
        <w:rPr>
          <w:rFonts w:cs="Arial"/>
          <w:szCs w:val="24"/>
          <w:lang w:val="en-GB"/>
        </w:rPr>
      </w:pPr>
    </w:p>
    <w:p w14:paraId="4C390BA9" w14:textId="5A82805B" w:rsidR="00240F82" w:rsidRPr="00A25C21" w:rsidRDefault="00240F82" w:rsidP="00240F82">
      <w:pPr>
        <w:spacing w:line="360" w:lineRule="auto"/>
        <w:rPr>
          <w:rFonts w:cs="Arial"/>
          <w:bCs/>
          <w:szCs w:val="24"/>
          <w:lang w:val="en-GB"/>
        </w:rPr>
      </w:pPr>
      <w:r w:rsidRPr="00A25C21">
        <w:rPr>
          <w:rFonts w:cs="Arial"/>
          <w:bCs/>
          <w:szCs w:val="24"/>
          <w:lang w:val="en-GB"/>
        </w:rPr>
        <w:lastRenderedPageBreak/>
        <w:t>___________________________________________________________________</w:t>
      </w:r>
    </w:p>
    <w:p w14:paraId="438136B9" w14:textId="77777777" w:rsidR="00240F82" w:rsidRPr="00A25C21" w:rsidRDefault="00240F82" w:rsidP="00240F82">
      <w:pPr>
        <w:spacing w:line="360" w:lineRule="auto"/>
        <w:jc w:val="center"/>
        <w:rPr>
          <w:rFonts w:cs="Arial"/>
          <w:b/>
          <w:bCs/>
          <w:szCs w:val="24"/>
          <w:lang w:val="en-GB"/>
        </w:rPr>
      </w:pPr>
      <w:r w:rsidRPr="00A25C21">
        <w:rPr>
          <w:rFonts w:cs="Arial"/>
          <w:b/>
          <w:bCs/>
          <w:szCs w:val="24"/>
          <w:lang w:val="en-GB"/>
        </w:rPr>
        <w:t>ORDER</w:t>
      </w:r>
    </w:p>
    <w:p w14:paraId="22106EBF" w14:textId="6152B2BC" w:rsidR="00D6131D" w:rsidRPr="00CB2EF9" w:rsidRDefault="00240F82" w:rsidP="00CB2EF9">
      <w:pPr>
        <w:suppressAutoHyphens w:val="0"/>
        <w:spacing w:line="360" w:lineRule="auto"/>
        <w:rPr>
          <w:rFonts w:cs="Arial"/>
          <w:szCs w:val="24"/>
          <w:lang w:val="en-GB"/>
        </w:rPr>
      </w:pPr>
      <w:r w:rsidRPr="00CB2EF9">
        <w:rPr>
          <w:rFonts w:cs="Arial"/>
          <w:bCs/>
          <w:szCs w:val="24"/>
          <w:lang w:val="en-GB"/>
        </w:rPr>
        <w:t>___________________________________________________________________</w:t>
      </w:r>
    </w:p>
    <w:p w14:paraId="7597F41A" w14:textId="5E2CE641" w:rsidR="006B7949" w:rsidRPr="007F6548" w:rsidRDefault="00CE3587" w:rsidP="00CE3587">
      <w:pPr>
        <w:pStyle w:val="WLGLevel1"/>
        <w:numPr>
          <w:ilvl w:val="0"/>
          <w:numId w:val="0"/>
        </w:numPr>
        <w:spacing w:before="0" w:after="0" w:line="360" w:lineRule="auto"/>
        <w:ind w:left="426" w:hanging="360"/>
        <w:rPr>
          <w:rFonts w:cs="Arial"/>
          <w:color w:val="000000" w:themeColor="text1"/>
          <w:szCs w:val="24"/>
        </w:rPr>
      </w:pPr>
      <w:r w:rsidRPr="007F6548">
        <w:rPr>
          <w:rFonts w:cs="Arial"/>
          <w:color w:val="000000" w:themeColor="text1"/>
          <w:szCs w:val="24"/>
        </w:rPr>
        <w:t>1</w:t>
      </w:r>
      <w:r w:rsidRPr="007F6548">
        <w:rPr>
          <w:rFonts w:cs="Arial"/>
          <w:color w:val="000000" w:themeColor="text1"/>
          <w:szCs w:val="24"/>
        </w:rPr>
        <w:tab/>
      </w:r>
      <w:r w:rsidR="006B7949" w:rsidRPr="007F6548">
        <w:rPr>
          <w:rFonts w:cs="Arial"/>
          <w:color w:val="000000" w:themeColor="text1"/>
          <w:szCs w:val="24"/>
        </w:rPr>
        <w:t xml:space="preserve">It is declared that the respondents have failed to comply with their obligations in terms of section 12 of the Political Party Funding Act 6 of 2018, read with Regulation 10 of the </w:t>
      </w:r>
      <w:r w:rsidR="006B7949" w:rsidRPr="007F6548">
        <w:rPr>
          <w:rFonts w:cs="Arial"/>
          <w:i/>
          <w:iCs/>
          <w:color w:val="000000" w:themeColor="text1"/>
          <w:szCs w:val="24"/>
        </w:rPr>
        <w:t xml:space="preserve">Regulations regarding the funding of political parties </w:t>
      </w:r>
      <w:r w:rsidR="006B7949" w:rsidRPr="007F6548">
        <w:rPr>
          <w:rFonts w:cs="Arial"/>
          <w:color w:val="000000" w:themeColor="text1"/>
          <w:szCs w:val="24"/>
        </w:rPr>
        <w:t xml:space="preserve">(published in GenN 950 of 2022, in Government Gazette 46167).  </w:t>
      </w:r>
    </w:p>
    <w:p w14:paraId="617C82AD" w14:textId="03B5528F" w:rsidR="006B7949" w:rsidRPr="007F6548" w:rsidRDefault="00CE3587" w:rsidP="00CE3587">
      <w:pPr>
        <w:pStyle w:val="WLGLevel1"/>
        <w:numPr>
          <w:ilvl w:val="0"/>
          <w:numId w:val="0"/>
        </w:numPr>
        <w:spacing w:before="0" w:after="0" w:line="360" w:lineRule="auto"/>
        <w:ind w:left="426" w:hanging="360"/>
        <w:rPr>
          <w:rFonts w:cs="Arial"/>
          <w:color w:val="000000" w:themeColor="text1"/>
          <w:szCs w:val="24"/>
        </w:rPr>
      </w:pPr>
      <w:r w:rsidRPr="007F6548">
        <w:rPr>
          <w:rFonts w:cs="Arial"/>
          <w:color w:val="000000" w:themeColor="text1"/>
          <w:szCs w:val="24"/>
        </w:rPr>
        <w:t>2</w:t>
      </w:r>
      <w:r w:rsidRPr="007F6548">
        <w:rPr>
          <w:rFonts w:cs="Arial"/>
          <w:color w:val="000000" w:themeColor="text1"/>
          <w:szCs w:val="24"/>
        </w:rPr>
        <w:tab/>
      </w:r>
      <w:r w:rsidR="006B7949" w:rsidRPr="007F6548">
        <w:rPr>
          <w:rFonts w:cs="Arial"/>
          <w:color w:val="000000" w:themeColor="text1"/>
          <w:szCs w:val="24"/>
        </w:rPr>
        <w:t>The 1</w:t>
      </w:r>
      <w:r w:rsidR="006B7949" w:rsidRPr="007F6548">
        <w:rPr>
          <w:rFonts w:cs="Arial"/>
          <w:color w:val="000000" w:themeColor="text1"/>
          <w:szCs w:val="24"/>
          <w:vertAlign w:val="superscript"/>
        </w:rPr>
        <w:t>st</w:t>
      </w:r>
      <w:r w:rsidR="006B7949" w:rsidRPr="007F6548">
        <w:rPr>
          <w:rFonts w:cs="Arial"/>
          <w:color w:val="000000" w:themeColor="text1"/>
          <w:szCs w:val="24"/>
        </w:rPr>
        <w:t xml:space="preserve"> to 6</w:t>
      </w:r>
      <w:r w:rsidR="006B7949" w:rsidRPr="007F6548">
        <w:rPr>
          <w:rFonts w:cs="Arial"/>
          <w:color w:val="000000" w:themeColor="text1"/>
          <w:szCs w:val="24"/>
          <w:vertAlign w:val="superscript"/>
        </w:rPr>
        <w:t>th</w:t>
      </w:r>
      <w:r w:rsidR="006B7949" w:rsidRPr="007F6548">
        <w:rPr>
          <w:rFonts w:cs="Arial"/>
          <w:color w:val="000000" w:themeColor="text1"/>
          <w:szCs w:val="24"/>
        </w:rPr>
        <w:t xml:space="preserve"> respondent</w:t>
      </w:r>
      <w:r w:rsidR="004E2809">
        <w:rPr>
          <w:rFonts w:cs="Arial"/>
          <w:color w:val="000000" w:themeColor="text1"/>
          <w:szCs w:val="24"/>
        </w:rPr>
        <w:t>s</w:t>
      </w:r>
      <w:r w:rsidR="006B7949" w:rsidRPr="007F6548">
        <w:rPr>
          <w:rFonts w:cs="Arial"/>
          <w:color w:val="000000" w:themeColor="text1"/>
          <w:szCs w:val="24"/>
        </w:rPr>
        <w:t xml:space="preserve"> shall each pay to the Commission pay, an administrative penalty in the amount of R40</w:t>
      </w:r>
      <w:r w:rsidR="00036F12">
        <w:rPr>
          <w:rFonts w:cs="Arial"/>
          <w:color w:val="000000" w:themeColor="text1"/>
          <w:szCs w:val="24"/>
        </w:rPr>
        <w:t xml:space="preserve"> </w:t>
      </w:r>
      <w:r w:rsidR="006B7949" w:rsidRPr="007F6548">
        <w:rPr>
          <w:rFonts w:cs="Arial"/>
          <w:color w:val="000000" w:themeColor="text1"/>
          <w:szCs w:val="24"/>
        </w:rPr>
        <w:t xml:space="preserve">000. </w:t>
      </w:r>
    </w:p>
    <w:p w14:paraId="00AE2328" w14:textId="05D6277B" w:rsidR="006B7949" w:rsidRPr="007F6548" w:rsidRDefault="00CE3587" w:rsidP="00CE3587">
      <w:pPr>
        <w:pStyle w:val="WLGLevel1"/>
        <w:numPr>
          <w:ilvl w:val="0"/>
          <w:numId w:val="0"/>
        </w:numPr>
        <w:spacing w:before="0" w:after="0" w:line="360" w:lineRule="auto"/>
        <w:ind w:left="426" w:hanging="360"/>
        <w:rPr>
          <w:rFonts w:cs="Arial"/>
          <w:color w:val="000000" w:themeColor="text1"/>
          <w:szCs w:val="24"/>
        </w:rPr>
      </w:pPr>
      <w:r w:rsidRPr="007F6548">
        <w:rPr>
          <w:rFonts w:cs="Arial"/>
          <w:color w:val="000000" w:themeColor="text1"/>
          <w:szCs w:val="24"/>
        </w:rPr>
        <w:t>3</w:t>
      </w:r>
      <w:r w:rsidRPr="007F6548">
        <w:rPr>
          <w:rFonts w:cs="Arial"/>
          <w:color w:val="000000" w:themeColor="text1"/>
          <w:szCs w:val="24"/>
        </w:rPr>
        <w:tab/>
      </w:r>
      <w:r w:rsidR="006B7949" w:rsidRPr="007F6548">
        <w:rPr>
          <w:rFonts w:cs="Arial"/>
          <w:color w:val="000000" w:themeColor="text1"/>
          <w:szCs w:val="24"/>
        </w:rPr>
        <w:t>The respondents listed in Categories B and D to the annexure hereto shall each pay to the Commission an administrative penalty in the amount of R40</w:t>
      </w:r>
      <w:r w:rsidR="008D5405">
        <w:rPr>
          <w:rFonts w:cs="Arial"/>
          <w:color w:val="000000" w:themeColor="text1"/>
          <w:szCs w:val="24"/>
        </w:rPr>
        <w:t xml:space="preserve"> </w:t>
      </w:r>
      <w:r w:rsidR="006B7949" w:rsidRPr="007F6548">
        <w:rPr>
          <w:rFonts w:cs="Arial"/>
          <w:color w:val="000000" w:themeColor="text1"/>
          <w:szCs w:val="24"/>
        </w:rPr>
        <w:t xml:space="preserve">000. </w:t>
      </w:r>
    </w:p>
    <w:p w14:paraId="3387761F" w14:textId="6C975CF6" w:rsidR="006B7949" w:rsidRPr="007F6548" w:rsidRDefault="00CE3587" w:rsidP="00CE3587">
      <w:pPr>
        <w:pStyle w:val="WLGLevel1"/>
        <w:numPr>
          <w:ilvl w:val="0"/>
          <w:numId w:val="0"/>
        </w:numPr>
        <w:spacing w:before="0" w:after="0" w:line="360" w:lineRule="auto"/>
        <w:ind w:left="426" w:hanging="360"/>
        <w:rPr>
          <w:rFonts w:cs="Arial"/>
          <w:color w:val="000000" w:themeColor="text1"/>
          <w:szCs w:val="24"/>
        </w:rPr>
      </w:pPr>
      <w:r w:rsidRPr="007F6548">
        <w:rPr>
          <w:rFonts w:cs="Arial"/>
          <w:color w:val="000000" w:themeColor="text1"/>
          <w:szCs w:val="24"/>
        </w:rPr>
        <w:t>4</w:t>
      </w:r>
      <w:r w:rsidRPr="007F6548">
        <w:rPr>
          <w:rFonts w:cs="Arial"/>
          <w:color w:val="000000" w:themeColor="text1"/>
          <w:szCs w:val="24"/>
        </w:rPr>
        <w:tab/>
      </w:r>
      <w:r w:rsidR="006B7949" w:rsidRPr="007F6548">
        <w:rPr>
          <w:rFonts w:cs="Arial"/>
          <w:color w:val="000000" w:themeColor="text1"/>
          <w:szCs w:val="24"/>
        </w:rPr>
        <w:t>The respondents identified in Category C, E and F excluding the 336</w:t>
      </w:r>
      <w:r w:rsidR="006B7949" w:rsidRPr="007F6548">
        <w:rPr>
          <w:rFonts w:cs="Arial"/>
          <w:color w:val="000000" w:themeColor="text1"/>
          <w:szCs w:val="24"/>
          <w:vertAlign w:val="superscript"/>
        </w:rPr>
        <w:t xml:space="preserve">th </w:t>
      </w:r>
      <w:r w:rsidR="006B7949" w:rsidRPr="007F6548">
        <w:rPr>
          <w:rFonts w:cs="Arial"/>
          <w:color w:val="000000" w:themeColor="text1"/>
          <w:szCs w:val="24"/>
        </w:rPr>
        <w:t>respondent, shall each pay to the Commission an administrative penalty in the amount of R10</w:t>
      </w:r>
      <w:r w:rsidR="00261451">
        <w:rPr>
          <w:rFonts w:cs="Arial"/>
          <w:color w:val="000000" w:themeColor="text1"/>
          <w:szCs w:val="24"/>
        </w:rPr>
        <w:t xml:space="preserve"> </w:t>
      </w:r>
      <w:r w:rsidR="006B7949" w:rsidRPr="007F6548">
        <w:rPr>
          <w:rFonts w:cs="Arial"/>
          <w:color w:val="000000" w:themeColor="text1"/>
          <w:szCs w:val="24"/>
        </w:rPr>
        <w:t>000.</w:t>
      </w:r>
    </w:p>
    <w:p w14:paraId="6DFDBC47" w14:textId="35327AA2" w:rsidR="000E6FC8" w:rsidRPr="00CB2EF9" w:rsidRDefault="00CE3587" w:rsidP="00CE3587">
      <w:pPr>
        <w:pStyle w:val="WLGLevel1"/>
        <w:numPr>
          <w:ilvl w:val="0"/>
          <w:numId w:val="0"/>
        </w:numPr>
        <w:spacing w:before="0" w:line="360" w:lineRule="auto"/>
        <w:ind w:left="426" w:hanging="360"/>
        <w:rPr>
          <w:rFonts w:cs="Arial"/>
          <w:color w:val="000000" w:themeColor="text1"/>
          <w:szCs w:val="24"/>
        </w:rPr>
      </w:pPr>
      <w:r w:rsidRPr="00CB2EF9">
        <w:rPr>
          <w:rFonts w:cs="Arial"/>
          <w:color w:val="000000" w:themeColor="text1"/>
          <w:szCs w:val="24"/>
        </w:rPr>
        <w:t>5</w:t>
      </w:r>
      <w:r w:rsidRPr="00CB2EF9">
        <w:rPr>
          <w:rFonts w:cs="Arial"/>
          <w:color w:val="000000" w:themeColor="text1"/>
          <w:szCs w:val="24"/>
        </w:rPr>
        <w:tab/>
      </w:r>
      <w:r w:rsidR="006B7949" w:rsidRPr="007F6548">
        <w:rPr>
          <w:rFonts w:cs="Arial"/>
          <w:color w:val="000000" w:themeColor="text1"/>
          <w:szCs w:val="24"/>
        </w:rPr>
        <w:t xml:space="preserve">There is no order as to costs.  </w:t>
      </w:r>
    </w:p>
    <w:p w14:paraId="3A2CEF06" w14:textId="77777777" w:rsidR="000E6FC8" w:rsidRPr="007F6548" w:rsidRDefault="000E6FC8" w:rsidP="00137A0D">
      <w:pPr>
        <w:pStyle w:val="Tramlinescentred"/>
        <w:keepNext/>
        <w:spacing w:line="360" w:lineRule="auto"/>
        <w:ind w:firstLine="720"/>
        <w:rPr>
          <w:color w:val="000000" w:themeColor="text1"/>
        </w:rPr>
      </w:pPr>
      <w:r w:rsidRPr="007F6548">
        <w:rPr>
          <w:color w:val="000000" w:themeColor="text1"/>
        </w:rPr>
        <w:t>JUDGMENT</w:t>
      </w:r>
    </w:p>
    <w:p w14:paraId="6227303C" w14:textId="477B30D3" w:rsidR="00386953" w:rsidRDefault="00053CF4" w:rsidP="00E404B1">
      <w:pPr>
        <w:spacing w:line="360" w:lineRule="auto"/>
        <w:rPr>
          <w:rFonts w:cs="Arial"/>
          <w:b/>
          <w:szCs w:val="24"/>
        </w:rPr>
      </w:pPr>
      <w:r w:rsidRPr="00CC37FA">
        <w:rPr>
          <w:rFonts w:cs="Arial"/>
          <w:b/>
          <w:caps/>
          <w:color w:val="000000" w:themeColor="text1"/>
          <w:szCs w:val="24"/>
        </w:rPr>
        <w:t>M</w:t>
      </w:r>
      <w:r w:rsidR="00392815" w:rsidRPr="00CC37FA">
        <w:rPr>
          <w:rFonts w:cs="Arial"/>
          <w:b/>
          <w:color w:val="000000" w:themeColor="text1"/>
          <w:szCs w:val="24"/>
        </w:rPr>
        <w:t>odiba</w:t>
      </w:r>
      <w:r w:rsidRPr="00CC37FA">
        <w:rPr>
          <w:rFonts w:cs="Arial"/>
          <w:b/>
          <w:caps/>
          <w:color w:val="000000" w:themeColor="text1"/>
          <w:szCs w:val="24"/>
        </w:rPr>
        <w:t xml:space="preserve"> J</w:t>
      </w:r>
      <w:r w:rsidR="00386953" w:rsidRPr="00CC37FA">
        <w:rPr>
          <w:rFonts w:cs="Arial"/>
          <w:b/>
          <w:caps/>
          <w:color w:val="000000" w:themeColor="text1"/>
          <w:szCs w:val="24"/>
        </w:rPr>
        <w:t xml:space="preserve"> </w:t>
      </w:r>
      <w:r w:rsidR="00386953" w:rsidRPr="00CC37FA">
        <w:rPr>
          <w:rFonts w:cs="Arial"/>
          <w:b/>
          <w:szCs w:val="24"/>
        </w:rPr>
        <w:t>(</w:t>
      </w:r>
      <w:r w:rsidR="00261451" w:rsidRPr="00CC37FA">
        <w:rPr>
          <w:rFonts w:cs="Arial"/>
          <w:b/>
          <w:szCs w:val="24"/>
        </w:rPr>
        <w:t xml:space="preserve">Zondi JA and Adams </w:t>
      </w:r>
      <w:r w:rsidR="00CB2EF9" w:rsidRPr="00CC37FA">
        <w:rPr>
          <w:rFonts w:cs="Arial"/>
          <w:b/>
          <w:szCs w:val="24"/>
        </w:rPr>
        <w:t>A</w:t>
      </w:r>
      <w:r w:rsidR="00261451" w:rsidRPr="00CC37FA">
        <w:rPr>
          <w:rFonts w:cs="Arial"/>
          <w:b/>
          <w:szCs w:val="24"/>
        </w:rPr>
        <w:t>J and Professo</w:t>
      </w:r>
      <w:r w:rsidR="00CB2EF9" w:rsidRPr="00CC37FA">
        <w:rPr>
          <w:rFonts w:cs="Arial"/>
          <w:b/>
          <w:szCs w:val="24"/>
        </w:rPr>
        <w:t>r Ntlama-Makhanya and Professor</w:t>
      </w:r>
      <w:r w:rsidR="00261451" w:rsidRPr="00CC37FA">
        <w:rPr>
          <w:rFonts w:cs="Arial"/>
          <w:b/>
          <w:szCs w:val="24"/>
        </w:rPr>
        <w:t xml:space="preserve"> Phooko, (additional members) </w:t>
      </w:r>
      <w:r w:rsidR="00386953" w:rsidRPr="00CC37FA">
        <w:rPr>
          <w:rFonts w:cs="Arial"/>
          <w:b/>
          <w:szCs w:val="24"/>
        </w:rPr>
        <w:t>concurring)</w:t>
      </w:r>
      <w:r w:rsidR="00CC37FA" w:rsidRPr="00CC37FA">
        <w:rPr>
          <w:rFonts w:cs="Arial"/>
          <w:b/>
          <w:szCs w:val="24"/>
        </w:rPr>
        <w:t>:</w:t>
      </w:r>
    </w:p>
    <w:p w14:paraId="29D6D37C" w14:textId="77777777" w:rsidR="00240F82" w:rsidRDefault="00240F82" w:rsidP="00386953">
      <w:pPr>
        <w:spacing w:line="360" w:lineRule="auto"/>
        <w:rPr>
          <w:rFonts w:cs="Arial"/>
          <w:b/>
          <w:szCs w:val="24"/>
        </w:rPr>
      </w:pPr>
    </w:p>
    <w:p w14:paraId="1B65578E" w14:textId="34470E66" w:rsidR="00A07258" w:rsidRPr="007F6548" w:rsidRDefault="00A07258" w:rsidP="00CB2EF9">
      <w:pPr>
        <w:pStyle w:val="Heading1"/>
        <w:spacing w:before="0" w:after="0" w:line="360" w:lineRule="auto"/>
        <w:rPr>
          <w:rFonts w:ascii="Arial" w:hAnsi="Arial" w:cs="Arial"/>
          <w:b/>
          <w:bCs/>
          <w:color w:val="000000" w:themeColor="text1"/>
          <w:sz w:val="24"/>
          <w:szCs w:val="24"/>
        </w:rPr>
      </w:pPr>
      <w:bookmarkStart w:id="1" w:name="_Toc444100085"/>
      <w:bookmarkStart w:id="2" w:name="_Toc445380611"/>
      <w:bookmarkStart w:id="3" w:name="_Toc154744828"/>
      <w:bookmarkStart w:id="4" w:name="_Toc408998059"/>
      <w:r w:rsidRPr="007F6548">
        <w:rPr>
          <w:rFonts w:ascii="Arial" w:hAnsi="Arial" w:cs="Arial"/>
          <w:b/>
          <w:bCs/>
          <w:color w:val="000000" w:themeColor="text1"/>
          <w:sz w:val="24"/>
          <w:szCs w:val="24"/>
        </w:rPr>
        <w:t>I</w:t>
      </w:r>
      <w:r w:rsidR="00CB2EF9" w:rsidRPr="007F6548">
        <w:rPr>
          <w:rFonts w:ascii="Arial" w:hAnsi="Arial" w:cs="Arial"/>
          <w:b/>
          <w:bCs/>
          <w:color w:val="000000" w:themeColor="text1"/>
          <w:sz w:val="24"/>
          <w:szCs w:val="24"/>
        </w:rPr>
        <w:t>ntroduction</w:t>
      </w:r>
      <w:bookmarkEnd w:id="1"/>
      <w:bookmarkEnd w:id="2"/>
      <w:bookmarkEnd w:id="3"/>
    </w:p>
    <w:p w14:paraId="1A253860" w14:textId="5DBD32A8" w:rsidR="0066649F" w:rsidRPr="007F6548" w:rsidRDefault="009B20B2" w:rsidP="00CB2EF9">
      <w:pPr>
        <w:pStyle w:val="WLGLevel1"/>
        <w:numPr>
          <w:ilvl w:val="0"/>
          <w:numId w:val="0"/>
        </w:numPr>
        <w:spacing w:before="0" w:line="360" w:lineRule="auto"/>
        <w:rPr>
          <w:rFonts w:cs="Arial"/>
          <w:color w:val="000000" w:themeColor="text1"/>
          <w:szCs w:val="24"/>
        </w:rPr>
      </w:pPr>
      <w:r w:rsidRPr="007F6548">
        <w:rPr>
          <w:rFonts w:cs="Arial"/>
          <w:color w:val="000000" w:themeColor="text1"/>
          <w:szCs w:val="24"/>
        </w:rPr>
        <w:t>[1]</w:t>
      </w:r>
      <w:r w:rsidRPr="007F6548">
        <w:rPr>
          <w:rFonts w:cs="Arial"/>
          <w:color w:val="000000" w:themeColor="text1"/>
          <w:szCs w:val="24"/>
        </w:rPr>
        <w:tab/>
        <w:t>On 21 January 2018, the Parliament of South Africa enacted the Political Party Funding Act</w:t>
      </w:r>
      <w:r w:rsidRPr="007F6548">
        <w:rPr>
          <w:rStyle w:val="FootnoteReference"/>
          <w:rFonts w:cs="Arial"/>
          <w:color w:val="000000" w:themeColor="text1"/>
          <w:szCs w:val="24"/>
        </w:rPr>
        <w:footnoteReference w:id="1"/>
      </w:r>
      <w:r w:rsidRPr="007F6548">
        <w:rPr>
          <w:rFonts w:cs="Arial"/>
          <w:color w:val="000000" w:themeColor="text1"/>
          <w:szCs w:val="24"/>
        </w:rPr>
        <w:t>, (“Funding Act”) with 1 April 2021 as its date of commencement</w:t>
      </w:r>
      <w:r w:rsidR="006D4B2C" w:rsidRPr="007F6548">
        <w:rPr>
          <w:rFonts w:cs="Arial"/>
          <w:color w:val="000000" w:themeColor="text1"/>
          <w:szCs w:val="24"/>
        </w:rPr>
        <w:t>.</w:t>
      </w:r>
      <w:r w:rsidR="00C57015" w:rsidRPr="007F6548">
        <w:rPr>
          <w:rFonts w:cs="Arial"/>
          <w:color w:val="000000" w:themeColor="text1"/>
          <w:szCs w:val="24"/>
        </w:rPr>
        <w:t xml:space="preserve"> </w:t>
      </w:r>
      <w:r w:rsidR="002A6BC7">
        <w:rPr>
          <w:rFonts w:cs="Arial"/>
          <w:color w:val="000000" w:themeColor="text1"/>
          <w:szCs w:val="24"/>
        </w:rPr>
        <w:t>The Funding Act</w:t>
      </w:r>
      <w:r w:rsidR="0066649F" w:rsidRPr="007F6548">
        <w:rPr>
          <w:rFonts w:cs="Arial"/>
          <w:color w:val="000000" w:themeColor="text1"/>
          <w:szCs w:val="24"/>
        </w:rPr>
        <w:t xml:space="preserve"> </w:t>
      </w:r>
      <w:r w:rsidR="000457E4" w:rsidRPr="007F6548">
        <w:rPr>
          <w:rFonts w:cs="Arial"/>
          <w:color w:val="000000" w:themeColor="text1"/>
          <w:szCs w:val="24"/>
        </w:rPr>
        <w:t xml:space="preserve">imposes an obligation on all political parties who are registered with </w:t>
      </w:r>
      <w:r w:rsidR="00751C19" w:rsidRPr="007F6548">
        <w:rPr>
          <w:rFonts w:cs="Arial"/>
          <w:color w:val="000000" w:themeColor="text1"/>
          <w:szCs w:val="24"/>
        </w:rPr>
        <w:t>the Electoral</w:t>
      </w:r>
      <w:r w:rsidR="000457E4" w:rsidRPr="007F6548">
        <w:rPr>
          <w:rFonts w:cs="Arial"/>
          <w:color w:val="000000" w:themeColor="text1"/>
          <w:szCs w:val="24"/>
        </w:rPr>
        <w:t xml:space="preserve"> Commission of South Africa </w:t>
      </w:r>
      <w:r w:rsidR="00D66BC1" w:rsidRPr="007F6548">
        <w:rPr>
          <w:rFonts w:cs="Arial"/>
          <w:color w:val="000000" w:themeColor="text1"/>
          <w:szCs w:val="24"/>
        </w:rPr>
        <w:t>(“the Commission”) to</w:t>
      </w:r>
      <w:r w:rsidR="0066649F" w:rsidRPr="007F6548">
        <w:rPr>
          <w:rFonts w:cs="Arial"/>
          <w:color w:val="000000" w:themeColor="text1"/>
          <w:szCs w:val="24"/>
        </w:rPr>
        <w:t xml:space="preserve"> </w:t>
      </w:r>
      <w:r w:rsidR="00747813" w:rsidRPr="007F6548">
        <w:rPr>
          <w:rFonts w:cs="Arial"/>
          <w:color w:val="000000" w:themeColor="text1"/>
          <w:szCs w:val="24"/>
        </w:rPr>
        <w:t>account for their income</w:t>
      </w:r>
      <w:r w:rsidR="00E91669" w:rsidRPr="007F6548">
        <w:rPr>
          <w:rFonts w:cs="Arial"/>
          <w:color w:val="000000" w:themeColor="text1"/>
          <w:szCs w:val="24"/>
        </w:rPr>
        <w:t xml:space="preserve">. They are also required to </w:t>
      </w:r>
      <w:r w:rsidR="0066649F" w:rsidRPr="007F6548">
        <w:rPr>
          <w:rFonts w:cs="Arial"/>
          <w:color w:val="000000" w:themeColor="text1"/>
          <w:szCs w:val="24"/>
        </w:rPr>
        <w:t>disclos</w:t>
      </w:r>
      <w:r w:rsidR="00E91669" w:rsidRPr="007F6548">
        <w:rPr>
          <w:rFonts w:cs="Arial"/>
          <w:color w:val="000000" w:themeColor="text1"/>
          <w:szCs w:val="24"/>
        </w:rPr>
        <w:t xml:space="preserve">e </w:t>
      </w:r>
      <w:r w:rsidR="006652E7" w:rsidRPr="007F6548">
        <w:rPr>
          <w:rFonts w:cs="Arial"/>
          <w:color w:val="000000" w:themeColor="text1"/>
          <w:szCs w:val="24"/>
        </w:rPr>
        <w:t xml:space="preserve">all </w:t>
      </w:r>
      <w:r w:rsidR="0066649F" w:rsidRPr="007F6548">
        <w:rPr>
          <w:rFonts w:cs="Arial"/>
          <w:color w:val="000000" w:themeColor="text1"/>
          <w:szCs w:val="24"/>
        </w:rPr>
        <w:t>donations</w:t>
      </w:r>
      <w:r w:rsidR="006652E7" w:rsidRPr="007F6548">
        <w:rPr>
          <w:rFonts w:cs="Arial"/>
          <w:color w:val="000000" w:themeColor="text1"/>
          <w:szCs w:val="24"/>
        </w:rPr>
        <w:t xml:space="preserve"> received</w:t>
      </w:r>
      <w:r w:rsidR="00E91669" w:rsidRPr="007F6548">
        <w:rPr>
          <w:rFonts w:cs="Arial"/>
          <w:color w:val="000000" w:themeColor="text1"/>
          <w:szCs w:val="24"/>
        </w:rPr>
        <w:t xml:space="preserve"> and account for donation</w:t>
      </w:r>
      <w:r w:rsidR="00CF2782" w:rsidRPr="007F6548">
        <w:rPr>
          <w:rFonts w:cs="Arial"/>
          <w:color w:val="000000" w:themeColor="text1"/>
          <w:szCs w:val="24"/>
        </w:rPr>
        <w:t>s</w:t>
      </w:r>
      <w:r w:rsidR="00E91669" w:rsidRPr="007F6548">
        <w:rPr>
          <w:rFonts w:cs="Arial"/>
          <w:color w:val="000000" w:themeColor="text1"/>
          <w:szCs w:val="24"/>
        </w:rPr>
        <w:t xml:space="preserve"> </w:t>
      </w:r>
      <w:r w:rsidR="00CE14F2" w:rsidRPr="007F6548">
        <w:rPr>
          <w:rFonts w:cs="Arial"/>
          <w:color w:val="000000" w:themeColor="text1"/>
          <w:szCs w:val="24"/>
        </w:rPr>
        <w:t>above the prescribed threshold</w:t>
      </w:r>
      <w:r w:rsidR="006652E7" w:rsidRPr="007F6548">
        <w:rPr>
          <w:rFonts w:cs="Arial"/>
          <w:color w:val="000000" w:themeColor="text1"/>
          <w:szCs w:val="24"/>
        </w:rPr>
        <w:t xml:space="preserve">. </w:t>
      </w:r>
      <w:r w:rsidR="00346755" w:rsidRPr="007F6548">
        <w:rPr>
          <w:rFonts w:cs="Arial"/>
          <w:color w:val="000000" w:themeColor="text1"/>
          <w:szCs w:val="24"/>
        </w:rPr>
        <w:t>Since funders of political parties may influence party policies and decisions, t</w:t>
      </w:r>
      <w:r w:rsidR="006652E7" w:rsidRPr="007F6548">
        <w:rPr>
          <w:rFonts w:cs="Arial"/>
          <w:color w:val="000000" w:themeColor="text1"/>
          <w:szCs w:val="24"/>
        </w:rPr>
        <w:t>h</w:t>
      </w:r>
      <w:r w:rsidR="00CE14F2" w:rsidRPr="007F6548">
        <w:rPr>
          <w:rFonts w:cs="Arial"/>
          <w:color w:val="000000" w:themeColor="text1"/>
          <w:szCs w:val="24"/>
        </w:rPr>
        <w:t>e</w:t>
      </w:r>
      <w:r w:rsidR="006652E7" w:rsidRPr="007F6548">
        <w:rPr>
          <w:rFonts w:cs="Arial"/>
          <w:color w:val="000000" w:themeColor="text1"/>
          <w:szCs w:val="24"/>
        </w:rPr>
        <w:t>s</w:t>
      </w:r>
      <w:r w:rsidR="00CE14F2" w:rsidRPr="007F6548">
        <w:rPr>
          <w:rFonts w:cs="Arial"/>
          <w:color w:val="000000" w:themeColor="text1"/>
          <w:szCs w:val="24"/>
        </w:rPr>
        <w:t>e</w:t>
      </w:r>
      <w:r w:rsidR="006652E7" w:rsidRPr="007F6548">
        <w:rPr>
          <w:rFonts w:cs="Arial"/>
          <w:color w:val="000000" w:themeColor="text1"/>
          <w:szCs w:val="24"/>
        </w:rPr>
        <w:t xml:space="preserve"> </w:t>
      </w:r>
      <w:r w:rsidR="00A876DC" w:rsidRPr="007F6548">
        <w:rPr>
          <w:rFonts w:cs="Arial"/>
          <w:color w:val="000000" w:themeColor="text1"/>
          <w:szCs w:val="24"/>
        </w:rPr>
        <w:t>requirements empower voters to make an informed decision when voting by ensuring access to information regarding persons and entities who fund the party</w:t>
      </w:r>
      <w:r w:rsidR="00B82DE8">
        <w:rPr>
          <w:rFonts w:cs="Arial"/>
          <w:color w:val="000000" w:themeColor="text1"/>
          <w:szCs w:val="24"/>
        </w:rPr>
        <w:t>,</w:t>
      </w:r>
      <w:r w:rsidR="00A876DC" w:rsidRPr="007F6548">
        <w:rPr>
          <w:rFonts w:cs="Arial"/>
          <w:color w:val="000000" w:themeColor="text1"/>
          <w:szCs w:val="24"/>
        </w:rPr>
        <w:t xml:space="preserve"> they intend voting</w:t>
      </w:r>
      <w:r w:rsidR="00B82DE8">
        <w:rPr>
          <w:rFonts w:cs="Arial"/>
          <w:color w:val="000000" w:themeColor="text1"/>
          <w:szCs w:val="24"/>
        </w:rPr>
        <w:t xml:space="preserve"> for</w:t>
      </w:r>
      <w:r w:rsidR="00401A31" w:rsidRPr="007F6548">
        <w:rPr>
          <w:rFonts w:cs="Arial"/>
          <w:color w:val="000000" w:themeColor="text1"/>
          <w:szCs w:val="24"/>
        </w:rPr>
        <w:t>. These</w:t>
      </w:r>
      <w:r w:rsidR="00A876DC" w:rsidRPr="007F6548">
        <w:rPr>
          <w:rFonts w:cs="Arial"/>
          <w:color w:val="000000" w:themeColor="text1"/>
          <w:szCs w:val="24"/>
        </w:rPr>
        <w:t xml:space="preserve"> </w:t>
      </w:r>
      <w:r w:rsidR="006652E7" w:rsidRPr="007F6548">
        <w:rPr>
          <w:rFonts w:cs="Arial"/>
          <w:color w:val="000000" w:themeColor="text1"/>
          <w:szCs w:val="24"/>
        </w:rPr>
        <w:t>requirement</w:t>
      </w:r>
      <w:r w:rsidR="00CE14F2" w:rsidRPr="007F6548">
        <w:rPr>
          <w:rFonts w:cs="Arial"/>
          <w:color w:val="000000" w:themeColor="text1"/>
          <w:szCs w:val="24"/>
        </w:rPr>
        <w:t>s</w:t>
      </w:r>
      <w:r w:rsidR="006652E7" w:rsidRPr="007F6548">
        <w:rPr>
          <w:rFonts w:cs="Arial"/>
          <w:color w:val="000000" w:themeColor="text1"/>
          <w:szCs w:val="24"/>
        </w:rPr>
        <w:t xml:space="preserve"> </w:t>
      </w:r>
      <w:r w:rsidR="00CE14F2" w:rsidRPr="007F6548">
        <w:rPr>
          <w:rFonts w:cs="Arial"/>
          <w:color w:val="000000" w:themeColor="text1"/>
          <w:szCs w:val="24"/>
        </w:rPr>
        <w:t>are</w:t>
      </w:r>
      <w:r w:rsidR="006652E7" w:rsidRPr="007F6548">
        <w:rPr>
          <w:rFonts w:cs="Arial"/>
          <w:color w:val="000000" w:themeColor="text1"/>
          <w:szCs w:val="24"/>
        </w:rPr>
        <w:t xml:space="preserve"> </w:t>
      </w:r>
      <w:r w:rsidR="004941DD" w:rsidRPr="007F6548">
        <w:rPr>
          <w:rFonts w:cs="Arial"/>
          <w:color w:val="000000" w:themeColor="text1"/>
          <w:szCs w:val="24"/>
        </w:rPr>
        <w:t xml:space="preserve">also </w:t>
      </w:r>
      <w:r w:rsidR="006652E7" w:rsidRPr="007F6548">
        <w:rPr>
          <w:rFonts w:cs="Arial"/>
          <w:color w:val="000000" w:themeColor="text1"/>
          <w:szCs w:val="24"/>
        </w:rPr>
        <w:t xml:space="preserve">aimed </w:t>
      </w:r>
      <w:r w:rsidR="005B086B" w:rsidRPr="007F6548">
        <w:rPr>
          <w:rFonts w:cs="Arial"/>
          <w:color w:val="000000" w:themeColor="text1"/>
          <w:szCs w:val="24"/>
        </w:rPr>
        <w:t xml:space="preserve">at </w:t>
      </w:r>
      <w:r w:rsidR="005B086B" w:rsidRPr="007F6548">
        <w:rPr>
          <w:rFonts w:cs="Arial"/>
          <w:color w:val="000000" w:themeColor="text1"/>
          <w:szCs w:val="24"/>
        </w:rPr>
        <w:lastRenderedPageBreak/>
        <w:t>preventing corruption</w:t>
      </w:r>
      <w:r w:rsidR="00546D51" w:rsidRPr="007F6548">
        <w:rPr>
          <w:rFonts w:cs="Arial"/>
          <w:color w:val="000000" w:themeColor="text1"/>
          <w:szCs w:val="24"/>
        </w:rPr>
        <w:t xml:space="preserve"> as funders of political parties may exert pressure on political parties to act in their private interests on</w:t>
      </w:r>
      <w:r w:rsidR="004941DD" w:rsidRPr="007F6548">
        <w:rPr>
          <w:rFonts w:cs="Arial"/>
          <w:color w:val="000000" w:themeColor="text1"/>
          <w:szCs w:val="24"/>
        </w:rPr>
        <w:t xml:space="preserve">ce elected </w:t>
      </w:r>
      <w:r w:rsidR="00DC1EBB" w:rsidRPr="007F6548">
        <w:rPr>
          <w:rFonts w:cs="Arial"/>
          <w:color w:val="000000" w:themeColor="text1"/>
          <w:szCs w:val="24"/>
        </w:rPr>
        <w:t>to</w:t>
      </w:r>
      <w:r w:rsidR="004941DD" w:rsidRPr="007F6548">
        <w:rPr>
          <w:rFonts w:cs="Arial"/>
          <w:color w:val="000000" w:themeColor="text1"/>
          <w:szCs w:val="24"/>
        </w:rPr>
        <w:t xml:space="preserve"> public office.</w:t>
      </w:r>
    </w:p>
    <w:p w14:paraId="7F246A3C" w14:textId="77777777" w:rsidR="00CF2782" w:rsidRPr="007F6548" w:rsidRDefault="006D4B2C" w:rsidP="00053CF4">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592902" w:rsidRPr="007F6548">
        <w:rPr>
          <w:rFonts w:cs="Arial"/>
          <w:color w:val="000000" w:themeColor="text1"/>
          <w:szCs w:val="24"/>
        </w:rPr>
        <w:t>2</w:t>
      </w:r>
      <w:r w:rsidRPr="007F6548">
        <w:rPr>
          <w:rFonts w:cs="Arial"/>
          <w:color w:val="000000" w:themeColor="text1"/>
          <w:szCs w:val="24"/>
        </w:rPr>
        <w:t>]</w:t>
      </w:r>
      <w:r w:rsidRPr="007F6548">
        <w:rPr>
          <w:rFonts w:cs="Arial"/>
          <w:color w:val="000000" w:themeColor="text1"/>
          <w:szCs w:val="24"/>
        </w:rPr>
        <w:tab/>
        <w:t>Section 12 of the Funding Act, as read with Regulation 10</w:t>
      </w:r>
      <w:r w:rsidR="0094035D" w:rsidRPr="007F6548">
        <w:rPr>
          <w:rFonts w:cs="Arial"/>
          <w:color w:val="000000" w:themeColor="text1"/>
          <w:szCs w:val="24"/>
        </w:rPr>
        <w:t xml:space="preserve"> of the Regulations issued in terms of the Funding Act</w:t>
      </w:r>
      <w:r w:rsidR="002478C0" w:rsidRPr="007F6548">
        <w:rPr>
          <w:rStyle w:val="FootnoteReference"/>
          <w:rFonts w:cs="Arial"/>
          <w:color w:val="000000" w:themeColor="text1"/>
          <w:szCs w:val="24"/>
        </w:rPr>
        <w:footnoteReference w:id="2"/>
      </w:r>
      <w:r w:rsidR="002478C0" w:rsidRPr="007F6548">
        <w:rPr>
          <w:rFonts w:cs="Arial"/>
          <w:color w:val="000000" w:themeColor="text1"/>
          <w:szCs w:val="24"/>
        </w:rPr>
        <w:t xml:space="preserve"> (“Regulations”)</w:t>
      </w:r>
      <w:r w:rsidRPr="007F6548">
        <w:rPr>
          <w:rFonts w:cs="Arial"/>
          <w:color w:val="000000" w:themeColor="text1"/>
          <w:szCs w:val="24"/>
        </w:rPr>
        <w:t>, requires political parties to keep proper books of account. Their books must be audited by an auditor registered and practicing in terms of the Auditing Professions Act</w:t>
      </w:r>
      <w:r w:rsidRPr="007F6548">
        <w:rPr>
          <w:rStyle w:val="FootnoteReference"/>
          <w:rFonts w:cs="Arial"/>
          <w:color w:val="000000" w:themeColor="text1"/>
          <w:szCs w:val="24"/>
        </w:rPr>
        <w:footnoteReference w:id="3"/>
      </w:r>
      <w:r w:rsidRPr="007F6548">
        <w:rPr>
          <w:rFonts w:cs="Arial"/>
          <w:color w:val="000000" w:themeColor="text1"/>
          <w:szCs w:val="24"/>
        </w:rPr>
        <w:t xml:space="preserve"> (“Auditing Act”). The</w:t>
      </w:r>
      <w:r w:rsidR="00FB10B0" w:rsidRPr="007F6548">
        <w:rPr>
          <w:rFonts w:cs="Arial"/>
          <w:color w:val="000000" w:themeColor="text1"/>
          <w:szCs w:val="24"/>
        </w:rPr>
        <w:t>y</w:t>
      </w:r>
      <w:r w:rsidRPr="007F6548">
        <w:rPr>
          <w:rFonts w:cs="Arial"/>
          <w:color w:val="000000" w:themeColor="text1"/>
          <w:szCs w:val="24"/>
        </w:rPr>
        <w:t xml:space="preserve"> are required to provide the Commission with the auditor’s opinion together with </w:t>
      </w:r>
      <w:r w:rsidR="00EA199B" w:rsidRPr="007F6548">
        <w:rPr>
          <w:rFonts w:cs="Arial"/>
          <w:color w:val="000000" w:themeColor="text1"/>
          <w:szCs w:val="24"/>
        </w:rPr>
        <w:t>A</w:t>
      </w:r>
      <w:r w:rsidR="00820C16" w:rsidRPr="007F6548">
        <w:rPr>
          <w:rFonts w:cs="Arial"/>
          <w:color w:val="000000" w:themeColor="text1"/>
          <w:szCs w:val="24"/>
        </w:rPr>
        <w:t xml:space="preserve">udited </w:t>
      </w:r>
      <w:r w:rsidR="00EA199B" w:rsidRPr="007F6548">
        <w:rPr>
          <w:rFonts w:cs="Arial"/>
          <w:color w:val="000000" w:themeColor="text1"/>
          <w:szCs w:val="24"/>
        </w:rPr>
        <w:t>F</w:t>
      </w:r>
      <w:r w:rsidR="00820C16" w:rsidRPr="007F6548">
        <w:rPr>
          <w:rFonts w:cs="Arial"/>
          <w:color w:val="000000" w:themeColor="text1"/>
          <w:szCs w:val="24"/>
        </w:rPr>
        <w:t xml:space="preserve">inancial </w:t>
      </w:r>
      <w:r w:rsidR="00EA199B" w:rsidRPr="007F6548">
        <w:rPr>
          <w:rFonts w:cs="Arial"/>
          <w:color w:val="000000" w:themeColor="text1"/>
          <w:szCs w:val="24"/>
        </w:rPr>
        <w:t>S</w:t>
      </w:r>
      <w:r w:rsidR="00820C16" w:rsidRPr="007F6548">
        <w:rPr>
          <w:rFonts w:cs="Arial"/>
          <w:color w:val="000000" w:themeColor="text1"/>
          <w:szCs w:val="24"/>
        </w:rPr>
        <w:t>tatements (“AFS”)</w:t>
      </w:r>
      <w:r w:rsidR="00EA199B" w:rsidRPr="007F6548">
        <w:rPr>
          <w:rFonts w:cs="Arial"/>
          <w:color w:val="000000" w:themeColor="text1"/>
          <w:szCs w:val="24"/>
        </w:rPr>
        <w:t xml:space="preserve"> </w:t>
      </w:r>
      <w:r w:rsidRPr="007F6548">
        <w:rPr>
          <w:rFonts w:cs="Arial"/>
          <w:color w:val="000000" w:themeColor="text1"/>
          <w:szCs w:val="24"/>
        </w:rPr>
        <w:t xml:space="preserve">within six months of the financial year end. </w:t>
      </w:r>
    </w:p>
    <w:p w14:paraId="11E727D9" w14:textId="17E90E49" w:rsidR="00543E47" w:rsidRPr="007F6548" w:rsidRDefault="00CF2782" w:rsidP="00053CF4">
      <w:pPr>
        <w:pStyle w:val="WLGLevel1"/>
        <w:numPr>
          <w:ilvl w:val="0"/>
          <w:numId w:val="0"/>
        </w:numPr>
        <w:spacing w:line="360" w:lineRule="auto"/>
        <w:rPr>
          <w:rFonts w:cs="Arial"/>
          <w:color w:val="000000" w:themeColor="text1"/>
          <w:szCs w:val="24"/>
        </w:rPr>
      </w:pPr>
      <w:r w:rsidRPr="007F6548">
        <w:rPr>
          <w:rFonts w:cs="Arial"/>
          <w:color w:val="000000" w:themeColor="text1"/>
          <w:szCs w:val="24"/>
        </w:rPr>
        <w:t>[3]</w:t>
      </w:r>
      <w:r w:rsidRPr="007F6548">
        <w:rPr>
          <w:rFonts w:cs="Arial"/>
          <w:color w:val="000000" w:themeColor="text1"/>
          <w:szCs w:val="24"/>
        </w:rPr>
        <w:tab/>
      </w:r>
      <w:r w:rsidR="002478C0" w:rsidRPr="007F6548">
        <w:rPr>
          <w:rFonts w:cs="Arial"/>
          <w:color w:val="000000" w:themeColor="text1"/>
          <w:szCs w:val="24"/>
        </w:rPr>
        <w:t xml:space="preserve">Unless otherwise specified, in this judgment, all references to statutory </w:t>
      </w:r>
      <w:r w:rsidR="00B74B75" w:rsidRPr="007F6548">
        <w:rPr>
          <w:rFonts w:cs="Arial"/>
          <w:color w:val="000000" w:themeColor="text1"/>
          <w:szCs w:val="24"/>
        </w:rPr>
        <w:t xml:space="preserve">and regulatory </w:t>
      </w:r>
      <w:r w:rsidR="002478C0" w:rsidRPr="007F6548">
        <w:rPr>
          <w:rFonts w:cs="Arial"/>
          <w:color w:val="000000" w:themeColor="text1"/>
          <w:szCs w:val="24"/>
        </w:rPr>
        <w:t>provisions are to this Act</w:t>
      </w:r>
      <w:r w:rsidR="00B74B75" w:rsidRPr="007F6548">
        <w:rPr>
          <w:rFonts w:cs="Arial"/>
          <w:color w:val="000000" w:themeColor="text1"/>
          <w:szCs w:val="24"/>
        </w:rPr>
        <w:t xml:space="preserve"> and Regulations</w:t>
      </w:r>
      <w:r w:rsidR="002478C0" w:rsidRPr="007F6548">
        <w:rPr>
          <w:rFonts w:cs="Arial"/>
          <w:color w:val="000000" w:themeColor="text1"/>
          <w:szCs w:val="24"/>
        </w:rPr>
        <w:t>.</w:t>
      </w:r>
    </w:p>
    <w:p w14:paraId="43311646" w14:textId="7BFAC53D" w:rsidR="00365779" w:rsidRPr="007F6548" w:rsidRDefault="006D4B2C" w:rsidP="00053CF4">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2434E3" w:rsidRPr="007F6548">
        <w:rPr>
          <w:rFonts w:cs="Arial"/>
          <w:color w:val="000000" w:themeColor="text1"/>
          <w:szCs w:val="24"/>
        </w:rPr>
        <w:t>4</w:t>
      </w:r>
      <w:r w:rsidRPr="007F6548">
        <w:rPr>
          <w:rFonts w:cs="Arial"/>
          <w:color w:val="000000" w:themeColor="text1"/>
          <w:szCs w:val="24"/>
        </w:rPr>
        <w:t>]</w:t>
      </w:r>
      <w:r w:rsidRPr="007F6548">
        <w:rPr>
          <w:rFonts w:cs="Arial"/>
          <w:color w:val="000000" w:themeColor="text1"/>
          <w:szCs w:val="24"/>
        </w:rPr>
        <w:tab/>
      </w:r>
      <w:r w:rsidR="00365779" w:rsidRPr="007F6548">
        <w:rPr>
          <w:rFonts w:cs="Arial"/>
          <w:color w:val="000000" w:themeColor="text1"/>
          <w:szCs w:val="24"/>
        </w:rPr>
        <w:t xml:space="preserve">The </w:t>
      </w:r>
      <w:r w:rsidR="00766549" w:rsidRPr="007F6548">
        <w:rPr>
          <w:rFonts w:cs="Arial"/>
          <w:color w:val="000000" w:themeColor="text1"/>
          <w:szCs w:val="24"/>
        </w:rPr>
        <w:t>Commission a</w:t>
      </w:r>
      <w:r w:rsidR="00365779" w:rsidRPr="007F6548">
        <w:rPr>
          <w:rFonts w:cs="Arial"/>
          <w:color w:val="000000" w:themeColor="text1"/>
          <w:szCs w:val="24"/>
        </w:rPr>
        <w:t>nd its Chief Electoral Officer (“CEO”) as applicants</w:t>
      </w:r>
      <w:r w:rsidR="00766549" w:rsidRPr="007F6548">
        <w:rPr>
          <w:rFonts w:cs="Arial"/>
          <w:color w:val="000000" w:themeColor="text1"/>
          <w:szCs w:val="24"/>
        </w:rPr>
        <w:t>,</w:t>
      </w:r>
      <w:r w:rsidR="00365779" w:rsidRPr="007F6548">
        <w:rPr>
          <w:rFonts w:cs="Arial"/>
          <w:color w:val="000000" w:themeColor="text1"/>
          <w:szCs w:val="24"/>
        </w:rPr>
        <w:t xml:space="preserve"> seek various orders in terms of s 18(1) read with s 18(2), imposing administrative fines on the respondents for failure to comply</w:t>
      </w:r>
      <w:r w:rsidR="00D26AFB">
        <w:rPr>
          <w:rFonts w:cs="Arial"/>
          <w:color w:val="000000" w:themeColor="text1"/>
          <w:szCs w:val="24"/>
        </w:rPr>
        <w:t xml:space="preserve"> with</w:t>
      </w:r>
      <w:r w:rsidR="00365779" w:rsidRPr="007F6548">
        <w:rPr>
          <w:rFonts w:cs="Arial"/>
          <w:color w:val="000000" w:themeColor="text1"/>
          <w:szCs w:val="24"/>
        </w:rPr>
        <w:t xml:space="preserve"> s 12 read with Regulation 10. </w:t>
      </w:r>
      <w:r w:rsidRPr="007F6548">
        <w:rPr>
          <w:rFonts w:cs="Arial"/>
          <w:color w:val="000000" w:themeColor="text1"/>
          <w:szCs w:val="24"/>
        </w:rPr>
        <w:t>The</w:t>
      </w:r>
      <w:r w:rsidR="00365779" w:rsidRPr="007F6548">
        <w:rPr>
          <w:rFonts w:cs="Arial"/>
          <w:color w:val="000000" w:themeColor="text1"/>
          <w:szCs w:val="24"/>
        </w:rPr>
        <w:t xml:space="preserve"> applicants</w:t>
      </w:r>
      <w:r w:rsidRPr="007F6548">
        <w:rPr>
          <w:rFonts w:cs="Arial"/>
          <w:color w:val="000000" w:themeColor="text1"/>
          <w:szCs w:val="24"/>
        </w:rPr>
        <w:t xml:space="preserve"> allege that the respondents have all failed to </w:t>
      </w:r>
      <w:r w:rsidR="00BA44BD" w:rsidRPr="007F6548">
        <w:rPr>
          <w:rFonts w:cs="Arial"/>
          <w:color w:val="000000" w:themeColor="text1"/>
          <w:szCs w:val="24"/>
        </w:rPr>
        <w:t>submit their AFS either timeously</w:t>
      </w:r>
      <w:r w:rsidR="004D21E6" w:rsidRPr="007F6548">
        <w:rPr>
          <w:rFonts w:cs="Arial"/>
          <w:color w:val="000000" w:themeColor="text1"/>
          <w:szCs w:val="24"/>
        </w:rPr>
        <w:t xml:space="preserve"> or at all</w:t>
      </w:r>
      <w:r w:rsidRPr="007F6548">
        <w:rPr>
          <w:rFonts w:cs="Arial"/>
          <w:color w:val="000000" w:themeColor="text1"/>
          <w:szCs w:val="24"/>
        </w:rPr>
        <w:t>, and/or</w:t>
      </w:r>
      <w:r w:rsidR="00543E47" w:rsidRPr="007F6548">
        <w:rPr>
          <w:rFonts w:cs="Arial"/>
          <w:color w:val="000000" w:themeColor="text1"/>
          <w:szCs w:val="24"/>
        </w:rPr>
        <w:t xml:space="preserve"> </w:t>
      </w:r>
      <w:r w:rsidRPr="007F6548">
        <w:rPr>
          <w:rFonts w:cs="Arial"/>
          <w:color w:val="000000" w:themeColor="text1"/>
          <w:szCs w:val="24"/>
        </w:rPr>
        <w:t xml:space="preserve">the auditor’s opinion as prescribed </w:t>
      </w:r>
      <w:r w:rsidR="00B51368" w:rsidRPr="007F6548">
        <w:rPr>
          <w:rFonts w:cs="Arial"/>
          <w:color w:val="000000" w:themeColor="text1"/>
          <w:szCs w:val="24"/>
        </w:rPr>
        <w:t>in terms of s 12 read with Regulation 10</w:t>
      </w:r>
      <w:r w:rsidRPr="007F6548">
        <w:rPr>
          <w:rFonts w:cs="Arial"/>
          <w:color w:val="000000" w:themeColor="text1"/>
          <w:szCs w:val="24"/>
        </w:rPr>
        <w:t>, and/or</w:t>
      </w:r>
      <w:r w:rsidR="00543E47" w:rsidRPr="007F6548">
        <w:rPr>
          <w:rFonts w:cs="Arial"/>
          <w:color w:val="000000" w:themeColor="text1"/>
          <w:szCs w:val="24"/>
        </w:rPr>
        <w:t xml:space="preserve"> </w:t>
      </w:r>
      <w:r w:rsidRPr="007F6548">
        <w:rPr>
          <w:rFonts w:cs="Arial"/>
          <w:color w:val="000000" w:themeColor="text1"/>
          <w:szCs w:val="24"/>
        </w:rPr>
        <w:t xml:space="preserve">discharge their other </w:t>
      </w:r>
      <w:r w:rsidR="00E879E3" w:rsidRPr="007F6548">
        <w:rPr>
          <w:rFonts w:cs="Arial"/>
          <w:color w:val="000000" w:themeColor="text1"/>
          <w:szCs w:val="24"/>
        </w:rPr>
        <w:t xml:space="preserve">prescribed </w:t>
      </w:r>
      <w:r w:rsidRPr="007F6548">
        <w:rPr>
          <w:rFonts w:cs="Arial"/>
          <w:color w:val="000000" w:themeColor="text1"/>
          <w:szCs w:val="24"/>
        </w:rPr>
        <w:t>peremptory obligations</w:t>
      </w:r>
      <w:r w:rsidR="00E879E3" w:rsidRPr="007F6548">
        <w:rPr>
          <w:rFonts w:cs="Arial"/>
          <w:color w:val="000000" w:themeColor="text1"/>
          <w:szCs w:val="24"/>
        </w:rPr>
        <w:t xml:space="preserve">. </w:t>
      </w:r>
      <w:r w:rsidR="00543E47" w:rsidRPr="007F6548">
        <w:rPr>
          <w:rFonts w:cs="Arial"/>
          <w:color w:val="000000" w:themeColor="text1"/>
          <w:szCs w:val="24"/>
        </w:rPr>
        <w:t xml:space="preserve"> </w:t>
      </w:r>
      <w:r w:rsidR="007F096B">
        <w:rPr>
          <w:rFonts w:cs="Arial"/>
          <w:color w:val="000000" w:themeColor="text1"/>
          <w:szCs w:val="24"/>
        </w:rPr>
        <w:t xml:space="preserve">For convenience, I interchangeably refer to the applicants as such or as the Commission as dictated by the context. </w:t>
      </w:r>
    </w:p>
    <w:p w14:paraId="07FF8ABF" w14:textId="645B47A8" w:rsidR="00E8220D" w:rsidRPr="007F6548" w:rsidRDefault="006A3F9B" w:rsidP="00E8220D">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101E78" w:rsidRPr="007F6548">
        <w:rPr>
          <w:rFonts w:cs="Arial"/>
          <w:color w:val="000000" w:themeColor="text1"/>
          <w:szCs w:val="24"/>
        </w:rPr>
        <w:t>5</w:t>
      </w:r>
      <w:r w:rsidRPr="007F6548">
        <w:rPr>
          <w:rFonts w:cs="Arial"/>
          <w:color w:val="000000" w:themeColor="text1"/>
          <w:szCs w:val="24"/>
        </w:rPr>
        <w:t>]</w:t>
      </w:r>
      <w:r w:rsidR="000E6FC8">
        <w:rPr>
          <w:rFonts w:cs="Arial"/>
          <w:color w:val="000000" w:themeColor="text1"/>
          <w:szCs w:val="24"/>
        </w:rPr>
        <w:tab/>
      </w:r>
      <w:r w:rsidR="00595371" w:rsidRPr="007F6548">
        <w:rPr>
          <w:rFonts w:cs="Arial"/>
          <w:color w:val="000000" w:themeColor="text1"/>
          <w:szCs w:val="24"/>
        </w:rPr>
        <w:t xml:space="preserve">The </w:t>
      </w:r>
      <w:r w:rsidR="0050242C" w:rsidRPr="007F6548">
        <w:rPr>
          <w:rFonts w:cs="Arial"/>
          <w:color w:val="000000" w:themeColor="text1"/>
          <w:szCs w:val="24"/>
        </w:rPr>
        <w:t>1</w:t>
      </w:r>
      <w:r w:rsidR="0050242C" w:rsidRPr="007F6548">
        <w:rPr>
          <w:rFonts w:cs="Arial"/>
          <w:color w:val="000000" w:themeColor="text1"/>
          <w:szCs w:val="24"/>
          <w:vertAlign w:val="superscript"/>
        </w:rPr>
        <w:t>st</w:t>
      </w:r>
      <w:r w:rsidR="0050242C" w:rsidRPr="007F6548">
        <w:rPr>
          <w:rFonts w:cs="Arial"/>
          <w:color w:val="000000" w:themeColor="text1"/>
          <w:szCs w:val="24"/>
        </w:rPr>
        <w:t xml:space="preserve"> </w:t>
      </w:r>
      <w:r w:rsidR="00595371" w:rsidRPr="007F6548">
        <w:rPr>
          <w:rFonts w:cs="Arial"/>
          <w:color w:val="000000" w:themeColor="text1"/>
          <w:szCs w:val="24"/>
        </w:rPr>
        <w:t xml:space="preserve">to </w:t>
      </w:r>
      <w:r w:rsidR="0050242C" w:rsidRPr="007F6548">
        <w:rPr>
          <w:rFonts w:cs="Arial"/>
          <w:color w:val="000000" w:themeColor="text1"/>
          <w:szCs w:val="24"/>
        </w:rPr>
        <w:t>6</w:t>
      </w:r>
      <w:r w:rsidR="0050242C" w:rsidRPr="007F6548">
        <w:rPr>
          <w:rFonts w:cs="Arial"/>
          <w:color w:val="000000" w:themeColor="text1"/>
          <w:szCs w:val="24"/>
          <w:vertAlign w:val="superscript"/>
        </w:rPr>
        <w:t>th</w:t>
      </w:r>
      <w:r w:rsidR="0050242C" w:rsidRPr="007F6548">
        <w:rPr>
          <w:rFonts w:cs="Arial"/>
          <w:color w:val="000000" w:themeColor="text1"/>
          <w:szCs w:val="24"/>
        </w:rPr>
        <w:t xml:space="preserve"> </w:t>
      </w:r>
      <w:r w:rsidR="00595371" w:rsidRPr="007F6548">
        <w:rPr>
          <w:rFonts w:cs="Arial"/>
          <w:color w:val="000000" w:themeColor="text1"/>
          <w:szCs w:val="24"/>
        </w:rPr>
        <w:t>respondent</w:t>
      </w:r>
      <w:r w:rsidR="0099714C">
        <w:rPr>
          <w:rFonts w:cs="Arial"/>
          <w:color w:val="000000" w:themeColor="text1"/>
          <w:szCs w:val="24"/>
        </w:rPr>
        <w:t>s</w:t>
      </w:r>
      <w:r w:rsidR="00595371" w:rsidRPr="007F6548">
        <w:rPr>
          <w:rFonts w:cs="Arial"/>
          <w:color w:val="000000" w:themeColor="text1"/>
          <w:szCs w:val="24"/>
        </w:rPr>
        <w:t xml:space="preserve"> </w:t>
      </w:r>
      <w:r w:rsidR="00F64821" w:rsidRPr="007F6548">
        <w:rPr>
          <w:rFonts w:cs="Arial"/>
          <w:color w:val="000000" w:themeColor="text1"/>
          <w:szCs w:val="24"/>
        </w:rPr>
        <w:t>are registered political parties. They also enjoy representation in the national and/or provincial parliaments</w:t>
      </w:r>
      <w:r w:rsidR="00AC7CA7" w:rsidRPr="007F6548">
        <w:rPr>
          <w:rFonts w:cs="Arial"/>
          <w:color w:val="000000" w:themeColor="text1"/>
          <w:szCs w:val="24"/>
        </w:rPr>
        <w:t>.</w:t>
      </w:r>
      <w:r w:rsidR="00827B0D" w:rsidRPr="007F6548">
        <w:rPr>
          <w:rFonts w:cs="Arial"/>
          <w:color w:val="000000" w:themeColor="text1"/>
          <w:szCs w:val="24"/>
        </w:rPr>
        <w:t xml:space="preserve"> </w:t>
      </w:r>
      <w:r w:rsidR="00E8220D" w:rsidRPr="007F6548">
        <w:rPr>
          <w:rFonts w:cs="Arial"/>
          <w:color w:val="000000" w:themeColor="text1"/>
          <w:szCs w:val="24"/>
        </w:rPr>
        <w:t>None of these respondents have filed opposing papers.</w:t>
      </w:r>
    </w:p>
    <w:p w14:paraId="0B0957CB" w14:textId="1CD8D638" w:rsidR="00FB3B31" w:rsidRPr="007F6548" w:rsidRDefault="00E8220D" w:rsidP="00875004">
      <w:pPr>
        <w:pStyle w:val="WLGLevel1"/>
        <w:numPr>
          <w:ilvl w:val="0"/>
          <w:numId w:val="0"/>
        </w:numPr>
        <w:spacing w:line="360" w:lineRule="auto"/>
        <w:rPr>
          <w:rFonts w:cs="Arial"/>
          <w:color w:val="000000" w:themeColor="text1"/>
          <w:szCs w:val="24"/>
        </w:rPr>
      </w:pPr>
      <w:r w:rsidRPr="007F6548">
        <w:rPr>
          <w:rFonts w:cs="Arial"/>
          <w:color w:val="000000" w:themeColor="text1"/>
          <w:szCs w:val="24"/>
        </w:rPr>
        <w:t>[6]</w:t>
      </w:r>
      <w:r w:rsidRPr="007F6548">
        <w:rPr>
          <w:rFonts w:cs="Arial"/>
          <w:color w:val="000000" w:themeColor="text1"/>
          <w:szCs w:val="24"/>
        </w:rPr>
        <w:tab/>
      </w:r>
      <w:r w:rsidR="00526DA6" w:rsidRPr="007F6548">
        <w:rPr>
          <w:rFonts w:cs="Arial"/>
          <w:color w:val="000000" w:themeColor="text1"/>
          <w:szCs w:val="24"/>
        </w:rPr>
        <w:t>In their pa</w:t>
      </w:r>
      <w:r w:rsidR="00101E78" w:rsidRPr="007F6548">
        <w:rPr>
          <w:rFonts w:cs="Arial"/>
          <w:color w:val="000000" w:themeColor="text1"/>
          <w:szCs w:val="24"/>
        </w:rPr>
        <w:t>pers</w:t>
      </w:r>
      <w:r w:rsidR="00526DA6" w:rsidRPr="007F6548">
        <w:rPr>
          <w:rFonts w:cs="Arial"/>
          <w:color w:val="000000" w:themeColor="text1"/>
          <w:szCs w:val="24"/>
        </w:rPr>
        <w:t>, when necessary to distinguish between these respondents and the remaining ones, the applicants referred to them as registered political parties or re</w:t>
      </w:r>
      <w:r w:rsidR="00FB3B31" w:rsidRPr="007F6548">
        <w:rPr>
          <w:rFonts w:cs="Arial"/>
          <w:color w:val="000000" w:themeColor="text1"/>
          <w:szCs w:val="24"/>
        </w:rPr>
        <w:t xml:space="preserve">spondents. </w:t>
      </w:r>
      <w:r w:rsidR="00443FDC" w:rsidRPr="007F6548">
        <w:rPr>
          <w:rFonts w:cs="Arial"/>
          <w:color w:val="000000" w:themeColor="text1"/>
          <w:szCs w:val="24"/>
        </w:rPr>
        <w:t xml:space="preserve">In this judgment, </w:t>
      </w:r>
      <w:r w:rsidR="00FB3B31" w:rsidRPr="007F6548">
        <w:rPr>
          <w:rFonts w:cs="Arial"/>
          <w:color w:val="000000" w:themeColor="text1"/>
          <w:szCs w:val="24"/>
        </w:rPr>
        <w:t>I adopt the same nomenclature whe</w:t>
      </w:r>
      <w:r w:rsidR="001D79AE">
        <w:rPr>
          <w:rFonts w:cs="Arial"/>
          <w:color w:val="000000" w:themeColor="text1"/>
          <w:szCs w:val="24"/>
        </w:rPr>
        <w:t>re</w:t>
      </w:r>
      <w:r w:rsidR="00FB3B31" w:rsidRPr="007F6548">
        <w:rPr>
          <w:rFonts w:cs="Arial"/>
          <w:color w:val="000000" w:themeColor="text1"/>
          <w:szCs w:val="24"/>
        </w:rPr>
        <w:t xml:space="preserve"> necessary. </w:t>
      </w:r>
    </w:p>
    <w:p w14:paraId="23CA769D" w14:textId="500F1280" w:rsidR="006670F6" w:rsidRPr="007F6548" w:rsidRDefault="00FB3B31" w:rsidP="00875004">
      <w:pPr>
        <w:pStyle w:val="WLGLevel1"/>
        <w:numPr>
          <w:ilvl w:val="0"/>
          <w:numId w:val="0"/>
        </w:numPr>
        <w:spacing w:line="360" w:lineRule="auto"/>
        <w:rPr>
          <w:rFonts w:cs="Arial"/>
          <w:color w:val="000000" w:themeColor="text1"/>
          <w:szCs w:val="24"/>
        </w:rPr>
      </w:pPr>
      <w:r w:rsidRPr="007F6548">
        <w:rPr>
          <w:rFonts w:cs="Arial"/>
          <w:color w:val="000000" w:themeColor="text1"/>
          <w:szCs w:val="24"/>
        </w:rPr>
        <w:lastRenderedPageBreak/>
        <w:t>[</w:t>
      </w:r>
      <w:r w:rsidR="004B2533" w:rsidRPr="007F6548">
        <w:rPr>
          <w:rFonts w:cs="Arial"/>
          <w:color w:val="000000" w:themeColor="text1"/>
          <w:szCs w:val="24"/>
        </w:rPr>
        <w:t>7</w:t>
      </w:r>
      <w:r w:rsidRPr="007F6548">
        <w:rPr>
          <w:rFonts w:cs="Arial"/>
          <w:color w:val="000000" w:themeColor="text1"/>
          <w:szCs w:val="24"/>
        </w:rPr>
        <w:t>]</w:t>
      </w:r>
      <w:r w:rsidRPr="007F6548">
        <w:rPr>
          <w:rFonts w:cs="Arial"/>
          <w:color w:val="000000" w:themeColor="text1"/>
          <w:szCs w:val="24"/>
        </w:rPr>
        <w:tab/>
        <w:t xml:space="preserve">These respondents </w:t>
      </w:r>
      <w:r w:rsidR="00875004" w:rsidRPr="007F6548">
        <w:rPr>
          <w:rFonts w:cs="Arial"/>
          <w:color w:val="000000" w:themeColor="text1"/>
          <w:szCs w:val="24"/>
        </w:rPr>
        <w:t xml:space="preserve">enjoy certain rights </w:t>
      </w:r>
      <w:r w:rsidR="00A051D2" w:rsidRPr="007F6548">
        <w:rPr>
          <w:rFonts w:cs="Arial"/>
          <w:color w:val="000000" w:themeColor="text1"/>
          <w:szCs w:val="24"/>
        </w:rPr>
        <w:t xml:space="preserve">and benefits </w:t>
      </w:r>
      <w:r w:rsidR="00875004" w:rsidRPr="007F6548">
        <w:rPr>
          <w:rFonts w:cs="Arial"/>
          <w:color w:val="000000" w:themeColor="text1"/>
          <w:szCs w:val="24"/>
        </w:rPr>
        <w:t xml:space="preserve">in terms of the Funding Act. </w:t>
      </w:r>
      <w:r w:rsidR="0019326E" w:rsidRPr="007F6548">
        <w:rPr>
          <w:rFonts w:cs="Arial"/>
          <w:color w:val="000000" w:themeColor="text1"/>
          <w:szCs w:val="24"/>
        </w:rPr>
        <w:t xml:space="preserve">Their rights </w:t>
      </w:r>
      <w:r w:rsidR="00875004" w:rsidRPr="007F6548">
        <w:rPr>
          <w:rFonts w:cs="Arial"/>
          <w:color w:val="000000" w:themeColor="text1"/>
          <w:szCs w:val="24"/>
        </w:rPr>
        <w:t>include an allocation of funds by the Commission commensurate with their representation in Parliament</w:t>
      </w:r>
      <w:r w:rsidR="005F4F67" w:rsidRPr="007F6548">
        <w:rPr>
          <w:rFonts w:cs="Arial"/>
          <w:color w:val="000000" w:themeColor="text1"/>
          <w:szCs w:val="24"/>
        </w:rPr>
        <w:t>. T</w:t>
      </w:r>
      <w:r w:rsidR="00FC7582" w:rsidRPr="007F6548">
        <w:rPr>
          <w:rFonts w:cs="Arial"/>
          <w:color w:val="000000" w:themeColor="text1"/>
          <w:szCs w:val="24"/>
        </w:rPr>
        <w:t>his application does not turn on the</w:t>
      </w:r>
      <w:r w:rsidR="00A051D2" w:rsidRPr="007F6548">
        <w:rPr>
          <w:rFonts w:cs="Arial"/>
          <w:color w:val="000000" w:themeColor="text1"/>
          <w:szCs w:val="24"/>
        </w:rPr>
        <w:t>ir rights</w:t>
      </w:r>
      <w:r w:rsidR="00236959">
        <w:rPr>
          <w:rFonts w:cs="Arial"/>
          <w:color w:val="000000" w:themeColor="text1"/>
          <w:szCs w:val="24"/>
        </w:rPr>
        <w:t xml:space="preserve"> and</w:t>
      </w:r>
      <w:r w:rsidR="00FC7582" w:rsidRPr="007F6548">
        <w:rPr>
          <w:rFonts w:cs="Arial"/>
          <w:color w:val="000000" w:themeColor="text1"/>
          <w:szCs w:val="24"/>
        </w:rPr>
        <w:t xml:space="preserve"> benefits under </w:t>
      </w:r>
      <w:r w:rsidR="002A6BC7">
        <w:rPr>
          <w:rFonts w:cs="Arial"/>
          <w:color w:val="000000" w:themeColor="text1"/>
          <w:szCs w:val="24"/>
        </w:rPr>
        <w:t>the Funding Act</w:t>
      </w:r>
      <w:r w:rsidR="00FC7582" w:rsidRPr="007F6548">
        <w:rPr>
          <w:rFonts w:cs="Arial"/>
          <w:color w:val="000000" w:themeColor="text1"/>
          <w:szCs w:val="24"/>
        </w:rPr>
        <w:t xml:space="preserve">. </w:t>
      </w:r>
      <w:r w:rsidR="006B0D90" w:rsidRPr="007F6548">
        <w:rPr>
          <w:rFonts w:cs="Arial"/>
          <w:color w:val="000000" w:themeColor="text1"/>
          <w:szCs w:val="24"/>
        </w:rPr>
        <w:t xml:space="preserve">It is for that reason that I do not </w:t>
      </w:r>
      <w:r w:rsidR="00FC7582" w:rsidRPr="007F6548">
        <w:rPr>
          <w:rFonts w:cs="Arial"/>
          <w:color w:val="000000" w:themeColor="text1"/>
          <w:szCs w:val="24"/>
        </w:rPr>
        <w:t>delv</w:t>
      </w:r>
      <w:r w:rsidR="006B0D90" w:rsidRPr="007F6548">
        <w:rPr>
          <w:rFonts w:cs="Arial"/>
          <w:color w:val="000000" w:themeColor="text1"/>
          <w:szCs w:val="24"/>
        </w:rPr>
        <w:t xml:space="preserve">e </w:t>
      </w:r>
      <w:r w:rsidR="00FC7582" w:rsidRPr="007F6548">
        <w:rPr>
          <w:rFonts w:cs="Arial"/>
          <w:color w:val="000000" w:themeColor="text1"/>
          <w:szCs w:val="24"/>
        </w:rPr>
        <w:t>on th</w:t>
      </w:r>
      <w:r w:rsidR="0023270E" w:rsidRPr="007F6548">
        <w:rPr>
          <w:rFonts w:cs="Arial"/>
          <w:color w:val="000000" w:themeColor="text1"/>
          <w:szCs w:val="24"/>
        </w:rPr>
        <w:t xml:space="preserve">e relevant </w:t>
      </w:r>
      <w:r w:rsidR="0098619B" w:rsidRPr="007F6548">
        <w:rPr>
          <w:rFonts w:cs="Arial"/>
          <w:color w:val="000000" w:themeColor="text1"/>
          <w:szCs w:val="24"/>
        </w:rPr>
        <w:t xml:space="preserve">provisions </w:t>
      </w:r>
      <w:r w:rsidR="00B84BF6" w:rsidRPr="007F6548">
        <w:rPr>
          <w:rFonts w:cs="Arial"/>
          <w:color w:val="000000" w:themeColor="text1"/>
          <w:szCs w:val="24"/>
        </w:rPr>
        <w:t xml:space="preserve">of </w:t>
      </w:r>
      <w:r w:rsidR="002A6BC7">
        <w:rPr>
          <w:rFonts w:cs="Arial"/>
          <w:color w:val="000000" w:themeColor="text1"/>
          <w:szCs w:val="24"/>
        </w:rPr>
        <w:t>the Funding Act</w:t>
      </w:r>
      <w:r w:rsidR="00B84BF6" w:rsidRPr="007F6548">
        <w:rPr>
          <w:rFonts w:cs="Arial"/>
          <w:color w:val="000000" w:themeColor="text1"/>
          <w:szCs w:val="24"/>
        </w:rPr>
        <w:t>. The application solely turns on their obligations</w:t>
      </w:r>
      <w:r w:rsidR="0098619B" w:rsidRPr="007F6548">
        <w:rPr>
          <w:rFonts w:cs="Arial"/>
          <w:color w:val="000000" w:themeColor="text1"/>
          <w:szCs w:val="24"/>
        </w:rPr>
        <w:t xml:space="preserve"> to account for their income</w:t>
      </w:r>
      <w:r w:rsidR="00B84BF6" w:rsidRPr="007F6548">
        <w:rPr>
          <w:rFonts w:cs="Arial"/>
          <w:color w:val="000000" w:themeColor="text1"/>
          <w:szCs w:val="24"/>
        </w:rPr>
        <w:t xml:space="preserve"> in terms of s 12 read with Regulation 10.</w:t>
      </w:r>
    </w:p>
    <w:p w14:paraId="2701B5E5" w14:textId="3B906FF6" w:rsidR="006A0437" w:rsidRPr="007F6548" w:rsidRDefault="00543E47" w:rsidP="008A48FA">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4B2533" w:rsidRPr="007F6548">
        <w:rPr>
          <w:rFonts w:cs="Arial"/>
          <w:color w:val="000000" w:themeColor="text1"/>
          <w:szCs w:val="24"/>
        </w:rPr>
        <w:t>8</w:t>
      </w:r>
      <w:r w:rsidRPr="007F6548">
        <w:rPr>
          <w:rFonts w:cs="Arial"/>
          <w:color w:val="000000" w:themeColor="text1"/>
          <w:szCs w:val="24"/>
        </w:rPr>
        <w:t>]</w:t>
      </w:r>
      <w:r w:rsidR="000440B0" w:rsidRPr="007F6548">
        <w:rPr>
          <w:rFonts w:cs="Arial"/>
          <w:color w:val="000000" w:themeColor="text1"/>
          <w:szCs w:val="24"/>
        </w:rPr>
        <w:tab/>
      </w:r>
      <w:r w:rsidR="005F4F67" w:rsidRPr="007F6548">
        <w:rPr>
          <w:rFonts w:cs="Arial"/>
          <w:color w:val="000000" w:themeColor="text1"/>
          <w:szCs w:val="24"/>
        </w:rPr>
        <w:t xml:space="preserve">The </w:t>
      </w:r>
      <w:r w:rsidR="0050242C" w:rsidRPr="007F6548">
        <w:rPr>
          <w:rFonts w:cs="Arial"/>
          <w:color w:val="000000" w:themeColor="text1"/>
          <w:szCs w:val="24"/>
        </w:rPr>
        <w:t>7</w:t>
      </w:r>
      <w:r w:rsidR="0050242C" w:rsidRPr="007F6548">
        <w:rPr>
          <w:rFonts w:cs="Arial"/>
          <w:color w:val="000000" w:themeColor="text1"/>
          <w:szCs w:val="24"/>
          <w:vertAlign w:val="superscript"/>
        </w:rPr>
        <w:t>th</w:t>
      </w:r>
      <w:r w:rsidR="0050242C" w:rsidRPr="007F6548">
        <w:rPr>
          <w:rFonts w:cs="Arial"/>
          <w:color w:val="000000" w:themeColor="text1"/>
          <w:szCs w:val="24"/>
        </w:rPr>
        <w:t xml:space="preserve"> </w:t>
      </w:r>
      <w:r w:rsidR="005F4F67" w:rsidRPr="007F6548">
        <w:rPr>
          <w:rFonts w:cs="Arial"/>
          <w:color w:val="000000" w:themeColor="text1"/>
          <w:szCs w:val="24"/>
        </w:rPr>
        <w:t xml:space="preserve">to </w:t>
      </w:r>
      <w:r w:rsidR="00586CD4" w:rsidRPr="007F6548">
        <w:rPr>
          <w:rFonts w:cs="Arial"/>
          <w:color w:val="000000" w:themeColor="text1"/>
          <w:szCs w:val="24"/>
        </w:rPr>
        <w:t>486</w:t>
      </w:r>
      <w:r w:rsidR="00586CD4" w:rsidRPr="007F6548">
        <w:rPr>
          <w:rFonts w:cs="Arial"/>
          <w:color w:val="000000" w:themeColor="text1"/>
          <w:szCs w:val="24"/>
          <w:vertAlign w:val="superscript"/>
        </w:rPr>
        <w:t>th</w:t>
      </w:r>
      <w:r w:rsidR="00586CD4" w:rsidRPr="007F6548">
        <w:rPr>
          <w:rFonts w:cs="Arial"/>
          <w:color w:val="000000" w:themeColor="text1"/>
          <w:szCs w:val="24"/>
        </w:rPr>
        <w:t xml:space="preserve"> </w:t>
      </w:r>
      <w:r w:rsidR="001D79AE">
        <w:rPr>
          <w:rFonts w:cs="Arial"/>
          <w:color w:val="000000" w:themeColor="text1"/>
          <w:szCs w:val="24"/>
        </w:rPr>
        <w:t>respondent</w:t>
      </w:r>
      <w:r w:rsidR="0099714C">
        <w:rPr>
          <w:rFonts w:cs="Arial"/>
          <w:color w:val="000000" w:themeColor="text1"/>
          <w:szCs w:val="24"/>
        </w:rPr>
        <w:t>s</w:t>
      </w:r>
      <w:r w:rsidR="001D79AE">
        <w:rPr>
          <w:rFonts w:cs="Arial"/>
          <w:color w:val="000000" w:themeColor="text1"/>
          <w:szCs w:val="24"/>
        </w:rPr>
        <w:t xml:space="preserve"> </w:t>
      </w:r>
      <w:r w:rsidR="00586CD4" w:rsidRPr="007F6548">
        <w:rPr>
          <w:rFonts w:cs="Arial"/>
          <w:color w:val="000000" w:themeColor="text1"/>
          <w:szCs w:val="24"/>
        </w:rPr>
        <w:t>do not en</w:t>
      </w:r>
      <w:r w:rsidR="00B96DEE" w:rsidRPr="007F6548">
        <w:rPr>
          <w:rFonts w:cs="Arial"/>
          <w:color w:val="000000" w:themeColor="text1"/>
          <w:szCs w:val="24"/>
        </w:rPr>
        <w:t>joy any representation in the national and provincial parliaments.</w:t>
      </w:r>
      <w:r w:rsidR="007A5B58" w:rsidRPr="007F6548">
        <w:rPr>
          <w:rFonts w:cs="Arial"/>
          <w:color w:val="000000" w:themeColor="text1"/>
          <w:szCs w:val="24"/>
        </w:rPr>
        <w:t xml:space="preserve"> </w:t>
      </w:r>
      <w:r w:rsidR="009145CA" w:rsidRPr="007F6548">
        <w:rPr>
          <w:rFonts w:cs="Arial"/>
          <w:color w:val="000000" w:themeColor="text1"/>
          <w:szCs w:val="24"/>
        </w:rPr>
        <w:t xml:space="preserve">Most of them are relatively small and tend to lack </w:t>
      </w:r>
      <w:r w:rsidR="006A0437" w:rsidRPr="007F6548">
        <w:rPr>
          <w:rFonts w:cs="Arial"/>
          <w:color w:val="000000" w:themeColor="text1"/>
          <w:szCs w:val="24"/>
        </w:rPr>
        <w:t>the necessary resources to effectively function as political parties. In their papers, the applicants refer to them as unrepresented respondents or political parties. I adopt the same nomenclature w</w:t>
      </w:r>
      <w:r w:rsidR="00236959">
        <w:rPr>
          <w:rFonts w:cs="Arial"/>
          <w:color w:val="000000" w:themeColor="text1"/>
          <w:szCs w:val="24"/>
        </w:rPr>
        <w:t>h</w:t>
      </w:r>
      <w:r w:rsidR="006A0437" w:rsidRPr="007F6548">
        <w:rPr>
          <w:rFonts w:cs="Arial"/>
          <w:color w:val="000000" w:themeColor="text1"/>
          <w:szCs w:val="24"/>
        </w:rPr>
        <w:t xml:space="preserve">ere necessary. </w:t>
      </w:r>
    </w:p>
    <w:p w14:paraId="3E8895FC" w14:textId="3D6C4D7B" w:rsidR="00EA152D" w:rsidRPr="007F6548" w:rsidRDefault="006A0437" w:rsidP="008A48FA">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D23408" w:rsidRPr="007F6548">
        <w:rPr>
          <w:rFonts w:cs="Arial"/>
          <w:color w:val="000000" w:themeColor="text1"/>
          <w:szCs w:val="24"/>
        </w:rPr>
        <w:t>9</w:t>
      </w:r>
      <w:r w:rsidRPr="007F6548">
        <w:rPr>
          <w:rFonts w:cs="Arial"/>
          <w:color w:val="000000" w:themeColor="text1"/>
          <w:szCs w:val="24"/>
        </w:rPr>
        <w:t>]</w:t>
      </w:r>
      <w:r w:rsidRPr="007F6548">
        <w:rPr>
          <w:rFonts w:cs="Arial"/>
          <w:color w:val="000000" w:themeColor="text1"/>
          <w:szCs w:val="24"/>
        </w:rPr>
        <w:tab/>
      </w:r>
      <w:r w:rsidR="0056646B" w:rsidRPr="007F6548">
        <w:rPr>
          <w:rFonts w:cs="Arial"/>
          <w:color w:val="000000" w:themeColor="text1"/>
          <w:szCs w:val="24"/>
        </w:rPr>
        <w:t>Only the 33</w:t>
      </w:r>
      <w:r w:rsidR="00C9716F" w:rsidRPr="007F6548">
        <w:rPr>
          <w:rFonts w:cs="Arial"/>
          <w:color w:val="000000" w:themeColor="text1"/>
          <w:szCs w:val="24"/>
        </w:rPr>
        <w:t>8</w:t>
      </w:r>
      <w:r w:rsidR="0056646B" w:rsidRPr="007F6548">
        <w:rPr>
          <w:rFonts w:cs="Arial"/>
          <w:color w:val="000000" w:themeColor="text1"/>
          <w:szCs w:val="24"/>
          <w:vertAlign w:val="superscript"/>
        </w:rPr>
        <w:t>th</w:t>
      </w:r>
      <w:r w:rsidR="0056646B" w:rsidRPr="007F6548">
        <w:rPr>
          <w:rFonts w:cs="Arial"/>
          <w:color w:val="000000" w:themeColor="text1"/>
          <w:szCs w:val="24"/>
        </w:rPr>
        <w:t>, 348</w:t>
      </w:r>
      <w:r w:rsidR="0056646B" w:rsidRPr="007F6548">
        <w:rPr>
          <w:rFonts w:cs="Arial"/>
          <w:color w:val="000000" w:themeColor="text1"/>
          <w:szCs w:val="24"/>
          <w:vertAlign w:val="superscript"/>
        </w:rPr>
        <w:t>th</w:t>
      </w:r>
      <w:r w:rsidR="00A301D8" w:rsidRPr="007F6548">
        <w:rPr>
          <w:rFonts w:cs="Arial"/>
          <w:color w:val="000000" w:themeColor="text1"/>
          <w:szCs w:val="24"/>
        </w:rPr>
        <w:t xml:space="preserve"> and 388</w:t>
      </w:r>
      <w:r w:rsidR="00A301D8" w:rsidRPr="007F6548">
        <w:rPr>
          <w:rFonts w:cs="Arial"/>
          <w:color w:val="000000" w:themeColor="text1"/>
          <w:szCs w:val="24"/>
          <w:vertAlign w:val="superscript"/>
        </w:rPr>
        <w:t>th</w:t>
      </w:r>
      <w:r w:rsidR="00A301D8" w:rsidRPr="007F6548">
        <w:rPr>
          <w:rFonts w:cs="Arial"/>
          <w:color w:val="000000" w:themeColor="text1"/>
          <w:szCs w:val="24"/>
        </w:rPr>
        <w:t xml:space="preserve"> respondents have filed answering affidavits. Several other respondents </w:t>
      </w:r>
      <w:r w:rsidR="008A48FA" w:rsidRPr="007F6548">
        <w:rPr>
          <w:rFonts w:cs="Arial"/>
          <w:color w:val="000000" w:themeColor="text1"/>
          <w:szCs w:val="24"/>
        </w:rPr>
        <w:t xml:space="preserve">responded to this application by letter or email. </w:t>
      </w:r>
      <w:r w:rsidR="00EA152D" w:rsidRPr="007F6548">
        <w:rPr>
          <w:rFonts w:cs="Arial"/>
          <w:color w:val="000000" w:themeColor="text1"/>
          <w:szCs w:val="24"/>
        </w:rPr>
        <w:t>As the applicants point out, none of these respondents seriously dispute the applicants’ version that they have f</w:t>
      </w:r>
      <w:r w:rsidR="00236959">
        <w:rPr>
          <w:rFonts w:cs="Arial"/>
          <w:color w:val="000000" w:themeColor="text1"/>
          <w:szCs w:val="24"/>
        </w:rPr>
        <w:t>ailed</w:t>
      </w:r>
      <w:r w:rsidR="00EA152D" w:rsidRPr="007F6548">
        <w:rPr>
          <w:rFonts w:cs="Arial"/>
          <w:color w:val="000000" w:themeColor="text1"/>
          <w:szCs w:val="24"/>
        </w:rPr>
        <w:t xml:space="preserve"> to comply with their obligations that form the subject of this application.</w:t>
      </w:r>
      <w:r w:rsidR="008206F0" w:rsidRPr="007F6548">
        <w:rPr>
          <w:rFonts w:cs="Arial"/>
          <w:color w:val="000000" w:themeColor="text1"/>
          <w:szCs w:val="24"/>
        </w:rPr>
        <w:t xml:space="preserve"> The remaining respondents have not responded to the application at all.</w:t>
      </w:r>
      <w:r w:rsidR="00B908DB" w:rsidRPr="007F6548">
        <w:rPr>
          <w:rFonts w:cs="Arial"/>
          <w:color w:val="000000" w:themeColor="text1"/>
          <w:szCs w:val="24"/>
        </w:rPr>
        <w:t xml:space="preserve"> Therefore, largely, this application turns on the applicants’ version </w:t>
      </w:r>
      <w:r w:rsidR="00AC3E78" w:rsidRPr="007F6548">
        <w:rPr>
          <w:rFonts w:cs="Arial"/>
          <w:color w:val="000000" w:themeColor="text1"/>
          <w:szCs w:val="24"/>
        </w:rPr>
        <w:t xml:space="preserve">as well as written submissions. It is for that reason that this </w:t>
      </w:r>
      <w:r w:rsidR="00C63692">
        <w:rPr>
          <w:rFonts w:cs="Arial"/>
          <w:color w:val="000000" w:themeColor="text1"/>
          <w:szCs w:val="24"/>
        </w:rPr>
        <w:t>Court</w:t>
      </w:r>
      <w:r w:rsidR="00AC3E78" w:rsidRPr="007F6548">
        <w:rPr>
          <w:rFonts w:cs="Arial"/>
          <w:color w:val="000000" w:themeColor="text1"/>
          <w:szCs w:val="24"/>
        </w:rPr>
        <w:t xml:space="preserve"> resolved to determine </w:t>
      </w:r>
      <w:r w:rsidR="00596C5E" w:rsidRPr="007F6548">
        <w:rPr>
          <w:rFonts w:cs="Arial"/>
          <w:color w:val="000000" w:themeColor="text1"/>
          <w:szCs w:val="24"/>
        </w:rPr>
        <w:t>the application</w:t>
      </w:r>
      <w:r w:rsidR="00AC3E78" w:rsidRPr="007F6548">
        <w:rPr>
          <w:rFonts w:cs="Arial"/>
          <w:color w:val="000000" w:themeColor="text1"/>
          <w:szCs w:val="24"/>
        </w:rPr>
        <w:t xml:space="preserve"> on the papers filed without hearing oral argument.</w:t>
      </w:r>
    </w:p>
    <w:p w14:paraId="19D9A169" w14:textId="20D8279B" w:rsidR="0013725B" w:rsidRPr="00CB2EF9" w:rsidRDefault="006A3F9B" w:rsidP="00CB2EF9">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8206F0" w:rsidRPr="007F6548">
        <w:rPr>
          <w:rFonts w:cs="Arial"/>
          <w:color w:val="000000" w:themeColor="text1"/>
          <w:szCs w:val="24"/>
        </w:rPr>
        <w:t>10</w:t>
      </w:r>
      <w:r w:rsidRPr="007F6548">
        <w:rPr>
          <w:rFonts w:cs="Arial"/>
          <w:color w:val="000000" w:themeColor="text1"/>
          <w:szCs w:val="24"/>
        </w:rPr>
        <w:t>]</w:t>
      </w:r>
      <w:r w:rsidR="00524C5A" w:rsidRPr="007F6548">
        <w:rPr>
          <w:rFonts w:cs="Arial"/>
          <w:color w:val="000000" w:themeColor="text1"/>
          <w:szCs w:val="24"/>
        </w:rPr>
        <w:tab/>
      </w:r>
      <w:r w:rsidR="00B15866" w:rsidRPr="007F6548">
        <w:rPr>
          <w:rFonts w:cs="Arial"/>
          <w:color w:val="000000" w:themeColor="text1"/>
          <w:szCs w:val="24"/>
        </w:rPr>
        <w:t>T</w:t>
      </w:r>
      <w:r w:rsidR="000440B0" w:rsidRPr="007F6548">
        <w:rPr>
          <w:rFonts w:cs="Arial"/>
          <w:color w:val="000000" w:themeColor="text1"/>
          <w:szCs w:val="24"/>
        </w:rPr>
        <w:t xml:space="preserve">he regulatory framework </w:t>
      </w:r>
      <w:r w:rsidR="002A1776">
        <w:rPr>
          <w:rFonts w:cs="Arial"/>
          <w:color w:val="000000" w:themeColor="text1"/>
          <w:szCs w:val="24"/>
        </w:rPr>
        <w:t xml:space="preserve">that </w:t>
      </w:r>
      <w:r w:rsidR="00D8666A" w:rsidRPr="007F6548">
        <w:rPr>
          <w:rFonts w:cs="Arial"/>
          <w:color w:val="000000" w:themeColor="text1"/>
          <w:szCs w:val="24"/>
        </w:rPr>
        <w:t xml:space="preserve">the applicants rely on is the appropriate </w:t>
      </w:r>
      <w:r w:rsidR="00B15866" w:rsidRPr="007F6548">
        <w:rPr>
          <w:rFonts w:cs="Arial"/>
          <w:color w:val="000000" w:themeColor="text1"/>
          <w:szCs w:val="24"/>
        </w:rPr>
        <w:t xml:space="preserve">subject </w:t>
      </w:r>
      <w:r w:rsidR="00811FA2" w:rsidRPr="007F6548">
        <w:rPr>
          <w:rFonts w:cs="Arial"/>
          <w:color w:val="000000" w:themeColor="text1"/>
          <w:szCs w:val="24"/>
        </w:rPr>
        <w:t>to follow this introduction.</w:t>
      </w:r>
      <w:r w:rsidR="006D4B2C" w:rsidRPr="007F6548">
        <w:rPr>
          <w:rFonts w:cs="Arial"/>
          <w:color w:val="000000" w:themeColor="text1"/>
          <w:szCs w:val="24"/>
        </w:rPr>
        <w:t xml:space="preserve"> </w:t>
      </w:r>
      <w:r w:rsidR="003C0E08" w:rsidRPr="007F6548">
        <w:rPr>
          <w:rFonts w:cs="Arial"/>
          <w:color w:val="000000" w:themeColor="text1"/>
          <w:szCs w:val="24"/>
        </w:rPr>
        <w:t xml:space="preserve">I then </w:t>
      </w:r>
      <w:r w:rsidR="009E2B9C" w:rsidRPr="007F6548">
        <w:rPr>
          <w:rFonts w:cs="Arial"/>
          <w:color w:val="000000" w:themeColor="text1"/>
          <w:szCs w:val="24"/>
        </w:rPr>
        <w:t>deal with the respondents</w:t>
      </w:r>
      <w:r w:rsidR="006D24E6" w:rsidRPr="007F6548">
        <w:rPr>
          <w:rFonts w:cs="Arial"/>
          <w:color w:val="000000" w:themeColor="text1"/>
          <w:szCs w:val="24"/>
        </w:rPr>
        <w:t>’</w:t>
      </w:r>
      <w:r w:rsidR="009E2B9C" w:rsidRPr="007F6548">
        <w:rPr>
          <w:rFonts w:cs="Arial"/>
          <w:color w:val="000000" w:themeColor="text1"/>
          <w:szCs w:val="24"/>
        </w:rPr>
        <w:t xml:space="preserve"> non-compliance with the Funding Act as alleged by the applicants. Thereafter</w:t>
      </w:r>
      <w:r w:rsidR="006D24E6" w:rsidRPr="007F6548">
        <w:rPr>
          <w:rFonts w:cs="Arial"/>
          <w:color w:val="000000" w:themeColor="text1"/>
          <w:szCs w:val="24"/>
        </w:rPr>
        <w:t>,</w:t>
      </w:r>
      <w:r w:rsidR="009E2B9C" w:rsidRPr="007F6548">
        <w:rPr>
          <w:rFonts w:cs="Arial"/>
          <w:color w:val="000000" w:themeColor="text1"/>
          <w:szCs w:val="24"/>
        </w:rPr>
        <w:t xml:space="preserve"> I consider the </w:t>
      </w:r>
      <w:r w:rsidR="000D0C7F" w:rsidRPr="007F6548">
        <w:rPr>
          <w:rFonts w:cs="Arial"/>
          <w:color w:val="000000" w:themeColor="text1"/>
          <w:szCs w:val="24"/>
        </w:rPr>
        <w:t xml:space="preserve">reasons advanced by the respondents </w:t>
      </w:r>
      <w:r w:rsidR="001D3D2E" w:rsidRPr="007F6548">
        <w:rPr>
          <w:rFonts w:cs="Arial"/>
          <w:color w:val="000000" w:themeColor="text1"/>
          <w:szCs w:val="24"/>
        </w:rPr>
        <w:t>(</w:t>
      </w:r>
      <w:r w:rsidR="000D0C7F" w:rsidRPr="007F6548">
        <w:rPr>
          <w:rFonts w:cs="Arial"/>
          <w:color w:val="000000" w:themeColor="text1"/>
          <w:szCs w:val="24"/>
        </w:rPr>
        <w:t>who responded to this application</w:t>
      </w:r>
      <w:r w:rsidR="001D3D2E" w:rsidRPr="007F6548">
        <w:rPr>
          <w:rFonts w:cs="Arial"/>
          <w:color w:val="000000" w:themeColor="text1"/>
          <w:szCs w:val="24"/>
        </w:rPr>
        <w:t>)</w:t>
      </w:r>
      <w:r w:rsidR="000D0C7F" w:rsidRPr="007F6548">
        <w:rPr>
          <w:rFonts w:cs="Arial"/>
          <w:color w:val="000000" w:themeColor="text1"/>
          <w:szCs w:val="24"/>
        </w:rPr>
        <w:t xml:space="preserve"> regarding why they have not complied with their obligations under </w:t>
      </w:r>
      <w:r w:rsidR="002A6BC7">
        <w:rPr>
          <w:rFonts w:cs="Arial"/>
          <w:color w:val="000000" w:themeColor="text1"/>
          <w:szCs w:val="24"/>
        </w:rPr>
        <w:t>the Funding Act</w:t>
      </w:r>
      <w:r w:rsidR="000D0C7F" w:rsidRPr="007F6548">
        <w:rPr>
          <w:rFonts w:cs="Arial"/>
          <w:color w:val="000000" w:themeColor="text1"/>
          <w:szCs w:val="24"/>
        </w:rPr>
        <w:t xml:space="preserve"> as alleged by the applicants. Lastly, I consider the relief the applicants seek. Then</w:t>
      </w:r>
      <w:r w:rsidR="008200BF" w:rsidRPr="007F6548">
        <w:rPr>
          <w:rFonts w:cs="Arial"/>
          <w:color w:val="000000" w:themeColor="text1"/>
          <w:szCs w:val="24"/>
        </w:rPr>
        <w:t>,</w:t>
      </w:r>
      <w:r w:rsidR="000D0C7F" w:rsidRPr="007F6548">
        <w:rPr>
          <w:rFonts w:cs="Arial"/>
          <w:color w:val="000000" w:themeColor="text1"/>
          <w:szCs w:val="24"/>
        </w:rPr>
        <w:t xml:space="preserve"> </w:t>
      </w:r>
      <w:r w:rsidR="00524C5A" w:rsidRPr="007F6548">
        <w:rPr>
          <w:rFonts w:cs="Arial"/>
          <w:color w:val="000000" w:themeColor="text1"/>
          <w:szCs w:val="24"/>
        </w:rPr>
        <w:t>an order concludes the judgment.</w:t>
      </w:r>
      <w:r w:rsidR="000D0C7F" w:rsidRPr="007F6548">
        <w:rPr>
          <w:rFonts w:cs="Arial"/>
          <w:color w:val="000000" w:themeColor="text1"/>
          <w:szCs w:val="24"/>
        </w:rPr>
        <w:t xml:space="preserve"> </w:t>
      </w:r>
      <w:bookmarkStart w:id="5" w:name="_Toc154744829"/>
    </w:p>
    <w:p w14:paraId="7F437A02" w14:textId="683200DB" w:rsidR="00A07258" w:rsidRPr="007F6548" w:rsidRDefault="00A07258" w:rsidP="00CB2EF9">
      <w:pPr>
        <w:pStyle w:val="Heading1"/>
        <w:spacing w:before="0" w:after="0" w:line="360" w:lineRule="auto"/>
        <w:rPr>
          <w:rFonts w:ascii="Arial" w:hAnsi="Arial" w:cs="Arial"/>
          <w:b/>
          <w:bCs/>
          <w:color w:val="000000" w:themeColor="text1"/>
          <w:sz w:val="24"/>
          <w:szCs w:val="24"/>
        </w:rPr>
      </w:pPr>
      <w:r w:rsidRPr="007F6548">
        <w:rPr>
          <w:rFonts w:ascii="Arial" w:hAnsi="Arial" w:cs="Arial"/>
          <w:b/>
          <w:bCs/>
          <w:color w:val="000000" w:themeColor="text1"/>
          <w:sz w:val="24"/>
          <w:szCs w:val="24"/>
        </w:rPr>
        <w:t>T</w:t>
      </w:r>
      <w:r w:rsidR="00CB2EF9" w:rsidRPr="007F6548">
        <w:rPr>
          <w:rFonts w:ascii="Arial" w:hAnsi="Arial" w:cs="Arial"/>
          <w:b/>
          <w:bCs/>
          <w:color w:val="000000" w:themeColor="text1"/>
          <w:sz w:val="24"/>
          <w:szCs w:val="24"/>
        </w:rPr>
        <w:t>he</w:t>
      </w:r>
      <w:r w:rsidRPr="007F6548">
        <w:rPr>
          <w:rFonts w:ascii="Arial" w:hAnsi="Arial" w:cs="Arial"/>
          <w:b/>
          <w:bCs/>
          <w:color w:val="000000" w:themeColor="text1"/>
          <w:sz w:val="24"/>
          <w:szCs w:val="24"/>
        </w:rPr>
        <w:t xml:space="preserve"> R</w:t>
      </w:r>
      <w:r w:rsidR="00CB2EF9" w:rsidRPr="007F6548">
        <w:rPr>
          <w:rFonts w:ascii="Arial" w:hAnsi="Arial" w:cs="Arial"/>
          <w:b/>
          <w:bCs/>
          <w:color w:val="000000" w:themeColor="text1"/>
          <w:sz w:val="24"/>
          <w:szCs w:val="24"/>
        </w:rPr>
        <w:t>egulatory</w:t>
      </w:r>
      <w:r w:rsidRPr="007F6548">
        <w:rPr>
          <w:rFonts w:ascii="Arial" w:hAnsi="Arial" w:cs="Arial"/>
          <w:b/>
          <w:bCs/>
          <w:color w:val="000000" w:themeColor="text1"/>
          <w:sz w:val="24"/>
          <w:szCs w:val="24"/>
        </w:rPr>
        <w:t xml:space="preserve"> </w:t>
      </w:r>
      <w:r w:rsidR="00392815" w:rsidRPr="007F6548">
        <w:rPr>
          <w:rFonts w:ascii="Arial" w:hAnsi="Arial" w:cs="Arial"/>
          <w:b/>
          <w:bCs/>
          <w:color w:val="000000" w:themeColor="text1"/>
          <w:sz w:val="24"/>
          <w:szCs w:val="24"/>
        </w:rPr>
        <w:t>f</w:t>
      </w:r>
      <w:r w:rsidR="00CB2EF9" w:rsidRPr="007F6548">
        <w:rPr>
          <w:rFonts w:ascii="Arial" w:hAnsi="Arial" w:cs="Arial"/>
          <w:b/>
          <w:bCs/>
          <w:color w:val="000000" w:themeColor="text1"/>
          <w:sz w:val="24"/>
          <w:szCs w:val="24"/>
        </w:rPr>
        <w:t>ramework</w:t>
      </w:r>
      <w:bookmarkEnd w:id="5"/>
      <w:r w:rsidR="00CB2EF9" w:rsidRPr="007F6548">
        <w:rPr>
          <w:rFonts w:ascii="Arial" w:hAnsi="Arial" w:cs="Arial"/>
          <w:b/>
          <w:bCs/>
          <w:color w:val="000000" w:themeColor="text1"/>
          <w:sz w:val="24"/>
          <w:szCs w:val="24"/>
        </w:rPr>
        <w:t xml:space="preserve"> </w:t>
      </w:r>
    </w:p>
    <w:p w14:paraId="5AAC938A" w14:textId="418248B9" w:rsidR="00A07258" w:rsidRPr="007F6548" w:rsidRDefault="00290B11" w:rsidP="00CB2EF9">
      <w:pPr>
        <w:pStyle w:val="WLGLevel1"/>
        <w:numPr>
          <w:ilvl w:val="0"/>
          <w:numId w:val="0"/>
        </w:numPr>
        <w:spacing w:before="0" w:line="360" w:lineRule="auto"/>
        <w:rPr>
          <w:rFonts w:cs="Arial"/>
          <w:iCs/>
          <w:color w:val="000000" w:themeColor="text1"/>
          <w:szCs w:val="24"/>
          <w:lang w:val="en-GB"/>
        </w:rPr>
      </w:pPr>
      <w:r w:rsidRPr="007F6548">
        <w:rPr>
          <w:rFonts w:cs="Arial"/>
          <w:color w:val="000000" w:themeColor="text1"/>
          <w:szCs w:val="24"/>
        </w:rPr>
        <w:t>[</w:t>
      </w:r>
      <w:r w:rsidR="001D3D2E" w:rsidRPr="007F6548">
        <w:rPr>
          <w:rFonts w:cs="Arial"/>
          <w:color w:val="000000" w:themeColor="text1"/>
          <w:szCs w:val="24"/>
        </w:rPr>
        <w:t>11</w:t>
      </w:r>
      <w:r w:rsidRPr="007F6548">
        <w:rPr>
          <w:rFonts w:cs="Arial"/>
          <w:color w:val="000000" w:themeColor="text1"/>
          <w:szCs w:val="24"/>
        </w:rPr>
        <w:t>]</w:t>
      </w:r>
      <w:r w:rsidRPr="007F6548">
        <w:rPr>
          <w:rFonts w:cs="Arial"/>
          <w:color w:val="000000" w:themeColor="text1"/>
          <w:szCs w:val="24"/>
        </w:rPr>
        <w:tab/>
      </w:r>
      <w:r w:rsidR="00A07258" w:rsidRPr="007F6548">
        <w:rPr>
          <w:rFonts w:cs="Arial"/>
          <w:color w:val="000000" w:themeColor="text1"/>
          <w:szCs w:val="24"/>
        </w:rPr>
        <w:t>Section</w:t>
      </w:r>
      <w:r w:rsidR="00A07258" w:rsidRPr="007F6548">
        <w:rPr>
          <w:rFonts w:cs="Arial"/>
          <w:iCs/>
          <w:color w:val="000000" w:themeColor="text1"/>
          <w:szCs w:val="24"/>
          <w:lang w:val="en-GB"/>
        </w:rPr>
        <w:t xml:space="preserve"> 11 imposes a general disclosure obligation on political parties. It reads</w:t>
      </w:r>
      <w:r w:rsidR="004B1D3A" w:rsidRPr="007F6548">
        <w:rPr>
          <w:rFonts w:cs="Arial"/>
          <w:iCs/>
          <w:color w:val="000000" w:themeColor="text1"/>
          <w:szCs w:val="24"/>
          <w:lang w:val="en-GB"/>
        </w:rPr>
        <w:t xml:space="preserve"> as follows</w:t>
      </w:r>
      <w:r w:rsidR="00A07258" w:rsidRPr="007F6548">
        <w:rPr>
          <w:rFonts w:cs="Arial"/>
          <w:iCs/>
          <w:color w:val="000000" w:themeColor="text1"/>
          <w:szCs w:val="24"/>
          <w:lang w:val="en-GB"/>
        </w:rPr>
        <w:t xml:space="preserve">: </w:t>
      </w:r>
      <w:r w:rsidR="00835133">
        <w:rPr>
          <w:rFonts w:cs="Arial"/>
          <w:iCs/>
          <w:color w:val="000000" w:themeColor="text1"/>
          <w:sz w:val="22"/>
          <w:szCs w:val="22"/>
          <w:lang w:val="en-GB"/>
        </w:rPr>
        <w:t>‘</w:t>
      </w:r>
      <w:r w:rsidR="00A07258" w:rsidRPr="00835133">
        <w:rPr>
          <w:rFonts w:cs="Arial"/>
          <w:color w:val="000000" w:themeColor="text1"/>
          <w:sz w:val="22"/>
          <w:szCs w:val="22"/>
          <w:lang w:val="en-GB"/>
        </w:rPr>
        <w:t>In order for the Commission to monitor compliance with this Act, a political party must, at the prescribed times, furnish the Commission with any information and documentation that is prescribed, or required in terms of a direction issued under section 15.</w:t>
      </w:r>
      <w:r w:rsidR="00835133">
        <w:rPr>
          <w:rFonts w:cs="Arial"/>
          <w:iCs/>
          <w:color w:val="000000" w:themeColor="text1"/>
          <w:sz w:val="22"/>
          <w:szCs w:val="22"/>
          <w:lang w:val="en-GB"/>
        </w:rPr>
        <w:t>’</w:t>
      </w:r>
    </w:p>
    <w:p w14:paraId="29A4F5DE" w14:textId="450BAA81" w:rsidR="00A07258" w:rsidRPr="007F6548" w:rsidRDefault="00290B11" w:rsidP="00CB2EF9">
      <w:pPr>
        <w:pStyle w:val="WLGLevel1"/>
        <w:numPr>
          <w:ilvl w:val="0"/>
          <w:numId w:val="0"/>
        </w:numPr>
        <w:spacing w:after="0" w:line="360" w:lineRule="auto"/>
        <w:rPr>
          <w:rFonts w:cs="Arial"/>
          <w:iCs/>
          <w:color w:val="000000" w:themeColor="text1"/>
          <w:szCs w:val="24"/>
          <w:lang w:val="en-GB"/>
        </w:rPr>
      </w:pPr>
      <w:r w:rsidRPr="007F6548">
        <w:rPr>
          <w:rFonts w:cs="Arial"/>
          <w:iCs/>
          <w:color w:val="000000" w:themeColor="text1"/>
          <w:szCs w:val="24"/>
          <w:lang w:val="en-GB"/>
        </w:rPr>
        <w:lastRenderedPageBreak/>
        <w:t>[1</w:t>
      </w:r>
      <w:r w:rsidR="006E4EFD" w:rsidRPr="007F6548">
        <w:rPr>
          <w:rFonts w:cs="Arial"/>
          <w:iCs/>
          <w:color w:val="000000" w:themeColor="text1"/>
          <w:szCs w:val="24"/>
          <w:lang w:val="en-GB"/>
        </w:rPr>
        <w:t>2</w:t>
      </w:r>
      <w:r w:rsidRPr="007F6548">
        <w:rPr>
          <w:rFonts w:cs="Arial"/>
          <w:iCs/>
          <w:color w:val="000000" w:themeColor="text1"/>
          <w:szCs w:val="24"/>
          <w:lang w:val="en-GB"/>
        </w:rPr>
        <w:t>]</w:t>
      </w:r>
      <w:r w:rsidRPr="007F6548">
        <w:rPr>
          <w:rFonts w:cs="Arial"/>
          <w:iCs/>
          <w:color w:val="000000" w:themeColor="text1"/>
          <w:szCs w:val="24"/>
          <w:lang w:val="en-GB"/>
        </w:rPr>
        <w:tab/>
      </w:r>
      <w:r w:rsidR="00A07258" w:rsidRPr="007F6548">
        <w:rPr>
          <w:rFonts w:cs="Arial"/>
          <w:iCs/>
          <w:color w:val="000000" w:themeColor="text1"/>
          <w:szCs w:val="24"/>
          <w:lang w:val="en-GB"/>
        </w:rPr>
        <w:t xml:space="preserve">Section 12 imposes obligations </w:t>
      </w:r>
      <w:r w:rsidR="00E437E9" w:rsidRPr="007F6548">
        <w:rPr>
          <w:rFonts w:cs="Arial"/>
          <w:iCs/>
          <w:color w:val="000000" w:themeColor="text1"/>
          <w:szCs w:val="24"/>
          <w:lang w:val="en-GB"/>
        </w:rPr>
        <w:t xml:space="preserve">on </w:t>
      </w:r>
      <w:r w:rsidR="00A07258" w:rsidRPr="007F6548">
        <w:rPr>
          <w:rFonts w:cs="Arial"/>
          <w:iCs/>
          <w:color w:val="000000" w:themeColor="text1"/>
          <w:szCs w:val="24"/>
          <w:lang w:val="en-GB"/>
        </w:rPr>
        <w:t xml:space="preserve">political parties </w:t>
      </w:r>
      <w:r w:rsidR="00E437E9" w:rsidRPr="007F6548">
        <w:rPr>
          <w:rFonts w:cs="Arial"/>
          <w:iCs/>
          <w:color w:val="000000" w:themeColor="text1"/>
          <w:szCs w:val="24"/>
          <w:lang w:val="en-GB"/>
        </w:rPr>
        <w:t>to a</w:t>
      </w:r>
      <w:r w:rsidR="00A07258" w:rsidRPr="007F6548">
        <w:rPr>
          <w:rFonts w:cs="Arial"/>
          <w:iCs/>
          <w:color w:val="000000" w:themeColor="text1"/>
          <w:szCs w:val="24"/>
          <w:lang w:val="en-GB"/>
        </w:rPr>
        <w:t xml:space="preserve">ccount for their income. </w:t>
      </w:r>
      <w:r w:rsidRPr="007F6548">
        <w:rPr>
          <w:rFonts w:cs="Arial"/>
          <w:iCs/>
          <w:color w:val="000000" w:themeColor="text1"/>
          <w:szCs w:val="24"/>
          <w:lang w:val="en-GB"/>
        </w:rPr>
        <w:t xml:space="preserve">It provides as </w:t>
      </w:r>
      <w:r w:rsidR="00E437E9" w:rsidRPr="007F6548">
        <w:rPr>
          <w:rFonts w:cs="Arial"/>
          <w:iCs/>
          <w:color w:val="000000" w:themeColor="text1"/>
          <w:szCs w:val="24"/>
          <w:lang w:val="en-GB"/>
        </w:rPr>
        <w:t xml:space="preserve">follows: </w:t>
      </w:r>
    </w:p>
    <w:p w14:paraId="38790C3B" w14:textId="20991BF3" w:rsidR="00A07258" w:rsidRPr="003D171D" w:rsidRDefault="003D171D" w:rsidP="00CB2EF9">
      <w:pPr>
        <w:spacing w:line="360" w:lineRule="auto"/>
        <w:ind w:left="11" w:right="828" w:hanging="11"/>
        <w:rPr>
          <w:rFonts w:cs="Arial"/>
          <w:color w:val="000000" w:themeColor="text1"/>
          <w:sz w:val="22"/>
          <w:szCs w:val="22"/>
        </w:rPr>
      </w:pPr>
      <w:r>
        <w:rPr>
          <w:rFonts w:cs="Arial"/>
          <w:i/>
          <w:color w:val="000000" w:themeColor="text1"/>
          <w:sz w:val="22"/>
          <w:szCs w:val="22"/>
        </w:rPr>
        <w:t>‘</w:t>
      </w:r>
      <w:r w:rsidR="00A07258" w:rsidRPr="003D171D">
        <w:rPr>
          <w:rFonts w:cs="Arial"/>
          <w:color w:val="000000" w:themeColor="text1"/>
          <w:sz w:val="22"/>
          <w:szCs w:val="22"/>
        </w:rPr>
        <w:t xml:space="preserve">(1) </w:t>
      </w:r>
      <w:r w:rsidR="00A07258" w:rsidRPr="003D171D">
        <w:rPr>
          <w:rFonts w:cs="Arial"/>
          <w:color w:val="000000" w:themeColor="text1"/>
          <w:sz w:val="22"/>
          <w:szCs w:val="22"/>
        </w:rPr>
        <w:tab/>
        <w:t xml:space="preserve">A political party </w:t>
      </w:r>
      <w:r w:rsidR="00A07258" w:rsidRPr="003D171D">
        <w:rPr>
          <w:rFonts w:cs="Arial"/>
          <w:color w:val="000000" w:themeColor="text1"/>
          <w:sz w:val="22"/>
          <w:szCs w:val="22"/>
          <w:u w:val="single"/>
        </w:rPr>
        <w:t xml:space="preserve">must </w:t>
      </w:r>
      <w:r w:rsidR="00A07258" w:rsidRPr="003D171D">
        <w:rPr>
          <w:rFonts w:cs="Arial"/>
          <w:color w:val="000000" w:themeColor="text1"/>
          <w:sz w:val="22"/>
          <w:szCs w:val="22"/>
        </w:rPr>
        <w:t xml:space="preserve">– </w:t>
      </w:r>
    </w:p>
    <w:p w14:paraId="16D71152"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(a) </w:t>
      </w:r>
      <w:r w:rsidRPr="003D171D">
        <w:rPr>
          <w:rFonts w:cs="Arial"/>
          <w:color w:val="000000" w:themeColor="text1"/>
          <w:sz w:val="22"/>
          <w:szCs w:val="22"/>
        </w:rPr>
        <w:tab/>
        <w:t xml:space="preserve">deposit all donations received by that political party, membership fees and levies imposed by the political party on its representatives into an account with a bank registered as a bank in terms of the Banks Act, 1990 (Act No. 94 of 1990), in that political party’s name; </w:t>
      </w:r>
    </w:p>
    <w:p w14:paraId="53C0411E"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(b) </w:t>
      </w:r>
      <w:r w:rsidRPr="003D171D">
        <w:rPr>
          <w:rFonts w:cs="Arial"/>
          <w:color w:val="000000" w:themeColor="text1"/>
          <w:sz w:val="22"/>
          <w:szCs w:val="22"/>
        </w:rPr>
        <w:tab/>
        <w:t xml:space="preserve">keep a separate account with a bank registered as a bank in terms of the Banks Act, 1990 (Act No. 94 of 1990), into which all money allocated to it from the Funds must be deposited; </w:t>
      </w:r>
    </w:p>
    <w:p w14:paraId="118EFCEF" w14:textId="77777777" w:rsidR="00A07258" w:rsidRPr="003D171D" w:rsidRDefault="00A07258" w:rsidP="003D171D">
      <w:pPr>
        <w:spacing w:line="360" w:lineRule="auto"/>
        <w:ind w:left="1436" w:right="828" w:hanging="705"/>
        <w:rPr>
          <w:rFonts w:cs="Arial"/>
          <w:color w:val="000000" w:themeColor="text1"/>
          <w:sz w:val="22"/>
          <w:szCs w:val="22"/>
        </w:rPr>
      </w:pPr>
      <w:r w:rsidRPr="003D171D">
        <w:rPr>
          <w:rFonts w:cs="Arial"/>
          <w:color w:val="000000" w:themeColor="text1"/>
          <w:sz w:val="22"/>
          <w:szCs w:val="22"/>
        </w:rPr>
        <w:t xml:space="preserve">(c) </w:t>
      </w:r>
      <w:r w:rsidRPr="003D171D">
        <w:rPr>
          <w:rFonts w:cs="Arial"/>
          <w:color w:val="000000" w:themeColor="text1"/>
          <w:sz w:val="22"/>
          <w:szCs w:val="22"/>
        </w:rPr>
        <w:tab/>
        <w:t>appoint an office-bearer or official of that political party as its accounting officer; and</w:t>
      </w:r>
    </w:p>
    <w:p w14:paraId="358A18EB" w14:textId="77777777" w:rsidR="00A07258" w:rsidRPr="003D171D" w:rsidRDefault="00A07258" w:rsidP="003D171D">
      <w:pPr>
        <w:spacing w:line="360" w:lineRule="auto"/>
        <w:ind w:left="1436" w:right="828" w:hanging="716"/>
        <w:rPr>
          <w:rFonts w:cs="Arial"/>
          <w:color w:val="000000" w:themeColor="text1"/>
          <w:sz w:val="22"/>
          <w:szCs w:val="22"/>
        </w:rPr>
      </w:pPr>
      <w:r w:rsidRPr="003D171D">
        <w:rPr>
          <w:rFonts w:cs="Arial"/>
          <w:color w:val="000000" w:themeColor="text1"/>
          <w:sz w:val="22"/>
          <w:szCs w:val="22"/>
        </w:rPr>
        <w:t xml:space="preserve">(d) </w:t>
      </w:r>
      <w:r w:rsidRPr="003D171D">
        <w:rPr>
          <w:rFonts w:cs="Arial"/>
          <w:color w:val="000000" w:themeColor="text1"/>
          <w:sz w:val="22"/>
          <w:szCs w:val="22"/>
        </w:rPr>
        <w:tab/>
        <w:t xml:space="preserve">appoint an auditor registered and practising as such in terms of the Auditing Professions Act, 2005 (Act No. 26 of 2005), to audit its books and financial statements. </w:t>
      </w:r>
    </w:p>
    <w:p w14:paraId="0DEABCC7" w14:textId="77777777" w:rsidR="00A07258" w:rsidRPr="003D171D" w:rsidRDefault="00A07258" w:rsidP="003D171D">
      <w:pPr>
        <w:spacing w:line="360" w:lineRule="auto"/>
        <w:ind w:left="22" w:right="828" w:hanging="11"/>
        <w:rPr>
          <w:rFonts w:cs="Arial"/>
          <w:color w:val="000000" w:themeColor="text1"/>
          <w:sz w:val="22"/>
          <w:szCs w:val="22"/>
        </w:rPr>
      </w:pPr>
      <w:r w:rsidRPr="003D171D">
        <w:rPr>
          <w:rFonts w:cs="Arial"/>
          <w:color w:val="000000" w:themeColor="text1"/>
          <w:sz w:val="22"/>
          <w:szCs w:val="22"/>
        </w:rPr>
        <w:t xml:space="preserve">(2) </w:t>
      </w:r>
      <w:r w:rsidRPr="003D171D">
        <w:rPr>
          <w:rFonts w:cs="Arial"/>
          <w:color w:val="000000" w:themeColor="text1"/>
          <w:sz w:val="22"/>
          <w:szCs w:val="22"/>
        </w:rPr>
        <w:tab/>
        <w:t xml:space="preserve">The accounting officer contemplated in subsection (1)(c) must – </w:t>
      </w:r>
    </w:p>
    <w:p w14:paraId="0158C3C3" w14:textId="77777777" w:rsidR="00A07258" w:rsidRPr="003D171D" w:rsidRDefault="00A07258" w:rsidP="003D171D">
      <w:pPr>
        <w:spacing w:line="360" w:lineRule="auto"/>
        <w:ind w:right="828" w:firstLine="720"/>
        <w:rPr>
          <w:rFonts w:cs="Arial"/>
          <w:color w:val="000000" w:themeColor="text1"/>
          <w:sz w:val="22"/>
          <w:szCs w:val="22"/>
        </w:rPr>
      </w:pPr>
      <w:r w:rsidRPr="003D171D">
        <w:rPr>
          <w:rFonts w:cs="Arial"/>
          <w:color w:val="000000" w:themeColor="text1"/>
          <w:sz w:val="22"/>
          <w:szCs w:val="22"/>
        </w:rPr>
        <w:t xml:space="preserve">(a) </w:t>
      </w:r>
      <w:r w:rsidRPr="003D171D">
        <w:rPr>
          <w:rFonts w:cs="Arial"/>
          <w:color w:val="000000" w:themeColor="text1"/>
          <w:sz w:val="22"/>
          <w:szCs w:val="22"/>
        </w:rPr>
        <w:tab/>
        <w:t xml:space="preserve">account for all income received by the political party; </w:t>
      </w:r>
    </w:p>
    <w:p w14:paraId="455ABC6C" w14:textId="4B541BE7" w:rsidR="00A07258" w:rsidRPr="003D171D" w:rsidRDefault="00CB2EF9" w:rsidP="003D171D">
      <w:pPr>
        <w:spacing w:line="360" w:lineRule="auto"/>
        <w:ind w:right="828"/>
        <w:rPr>
          <w:rFonts w:cs="Arial"/>
          <w:color w:val="000000" w:themeColor="text1"/>
          <w:sz w:val="22"/>
          <w:szCs w:val="22"/>
        </w:rPr>
      </w:pPr>
      <w:r w:rsidRPr="003D171D">
        <w:rPr>
          <w:rFonts w:cs="Arial"/>
          <w:color w:val="000000" w:themeColor="text1"/>
          <w:sz w:val="22"/>
          <w:szCs w:val="22"/>
        </w:rPr>
        <w:t xml:space="preserve">    </w:t>
      </w:r>
      <w:r w:rsidR="003D171D" w:rsidRPr="003D171D">
        <w:rPr>
          <w:rFonts w:cs="Arial"/>
          <w:color w:val="000000" w:themeColor="text1"/>
          <w:sz w:val="22"/>
          <w:szCs w:val="22"/>
        </w:rPr>
        <w:tab/>
      </w:r>
      <w:r w:rsidRPr="003D171D">
        <w:rPr>
          <w:rFonts w:cs="Arial"/>
          <w:color w:val="000000" w:themeColor="text1"/>
          <w:sz w:val="22"/>
          <w:szCs w:val="22"/>
        </w:rPr>
        <w:t xml:space="preserve"> </w:t>
      </w:r>
      <w:r w:rsidR="00A07258" w:rsidRPr="003D171D">
        <w:rPr>
          <w:rFonts w:cs="Arial"/>
          <w:color w:val="000000" w:themeColor="text1"/>
          <w:sz w:val="22"/>
          <w:szCs w:val="22"/>
        </w:rPr>
        <w:t xml:space="preserve">(b) </w:t>
      </w:r>
      <w:r w:rsidR="00A07258" w:rsidRPr="003D171D">
        <w:rPr>
          <w:rFonts w:cs="Arial"/>
          <w:color w:val="000000" w:themeColor="text1"/>
          <w:sz w:val="22"/>
          <w:szCs w:val="22"/>
        </w:rPr>
        <w:tab/>
        <w:t xml:space="preserve">ensure that – </w:t>
      </w:r>
    </w:p>
    <w:p w14:paraId="44FB57FF" w14:textId="50C0B16D" w:rsidR="00A07258" w:rsidRPr="003D171D" w:rsidRDefault="00CB2EF9" w:rsidP="003D171D">
      <w:pPr>
        <w:spacing w:line="360" w:lineRule="auto"/>
        <w:ind w:left="1440" w:right="828" w:hanging="1440"/>
        <w:rPr>
          <w:rFonts w:cs="Arial"/>
          <w:color w:val="000000" w:themeColor="text1"/>
          <w:sz w:val="22"/>
          <w:szCs w:val="22"/>
        </w:rPr>
      </w:pPr>
      <w:r w:rsidRPr="003D171D">
        <w:rPr>
          <w:rFonts w:cs="Arial"/>
          <w:color w:val="000000" w:themeColor="text1"/>
          <w:sz w:val="22"/>
          <w:szCs w:val="22"/>
        </w:rPr>
        <w:t xml:space="preserve">     </w:t>
      </w:r>
      <w:r w:rsidR="003D171D" w:rsidRPr="003D171D">
        <w:rPr>
          <w:rFonts w:cs="Arial"/>
          <w:color w:val="000000" w:themeColor="text1"/>
          <w:sz w:val="22"/>
          <w:szCs w:val="22"/>
        </w:rPr>
        <w:tab/>
      </w:r>
      <w:r w:rsidRPr="003D171D">
        <w:rPr>
          <w:rFonts w:cs="Arial"/>
          <w:color w:val="000000" w:themeColor="text1"/>
          <w:sz w:val="22"/>
          <w:szCs w:val="22"/>
        </w:rPr>
        <w:t xml:space="preserve"> </w:t>
      </w:r>
      <w:r w:rsidR="00A07258" w:rsidRPr="003D171D">
        <w:rPr>
          <w:rFonts w:cs="Arial"/>
          <w:color w:val="000000" w:themeColor="text1"/>
          <w:sz w:val="22"/>
          <w:szCs w:val="22"/>
        </w:rPr>
        <w:t xml:space="preserve">(i) </w:t>
      </w:r>
      <w:r w:rsidR="00A07258" w:rsidRPr="003D171D">
        <w:rPr>
          <w:rFonts w:cs="Arial"/>
          <w:color w:val="000000" w:themeColor="text1"/>
          <w:sz w:val="22"/>
          <w:szCs w:val="22"/>
        </w:rPr>
        <w:tab/>
        <w:t xml:space="preserve">any money allocated from the Funds is not paid out for a purpose not authorised by this Act; and </w:t>
      </w:r>
    </w:p>
    <w:p w14:paraId="796BB1FE" w14:textId="77777777" w:rsidR="00A07258" w:rsidRPr="003D171D" w:rsidRDefault="00A07258" w:rsidP="003D171D">
      <w:pPr>
        <w:spacing w:line="360" w:lineRule="auto"/>
        <w:ind w:right="828" w:firstLine="720"/>
        <w:rPr>
          <w:rFonts w:cs="Arial"/>
          <w:color w:val="000000" w:themeColor="text1"/>
          <w:sz w:val="22"/>
          <w:szCs w:val="22"/>
        </w:rPr>
      </w:pPr>
      <w:r w:rsidRPr="003D171D">
        <w:rPr>
          <w:rFonts w:cs="Arial"/>
          <w:color w:val="000000" w:themeColor="text1"/>
          <w:sz w:val="22"/>
          <w:szCs w:val="22"/>
        </w:rPr>
        <w:t xml:space="preserve">(ii) </w:t>
      </w:r>
      <w:r w:rsidRPr="003D171D">
        <w:rPr>
          <w:rFonts w:cs="Arial"/>
          <w:color w:val="000000" w:themeColor="text1"/>
          <w:sz w:val="22"/>
          <w:szCs w:val="22"/>
        </w:rPr>
        <w:tab/>
        <w:t xml:space="preserve">the political party complies with this Act; </w:t>
      </w:r>
    </w:p>
    <w:p w14:paraId="33984DBE"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(c) </w:t>
      </w:r>
      <w:r w:rsidRPr="003D171D">
        <w:rPr>
          <w:rFonts w:cs="Arial"/>
          <w:color w:val="000000" w:themeColor="text1"/>
          <w:sz w:val="22"/>
          <w:szCs w:val="22"/>
        </w:rPr>
        <w:tab/>
        <w:t xml:space="preserve">keep separate books and records of account, in the prescribed manner, in respect of money allocated from the Funds and all transactions involving that money; and </w:t>
      </w:r>
    </w:p>
    <w:p w14:paraId="74EB3E39" w14:textId="77777777" w:rsidR="00A07258" w:rsidRPr="003D171D" w:rsidRDefault="00A07258" w:rsidP="003D171D">
      <w:pPr>
        <w:spacing w:line="360" w:lineRule="auto"/>
        <w:ind w:right="828" w:firstLine="720"/>
        <w:rPr>
          <w:rFonts w:cs="Arial"/>
          <w:color w:val="000000" w:themeColor="text1"/>
          <w:sz w:val="22"/>
          <w:szCs w:val="22"/>
        </w:rPr>
      </w:pPr>
      <w:r w:rsidRPr="003D171D">
        <w:rPr>
          <w:rFonts w:cs="Arial"/>
          <w:color w:val="000000" w:themeColor="text1"/>
          <w:sz w:val="22"/>
          <w:szCs w:val="22"/>
        </w:rPr>
        <w:t xml:space="preserve">(d) </w:t>
      </w:r>
      <w:r w:rsidRPr="003D171D">
        <w:rPr>
          <w:rFonts w:cs="Arial"/>
          <w:color w:val="000000" w:themeColor="text1"/>
          <w:sz w:val="22"/>
          <w:szCs w:val="22"/>
        </w:rPr>
        <w:tab/>
        <w:t xml:space="preserve">within the prescribed period – </w:t>
      </w:r>
    </w:p>
    <w:p w14:paraId="7FBF067E"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(i) </w:t>
      </w:r>
      <w:r w:rsidRPr="003D171D">
        <w:rPr>
          <w:rFonts w:cs="Arial"/>
          <w:color w:val="000000" w:themeColor="text1"/>
          <w:sz w:val="22"/>
          <w:szCs w:val="22"/>
        </w:rPr>
        <w:tab/>
        <w:t xml:space="preserve">prepare a statement showing all money received by the represented political party from the Funds during the previous financial year, the application of that money and the purposes for which the money has been applied; </w:t>
      </w:r>
    </w:p>
    <w:p w14:paraId="5E68FE4B" w14:textId="6FE4B3F4"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(ii) </w:t>
      </w:r>
      <w:r w:rsidRPr="003D171D">
        <w:rPr>
          <w:rFonts w:cs="Arial"/>
          <w:color w:val="000000" w:themeColor="text1"/>
          <w:sz w:val="22"/>
          <w:szCs w:val="22"/>
        </w:rPr>
        <w:tab/>
        <w:t xml:space="preserve">prepare a statement showing all donations and membership fees, and any levy imposed by the political party on its elected representatives during that financial year; and </w:t>
      </w:r>
    </w:p>
    <w:p w14:paraId="7CF05A16"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(iii) </w:t>
      </w:r>
      <w:r w:rsidRPr="003D171D">
        <w:rPr>
          <w:rFonts w:cs="Arial"/>
          <w:color w:val="000000" w:themeColor="text1"/>
          <w:sz w:val="22"/>
          <w:szCs w:val="22"/>
        </w:rPr>
        <w:tab/>
        <w:t xml:space="preserve">submit those statements and the books and records of account to an auditor appointed in terms of subsection (1)(d). </w:t>
      </w:r>
    </w:p>
    <w:p w14:paraId="2BBCEBD7" w14:textId="77777777" w:rsidR="00A07258" w:rsidRPr="003D171D" w:rsidRDefault="00A07258" w:rsidP="003D171D">
      <w:pPr>
        <w:spacing w:line="360" w:lineRule="auto"/>
        <w:ind w:left="720" w:right="828" w:hanging="720"/>
        <w:rPr>
          <w:rFonts w:cs="Arial"/>
          <w:color w:val="000000" w:themeColor="text1"/>
          <w:sz w:val="22"/>
          <w:szCs w:val="22"/>
        </w:rPr>
      </w:pPr>
      <w:r w:rsidRPr="003D171D">
        <w:rPr>
          <w:rFonts w:cs="Arial"/>
          <w:color w:val="000000" w:themeColor="text1"/>
          <w:sz w:val="22"/>
          <w:szCs w:val="22"/>
        </w:rPr>
        <w:lastRenderedPageBreak/>
        <w:t xml:space="preserve">(3) </w:t>
      </w:r>
      <w:r w:rsidRPr="003D171D">
        <w:rPr>
          <w:rFonts w:cs="Arial"/>
          <w:color w:val="000000" w:themeColor="text1"/>
          <w:sz w:val="22"/>
          <w:szCs w:val="22"/>
        </w:rPr>
        <w:tab/>
        <w:t xml:space="preserve">On receipt of the statements, books and records contemplated in subsection (2)(d)(iii), the auditor must perform an audit of the financial statements and express an opinion on those statements – </w:t>
      </w:r>
    </w:p>
    <w:p w14:paraId="09B055AD"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(a) </w:t>
      </w:r>
      <w:r w:rsidRPr="003D171D">
        <w:rPr>
          <w:rFonts w:cs="Arial"/>
          <w:color w:val="000000" w:themeColor="text1"/>
          <w:sz w:val="22"/>
          <w:szCs w:val="22"/>
        </w:rPr>
        <w:tab/>
        <w:t xml:space="preserve">indicating whether the donations received by the political party comply with section 8(1); </w:t>
      </w:r>
    </w:p>
    <w:p w14:paraId="4CD374A9" w14:textId="77777777" w:rsidR="00A07258" w:rsidRPr="003D171D" w:rsidRDefault="00A07258" w:rsidP="003D171D">
      <w:pPr>
        <w:spacing w:line="360" w:lineRule="auto"/>
        <w:ind w:right="828" w:firstLine="720"/>
        <w:rPr>
          <w:rFonts w:cs="Arial"/>
          <w:color w:val="000000" w:themeColor="text1"/>
          <w:sz w:val="22"/>
          <w:szCs w:val="22"/>
        </w:rPr>
      </w:pPr>
      <w:r w:rsidRPr="003D171D">
        <w:rPr>
          <w:rFonts w:cs="Arial"/>
          <w:color w:val="000000" w:themeColor="text1"/>
          <w:sz w:val="22"/>
          <w:szCs w:val="22"/>
        </w:rPr>
        <w:t xml:space="preserve">(b) </w:t>
      </w:r>
      <w:r w:rsidRPr="003D171D">
        <w:rPr>
          <w:rFonts w:cs="Arial"/>
          <w:color w:val="000000" w:themeColor="text1"/>
          <w:sz w:val="22"/>
          <w:szCs w:val="22"/>
        </w:rPr>
        <w:tab/>
        <w:t xml:space="preserve">listing the donations required to be disclosed in terms of section 9(1); </w:t>
      </w:r>
    </w:p>
    <w:p w14:paraId="672F54AE" w14:textId="77777777" w:rsidR="00A07258" w:rsidRPr="003D171D" w:rsidRDefault="00A07258" w:rsidP="003D171D">
      <w:pPr>
        <w:spacing w:line="360" w:lineRule="auto"/>
        <w:ind w:right="828" w:firstLine="720"/>
        <w:rPr>
          <w:rFonts w:cs="Arial"/>
          <w:color w:val="000000" w:themeColor="text1"/>
          <w:sz w:val="22"/>
          <w:szCs w:val="22"/>
        </w:rPr>
      </w:pPr>
      <w:r w:rsidRPr="003D171D">
        <w:rPr>
          <w:rFonts w:cs="Arial"/>
          <w:color w:val="000000" w:themeColor="text1"/>
          <w:sz w:val="22"/>
          <w:szCs w:val="22"/>
        </w:rPr>
        <w:t xml:space="preserve">(c) </w:t>
      </w:r>
      <w:r w:rsidRPr="003D171D">
        <w:rPr>
          <w:rFonts w:cs="Arial"/>
          <w:color w:val="000000" w:themeColor="text1"/>
          <w:sz w:val="22"/>
          <w:szCs w:val="22"/>
        </w:rPr>
        <w:tab/>
        <w:t xml:space="preserve">listing the donations under the threshold prescribed in section 9(1); </w:t>
      </w:r>
    </w:p>
    <w:p w14:paraId="1DD07686" w14:textId="77777777" w:rsidR="00A07258" w:rsidRPr="003D171D" w:rsidRDefault="00A07258"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(d) </w:t>
      </w:r>
      <w:r w:rsidRPr="003D171D">
        <w:rPr>
          <w:rFonts w:cs="Arial"/>
          <w:color w:val="000000" w:themeColor="text1"/>
          <w:sz w:val="22"/>
          <w:szCs w:val="22"/>
        </w:rPr>
        <w:tab/>
        <w:t>indicating whether any income was received by the political party other than provided for in terms of this Act;</w:t>
      </w:r>
    </w:p>
    <w:p w14:paraId="615FA7F4" w14:textId="72AD4D87" w:rsidR="00A07258" w:rsidRPr="003D171D" w:rsidRDefault="003D171D" w:rsidP="003D171D">
      <w:pPr>
        <w:spacing w:line="360" w:lineRule="auto"/>
        <w:ind w:left="1440" w:right="828" w:hanging="720"/>
        <w:rPr>
          <w:rFonts w:cs="Arial"/>
          <w:color w:val="000000" w:themeColor="text1"/>
          <w:sz w:val="22"/>
          <w:szCs w:val="22"/>
        </w:rPr>
      </w:pPr>
      <w:r w:rsidRPr="003D171D">
        <w:rPr>
          <w:rFonts w:cs="Arial"/>
          <w:color w:val="000000" w:themeColor="text1"/>
          <w:sz w:val="22"/>
          <w:szCs w:val="22"/>
        </w:rPr>
        <w:t xml:space="preserve">(e) </w:t>
      </w:r>
      <w:r w:rsidRPr="003D171D">
        <w:rPr>
          <w:rFonts w:cs="Arial"/>
          <w:color w:val="000000" w:themeColor="text1"/>
          <w:sz w:val="22"/>
          <w:szCs w:val="22"/>
        </w:rPr>
        <w:tab/>
      </w:r>
      <w:r w:rsidR="00A07258" w:rsidRPr="003D171D">
        <w:rPr>
          <w:rFonts w:cs="Arial"/>
          <w:color w:val="000000" w:themeColor="text1"/>
          <w:sz w:val="22"/>
          <w:szCs w:val="22"/>
        </w:rPr>
        <w:t xml:space="preserve">indicating whether the transactions in the financial statements related to the money allocated from the Funds are in accordance with this Act; and </w:t>
      </w:r>
    </w:p>
    <w:p w14:paraId="2DBB1B1A" w14:textId="77777777" w:rsidR="00A07258" w:rsidRPr="003D171D" w:rsidRDefault="00A07258" w:rsidP="003D171D">
      <w:pPr>
        <w:spacing w:line="360" w:lineRule="auto"/>
        <w:ind w:left="720" w:right="828"/>
        <w:rPr>
          <w:rFonts w:cs="Arial"/>
          <w:color w:val="000000" w:themeColor="text1"/>
          <w:sz w:val="22"/>
          <w:szCs w:val="22"/>
        </w:rPr>
      </w:pPr>
      <w:r w:rsidRPr="003D171D">
        <w:rPr>
          <w:rFonts w:cs="Arial"/>
          <w:color w:val="000000" w:themeColor="text1"/>
          <w:sz w:val="22"/>
          <w:szCs w:val="22"/>
        </w:rPr>
        <w:t xml:space="preserve">(f) </w:t>
      </w:r>
      <w:r w:rsidRPr="003D171D">
        <w:rPr>
          <w:rFonts w:cs="Arial"/>
          <w:color w:val="000000" w:themeColor="text1"/>
          <w:sz w:val="22"/>
          <w:szCs w:val="22"/>
        </w:rPr>
        <w:tab/>
        <w:t xml:space="preserve">indicating whether any money lent to a political party is on commercial terms. </w:t>
      </w:r>
    </w:p>
    <w:p w14:paraId="7E0B77A7" w14:textId="77777777" w:rsidR="00A07258" w:rsidRPr="003D171D" w:rsidRDefault="00A07258" w:rsidP="003D171D">
      <w:pPr>
        <w:spacing w:line="360" w:lineRule="auto"/>
        <w:ind w:left="720" w:right="828" w:hanging="720"/>
        <w:rPr>
          <w:rFonts w:cs="Arial"/>
          <w:color w:val="000000" w:themeColor="text1"/>
          <w:sz w:val="22"/>
          <w:szCs w:val="22"/>
        </w:rPr>
      </w:pPr>
      <w:r w:rsidRPr="003D171D">
        <w:rPr>
          <w:rFonts w:cs="Arial"/>
          <w:color w:val="000000" w:themeColor="text1"/>
          <w:sz w:val="22"/>
          <w:szCs w:val="22"/>
        </w:rPr>
        <w:t xml:space="preserve">(4) </w:t>
      </w:r>
      <w:r w:rsidRPr="003D171D">
        <w:rPr>
          <w:rFonts w:cs="Arial"/>
          <w:color w:val="000000" w:themeColor="text1"/>
          <w:sz w:val="22"/>
          <w:szCs w:val="22"/>
        </w:rPr>
        <w:tab/>
        <w:t xml:space="preserve">The accounting officer must submit the auditor’s opinion and audited financial statements to the Commission within the prescribed period. </w:t>
      </w:r>
    </w:p>
    <w:p w14:paraId="18FA3F40" w14:textId="1C964511" w:rsidR="00A07258" w:rsidRPr="003D171D" w:rsidRDefault="00A07258" w:rsidP="003D171D">
      <w:pPr>
        <w:spacing w:line="360" w:lineRule="auto"/>
        <w:ind w:left="567" w:right="828" w:hanging="567"/>
        <w:rPr>
          <w:rFonts w:cs="Arial"/>
          <w:color w:val="000000" w:themeColor="text1"/>
          <w:sz w:val="22"/>
          <w:szCs w:val="22"/>
        </w:rPr>
      </w:pPr>
      <w:r w:rsidRPr="003D171D">
        <w:rPr>
          <w:rFonts w:cs="Arial"/>
          <w:color w:val="000000" w:themeColor="text1"/>
          <w:sz w:val="22"/>
          <w:szCs w:val="22"/>
        </w:rPr>
        <w:t xml:space="preserve">(5) </w:t>
      </w:r>
      <w:r w:rsidRPr="003D171D">
        <w:rPr>
          <w:rFonts w:cs="Arial"/>
          <w:color w:val="000000" w:themeColor="text1"/>
          <w:sz w:val="22"/>
          <w:szCs w:val="22"/>
        </w:rPr>
        <w:tab/>
        <w:t>The Auditor-General may at any reasonable time audit any represented political party’s books, records of account and financial statements relating to money allocated to the party from the Re</w:t>
      </w:r>
      <w:r w:rsidR="003D171D">
        <w:rPr>
          <w:rFonts w:cs="Arial"/>
          <w:color w:val="000000" w:themeColor="text1"/>
          <w:sz w:val="22"/>
          <w:szCs w:val="22"/>
        </w:rPr>
        <w:t>presented Political Party Fund.’</w:t>
      </w:r>
    </w:p>
    <w:p w14:paraId="2982565A" w14:textId="77777777" w:rsidR="003D171D" w:rsidRDefault="00290B11" w:rsidP="003D171D">
      <w:pPr>
        <w:pStyle w:val="WLGLevel1"/>
        <w:numPr>
          <w:ilvl w:val="0"/>
          <w:numId w:val="0"/>
        </w:numPr>
        <w:spacing w:after="0" w:line="360" w:lineRule="auto"/>
        <w:ind w:left="567" w:hanging="567"/>
        <w:rPr>
          <w:rFonts w:cs="Arial"/>
          <w:iCs/>
          <w:color w:val="000000" w:themeColor="text1"/>
          <w:szCs w:val="24"/>
          <w:lang w:val="en-GB"/>
        </w:rPr>
      </w:pPr>
      <w:r w:rsidRPr="007F6548">
        <w:rPr>
          <w:rFonts w:cs="Arial"/>
          <w:iCs/>
          <w:color w:val="000000" w:themeColor="text1"/>
          <w:szCs w:val="24"/>
          <w:lang w:val="en-GB"/>
        </w:rPr>
        <w:t>[1</w:t>
      </w:r>
      <w:r w:rsidR="006E4EFD" w:rsidRPr="007F6548">
        <w:rPr>
          <w:rFonts w:cs="Arial"/>
          <w:iCs/>
          <w:color w:val="000000" w:themeColor="text1"/>
          <w:szCs w:val="24"/>
          <w:lang w:val="en-GB"/>
        </w:rPr>
        <w:t>3</w:t>
      </w:r>
      <w:r w:rsidRPr="007F6548">
        <w:rPr>
          <w:rFonts w:cs="Arial"/>
          <w:iCs/>
          <w:color w:val="000000" w:themeColor="text1"/>
          <w:szCs w:val="24"/>
          <w:lang w:val="en-GB"/>
        </w:rPr>
        <w:t>]</w:t>
      </w:r>
      <w:r w:rsidRPr="007F6548">
        <w:rPr>
          <w:rFonts w:cs="Arial"/>
          <w:iCs/>
          <w:color w:val="000000" w:themeColor="text1"/>
          <w:szCs w:val="24"/>
          <w:lang w:val="en-GB"/>
        </w:rPr>
        <w:tab/>
      </w:r>
      <w:r w:rsidR="003F6187" w:rsidRPr="007F6548">
        <w:rPr>
          <w:rFonts w:cs="Arial"/>
          <w:iCs/>
          <w:color w:val="000000" w:themeColor="text1"/>
          <w:szCs w:val="24"/>
          <w:lang w:val="en-GB"/>
        </w:rPr>
        <w:t>Section 8</w:t>
      </w:r>
      <w:r w:rsidR="00FF1CF2" w:rsidRPr="007F6548">
        <w:rPr>
          <w:rFonts w:cs="Arial"/>
          <w:iCs/>
          <w:color w:val="000000" w:themeColor="text1"/>
          <w:szCs w:val="24"/>
          <w:lang w:val="en-GB"/>
        </w:rPr>
        <w:t xml:space="preserve"> prohibits parties from receiving </w:t>
      </w:r>
      <w:r w:rsidR="00B96EA9" w:rsidRPr="007F6548">
        <w:rPr>
          <w:rFonts w:cs="Arial"/>
          <w:iCs/>
          <w:color w:val="000000" w:themeColor="text1"/>
          <w:szCs w:val="24"/>
          <w:lang w:val="en-GB"/>
        </w:rPr>
        <w:t xml:space="preserve">certain donations. It </w:t>
      </w:r>
      <w:r w:rsidR="003F6187" w:rsidRPr="007F6548">
        <w:rPr>
          <w:rFonts w:cs="Arial"/>
          <w:iCs/>
          <w:color w:val="000000" w:themeColor="text1"/>
          <w:szCs w:val="24"/>
          <w:lang w:val="en-GB"/>
        </w:rPr>
        <w:t>provides as follows:</w:t>
      </w:r>
    </w:p>
    <w:p w14:paraId="375EBCDF" w14:textId="5C948EFA" w:rsidR="003D171D" w:rsidRPr="00DA1184" w:rsidRDefault="00DA1184" w:rsidP="003D171D">
      <w:pPr>
        <w:pStyle w:val="WLGLevel1"/>
        <w:numPr>
          <w:ilvl w:val="0"/>
          <w:numId w:val="0"/>
        </w:numPr>
        <w:spacing w:before="0" w:after="0" w:line="360" w:lineRule="auto"/>
        <w:ind w:left="567" w:hanging="567"/>
        <w:rPr>
          <w:rFonts w:cs="Arial"/>
          <w:b/>
          <w:bCs/>
          <w:iCs/>
          <w:color w:val="000000" w:themeColor="text1"/>
          <w:sz w:val="22"/>
          <w:szCs w:val="22"/>
          <w:lang w:eastAsia="en-ZA"/>
        </w:rPr>
      </w:pPr>
      <w:r w:rsidRPr="00DA1184">
        <w:rPr>
          <w:rFonts w:cs="Arial"/>
          <w:bCs/>
          <w:iCs/>
          <w:color w:val="000000" w:themeColor="text1"/>
          <w:sz w:val="22"/>
          <w:szCs w:val="22"/>
          <w:lang w:eastAsia="en-ZA"/>
        </w:rPr>
        <w:t>‘</w:t>
      </w:r>
      <w:r w:rsidR="00B96EA9" w:rsidRPr="00DA1184">
        <w:rPr>
          <w:rFonts w:cs="Arial"/>
          <w:b/>
          <w:bCs/>
          <w:iCs/>
          <w:color w:val="000000" w:themeColor="text1"/>
          <w:sz w:val="22"/>
          <w:szCs w:val="22"/>
          <w:lang w:eastAsia="en-ZA"/>
        </w:rPr>
        <w:t>Prohibited donations</w:t>
      </w:r>
      <w:bookmarkStart w:id="6" w:name="0-0-0-142481"/>
      <w:bookmarkEnd w:id="6"/>
    </w:p>
    <w:p w14:paraId="78BCF6A0" w14:textId="77777777" w:rsidR="003D171D" w:rsidRPr="00DA1184" w:rsidRDefault="00B96EA9" w:rsidP="003D171D">
      <w:pPr>
        <w:pStyle w:val="WLGLevel1"/>
        <w:numPr>
          <w:ilvl w:val="0"/>
          <w:numId w:val="0"/>
        </w:numPr>
        <w:spacing w:before="0" w:after="0" w:line="360" w:lineRule="auto"/>
        <w:ind w:left="567" w:hanging="567"/>
        <w:rPr>
          <w:rFonts w:cs="Arial"/>
          <w:iCs/>
          <w:color w:val="000000" w:themeColor="text1"/>
          <w:sz w:val="22"/>
          <w:szCs w:val="22"/>
          <w:lang w:eastAsia="en-ZA"/>
        </w:rPr>
      </w:pPr>
      <w:r w:rsidRPr="00DA1184">
        <w:rPr>
          <w:rFonts w:cs="Arial"/>
          <w:iCs/>
          <w:color w:val="000000" w:themeColor="text1"/>
          <w:sz w:val="22"/>
          <w:szCs w:val="22"/>
          <w:lang w:eastAsia="en-ZA"/>
        </w:rPr>
        <w:t>(1) Political parties may not accept a donation from any of the following sources:</w:t>
      </w:r>
      <w:bookmarkStart w:id="7" w:name="0-0-0-142483"/>
      <w:bookmarkEnd w:id="7"/>
    </w:p>
    <w:p w14:paraId="39B36003" w14:textId="3A80C2C6" w:rsidR="00B96EA9" w:rsidRPr="00DA1184" w:rsidRDefault="00B96EA9" w:rsidP="003D171D">
      <w:pPr>
        <w:pStyle w:val="WLGLevel1"/>
        <w:numPr>
          <w:ilvl w:val="0"/>
          <w:numId w:val="0"/>
        </w:numPr>
        <w:spacing w:before="0" w:after="0" w:line="360" w:lineRule="auto"/>
        <w:ind w:left="851" w:firstLine="153"/>
        <w:rPr>
          <w:rFonts w:cs="Arial"/>
          <w:iCs/>
          <w:color w:val="000000" w:themeColor="text1"/>
          <w:sz w:val="22"/>
          <w:szCs w:val="22"/>
          <w:lang w:val="en-GB"/>
        </w:rPr>
      </w:pPr>
      <w:r w:rsidRPr="00DA1184">
        <w:rPr>
          <w:rFonts w:cs="Arial"/>
          <w:iCs/>
          <w:color w:val="000000" w:themeColor="text1"/>
          <w:sz w:val="22"/>
          <w:szCs w:val="22"/>
          <w:lang w:eastAsia="en-ZA"/>
        </w:rPr>
        <w:t>(a)Foreign governments or foreign government agencies;</w:t>
      </w:r>
    </w:p>
    <w:p w14:paraId="31772DC1" w14:textId="4C4EBF85" w:rsidR="00B96EA9" w:rsidRPr="00DA1184" w:rsidRDefault="00B96EA9" w:rsidP="003D171D">
      <w:pPr>
        <w:suppressAutoHyphens w:val="0"/>
        <w:spacing w:line="360" w:lineRule="auto"/>
        <w:ind w:left="1004"/>
        <w:rPr>
          <w:rFonts w:cs="Arial"/>
          <w:iCs/>
          <w:color w:val="000000" w:themeColor="text1"/>
          <w:sz w:val="22"/>
          <w:szCs w:val="22"/>
          <w:lang w:eastAsia="en-ZA"/>
        </w:rPr>
      </w:pPr>
      <w:bookmarkStart w:id="8" w:name="0-0-0-142485"/>
      <w:bookmarkEnd w:id="8"/>
      <w:r w:rsidRPr="00DA1184">
        <w:rPr>
          <w:rFonts w:cs="Arial"/>
          <w:iCs/>
          <w:color w:val="000000" w:themeColor="text1"/>
          <w:sz w:val="22"/>
          <w:szCs w:val="22"/>
          <w:lang w:eastAsia="en-ZA"/>
        </w:rPr>
        <w:t>(b)subject to subsection (4), foreign persons or entities;</w:t>
      </w:r>
    </w:p>
    <w:p w14:paraId="442316B6" w14:textId="64E96804" w:rsidR="00B96EA9" w:rsidRPr="00DA1184" w:rsidRDefault="00B96EA9" w:rsidP="003D171D">
      <w:pPr>
        <w:suppressAutoHyphens w:val="0"/>
        <w:spacing w:line="360" w:lineRule="auto"/>
        <w:ind w:left="1004"/>
        <w:rPr>
          <w:rFonts w:cs="Arial"/>
          <w:iCs/>
          <w:color w:val="000000" w:themeColor="text1"/>
          <w:sz w:val="22"/>
          <w:szCs w:val="22"/>
          <w:lang w:eastAsia="en-ZA"/>
        </w:rPr>
      </w:pPr>
      <w:bookmarkStart w:id="9" w:name="0-0-0-142487"/>
      <w:bookmarkEnd w:id="9"/>
      <w:r w:rsidRPr="00DA1184">
        <w:rPr>
          <w:rFonts w:cs="Arial"/>
          <w:iCs/>
          <w:color w:val="000000" w:themeColor="text1"/>
          <w:sz w:val="22"/>
          <w:szCs w:val="22"/>
          <w:lang w:eastAsia="en-ZA"/>
        </w:rPr>
        <w:t>(c)organs of state; or</w:t>
      </w:r>
    </w:p>
    <w:p w14:paraId="112B168B" w14:textId="159E40D3" w:rsidR="00B96EA9" w:rsidRPr="00DA1184" w:rsidRDefault="00B96EA9" w:rsidP="003D171D">
      <w:pPr>
        <w:suppressAutoHyphens w:val="0"/>
        <w:spacing w:line="360" w:lineRule="auto"/>
        <w:ind w:left="1004"/>
        <w:rPr>
          <w:rFonts w:cs="Arial"/>
          <w:iCs/>
          <w:color w:val="000000" w:themeColor="text1"/>
          <w:sz w:val="22"/>
          <w:szCs w:val="22"/>
          <w:lang w:eastAsia="en-ZA"/>
        </w:rPr>
      </w:pPr>
      <w:bookmarkStart w:id="10" w:name="0-0-0-142489"/>
      <w:bookmarkEnd w:id="10"/>
      <w:r w:rsidRPr="00DA1184">
        <w:rPr>
          <w:rFonts w:cs="Arial"/>
          <w:iCs/>
          <w:color w:val="000000" w:themeColor="text1"/>
          <w:sz w:val="22"/>
          <w:szCs w:val="22"/>
          <w:lang w:eastAsia="en-ZA"/>
        </w:rPr>
        <w:t>(d)state-owned enterprises.</w:t>
      </w:r>
    </w:p>
    <w:p w14:paraId="3D0C7E7B" w14:textId="77777777" w:rsidR="00B96EA9" w:rsidRPr="00DA1184" w:rsidRDefault="00B96EA9" w:rsidP="003D171D">
      <w:pPr>
        <w:suppressAutoHyphens w:val="0"/>
        <w:spacing w:line="360" w:lineRule="auto"/>
        <w:rPr>
          <w:rFonts w:cs="Arial"/>
          <w:iCs/>
          <w:color w:val="000000" w:themeColor="text1"/>
          <w:sz w:val="22"/>
          <w:szCs w:val="22"/>
          <w:lang w:eastAsia="en-ZA"/>
        </w:rPr>
      </w:pPr>
      <w:bookmarkStart w:id="11" w:name="0-0-0-142491"/>
      <w:bookmarkEnd w:id="11"/>
      <w:r w:rsidRPr="00DA1184">
        <w:rPr>
          <w:rFonts w:cs="Arial"/>
          <w:iCs/>
          <w:color w:val="000000" w:themeColor="text1"/>
          <w:sz w:val="22"/>
          <w:szCs w:val="22"/>
          <w:lang w:eastAsia="en-ZA"/>
        </w:rPr>
        <w:t>(2) A political party may not accept a donation from a person or entity in excess of the prescribed amount within a financial year.</w:t>
      </w:r>
    </w:p>
    <w:p w14:paraId="235D0010" w14:textId="77777777" w:rsidR="00B96EA9" w:rsidRPr="00DA1184" w:rsidRDefault="00B96EA9" w:rsidP="003D171D">
      <w:pPr>
        <w:suppressAutoHyphens w:val="0"/>
        <w:spacing w:line="360" w:lineRule="auto"/>
        <w:rPr>
          <w:rFonts w:cs="Arial"/>
          <w:iCs/>
          <w:color w:val="000000" w:themeColor="text1"/>
          <w:sz w:val="22"/>
          <w:szCs w:val="22"/>
          <w:lang w:eastAsia="en-ZA"/>
        </w:rPr>
      </w:pPr>
      <w:bookmarkStart w:id="12" w:name="0-0-0-142493"/>
      <w:bookmarkEnd w:id="12"/>
      <w:r w:rsidRPr="00DA1184">
        <w:rPr>
          <w:rFonts w:cs="Arial"/>
          <w:iCs/>
          <w:color w:val="000000" w:themeColor="text1"/>
          <w:sz w:val="22"/>
          <w:szCs w:val="22"/>
          <w:lang w:eastAsia="en-ZA"/>
        </w:rPr>
        <w:t>(3) A political party may not accept a donation that it knows or ought reasonably to have known, or suspected, originates from the proceeds of crime and must report that knowledge or suspicion to the Commission.</w:t>
      </w:r>
    </w:p>
    <w:p w14:paraId="41D83550" w14:textId="6DFDEAAB" w:rsidR="00B96EA9" w:rsidRPr="00DA1184" w:rsidRDefault="00B96EA9" w:rsidP="003D171D">
      <w:pPr>
        <w:suppressAutoHyphens w:val="0"/>
        <w:spacing w:line="360" w:lineRule="auto"/>
        <w:rPr>
          <w:rFonts w:cs="Arial"/>
          <w:iCs/>
          <w:color w:val="000000" w:themeColor="text1"/>
          <w:sz w:val="22"/>
          <w:szCs w:val="22"/>
          <w:lang w:eastAsia="en-ZA"/>
        </w:rPr>
      </w:pPr>
      <w:bookmarkStart w:id="13" w:name="0-0-0-142495"/>
      <w:bookmarkEnd w:id="13"/>
      <w:r w:rsidRPr="00DA1184">
        <w:rPr>
          <w:rFonts w:cs="Arial"/>
          <w:iCs/>
          <w:color w:val="000000" w:themeColor="text1"/>
          <w:sz w:val="22"/>
          <w:szCs w:val="22"/>
          <w:lang w:eastAsia="en-ZA"/>
        </w:rPr>
        <w:t>(4) Subject to subsection (5), nothing in subsection (1)(</w:t>
      </w:r>
      <w:r w:rsidR="003D171D" w:rsidRPr="00DA1184">
        <w:rPr>
          <w:rFonts w:cs="Arial"/>
          <w:iCs/>
          <w:color w:val="000000" w:themeColor="text1"/>
          <w:sz w:val="22"/>
          <w:szCs w:val="22"/>
          <w:lang w:eastAsia="en-ZA"/>
        </w:rPr>
        <w:t>b) prevents</w:t>
      </w:r>
      <w:r w:rsidRPr="00DA1184">
        <w:rPr>
          <w:rFonts w:cs="Arial"/>
          <w:iCs/>
          <w:color w:val="000000" w:themeColor="text1"/>
          <w:sz w:val="22"/>
          <w:szCs w:val="22"/>
          <w:lang w:eastAsia="en-ZA"/>
        </w:rPr>
        <w:t xml:space="preserve"> a political party from accepting donations from foreign entities for the purpose of-</w:t>
      </w:r>
    </w:p>
    <w:p w14:paraId="1E820D30" w14:textId="5AA39B42" w:rsidR="00B96EA9" w:rsidRPr="00DA1184" w:rsidRDefault="00B96EA9" w:rsidP="003D171D">
      <w:pPr>
        <w:suppressAutoHyphens w:val="0"/>
        <w:spacing w:line="360" w:lineRule="auto"/>
        <w:ind w:left="1004" w:hanging="284"/>
        <w:rPr>
          <w:rFonts w:cs="Arial"/>
          <w:iCs/>
          <w:color w:val="000000" w:themeColor="text1"/>
          <w:sz w:val="22"/>
          <w:szCs w:val="22"/>
          <w:lang w:eastAsia="en-ZA"/>
        </w:rPr>
      </w:pPr>
      <w:bookmarkStart w:id="14" w:name="0-0-0-142497"/>
      <w:bookmarkEnd w:id="14"/>
      <w:r w:rsidRPr="00DA1184">
        <w:rPr>
          <w:rFonts w:cs="Arial"/>
          <w:iCs/>
          <w:color w:val="000000" w:themeColor="text1"/>
          <w:sz w:val="22"/>
          <w:szCs w:val="22"/>
          <w:lang w:eastAsia="en-ZA"/>
        </w:rPr>
        <w:t>(a)training or skills development of a member of a political party; or</w:t>
      </w:r>
    </w:p>
    <w:p w14:paraId="7E40BD14" w14:textId="6BBC7B75" w:rsidR="00B96EA9" w:rsidRPr="00DA1184" w:rsidRDefault="00B96EA9" w:rsidP="003D171D">
      <w:pPr>
        <w:suppressAutoHyphens w:val="0"/>
        <w:spacing w:line="360" w:lineRule="auto"/>
        <w:ind w:left="1004" w:hanging="284"/>
        <w:rPr>
          <w:rFonts w:cs="Arial"/>
          <w:iCs/>
          <w:color w:val="000000" w:themeColor="text1"/>
          <w:sz w:val="22"/>
          <w:szCs w:val="22"/>
          <w:lang w:eastAsia="en-ZA"/>
        </w:rPr>
      </w:pPr>
      <w:bookmarkStart w:id="15" w:name="0-0-0-142499"/>
      <w:bookmarkEnd w:id="15"/>
      <w:r w:rsidRPr="00DA1184">
        <w:rPr>
          <w:rFonts w:cs="Arial"/>
          <w:iCs/>
          <w:color w:val="000000" w:themeColor="text1"/>
          <w:sz w:val="22"/>
          <w:szCs w:val="22"/>
          <w:lang w:eastAsia="en-ZA"/>
        </w:rPr>
        <w:t>(b)policy development by a political party.</w:t>
      </w:r>
    </w:p>
    <w:p w14:paraId="14A2B5E2" w14:textId="671F6A9A" w:rsidR="00B96EA9" w:rsidRDefault="00B96EA9" w:rsidP="003D171D">
      <w:pPr>
        <w:suppressAutoHyphens w:val="0"/>
        <w:spacing w:line="360" w:lineRule="auto"/>
        <w:rPr>
          <w:rFonts w:cs="Arial"/>
          <w:iCs/>
          <w:color w:val="000000" w:themeColor="text1"/>
          <w:sz w:val="22"/>
          <w:szCs w:val="22"/>
          <w:lang w:eastAsia="en-ZA"/>
        </w:rPr>
      </w:pPr>
      <w:bookmarkStart w:id="16" w:name="0-0-0-142501"/>
      <w:bookmarkEnd w:id="16"/>
      <w:r w:rsidRPr="00DA1184">
        <w:rPr>
          <w:rFonts w:cs="Arial"/>
          <w:iCs/>
          <w:color w:val="000000" w:themeColor="text1"/>
          <w:sz w:val="22"/>
          <w:szCs w:val="22"/>
          <w:lang w:eastAsia="en-ZA"/>
        </w:rPr>
        <w:lastRenderedPageBreak/>
        <w:t xml:space="preserve">(5) The total donations contemplated in subsection (4) is limited to a prescribed amount within a </w:t>
      </w:r>
      <w:r w:rsidR="00DA1184">
        <w:rPr>
          <w:rFonts w:cs="Arial"/>
          <w:iCs/>
          <w:color w:val="000000" w:themeColor="text1"/>
          <w:sz w:val="22"/>
          <w:szCs w:val="22"/>
          <w:lang w:eastAsia="en-ZA"/>
        </w:rPr>
        <w:t>financial year.’</w:t>
      </w:r>
    </w:p>
    <w:p w14:paraId="3B4990D4" w14:textId="77777777" w:rsidR="00DA1184" w:rsidRPr="00DA1184" w:rsidRDefault="00DA1184" w:rsidP="003D171D">
      <w:pPr>
        <w:suppressAutoHyphens w:val="0"/>
        <w:spacing w:line="360" w:lineRule="auto"/>
        <w:rPr>
          <w:rFonts w:cs="Arial"/>
          <w:iCs/>
          <w:color w:val="000000" w:themeColor="text1"/>
          <w:sz w:val="22"/>
          <w:szCs w:val="22"/>
          <w:lang w:eastAsia="en-ZA"/>
        </w:rPr>
      </w:pPr>
    </w:p>
    <w:p w14:paraId="59F4EA6E" w14:textId="77777777" w:rsidR="00DA1184" w:rsidRDefault="003F6187" w:rsidP="00DA1184">
      <w:pPr>
        <w:pStyle w:val="WLGLevel1"/>
        <w:numPr>
          <w:ilvl w:val="0"/>
          <w:numId w:val="0"/>
        </w:numPr>
        <w:spacing w:before="0" w:after="0" w:line="360" w:lineRule="auto"/>
        <w:ind w:left="567" w:hanging="567"/>
        <w:rPr>
          <w:rFonts w:cs="Arial"/>
          <w:iCs/>
          <w:color w:val="000000" w:themeColor="text1"/>
          <w:szCs w:val="24"/>
          <w:lang w:val="en-GB"/>
        </w:rPr>
      </w:pPr>
      <w:r w:rsidRPr="007F6548">
        <w:rPr>
          <w:rFonts w:cs="Arial"/>
          <w:iCs/>
          <w:color w:val="000000" w:themeColor="text1"/>
          <w:szCs w:val="24"/>
          <w:lang w:val="en-GB"/>
        </w:rPr>
        <w:t>[1</w:t>
      </w:r>
      <w:r w:rsidR="00CE05C9" w:rsidRPr="007F6548">
        <w:rPr>
          <w:rFonts w:cs="Arial"/>
          <w:iCs/>
          <w:color w:val="000000" w:themeColor="text1"/>
          <w:szCs w:val="24"/>
          <w:lang w:val="en-GB"/>
        </w:rPr>
        <w:t>4</w:t>
      </w:r>
      <w:r w:rsidRPr="007F6548">
        <w:rPr>
          <w:rFonts w:cs="Arial"/>
          <w:iCs/>
          <w:color w:val="000000" w:themeColor="text1"/>
          <w:szCs w:val="24"/>
          <w:lang w:val="en-GB"/>
        </w:rPr>
        <w:t>]</w:t>
      </w:r>
      <w:r w:rsidRPr="007F6548">
        <w:rPr>
          <w:rFonts w:cs="Arial"/>
          <w:iCs/>
          <w:color w:val="000000" w:themeColor="text1"/>
          <w:szCs w:val="24"/>
          <w:lang w:val="en-GB"/>
        </w:rPr>
        <w:tab/>
        <w:t xml:space="preserve">Section 9(1) </w:t>
      </w:r>
      <w:r w:rsidR="003E5DD9" w:rsidRPr="007F6548">
        <w:rPr>
          <w:rFonts w:cs="Arial"/>
          <w:iCs/>
          <w:color w:val="000000" w:themeColor="text1"/>
          <w:szCs w:val="24"/>
          <w:lang w:val="en-GB"/>
        </w:rPr>
        <w:t>requires political parties to disclose all the donation</w:t>
      </w:r>
      <w:r w:rsidR="00F9297D" w:rsidRPr="007F6548">
        <w:rPr>
          <w:rFonts w:cs="Arial"/>
          <w:iCs/>
          <w:color w:val="000000" w:themeColor="text1"/>
          <w:szCs w:val="24"/>
          <w:lang w:val="en-GB"/>
        </w:rPr>
        <w:t xml:space="preserve">s received. It </w:t>
      </w:r>
      <w:r w:rsidRPr="007F6548">
        <w:rPr>
          <w:rFonts w:cs="Arial"/>
          <w:iCs/>
          <w:color w:val="000000" w:themeColor="text1"/>
          <w:szCs w:val="24"/>
          <w:lang w:val="en-GB"/>
        </w:rPr>
        <w:t>provides as follows:</w:t>
      </w:r>
    </w:p>
    <w:p w14:paraId="0E4EF48C" w14:textId="6518C745" w:rsidR="00F9297D" w:rsidRPr="00DA1184" w:rsidRDefault="00DA1184" w:rsidP="00DA1184">
      <w:pPr>
        <w:pStyle w:val="WLGLevel1"/>
        <w:numPr>
          <w:ilvl w:val="0"/>
          <w:numId w:val="0"/>
        </w:numPr>
        <w:spacing w:before="0" w:after="0" w:line="360" w:lineRule="auto"/>
        <w:ind w:left="567" w:hanging="567"/>
        <w:rPr>
          <w:rFonts w:cs="Arial"/>
          <w:b/>
          <w:iCs/>
          <w:color w:val="000000" w:themeColor="text1"/>
          <w:sz w:val="22"/>
          <w:szCs w:val="22"/>
          <w:lang w:val="en-GB"/>
        </w:rPr>
      </w:pPr>
      <w:r>
        <w:rPr>
          <w:rFonts w:cs="Arial"/>
          <w:bCs/>
          <w:iCs/>
          <w:color w:val="000000" w:themeColor="text1"/>
          <w:sz w:val="22"/>
          <w:szCs w:val="22"/>
        </w:rPr>
        <w:t>‘</w:t>
      </w:r>
      <w:r w:rsidR="00F9297D" w:rsidRPr="00DA1184">
        <w:rPr>
          <w:rFonts w:cs="Arial"/>
          <w:b/>
          <w:bCs/>
          <w:iCs/>
          <w:color w:val="000000" w:themeColor="text1"/>
          <w:sz w:val="22"/>
          <w:szCs w:val="22"/>
        </w:rPr>
        <w:t>Disclosure of donations to political party</w:t>
      </w:r>
    </w:p>
    <w:p w14:paraId="06084800" w14:textId="77777777" w:rsidR="00F9297D" w:rsidRPr="00DA1184" w:rsidRDefault="00F9297D" w:rsidP="00DA1184">
      <w:pPr>
        <w:spacing w:line="360" w:lineRule="auto"/>
        <w:rPr>
          <w:rFonts w:cs="Arial"/>
          <w:iCs/>
          <w:color w:val="000000" w:themeColor="text1"/>
          <w:sz w:val="22"/>
          <w:szCs w:val="22"/>
        </w:rPr>
      </w:pPr>
      <w:bookmarkStart w:id="17" w:name="0-0-0-142505"/>
      <w:bookmarkEnd w:id="17"/>
      <w:r w:rsidRPr="00DA1184">
        <w:rPr>
          <w:rFonts w:cs="Arial"/>
          <w:iCs/>
          <w:color w:val="000000" w:themeColor="text1"/>
          <w:sz w:val="22"/>
          <w:szCs w:val="22"/>
        </w:rPr>
        <w:t>(1) A political party must disclose to the Commission all donations received-</w:t>
      </w:r>
    </w:p>
    <w:p w14:paraId="06BED0C4" w14:textId="5C4CA801" w:rsidR="00F9297D" w:rsidRPr="00DA1184" w:rsidRDefault="00F9297D" w:rsidP="00835133">
      <w:pPr>
        <w:spacing w:line="360" w:lineRule="auto"/>
        <w:ind w:firstLine="567"/>
        <w:rPr>
          <w:rFonts w:cs="Arial"/>
          <w:iCs/>
          <w:color w:val="000000" w:themeColor="text1"/>
          <w:sz w:val="22"/>
          <w:szCs w:val="22"/>
        </w:rPr>
      </w:pPr>
      <w:bookmarkStart w:id="18" w:name="0-0-0-142507"/>
      <w:bookmarkEnd w:id="18"/>
      <w:r w:rsidRPr="00DA1184">
        <w:rPr>
          <w:rFonts w:cs="Arial"/>
          <w:iCs/>
          <w:color w:val="000000" w:themeColor="text1"/>
          <w:sz w:val="22"/>
          <w:szCs w:val="22"/>
        </w:rPr>
        <w:t>(a)above the prescribed threshold; and</w:t>
      </w:r>
    </w:p>
    <w:p w14:paraId="615B9B7C" w14:textId="46FF6DCD" w:rsidR="00F9297D" w:rsidRPr="00DA1184" w:rsidRDefault="00F9297D" w:rsidP="00DA1184">
      <w:pPr>
        <w:spacing w:line="360" w:lineRule="auto"/>
        <w:ind w:left="567"/>
        <w:rPr>
          <w:rFonts w:cs="Arial"/>
          <w:iCs/>
          <w:color w:val="000000" w:themeColor="text1"/>
          <w:sz w:val="22"/>
          <w:szCs w:val="22"/>
        </w:rPr>
      </w:pPr>
      <w:bookmarkStart w:id="19" w:name="0-0-0-142509"/>
      <w:bookmarkEnd w:id="19"/>
      <w:r w:rsidRPr="00DA1184">
        <w:rPr>
          <w:rFonts w:cs="Arial"/>
          <w:iCs/>
          <w:color w:val="000000" w:themeColor="text1"/>
          <w:sz w:val="22"/>
          <w:szCs w:val="22"/>
        </w:rPr>
        <w:t>(b)in the prescribed form and manner.</w:t>
      </w:r>
    </w:p>
    <w:p w14:paraId="1268CB4D" w14:textId="77777777" w:rsidR="00F9297D" w:rsidRPr="00DA1184" w:rsidRDefault="00F9297D" w:rsidP="00835133">
      <w:pPr>
        <w:spacing w:line="360" w:lineRule="auto"/>
        <w:ind w:left="567" w:hanging="567"/>
        <w:rPr>
          <w:rFonts w:cs="Arial"/>
          <w:iCs/>
          <w:color w:val="000000" w:themeColor="text1"/>
          <w:sz w:val="22"/>
          <w:szCs w:val="22"/>
        </w:rPr>
      </w:pPr>
      <w:bookmarkStart w:id="20" w:name="0-0-0-142511"/>
      <w:bookmarkEnd w:id="20"/>
      <w:r w:rsidRPr="00DA1184">
        <w:rPr>
          <w:rFonts w:cs="Arial"/>
          <w:iCs/>
          <w:color w:val="000000" w:themeColor="text1"/>
          <w:sz w:val="22"/>
          <w:szCs w:val="22"/>
        </w:rPr>
        <w:t>(2) A juristic person or entity that makes a donation above the threshold prescribed in terms of subsection (1) (a) must disclose that donation to the Commission in the prescribed form and manner.</w:t>
      </w:r>
    </w:p>
    <w:p w14:paraId="594C07FC" w14:textId="77777777" w:rsidR="00F9297D" w:rsidRPr="00DA1184" w:rsidRDefault="00F9297D" w:rsidP="00DA1184">
      <w:pPr>
        <w:spacing w:line="360" w:lineRule="auto"/>
        <w:rPr>
          <w:rFonts w:cs="Arial"/>
          <w:iCs/>
          <w:color w:val="000000" w:themeColor="text1"/>
          <w:sz w:val="22"/>
          <w:szCs w:val="22"/>
        </w:rPr>
      </w:pPr>
      <w:bookmarkStart w:id="21" w:name="0-0-0-142513"/>
      <w:bookmarkEnd w:id="21"/>
      <w:r w:rsidRPr="00DA1184">
        <w:rPr>
          <w:rFonts w:cs="Arial"/>
          <w:iCs/>
          <w:color w:val="000000" w:themeColor="text1"/>
          <w:sz w:val="22"/>
          <w:szCs w:val="22"/>
        </w:rPr>
        <w:t>(3) The Commission must publish the donations disclosed to it in terms of subsections (1) and (2)-</w:t>
      </w:r>
    </w:p>
    <w:p w14:paraId="54DB4588" w14:textId="1717284E" w:rsidR="00F9297D" w:rsidRPr="00DA1184" w:rsidRDefault="00F9297D" w:rsidP="00DA1184">
      <w:pPr>
        <w:spacing w:line="360" w:lineRule="auto"/>
        <w:ind w:left="567"/>
        <w:rPr>
          <w:rFonts w:cs="Arial"/>
          <w:iCs/>
          <w:color w:val="000000" w:themeColor="text1"/>
          <w:sz w:val="22"/>
          <w:szCs w:val="22"/>
        </w:rPr>
      </w:pPr>
      <w:bookmarkStart w:id="22" w:name="0-0-0-142515"/>
      <w:bookmarkEnd w:id="22"/>
      <w:r w:rsidRPr="00DA1184">
        <w:rPr>
          <w:rFonts w:cs="Arial"/>
          <w:iCs/>
          <w:color w:val="000000" w:themeColor="text1"/>
          <w:sz w:val="22"/>
          <w:szCs w:val="22"/>
        </w:rPr>
        <w:t>(a)on a quarterly basis; and</w:t>
      </w:r>
    </w:p>
    <w:p w14:paraId="7B075D53" w14:textId="262DBCAE" w:rsidR="00F9297D" w:rsidRPr="00DA1184" w:rsidRDefault="00F9297D" w:rsidP="00DA1184">
      <w:pPr>
        <w:spacing w:line="360" w:lineRule="auto"/>
        <w:ind w:left="567"/>
        <w:rPr>
          <w:rFonts w:cs="Arial"/>
          <w:iCs/>
          <w:color w:val="000000" w:themeColor="text1"/>
          <w:sz w:val="22"/>
          <w:szCs w:val="22"/>
        </w:rPr>
      </w:pPr>
      <w:bookmarkStart w:id="23" w:name="0-0-0-142517"/>
      <w:bookmarkEnd w:id="23"/>
      <w:r w:rsidRPr="00DA1184">
        <w:rPr>
          <w:rFonts w:cs="Arial"/>
          <w:iCs/>
          <w:color w:val="000000" w:themeColor="text1"/>
          <w:sz w:val="22"/>
          <w:szCs w:val="22"/>
        </w:rPr>
        <w:t>(b)in the prescribed form and manner.</w:t>
      </w:r>
    </w:p>
    <w:p w14:paraId="64944112" w14:textId="71FBFA0C" w:rsidR="00F9297D" w:rsidRPr="00DA1184" w:rsidRDefault="00F9297D" w:rsidP="00DA1184">
      <w:pPr>
        <w:spacing w:line="360" w:lineRule="auto"/>
        <w:rPr>
          <w:rFonts w:cs="Arial"/>
          <w:iCs/>
          <w:color w:val="000000" w:themeColor="text1"/>
          <w:sz w:val="22"/>
          <w:szCs w:val="22"/>
        </w:rPr>
      </w:pPr>
      <w:bookmarkStart w:id="24" w:name="0-0-0-142519"/>
      <w:bookmarkEnd w:id="24"/>
      <w:r w:rsidRPr="00DA1184">
        <w:rPr>
          <w:rFonts w:cs="Arial"/>
          <w:iCs/>
          <w:color w:val="000000" w:themeColor="text1"/>
          <w:sz w:val="22"/>
          <w:szCs w:val="22"/>
        </w:rPr>
        <w:t>(4) Nothing in this section detracts from rights given effect to by the Promotion of Access to Information Act, 2000 (</w:t>
      </w:r>
      <w:r w:rsidRPr="00DA1184">
        <w:rPr>
          <w:rFonts w:eastAsiaTheme="majorEastAsia" w:cs="Arial"/>
          <w:iCs/>
          <w:color w:val="000000" w:themeColor="text1"/>
          <w:sz w:val="22"/>
          <w:szCs w:val="22"/>
        </w:rPr>
        <w:t>Act 2 of 2000</w:t>
      </w:r>
      <w:r w:rsidR="00DA1184" w:rsidRPr="00DA1184">
        <w:rPr>
          <w:rFonts w:cs="Arial"/>
          <w:iCs/>
          <w:color w:val="000000" w:themeColor="text1"/>
          <w:sz w:val="22"/>
          <w:szCs w:val="22"/>
        </w:rPr>
        <w:t>).’</w:t>
      </w:r>
    </w:p>
    <w:p w14:paraId="21B46DCB" w14:textId="70CA1F2D" w:rsidR="00A07258" w:rsidRDefault="00BC1C45" w:rsidP="00E44B8E">
      <w:pPr>
        <w:pStyle w:val="WLGLevel1"/>
        <w:numPr>
          <w:ilvl w:val="0"/>
          <w:numId w:val="0"/>
        </w:numPr>
        <w:spacing w:after="0" w:line="360" w:lineRule="auto"/>
        <w:ind w:left="567" w:hanging="567"/>
        <w:rPr>
          <w:rFonts w:cs="Arial"/>
          <w:iCs/>
          <w:color w:val="000000" w:themeColor="text1"/>
          <w:szCs w:val="24"/>
          <w:lang w:val="en-GB"/>
        </w:rPr>
      </w:pPr>
      <w:r w:rsidRPr="007F6548">
        <w:rPr>
          <w:rFonts w:cs="Arial"/>
          <w:iCs/>
          <w:color w:val="000000" w:themeColor="text1"/>
          <w:szCs w:val="24"/>
          <w:lang w:val="en-GB"/>
        </w:rPr>
        <w:t>[1</w:t>
      </w:r>
      <w:r w:rsidR="00CE05C9" w:rsidRPr="007F6548">
        <w:rPr>
          <w:rFonts w:cs="Arial"/>
          <w:iCs/>
          <w:color w:val="000000" w:themeColor="text1"/>
          <w:szCs w:val="24"/>
          <w:lang w:val="en-GB"/>
        </w:rPr>
        <w:t>5</w:t>
      </w:r>
      <w:r w:rsidRPr="007F6548">
        <w:rPr>
          <w:rFonts w:cs="Arial"/>
          <w:iCs/>
          <w:color w:val="000000" w:themeColor="text1"/>
          <w:szCs w:val="24"/>
          <w:lang w:val="en-GB"/>
        </w:rPr>
        <w:t>]</w:t>
      </w:r>
      <w:r w:rsidR="00CE05C9" w:rsidRPr="007F6548">
        <w:rPr>
          <w:rFonts w:cs="Arial"/>
          <w:iCs/>
          <w:color w:val="000000" w:themeColor="text1"/>
          <w:szCs w:val="24"/>
          <w:lang w:val="en-GB"/>
        </w:rPr>
        <w:tab/>
      </w:r>
      <w:r w:rsidR="00290B11" w:rsidRPr="007F6548">
        <w:rPr>
          <w:rFonts w:cs="Arial"/>
          <w:iCs/>
          <w:color w:val="000000" w:themeColor="text1"/>
          <w:szCs w:val="24"/>
          <w:lang w:val="en-GB"/>
        </w:rPr>
        <w:t>The following obligations flow from s</w:t>
      </w:r>
      <w:r w:rsidR="00A07258" w:rsidRPr="007F6548">
        <w:rPr>
          <w:rFonts w:cs="Arial"/>
          <w:iCs/>
          <w:color w:val="000000" w:themeColor="text1"/>
          <w:szCs w:val="24"/>
          <w:lang w:val="en-GB"/>
        </w:rPr>
        <w:t xml:space="preserve"> 12</w:t>
      </w:r>
      <w:r w:rsidR="00A85AEB">
        <w:rPr>
          <w:rFonts w:cs="Arial"/>
          <w:iCs/>
          <w:color w:val="000000" w:themeColor="text1"/>
          <w:szCs w:val="24"/>
          <w:lang w:val="en-GB"/>
        </w:rPr>
        <w:t>,</w:t>
      </w:r>
      <w:r w:rsidRPr="007F6548">
        <w:rPr>
          <w:rFonts w:cs="Arial"/>
          <w:iCs/>
          <w:color w:val="000000" w:themeColor="text1"/>
          <w:szCs w:val="24"/>
          <w:lang w:val="en-GB"/>
        </w:rPr>
        <w:t xml:space="preserve"> read with s</w:t>
      </w:r>
      <w:r w:rsidR="00236959">
        <w:rPr>
          <w:rFonts w:cs="Arial"/>
          <w:iCs/>
          <w:color w:val="000000" w:themeColor="text1"/>
          <w:szCs w:val="24"/>
          <w:lang w:val="en-GB"/>
        </w:rPr>
        <w:t xml:space="preserve"> </w:t>
      </w:r>
      <w:r w:rsidRPr="007F6548">
        <w:rPr>
          <w:rFonts w:cs="Arial"/>
          <w:iCs/>
          <w:color w:val="000000" w:themeColor="text1"/>
          <w:szCs w:val="24"/>
          <w:lang w:val="en-GB"/>
        </w:rPr>
        <w:t>8(1) and</w:t>
      </w:r>
      <w:r w:rsidR="00236959">
        <w:rPr>
          <w:rFonts w:cs="Arial"/>
          <w:iCs/>
          <w:color w:val="000000" w:themeColor="text1"/>
          <w:szCs w:val="24"/>
          <w:lang w:val="en-GB"/>
        </w:rPr>
        <w:t xml:space="preserve"> s</w:t>
      </w:r>
      <w:r w:rsidRPr="007F6548">
        <w:rPr>
          <w:rFonts w:cs="Arial"/>
          <w:iCs/>
          <w:color w:val="000000" w:themeColor="text1"/>
          <w:szCs w:val="24"/>
          <w:lang w:val="en-GB"/>
        </w:rPr>
        <w:t xml:space="preserve"> 9(1)</w:t>
      </w:r>
      <w:r w:rsidR="00290B11" w:rsidRPr="007F6548">
        <w:rPr>
          <w:rFonts w:cs="Arial"/>
          <w:iCs/>
          <w:color w:val="000000" w:themeColor="text1"/>
          <w:szCs w:val="24"/>
          <w:lang w:val="en-GB"/>
        </w:rPr>
        <w:t xml:space="preserve">: </w:t>
      </w:r>
    </w:p>
    <w:p w14:paraId="32386031"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Pr>
          <w:rFonts w:cs="Arial"/>
          <w:iCs/>
          <w:color w:val="000000" w:themeColor="text1"/>
          <w:szCs w:val="24"/>
          <w:lang w:val="en-GB"/>
        </w:rPr>
        <w:t>‘</w:t>
      </w:r>
      <w:r w:rsidRPr="0024744F">
        <w:rPr>
          <w:rFonts w:cs="Arial"/>
          <w:iCs/>
          <w:color w:val="000000" w:themeColor="text1"/>
          <w:sz w:val="22"/>
          <w:szCs w:val="22"/>
          <w:lang w:val="en-GB"/>
        </w:rPr>
        <w:t>15.1</w:t>
      </w:r>
      <w:r w:rsidRPr="0024744F">
        <w:rPr>
          <w:rFonts w:cs="Arial"/>
          <w:iCs/>
          <w:color w:val="000000" w:themeColor="text1"/>
          <w:sz w:val="22"/>
          <w:szCs w:val="22"/>
          <w:lang w:val="en-GB"/>
        </w:rPr>
        <w:tab/>
        <w:t xml:space="preserve">A political party may not accept a donation from a foreign government or agency, organs of state or state-owned enterprises.  </w:t>
      </w:r>
    </w:p>
    <w:p w14:paraId="37CF0E7E"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15.2</w:t>
      </w:r>
      <w:r w:rsidRPr="0024744F">
        <w:rPr>
          <w:rFonts w:cs="Arial"/>
          <w:iCs/>
          <w:color w:val="000000" w:themeColor="text1"/>
          <w:sz w:val="22"/>
          <w:szCs w:val="22"/>
          <w:lang w:val="en-GB"/>
        </w:rPr>
        <w:tab/>
        <w:t>A political party may receive a donation from a foreign person or entity for the purpose of training or skills development of a member of a political party or policy development by a political party.</w:t>
      </w:r>
    </w:p>
    <w:p w14:paraId="1D6BD7AF"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15.3</w:t>
      </w:r>
      <w:r w:rsidRPr="0024744F">
        <w:rPr>
          <w:rFonts w:cs="Arial"/>
          <w:iCs/>
          <w:color w:val="000000" w:themeColor="text1"/>
          <w:sz w:val="22"/>
          <w:szCs w:val="22"/>
          <w:lang w:val="en-GB"/>
        </w:rPr>
        <w:tab/>
        <w:t>Donations received by political parties may not exceed the prescribed amount of R15 million per year.</w:t>
      </w:r>
    </w:p>
    <w:p w14:paraId="4D3E1B3B"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15.4</w:t>
      </w:r>
      <w:r w:rsidRPr="0024744F">
        <w:rPr>
          <w:rFonts w:cs="Arial"/>
          <w:iCs/>
          <w:color w:val="000000" w:themeColor="text1"/>
          <w:sz w:val="22"/>
          <w:szCs w:val="22"/>
          <w:lang w:val="en-GB"/>
        </w:rPr>
        <w:tab/>
        <w:t>A party must disclose to the Commission all donations received from each donor above the prescribed threshold of R100 000 cumulative, per annum, in the prescribed form and manner.</w:t>
      </w:r>
    </w:p>
    <w:p w14:paraId="62A78B49"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15.5</w:t>
      </w:r>
      <w:r w:rsidRPr="0024744F">
        <w:rPr>
          <w:rFonts w:cs="Arial"/>
          <w:iCs/>
          <w:color w:val="000000" w:themeColor="text1"/>
          <w:sz w:val="22"/>
          <w:szCs w:val="22"/>
          <w:lang w:val="en-GB"/>
        </w:rPr>
        <w:tab/>
        <w:t>An entity that donates to a political party more than the prescribed amount of R100 000 cumulative, per annum, must disclose it to the Commission in the prescribed form and manner.</w:t>
      </w:r>
    </w:p>
    <w:p w14:paraId="50975C17"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15.6</w:t>
      </w:r>
      <w:r w:rsidRPr="0024744F">
        <w:rPr>
          <w:rFonts w:cs="Arial"/>
          <w:iCs/>
          <w:color w:val="000000" w:themeColor="text1"/>
          <w:sz w:val="22"/>
          <w:szCs w:val="22"/>
          <w:lang w:val="en-GB"/>
        </w:rPr>
        <w:tab/>
        <w:t xml:space="preserve">A party is required to keep bank accounts for the receipt of donations, fees, levies, and allocations from the Funds, and appoint an accounting officer and auditor.  </w:t>
      </w:r>
    </w:p>
    <w:p w14:paraId="59B4BFC3"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lastRenderedPageBreak/>
        <w:t>15.7</w:t>
      </w:r>
      <w:r w:rsidRPr="0024744F">
        <w:rPr>
          <w:rFonts w:cs="Arial"/>
          <w:iCs/>
          <w:color w:val="000000" w:themeColor="text1"/>
          <w:sz w:val="22"/>
          <w:szCs w:val="22"/>
          <w:lang w:val="en-GB"/>
        </w:rPr>
        <w:tab/>
        <w:t xml:space="preserve">A party’s accounting officer must keep books of account and prepare statements of the various income received including all donations it has received.  </w:t>
      </w:r>
    </w:p>
    <w:p w14:paraId="062D7AC7"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15.8</w:t>
      </w:r>
      <w:r w:rsidRPr="0024744F">
        <w:rPr>
          <w:rFonts w:cs="Arial"/>
          <w:iCs/>
          <w:color w:val="000000" w:themeColor="text1"/>
          <w:sz w:val="22"/>
          <w:szCs w:val="22"/>
          <w:lang w:val="en-GB"/>
        </w:rPr>
        <w:tab/>
        <w:t xml:space="preserve">A party must submit its statements, books and records of account to the appointed auditor. </w:t>
      </w:r>
    </w:p>
    <w:p w14:paraId="19CBDD17"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15.9</w:t>
      </w:r>
      <w:r w:rsidRPr="0024744F">
        <w:rPr>
          <w:rFonts w:cs="Arial"/>
          <w:iCs/>
          <w:color w:val="000000" w:themeColor="text1"/>
          <w:sz w:val="22"/>
          <w:szCs w:val="22"/>
          <w:lang w:val="en-GB"/>
        </w:rPr>
        <w:tab/>
        <w:t xml:space="preserve">The auditor must perform an audit of the financial statements and express an opinion on those statements that addresses the specific prohibition and disclosure requirements in ss 8 and 9.  </w:t>
      </w:r>
    </w:p>
    <w:p w14:paraId="3CED890E" w14:textId="77777777" w:rsidR="0024744F" w:rsidRPr="0024744F" w:rsidRDefault="0024744F" w:rsidP="0024744F">
      <w:pPr>
        <w:pStyle w:val="WLGLevel1"/>
        <w:numPr>
          <w:ilvl w:val="0"/>
          <w:numId w:val="0"/>
        </w:numPr>
        <w:spacing w:before="0" w:after="0" w:line="360" w:lineRule="auto"/>
        <w:ind w:left="567" w:hanging="567"/>
        <w:rPr>
          <w:rFonts w:cs="Arial"/>
          <w:iCs/>
          <w:color w:val="000000" w:themeColor="text1"/>
          <w:sz w:val="22"/>
          <w:szCs w:val="22"/>
          <w:lang w:val="en-GB"/>
        </w:rPr>
      </w:pPr>
      <w:r w:rsidRPr="0024744F">
        <w:rPr>
          <w:rFonts w:cs="Arial"/>
          <w:iCs/>
          <w:color w:val="000000" w:themeColor="text1"/>
          <w:sz w:val="22"/>
          <w:szCs w:val="22"/>
          <w:lang w:val="en-GB"/>
        </w:rPr>
        <w:t>15.10</w:t>
      </w:r>
      <w:r w:rsidRPr="0024744F">
        <w:rPr>
          <w:rFonts w:cs="Arial"/>
          <w:iCs/>
          <w:color w:val="000000" w:themeColor="text1"/>
          <w:sz w:val="22"/>
          <w:szCs w:val="22"/>
          <w:lang w:val="en-GB"/>
        </w:rPr>
        <w:tab/>
        <w:t xml:space="preserve"> After receipt of the audited financial statements and auditor’s opinion, the party’s accounting officer must submit this information to the Commission.  </w:t>
      </w:r>
    </w:p>
    <w:p w14:paraId="151AF38B" w14:textId="65D77198" w:rsidR="0024744F" w:rsidRPr="007F6548" w:rsidRDefault="0024744F" w:rsidP="0024744F">
      <w:pPr>
        <w:pStyle w:val="WLGLevel1"/>
        <w:numPr>
          <w:ilvl w:val="0"/>
          <w:numId w:val="0"/>
        </w:numPr>
        <w:spacing w:before="0" w:after="0" w:line="360" w:lineRule="auto"/>
        <w:ind w:left="567" w:hanging="567"/>
        <w:rPr>
          <w:rFonts w:cs="Arial"/>
          <w:iCs/>
          <w:color w:val="000000" w:themeColor="text1"/>
          <w:szCs w:val="24"/>
          <w:lang w:val="en-GB"/>
        </w:rPr>
      </w:pPr>
      <w:r w:rsidRPr="0024744F">
        <w:rPr>
          <w:rFonts w:cs="Arial"/>
          <w:iCs/>
          <w:color w:val="000000" w:themeColor="text1"/>
          <w:sz w:val="22"/>
          <w:szCs w:val="22"/>
          <w:lang w:val="en-GB"/>
        </w:rPr>
        <w:t xml:space="preserve">15.11 </w:t>
      </w:r>
      <w:r w:rsidRPr="0024744F">
        <w:rPr>
          <w:rFonts w:cs="Arial"/>
          <w:iCs/>
          <w:color w:val="000000" w:themeColor="text1"/>
          <w:sz w:val="22"/>
          <w:szCs w:val="22"/>
          <w:lang w:val="en-GB"/>
        </w:rPr>
        <w:tab/>
        <w:t>When a political party or accounting officer does not comply with the obligations in terms of s 12(1), (2) or (4), they commit an offence in terms of s 19(1)(b) and are subject to a fine or imprisonment in terms of s 19(2)(b).</w:t>
      </w:r>
      <w:r>
        <w:rPr>
          <w:rFonts w:cs="Arial"/>
          <w:iCs/>
          <w:color w:val="000000" w:themeColor="text1"/>
          <w:szCs w:val="24"/>
          <w:lang w:val="en-GB"/>
        </w:rPr>
        <w:t>’</w:t>
      </w:r>
    </w:p>
    <w:p w14:paraId="4CAA3EC6" w14:textId="14B696DD" w:rsidR="00A07258" w:rsidRPr="007F6548" w:rsidRDefault="0024744F" w:rsidP="00D11F97">
      <w:pPr>
        <w:pStyle w:val="WLGLevel1"/>
        <w:numPr>
          <w:ilvl w:val="0"/>
          <w:numId w:val="0"/>
        </w:numPr>
        <w:spacing w:after="0" w:line="360" w:lineRule="auto"/>
        <w:rPr>
          <w:rFonts w:cs="Arial"/>
          <w:iCs/>
          <w:color w:val="000000" w:themeColor="text1"/>
          <w:szCs w:val="24"/>
          <w:lang w:val="en-GB"/>
        </w:rPr>
      </w:pPr>
      <w:r w:rsidRPr="007F6548">
        <w:rPr>
          <w:rFonts w:cs="Arial"/>
          <w:iCs/>
          <w:color w:val="000000" w:themeColor="text1"/>
          <w:szCs w:val="24"/>
          <w:lang w:val="en-GB"/>
        </w:rPr>
        <w:t xml:space="preserve"> </w:t>
      </w:r>
      <w:r w:rsidR="00290B11" w:rsidRPr="007F6548">
        <w:rPr>
          <w:rFonts w:cs="Arial"/>
          <w:iCs/>
          <w:color w:val="000000" w:themeColor="text1"/>
          <w:szCs w:val="24"/>
          <w:lang w:val="en-GB"/>
        </w:rPr>
        <w:t>[1</w:t>
      </w:r>
      <w:r w:rsidR="00880AEF" w:rsidRPr="007F6548">
        <w:rPr>
          <w:rFonts w:cs="Arial"/>
          <w:iCs/>
          <w:color w:val="000000" w:themeColor="text1"/>
          <w:szCs w:val="24"/>
          <w:lang w:val="en-GB"/>
        </w:rPr>
        <w:t>6</w:t>
      </w:r>
      <w:r w:rsidR="00290B11" w:rsidRPr="007F6548">
        <w:rPr>
          <w:rFonts w:cs="Arial"/>
          <w:iCs/>
          <w:color w:val="000000" w:themeColor="text1"/>
          <w:szCs w:val="24"/>
          <w:lang w:val="en-GB"/>
        </w:rPr>
        <w:t>]</w:t>
      </w:r>
      <w:r w:rsidR="00290B11" w:rsidRPr="007F6548">
        <w:rPr>
          <w:rFonts w:cs="Arial"/>
          <w:iCs/>
          <w:color w:val="000000" w:themeColor="text1"/>
          <w:szCs w:val="24"/>
          <w:lang w:val="en-GB"/>
        </w:rPr>
        <w:tab/>
      </w:r>
      <w:r w:rsidR="00A07258" w:rsidRPr="007F6548">
        <w:rPr>
          <w:rFonts w:cs="Arial"/>
          <w:iCs/>
          <w:color w:val="000000" w:themeColor="text1"/>
          <w:szCs w:val="24"/>
          <w:lang w:val="en-GB"/>
        </w:rPr>
        <w:t>In terms of s 24(2)</w:t>
      </w:r>
      <w:r w:rsidR="00290B11" w:rsidRPr="007F6548">
        <w:rPr>
          <w:rFonts w:cs="Arial"/>
          <w:iCs/>
          <w:color w:val="000000" w:themeColor="text1"/>
          <w:szCs w:val="24"/>
          <w:lang w:val="en-GB"/>
        </w:rPr>
        <w:t xml:space="preserve">, </w:t>
      </w:r>
      <w:r w:rsidR="00A07258" w:rsidRPr="007F6548">
        <w:rPr>
          <w:rFonts w:cs="Arial"/>
          <w:iCs/>
          <w:color w:val="000000" w:themeColor="text1"/>
          <w:szCs w:val="24"/>
          <w:lang w:val="en-GB"/>
        </w:rPr>
        <w:t xml:space="preserve">the Commission is empowered to make regulations on any matter that may or must be prescribed by notice in the Gazette. </w:t>
      </w:r>
      <w:r w:rsidR="00290B11" w:rsidRPr="007F6548">
        <w:rPr>
          <w:rFonts w:cs="Arial"/>
          <w:iCs/>
          <w:color w:val="000000" w:themeColor="text1"/>
          <w:szCs w:val="24"/>
          <w:lang w:val="en-GB"/>
        </w:rPr>
        <w:t xml:space="preserve">It issued the Regulations referenced in paragraph </w:t>
      </w:r>
      <w:r w:rsidR="00F27004" w:rsidRPr="007F6548">
        <w:rPr>
          <w:rFonts w:cs="Arial"/>
          <w:iCs/>
          <w:color w:val="000000" w:themeColor="text1"/>
          <w:szCs w:val="24"/>
          <w:lang w:val="en-GB"/>
        </w:rPr>
        <w:t>2</w:t>
      </w:r>
      <w:r w:rsidR="00290B11" w:rsidRPr="007F6548">
        <w:rPr>
          <w:rFonts w:cs="Arial"/>
          <w:iCs/>
          <w:color w:val="000000" w:themeColor="text1"/>
          <w:szCs w:val="24"/>
          <w:lang w:val="en-GB"/>
        </w:rPr>
        <w:t xml:space="preserve"> above.</w:t>
      </w:r>
      <w:r w:rsidR="00A07258" w:rsidRPr="007F6548">
        <w:rPr>
          <w:rFonts w:cs="Arial"/>
          <w:iCs/>
          <w:color w:val="000000" w:themeColor="text1"/>
          <w:szCs w:val="24"/>
          <w:lang w:val="en-GB"/>
        </w:rPr>
        <w:t xml:space="preserve">  </w:t>
      </w:r>
      <w:r w:rsidR="008B238C" w:rsidRPr="007F6548">
        <w:rPr>
          <w:rFonts w:cs="Arial"/>
          <w:iCs/>
          <w:color w:val="000000" w:themeColor="text1"/>
          <w:szCs w:val="24"/>
          <w:lang w:val="en-GB"/>
        </w:rPr>
        <w:t xml:space="preserve">The applicants correctly contend that </w:t>
      </w:r>
      <w:r w:rsidR="00290B11" w:rsidRPr="007F6548">
        <w:rPr>
          <w:rFonts w:cs="Arial"/>
          <w:iCs/>
          <w:color w:val="000000" w:themeColor="text1"/>
          <w:szCs w:val="24"/>
          <w:lang w:val="en-GB"/>
        </w:rPr>
        <w:t xml:space="preserve">the Regulations </w:t>
      </w:r>
      <w:r w:rsidR="00171F86" w:rsidRPr="007F6548">
        <w:rPr>
          <w:rFonts w:cs="Arial"/>
          <w:iCs/>
          <w:color w:val="000000" w:themeColor="text1"/>
          <w:szCs w:val="24"/>
          <w:lang w:val="en-GB"/>
        </w:rPr>
        <w:t>constitute administrative action.</w:t>
      </w:r>
      <w:r w:rsidR="00171F86" w:rsidRPr="007F6548">
        <w:rPr>
          <w:rStyle w:val="FootnoteReference"/>
          <w:rFonts w:cs="Arial"/>
          <w:iCs/>
          <w:color w:val="000000" w:themeColor="text1"/>
          <w:szCs w:val="24"/>
          <w:lang w:val="en-GB"/>
        </w:rPr>
        <w:footnoteReference w:id="4"/>
      </w:r>
      <w:r w:rsidR="00171F86" w:rsidRPr="007F6548">
        <w:rPr>
          <w:rFonts w:cs="Arial"/>
          <w:iCs/>
          <w:color w:val="000000" w:themeColor="text1"/>
          <w:szCs w:val="24"/>
          <w:lang w:val="en-GB"/>
        </w:rPr>
        <w:t xml:space="preserve"> They </w:t>
      </w:r>
      <w:r w:rsidR="0032378B" w:rsidRPr="007F6548">
        <w:rPr>
          <w:rFonts w:cs="Arial"/>
          <w:iCs/>
          <w:color w:val="000000" w:themeColor="text1"/>
          <w:szCs w:val="24"/>
          <w:lang w:val="en-GB"/>
        </w:rPr>
        <w:t>are binding on all political parties until reviewed and set aside by</w:t>
      </w:r>
      <w:r w:rsidR="00F12AA1" w:rsidRPr="007F6548">
        <w:rPr>
          <w:rFonts w:cs="Arial"/>
          <w:iCs/>
          <w:color w:val="000000" w:themeColor="text1"/>
          <w:szCs w:val="24"/>
          <w:lang w:val="en-GB"/>
        </w:rPr>
        <w:t xml:space="preserve"> a </w:t>
      </w:r>
      <w:r w:rsidR="00171F86" w:rsidRPr="007F6548">
        <w:rPr>
          <w:rFonts w:cs="Arial"/>
          <w:iCs/>
          <w:color w:val="000000" w:themeColor="text1"/>
          <w:szCs w:val="24"/>
          <w:lang w:val="en-GB"/>
        </w:rPr>
        <w:t xml:space="preserve">competent </w:t>
      </w:r>
      <w:r w:rsidR="00C63692">
        <w:rPr>
          <w:rFonts w:cs="Arial"/>
          <w:iCs/>
          <w:color w:val="000000" w:themeColor="text1"/>
          <w:szCs w:val="24"/>
          <w:lang w:val="en-GB"/>
        </w:rPr>
        <w:t>Court</w:t>
      </w:r>
      <w:r w:rsidR="00171F86" w:rsidRPr="007F6548">
        <w:rPr>
          <w:rFonts w:cs="Arial"/>
          <w:iCs/>
          <w:color w:val="000000" w:themeColor="text1"/>
          <w:szCs w:val="24"/>
          <w:lang w:val="en-GB"/>
        </w:rPr>
        <w:t>.</w:t>
      </w:r>
      <w:r w:rsidR="00171F86" w:rsidRPr="007F6548">
        <w:rPr>
          <w:rStyle w:val="FootnoteReference"/>
          <w:rFonts w:cs="Arial"/>
          <w:iCs/>
          <w:color w:val="000000" w:themeColor="text1"/>
          <w:szCs w:val="24"/>
          <w:lang w:val="en-GB"/>
        </w:rPr>
        <w:footnoteReference w:id="5"/>
      </w:r>
      <w:r w:rsidR="00171F86" w:rsidRPr="007F6548">
        <w:rPr>
          <w:rFonts w:cs="Arial"/>
          <w:iCs/>
          <w:color w:val="000000" w:themeColor="text1"/>
          <w:szCs w:val="24"/>
          <w:lang w:val="en-GB"/>
        </w:rPr>
        <w:t xml:space="preserve"> </w:t>
      </w:r>
      <w:r w:rsidR="00A07258" w:rsidRPr="007F6548">
        <w:rPr>
          <w:rFonts w:cs="Arial"/>
          <w:iCs/>
          <w:color w:val="000000" w:themeColor="text1"/>
          <w:szCs w:val="24"/>
          <w:lang w:val="en-GB"/>
        </w:rPr>
        <w:t xml:space="preserve">Regulation 10 </w:t>
      </w:r>
      <w:r w:rsidR="00171F86" w:rsidRPr="007F6548">
        <w:rPr>
          <w:rFonts w:cs="Arial"/>
          <w:iCs/>
          <w:color w:val="000000" w:themeColor="text1"/>
          <w:szCs w:val="24"/>
          <w:lang w:val="en-GB"/>
        </w:rPr>
        <w:t>detail</w:t>
      </w:r>
      <w:r w:rsidR="00B63A9F" w:rsidRPr="007F6548">
        <w:rPr>
          <w:rFonts w:cs="Arial"/>
          <w:iCs/>
          <w:color w:val="000000" w:themeColor="text1"/>
          <w:szCs w:val="24"/>
          <w:lang w:val="en-GB"/>
        </w:rPr>
        <w:t xml:space="preserve">s </w:t>
      </w:r>
      <w:r w:rsidR="00A07258" w:rsidRPr="007F6548">
        <w:rPr>
          <w:rFonts w:cs="Arial"/>
          <w:iCs/>
          <w:color w:val="000000" w:themeColor="text1"/>
          <w:szCs w:val="24"/>
          <w:lang w:val="en-GB"/>
        </w:rPr>
        <w:t xml:space="preserve">how political parties </w:t>
      </w:r>
      <w:r w:rsidR="00B63A9F" w:rsidRPr="007F6548">
        <w:rPr>
          <w:rFonts w:cs="Arial"/>
          <w:iCs/>
          <w:color w:val="000000" w:themeColor="text1"/>
          <w:szCs w:val="24"/>
          <w:lang w:val="en-GB"/>
        </w:rPr>
        <w:t>are to</w:t>
      </w:r>
      <w:r w:rsidR="00A07258" w:rsidRPr="007F6548">
        <w:rPr>
          <w:rFonts w:cs="Arial"/>
          <w:iCs/>
          <w:color w:val="000000" w:themeColor="text1"/>
          <w:szCs w:val="24"/>
          <w:lang w:val="en-GB"/>
        </w:rPr>
        <w:t xml:space="preserve"> comply with their obligations under s 12. It </w:t>
      </w:r>
      <w:r w:rsidR="00171F86" w:rsidRPr="007F6548">
        <w:rPr>
          <w:rFonts w:cs="Arial"/>
          <w:iCs/>
          <w:color w:val="000000" w:themeColor="text1"/>
          <w:szCs w:val="24"/>
          <w:lang w:val="en-GB"/>
        </w:rPr>
        <w:t>provides as follows</w:t>
      </w:r>
      <w:r w:rsidR="00A07258" w:rsidRPr="007F6548">
        <w:rPr>
          <w:rFonts w:cs="Arial"/>
          <w:iCs/>
          <w:color w:val="000000" w:themeColor="text1"/>
          <w:szCs w:val="24"/>
          <w:lang w:val="en-GB"/>
        </w:rPr>
        <w:t>:</w:t>
      </w:r>
    </w:p>
    <w:p w14:paraId="3A371044" w14:textId="76A9D846" w:rsidR="00A07258" w:rsidRPr="00E44B8E" w:rsidRDefault="00E44B8E" w:rsidP="00E44B8E">
      <w:pPr>
        <w:spacing w:line="360" w:lineRule="auto"/>
        <w:rPr>
          <w:rFonts w:cs="Arial"/>
          <w:color w:val="000000" w:themeColor="text1"/>
          <w:sz w:val="22"/>
          <w:szCs w:val="22"/>
        </w:rPr>
      </w:pPr>
      <w:r>
        <w:rPr>
          <w:rFonts w:cs="Arial"/>
          <w:iCs/>
          <w:color w:val="000000" w:themeColor="text1"/>
          <w:sz w:val="22"/>
          <w:szCs w:val="22"/>
          <w:lang w:val="en-GB"/>
        </w:rPr>
        <w:t>‘</w:t>
      </w:r>
      <w:r w:rsidR="00A07258" w:rsidRPr="00E44B8E">
        <w:rPr>
          <w:rFonts w:cs="Arial"/>
          <w:color w:val="000000" w:themeColor="text1"/>
          <w:sz w:val="22"/>
          <w:szCs w:val="22"/>
        </w:rPr>
        <w:t>(1)</w:t>
      </w:r>
      <w:r w:rsidR="00A07258" w:rsidRPr="00E44B8E">
        <w:rPr>
          <w:rFonts w:cs="Arial"/>
          <w:color w:val="000000" w:themeColor="text1"/>
          <w:sz w:val="22"/>
          <w:szCs w:val="22"/>
        </w:rPr>
        <w:tab/>
        <w:t xml:space="preserve">The accounting officer of a represented political party, duly appointed in terms of section 12(1)(c) of </w:t>
      </w:r>
      <w:r w:rsidR="002A6BC7">
        <w:rPr>
          <w:rFonts w:cs="Arial"/>
          <w:color w:val="000000" w:themeColor="text1"/>
          <w:sz w:val="22"/>
          <w:szCs w:val="22"/>
        </w:rPr>
        <w:t>the Funding Act</w:t>
      </w:r>
      <w:r w:rsidR="00A07258" w:rsidRPr="00E44B8E">
        <w:rPr>
          <w:rFonts w:cs="Arial"/>
          <w:color w:val="000000" w:themeColor="text1"/>
          <w:sz w:val="22"/>
          <w:szCs w:val="22"/>
        </w:rPr>
        <w:t xml:space="preserve">, must keep separate books and records of account, in accordance with generally recognised accounting practice (GRAP), in respect of money allocated from the Funds and all transactions involving that money. </w:t>
      </w:r>
    </w:p>
    <w:p w14:paraId="6D77CE7A" w14:textId="4AA1F62A" w:rsidR="00A07258" w:rsidRPr="00E44B8E" w:rsidRDefault="00A07258" w:rsidP="00E44B8E">
      <w:pPr>
        <w:spacing w:line="360" w:lineRule="auto"/>
        <w:rPr>
          <w:rFonts w:cs="Arial"/>
          <w:color w:val="000000" w:themeColor="text1"/>
          <w:sz w:val="22"/>
          <w:szCs w:val="22"/>
        </w:rPr>
      </w:pPr>
      <w:r w:rsidRPr="00E44B8E">
        <w:rPr>
          <w:rFonts w:cs="Arial"/>
          <w:color w:val="000000" w:themeColor="text1"/>
          <w:sz w:val="22"/>
          <w:szCs w:val="22"/>
        </w:rPr>
        <w:t>(2)</w:t>
      </w:r>
      <w:r w:rsidRPr="00E44B8E">
        <w:rPr>
          <w:rFonts w:cs="Arial"/>
          <w:color w:val="000000" w:themeColor="text1"/>
          <w:sz w:val="22"/>
          <w:szCs w:val="22"/>
        </w:rPr>
        <w:tab/>
        <w:t xml:space="preserve">The accounting officer of a political party must - </w:t>
      </w:r>
    </w:p>
    <w:p w14:paraId="28390CFE" w14:textId="77777777" w:rsidR="00A07258" w:rsidRPr="00E44B8E" w:rsidRDefault="00A07258" w:rsidP="00E44B8E">
      <w:pPr>
        <w:spacing w:line="360" w:lineRule="auto"/>
        <w:ind w:left="720"/>
        <w:rPr>
          <w:rFonts w:cs="Arial"/>
          <w:color w:val="000000" w:themeColor="text1"/>
          <w:sz w:val="22"/>
          <w:szCs w:val="22"/>
        </w:rPr>
      </w:pPr>
      <w:r w:rsidRPr="00E44B8E">
        <w:rPr>
          <w:rFonts w:cs="Arial"/>
          <w:color w:val="000000" w:themeColor="text1"/>
          <w:sz w:val="22"/>
          <w:szCs w:val="22"/>
        </w:rPr>
        <w:t xml:space="preserve">(a) </w:t>
      </w:r>
      <w:r w:rsidRPr="00E44B8E">
        <w:rPr>
          <w:rFonts w:cs="Arial"/>
          <w:color w:val="000000" w:themeColor="text1"/>
          <w:sz w:val="22"/>
          <w:szCs w:val="22"/>
        </w:rPr>
        <w:tab/>
        <w:t xml:space="preserve">submit the details of the political party’s office bearers, its official addresses and the auditors appointed in section 12(1)(d) in forms substantially similar to PPR8, PPR9, PPR10 and PPR11. In the event of a change in respect of any details, the onus rests on the accounting officer to inform the Electoral Commission within a period of one (1) calendar month of a change thereof; </w:t>
      </w:r>
    </w:p>
    <w:p w14:paraId="2FB42AB1" w14:textId="77777777" w:rsidR="00A07258" w:rsidRPr="00E44B8E" w:rsidRDefault="00A07258" w:rsidP="00E44B8E">
      <w:pPr>
        <w:spacing w:line="360" w:lineRule="auto"/>
        <w:ind w:left="720"/>
        <w:rPr>
          <w:rFonts w:cs="Arial"/>
          <w:color w:val="000000" w:themeColor="text1"/>
          <w:sz w:val="22"/>
          <w:szCs w:val="22"/>
        </w:rPr>
      </w:pPr>
      <w:r w:rsidRPr="00E44B8E">
        <w:rPr>
          <w:rFonts w:cs="Arial"/>
          <w:color w:val="000000" w:themeColor="text1"/>
          <w:sz w:val="22"/>
          <w:szCs w:val="22"/>
        </w:rPr>
        <w:t xml:space="preserve">(b) </w:t>
      </w:r>
      <w:r w:rsidRPr="00E44B8E">
        <w:rPr>
          <w:rFonts w:cs="Arial"/>
          <w:color w:val="000000" w:themeColor="text1"/>
          <w:sz w:val="22"/>
          <w:szCs w:val="22"/>
        </w:rPr>
        <w:tab/>
        <w:t xml:space="preserve">prepare the statements contemplated in section 12(2)(d)(i) and (ii) and submit them to the appointed auditor within three months of end of the financial year; </w:t>
      </w:r>
    </w:p>
    <w:p w14:paraId="2DD6878B"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(c) </w:t>
      </w:r>
      <w:r w:rsidRPr="00E44B8E">
        <w:rPr>
          <w:rFonts w:cs="Arial"/>
          <w:color w:val="000000" w:themeColor="text1"/>
          <w:sz w:val="22"/>
          <w:szCs w:val="22"/>
        </w:rPr>
        <w:tab/>
        <w:t xml:space="preserve">in the preparation of the statements specifically account for the following - </w:t>
      </w:r>
    </w:p>
    <w:p w14:paraId="1A1A9EAA"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lastRenderedPageBreak/>
        <w:t xml:space="preserve">(i) </w:t>
      </w:r>
      <w:r w:rsidRPr="00E44B8E">
        <w:rPr>
          <w:rFonts w:cs="Arial"/>
          <w:color w:val="000000" w:themeColor="text1"/>
          <w:sz w:val="22"/>
          <w:szCs w:val="22"/>
        </w:rPr>
        <w:tab/>
        <w:t xml:space="preserve">any donations not accepted by the political party under section 8(1), (2) and (3); </w:t>
      </w:r>
    </w:p>
    <w:p w14:paraId="0A4597F5"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(ii) </w:t>
      </w:r>
      <w:r w:rsidRPr="00E44B8E">
        <w:rPr>
          <w:rFonts w:cs="Arial"/>
          <w:color w:val="000000" w:themeColor="text1"/>
          <w:sz w:val="22"/>
          <w:szCs w:val="22"/>
        </w:rPr>
        <w:tab/>
        <w:t xml:space="preserve">any donations received from foreign entities for the purposes permitted in terms of section 8(4) and what those donations were used for; </w:t>
      </w:r>
    </w:p>
    <w:p w14:paraId="2AE34E53"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(iii) </w:t>
      </w:r>
      <w:r w:rsidRPr="00E44B8E">
        <w:rPr>
          <w:rFonts w:cs="Arial"/>
          <w:color w:val="000000" w:themeColor="text1"/>
          <w:sz w:val="22"/>
          <w:szCs w:val="22"/>
        </w:rPr>
        <w:tab/>
        <w:t xml:space="preserve">all donations received in aggregate or otherwise that exceed the disclosure threshold; </w:t>
      </w:r>
    </w:p>
    <w:p w14:paraId="6D408218" w14:textId="284D2B52"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(iv) </w:t>
      </w:r>
      <w:r w:rsidRPr="00E44B8E">
        <w:rPr>
          <w:rFonts w:cs="Arial"/>
          <w:color w:val="000000" w:themeColor="text1"/>
          <w:sz w:val="22"/>
          <w:szCs w:val="22"/>
        </w:rPr>
        <w:tab/>
        <w:t xml:space="preserve">any income received by the political party other than that provided for in </w:t>
      </w:r>
      <w:r w:rsidR="002A6BC7">
        <w:rPr>
          <w:rFonts w:cs="Arial"/>
          <w:color w:val="000000" w:themeColor="text1"/>
          <w:sz w:val="22"/>
          <w:szCs w:val="22"/>
        </w:rPr>
        <w:t>the Funding Act</w:t>
      </w:r>
      <w:r w:rsidRPr="00E44B8E">
        <w:rPr>
          <w:rFonts w:cs="Arial"/>
          <w:color w:val="000000" w:themeColor="text1"/>
          <w:sz w:val="22"/>
          <w:szCs w:val="22"/>
        </w:rPr>
        <w:t xml:space="preserve">; </w:t>
      </w:r>
    </w:p>
    <w:p w14:paraId="5ECBB88B"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(v) </w:t>
      </w:r>
      <w:r w:rsidRPr="00E44B8E">
        <w:rPr>
          <w:rFonts w:cs="Arial"/>
          <w:color w:val="000000" w:themeColor="text1"/>
          <w:sz w:val="22"/>
          <w:szCs w:val="22"/>
        </w:rPr>
        <w:tab/>
        <w:t>any loans made to the political party and the terms on which the money was lent; and</w:t>
      </w:r>
    </w:p>
    <w:p w14:paraId="4873A701" w14:textId="77777777" w:rsidR="00A07258" w:rsidRPr="00E44B8E" w:rsidRDefault="00A07258" w:rsidP="00E44B8E">
      <w:pPr>
        <w:spacing w:line="360" w:lineRule="auto"/>
        <w:ind w:left="1440" w:hanging="720"/>
        <w:rPr>
          <w:rFonts w:cs="Arial"/>
          <w:color w:val="000000" w:themeColor="text1"/>
          <w:sz w:val="22"/>
          <w:szCs w:val="22"/>
        </w:rPr>
      </w:pPr>
      <w:r w:rsidRPr="00E44B8E">
        <w:rPr>
          <w:rFonts w:cs="Arial"/>
          <w:color w:val="000000" w:themeColor="text1"/>
          <w:sz w:val="22"/>
          <w:szCs w:val="22"/>
        </w:rPr>
        <w:t xml:space="preserve">(vi) </w:t>
      </w:r>
      <w:r w:rsidRPr="00E44B8E">
        <w:rPr>
          <w:rFonts w:cs="Arial"/>
          <w:color w:val="000000" w:themeColor="text1"/>
          <w:sz w:val="22"/>
          <w:szCs w:val="22"/>
        </w:rPr>
        <w:tab/>
        <w:t xml:space="preserve">a list of the bank accounts in which all donations, the membership fees, and levies imposed by the political party are deposited into a bank account opened in the name of the political party or that receive donations on behalf of the party or for use by the party in the form substantially similar to Form PPR3A; </w:t>
      </w:r>
    </w:p>
    <w:p w14:paraId="291ED7E7" w14:textId="7702FFB1" w:rsidR="00E44B8E" w:rsidRPr="00E44B8E" w:rsidRDefault="00A07258" w:rsidP="00C94588">
      <w:pPr>
        <w:spacing w:line="360" w:lineRule="auto"/>
        <w:ind w:left="1440" w:hanging="720"/>
        <w:rPr>
          <w:rFonts w:cs="Arial"/>
          <w:iCs/>
          <w:color w:val="000000" w:themeColor="text1"/>
          <w:sz w:val="22"/>
          <w:szCs w:val="22"/>
        </w:rPr>
      </w:pPr>
      <w:r w:rsidRPr="00E44B8E">
        <w:rPr>
          <w:rFonts w:cs="Arial"/>
          <w:color w:val="000000" w:themeColor="text1"/>
          <w:sz w:val="22"/>
          <w:szCs w:val="22"/>
        </w:rPr>
        <w:t xml:space="preserve">(d) </w:t>
      </w:r>
      <w:r w:rsidRPr="00E44B8E">
        <w:rPr>
          <w:rFonts w:cs="Arial"/>
          <w:color w:val="000000" w:themeColor="text1"/>
          <w:sz w:val="22"/>
          <w:szCs w:val="22"/>
        </w:rPr>
        <w:tab/>
        <w:t>submit the auditor’s opinion and audited financial statements to the Commission within six months of the end of the financial year in a form substantially similar to Form PPR12.</w:t>
      </w:r>
      <w:r w:rsidR="00E44B8E">
        <w:rPr>
          <w:rFonts w:cs="Arial"/>
          <w:iCs/>
          <w:color w:val="000000" w:themeColor="text1"/>
          <w:sz w:val="22"/>
          <w:szCs w:val="22"/>
        </w:rPr>
        <w:t>’</w:t>
      </w:r>
    </w:p>
    <w:p w14:paraId="2380FF2A" w14:textId="0BE5FAEA" w:rsidR="00C37268" w:rsidRPr="00835133" w:rsidRDefault="00171F86" w:rsidP="00053CF4">
      <w:pPr>
        <w:pStyle w:val="WLGLevel1"/>
        <w:numPr>
          <w:ilvl w:val="0"/>
          <w:numId w:val="0"/>
        </w:numPr>
        <w:spacing w:line="360" w:lineRule="auto"/>
        <w:rPr>
          <w:rFonts w:cs="Arial"/>
          <w:iCs/>
          <w:color w:val="000000" w:themeColor="text1"/>
          <w:szCs w:val="24"/>
          <w:lang w:val="en-GB"/>
        </w:rPr>
      </w:pPr>
      <w:r w:rsidRPr="007F6548">
        <w:rPr>
          <w:rFonts w:cs="Arial"/>
          <w:iCs/>
          <w:color w:val="000000" w:themeColor="text1"/>
          <w:szCs w:val="24"/>
          <w:lang w:val="en-GB"/>
        </w:rPr>
        <w:t>[1</w:t>
      </w:r>
      <w:r w:rsidR="00F37F89" w:rsidRPr="007F6548">
        <w:rPr>
          <w:rFonts w:cs="Arial"/>
          <w:iCs/>
          <w:color w:val="000000" w:themeColor="text1"/>
          <w:szCs w:val="24"/>
          <w:lang w:val="en-GB"/>
        </w:rPr>
        <w:t>7</w:t>
      </w:r>
      <w:r w:rsidRPr="007F6548">
        <w:rPr>
          <w:rFonts w:cs="Arial"/>
          <w:iCs/>
          <w:color w:val="000000" w:themeColor="text1"/>
          <w:szCs w:val="24"/>
          <w:lang w:val="en-GB"/>
        </w:rPr>
        <w:t>]</w:t>
      </w:r>
      <w:r w:rsidRPr="007F6548">
        <w:rPr>
          <w:rFonts w:cs="Arial"/>
          <w:iCs/>
          <w:color w:val="000000" w:themeColor="text1"/>
          <w:szCs w:val="24"/>
          <w:lang w:val="en-GB"/>
        </w:rPr>
        <w:tab/>
      </w:r>
      <w:r w:rsidR="00FE372C" w:rsidRPr="007F6548">
        <w:rPr>
          <w:rFonts w:cs="Arial"/>
          <w:iCs/>
          <w:color w:val="000000" w:themeColor="text1"/>
          <w:szCs w:val="24"/>
          <w:lang w:val="en-GB"/>
        </w:rPr>
        <w:t>S</w:t>
      </w:r>
      <w:r w:rsidRPr="007F6548">
        <w:rPr>
          <w:rFonts w:cs="Arial"/>
          <w:iCs/>
          <w:color w:val="000000" w:themeColor="text1"/>
          <w:szCs w:val="24"/>
          <w:lang w:val="en-GB"/>
        </w:rPr>
        <w:t xml:space="preserve">ection 12 read with Regulation 10(2)(d) requires </w:t>
      </w:r>
      <w:r w:rsidR="00A07258" w:rsidRPr="007F6548">
        <w:rPr>
          <w:rFonts w:cs="Arial"/>
          <w:iCs/>
          <w:color w:val="000000" w:themeColor="text1"/>
          <w:szCs w:val="24"/>
          <w:lang w:val="en-GB"/>
        </w:rPr>
        <w:t xml:space="preserve">political parties to submit audited AFS and an audit opinion within the prescribed 6-month period. The </w:t>
      </w:r>
      <w:r w:rsidRPr="007F6548">
        <w:rPr>
          <w:rFonts w:cs="Arial"/>
          <w:iCs/>
          <w:color w:val="000000" w:themeColor="text1"/>
          <w:szCs w:val="24"/>
          <w:lang w:val="en-GB"/>
        </w:rPr>
        <w:t>prescribed</w:t>
      </w:r>
      <w:r w:rsidR="00A07258" w:rsidRPr="007F6548">
        <w:rPr>
          <w:rFonts w:cs="Arial"/>
          <w:iCs/>
          <w:color w:val="000000" w:themeColor="text1"/>
          <w:szCs w:val="24"/>
          <w:lang w:val="en-GB"/>
        </w:rPr>
        <w:t xml:space="preserve"> period for submission of the AFS</w:t>
      </w:r>
      <w:r w:rsidR="002955B7" w:rsidRPr="007F6548">
        <w:rPr>
          <w:rFonts w:cs="Arial"/>
          <w:iCs/>
          <w:color w:val="000000" w:themeColor="text1"/>
          <w:szCs w:val="24"/>
          <w:lang w:val="en-GB"/>
        </w:rPr>
        <w:t xml:space="preserve"> and an audit opinion</w:t>
      </w:r>
      <w:r w:rsidR="00A07258" w:rsidRPr="007F6548">
        <w:rPr>
          <w:rFonts w:cs="Arial"/>
          <w:iCs/>
          <w:color w:val="000000" w:themeColor="text1"/>
          <w:szCs w:val="24"/>
          <w:lang w:val="en-GB"/>
        </w:rPr>
        <w:t xml:space="preserve"> is within 6 months after the end of a financial year. The </w:t>
      </w:r>
      <w:r w:rsidRPr="007F6548">
        <w:rPr>
          <w:rFonts w:cs="Arial"/>
          <w:iCs/>
          <w:color w:val="000000" w:themeColor="text1"/>
          <w:szCs w:val="24"/>
          <w:lang w:val="en-GB"/>
        </w:rPr>
        <w:t xml:space="preserve">submission date is 30 September annually. </w:t>
      </w:r>
    </w:p>
    <w:p w14:paraId="39913EEF" w14:textId="15DC7491" w:rsidR="00A07258" w:rsidRPr="00223A96" w:rsidRDefault="00A07258" w:rsidP="00835133">
      <w:pPr>
        <w:pStyle w:val="WLGLevel1"/>
        <w:keepNext/>
        <w:numPr>
          <w:ilvl w:val="0"/>
          <w:numId w:val="0"/>
        </w:numPr>
        <w:spacing w:before="0" w:after="0" w:line="360" w:lineRule="auto"/>
        <w:rPr>
          <w:rFonts w:cs="Arial"/>
          <w:b/>
          <w:bCs/>
          <w:iCs/>
          <w:color w:val="000000" w:themeColor="text1"/>
          <w:szCs w:val="24"/>
          <w:lang w:val="en-GB"/>
        </w:rPr>
      </w:pPr>
      <w:r w:rsidRPr="00223A96">
        <w:rPr>
          <w:rFonts w:cs="Arial"/>
          <w:b/>
          <w:bCs/>
          <w:iCs/>
          <w:color w:val="000000" w:themeColor="text1"/>
          <w:szCs w:val="24"/>
          <w:lang w:val="en-GB"/>
        </w:rPr>
        <w:t>N</w:t>
      </w:r>
      <w:r w:rsidR="00E44B8E" w:rsidRPr="00223A96">
        <w:rPr>
          <w:rFonts w:cs="Arial"/>
          <w:b/>
          <w:bCs/>
          <w:iCs/>
          <w:color w:val="000000" w:themeColor="text1"/>
          <w:szCs w:val="24"/>
          <w:lang w:val="en-GB"/>
        </w:rPr>
        <w:t>on-compliance with the disclosure requirements</w:t>
      </w:r>
    </w:p>
    <w:p w14:paraId="51EDB77B" w14:textId="426D9754" w:rsidR="00AC4181" w:rsidRPr="007F6548" w:rsidRDefault="00407AE7" w:rsidP="00835133">
      <w:pPr>
        <w:pStyle w:val="WLGLevel1"/>
        <w:numPr>
          <w:ilvl w:val="0"/>
          <w:numId w:val="0"/>
        </w:numPr>
        <w:spacing w:before="0" w:line="360" w:lineRule="auto"/>
        <w:rPr>
          <w:rFonts w:cs="Arial"/>
          <w:iCs/>
          <w:color w:val="000000" w:themeColor="text1"/>
          <w:szCs w:val="24"/>
          <w:lang w:val="en-GB"/>
        </w:rPr>
      </w:pPr>
      <w:r w:rsidRPr="00223A96">
        <w:rPr>
          <w:rFonts w:cs="Arial"/>
          <w:iCs/>
          <w:color w:val="000000" w:themeColor="text1"/>
          <w:szCs w:val="24"/>
          <w:lang w:val="en-GB"/>
        </w:rPr>
        <w:t>[1</w:t>
      </w:r>
      <w:r w:rsidR="00281F5E" w:rsidRPr="00223A96">
        <w:rPr>
          <w:rFonts w:cs="Arial"/>
          <w:iCs/>
          <w:color w:val="000000" w:themeColor="text1"/>
          <w:szCs w:val="24"/>
          <w:lang w:val="en-GB"/>
        </w:rPr>
        <w:t>8</w:t>
      </w:r>
      <w:r w:rsidRPr="00223A96">
        <w:rPr>
          <w:rFonts w:cs="Arial"/>
          <w:iCs/>
          <w:color w:val="000000" w:themeColor="text1"/>
          <w:szCs w:val="24"/>
          <w:lang w:val="en-GB"/>
        </w:rPr>
        <w:t>]</w:t>
      </w:r>
      <w:r w:rsidRPr="007F6548">
        <w:rPr>
          <w:rFonts w:cs="Arial"/>
          <w:iCs/>
          <w:color w:val="000000" w:themeColor="text1"/>
          <w:szCs w:val="24"/>
          <w:lang w:val="en-GB"/>
        </w:rPr>
        <w:tab/>
        <w:t>The applicants allege that</w:t>
      </w:r>
      <w:r w:rsidR="001A2678" w:rsidRPr="007F6548">
        <w:rPr>
          <w:rFonts w:cs="Arial"/>
          <w:iCs/>
          <w:color w:val="000000" w:themeColor="text1"/>
          <w:szCs w:val="24"/>
          <w:lang w:val="en-GB"/>
        </w:rPr>
        <w:t xml:space="preserve"> all </w:t>
      </w:r>
      <w:r w:rsidRPr="007F6548">
        <w:rPr>
          <w:rFonts w:cs="Arial"/>
          <w:iCs/>
          <w:color w:val="000000" w:themeColor="text1"/>
          <w:szCs w:val="24"/>
          <w:lang w:val="en-GB"/>
        </w:rPr>
        <w:t xml:space="preserve">the </w:t>
      </w:r>
      <w:r w:rsidR="001A2678" w:rsidRPr="007F6548">
        <w:rPr>
          <w:rFonts w:cs="Arial"/>
          <w:iCs/>
          <w:color w:val="000000" w:themeColor="text1"/>
          <w:szCs w:val="24"/>
          <w:lang w:val="en-GB"/>
        </w:rPr>
        <w:t xml:space="preserve">respondents </w:t>
      </w:r>
      <w:r w:rsidRPr="007F6548">
        <w:rPr>
          <w:rFonts w:cs="Arial"/>
          <w:iCs/>
          <w:color w:val="000000" w:themeColor="text1"/>
          <w:szCs w:val="24"/>
          <w:lang w:val="en-GB"/>
        </w:rPr>
        <w:t xml:space="preserve">have for </w:t>
      </w:r>
      <w:r w:rsidR="003E7FE4" w:rsidRPr="007F6548">
        <w:rPr>
          <w:rFonts w:cs="Arial"/>
          <w:iCs/>
          <w:color w:val="000000" w:themeColor="text1"/>
          <w:szCs w:val="24"/>
          <w:lang w:val="en-GB"/>
        </w:rPr>
        <w:t>different reasons</w:t>
      </w:r>
      <w:r w:rsidR="00A85AEB">
        <w:rPr>
          <w:rFonts w:cs="Arial"/>
          <w:iCs/>
          <w:color w:val="000000" w:themeColor="text1"/>
          <w:szCs w:val="24"/>
          <w:lang w:val="en-GB"/>
        </w:rPr>
        <w:t>,</w:t>
      </w:r>
      <w:r w:rsidR="003E7FE4" w:rsidRPr="007F6548">
        <w:rPr>
          <w:rFonts w:cs="Arial"/>
          <w:iCs/>
          <w:color w:val="000000" w:themeColor="text1"/>
          <w:szCs w:val="24"/>
          <w:lang w:val="en-GB"/>
        </w:rPr>
        <w:t xml:space="preserve"> which I will detail shortly, fail</w:t>
      </w:r>
      <w:r w:rsidRPr="007F6548">
        <w:rPr>
          <w:rFonts w:cs="Arial"/>
          <w:iCs/>
          <w:color w:val="000000" w:themeColor="text1"/>
          <w:szCs w:val="24"/>
          <w:lang w:val="en-GB"/>
        </w:rPr>
        <w:t>ed to comply with their obligations</w:t>
      </w:r>
      <w:r w:rsidR="003E7FE4" w:rsidRPr="007F6548">
        <w:rPr>
          <w:rFonts w:cs="Arial"/>
          <w:iCs/>
          <w:color w:val="000000" w:themeColor="text1"/>
          <w:szCs w:val="24"/>
          <w:lang w:val="en-GB"/>
        </w:rPr>
        <w:t xml:space="preserve"> in terms of s 12 read with Regulation 10</w:t>
      </w:r>
      <w:r w:rsidRPr="007F6548">
        <w:rPr>
          <w:rFonts w:cs="Arial"/>
          <w:iCs/>
          <w:color w:val="000000" w:themeColor="text1"/>
          <w:szCs w:val="24"/>
          <w:lang w:val="en-GB"/>
        </w:rPr>
        <w:t>.</w:t>
      </w:r>
      <w:r w:rsidR="008866C5" w:rsidRPr="007F6548">
        <w:rPr>
          <w:rFonts w:cs="Arial"/>
          <w:iCs/>
          <w:color w:val="000000" w:themeColor="text1"/>
          <w:szCs w:val="24"/>
          <w:lang w:val="en-GB"/>
        </w:rPr>
        <w:t xml:space="preserve"> </w:t>
      </w:r>
      <w:r w:rsidRPr="007F6548">
        <w:rPr>
          <w:rFonts w:cs="Arial"/>
          <w:iCs/>
          <w:color w:val="000000" w:themeColor="text1"/>
          <w:szCs w:val="24"/>
          <w:lang w:val="en-GB"/>
        </w:rPr>
        <w:t xml:space="preserve">They have failed </w:t>
      </w:r>
      <w:r w:rsidR="006A46E7" w:rsidRPr="007F6548">
        <w:rPr>
          <w:rFonts w:cs="Arial"/>
          <w:iCs/>
          <w:color w:val="000000" w:themeColor="text1"/>
          <w:szCs w:val="24"/>
          <w:lang w:val="en-GB"/>
        </w:rPr>
        <w:t xml:space="preserve">to </w:t>
      </w:r>
      <w:r w:rsidRPr="007F6548">
        <w:rPr>
          <w:rFonts w:cs="Arial"/>
          <w:iCs/>
          <w:color w:val="000000" w:themeColor="text1"/>
          <w:szCs w:val="24"/>
          <w:lang w:val="en-GB"/>
        </w:rPr>
        <w:t xml:space="preserve">do so </w:t>
      </w:r>
      <w:r w:rsidR="008866C5" w:rsidRPr="007F6548">
        <w:rPr>
          <w:rFonts w:cs="Arial"/>
          <w:iCs/>
          <w:color w:val="000000" w:themeColor="text1"/>
          <w:szCs w:val="24"/>
          <w:lang w:val="en-GB"/>
        </w:rPr>
        <w:t xml:space="preserve">despite </w:t>
      </w:r>
      <w:r w:rsidR="008E4378" w:rsidRPr="007F6548">
        <w:rPr>
          <w:rFonts w:cs="Arial"/>
          <w:iCs/>
          <w:color w:val="000000" w:themeColor="text1"/>
          <w:szCs w:val="24"/>
          <w:lang w:val="en-GB"/>
        </w:rPr>
        <w:t xml:space="preserve">several </w:t>
      </w:r>
      <w:r w:rsidRPr="007F6548">
        <w:rPr>
          <w:rFonts w:cs="Arial"/>
          <w:iCs/>
          <w:color w:val="000000" w:themeColor="text1"/>
          <w:szCs w:val="24"/>
          <w:lang w:val="en-GB"/>
        </w:rPr>
        <w:t>efforts</w:t>
      </w:r>
      <w:r w:rsidR="00A32AE8" w:rsidRPr="007F6548">
        <w:rPr>
          <w:rFonts w:cs="Arial"/>
          <w:iCs/>
          <w:color w:val="000000" w:themeColor="text1"/>
          <w:szCs w:val="24"/>
          <w:lang w:val="en-GB"/>
        </w:rPr>
        <w:t xml:space="preserve"> by the Commission</w:t>
      </w:r>
      <w:r w:rsidR="003530D1" w:rsidRPr="007F6548">
        <w:rPr>
          <w:rFonts w:cs="Arial"/>
          <w:iCs/>
          <w:color w:val="000000" w:themeColor="text1"/>
          <w:szCs w:val="24"/>
          <w:lang w:val="en-GB"/>
        </w:rPr>
        <w:t>,</w:t>
      </w:r>
      <w:r w:rsidRPr="007F6548">
        <w:rPr>
          <w:rFonts w:cs="Arial"/>
          <w:iCs/>
          <w:color w:val="000000" w:themeColor="text1"/>
          <w:szCs w:val="24"/>
          <w:lang w:val="en-GB"/>
        </w:rPr>
        <w:t xml:space="preserve"> </w:t>
      </w:r>
      <w:r w:rsidR="003530D1" w:rsidRPr="007F6548">
        <w:rPr>
          <w:rFonts w:cs="Arial"/>
          <w:iCs/>
          <w:color w:val="000000" w:themeColor="text1"/>
          <w:szCs w:val="24"/>
          <w:lang w:val="en-GB"/>
        </w:rPr>
        <w:t>includ</w:t>
      </w:r>
      <w:r w:rsidR="00A32AE8" w:rsidRPr="007F6548">
        <w:rPr>
          <w:rFonts w:cs="Arial"/>
          <w:iCs/>
          <w:color w:val="000000" w:themeColor="text1"/>
          <w:szCs w:val="24"/>
          <w:lang w:val="en-GB"/>
        </w:rPr>
        <w:t xml:space="preserve">ing </w:t>
      </w:r>
      <w:r w:rsidR="003530D1" w:rsidRPr="007F6548">
        <w:rPr>
          <w:rFonts w:cs="Arial"/>
          <w:iCs/>
          <w:color w:val="000000" w:themeColor="text1"/>
          <w:szCs w:val="24"/>
          <w:lang w:val="en-GB"/>
        </w:rPr>
        <w:t xml:space="preserve">convening workshops nation-wide </w:t>
      </w:r>
      <w:r w:rsidRPr="007F6548">
        <w:rPr>
          <w:rFonts w:cs="Arial"/>
          <w:iCs/>
          <w:color w:val="000000" w:themeColor="text1"/>
          <w:szCs w:val="24"/>
          <w:lang w:val="en-GB"/>
        </w:rPr>
        <w:t xml:space="preserve">to promote </w:t>
      </w:r>
      <w:r w:rsidR="000E084E" w:rsidRPr="007F6548">
        <w:rPr>
          <w:rFonts w:cs="Arial"/>
          <w:iCs/>
          <w:color w:val="000000" w:themeColor="text1"/>
          <w:szCs w:val="24"/>
          <w:lang w:val="en-GB"/>
        </w:rPr>
        <w:t xml:space="preserve">political parties’ </w:t>
      </w:r>
      <w:r w:rsidRPr="007F6548">
        <w:rPr>
          <w:rFonts w:cs="Arial"/>
          <w:iCs/>
          <w:color w:val="000000" w:themeColor="text1"/>
          <w:szCs w:val="24"/>
          <w:lang w:val="en-GB"/>
        </w:rPr>
        <w:t>awareness of the</w:t>
      </w:r>
      <w:r w:rsidR="000E084E" w:rsidRPr="007F6548">
        <w:rPr>
          <w:rFonts w:cs="Arial"/>
          <w:iCs/>
          <w:color w:val="000000" w:themeColor="text1"/>
          <w:szCs w:val="24"/>
          <w:lang w:val="en-GB"/>
        </w:rPr>
        <w:t>ir</w:t>
      </w:r>
      <w:r w:rsidRPr="007F6548">
        <w:rPr>
          <w:rFonts w:cs="Arial"/>
          <w:iCs/>
          <w:color w:val="000000" w:themeColor="text1"/>
          <w:szCs w:val="24"/>
          <w:lang w:val="en-GB"/>
        </w:rPr>
        <w:t xml:space="preserve"> obligations under the Funding Act</w:t>
      </w:r>
      <w:r w:rsidR="00056AC2" w:rsidRPr="007F6548">
        <w:rPr>
          <w:rFonts w:cs="Arial"/>
          <w:iCs/>
          <w:color w:val="000000" w:themeColor="text1"/>
          <w:szCs w:val="24"/>
          <w:lang w:val="en-GB"/>
        </w:rPr>
        <w:t>,</w:t>
      </w:r>
      <w:r w:rsidRPr="007F6548">
        <w:rPr>
          <w:rFonts w:cs="Arial"/>
          <w:iCs/>
          <w:color w:val="000000" w:themeColor="text1"/>
          <w:szCs w:val="24"/>
          <w:lang w:val="en-GB"/>
        </w:rPr>
        <w:t xml:space="preserve"> and </w:t>
      </w:r>
      <w:r w:rsidR="00223A96">
        <w:rPr>
          <w:rFonts w:cs="Arial"/>
          <w:iCs/>
          <w:color w:val="000000" w:themeColor="text1"/>
          <w:szCs w:val="24"/>
          <w:lang w:val="en-GB"/>
        </w:rPr>
        <w:t xml:space="preserve">informing them of </w:t>
      </w:r>
      <w:r w:rsidRPr="007F6548">
        <w:rPr>
          <w:rFonts w:cs="Arial"/>
          <w:iCs/>
          <w:color w:val="000000" w:themeColor="text1"/>
          <w:szCs w:val="24"/>
          <w:lang w:val="en-GB"/>
        </w:rPr>
        <w:t>t</w:t>
      </w:r>
      <w:r w:rsidR="006B0EB6" w:rsidRPr="007F6548">
        <w:rPr>
          <w:rFonts w:cs="Arial"/>
          <w:iCs/>
          <w:color w:val="000000" w:themeColor="text1"/>
          <w:szCs w:val="24"/>
          <w:lang w:val="en-GB"/>
        </w:rPr>
        <w:t xml:space="preserve">he importance of </w:t>
      </w:r>
      <w:r w:rsidRPr="007F6548">
        <w:rPr>
          <w:rFonts w:cs="Arial"/>
          <w:iCs/>
          <w:color w:val="000000" w:themeColor="text1"/>
          <w:szCs w:val="24"/>
          <w:lang w:val="en-GB"/>
        </w:rPr>
        <w:t>comply</w:t>
      </w:r>
      <w:r w:rsidR="006B0EB6" w:rsidRPr="007F6548">
        <w:rPr>
          <w:rFonts w:cs="Arial"/>
          <w:iCs/>
          <w:color w:val="000000" w:themeColor="text1"/>
          <w:szCs w:val="24"/>
          <w:lang w:val="en-GB"/>
        </w:rPr>
        <w:t>ing</w:t>
      </w:r>
      <w:r w:rsidRPr="007F6548">
        <w:rPr>
          <w:rFonts w:cs="Arial"/>
          <w:iCs/>
          <w:color w:val="000000" w:themeColor="text1"/>
          <w:szCs w:val="24"/>
          <w:lang w:val="en-GB"/>
        </w:rPr>
        <w:t xml:space="preserve"> with their obligations. </w:t>
      </w:r>
      <w:r w:rsidR="008D2F1B" w:rsidRPr="007F6548">
        <w:rPr>
          <w:rFonts w:cs="Arial"/>
          <w:iCs/>
          <w:color w:val="000000" w:themeColor="text1"/>
          <w:szCs w:val="24"/>
          <w:lang w:val="en-GB"/>
        </w:rPr>
        <w:t>During the workshops, the Commission engaged with political parties regarding their obligations under the Funding Act</w:t>
      </w:r>
      <w:r w:rsidR="00056AC2" w:rsidRPr="007F6548">
        <w:rPr>
          <w:rFonts w:cs="Arial"/>
          <w:iCs/>
          <w:color w:val="000000" w:themeColor="text1"/>
          <w:szCs w:val="24"/>
          <w:lang w:val="en-GB"/>
        </w:rPr>
        <w:t xml:space="preserve">. Several political parties alluded to </w:t>
      </w:r>
      <w:r w:rsidR="008D2F1B" w:rsidRPr="007F6548">
        <w:rPr>
          <w:rFonts w:cs="Arial"/>
          <w:iCs/>
          <w:color w:val="000000" w:themeColor="text1"/>
          <w:szCs w:val="24"/>
          <w:lang w:val="en-GB"/>
        </w:rPr>
        <w:t xml:space="preserve">the difficulties that impeded </w:t>
      </w:r>
      <w:r w:rsidR="00056AC2" w:rsidRPr="007F6548">
        <w:rPr>
          <w:rFonts w:cs="Arial"/>
          <w:iCs/>
          <w:color w:val="000000" w:themeColor="text1"/>
          <w:szCs w:val="24"/>
          <w:lang w:val="en-GB"/>
        </w:rPr>
        <w:t xml:space="preserve">them </w:t>
      </w:r>
      <w:r w:rsidR="008D2F1B" w:rsidRPr="007F6548">
        <w:rPr>
          <w:rFonts w:cs="Arial"/>
          <w:iCs/>
          <w:color w:val="000000" w:themeColor="text1"/>
          <w:szCs w:val="24"/>
          <w:lang w:val="en-GB"/>
        </w:rPr>
        <w:t xml:space="preserve">from complying with their obligations. </w:t>
      </w:r>
      <w:r w:rsidR="00753533" w:rsidRPr="007F6548">
        <w:rPr>
          <w:rFonts w:cs="Arial"/>
          <w:iCs/>
          <w:color w:val="000000" w:themeColor="text1"/>
          <w:szCs w:val="24"/>
          <w:lang w:val="en-GB"/>
        </w:rPr>
        <w:t xml:space="preserve">In their responses to this application, several respondents </w:t>
      </w:r>
      <w:r w:rsidR="00A638AC" w:rsidRPr="007F6548">
        <w:rPr>
          <w:rFonts w:cs="Arial"/>
          <w:iCs/>
          <w:color w:val="000000" w:themeColor="text1"/>
          <w:szCs w:val="24"/>
          <w:lang w:val="en-GB"/>
        </w:rPr>
        <w:t xml:space="preserve">confirm </w:t>
      </w:r>
      <w:r w:rsidR="00753533" w:rsidRPr="007F6548">
        <w:rPr>
          <w:rFonts w:cs="Arial"/>
          <w:iCs/>
          <w:color w:val="000000" w:themeColor="text1"/>
          <w:szCs w:val="24"/>
          <w:lang w:val="en-GB"/>
        </w:rPr>
        <w:t xml:space="preserve">these efforts by the Commission. </w:t>
      </w:r>
    </w:p>
    <w:p w14:paraId="00A3C0C6" w14:textId="5D8711EC" w:rsidR="00407AE7" w:rsidRPr="007F6548" w:rsidRDefault="00863E49" w:rsidP="004F0A3D">
      <w:pPr>
        <w:pStyle w:val="WLGLevel1"/>
        <w:numPr>
          <w:ilvl w:val="0"/>
          <w:numId w:val="0"/>
        </w:numPr>
        <w:spacing w:line="360" w:lineRule="auto"/>
        <w:rPr>
          <w:rFonts w:cs="Arial"/>
          <w:b/>
          <w:bCs/>
          <w:iCs/>
          <w:color w:val="000000" w:themeColor="text1"/>
          <w:szCs w:val="24"/>
          <w:lang w:val="en-GB"/>
        </w:rPr>
      </w:pPr>
      <w:r w:rsidRPr="007F6548">
        <w:rPr>
          <w:rFonts w:cs="Arial"/>
          <w:iCs/>
          <w:color w:val="000000" w:themeColor="text1"/>
          <w:szCs w:val="24"/>
          <w:lang w:val="en-GB"/>
        </w:rPr>
        <w:lastRenderedPageBreak/>
        <w:t>[</w:t>
      </w:r>
      <w:r w:rsidR="00281F5E" w:rsidRPr="007F6548">
        <w:rPr>
          <w:rFonts w:cs="Arial"/>
          <w:iCs/>
          <w:color w:val="000000" w:themeColor="text1"/>
          <w:szCs w:val="24"/>
          <w:lang w:val="en-GB"/>
        </w:rPr>
        <w:t>19</w:t>
      </w:r>
      <w:r w:rsidR="00AC4181" w:rsidRPr="007F6548">
        <w:rPr>
          <w:rFonts w:cs="Arial"/>
          <w:iCs/>
          <w:color w:val="000000" w:themeColor="text1"/>
          <w:szCs w:val="24"/>
          <w:lang w:val="en-GB"/>
        </w:rPr>
        <w:t>]</w:t>
      </w:r>
      <w:r w:rsidR="00AC4181" w:rsidRPr="007F6548">
        <w:rPr>
          <w:rFonts w:cs="Arial"/>
          <w:iCs/>
          <w:color w:val="000000" w:themeColor="text1"/>
          <w:szCs w:val="24"/>
          <w:lang w:val="en-GB"/>
        </w:rPr>
        <w:tab/>
      </w:r>
      <w:r w:rsidR="00DF0AEC" w:rsidRPr="007F6548">
        <w:rPr>
          <w:rFonts w:cs="Arial"/>
          <w:iCs/>
          <w:color w:val="000000" w:themeColor="text1"/>
          <w:szCs w:val="24"/>
          <w:lang w:val="en-GB"/>
        </w:rPr>
        <w:t>T</w:t>
      </w:r>
      <w:r w:rsidR="00407AE7" w:rsidRPr="007F6548">
        <w:rPr>
          <w:rFonts w:cs="Arial"/>
          <w:iCs/>
          <w:color w:val="000000" w:themeColor="text1"/>
          <w:szCs w:val="24"/>
          <w:lang w:val="en-GB"/>
        </w:rPr>
        <w:t>he Commission took legal advice</w:t>
      </w:r>
      <w:r w:rsidR="00EF4141" w:rsidRPr="007F6548">
        <w:rPr>
          <w:rFonts w:cs="Arial"/>
          <w:iCs/>
          <w:color w:val="000000" w:themeColor="text1"/>
          <w:szCs w:val="24"/>
          <w:lang w:val="en-GB"/>
        </w:rPr>
        <w:t xml:space="preserve"> </w:t>
      </w:r>
      <w:r w:rsidR="007C6EA7" w:rsidRPr="007F6548">
        <w:rPr>
          <w:rFonts w:cs="Arial"/>
          <w:iCs/>
          <w:color w:val="000000" w:themeColor="text1"/>
          <w:szCs w:val="24"/>
          <w:lang w:val="en-GB"/>
        </w:rPr>
        <w:t xml:space="preserve">regarding </w:t>
      </w:r>
      <w:r w:rsidR="00EF4141" w:rsidRPr="007F6548">
        <w:rPr>
          <w:rFonts w:cs="Arial"/>
          <w:iCs/>
          <w:color w:val="000000" w:themeColor="text1"/>
          <w:szCs w:val="24"/>
          <w:lang w:val="en-GB"/>
        </w:rPr>
        <w:t xml:space="preserve">the practical difficulties that prevent </w:t>
      </w:r>
      <w:r w:rsidR="007C6EA7" w:rsidRPr="007F6548">
        <w:rPr>
          <w:rFonts w:cs="Arial"/>
          <w:iCs/>
          <w:color w:val="000000" w:themeColor="text1"/>
          <w:szCs w:val="24"/>
          <w:lang w:val="en-GB"/>
        </w:rPr>
        <w:t>political parties</w:t>
      </w:r>
      <w:r w:rsidR="00EF4141" w:rsidRPr="007F6548">
        <w:rPr>
          <w:rFonts w:cs="Arial"/>
          <w:iCs/>
          <w:color w:val="000000" w:themeColor="text1"/>
          <w:szCs w:val="24"/>
          <w:lang w:val="en-GB"/>
        </w:rPr>
        <w:t xml:space="preserve"> from submitting audited AFS.</w:t>
      </w:r>
      <w:r w:rsidR="00DF0AEC" w:rsidRPr="007F6548">
        <w:rPr>
          <w:rFonts w:cs="Arial"/>
          <w:iCs/>
          <w:color w:val="000000" w:themeColor="text1"/>
          <w:szCs w:val="24"/>
          <w:lang w:val="en-GB"/>
        </w:rPr>
        <w:t xml:space="preserve"> It was </w:t>
      </w:r>
      <w:r w:rsidR="00D514E3" w:rsidRPr="007F6548">
        <w:rPr>
          <w:rFonts w:cs="Arial"/>
          <w:iCs/>
          <w:color w:val="000000" w:themeColor="text1"/>
          <w:szCs w:val="24"/>
          <w:lang w:val="en-GB"/>
        </w:rPr>
        <w:t>advised</w:t>
      </w:r>
      <w:r w:rsidR="00DF0AEC" w:rsidRPr="007F6548">
        <w:rPr>
          <w:rFonts w:cs="Arial"/>
          <w:iCs/>
          <w:color w:val="000000" w:themeColor="text1"/>
          <w:szCs w:val="24"/>
          <w:lang w:val="en-GB"/>
        </w:rPr>
        <w:t xml:space="preserve"> that s 12 </w:t>
      </w:r>
      <w:r w:rsidR="00407AE7" w:rsidRPr="007F6548">
        <w:rPr>
          <w:rFonts w:cs="Arial"/>
          <w:iCs/>
          <w:color w:val="000000" w:themeColor="text1"/>
          <w:szCs w:val="24"/>
          <w:lang w:val="en-GB"/>
        </w:rPr>
        <w:t xml:space="preserve">requirements are peremptory. </w:t>
      </w:r>
      <w:r w:rsidR="00F67A6A" w:rsidRPr="007F6548">
        <w:rPr>
          <w:rFonts w:cs="Arial"/>
          <w:iCs/>
          <w:color w:val="000000" w:themeColor="text1"/>
          <w:szCs w:val="24"/>
          <w:lang w:val="en-GB"/>
        </w:rPr>
        <w:t xml:space="preserve">It is for that reason that </w:t>
      </w:r>
      <w:r w:rsidR="00407AE7" w:rsidRPr="007F6548">
        <w:rPr>
          <w:rFonts w:cs="Arial"/>
          <w:iCs/>
          <w:color w:val="000000" w:themeColor="text1"/>
          <w:szCs w:val="24"/>
          <w:lang w:val="en-GB"/>
        </w:rPr>
        <w:t xml:space="preserve">the Commission issued a general notice to all political parties advising them that compliance with s </w:t>
      </w:r>
      <w:r w:rsidR="007C20BA" w:rsidRPr="007F6548">
        <w:rPr>
          <w:rFonts w:cs="Arial"/>
          <w:iCs/>
          <w:color w:val="000000" w:themeColor="text1"/>
          <w:szCs w:val="24"/>
          <w:lang w:val="en-GB"/>
        </w:rPr>
        <w:t>12 was</w:t>
      </w:r>
      <w:r w:rsidR="00407AE7" w:rsidRPr="007F6548">
        <w:rPr>
          <w:rFonts w:cs="Arial"/>
          <w:iCs/>
          <w:color w:val="000000" w:themeColor="text1"/>
          <w:szCs w:val="24"/>
          <w:lang w:val="en-GB"/>
        </w:rPr>
        <w:t xml:space="preserve"> peremptory. </w:t>
      </w:r>
      <w:r w:rsidR="00EA792B" w:rsidRPr="007F6548">
        <w:rPr>
          <w:rFonts w:cs="Arial"/>
          <w:iCs/>
          <w:color w:val="000000" w:themeColor="text1"/>
          <w:szCs w:val="24"/>
          <w:lang w:val="en-GB"/>
        </w:rPr>
        <w:t>The Commission further informed political parties that it was not authorised to accept any other method of accounting.</w:t>
      </w:r>
      <w:r w:rsidR="00EA792B" w:rsidRPr="007F6548">
        <w:rPr>
          <w:rFonts w:cs="Arial"/>
          <w:b/>
          <w:bCs/>
          <w:iCs/>
          <w:color w:val="000000" w:themeColor="text1"/>
          <w:szCs w:val="24"/>
          <w:lang w:val="en-GB"/>
        </w:rPr>
        <w:t xml:space="preserve"> </w:t>
      </w:r>
      <w:r w:rsidR="00E73674" w:rsidRPr="007F6548">
        <w:rPr>
          <w:rFonts w:cs="Arial"/>
          <w:iCs/>
          <w:color w:val="000000" w:themeColor="text1"/>
          <w:szCs w:val="24"/>
          <w:lang w:val="en-GB"/>
        </w:rPr>
        <w:t>Political parties are required to account for their income</w:t>
      </w:r>
      <w:r w:rsidR="00407AE7" w:rsidRPr="007F6548">
        <w:rPr>
          <w:rFonts w:cs="Arial"/>
          <w:iCs/>
          <w:color w:val="000000" w:themeColor="text1"/>
          <w:szCs w:val="24"/>
          <w:lang w:val="en-GB"/>
        </w:rPr>
        <w:t xml:space="preserve"> in the manner </w:t>
      </w:r>
      <w:r w:rsidR="00E73674" w:rsidRPr="007F6548">
        <w:rPr>
          <w:rFonts w:cs="Arial"/>
          <w:iCs/>
          <w:color w:val="000000" w:themeColor="text1"/>
          <w:szCs w:val="24"/>
          <w:lang w:val="en-GB"/>
        </w:rPr>
        <w:t xml:space="preserve">prescribed </w:t>
      </w:r>
      <w:r w:rsidR="00407AE7" w:rsidRPr="007F6548">
        <w:rPr>
          <w:rFonts w:cs="Arial"/>
          <w:iCs/>
          <w:color w:val="000000" w:themeColor="text1"/>
          <w:szCs w:val="24"/>
          <w:lang w:val="en-GB"/>
        </w:rPr>
        <w:t xml:space="preserve">in </w:t>
      </w:r>
      <w:r w:rsidR="002A6BC7">
        <w:rPr>
          <w:rFonts w:cs="Arial"/>
          <w:iCs/>
          <w:color w:val="000000" w:themeColor="text1"/>
          <w:szCs w:val="24"/>
          <w:lang w:val="en-GB"/>
        </w:rPr>
        <w:t>the Funding Act</w:t>
      </w:r>
      <w:r w:rsidR="00407AE7" w:rsidRPr="007F6548">
        <w:rPr>
          <w:rFonts w:cs="Arial"/>
          <w:iCs/>
          <w:color w:val="000000" w:themeColor="text1"/>
          <w:szCs w:val="24"/>
          <w:lang w:val="en-GB"/>
        </w:rPr>
        <w:t xml:space="preserve"> and Regulations, irrespective of </w:t>
      </w:r>
      <w:r w:rsidR="00294C5F" w:rsidRPr="007F6548">
        <w:rPr>
          <w:rFonts w:cs="Arial"/>
          <w:iCs/>
          <w:color w:val="000000" w:themeColor="text1"/>
          <w:szCs w:val="24"/>
          <w:lang w:val="en-GB"/>
        </w:rPr>
        <w:t>any impediment, financial or otherw</w:t>
      </w:r>
      <w:r w:rsidR="00F06283" w:rsidRPr="007F6548">
        <w:rPr>
          <w:rFonts w:cs="Arial"/>
          <w:iCs/>
          <w:color w:val="000000" w:themeColor="text1"/>
          <w:szCs w:val="24"/>
          <w:lang w:val="en-GB"/>
        </w:rPr>
        <w:t xml:space="preserve">ise, a political party faced. </w:t>
      </w:r>
    </w:p>
    <w:p w14:paraId="5AA66D3D" w14:textId="30BE9647" w:rsidR="00C8673F" w:rsidRPr="007F6548" w:rsidRDefault="00C8673F" w:rsidP="00863E49">
      <w:pPr>
        <w:pStyle w:val="WLGLevel1"/>
        <w:numPr>
          <w:ilvl w:val="0"/>
          <w:numId w:val="0"/>
        </w:numPr>
        <w:spacing w:line="360" w:lineRule="auto"/>
        <w:rPr>
          <w:rFonts w:cs="Arial"/>
          <w:iCs/>
          <w:color w:val="000000" w:themeColor="text1"/>
          <w:szCs w:val="24"/>
          <w:lang w:val="en-GB"/>
        </w:rPr>
      </w:pPr>
      <w:r w:rsidRPr="007F6548">
        <w:rPr>
          <w:rFonts w:cs="Arial"/>
          <w:iCs/>
          <w:color w:val="000000" w:themeColor="text1"/>
          <w:szCs w:val="24"/>
          <w:lang w:val="en-GB"/>
        </w:rPr>
        <w:t>[</w:t>
      </w:r>
      <w:r w:rsidR="00CB741B" w:rsidRPr="007F6548">
        <w:rPr>
          <w:rFonts w:cs="Arial"/>
          <w:iCs/>
          <w:color w:val="000000" w:themeColor="text1"/>
          <w:szCs w:val="24"/>
          <w:lang w:val="en-GB"/>
        </w:rPr>
        <w:t>2</w:t>
      </w:r>
      <w:r w:rsidR="00CE42DF" w:rsidRPr="007F6548">
        <w:rPr>
          <w:rFonts w:cs="Arial"/>
          <w:iCs/>
          <w:color w:val="000000" w:themeColor="text1"/>
          <w:szCs w:val="24"/>
          <w:lang w:val="en-GB"/>
        </w:rPr>
        <w:t>0</w:t>
      </w:r>
      <w:r w:rsidRPr="007F6548">
        <w:rPr>
          <w:rFonts w:cs="Arial"/>
          <w:iCs/>
          <w:color w:val="000000" w:themeColor="text1"/>
          <w:szCs w:val="24"/>
          <w:lang w:val="en-GB"/>
        </w:rPr>
        <w:t>]</w:t>
      </w:r>
      <w:r w:rsidR="00A42F45" w:rsidRPr="007F6548">
        <w:rPr>
          <w:rFonts w:cs="Arial"/>
          <w:iCs/>
          <w:color w:val="000000" w:themeColor="text1"/>
          <w:szCs w:val="24"/>
          <w:lang w:val="en-GB"/>
        </w:rPr>
        <w:tab/>
      </w:r>
      <w:r w:rsidRPr="007F6548">
        <w:rPr>
          <w:rFonts w:cs="Arial"/>
          <w:iCs/>
          <w:color w:val="000000" w:themeColor="text1"/>
          <w:szCs w:val="24"/>
          <w:lang w:val="en-GB"/>
        </w:rPr>
        <w:t xml:space="preserve">During 2022 and 2023, the Commission also entered into correspondence with various political parties </w:t>
      </w:r>
      <w:r w:rsidR="00145515" w:rsidRPr="007F6548">
        <w:rPr>
          <w:rFonts w:cs="Arial"/>
          <w:iCs/>
          <w:color w:val="000000" w:themeColor="text1"/>
          <w:szCs w:val="24"/>
          <w:lang w:val="en-GB"/>
        </w:rPr>
        <w:t xml:space="preserve">regarding their non-compliance with the Funding Act. None of them seriously dispute their alleged non-compliance. </w:t>
      </w:r>
    </w:p>
    <w:p w14:paraId="70780D70" w14:textId="1A97EBF9" w:rsidR="00D8754D" w:rsidRPr="007F6548" w:rsidRDefault="007E540E" w:rsidP="00D8754D">
      <w:pPr>
        <w:pStyle w:val="WLGLevel1"/>
        <w:numPr>
          <w:ilvl w:val="0"/>
          <w:numId w:val="0"/>
        </w:numPr>
        <w:spacing w:line="360" w:lineRule="auto"/>
        <w:rPr>
          <w:rFonts w:cs="Arial"/>
          <w:color w:val="000000" w:themeColor="text1"/>
          <w:szCs w:val="24"/>
        </w:rPr>
      </w:pPr>
      <w:r w:rsidRPr="007F6548">
        <w:rPr>
          <w:rFonts w:cs="Arial"/>
          <w:color w:val="000000" w:themeColor="text1"/>
          <w:szCs w:val="24"/>
        </w:rPr>
        <w:t>[2</w:t>
      </w:r>
      <w:r w:rsidR="00CE42DF" w:rsidRPr="007F6548">
        <w:rPr>
          <w:rFonts w:cs="Arial"/>
          <w:color w:val="000000" w:themeColor="text1"/>
          <w:szCs w:val="24"/>
        </w:rPr>
        <w:t>1</w:t>
      </w:r>
      <w:r w:rsidRPr="007F6548">
        <w:rPr>
          <w:rFonts w:cs="Arial"/>
          <w:color w:val="000000" w:themeColor="text1"/>
          <w:szCs w:val="24"/>
        </w:rPr>
        <w:t>]</w:t>
      </w:r>
      <w:r w:rsidRPr="007F6548">
        <w:rPr>
          <w:rFonts w:cs="Arial"/>
          <w:color w:val="000000" w:themeColor="text1"/>
          <w:szCs w:val="24"/>
        </w:rPr>
        <w:tab/>
      </w:r>
      <w:r w:rsidR="005427E4" w:rsidRPr="007F6548">
        <w:rPr>
          <w:rFonts w:cs="Arial"/>
          <w:color w:val="000000" w:themeColor="text1"/>
          <w:szCs w:val="24"/>
        </w:rPr>
        <w:t xml:space="preserve">Subsequently, </w:t>
      </w:r>
      <w:r w:rsidRPr="007F6548">
        <w:rPr>
          <w:rFonts w:cs="Arial"/>
          <w:color w:val="000000" w:themeColor="text1"/>
          <w:szCs w:val="24"/>
        </w:rPr>
        <w:t>t</w:t>
      </w:r>
      <w:r w:rsidR="00407AE7" w:rsidRPr="007F6548">
        <w:rPr>
          <w:rFonts w:cs="Arial"/>
          <w:color w:val="000000" w:themeColor="text1"/>
          <w:szCs w:val="24"/>
        </w:rPr>
        <w:t xml:space="preserve">he Commission issued all the </w:t>
      </w:r>
      <w:r w:rsidR="005427E4" w:rsidRPr="007F6548">
        <w:rPr>
          <w:rFonts w:cs="Arial"/>
          <w:color w:val="000000" w:themeColor="text1"/>
          <w:szCs w:val="24"/>
        </w:rPr>
        <w:t>r</w:t>
      </w:r>
      <w:r w:rsidR="00407AE7" w:rsidRPr="007F6548">
        <w:rPr>
          <w:rFonts w:cs="Arial"/>
          <w:color w:val="000000" w:themeColor="text1"/>
          <w:szCs w:val="24"/>
        </w:rPr>
        <w:t xml:space="preserve">espondents with a directive </w:t>
      </w:r>
      <w:r w:rsidR="005427E4" w:rsidRPr="007F6548">
        <w:rPr>
          <w:rFonts w:cs="Arial"/>
          <w:color w:val="000000" w:themeColor="text1"/>
          <w:szCs w:val="24"/>
        </w:rPr>
        <w:t>in terms of</w:t>
      </w:r>
      <w:r w:rsidR="006F06AD" w:rsidRPr="007F6548">
        <w:rPr>
          <w:rFonts w:cs="Arial"/>
          <w:color w:val="000000" w:themeColor="text1"/>
          <w:szCs w:val="24"/>
        </w:rPr>
        <w:t xml:space="preserve"> </w:t>
      </w:r>
      <w:r w:rsidR="00407AE7" w:rsidRPr="007F6548">
        <w:rPr>
          <w:rFonts w:cs="Arial"/>
          <w:color w:val="000000" w:themeColor="text1"/>
          <w:szCs w:val="24"/>
        </w:rPr>
        <w:t>s 15</w:t>
      </w:r>
      <w:r w:rsidR="006F06AD" w:rsidRPr="007F6548">
        <w:rPr>
          <w:rFonts w:cs="Arial"/>
          <w:color w:val="000000" w:themeColor="text1"/>
          <w:szCs w:val="24"/>
        </w:rPr>
        <w:t xml:space="preserve"> </w:t>
      </w:r>
      <w:r w:rsidR="00407AE7" w:rsidRPr="007F6548">
        <w:rPr>
          <w:rFonts w:cs="Arial"/>
          <w:color w:val="000000" w:themeColor="text1"/>
          <w:szCs w:val="24"/>
        </w:rPr>
        <w:t>requiring that they comply to avoid a sanction.</w:t>
      </w:r>
      <w:r w:rsidR="008E3888" w:rsidRPr="007F6548">
        <w:rPr>
          <w:rStyle w:val="FootnoteReference"/>
          <w:rFonts w:cs="Arial"/>
          <w:color w:val="000000" w:themeColor="text1"/>
          <w:szCs w:val="24"/>
        </w:rPr>
        <w:footnoteReference w:id="6"/>
      </w:r>
      <w:r w:rsidR="00407AE7" w:rsidRPr="007F6548">
        <w:rPr>
          <w:rFonts w:cs="Arial"/>
          <w:color w:val="000000" w:themeColor="text1"/>
          <w:szCs w:val="24"/>
        </w:rPr>
        <w:t xml:space="preserve"> They have all failed to do so. </w:t>
      </w:r>
    </w:p>
    <w:p w14:paraId="634FF07D" w14:textId="7B755589" w:rsidR="00F8185E" w:rsidRPr="007F6548" w:rsidRDefault="00F9208E" w:rsidP="00C94588">
      <w:pPr>
        <w:pStyle w:val="WLGLevel1"/>
        <w:numPr>
          <w:ilvl w:val="0"/>
          <w:numId w:val="0"/>
        </w:numPr>
        <w:spacing w:after="0" w:line="360" w:lineRule="auto"/>
        <w:ind w:left="567" w:hanging="567"/>
        <w:rPr>
          <w:rFonts w:cs="Arial"/>
          <w:iCs/>
          <w:color w:val="000000" w:themeColor="text1"/>
          <w:szCs w:val="24"/>
          <w:lang w:val="en-GB"/>
        </w:rPr>
      </w:pPr>
      <w:bookmarkStart w:id="25" w:name="_Toc154744830"/>
      <w:r w:rsidRPr="007F6548">
        <w:rPr>
          <w:rFonts w:cs="Arial"/>
          <w:b/>
          <w:bCs/>
          <w:color w:val="000000" w:themeColor="text1"/>
          <w:szCs w:val="24"/>
          <w:lang w:val="en-GB"/>
        </w:rPr>
        <w:t>R</w:t>
      </w:r>
      <w:r w:rsidR="00C94588" w:rsidRPr="007F6548">
        <w:rPr>
          <w:rFonts w:cs="Arial"/>
          <w:b/>
          <w:bCs/>
          <w:color w:val="000000" w:themeColor="text1"/>
          <w:szCs w:val="24"/>
          <w:lang w:val="en-GB"/>
        </w:rPr>
        <w:t>easons for non-compliance</w:t>
      </w:r>
      <w:bookmarkEnd w:id="25"/>
      <w:r w:rsidR="00C94588" w:rsidRPr="007F6548">
        <w:rPr>
          <w:rFonts w:cs="Arial"/>
          <w:b/>
          <w:bCs/>
          <w:color w:val="000000" w:themeColor="text1"/>
          <w:szCs w:val="24"/>
          <w:lang w:val="en-GB"/>
        </w:rPr>
        <w:t xml:space="preserve"> with </w:t>
      </w:r>
      <w:r w:rsidR="002A6BC7">
        <w:rPr>
          <w:rFonts w:cs="Arial"/>
          <w:b/>
          <w:bCs/>
          <w:color w:val="000000" w:themeColor="text1"/>
          <w:szCs w:val="24"/>
          <w:lang w:val="en-GB"/>
        </w:rPr>
        <w:t>the Funding Act</w:t>
      </w:r>
      <w:r w:rsidR="00C94588" w:rsidRPr="007F6548">
        <w:rPr>
          <w:rFonts w:cs="Arial"/>
          <w:b/>
          <w:bCs/>
          <w:color w:val="000000" w:themeColor="text1"/>
          <w:szCs w:val="24"/>
          <w:lang w:val="en-GB"/>
        </w:rPr>
        <w:t xml:space="preserve"> </w:t>
      </w:r>
    </w:p>
    <w:p w14:paraId="5AA4324A" w14:textId="1D6DA859" w:rsidR="00E44B8E" w:rsidRDefault="00B263FA" w:rsidP="0024744F">
      <w:pPr>
        <w:pStyle w:val="WLGLevel1"/>
        <w:numPr>
          <w:ilvl w:val="0"/>
          <w:numId w:val="0"/>
        </w:numPr>
        <w:spacing w:before="0" w:after="0" w:line="360" w:lineRule="auto"/>
        <w:rPr>
          <w:rFonts w:cs="Arial"/>
          <w:color w:val="000000" w:themeColor="text1"/>
          <w:szCs w:val="24"/>
        </w:rPr>
      </w:pPr>
      <w:r w:rsidRPr="007F6548">
        <w:rPr>
          <w:rFonts w:cs="Arial"/>
          <w:color w:val="000000" w:themeColor="text1"/>
          <w:szCs w:val="24"/>
        </w:rPr>
        <w:t>[2</w:t>
      </w:r>
      <w:r w:rsidR="00CE42DF" w:rsidRPr="007F6548">
        <w:rPr>
          <w:rFonts w:cs="Arial"/>
          <w:color w:val="000000" w:themeColor="text1"/>
          <w:szCs w:val="24"/>
        </w:rPr>
        <w:t>2</w:t>
      </w:r>
      <w:r w:rsidRPr="007F6548">
        <w:rPr>
          <w:rFonts w:cs="Arial"/>
          <w:color w:val="000000" w:themeColor="text1"/>
          <w:szCs w:val="24"/>
        </w:rPr>
        <w:t>]</w:t>
      </w:r>
      <w:r w:rsidRPr="007F6548">
        <w:rPr>
          <w:rFonts w:cs="Arial"/>
          <w:color w:val="000000" w:themeColor="text1"/>
          <w:szCs w:val="24"/>
        </w:rPr>
        <w:tab/>
      </w:r>
      <w:r w:rsidRPr="007F6548">
        <w:rPr>
          <w:rFonts w:cs="Arial"/>
          <w:iCs/>
          <w:color w:val="000000" w:themeColor="text1"/>
          <w:szCs w:val="24"/>
          <w:lang w:val="en-GB"/>
        </w:rPr>
        <w:t xml:space="preserve">In its founding papers, the </w:t>
      </w:r>
      <w:r w:rsidR="009962D0" w:rsidRPr="007F6548">
        <w:rPr>
          <w:rFonts w:cs="Arial"/>
          <w:iCs/>
          <w:color w:val="000000" w:themeColor="text1"/>
          <w:szCs w:val="24"/>
          <w:lang w:val="en-GB"/>
        </w:rPr>
        <w:t>applicants</w:t>
      </w:r>
      <w:r w:rsidRPr="007F6548">
        <w:rPr>
          <w:rFonts w:cs="Arial"/>
          <w:iCs/>
          <w:color w:val="000000" w:themeColor="text1"/>
          <w:szCs w:val="24"/>
          <w:lang w:val="en-GB"/>
        </w:rPr>
        <w:t xml:space="preserve"> ha</w:t>
      </w:r>
      <w:r w:rsidR="009962D0" w:rsidRPr="007F6548">
        <w:rPr>
          <w:rFonts w:cs="Arial"/>
          <w:iCs/>
          <w:color w:val="000000" w:themeColor="text1"/>
          <w:szCs w:val="24"/>
          <w:lang w:val="en-GB"/>
        </w:rPr>
        <w:t xml:space="preserve">ve </w:t>
      </w:r>
      <w:r w:rsidRPr="007F6548">
        <w:rPr>
          <w:rFonts w:cs="Arial"/>
          <w:iCs/>
          <w:color w:val="000000" w:themeColor="text1"/>
          <w:szCs w:val="24"/>
          <w:lang w:val="en-GB"/>
        </w:rPr>
        <w:t xml:space="preserve">set out in detail the nature of the alleged non-compliance by each respondent. Detailing the allegations in this judgment would render it unnecessarily </w:t>
      </w:r>
      <w:r w:rsidR="00967293">
        <w:rPr>
          <w:rFonts w:cs="Arial"/>
          <w:iCs/>
          <w:color w:val="000000" w:themeColor="text1"/>
          <w:szCs w:val="24"/>
          <w:lang w:val="en-GB"/>
        </w:rPr>
        <w:t xml:space="preserve">repetitive and </w:t>
      </w:r>
      <w:r w:rsidRPr="007F6548">
        <w:rPr>
          <w:rFonts w:cs="Arial"/>
          <w:iCs/>
          <w:color w:val="000000" w:themeColor="text1"/>
          <w:szCs w:val="24"/>
          <w:lang w:val="en-GB"/>
        </w:rPr>
        <w:t xml:space="preserve">prolix. </w:t>
      </w:r>
      <w:r w:rsidR="00225FC0" w:rsidRPr="007F6548">
        <w:rPr>
          <w:rFonts w:cs="Arial"/>
          <w:iCs/>
          <w:color w:val="000000" w:themeColor="text1"/>
          <w:szCs w:val="24"/>
          <w:lang w:val="en-GB"/>
        </w:rPr>
        <w:t>In their papers, the applicants have clustered the reasons into themes</w:t>
      </w:r>
      <w:r w:rsidR="00D75AC5" w:rsidRPr="007F6548">
        <w:rPr>
          <w:rFonts w:cs="Arial"/>
          <w:iCs/>
          <w:color w:val="000000" w:themeColor="text1"/>
          <w:szCs w:val="24"/>
          <w:lang w:val="en-GB"/>
        </w:rPr>
        <w:t xml:space="preserve">. I adopt the same approach in this judgment. </w:t>
      </w:r>
      <w:r w:rsidR="00742004" w:rsidRPr="007F6548">
        <w:rPr>
          <w:rFonts w:cs="Arial"/>
          <w:iCs/>
          <w:color w:val="000000" w:themeColor="text1"/>
          <w:szCs w:val="24"/>
          <w:lang w:val="en-GB"/>
        </w:rPr>
        <w:t>The</w:t>
      </w:r>
      <w:r w:rsidR="00D75AC5" w:rsidRPr="007F6548">
        <w:rPr>
          <w:rFonts w:cs="Arial"/>
          <w:iCs/>
          <w:color w:val="000000" w:themeColor="text1"/>
          <w:szCs w:val="24"/>
          <w:lang w:val="en-GB"/>
        </w:rPr>
        <w:t xml:space="preserve"> applicants </w:t>
      </w:r>
      <w:r w:rsidRPr="007F6548">
        <w:rPr>
          <w:rFonts w:cs="Arial"/>
          <w:color w:val="000000" w:themeColor="text1"/>
          <w:szCs w:val="24"/>
        </w:rPr>
        <w:t>ha</w:t>
      </w:r>
      <w:r w:rsidR="00742004" w:rsidRPr="007F6548">
        <w:rPr>
          <w:rFonts w:cs="Arial"/>
          <w:color w:val="000000" w:themeColor="text1"/>
          <w:szCs w:val="24"/>
        </w:rPr>
        <w:t>ve</w:t>
      </w:r>
      <w:r w:rsidR="00367801" w:rsidRPr="007F6548">
        <w:rPr>
          <w:rFonts w:cs="Arial"/>
          <w:color w:val="000000" w:themeColor="text1"/>
          <w:szCs w:val="24"/>
        </w:rPr>
        <w:t xml:space="preserve"> also</w:t>
      </w:r>
      <w:r w:rsidRPr="007F6548">
        <w:rPr>
          <w:rFonts w:cs="Arial"/>
          <w:color w:val="000000" w:themeColor="text1"/>
          <w:szCs w:val="24"/>
        </w:rPr>
        <w:t xml:space="preserve"> segmented the respondents into six categories according to the alleged basis of n</w:t>
      </w:r>
      <w:r w:rsidR="00E44B8E">
        <w:rPr>
          <w:rFonts w:cs="Arial"/>
          <w:color w:val="000000" w:themeColor="text1"/>
          <w:szCs w:val="24"/>
        </w:rPr>
        <w:t>on-compliance as set out below:</w:t>
      </w:r>
    </w:p>
    <w:p w14:paraId="0AE1AD01" w14:textId="77777777" w:rsidR="0024744F" w:rsidRPr="0024744F" w:rsidRDefault="0024744F" w:rsidP="0024744F">
      <w:pPr>
        <w:pStyle w:val="WLGLevel1"/>
        <w:numPr>
          <w:ilvl w:val="0"/>
          <w:numId w:val="0"/>
        </w:numPr>
        <w:spacing w:before="0" w:after="0" w:line="360" w:lineRule="auto"/>
        <w:ind w:left="567" w:hanging="567"/>
        <w:rPr>
          <w:rFonts w:cs="Arial"/>
          <w:color w:val="000000" w:themeColor="text1"/>
          <w:sz w:val="22"/>
          <w:szCs w:val="22"/>
        </w:rPr>
      </w:pPr>
      <w:r>
        <w:rPr>
          <w:rFonts w:cs="Arial"/>
          <w:color w:val="000000" w:themeColor="text1"/>
          <w:szCs w:val="24"/>
        </w:rPr>
        <w:t>‘</w:t>
      </w:r>
      <w:r w:rsidRPr="0024744F">
        <w:rPr>
          <w:rFonts w:cs="Arial"/>
          <w:color w:val="000000" w:themeColor="text1"/>
          <w:sz w:val="22"/>
          <w:szCs w:val="22"/>
        </w:rPr>
        <w:t>22.1</w:t>
      </w:r>
      <w:r w:rsidRPr="0024744F">
        <w:rPr>
          <w:rFonts w:cs="Arial"/>
          <w:color w:val="000000" w:themeColor="text1"/>
          <w:sz w:val="22"/>
          <w:szCs w:val="22"/>
        </w:rPr>
        <w:tab/>
        <w:t xml:space="preserve">Category A: 1st to 6th respondent (represented political parties); </w:t>
      </w:r>
    </w:p>
    <w:p w14:paraId="0EB6AF2C" w14:textId="77777777" w:rsidR="0024744F" w:rsidRPr="0024744F" w:rsidRDefault="0024744F" w:rsidP="0024744F">
      <w:pPr>
        <w:pStyle w:val="WLGLevel1"/>
        <w:numPr>
          <w:ilvl w:val="0"/>
          <w:numId w:val="0"/>
        </w:numPr>
        <w:spacing w:before="0" w:after="0" w:line="360" w:lineRule="auto"/>
        <w:ind w:left="567" w:hanging="567"/>
        <w:rPr>
          <w:rFonts w:cs="Arial"/>
          <w:color w:val="000000" w:themeColor="text1"/>
          <w:sz w:val="22"/>
          <w:szCs w:val="22"/>
        </w:rPr>
      </w:pPr>
      <w:r w:rsidRPr="0024744F">
        <w:rPr>
          <w:rFonts w:cs="Arial"/>
          <w:color w:val="000000" w:themeColor="text1"/>
          <w:sz w:val="22"/>
          <w:szCs w:val="22"/>
        </w:rPr>
        <w:lastRenderedPageBreak/>
        <w:t>22.2</w:t>
      </w:r>
      <w:r w:rsidRPr="0024744F">
        <w:rPr>
          <w:rFonts w:cs="Arial"/>
          <w:color w:val="000000" w:themeColor="text1"/>
          <w:sz w:val="22"/>
          <w:szCs w:val="22"/>
        </w:rPr>
        <w:tab/>
        <w:t xml:space="preserve">Category B to F: 7th to 486th respondent (unrepresented political parties):  </w:t>
      </w:r>
    </w:p>
    <w:p w14:paraId="116ADA1E" w14:textId="77777777" w:rsidR="0024744F" w:rsidRPr="0024744F" w:rsidRDefault="0024744F" w:rsidP="0024744F">
      <w:pPr>
        <w:pStyle w:val="WLGLevel1"/>
        <w:numPr>
          <w:ilvl w:val="0"/>
          <w:numId w:val="0"/>
        </w:numPr>
        <w:spacing w:before="0" w:after="0" w:line="360" w:lineRule="auto"/>
        <w:ind w:left="567"/>
        <w:rPr>
          <w:rFonts w:cs="Arial"/>
          <w:color w:val="000000" w:themeColor="text1"/>
          <w:sz w:val="22"/>
          <w:szCs w:val="22"/>
        </w:rPr>
      </w:pPr>
      <w:r w:rsidRPr="0024744F">
        <w:rPr>
          <w:rFonts w:cs="Arial"/>
          <w:color w:val="000000" w:themeColor="text1"/>
          <w:sz w:val="22"/>
          <w:szCs w:val="22"/>
        </w:rPr>
        <w:t>22.2.1</w:t>
      </w:r>
      <w:r w:rsidRPr="0024744F">
        <w:rPr>
          <w:rFonts w:cs="Arial"/>
          <w:color w:val="000000" w:themeColor="text1"/>
          <w:sz w:val="22"/>
          <w:szCs w:val="22"/>
        </w:rPr>
        <w:tab/>
        <w:t xml:space="preserve">Category B respondents failed to submit AFS and/or the auditor’s opinion without any explanation; </w:t>
      </w:r>
    </w:p>
    <w:p w14:paraId="4B3E6E0A" w14:textId="77777777" w:rsidR="0024744F" w:rsidRPr="0024744F" w:rsidRDefault="0024744F" w:rsidP="0024744F">
      <w:pPr>
        <w:pStyle w:val="WLGLevel1"/>
        <w:numPr>
          <w:ilvl w:val="0"/>
          <w:numId w:val="0"/>
        </w:numPr>
        <w:spacing w:before="0" w:after="0" w:line="360" w:lineRule="auto"/>
        <w:ind w:left="567"/>
        <w:rPr>
          <w:rFonts w:cs="Arial"/>
          <w:color w:val="000000" w:themeColor="text1"/>
          <w:sz w:val="22"/>
          <w:szCs w:val="22"/>
        </w:rPr>
      </w:pPr>
      <w:r w:rsidRPr="0024744F">
        <w:rPr>
          <w:rFonts w:cs="Arial"/>
          <w:color w:val="000000" w:themeColor="text1"/>
          <w:sz w:val="22"/>
          <w:szCs w:val="22"/>
        </w:rPr>
        <w:t xml:space="preserve">22.2.2. </w:t>
      </w:r>
      <w:r w:rsidRPr="0024744F">
        <w:rPr>
          <w:rFonts w:cs="Arial"/>
          <w:color w:val="000000" w:themeColor="text1"/>
          <w:sz w:val="22"/>
          <w:szCs w:val="22"/>
        </w:rPr>
        <w:tab/>
        <w:t>Category C respondents failed to submit AFS and/or an auditor’s report because of alleged financial challenges;</w:t>
      </w:r>
    </w:p>
    <w:p w14:paraId="351057DD" w14:textId="77777777" w:rsidR="0024744F" w:rsidRPr="0024744F" w:rsidRDefault="0024744F" w:rsidP="0024744F">
      <w:pPr>
        <w:pStyle w:val="WLGLevel1"/>
        <w:numPr>
          <w:ilvl w:val="0"/>
          <w:numId w:val="0"/>
        </w:numPr>
        <w:spacing w:before="0" w:after="0" w:line="360" w:lineRule="auto"/>
        <w:ind w:left="567"/>
        <w:rPr>
          <w:rFonts w:cs="Arial"/>
          <w:color w:val="000000" w:themeColor="text1"/>
          <w:sz w:val="22"/>
          <w:szCs w:val="22"/>
        </w:rPr>
      </w:pPr>
      <w:r w:rsidRPr="0024744F">
        <w:rPr>
          <w:rFonts w:cs="Arial"/>
          <w:color w:val="000000" w:themeColor="text1"/>
          <w:sz w:val="22"/>
          <w:szCs w:val="22"/>
        </w:rPr>
        <w:t>22.2.3</w:t>
      </w:r>
      <w:r w:rsidRPr="0024744F">
        <w:rPr>
          <w:rFonts w:cs="Arial"/>
          <w:color w:val="000000" w:themeColor="text1"/>
          <w:sz w:val="22"/>
          <w:szCs w:val="22"/>
        </w:rPr>
        <w:tab/>
        <w:t xml:space="preserve">Category D respondents failed to submit to AFS and/or an auditor’s report because of alleged lack of understanding of the relevant provisions of the Funding Act, their obligations, and consequences for non-compliance; </w:t>
      </w:r>
    </w:p>
    <w:p w14:paraId="4F079825" w14:textId="77777777" w:rsidR="0024744F" w:rsidRPr="0024744F" w:rsidRDefault="0024744F" w:rsidP="0024744F">
      <w:pPr>
        <w:pStyle w:val="WLGLevel1"/>
        <w:numPr>
          <w:ilvl w:val="0"/>
          <w:numId w:val="0"/>
        </w:numPr>
        <w:spacing w:before="0" w:after="0" w:line="360" w:lineRule="auto"/>
        <w:ind w:left="567"/>
        <w:rPr>
          <w:rFonts w:cs="Arial"/>
          <w:color w:val="000000" w:themeColor="text1"/>
          <w:sz w:val="22"/>
          <w:szCs w:val="22"/>
        </w:rPr>
      </w:pPr>
      <w:r w:rsidRPr="0024744F">
        <w:rPr>
          <w:rFonts w:cs="Arial"/>
          <w:color w:val="000000" w:themeColor="text1"/>
          <w:sz w:val="22"/>
          <w:szCs w:val="22"/>
        </w:rPr>
        <w:t>22.2.4</w:t>
      </w:r>
      <w:r w:rsidRPr="0024744F">
        <w:rPr>
          <w:rFonts w:cs="Arial"/>
          <w:color w:val="000000" w:themeColor="text1"/>
          <w:sz w:val="22"/>
          <w:szCs w:val="22"/>
        </w:rPr>
        <w:tab/>
        <w:t>Category E respondents failed to submit AFS and/or an auditor’s report because of alleged non-functionality as political parties;</w:t>
      </w:r>
    </w:p>
    <w:p w14:paraId="12E0163B" w14:textId="2B221457" w:rsidR="0024744F" w:rsidRDefault="0024744F" w:rsidP="0024744F">
      <w:pPr>
        <w:pStyle w:val="WLGLevel1"/>
        <w:numPr>
          <w:ilvl w:val="0"/>
          <w:numId w:val="0"/>
        </w:numPr>
        <w:spacing w:before="0" w:after="0" w:line="360" w:lineRule="auto"/>
        <w:ind w:left="567"/>
        <w:rPr>
          <w:rFonts w:cs="Arial"/>
          <w:color w:val="000000" w:themeColor="text1"/>
          <w:szCs w:val="24"/>
        </w:rPr>
      </w:pPr>
      <w:r w:rsidRPr="0024744F">
        <w:rPr>
          <w:rFonts w:cs="Arial"/>
          <w:color w:val="000000" w:themeColor="text1"/>
          <w:sz w:val="22"/>
          <w:szCs w:val="22"/>
        </w:rPr>
        <w:t>22.2.5</w:t>
      </w:r>
      <w:r w:rsidRPr="0024744F">
        <w:rPr>
          <w:rFonts w:cs="Arial"/>
          <w:color w:val="000000" w:themeColor="text1"/>
          <w:sz w:val="22"/>
          <w:szCs w:val="22"/>
        </w:rPr>
        <w:tab/>
        <w:t>Category F respondents failed to submit AFS and/or an auditor’s report because of alleged failure to appoint an auditor.</w:t>
      </w:r>
      <w:r>
        <w:rPr>
          <w:rFonts w:cs="Arial"/>
          <w:color w:val="000000" w:themeColor="text1"/>
          <w:szCs w:val="24"/>
        </w:rPr>
        <w:t>’</w:t>
      </w:r>
    </w:p>
    <w:p w14:paraId="5573251F" w14:textId="77777777" w:rsidR="0024744F" w:rsidRPr="0024744F" w:rsidRDefault="0024744F" w:rsidP="0024744F">
      <w:pPr>
        <w:pStyle w:val="WLGLevel1"/>
        <w:numPr>
          <w:ilvl w:val="0"/>
          <w:numId w:val="0"/>
        </w:numPr>
        <w:spacing w:before="0" w:after="0" w:line="360" w:lineRule="auto"/>
        <w:ind w:left="567"/>
        <w:rPr>
          <w:rFonts w:cs="Arial"/>
          <w:b/>
          <w:bCs/>
          <w:iCs/>
          <w:color w:val="000000" w:themeColor="text1"/>
          <w:szCs w:val="24"/>
          <w:highlight w:val="yellow"/>
          <w:lang w:val="en-GB"/>
        </w:rPr>
      </w:pPr>
    </w:p>
    <w:p w14:paraId="1683E024" w14:textId="77777777" w:rsidR="00E44B8E" w:rsidRDefault="00F8185E" w:rsidP="00E44B8E">
      <w:pPr>
        <w:pStyle w:val="WLGLevel1"/>
        <w:numPr>
          <w:ilvl w:val="0"/>
          <w:numId w:val="0"/>
        </w:numPr>
        <w:spacing w:before="0" w:after="0" w:line="360" w:lineRule="auto"/>
        <w:rPr>
          <w:rFonts w:cs="Arial"/>
          <w:iCs/>
          <w:color w:val="000000" w:themeColor="text1"/>
          <w:szCs w:val="24"/>
          <w:lang w:val="en-GB"/>
        </w:rPr>
      </w:pPr>
      <w:r w:rsidRPr="007F6548">
        <w:rPr>
          <w:rFonts w:cs="Arial"/>
          <w:iCs/>
          <w:color w:val="000000" w:themeColor="text1"/>
          <w:szCs w:val="24"/>
          <w:lang w:val="en-GB"/>
        </w:rPr>
        <w:t>[</w:t>
      </w:r>
      <w:r w:rsidR="001C35C7" w:rsidRPr="007F6548">
        <w:rPr>
          <w:rFonts w:cs="Arial"/>
          <w:iCs/>
          <w:color w:val="000000" w:themeColor="text1"/>
          <w:szCs w:val="24"/>
          <w:lang w:val="en-GB"/>
        </w:rPr>
        <w:t>2</w:t>
      </w:r>
      <w:r w:rsidR="000172EE">
        <w:rPr>
          <w:rFonts w:cs="Arial"/>
          <w:iCs/>
          <w:color w:val="000000" w:themeColor="text1"/>
          <w:szCs w:val="24"/>
          <w:lang w:val="en-GB"/>
        </w:rPr>
        <w:t>3</w:t>
      </w:r>
      <w:r w:rsidRPr="007F6548">
        <w:rPr>
          <w:rFonts w:cs="Arial"/>
          <w:iCs/>
          <w:color w:val="000000" w:themeColor="text1"/>
          <w:szCs w:val="24"/>
          <w:lang w:val="en-GB"/>
        </w:rPr>
        <w:t>]</w:t>
      </w:r>
      <w:r w:rsidRPr="007F6548">
        <w:rPr>
          <w:rFonts w:cs="Arial"/>
          <w:iCs/>
          <w:color w:val="000000" w:themeColor="text1"/>
          <w:szCs w:val="24"/>
          <w:lang w:val="en-GB"/>
        </w:rPr>
        <w:tab/>
      </w:r>
      <w:r w:rsidR="00FC059E" w:rsidRPr="007F6548">
        <w:rPr>
          <w:rFonts w:cs="Arial"/>
          <w:iCs/>
          <w:color w:val="000000" w:themeColor="text1"/>
          <w:szCs w:val="24"/>
          <w:lang w:val="en-GB"/>
        </w:rPr>
        <w:t xml:space="preserve">I adopt </w:t>
      </w:r>
      <w:r w:rsidR="009A35E3" w:rsidRPr="007F6548">
        <w:rPr>
          <w:rFonts w:cs="Arial"/>
          <w:iCs/>
          <w:color w:val="000000" w:themeColor="text1"/>
          <w:szCs w:val="24"/>
          <w:lang w:val="en-GB"/>
        </w:rPr>
        <w:t>a two</w:t>
      </w:r>
      <w:r w:rsidR="007A0339">
        <w:rPr>
          <w:rFonts w:cs="Arial"/>
          <w:iCs/>
          <w:color w:val="000000" w:themeColor="text1"/>
          <w:szCs w:val="24"/>
          <w:lang w:val="en-GB"/>
        </w:rPr>
        <w:t>-</w:t>
      </w:r>
      <w:r w:rsidR="009A35E3" w:rsidRPr="007F6548">
        <w:rPr>
          <w:rFonts w:cs="Arial"/>
          <w:iCs/>
          <w:color w:val="000000" w:themeColor="text1"/>
          <w:szCs w:val="24"/>
          <w:lang w:val="en-GB"/>
        </w:rPr>
        <w:t xml:space="preserve">pronged approach in dealing with the versions of the respondents who have by way of affidavit, </w:t>
      </w:r>
      <w:r w:rsidR="00CD6FD2" w:rsidRPr="007F6548">
        <w:rPr>
          <w:rFonts w:cs="Arial"/>
          <w:iCs/>
          <w:color w:val="000000" w:themeColor="text1"/>
          <w:szCs w:val="24"/>
          <w:lang w:val="en-GB"/>
        </w:rPr>
        <w:t>letter,</w:t>
      </w:r>
      <w:r w:rsidR="009A35E3" w:rsidRPr="007F6548">
        <w:rPr>
          <w:rFonts w:cs="Arial"/>
          <w:iCs/>
          <w:color w:val="000000" w:themeColor="text1"/>
          <w:szCs w:val="24"/>
          <w:lang w:val="en-GB"/>
        </w:rPr>
        <w:t xml:space="preserve"> or email, responded to this application. </w:t>
      </w:r>
      <w:r w:rsidR="00860385" w:rsidRPr="007F6548">
        <w:rPr>
          <w:rFonts w:cs="Arial"/>
          <w:iCs/>
          <w:color w:val="000000" w:themeColor="text1"/>
          <w:szCs w:val="24"/>
          <w:lang w:val="en-GB"/>
        </w:rPr>
        <w:t>Firstly, I deal with the respondents’ thematic reasons for no</w:t>
      </w:r>
      <w:r w:rsidR="00FB3786" w:rsidRPr="007F6548">
        <w:rPr>
          <w:rFonts w:cs="Arial"/>
          <w:iCs/>
          <w:color w:val="000000" w:themeColor="text1"/>
          <w:szCs w:val="24"/>
          <w:lang w:val="en-GB"/>
        </w:rPr>
        <w:t xml:space="preserve">n-compliance. </w:t>
      </w:r>
      <w:r w:rsidR="00E1243C" w:rsidRPr="007F6548">
        <w:rPr>
          <w:rFonts w:cs="Arial"/>
          <w:iCs/>
          <w:color w:val="000000" w:themeColor="text1"/>
          <w:szCs w:val="24"/>
          <w:lang w:val="en-GB"/>
        </w:rPr>
        <w:t>Then</w:t>
      </w:r>
      <w:r w:rsidR="00353839" w:rsidRPr="007F6548">
        <w:rPr>
          <w:rFonts w:cs="Arial"/>
          <w:iCs/>
          <w:color w:val="000000" w:themeColor="text1"/>
          <w:szCs w:val="24"/>
          <w:lang w:val="en-GB"/>
        </w:rPr>
        <w:t>,</w:t>
      </w:r>
      <w:r w:rsidR="00E1243C" w:rsidRPr="007F6548">
        <w:rPr>
          <w:rFonts w:cs="Arial"/>
          <w:iCs/>
          <w:color w:val="000000" w:themeColor="text1"/>
          <w:szCs w:val="24"/>
          <w:lang w:val="en-GB"/>
        </w:rPr>
        <w:t xml:space="preserve"> I deal with those respondents who</w:t>
      </w:r>
      <w:r w:rsidR="002075D4" w:rsidRPr="007F6548">
        <w:rPr>
          <w:rFonts w:cs="Arial"/>
          <w:iCs/>
          <w:color w:val="000000" w:themeColor="text1"/>
          <w:szCs w:val="24"/>
          <w:lang w:val="en-GB"/>
        </w:rPr>
        <w:t xml:space="preserve"> have raised different reasons from those commonly raised by the rest of the respondents</w:t>
      </w:r>
      <w:r w:rsidR="00E1243C" w:rsidRPr="007F6548">
        <w:rPr>
          <w:rFonts w:cs="Arial"/>
          <w:iCs/>
          <w:color w:val="000000" w:themeColor="text1"/>
          <w:szCs w:val="24"/>
          <w:lang w:val="en-GB"/>
        </w:rPr>
        <w:t>.</w:t>
      </w:r>
    </w:p>
    <w:p w14:paraId="546F7026" w14:textId="2C3208AF" w:rsidR="00E1243C" w:rsidRPr="007F6548" w:rsidRDefault="00E1243C" w:rsidP="00E44B8E">
      <w:pPr>
        <w:pStyle w:val="WLGLevel1"/>
        <w:numPr>
          <w:ilvl w:val="0"/>
          <w:numId w:val="0"/>
        </w:numPr>
        <w:spacing w:before="0" w:after="0" w:line="360" w:lineRule="auto"/>
        <w:rPr>
          <w:rFonts w:cs="Arial"/>
          <w:iCs/>
          <w:color w:val="000000" w:themeColor="text1"/>
          <w:szCs w:val="24"/>
          <w:lang w:val="en-GB"/>
        </w:rPr>
      </w:pPr>
      <w:r w:rsidRPr="007F6548">
        <w:rPr>
          <w:rFonts w:cs="Arial"/>
          <w:iCs/>
          <w:color w:val="000000" w:themeColor="text1"/>
          <w:szCs w:val="24"/>
          <w:lang w:val="en-GB"/>
        </w:rPr>
        <w:t xml:space="preserve"> </w:t>
      </w:r>
    </w:p>
    <w:p w14:paraId="56730F6B" w14:textId="776A05B2" w:rsidR="00E1243C" w:rsidRPr="005B7A55" w:rsidRDefault="006762A5" w:rsidP="00E44B8E">
      <w:pPr>
        <w:pStyle w:val="WLGLevel1"/>
        <w:numPr>
          <w:ilvl w:val="0"/>
          <w:numId w:val="0"/>
        </w:numPr>
        <w:spacing w:before="0" w:after="0" w:line="360" w:lineRule="auto"/>
        <w:rPr>
          <w:rFonts w:cs="Arial"/>
          <w:b/>
          <w:color w:val="000000" w:themeColor="text1"/>
          <w:szCs w:val="24"/>
          <w:lang w:val="en-GB"/>
        </w:rPr>
      </w:pPr>
      <w:r w:rsidRPr="005B7A55">
        <w:rPr>
          <w:rFonts w:cs="Arial"/>
          <w:b/>
          <w:color w:val="000000" w:themeColor="text1"/>
          <w:szCs w:val="24"/>
          <w:lang w:val="en-GB"/>
        </w:rPr>
        <w:t>R</w:t>
      </w:r>
      <w:r w:rsidR="00E1243C" w:rsidRPr="005B7A55">
        <w:rPr>
          <w:rFonts w:cs="Arial"/>
          <w:b/>
          <w:color w:val="000000" w:themeColor="text1"/>
          <w:szCs w:val="24"/>
          <w:lang w:val="en-GB"/>
        </w:rPr>
        <w:t>easons</w:t>
      </w:r>
      <w:r w:rsidR="00E5352C" w:rsidRPr="005B7A55">
        <w:rPr>
          <w:rFonts w:cs="Arial"/>
          <w:b/>
          <w:color w:val="000000" w:themeColor="text1"/>
          <w:szCs w:val="24"/>
          <w:lang w:val="en-GB"/>
        </w:rPr>
        <w:t xml:space="preserve"> commonly raised by respondents</w:t>
      </w:r>
    </w:p>
    <w:p w14:paraId="2D9C8B89" w14:textId="1A444F85" w:rsidR="00A07258" w:rsidRPr="000D5CF4" w:rsidRDefault="00F8185E" w:rsidP="00E44B8E">
      <w:pPr>
        <w:pStyle w:val="WLGLevel1"/>
        <w:numPr>
          <w:ilvl w:val="0"/>
          <w:numId w:val="0"/>
        </w:numPr>
        <w:spacing w:before="0" w:after="0" w:line="360" w:lineRule="auto"/>
        <w:rPr>
          <w:rFonts w:cs="Arial"/>
          <w:i/>
          <w:color w:val="000000" w:themeColor="text1"/>
          <w:szCs w:val="24"/>
          <w:lang w:val="en-GB"/>
        </w:rPr>
      </w:pPr>
      <w:bookmarkStart w:id="26" w:name="_Toc154744831"/>
      <w:r w:rsidRPr="000D5CF4">
        <w:rPr>
          <w:rFonts w:cs="Arial"/>
          <w:i/>
          <w:color w:val="000000" w:themeColor="text1"/>
          <w:szCs w:val="24"/>
          <w:lang w:val="en-GB"/>
        </w:rPr>
        <w:t>L</w:t>
      </w:r>
      <w:r w:rsidR="00A07258" w:rsidRPr="000D5CF4">
        <w:rPr>
          <w:rFonts w:cs="Arial"/>
          <w:i/>
          <w:color w:val="000000" w:themeColor="text1"/>
          <w:szCs w:val="24"/>
          <w:lang w:val="en-GB"/>
        </w:rPr>
        <w:t>ack of funds</w:t>
      </w:r>
      <w:bookmarkEnd w:id="26"/>
      <w:r w:rsidR="00A07258" w:rsidRPr="000D5CF4">
        <w:rPr>
          <w:rFonts w:cs="Arial"/>
          <w:i/>
          <w:color w:val="000000" w:themeColor="text1"/>
          <w:szCs w:val="24"/>
          <w:lang w:val="en-GB"/>
        </w:rPr>
        <w:t xml:space="preserve"> </w:t>
      </w:r>
    </w:p>
    <w:p w14:paraId="5E210CD2" w14:textId="31DA51F2" w:rsidR="00F8185E" w:rsidRPr="007F6548" w:rsidRDefault="00F8185E" w:rsidP="00835133">
      <w:pPr>
        <w:pStyle w:val="WLGLevel1"/>
        <w:numPr>
          <w:ilvl w:val="0"/>
          <w:numId w:val="0"/>
        </w:numPr>
        <w:spacing w:before="0" w:line="360" w:lineRule="auto"/>
        <w:rPr>
          <w:rFonts w:cs="Arial"/>
          <w:color w:val="000000" w:themeColor="text1"/>
          <w:szCs w:val="24"/>
        </w:rPr>
      </w:pPr>
      <w:r w:rsidRPr="007F6548">
        <w:rPr>
          <w:rFonts w:cs="Arial"/>
          <w:color w:val="000000" w:themeColor="text1"/>
          <w:szCs w:val="24"/>
        </w:rPr>
        <w:t>[</w:t>
      </w:r>
      <w:r w:rsidR="004D0F8C" w:rsidRPr="007F6548">
        <w:rPr>
          <w:rFonts w:cs="Arial"/>
          <w:color w:val="000000" w:themeColor="text1"/>
          <w:szCs w:val="24"/>
        </w:rPr>
        <w:t>2</w:t>
      </w:r>
      <w:r w:rsidR="000172EE">
        <w:rPr>
          <w:rFonts w:cs="Arial"/>
          <w:color w:val="000000" w:themeColor="text1"/>
          <w:szCs w:val="24"/>
        </w:rPr>
        <w:t>4</w:t>
      </w:r>
      <w:r w:rsidRPr="007F6548">
        <w:rPr>
          <w:rFonts w:cs="Arial"/>
          <w:color w:val="000000" w:themeColor="text1"/>
          <w:szCs w:val="24"/>
        </w:rPr>
        <w:t>]</w:t>
      </w:r>
      <w:r w:rsidRPr="007F6548">
        <w:rPr>
          <w:rFonts w:cs="Arial"/>
          <w:color w:val="000000" w:themeColor="text1"/>
          <w:szCs w:val="24"/>
        </w:rPr>
        <w:tab/>
      </w:r>
      <w:r w:rsidR="006E48CE" w:rsidRPr="007F6548">
        <w:rPr>
          <w:rFonts w:cs="Arial"/>
          <w:color w:val="000000" w:themeColor="text1"/>
          <w:szCs w:val="24"/>
        </w:rPr>
        <w:t xml:space="preserve">Several </w:t>
      </w:r>
      <w:r w:rsidR="00B365C1" w:rsidRPr="007F6548">
        <w:rPr>
          <w:rFonts w:cs="Arial"/>
          <w:color w:val="000000" w:themeColor="text1"/>
          <w:szCs w:val="24"/>
        </w:rPr>
        <w:t xml:space="preserve">respondents </w:t>
      </w:r>
      <w:r w:rsidR="006E48CE" w:rsidRPr="007F6548">
        <w:rPr>
          <w:rFonts w:cs="Arial"/>
          <w:color w:val="000000" w:themeColor="text1"/>
          <w:szCs w:val="24"/>
        </w:rPr>
        <w:t xml:space="preserve">blame their failure to comply with their obligations under the Funding Act on lack of </w:t>
      </w:r>
      <w:r w:rsidR="00A07258" w:rsidRPr="007F6548">
        <w:rPr>
          <w:rFonts w:cs="Arial"/>
          <w:color w:val="000000" w:themeColor="text1"/>
          <w:szCs w:val="24"/>
        </w:rPr>
        <w:t>financial</w:t>
      </w:r>
      <w:r w:rsidR="00B365C1" w:rsidRPr="007F6548">
        <w:rPr>
          <w:rFonts w:cs="Arial"/>
          <w:color w:val="000000" w:themeColor="text1"/>
          <w:szCs w:val="24"/>
        </w:rPr>
        <w:t xml:space="preserve"> resources. </w:t>
      </w:r>
      <w:r w:rsidR="00A07258" w:rsidRPr="007F6548">
        <w:rPr>
          <w:rFonts w:cs="Arial"/>
          <w:color w:val="000000" w:themeColor="text1"/>
          <w:szCs w:val="24"/>
        </w:rPr>
        <w:t xml:space="preserve">They complain that </w:t>
      </w:r>
      <w:r w:rsidRPr="007F6548">
        <w:rPr>
          <w:rFonts w:cs="Arial"/>
          <w:color w:val="000000" w:themeColor="text1"/>
          <w:szCs w:val="24"/>
        </w:rPr>
        <w:t>as un</w:t>
      </w:r>
      <w:r w:rsidR="00A07258" w:rsidRPr="007F6548">
        <w:rPr>
          <w:rFonts w:cs="Arial"/>
          <w:color w:val="000000" w:themeColor="text1"/>
          <w:szCs w:val="24"/>
        </w:rPr>
        <w:t xml:space="preserve">represented parties </w:t>
      </w:r>
      <w:r w:rsidRPr="007F6548">
        <w:rPr>
          <w:rFonts w:cs="Arial"/>
          <w:color w:val="000000" w:themeColor="text1"/>
          <w:szCs w:val="24"/>
        </w:rPr>
        <w:t xml:space="preserve">who do not receive any funding from the </w:t>
      </w:r>
      <w:r w:rsidR="006842EC" w:rsidRPr="007F6548">
        <w:rPr>
          <w:rFonts w:cs="Arial"/>
          <w:color w:val="000000" w:themeColor="text1"/>
          <w:szCs w:val="24"/>
        </w:rPr>
        <w:t>Commission under the Funding Act</w:t>
      </w:r>
      <w:r w:rsidRPr="007F6548">
        <w:rPr>
          <w:rFonts w:cs="Arial"/>
          <w:color w:val="000000" w:themeColor="text1"/>
          <w:szCs w:val="24"/>
        </w:rPr>
        <w:t xml:space="preserve">, </w:t>
      </w:r>
      <w:r w:rsidR="00A07258" w:rsidRPr="007F6548">
        <w:rPr>
          <w:rFonts w:cs="Arial"/>
          <w:color w:val="000000" w:themeColor="text1"/>
          <w:szCs w:val="24"/>
        </w:rPr>
        <w:t>they cannot afford to</w:t>
      </w:r>
      <w:r w:rsidRPr="007F6548">
        <w:rPr>
          <w:rFonts w:cs="Arial"/>
          <w:color w:val="000000" w:themeColor="text1"/>
          <w:szCs w:val="24"/>
        </w:rPr>
        <w:t xml:space="preserve"> </w:t>
      </w:r>
      <w:r w:rsidR="00A07258" w:rsidRPr="007F6548">
        <w:rPr>
          <w:rFonts w:cs="Arial"/>
          <w:color w:val="000000" w:themeColor="text1"/>
          <w:szCs w:val="24"/>
        </w:rPr>
        <w:t>procur</w:t>
      </w:r>
      <w:r w:rsidR="00EE0395" w:rsidRPr="007F6548">
        <w:rPr>
          <w:rFonts w:cs="Arial"/>
          <w:color w:val="000000" w:themeColor="text1"/>
          <w:szCs w:val="24"/>
        </w:rPr>
        <w:t xml:space="preserve">e </w:t>
      </w:r>
      <w:r w:rsidR="00A07258" w:rsidRPr="007F6548">
        <w:rPr>
          <w:rFonts w:cs="Arial"/>
          <w:color w:val="000000" w:themeColor="text1"/>
          <w:szCs w:val="24"/>
        </w:rPr>
        <w:t>the services of a registered and practising auditor to audit their books and financial statements.</w:t>
      </w:r>
      <w:r w:rsidR="000C792D" w:rsidRPr="007F6548">
        <w:rPr>
          <w:rFonts w:cs="Arial"/>
          <w:color w:val="000000" w:themeColor="text1"/>
          <w:szCs w:val="24"/>
        </w:rPr>
        <w:t xml:space="preserve"> </w:t>
      </w:r>
    </w:p>
    <w:p w14:paraId="3CDDB3A8" w14:textId="6A42A2C4" w:rsidR="00CF30F5" w:rsidRPr="007F6548" w:rsidRDefault="00F8185E" w:rsidP="00053CF4">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D13757" w:rsidRPr="007F6548">
        <w:rPr>
          <w:rFonts w:cs="Arial"/>
          <w:color w:val="000000" w:themeColor="text1"/>
          <w:szCs w:val="24"/>
        </w:rPr>
        <w:t>2</w:t>
      </w:r>
      <w:r w:rsidR="000172EE">
        <w:rPr>
          <w:rFonts w:cs="Arial"/>
          <w:color w:val="000000" w:themeColor="text1"/>
          <w:szCs w:val="24"/>
        </w:rPr>
        <w:t>5</w:t>
      </w:r>
      <w:r w:rsidRPr="007F6548">
        <w:rPr>
          <w:rFonts w:cs="Arial"/>
          <w:color w:val="000000" w:themeColor="text1"/>
          <w:szCs w:val="24"/>
        </w:rPr>
        <w:t>]</w:t>
      </w:r>
      <w:r w:rsidRPr="007F6548">
        <w:rPr>
          <w:rFonts w:cs="Arial"/>
          <w:color w:val="000000" w:themeColor="text1"/>
          <w:szCs w:val="24"/>
        </w:rPr>
        <w:tab/>
        <w:t xml:space="preserve">The Commission contends that </w:t>
      </w:r>
      <w:r w:rsidR="00765C72" w:rsidRPr="007F6548">
        <w:rPr>
          <w:rFonts w:cs="Arial"/>
          <w:color w:val="000000" w:themeColor="text1"/>
          <w:szCs w:val="24"/>
        </w:rPr>
        <w:t>n</w:t>
      </w:r>
      <w:r w:rsidR="00026CB4" w:rsidRPr="007F6548">
        <w:rPr>
          <w:rFonts w:cs="Arial"/>
          <w:color w:val="000000" w:themeColor="text1"/>
          <w:szCs w:val="24"/>
        </w:rPr>
        <w:t>on-compliance due to lack of financial resources ought to be inexcusable.</w:t>
      </w:r>
      <w:r w:rsidR="003D090B" w:rsidRPr="007F6548">
        <w:rPr>
          <w:rFonts w:cs="Arial"/>
          <w:color w:val="000000" w:themeColor="text1"/>
          <w:szCs w:val="24"/>
        </w:rPr>
        <w:t xml:space="preserve"> </w:t>
      </w:r>
      <w:r w:rsidR="00F5035F" w:rsidRPr="007F6548">
        <w:rPr>
          <w:rFonts w:cs="Arial"/>
          <w:color w:val="000000" w:themeColor="text1"/>
          <w:szCs w:val="24"/>
        </w:rPr>
        <w:t xml:space="preserve">A </w:t>
      </w:r>
      <w:r w:rsidR="00C63692">
        <w:rPr>
          <w:rFonts w:cs="Arial"/>
          <w:color w:val="000000" w:themeColor="text1"/>
          <w:szCs w:val="24"/>
        </w:rPr>
        <w:t>Court</w:t>
      </w:r>
      <w:r w:rsidR="00F5035F" w:rsidRPr="007F6548">
        <w:rPr>
          <w:rFonts w:cs="Arial"/>
          <w:color w:val="000000" w:themeColor="text1"/>
          <w:szCs w:val="24"/>
        </w:rPr>
        <w:t xml:space="preserve"> does not have a general power to condone non-compliance with a statutory provision unless the statute expressly or impliedly grants the </w:t>
      </w:r>
      <w:r w:rsidR="00C63692">
        <w:rPr>
          <w:rFonts w:cs="Arial"/>
          <w:color w:val="000000" w:themeColor="text1"/>
          <w:szCs w:val="24"/>
        </w:rPr>
        <w:t>Court</w:t>
      </w:r>
      <w:r w:rsidR="00F5035F" w:rsidRPr="007F6548">
        <w:rPr>
          <w:rFonts w:cs="Arial"/>
          <w:color w:val="000000" w:themeColor="text1"/>
          <w:szCs w:val="24"/>
        </w:rPr>
        <w:t xml:space="preserve"> such a power.</w:t>
      </w:r>
      <w:r w:rsidR="00765C72" w:rsidRPr="007F6548">
        <w:rPr>
          <w:rFonts w:cs="Arial"/>
          <w:color w:val="000000" w:themeColor="text1"/>
          <w:szCs w:val="24"/>
        </w:rPr>
        <w:t xml:space="preserve"> </w:t>
      </w:r>
      <w:r w:rsidRPr="007F6548">
        <w:rPr>
          <w:rFonts w:cs="Arial"/>
          <w:color w:val="000000" w:themeColor="text1"/>
          <w:szCs w:val="24"/>
        </w:rPr>
        <w:t>I</w:t>
      </w:r>
      <w:r w:rsidR="0084147C" w:rsidRPr="007F6548">
        <w:rPr>
          <w:rFonts w:cs="Arial"/>
          <w:color w:val="000000" w:themeColor="text1"/>
          <w:szCs w:val="24"/>
        </w:rPr>
        <w:t>t relies on</w:t>
      </w:r>
      <w:r w:rsidRPr="007F6548">
        <w:rPr>
          <w:rFonts w:cs="Arial"/>
          <w:color w:val="000000" w:themeColor="text1"/>
          <w:szCs w:val="24"/>
        </w:rPr>
        <w:t xml:space="preserve"> </w:t>
      </w:r>
      <w:r w:rsidR="00A07258" w:rsidRPr="004B4890">
        <w:rPr>
          <w:rFonts w:cs="Arial"/>
          <w:i/>
          <w:iCs/>
          <w:color w:val="000000" w:themeColor="text1"/>
          <w:szCs w:val="24"/>
        </w:rPr>
        <w:t>Scoin</w:t>
      </w:r>
      <w:r w:rsidR="00A07258" w:rsidRPr="007F6548">
        <w:rPr>
          <w:rFonts w:cs="Arial"/>
          <w:i/>
          <w:iCs/>
          <w:color w:val="000000" w:themeColor="text1"/>
          <w:szCs w:val="24"/>
        </w:rPr>
        <w:t xml:space="preserve"> Trading (Pty) Ltd v Bernstein</w:t>
      </w:r>
      <w:r w:rsidR="00A07258" w:rsidRPr="007F6548">
        <w:rPr>
          <w:rFonts w:cs="Arial"/>
          <w:color w:val="000000" w:themeColor="text1"/>
          <w:szCs w:val="24"/>
        </w:rPr>
        <w:t xml:space="preserve"> </w:t>
      </w:r>
      <w:r w:rsidR="00A451A4" w:rsidRPr="007F6548">
        <w:rPr>
          <w:rFonts w:cs="Arial"/>
          <w:color w:val="000000" w:themeColor="text1"/>
          <w:szCs w:val="24"/>
        </w:rPr>
        <w:t xml:space="preserve">where </w:t>
      </w:r>
      <w:r w:rsidR="00A07258" w:rsidRPr="007F6548">
        <w:rPr>
          <w:rFonts w:cs="Arial"/>
          <w:color w:val="000000" w:themeColor="text1"/>
          <w:szCs w:val="24"/>
        </w:rPr>
        <w:t xml:space="preserve">the SCA </w:t>
      </w:r>
      <w:r w:rsidR="00A451A4" w:rsidRPr="007F6548">
        <w:rPr>
          <w:rFonts w:cs="Arial"/>
          <w:color w:val="000000" w:themeColor="text1"/>
          <w:szCs w:val="24"/>
        </w:rPr>
        <w:t>he</w:t>
      </w:r>
      <w:r w:rsidR="00CF30F5" w:rsidRPr="007F6548">
        <w:rPr>
          <w:rFonts w:cs="Arial"/>
          <w:color w:val="000000" w:themeColor="text1"/>
          <w:szCs w:val="24"/>
        </w:rPr>
        <w:t>ld that</w:t>
      </w:r>
      <w:r w:rsidR="00A07258" w:rsidRPr="007F6548">
        <w:rPr>
          <w:rFonts w:cs="Arial"/>
          <w:color w:val="000000" w:themeColor="text1"/>
          <w:szCs w:val="24"/>
        </w:rPr>
        <w:t xml:space="preserve">: “The law does not regard mere personal incapability to perform as </w:t>
      </w:r>
      <w:r w:rsidR="00A07258" w:rsidRPr="007F6548">
        <w:rPr>
          <w:rFonts w:cs="Arial"/>
          <w:color w:val="000000" w:themeColor="text1"/>
          <w:szCs w:val="24"/>
        </w:rPr>
        <w:lastRenderedPageBreak/>
        <w:t>constituting impossibility”</w:t>
      </w:r>
      <w:r w:rsidR="00A07258" w:rsidRPr="007F6548">
        <w:rPr>
          <w:rStyle w:val="FootnoteReference"/>
          <w:rFonts w:cs="Arial"/>
          <w:color w:val="000000" w:themeColor="text1"/>
          <w:szCs w:val="24"/>
        </w:rPr>
        <w:footnoteReference w:id="7"/>
      </w:r>
      <w:r w:rsidR="00A07258" w:rsidRPr="007F6548">
        <w:rPr>
          <w:rFonts w:cs="Arial"/>
          <w:color w:val="000000" w:themeColor="text1"/>
          <w:szCs w:val="24"/>
        </w:rPr>
        <w:t xml:space="preserve"> </w:t>
      </w:r>
      <w:r w:rsidR="009552FA" w:rsidRPr="007F6548">
        <w:rPr>
          <w:rFonts w:cs="Arial"/>
          <w:color w:val="000000" w:themeColor="text1"/>
          <w:szCs w:val="24"/>
        </w:rPr>
        <w:t xml:space="preserve">and </w:t>
      </w:r>
      <w:r w:rsidR="00A07258" w:rsidRPr="007F6548">
        <w:rPr>
          <w:rFonts w:cs="Arial"/>
          <w:i/>
          <w:iCs/>
          <w:color w:val="000000" w:themeColor="text1"/>
          <w:szCs w:val="24"/>
        </w:rPr>
        <w:t>Van Zyl</w:t>
      </w:r>
      <w:r w:rsidR="00A07258" w:rsidRPr="007F6548">
        <w:rPr>
          <w:rFonts w:cs="Arial"/>
          <w:color w:val="000000" w:themeColor="text1"/>
          <w:szCs w:val="24"/>
        </w:rPr>
        <w:t>,</w:t>
      </w:r>
      <w:r w:rsidR="00A07258" w:rsidRPr="007F6548">
        <w:rPr>
          <w:rStyle w:val="FootnoteReference"/>
          <w:rFonts w:cs="Arial"/>
          <w:color w:val="000000" w:themeColor="text1"/>
          <w:szCs w:val="24"/>
        </w:rPr>
        <w:footnoteReference w:id="8"/>
      </w:r>
      <w:r w:rsidR="00A07258" w:rsidRPr="007F6548">
        <w:rPr>
          <w:rFonts w:cs="Arial"/>
          <w:color w:val="000000" w:themeColor="text1"/>
          <w:szCs w:val="24"/>
        </w:rPr>
        <w:t xml:space="preserve"> </w:t>
      </w:r>
      <w:r w:rsidR="009552FA" w:rsidRPr="007F6548">
        <w:rPr>
          <w:rFonts w:cs="Arial"/>
          <w:color w:val="000000" w:themeColor="text1"/>
          <w:szCs w:val="24"/>
        </w:rPr>
        <w:t xml:space="preserve">where </w:t>
      </w:r>
      <w:r w:rsidR="00A07258" w:rsidRPr="007F6548">
        <w:rPr>
          <w:rFonts w:cs="Arial"/>
          <w:color w:val="000000" w:themeColor="text1"/>
          <w:szCs w:val="24"/>
        </w:rPr>
        <w:t xml:space="preserve">the Constitutional </w:t>
      </w:r>
      <w:r w:rsidR="00C63692">
        <w:rPr>
          <w:rFonts w:cs="Arial"/>
          <w:color w:val="000000" w:themeColor="text1"/>
          <w:szCs w:val="24"/>
        </w:rPr>
        <w:t>Court</w:t>
      </w:r>
      <w:r w:rsidR="00A07258" w:rsidRPr="007F6548">
        <w:rPr>
          <w:rFonts w:cs="Arial"/>
          <w:color w:val="000000" w:themeColor="text1"/>
          <w:szCs w:val="24"/>
        </w:rPr>
        <w:t xml:space="preserve"> upheld the principle that a party will only be excused from the duty to comply with a statutory obligation if the circumstances which led to </w:t>
      </w:r>
      <w:r w:rsidR="00CE4454" w:rsidRPr="007F6548">
        <w:rPr>
          <w:rFonts w:cs="Arial"/>
          <w:color w:val="000000" w:themeColor="text1"/>
          <w:szCs w:val="24"/>
        </w:rPr>
        <w:t>its</w:t>
      </w:r>
      <w:r w:rsidR="00A07258" w:rsidRPr="007F6548">
        <w:rPr>
          <w:rFonts w:cs="Arial"/>
          <w:color w:val="000000" w:themeColor="text1"/>
          <w:szCs w:val="24"/>
        </w:rPr>
        <w:t xml:space="preserve"> non-compliance were objectively beyond the control of that party.</w:t>
      </w:r>
      <w:r w:rsidR="00A07258" w:rsidRPr="007F6548">
        <w:rPr>
          <w:rStyle w:val="FootnoteReference"/>
          <w:rFonts w:cs="Arial"/>
          <w:color w:val="000000" w:themeColor="text1"/>
          <w:szCs w:val="24"/>
        </w:rPr>
        <w:footnoteReference w:id="9"/>
      </w:r>
      <w:r w:rsidR="00CF30F5" w:rsidRPr="007F6548">
        <w:rPr>
          <w:rFonts w:cs="Arial"/>
          <w:color w:val="000000" w:themeColor="text1"/>
          <w:szCs w:val="24"/>
        </w:rPr>
        <w:t xml:space="preserve"> Therefore, </w:t>
      </w:r>
      <w:r w:rsidR="00A07258" w:rsidRPr="007F6548">
        <w:rPr>
          <w:rFonts w:cs="Arial"/>
          <w:color w:val="000000" w:themeColor="text1"/>
          <w:szCs w:val="24"/>
        </w:rPr>
        <w:t xml:space="preserve">a claim by a party that </w:t>
      </w:r>
      <w:r w:rsidR="00CF30F5" w:rsidRPr="007F6548">
        <w:rPr>
          <w:rFonts w:cs="Arial"/>
          <w:color w:val="000000" w:themeColor="text1"/>
          <w:szCs w:val="24"/>
        </w:rPr>
        <w:t xml:space="preserve">it lacks the means </w:t>
      </w:r>
      <w:r w:rsidR="00A07258" w:rsidRPr="007F6548">
        <w:rPr>
          <w:rFonts w:cs="Arial"/>
          <w:color w:val="000000" w:themeColor="text1"/>
          <w:szCs w:val="24"/>
        </w:rPr>
        <w:t>to fulfil a statutory obligation is a subjective excuse not covered by the impossibility doctrine.</w:t>
      </w:r>
      <w:r w:rsidR="00A07258" w:rsidRPr="007F6548">
        <w:rPr>
          <w:rStyle w:val="FootnoteReference"/>
          <w:rFonts w:cs="Arial"/>
          <w:color w:val="000000" w:themeColor="text1"/>
          <w:szCs w:val="24"/>
        </w:rPr>
        <w:footnoteReference w:id="10"/>
      </w:r>
    </w:p>
    <w:p w14:paraId="7F0B686A" w14:textId="3CC0736B" w:rsidR="00A07258" w:rsidRPr="007F6548" w:rsidRDefault="00CF30F5" w:rsidP="00C94588">
      <w:pPr>
        <w:pStyle w:val="WLGLevel1"/>
        <w:numPr>
          <w:ilvl w:val="0"/>
          <w:numId w:val="0"/>
        </w:numPr>
        <w:spacing w:after="0" w:line="360" w:lineRule="auto"/>
        <w:rPr>
          <w:rFonts w:cs="Arial"/>
          <w:color w:val="000000" w:themeColor="text1"/>
          <w:szCs w:val="24"/>
        </w:rPr>
      </w:pPr>
      <w:r w:rsidRPr="007F6548">
        <w:rPr>
          <w:rFonts w:cs="Arial"/>
          <w:color w:val="000000" w:themeColor="text1"/>
          <w:szCs w:val="24"/>
        </w:rPr>
        <w:t>[2</w:t>
      </w:r>
      <w:r w:rsidR="000172EE">
        <w:rPr>
          <w:rFonts w:cs="Arial"/>
          <w:color w:val="000000" w:themeColor="text1"/>
          <w:szCs w:val="24"/>
        </w:rPr>
        <w:t>6</w:t>
      </w:r>
      <w:r w:rsidRPr="007F6548">
        <w:rPr>
          <w:rFonts w:cs="Arial"/>
          <w:color w:val="000000" w:themeColor="text1"/>
          <w:szCs w:val="24"/>
        </w:rPr>
        <w:t>]</w:t>
      </w:r>
      <w:r w:rsidRPr="007F6548">
        <w:rPr>
          <w:rFonts w:cs="Arial"/>
          <w:color w:val="000000" w:themeColor="text1"/>
          <w:szCs w:val="24"/>
        </w:rPr>
        <w:tab/>
        <w:t xml:space="preserve">The Commission also relies on the Constitutional </w:t>
      </w:r>
      <w:r w:rsidR="00C63692">
        <w:rPr>
          <w:rFonts w:cs="Arial"/>
          <w:color w:val="000000" w:themeColor="text1"/>
          <w:szCs w:val="24"/>
        </w:rPr>
        <w:t>Court</w:t>
      </w:r>
      <w:r w:rsidRPr="007F6548">
        <w:rPr>
          <w:rFonts w:cs="Arial"/>
          <w:color w:val="000000" w:themeColor="text1"/>
          <w:szCs w:val="24"/>
        </w:rPr>
        <w:t xml:space="preserve"> decision in </w:t>
      </w:r>
      <w:r w:rsidR="00A07258" w:rsidRPr="007F6548">
        <w:rPr>
          <w:rFonts w:cs="Arial"/>
          <w:i/>
          <w:iCs/>
          <w:color w:val="000000" w:themeColor="text1"/>
          <w:szCs w:val="24"/>
        </w:rPr>
        <w:t>Mohlomi</w:t>
      </w:r>
      <w:r w:rsidRPr="007F6548">
        <w:rPr>
          <w:rFonts w:cs="Arial"/>
          <w:i/>
          <w:iCs/>
          <w:color w:val="000000" w:themeColor="text1"/>
          <w:szCs w:val="24"/>
        </w:rPr>
        <w:t xml:space="preserve">, </w:t>
      </w:r>
      <w:r w:rsidRPr="007F6548">
        <w:rPr>
          <w:rFonts w:cs="Arial"/>
          <w:color w:val="000000" w:themeColor="text1"/>
          <w:szCs w:val="24"/>
        </w:rPr>
        <w:t>where the</w:t>
      </w:r>
      <w:r w:rsidRPr="007F6548">
        <w:rPr>
          <w:rFonts w:cs="Arial"/>
          <w:i/>
          <w:iCs/>
          <w:color w:val="000000" w:themeColor="text1"/>
          <w:szCs w:val="24"/>
        </w:rPr>
        <w:t xml:space="preserve"> </w:t>
      </w:r>
      <w:r w:rsidR="00A07258" w:rsidRPr="007F6548">
        <w:rPr>
          <w:rFonts w:cs="Arial"/>
          <w:color w:val="000000" w:themeColor="text1"/>
          <w:szCs w:val="24"/>
        </w:rPr>
        <w:t xml:space="preserve">Constitutional </w:t>
      </w:r>
      <w:r w:rsidR="00C63692">
        <w:rPr>
          <w:rFonts w:cs="Arial"/>
          <w:color w:val="000000" w:themeColor="text1"/>
          <w:szCs w:val="24"/>
        </w:rPr>
        <w:t>Court</w:t>
      </w:r>
      <w:r w:rsidR="00A07258" w:rsidRPr="007F6548">
        <w:rPr>
          <w:rFonts w:cs="Arial"/>
          <w:color w:val="000000" w:themeColor="text1"/>
          <w:szCs w:val="24"/>
        </w:rPr>
        <w:t xml:space="preserve"> </w:t>
      </w:r>
      <w:r w:rsidRPr="007F6548">
        <w:rPr>
          <w:rFonts w:cs="Arial"/>
          <w:color w:val="000000" w:themeColor="text1"/>
          <w:szCs w:val="24"/>
        </w:rPr>
        <w:t xml:space="preserve">made the following </w:t>
      </w:r>
      <w:r w:rsidR="00A07258" w:rsidRPr="007F6548">
        <w:rPr>
          <w:rFonts w:cs="Arial"/>
          <w:color w:val="000000" w:themeColor="text1"/>
          <w:szCs w:val="24"/>
        </w:rPr>
        <w:t>obiter</w:t>
      </w:r>
      <w:r w:rsidRPr="007F6548">
        <w:rPr>
          <w:rFonts w:cs="Arial"/>
          <w:color w:val="000000" w:themeColor="text1"/>
          <w:szCs w:val="24"/>
        </w:rPr>
        <w:t xml:space="preserve"> statement</w:t>
      </w:r>
      <w:r w:rsidR="00A07258" w:rsidRPr="007F6548">
        <w:rPr>
          <w:rFonts w:cs="Arial"/>
          <w:color w:val="000000" w:themeColor="text1"/>
          <w:szCs w:val="24"/>
        </w:rPr>
        <w:t>:</w:t>
      </w:r>
      <w:r w:rsidR="00A07258" w:rsidRPr="007F6548">
        <w:rPr>
          <w:rStyle w:val="FootnoteReference"/>
          <w:rFonts w:cs="Arial"/>
          <w:color w:val="000000" w:themeColor="text1"/>
          <w:szCs w:val="24"/>
        </w:rPr>
        <w:footnoteReference w:id="11"/>
      </w:r>
    </w:p>
    <w:p w14:paraId="218F19E1" w14:textId="3AB5510D" w:rsidR="00CF30F5" w:rsidRPr="00C94588" w:rsidRDefault="00C94588" w:rsidP="00C94588">
      <w:pPr>
        <w:pStyle w:val="WLGLevel1"/>
        <w:numPr>
          <w:ilvl w:val="0"/>
          <w:numId w:val="0"/>
        </w:numPr>
        <w:spacing w:before="0" w:line="360" w:lineRule="auto"/>
        <w:rPr>
          <w:rFonts w:cs="Arial"/>
          <w:color w:val="000000" w:themeColor="text1"/>
          <w:sz w:val="22"/>
          <w:szCs w:val="22"/>
        </w:rPr>
      </w:pPr>
      <w:r>
        <w:rPr>
          <w:rFonts w:cs="Arial"/>
          <w:color w:val="000000" w:themeColor="text1"/>
          <w:sz w:val="22"/>
          <w:szCs w:val="22"/>
        </w:rPr>
        <w:t>‘</w:t>
      </w:r>
      <w:r w:rsidR="00CF30F5" w:rsidRPr="00C94588">
        <w:rPr>
          <w:rFonts w:cs="Arial"/>
          <w:color w:val="000000" w:themeColor="text1"/>
          <w:sz w:val="22"/>
          <w:szCs w:val="22"/>
        </w:rPr>
        <w:t xml:space="preserve">It appears to have presupposed a power inherent in the </w:t>
      </w:r>
      <w:r w:rsidR="00C63692" w:rsidRPr="00C94588">
        <w:rPr>
          <w:rFonts w:cs="Arial"/>
          <w:color w:val="000000" w:themeColor="text1"/>
          <w:sz w:val="22"/>
          <w:szCs w:val="22"/>
        </w:rPr>
        <w:t>Court</w:t>
      </w:r>
      <w:r w:rsidR="00CF30F5" w:rsidRPr="00C94588">
        <w:rPr>
          <w:rFonts w:cs="Arial"/>
          <w:color w:val="000000" w:themeColor="text1"/>
          <w:sz w:val="22"/>
          <w:szCs w:val="22"/>
        </w:rPr>
        <w:t xml:space="preserve">s to condone defaults of the kind covered which needed to be preserved. But </w:t>
      </w:r>
      <w:r w:rsidR="00C63692" w:rsidRPr="00C94588">
        <w:rPr>
          <w:rFonts w:cs="Arial"/>
          <w:color w:val="000000" w:themeColor="text1"/>
          <w:sz w:val="22"/>
          <w:szCs w:val="22"/>
        </w:rPr>
        <w:t>Court</w:t>
      </w:r>
      <w:r w:rsidR="00CF30F5" w:rsidRPr="00C94588">
        <w:rPr>
          <w:rFonts w:cs="Arial"/>
          <w:color w:val="000000" w:themeColor="text1"/>
          <w:sz w:val="22"/>
          <w:szCs w:val="22"/>
        </w:rPr>
        <w:t xml:space="preserve">s have no such inherent power, and none derived from any source unless and until it is conferred on them. That the sub-section grants them the power in the circumstances mentioned must necessarily be implicit in its terms, however, since they make no </w:t>
      </w:r>
      <w:r>
        <w:rPr>
          <w:rFonts w:cs="Arial"/>
          <w:color w:val="000000" w:themeColor="text1"/>
          <w:sz w:val="22"/>
          <w:szCs w:val="22"/>
        </w:rPr>
        <w:t>sense otherwise.’</w:t>
      </w:r>
    </w:p>
    <w:p w14:paraId="49C8D9CF" w14:textId="24F178C8" w:rsidR="00CF30F5" w:rsidRPr="007F6548" w:rsidRDefault="00CF30F5" w:rsidP="00C94588">
      <w:pPr>
        <w:pStyle w:val="WLGLevel1"/>
        <w:numPr>
          <w:ilvl w:val="0"/>
          <w:numId w:val="0"/>
        </w:numPr>
        <w:spacing w:before="0" w:after="0" w:line="360" w:lineRule="auto"/>
        <w:rPr>
          <w:rFonts w:cs="Arial"/>
          <w:color w:val="000000" w:themeColor="text1"/>
          <w:szCs w:val="24"/>
        </w:rPr>
      </w:pPr>
      <w:r w:rsidRPr="007F6548">
        <w:rPr>
          <w:rFonts w:cs="Arial"/>
          <w:color w:val="000000" w:themeColor="text1"/>
          <w:szCs w:val="24"/>
        </w:rPr>
        <w:t>[2</w:t>
      </w:r>
      <w:r w:rsidR="000172EE">
        <w:rPr>
          <w:rFonts w:cs="Arial"/>
          <w:color w:val="000000" w:themeColor="text1"/>
          <w:szCs w:val="24"/>
        </w:rPr>
        <w:t>7</w:t>
      </w:r>
      <w:r w:rsidRPr="007F6548">
        <w:rPr>
          <w:rFonts w:cs="Arial"/>
          <w:color w:val="000000" w:themeColor="text1"/>
          <w:szCs w:val="24"/>
        </w:rPr>
        <w:t>]</w:t>
      </w:r>
      <w:r w:rsidRPr="007F6548">
        <w:rPr>
          <w:rFonts w:cs="Arial"/>
          <w:color w:val="000000" w:themeColor="text1"/>
          <w:szCs w:val="24"/>
        </w:rPr>
        <w:tab/>
        <w:t xml:space="preserve">The Commission </w:t>
      </w:r>
      <w:r w:rsidR="003D090B" w:rsidRPr="007F6548">
        <w:rPr>
          <w:rFonts w:cs="Arial"/>
          <w:color w:val="000000" w:themeColor="text1"/>
          <w:szCs w:val="24"/>
        </w:rPr>
        <w:t>further</w:t>
      </w:r>
      <w:r w:rsidRPr="007F6548">
        <w:rPr>
          <w:rFonts w:cs="Arial"/>
          <w:color w:val="000000" w:themeColor="text1"/>
          <w:szCs w:val="24"/>
        </w:rPr>
        <w:t xml:space="preserve"> relies on the following remarks the Constitutional </w:t>
      </w:r>
      <w:r w:rsidR="00C63692">
        <w:rPr>
          <w:rFonts w:cs="Arial"/>
          <w:color w:val="000000" w:themeColor="text1"/>
          <w:szCs w:val="24"/>
        </w:rPr>
        <w:t>Court</w:t>
      </w:r>
      <w:r w:rsidRPr="007F6548">
        <w:rPr>
          <w:rFonts w:cs="Arial"/>
          <w:color w:val="000000" w:themeColor="text1"/>
          <w:szCs w:val="24"/>
        </w:rPr>
        <w:t xml:space="preserve"> made in </w:t>
      </w:r>
      <w:r w:rsidRPr="007F6548">
        <w:rPr>
          <w:rFonts w:cs="Arial"/>
          <w:i/>
          <w:iCs/>
          <w:color w:val="000000" w:themeColor="text1"/>
          <w:szCs w:val="24"/>
        </w:rPr>
        <w:t>Phillips</w:t>
      </w:r>
      <w:r w:rsidRPr="007F6548">
        <w:rPr>
          <w:rFonts w:cs="Arial"/>
          <w:color w:val="000000" w:themeColor="text1"/>
          <w:szCs w:val="24"/>
        </w:rPr>
        <w:t>:</w:t>
      </w:r>
      <w:r w:rsidRPr="007F6548">
        <w:rPr>
          <w:rStyle w:val="FootnoteReference"/>
          <w:rFonts w:cs="Arial"/>
          <w:color w:val="000000" w:themeColor="text1"/>
          <w:szCs w:val="24"/>
        </w:rPr>
        <w:footnoteReference w:id="12"/>
      </w:r>
    </w:p>
    <w:p w14:paraId="3958B5C3" w14:textId="57FA6D07" w:rsidR="00CF30F5" w:rsidRPr="007F6548" w:rsidRDefault="00C94588" w:rsidP="00C94588">
      <w:pPr>
        <w:pStyle w:val="Quotelevel1"/>
        <w:spacing w:before="0"/>
        <w:ind w:left="0"/>
        <w:rPr>
          <w:color w:val="000000" w:themeColor="text1"/>
          <w:sz w:val="24"/>
          <w:szCs w:val="24"/>
        </w:rPr>
      </w:pPr>
      <w:r>
        <w:rPr>
          <w:color w:val="000000" w:themeColor="text1"/>
          <w:sz w:val="24"/>
          <w:szCs w:val="24"/>
        </w:rPr>
        <w:t>‘</w:t>
      </w:r>
      <w:r w:rsidR="00CF30F5" w:rsidRPr="00C94588">
        <w:rPr>
          <w:color w:val="000000" w:themeColor="text1"/>
        </w:rPr>
        <w:t>Whatever the true meaning and ambit of section 173, I do not think that an Act of Parliament can simply be ignored and reliance placed directly on a provision in the Constitution, nor is it permissible to side-step an Act of Parliament by resorting to the common law</w:t>
      </w:r>
      <w:r w:rsidR="00450B25" w:rsidRPr="00C94588">
        <w:rPr>
          <w:color w:val="000000" w:themeColor="text1"/>
        </w:rPr>
        <w:t>…. I</w:t>
      </w:r>
      <w:r w:rsidR="00CF30F5" w:rsidRPr="00C94588">
        <w:rPr>
          <w:color w:val="000000" w:themeColor="text1"/>
        </w:rPr>
        <w:t xml:space="preserve"> doubt that the inherent jurisdiction of the </w:t>
      </w:r>
      <w:r w:rsidR="004B264C" w:rsidRPr="00C94588">
        <w:rPr>
          <w:color w:val="000000" w:themeColor="text1"/>
        </w:rPr>
        <w:t>c</w:t>
      </w:r>
      <w:r w:rsidR="00C63692" w:rsidRPr="00C94588">
        <w:rPr>
          <w:color w:val="000000" w:themeColor="text1"/>
        </w:rPr>
        <w:t>ourt</w:t>
      </w:r>
      <w:r w:rsidR="00CF30F5" w:rsidRPr="00C94588">
        <w:rPr>
          <w:color w:val="000000" w:themeColor="text1"/>
        </w:rPr>
        <w:t xml:space="preserve"> under section 173 is such that it empowers a judge of the high </w:t>
      </w:r>
      <w:r w:rsidR="004B264C" w:rsidRPr="00C94588">
        <w:rPr>
          <w:color w:val="000000" w:themeColor="text1"/>
        </w:rPr>
        <w:t>c</w:t>
      </w:r>
      <w:r w:rsidR="00C63692" w:rsidRPr="00C94588">
        <w:rPr>
          <w:color w:val="000000" w:themeColor="text1"/>
        </w:rPr>
        <w:t>ourt</w:t>
      </w:r>
      <w:r w:rsidR="00CF30F5" w:rsidRPr="00C94588">
        <w:rPr>
          <w:color w:val="000000" w:themeColor="text1"/>
        </w:rPr>
        <w:t xml:space="preserve"> to make orders which negate the unambiguous expr</w:t>
      </w:r>
      <w:r>
        <w:rPr>
          <w:color w:val="000000" w:themeColor="text1"/>
        </w:rPr>
        <w:t>ession of the legislative will.’</w:t>
      </w:r>
    </w:p>
    <w:p w14:paraId="17F24C96" w14:textId="7DD81EC0" w:rsidR="0001305A" w:rsidRPr="007F6548" w:rsidRDefault="003D090B" w:rsidP="0001305A">
      <w:pPr>
        <w:pStyle w:val="WLGLevel1"/>
        <w:numPr>
          <w:ilvl w:val="0"/>
          <w:numId w:val="0"/>
        </w:numPr>
        <w:spacing w:line="360" w:lineRule="auto"/>
        <w:rPr>
          <w:rFonts w:cs="Arial"/>
          <w:color w:val="000000" w:themeColor="text1"/>
          <w:szCs w:val="24"/>
        </w:rPr>
      </w:pPr>
      <w:r w:rsidRPr="007F6548">
        <w:rPr>
          <w:rFonts w:cs="Arial"/>
          <w:color w:val="000000" w:themeColor="text1"/>
          <w:szCs w:val="24"/>
        </w:rPr>
        <w:t>[2</w:t>
      </w:r>
      <w:r w:rsidR="000172EE">
        <w:rPr>
          <w:rFonts w:cs="Arial"/>
          <w:color w:val="000000" w:themeColor="text1"/>
          <w:szCs w:val="24"/>
        </w:rPr>
        <w:t>8</w:t>
      </w:r>
      <w:r w:rsidRPr="007F6548">
        <w:rPr>
          <w:rFonts w:cs="Arial"/>
          <w:color w:val="000000" w:themeColor="text1"/>
          <w:szCs w:val="24"/>
        </w:rPr>
        <w:t>]</w:t>
      </w:r>
      <w:r w:rsidR="00777297" w:rsidRPr="007F6548">
        <w:rPr>
          <w:rFonts w:cs="Arial"/>
          <w:color w:val="000000" w:themeColor="text1"/>
          <w:szCs w:val="24"/>
        </w:rPr>
        <w:tab/>
      </w:r>
      <w:r w:rsidRPr="007F6548">
        <w:rPr>
          <w:rFonts w:cs="Arial"/>
          <w:color w:val="000000" w:themeColor="text1"/>
          <w:szCs w:val="24"/>
        </w:rPr>
        <w:t xml:space="preserve">The above decisions </w:t>
      </w:r>
      <w:r w:rsidR="00F4605F" w:rsidRPr="007F6548">
        <w:rPr>
          <w:rFonts w:cs="Arial"/>
          <w:color w:val="000000" w:themeColor="text1"/>
          <w:szCs w:val="24"/>
        </w:rPr>
        <w:t xml:space="preserve">support </w:t>
      </w:r>
      <w:r w:rsidRPr="007F6548">
        <w:rPr>
          <w:rFonts w:cs="Arial"/>
          <w:color w:val="000000" w:themeColor="text1"/>
          <w:szCs w:val="24"/>
        </w:rPr>
        <w:t>the Commission’s case.</w:t>
      </w:r>
      <w:r w:rsidR="00F4605F" w:rsidRPr="007F6548">
        <w:rPr>
          <w:rFonts w:cs="Arial"/>
          <w:color w:val="000000" w:themeColor="text1"/>
          <w:szCs w:val="24"/>
        </w:rPr>
        <w:t xml:space="preserve"> </w:t>
      </w:r>
      <w:r w:rsidR="00E47A7F" w:rsidRPr="007F6548">
        <w:rPr>
          <w:rFonts w:cs="Arial"/>
          <w:color w:val="000000" w:themeColor="text1"/>
          <w:szCs w:val="24"/>
        </w:rPr>
        <w:t>Lack of funding</w:t>
      </w:r>
      <w:r w:rsidR="00F4605F" w:rsidRPr="007F6548">
        <w:rPr>
          <w:rFonts w:cs="Arial"/>
          <w:color w:val="000000" w:themeColor="text1"/>
          <w:szCs w:val="24"/>
        </w:rPr>
        <w:t xml:space="preserve"> constitutes subjective impossibility. It is trite that the law draws a distinction between subjective and objective impossibility: the former occurs when one of the parties, because of their subjective circumstances, cannot meet their obligation while another party can. An objective impossibility occurs when it is impossible for anyone to perform the duties under a statute or contract.  </w:t>
      </w:r>
      <w:r w:rsidR="0001305A" w:rsidRPr="007F6548">
        <w:rPr>
          <w:rFonts w:cs="Arial"/>
          <w:color w:val="000000" w:themeColor="text1"/>
          <w:szCs w:val="24"/>
        </w:rPr>
        <w:t xml:space="preserve">Unless the power to condone non-compliance </w:t>
      </w:r>
      <w:r w:rsidR="0001305A" w:rsidRPr="007F6548">
        <w:rPr>
          <w:rFonts w:cs="Arial"/>
          <w:color w:val="000000" w:themeColor="text1"/>
          <w:szCs w:val="24"/>
        </w:rPr>
        <w:lastRenderedPageBreak/>
        <w:t xml:space="preserve">is expressly or impliedly set out in the legislation, a </w:t>
      </w:r>
      <w:r w:rsidR="00C63692">
        <w:rPr>
          <w:rFonts w:cs="Arial"/>
          <w:color w:val="000000" w:themeColor="text1"/>
          <w:szCs w:val="24"/>
        </w:rPr>
        <w:t>Court</w:t>
      </w:r>
      <w:r w:rsidR="0001305A" w:rsidRPr="007F6548">
        <w:rPr>
          <w:rFonts w:cs="Arial"/>
          <w:color w:val="000000" w:themeColor="text1"/>
          <w:szCs w:val="24"/>
        </w:rPr>
        <w:t xml:space="preserve"> has no authority to condone non-compliance. Subjective impossibility does not justify non-compliance.   </w:t>
      </w:r>
    </w:p>
    <w:p w14:paraId="24892730" w14:textId="6A9CCAF5" w:rsidR="00C57D9C" w:rsidRPr="007F6548" w:rsidRDefault="00C57D9C" w:rsidP="00C57D9C">
      <w:pPr>
        <w:pStyle w:val="WLGLevel1"/>
        <w:numPr>
          <w:ilvl w:val="0"/>
          <w:numId w:val="0"/>
        </w:numPr>
        <w:spacing w:line="360" w:lineRule="auto"/>
        <w:rPr>
          <w:rFonts w:cs="Arial"/>
          <w:color w:val="000000" w:themeColor="text1"/>
          <w:szCs w:val="24"/>
          <w:lang w:eastAsia="en-ZA"/>
        </w:rPr>
      </w:pPr>
      <w:r w:rsidRPr="007F6548">
        <w:rPr>
          <w:rFonts w:cs="Arial"/>
          <w:iCs/>
          <w:color w:val="000000" w:themeColor="text1"/>
          <w:szCs w:val="24"/>
          <w:lang w:val="en-GB"/>
        </w:rPr>
        <w:t>[</w:t>
      </w:r>
      <w:r w:rsidR="009B4489" w:rsidRPr="007F6548">
        <w:rPr>
          <w:rFonts w:cs="Arial"/>
          <w:iCs/>
          <w:color w:val="000000" w:themeColor="text1"/>
          <w:szCs w:val="24"/>
          <w:lang w:val="en-GB"/>
        </w:rPr>
        <w:t>2</w:t>
      </w:r>
      <w:r w:rsidR="000172EE">
        <w:rPr>
          <w:rFonts w:cs="Arial"/>
          <w:iCs/>
          <w:color w:val="000000" w:themeColor="text1"/>
          <w:szCs w:val="24"/>
          <w:lang w:val="en-GB"/>
        </w:rPr>
        <w:t>9</w:t>
      </w:r>
      <w:r w:rsidRPr="007F6548">
        <w:rPr>
          <w:rFonts w:cs="Arial"/>
          <w:iCs/>
          <w:color w:val="000000" w:themeColor="text1"/>
          <w:szCs w:val="24"/>
          <w:lang w:val="en-GB"/>
        </w:rPr>
        <w:t>]</w:t>
      </w:r>
      <w:r w:rsidRPr="007F6548">
        <w:rPr>
          <w:rFonts w:cs="Arial"/>
          <w:iCs/>
          <w:color w:val="000000" w:themeColor="text1"/>
          <w:szCs w:val="24"/>
          <w:lang w:val="en-GB"/>
        </w:rPr>
        <w:tab/>
        <w:t xml:space="preserve">As the applicants further point out, the obligations imposed by the </w:t>
      </w:r>
      <w:r w:rsidR="00BF1FE2" w:rsidRPr="007F6548">
        <w:rPr>
          <w:rFonts w:cs="Arial"/>
          <w:iCs/>
          <w:color w:val="000000" w:themeColor="text1"/>
          <w:szCs w:val="24"/>
          <w:lang w:val="en-GB"/>
        </w:rPr>
        <w:t>applicable statutory</w:t>
      </w:r>
      <w:r w:rsidRPr="007F6548">
        <w:rPr>
          <w:rFonts w:cs="Arial"/>
          <w:iCs/>
          <w:color w:val="000000" w:themeColor="text1"/>
          <w:szCs w:val="24"/>
          <w:lang w:val="en-GB"/>
        </w:rPr>
        <w:t xml:space="preserve"> and regulatory provisions are peremptory as illustrated by the repeated use of the word “must” in s 12 and regulation 10. Our </w:t>
      </w:r>
      <w:r w:rsidR="00C63692">
        <w:rPr>
          <w:rFonts w:cs="Arial"/>
          <w:iCs/>
          <w:color w:val="000000" w:themeColor="text1"/>
          <w:szCs w:val="24"/>
          <w:lang w:val="en-GB"/>
        </w:rPr>
        <w:t>Court</w:t>
      </w:r>
      <w:r w:rsidR="00DF70DC" w:rsidRPr="007F6548">
        <w:rPr>
          <w:rFonts w:cs="Arial"/>
          <w:iCs/>
          <w:color w:val="000000" w:themeColor="text1"/>
          <w:szCs w:val="24"/>
          <w:lang w:val="en-GB"/>
        </w:rPr>
        <w:t>s</w:t>
      </w:r>
      <w:r w:rsidRPr="007F6548">
        <w:rPr>
          <w:rFonts w:cs="Arial"/>
          <w:iCs/>
          <w:color w:val="000000" w:themeColor="text1"/>
          <w:szCs w:val="24"/>
          <w:lang w:val="en-GB"/>
        </w:rPr>
        <w:t xml:space="preserve"> have held that</w:t>
      </w:r>
      <w:r w:rsidR="007C20BA">
        <w:rPr>
          <w:rFonts w:cs="Arial"/>
          <w:iCs/>
          <w:color w:val="000000" w:themeColor="text1"/>
          <w:szCs w:val="24"/>
          <w:lang w:val="en-GB"/>
        </w:rPr>
        <w:t xml:space="preserve"> in general, the</w:t>
      </w:r>
      <w:r w:rsidRPr="007F6548">
        <w:rPr>
          <w:rFonts w:cs="Arial"/>
          <w:iCs/>
          <w:color w:val="000000" w:themeColor="text1"/>
          <w:szCs w:val="24"/>
          <w:lang w:val="en-GB"/>
        </w:rPr>
        <w:t xml:space="preserve"> use of this word connotes that the provisions are mandatory.</w:t>
      </w:r>
      <w:r w:rsidRPr="007F6548">
        <w:rPr>
          <w:rStyle w:val="FootnoteReference"/>
          <w:rFonts w:cs="Arial"/>
          <w:iCs/>
          <w:color w:val="000000" w:themeColor="text1"/>
          <w:szCs w:val="24"/>
          <w:lang w:val="en-GB"/>
        </w:rPr>
        <w:footnoteReference w:id="13"/>
      </w:r>
      <w:r w:rsidRPr="007F6548">
        <w:rPr>
          <w:rFonts w:cs="Arial"/>
          <w:iCs/>
          <w:color w:val="000000" w:themeColor="text1"/>
          <w:szCs w:val="24"/>
          <w:lang w:val="en-GB"/>
        </w:rPr>
        <w:t xml:space="preserve"> The fact that non-compliance may invite a sanction further supports this interpretation.</w:t>
      </w:r>
      <w:r w:rsidRPr="007F6548">
        <w:rPr>
          <w:rStyle w:val="FootnoteReference"/>
          <w:rFonts w:cs="Arial"/>
          <w:iCs/>
          <w:color w:val="000000" w:themeColor="text1"/>
          <w:szCs w:val="24"/>
          <w:lang w:val="en-GB"/>
        </w:rPr>
        <w:footnoteReference w:id="14"/>
      </w:r>
      <w:r w:rsidRPr="007F6548">
        <w:rPr>
          <w:rFonts w:cs="Arial"/>
          <w:iCs/>
          <w:color w:val="000000" w:themeColor="text1"/>
          <w:szCs w:val="24"/>
          <w:lang w:val="en-GB"/>
        </w:rPr>
        <w:t xml:space="preserve"> The</w:t>
      </w:r>
      <w:r w:rsidR="00DF70DC" w:rsidRPr="007F6548">
        <w:rPr>
          <w:rFonts w:cs="Arial"/>
          <w:iCs/>
          <w:color w:val="000000" w:themeColor="text1"/>
          <w:szCs w:val="24"/>
          <w:lang w:val="en-GB"/>
        </w:rPr>
        <w:t xml:space="preserve"> applicable statutory and regulatory provisions</w:t>
      </w:r>
      <w:r w:rsidRPr="007F6548">
        <w:rPr>
          <w:rFonts w:cs="Arial"/>
          <w:iCs/>
          <w:color w:val="000000" w:themeColor="text1"/>
          <w:szCs w:val="24"/>
          <w:lang w:val="en-GB"/>
        </w:rPr>
        <w:t xml:space="preserve"> apply to all registered political parties, whether they are represented in parliament or not.</w:t>
      </w:r>
      <w:r w:rsidRPr="007F6548">
        <w:rPr>
          <w:rFonts w:cs="Arial"/>
          <w:color w:val="000000" w:themeColor="text1"/>
          <w:szCs w:val="24"/>
          <w:lang w:eastAsia="en-ZA"/>
        </w:rPr>
        <w:t xml:space="preserve"> </w:t>
      </w:r>
    </w:p>
    <w:p w14:paraId="40CA7A52" w14:textId="5746092D" w:rsidR="00777297" w:rsidRPr="00E44B8E" w:rsidRDefault="003D090B" w:rsidP="00E44B8E">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0172EE">
        <w:rPr>
          <w:rFonts w:cs="Arial"/>
          <w:color w:val="000000" w:themeColor="text1"/>
          <w:szCs w:val="24"/>
        </w:rPr>
        <w:t>30</w:t>
      </w:r>
      <w:r w:rsidRPr="007F6548">
        <w:rPr>
          <w:rFonts w:cs="Arial"/>
          <w:color w:val="000000" w:themeColor="text1"/>
          <w:szCs w:val="24"/>
        </w:rPr>
        <w:t xml:space="preserve">] </w:t>
      </w:r>
      <w:r w:rsidR="000D71DF" w:rsidRPr="007F6548">
        <w:rPr>
          <w:rFonts w:cs="Arial"/>
          <w:color w:val="000000" w:themeColor="text1"/>
          <w:szCs w:val="24"/>
        </w:rPr>
        <w:tab/>
      </w:r>
      <w:r w:rsidRPr="007F6548">
        <w:rPr>
          <w:rFonts w:cs="Arial"/>
          <w:color w:val="000000" w:themeColor="text1"/>
          <w:szCs w:val="24"/>
        </w:rPr>
        <w:t xml:space="preserve">I therefore find that this </w:t>
      </w:r>
      <w:r w:rsidR="00C63692">
        <w:rPr>
          <w:rFonts w:cs="Arial"/>
          <w:color w:val="000000" w:themeColor="text1"/>
          <w:szCs w:val="24"/>
        </w:rPr>
        <w:t>Court</w:t>
      </w:r>
      <w:r w:rsidR="00A07258" w:rsidRPr="007F6548">
        <w:rPr>
          <w:rFonts w:cs="Arial"/>
          <w:color w:val="000000" w:themeColor="text1"/>
          <w:szCs w:val="24"/>
        </w:rPr>
        <w:t xml:space="preserve"> </w:t>
      </w:r>
      <w:r w:rsidRPr="007F6548">
        <w:rPr>
          <w:rFonts w:cs="Arial"/>
          <w:color w:val="000000" w:themeColor="text1"/>
          <w:szCs w:val="24"/>
        </w:rPr>
        <w:t xml:space="preserve">lacks </w:t>
      </w:r>
      <w:r w:rsidR="00C94588" w:rsidRPr="007F6548">
        <w:rPr>
          <w:rFonts w:cs="Arial"/>
          <w:color w:val="000000" w:themeColor="text1"/>
          <w:szCs w:val="24"/>
        </w:rPr>
        <w:t xml:space="preserve">the </w:t>
      </w:r>
      <w:r w:rsidR="00C94588">
        <w:rPr>
          <w:rFonts w:cs="Arial"/>
          <w:color w:val="000000" w:themeColor="text1"/>
          <w:szCs w:val="24"/>
        </w:rPr>
        <w:t>power</w:t>
      </w:r>
      <w:r w:rsidR="00A07258" w:rsidRPr="007F6548">
        <w:rPr>
          <w:rFonts w:cs="Arial"/>
          <w:color w:val="000000" w:themeColor="text1"/>
          <w:szCs w:val="24"/>
        </w:rPr>
        <w:t xml:space="preserve"> to condone any noncompliance with the provisions of s12</w:t>
      </w:r>
      <w:r w:rsidR="000D71DF" w:rsidRPr="007F6548">
        <w:rPr>
          <w:rFonts w:cs="Arial"/>
          <w:color w:val="000000" w:themeColor="text1"/>
          <w:szCs w:val="24"/>
        </w:rPr>
        <w:t xml:space="preserve"> read with Regulation 10</w:t>
      </w:r>
      <w:r w:rsidRPr="007F6548">
        <w:rPr>
          <w:rFonts w:cs="Arial"/>
          <w:color w:val="000000" w:themeColor="text1"/>
          <w:szCs w:val="24"/>
        </w:rPr>
        <w:t xml:space="preserve">. </w:t>
      </w:r>
      <w:r w:rsidR="00A07258" w:rsidRPr="007F6548">
        <w:rPr>
          <w:rFonts w:cs="Arial"/>
          <w:color w:val="000000" w:themeColor="text1"/>
          <w:szCs w:val="24"/>
        </w:rPr>
        <w:t xml:space="preserve"> </w:t>
      </w:r>
      <w:bookmarkStart w:id="27" w:name="_Toc154744832"/>
    </w:p>
    <w:p w14:paraId="618A75E1" w14:textId="670F0F73" w:rsidR="004A061B" w:rsidRPr="00521F01" w:rsidRDefault="003D090B" w:rsidP="00E44B8E">
      <w:pPr>
        <w:pStyle w:val="WLGLevel1"/>
        <w:numPr>
          <w:ilvl w:val="0"/>
          <w:numId w:val="0"/>
        </w:numPr>
        <w:spacing w:before="0" w:after="0" w:line="360" w:lineRule="auto"/>
        <w:ind w:left="567" w:hanging="567"/>
        <w:rPr>
          <w:rFonts w:cs="Arial"/>
          <w:i/>
          <w:iCs/>
          <w:color w:val="000000" w:themeColor="text1"/>
          <w:szCs w:val="24"/>
        </w:rPr>
      </w:pPr>
      <w:r w:rsidRPr="00521F01">
        <w:rPr>
          <w:rFonts w:cs="Arial"/>
          <w:i/>
          <w:iCs/>
          <w:color w:val="000000" w:themeColor="text1"/>
          <w:szCs w:val="24"/>
        </w:rPr>
        <w:t>U</w:t>
      </w:r>
      <w:r w:rsidR="00A07258" w:rsidRPr="00521F01">
        <w:rPr>
          <w:rFonts w:cs="Arial"/>
          <w:i/>
          <w:iCs/>
          <w:color w:val="000000" w:themeColor="text1"/>
          <w:szCs w:val="24"/>
        </w:rPr>
        <w:t xml:space="preserve">nfairness of </w:t>
      </w:r>
      <w:r w:rsidR="002A6BC7" w:rsidRPr="00521F01">
        <w:rPr>
          <w:rFonts w:cs="Arial"/>
          <w:i/>
          <w:iCs/>
          <w:color w:val="000000" w:themeColor="text1"/>
          <w:szCs w:val="24"/>
        </w:rPr>
        <w:t>the Funding Act</w:t>
      </w:r>
      <w:bookmarkEnd w:id="27"/>
    </w:p>
    <w:p w14:paraId="734CC94C" w14:textId="047A7241" w:rsidR="003D090B" w:rsidRPr="007F6548" w:rsidRDefault="003D090B" w:rsidP="00835133">
      <w:pPr>
        <w:pStyle w:val="WLGLevel1"/>
        <w:numPr>
          <w:ilvl w:val="0"/>
          <w:numId w:val="0"/>
        </w:numPr>
        <w:spacing w:before="0" w:line="360" w:lineRule="auto"/>
        <w:rPr>
          <w:rFonts w:cs="Arial"/>
          <w:color w:val="000000" w:themeColor="text1"/>
          <w:szCs w:val="24"/>
        </w:rPr>
      </w:pPr>
      <w:r w:rsidRPr="007F6548">
        <w:rPr>
          <w:rFonts w:cs="Arial"/>
          <w:color w:val="000000" w:themeColor="text1"/>
          <w:szCs w:val="24"/>
        </w:rPr>
        <w:t>[</w:t>
      </w:r>
      <w:r w:rsidR="004822A6" w:rsidRPr="007F6548">
        <w:rPr>
          <w:rFonts w:cs="Arial"/>
          <w:color w:val="000000" w:themeColor="text1"/>
          <w:szCs w:val="24"/>
        </w:rPr>
        <w:t>3</w:t>
      </w:r>
      <w:r w:rsidR="000172EE">
        <w:rPr>
          <w:rFonts w:cs="Arial"/>
          <w:color w:val="000000" w:themeColor="text1"/>
          <w:szCs w:val="24"/>
        </w:rPr>
        <w:t>1</w:t>
      </w:r>
      <w:r w:rsidRPr="007F6548">
        <w:rPr>
          <w:rFonts w:cs="Arial"/>
          <w:color w:val="000000" w:themeColor="text1"/>
          <w:szCs w:val="24"/>
        </w:rPr>
        <w:t>]</w:t>
      </w:r>
      <w:r w:rsidR="005C081C" w:rsidRPr="007F6548">
        <w:rPr>
          <w:rFonts w:cs="Arial"/>
          <w:color w:val="000000" w:themeColor="text1"/>
          <w:szCs w:val="24"/>
        </w:rPr>
        <w:tab/>
      </w:r>
      <w:r w:rsidRPr="007F6548">
        <w:rPr>
          <w:rFonts w:cs="Arial"/>
          <w:color w:val="000000" w:themeColor="text1"/>
          <w:szCs w:val="24"/>
        </w:rPr>
        <w:t xml:space="preserve">Several respondents contend that </w:t>
      </w:r>
      <w:r w:rsidR="00A07258" w:rsidRPr="007F6548">
        <w:rPr>
          <w:rFonts w:cs="Arial"/>
          <w:color w:val="000000" w:themeColor="text1"/>
          <w:szCs w:val="24"/>
          <w:lang w:val="en-GB"/>
        </w:rPr>
        <w:t>the Funding Act does not draw a distinction between represented political parties and unrepresented parties in relation to the obligations imposed by s 12</w:t>
      </w:r>
      <w:r w:rsidR="00FD60D5" w:rsidRPr="007F6548">
        <w:rPr>
          <w:rFonts w:cs="Arial"/>
          <w:color w:val="000000" w:themeColor="text1"/>
          <w:szCs w:val="24"/>
          <w:lang w:val="en-GB"/>
        </w:rPr>
        <w:t xml:space="preserve">. </w:t>
      </w:r>
      <w:r w:rsidR="00F1722E">
        <w:rPr>
          <w:rFonts w:cs="Arial"/>
          <w:color w:val="000000" w:themeColor="text1"/>
          <w:szCs w:val="24"/>
          <w:lang w:val="en-GB"/>
        </w:rPr>
        <w:t>This is unfair because u</w:t>
      </w:r>
      <w:r w:rsidRPr="007F6548">
        <w:rPr>
          <w:rFonts w:cs="Arial"/>
          <w:color w:val="000000" w:themeColor="text1"/>
          <w:szCs w:val="24"/>
          <w:lang w:val="en-GB"/>
        </w:rPr>
        <w:t xml:space="preserve">nrepresented political parties tend to be smaller and therefore </w:t>
      </w:r>
      <w:r w:rsidR="00A07258" w:rsidRPr="007F6548">
        <w:rPr>
          <w:rFonts w:cs="Arial"/>
          <w:color w:val="000000" w:themeColor="text1"/>
          <w:szCs w:val="24"/>
          <w:lang w:val="en-GB"/>
        </w:rPr>
        <w:t xml:space="preserve">do not have the same resources as larger and represented political parties. </w:t>
      </w:r>
      <w:r w:rsidRPr="007F6548">
        <w:rPr>
          <w:rFonts w:cs="Arial"/>
          <w:color w:val="000000" w:themeColor="text1"/>
          <w:szCs w:val="24"/>
          <w:lang w:val="en-GB"/>
        </w:rPr>
        <w:t xml:space="preserve">Some of these parties are also inactive. </w:t>
      </w:r>
    </w:p>
    <w:p w14:paraId="4DD39EA7" w14:textId="090F768A" w:rsidR="00CB143A" w:rsidRPr="007F6548" w:rsidRDefault="003D090B" w:rsidP="004822A6">
      <w:pPr>
        <w:pStyle w:val="WLGLevel1"/>
        <w:numPr>
          <w:ilvl w:val="0"/>
          <w:numId w:val="0"/>
        </w:numPr>
        <w:spacing w:line="360" w:lineRule="auto"/>
        <w:rPr>
          <w:rFonts w:cs="Arial"/>
          <w:color w:val="000000" w:themeColor="text1"/>
          <w:szCs w:val="24"/>
          <w:lang w:val="en-GB"/>
        </w:rPr>
      </w:pPr>
      <w:r w:rsidRPr="007F6548">
        <w:rPr>
          <w:rFonts w:cs="Arial"/>
          <w:color w:val="000000" w:themeColor="text1"/>
          <w:szCs w:val="24"/>
          <w:lang w:val="en-GB"/>
        </w:rPr>
        <w:t>[</w:t>
      </w:r>
      <w:r w:rsidR="004822A6" w:rsidRPr="007F6548">
        <w:rPr>
          <w:rFonts w:cs="Arial"/>
          <w:color w:val="000000" w:themeColor="text1"/>
          <w:szCs w:val="24"/>
          <w:lang w:val="en-GB"/>
        </w:rPr>
        <w:t>3</w:t>
      </w:r>
      <w:r w:rsidR="000172EE">
        <w:rPr>
          <w:rFonts w:cs="Arial"/>
          <w:color w:val="000000" w:themeColor="text1"/>
          <w:szCs w:val="24"/>
          <w:lang w:val="en-GB"/>
        </w:rPr>
        <w:t>2</w:t>
      </w:r>
      <w:r w:rsidRPr="007F6548">
        <w:rPr>
          <w:rFonts w:cs="Arial"/>
          <w:color w:val="000000" w:themeColor="text1"/>
          <w:szCs w:val="24"/>
          <w:lang w:val="en-GB"/>
        </w:rPr>
        <w:t>]</w:t>
      </w:r>
      <w:r w:rsidRPr="007F6548">
        <w:rPr>
          <w:rFonts w:cs="Arial"/>
          <w:color w:val="000000" w:themeColor="text1"/>
          <w:szCs w:val="24"/>
          <w:lang w:val="en-GB"/>
        </w:rPr>
        <w:tab/>
        <w:t xml:space="preserve">Indeed, as the Commission </w:t>
      </w:r>
      <w:r w:rsidR="00BC1D2F">
        <w:rPr>
          <w:rFonts w:cs="Arial"/>
          <w:color w:val="000000" w:themeColor="text1"/>
          <w:szCs w:val="24"/>
          <w:lang w:val="en-GB"/>
        </w:rPr>
        <w:t>also concedes</w:t>
      </w:r>
      <w:r w:rsidRPr="007F6548">
        <w:rPr>
          <w:rFonts w:cs="Arial"/>
          <w:color w:val="000000" w:themeColor="text1"/>
          <w:szCs w:val="24"/>
          <w:lang w:val="en-GB"/>
        </w:rPr>
        <w:t xml:space="preserve">, </w:t>
      </w:r>
      <w:r w:rsidR="002A6BC7">
        <w:rPr>
          <w:rFonts w:cs="Arial"/>
          <w:color w:val="000000" w:themeColor="text1"/>
          <w:szCs w:val="24"/>
          <w:lang w:val="en-GB"/>
        </w:rPr>
        <w:t>the Funding Act</w:t>
      </w:r>
      <w:r w:rsidRPr="007F6548">
        <w:rPr>
          <w:rFonts w:cs="Arial"/>
          <w:color w:val="000000" w:themeColor="text1"/>
          <w:szCs w:val="24"/>
          <w:lang w:val="en-GB"/>
        </w:rPr>
        <w:t xml:space="preserve"> does not distinguish between </w:t>
      </w:r>
      <w:r w:rsidR="00A07258" w:rsidRPr="007F6548">
        <w:rPr>
          <w:rFonts w:cs="Arial"/>
          <w:color w:val="000000" w:themeColor="text1"/>
          <w:szCs w:val="24"/>
          <w:lang w:val="en-GB"/>
        </w:rPr>
        <w:t xml:space="preserve">obligations imposed on represented and unrepresented </w:t>
      </w:r>
      <w:r w:rsidR="00BC1D2F">
        <w:rPr>
          <w:rFonts w:cs="Arial"/>
          <w:color w:val="000000" w:themeColor="text1"/>
          <w:szCs w:val="24"/>
          <w:lang w:val="en-GB"/>
        </w:rPr>
        <w:t xml:space="preserve">political </w:t>
      </w:r>
      <w:r w:rsidR="00A07258" w:rsidRPr="007F6548">
        <w:rPr>
          <w:rFonts w:cs="Arial"/>
          <w:color w:val="000000" w:themeColor="text1"/>
          <w:szCs w:val="24"/>
          <w:lang w:val="en-GB"/>
        </w:rPr>
        <w:t>parties</w:t>
      </w:r>
      <w:r w:rsidRPr="007F6548">
        <w:rPr>
          <w:rFonts w:cs="Arial"/>
          <w:color w:val="000000" w:themeColor="text1"/>
          <w:szCs w:val="24"/>
          <w:lang w:val="en-GB"/>
        </w:rPr>
        <w:t>. S</w:t>
      </w:r>
      <w:r w:rsidR="00A07258" w:rsidRPr="007F6548">
        <w:rPr>
          <w:rFonts w:cs="Arial"/>
          <w:color w:val="000000" w:themeColor="text1"/>
          <w:szCs w:val="24"/>
          <w:lang w:val="en-GB"/>
        </w:rPr>
        <w:t xml:space="preserve">ection 12 </w:t>
      </w:r>
      <w:r w:rsidR="00CB143A" w:rsidRPr="007F6548">
        <w:rPr>
          <w:rFonts w:cs="Arial"/>
          <w:color w:val="000000" w:themeColor="text1"/>
          <w:szCs w:val="24"/>
          <w:lang w:val="en-GB"/>
        </w:rPr>
        <w:t xml:space="preserve">applies indiscriminately to </w:t>
      </w:r>
      <w:r w:rsidR="00BC1D2F">
        <w:rPr>
          <w:rFonts w:cs="Arial"/>
          <w:color w:val="000000" w:themeColor="text1"/>
          <w:szCs w:val="24"/>
          <w:lang w:val="en-GB"/>
        </w:rPr>
        <w:t>all registered</w:t>
      </w:r>
      <w:r w:rsidR="00CB143A" w:rsidRPr="007F6548">
        <w:rPr>
          <w:rFonts w:cs="Arial"/>
          <w:color w:val="000000" w:themeColor="text1"/>
          <w:szCs w:val="24"/>
          <w:lang w:val="en-GB"/>
        </w:rPr>
        <w:t xml:space="preserve"> parties. None of the respondents who raised this issue have impugned the constitutionality of s 12. The indiscriminate application of s 12 is an election made by the legislature.</w:t>
      </w:r>
      <w:r w:rsidR="00CB79F0">
        <w:rPr>
          <w:rFonts w:cs="Arial"/>
          <w:color w:val="000000" w:themeColor="text1"/>
          <w:szCs w:val="24"/>
          <w:lang w:val="en-GB"/>
        </w:rPr>
        <w:t xml:space="preserve"> Unless, declared unconstitutional </w:t>
      </w:r>
      <w:r w:rsidR="00167992">
        <w:rPr>
          <w:rFonts w:cs="Arial"/>
          <w:color w:val="000000" w:themeColor="text1"/>
          <w:szCs w:val="24"/>
          <w:lang w:val="en-GB"/>
        </w:rPr>
        <w:t xml:space="preserve">based on </w:t>
      </w:r>
      <w:r w:rsidR="00CB79F0">
        <w:rPr>
          <w:rFonts w:cs="Arial"/>
          <w:color w:val="000000" w:themeColor="text1"/>
          <w:szCs w:val="24"/>
          <w:lang w:val="en-GB"/>
        </w:rPr>
        <w:t xml:space="preserve">a frontal challenge by any party, this </w:t>
      </w:r>
      <w:r w:rsidR="00C63692">
        <w:rPr>
          <w:rFonts w:cs="Arial"/>
          <w:color w:val="000000" w:themeColor="text1"/>
          <w:szCs w:val="24"/>
          <w:lang w:val="en-GB"/>
        </w:rPr>
        <w:t>Court</w:t>
      </w:r>
      <w:r w:rsidR="00CB79F0">
        <w:rPr>
          <w:rFonts w:cs="Arial"/>
          <w:color w:val="000000" w:themeColor="text1"/>
          <w:szCs w:val="24"/>
          <w:lang w:val="en-GB"/>
        </w:rPr>
        <w:t xml:space="preserve"> </w:t>
      </w:r>
      <w:r w:rsidR="00CA3D53">
        <w:rPr>
          <w:rFonts w:cs="Arial"/>
          <w:color w:val="000000" w:themeColor="text1"/>
          <w:szCs w:val="24"/>
          <w:lang w:val="en-GB"/>
        </w:rPr>
        <w:t>is duty bound to enforce this statutory provision.</w:t>
      </w:r>
    </w:p>
    <w:p w14:paraId="292F27FA" w14:textId="3B3B5844" w:rsidR="00A07258" w:rsidRPr="007F6548" w:rsidRDefault="00CB143A" w:rsidP="004822A6">
      <w:pPr>
        <w:pStyle w:val="WLGLevel1"/>
        <w:numPr>
          <w:ilvl w:val="0"/>
          <w:numId w:val="0"/>
        </w:numPr>
        <w:spacing w:line="360" w:lineRule="auto"/>
        <w:rPr>
          <w:rFonts w:cs="Arial"/>
          <w:color w:val="000000" w:themeColor="text1"/>
          <w:szCs w:val="24"/>
          <w:u w:val="single"/>
          <w:lang w:val="en-GB"/>
        </w:rPr>
      </w:pPr>
      <w:r w:rsidRPr="007F6548">
        <w:rPr>
          <w:rFonts w:cs="Arial"/>
          <w:color w:val="000000" w:themeColor="text1"/>
          <w:szCs w:val="24"/>
          <w:lang w:val="en-GB"/>
        </w:rPr>
        <w:lastRenderedPageBreak/>
        <w:t>[3</w:t>
      </w:r>
      <w:r w:rsidR="000172EE">
        <w:rPr>
          <w:rFonts w:cs="Arial"/>
          <w:color w:val="000000" w:themeColor="text1"/>
          <w:szCs w:val="24"/>
          <w:lang w:val="en-GB"/>
        </w:rPr>
        <w:t>3</w:t>
      </w:r>
      <w:r w:rsidRPr="007F6548">
        <w:rPr>
          <w:rFonts w:cs="Arial"/>
          <w:color w:val="000000" w:themeColor="text1"/>
          <w:szCs w:val="24"/>
          <w:lang w:val="en-GB"/>
        </w:rPr>
        <w:t>]</w:t>
      </w:r>
      <w:r w:rsidRPr="007F6548">
        <w:rPr>
          <w:rFonts w:cs="Arial"/>
          <w:color w:val="000000" w:themeColor="text1"/>
          <w:szCs w:val="24"/>
          <w:lang w:val="en-GB"/>
        </w:rPr>
        <w:tab/>
        <w:t xml:space="preserve">Therefore, the fact that s 12 does not draw a distinction between the cohorts of respondents referenced above does not justify non-compliance with this </w:t>
      </w:r>
      <w:r w:rsidR="00167992">
        <w:rPr>
          <w:rFonts w:cs="Arial"/>
          <w:color w:val="000000" w:themeColor="text1"/>
          <w:szCs w:val="24"/>
          <w:lang w:val="en-GB"/>
        </w:rPr>
        <w:t xml:space="preserve">statutory </w:t>
      </w:r>
      <w:r w:rsidRPr="007F6548">
        <w:rPr>
          <w:rFonts w:cs="Arial"/>
          <w:color w:val="000000" w:themeColor="text1"/>
          <w:szCs w:val="24"/>
          <w:lang w:val="en-GB"/>
        </w:rPr>
        <w:t xml:space="preserve">provision.  </w:t>
      </w:r>
    </w:p>
    <w:p w14:paraId="3160481D" w14:textId="64C5F20C" w:rsidR="00A07258" w:rsidRPr="00521F01" w:rsidRDefault="00A07258" w:rsidP="00C94588">
      <w:pPr>
        <w:pStyle w:val="Heading2"/>
        <w:spacing w:before="0" w:after="0" w:line="360" w:lineRule="auto"/>
        <w:rPr>
          <w:rFonts w:ascii="Arial" w:hAnsi="Arial" w:cs="Arial"/>
          <w:i/>
          <w:iCs/>
          <w:color w:val="000000" w:themeColor="text1"/>
          <w:sz w:val="24"/>
          <w:szCs w:val="24"/>
          <w:u w:val="single"/>
          <w:lang w:val="en-GB"/>
        </w:rPr>
      </w:pPr>
      <w:bookmarkStart w:id="28" w:name="_Toc154744833"/>
      <w:r w:rsidRPr="00521F01">
        <w:rPr>
          <w:rFonts w:ascii="Arial" w:hAnsi="Arial" w:cs="Arial"/>
          <w:i/>
          <w:iCs/>
          <w:color w:val="000000" w:themeColor="text1"/>
          <w:sz w:val="24"/>
          <w:szCs w:val="24"/>
          <w:lang w:val="en-GB"/>
        </w:rPr>
        <w:t>Dormancy and lack of representation</w:t>
      </w:r>
      <w:bookmarkEnd w:id="28"/>
    </w:p>
    <w:p w14:paraId="305CBD5B" w14:textId="199E4047" w:rsidR="00CB143A" w:rsidRPr="007F6548" w:rsidRDefault="00CB143A" w:rsidP="00C94588">
      <w:pPr>
        <w:pStyle w:val="WLGLevel1"/>
        <w:numPr>
          <w:ilvl w:val="0"/>
          <w:numId w:val="0"/>
        </w:numPr>
        <w:spacing w:before="0" w:line="360" w:lineRule="auto"/>
        <w:rPr>
          <w:rFonts w:cs="Arial"/>
          <w:color w:val="000000" w:themeColor="text1"/>
          <w:szCs w:val="24"/>
          <w:lang w:val="en-GB"/>
        </w:rPr>
      </w:pPr>
      <w:r w:rsidRPr="007F6548">
        <w:rPr>
          <w:rFonts w:cs="Arial"/>
          <w:color w:val="000000" w:themeColor="text1"/>
          <w:szCs w:val="24"/>
          <w:lang w:val="en-GB"/>
        </w:rPr>
        <w:t>[</w:t>
      </w:r>
      <w:r w:rsidR="0066649F" w:rsidRPr="007F6548">
        <w:rPr>
          <w:rFonts w:cs="Arial"/>
          <w:color w:val="000000" w:themeColor="text1"/>
          <w:szCs w:val="24"/>
          <w:lang w:val="en-GB"/>
        </w:rPr>
        <w:t>3</w:t>
      </w:r>
      <w:r w:rsidR="000172EE">
        <w:rPr>
          <w:rFonts w:cs="Arial"/>
          <w:color w:val="000000" w:themeColor="text1"/>
          <w:szCs w:val="24"/>
          <w:lang w:val="en-GB"/>
        </w:rPr>
        <w:t>4</w:t>
      </w:r>
      <w:r w:rsidRPr="007F6548">
        <w:rPr>
          <w:rFonts w:cs="Arial"/>
          <w:color w:val="000000" w:themeColor="text1"/>
          <w:szCs w:val="24"/>
          <w:lang w:val="en-GB"/>
        </w:rPr>
        <w:t>]</w:t>
      </w:r>
      <w:r w:rsidR="005440B0" w:rsidRPr="007F6548">
        <w:rPr>
          <w:rFonts w:cs="Arial"/>
          <w:color w:val="000000" w:themeColor="text1"/>
          <w:szCs w:val="24"/>
          <w:lang w:val="en-GB"/>
        </w:rPr>
        <w:tab/>
      </w:r>
      <w:r w:rsidRPr="007F6548">
        <w:rPr>
          <w:rFonts w:cs="Arial"/>
          <w:color w:val="000000" w:themeColor="text1"/>
          <w:szCs w:val="24"/>
          <w:lang w:val="en-GB"/>
        </w:rPr>
        <w:t>Some of the respondents contend that they are dormant</w:t>
      </w:r>
      <w:r w:rsidR="0080309D" w:rsidRPr="007F6548">
        <w:rPr>
          <w:rFonts w:cs="Arial"/>
          <w:color w:val="000000" w:themeColor="text1"/>
          <w:szCs w:val="24"/>
          <w:lang w:val="en-GB"/>
        </w:rPr>
        <w:t xml:space="preserve"> and </w:t>
      </w:r>
      <w:r w:rsidRPr="007F6548">
        <w:rPr>
          <w:rFonts w:cs="Arial"/>
          <w:color w:val="000000" w:themeColor="text1"/>
          <w:szCs w:val="24"/>
          <w:lang w:val="en-GB"/>
        </w:rPr>
        <w:t>not functional</w:t>
      </w:r>
      <w:r w:rsidR="001C10B1" w:rsidRPr="007F6548">
        <w:rPr>
          <w:rFonts w:cs="Arial"/>
          <w:color w:val="000000" w:themeColor="text1"/>
          <w:szCs w:val="24"/>
          <w:lang w:val="en-GB"/>
        </w:rPr>
        <w:t xml:space="preserve">. </w:t>
      </w:r>
      <w:r w:rsidRPr="007F6548">
        <w:rPr>
          <w:rFonts w:cs="Arial"/>
          <w:color w:val="000000" w:themeColor="text1"/>
          <w:szCs w:val="24"/>
          <w:lang w:val="en-GB"/>
        </w:rPr>
        <w:t xml:space="preserve"> The </w:t>
      </w:r>
      <w:r w:rsidR="00A07258" w:rsidRPr="007F6548">
        <w:rPr>
          <w:rFonts w:cs="Arial"/>
          <w:color w:val="000000" w:themeColor="text1"/>
          <w:szCs w:val="24"/>
          <w:lang w:val="en-GB"/>
        </w:rPr>
        <w:t>Commission</w:t>
      </w:r>
      <w:r w:rsidRPr="007F6548">
        <w:rPr>
          <w:rFonts w:cs="Arial"/>
          <w:color w:val="000000" w:themeColor="text1"/>
          <w:szCs w:val="24"/>
          <w:lang w:val="en-GB"/>
        </w:rPr>
        <w:t>’s response to this contention</w:t>
      </w:r>
      <w:r w:rsidR="00F837AE" w:rsidRPr="007F6548">
        <w:rPr>
          <w:rFonts w:cs="Arial"/>
          <w:color w:val="000000" w:themeColor="text1"/>
          <w:szCs w:val="24"/>
          <w:lang w:val="en-GB"/>
        </w:rPr>
        <w:t xml:space="preserve"> is that dormant political parties </w:t>
      </w:r>
      <w:r w:rsidR="00A07258" w:rsidRPr="007F6548">
        <w:rPr>
          <w:rFonts w:cs="Arial"/>
          <w:color w:val="000000" w:themeColor="text1"/>
          <w:szCs w:val="24"/>
          <w:lang w:val="en-GB"/>
        </w:rPr>
        <w:t xml:space="preserve">have the option of de-registering </w:t>
      </w:r>
      <w:r w:rsidR="00751C19" w:rsidRPr="007F6548">
        <w:rPr>
          <w:rFonts w:cs="Arial"/>
          <w:color w:val="000000" w:themeColor="text1"/>
          <w:szCs w:val="24"/>
          <w:lang w:val="en-GB"/>
        </w:rPr>
        <w:t>as political</w:t>
      </w:r>
      <w:r w:rsidR="00A07258" w:rsidRPr="007F6548">
        <w:rPr>
          <w:rFonts w:cs="Arial"/>
          <w:color w:val="000000" w:themeColor="text1"/>
          <w:szCs w:val="24"/>
          <w:lang w:val="en-GB"/>
        </w:rPr>
        <w:t xml:space="preserve"> part</w:t>
      </w:r>
      <w:r w:rsidRPr="007F6548">
        <w:rPr>
          <w:rFonts w:cs="Arial"/>
          <w:color w:val="000000" w:themeColor="text1"/>
          <w:szCs w:val="24"/>
          <w:lang w:val="en-GB"/>
        </w:rPr>
        <w:t xml:space="preserve">ies </w:t>
      </w:r>
      <w:r w:rsidR="001C10B1" w:rsidRPr="007F6548">
        <w:rPr>
          <w:rFonts w:cs="Arial"/>
          <w:color w:val="000000" w:themeColor="text1"/>
          <w:szCs w:val="24"/>
          <w:lang w:val="en-GB"/>
        </w:rPr>
        <w:t>a</w:t>
      </w:r>
      <w:r w:rsidR="00A07258" w:rsidRPr="007F6548">
        <w:rPr>
          <w:rFonts w:cs="Arial"/>
          <w:color w:val="000000" w:themeColor="text1"/>
          <w:szCs w:val="24"/>
          <w:lang w:val="en-GB"/>
        </w:rPr>
        <w:t>nd re-registering when they are active and</w:t>
      </w:r>
      <w:r w:rsidRPr="007F6548">
        <w:rPr>
          <w:rFonts w:cs="Arial"/>
          <w:color w:val="000000" w:themeColor="text1"/>
          <w:szCs w:val="24"/>
          <w:lang w:val="en-GB"/>
        </w:rPr>
        <w:t xml:space="preserve"> able to</w:t>
      </w:r>
      <w:r w:rsidR="00A07258" w:rsidRPr="007F6548">
        <w:rPr>
          <w:rFonts w:cs="Arial"/>
          <w:color w:val="000000" w:themeColor="text1"/>
          <w:szCs w:val="24"/>
          <w:lang w:val="en-GB"/>
        </w:rPr>
        <w:t xml:space="preserve"> mee</w:t>
      </w:r>
      <w:r w:rsidRPr="007F6548">
        <w:rPr>
          <w:rFonts w:cs="Arial"/>
          <w:color w:val="000000" w:themeColor="text1"/>
          <w:szCs w:val="24"/>
          <w:lang w:val="en-GB"/>
        </w:rPr>
        <w:t xml:space="preserve">t </w:t>
      </w:r>
      <w:r w:rsidR="00A07258" w:rsidRPr="007F6548">
        <w:rPr>
          <w:rFonts w:cs="Arial"/>
          <w:color w:val="000000" w:themeColor="text1"/>
          <w:szCs w:val="24"/>
          <w:lang w:val="en-GB"/>
        </w:rPr>
        <w:t xml:space="preserve">their statutory obligations. </w:t>
      </w:r>
    </w:p>
    <w:p w14:paraId="79092920" w14:textId="73F1A319" w:rsidR="00777297" w:rsidRPr="00C94588" w:rsidRDefault="00CB143A" w:rsidP="00C94588">
      <w:pPr>
        <w:pStyle w:val="WLGLevel1"/>
        <w:numPr>
          <w:ilvl w:val="0"/>
          <w:numId w:val="0"/>
        </w:numPr>
        <w:spacing w:line="360" w:lineRule="auto"/>
        <w:rPr>
          <w:rFonts w:cs="Arial"/>
          <w:color w:val="000000" w:themeColor="text1"/>
          <w:szCs w:val="24"/>
          <w:u w:val="single"/>
          <w:lang w:val="en-GB"/>
        </w:rPr>
      </w:pPr>
      <w:r w:rsidRPr="007F6548">
        <w:rPr>
          <w:rFonts w:cs="Arial"/>
          <w:color w:val="000000" w:themeColor="text1"/>
          <w:szCs w:val="24"/>
          <w:lang w:val="en-GB"/>
        </w:rPr>
        <w:t>[</w:t>
      </w:r>
      <w:r w:rsidR="0066649F" w:rsidRPr="007F6548">
        <w:rPr>
          <w:rFonts w:cs="Arial"/>
          <w:color w:val="000000" w:themeColor="text1"/>
          <w:szCs w:val="24"/>
          <w:lang w:val="en-GB"/>
        </w:rPr>
        <w:t>3</w:t>
      </w:r>
      <w:r w:rsidR="000172EE">
        <w:rPr>
          <w:rFonts w:cs="Arial"/>
          <w:color w:val="000000" w:themeColor="text1"/>
          <w:szCs w:val="24"/>
          <w:lang w:val="en-GB"/>
        </w:rPr>
        <w:t>5</w:t>
      </w:r>
      <w:r w:rsidRPr="007F6548">
        <w:rPr>
          <w:rFonts w:cs="Arial"/>
          <w:color w:val="000000" w:themeColor="text1"/>
          <w:szCs w:val="24"/>
          <w:lang w:val="en-GB"/>
        </w:rPr>
        <w:t>]</w:t>
      </w:r>
      <w:r w:rsidR="005440B0" w:rsidRPr="007F6548">
        <w:rPr>
          <w:rFonts w:cs="Arial"/>
          <w:color w:val="000000" w:themeColor="text1"/>
          <w:szCs w:val="24"/>
          <w:lang w:val="en-GB"/>
        </w:rPr>
        <w:tab/>
      </w:r>
      <w:r w:rsidRPr="007F6548">
        <w:rPr>
          <w:rFonts w:cs="Arial"/>
          <w:color w:val="000000" w:themeColor="text1"/>
          <w:szCs w:val="24"/>
          <w:lang w:val="en-GB"/>
        </w:rPr>
        <w:t xml:space="preserve">For the reason the Commission advanced, I agree that this ground of defence also does not </w:t>
      </w:r>
      <w:r w:rsidR="00BB0131">
        <w:rPr>
          <w:rFonts w:cs="Arial"/>
          <w:color w:val="000000" w:themeColor="text1"/>
          <w:szCs w:val="24"/>
          <w:lang w:val="en-GB"/>
        </w:rPr>
        <w:t>justify</w:t>
      </w:r>
      <w:r w:rsidR="00BB0131" w:rsidRPr="007F6548">
        <w:rPr>
          <w:rFonts w:cs="Arial"/>
          <w:color w:val="000000" w:themeColor="text1"/>
          <w:szCs w:val="24"/>
          <w:lang w:val="en-GB"/>
        </w:rPr>
        <w:t xml:space="preserve"> </w:t>
      </w:r>
      <w:r w:rsidRPr="007F6548">
        <w:rPr>
          <w:rFonts w:cs="Arial"/>
          <w:color w:val="000000" w:themeColor="text1"/>
          <w:szCs w:val="24"/>
          <w:lang w:val="en-GB"/>
        </w:rPr>
        <w:t xml:space="preserve">non-compliance with section 12.  </w:t>
      </w:r>
    </w:p>
    <w:p w14:paraId="1464DC7B" w14:textId="2A974936" w:rsidR="00A07258" w:rsidRPr="00521F01" w:rsidRDefault="00EC19F2" w:rsidP="00C94588">
      <w:pPr>
        <w:pStyle w:val="Heading2"/>
        <w:spacing w:after="0" w:line="360" w:lineRule="auto"/>
        <w:rPr>
          <w:rFonts w:ascii="Arial" w:hAnsi="Arial" w:cs="Arial"/>
          <w:i/>
          <w:iCs/>
          <w:color w:val="000000" w:themeColor="text1"/>
          <w:sz w:val="24"/>
          <w:szCs w:val="24"/>
        </w:rPr>
      </w:pPr>
      <w:r w:rsidRPr="00521F01">
        <w:rPr>
          <w:rFonts w:ascii="Arial" w:hAnsi="Arial" w:cs="Arial"/>
          <w:i/>
          <w:iCs/>
          <w:color w:val="000000" w:themeColor="text1"/>
          <w:sz w:val="24"/>
          <w:szCs w:val="24"/>
        </w:rPr>
        <w:t>I</w:t>
      </w:r>
      <w:r w:rsidR="00A07258" w:rsidRPr="00521F01">
        <w:rPr>
          <w:rFonts w:ascii="Arial" w:hAnsi="Arial" w:cs="Arial"/>
          <w:i/>
          <w:iCs/>
          <w:color w:val="000000" w:themeColor="text1"/>
          <w:sz w:val="24"/>
          <w:szCs w:val="24"/>
        </w:rPr>
        <w:t>gnorance</w:t>
      </w:r>
    </w:p>
    <w:p w14:paraId="2C931AE6" w14:textId="587AF56F" w:rsidR="00A1065E" w:rsidRPr="007F6548" w:rsidRDefault="0066649F" w:rsidP="00C94588">
      <w:pPr>
        <w:pStyle w:val="WLGLevel1"/>
        <w:numPr>
          <w:ilvl w:val="0"/>
          <w:numId w:val="0"/>
        </w:numPr>
        <w:spacing w:before="0" w:line="360" w:lineRule="auto"/>
        <w:rPr>
          <w:rFonts w:cs="Arial"/>
          <w:color w:val="000000" w:themeColor="text1"/>
          <w:szCs w:val="24"/>
        </w:rPr>
      </w:pPr>
      <w:r w:rsidRPr="007F6548">
        <w:rPr>
          <w:rFonts w:cs="Arial"/>
          <w:color w:val="000000" w:themeColor="text1"/>
          <w:szCs w:val="24"/>
        </w:rPr>
        <w:t>[3</w:t>
      </w:r>
      <w:r w:rsidR="000172EE">
        <w:rPr>
          <w:rFonts w:cs="Arial"/>
          <w:color w:val="000000" w:themeColor="text1"/>
          <w:szCs w:val="24"/>
        </w:rPr>
        <w:t>6</w:t>
      </w:r>
      <w:r w:rsidRPr="007F6548">
        <w:rPr>
          <w:rFonts w:cs="Arial"/>
          <w:color w:val="000000" w:themeColor="text1"/>
          <w:szCs w:val="24"/>
        </w:rPr>
        <w:t>]</w:t>
      </w:r>
      <w:r w:rsidR="005440B0" w:rsidRPr="007F6548">
        <w:rPr>
          <w:rFonts w:cs="Arial"/>
          <w:color w:val="000000" w:themeColor="text1"/>
          <w:szCs w:val="24"/>
        </w:rPr>
        <w:tab/>
      </w:r>
      <w:r w:rsidR="00A1065E" w:rsidRPr="007F6548">
        <w:rPr>
          <w:rFonts w:cs="Arial"/>
          <w:color w:val="000000" w:themeColor="text1"/>
          <w:szCs w:val="24"/>
        </w:rPr>
        <w:t xml:space="preserve">There are respondents who have blamed their non-compliance with s 12 on ignorance on their part. </w:t>
      </w:r>
    </w:p>
    <w:p w14:paraId="0EE2CDE3" w14:textId="6009C103" w:rsidR="00A1065E" w:rsidRDefault="00A1065E" w:rsidP="00C94588">
      <w:pPr>
        <w:pStyle w:val="WLGLevel1"/>
        <w:numPr>
          <w:ilvl w:val="0"/>
          <w:numId w:val="0"/>
        </w:numPr>
        <w:spacing w:after="0" w:line="360" w:lineRule="auto"/>
        <w:rPr>
          <w:rFonts w:cs="Arial"/>
          <w:iCs/>
          <w:color w:val="000000" w:themeColor="text1"/>
          <w:szCs w:val="24"/>
        </w:rPr>
      </w:pPr>
      <w:r w:rsidRPr="007F6548">
        <w:rPr>
          <w:rFonts w:cs="Arial"/>
          <w:color w:val="000000" w:themeColor="text1"/>
          <w:szCs w:val="24"/>
        </w:rPr>
        <w:t>[</w:t>
      </w:r>
      <w:r w:rsidR="00EC206D" w:rsidRPr="007F6548">
        <w:rPr>
          <w:rFonts w:cs="Arial"/>
          <w:color w:val="000000" w:themeColor="text1"/>
          <w:szCs w:val="24"/>
        </w:rPr>
        <w:t>3</w:t>
      </w:r>
      <w:r w:rsidR="000172EE">
        <w:rPr>
          <w:rFonts w:cs="Arial"/>
          <w:color w:val="000000" w:themeColor="text1"/>
          <w:szCs w:val="24"/>
        </w:rPr>
        <w:t>7</w:t>
      </w:r>
      <w:r w:rsidRPr="007F6548">
        <w:rPr>
          <w:rFonts w:cs="Arial"/>
          <w:color w:val="000000" w:themeColor="text1"/>
          <w:szCs w:val="24"/>
        </w:rPr>
        <w:t>]</w:t>
      </w:r>
      <w:r w:rsidRPr="007F6548">
        <w:rPr>
          <w:rFonts w:cs="Arial"/>
          <w:color w:val="000000" w:themeColor="text1"/>
          <w:szCs w:val="24"/>
        </w:rPr>
        <w:tab/>
        <w:t xml:space="preserve">As contended by the Commission, their ignorance </w:t>
      </w:r>
      <w:r w:rsidR="00EC206D" w:rsidRPr="007F6548">
        <w:rPr>
          <w:rFonts w:cs="Arial"/>
          <w:color w:val="000000" w:themeColor="text1"/>
          <w:szCs w:val="24"/>
        </w:rPr>
        <w:t xml:space="preserve">also </w:t>
      </w:r>
      <w:r w:rsidRPr="007F6548">
        <w:rPr>
          <w:rFonts w:cs="Arial"/>
          <w:color w:val="000000" w:themeColor="text1"/>
          <w:szCs w:val="24"/>
        </w:rPr>
        <w:t>does not justi</w:t>
      </w:r>
      <w:r w:rsidR="00EC206D" w:rsidRPr="007F6548">
        <w:rPr>
          <w:rFonts w:cs="Arial"/>
          <w:color w:val="000000" w:themeColor="text1"/>
          <w:szCs w:val="24"/>
        </w:rPr>
        <w:t>fy</w:t>
      </w:r>
      <w:r w:rsidRPr="007F6548">
        <w:rPr>
          <w:rFonts w:cs="Arial"/>
          <w:color w:val="000000" w:themeColor="text1"/>
          <w:szCs w:val="24"/>
        </w:rPr>
        <w:t xml:space="preserve"> non-compliance. T</w:t>
      </w:r>
      <w:r w:rsidR="00A07258" w:rsidRPr="007F6548">
        <w:rPr>
          <w:rFonts w:cs="Arial"/>
          <w:color w:val="000000" w:themeColor="text1"/>
          <w:szCs w:val="24"/>
        </w:rPr>
        <w:t xml:space="preserve">he Commission </w:t>
      </w:r>
      <w:r w:rsidRPr="007F6548">
        <w:rPr>
          <w:rFonts w:cs="Arial"/>
          <w:color w:val="000000" w:themeColor="text1"/>
          <w:szCs w:val="24"/>
        </w:rPr>
        <w:t>took measures to familiarise political parties with their obligations in terms of s 12</w:t>
      </w:r>
      <w:r w:rsidR="00EC19F2" w:rsidRPr="007F6548">
        <w:rPr>
          <w:rFonts w:cs="Arial"/>
          <w:color w:val="000000" w:themeColor="text1"/>
          <w:szCs w:val="24"/>
        </w:rPr>
        <w:t xml:space="preserve">. </w:t>
      </w:r>
      <w:r w:rsidRPr="007F6548">
        <w:rPr>
          <w:rFonts w:cs="Arial"/>
          <w:color w:val="000000" w:themeColor="text1"/>
          <w:szCs w:val="24"/>
        </w:rPr>
        <w:t xml:space="preserve">It also sent them a </w:t>
      </w:r>
      <w:r w:rsidR="00EC24A0" w:rsidRPr="007F6548">
        <w:rPr>
          <w:rFonts w:cs="Arial"/>
          <w:iCs/>
          <w:color w:val="000000" w:themeColor="text1"/>
          <w:szCs w:val="24"/>
        </w:rPr>
        <w:t>n</w:t>
      </w:r>
      <w:r w:rsidR="00A07258" w:rsidRPr="007F6548">
        <w:rPr>
          <w:rFonts w:cs="Arial"/>
          <w:iCs/>
          <w:color w:val="000000" w:themeColor="text1"/>
          <w:szCs w:val="24"/>
        </w:rPr>
        <w:t xml:space="preserve">otice and </w:t>
      </w:r>
      <w:r w:rsidR="00AD3E85" w:rsidRPr="007F6548">
        <w:rPr>
          <w:rFonts w:cs="Arial"/>
          <w:iCs/>
          <w:color w:val="000000" w:themeColor="text1"/>
          <w:szCs w:val="24"/>
        </w:rPr>
        <w:t>d</w:t>
      </w:r>
      <w:r w:rsidR="00A07258" w:rsidRPr="007F6548">
        <w:rPr>
          <w:rFonts w:cs="Arial"/>
          <w:iCs/>
          <w:color w:val="000000" w:themeColor="text1"/>
          <w:szCs w:val="24"/>
        </w:rPr>
        <w:t xml:space="preserve">irective, </w:t>
      </w:r>
      <w:r w:rsidRPr="007F6548">
        <w:rPr>
          <w:rFonts w:cs="Arial"/>
          <w:iCs/>
          <w:color w:val="000000" w:themeColor="text1"/>
          <w:szCs w:val="24"/>
        </w:rPr>
        <w:t>affording them a</w:t>
      </w:r>
      <w:r w:rsidR="00A07258" w:rsidRPr="007F6548">
        <w:rPr>
          <w:rFonts w:cs="Arial"/>
          <w:iCs/>
          <w:color w:val="000000" w:themeColor="text1"/>
          <w:szCs w:val="24"/>
        </w:rPr>
        <w:t xml:space="preserve">n opportunity to </w:t>
      </w:r>
      <w:r w:rsidRPr="007F6548">
        <w:rPr>
          <w:rFonts w:cs="Arial"/>
          <w:iCs/>
          <w:color w:val="000000" w:themeColor="text1"/>
          <w:szCs w:val="24"/>
        </w:rPr>
        <w:t>remedy their non-</w:t>
      </w:r>
      <w:r w:rsidR="00A07258" w:rsidRPr="007F6548">
        <w:rPr>
          <w:rFonts w:cs="Arial"/>
          <w:iCs/>
          <w:color w:val="000000" w:themeColor="text1"/>
          <w:szCs w:val="24"/>
        </w:rPr>
        <w:t>compl</w:t>
      </w:r>
      <w:r w:rsidRPr="007F6548">
        <w:rPr>
          <w:rFonts w:cs="Arial"/>
          <w:iCs/>
          <w:color w:val="000000" w:themeColor="text1"/>
          <w:szCs w:val="24"/>
        </w:rPr>
        <w:t>iance</w:t>
      </w:r>
      <w:r w:rsidR="00A07258" w:rsidRPr="007F6548">
        <w:rPr>
          <w:rFonts w:cs="Arial"/>
          <w:iCs/>
          <w:color w:val="000000" w:themeColor="text1"/>
          <w:szCs w:val="24"/>
        </w:rPr>
        <w:t xml:space="preserve">. </w:t>
      </w:r>
      <w:bookmarkStart w:id="29" w:name="_Toc460877078"/>
      <w:r w:rsidR="00E93024">
        <w:rPr>
          <w:rFonts w:cs="Arial"/>
          <w:iCs/>
          <w:color w:val="000000" w:themeColor="text1"/>
          <w:szCs w:val="24"/>
        </w:rPr>
        <w:t>The fact that the Commission sent a general notice to all political parties is a trifling defence.</w:t>
      </w:r>
      <w:r w:rsidR="0068473C">
        <w:rPr>
          <w:rFonts w:cs="Arial"/>
          <w:iCs/>
          <w:color w:val="000000" w:themeColor="text1"/>
          <w:szCs w:val="24"/>
        </w:rPr>
        <w:t xml:space="preserve"> </w:t>
      </w:r>
      <w:r w:rsidR="00055047">
        <w:rPr>
          <w:rFonts w:cs="Arial"/>
          <w:iCs/>
          <w:color w:val="000000" w:themeColor="text1"/>
          <w:szCs w:val="24"/>
        </w:rPr>
        <w:t xml:space="preserve">Section 15 does not require the Commission to issue individualised notices. </w:t>
      </w:r>
      <w:r w:rsidR="000B7F61">
        <w:rPr>
          <w:rFonts w:cs="Arial"/>
          <w:iCs/>
          <w:color w:val="000000" w:themeColor="text1"/>
          <w:szCs w:val="24"/>
        </w:rPr>
        <w:t>The respondent who has raised this defence does not impugn the notice for non-compliance with s 15, which provides as follow:</w:t>
      </w:r>
    </w:p>
    <w:p w14:paraId="000718B2" w14:textId="441328CB" w:rsidR="00AD1C1C" w:rsidRPr="009D18BF" w:rsidRDefault="00C94588" w:rsidP="009E4BAF">
      <w:pPr>
        <w:pStyle w:val="FootnoteText"/>
        <w:rPr>
          <w:sz w:val="22"/>
          <w:szCs w:val="22"/>
        </w:rPr>
      </w:pPr>
      <w:r w:rsidRPr="00FB26E0">
        <w:t xml:space="preserve"> </w:t>
      </w:r>
      <w:r w:rsidRPr="009D18BF">
        <w:rPr>
          <w:sz w:val="22"/>
          <w:szCs w:val="22"/>
        </w:rPr>
        <w:t>‘</w:t>
      </w:r>
      <w:r w:rsidR="00AD1C1C" w:rsidRPr="009D18BF">
        <w:rPr>
          <w:sz w:val="22"/>
          <w:szCs w:val="22"/>
        </w:rPr>
        <w:t>Commission's power to issue directions</w:t>
      </w:r>
    </w:p>
    <w:p w14:paraId="2B4B04CF" w14:textId="77777777" w:rsidR="00AD1C1C" w:rsidRPr="009D18BF" w:rsidRDefault="00AD1C1C" w:rsidP="009E4BAF">
      <w:pPr>
        <w:pStyle w:val="FootnoteText"/>
        <w:rPr>
          <w:sz w:val="22"/>
          <w:szCs w:val="22"/>
        </w:rPr>
      </w:pPr>
      <w:r w:rsidRPr="009D18BF">
        <w:rPr>
          <w:sz w:val="22"/>
          <w:szCs w:val="22"/>
        </w:rPr>
        <w:t>(1) The Commission may issue a direction to a political party in the prescribed manner in order to avoid imposing a sanction-</w:t>
      </w:r>
    </w:p>
    <w:p w14:paraId="7804501D" w14:textId="77777777" w:rsidR="00AD1C1C" w:rsidRPr="009D18BF" w:rsidRDefault="00AD1C1C" w:rsidP="009E4BAF">
      <w:pPr>
        <w:pStyle w:val="FootnoteText"/>
        <w:rPr>
          <w:sz w:val="22"/>
          <w:szCs w:val="22"/>
        </w:rPr>
      </w:pPr>
      <w:r w:rsidRPr="009D18BF">
        <w:rPr>
          <w:sz w:val="22"/>
          <w:szCs w:val="22"/>
        </w:rPr>
        <w:t xml:space="preserve">   (a)   after affording that party an opportunity to make representations; and</w:t>
      </w:r>
    </w:p>
    <w:p w14:paraId="58826AFC" w14:textId="77777777" w:rsidR="00AD1C1C" w:rsidRPr="009D18BF" w:rsidRDefault="00AD1C1C" w:rsidP="009E4BAF">
      <w:pPr>
        <w:pStyle w:val="FootnoteText"/>
        <w:rPr>
          <w:sz w:val="22"/>
          <w:szCs w:val="22"/>
        </w:rPr>
      </w:pPr>
      <w:r w:rsidRPr="009D18BF">
        <w:rPr>
          <w:sz w:val="22"/>
          <w:szCs w:val="22"/>
        </w:rPr>
        <w:t xml:space="preserve">   (b)   if it is of the opinion that the party fails to comply with this Act.</w:t>
      </w:r>
    </w:p>
    <w:p w14:paraId="1E4F2888" w14:textId="77777777" w:rsidR="00AD1C1C" w:rsidRPr="009D18BF" w:rsidRDefault="00AD1C1C" w:rsidP="009E4BAF">
      <w:pPr>
        <w:pStyle w:val="FootnoteText"/>
        <w:rPr>
          <w:sz w:val="22"/>
          <w:szCs w:val="22"/>
        </w:rPr>
      </w:pPr>
      <w:r w:rsidRPr="009D18BF">
        <w:rPr>
          <w:sz w:val="22"/>
          <w:szCs w:val="22"/>
        </w:rPr>
        <w:t>(2) The direction contemplated in subsection (1) must indicate which of the following sanctions that the Commission may impose if the political party fails to comply with that direction:</w:t>
      </w:r>
    </w:p>
    <w:p w14:paraId="5DD29ADC" w14:textId="77777777" w:rsidR="00AD1C1C" w:rsidRPr="009D18BF" w:rsidRDefault="00AD1C1C" w:rsidP="009E4BAF">
      <w:pPr>
        <w:pStyle w:val="FootnoteText"/>
        <w:rPr>
          <w:sz w:val="22"/>
          <w:szCs w:val="22"/>
        </w:rPr>
      </w:pPr>
      <w:r w:rsidRPr="009D18BF">
        <w:rPr>
          <w:sz w:val="22"/>
          <w:szCs w:val="22"/>
        </w:rPr>
        <w:t xml:space="preserve">   (a)   Suspension of payment of allocated money under section 16;</w:t>
      </w:r>
    </w:p>
    <w:p w14:paraId="738BBF43" w14:textId="77EC8E78" w:rsidR="00AD1C1C" w:rsidRPr="009D18BF" w:rsidRDefault="00AD1C1C" w:rsidP="009E4BAF">
      <w:pPr>
        <w:pStyle w:val="FootnoteText"/>
        <w:rPr>
          <w:sz w:val="22"/>
          <w:szCs w:val="22"/>
        </w:rPr>
      </w:pPr>
      <w:r w:rsidRPr="009D18BF">
        <w:rPr>
          <w:sz w:val="22"/>
          <w:szCs w:val="22"/>
        </w:rPr>
        <w:t xml:space="preserve">   (b)   the recovery</w:t>
      </w:r>
      <w:r w:rsidR="00055047" w:rsidRPr="009D18BF">
        <w:rPr>
          <w:sz w:val="22"/>
          <w:szCs w:val="22"/>
        </w:rPr>
        <w:t>.</w:t>
      </w:r>
      <w:r w:rsidRPr="009D18BF">
        <w:rPr>
          <w:sz w:val="22"/>
          <w:szCs w:val="22"/>
        </w:rPr>
        <w:t xml:space="preserve"> of money irregularly accepted or spent under 17; or</w:t>
      </w:r>
    </w:p>
    <w:p w14:paraId="643F5486" w14:textId="0BB10871" w:rsidR="000B7F61" w:rsidRPr="009D18BF" w:rsidRDefault="00AD1C1C" w:rsidP="009E4BAF">
      <w:pPr>
        <w:pStyle w:val="FootnoteText"/>
        <w:rPr>
          <w:sz w:val="22"/>
          <w:szCs w:val="22"/>
        </w:rPr>
      </w:pPr>
      <w:r w:rsidRPr="009D18BF">
        <w:rPr>
          <w:sz w:val="22"/>
          <w:szCs w:val="22"/>
        </w:rPr>
        <w:t xml:space="preserve">   (c)   the imposition of an administrati</w:t>
      </w:r>
      <w:r w:rsidR="00C94588" w:rsidRPr="009D18BF">
        <w:rPr>
          <w:sz w:val="22"/>
          <w:szCs w:val="22"/>
        </w:rPr>
        <w:t>ve fine in terms of section 18.’</w:t>
      </w:r>
    </w:p>
    <w:p w14:paraId="7D2A1174" w14:textId="137B62F7" w:rsidR="00A1065E" w:rsidRPr="00521F01" w:rsidRDefault="00A1065E" w:rsidP="00C94588">
      <w:pPr>
        <w:pStyle w:val="WLGLevel1"/>
        <w:numPr>
          <w:ilvl w:val="0"/>
          <w:numId w:val="0"/>
        </w:numPr>
        <w:spacing w:after="0" w:line="360" w:lineRule="auto"/>
        <w:rPr>
          <w:rFonts w:cs="Arial"/>
          <w:bCs/>
          <w:i/>
          <w:iCs/>
          <w:color w:val="000000" w:themeColor="text1"/>
          <w:szCs w:val="24"/>
        </w:rPr>
      </w:pPr>
      <w:r w:rsidRPr="00521F01">
        <w:rPr>
          <w:rFonts w:cs="Arial"/>
          <w:bCs/>
          <w:i/>
          <w:iCs/>
          <w:color w:val="000000" w:themeColor="text1"/>
          <w:szCs w:val="24"/>
        </w:rPr>
        <w:lastRenderedPageBreak/>
        <w:t xml:space="preserve">Non-service of the </w:t>
      </w:r>
      <w:r w:rsidR="00392815" w:rsidRPr="00521F01">
        <w:rPr>
          <w:rFonts w:cs="Arial"/>
          <w:bCs/>
          <w:i/>
          <w:iCs/>
          <w:color w:val="000000" w:themeColor="text1"/>
          <w:szCs w:val="24"/>
        </w:rPr>
        <w:t>d</w:t>
      </w:r>
      <w:r w:rsidRPr="00521F01">
        <w:rPr>
          <w:rFonts w:cs="Arial"/>
          <w:bCs/>
          <w:i/>
          <w:iCs/>
          <w:color w:val="000000" w:themeColor="text1"/>
          <w:szCs w:val="24"/>
        </w:rPr>
        <w:t>irective</w:t>
      </w:r>
    </w:p>
    <w:p w14:paraId="2B33F8F2" w14:textId="791D1CDA" w:rsidR="00D80CAA" w:rsidRPr="007F6548" w:rsidRDefault="006637CE" w:rsidP="001D78E3">
      <w:pPr>
        <w:suppressAutoHyphens w:val="0"/>
        <w:spacing w:after="240" w:line="360" w:lineRule="auto"/>
        <w:rPr>
          <w:rFonts w:cs="Arial"/>
          <w:color w:val="000000" w:themeColor="text1"/>
          <w:szCs w:val="24"/>
        </w:rPr>
      </w:pPr>
      <w:r w:rsidRPr="007F6548">
        <w:rPr>
          <w:rFonts w:cs="Arial"/>
          <w:color w:val="000000" w:themeColor="text1"/>
          <w:szCs w:val="24"/>
        </w:rPr>
        <w:t>[3</w:t>
      </w:r>
      <w:r w:rsidR="000172EE">
        <w:rPr>
          <w:rFonts w:cs="Arial"/>
          <w:color w:val="000000" w:themeColor="text1"/>
          <w:szCs w:val="24"/>
        </w:rPr>
        <w:t>8</w:t>
      </w:r>
      <w:r w:rsidRPr="007F6548">
        <w:rPr>
          <w:rFonts w:cs="Arial"/>
          <w:color w:val="000000" w:themeColor="text1"/>
          <w:szCs w:val="24"/>
        </w:rPr>
        <w:t>]</w:t>
      </w:r>
      <w:r w:rsidR="00D80CAA" w:rsidRPr="007F6548">
        <w:rPr>
          <w:rFonts w:cs="Arial"/>
          <w:color w:val="000000" w:themeColor="text1"/>
          <w:szCs w:val="24"/>
        </w:rPr>
        <w:t xml:space="preserve"> Several respondents complain that they did not receive service of some of the documents the applicant</w:t>
      </w:r>
      <w:r w:rsidR="0090491D" w:rsidRPr="007F6548">
        <w:rPr>
          <w:rFonts w:cs="Arial"/>
          <w:color w:val="000000" w:themeColor="text1"/>
          <w:szCs w:val="24"/>
        </w:rPr>
        <w:t>s</w:t>
      </w:r>
      <w:r w:rsidR="00D80CAA" w:rsidRPr="007F6548">
        <w:rPr>
          <w:rFonts w:cs="Arial"/>
          <w:color w:val="000000" w:themeColor="text1"/>
          <w:szCs w:val="24"/>
        </w:rPr>
        <w:t xml:space="preserve"> rely on in this application. </w:t>
      </w:r>
      <w:r w:rsidR="00570E4D" w:rsidRPr="007F6548">
        <w:rPr>
          <w:rFonts w:cs="Arial"/>
          <w:color w:val="000000" w:themeColor="text1"/>
          <w:szCs w:val="24"/>
        </w:rPr>
        <w:tab/>
      </w:r>
    </w:p>
    <w:p w14:paraId="100086ED" w14:textId="5D6BB456" w:rsidR="000768DA" w:rsidRDefault="0090491D" w:rsidP="000768DA">
      <w:pPr>
        <w:suppressAutoHyphens w:val="0"/>
        <w:spacing w:line="360" w:lineRule="auto"/>
        <w:rPr>
          <w:rFonts w:cs="Arial"/>
          <w:color w:val="000000" w:themeColor="text1"/>
          <w:szCs w:val="24"/>
        </w:rPr>
      </w:pPr>
      <w:r w:rsidRPr="007F6548">
        <w:rPr>
          <w:rFonts w:cs="Arial"/>
          <w:color w:val="000000" w:themeColor="text1"/>
          <w:szCs w:val="24"/>
        </w:rPr>
        <w:t>[3</w:t>
      </w:r>
      <w:r w:rsidR="000172EE">
        <w:rPr>
          <w:rFonts w:cs="Arial"/>
          <w:color w:val="000000" w:themeColor="text1"/>
          <w:szCs w:val="24"/>
        </w:rPr>
        <w:t>9</w:t>
      </w:r>
      <w:r w:rsidRPr="007F6548">
        <w:rPr>
          <w:rFonts w:cs="Arial"/>
          <w:color w:val="000000" w:themeColor="text1"/>
          <w:szCs w:val="24"/>
        </w:rPr>
        <w:t>]</w:t>
      </w:r>
      <w:r w:rsidRPr="007F6548">
        <w:rPr>
          <w:rFonts w:cs="Arial"/>
          <w:color w:val="000000" w:themeColor="text1"/>
          <w:szCs w:val="24"/>
        </w:rPr>
        <w:tab/>
      </w:r>
      <w:r w:rsidR="00AD3E85" w:rsidRPr="007F6548">
        <w:rPr>
          <w:rFonts w:cs="Arial"/>
          <w:color w:val="000000" w:themeColor="text1"/>
          <w:szCs w:val="24"/>
        </w:rPr>
        <w:t>The Commission effected service on all documents it relies on in this application by email</w:t>
      </w:r>
      <w:r w:rsidR="00570E4D" w:rsidRPr="007F6548">
        <w:rPr>
          <w:rFonts w:cs="Arial"/>
          <w:color w:val="000000" w:themeColor="text1"/>
          <w:szCs w:val="24"/>
        </w:rPr>
        <w:t xml:space="preserve"> to the email addresses the respondents supplied when they registered as political parties. Complaints that some of the respondents did not receive any of the documents cannot be blamed on the Commission. </w:t>
      </w:r>
    </w:p>
    <w:p w14:paraId="07F2335E" w14:textId="77777777" w:rsidR="00FB26E0" w:rsidRPr="000D5CF4" w:rsidRDefault="00FB26E0" w:rsidP="000768DA">
      <w:pPr>
        <w:suppressAutoHyphens w:val="0"/>
        <w:spacing w:line="360" w:lineRule="auto"/>
        <w:rPr>
          <w:rFonts w:cs="Arial"/>
          <w:color w:val="000000" w:themeColor="text1"/>
          <w:szCs w:val="24"/>
        </w:rPr>
      </w:pPr>
    </w:p>
    <w:p w14:paraId="66A19A2D" w14:textId="77580C88" w:rsidR="001D78E3" w:rsidRPr="000D5CF4" w:rsidRDefault="003D7C24" w:rsidP="00E92A0D">
      <w:pPr>
        <w:suppressAutoHyphens w:val="0"/>
        <w:spacing w:line="360" w:lineRule="auto"/>
        <w:rPr>
          <w:rFonts w:cs="Arial"/>
          <w:b/>
          <w:iCs/>
          <w:color w:val="000000" w:themeColor="text1"/>
          <w:szCs w:val="24"/>
        </w:rPr>
      </w:pPr>
      <w:r w:rsidRPr="000D5CF4">
        <w:rPr>
          <w:rFonts w:cs="Arial"/>
          <w:b/>
          <w:iCs/>
          <w:color w:val="000000" w:themeColor="text1"/>
          <w:szCs w:val="24"/>
        </w:rPr>
        <w:t>R</w:t>
      </w:r>
      <w:r w:rsidR="0065124F" w:rsidRPr="000D5CF4">
        <w:rPr>
          <w:rFonts w:cs="Arial"/>
          <w:b/>
          <w:iCs/>
          <w:color w:val="000000" w:themeColor="text1"/>
          <w:szCs w:val="24"/>
        </w:rPr>
        <w:t xml:space="preserve">espondents </w:t>
      </w:r>
      <w:r w:rsidRPr="000D5CF4">
        <w:rPr>
          <w:rFonts w:cs="Arial"/>
          <w:b/>
          <w:iCs/>
          <w:color w:val="000000" w:themeColor="text1"/>
          <w:szCs w:val="24"/>
        </w:rPr>
        <w:t xml:space="preserve">who have </w:t>
      </w:r>
      <w:r w:rsidR="001A3011" w:rsidRPr="000D5CF4">
        <w:rPr>
          <w:rFonts w:cs="Arial"/>
          <w:b/>
          <w:iCs/>
          <w:color w:val="000000" w:themeColor="text1"/>
          <w:szCs w:val="24"/>
        </w:rPr>
        <w:t xml:space="preserve">cited </w:t>
      </w:r>
      <w:r w:rsidRPr="000D5CF4">
        <w:rPr>
          <w:rFonts w:cs="Arial"/>
          <w:b/>
          <w:iCs/>
          <w:color w:val="000000" w:themeColor="text1"/>
          <w:szCs w:val="24"/>
        </w:rPr>
        <w:t>other reasons</w:t>
      </w:r>
      <w:bookmarkStart w:id="30" w:name="_Toc154744834"/>
      <w:bookmarkEnd w:id="29"/>
    </w:p>
    <w:p w14:paraId="163D7D7A" w14:textId="13F3588A" w:rsidR="00E24E3D" w:rsidRPr="00521F01" w:rsidRDefault="00E92A0D" w:rsidP="00E24E3D">
      <w:pPr>
        <w:pStyle w:val="p3"/>
        <w:spacing w:line="360" w:lineRule="auto"/>
        <w:jc w:val="both"/>
        <w:rPr>
          <w:rFonts w:ascii="Arial" w:hAnsi="Arial" w:cs="Arial"/>
          <w:i/>
          <w:iCs/>
          <w:color w:val="000000" w:themeColor="text1"/>
          <w:sz w:val="24"/>
          <w:szCs w:val="24"/>
        </w:rPr>
      </w:pPr>
      <w:r w:rsidRPr="00521F01">
        <w:rPr>
          <w:rFonts w:ascii="Arial" w:hAnsi="Arial" w:cs="Arial"/>
          <w:i/>
          <w:iCs/>
          <w:color w:val="000000" w:themeColor="text1"/>
          <w:sz w:val="24"/>
          <w:szCs w:val="24"/>
        </w:rPr>
        <w:t xml:space="preserve">Our City Masters – </w:t>
      </w:r>
      <w:r w:rsidR="00E24E3D" w:rsidRPr="00521F01">
        <w:rPr>
          <w:rFonts w:ascii="Arial" w:hAnsi="Arial" w:cs="Arial"/>
          <w:i/>
          <w:iCs/>
          <w:color w:val="000000" w:themeColor="text1"/>
          <w:sz w:val="24"/>
          <w:szCs w:val="24"/>
        </w:rPr>
        <w:t>338</w:t>
      </w:r>
      <w:r w:rsidR="00E24E3D" w:rsidRPr="00521F01">
        <w:rPr>
          <w:rFonts w:ascii="Arial" w:hAnsi="Arial" w:cs="Arial"/>
          <w:i/>
          <w:iCs/>
          <w:color w:val="000000" w:themeColor="text1"/>
          <w:sz w:val="24"/>
          <w:szCs w:val="24"/>
          <w:vertAlign w:val="superscript"/>
        </w:rPr>
        <w:t>th</w:t>
      </w:r>
      <w:r w:rsidR="00E24E3D" w:rsidRPr="00521F01">
        <w:rPr>
          <w:rFonts w:ascii="Arial" w:hAnsi="Arial" w:cs="Arial"/>
          <w:i/>
          <w:iCs/>
          <w:color w:val="000000" w:themeColor="text1"/>
          <w:sz w:val="24"/>
          <w:szCs w:val="24"/>
        </w:rPr>
        <w:t xml:space="preserve"> respondent</w:t>
      </w:r>
    </w:p>
    <w:p w14:paraId="2E022EFD" w14:textId="56CBC99C" w:rsidR="00E24E3D" w:rsidRPr="007F6548" w:rsidRDefault="00E24E3D" w:rsidP="00C94588">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0172EE">
        <w:rPr>
          <w:rStyle w:val="s2"/>
          <w:rFonts w:ascii="Arial" w:hAnsi="Arial" w:cs="Arial"/>
          <w:color w:val="000000" w:themeColor="text1"/>
          <w:sz w:val="24"/>
          <w:szCs w:val="24"/>
        </w:rPr>
        <w:t>40</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t xml:space="preserve">Our City Masters’ (“OCM”) has filed an answering affidavit deposed to by its </w:t>
      </w:r>
      <w:r w:rsidR="007346AE">
        <w:rPr>
          <w:rStyle w:val="s2"/>
          <w:rFonts w:ascii="Arial" w:hAnsi="Arial" w:cs="Arial"/>
          <w:color w:val="000000" w:themeColor="text1"/>
          <w:sz w:val="24"/>
          <w:szCs w:val="24"/>
        </w:rPr>
        <w:t xml:space="preserve">former </w:t>
      </w:r>
      <w:r w:rsidRPr="007F6548">
        <w:rPr>
          <w:rStyle w:val="s2"/>
          <w:rFonts w:ascii="Arial" w:hAnsi="Arial" w:cs="Arial"/>
          <w:color w:val="000000" w:themeColor="text1"/>
          <w:sz w:val="24"/>
          <w:szCs w:val="24"/>
        </w:rPr>
        <w:t xml:space="preserve">chairman. It intends accepting in good faith this </w:t>
      </w:r>
      <w:r w:rsidR="00C63692">
        <w:rPr>
          <w:rStyle w:val="s2"/>
          <w:rFonts w:ascii="Arial" w:hAnsi="Arial" w:cs="Arial"/>
          <w:color w:val="000000" w:themeColor="text1"/>
          <w:sz w:val="24"/>
          <w:szCs w:val="24"/>
        </w:rPr>
        <w:t>Court</w:t>
      </w:r>
      <w:r w:rsidRPr="007F6548">
        <w:rPr>
          <w:rStyle w:val="s2"/>
          <w:rFonts w:ascii="Arial" w:hAnsi="Arial" w:cs="Arial"/>
          <w:color w:val="000000" w:themeColor="text1"/>
          <w:sz w:val="24"/>
          <w:szCs w:val="24"/>
        </w:rPr>
        <w:t xml:space="preserve">’s ruling but has requested the </w:t>
      </w:r>
      <w:r w:rsidR="00C63692">
        <w:rPr>
          <w:rStyle w:val="s2"/>
          <w:rFonts w:ascii="Arial" w:hAnsi="Arial" w:cs="Arial"/>
          <w:color w:val="000000" w:themeColor="text1"/>
          <w:sz w:val="24"/>
          <w:szCs w:val="24"/>
        </w:rPr>
        <w:t>Court</w:t>
      </w:r>
      <w:r w:rsidRPr="007F6548">
        <w:rPr>
          <w:rStyle w:val="s2"/>
          <w:rFonts w:ascii="Arial" w:hAnsi="Arial" w:cs="Arial"/>
          <w:color w:val="000000" w:themeColor="text1"/>
          <w:sz w:val="24"/>
          <w:szCs w:val="24"/>
        </w:rPr>
        <w:t xml:space="preserve"> to consider its peculiar circumstances when making its ruling.</w:t>
      </w:r>
      <w:r w:rsidR="00305088" w:rsidRPr="007F6548">
        <w:rPr>
          <w:rStyle w:val="s2"/>
          <w:rFonts w:ascii="Arial" w:hAnsi="Arial" w:cs="Arial"/>
          <w:color w:val="000000" w:themeColor="text1"/>
          <w:sz w:val="24"/>
          <w:szCs w:val="24"/>
        </w:rPr>
        <w:t xml:space="preserve"> Its circumstances are a relevant consideration </w:t>
      </w:r>
      <w:r w:rsidR="00310928" w:rsidRPr="007F6548">
        <w:rPr>
          <w:rStyle w:val="s2"/>
          <w:rFonts w:ascii="Arial" w:hAnsi="Arial" w:cs="Arial"/>
          <w:color w:val="000000" w:themeColor="text1"/>
          <w:sz w:val="24"/>
          <w:szCs w:val="24"/>
        </w:rPr>
        <w:t xml:space="preserve">in the exercise of this </w:t>
      </w:r>
      <w:r w:rsidR="00C63692">
        <w:rPr>
          <w:rStyle w:val="s2"/>
          <w:rFonts w:ascii="Arial" w:hAnsi="Arial" w:cs="Arial"/>
          <w:color w:val="000000" w:themeColor="text1"/>
          <w:sz w:val="24"/>
          <w:szCs w:val="24"/>
        </w:rPr>
        <w:t>Court</w:t>
      </w:r>
      <w:r w:rsidR="00310928" w:rsidRPr="007F6548">
        <w:rPr>
          <w:rStyle w:val="s2"/>
          <w:rFonts w:ascii="Arial" w:hAnsi="Arial" w:cs="Arial"/>
          <w:color w:val="000000" w:themeColor="text1"/>
          <w:sz w:val="24"/>
          <w:szCs w:val="24"/>
        </w:rPr>
        <w:t>’s discretion whether to impose an administrative penalty on this respondent. It i</w:t>
      </w:r>
      <w:r w:rsidR="007A6A74">
        <w:rPr>
          <w:rStyle w:val="s2"/>
          <w:rFonts w:ascii="Arial" w:hAnsi="Arial" w:cs="Arial"/>
          <w:color w:val="000000" w:themeColor="text1"/>
          <w:sz w:val="24"/>
          <w:szCs w:val="24"/>
        </w:rPr>
        <w:t>s</w:t>
      </w:r>
      <w:r w:rsidR="00310928" w:rsidRPr="007F6548">
        <w:rPr>
          <w:rStyle w:val="s2"/>
          <w:rFonts w:ascii="Arial" w:hAnsi="Arial" w:cs="Arial"/>
          <w:color w:val="000000" w:themeColor="text1"/>
          <w:sz w:val="24"/>
          <w:szCs w:val="24"/>
        </w:rPr>
        <w:t xml:space="preserve"> </w:t>
      </w:r>
      <w:r w:rsidR="00D5324C" w:rsidRPr="007F6548">
        <w:rPr>
          <w:rStyle w:val="s2"/>
          <w:rFonts w:ascii="Arial" w:hAnsi="Arial" w:cs="Arial"/>
          <w:color w:val="000000" w:themeColor="text1"/>
          <w:sz w:val="24"/>
          <w:szCs w:val="24"/>
        </w:rPr>
        <w:t xml:space="preserve">for that reason that I consider </w:t>
      </w:r>
      <w:r w:rsidR="007A6A74">
        <w:rPr>
          <w:rStyle w:val="s2"/>
          <w:rFonts w:ascii="Arial" w:hAnsi="Arial" w:cs="Arial"/>
          <w:color w:val="000000" w:themeColor="text1"/>
          <w:sz w:val="24"/>
          <w:szCs w:val="24"/>
        </w:rPr>
        <w:t>OCM’s circumstances</w:t>
      </w:r>
      <w:r w:rsidR="00D5324C" w:rsidRPr="007F6548">
        <w:rPr>
          <w:rStyle w:val="s2"/>
          <w:rFonts w:ascii="Arial" w:hAnsi="Arial" w:cs="Arial"/>
          <w:color w:val="000000" w:themeColor="text1"/>
          <w:sz w:val="24"/>
          <w:szCs w:val="24"/>
        </w:rPr>
        <w:t xml:space="preserve"> in the next section of this judgment.</w:t>
      </w:r>
    </w:p>
    <w:p w14:paraId="0A310946" w14:textId="77777777" w:rsidR="00E24E3D" w:rsidRPr="007F6548" w:rsidRDefault="00E24E3D" w:rsidP="00035BD2">
      <w:pPr>
        <w:pStyle w:val="p3"/>
        <w:spacing w:line="360" w:lineRule="auto"/>
        <w:jc w:val="both"/>
        <w:rPr>
          <w:rStyle w:val="s2"/>
          <w:rFonts w:ascii="Arial" w:hAnsi="Arial" w:cs="Arial"/>
          <w:b/>
          <w:bCs/>
          <w:color w:val="000000" w:themeColor="text1"/>
          <w:sz w:val="24"/>
          <w:szCs w:val="24"/>
        </w:rPr>
      </w:pPr>
    </w:p>
    <w:p w14:paraId="69796321" w14:textId="3D4AAC4A" w:rsidR="008568A3" w:rsidRPr="00521F01" w:rsidRDefault="007D1049" w:rsidP="00035BD2">
      <w:pPr>
        <w:pStyle w:val="p3"/>
        <w:spacing w:line="360" w:lineRule="auto"/>
        <w:jc w:val="both"/>
        <w:rPr>
          <w:rFonts w:ascii="Arial" w:hAnsi="Arial" w:cs="Arial"/>
          <w:i/>
          <w:iCs/>
          <w:color w:val="000000" w:themeColor="text1"/>
          <w:sz w:val="24"/>
          <w:szCs w:val="24"/>
        </w:rPr>
      </w:pPr>
      <w:r w:rsidRPr="00521F01">
        <w:rPr>
          <w:rStyle w:val="s2"/>
          <w:rFonts w:ascii="Arial" w:hAnsi="Arial" w:cs="Arial"/>
          <w:i/>
          <w:iCs/>
          <w:color w:val="000000" w:themeColor="text1"/>
          <w:sz w:val="24"/>
          <w:szCs w:val="24"/>
        </w:rPr>
        <w:t>Conservatives in Action - 348</w:t>
      </w:r>
      <w:r w:rsidRPr="00521F01">
        <w:rPr>
          <w:rStyle w:val="s2"/>
          <w:rFonts w:ascii="Arial" w:hAnsi="Arial" w:cs="Arial"/>
          <w:i/>
          <w:iCs/>
          <w:color w:val="000000" w:themeColor="text1"/>
          <w:sz w:val="24"/>
          <w:szCs w:val="24"/>
          <w:vertAlign w:val="superscript"/>
        </w:rPr>
        <w:t>th</w:t>
      </w:r>
      <w:r w:rsidRPr="00521F01">
        <w:rPr>
          <w:rStyle w:val="s2"/>
          <w:rFonts w:ascii="Arial" w:hAnsi="Arial" w:cs="Arial"/>
          <w:i/>
          <w:iCs/>
          <w:color w:val="000000" w:themeColor="text1"/>
          <w:sz w:val="24"/>
          <w:szCs w:val="24"/>
        </w:rPr>
        <w:t xml:space="preserve"> respondent</w:t>
      </w:r>
    </w:p>
    <w:p w14:paraId="6538967D" w14:textId="670684E0" w:rsidR="008568A3" w:rsidRPr="007F6548" w:rsidRDefault="007D1049" w:rsidP="00C94588">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D5324C" w:rsidRPr="007F6548">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1</w:t>
      </w:r>
      <w:r w:rsidR="00AA07C4" w:rsidRPr="007F6548">
        <w:rPr>
          <w:rStyle w:val="s2"/>
          <w:rFonts w:ascii="Arial" w:hAnsi="Arial" w:cs="Arial"/>
          <w:color w:val="000000" w:themeColor="text1"/>
          <w:sz w:val="24"/>
          <w:szCs w:val="24"/>
        </w:rPr>
        <w:t>]</w:t>
      </w:r>
      <w:r w:rsidR="00AA07C4" w:rsidRPr="007F6548">
        <w:rPr>
          <w:rStyle w:val="s2"/>
          <w:rFonts w:ascii="Arial" w:hAnsi="Arial" w:cs="Arial"/>
          <w:color w:val="000000" w:themeColor="text1"/>
          <w:sz w:val="24"/>
          <w:szCs w:val="24"/>
        </w:rPr>
        <w:tab/>
      </w:r>
      <w:r w:rsidR="008568A3" w:rsidRPr="007F6548">
        <w:rPr>
          <w:rStyle w:val="s2"/>
          <w:rFonts w:ascii="Arial" w:hAnsi="Arial" w:cs="Arial"/>
          <w:color w:val="000000" w:themeColor="text1"/>
          <w:sz w:val="24"/>
          <w:szCs w:val="24"/>
        </w:rPr>
        <w:t>This</w:t>
      </w:r>
      <w:r w:rsidR="00AA07C4" w:rsidRPr="007F6548">
        <w:rPr>
          <w:rStyle w:val="s2"/>
          <w:rFonts w:ascii="Arial" w:hAnsi="Arial" w:cs="Arial"/>
          <w:color w:val="000000" w:themeColor="text1"/>
          <w:sz w:val="24"/>
          <w:szCs w:val="24"/>
        </w:rPr>
        <w:t xml:space="preserve"> respondent was registered as a political</w:t>
      </w:r>
      <w:r w:rsidR="008568A3" w:rsidRPr="007F6548">
        <w:rPr>
          <w:rStyle w:val="s2"/>
          <w:rFonts w:ascii="Arial" w:hAnsi="Arial" w:cs="Arial"/>
          <w:color w:val="000000" w:themeColor="text1"/>
          <w:sz w:val="24"/>
          <w:szCs w:val="24"/>
        </w:rPr>
        <w:t xml:space="preserve"> party in 2008 under the name People’s Alliance. It changed its name to the current name on 10</w:t>
      </w:r>
      <w:r w:rsidR="008568A3" w:rsidRPr="007F6548">
        <w:rPr>
          <w:rStyle w:val="apple-converted-space"/>
          <w:rFonts w:ascii="Arial" w:hAnsi="Arial" w:cs="Arial"/>
          <w:color w:val="000000" w:themeColor="text1"/>
          <w:sz w:val="24"/>
          <w:szCs w:val="24"/>
        </w:rPr>
        <w:t> </w:t>
      </w:r>
      <w:r w:rsidR="008568A3" w:rsidRPr="007F6548">
        <w:rPr>
          <w:rStyle w:val="s2"/>
          <w:rFonts w:ascii="Arial" w:hAnsi="Arial" w:cs="Arial"/>
          <w:color w:val="000000" w:themeColor="text1"/>
          <w:sz w:val="24"/>
          <w:szCs w:val="24"/>
        </w:rPr>
        <w:t>September 2022.</w:t>
      </w:r>
    </w:p>
    <w:p w14:paraId="3C2B5BC7" w14:textId="77777777" w:rsidR="00101860" w:rsidRPr="007F6548" w:rsidRDefault="008568A3" w:rsidP="00035BD2">
      <w:pPr>
        <w:pStyle w:val="p3"/>
        <w:spacing w:line="360" w:lineRule="auto"/>
        <w:jc w:val="both"/>
        <w:rPr>
          <w:rStyle w:val="s2"/>
          <w:rFonts w:ascii="Arial" w:hAnsi="Arial" w:cs="Arial"/>
          <w:color w:val="000000" w:themeColor="text1"/>
          <w:sz w:val="24"/>
          <w:szCs w:val="24"/>
        </w:rPr>
      </w:pPr>
      <w:r w:rsidRPr="007F6548">
        <w:rPr>
          <w:rStyle w:val="s2"/>
          <w:rFonts w:ascii="Arial" w:hAnsi="Arial" w:cs="Arial"/>
          <w:color w:val="000000" w:themeColor="text1"/>
          <w:sz w:val="24"/>
          <w:szCs w:val="24"/>
        </w:rPr>
        <w:t>It raise</w:t>
      </w:r>
      <w:r w:rsidR="00BD493F" w:rsidRPr="007F6548">
        <w:rPr>
          <w:rStyle w:val="s2"/>
          <w:rFonts w:ascii="Arial" w:hAnsi="Arial" w:cs="Arial"/>
          <w:color w:val="000000" w:themeColor="text1"/>
          <w:sz w:val="24"/>
          <w:szCs w:val="24"/>
        </w:rPr>
        <w:t>s</w:t>
      </w:r>
      <w:r w:rsidRPr="007F6548">
        <w:rPr>
          <w:rStyle w:val="s2"/>
          <w:rFonts w:ascii="Arial" w:hAnsi="Arial" w:cs="Arial"/>
          <w:color w:val="000000" w:themeColor="text1"/>
          <w:sz w:val="24"/>
          <w:szCs w:val="24"/>
        </w:rPr>
        <w:t xml:space="preserve"> the fact that it has since been deregistered as a point in </w:t>
      </w:r>
      <w:r w:rsidRPr="007F6548">
        <w:rPr>
          <w:rStyle w:val="s2"/>
          <w:rFonts w:ascii="Arial" w:hAnsi="Arial" w:cs="Arial"/>
          <w:i/>
          <w:iCs/>
          <w:color w:val="000000" w:themeColor="text1"/>
          <w:sz w:val="24"/>
          <w:szCs w:val="24"/>
        </w:rPr>
        <w:t>limine.</w:t>
      </w:r>
      <w:r w:rsidRPr="007F6548">
        <w:rPr>
          <w:rStyle w:val="s2"/>
          <w:rFonts w:ascii="Arial" w:hAnsi="Arial" w:cs="Arial"/>
          <w:color w:val="000000" w:themeColor="text1"/>
          <w:sz w:val="24"/>
          <w:szCs w:val="24"/>
        </w:rPr>
        <w:t xml:space="preserve"> It contends that these proceedings are a nullity as a result.</w:t>
      </w:r>
      <w:r w:rsidRPr="007F6548">
        <w:rPr>
          <w:rStyle w:val="apple-converted-space"/>
          <w:rFonts w:ascii="Arial" w:hAnsi="Arial" w:cs="Arial"/>
          <w:color w:val="000000" w:themeColor="text1"/>
          <w:sz w:val="24"/>
          <w:szCs w:val="24"/>
        </w:rPr>
        <w:t> </w:t>
      </w:r>
      <w:r w:rsidR="00BD493F" w:rsidRPr="007F6548">
        <w:rPr>
          <w:rFonts w:ascii="Arial" w:hAnsi="Arial" w:cs="Arial"/>
          <w:color w:val="000000" w:themeColor="text1"/>
          <w:sz w:val="24"/>
          <w:szCs w:val="24"/>
        </w:rPr>
        <w:t xml:space="preserve"> </w:t>
      </w:r>
      <w:r w:rsidRPr="007F6548">
        <w:rPr>
          <w:rStyle w:val="s2"/>
          <w:rFonts w:ascii="Arial" w:hAnsi="Arial" w:cs="Arial"/>
          <w:color w:val="000000" w:themeColor="text1"/>
          <w:sz w:val="24"/>
          <w:szCs w:val="24"/>
        </w:rPr>
        <w:t xml:space="preserve">It </w:t>
      </w:r>
      <w:r w:rsidR="00BD493F" w:rsidRPr="007F6548">
        <w:rPr>
          <w:rStyle w:val="s2"/>
          <w:rFonts w:ascii="Arial" w:hAnsi="Arial" w:cs="Arial"/>
          <w:color w:val="000000" w:themeColor="text1"/>
          <w:sz w:val="24"/>
          <w:szCs w:val="24"/>
        </w:rPr>
        <w:t xml:space="preserve">further </w:t>
      </w:r>
      <w:r w:rsidRPr="007F6548">
        <w:rPr>
          <w:rStyle w:val="s2"/>
          <w:rFonts w:ascii="Arial" w:hAnsi="Arial" w:cs="Arial"/>
          <w:color w:val="000000" w:themeColor="text1"/>
          <w:sz w:val="24"/>
          <w:szCs w:val="24"/>
        </w:rPr>
        <w:t xml:space="preserve">contends that in any event, it has not received any income. </w:t>
      </w:r>
    </w:p>
    <w:p w14:paraId="7384E255" w14:textId="77777777" w:rsidR="00101860" w:rsidRPr="007F6548" w:rsidRDefault="00101860" w:rsidP="00035BD2">
      <w:pPr>
        <w:pStyle w:val="p3"/>
        <w:spacing w:line="360" w:lineRule="auto"/>
        <w:jc w:val="both"/>
        <w:rPr>
          <w:rStyle w:val="s2"/>
          <w:rFonts w:ascii="Arial" w:hAnsi="Arial" w:cs="Arial"/>
          <w:color w:val="000000" w:themeColor="text1"/>
          <w:sz w:val="24"/>
          <w:szCs w:val="24"/>
        </w:rPr>
      </w:pPr>
    </w:p>
    <w:p w14:paraId="0BB98C45" w14:textId="6998CCF3" w:rsidR="008568A3" w:rsidRPr="007F6548" w:rsidRDefault="00101860" w:rsidP="005F05B8">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2</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r>
      <w:r w:rsidR="005E4C78" w:rsidRPr="007F6548">
        <w:rPr>
          <w:rStyle w:val="s2"/>
          <w:rFonts w:ascii="Arial" w:hAnsi="Arial" w:cs="Arial"/>
          <w:color w:val="000000" w:themeColor="text1"/>
          <w:sz w:val="24"/>
          <w:szCs w:val="24"/>
        </w:rPr>
        <w:t>T</w:t>
      </w:r>
      <w:r w:rsidR="008568A3" w:rsidRPr="007F6548">
        <w:rPr>
          <w:rStyle w:val="s2"/>
          <w:rFonts w:ascii="Arial" w:hAnsi="Arial" w:cs="Arial"/>
          <w:color w:val="000000" w:themeColor="text1"/>
          <w:sz w:val="24"/>
          <w:szCs w:val="24"/>
        </w:rPr>
        <w:t xml:space="preserve">he deponent </w:t>
      </w:r>
      <w:r w:rsidR="007C6755" w:rsidRPr="007F6548">
        <w:rPr>
          <w:rStyle w:val="s2"/>
          <w:rFonts w:ascii="Arial" w:hAnsi="Arial" w:cs="Arial"/>
          <w:color w:val="000000" w:themeColor="text1"/>
          <w:sz w:val="24"/>
          <w:szCs w:val="24"/>
        </w:rPr>
        <w:t xml:space="preserve">to </w:t>
      </w:r>
      <w:r w:rsidR="006913B0" w:rsidRPr="007F6548">
        <w:rPr>
          <w:rStyle w:val="s2"/>
          <w:rFonts w:ascii="Arial" w:hAnsi="Arial" w:cs="Arial"/>
          <w:color w:val="000000" w:themeColor="text1"/>
          <w:sz w:val="24"/>
          <w:szCs w:val="24"/>
        </w:rPr>
        <w:t xml:space="preserve">Conservatives in Action’s </w:t>
      </w:r>
      <w:r w:rsidR="007C6755" w:rsidRPr="007F6548">
        <w:rPr>
          <w:rStyle w:val="s2"/>
          <w:rFonts w:ascii="Arial" w:hAnsi="Arial" w:cs="Arial"/>
          <w:color w:val="000000" w:themeColor="text1"/>
          <w:sz w:val="24"/>
          <w:szCs w:val="24"/>
        </w:rPr>
        <w:t xml:space="preserve">affidavit </w:t>
      </w:r>
      <w:r w:rsidR="008568A3" w:rsidRPr="007F6548">
        <w:rPr>
          <w:rStyle w:val="s2"/>
          <w:rFonts w:ascii="Arial" w:hAnsi="Arial" w:cs="Arial"/>
          <w:color w:val="000000" w:themeColor="text1"/>
          <w:sz w:val="24"/>
          <w:szCs w:val="24"/>
        </w:rPr>
        <w:t>contradicts himself by stat</w:t>
      </w:r>
      <w:r w:rsidR="006913B0" w:rsidRPr="007F6548">
        <w:rPr>
          <w:rStyle w:val="s2"/>
          <w:rFonts w:ascii="Arial" w:hAnsi="Arial" w:cs="Arial"/>
          <w:color w:val="000000" w:themeColor="text1"/>
          <w:sz w:val="24"/>
          <w:szCs w:val="24"/>
        </w:rPr>
        <w:t xml:space="preserve">ing </w:t>
      </w:r>
      <w:r w:rsidR="008568A3" w:rsidRPr="007F6548">
        <w:rPr>
          <w:rStyle w:val="s2"/>
          <w:rFonts w:ascii="Arial" w:hAnsi="Arial" w:cs="Arial"/>
          <w:color w:val="000000" w:themeColor="text1"/>
          <w:sz w:val="24"/>
          <w:szCs w:val="24"/>
        </w:rPr>
        <w:t>that its former chairman fund</w:t>
      </w:r>
      <w:r w:rsidR="005F05B8" w:rsidRPr="007F6548">
        <w:rPr>
          <w:rStyle w:val="s2"/>
          <w:rFonts w:ascii="Arial" w:hAnsi="Arial" w:cs="Arial"/>
          <w:color w:val="000000" w:themeColor="text1"/>
          <w:sz w:val="24"/>
          <w:szCs w:val="24"/>
        </w:rPr>
        <w:t xml:space="preserve">ed </w:t>
      </w:r>
      <w:r w:rsidR="008568A3" w:rsidRPr="007F6548">
        <w:rPr>
          <w:rStyle w:val="s2"/>
          <w:rFonts w:ascii="Arial" w:hAnsi="Arial" w:cs="Arial"/>
          <w:color w:val="000000" w:themeColor="text1"/>
          <w:sz w:val="24"/>
          <w:szCs w:val="24"/>
        </w:rPr>
        <w:t>party expenses out of personal funds.</w:t>
      </w:r>
      <w:r w:rsidR="00394866">
        <w:rPr>
          <w:rStyle w:val="s2"/>
          <w:rFonts w:ascii="Arial" w:hAnsi="Arial" w:cs="Arial"/>
          <w:color w:val="000000" w:themeColor="text1"/>
          <w:sz w:val="24"/>
          <w:szCs w:val="24"/>
        </w:rPr>
        <w:t xml:space="preserve"> Therefore, the deposition that it has not received any income is incorrect.</w:t>
      </w:r>
      <w:r w:rsidR="008568A3" w:rsidRPr="007F6548">
        <w:rPr>
          <w:rStyle w:val="s2"/>
          <w:rFonts w:ascii="Arial" w:hAnsi="Arial" w:cs="Arial"/>
          <w:color w:val="000000" w:themeColor="text1"/>
          <w:sz w:val="24"/>
          <w:szCs w:val="24"/>
        </w:rPr>
        <w:t xml:space="preserve"> Th</w:t>
      </w:r>
      <w:r w:rsidR="00ED3B90">
        <w:rPr>
          <w:rStyle w:val="s2"/>
          <w:rFonts w:ascii="Arial" w:hAnsi="Arial" w:cs="Arial"/>
          <w:color w:val="000000" w:themeColor="text1"/>
          <w:sz w:val="24"/>
          <w:szCs w:val="24"/>
        </w:rPr>
        <w:t>e</w:t>
      </w:r>
      <w:r w:rsidR="008568A3" w:rsidRPr="007F6548">
        <w:rPr>
          <w:rStyle w:val="s2"/>
          <w:rFonts w:ascii="Arial" w:hAnsi="Arial" w:cs="Arial"/>
          <w:color w:val="000000" w:themeColor="text1"/>
          <w:sz w:val="24"/>
          <w:szCs w:val="24"/>
        </w:rPr>
        <w:t xml:space="preserve"> fund</w:t>
      </w:r>
      <w:r w:rsidR="00ED3B90">
        <w:rPr>
          <w:rStyle w:val="s2"/>
          <w:rFonts w:ascii="Arial" w:hAnsi="Arial" w:cs="Arial"/>
          <w:color w:val="000000" w:themeColor="text1"/>
          <w:sz w:val="24"/>
          <w:szCs w:val="24"/>
        </w:rPr>
        <w:t xml:space="preserve">s it received from its former chairman </w:t>
      </w:r>
      <w:r w:rsidR="008568A3" w:rsidRPr="007F6548">
        <w:rPr>
          <w:rStyle w:val="s2"/>
          <w:rFonts w:ascii="Arial" w:hAnsi="Arial" w:cs="Arial"/>
          <w:color w:val="000000" w:themeColor="text1"/>
          <w:sz w:val="24"/>
          <w:szCs w:val="24"/>
        </w:rPr>
        <w:t>fall within the ambit of s 8 and ought to have been declared</w:t>
      </w:r>
      <w:r w:rsidR="00C33417" w:rsidRPr="007F6548">
        <w:rPr>
          <w:rStyle w:val="s2"/>
          <w:rFonts w:ascii="Arial" w:hAnsi="Arial" w:cs="Arial"/>
          <w:color w:val="000000" w:themeColor="text1"/>
          <w:sz w:val="24"/>
          <w:szCs w:val="24"/>
        </w:rPr>
        <w:t xml:space="preserve"> and accounted for in terms of s 12 read with Regulation 10</w:t>
      </w:r>
      <w:r w:rsidR="008568A3" w:rsidRPr="007F6548">
        <w:rPr>
          <w:rStyle w:val="s2"/>
          <w:rFonts w:ascii="Arial" w:hAnsi="Arial" w:cs="Arial"/>
          <w:color w:val="000000" w:themeColor="text1"/>
          <w:sz w:val="24"/>
          <w:szCs w:val="24"/>
        </w:rPr>
        <w:t>.</w:t>
      </w:r>
      <w:r w:rsidR="005F05B8" w:rsidRPr="007F6548">
        <w:rPr>
          <w:rStyle w:val="s2"/>
          <w:rFonts w:ascii="Arial" w:hAnsi="Arial" w:cs="Arial"/>
          <w:color w:val="000000" w:themeColor="text1"/>
          <w:sz w:val="24"/>
          <w:szCs w:val="24"/>
        </w:rPr>
        <w:t xml:space="preserve"> </w:t>
      </w:r>
      <w:r w:rsidR="007A1804" w:rsidRPr="007F6548">
        <w:rPr>
          <w:rStyle w:val="s2"/>
          <w:rFonts w:ascii="Arial" w:hAnsi="Arial" w:cs="Arial"/>
          <w:color w:val="000000" w:themeColor="text1"/>
          <w:sz w:val="24"/>
          <w:szCs w:val="24"/>
        </w:rPr>
        <w:t>Conservatives in Action</w:t>
      </w:r>
      <w:r w:rsidR="008568A3" w:rsidRPr="007F6548">
        <w:rPr>
          <w:rStyle w:val="s2"/>
          <w:rFonts w:ascii="Arial" w:hAnsi="Arial" w:cs="Arial"/>
          <w:color w:val="000000" w:themeColor="text1"/>
          <w:sz w:val="24"/>
          <w:szCs w:val="24"/>
        </w:rPr>
        <w:t xml:space="preserve"> submitted to the </w:t>
      </w:r>
      <w:r w:rsidR="007A1804" w:rsidRPr="007F6548">
        <w:rPr>
          <w:rStyle w:val="s2"/>
          <w:rFonts w:ascii="Arial" w:hAnsi="Arial" w:cs="Arial"/>
          <w:color w:val="000000" w:themeColor="text1"/>
          <w:sz w:val="24"/>
          <w:szCs w:val="24"/>
        </w:rPr>
        <w:t>Commission</w:t>
      </w:r>
      <w:r w:rsidR="008568A3" w:rsidRPr="007F6548">
        <w:rPr>
          <w:rStyle w:val="s2"/>
          <w:rFonts w:ascii="Arial" w:hAnsi="Arial" w:cs="Arial"/>
          <w:color w:val="000000" w:themeColor="text1"/>
          <w:sz w:val="24"/>
          <w:szCs w:val="24"/>
        </w:rPr>
        <w:t xml:space="preserve"> a letter by its registered auditors dated 12 October 2023</w:t>
      </w:r>
      <w:r w:rsidR="007A1804" w:rsidRPr="007F6548">
        <w:rPr>
          <w:rStyle w:val="s2"/>
          <w:rFonts w:ascii="Arial" w:hAnsi="Arial" w:cs="Arial"/>
          <w:color w:val="000000" w:themeColor="text1"/>
          <w:sz w:val="24"/>
          <w:szCs w:val="24"/>
        </w:rPr>
        <w:t>,</w:t>
      </w:r>
      <w:r w:rsidR="008568A3" w:rsidRPr="007F6548">
        <w:rPr>
          <w:rStyle w:val="s2"/>
          <w:rFonts w:ascii="Arial" w:hAnsi="Arial" w:cs="Arial"/>
          <w:color w:val="000000" w:themeColor="text1"/>
          <w:sz w:val="24"/>
          <w:szCs w:val="24"/>
        </w:rPr>
        <w:t xml:space="preserve"> stating that it has not received any funding for the period until 23 September 2023. This letter is not supported by any AFS. The statement by its auditors is silent on compliance with s</w:t>
      </w:r>
      <w:r w:rsidR="00A06E82">
        <w:rPr>
          <w:rStyle w:val="s2"/>
          <w:rFonts w:ascii="Arial" w:hAnsi="Arial" w:cs="Arial"/>
          <w:color w:val="000000" w:themeColor="text1"/>
          <w:sz w:val="24"/>
          <w:szCs w:val="24"/>
        </w:rPr>
        <w:t>s</w:t>
      </w:r>
      <w:r w:rsidR="0082273B" w:rsidRPr="007F6548">
        <w:rPr>
          <w:rStyle w:val="s2"/>
          <w:rFonts w:ascii="Arial" w:hAnsi="Arial" w:cs="Arial"/>
          <w:color w:val="000000" w:themeColor="text1"/>
          <w:sz w:val="24"/>
          <w:szCs w:val="24"/>
        </w:rPr>
        <w:t xml:space="preserve"> 8</w:t>
      </w:r>
      <w:r w:rsidR="00A830C9" w:rsidRPr="007F6548">
        <w:rPr>
          <w:rStyle w:val="s2"/>
          <w:rFonts w:ascii="Arial" w:hAnsi="Arial" w:cs="Arial"/>
          <w:color w:val="000000" w:themeColor="text1"/>
          <w:sz w:val="24"/>
          <w:szCs w:val="24"/>
        </w:rPr>
        <w:t xml:space="preserve"> and</w:t>
      </w:r>
      <w:r w:rsidR="0082273B" w:rsidRPr="007F6548">
        <w:rPr>
          <w:rStyle w:val="s2"/>
          <w:rFonts w:ascii="Arial" w:hAnsi="Arial" w:cs="Arial"/>
          <w:color w:val="000000" w:themeColor="text1"/>
          <w:sz w:val="24"/>
          <w:szCs w:val="24"/>
        </w:rPr>
        <w:t xml:space="preserve"> 9</w:t>
      </w:r>
      <w:r w:rsidR="00A830C9" w:rsidRPr="007F6548">
        <w:rPr>
          <w:rStyle w:val="s2"/>
          <w:rFonts w:ascii="Arial" w:hAnsi="Arial" w:cs="Arial"/>
          <w:color w:val="000000" w:themeColor="text1"/>
          <w:sz w:val="24"/>
          <w:szCs w:val="24"/>
        </w:rPr>
        <w:t xml:space="preserve">. </w:t>
      </w:r>
      <w:r w:rsidR="008568A3" w:rsidRPr="007F6548">
        <w:rPr>
          <w:rStyle w:val="s2"/>
          <w:rFonts w:ascii="Arial" w:hAnsi="Arial" w:cs="Arial"/>
          <w:color w:val="000000" w:themeColor="text1"/>
          <w:sz w:val="24"/>
          <w:szCs w:val="24"/>
        </w:rPr>
        <w:t xml:space="preserve">To the extent that </w:t>
      </w:r>
      <w:r w:rsidR="00125EF3">
        <w:rPr>
          <w:rStyle w:val="s2"/>
          <w:rFonts w:ascii="Arial" w:hAnsi="Arial" w:cs="Arial"/>
          <w:color w:val="000000" w:themeColor="text1"/>
          <w:sz w:val="24"/>
          <w:szCs w:val="24"/>
        </w:rPr>
        <w:t xml:space="preserve">audit opinion </w:t>
      </w:r>
      <w:r w:rsidR="008568A3" w:rsidRPr="007F6548">
        <w:rPr>
          <w:rStyle w:val="s2"/>
          <w:rFonts w:ascii="Arial" w:hAnsi="Arial" w:cs="Arial"/>
          <w:color w:val="000000" w:themeColor="text1"/>
          <w:sz w:val="24"/>
          <w:szCs w:val="24"/>
        </w:rPr>
        <w:t xml:space="preserve">fails to state that </w:t>
      </w:r>
      <w:r w:rsidR="005333C2" w:rsidRPr="007F6548">
        <w:rPr>
          <w:rStyle w:val="s2"/>
          <w:rFonts w:ascii="Arial" w:hAnsi="Arial" w:cs="Arial"/>
          <w:color w:val="000000" w:themeColor="text1"/>
          <w:sz w:val="24"/>
          <w:szCs w:val="24"/>
        </w:rPr>
        <w:t>its</w:t>
      </w:r>
      <w:r w:rsidR="008568A3" w:rsidRPr="007F6548">
        <w:rPr>
          <w:rStyle w:val="s2"/>
          <w:rFonts w:ascii="Arial" w:hAnsi="Arial" w:cs="Arial"/>
          <w:color w:val="000000" w:themeColor="text1"/>
          <w:sz w:val="24"/>
          <w:szCs w:val="24"/>
        </w:rPr>
        <w:t xml:space="preserve"> </w:t>
      </w:r>
      <w:r w:rsidR="008568A3" w:rsidRPr="007F6548">
        <w:rPr>
          <w:rStyle w:val="s2"/>
          <w:rFonts w:ascii="Arial" w:hAnsi="Arial" w:cs="Arial"/>
          <w:color w:val="000000" w:themeColor="text1"/>
          <w:sz w:val="24"/>
          <w:szCs w:val="24"/>
        </w:rPr>
        <w:lastRenderedPageBreak/>
        <w:t>former chairman funded the party</w:t>
      </w:r>
      <w:r w:rsidR="00D23F07">
        <w:rPr>
          <w:rStyle w:val="s2"/>
          <w:rFonts w:ascii="Arial" w:hAnsi="Arial" w:cs="Arial"/>
          <w:color w:val="000000" w:themeColor="text1"/>
          <w:sz w:val="24"/>
          <w:szCs w:val="24"/>
        </w:rPr>
        <w:t xml:space="preserve">, </w:t>
      </w:r>
      <w:r w:rsidR="00835815" w:rsidRPr="007F6548">
        <w:rPr>
          <w:rStyle w:val="s2"/>
          <w:rFonts w:ascii="Arial" w:hAnsi="Arial" w:cs="Arial"/>
          <w:color w:val="000000" w:themeColor="text1"/>
          <w:sz w:val="24"/>
          <w:szCs w:val="24"/>
        </w:rPr>
        <w:t xml:space="preserve">the audit opinion also fails to comply with the applicable statutory and obligatory obligations.  </w:t>
      </w:r>
    </w:p>
    <w:p w14:paraId="6846FCA5" w14:textId="77777777" w:rsidR="008568A3" w:rsidRPr="007F6548" w:rsidRDefault="008568A3" w:rsidP="00035BD2">
      <w:pPr>
        <w:pStyle w:val="p2"/>
        <w:spacing w:line="360" w:lineRule="auto"/>
        <w:jc w:val="both"/>
        <w:rPr>
          <w:rFonts w:ascii="Arial" w:hAnsi="Arial" w:cs="Arial"/>
          <w:color w:val="000000" w:themeColor="text1"/>
          <w:sz w:val="24"/>
          <w:szCs w:val="24"/>
        </w:rPr>
      </w:pPr>
    </w:p>
    <w:p w14:paraId="06572E05" w14:textId="25FB7B39" w:rsidR="008568A3" w:rsidRDefault="00D43AB8" w:rsidP="00035BD2">
      <w:pPr>
        <w:pStyle w:val="p3"/>
        <w:spacing w:line="360" w:lineRule="auto"/>
        <w:jc w:val="both"/>
        <w:rPr>
          <w:rStyle w:val="s2"/>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3</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t>Conservatives in Action’s</w:t>
      </w:r>
      <w:r w:rsidR="008568A3" w:rsidRPr="007F6548">
        <w:rPr>
          <w:rStyle w:val="s2"/>
          <w:rFonts w:ascii="Arial" w:hAnsi="Arial" w:cs="Arial"/>
          <w:color w:val="000000" w:themeColor="text1"/>
          <w:sz w:val="24"/>
          <w:szCs w:val="24"/>
        </w:rPr>
        <w:t xml:space="preserve"> point in </w:t>
      </w:r>
      <w:r w:rsidR="008568A3" w:rsidRPr="007F6548">
        <w:rPr>
          <w:rStyle w:val="s2"/>
          <w:rFonts w:ascii="Arial" w:hAnsi="Arial" w:cs="Arial"/>
          <w:i/>
          <w:iCs/>
          <w:color w:val="000000" w:themeColor="text1"/>
          <w:sz w:val="24"/>
          <w:szCs w:val="24"/>
        </w:rPr>
        <w:t>limine</w:t>
      </w:r>
      <w:r w:rsidR="008568A3" w:rsidRPr="007F6548">
        <w:rPr>
          <w:rStyle w:val="s2"/>
          <w:rFonts w:ascii="Arial" w:hAnsi="Arial" w:cs="Arial"/>
          <w:color w:val="000000" w:themeColor="text1"/>
          <w:sz w:val="24"/>
          <w:szCs w:val="24"/>
        </w:rPr>
        <w:t xml:space="preserve"> lacks merit. The fact that this respondent has since been deregistered is of no moment. Subsequent deregist</w:t>
      </w:r>
      <w:r w:rsidR="00A06E82">
        <w:rPr>
          <w:rStyle w:val="s2"/>
          <w:rFonts w:ascii="Arial" w:hAnsi="Arial" w:cs="Arial"/>
          <w:color w:val="000000" w:themeColor="text1"/>
          <w:sz w:val="24"/>
          <w:szCs w:val="24"/>
        </w:rPr>
        <w:t>ration</w:t>
      </w:r>
      <w:r w:rsidR="008568A3" w:rsidRPr="007F6548">
        <w:rPr>
          <w:rStyle w:val="s2"/>
          <w:rFonts w:ascii="Arial" w:hAnsi="Arial" w:cs="Arial"/>
          <w:color w:val="000000" w:themeColor="text1"/>
          <w:sz w:val="24"/>
          <w:szCs w:val="24"/>
        </w:rPr>
        <w:t xml:space="preserve"> does not absolve a party from </w:t>
      </w:r>
      <w:r w:rsidR="00E744B2" w:rsidRPr="007F6548">
        <w:rPr>
          <w:rStyle w:val="s2"/>
          <w:rFonts w:ascii="Arial" w:hAnsi="Arial" w:cs="Arial"/>
          <w:color w:val="000000" w:themeColor="text1"/>
          <w:sz w:val="24"/>
          <w:szCs w:val="24"/>
        </w:rPr>
        <w:t xml:space="preserve">not complying with </w:t>
      </w:r>
      <w:r w:rsidR="008568A3" w:rsidRPr="007F6548">
        <w:rPr>
          <w:rStyle w:val="s2"/>
          <w:rFonts w:ascii="Arial" w:hAnsi="Arial" w:cs="Arial"/>
          <w:color w:val="000000" w:themeColor="text1"/>
          <w:sz w:val="24"/>
          <w:szCs w:val="24"/>
        </w:rPr>
        <w:t>its obligations under the Funding Act.</w:t>
      </w:r>
    </w:p>
    <w:p w14:paraId="6A8420C7" w14:textId="77777777" w:rsidR="0042682D" w:rsidRPr="007F6548" w:rsidRDefault="0042682D" w:rsidP="00035BD2">
      <w:pPr>
        <w:pStyle w:val="p3"/>
        <w:spacing w:line="360" w:lineRule="auto"/>
        <w:jc w:val="both"/>
        <w:rPr>
          <w:rFonts w:ascii="Arial" w:hAnsi="Arial" w:cs="Arial"/>
          <w:color w:val="000000" w:themeColor="text1"/>
          <w:sz w:val="24"/>
          <w:szCs w:val="24"/>
        </w:rPr>
      </w:pPr>
    </w:p>
    <w:p w14:paraId="192DC022" w14:textId="3BB309CE" w:rsidR="008568A3" w:rsidRPr="007F6548" w:rsidRDefault="00281E3B" w:rsidP="00035BD2">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4</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r>
      <w:r w:rsidR="008568A3" w:rsidRPr="007F6548">
        <w:rPr>
          <w:rStyle w:val="s2"/>
          <w:rFonts w:ascii="Arial" w:hAnsi="Arial" w:cs="Arial"/>
          <w:color w:val="000000" w:themeColor="text1"/>
          <w:sz w:val="24"/>
          <w:szCs w:val="24"/>
        </w:rPr>
        <w:t xml:space="preserve">I am satisfied that the Commission has made out a proper case </w:t>
      </w:r>
      <w:r w:rsidR="0042682D">
        <w:rPr>
          <w:rStyle w:val="s2"/>
          <w:rFonts w:ascii="Arial" w:hAnsi="Arial" w:cs="Arial"/>
          <w:color w:val="000000" w:themeColor="text1"/>
          <w:sz w:val="24"/>
          <w:szCs w:val="24"/>
        </w:rPr>
        <w:t>that this respondent filed to comply with its obligations in terms of s 12 read with Regulation 10.</w:t>
      </w:r>
    </w:p>
    <w:p w14:paraId="0B30A109" w14:textId="77777777" w:rsidR="008568A3" w:rsidRPr="007F6548" w:rsidRDefault="008568A3" w:rsidP="00035BD2">
      <w:pPr>
        <w:pStyle w:val="p2"/>
        <w:spacing w:line="360" w:lineRule="auto"/>
        <w:jc w:val="both"/>
        <w:rPr>
          <w:rFonts w:ascii="Arial" w:hAnsi="Arial" w:cs="Arial"/>
          <w:color w:val="000000" w:themeColor="text1"/>
          <w:sz w:val="24"/>
          <w:szCs w:val="24"/>
        </w:rPr>
      </w:pPr>
    </w:p>
    <w:p w14:paraId="639E9116" w14:textId="662F2163" w:rsidR="008568A3" w:rsidRPr="00521F01" w:rsidRDefault="00281E3B" w:rsidP="00035BD2">
      <w:pPr>
        <w:pStyle w:val="p3"/>
        <w:spacing w:line="360" w:lineRule="auto"/>
        <w:jc w:val="both"/>
        <w:rPr>
          <w:rFonts w:ascii="Arial" w:hAnsi="Arial" w:cs="Arial"/>
          <w:i/>
          <w:iCs/>
          <w:color w:val="000000" w:themeColor="text1"/>
          <w:sz w:val="24"/>
          <w:szCs w:val="24"/>
        </w:rPr>
      </w:pPr>
      <w:r w:rsidRPr="00521F01">
        <w:rPr>
          <w:rStyle w:val="s2"/>
          <w:rFonts w:ascii="Arial" w:hAnsi="Arial" w:cs="Arial"/>
          <w:i/>
          <w:iCs/>
          <w:color w:val="000000" w:themeColor="text1"/>
          <w:sz w:val="24"/>
          <w:szCs w:val="24"/>
        </w:rPr>
        <w:t>Democratic People’s Movement - 352nd Respondent</w:t>
      </w:r>
    </w:p>
    <w:p w14:paraId="5076401F" w14:textId="5E8C0458" w:rsidR="008568A3" w:rsidRPr="007F6548" w:rsidRDefault="00281E3B" w:rsidP="00035BD2">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5</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r>
      <w:r w:rsidR="008568A3" w:rsidRPr="007F6548">
        <w:rPr>
          <w:rStyle w:val="s2"/>
          <w:rFonts w:ascii="Arial" w:hAnsi="Arial" w:cs="Arial"/>
          <w:color w:val="000000" w:themeColor="text1"/>
          <w:sz w:val="24"/>
          <w:szCs w:val="24"/>
        </w:rPr>
        <w:t xml:space="preserve">This party is cited as “The People’s Movement”. Its registered name is Democratic People’s </w:t>
      </w:r>
      <w:r w:rsidR="00BD3C78">
        <w:rPr>
          <w:rStyle w:val="s2"/>
          <w:rFonts w:ascii="Arial" w:hAnsi="Arial" w:cs="Arial"/>
          <w:color w:val="000000" w:themeColor="text1"/>
          <w:sz w:val="24"/>
          <w:szCs w:val="24"/>
        </w:rPr>
        <w:t>M</w:t>
      </w:r>
      <w:r w:rsidR="008568A3" w:rsidRPr="007F6548">
        <w:rPr>
          <w:rStyle w:val="s2"/>
          <w:rFonts w:ascii="Arial" w:hAnsi="Arial" w:cs="Arial"/>
          <w:color w:val="000000" w:themeColor="text1"/>
          <w:sz w:val="24"/>
          <w:szCs w:val="24"/>
        </w:rPr>
        <w:t xml:space="preserve">ovement. It has </w:t>
      </w:r>
      <w:r w:rsidR="00C95630" w:rsidRPr="007F6548">
        <w:rPr>
          <w:rStyle w:val="s2"/>
          <w:rFonts w:ascii="Arial" w:hAnsi="Arial" w:cs="Arial"/>
          <w:color w:val="000000" w:themeColor="text1"/>
          <w:sz w:val="24"/>
          <w:szCs w:val="24"/>
        </w:rPr>
        <w:t xml:space="preserve">also </w:t>
      </w:r>
      <w:r w:rsidR="008568A3" w:rsidRPr="007F6548">
        <w:rPr>
          <w:rStyle w:val="s2"/>
          <w:rFonts w:ascii="Arial" w:hAnsi="Arial" w:cs="Arial"/>
          <w:color w:val="000000" w:themeColor="text1"/>
          <w:sz w:val="24"/>
          <w:szCs w:val="24"/>
        </w:rPr>
        <w:t>since been deregistered.</w:t>
      </w:r>
    </w:p>
    <w:p w14:paraId="0288954D" w14:textId="77777777" w:rsidR="00D5324C" w:rsidRPr="007F6548" w:rsidRDefault="00D5324C" w:rsidP="00035BD2">
      <w:pPr>
        <w:pStyle w:val="p3"/>
        <w:spacing w:line="360" w:lineRule="auto"/>
        <w:jc w:val="both"/>
        <w:rPr>
          <w:rStyle w:val="s2"/>
          <w:rFonts w:ascii="Arial" w:hAnsi="Arial" w:cs="Arial"/>
          <w:color w:val="000000" w:themeColor="text1"/>
          <w:sz w:val="24"/>
          <w:szCs w:val="24"/>
        </w:rPr>
      </w:pPr>
    </w:p>
    <w:p w14:paraId="528B4937" w14:textId="3C8F7C03" w:rsidR="00C86FC6" w:rsidRPr="007F6548" w:rsidRDefault="00281E3B" w:rsidP="00035BD2">
      <w:pPr>
        <w:pStyle w:val="p3"/>
        <w:spacing w:line="360" w:lineRule="auto"/>
        <w:jc w:val="both"/>
        <w:rPr>
          <w:rStyle w:val="apple-converted-space"/>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6</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r>
      <w:r w:rsidR="008568A3" w:rsidRPr="007F6548">
        <w:rPr>
          <w:rStyle w:val="s2"/>
          <w:rFonts w:ascii="Arial" w:hAnsi="Arial" w:cs="Arial"/>
          <w:color w:val="000000" w:themeColor="text1"/>
          <w:sz w:val="24"/>
          <w:szCs w:val="24"/>
        </w:rPr>
        <w:t xml:space="preserve">Its former chairman takes issue with its incorrect citation. </w:t>
      </w:r>
      <w:r w:rsidR="003128F4" w:rsidRPr="007F6548">
        <w:rPr>
          <w:rStyle w:val="s2"/>
          <w:rFonts w:ascii="Arial" w:hAnsi="Arial" w:cs="Arial"/>
          <w:color w:val="000000" w:themeColor="text1"/>
          <w:sz w:val="24"/>
          <w:szCs w:val="24"/>
        </w:rPr>
        <w:t xml:space="preserve">From the papers filed, this respondent does not dispute that the applicants’ </w:t>
      </w:r>
      <w:r w:rsidR="008568A3" w:rsidRPr="007F6548">
        <w:rPr>
          <w:rStyle w:val="s2"/>
          <w:rFonts w:ascii="Arial" w:hAnsi="Arial" w:cs="Arial"/>
          <w:color w:val="000000" w:themeColor="text1"/>
          <w:sz w:val="24"/>
          <w:szCs w:val="24"/>
        </w:rPr>
        <w:t>allegation</w:t>
      </w:r>
      <w:r w:rsidR="00D769BE" w:rsidRPr="007F6548">
        <w:rPr>
          <w:rStyle w:val="s2"/>
          <w:rFonts w:ascii="Arial" w:hAnsi="Arial" w:cs="Arial"/>
          <w:color w:val="000000" w:themeColor="text1"/>
          <w:sz w:val="24"/>
          <w:szCs w:val="24"/>
        </w:rPr>
        <w:t>s</w:t>
      </w:r>
      <w:r w:rsidR="008568A3" w:rsidRPr="007F6548">
        <w:rPr>
          <w:rStyle w:val="s2"/>
          <w:rFonts w:ascii="Arial" w:hAnsi="Arial" w:cs="Arial"/>
          <w:color w:val="000000" w:themeColor="text1"/>
          <w:sz w:val="24"/>
          <w:szCs w:val="24"/>
        </w:rPr>
        <w:t xml:space="preserve"> relate to the </w:t>
      </w:r>
      <w:r w:rsidR="00BD3C78" w:rsidRPr="007F6548">
        <w:rPr>
          <w:rStyle w:val="s2"/>
          <w:rFonts w:ascii="Arial" w:hAnsi="Arial" w:cs="Arial"/>
          <w:color w:val="000000" w:themeColor="text1"/>
          <w:sz w:val="24"/>
          <w:szCs w:val="24"/>
        </w:rPr>
        <w:t xml:space="preserve">Democratic People’s </w:t>
      </w:r>
      <w:r w:rsidR="00BD3C78">
        <w:rPr>
          <w:rStyle w:val="s2"/>
          <w:rFonts w:ascii="Arial" w:hAnsi="Arial" w:cs="Arial"/>
          <w:color w:val="000000" w:themeColor="text1"/>
          <w:sz w:val="24"/>
          <w:szCs w:val="24"/>
        </w:rPr>
        <w:t>M</w:t>
      </w:r>
      <w:r w:rsidR="00BD3C78" w:rsidRPr="007F6548">
        <w:rPr>
          <w:rStyle w:val="s2"/>
          <w:rFonts w:ascii="Arial" w:hAnsi="Arial" w:cs="Arial"/>
          <w:color w:val="000000" w:themeColor="text1"/>
          <w:sz w:val="24"/>
          <w:szCs w:val="24"/>
        </w:rPr>
        <w:t>ovement</w:t>
      </w:r>
      <w:r w:rsidR="008568A3" w:rsidRPr="007F6548">
        <w:rPr>
          <w:rStyle w:val="s2"/>
          <w:rFonts w:ascii="Arial" w:hAnsi="Arial" w:cs="Arial"/>
          <w:color w:val="000000" w:themeColor="text1"/>
          <w:sz w:val="24"/>
          <w:szCs w:val="24"/>
        </w:rPr>
        <w:t xml:space="preserve">. </w:t>
      </w:r>
      <w:r w:rsidR="00AC3DFF" w:rsidRPr="007F6548">
        <w:rPr>
          <w:rStyle w:val="s2"/>
          <w:rFonts w:ascii="Arial" w:hAnsi="Arial" w:cs="Arial"/>
          <w:color w:val="000000" w:themeColor="text1"/>
          <w:sz w:val="24"/>
          <w:szCs w:val="24"/>
        </w:rPr>
        <w:t>Its</w:t>
      </w:r>
      <w:r w:rsidR="008568A3" w:rsidRPr="007F6548">
        <w:rPr>
          <w:rStyle w:val="s2"/>
          <w:rFonts w:ascii="Arial" w:hAnsi="Arial" w:cs="Arial"/>
          <w:color w:val="000000" w:themeColor="text1"/>
          <w:sz w:val="24"/>
          <w:szCs w:val="24"/>
        </w:rPr>
        <w:t xml:space="preserve"> former chairman has received the application and answered to it. No prejudice lies against this respondent from the fact that it is incorrectly cited.</w:t>
      </w:r>
    </w:p>
    <w:p w14:paraId="2EDFD1B2" w14:textId="77777777" w:rsidR="00C86FC6" w:rsidRPr="007F6548" w:rsidRDefault="00C86FC6" w:rsidP="00035BD2">
      <w:pPr>
        <w:pStyle w:val="p3"/>
        <w:spacing w:line="360" w:lineRule="auto"/>
        <w:jc w:val="both"/>
        <w:rPr>
          <w:rStyle w:val="apple-converted-space"/>
          <w:rFonts w:ascii="Arial" w:hAnsi="Arial" w:cs="Arial"/>
          <w:color w:val="000000" w:themeColor="text1"/>
          <w:sz w:val="24"/>
          <w:szCs w:val="24"/>
        </w:rPr>
      </w:pPr>
    </w:p>
    <w:p w14:paraId="30EF85BC" w14:textId="4A9BCAA5" w:rsidR="008568A3" w:rsidRPr="007F6548" w:rsidRDefault="00C86FC6" w:rsidP="00035BD2">
      <w:pPr>
        <w:pStyle w:val="p3"/>
        <w:spacing w:line="360" w:lineRule="auto"/>
        <w:jc w:val="both"/>
        <w:rPr>
          <w:rFonts w:ascii="Arial" w:hAnsi="Arial" w:cs="Arial"/>
          <w:color w:val="000000" w:themeColor="text1"/>
          <w:sz w:val="24"/>
          <w:szCs w:val="24"/>
        </w:rPr>
      </w:pPr>
      <w:r w:rsidRPr="007F6548">
        <w:rPr>
          <w:rStyle w:val="apple-converted-space"/>
          <w:rFonts w:ascii="Arial" w:hAnsi="Arial" w:cs="Arial"/>
          <w:color w:val="000000" w:themeColor="text1"/>
          <w:sz w:val="24"/>
          <w:szCs w:val="24"/>
        </w:rPr>
        <w:t>[</w:t>
      </w:r>
      <w:r w:rsidR="0042682D">
        <w:rPr>
          <w:rStyle w:val="apple-converted-space"/>
          <w:rFonts w:ascii="Arial" w:hAnsi="Arial" w:cs="Arial"/>
          <w:color w:val="000000" w:themeColor="text1"/>
          <w:sz w:val="24"/>
          <w:szCs w:val="24"/>
        </w:rPr>
        <w:t>4</w:t>
      </w:r>
      <w:r w:rsidR="000172EE">
        <w:rPr>
          <w:rStyle w:val="apple-converted-space"/>
          <w:rFonts w:ascii="Arial" w:hAnsi="Arial" w:cs="Arial"/>
          <w:color w:val="000000" w:themeColor="text1"/>
          <w:sz w:val="24"/>
          <w:szCs w:val="24"/>
        </w:rPr>
        <w:t>7</w:t>
      </w:r>
      <w:r w:rsidR="00052849" w:rsidRPr="007F6548">
        <w:rPr>
          <w:rStyle w:val="apple-converted-space"/>
          <w:rFonts w:ascii="Arial" w:hAnsi="Arial" w:cs="Arial"/>
          <w:color w:val="000000" w:themeColor="text1"/>
          <w:sz w:val="24"/>
          <w:szCs w:val="24"/>
        </w:rPr>
        <w:t>]</w:t>
      </w:r>
      <w:r w:rsidRPr="007F6548">
        <w:rPr>
          <w:rStyle w:val="apple-converted-space"/>
          <w:rFonts w:ascii="Arial" w:hAnsi="Arial" w:cs="Arial"/>
          <w:color w:val="000000" w:themeColor="text1"/>
          <w:sz w:val="24"/>
          <w:szCs w:val="24"/>
        </w:rPr>
        <w:t xml:space="preserve"> </w:t>
      </w:r>
      <w:r w:rsidR="00052849" w:rsidRPr="007F6548">
        <w:rPr>
          <w:rStyle w:val="apple-converted-space"/>
          <w:rFonts w:ascii="Arial" w:hAnsi="Arial" w:cs="Arial"/>
          <w:color w:val="000000" w:themeColor="text1"/>
          <w:sz w:val="24"/>
          <w:szCs w:val="24"/>
        </w:rPr>
        <w:tab/>
      </w:r>
      <w:r w:rsidRPr="007F6548">
        <w:rPr>
          <w:rStyle w:val="apple-converted-space"/>
          <w:rFonts w:ascii="Arial" w:hAnsi="Arial" w:cs="Arial"/>
          <w:color w:val="000000" w:themeColor="text1"/>
          <w:sz w:val="24"/>
          <w:szCs w:val="24"/>
        </w:rPr>
        <w:t>This respondent alleges that i</w:t>
      </w:r>
      <w:r w:rsidR="008568A3" w:rsidRPr="007F6548">
        <w:rPr>
          <w:rStyle w:val="s2"/>
          <w:rFonts w:ascii="Arial" w:hAnsi="Arial" w:cs="Arial"/>
          <w:color w:val="000000" w:themeColor="text1"/>
          <w:sz w:val="24"/>
          <w:szCs w:val="24"/>
        </w:rPr>
        <w:t xml:space="preserve">t received funding from </w:t>
      </w:r>
      <w:r w:rsidRPr="007F6548">
        <w:rPr>
          <w:rStyle w:val="s2"/>
          <w:rFonts w:ascii="Arial" w:hAnsi="Arial" w:cs="Arial"/>
          <w:color w:val="000000" w:themeColor="text1"/>
          <w:sz w:val="24"/>
          <w:szCs w:val="24"/>
        </w:rPr>
        <w:t>its former</w:t>
      </w:r>
      <w:r w:rsidR="008568A3" w:rsidRPr="007F6548">
        <w:rPr>
          <w:rStyle w:val="s2"/>
          <w:rFonts w:ascii="Arial" w:hAnsi="Arial" w:cs="Arial"/>
          <w:color w:val="000000" w:themeColor="text1"/>
          <w:sz w:val="24"/>
          <w:szCs w:val="24"/>
        </w:rPr>
        <w:t xml:space="preserve"> chairman and members who were on the party list for the 2021 local government elections.</w:t>
      </w:r>
      <w:r w:rsidRPr="007F6548">
        <w:rPr>
          <w:rStyle w:val="s2"/>
          <w:rFonts w:ascii="Arial" w:hAnsi="Arial" w:cs="Arial"/>
          <w:color w:val="000000" w:themeColor="text1"/>
          <w:sz w:val="24"/>
          <w:szCs w:val="24"/>
        </w:rPr>
        <w:t xml:space="preserve"> For convenience, I simply refer to these members as “members”.</w:t>
      </w:r>
      <w:r w:rsidR="008568A3" w:rsidRPr="007F6548">
        <w:rPr>
          <w:rStyle w:val="apple-converted-space"/>
          <w:rFonts w:ascii="Arial" w:hAnsi="Arial" w:cs="Arial"/>
          <w:color w:val="000000" w:themeColor="text1"/>
          <w:sz w:val="24"/>
          <w:szCs w:val="24"/>
        </w:rPr>
        <w:t> </w:t>
      </w:r>
      <w:r w:rsidR="008568A3" w:rsidRPr="007F6548">
        <w:rPr>
          <w:rStyle w:val="s2"/>
          <w:rFonts w:ascii="Arial" w:hAnsi="Arial" w:cs="Arial"/>
          <w:color w:val="000000" w:themeColor="text1"/>
          <w:sz w:val="24"/>
          <w:szCs w:val="24"/>
        </w:rPr>
        <w:t xml:space="preserve">On 20 September 2022, the former chairman submitted her personal bank statements to the Commission together with a letter from the auditor to comply with the requirements of s </w:t>
      </w:r>
      <w:r w:rsidR="00751C19" w:rsidRPr="007F6548">
        <w:rPr>
          <w:rStyle w:val="s2"/>
          <w:rFonts w:ascii="Arial" w:hAnsi="Arial" w:cs="Arial"/>
          <w:color w:val="000000" w:themeColor="text1"/>
          <w:sz w:val="24"/>
          <w:szCs w:val="24"/>
        </w:rPr>
        <w:t>12.</w:t>
      </w:r>
      <w:r w:rsidR="00751C19" w:rsidRPr="007F6548">
        <w:rPr>
          <w:rStyle w:val="apple-converted-space"/>
          <w:rFonts w:ascii="Arial" w:hAnsi="Arial" w:cs="Arial"/>
          <w:color w:val="000000" w:themeColor="text1"/>
          <w:sz w:val="24"/>
          <w:szCs w:val="24"/>
        </w:rPr>
        <w:t xml:space="preserve"> No</w:t>
      </w:r>
      <w:r w:rsidR="00963A18" w:rsidRPr="007F6548">
        <w:rPr>
          <w:rStyle w:val="apple-converted-space"/>
          <w:rFonts w:ascii="Arial" w:hAnsi="Arial" w:cs="Arial"/>
          <w:color w:val="000000" w:themeColor="text1"/>
          <w:sz w:val="24"/>
          <w:szCs w:val="24"/>
        </w:rPr>
        <w:t xml:space="preserve"> financial statements were submitted.</w:t>
      </w:r>
    </w:p>
    <w:p w14:paraId="6FEA4586" w14:textId="77777777" w:rsidR="008568A3" w:rsidRPr="007F6548" w:rsidRDefault="008568A3" w:rsidP="00035BD2">
      <w:pPr>
        <w:pStyle w:val="p2"/>
        <w:spacing w:line="360" w:lineRule="auto"/>
        <w:jc w:val="both"/>
        <w:rPr>
          <w:rFonts w:ascii="Arial" w:hAnsi="Arial" w:cs="Arial"/>
          <w:color w:val="000000" w:themeColor="text1"/>
          <w:sz w:val="24"/>
          <w:szCs w:val="24"/>
        </w:rPr>
      </w:pPr>
    </w:p>
    <w:p w14:paraId="097A29C8" w14:textId="7DEFDFB5" w:rsidR="008568A3" w:rsidRPr="007F6548" w:rsidRDefault="00527727" w:rsidP="00035BD2">
      <w:pPr>
        <w:pStyle w:val="p3"/>
        <w:spacing w:line="360" w:lineRule="auto"/>
        <w:jc w:val="both"/>
        <w:rPr>
          <w:rStyle w:val="apple-converted-space"/>
          <w:rFonts w:ascii="Arial" w:hAnsi="Arial" w:cs="Arial"/>
          <w:color w:val="000000" w:themeColor="text1"/>
          <w:sz w:val="24"/>
          <w:szCs w:val="24"/>
        </w:rPr>
      </w:pPr>
      <w:r w:rsidRPr="007F6548">
        <w:rPr>
          <w:rStyle w:val="s2"/>
          <w:rFonts w:ascii="Arial" w:hAnsi="Arial" w:cs="Arial"/>
          <w:color w:val="000000" w:themeColor="text1"/>
          <w:sz w:val="24"/>
          <w:szCs w:val="24"/>
        </w:rPr>
        <w:t>[</w:t>
      </w:r>
      <w:r w:rsidR="0042682D">
        <w:rPr>
          <w:rStyle w:val="s2"/>
          <w:rFonts w:ascii="Arial" w:hAnsi="Arial" w:cs="Arial"/>
          <w:color w:val="000000" w:themeColor="text1"/>
          <w:sz w:val="24"/>
          <w:szCs w:val="24"/>
        </w:rPr>
        <w:t>4</w:t>
      </w:r>
      <w:r w:rsidR="000172EE">
        <w:rPr>
          <w:rStyle w:val="s2"/>
          <w:rFonts w:ascii="Arial" w:hAnsi="Arial" w:cs="Arial"/>
          <w:color w:val="000000" w:themeColor="text1"/>
          <w:sz w:val="24"/>
          <w:szCs w:val="24"/>
        </w:rPr>
        <w:t>8</w:t>
      </w:r>
      <w:r w:rsidR="005078AF" w:rsidRPr="007F6548">
        <w:rPr>
          <w:rStyle w:val="s2"/>
          <w:rFonts w:ascii="Arial" w:hAnsi="Arial" w:cs="Arial"/>
          <w:color w:val="000000" w:themeColor="text1"/>
          <w:sz w:val="24"/>
          <w:szCs w:val="24"/>
        </w:rPr>
        <w:t>]</w:t>
      </w:r>
      <w:r w:rsidR="005078AF" w:rsidRPr="007F6548">
        <w:rPr>
          <w:rStyle w:val="s2"/>
          <w:rFonts w:ascii="Arial" w:hAnsi="Arial" w:cs="Arial"/>
          <w:color w:val="000000" w:themeColor="text1"/>
          <w:sz w:val="24"/>
          <w:szCs w:val="24"/>
        </w:rPr>
        <w:tab/>
      </w:r>
      <w:r w:rsidR="008568A3" w:rsidRPr="007F6548">
        <w:rPr>
          <w:rStyle w:val="s2"/>
          <w:rFonts w:ascii="Arial" w:hAnsi="Arial" w:cs="Arial"/>
          <w:color w:val="000000" w:themeColor="text1"/>
          <w:sz w:val="24"/>
          <w:szCs w:val="24"/>
        </w:rPr>
        <w:t>The do</w:t>
      </w:r>
      <w:r w:rsidR="005078AF" w:rsidRPr="007F6548">
        <w:rPr>
          <w:rStyle w:val="s2"/>
          <w:rFonts w:ascii="Arial" w:hAnsi="Arial" w:cs="Arial"/>
          <w:color w:val="000000" w:themeColor="text1"/>
          <w:sz w:val="24"/>
          <w:szCs w:val="24"/>
        </w:rPr>
        <w:t>cuments this respondent submitted to the Commission do</w:t>
      </w:r>
      <w:r w:rsidR="008568A3" w:rsidRPr="007F6548">
        <w:rPr>
          <w:rStyle w:val="s2"/>
          <w:rFonts w:ascii="Arial" w:hAnsi="Arial" w:cs="Arial"/>
          <w:color w:val="000000" w:themeColor="text1"/>
          <w:sz w:val="24"/>
          <w:szCs w:val="24"/>
        </w:rPr>
        <w:t xml:space="preserve"> not constitute compliance with s 12 because </w:t>
      </w:r>
      <w:r w:rsidR="00F12FBC" w:rsidRPr="007F6548">
        <w:rPr>
          <w:rStyle w:val="s2"/>
          <w:rFonts w:ascii="Arial" w:hAnsi="Arial" w:cs="Arial"/>
          <w:color w:val="000000" w:themeColor="text1"/>
          <w:sz w:val="24"/>
          <w:szCs w:val="24"/>
        </w:rPr>
        <w:t xml:space="preserve">the former chairperson’s </w:t>
      </w:r>
      <w:r w:rsidR="006B021D" w:rsidRPr="007F6548">
        <w:rPr>
          <w:rStyle w:val="s2"/>
          <w:rFonts w:ascii="Arial" w:hAnsi="Arial" w:cs="Arial"/>
          <w:color w:val="000000" w:themeColor="text1"/>
          <w:sz w:val="24"/>
          <w:szCs w:val="24"/>
        </w:rPr>
        <w:t xml:space="preserve">personal </w:t>
      </w:r>
      <w:r w:rsidR="00F12FBC" w:rsidRPr="007F6548">
        <w:rPr>
          <w:rStyle w:val="s2"/>
          <w:rFonts w:ascii="Arial" w:hAnsi="Arial" w:cs="Arial"/>
          <w:color w:val="000000" w:themeColor="text1"/>
          <w:sz w:val="24"/>
          <w:szCs w:val="24"/>
        </w:rPr>
        <w:t>bank</w:t>
      </w:r>
      <w:r w:rsidR="006B021D" w:rsidRPr="007F6548">
        <w:rPr>
          <w:rStyle w:val="s2"/>
          <w:rFonts w:ascii="Arial" w:hAnsi="Arial" w:cs="Arial"/>
          <w:color w:val="000000" w:themeColor="text1"/>
          <w:sz w:val="24"/>
          <w:szCs w:val="24"/>
        </w:rPr>
        <w:t xml:space="preserve"> account</w:t>
      </w:r>
      <w:r w:rsidR="00F12FBC" w:rsidRPr="007F6548">
        <w:rPr>
          <w:rStyle w:val="s2"/>
          <w:rFonts w:ascii="Arial" w:hAnsi="Arial" w:cs="Arial"/>
          <w:color w:val="000000" w:themeColor="text1"/>
          <w:sz w:val="24"/>
          <w:szCs w:val="24"/>
        </w:rPr>
        <w:t xml:space="preserve"> statement</w:t>
      </w:r>
      <w:r w:rsidR="006B021D" w:rsidRPr="007F6548">
        <w:rPr>
          <w:rStyle w:val="s2"/>
          <w:rFonts w:ascii="Arial" w:hAnsi="Arial" w:cs="Arial"/>
          <w:color w:val="000000" w:themeColor="text1"/>
          <w:sz w:val="24"/>
          <w:szCs w:val="24"/>
        </w:rPr>
        <w:t xml:space="preserve"> was submitted to the Commission. AFS were not submitted. T</w:t>
      </w:r>
      <w:r w:rsidR="008568A3" w:rsidRPr="007F6548">
        <w:rPr>
          <w:rStyle w:val="s2"/>
          <w:rFonts w:ascii="Arial" w:hAnsi="Arial" w:cs="Arial"/>
          <w:color w:val="000000" w:themeColor="text1"/>
          <w:sz w:val="24"/>
          <w:szCs w:val="24"/>
        </w:rPr>
        <w:t>h</w:t>
      </w:r>
      <w:r w:rsidR="00103ADB" w:rsidRPr="007F6548">
        <w:rPr>
          <w:rStyle w:val="s2"/>
          <w:rFonts w:ascii="Arial" w:hAnsi="Arial" w:cs="Arial"/>
          <w:color w:val="000000" w:themeColor="text1"/>
          <w:sz w:val="24"/>
          <w:szCs w:val="24"/>
        </w:rPr>
        <w:t>is does not constitute properly</w:t>
      </w:r>
      <w:r w:rsidR="00853C73" w:rsidRPr="007F6548">
        <w:rPr>
          <w:rStyle w:val="s2"/>
          <w:rFonts w:ascii="Arial" w:hAnsi="Arial" w:cs="Arial"/>
          <w:color w:val="000000" w:themeColor="text1"/>
          <w:sz w:val="24"/>
          <w:szCs w:val="24"/>
        </w:rPr>
        <w:t xml:space="preserve"> accounting for </w:t>
      </w:r>
      <w:r w:rsidR="00103ADB" w:rsidRPr="007F6548">
        <w:rPr>
          <w:rStyle w:val="s2"/>
          <w:rFonts w:ascii="Arial" w:hAnsi="Arial" w:cs="Arial"/>
          <w:color w:val="000000" w:themeColor="text1"/>
          <w:sz w:val="24"/>
          <w:szCs w:val="24"/>
        </w:rPr>
        <w:t>th</w:t>
      </w:r>
      <w:r w:rsidR="00D928B7" w:rsidRPr="007F6548">
        <w:rPr>
          <w:rStyle w:val="s2"/>
          <w:rFonts w:ascii="Arial" w:hAnsi="Arial" w:cs="Arial"/>
          <w:color w:val="000000" w:themeColor="text1"/>
          <w:sz w:val="24"/>
          <w:szCs w:val="24"/>
        </w:rPr>
        <w:t>e</w:t>
      </w:r>
      <w:r w:rsidR="00103ADB" w:rsidRPr="007F6548">
        <w:rPr>
          <w:rStyle w:val="s2"/>
          <w:rFonts w:ascii="Arial" w:hAnsi="Arial" w:cs="Arial"/>
          <w:color w:val="000000" w:themeColor="text1"/>
          <w:sz w:val="24"/>
          <w:szCs w:val="24"/>
        </w:rPr>
        <w:t xml:space="preserve"> donation </w:t>
      </w:r>
      <w:r w:rsidR="00816837" w:rsidRPr="007F6548">
        <w:rPr>
          <w:rStyle w:val="s2"/>
          <w:rFonts w:ascii="Arial" w:hAnsi="Arial" w:cs="Arial"/>
          <w:color w:val="000000" w:themeColor="text1"/>
          <w:sz w:val="24"/>
          <w:szCs w:val="24"/>
        </w:rPr>
        <w:t xml:space="preserve">received </w:t>
      </w:r>
      <w:r w:rsidR="007A0339">
        <w:rPr>
          <w:rStyle w:val="s2"/>
          <w:rFonts w:ascii="Arial" w:hAnsi="Arial" w:cs="Arial"/>
          <w:color w:val="000000" w:themeColor="text1"/>
          <w:sz w:val="24"/>
          <w:szCs w:val="24"/>
        </w:rPr>
        <w:t xml:space="preserve">from its </w:t>
      </w:r>
      <w:r w:rsidR="00816837" w:rsidRPr="007F6548">
        <w:rPr>
          <w:rStyle w:val="s2"/>
          <w:rFonts w:ascii="Arial" w:hAnsi="Arial" w:cs="Arial"/>
          <w:color w:val="000000" w:themeColor="text1"/>
          <w:sz w:val="24"/>
          <w:szCs w:val="24"/>
        </w:rPr>
        <w:t xml:space="preserve">chairman as required in </w:t>
      </w:r>
      <w:r w:rsidR="00D928B7" w:rsidRPr="007F6548">
        <w:rPr>
          <w:rStyle w:val="s2"/>
          <w:rFonts w:ascii="Arial" w:hAnsi="Arial" w:cs="Arial"/>
          <w:color w:val="000000" w:themeColor="text1"/>
          <w:sz w:val="24"/>
          <w:szCs w:val="24"/>
        </w:rPr>
        <w:t xml:space="preserve">terms of s 12 read with Regulation 12. </w:t>
      </w:r>
      <w:r w:rsidR="00751C19" w:rsidRPr="007F6548">
        <w:rPr>
          <w:rStyle w:val="s2"/>
          <w:rFonts w:ascii="Arial" w:hAnsi="Arial" w:cs="Arial"/>
          <w:color w:val="000000" w:themeColor="text1"/>
          <w:sz w:val="24"/>
          <w:szCs w:val="24"/>
        </w:rPr>
        <w:t>Further, on</w:t>
      </w:r>
      <w:r w:rsidR="00D928B7" w:rsidRPr="007F6548">
        <w:rPr>
          <w:rStyle w:val="s2"/>
          <w:rFonts w:ascii="Arial" w:hAnsi="Arial" w:cs="Arial"/>
          <w:color w:val="000000" w:themeColor="text1"/>
          <w:sz w:val="24"/>
          <w:szCs w:val="24"/>
        </w:rPr>
        <w:t xml:space="preserve"> the respondent’s version, </w:t>
      </w:r>
      <w:r w:rsidR="008568A3" w:rsidRPr="007F6548">
        <w:rPr>
          <w:rStyle w:val="s2"/>
          <w:rFonts w:ascii="Arial" w:hAnsi="Arial" w:cs="Arial"/>
          <w:color w:val="000000" w:themeColor="text1"/>
          <w:sz w:val="24"/>
          <w:szCs w:val="24"/>
        </w:rPr>
        <w:lastRenderedPageBreak/>
        <w:t>donations made by members on the party lists, do not seem to have been accounted for</w:t>
      </w:r>
      <w:r w:rsidR="0029158F" w:rsidRPr="007F6548">
        <w:rPr>
          <w:rStyle w:val="s2"/>
          <w:rFonts w:ascii="Arial" w:hAnsi="Arial" w:cs="Arial"/>
          <w:color w:val="000000" w:themeColor="text1"/>
          <w:sz w:val="24"/>
          <w:szCs w:val="24"/>
        </w:rPr>
        <w:t xml:space="preserve"> at all</w:t>
      </w:r>
      <w:r w:rsidR="008568A3" w:rsidRPr="007F6548">
        <w:rPr>
          <w:rStyle w:val="s2"/>
          <w:rFonts w:ascii="Arial" w:hAnsi="Arial" w:cs="Arial"/>
          <w:color w:val="000000" w:themeColor="text1"/>
          <w:sz w:val="24"/>
          <w:szCs w:val="24"/>
        </w:rPr>
        <w:t>.</w:t>
      </w:r>
      <w:r w:rsidR="008568A3" w:rsidRPr="007F6548">
        <w:rPr>
          <w:rStyle w:val="apple-converted-space"/>
          <w:rFonts w:ascii="Arial" w:hAnsi="Arial" w:cs="Arial"/>
          <w:color w:val="000000" w:themeColor="text1"/>
          <w:sz w:val="24"/>
          <w:szCs w:val="24"/>
        </w:rPr>
        <w:t> </w:t>
      </w:r>
    </w:p>
    <w:p w14:paraId="1AD9656F" w14:textId="77777777" w:rsidR="00813002" w:rsidRPr="007F6548" w:rsidRDefault="00813002" w:rsidP="00035BD2">
      <w:pPr>
        <w:pStyle w:val="p3"/>
        <w:spacing w:line="360" w:lineRule="auto"/>
        <w:jc w:val="both"/>
        <w:rPr>
          <w:rStyle w:val="apple-converted-space"/>
          <w:rFonts w:ascii="Arial" w:hAnsi="Arial" w:cs="Arial"/>
          <w:color w:val="000000" w:themeColor="text1"/>
          <w:sz w:val="24"/>
          <w:szCs w:val="24"/>
        </w:rPr>
      </w:pPr>
    </w:p>
    <w:p w14:paraId="1A77DCCE" w14:textId="2E80F266" w:rsidR="00D969D5" w:rsidRPr="007F6548" w:rsidRDefault="00813002" w:rsidP="00035BD2">
      <w:pPr>
        <w:pStyle w:val="p3"/>
        <w:spacing w:line="360" w:lineRule="auto"/>
        <w:jc w:val="both"/>
        <w:rPr>
          <w:rFonts w:ascii="Arial" w:hAnsi="Arial" w:cs="Arial"/>
          <w:color w:val="000000" w:themeColor="text1"/>
          <w:sz w:val="24"/>
          <w:szCs w:val="24"/>
        </w:rPr>
      </w:pPr>
      <w:r w:rsidRPr="007F6548">
        <w:rPr>
          <w:rStyle w:val="apple-converted-space"/>
          <w:rFonts w:ascii="Arial" w:hAnsi="Arial" w:cs="Arial"/>
          <w:color w:val="000000" w:themeColor="text1"/>
          <w:sz w:val="24"/>
          <w:szCs w:val="24"/>
        </w:rPr>
        <w:t>[</w:t>
      </w:r>
      <w:r w:rsidR="0042682D">
        <w:rPr>
          <w:rStyle w:val="apple-converted-space"/>
          <w:rFonts w:ascii="Arial" w:hAnsi="Arial" w:cs="Arial"/>
          <w:color w:val="000000" w:themeColor="text1"/>
          <w:sz w:val="24"/>
          <w:szCs w:val="24"/>
        </w:rPr>
        <w:t>4</w:t>
      </w:r>
      <w:r w:rsidR="000172EE">
        <w:rPr>
          <w:rStyle w:val="apple-converted-space"/>
          <w:rFonts w:ascii="Arial" w:hAnsi="Arial" w:cs="Arial"/>
          <w:color w:val="000000" w:themeColor="text1"/>
          <w:sz w:val="24"/>
          <w:szCs w:val="24"/>
        </w:rPr>
        <w:t>9</w:t>
      </w:r>
      <w:r w:rsidRPr="007F6548">
        <w:rPr>
          <w:rStyle w:val="apple-converted-space"/>
          <w:rFonts w:ascii="Arial" w:hAnsi="Arial" w:cs="Arial"/>
          <w:color w:val="000000" w:themeColor="text1"/>
          <w:sz w:val="24"/>
          <w:szCs w:val="24"/>
        </w:rPr>
        <w:t>]</w:t>
      </w:r>
      <w:r w:rsidRPr="007F6548">
        <w:rPr>
          <w:rStyle w:val="apple-converted-space"/>
          <w:rFonts w:ascii="Arial" w:hAnsi="Arial" w:cs="Arial"/>
          <w:color w:val="000000" w:themeColor="text1"/>
          <w:sz w:val="24"/>
          <w:szCs w:val="24"/>
        </w:rPr>
        <w:tab/>
        <w:t xml:space="preserve">I therefore find that this respondent failed to comply with the applicable statutory and Regulatory provisions. </w:t>
      </w:r>
    </w:p>
    <w:p w14:paraId="0C67035E" w14:textId="77777777" w:rsidR="006762A5" w:rsidRDefault="006762A5" w:rsidP="00C94588">
      <w:pPr>
        <w:pStyle w:val="Heading1"/>
        <w:spacing w:before="0" w:after="0" w:line="360" w:lineRule="auto"/>
        <w:rPr>
          <w:rFonts w:ascii="Arial" w:hAnsi="Arial" w:cs="Arial"/>
          <w:b/>
          <w:bCs/>
          <w:color w:val="000000" w:themeColor="text1"/>
          <w:sz w:val="24"/>
          <w:szCs w:val="24"/>
        </w:rPr>
      </w:pPr>
    </w:p>
    <w:p w14:paraId="75CD6056" w14:textId="18C65992" w:rsidR="00A07258" w:rsidRPr="007F6548" w:rsidRDefault="00A07258" w:rsidP="00C94588">
      <w:pPr>
        <w:pStyle w:val="Heading1"/>
        <w:spacing w:before="0" w:after="0" w:line="360" w:lineRule="auto"/>
        <w:rPr>
          <w:rFonts w:ascii="Arial" w:hAnsi="Arial" w:cs="Arial"/>
          <w:b/>
          <w:bCs/>
          <w:color w:val="000000" w:themeColor="text1"/>
          <w:sz w:val="24"/>
          <w:szCs w:val="24"/>
        </w:rPr>
      </w:pPr>
      <w:r w:rsidRPr="007F6548">
        <w:rPr>
          <w:rFonts w:ascii="Arial" w:hAnsi="Arial" w:cs="Arial"/>
          <w:b/>
          <w:bCs/>
          <w:color w:val="000000" w:themeColor="text1"/>
          <w:sz w:val="24"/>
          <w:szCs w:val="24"/>
        </w:rPr>
        <w:t>R</w:t>
      </w:r>
      <w:r w:rsidR="008F47BD" w:rsidRPr="007F6548">
        <w:rPr>
          <w:rFonts w:ascii="Arial" w:hAnsi="Arial" w:cs="Arial"/>
          <w:b/>
          <w:bCs/>
          <w:color w:val="000000" w:themeColor="text1"/>
          <w:sz w:val="24"/>
          <w:szCs w:val="24"/>
        </w:rPr>
        <w:t>elief sought</w:t>
      </w:r>
      <w:bookmarkEnd w:id="30"/>
    </w:p>
    <w:p w14:paraId="6DD0DB95" w14:textId="4D032639" w:rsidR="00564C12" w:rsidRPr="007F6548" w:rsidRDefault="00A1065E" w:rsidP="00C94588">
      <w:pPr>
        <w:pStyle w:val="WLGLevel1"/>
        <w:numPr>
          <w:ilvl w:val="0"/>
          <w:numId w:val="0"/>
        </w:numPr>
        <w:spacing w:before="0" w:line="360" w:lineRule="auto"/>
        <w:rPr>
          <w:rFonts w:cs="Arial"/>
          <w:color w:val="000000" w:themeColor="text1"/>
          <w:szCs w:val="24"/>
        </w:rPr>
      </w:pPr>
      <w:r w:rsidRPr="007F6548">
        <w:rPr>
          <w:rFonts w:cs="Arial"/>
          <w:color w:val="000000" w:themeColor="text1"/>
          <w:szCs w:val="24"/>
        </w:rPr>
        <w:t>[</w:t>
      </w:r>
      <w:r w:rsidR="000172EE">
        <w:rPr>
          <w:rFonts w:cs="Arial"/>
          <w:color w:val="000000" w:themeColor="text1"/>
          <w:szCs w:val="24"/>
        </w:rPr>
        <w:t>50</w:t>
      </w:r>
      <w:r w:rsidRPr="007F6548">
        <w:rPr>
          <w:rFonts w:cs="Arial"/>
          <w:color w:val="000000" w:themeColor="text1"/>
          <w:szCs w:val="24"/>
        </w:rPr>
        <w:t>]</w:t>
      </w:r>
      <w:r w:rsidRPr="007F6548">
        <w:rPr>
          <w:rFonts w:cs="Arial"/>
          <w:color w:val="000000" w:themeColor="text1"/>
          <w:szCs w:val="24"/>
        </w:rPr>
        <w:tab/>
      </w:r>
      <w:r w:rsidR="00C448D8" w:rsidRPr="007F6548">
        <w:rPr>
          <w:rFonts w:cs="Arial"/>
          <w:color w:val="000000" w:themeColor="text1"/>
          <w:szCs w:val="24"/>
        </w:rPr>
        <w:t>As already stated, t</w:t>
      </w:r>
      <w:r w:rsidR="00A07258" w:rsidRPr="007F6548">
        <w:rPr>
          <w:rFonts w:cs="Arial"/>
          <w:color w:val="000000" w:themeColor="text1"/>
          <w:szCs w:val="24"/>
        </w:rPr>
        <w:t xml:space="preserve">he Commission seeks </w:t>
      </w:r>
      <w:r w:rsidR="00C448D8" w:rsidRPr="007F6548">
        <w:rPr>
          <w:rFonts w:cs="Arial"/>
          <w:color w:val="000000" w:themeColor="text1"/>
          <w:szCs w:val="24"/>
        </w:rPr>
        <w:t>an order imposing administrative penalties on the respondents for reason</w:t>
      </w:r>
      <w:r w:rsidR="007D1B1A" w:rsidRPr="007F6548">
        <w:rPr>
          <w:rFonts w:cs="Arial"/>
          <w:color w:val="000000" w:themeColor="text1"/>
          <w:szCs w:val="24"/>
        </w:rPr>
        <w:t>s</w:t>
      </w:r>
      <w:r w:rsidR="00C448D8" w:rsidRPr="007F6548">
        <w:rPr>
          <w:rFonts w:cs="Arial"/>
          <w:color w:val="000000" w:themeColor="text1"/>
          <w:szCs w:val="24"/>
        </w:rPr>
        <w:t xml:space="preserve"> set out in this judgment. In its heads of argument, it requests that an order should be preceded by a declarator </w:t>
      </w:r>
      <w:r w:rsidR="00A07258" w:rsidRPr="007F6548">
        <w:rPr>
          <w:rFonts w:cs="Arial"/>
          <w:color w:val="000000" w:themeColor="text1"/>
          <w:szCs w:val="24"/>
        </w:rPr>
        <w:t xml:space="preserve">stating that the </w:t>
      </w:r>
      <w:r w:rsidR="007D1B1A" w:rsidRPr="007F6548">
        <w:rPr>
          <w:rFonts w:cs="Arial"/>
          <w:color w:val="000000" w:themeColor="text1"/>
          <w:szCs w:val="24"/>
        </w:rPr>
        <w:t>r</w:t>
      </w:r>
      <w:r w:rsidR="00A07258" w:rsidRPr="007F6548">
        <w:rPr>
          <w:rFonts w:cs="Arial"/>
          <w:color w:val="000000" w:themeColor="text1"/>
          <w:szCs w:val="24"/>
        </w:rPr>
        <w:t xml:space="preserve">espondents have been duly found to be non-compliant with the provisions of the Funding Act in line with the draft order. </w:t>
      </w:r>
    </w:p>
    <w:p w14:paraId="62F5AFE3" w14:textId="16B32BE4" w:rsidR="00A07258" w:rsidRPr="007F6548" w:rsidRDefault="00564C12" w:rsidP="00AD3E85">
      <w:pPr>
        <w:pStyle w:val="WLGLevel1"/>
        <w:numPr>
          <w:ilvl w:val="0"/>
          <w:numId w:val="0"/>
        </w:numPr>
        <w:spacing w:line="360" w:lineRule="auto"/>
        <w:rPr>
          <w:rFonts w:cs="Arial"/>
          <w:color w:val="000000" w:themeColor="text1"/>
          <w:szCs w:val="24"/>
        </w:rPr>
      </w:pPr>
      <w:r w:rsidRPr="007F6548">
        <w:rPr>
          <w:rFonts w:cs="Arial"/>
          <w:color w:val="000000" w:themeColor="text1"/>
          <w:szCs w:val="24"/>
        </w:rPr>
        <w:t>[</w:t>
      </w:r>
      <w:r w:rsidR="00D5324C" w:rsidRPr="007F6548">
        <w:rPr>
          <w:rFonts w:cs="Arial"/>
          <w:color w:val="000000" w:themeColor="text1"/>
          <w:szCs w:val="24"/>
        </w:rPr>
        <w:t>5</w:t>
      </w:r>
      <w:r w:rsidR="000172EE">
        <w:rPr>
          <w:rFonts w:cs="Arial"/>
          <w:color w:val="000000" w:themeColor="text1"/>
          <w:szCs w:val="24"/>
        </w:rPr>
        <w:t>1</w:t>
      </w:r>
      <w:r w:rsidRPr="007F6548">
        <w:rPr>
          <w:rFonts w:cs="Arial"/>
          <w:color w:val="000000" w:themeColor="text1"/>
          <w:szCs w:val="24"/>
        </w:rPr>
        <w:t>]</w:t>
      </w:r>
      <w:r w:rsidRPr="007F6548">
        <w:rPr>
          <w:rFonts w:cs="Arial"/>
          <w:color w:val="000000" w:themeColor="text1"/>
          <w:szCs w:val="24"/>
        </w:rPr>
        <w:tab/>
      </w:r>
      <w:r w:rsidR="00A07258" w:rsidRPr="007F6548">
        <w:rPr>
          <w:rFonts w:cs="Arial"/>
          <w:color w:val="000000" w:themeColor="text1"/>
          <w:szCs w:val="24"/>
        </w:rPr>
        <w:t xml:space="preserve">Although the prayer for a declaratory order was not contained in the </w:t>
      </w:r>
      <w:r w:rsidR="00306E86" w:rsidRPr="007F6548">
        <w:rPr>
          <w:rFonts w:cs="Arial"/>
          <w:color w:val="000000" w:themeColor="text1"/>
          <w:szCs w:val="24"/>
        </w:rPr>
        <w:t>n</w:t>
      </w:r>
      <w:r w:rsidR="00A07258" w:rsidRPr="007F6548">
        <w:rPr>
          <w:rFonts w:cs="Arial"/>
          <w:color w:val="000000" w:themeColor="text1"/>
          <w:szCs w:val="24"/>
        </w:rPr>
        <w:t xml:space="preserve">otice of </w:t>
      </w:r>
      <w:r w:rsidR="00306E86" w:rsidRPr="007F6548">
        <w:rPr>
          <w:rFonts w:cs="Arial"/>
          <w:color w:val="000000" w:themeColor="text1"/>
          <w:szCs w:val="24"/>
        </w:rPr>
        <w:t>m</w:t>
      </w:r>
      <w:r w:rsidR="00A07258" w:rsidRPr="007F6548">
        <w:rPr>
          <w:rFonts w:cs="Arial"/>
          <w:color w:val="000000" w:themeColor="text1"/>
          <w:szCs w:val="24"/>
        </w:rPr>
        <w:t xml:space="preserve">otion, </w:t>
      </w:r>
      <w:r w:rsidR="00306E86" w:rsidRPr="007F6548">
        <w:rPr>
          <w:rFonts w:cs="Arial"/>
          <w:color w:val="000000" w:themeColor="text1"/>
          <w:szCs w:val="24"/>
        </w:rPr>
        <w:t>a proper case is made out for it. I</w:t>
      </w:r>
      <w:r w:rsidR="00A07258" w:rsidRPr="007F6548">
        <w:rPr>
          <w:rFonts w:cs="Arial"/>
          <w:color w:val="000000" w:themeColor="text1"/>
          <w:szCs w:val="24"/>
        </w:rPr>
        <w:t>t is</w:t>
      </w:r>
      <w:r w:rsidR="00306E86" w:rsidRPr="007F6548">
        <w:rPr>
          <w:rFonts w:cs="Arial"/>
          <w:color w:val="000000" w:themeColor="text1"/>
          <w:szCs w:val="24"/>
        </w:rPr>
        <w:t xml:space="preserve"> therefore</w:t>
      </w:r>
      <w:r w:rsidR="00A07258" w:rsidRPr="007F6548">
        <w:rPr>
          <w:rFonts w:cs="Arial"/>
          <w:color w:val="000000" w:themeColor="text1"/>
          <w:szCs w:val="24"/>
        </w:rPr>
        <w:t xml:space="preserve"> competent for th</w:t>
      </w:r>
      <w:r w:rsidR="00306E86" w:rsidRPr="007F6548">
        <w:rPr>
          <w:rFonts w:cs="Arial"/>
          <w:color w:val="000000" w:themeColor="text1"/>
          <w:szCs w:val="24"/>
        </w:rPr>
        <w:t>is</w:t>
      </w:r>
      <w:r w:rsidR="00A07258" w:rsidRPr="007F6548">
        <w:rPr>
          <w:rFonts w:cs="Arial"/>
          <w:color w:val="000000" w:themeColor="text1"/>
          <w:szCs w:val="24"/>
        </w:rPr>
        <w:t xml:space="preserve"> </w:t>
      </w:r>
      <w:r w:rsidR="00C63692">
        <w:rPr>
          <w:rFonts w:cs="Arial"/>
          <w:color w:val="000000" w:themeColor="text1"/>
          <w:szCs w:val="24"/>
        </w:rPr>
        <w:t>Court</w:t>
      </w:r>
      <w:r w:rsidR="00A07258" w:rsidRPr="007F6548">
        <w:rPr>
          <w:rFonts w:cs="Arial"/>
          <w:color w:val="000000" w:themeColor="text1"/>
          <w:szCs w:val="24"/>
        </w:rPr>
        <w:t xml:space="preserve"> to grant it.</w:t>
      </w:r>
      <w:r w:rsidR="00A07258" w:rsidRPr="007F6548">
        <w:rPr>
          <w:rStyle w:val="FootnoteReference"/>
          <w:rFonts w:cs="Arial"/>
          <w:color w:val="000000" w:themeColor="text1"/>
          <w:szCs w:val="24"/>
        </w:rPr>
        <w:footnoteReference w:id="15"/>
      </w:r>
    </w:p>
    <w:p w14:paraId="305B9520" w14:textId="7E1C9C1F" w:rsidR="00C873FB" w:rsidRDefault="00C448D8" w:rsidP="000706EA">
      <w:pPr>
        <w:pStyle w:val="WLGLevel1"/>
        <w:numPr>
          <w:ilvl w:val="0"/>
          <w:numId w:val="0"/>
        </w:numPr>
        <w:spacing w:line="360" w:lineRule="auto"/>
        <w:rPr>
          <w:rFonts w:cs="Arial"/>
          <w:iCs/>
          <w:color w:val="000000" w:themeColor="text1"/>
          <w:szCs w:val="24"/>
        </w:rPr>
      </w:pPr>
      <w:r w:rsidRPr="007F6548">
        <w:rPr>
          <w:rFonts w:cs="Arial"/>
          <w:iCs/>
          <w:color w:val="000000" w:themeColor="text1"/>
          <w:szCs w:val="24"/>
          <w:lang w:val="en-GB"/>
        </w:rPr>
        <w:t>[</w:t>
      </w:r>
      <w:r w:rsidR="009B6574">
        <w:rPr>
          <w:rFonts w:cs="Arial"/>
          <w:iCs/>
          <w:color w:val="000000" w:themeColor="text1"/>
          <w:szCs w:val="24"/>
          <w:lang w:val="en-GB"/>
        </w:rPr>
        <w:t>5</w:t>
      </w:r>
      <w:r w:rsidR="000172EE">
        <w:rPr>
          <w:rFonts w:cs="Arial"/>
          <w:iCs/>
          <w:color w:val="000000" w:themeColor="text1"/>
          <w:szCs w:val="24"/>
          <w:lang w:val="en-GB"/>
        </w:rPr>
        <w:t>2</w:t>
      </w:r>
      <w:r w:rsidRPr="007F6548">
        <w:rPr>
          <w:rFonts w:cs="Arial"/>
          <w:iCs/>
          <w:color w:val="000000" w:themeColor="text1"/>
          <w:szCs w:val="24"/>
          <w:lang w:val="en-GB"/>
        </w:rPr>
        <w:t>]</w:t>
      </w:r>
      <w:r w:rsidRPr="007F6548">
        <w:rPr>
          <w:rFonts w:cs="Arial"/>
          <w:iCs/>
          <w:color w:val="000000" w:themeColor="text1"/>
          <w:szCs w:val="24"/>
          <w:lang w:val="en-GB"/>
        </w:rPr>
        <w:tab/>
        <w:t xml:space="preserve">The </w:t>
      </w:r>
      <w:r w:rsidR="00A07258" w:rsidRPr="007F6548">
        <w:rPr>
          <w:rFonts w:cs="Arial"/>
          <w:iCs/>
          <w:color w:val="000000" w:themeColor="text1"/>
          <w:szCs w:val="24"/>
          <w:lang w:val="en-GB"/>
        </w:rPr>
        <w:t xml:space="preserve">Commission </w:t>
      </w:r>
      <w:r w:rsidR="00C873FB" w:rsidRPr="007F6548">
        <w:rPr>
          <w:rFonts w:cs="Arial"/>
          <w:iCs/>
          <w:color w:val="000000" w:themeColor="text1"/>
          <w:szCs w:val="24"/>
          <w:lang w:val="en-GB"/>
        </w:rPr>
        <w:t xml:space="preserve">requests this </w:t>
      </w:r>
      <w:r w:rsidR="00C63692">
        <w:rPr>
          <w:rFonts w:cs="Arial"/>
          <w:iCs/>
          <w:color w:val="000000" w:themeColor="text1"/>
          <w:szCs w:val="24"/>
          <w:lang w:val="en-GB"/>
        </w:rPr>
        <w:t>Court</w:t>
      </w:r>
      <w:r w:rsidR="00C873FB" w:rsidRPr="007F6548">
        <w:rPr>
          <w:rFonts w:cs="Arial"/>
          <w:iCs/>
          <w:color w:val="000000" w:themeColor="text1"/>
          <w:szCs w:val="24"/>
          <w:lang w:val="en-GB"/>
        </w:rPr>
        <w:t xml:space="preserve"> to determine whether it enjoys a discretion to excuse non-compliance with s 12. It opines that </w:t>
      </w:r>
      <w:r w:rsidR="00A07258" w:rsidRPr="007F6548">
        <w:rPr>
          <w:rFonts w:cs="Arial"/>
          <w:iCs/>
          <w:color w:val="000000" w:themeColor="text1"/>
          <w:szCs w:val="24"/>
        </w:rPr>
        <w:t xml:space="preserve">the Funding Act does not expressly </w:t>
      </w:r>
      <w:r w:rsidR="00C873FB" w:rsidRPr="007F6548">
        <w:rPr>
          <w:rFonts w:cs="Arial"/>
          <w:iCs/>
          <w:color w:val="000000" w:themeColor="text1"/>
          <w:szCs w:val="24"/>
        </w:rPr>
        <w:t xml:space="preserve">state </w:t>
      </w:r>
      <w:r w:rsidR="00A07258" w:rsidRPr="007F6548">
        <w:rPr>
          <w:rFonts w:cs="Arial"/>
          <w:iCs/>
          <w:color w:val="000000" w:themeColor="text1"/>
          <w:szCs w:val="24"/>
        </w:rPr>
        <w:t>whether the Commission has a discretion to excuse non-compliance. It is likely that no such discretion exists.</w:t>
      </w:r>
      <w:r w:rsidR="008F458E">
        <w:rPr>
          <w:rFonts w:cs="Arial"/>
          <w:iCs/>
          <w:color w:val="000000" w:themeColor="text1"/>
          <w:szCs w:val="24"/>
        </w:rPr>
        <w:t xml:space="preserve"> </w:t>
      </w:r>
      <w:r w:rsidR="00AE6AB2">
        <w:rPr>
          <w:rFonts w:cs="Arial"/>
          <w:iCs/>
          <w:color w:val="000000" w:themeColor="text1"/>
          <w:szCs w:val="24"/>
        </w:rPr>
        <w:t xml:space="preserve">The Commission also requests this </w:t>
      </w:r>
      <w:r w:rsidR="00C63692">
        <w:rPr>
          <w:rFonts w:cs="Arial"/>
          <w:iCs/>
          <w:color w:val="000000" w:themeColor="text1"/>
          <w:szCs w:val="24"/>
        </w:rPr>
        <w:t>Court</w:t>
      </w:r>
      <w:r w:rsidR="00AE6AB2">
        <w:rPr>
          <w:rFonts w:cs="Arial"/>
          <w:iCs/>
          <w:color w:val="000000" w:themeColor="text1"/>
          <w:szCs w:val="24"/>
        </w:rPr>
        <w:t xml:space="preserve"> </w:t>
      </w:r>
      <w:r w:rsidR="00AB48ED">
        <w:rPr>
          <w:rFonts w:cs="Arial"/>
          <w:iCs/>
          <w:color w:val="000000" w:themeColor="text1"/>
          <w:szCs w:val="24"/>
        </w:rPr>
        <w:t>for</w:t>
      </w:r>
      <w:r w:rsidR="00AE6AB2">
        <w:rPr>
          <w:rFonts w:cs="Arial"/>
          <w:iCs/>
          <w:color w:val="000000" w:themeColor="text1"/>
          <w:szCs w:val="24"/>
        </w:rPr>
        <w:t xml:space="preserve"> advice </w:t>
      </w:r>
      <w:r w:rsidR="00ED067A">
        <w:rPr>
          <w:rFonts w:cs="Arial"/>
          <w:iCs/>
          <w:color w:val="000000" w:themeColor="text1"/>
          <w:szCs w:val="24"/>
        </w:rPr>
        <w:t>in respect</w:t>
      </w:r>
      <w:r w:rsidR="00AE6AB2">
        <w:rPr>
          <w:rFonts w:cs="Arial"/>
          <w:iCs/>
          <w:color w:val="000000" w:themeColor="text1"/>
          <w:szCs w:val="24"/>
        </w:rPr>
        <w:t xml:space="preserve"> of the circumstances under which it may excuse non-compliance with </w:t>
      </w:r>
      <w:r w:rsidR="002A6BC7">
        <w:rPr>
          <w:rFonts w:cs="Arial"/>
          <w:iCs/>
          <w:color w:val="000000" w:themeColor="text1"/>
          <w:szCs w:val="24"/>
        </w:rPr>
        <w:t>the Funding Act</w:t>
      </w:r>
      <w:r w:rsidR="00AE6AB2">
        <w:rPr>
          <w:rFonts w:cs="Arial"/>
          <w:iCs/>
          <w:color w:val="000000" w:themeColor="text1"/>
          <w:szCs w:val="24"/>
        </w:rPr>
        <w:t xml:space="preserve"> and Regulations. I address th</w:t>
      </w:r>
      <w:r w:rsidR="008F458E">
        <w:rPr>
          <w:rFonts w:cs="Arial"/>
          <w:iCs/>
          <w:color w:val="000000" w:themeColor="text1"/>
          <w:szCs w:val="24"/>
        </w:rPr>
        <w:t>ese</w:t>
      </w:r>
      <w:r w:rsidR="00AE6AB2">
        <w:rPr>
          <w:rFonts w:cs="Arial"/>
          <w:iCs/>
          <w:color w:val="000000" w:themeColor="text1"/>
          <w:szCs w:val="24"/>
        </w:rPr>
        <w:t xml:space="preserve"> issues next.</w:t>
      </w:r>
      <w:r w:rsidR="008F458E">
        <w:rPr>
          <w:rFonts w:cs="Arial"/>
          <w:iCs/>
          <w:color w:val="000000" w:themeColor="text1"/>
          <w:szCs w:val="24"/>
        </w:rPr>
        <w:t xml:space="preserve"> </w:t>
      </w:r>
    </w:p>
    <w:p w14:paraId="6905E4E0" w14:textId="7AFB2FEB" w:rsidR="00AE6AB2" w:rsidRPr="000D5CF4" w:rsidRDefault="00AE6AB2" w:rsidP="008F47BD">
      <w:pPr>
        <w:pStyle w:val="WLGLevel1"/>
        <w:numPr>
          <w:ilvl w:val="0"/>
          <w:numId w:val="0"/>
        </w:numPr>
        <w:spacing w:before="0" w:after="0" w:line="360" w:lineRule="auto"/>
        <w:rPr>
          <w:rFonts w:cs="Arial"/>
          <w:b/>
          <w:bCs/>
          <w:color w:val="000000" w:themeColor="text1"/>
          <w:szCs w:val="24"/>
        </w:rPr>
      </w:pPr>
      <w:r w:rsidRPr="000D5CF4">
        <w:rPr>
          <w:rFonts w:cs="Arial"/>
          <w:b/>
          <w:bCs/>
          <w:color w:val="000000" w:themeColor="text1"/>
          <w:szCs w:val="24"/>
        </w:rPr>
        <w:t>Whether the Commission enjoys a discretion to excuse non-compliance with s 12</w:t>
      </w:r>
      <w:r w:rsidR="0048072E" w:rsidRPr="000D5CF4">
        <w:rPr>
          <w:rFonts w:cs="Arial"/>
          <w:b/>
          <w:bCs/>
          <w:color w:val="000000" w:themeColor="text1"/>
          <w:szCs w:val="24"/>
        </w:rPr>
        <w:t xml:space="preserve"> and the circumstances under which it may do so</w:t>
      </w:r>
    </w:p>
    <w:p w14:paraId="06697FFE" w14:textId="16E47130" w:rsidR="00A07258" w:rsidRPr="007F6548" w:rsidRDefault="00C873FB" w:rsidP="008F47BD">
      <w:pPr>
        <w:pStyle w:val="WLGLevel1"/>
        <w:numPr>
          <w:ilvl w:val="0"/>
          <w:numId w:val="0"/>
        </w:numPr>
        <w:spacing w:before="0" w:after="0" w:line="360" w:lineRule="auto"/>
        <w:rPr>
          <w:rFonts w:cs="Arial"/>
          <w:iCs/>
          <w:color w:val="000000" w:themeColor="text1"/>
          <w:szCs w:val="24"/>
        </w:rPr>
      </w:pPr>
      <w:r w:rsidRPr="007F6548">
        <w:rPr>
          <w:rFonts w:cs="Arial"/>
          <w:iCs/>
          <w:color w:val="000000" w:themeColor="text1"/>
          <w:szCs w:val="24"/>
        </w:rPr>
        <w:t>[</w:t>
      </w:r>
      <w:r w:rsidR="009B6574">
        <w:rPr>
          <w:rFonts w:cs="Arial"/>
          <w:iCs/>
          <w:color w:val="000000" w:themeColor="text1"/>
          <w:szCs w:val="24"/>
        </w:rPr>
        <w:t>5</w:t>
      </w:r>
      <w:r w:rsidR="000172EE">
        <w:rPr>
          <w:rFonts w:cs="Arial"/>
          <w:iCs/>
          <w:color w:val="000000" w:themeColor="text1"/>
          <w:szCs w:val="24"/>
        </w:rPr>
        <w:t>3</w:t>
      </w:r>
      <w:r w:rsidRPr="007F6548">
        <w:rPr>
          <w:rFonts w:cs="Arial"/>
          <w:iCs/>
          <w:color w:val="000000" w:themeColor="text1"/>
          <w:szCs w:val="24"/>
        </w:rPr>
        <w:t>]</w:t>
      </w:r>
      <w:r w:rsidRPr="007F6548">
        <w:rPr>
          <w:rFonts w:cs="Arial"/>
          <w:iCs/>
          <w:color w:val="000000" w:themeColor="text1"/>
          <w:szCs w:val="24"/>
        </w:rPr>
        <w:tab/>
      </w:r>
      <w:r w:rsidR="00241F29">
        <w:rPr>
          <w:rFonts w:cs="Arial"/>
          <w:iCs/>
          <w:color w:val="000000" w:themeColor="text1"/>
          <w:szCs w:val="24"/>
        </w:rPr>
        <w:t xml:space="preserve">The Commission’s questions come as a surprise because its case in this application is that non-compliance with </w:t>
      </w:r>
      <w:r w:rsidR="002A6BC7">
        <w:rPr>
          <w:rFonts w:cs="Arial"/>
          <w:iCs/>
          <w:color w:val="000000" w:themeColor="text1"/>
          <w:szCs w:val="24"/>
        </w:rPr>
        <w:t>the Funding Act</w:t>
      </w:r>
      <w:r w:rsidR="00241F29">
        <w:rPr>
          <w:rFonts w:cs="Arial"/>
          <w:iCs/>
          <w:color w:val="000000" w:themeColor="text1"/>
          <w:szCs w:val="24"/>
        </w:rPr>
        <w:t xml:space="preserve"> may not be condoned. This simply means that non-compliance may not be excused</w:t>
      </w:r>
      <w:r w:rsidR="00CC0328">
        <w:rPr>
          <w:rFonts w:cs="Arial"/>
          <w:iCs/>
          <w:color w:val="000000" w:themeColor="text1"/>
          <w:szCs w:val="24"/>
        </w:rPr>
        <w:t xml:space="preserve">. </w:t>
      </w:r>
      <w:r w:rsidR="00241F29">
        <w:rPr>
          <w:rFonts w:cs="Arial"/>
          <w:iCs/>
          <w:color w:val="000000" w:themeColor="text1"/>
          <w:szCs w:val="24"/>
        </w:rPr>
        <w:t xml:space="preserve">Whether the Commission may </w:t>
      </w:r>
      <w:r w:rsidR="00CC0328">
        <w:rPr>
          <w:rFonts w:cs="Arial"/>
          <w:iCs/>
          <w:color w:val="000000" w:themeColor="text1"/>
          <w:szCs w:val="24"/>
        </w:rPr>
        <w:t>punish non-compliant parties by approaching this Court</w:t>
      </w:r>
      <w:r w:rsidR="00241F29">
        <w:rPr>
          <w:rFonts w:cs="Arial"/>
          <w:iCs/>
          <w:color w:val="000000" w:themeColor="text1"/>
          <w:szCs w:val="24"/>
        </w:rPr>
        <w:t xml:space="preserve"> to impos</w:t>
      </w:r>
      <w:r w:rsidR="00CC0328">
        <w:rPr>
          <w:rFonts w:cs="Arial"/>
          <w:iCs/>
          <w:color w:val="000000" w:themeColor="text1"/>
          <w:szCs w:val="24"/>
        </w:rPr>
        <w:t xml:space="preserve">e </w:t>
      </w:r>
      <w:r w:rsidR="00241F29">
        <w:rPr>
          <w:rFonts w:cs="Arial"/>
          <w:iCs/>
          <w:color w:val="000000" w:themeColor="text1"/>
          <w:szCs w:val="24"/>
        </w:rPr>
        <w:t>administrative penalties is rather a different question</w:t>
      </w:r>
      <w:r w:rsidR="00CC0328">
        <w:rPr>
          <w:rFonts w:cs="Arial"/>
          <w:iCs/>
          <w:color w:val="000000" w:themeColor="text1"/>
          <w:szCs w:val="24"/>
        </w:rPr>
        <w:t>.</w:t>
      </w:r>
      <w:r w:rsidR="00241F29">
        <w:rPr>
          <w:rFonts w:cs="Arial"/>
          <w:iCs/>
          <w:color w:val="000000" w:themeColor="text1"/>
          <w:szCs w:val="24"/>
        </w:rPr>
        <w:t xml:space="preserve"> </w:t>
      </w:r>
      <w:r w:rsidR="00CC0328">
        <w:rPr>
          <w:rFonts w:cs="Arial"/>
          <w:iCs/>
          <w:color w:val="000000" w:themeColor="text1"/>
          <w:szCs w:val="24"/>
        </w:rPr>
        <w:t>An answer to it lies in s</w:t>
      </w:r>
      <w:r w:rsidRPr="007F6548">
        <w:rPr>
          <w:rFonts w:cs="Arial"/>
          <w:iCs/>
          <w:color w:val="000000" w:themeColor="text1"/>
          <w:szCs w:val="24"/>
        </w:rPr>
        <w:t xml:space="preserve"> 18</w:t>
      </w:r>
      <w:r w:rsidR="00CC0328">
        <w:rPr>
          <w:rFonts w:cs="Arial"/>
          <w:iCs/>
          <w:color w:val="000000" w:themeColor="text1"/>
          <w:szCs w:val="24"/>
        </w:rPr>
        <w:t>. It</w:t>
      </w:r>
      <w:r w:rsidRPr="007F6548">
        <w:rPr>
          <w:rFonts w:cs="Arial"/>
          <w:iCs/>
          <w:color w:val="000000" w:themeColor="text1"/>
          <w:szCs w:val="24"/>
        </w:rPr>
        <w:t xml:space="preserve"> provides as follows:</w:t>
      </w:r>
    </w:p>
    <w:p w14:paraId="1586A433" w14:textId="4BC0A90B" w:rsidR="00C873FB" w:rsidRPr="00C94588" w:rsidRDefault="00A06E82" w:rsidP="00053CF4">
      <w:pPr>
        <w:pStyle w:val="WLGLevel1"/>
        <w:numPr>
          <w:ilvl w:val="0"/>
          <w:numId w:val="0"/>
        </w:numPr>
        <w:spacing w:before="0" w:after="0" w:line="360" w:lineRule="auto"/>
        <w:ind w:left="567" w:hanging="567"/>
        <w:rPr>
          <w:rFonts w:cs="Arial"/>
          <w:b/>
          <w:bCs/>
          <w:iCs/>
          <w:color w:val="000000" w:themeColor="text1"/>
          <w:sz w:val="22"/>
          <w:szCs w:val="22"/>
        </w:rPr>
      </w:pPr>
      <w:r w:rsidRPr="00C94588">
        <w:rPr>
          <w:rFonts w:cs="Arial"/>
          <w:bCs/>
          <w:iCs/>
          <w:color w:val="000000" w:themeColor="text1"/>
          <w:szCs w:val="24"/>
        </w:rPr>
        <w:lastRenderedPageBreak/>
        <w:t>‘</w:t>
      </w:r>
      <w:r w:rsidR="00E76D40" w:rsidRPr="00C94588">
        <w:rPr>
          <w:rFonts w:cs="Arial"/>
          <w:b/>
          <w:bCs/>
          <w:iCs/>
          <w:color w:val="000000" w:themeColor="text1"/>
          <w:sz w:val="22"/>
          <w:szCs w:val="22"/>
        </w:rPr>
        <w:t>Administrative</w:t>
      </w:r>
      <w:r w:rsidR="00C873FB" w:rsidRPr="00C94588">
        <w:rPr>
          <w:rFonts w:cs="Arial"/>
          <w:b/>
          <w:bCs/>
          <w:iCs/>
          <w:color w:val="000000" w:themeColor="text1"/>
          <w:sz w:val="22"/>
          <w:szCs w:val="22"/>
        </w:rPr>
        <w:t xml:space="preserve"> fines</w:t>
      </w:r>
    </w:p>
    <w:p w14:paraId="6955EC13" w14:textId="77777777" w:rsidR="00C873FB" w:rsidRPr="00C94588" w:rsidRDefault="00C873FB" w:rsidP="00053CF4">
      <w:pPr>
        <w:pStyle w:val="WLGLevel1"/>
        <w:numPr>
          <w:ilvl w:val="0"/>
          <w:numId w:val="0"/>
        </w:numPr>
        <w:spacing w:before="0" w:after="0" w:line="360" w:lineRule="auto"/>
        <w:ind w:left="567" w:hanging="567"/>
        <w:rPr>
          <w:rFonts w:cs="Arial"/>
          <w:iCs/>
          <w:color w:val="000000" w:themeColor="text1"/>
          <w:sz w:val="22"/>
          <w:szCs w:val="22"/>
        </w:rPr>
      </w:pPr>
      <w:r w:rsidRPr="00C94588">
        <w:rPr>
          <w:rFonts w:cs="Arial"/>
          <w:iCs/>
          <w:color w:val="000000" w:themeColor="text1"/>
          <w:sz w:val="22"/>
          <w:szCs w:val="22"/>
        </w:rPr>
        <w:t>(1) The Commission may institute proceedings to request the imposition of an administrative fine in respect of any contravention of this Act.</w:t>
      </w:r>
    </w:p>
    <w:p w14:paraId="319D47E5" w14:textId="46FCFE3C" w:rsidR="00C873FB" w:rsidRPr="007F6548" w:rsidRDefault="00C873FB" w:rsidP="00053CF4">
      <w:pPr>
        <w:pStyle w:val="WLGLevel1"/>
        <w:numPr>
          <w:ilvl w:val="0"/>
          <w:numId w:val="0"/>
        </w:numPr>
        <w:spacing w:before="0" w:line="360" w:lineRule="auto"/>
        <w:ind w:left="567" w:hanging="567"/>
        <w:rPr>
          <w:rFonts w:cs="Arial"/>
          <w:iCs/>
          <w:color w:val="000000" w:themeColor="text1"/>
          <w:szCs w:val="24"/>
        </w:rPr>
      </w:pPr>
      <w:r w:rsidRPr="00C94588">
        <w:rPr>
          <w:rFonts w:cs="Arial"/>
          <w:iCs/>
          <w:color w:val="000000" w:themeColor="text1"/>
          <w:sz w:val="22"/>
          <w:szCs w:val="22"/>
        </w:rPr>
        <w:t xml:space="preserve">(2) The Electoral </w:t>
      </w:r>
      <w:r w:rsidR="00C63692" w:rsidRPr="00C94588">
        <w:rPr>
          <w:rFonts w:cs="Arial"/>
          <w:iCs/>
          <w:color w:val="000000" w:themeColor="text1"/>
          <w:sz w:val="22"/>
          <w:szCs w:val="22"/>
        </w:rPr>
        <w:t>Court</w:t>
      </w:r>
      <w:r w:rsidRPr="00C94588">
        <w:rPr>
          <w:rFonts w:cs="Arial"/>
          <w:iCs/>
          <w:color w:val="000000" w:themeColor="text1"/>
          <w:sz w:val="22"/>
          <w:szCs w:val="22"/>
        </w:rPr>
        <w:t xml:space="preserve"> may impose an administrative fine in accordance with Schedule 1 in respect of a contravention or a repeated contravention of this Act.</w:t>
      </w:r>
      <w:r w:rsidR="003478AB">
        <w:rPr>
          <w:rFonts w:cs="Arial"/>
          <w:iCs/>
          <w:color w:val="000000" w:themeColor="text1"/>
          <w:szCs w:val="24"/>
        </w:rPr>
        <w:t>’</w:t>
      </w:r>
    </w:p>
    <w:p w14:paraId="09146838" w14:textId="26D9C48E" w:rsidR="00C873FB" w:rsidRPr="007F6548" w:rsidRDefault="00C873FB" w:rsidP="003078EF">
      <w:pPr>
        <w:pStyle w:val="WLGLevel1"/>
        <w:numPr>
          <w:ilvl w:val="0"/>
          <w:numId w:val="0"/>
        </w:numPr>
        <w:spacing w:line="360" w:lineRule="auto"/>
        <w:rPr>
          <w:rFonts w:cs="Arial"/>
          <w:iCs/>
          <w:color w:val="000000" w:themeColor="text1"/>
          <w:szCs w:val="24"/>
        </w:rPr>
      </w:pPr>
      <w:r w:rsidRPr="007F6548">
        <w:rPr>
          <w:rFonts w:cs="Arial"/>
          <w:iCs/>
          <w:color w:val="000000" w:themeColor="text1"/>
          <w:szCs w:val="24"/>
        </w:rPr>
        <w:t>[</w:t>
      </w:r>
      <w:r w:rsidR="001A67A6">
        <w:rPr>
          <w:rFonts w:cs="Arial"/>
          <w:iCs/>
          <w:color w:val="000000" w:themeColor="text1"/>
          <w:szCs w:val="24"/>
        </w:rPr>
        <w:t>5</w:t>
      </w:r>
      <w:r w:rsidR="00900A4D">
        <w:rPr>
          <w:rFonts w:cs="Arial"/>
          <w:iCs/>
          <w:color w:val="000000" w:themeColor="text1"/>
          <w:szCs w:val="24"/>
        </w:rPr>
        <w:t>4</w:t>
      </w:r>
      <w:r w:rsidRPr="007F6548">
        <w:rPr>
          <w:rFonts w:cs="Arial"/>
          <w:iCs/>
          <w:color w:val="000000" w:themeColor="text1"/>
          <w:szCs w:val="24"/>
        </w:rPr>
        <w:t>]</w:t>
      </w:r>
      <w:r w:rsidRPr="007F6548">
        <w:rPr>
          <w:rFonts w:cs="Arial"/>
          <w:iCs/>
          <w:color w:val="000000" w:themeColor="text1"/>
          <w:szCs w:val="24"/>
        </w:rPr>
        <w:tab/>
      </w:r>
      <w:r w:rsidR="002E38F1" w:rsidRPr="007F6548">
        <w:rPr>
          <w:rFonts w:cs="Arial"/>
          <w:iCs/>
          <w:color w:val="000000" w:themeColor="text1"/>
          <w:szCs w:val="24"/>
        </w:rPr>
        <w:t xml:space="preserve">Use of the word ‘may’ mostly </w:t>
      </w:r>
      <w:r w:rsidR="0071113B" w:rsidRPr="007F6548">
        <w:rPr>
          <w:rFonts w:cs="Arial"/>
          <w:iCs/>
          <w:color w:val="000000" w:themeColor="text1"/>
          <w:szCs w:val="24"/>
        </w:rPr>
        <w:t>connote</w:t>
      </w:r>
      <w:r w:rsidR="002E38F1" w:rsidRPr="007F6548">
        <w:rPr>
          <w:rFonts w:cs="Arial"/>
          <w:iCs/>
          <w:color w:val="000000" w:themeColor="text1"/>
          <w:szCs w:val="24"/>
        </w:rPr>
        <w:t xml:space="preserve"> the bestowal of a discretion. </w:t>
      </w:r>
      <w:r w:rsidR="002E38F1" w:rsidRPr="007F6548">
        <w:rPr>
          <w:rFonts w:cs="Arial"/>
          <w:color w:val="000000" w:themeColor="text1"/>
          <w:szCs w:val="24"/>
          <w:lang w:val="en-GB"/>
        </w:rPr>
        <w:t xml:space="preserve">There is no ambiguity in the language used in s 12. </w:t>
      </w:r>
      <w:bookmarkStart w:id="31" w:name="_Hlk166141444"/>
      <w:r w:rsidR="002A6BC7">
        <w:rPr>
          <w:rFonts w:cs="Arial"/>
          <w:color w:val="000000" w:themeColor="text1"/>
          <w:szCs w:val="24"/>
          <w:lang w:val="en-GB"/>
        </w:rPr>
        <w:t>The Funding Act</w:t>
      </w:r>
      <w:r w:rsidR="00762412">
        <w:rPr>
          <w:rFonts w:cs="Arial"/>
          <w:color w:val="000000" w:themeColor="text1"/>
          <w:szCs w:val="24"/>
          <w:lang w:val="en-GB"/>
        </w:rPr>
        <w:t xml:space="preserve"> gives the Commission a discretion to institute proceedings to request this </w:t>
      </w:r>
      <w:r w:rsidR="00C63692">
        <w:rPr>
          <w:rFonts w:cs="Arial"/>
          <w:color w:val="000000" w:themeColor="text1"/>
          <w:szCs w:val="24"/>
          <w:lang w:val="en-GB"/>
        </w:rPr>
        <w:t>Court</w:t>
      </w:r>
      <w:r w:rsidR="00762412">
        <w:rPr>
          <w:rFonts w:cs="Arial"/>
          <w:color w:val="000000" w:themeColor="text1"/>
          <w:szCs w:val="24"/>
          <w:lang w:val="en-GB"/>
        </w:rPr>
        <w:t xml:space="preserve"> to impose an administrative fine against any party who contravenes </w:t>
      </w:r>
      <w:r w:rsidR="002A6BC7">
        <w:rPr>
          <w:rFonts w:cs="Arial"/>
          <w:color w:val="000000" w:themeColor="text1"/>
          <w:szCs w:val="24"/>
          <w:lang w:val="en-GB"/>
        </w:rPr>
        <w:t>the Funding Act</w:t>
      </w:r>
      <w:r w:rsidR="00762412">
        <w:rPr>
          <w:rFonts w:cs="Arial"/>
          <w:color w:val="000000" w:themeColor="text1"/>
          <w:szCs w:val="24"/>
          <w:lang w:val="en-GB"/>
        </w:rPr>
        <w:t xml:space="preserve">. </w:t>
      </w:r>
      <w:r w:rsidR="005725B2" w:rsidRPr="007F6548">
        <w:rPr>
          <w:rFonts w:cs="Arial"/>
          <w:iCs/>
          <w:color w:val="000000" w:themeColor="text1"/>
          <w:szCs w:val="24"/>
        </w:rPr>
        <w:t xml:space="preserve">Since the legislature did not set out the circumstances under which the Commission may exercise </w:t>
      </w:r>
      <w:r w:rsidR="00DD791D">
        <w:rPr>
          <w:rFonts w:cs="Arial"/>
          <w:iCs/>
          <w:color w:val="000000" w:themeColor="text1"/>
          <w:szCs w:val="24"/>
        </w:rPr>
        <w:t>this</w:t>
      </w:r>
      <w:r w:rsidR="005725B2" w:rsidRPr="007F6548">
        <w:rPr>
          <w:rFonts w:cs="Arial"/>
          <w:iCs/>
          <w:color w:val="000000" w:themeColor="text1"/>
          <w:szCs w:val="24"/>
        </w:rPr>
        <w:t xml:space="preserve"> discretion,  it conferred </w:t>
      </w:r>
      <w:r w:rsidR="003159E3">
        <w:rPr>
          <w:rFonts w:cs="Arial"/>
          <w:iCs/>
          <w:color w:val="000000" w:themeColor="text1"/>
          <w:szCs w:val="24"/>
        </w:rPr>
        <w:t>a</w:t>
      </w:r>
      <w:r w:rsidR="005725B2" w:rsidRPr="007F6548">
        <w:rPr>
          <w:rFonts w:cs="Arial"/>
          <w:iCs/>
          <w:color w:val="000000" w:themeColor="text1"/>
          <w:szCs w:val="24"/>
        </w:rPr>
        <w:t xml:space="preserve"> discretion in the wide sense. </w:t>
      </w:r>
      <w:r w:rsidR="00DD791D">
        <w:rPr>
          <w:rFonts w:cs="Arial"/>
          <w:iCs/>
          <w:color w:val="000000" w:themeColor="text1"/>
          <w:szCs w:val="24"/>
        </w:rPr>
        <w:t>The Commission</w:t>
      </w:r>
      <w:r w:rsidR="005725B2" w:rsidRPr="007F6548">
        <w:rPr>
          <w:rFonts w:cs="Arial"/>
          <w:iCs/>
          <w:color w:val="000000" w:themeColor="text1"/>
          <w:szCs w:val="24"/>
        </w:rPr>
        <w:t xml:space="preserve"> ought to exercise it having regard to the circumstances of each case. </w:t>
      </w:r>
      <w:r w:rsidR="00762412" w:rsidRPr="004B4890">
        <w:rPr>
          <w:rFonts w:cs="Arial"/>
          <w:iCs/>
          <w:color w:val="000000" w:themeColor="text1"/>
          <w:szCs w:val="24"/>
        </w:rPr>
        <w:t>It</w:t>
      </w:r>
      <w:r w:rsidR="005725B2" w:rsidRPr="009606B0">
        <w:rPr>
          <w:rFonts w:cs="Arial"/>
          <w:iCs/>
          <w:color w:val="000000" w:themeColor="text1"/>
          <w:szCs w:val="24"/>
        </w:rPr>
        <w:t xml:space="preserve"> is not for this </w:t>
      </w:r>
      <w:r w:rsidR="00C63692" w:rsidRPr="004B4890">
        <w:rPr>
          <w:rFonts w:cs="Arial"/>
          <w:iCs/>
          <w:color w:val="000000" w:themeColor="text1"/>
          <w:szCs w:val="24"/>
        </w:rPr>
        <w:t>Court</w:t>
      </w:r>
      <w:r w:rsidR="005725B2" w:rsidRPr="009606B0">
        <w:rPr>
          <w:rFonts w:cs="Arial"/>
          <w:iCs/>
          <w:color w:val="000000" w:themeColor="text1"/>
          <w:szCs w:val="24"/>
        </w:rPr>
        <w:t xml:space="preserve"> to pre-empt circumstances that may be appropriate for </w:t>
      </w:r>
      <w:r w:rsidR="00CC0328" w:rsidRPr="004B4890">
        <w:rPr>
          <w:rFonts w:cs="Arial"/>
          <w:iCs/>
          <w:color w:val="000000" w:themeColor="text1"/>
          <w:szCs w:val="24"/>
        </w:rPr>
        <w:t xml:space="preserve">the </w:t>
      </w:r>
      <w:r w:rsidR="005725B2" w:rsidRPr="009606B0">
        <w:rPr>
          <w:rFonts w:cs="Arial"/>
          <w:iCs/>
          <w:color w:val="000000" w:themeColor="text1"/>
          <w:szCs w:val="24"/>
        </w:rPr>
        <w:t>exercis</w:t>
      </w:r>
      <w:r w:rsidR="00CC0328" w:rsidRPr="004B4890">
        <w:rPr>
          <w:rFonts w:cs="Arial"/>
          <w:iCs/>
          <w:color w:val="000000" w:themeColor="text1"/>
          <w:szCs w:val="24"/>
        </w:rPr>
        <w:t xml:space="preserve">e of </w:t>
      </w:r>
      <w:r w:rsidR="005725B2" w:rsidRPr="009606B0">
        <w:rPr>
          <w:rFonts w:cs="Arial"/>
          <w:iCs/>
          <w:color w:val="000000" w:themeColor="text1"/>
          <w:szCs w:val="24"/>
        </w:rPr>
        <w:t>the Commission’s discretion</w:t>
      </w:r>
      <w:r w:rsidR="00762412" w:rsidRPr="004B4890">
        <w:rPr>
          <w:rFonts w:cs="Arial"/>
          <w:iCs/>
          <w:color w:val="000000" w:themeColor="text1"/>
          <w:szCs w:val="24"/>
        </w:rPr>
        <w:t xml:space="preserve"> to excuse non-compliance with </w:t>
      </w:r>
      <w:r w:rsidR="002A6BC7">
        <w:rPr>
          <w:rFonts w:cs="Arial"/>
          <w:iCs/>
          <w:color w:val="000000" w:themeColor="text1"/>
          <w:szCs w:val="24"/>
        </w:rPr>
        <w:t>the Funding Act</w:t>
      </w:r>
      <w:r w:rsidR="009606B0">
        <w:rPr>
          <w:rFonts w:cs="Arial"/>
          <w:iCs/>
          <w:color w:val="000000" w:themeColor="text1"/>
          <w:szCs w:val="24"/>
        </w:rPr>
        <w:t xml:space="preserve"> and/ or Regulations</w:t>
      </w:r>
      <w:r w:rsidR="002D1933" w:rsidRPr="009606B0">
        <w:rPr>
          <w:rFonts w:cs="Arial"/>
          <w:iCs/>
          <w:color w:val="000000" w:themeColor="text1"/>
          <w:szCs w:val="24"/>
        </w:rPr>
        <w:t>.</w:t>
      </w:r>
      <w:r w:rsidR="002D1933">
        <w:rPr>
          <w:rFonts w:cs="Arial"/>
          <w:iCs/>
          <w:color w:val="000000" w:themeColor="text1"/>
          <w:szCs w:val="24"/>
        </w:rPr>
        <w:t xml:space="preserve"> </w:t>
      </w:r>
      <w:r w:rsidR="00A85A4E">
        <w:rPr>
          <w:rFonts w:cs="Arial"/>
          <w:iCs/>
          <w:color w:val="000000" w:themeColor="text1"/>
          <w:szCs w:val="24"/>
        </w:rPr>
        <w:t>Doing so</w:t>
      </w:r>
      <w:r w:rsidR="00DD791D">
        <w:rPr>
          <w:rFonts w:cs="Arial"/>
          <w:iCs/>
          <w:color w:val="000000" w:themeColor="text1"/>
          <w:szCs w:val="24"/>
        </w:rPr>
        <w:t xml:space="preserve"> may impede the Commission from exercising its wide discretion by considering the circumstances of each case.</w:t>
      </w:r>
      <w:r w:rsidR="00096A7E">
        <w:rPr>
          <w:rFonts w:cs="Arial"/>
          <w:iCs/>
          <w:color w:val="000000" w:themeColor="text1"/>
          <w:szCs w:val="24"/>
        </w:rPr>
        <w:t xml:space="preserve"> </w:t>
      </w:r>
      <w:r w:rsidR="00DD791D">
        <w:rPr>
          <w:rFonts w:cs="Arial"/>
          <w:iCs/>
          <w:color w:val="000000" w:themeColor="text1"/>
          <w:szCs w:val="24"/>
        </w:rPr>
        <w:t xml:space="preserve">It may </w:t>
      </w:r>
      <w:r w:rsidR="00C63692">
        <w:rPr>
          <w:rFonts w:cs="Arial"/>
          <w:iCs/>
          <w:color w:val="000000" w:themeColor="text1"/>
          <w:szCs w:val="24"/>
        </w:rPr>
        <w:t xml:space="preserve">even </w:t>
      </w:r>
      <w:r w:rsidR="00DD791D">
        <w:rPr>
          <w:rFonts w:cs="Arial"/>
          <w:iCs/>
          <w:color w:val="000000" w:themeColor="text1"/>
          <w:szCs w:val="24"/>
        </w:rPr>
        <w:t xml:space="preserve">have an unintended effect in that </w:t>
      </w:r>
      <w:r w:rsidR="00D4038D" w:rsidRPr="007F6548">
        <w:rPr>
          <w:rFonts w:cs="Arial"/>
          <w:iCs/>
          <w:color w:val="000000" w:themeColor="text1"/>
          <w:szCs w:val="24"/>
        </w:rPr>
        <w:t xml:space="preserve">the circumstances enumerated by this </w:t>
      </w:r>
      <w:r w:rsidR="003159E3">
        <w:rPr>
          <w:rFonts w:cs="Arial"/>
          <w:iCs/>
          <w:color w:val="000000" w:themeColor="text1"/>
          <w:szCs w:val="24"/>
        </w:rPr>
        <w:t>C</w:t>
      </w:r>
      <w:r w:rsidR="00D4038D" w:rsidRPr="007F6548">
        <w:rPr>
          <w:rFonts w:cs="Arial"/>
          <w:iCs/>
          <w:color w:val="000000" w:themeColor="text1"/>
          <w:szCs w:val="24"/>
        </w:rPr>
        <w:t xml:space="preserve">ourt </w:t>
      </w:r>
      <w:r w:rsidR="00DD791D">
        <w:rPr>
          <w:rFonts w:cs="Arial"/>
          <w:iCs/>
          <w:color w:val="000000" w:themeColor="text1"/>
          <w:szCs w:val="24"/>
        </w:rPr>
        <w:t xml:space="preserve">may </w:t>
      </w:r>
      <w:r w:rsidR="00477FFD">
        <w:rPr>
          <w:rFonts w:cs="Arial"/>
          <w:iCs/>
          <w:color w:val="000000" w:themeColor="text1"/>
          <w:szCs w:val="24"/>
        </w:rPr>
        <w:t>be</w:t>
      </w:r>
      <w:r w:rsidR="00B46D91" w:rsidRPr="007F6548">
        <w:rPr>
          <w:rFonts w:cs="Arial"/>
          <w:iCs/>
          <w:color w:val="000000" w:themeColor="text1"/>
          <w:szCs w:val="24"/>
        </w:rPr>
        <w:t xml:space="preserve"> </w:t>
      </w:r>
      <w:r w:rsidR="00477FFD">
        <w:rPr>
          <w:rFonts w:cs="Arial"/>
          <w:iCs/>
          <w:color w:val="000000" w:themeColor="text1"/>
          <w:szCs w:val="24"/>
        </w:rPr>
        <w:t xml:space="preserve">regarded as </w:t>
      </w:r>
      <w:r w:rsidR="00B46D91" w:rsidRPr="007F6548">
        <w:rPr>
          <w:rFonts w:cs="Arial"/>
          <w:iCs/>
          <w:color w:val="000000" w:themeColor="text1"/>
          <w:szCs w:val="24"/>
        </w:rPr>
        <w:t>exhaustive</w:t>
      </w:r>
      <w:r w:rsidR="005725B2" w:rsidRPr="007F6548">
        <w:rPr>
          <w:rFonts w:cs="Arial"/>
          <w:iCs/>
          <w:color w:val="000000" w:themeColor="text1"/>
          <w:szCs w:val="24"/>
        </w:rPr>
        <w:t>.</w:t>
      </w:r>
    </w:p>
    <w:p w14:paraId="2D1B3191" w14:textId="072F89C5" w:rsidR="00DD791D" w:rsidRDefault="00DD791D" w:rsidP="00BD4835">
      <w:pPr>
        <w:pStyle w:val="p2"/>
        <w:spacing w:line="360" w:lineRule="auto"/>
        <w:jc w:val="both"/>
        <w:rPr>
          <w:rFonts w:ascii="Arial" w:hAnsi="Arial" w:cs="Arial"/>
          <w:color w:val="000000" w:themeColor="text1"/>
          <w:sz w:val="24"/>
          <w:szCs w:val="24"/>
        </w:rPr>
      </w:pPr>
      <w:r>
        <w:rPr>
          <w:rFonts w:ascii="Arial" w:hAnsi="Arial" w:cs="Arial"/>
          <w:color w:val="000000" w:themeColor="text1"/>
          <w:sz w:val="24"/>
          <w:szCs w:val="24"/>
        </w:rPr>
        <w:t>[55]</w:t>
      </w:r>
      <w:r>
        <w:rPr>
          <w:rFonts w:ascii="Arial" w:hAnsi="Arial" w:cs="Arial"/>
          <w:color w:val="000000" w:themeColor="text1"/>
          <w:sz w:val="24"/>
          <w:szCs w:val="24"/>
        </w:rPr>
        <w:tab/>
        <w:t xml:space="preserve">The Commission is at liberty to draw guidance from judgments of this </w:t>
      </w:r>
      <w:r w:rsidR="00C63692">
        <w:rPr>
          <w:rFonts w:ascii="Arial" w:hAnsi="Arial" w:cs="Arial"/>
          <w:color w:val="000000" w:themeColor="text1"/>
          <w:sz w:val="24"/>
          <w:szCs w:val="24"/>
        </w:rPr>
        <w:t>Court</w:t>
      </w:r>
      <w:r>
        <w:rPr>
          <w:rFonts w:ascii="Arial" w:hAnsi="Arial" w:cs="Arial"/>
          <w:color w:val="000000" w:themeColor="text1"/>
          <w:sz w:val="24"/>
          <w:szCs w:val="24"/>
        </w:rPr>
        <w:t xml:space="preserve"> to determine whether it should approach the </w:t>
      </w:r>
      <w:r w:rsidR="00C63692">
        <w:rPr>
          <w:rFonts w:ascii="Arial" w:hAnsi="Arial" w:cs="Arial"/>
          <w:color w:val="000000" w:themeColor="text1"/>
          <w:sz w:val="24"/>
          <w:szCs w:val="24"/>
        </w:rPr>
        <w:t>Court</w:t>
      </w:r>
      <w:r>
        <w:rPr>
          <w:rFonts w:ascii="Arial" w:hAnsi="Arial" w:cs="Arial"/>
          <w:color w:val="000000" w:themeColor="text1"/>
          <w:sz w:val="24"/>
          <w:szCs w:val="24"/>
        </w:rPr>
        <w:t xml:space="preserve"> to enforce non-compliance with </w:t>
      </w:r>
      <w:r w:rsidR="002A6BC7">
        <w:rPr>
          <w:rFonts w:ascii="Arial" w:hAnsi="Arial" w:cs="Arial"/>
          <w:color w:val="000000" w:themeColor="text1"/>
          <w:sz w:val="24"/>
          <w:szCs w:val="24"/>
        </w:rPr>
        <w:t>the Funding Act</w:t>
      </w:r>
      <w:r>
        <w:rPr>
          <w:rFonts w:ascii="Arial" w:hAnsi="Arial" w:cs="Arial"/>
          <w:color w:val="000000" w:themeColor="text1"/>
          <w:sz w:val="24"/>
          <w:szCs w:val="24"/>
        </w:rPr>
        <w:t xml:space="preserve"> and Regulations. </w:t>
      </w:r>
    </w:p>
    <w:p w14:paraId="552752E2" w14:textId="77777777" w:rsidR="0048072E" w:rsidRDefault="0048072E" w:rsidP="00BD4835">
      <w:pPr>
        <w:pStyle w:val="p2"/>
        <w:spacing w:line="360" w:lineRule="auto"/>
        <w:jc w:val="both"/>
        <w:rPr>
          <w:rFonts w:ascii="Arial" w:hAnsi="Arial" w:cs="Arial"/>
          <w:color w:val="000000" w:themeColor="text1"/>
          <w:sz w:val="24"/>
          <w:szCs w:val="24"/>
        </w:rPr>
      </w:pPr>
    </w:p>
    <w:bookmarkEnd w:id="31"/>
    <w:p w14:paraId="118C7327" w14:textId="5621986E" w:rsidR="00DD791D" w:rsidRPr="000D5CF4" w:rsidRDefault="0048072E" w:rsidP="00BD4835">
      <w:pPr>
        <w:pStyle w:val="p2"/>
        <w:spacing w:line="360" w:lineRule="auto"/>
        <w:jc w:val="both"/>
        <w:rPr>
          <w:rFonts w:ascii="Arial" w:hAnsi="Arial" w:cs="Arial"/>
          <w:b/>
          <w:bCs/>
          <w:iCs/>
          <w:color w:val="000000" w:themeColor="text1"/>
          <w:sz w:val="24"/>
          <w:szCs w:val="24"/>
        </w:rPr>
      </w:pPr>
      <w:r w:rsidRPr="000D5CF4">
        <w:rPr>
          <w:rFonts w:ascii="Arial" w:hAnsi="Arial" w:cs="Arial"/>
          <w:b/>
          <w:bCs/>
          <w:iCs/>
          <w:color w:val="000000" w:themeColor="text1"/>
          <w:sz w:val="24"/>
          <w:szCs w:val="24"/>
        </w:rPr>
        <w:t xml:space="preserve">Whether a proper case is made out for the exercise of this </w:t>
      </w:r>
      <w:r w:rsidR="00C63692" w:rsidRPr="000D5CF4">
        <w:rPr>
          <w:rFonts w:ascii="Arial" w:hAnsi="Arial" w:cs="Arial"/>
          <w:b/>
          <w:bCs/>
          <w:iCs/>
          <w:color w:val="000000" w:themeColor="text1"/>
          <w:sz w:val="24"/>
          <w:szCs w:val="24"/>
        </w:rPr>
        <w:t>Court</w:t>
      </w:r>
      <w:r w:rsidRPr="000D5CF4">
        <w:rPr>
          <w:rFonts w:ascii="Arial" w:hAnsi="Arial" w:cs="Arial"/>
          <w:b/>
          <w:bCs/>
          <w:iCs/>
          <w:color w:val="000000" w:themeColor="text1"/>
          <w:sz w:val="24"/>
          <w:szCs w:val="24"/>
        </w:rPr>
        <w:t>’s discretion to impose administrative penalties</w:t>
      </w:r>
    </w:p>
    <w:p w14:paraId="7C4BF78C" w14:textId="16275E0A" w:rsidR="00DD791D" w:rsidRPr="00CA16C9" w:rsidRDefault="00DD791D" w:rsidP="00C94588">
      <w:pPr>
        <w:pStyle w:val="WLGLevel1"/>
        <w:numPr>
          <w:ilvl w:val="0"/>
          <w:numId w:val="0"/>
        </w:numPr>
        <w:spacing w:before="0" w:line="360" w:lineRule="auto"/>
        <w:rPr>
          <w:rFonts w:cs="Arial"/>
          <w:color w:val="000000" w:themeColor="text1"/>
          <w:szCs w:val="24"/>
          <w:highlight w:val="yellow"/>
          <w:lang w:val="en-GB"/>
        </w:rPr>
      </w:pPr>
      <w:bookmarkStart w:id="32" w:name="_Hlk166141575"/>
      <w:r>
        <w:rPr>
          <w:rFonts w:cs="Arial"/>
          <w:color w:val="000000" w:themeColor="text1"/>
          <w:szCs w:val="24"/>
        </w:rPr>
        <w:t>[56]</w:t>
      </w:r>
      <w:r>
        <w:rPr>
          <w:rFonts w:cs="Arial"/>
          <w:color w:val="000000" w:themeColor="text1"/>
          <w:szCs w:val="24"/>
        </w:rPr>
        <w:tab/>
      </w:r>
      <w:r w:rsidRPr="007F6548">
        <w:rPr>
          <w:rFonts w:cs="Arial"/>
          <w:iCs/>
          <w:color w:val="000000" w:themeColor="text1"/>
          <w:szCs w:val="24"/>
        </w:rPr>
        <w:t xml:space="preserve">The bestowal of powers on the Commission and this </w:t>
      </w:r>
      <w:r w:rsidR="00C63692">
        <w:rPr>
          <w:rFonts w:cs="Arial"/>
          <w:iCs/>
          <w:color w:val="000000" w:themeColor="text1"/>
          <w:szCs w:val="24"/>
        </w:rPr>
        <w:t>Court</w:t>
      </w:r>
      <w:r w:rsidRPr="007F6548">
        <w:rPr>
          <w:rFonts w:cs="Arial"/>
          <w:iCs/>
          <w:color w:val="000000" w:themeColor="text1"/>
          <w:szCs w:val="24"/>
        </w:rPr>
        <w:t xml:space="preserve"> in terms of s 12, is expressed in similar terms. The </w:t>
      </w:r>
      <w:r w:rsidR="0025606C" w:rsidRPr="007F6548">
        <w:rPr>
          <w:rFonts w:cs="Arial"/>
          <w:iCs/>
          <w:color w:val="000000" w:themeColor="text1"/>
          <w:szCs w:val="24"/>
        </w:rPr>
        <w:t>Commission contends</w:t>
      </w:r>
      <w:r w:rsidRPr="007F6548">
        <w:rPr>
          <w:rFonts w:cs="Arial"/>
          <w:iCs/>
          <w:color w:val="000000" w:themeColor="text1"/>
          <w:szCs w:val="24"/>
        </w:rPr>
        <w:t xml:space="preserve"> that s</w:t>
      </w:r>
      <w:r w:rsidRPr="007F6548">
        <w:rPr>
          <w:rFonts w:cs="Arial"/>
          <w:color w:val="000000" w:themeColor="text1"/>
          <w:szCs w:val="24"/>
          <w:lang w:val="en-GB"/>
        </w:rPr>
        <w:t xml:space="preserve"> 18(2) clearly affords this </w:t>
      </w:r>
      <w:r w:rsidR="00C63692">
        <w:rPr>
          <w:rFonts w:cs="Arial"/>
          <w:color w:val="000000" w:themeColor="text1"/>
          <w:szCs w:val="24"/>
          <w:lang w:val="en-GB"/>
        </w:rPr>
        <w:t>Court</w:t>
      </w:r>
      <w:r w:rsidRPr="007F6548">
        <w:rPr>
          <w:rFonts w:cs="Arial"/>
          <w:color w:val="000000" w:themeColor="text1"/>
          <w:szCs w:val="24"/>
          <w:lang w:val="en-GB"/>
        </w:rPr>
        <w:t xml:space="preserve"> a discretion not to impose an administrative fine, despite the Commission’s request. </w:t>
      </w:r>
      <w:r w:rsidR="00C63692">
        <w:rPr>
          <w:rFonts w:cs="Arial"/>
          <w:color w:val="000000" w:themeColor="text1"/>
          <w:szCs w:val="24"/>
          <w:lang w:val="en-GB"/>
        </w:rPr>
        <w:t xml:space="preserve">This is indeed so. </w:t>
      </w:r>
      <w:r w:rsidRPr="007F6548">
        <w:rPr>
          <w:rFonts w:cs="Arial"/>
          <w:color w:val="000000" w:themeColor="text1"/>
          <w:szCs w:val="24"/>
          <w:lang w:val="en-GB"/>
        </w:rPr>
        <w:t xml:space="preserve">As with any discretion, </w:t>
      </w:r>
      <w:r w:rsidR="00C63692">
        <w:rPr>
          <w:rFonts w:cs="Arial"/>
          <w:color w:val="000000" w:themeColor="text1"/>
          <w:szCs w:val="24"/>
          <w:lang w:val="en-GB"/>
        </w:rPr>
        <w:t>this Court’s discretion</w:t>
      </w:r>
      <w:r w:rsidRPr="007F6548">
        <w:rPr>
          <w:rFonts w:cs="Arial"/>
          <w:color w:val="000000" w:themeColor="text1"/>
          <w:szCs w:val="24"/>
          <w:lang w:val="en-GB"/>
        </w:rPr>
        <w:t xml:space="preserve"> must be exercised judiciously considering all the relevant factors.</w:t>
      </w:r>
      <w:r w:rsidR="0048072E">
        <w:rPr>
          <w:rFonts w:cs="Arial"/>
          <w:color w:val="000000" w:themeColor="text1"/>
          <w:szCs w:val="24"/>
          <w:lang w:val="en-GB"/>
        </w:rPr>
        <w:t xml:space="preserve"> When exercising its discretion to impose administrative penalties, this </w:t>
      </w:r>
      <w:r w:rsidR="00C63692">
        <w:rPr>
          <w:rFonts w:cs="Arial"/>
          <w:color w:val="000000" w:themeColor="text1"/>
          <w:szCs w:val="24"/>
          <w:lang w:val="en-GB"/>
        </w:rPr>
        <w:t>Court</w:t>
      </w:r>
      <w:r w:rsidR="0048072E">
        <w:rPr>
          <w:rFonts w:cs="Arial"/>
          <w:color w:val="000000" w:themeColor="text1"/>
          <w:szCs w:val="24"/>
          <w:lang w:val="en-GB"/>
        </w:rPr>
        <w:t xml:space="preserve"> should be guided by the need to give effect to the purpose and objective of </w:t>
      </w:r>
      <w:r w:rsidR="002A6BC7">
        <w:rPr>
          <w:rFonts w:cs="Arial"/>
          <w:color w:val="000000" w:themeColor="text1"/>
          <w:szCs w:val="24"/>
          <w:lang w:val="en-GB"/>
        </w:rPr>
        <w:t>the Funding Act</w:t>
      </w:r>
      <w:r w:rsidR="0048072E">
        <w:rPr>
          <w:rFonts w:cs="Arial"/>
          <w:color w:val="000000" w:themeColor="text1"/>
          <w:szCs w:val="24"/>
          <w:lang w:val="en-GB"/>
        </w:rPr>
        <w:t xml:space="preserve"> and to prevent future incidents of non-compliance. </w:t>
      </w:r>
      <w:r w:rsidR="00C37268">
        <w:rPr>
          <w:rFonts w:cs="Arial"/>
          <w:color w:val="000000" w:themeColor="text1"/>
          <w:szCs w:val="24"/>
          <w:lang w:val="en-GB"/>
        </w:rPr>
        <w:t>Therefore</w:t>
      </w:r>
      <w:r w:rsidR="00967544">
        <w:rPr>
          <w:rFonts w:cs="Arial"/>
          <w:color w:val="000000" w:themeColor="text1"/>
          <w:szCs w:val="24"/>
          <w:lang w:val="en-GB"/>
        </w:rPr>
        <w:t>,</w:t>
      </w:r>
      <w:r w:rsidR="00C37268">
        <w:rPr>
          <w:rFonts w:cs="Arial"/>
          <w:color w:val="000000" w:themeColor="text1"/>
          <w:szCs w:val="24"/>
          <w:lang w:val="en-GB"/>
        </w:rPr>
        <w:t xml:space="preserve"> this Court should promote the interest of justice when exercising its discretion.</w:t>
      </w:r>
    </w:p>
    <w:p w14:paraId="74CF3668" w14:textId="05DDB01E" w:rsidR="00DD791D" w:rsidRDefault="00C94588" w:rsidP="00DD791D">
      <w:pPr>
        <w:pStyle w:val="WLGLevel1"/>
        <w:numPr>
          <w:ilvl w:val="0"/>
          <w:numId w:val="0"/>
        </w:numPr>
        <w:spacing w:line="360" w:lineRule="auto"/>
        <w:rPr>
          <w:rFonts w:cs="Arial"/>
          <w:color w:val="000000" w:themeColor="text1"/>
          <w:szCs w:val="24"/>
          <w:lang w:val="en-GB"/>
        </w:rPr>
      </w:pPr>
      <w:r>
        <w:rPr>
          <w:rFonts w:cs="Arial"/>
          <w:color w:val="000000" w:themeColor="text1"/>
          <w:szCs w:val="24"/>
          <w:lang w:val="en-GB"/>
        </w:rPr>
        <w:lastRenderedPageBreak/>
        <w:t>[57]</w:t>
      </w:r>
      <w:r w:rsidR="0048072E">
        <w:rPr>
          <w:rFonts w:cs="Arial"/>
          <w:color w:val="000000" w:themeColor="text1"/>
          <w:szCs w:val="24"/>
          <w:lang w:val="en-GB"/>
        </w:rPr>
        <w:tab/>
      </w:r>
      <w:r w:rsidR="002A6BC7">
        <w:rPr>
          <w:rFonts w:cs="Arial"/>
          <w:color w:val="000000" w:themeColor="text1"/>
          <w:szCs w:val="24"/>
          <w:lang w:val="en-GB"/>
        </w:rPr>
        <w:t>The Funding Act</w:t>
      </w:r>
      <w:r w:rsidR="00DD791D" w:rsidRPr="007F6548">
        <w:rPr>
          <w:rFonts w:cs="Arial"/>
          <w:color w:val="000000" w:themeColor="text1"/>
          <w:szCs w:val="24"/>
          <w:lang w:val="en-GB"/>
        </w:rPr>
        <w:t xml:space="preserve"> was enacted to safeguard political rights. The staggering number of parties who have not complied with their obligation in terms of s 12 is of concern to this </w:t>
      </w:r>
      <w:r w:rsidR="00C63692">
        <w:rPr>
          <w:rFonts w:cs="Arial"/>
          <w:color w:val="000000" w:themeColor="text1"/>
          <w:szCs w:val="24"/>
          <w:lang w:val="en-GB"/>
        </w:rPr>
        <w:t>Court</w:t>
      </w:r>
      <w:r w:rsidR="00DD791D" w:rsidRPr="007F6548">
        <w:rPr>
          <w:rFonts w:cs="Arial"/>
          <w:color w:val="000000" w:themeColor="text1"/>
          <w:szCs w:val="24"/>
          <w:lang w:val="en-GB"/>
        </w:rPr>
        <w:t xml:space="preserve">. So is the number of respondents who have not responded to this application. Those who did have not cited meritorious grounds of opposition. It is important that non-compliant political parties are dealt with firmly, to buttress the importance of meeting their statutory obligations. Otherwise, political parties may continue ignoring their s 12 obligations with impunity, thus undermining the very important objectives of </w:t>
      </w:r>
      <w:r w:rsidR="002A6BC7">
        <w:rPr>
          <w:rFonts w:cs="Arial"/>
          <w:color w:val="000000" w:themeColor="text1"/>
          <w:szCs w:val="24"/>
          <w:lang w:val="en-GB"/>
        </w:rPr>
        <w:t>the Funding Act</w:t>
      </w:r>
      <w:r w:rsidR="00DD791D" w:rsidRPr="007F6548">
        <w:rPr>
          <w:rFonts w:cs="Arial"/>
          <w:color w:val="000000" w:themeColor="text1"/>
          <w:szCs w:val="24"/>
          <w:lang w:val="en-GB"/>
        </w:rPr>
        <w:t xml:space="preserve">, to the peril of South Africa’s constitutional democracy.   </w:t>
      </w:r>
    </w:p>
    <w:p w14:paraId="4C671F14" w14:textId="159179DC" w:rsidR="00DD791D" w:rsidRDefault="0048072E" w:rsidP="00DD791D">
      <w:pPr>
        <w:pStyle w:val="WLGLevel1"/>
        <w:numPr>
          <w:ilvl w:val="0"/>
          <w:numId w:val="0"/>
        </w:numPr>
        <w:spacing w:line="360" w:lineRule="auto"/>
        <w:rPr>
          <w:rFonts w:cs="Arial"/>
          <w:color w:val="000000" w:themeColor="text1"/>
          <w:szCs w:val="24"/>
          <w:lang w:val="en-GB"/>
        </w:rPr>
      </w:pPr>
      <w:r>
        <w:rPr>
          <w:rFonts w:cs="Arial"/>
          <w:color w:val="000000" w:themeColor="text1"/>
          <w:szCs w:val="24"/>
          <w:lang w:val="en-GB"/>
        </w:rPr>
        <w:t>[58]</w:t>
      </w:r>
      <w:r>
        <w:rPr>
          <w:rFonts w:cs="Arial"/>
          <w:color w:val="000000" w:themeColor="text1"/>
          <w:szCs w:val="24"/>
          <w:lang w:val="en-GB"/>
        </w:rPr>
        <w:tab/>
      </w:r>
      <w:r w:rsidR="00C63692">
        <w:rPr>
          <w:rFonts w:cs="Arial"/>
          <w:color w:val="000000" w:themeColor="text1"/>
          <w:szCs w:val="24"/>
          <w:lang w:val="en-GB"/>
        </w:rPr>
        <w:t>E</w:t>
      </w:r>
      <w:r>
        <w:rPr>
          <w:rFonts w:cs="Arial"/>
          <w:color w:val="000000" w:themeColor="text1"/>
          <w:szCs w:val="24"/>
          <w:lang w:val="en-GB"/>
        </w:rPr>
        <w:t>levating substance over form</w:t>
      </w:r>
      <w:r w:rsidR="00241F29">
        <w:rPr>
          <w:rFonts w:cs="Arial"/>
          <w:color w:val="000000" w:themeColor="text1"/>
          <w:szCs w:val="24"/>
          <w:lang w:val="en-GB"/>
        </w:rPr>
        <w:t>,</w:t>
      </w:r>
      <w:r>
        <w:rPr>
          <w:rFonts w:cs="Arial"/>
          <w:color w:val="000000" w:themeColor="text1"/>
          <w:szCs w:val="24"/>
          <w:lang w:val="en-GB"/>
        </w:rPr>
        <w:t xml:space="preserve"> particularly where there has been substantial compliance and the purpose and objectives of </w:t>
      </w:r>
      <w:r w:rsidR="002A6BC7">
        <w:rPr>
          <w:rFonts w:cs="Arial"/>
          <w:color w:val="000000" w:themeColor="text1"/>
          <w:szCs w:val="24"/>
          <w:lang w:val="en-GB"/>
        </w:rPr>
        <w:t>the Funding Act</w:t>
      </w:r>
      <w:r>
        <w:rPr>
          <w:rFonts w:cs="Arial"/>
          <w:color w:val="000000" w:themeColor="text1"/>
          <w:szCs w:val="24"/>
          <w:lang w:val="en-GB"/>
        </w:rPr>
        <w:t xml:space="preserve"> are not imperilled</w:t>
      </w:r>
      <w:r w:rsidR="00C63692">
        <w:rPr>
          <w:rFonts w:cs="Arial"/>
          <w:color w:val="000000" w:themeColor="text1"/>
          <w:szCs w:val="24"/>
          <w:lang w:val="en-GB"/>
        </w:rPr>
        <w:t>, as in the case of OCM</w:t>
      </w:r>
      <w:r w:rsidR="00C37268">
        <w:rPr>
          <w:rFonts w:cs="Arial"/>
          <w:color w:val="000000" w:themeColor="text1"/>
          <w:szCs w:val="24"/>
          <w:lang w:val="en-GB"/>
        </w:rPr>
        <w:t>,</w:t>
      </w:r>
      <w:r w:rsidR="00C63692">
        <w:rPr>
          <w:rFonts w:cs="Arial"/>
          <w:color w:val="000000" w:themeColor="text1"/>
          <w:szCs w:val="24"/>
          <w:lang w:val="en-GB"/>
        </w:rPr>
        <w:t xml:space="preserve"> which I deal with below</w:t>
      </w:r>
      <w:r w:rsidR="00C37268">
        <w:rPr>
          <w:rFonts w:cs="Arial"/>
          <w:color w:val="000000" w:themeColor="text1"/>
          <w:szCs w:val="24"/>
          <w:lang w:val="en-GB"/>
        </w:rPr>
        <w:t>,</w:t>
      </w:r>
      <w:r>
        <w:rPr>
          <w:rFonts w:cs="Arial"/>
          <w:color w:val="000000" w:themeColor="text1"/>
          <w:szCs w:val="24"/>
          <w:lang w:val="en-GB"/>
        </w:rPr>
        <w:t xml:space="preserve"> would not serve the interests of justice.  </w:t>
      </w:r>
    </w:p>
    <w:p w14:paraId="667A036B" w14:textId="37172600" w:rsidR="00C63692" w:rsidRDefault="00BD4835" w:rsidP="00E33705">
      <w:pPr>
        <w:pStyle w:val="p3"/>
        <w:spacing w:line="360" w:lineRule="auto"/>
        <w:jc w:val="both"/>
        <w:rPr>
          <w:rFonts w:ascii="Arial" w:hAnsi="Arial" w:cs="Arial"/>
          <w:iCs/>
          <w:color w:val="000000" w:themeColor="text1"/>
          <w:sz w:val="24"/>
          <w:szCs w:val="24"/>
        </w:rPr>
      </w:pPr>
      <w:r w:rsidRPr="007F6548">
        <w:rPr>
          <w:rStyle w:val="s2"/>
          <w:rFonts w:ascii="Arial" w:hAnsi="Arial" w:cs="Arial"/>
          <w:color w:val="000000" w:themeColor="text1"/>
          <w:sz w:val="24"/>
          <w:szCs w:val="24"/>
        </w:rPr>
        <w:t>[</w:t>
      </w:r>
      <w:r w:rsidR="00D35139">
        <w:rPr>
          <w:rStyle w:val="s2"/>
          <w:rFonts w:ascii="Arial" w:hAnsi="Arial" w:cs="Arial"/>
          <w:color w:val="000000" w:themeColor="text1"/>
          <w:sz w:val="24"/>
          <w:szCs w:val="24"/>
        </w:rPr>
        <w:t>5</w:t>
      </w:r>
      <w:r w:rsidR="00C63692">
        <w:rPr>
          <w:rStyle w:val="s2"/>
          <w:rFonts w:ascii="Arial" w:hAnsi="Arial" w:cs="Arial"/>
          <w:color w:val="000000" w:themeColor="text1"/>
          <w:sz w:val="24"/>
          <w:szCs w:val="24"/>
        </w:rPr>
        <w:t>9</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r>
      <w:r w:rsidR="00F04E4F" w:rsidRPr="007F6548">
        <w:rPr>
          <w:rFonts w:ascii="Arial" w:hAnsi="Arial" w:cs="Arial"/>
          <w:iCs/>
          <w:color w:val="000000" w:themeColor="text1"/>
          <w:sz w:val="24"/>
          <w:szCs w:val="24"/>
        </w:rPr>
        <w:t>The</w:t>
      </w:r>
      <w:r w:rsidR="00781BE3" w:rsidRPr="007F6548">
        <w:rPr>
          <w:rFonts w:ascii="Arial" w:hAnsi="Arial" w:cs="Arial"/>
          <w:iCs/>
          <w:color w:val="000000" w:themeColor="text1"/>
          <w:sz w:val="24"/>
          <w:szCs w:val="24"/>
        </w:rPr>
        <w:t xml:space="preserve"> facts </w:t>
      </w:r>
      <w:bookmarkStart w:id="33" w:name="_Hlk166142800"/>
      <w:r w:rsidR="00781BE3" w:rsidRPr="007F6548">
        <w:rPr>
          <w:rFonts w:ascii="Arial" w:hAnsi="Arial" w:cs="Arial"/>
          <w:iCs/>
          <w:color w:val="000000" w:themeColor="text1"/>
          <w:sz w:val="24"/>
          <w:szCs w:val="24"/>
        </w:rPr>
        <w:t xml:space="preserve">OCM </w:t>
      </w:r>
      <w:r w:rsidR="00E62FA2" w:rsidRPr="007F6548">
        <w:rPr>
          <w:rFonts w:ascii="Arial" w:hAnsi="Arial" w:cs="Arial"/>
          <w:iCs/>
          <w:color w:val="000000" w:themeColor="text1"/>
          <w:sz w:val="24"/>
          <w:szCs w:val="24"/>
        </w:rPr>
        <w:t xml:space="preserve">has placed before this </w:t>
      </w:r>
      <w:r w:rsidR="003159E3">
        <w:rPr>
          <w:rFonts w:ascii="Arial" w:hAnsi="Arial" w:cs="Arial"/>
          <w:iCs/>
          <w:color w:val="000000" w:themeColor="text1"/>
          <w:sz w:val="24"/>
          <w:szCs w:val="24"/>
        </w:rPr>
        <w:t>C</w:t>
      </w:r>
      <w:r w:rsidR="00E62FA2" w:rsidRPr="007F6548">
        <w:rPr>
          <w:rFonts w:ascii="Arial" w:hAnsi="Arial" w:cs="Arial"/>
          <w:iCs/>
          <w:color w:val="000000" w:themeColor="text1"/>
          <w:sz w:val="24"/>
          <w:szCs w:val="24"/>
        </w:rPr>
        <w:t>ourt</w:t>
      </w:r>
      <w:r w:rsidR="00F04E4F" w:rsidRPr="007F6548">
        <w:rPr>
          <w:rFonts w:ascii="Arial" w:hAnsi="Arial" w:cs="Arial"/>
          <w:iCs/>
          <w:color w:val="000000" w:themeColor="text1"/>
          <w:sz w:val="24"/>
          <w:szCs w:val="24"/>
        </w:rPr>
        <w:t xml:space="preserve"> warrant the exercise of this </w:t>
      </w:r>
      <w:r w:rsidR="003159E3">
        <w:rPr>
          <w:rFonts w:ascii="Arial" w:hAnsi="Arial" w:cs="Arial"/>
          <w:iCs/>
          <w:color w:val="000000" w:themeColor="text1"/>
          <w:sz w:val="24"/>
          <w:szCs w:val="24"/>
        </w:rPr>
        <w:t>C</w:t>
      </w:r>
      <w:r w:rsidR="00F04E4F" w:rsidRPr="007F6548">
        <w:rPr>
          <w:rFonts w:ascii="Arial" w:hAnsi="Arial" w:cs="Arial"/>
          <w:iCs/>
          <w:color w:val="000000" w:themeColor="text1"/>
          <w:sz w:val="24"/>
          <w:szCs w:val="24"/>
        </w:rPr>
        <w:t xml:space="preserve">ourt’s discretion not to impose an administrative penalty on this respondent. </w:t>
      </w:r>
    </w:p>
    <w:bookmarkEnd w:id="33"/>
    <w:p w14:paraId="0D744BA4" w14:textId="77777777" w:rsidR="00C63692" w:rsidRDefault="00C63692" w:rsidP="00E33705">
      <w:pPr>
        <w:pStyle w:val="p3"/>
        <w:spacing w:line="360" w:lineRule="auto"/>
        <w:jc w:val="both"/>
        <w:rPr>
          <w:rFonts w:ascii="Arial" w:hAnsi="Arial" w:cs="Arial"/>
          <w:iCs/>
          <w:color w:val="000000" w:themeColor="text1"/>
          <w:sz w:val="24"/>
          <w:szCs w:val="24"/>
        </w:rPr>
      </w:pPr>
    </w:p>
    <w:p w14:paraId="50F5D64D" w14:textId="0E199E2D" w:rsidR="00E33705" w:rsidRPr="00E33705" w:rsidRDefault="00C63692" w:rsidP="00E33705">
      <w:pPr>
        <w:pStyle w:val="p3"/>
        <w:spacing w:line="360" w:lineRule="auto"/>
        <w:jc w:val="both"/>
        <w:rPr>
          <w:rFonts w:ascii="Arial" w:hAnsi="Arial" w:cs="Arial"/>
          <w:iCs/>
          <w:color w:val="000000" w:themeColor="text1"/>
          <w:sz w:val="24"/>
          <w:szCs w:val="24"/>
        </w:rPr>
      </w:pPr>
      <w:r>
        <w:rPr>
          <w:rStyle w:val="s2"/>
          <w:rFonts w:ascii="Arial" w:hAnsi="Arial" w:cs="Arial"/>
          <w:color w:val="000000" w:themeColor="text1"/>
          <w:sz w:val="24"/>
          <w:szCs w:val="24"/>
        </w:rPr>
        <w:t>[60]</w:t>
      </w:r>
      <w:r>
        <w:rPr>
          <w:rStyle w:val="s2"/>
          <w:rFonts w:ascii="Arial" w:hAnsi="Arial" w:cs="Arial"/>
          <w:color w:val="000000" w:themeColor="text1"/>
          <w:sz w:val="24"/>
          <w:szCs w:val="24"/>
        </w:rPr>
        <w:tab/>
      </w:r>
      <w:r w:rsidR="00E33705" w:rsidRPr="007F6548">
        <w:rPr>
          <w:rStyle w:val="s2"/>
          <w:rFonts w:ascii="Arial" w:hAnsi="Arial" w:cs="Arial"/>
          <w:color w:val="000000" w:themeColor="text1"/>
          <w:sz w:val="24"/>
          <w:szCs w:val="24"/>
        </w:rPr>
        <w:t xml:space="preserve">OCM admits that it has not strictly complied with the requirements of s 12 due to lack of funding as well as being non-functional. </w:t>
      </w:r>
      <w:r w:rsidR="00E33705">
        <w:rPr>
          <w:rFonts w:ascii="Arial" w:hAnsi="Arial" w:cs="Arial"/>
          <w:iCs/>
          <w:color w:val="000000" w:themeColor="text1"/>
          <w:sz w:val="24"/>
          <w:szCs w:val="24"/>
        </w:rPr>
        <w:t>It</w:t>
      </w:r>
      <w:r w:rsidR="00E33705" w:rsidRPr="007F6548">
        <w:rPr>
          <w:rStyle w:val="s2"/>
          <w:rFonts w:ascii="Arial" w:hAnsi="Arial" w:cs="Arial"/>
          <w:color w:val="000000" w:themeColor="text1"/>
          <w:sz w:val="24"/>
          <w:szCs w:val="24"/>
        </w:rPr>
        <w:t xml:space="preserve"> is an unrepresented political party. It contested the 2021 local government elections. It does not intend contesting the 2024 national and provincial elections. It intends deregistering as a political party and has sought guidance from the Commission on the deregistration process.</w:t>
      </w:r>
      <w:r w:rsidR="00E33705" w:rsidRPr="007F6548">
        <w:rPr>
          <w:rStyle w:val="apple-converted-space"/>
          <w:rFonts w:ascii="Arial" w:hAnsi="Arial" w:cs="Arial"/>
          <w:color w:val="000000" w:themeColor="text1"/>
          <w:sz w:val="24"/>
          <w:szCs w:val="24"/>
        </w:rPr>
        <w:t> </w:t>
      </w:r>
      <w:r w:rsidR="00E33705" w:rsidRPr="007F6548">
        <w:rPr>
          <w:rStyle w:val="s2"/>
          <w:rFonts w:ascii="Arial" w:hAnsi="Arial" w:cs="Arial"/>
          <w:color w:val="000000" w:themeColor="text1"/>
          <w:sz w:val="24"/>
          <w:szCs w:val="24"/>
        </w:rPr>
        <w:t>It has not received any income including in the form of donations and membership levy and fees.</w:t>
      </w:r>
      <w:r w:rsidR="00E33705" w:rsidRPr="007F6548">
        <w:rPr>
          <w:rStyle w:val="apple-converted-space"/>
          <w:rFonts w:ascii="Arial" w:hAnsi="Arial" w:cs="Arial"/>
          <w:color w:val="000000" w:themeColor="text1"/>
          <w:sz w:val="24"/>
          <w:szCs w:val="24"/>
        </w:rPr>
        <w:t> </w:t>
      </w:r>
    </w:p>
    <w:p w14:paraId="022B1707" w14:textId="77777777" w:rsidR="00E33705" w:rsidRPr="007F6548" w:rsidRDefault="00E33705" w:rsidP="00E33705">
      <w:pPr>
        <w:pStyle w:val="p2"/>
        <w:spacing w:line="360" w:lineRule="auto"/>
        <w:jc w:val="both"/>
        <w:rPr>
          <w:rFonts w:ascii="Arial" w:hAnsi="Arial" w:cs="Arial"/>
          <w:color w:val="000000" w:themeColor="text1"/>
          <w:sz w:val="24"/>
          <w:szCs w:val="24"/>
        </w:rPr>
      </w:pPr>
    </w:p>
    <w:p w14:paraId="4A1F0CDB" w14:textId="2D214FA0" w:rsidR="00E33705" w:rsidRPr="007F6548" w:rsidRDefault="00E33705" w:rsidP="00E33705">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C63692">
        <w:rPr>
          <w:rStyle w:val="s2"/>
          <w:rFonts w:ascii="Arial" w:hAnsi="Arial" w:cs="Arial"/>
          <w:color w:val="000000" w:themeColor="text1"/>
          <w:sz w:val="24"/>
          <w:szCs w:val="24"/>
        </w:rPr>
        <w:t>61</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t xml:space="preserve">On 23 June 2023, it furnished the Commission with its AFS. It has attached </w:t>
      </w:r>
      <w:r w:rsidR="005A784F">
        <w:rPr>
          <w:rStyle w:val="s2"/>
          <w:rFonts w:ascii="Arial" w:hAnsi="Arial" w:cs="Arial"/>
          <w:color w:val="000000" w:themeColor="text1"/>
          <w:sz w:val="24"/>
          <w:szCs w:val="24"/>
        </w:rPr>
        <w:t>its AFS</w:t>
      </w:r>
      <w:r w:rsidRPr="007F6548">
        <w:rPr>
          <w:rStyle w:val="s2"/>
          <w:rFonts w:ascii="Arial" w:hAnsi="Arial" w:cs="Arial"/>
          <w:color w:val="000000" w:themeColor="text1"/>
          <w:sz w:val="24"/>
          <w:szCs w:val="24"/>
        </w:rPr>
        <w:t xml:space="preserve"> to its answering affidavit. The</w:t>
      </w:r>
      <w:r w:rsidR="00804C97">
        <w:rPr>
          <w:rStyle w:val="s2"/>
          <w:rFonts w:ascii="Arial" w:hAnsi="Arial" w:cs="Arial"/>
          <w:color w:val="000000" w:themeColor="text1"/>
          <w:sz w:val="24"/>
          <w:szCs w:val="24"/>
        </w:rPr>
        <w:t xml:space="preserve"> AFS</w:t>
      </w:r>
      <w:r w:rsidRPr="007F6548">
        <w:rPr>
          <w:rStyle w:val="s2"/>
          <w:rFonts w:ascii="Arial" w:hAnsi="Arial" w:cs="Arial"/>
          <w:color w:val="000000" w:themeColor="text1"/>
          <w:sz w:val="24"/>
          <w:szCs w:val="24"/>
        </w:rPr>
        <w:t xml:space="preserve"> seem to be complied by its chairman and not its auditors as required in terms of </w:t>
      </w:r>
      <w:r w:rsidR="003478AB">
        <w:rPr>
          <w:rStyle w:val="s2"/>
          <w:rFonts w:ascii="Arial" w:hAnsi="Arial" w:cs="Arial"/>
          <w:color w:val="000000" w:themeColor="text1"/>
          <w:sz w:val="24"/>
          <w:szCs w:val="24"/>
        </w:rPr>
        <w:t>s</w:t>
      </w:r>
      <w:r w:rsidRPr="007F6548">
        <w:rPr>
          <w:rStyle w:val="s2"/>
          <w:rFonts w:ascii="Arial" w:hAnsi="Arial" w:cs="Arial"/>
          <w:color w:val="000000" w:themeColor="text1"/>
          <w:sz w:val="24"/>
          <w:szCs w:val="24"/>
        </w:rPr>
        <w:t xml:space="preserve"> 12 read with Regulation 10. The</w:t>
      </w:r>
      <w:r w:rsidR="00804C97">
        <w:rPr>
          <w:rStyle w:val="s2"/>
          <w:rFonts w:ascii="Arial" w:hAnsi="Arial" w:cs="Arial"/>
          <w:color w:val="000000" w:themeColor="text1"/>
          <w:sz w:val="24"/>
          <w:szCs w:val="24"/>
        </w:rPr>
        <w:t xml:space="preserve"> AFS</w:t>
      </w:r>
      <w:r w:rsidRPr="007F6548">
        <w:rPr>
          <w:rStyle w:val="s2"/>
          <w:rFonts w:ascii="Arial" w:hAnsi="Arial" w:cs="Arial"/>
          <w:color w:val="000000" w:themeColor="text1"/>
          <w:sz w:val="24"/>
          <w:szCs w:val="24"/>
        </w:rPr>
        <w:t xml:space="preserve"> represent its financial position to be nil. On the same date, it submitted to the Commission an audit opinion confirming that it did not receive any funding in the period under review. However, the opinion is also not in the prescribed format.</w:t>
      </w:r>
    </w:p>
    <w:p w14:paraId="243D18EF" w14:textId="77777777" w:rsidR="00E33705" w:rsidRPr="007F6548" w:rsidRDefault="00E33705" w:rsidP="00E33705">
      <w:pPr>
        <w:pStyle w:val="p2"/>
        <w:spacing w:line="360" w:lineRule="auto"/>
        <w:jc w:val="both"/>
        <w:rPr>
          <w:rFonts w:ascii="Arial" w:hAnsi="Arial" w:cs="Arial"/>
          <w:color w:val="000000" w:themeColor="text1"/>
          <w:sz w:val="24"/>
          <w:szCs w:val="24"/>
        </w:rPr>
      </w:pPr>
    </w:p>
    <w:p w14:paraId="56F25E77" w14:textId="671143CA" w:rsidR="00E33705" w:rsidRPr="007F6548" w:rsidRDefault="00E33705" w:rsidP="00E33705">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C63692">
        <w:rPr>
          <w:rStyle w:val="s2"/>
          <w:rFonts w:ascii="Arial" w:hAnsi="Arial" w:cs="Arial"/>
          <w:color w:val="000000" w:themeColor="text1"/>
          <w:sz w:val="24"/>
          <w:szCs w:val="24"/>
        </w:rPr>
        <w:t>62</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t xml:space="preserve">OCM’s chairman pleads with this </w:t>
      </w:r>
      <w:r w:rsidR="00C63692">
        <w:rPr>
          <w:rStyle w:val="s2"/>
          <w:rFonts w:ascii="Arial" w:hAnsi="Arial" w:cs="Arial"/>
          <w:color w:val="000000" w:themeColor="text1"/>
          <w:sz w:val="24"/>
          <w:szCs w:val="24"/>
        </w:rPr>
        <w:t>Court</w:t>
      </w:r>
      <w:r w:rsidRPr="007F6548">
        <w:rPr>
          <w:rStyle w:val="s2"/>
          <w:rFonts w:ascii="Arial" w:hAnsi="Arial" w:cs="Arial"/>
          <w:color w:val="000000" w:themeColor="text1"/>
          <w:sz w:val="24"/>
          <w:szCs w:val="24"/>
        </w:rPr>
        <w:t xml:space="preserve"> not to impose the administrative penalty prayed for by the applicants in the amount of R10</w:t>
      </w:r>
      <w:r w:rsidR="006762A5">
        <w:rPr>
          <w:rStyle w:val="s2"/>
          <w:rFonts w:ascii="Arial" w:hAnsi="Arial" w:cs="Arial"/>
          <w:color w:val="000000" w:themeColor="text1"/>
          <w:sz w:val="24"/>
          <w:szCs w:val="24"/>
        </w:rPr>
        <w:t xml:space="preserve"> </w:t>
      </w:r>
      <w:r w:rsidRPr="007F6548">
        <w:rPr>
          <w:rStyle w:val="s2"/>
          <w:rFonts w:ascii="Arial" w:hAnsi="Arial" w:cs="Arial"/>
          <w:color w:val="000000" w:themeColor="text1"/>
          <w:sz w:val="24"/>
          <w:szCs w:val="24"/>
        </w:rPr>
        <w:t>000.</w:t>
      </w:r>
    </w:p>
    <w:p w14:paraId="2B1EECAC" w14:textId="77777777" w:rsidR="00E33705" w:rsidRPr="007F6548" w:rsidRDefault="00E33705" w:rsidP="00E33705">
      <w:pPr>
        <w:pStyle w:val="p2"/>
        <w:spacing w:line="360" w:lineRule="auto"/>
        <w:jc w:val="both"/>
        <w:rPr>
          <w:rFonts w:ascii="Arial" w:hAnsi="Arial" w:cs="Arial"/>
          <w:color w:val="000000" w:themeColor="text1"/>
          <w:sz w:val="24"/>
          <w:szCs w:val="24"/>
        </w:rPr>
      </w:pPr>
    </w:p>
    <w:p w14:paraId="5C6A5C79" w14:textId="3107E77B" w:rsidR="00E33705" w:rsidRPr="007F6548" w:rsidRDefault="00E33705" w:rsidP="00E33705">
      <w:pPr>
        <w:pStyle w:val="p3"/>
        <w:spacing w:line="360" w:lineRule="auto"/>
        <w:jc w:val="both"/>
        <w:rPr>
          <w:rFonts w:ascii="Arial" w:hAnsi="Arial" w:cs="Arial"/>
          <w:color w:val="000000" w:themeColor="text1"/>
          <w:sz w:val="24"/>
          <w:szCs w:val="24"/>
        </w:rPr>
      </w:pPr>
      <w:r w:rsidRPr="007F6548">
        <w:rPr>
          <w:rStyle w:val="s2"/>
          <w:rFonts w:ascii="Arial" w:hAnsi="Arial" w:cs="Arial"/>
          <w:color w:val="000000" w:themeColor="text1"/>
          <w:sz w:val="24"/>
          <w:szCs w:val="24"/>
        </w:rPr>
        <w:t>[</w:t>
      </w:r>
      <w:r w:rsidR="00900A4D">
        <w:rPr>
          <w:rStyle w:val="s2"/>
          <w:rFonts w:ascii="Arial" w:hAnsi="Arial" w:cs="Arial"/>
          <w:color w:val="000000" w:themeColor="text1"/>
          <w:sz w:val="24"/>
          <w:szCs w:val="24"/>
        </w:rPr>
        <w:t>6</w:t>
      </w:r>
      <w:r w:rsidR="00C63692">
        <w:rPr>
          <w:rStyle w:val="s2"/>
          <w:rFonts w:ascii="Arial" w:hAnsi="Arial" w:cs="Arial"/>
          <w:color w:val="000000" w:themeColor="text1"/>
          <w:sz w:val="24"/>
          <w:szCs w:val="24"/>
        </w:rPr>
        <w:t>3</w:t>
      </w:r>
      <w:r w:rsidRPr="007F6548">
        <w:rPr>
          <w:rStyle w:val="s2"/>
          <w:rFonts w:ascii="Arial" w:hAnsi="Arial" w:cs="Arial"/>
          <w:color w:val="000000" w:themeColor="text1"/>
          <w:sz w:val="24"/>
          <w:szCs w:val="24"/>
        </w:rPr>
        <w:t>]</w:t>
      </w:r>
      <w:r w:rsidRPr="007F6548">
        <w:rPr>
          <w:rStyle w:val="s2"/>
          <w:rFonts w:ascii="Arial" w:hAnsi="Arial" w:cs="Arial"/>
          <w:color w:val="000000" w:themeColor="text1"/>
          <w:sz w:val="24"/>
          <w:szCs w:val="24"/>
        </w:rPr>
        <w:tab/>
        <w:t>The applicants confirm OCM’s version in its replying affidavit. The Commission also confirms that OCM has since been dissolved.</w:t>
      </w:r>
      <w:r w:rsidRPr="007F6548">
        <w:rPr>
          <w:rStyle w:val="apple-converted-space"/>
          <w:rFonts w:ascii="Arial" w:hAnsi="Arial" w:cs="Arial"/>
          <w:color w:val="000000" w:themeColor="text1"/>
          <w:sz w:val="24"/>
          <w:szCs w:val="24"/>
        </w:rPr>
        <w:t> </w:t>
      </w:r>
    </w:p>
    <w:p w14:paraId="0661B724" w14:textId="77777777" w:rsidR="00E33705" w:rsidRDefault="00E33705" w:rsidP="00AF3B17">
      <w:pPr>
        <w:pStyle w:val="p3"/>
        <w:spacing w:line="360" w:lineRule="auto"/>
        <w:jc w:val="both"/>
        <w:rPr>
          <w:rFonts w:ascii="Arial" w:hAnsi="Arial" w:cs="Arial"/>
          <w:iCs/>
          <w:color w:val="000000" w:themeColor="text1"/>
          <w:sz w:val="24"/>
          <w:szCs w:val="24"/>
        </w:rPr>
      </w:pPr>
    </w:p>
    <w:p w14:paraId="6E88AF2B" w14:textId="5D7D07EB" w:rsidR="00C07F97" w:rsidRDefault="009678A5" w:rsidP="00AF3B17">
      <w:pPr>
        <w:pStyle w:val="p3"/>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[6</w:t>
      </w:r>
      <w:r w:rsidR="00C63692">
        <w:rPr>
          <w:rFonts w:ascii="Arial" w:hAnsi="Arial" w:cs="Arial"/>
          <w:iCs/>
          <w:color w:val="000000" w:themeColor="text1"/>
          <w:sz w:val="24"/>
          <w:szCs w:val="24"/>
        </w:rPr>
        <w:t>4</w:t>
      </w:r>
      <w:r>
        <w:rPr>
          <w:rFonts w:ascii="Arial" w:hAnsi="Arial" w:cs="Arial"/>
          <w:iCs/>
          <w:color w:val="000000" w:themeColor="text1"/>
          <w:sz w:val="24"/>
          <w:szCs w:val="24"/>
        </w:rPr>
        <w:t>]</w:t>
      </w:r>
      <w:r>
        <w:rPr>
          <w:rFonts w:ascii="Arial" w:hAnsi="Arial" w:cs="Arial"/>
          <w:iCs/>
          <w:color w:val="000000" w:themeColor="text1"/>
          <w:sz w:val="24"/>
          <w:szCs w:val="24"/>
        </w:rPr>
        <w:tab/>
        <w:t xml:space="preserve">The above facts distinguish OCM from the other respondents. </w:t>
      </w:r>
      <w:r w:rsidR="00890D54" w:rsidRPr="007F6548">
        <w:rPr>
          <w:rFonts w:ascii="Arial" w:hAnsi="Arial" w:cs="Arial"/>
          <w:iCs/>
          <w:color w:val="000000" w:themeColor="text1"/>
          <w:sz w:val="24"/>
          <w:szCs w:val="24"/>
        </w:rPr>
        <w:t>OCM did not ignore the Commission’s notice and directive.</w:t>
      </w:r>
      <w:r w:rsidR="00890D54">
        <w:rPr>
          <w:rFonts w:ascii="Arial" w:hAnsi="Arial" w:cs="Arial"/>
          <w:iCs/>
          <w:color w:val="000000" w:themeColor="text1"/>
          <w:sz w:val="24"/>
          <w:szCs w:val="24"/>
        </w:rPr>
        <w:t xml:space="preserve"> Nothing in the papers before this </w:t>
      </w:r>
      <w:r w:rsidR="00C63692">
        <w:rPr>
          <w:rFonts w:ascii="Arial" w:hAnsi="Arial" w:cs="Arial"/>
          <w:iCs/>
          <w:color w:val="000000" w:themeColor="text1"/>
          <w:sz w:val="24"/>
          <w:szCs w:val="24"/>
        </w:rPr>
        <w:t>Court</w:t>
      </w:r>
      <w:r w:rsidR="00890D54">
        <w:rPr>
          <w:rFonts w:ascii="Arial" w:hAnsi="Arial" w:cs="Arial"/>
          <w:iCs/>
          <w:color w:val="000000" w:themeColor="text1"/>
          <w:sz w:val="24"/>
          <w:szCs w:val="24"/>
        </w:rPr>
        <w:t xml:space="preserve"> </w:t>
      </w:r>
      <w:r w:rsidR="00BA0EB6">
        <w:rPr>
          <w:rFonts w:ascii="Arial" w:hAnsi="Arial" w:cs="Arial"/>
          <w:iCs/>
          <w:color w:val="000000" w:themeColor="text1"/>
          <w:sz w:val="24"/>
          <w:szCs w:val="24"/>
        </w:rPr>
        <w:t>suggests that it misrepresented its financial position.</w:t>
      </w:r>
      <w:r w:rsidR="00890D54" w:rsidRPr="007F6548">
        <w:rPr>
          <w:rFonts w:ascii="Arial" w:hAnsi="Arial" w:cs="Arial"/>
          <w:iCs/>
          <w:color w:val="000000" w:themeColor="text1"/>
          <w:sz w:val="24"/>
          <w:szCs w:val="24"/>
        </w:rPr>
        <w:t xml:space="preserve"> </w:t>
      </w:r>
      <w:r w:rsidR="00E62FA2" w:rsidRPr="007F6548">
        <w:rPr>
          <w:rFonts w:ascii="Arial" w:hAnsi="Arial" w:cs="Arial"/>
          <w:iCs/>
          <w:color w:val="000000" w:themeColor="text1"/>
          <w:sz w:val="24"/>
          <w:szCs w:val="24"/>
        </w:rPr>
        <w:t xml:space="preserve">It </w:t>
      </w:r>
      <w:r w:rsidR="0080113E" w:rsidRPr="007F6548">
        <w:rPr>
          <w:rFonts w:ascii="Arial" w:hAnsi="Arial" w:cs="Arial"/>
          <w:iCs/>
          <w:color w:val="000000" w:themeColor="text1"/>
          <w:sz w:val="24"/>
          <w:szCs w:val="24"/>
        </w:rPr>
        <w:t xml:space="preserve">has </w:t>
      </w:r>
      <w:r w:rsidR="00D52E23" w:rsidRPr="007F6548">
        <w:rPr>
          <w:rFonts w:ascii="Arial" w:hAnsi="Arial" w:cs="Arial"/>
          <w:iCs/>
          <w:color w:val="000000" w:themeColor="text1"/>
          <w:sz w:val="24"/>
          <w:szCs w:val="24"/>
        </w:rPr>
        <w:t>su</w:t>
      </w:r>
      <w:r w:rsidR="000745FE" w:rsidRPr="007F6548">
        <w:rPr>
          <w:rFonts w:ascii="Arial" w:hAnsi="Arial" w:cs="Arial"/>
          <w:iCs/>
          <w:color w:val="000000" w:themeColor="text1"/>
          <w:sz w:val="24"/>
          <w:szCs w:val="24"/>
        </w:rPr>
        <w:t>bstantially</w:t>
      </w:r>
      <w:r w:rsidR="00D52E23" w:rsidRPr="007F6548">
        <w:rPr>
          <w:rFonts w:ascii="Arial" w:hAnsi="Arial" w:cs="Arial"/>
          <w:iCs/>
          <w:color w:val="000000" w:themeColor="text1"/>
          <w:sz w:val="24"/>
          <w:szCs w:val="24"/>
        </w:rPr>
        <w:t xml:space="preserve"> </w:t>
      </w:r>
      <w:r w:rsidR="0080113E" w:rsidRPr="007F6548">
        <w:rPr>
          <w:rFonts w:ascii="Arial" w:hAnsi="Arial" w:cs="Arial"/>
          <w:iCs/>
          <w:color w:val="000000" w:themeColor="text1"/>
          <w:sz w:val="24"/>
          <w:szCs w:val="24"/>
        </w:rPr>
        <w:t>complied with its obligations in terms of s 1</w:t>
      </w:r>
      <w:r w:rsidR="003478AB">
        <w:rPr>
          <w:rFonts w:ascii="Arial" w:hAnsi="Arial" w:cs="Arial"/>
          <w:iCs/>
          <w:color w:val="000000" w:themeColor="text1"/>
          <w:sz w:val="24"/>
          <w:szCs w:val="24"/>
        </w:rPr>
        <w:t>2</w:t>
      </w:r>
      <w:r w:rsidR="0080113E" w:rsidRPr="007F6548">
        <w:rPr>
          <w:rFonts w:ascii="Arial" w:hAnsi="Arial" w:cs="Arial"/>
          <w:iCs/>
          <w:color w:val="000000" w:themeColor="text1"/>
          <w:sz w:val="24"/>
          <w:szCs w:val="24"/>
        </w:rPr>
        <w:t xml:space="preserve"> read with Regulation </w:t>
      </w:r>
      <w:r w:rsidR="00D52E23" w:rsidRPr="007F6548">
        <w:rPr>
          <w:rFonts w:ascii="Arial" w:hAnsi="Arial" w:cs="Arial"/>
          <w:iCs/>
          <w:color w:val="000000" w:themeColor="text1"/>
          <w:sz w:val="24"/>
          <w:szCs w:val="24"/>
        </w:rPr>
        <w:t>even before this applicat</w:t>
      </w:r>
      <w:r w:rsidR="00892AB7" w:rsidRPr="007F6548">
        <w:rPr>
          <w:rFonts w:ascii="Arial" w:hAnsi="Arial" w:cs="Arial"/>
          <w:iCs/>
          <w:color w:val="000000" w:themeColor="text1"/>
          <w:sz w:val="24"/>
          <w:szCs w:val="24"/>
        </w:rPr>
        <w:t>ion was instituted</w:t>
      </w:r>
      <w:r w:rsidR="004F289A" w:rsidRPr="007F6548">
        <w:rPr>
          <w:rFonts w:ascii="Arial" w:hAnsi="Arial" w:cs="Arial"/>
          <w:iCs/>
          <w:color w:val="000000" w:themeColor="text1"/>
          <w:sz w:val="24"/>
          <w:szCs w:val="24"/>
        </w:rPr>
        <w:t>, albeit not in the prescribed format</w:t>
      </w:r>
      <w:r w:rsidR="00892AB7" w:rsidRPr="007F6548">
        <w:rPr>
          <w:rFonts w:ascii="Arial" w:hAnsi="Arial" w:cs="Arial"/>
          <w:iCs/>
          <w:color w:val="000000" w:themeColor="text1"/>
          <w:sz w:val="24"/>
          <w:szCs w:val="24"/>
        </w:rPr>
        <w:t>.</w:t>
      </w:r>
      <w:r w:rsidR="006A58CB">
        <w:rPr>
          <w:rFonts w:ascii="Arial" w:hAnsi="Arial" w:cs="Arial"/>
          <w:iCs/>
          <w:color w:val="000000" w:themeColor="text1"/>
          <w:sz w:val="24"/>
          <w:szCs w:val="24"/>
        </w:rPr>
        <w:t xml:space="preserve"> The declaratory order sought by the Commission </w:t>
      </w:r>
      <w:r w:rsidR="00650A5B">
        <w:rPr>
          <w:rFonts w:ascii="Arial" w:hAnsi="Arial" w:cs="Arial"/>
          <w:iCs/>
          <w:color w:val="000000" w:themeColor="text1"/>
          <w:sz w:val="24"/>
          <w:szCs w:val="24"/>
        </w:rPr>
        <w:t>is sufficient to</w:t>
      </w:r>
      <w:r w:rsidR="00CB32A4">
        <w:rPr>
          <w:rFonts w:ascii="Arial" w:hAnsi="Arial" w:cs="Arial"/>
          <w:iCs/>
          <w:color w:val="000000" w:themeColor="text1"/>
          <w:sz w:val="24"/>
          <w:szCs w:val="24"/>
        </w:rPr>
        <w:t xml:space="preserve"> record</w:t>
      </w:r>
      <w:r w:rsidR="004E755C">
        <w:rPr>
          <w:rFonts w:ascii="Arial" w:hAnsi="Arial" w:cs="Arial"/>
          <w:iCs/>
          <w:color w:val="000000" w:themeColor="text1"/>
          <w:sz w:val="24"/>
          <w:szCs w:val="24"/>
        </w:rPr>
        <w:t xml:space="preserve"> OCM’s non-compliance.</w:t>
      </w:r>
      <w:r w:rsidR="006A58CB">
        <w:rPr>
          <w:rFonts w:ascii="Arial" w:hAnsi="Arial" w:cs="Arial"/>
          <w:iCs/>
          <w:color w:val="000000" w:themeColor="text1"/>
          <w:sz w:val="24"/>
          <w:szCs w:val="24"/>
        </w:rPr>
        <w:t xml:space="preserve"> </w:t>
      </w:r>
      <w:r w:rsidR="004E755C">
        <w:rPr>
          <w:rFonts w:ascii="Arial" w:hAnsi="Arial" w:cs="Arial"/>
          <w:iCs/>
          <w:color w:val="000000" w:themeColor="text1"/>
          <w:sz w:val="24"/>
          <w:szCs w:val="24"/>
        </w:rPr>
        <w:t>I</w:t>
      </w:r>
      <w:r w:rsidR="00F04E4F" w:rsidRPr="007F6548">
        <w:rPr>
          <w:rFonts w:ascii="Arial" w:hAnsi="Arial" w:cs="Arial"/>
          <w:iCs/>
          <w:color w:val="000000" w:themeColor="text1"/>
          <w:sz w:val="24"/>
          <w:szCs w:val="24"/>
        </w:rPr>
        <w:t>mpos</w:t>
      </w:r>
      <w:r w:rsidR="004E755C">
        <w:rPr>
          <w:rFonts w:ascii="Arial" w:hAnsi="Arial" w:cs="Arial"/>
          <w:iCs/>
          <w:color w:val="000000" w:themeColor="text1"/>
          <w:sz w:val="24"/>
          <w:szCs w:val="24"/>
        </w:rPr>
        <w:t xml:space="preserve">ing </w:t>
      </w:r>
      <w:r w:rsidR="00F04E4F" w:rsidRPr="007F6548">
        <w:rPr>
          <w:rFonts w:ascii="Arial" w:hAnsi="Arial" w:cs="Arial"/>
          <w:iCs/>
          <w:color w:val="000000" w:themeColor="text1"/>
          <w:sz w:val="24"/>
          <w:szCs w:val="24"/>
        </w:rPr>
        <w:t xml:space="preserve">the proposed administrative </w:t>
      </w:r>
      <w:r w:rsidR="000134C5">
        <w:rPr>
          <w:rFonts w:ascii="Arial" w:hAnsi="Arial" w:cs="Arial"/>
          <w:iCs/>
          <w:color w:val="000000" w:themeColor="text1"/>
          <w:sz w:val="24"/>
          <w:szCs w:val="24"/>
        </w:rPr>
        <w:t>penalty</w:t>
      </w:r>
      <w:r w:rsidR="00F04E4F" w:rsidRPr="007F6548">
        <w:rPr>
          <w:rFonts w:ascii="Arial" w:hAnsi="Arial" w:cs="Arial"/>
          <w:iCs/>
          <w:color w:val="000000" w:themeColor="text1"/>
          <w:sz w:val="24"/>
          <w:szCs w:val="24"/>
        </w:rPr>
        <w:t xml:space="preserve"> on OCM </w:t>
      </w:r>
      <w:r w:rsidR="004206A3" w:rsidRPr="007F6548">
        <w:rPr>
          <w:rFonts w:ascii="Arial" w:hAnsi="Arial" w:cs="Arial"/>
          <w:iCs/>
          <w:color w:val="000000" w:themeColor="text1"/>
          <w:sz w:val="24"/>
          <w:szCs w:val="24"/>
        </w:rPr>
        <w:t>would</w:t>
      </w:r>
      <w:r w:rsidR="004E755C">
        <w:rPr>
          <w:rFonts w:ascii="Arial" w:hAnsi="Arial" w:cs="Arial"/>
          <w:iCs/>
          <w:color w:val="000000" w:themeColor="text1"/>
          <w:sz w:val="24"/>
          <w:szCs w:val="24"/>
        </w:rPr>
        <w:t xml:space="preserve"> serve no further purpose.</w:t>
      </w:r>
      <w:r w:rsidR="004206A3" w:rsidRPr="007F6548">
        <w:rPr>
          <w:rFonts w:ascii="Arial" w:hAnsi="Arial" w:cs="Arial"/>
          <w:iCs/>
          <w:color w:val="000000" w:themeColor="text1"/>
          <w:sz w:val="24"/>
          <w:szCs w:val="24"/>
        </w:rPr>
        <w:t xml:space="preserve"> </w:t>
      </w:r>
      <w:r w:rsidR="004E755C">
        <w:rPr>
          <w:rFonts w:ascii="Arial" w:hAnsi="Arial" w:cs="Arial"/>
          <w:iCs/>
          <w:color w:val="000000" w:themeColor="text1"/>
          <w:sz w:val="24"/>
          <w:szCs w:val="24"/>
        </w:rPr>
        <w:t>It would</w:t>
      </w:r>
      <w:r w:rsidR="004206A3" w:rsidRPr="007F6548">
        <w:rPr>
          <w:rFonts w:ascii="Arial" w:hAnsi="Arial" w:cs="Arial"/>
          <w:iCs/>
          <w:color w:val="000000" w:themeColor="text1"/>
          <w:sz w:val="24"/>
          <w:szCs w:val="24"/>
        </w:rPr>
        <w:t xml:space="preserve"> elevate substance over form. </w:t>
      </w:r>
      <w:r w:rsidR="008A498A" w:rsidRPr="007F6548">
        <w:rPr>
          <w:rFonts w:ascii="Arial" w:hAnsi="Arial" w:cs="Arial"/>
          <w:iCs/>
          <w:color w:val="000000" w:themeColor="text1"/>
          <w:sz w:val="24"/>
          <w:szCs w:val="24"/>
        </w:rPr>
        <w:t>It</w:t>
      </w:r>
      <w:r w:rsidR="004206A3" w:rsidRPr="007F6548">
        <w:rPr>
          <w:rFonts w:ascii="Arial" w:hAnsi="Arial" w:cs="Arial"/>
          <w:iCs/>
          <w:color w:val="000000" w:themeColor="text1"/>
          <w:sz w:val="24"/>
          <w:szCs w:val="24"/>
        </w:rPr>
        <w:t xml:space="preserve"> </w:t>
      </w:r>
      <w:r w:rsidR="00F04E4F" w:rsidRPr="007F6548">
        <w:rPr>
          <w:rFonts w:ascii="Arial" w:hAnsi="Arial" w:cs="Arial"/>
          <w:iCs/>
          <w:color w:val="000000" w:themeColor="text1"/>
          <w:sz w:val="24"/>
          <w:szCs w:val="24"/>
        </w:rPr>
        <w:t xml:space="preserve">would not serve the objectives of </w:t>
      </w:r>
      <w:r w:rsidR="002A6BC7">
        <w:rPr>
          <w:rFonts w:ascii="Arial" w:hAnsi="Arial" w:cs="Arial"/>
          <w:iCs/>
          <w:color w:val="000000" w:themeColor="text1"/>
          <w:sz w:val="24"/>
          <w:szCs w:val="24"/>
        </w:rPr>
        <w:t>the Funding Act</w:t>
      </w:r>
      <w:r w:rsidR="00F04E4F" w:rsidRPr="007F6548">
        <w:rPr>
          <w:rFonts w:ascii="Arial" w:hAnsi="Arial" w:cs="Arial"/>
          <w:iCs/>
          <w:color w:val="000000" w:themeColor="text1"/>
          <w:sz w:val="24"/>
          <w:szCs w:val="24"/>
        </w:rPr>
        <w:t xml:space="preserve">. There is no prospect of </w:t>
      </w:r>
      <w:r w:rsidR="004D4E9E">
        <w:rPr>
          <w:rFonts w:ascii="Arial" w:hAnsi="Arial" w:cs="Arial"/>
          <w:iCs/>
          <w:color w:val="000000" w:themeColor="text1"/>
          <w:sz w:val="24"/>
          <w:szCs w:val="24"/>
        </w:rPr>
        <w:t xml:space="preserve">OCM </w:t>
      </w:r>
      <w:r w:rsidR="00F04E4F" w:rsidRPr="007F6548">
        <w:rPr>
          <w:rFonts w:ascii="Arial" w:hAnsi="Arial" w:cs="Arial"/>
          <w:iCs/>
          <w:color w:val="000000" w:themeColor="text1"/>
          <w:sz w:val="24"/>
          <w:szCs w:val="24"/>
        </w:rPr>
        <w:t xml:space="preserve">reoffending as it has been dissolved.  </w:t>
      </w:r>
    </w:p>
    <w:p w14:paraId="567B4684" w14:textId="77777777" w:rsidR="008B670A" w:rsidRDefault="008B670A" w:rsidP="00AF3B17">
      <w:pPr>
        <w:pStyle w:val="p3"/>
        <w:spacing w:line="360" w:lineRule="auto"/>
        <w:jc w:val="both"/>
        <w:rPr>
          <w:rFonts w:ascii="Arial" w:hAnsi="Arial" w:cs="Arial"/>
          <w:iCs/>
          <w:color w:val="000000" w:themeColor="text1"/>
          <w:sz w:val="24"/>
          <w:szCs w:val="24"/>
        </w:rPr>
      </w:pPr>
    </w:p>
    <w:p w14:paraId="339C79F0" w14:textId="02546F8C" w:rsidR="005222F9" w:rsidRDefault="008B670A" w:rsidP="00AF3B17">
      <w:pPr>
        <w:pStyle w:val="p3"/>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[6</w:t>
      </w:r>
      <w:r w:rsidR="00C63692">
        <w:rPr>
          <w:rFonts w:ascii="Arial" w:hAnsi="Arial" w:cs="Arial"/>
          <w:iCs/>
          <w:color w:val="000000" w:themeColor="text1"/>
          <w:sz w:val="24"/>
          <w:szCs w:val="24"/>
        </w:rPr>
        <w:t>5</w:t>
      </w:r>
      <w:r>
        <w:rPr>
          <w:rFonts w:ascii="Arial" w:hAnsi="Arial" w:cs="Arial"/>
          <w:iCs/>
          <w:color w:val="000000" w:themeColor="text1"/>
          <w:sz w:val="24"/>
          <w:szCs w:val="24"/>
        </w:rPr>
        <w:t>]</w:t>
      </w:r>
      <w:r w:rsidR="0073487A">
        <w:rPr>
          <w:rFonts w:ascii="Arial" w:hAnsi="Arial" w:cs="Arial"/>
          <w:iCs/>
          <w:color w:val="000000" w:themeColor="text1"/>
          <w:sz w:val="24"/>
          <w:szCs w:val="24"/>
        </w:rPr>
        <w:tab/>
      </w:r>
      <w:r w:rsidR="00867A23">
        <w:rPr>
          <w:rFonts w:ascii="Arial" w:hAnsi="Arial" w:cs="Arial"/>
          <w:iCs/>
          <w:color w:val="000000" w:themeColor="text1"/>
          <w:sz w:val="24"/>
          <w:szCs w:val="24"/>
        </w:rPr>
        <w:t>The applicants have prayed for different amounts to be imposed</w:t>
      </w:r>
      <w:r w:rsidR="0073487A">
        <w:rPr>
          <w:rFonts w:ascii="Arial" w:hAnsi="Arial" w:cs="Arial"/>
          <w:iCs/>
          <w:color w:val="000000" w:themeColor="text1"/>
          <w:sz w:val="24"/>
          <w:szCs w:val="24"/>
        </w:rPr>
        <w:t xml:space="preserve"> in respect of administrative penalties. </w:t>
      </w:r>
      <w:r w:rsidR="0029746F">
        <w:rPr>
          <w:rFonts w:ascii="Arial" w:hAnsi="Arial" w:cs="Arial"/>
          <w:iCs/>
          <w:color w:val="000000" w:themeColor="text1"/>
          <w:sz w:val="24"/>
          <w:szCs w:val="24"/>
        </w:rPr>
        <w:t>None of the respondents have taken issue with</w:t>
      </w:r>
      <w:r w:rsidR="008E1518">
        <w:rPr>
          <w:rFonts w:ascii="Arial" w:hAnsi="Arial" w:cs="Arial"/>
          <w:iCs/>
          <w:color w:val="000000" w:themeColor="text1"/>
          <w:sz w:val="24"/>
          <w:szCs w:val="24"/>
        </w:rPr>
        <w:t xml:space="preserve"> the proposed amounts. </w:t>
      </w:r>
      <w:r w:rsidR="00C37268">
        <w:rPr>
          <w:rFonts w:ascii="Arial" w:hAnsi="Arial" w:cs="Arial"/>
          <w:iCs/>
          <w:color w:val="000000" w:themeColor="text1"/>
          <w:sz w:val="24"/>
          <w:szCs w:val="24"/>
        </w:rPr>
        <w:t>I am satisfied that the Commission has made out a proper case for administrative penalties as prayed for in the notice of motion to be imposed on the remaining responden</w:t>
      </w:r>
      <w:r w:rsidR="005222F9">
        <w:rPr>
          <w:rFonts w:ascii="Arial" w:hAnsi="Arial" w:cs="Arial"/>
          <w:iCs/>
          <w:color w:val="000000" w:themeColor="text1"/>
          <w:sz w:val="24"/>
          <w:szCs w:val="24"/>
        </w:rPr>
        <w:t>ts</w:t>
      </w:r>
      <w:r w:rsidR="00C37268">
        <w:rPr>
          <w:rFonts w:ascii="Arial" w:hAnsi="Arial" w:cs="Arial"/>
          <w:iCs/>
          <w:color w:val="000000" w:themeColor="text1"/>
          <w:sz w:val="24"/>
          <w:szCs w:val="24"/>
        </w:rPr>
        <w:t>. The status of a party as well as the nature of non-compliance justify the imposition of administrative penalties in different amount</w:t>
      </w:r>
      <w:r w:rsidR="005222F9">
        <w:rPr>
          <w:rFonts w:ascii="Arial" w:hAnsi="Arial" w:cs="Arial"/>
          <w:iCs/>
          <w:color w:val="000000" w:themeColor="text1"/>
          <w:sz w:val="24"/>
          <w:szCs w:val="24"/>
        </w:rPr>
        <w:t>s</w:t>
      </w:r>
      <w:r w:rsidR="00C37268">
        <w:rPr>
          <w:rFonts w:ascii="Arial" w:hAnsi="Arial" w:cs="Arial"/>
          <w:iCs/>
          <w:color w:val="000000" w:themeColor="text1"/>
          <w:sz w:val="24"/>
          <w:szCs w:val="24"/>
        </w:rPr>
        <w:t xml:space="preserve">.  </w:t>
      </w:r>
    </w:p>
    <w:p w14:paraId="1749F984" w14:textId="77777777" w:rsidR="005222F9" w:rsidRDefault="005222F9" w:rsidP="00AF3B17">
      <w:pPr>
        <w:pStyle w:val="p3"/>
        <w:spacing w:line="360" w:lineRule="auto"/>
        <w:jc w:val="both"/>
        <w:rPr>
          <w:rFonts w:ascii="Arial" w:hAnsi="Arial" w:cs="Arial"/>
          <w:iCs/>
          <w:color w:val="000000" w:themeColor="text1"/>
          <w:sz w:val="24"/>
          <w:szCs w:val="24"/>
        </w:rPr>
      </w:pPr>
    </w:p>
    <w:p w14:paraId="797EA3B3" w14:textId="2CE9E99E" w:rsidR="005222F9" w:rsidRDefault="005222F9" w:rsidP="00AF3B17">
      <w:pPr>
        <w:pStyle w:val="p3"/>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[66]</w:t>
      </w:r>
      <w:r>
        <w:rPr>
          <w:rFonts w:ascii="Arial" w:hAnsi="Arial" w:cs="Arial"/>
          <w:iCs/>
          <w:color w:val="000000" w:themeColor="text1"/>
          <w:sz w:val="24"/>
          <w:szCs w:val="24"/>
        </w:rPr>
        <w:tab/>
      </w:r>
      <w:r w:rsidR="00C37268">
        <w:rPr>
          <w:rFonts w:ascii="Arial" w:hAnsi="Arial" w:cs="Arial"/>
          <w:iCs/>
          <w:color w:val="000000" w:themeColor="text1"/>
          <w:sz w:val="24"/>
          <w:szCs w:val="24"/>
        </w:rPr>
        <w:t>Non-compliance by registered political parties is aggravating because the</w:t>
      </w:r>
      <w:r>
        <w:rPr>
          <w:rFonts w:ascii="Arial" w:hAnsi="Arial" w:cs="Arial"/>
          <w:iCs/>
          <w:color w:val="000000" w:themeColor="text1"/>
          <w:sz w:val="24"/>
          <w:szCs w:val="24"/>
        </w:rPr>
        <w:t xml:space="preserve">se parties </w:t>
      </w:r>
      <w:r w:rsidR="00C37268">
        <w:rPr>
          <w:rFonts w:ascii="Arial" w:hAnsi="Arial" w:cs="Arial"/>
          <w:iCs/>
          <w:color w:val="000000" w:themeColor="text1"/>
          <w:sz w:val="24"/>
          <w:szCs w:val="24"/>
        </w:rPr>
        <w:t xml:space="preserve">receive funding under </w:t>
      </w:r>
      <w:r w:rsidR="002A6BC7">
        <w:rPr>
          <w:rFonts w:ascii="Arial" w:hAnsi="Arial" w:cs="Arial"/>
          <w:iCs/>
          <w:color w:val="000000" w:themeColor="text1"/>
          <w:sz w:val="24"/>
          <w:szCs w:val="24"/>
        </w:rPr>
        <w:t>the Funding Act</w:t>
      </w:r>
      <w:r>
        <w:rPr>
          <w:rFonts w:ascii="Arial" w:hAnsi="Arial" w:cs="Arial"/>
          <w:iCs/>
          <w:color w:val="000000" w:themeColor="text1"/>
          <w:sz w:val="24"/>
          <w:szCs w:val="24"/>
        </w:rPr>
        <w:t>. Further,</w:t>
      </w:r>
      <w:r w:rsidR="00C37268">
        <w:rPr>
          <w:rFonts w:ascii="Arial" w:hAnsi="Arial" w:cs="Arial"/>
          <w:iCs/>
          <w:color w:val="000000" w:themeColor="text1"/>
          <w:sz w:val="24"/>
          <w:szCs w:val="24"/>
        </w:rPr>
        <w:t xml:space="preserve"> th</w:t>
      </w:r>
      <w:r>
        <w:rPr>
          <w:rFonts w:ascii="Arial" w:hAnsi="Arial" w:cs="Arial"/>
          <w:iCs/>
          <w:color w:val="000000" w:themeColor="text1"/>
          <w:sz w:val="24"/>
          <w:szCs w:val="24"/>
        </w:rPr>
        <w:t>e</w:t>
      </w:r>
      <w:r w:rsidR="00C37268">
        <w:rPr>
          <w:rFonts w:ascii="Arial" w:hAnsi="Arial" w:cs="Arial"/>
          <w:iCs/>
          <w:color w:val="000000" w:themeColor="text1"/>
          <w:sz w:val="24"/>
          <w:szCs w:val="24"/>
        </w:rPr>
        <w:t>y are relatively larger</w:t>
      </w:r>
      <w:r>
        <w:rPr>
          <w:rFonts w:ascii="Arial" w:hAnsi="Arial" w:cs="Arial"/>
          <w:iCs/>
          <w:color w:val="000000" w:themeColor="text1"/>
          <w:sz w:val="24"/>
          <w:szCs w:val="24"/>
        </w:rPr>
        <w:t>.</w:t>
      </w:r>
      <w:r w:rsidR="00C37268">
        <w:rPr>
          <w:rFonts w:ascii="Arial" w:hAnsi="Arial" w:cs="Arial"/>
          <w:iCs/>
          <w:color w:val="000000" w:themeColor="text1"/>
          <w:sz w:val="24"/>
          <w:szCs w:val="24"/>
        </w:rPr>
        <w:t xml:space="preserve"> </w:t>
      </w:r>
      <w:r>
        <w:rPr>
          <w:rFonts w:ascii="Arial" w:hAnsi="Arial" w:cs="Arial"/>
          <w:iCs/>
          <w:color w:val="000000" w:themeColor="text1"/>
          <w:sz w:val="24"/>
          <w:szCs w:val="24"/>
        </w:rPr>
        <w:t xml:space="preserve">For </w:t>
      </w:r>
      <w:r w:rsidR="002C2F9C">
        <w:rPr>
          <w:rFonts w:ascii="Arial" w:hAnsi="Arial" w:cs="Arial"/>
          <w:iCs/>
          <w:color w:val="000000" w:themeColor="text1"/>
          <w:sz w:val="24"/>
          <w:szCs w:val="24"/>
        </w:rPr>
        <w:t>these reasons</w:t>
      </w:r>
      <w:r>
        <w:rPr>
          <w:rFonts w:ascii="Arial" w:hAnsi="Arial" w:cs="Arial"/>
          <w:iCs/>
          <w:color w:val="000000" w:themeColor="text1"/>
          <w:sz w:val="24"/>
          <w:szCs w:val="24"/>
        </w:rPr>
        <w:t xml:space="preserve">, they are in a position to carry the disbursements that are necessary to comply with </w:t>
      </w:r>
      <w:r w:rsidR="002A6BC7">
        <w:rPr>
          <w:rFonts w:ascii="Arial" w:hAnsi="Arial" w:cs="Arial"/>
          <w:iCs/>
          <w:color w:val="000000" w:themeColor="text1"/>
          <w:sz w:val="24"/>
          <w:szCs w:val="24"/>
        </w:rPr>
        <w:t>the Funding Act</w:t>
      </w:r>
      <w:r>
        <w:rPr>
          <w:rFonts w:ascii="Arial" w:hAnsi="Arial" w:cs="Arial"/>
          <w:iCs/>
          <w:color w:val="000000" w:themeColor="text1"/>
          <w:sz w:val="24"/>
          <w:szCs w:val="24"/>
        </w:rPr>
        <w:t xml:space="preserve">, even if their only funding is that received under </w:t>
      </w:r>
      <w:r w:rsidR="002A6BC7">
        <w:rPr>
          <w:rFonts w:ascii="Arial" w:hAnsi="Arial" w:cs="Arial"/>
          <w:iCs/>
          <w:color w:val="000000" w:themeColor="text1"/>
          <w:sz w:val="24"/>
          <w:szCs w:val="24"/>
        </w:rPr>
        <w:t>the Funding Act</w:t>
      </w:r>
      <w:r>
        <w:rPr>
          <w:rFonts w:ascii="Arial" w:hAnsi="Arial" w:cs="Arial"/>
          <w:iCs/>
          <w:color w:val="000000" w:themeColor="text1"/>
          <w:sz w:val="24"/>
          <w:szCs w:val="24"/>
        </w:rPr>
        <w:t xml:space="preserve"> as well as membership fees. </w:t>
      </w:r>
      <w:r w:rsidR="00C63E40">
        <w:rPr>
          <w:rFonts w:ascii="Arial" w:hAnsi="Arial" w:cs="Arial"/>
          <w:iCs/>
          <w:color w:val="000000" w:themeColor="text1"/>
          <w:sz w:val="24"/>
          <w:szCs w:val="24"/>
        </w:rPr>
        <w:t xml:space="preserve">They have ignored the Commission’s efforts to get them to comply and have not explained reasons for their failure to comply with their obligations in terms of this Act and Regulations to this Court. </w:t>
      </w:r>
    </w:p>
    <w:p w14:paraId="47F65000" w14:textId="77777777" w:rsidR="005222F9" w:rsidRDefault="005222F9" w:rsidP="00AF3B17">
      <w:pPr>
        <w:pStyle w:val="p3"/>
        <w:spacing w:line="360" w:lineRule="auto"/>
        <w:jc w:val="both"/>
        <w:rPr>
          <w:rFonts w:ascii="Arial" w:hAnsi="Arial" w:cs="Arial"/>
          <w:iCs/>
          <w:color w:val="000000" w:themeColor="text1"/>
          <w:sz w:val="24"/>
          <w:szCs w:val="24"/>
        </w:rPr>
      </w:pPr>
    </w:p>
    <w:p w14:paraId="44C322DF" w14:textId="218F2459" w:rsidR="008E1518" w:rsidRDefault="005222F9" w:rsidP="00AF3B17">
      <w:pPr>
        <w:pStyle w:val="p3"/>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[67]</w:t>
      </w:r>
      <w:r>
        <w:rPr>
          <w:rFonts w:ascii="Arial" w:hAnsi="Arial" w:cs="Arial"/>
          <w:iCs/>
          <w:color w:val="000000" w:themeColor="text1"/>
          <w:sz w:val="24"/>
          <w:szCs w:val="24"/>
        </w:rPr>
        <w:tab/>
      </w:r>
      <w:r w:rsidR="00C63E40">
        <w:rPr>
          <w:rFonts w:ascii="Arial" w:hAnsi="Arial" w:cs="Arial"/>
          <w:iCs/>
          <w:color w:val="000000" w:themeColor="text1"/>
          <w:sz w:val="24"/>
          <w:szCs w:val="24"/>
        </w:rPr>
        <w:t>Aggravating factors in respect of</w:t>
      </w:r>
      <w:r>
        <w:rPr>
          <w:rFonts w:ascii="Arial" w:hAnsi="Arial" w:cs="Arial"/>
          <w:iCs/>
          <w:color w:val="000000" w:themeColor="text1"/>
          <w:sz w:val="24"/>
          <w:szCs w:val="24"/>
        </w:rPr>
        <w:t xml:space="preserve"> parties that fall under categories B and D</w:t>
      </w:r>
      <w:r w:rsidR="00C63E40">
        <w:rPr>
          <w:rFonts w:ascii="Arial" w:hAnsi="Arial" w:cs="Arial"/>
          <w:iCs/>
          <w:color w:val="000000" w:themeColor="text1"/>
          <w:sz w:val="24"/>
          <w:szCs w:val="24"/>
        </w:rPr>
        <w:t xml:space="preserve"> also justify the imposition of a higher amount on these parties</w:t>
      </w:r>
      <w:r>
        <w:rPr>
          <w:rFonts w:ascii="Arial" w:hAnsi="Arial" w:cs="Arial"/>
          <w:iCs/>
          <w:color w:val="000000" w:themeColor="text1"/>
          <w:sz w:val="24"/>
          <w:szCs w:val="24"/>
        </w:rPr>
        <w:t xml:space="preserve">. Having regard to the effort the Commission took to raise awareness on the obligations of political parties </w:t>
      </w:r>
      <w:r w:rsidR="00241F29">
        <w:rPr>
          <w:rFonts w:ascii="Arial" w:hAnsi="Arial" w:cs="Arial"/>
          <w:iCs/>
          <w:color w:val="000000" w:themeColor="text1"/>
          <w:sz w:val="24"/>
          <w:szCs w:val="24"/>
        </w:rPr>
        <w:t xml:space="preserve">in terms of </w:t>
      </w:r>
      <w:r w:rsidR="002A6BC7">
        <w:rPr>
          <w:rFonts w:ascii="Arial" w:hAnsi="Arial" w:cs="Arial"/>
          <w:iCs/>
          <w:color w:val="000000" w:themeColor="text1"/>
          <w:sz w:val="24"/>
          <w:szCs w:val="24"/>
        </w:rPr>
        <w:t>the Funding Act</w:t>
      </w:r>
      <w:r w:rsidR="00241F29">
        <w:rPr>
          <w:rFonts w:ascii="Arial" w:hAnsi="Arial" w:cs="Arial"/>
          <w:iCs/>
          <w:color w:val="000000" w:themeColor="text1"/>
          <w:sz w:val="24"/>
          <w:szCs w:val="24"/>
        </w:rPr>
        <w:t>, t</w:t>
      </w:r>
      <w:r>
        <w:rPr>
          <w:rFonts w:ascii="Arial" w:hAnsi="Arial" w:cs="Arial"/>
          <w:iCs/>
          <w:color w:val="000000" w:themeColor="text1"/>
          <w:sz w:val="24"/>
          <w:szCs w:val="24"/>
        </w:rPr>
        <w:t>he</w:t>
      </w:r>
      <w:r w:rsidR="00C63E40">
        <w:rPr>
          <w:rFonts w:ascii="Arial" w:hAnsi="Arial" w:cs="Arial"/>
          <w:iCs/>
          <w:color w:val="000000" w:themeColor="text1"/>
          <w:sz w:val="24"/>
          <w:szCs w:val="24"/>
        </w:rPr>
        <w:t>re is no justification to their</w:t>
      </w:r>
      <w:r>
        <w:rPr>
          <w:rFonts w:ascii="Arial" w:hAnsi="Arial" w:cs="Arial"/>
          <w:iCs/>
          <w:color w:val="000000" w:themeColor="text1"/>
          <w:sz w:val="24"/>
          <w:szCs w:val="24"/>
        </w:rPr>
        <w:t xml:space="preserve"> claim </w:t>
      </w:r>
      <w:r w:rsidR="00C63E40">
        <w:rPr>
          <w:rFonts w:ascii="Arial" w:hAnsi="Arial" w:cs="Arial"/>
          <w:iCs/>
          <w:color w:val="000000" w:themeColor="text1"/>
          <w:sz w:val="24"/>
          <w:szCs w:val="24"/>
        </w:rPr>
        <w:t xml:space="preserve">that they are not aware of the </w:t>
      </w:r>
      <w:r>
        <w:rPr>
          <w:rFonts w:ascii="Arial" w:hAnsi="Arial" w:cs="Arial"/>
          <w:iCs/>
          <w:color w:val="000000" w:themeColor="text1"/>
          <w:sz w:val="24"/>
          <w:szCs w:val="24"/>
        </w:rPr>
        <w:t xml:space="preserve">provisions of </w:t>
      </w:r>
      <w:r w:rsidR="002A6BC7">
        <w:rPr>
          <w:rFonts w:ascii="Arial" w:hAnsi="Arial" w:cs="Arial"/>
          <w:iCs/>
          <w:color w:val="000000" w:themeColor="text1"/>
          <w:sz w:val="24"/>
          <w:szCs w:val="24"/>
        </w:rPr>
        <w:t>the Funding Act</w:t>
      </w:r>
      <w:r w:rsidR="00C63E40">
        <w:rPr>
          <w:rFonts w:ascii="Arial" w:hAnsi="Arial" w:cs="Arial"/>
          <w:iCs/>
          <w:color w:val="000000" w:themeColor="text1"/>
          <w:sz w:val="24"/>
          <w:szCs w:val="24"/>
        </w:rPr>
        <w:t xml:space="preserve">. Ignoring the Commission’s efforts and not offering any </w:t>
      </w:r>
      <w:r w:rsidR="00C63E40">
        <w:rPr>
          <w:rFonts w:ascii="Arial" w:hAnsi="Arial" w:cs="Arial"/>
          <w:iCs/>
          <w:color w:val="000000" w:themeColor="text1"/>
          <w:sz w:val="24"/>
          <w:szCs w:val="24"/>
        </w:rPr>
        <w:lastRenderedPageBreak/>
        <w:t xml:space="preserve">explanation for non-compliances </w:t>
      </w:r>
      <w:r w:rsidR="00241F29">
        <w:rPr>
          <w:rFonts w:ascii="Arial" w:hAnsi="Arial" w:cs="Arial"/>
          <w:iCs/>
          <w:color w:val="000000" w:themeColor="text1"/>
          <w:sz w:val="24"/>
          <w:szCs w:val="24"/>
        </w:rPr>
        <w:t xml:space="preserve">to this Court </w:t>
      </w:r>
      <w:r w:rsidR="00C63E40">
        <w:rPr>
          <w:rFonts w:ascii="Arial" w:hAnsi="Arial" w:cs="Arial"/>
          <w:iCs/>
          <w:color w:val="000000" w:themeColor="text1"/>
          <w:sz w:val="24"/>
          <w:szCs w:val="24"/>
        </w:rPr>
        <w:t xml:space="preserve">displays utter disregard for the noble objectives of </w:t>
      </w:r>
      <w:r w:rsidR="002A6BC7">
        <w:rPr>
          <w:rFonts w:ascii="Arial" w:hAnsi="Arial" w:cs="Arial"/>
          <w:iCs/>
          <w:color w:val="000000" w:themeColor="text1"/>
          <w:sz w:val="24"/>
          <w:szCs w:val="24"/>
        </w:rPr>
        <w:t>the Funding Act</w:t>
      </w:r>
      <w:r w:rsidR="00C63E40">
        <w:rPr>
          <w:rFonts w:ascii="Arial" w:hAnsi="Arial" w:cs="Arial"/>
          <w:iCs/>
          <w:color w:val="000000" w:themeColor="text1"/>
          <w:sz w:val="24"/>
          <w:szCs w:val="24"/>
        </w:rPr>
        <w:t xml:space="preserve"> and the rule of law. </w:t>
      </w:r>
      <w:r>
        <w:rPr>
          <w:rFonts w:ascii="Arial" w:hAnsi="Arial" w:cs="Arial"/>
          <w:iCs/>
          <w:color w:val="000000" w:themeColor="text1"/>
          <w:sz w:val="24"/>
          <w:szCs w:val="24"/>
        </w:rPr>
        <w:t xml:space="preserve">  </w:t>
      </w:r>
      <w:r w:rsidR="00C37268">
        <w:rPr>
          <w:rFonts w:ascii="Arial" w:hAnsi="Arial" w:cs="Arial"/>
          <w:iCs/>
          <w:color w:val="000000" w:themeColor="text1"/>
          <w:sz w:val="24"/>
          <w:szCs w:val="24"/>
        </w:rPr>
        <w:t xml:space="preserve">  </w:t>
      </w:r>
    </w:p>
    <w:p w14:paraId="2D3DF2D8" w14:textId="77777777" w:rsidR="00521F01" w:rsidRDefault="00521F01" w:rsidP="00AF3B17">
      <w:pPr>
        <w:pStyle w:val="p3"/>
        <w:spacing w:line="360" w:lineRule="auto"/>
        <w:jc w:val="both"/>
        <w:rPr>
          <w:rFonts w:ascii="Arial" w:hAnsi="Arial" w:cs="Arial"/>
          <w:iCs/>
          <w:color w:val="000000" w:themeColor="text1"/>
          <w:sz w:val="24"/>
          <w:szCs w:val="24"/>
        </w:rPr>
      </w:pPr>
    </w:p>
    <w:p w14:paraId="0861B08A" w14:textId="30E4C81E" w:rsidR="00867A23" w:rsidRPr="00521F01" w:rsidRDefault="00521F01" w:rsidP="000D5CF4">
      <w:pPr>
        <w:pStyle w:val="p3"/>
        <w:spacing w:line="360" w:lineRule="auto"/>
        <w:jc w:val="both"/>
        <w:rPr>
          <w:rFonts w:ascii="Arial" w:hAnsi="Arial" w:cs="Arial"/>
          <w:b/>
          <w:bCs/>
          <w:iCs/>
          <w:color w:val="000000" w:themeColor="text1"/>
          <w:sz w:val="24"/>
          <w:szCs w:val="24"/>
        </w:rPr>
      </w:pPr>
      <w:r w:rsidRPr="00521F01">
        <w:rPr>
          <w:rFonts w:ascii="Arial" w:hAnsi="Arial" w:cs="Arial"/>
          <w:b/>
          <w:bCs/>
          <w:iCs/>
          <w:color w:val="000000" w:themeColor="text1"/>
          <w:sz w:val="24"/>
          <w:szCs w:val="24"/>
        </w:rPr>
        <w:t>Costs</w:t>
      </w:r>
      <w:r w:rsidR="00867A23" w:rsidRPr="00521F01">
        <w:rPr>
          <w:rFonts w:ascii="Arial" w:hAnsi="Arial" w:cs="Arial"/>
          <w:b/>
          <w:bCs/>
          <w:iCs/>
          <w:color w:val="000000" w:themeColor="text1"/>
          <w:sz w:val="24"/>
          <w:szCs w:val="24"/>
        </w:rPr>
        <w:t xml:space="preserve"> </w:t>
      </w:r>
      <w:r w:rsidR="008B670A" w:rsidRPr="00521F01">
        <w:rPr>
          <w:rFonts w:ascii="Arial" w:hAnsi="Arial" w:cs="Arial"/>
          <w:b/>
          <w:bCs/>
          <w:iCs/>
          <w:color w:val="000000" w:themeColor="text1"/>
          <w:sz w:val="24"/>
          <w:szCs w:val="24"/>
        </w:rPr>
        <w:tab/>
      </w:r>
    </w:p>
    <w:p w14:paraId="48114F06" w14:textId="2CA14FF3" w:rsidR="00FB26E0" w:rsidRDefault="0029746F" w:rsidP="005B7A55">
      <w:pPr>
        <w:pStyle w:val="p3"/>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[6</w:t>
      </w:r>
      <w:r w:rsidR="00C63E40">
        <w:rPr>
          <w:rFonts w:ascii="Arial" w:hAnsi="Arial" w:cs="Arial"/>
          <w:iCs/>
          <w:color w:val="000000" w:themeColor="text1"/>
          <w:sz w:val="24"/>
          <w:szCs w:val="24"/>
        </w:rPr>
        <w:t>8</w:t>
      </w:r>
      <w:r>
        <w:rPr>
          <w:rFonts w:ascii="Arial" w:hAnsi="Arial" w:cs="Arial"/>
          <w:iCs/>
          <w:color w:val="000000" w:themeColor="text1"/>
          <w:sz w:val="24"/>
          <w:szCs w:val="24"/>
        </w:rPr>
        <w:t>]</w:t>
      </w:r>
      <w:r>
        <w:rPr>
          <w:rFonts w:ascii="Arial" w:hAnsi="Arial" w:cs="Arial"/>
          <w:iCs/>
          <w:color w:val="000000" w:themeColor="text1"/>
          <w:sz w:val="24"/>
          <w:szCs w:val="24"/>
        </w:rPr>
        <w:tab/>
      </w:r>
      <w:r w:rsidR="008B670A">
        <w:rPr>
          <w:rFonts w:ascii="Arial" w:hAnsi="Arial" w:cs="Arial"/>
          <w:iCs/>
          <w:color w:val="000000" w:themeColor="text1"/>
          <w:sz w:val="24"/>
          <w:szCs w:val="24"/>
        </w:rPr>
        <w:t xml:space="preserve">Customarily, cost orders are not made in </w:t>
      </w:r>
      <w:r w:rsidR="00C31783">
        <w:rPr>
          <w:rFonts w:ascii="Arial" w:hAnsi="Arial" w:cs="Arial"/>
          <w:iCs/>
          <w:color w:val="000000" w:themeColor="text1"/>
          <w:sz w:val="24"/>
          <w:szCs w:val="24"/>
        </w:rPr>
        <w:t xml:space="preserve">this </w:t>
      </w:r>
      <w:r w:rsidR="00C63692">
        <w:rPr>
          <w:rFonts w:ascii="Arial" w:hAnsi="Arial" w:cs="Arial"/>
          <w:iCs/>
          <w:color w:val="000000" w:themeColor="text1"/>
          <w:sz w:val="24"/>
          <w:szCs w:val="24"/>
        </w:rPr>
        <w:t>Court</w:t>
      </w:r>
      <w:r w:rsidR="00C31783">
        <w:rPr>
          <w:rFonts w:ascii="Arial" w:hAnsi="Arial" w:cs="Arial"/>
          <w:iCs/>
          <w:color w:val="000000" w:themeColor="text1"/>
          <w:sz w:val="24"/>
          <w:szCs w:val="24"/>
        </w:rPr>
        <w:t xml:space="preserve">. There is no pertinent reason that warrants a departure from this approach, more so that the applicants are also not seeking such an order. </w:t>
      </w:r>
    </w:p>
    <w:p w14:paraId="4384DAF2" w14:textId="77777777" w:rsidR="0001739F" w:rsidRDefault="0001739F" w:rsidP="00AF3B17">
      <w:pPr>
        <w:pStyle w:val="p3"/>
        <w:spacing w:line="360" w:lineRule="auto"/>
        <w:jc w:val="both"/>
        <w:rPr>
          <w:rFonts w:ascii="Arial" w:hAnsi="Arial" w:cs="Arial"/>
          <w:iCs/>
          <w:color w:val="000000" w:themeColor="text1"/>
          <w:sz w:val="24"/>
          <w:szCs w:val="24"/>
        </w:rPr>
      </w:pPr>
    </w:p>
    <w:p w14:paraId="710A946D" w14:textId="6A473035" w:rsidR="008B670A" w:rsidRPr="007F6548" w:rsidRDefault="00FB26E0" w:rsidP="000D5CF4">
      <w:pPr>
        <w:pStyle w:val="p3"/>
        <w:spacing w:line="360" w:lineRule="auto"/>
        <w:jc w:val="both"/>
        <w:rPr>
          <w:rFonts w:ascii="Arial" w:hAnsi="Arial" w:cs="Arial"/>
          <w:iCs/>
          <w:color w:val="000000" w:themeColor="text1"/>
          <w:sz w:val="24"/>
          <w:szCs w:val="24"/>
        </w:rPr>
      </w:pPr>
      <w:r w:rsidRPr="00FB26E0">
        <w:rPr>
          <w:rFonts w:ascii="Arial" w:hAnsi="Arial" w:cs="Arial"/>
          <w:b/>
          <w:iCs/>
          <w:color w:val="000000" w:themeColor="text1"/>
          <w:sz w:val="24"/>
          <w:szCs w:val="24"/>
        </w:rPr>
        <w:t>Order</w:t>
      </w:r>
    </w:p>
    <w:bookmarkEnd w:id="32"/>
    <w:p w14:paraId="7FF548A3" w14:textId="247B8AA7" w:rsidR="001C44B8" w:rsidRPr="007F6548" w:rsidRDefault="00867A23" w:rsidP="00521F01">
      <w:pPr>
        <w:pStyle w:val="WLGLevel1"/>
        <w:numPr>
          <w:ilvl w:val="0"/>
          <w:numId w:val="0"/>
        </w:numPr>
        <w:spacing w:before="0" w:after="240" w:line="360" w:lineRule="auto"/>
        <w:rPr>
          <w:rFonts w:cs="Arial"/>
          <w:iCs/>
          <w:color w:val="000000" w:themeColor="text1"/>
          <w:szCs w:val="24"/>
        </w:rPr>
      </w:pPr>
      <w:r>
        <w:rPr>
          <w:rFonts w:cs="Arial"/>
          <w:iCs/>
          <w:color w:val="000000" w:themeColor="text1"/>
          <w:szCs w:val="24"/>
        </w:rPr>
        <w:t>[6</w:t>
      </w:r>
      <w:r w:rsidR="00C63E40">
        <w:rPr>
          <w:rFonts w:cs="Arial"/>
          <w:iCs/>
          <w:color w:val="000000" w:themeColor="text1"/>
          <w:szCs w:val="24"/>
        </w:rPr>
        <w:t>9</w:t>
      </w:r>
      <w:r>
        <w:rPr>
          <w:rFonts w:cs="Arial"/>
          <w:iCs/>
          <w:color w:val="000000" w:themeColor="text1"/>
          <w:szCs w:val="24"/>
        </w:rPr>
        <w:t>]</w:t>
      </w:r>
      <w:r>
        <w:rPr>
          <w:rFonts w:cs="Arial"/>
          <w:iCs/>
          <w:color w:val="000000" w:themeColor="text1"/>
          <w:szCs w:val="24"/>
        </w:rPr>
        <w:tab/>
      </w:r>
      <w:r w:rsidR="001C44B8" w:rsidRPr="007F6548">
        <w:rPr>
          <w:rFonts w:cs="Arial"/>
          <w:iCs/>
          <w:color w:val="000000" w:themeColor="text1"/>
          <w:szCs w:val="24"/>
        </w:rPr>
        <w:t>In the premises, the following order is made:</w:t>
      </w:r>
    </w:p>
    <w:bookmarkEnd w:id="4"/>
    <w:p w14:paraId="695D941B" w14:textId="22E891AE" w:rsidR="001C44B8" w:rsidRPr="007F6548" w:rsidRDefault="00CE3587" w:rsidP="00CE3587">
      <w:pPr>
        <w:pStyle w:val="WLGLevel1"/>
        <w:numPr>
          <w:ilvl w:val="0"/>
          <w:numId w:val="0"/>
        </w:numPr>
        <w:spacing w:before="0" w:after="0" w:line="360" w:lineRule="auto"/>
        <w:ind w:left="360" w:hanging="360"/>
        <w:rPr>
          <w:rFonts w:cs="Arial"/>
          <w:color w:val="000000" w:themeColor="text1"/>
          <w:szCs w:val="24"/>
        </w:rPr>
      </w:pPr>
      <w:r w:rsidRPr="007F6548">
        <w:rPr>
          <w:rFonts w:cs="Arial"/>
          <w:color w:val="000000" w:themeColor="text1"/>
          <w:szCs w:val="24"/>
        </w:rPr>
        <w:t>1.</w:t>
      </w:r>
      <w:r w:rsidRPr="007F6548">
        <w:rPr>
          <w:rFonts w:cs="Arial"/>
          <w:color w:val="000000" w:themeColor="text1"/>
          <w:szCs w:val="24"/>
        </w:rPr>
        <w:tab/>
      </w:r>
      <w:r w:rsidR="001C44B8" w:rsidRPr="007F6548">
        <w:rPr>
          <w:rFonts w:cs="Arial"/>
          <w:color w:val="000000" w:themeColor="text1"/>
          <w:szCs w:val="24"/>
        </w:rPr>
        <w:t>It is declared that the respondents have failed to comply with their obligations in terms of s</w:t>
      </w:r>
      <w:r w:rsidR="002A6BC7">
        <w:rPr>
          <w:rFonts w:cs="Arial"/>
          <w:color w:val="000000" w:themeColor="text1"/>
          <w:szCs w:val="24"/>
        </w:rPr>
        <w:t xml:space="preserve"> </w:t>
      </w:r>
      <w:r w:rsidR="001C44B8" w:rsidRPr="007F6548">
        <w:rPr>
          <w:rFonts w:cs="Arial"/>
          <w:color w:val="000000" w:themeColor="text1"/>
          <w:szCs w:val="24"/>
        </w:rPr>
        <w:t xml:space="preserve">12 of the Political Party Funding Act 6 of 2018, read with Regulation 10 of the </w:t>
      </w:r>
      <w:r w:rsidR="001C44B8" w:rsidRPr="007F6548">
        <w:rPr>
          <w:rFonts w:cs="Arial"/>
          <w:i/>
          <w:iCs/>
          <w:color w:val="000000" w:themeColor="text1"/>
          <w:szCs w:val="24"/>
        </w:rPr>
        <w:t xml:space="preserve">Regulations regarding the funding of political parties </w:t>
      </w:r>
      <w:r w:rsidR="001C44B8" w:rsidRPr="007F6548">
        <w:rPr>
          <w:rFonts w:cs="Arial"/>
          <w:color w:val="000000" w:themeColor="text1"/>
          <w:szCs w:val="24"/>
        </w:rPr>
        <w:t xml:space="preserve">(published in GenN 950 of 2022, in Government Gazette 46167).  </w:t>
      </w:r>
    </w:p>
    <w:p w14:paraId="4607C96B" w14:textId="4DC1E7DB" w:rsidR="001C44B8" w:rsidRPr="007F6548" w:rsidRDefault="00CE3587" w:rsidP="00CE3587">
      <w:pPr>
        <w:pStyle w:val="WLGLevel1"/>
        <w:numPr>
          <w:ilvl w:val="0"/>
          <w:numId w:val="0"/>
        </w:numPr>
        <w:spacing w:before="0" w:after="0" w:line="360" w:lineRule="auto"/>
        <w:ind w:left="567" w:hanging="567"/>
        <w:rPr>
          <w:rFonts w:cs="Arial"/>
          <w:color w:val="000000" w:themeColor="text1"/>
          <w:szCs w:val="24"/>
        </w:rPr>
      </w:pPr>
      <w:r w:rsidRPr="007F6548">
        <w:rPr>
          <w:rFonts w:cs="Arial"/>
          <w:color w:val="000000" w:themeColor="text1"/>
          <w:szCs w:val="24"/>
        </w:rPr>
        <w:t>2.</w:t>
      </w:r>
      <w:r w:rsidRPr="007F6548">
        <w:rPr>
          <w:rFonts w:cs="Arial"/>
          <w:color w:val="000000" w:themeColor="text1"/>
          <w:szCs w:val="24"/>
        </w:rPr>
        <w:tab/>
      </w:r>
      <w:r w:rsidR="001C44B8" w:rsidRPr="007F6548">
        <w:rPr>
          <w:rFonts w:cs="Arial"/>
          <w:color w:val="000000" w:themeColor="text1"/>
          <w:szCs w:val="24"/>
        </w:rPr>
        <w:t xml:space="preserve">The </w:t>
      </w:r>
      <w:r w:rsidR="000D4491" w:rsidRPr="007F6548">
        <w:rPr>
          <w:rFonts w:cs="Arial"/>
          <w:color w:val="000000" w:themeColor="text1"/>
          <w:szCs w:val="24"/>
        </w:rPr>
        <w:t>1</w:t>
      </w:r>
      <w:r w:rsidR="000D4491" w:rsidRPr="007F6548">
        <w:rPr>
          <w:rFonts w:cs="Arial"/>
          <w:color w:val="000000" w:themeColor="text1"/>
          <w:szCs w:val="24"/>
          <w:vertAlign w:val="superscript"/>
        </w:rPr>
        <w:t>st</w:t>
      </w:r>
      <w:r w:rsidR="000D4491" w:rsidRPr="007F6548">
        <w:rPr>
          <w:rFonts w:cs="Arial"/>
          <w:color w:val="000000" w:themeColor="text1"/>
          <w:szCs w:val="24"/>
        </w:rPr>
        <w:t xml:space="preserve"> to 6</w:t>
      </w:r>
      <w:r w:rsidR="000D4491" w:rsidRPr="007F6548">
        <w:rPr>
          <w:rFonts w:cs="Arial"/>
          <w:color w:val="000000" w:themeColor="text1"/>
          <w:szCs w:val="24"/>
          <w:vertAlign w:val="superscript"/>
        </w:rPr>
        <w:t>th</w:t>
      </w:r>
      <w:r w:rsidR="000D4491" w:rsidRPr="007F6548">
        <w:rPr>
          <w:rFonts w:cs="Arial"/>
          <w:color w:val="000000" w:themeColor="text1"/>
          <w:szCs w:val="24"/>
        </w:rPr>
        <w:t xml:space="preserve"> respondent</w:t>
      </w:r>
      <w:r w:rsidR="005505D5">
        <w:rPr>
          <w:rFonts w:cs="Arial"/>
          <w:color w:val="000000" w:themeColor="text1"/>
          <w:szCs w:val="24"/>
        </w:rPr>
        <w:t>s</w:t>
      </w:r>
      <w:r w:rsidR="001C44B8" w:rsidRPr="007F6548">
        <w:rPr>
          <w:rFonts w:cs="Arial"/>
          <w:color w:val="000000" w:themeColor="text1"/>
          <w:szCs w:val="24"/>
        </w:rPr>
        <w:t xml:space="preserve"> </w:t>
      </w:r>
      <w:r w:rsidR="0063360D" w:rsidRPr="007F6548">
        <w:rPr>
          <w:rFonts w:cs="Arial"/>
          <w:color w:val="000000" w:themeColor="text1"/>
          <w:szCs w:val="24"/>
        </w:rPr>
        <w:t xml:space="preserve">shall </w:t>
      </w:r>
      <w:r w:rsidR="0001140D" w:rsidRPr="007F6548">
        <w:rPr>
          <w:rFonts w:cs="Arial"/>
          <w:color w:val="000000" w:themeColor="text1"/>
          <w:szCs w:val="24"/>
        </w:rPr>
        <w:t xml:space="preserve">each </w:t>
      </w:r>
      <w:r w:rsidR="0063360D" w:rsidRPr="007F6548">
        <w:rPr>
          <w:rFonts w:cs="Arial"/>
          <w:color w:val="000000" w:themeColor="text1"/>
          <w:szCs w:val="24"/>
        </w:rPr>
        <w:t>pay to</w:t>
      </w:r>
      <w:r w:rsidR="001C44B8" w:rsidRPr="007F6548">
        <w:rPr>
          <w:rFonts w:cs="Arial"/>
          <w:color w:val="000000" w:themeColor="text1"/>
          <w:szCs w:val="24"/>
        </w:rPr>
        <w:t xml:space="preserve"> </w:t>
      </w:r>
      <w:r w:rsidR="0063360D" w:rsidRPr="007F6548">
        <w:rPr>
          <w:rFonts w:cs="Arial"/>
          <w:color w:val="000000" w:themeColor="text1"/>
          <w:szCs w:val="24"/>
        </w:rPr>
        <w:t xml:space="preserve">the Commission </w:t>
      </w:r>
      <w:r w:rsidR="001C44B8" w:rsidRPr="007F6548">
        <w:rPr>
          <w:rFonts w:cs="Arial"/>
          <w:color w:val="000000" w:themeColor="text1"/>
          <w:szCs w:val="24"/>
        </w:rPr>
        <w:t>pay, a</w:t>
      </w:r>
      <w:r w:rsidR="0063360D" w:rsidRPr="007F6548">
        <w:rPr>
          <w:rFonts w:cs="Arial"/>
          <w:color w:val="000000" w:themeColor="text1"/>
          <w:szCs w:val="24"/>
        </w:rPr>
        <w:t xml:space="preserve">n </w:t>
      </w:r>
      <w:r w:rsidR="00494535" w:rsidRPr="007F6548">
        <w:rPr>
          <w:rFonts w:cs="Arial"/>
          <w:color w:val="000000" w:themeColor="text1"/>
          <w:szCs w:val="24"/>
        </w:rPr>
        <w:t>administrative penalty</w:t>
      </w:r>
      <w:r w:rsidR="0063360D" w:rsidRPr="007F6548">
        <w:rPr>
          <w:rFonts w:cs="Arial"/>
          <w:color w:val="000000" w:themeColor="text1"/>
          <w:szCs w:val="24"/>
        </w:rPr>
        <w:t xml:space="preserve"> in the </w:t>
      </w:r>
      <w:r w:rsidR="001C44B8" w:rsidRPr="007F6548">
        <w:rPr>
          <w:rFonts w:cs="Arial"/>
          <w:color w:val="000000" w:themeColor="text1"/>
          <w:szCs w:val="24"/>
        </w:rPr>
        <w:t>amount of R40</w:t>
      </w:r>
      <w:r w:rsidR="00494535">
        <w:rPr>
          <w:rFonts w:cs="Arial"/>
          <w:color w:val="000000" w:themeColor="text1"/>
          <w:szCs w:val="24"/>
        </w:rPr>
        <w:t xml:space="preserve"> </w:t>
      </w:r>
      <w:r w:rsidR="001C44B8" w:rsidRPr="007F6548">
        <w:rPr>
          <w:rFonts w:cs="Arial"/>
          <w:color w:val="000000" w:themeColor="text1"/>
          <w:szCs w:val="24"/>
        </w:rPr>
        <w:t xml:space="preserve">000. </w:t>
      </w:r>
    </w:p>
    <w:p w14:paraId="3DEA7013" w14:textId="436D28C5" w:rsidR="0001140D" w:rsidRPr="007F6548" w:rsidRDefault="00CE3587" w:rsidP="00CE3587">
      <w:pPr>
        <w:pStyle w:val="WLGLevel1"/>
        <w:numPr>
          <w:ilvl w:val="0"/>
          <w:numId w:val="0"/>
        </w:numPr>
        <w:spacing w:before="0" w:after="0" w:line="360" w:lineRule="auto"/>
        <w:ind w:left="567" w:hanging="567"/>
        <w:rPr>
          <w:rFonts w:cs="Arial"/>
          <w:color w:val="000000" w:themeColor="text1"/>
          <w:szCs w:val="24"/>
        </w:rPr>
      </w:pPr>
      <w:r w:rsidRPr="007F6548">
        <w:rPr>
          <w:rFonts w:cs="Arial"/>
          <w:color w:val="000000" w:themeColor="text1"/>
          <w:szCs w:val="24"/>
        </w:rPr>
        <w:t>3.</w:t>
      </w:r>
      <w:r w:rsidRPr="007F6548">
        <w:rPr>
          <w:rFonts w:cs="Arial"/>
          <w:color w:val="000000" w:themeColor="text1"/>
          <w:szCs w:val="24"/>
        </w:rPr>
        <w:tab/>
      </w:r>
      <w:r w:rsidR="001C44B8" w:rsidRPr="007F6548">
        <w:rPr>
          <w:rFonts w:cs="Arial"/>
          <w:color w:val="000000" w:themeColor="text1"/>
          <w:szCs w:val="24"/>
        </w:rPr>
        <w:t>The</w:t>
      </w:r>
      <w:r w:rsidR="0001140D" w:rsidRPr="007F6548">
        <w:rPr>
          <w:rFonts w:cs="Arial"/>
          <w:color w:val="000000" w:themeColor="text1"/>
          <w:szCs w:val="24"/>
        </w:rPr>
        <w:t xml:space="preserve"> respondents listed in Categor</w:t>
      </w:r>
      <w:r w:rsidR="00073C1C" w:rsidRPr="007F6548">
        <w:rPr>
          <w:rFonts w:cs="Arial"/>
          <w:color w:val="000000" w:themeColor="text1"/>
          <w:szCs w:val="24"/>
        </w:rPr>
        <w:t>ies</w:t>
      </w:r>
      <w:r w:rsidR="0001140D" w:rsidRPr="007F6548">
        <w:rPr>
          <w:rFonts w:cs="Arial"/>
          <w:color w:val="000000" w:themeColor="text1"/>
          <w:szCs w:val="24"/>
        </w:rPr>
        <w:t xml:space="preserve"> B</w:t>
      </w:r>
      <w:r w:rsidR="00073C1C" w:rsidRPr="007F6548">
        <w:rPr>
          <w:rFonts w:cs="Arial"/>
          <w:color w:val="000000" w:themeColor="text1"/>
          <w:szCs w:val="24"/>
        </w:rPr>
        <w:t xml:space="preserve"> and D</w:t>
      </w:r>
      <w:r w:rsidR="0001140D" w:rsidRPr="007F6548">
        <w:rPr>
          <w:rFonts w:cs="Arial"/>
          <w:color w:val="000000" w:themeColor="text1"/>
          <w:szCs w:val="24"/>
        </w:rPr>
        <w:t xml:space="preserve"> to the annexure hereto shall each pay to the Commission an </w:t>
      </w:r>
      <w:r w:rsidR="00F7009C" w:rsidRPr="007F6548">
        <w:rPr>
          <w:rFonts w:cs="Arial"/>
          <w:color w:val="000000" w:themeColor="text1"/>
          <w:szCs w:val="24"/>
        </w:rPr>
        <w:t>administrative penalty</w:t>
      </w:r>
      <w:r w:rsidR="0001140D" w:rsidRPr="007F6548">
        <w:rPr>
          <w:rFonts w:cs="Arial"/>
          <w:color w:val="000000" w:themeColor="text1"/>
          <w:szCs w:val="24"/>
        </w:rPr>
        <w:t xml:space="preserve"> in the amount of R40</w:t>
      </w:r>
      <w:r w:rsidR="00036F12">
        <w:rPr>
          <w:rFonts w:cs="Arial"/>
          <w:color w:val="000000" w:themeColor="text1"/>
          <w:szCs w:val="24"/>
        </w:rPr>
        <w:t xml:space="preserve"> </w:t>
      </w:r>
      <w:r w:rsidR="0001140D" w:rsidRPr="007F6548">
        <w:rPr>
          <w:rFonts w:cs="Arial"/>
          <w:color w:val="000000" w:themeColor="text1"/>
          <w:szCs w:val="24"/>
        </w:rPr>
        <w:t xml:space="preserve">000. </w:t>
      </w:r>
    </w:p>
    <w:p w14:paraId="1A93182A" w14:textId="1D543B21" w:rsidR="008259B9" w:rsidRPr="007F6548" w:rsidRDefault="00CE3587" w:rsidP="00CE3587">
      <w:pPr>
        <w:pStyle w:val="WLGLevel1"/>
        <w:numPr>
          <w:ilvl w:val="0"/>
          <w:numId w:val="0"/>
        </w:numPr>
        <w:spacing w:before="0" w:after="0" w:line="360" w:lineRule="auto"/>
        <w:ind w:left="567" w:hanging="567"/>
        <w:rPr>
          <w:rFonts w:cs="Arial"/>
          <w:color w:val="000000" w:themeColor="text1"/>
          <w:szCs w:val="24"/>
        </w:rPr>
      </w:pPr>
      <w:r w:rsidRPr="007F6548">
        <w:rPr>
          <w:rFonts w:cs="Arial"/>
          <w:color w:val="000000" w:themeColor="text1"/>
          <w:szCs w:val="24"/>
        </w:rPr>
        <w:t>4.</w:t>
      </w:r>
      <w:r w:rsidRPr="007F6548">
        <w:rPr>
          <w:rFonts w:cs="Arial"/>
          <w:color w:val="000000" w:themeColor="text1"/>
          <w:szCs w:val="24"/>
        </w:rPr>
        <w:tab/>
      </w:r>
      <w:r w:rsidR="001C44B8" w:rsidRPr="007F6548">
        <w:rPr>
          <w:rFonts w:cs="Arial"/>
          <w:color w:val="000000" w:themeColor="text1"/>
          <w:szCs w:val="24"/>
        </w:rPr>
        <w:t>The respondents identified in Category C, E and F</w:t>
      </w:r>
      <w:r w:rsidR="000546E1" w:rsidRPr="007F6548">
        <w:rPr>
          <w:rFonts w:cs="Arial"/>
          <w:color w:val="000000" w:themeColor="text1"/>
          <w:szCs w:val="24"/>
        </w:rPr>
        <w:t xml:space="preserve"> excluding the</w:t>
      </w:r>
      <w:r w:rsidR="00C37694" w:rsidRPr="007F6548">
        <w:rPr>
          <w:rFonts w:cs="Arial"/>
          <w:color w:val="000000" w:themeColor="text1"/>
          <w:szCs w:val="24"/>
        </w:rPr>
        <w:t xml:space="preserve"> 33</w:t>
      </w:r>
      <w:r w:rsidR="000C0F3C" w:rsidRPr="007F6548">
        <w:rPr>
          <w:rFonts w:cs="Arial"/>
          <w:color w:val="000000" w:themeColor="text1"/>
          <w:szCs w:val="24"/>
        </w:rPr>
        <w:t>6</w:t>
      </w:r>
      <w:r w:rsidR="00751C19" w:rsidRPr="007F6548">
        <w:rPr>
          <w:rFonts w:cs="Arial"/>
          <w:color w:val="000000" w:themeColor="text1"/>
          <w:szCs w:val="24"/>
          <w:vertAlign w:val="superscript"/>
        </w:rPr>
        <w:t xml:space="preserve">th </w:t>
      </w:r>
      <w:r w:rsidR="00751C19" w:rsidRPr="007F6548">
        <w:rPr>
          <w:rFonts w:cs="Arial"/>
          <w:color w:val="000000" w:themeColor="text1"/>
          <w:szCs w:val="24"/>
        </w:rPr>
        <w:t>respondent</w:t>
      </w:r>
      <w:r w:rsidR="00761E3D" w:rsidRPr="007F6548">
        <w:rPr>
          <w:rFonts w:cs="Arial"/>
          <w:color w:val="000000" w:themeColor="text1"/>
          <w:szCs w:val="24"/>
        </w:rPr>
        <w:t>,</w:t>
      </w:r>
      <w:r w:rsidR="001C44B8" w:rsidRPr="007F6548">
        <w:rPr>
          <w:rFonts w:cs="Arial"/>
          <w:color w:val="000000" w:themeColor="text1"/>
          <w:szCs w:val="24"/>
        </w:rPr>
        <w:t xml:space="preserve"> </w:t>
      </w:r>
      <w:r w:rsidR="008259B9" w:rsidRPr="007F6548">
        <w:rPr>
          <w:rFonts w:cs="Arial"/>
          <w:color w:val="000000" w:themeColor="text1"/>
          <w:szCs w:val="24"/>
        </w:rPr>
        <w:t xml:space="preserve">shall each pay to the Commission an </w:t>
      </w:r>
      <w:r w:rsidR="00751C19" w:rsidRPr="007F6548">
        <w:rPr>
          <w:rFonts w:cs="Arial"/>
          <w:color w:val="000000" w:themeColor="text1"/>
          <w:szCs w:val="24"/>
        </w:rPr>
        <w:t>administrative penalty</w:t>
      </w:r>
      <w:r w:rsidR="008259B9" w:rsidRPr="007F6548">
        <w:rPr>
          <w:rFonts w:cs="Arial"/>
          <w:color w:val="000000" w:themeColor="text1"/>
          <w:szCs w:val="24"/>
        </w:rPr>
        <w:t xml:space="preserve"> in the amount of </w:t>
      </w:r>
      <w:r w:rsidR="005E100E" w:rsidRPr="007F6548">
        <w:rPr>
          <w:rFonts w:cs="Arial"/>
          <w:color w:val="000000" w:themeColor="text1"/>
          <w:szCs w:val="24"/>
        </w:rPr>
        <w:t>R10</w:t>
      </w:r>
      <w:r w:rsidR="00036F12">
        <w:rPr>
          <w:rFonts w:cs="Arial"/>
          <w:color w:val="000000" w:themeColor="text1"/>
          <w:szCs w:val="24"/>
        </w:rPr>
        <w:t xml:space="preserve"> </w:t>
      </w:r>
      <w:r w:rsidR="005E100E" w:rsidRPr="007F6548">
        <w:rPr>
          <w:rFonts w:cs="Arial"/>
          <w:color w:val="000000" w:themeColor="text1"/>
          <w:szCs w:val="24"/>
        </w:rPr>
        <w:t>000.</w:t>
      </w:r>
    </w:p>
    <w:p w14:paraId="73FC4DAC" w14:textId="2BB6C299" w:rsidR="001C44B8" w:rsidRPr="007F6548" w:rsidRDefault="00CE3587" w:rsidP="00CE3587">
      <w:pPr>
        <w:pStyle w:val="WLGLevel1"/>
        <w:numPr>
          <w:ilvl w:val="0"/>
          <w:numId w:val="0"/>
        </w:numPr>
        <w:spacing w:before="0" w:line="360" w:lineRule="auto"/>
        <w:ind w:left="567" w:hanging="567"/>
        <w:rPr>
          <w:rFonts w:cs="Arial"/>
          <w:color w:val="000000" w:themeColor="text1"/>
          <w:szCs w:val="24"/>
        </w:rPr>
      </w:pPr>
      <w:r w:rsidRPr="007F6548">
        <w:rPr>
          <w:rFonts w:cs="Arial"/>
          <w:color w:val="000000" w:themeColor="text1"/>
          <w:szCs w:val="24"/>
        </w:rPr>
        <w:t>5.</w:t>
      </w:r>
      <w:r w:rsidRPr="007F6548">
        <w:rPr>
          <w:rFonts w:cs="Arial"/>
          <w:color w:val="000000" w:themeColor="text1"/>
          <w:szCs w:val="24"/>
        </w:rPr>
        <w:tab/>
      </w:r>
      <w:r w:rsidR="008259B9" w:rsidRPr="007F6548">
        <w:rPr>
          <w:rFonts w:cs="Arial"/>
          <w:color w:val="000000" w:themeColor="text1"/>
          <w:szCs w:val="24"/>
        </w:rPr>
        <w:t xml:space="preserve">There is no order as to costs. </w:t>
      </w:r>
      <w:r w:rsidR="001C44B8" w:rsidRPr="007F6548">
        <w:rPr>
          <w:rFonts w:cs="Arial"/>
          <w:color w:val="000000" w:themeColor="text1"/>
          <w:szCs w:val="24"/>
        </w:rPr>
        <w:t xml:space="preserve"> </w:t>
      </w:r>
    </w:p>
    <w:p w14:paraId="302F28AF" w14:textId="5996EC52" w:rsidR="00095633" w:rsidRPr="007F6548" w:rsidRDefault="00095633" w:rsidP="005C1A93">
      <w:pPr>
        <w:pStyle w:val="WLGLevel1"/>
        <w:numPr>
          <w:ilvl w:val="0"/>
          <w:numId w:val="0"/>
        </w:numPr>
        <w:spacing w:line="360" w:lineRule="auto"/>
        <w:ind w:left="567" w:hanging="567"/>
        <w:jc w:val="right"/>
        <w:rPr>
          <w:rFonts w:cs="Arial"/>
          <w:color w:val="000000" w:themeColor="text1"/>
          <w:szCs w:val="24"/>
        </w:rPr>
      </w:pPr>
    </w:p>
    <w:p w14:paraId="269F66E2" w14:textId="6513B5D5" w:rsidR="00E84FE7" w:rsidRPr="007F6548" w:rsidRDefault="005C5912" w:rsidP="00E84FE7">
      <w:pPr>
        <w:pStyle w:val="JudgmentNumbered"/>
        <w:numPr>
          <w:ilvl w:val="0"/>
          <w:numId w:val="0"/>
        </w:numPr>
        <w:spacing w:after="0"/>
        <w:ind w:left="567" w:hanging="567"/>
        <w:jc w:val="right"/>
        <w:rPr>
          <w:color w:val="000000" w:themeColor="text1"/>
        </w:rPr>
      </w:pPr>
      <w:r>
        <w:rPr>
          <w:color w:val="000000" w:themeColor="text1"/>
        </w:rPr>
        <w:t>____________________</w:t>
      </w:r>
      <w:r w:rsidR="00E84FE7" w:rsidRPr="007F6548">
        <w:rPr>
          <w:color w:val="000000" w:themeColor="text1"/>
        </w:rPr>
        <w:t>__</w:t>
      </w:r>
    </w:p>
    <w:p w14:paraId="4C3AC4AB" w14:textId="77777777" w:rsidR="00E84FE7" w:rsidRPr="007F6548" w:rsidRDefault="00E84FE7" w:rsidP="00E84FE7">
      <w:pPr>
        <w:pStyle w:val="JudgmentNumbered"/>
        <w:numPr>
          <w:ilvl w:val="0"/>
          <w:numId w:val="0"/>
        </w:numPr>
        <w:spacing w:after="0"/>
        <w:ind w:left="567" w:hanging="567"/>
        <w:jc w:val="right"/>
        <w:rPr>
          <w:b/>
          <w:color w:val="000000" w:themeColor="text1"/>
        </w:rPr>
      </w:pPr>
      <w:r w:rsidRPr="007F6548">
        <w:rPr>
          <w:b/>
          <w:color w:val="000000" w:themeColor="text1"/>
        </w:rPr>
        <w:t>MODIBA J</w:t>
      </w:r>
    </w:p>
    <w:p w14:paraId="0597A26D" w14:textId="209F227F" w:rsidR="00E84FE7" w:rsidRDefault="00E84FE7" w:rsidP="00E84FE7">
      <w:pPr>
        <w:pStyle w:val="JudgmentNumbered"/>
        <w:numPr>
          <w:ilvl w:val="0"/>
          <w:numId w:val="0"/>
        </w:numPr>
        <w:spacing w:after="0"/>
        <w:ind w:left="567" w:hanging="567"/>
        <w:jc w:val="right"/>
        <w:rPr>
          <w:b/>
          <w:color w:val="000000" w:themeColor="text1"/>
        </w:rPr>
      </w:pPr>
      <w:r w:rsidRPr="00FB26E0">
        <w:rPr>
          <w:b/>
          <w:color w:val="000000" w:themeColor="text1"/>
        </w:rPr>
        <w:t>JUDGE OF THE ELECT</w:t>
      </w:r>
      <w:r w:rsidR="007D181C" w:rsidRPr="00FB26E0">
        <w:rPr>
          <w:b/>
          <w:color w:val="000000" w:themeColor="text1"/>
        </w:rPr>
        <w:t xml:space="preserve">ORAL </w:t>
      </w:r>
      <w:r w:rsidR="00C63692" w:rsidRPr="00FB26E0">
        <w:rPr>
          <w:b/>
          <w:color w:val="000000" w:themeColor="text1"/>
        </w:rPr>
        <w:t>COURT</w:t>
      </w:r>
      <w:r w:rsidR="007D181C" w:rsidRPr="00FB26E0">
        <w:rPr>
          <w:b/>
          <w:color w:val="000000" w:themeColor="text1"/>
        </w:rPr>
        <w:t xml:space="preserve"> </w:t>
      </w:r>
    </w:p>
    <w:p w14:paraId="2BB008A2" w14:textId="77777777" w:rsidR="00DB5377" w:rsidRPr="007F6548" w:rsidRDefault="00DB5377" w:rsidP="00E84FE7">
      <w:pPr>
        <w:pStyle w:val="JudgmentNumbered"/>
        <w:numPr>
          <w:ilvl w:val="0"/>
          <w:numId w:val="0"/>
        </w:numPr>
        <w:spacing w:after="0"/>
        <w:ind w:left="567" w:hanging="567"/>
        <w:jc w:val="right"/>
        <w:rPr>
          <w:b/>
          <w:color w:val="000000" w:themeColor="text1"/>
        </w:rPr>
      </w:pPr>
    </w:p>
    <w:p w14:paraId="253EDBF5" w14:textId="207011F5" w:rsidR="00E84FE7" w:rsidRDefault="00E84FE7" w:rsidP="00E84FE7">
      <w:pPr>
        <w:tabs>
          <w:tab w:val="left" w:pos="851"/>
        </w:tabs>
        <w:spacing w:line="360" w:lineRule="auto"/>
        <w:ind w:left="360"/>
        <w:rPr>
          <w:rFonts w:cs="Arial"/>
          <w:color w:val="000000" w:themeColor="text1"/>
          <w:szCs w:val="24"/>
        </w:rPr>
      </w:pPr>
    </w:p>
    <w:p w14:paraId="066D9EAD" w14:textId="647BC41C" w:rsidR="006F03D3" w:rsidRDefault="006F03D3" w:rsidP="00E84FE7">
      <w:pPr>
        <w:tabs>
          <w:tab w:val="left" w:pos="851"/>
        </w:tabs>
        <w:spacing w:line="360" w:lineRule="auto"/>
        <w:ind w:left="360"/>
        <w:rPr>
          <w:rFonts w:cs="Arial"/>
          <w:color w:val="000000" w:themeColor="text1"/>
          <w:szCs w:val="24"/>
        </w:rPr>
      </w:pPr>
    </w:p>
    <w:p w14:paraId="7B1F43E7" w14:textId="77777777" w:rsidR="005B7A55" w:rsidRDefault="005B7A55" w:rsidP="00E84FE7">
      <w:pPr>
        <w:tabs>
          <w:tab w:val="left" w:pos="851"/>
        </w:tabs>
        <w:spacing w:line="360" w:lineRule="auto"/>
        <w:ind w:left="360"/>
        <w:rPr>
          <w:rFonts w:cs="Arial"/>
          <w:color w:val="000000" w:themeColor="text1"/>
          <w:szCs w:val="24"/>
        </w:rPr>
      </w:pPr>
    </w:p>
    <w:p w14:paraId="71AE296A" w14:textId="77777777" w:rsidR="000D5CF4" w:rsidRDefault="000D5CF4" w:rsidP="00E84FE7">
      <w:pPr>
        <w:tabs>
          <w:tab w:val="left" w:pos="851"/>
        </w:tabs>
        <w:spacing w:line="360" w:lineRule="auto"/>
        <w:ind w:left="360"/>
        <w:rPr>
          <w:rFonts w:cs="Arial"/>
          <w:color w:val="000000" w:themeColor="text1"/>
          <w:szCs w:val="24"/>
        </w:rPr>
      </w:pPr>
    </w:p>
    <w:p w14:paraId="5AE92F7E" w14:textId="2E0E7AC0" w:rsidR="005B2E4E" w:rsidRPr="00C94588" w:rsidRDefault="007F096B" w:rsidP="005B2E4E">
      <w:pPr>
        <w:pStyle w:val="WLGLevel1"/>
        <w:numPr>
          <w:ilvl w:val="0"/>
          <w:numId w:val="0"/>
        </w:numPr>
        <w:spacing w:line="360" w:lineRule="auto"/>
        <w:ind w:left="567" w:hanging="567"/>
        <w:rPr>
          <w:rFonts w:cs="Arial"/>
          <w:bCs/>
          <w:color w:val="000000" w:themeColor="text1"/>
          <w:szCs w:val="24"/>
        </w:rPr>
      </w:pPr>
      <w:r w:rsidRPr="00C94588">
        <w:rPr>
          <w:rFonts w:cs="Arial"/>
          <w:bCs/>
          <w:color w:val="000000" w:themeColor="text1"/>
          <w:szCs w:val="24"/>
        </w:rPr>
        <w:lastRenderedPageBreak/>
        <w:t xml:space="preserve">Appearances </w:t>
      </w:r>
    </w:p>
    <w:p w14:paraId="45B37EC2" w14:textId="162D21E7" w:rsidR="005C3985" w:rsidRPr="005C3985" w:rsidRDefault="005C3985" w:rsidP="005C3985">
      <w:pPr>
        <w:pStyle w:val="WLGLevel1"/>
        <w:numPr>
          <w:ilvl w:val="0"/>
          <w:numId w:val="0"/>
        </w:numPr>
        <w:spacing w:after="0" w:line="360" w:lineRule="auto"/>
        <w:ind w:left="567" w:hanging="567"/>
        <w:rPr>
          <w:rFonts w:cs="Arial"/>
          <w:color w:val="000000" w:themeColor="text1"/>
          <w:szCs w:val="24"/>
        </w:rPr>
      </w:pPr>
      <w:r>
        <w:rPr>
          <w:rFonts w:cs="Arial"/>
          <w:color w:val="000000" w:themeColor="text1"/>
          <w:szCs w:val="24"/>
        </w:rPr>
        <w:t xml:space="preserve">For the applicant </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sidRPr="005C3985">
        <w:rPr>
          <w:rFonts w:cs="Arial"/>
          <w:color w:val="000000" w:themeColor="text1"/>
          <w:szCs w:val="24"/>
        </w:rPr>
        <w:t>M Tsele</w:t>
      </w:r>
      <w:r w:rsidRPr="005C3985">
        <w:rPr>
          <w:rFonts w:cs="Arial"/>
          <w:color w:val="000000" w:themeColor="text1"/>
          <w:szCs w:val="24"/>
        </w:rPr>
        <w:tab/>
      </w:r>
      <w:r w:rsidRPr="005C3985">
        <w:rPr>
          <w:rFonts w:cs="Arial"/>
          <w:color w:val="000000" w:themeColor="text1"/>
          <w:szCs w:val="24"/>
        </w:rPr>
        <w:tab/>
      </w:r>
      <w:r w:rsidRPr="005C3985">
        <w:rPr>
          <w:rFonts w:cs="Arial"/>
          <w:color w:val="000000" w:themeColor="text1"/>
          <w:szCs w:val="24"/>
        </w:rPr>
        <w:tab/>
      </w:r>
    </w:p>
    <w:p w14:paraId="78201CBE" w14:textId="14B04D72" w:rsidR="001C44B8" w:rsidRDefault="005C3985" w:rsidP="005C3985">
      <w:pPr>
        <w:pStyle w:val="WLGLevel1"/>
        <w:numPr>
          <w:ilvl w:val="0"/>
          <w:numId w:val="0"/>
        </w:numPr>
        <w:spacing w:after="0" w:line="360" w:lineRule="auto"/>
        <w:ind w:left="567" w:hanging="567"/>
        <w:rPr>
          <w:rFonts w:cs="Arial"/>
          <w:color w:val="000000" w:themeColor="text1"/>
          <w:szCs w:val="24"/>
        </w:rPr>
      </w:pPr>
      <w:r w:rsidRPr="005C3985">
        <w:rPr>
          <w:rFonts w:cs="Arial"/>
          <w:color w:val="000000" w:themeColor="text1"/>
          <w:szCs w:val="24"/>
        </w:rPr>
        <w:t xml:space="preserve">Instructed by: </w:t>
      </w:r>
      <w:r w:rsidRPr="005C3985">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t>DMO Attorneys, Bryanston</w:t>
      </w:r>
    </w:p>
    <w:p w14:paraId="5F6CF1AD" w14:textId="276DA1DA" w:rsidR="00C9641D" w:rsidRPr="007F6548" w:rsidRDefault="00C9641D" w:rsidP="00053CF4">
      <w:pPr>
        <w:pStyle w:val="WLGLevel1"/>
        <w:numPr>
          <w:ilvl w:val="0"/>
          <w:numId w:val="0"/>
        </w:numPr>
        <w:spacing w:line="360" w:lineRule="auto"/>
        <w:ind w:left="567" w:hanging="567"/>
        <w:rPr>
          <w:rFonts w:cs="Arial"/>
          <w:color w:val="000000" w:themeColor="text1"/>
          <w:szCs w:val="24"/>
        </w:rPr>
      </w:pPr>
    </w:p>
    <w:sectPr w:rsidR="00C9641D" w:rsidRPr="007F6548" w:rsidSect="00C07D85">
      <w:headerReference w:type="even" r:id="rId12"/>
      <w:headerReference w:type="default" r:id="rId1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D4EA" w14:textId="77777777" w:rsidR="00EB0C0E" w:rsidRDefault="00EB0C0E" w:rsidP="00A07258">
      <w:pPr>
        <w:spacing w:line="240" w:lineRule="auto"/>
      </w:pPr>
      <w:r>
        <w:separator/>
      </w:r>
    </w:p>
  </w:endnote>
  <w:endnote w:type="continuationSeparator" w:id="0">
    <w:p w14:paraId="09E32CD7" w14:textId="77777777" w:rsidR="00EB0C0E" w:rsidRDefault="00EB0C0E" w:rsidP="00A0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ptos Display">
    <w:altName w:val="Arial"/>
    <w:charset w:val="00"/>
    <w:family w:val="swiss"/>
    <w:pitch w:val="variable"/>
    <w:sig w:usb0="20000287" w:usb1="00000003" w:usb2="00000000" w:usb3="00000000" w:csb0="0000019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2BB9" w14:textId="77777777" w:rsidR="00EB0C0E" w:rsidRDefault="00EB0C0E" w:rsidP="00A07258">
      <w:pPr>
        <w:spacing w:line="240" w:lineRule="auto"/>
      </w:pPr>
      <w:r>
        <w:separator/>
      </w:r>
    </w:p>
  </w:footnote>
  <w:footnote w:type="continuationSeparator" w:id="0">
    <w:p w14:paraId="26BFC5DA" w14:textId="77777777" w:rsidR="00EB0C0E" w:rsidRDefault="00EB0C0E" w:rsidP="00A07258">
      <w:pPr>
        <w:spacing w:line="240" w:lineRule="auto"/>
      </w:pPr>
      <w:r>
        <w:continuationSeparator/>
      </w:r>
    </w:p>
  </w:footnote>
  <w:footnote w:id="1">
    <w:p w14:paraId="40695F25" w14:textId="3E160545" w:rsidR="009B20B2" w:rsidRPr="00CC37FA" w:rsidRDefault="009B20B2" w:rsidP="009E4BAF">
      <w:pPr>
        <w:pStyle w:val="FootnoteText"/>
      </w:pPr>
      <w:r w:rsidRPr="00CC37FA">
        <w:rPr>
          <w:rStyle w:val="FootnoteReference"/>
        </w:rPr>
        <w:footnoteRef/>
      </w:r>
      <w:r w:rsidRPr="00CC37FA">
        <w:t xml:space="preserve">Act 6 of 2018. </w:t>
      </w:r>
    </w:p>
  </w:footnote>
  <w:footnote w:id="2">
    <w:p w14:paraId="409B9691" w14:textId="77777777" w:rsidR="00835133" w:rsidRDefault="002478C0" w:rsidP="009E4BAF">
      <w:pPr>
        <w:pStyle w:val="FootnoteText"/>
      </w:pPr>
      <w:r>
        <w:rPr>
          <w:rStyle w:val="FootnoteReference"/>
        </w:rPr>
        <w:footnoteRef/>
      </w:r>
      <w:r w:rsidR="00036F12">
        <w:t xml:space="preserve"> </w:t>
      </w:r>
      <w:r>
        <w:t>Regulations regarding the Funding of Political Parties Issued in terms of Section 24(2) of</w:t>
      </w:r>
      <w:r w:rsidR="00036F12">
        <w:t xml:space="preserve"> </w:t>
      </w:r>
      <w:r>
        <w:t>the</w:t>
      </w:r>
    </w:p>
    <w:p w14:paraId="6551ED6D" w14:textId="19A6E925" w:rsidR="002478C0" w:rsidRDefault="00261451" w:rsidP="009E4BAF">
      <w:pPr>
        <w:pStyle w:val="FootnoteText"/>
      </w:pPr>
      <w:r>
        <w:t xml:space="preserve"> </w:t>
      </w:r>
      <w:r w:rsidR="00835133" w:rsidRPr="00835133">
        <w:t xml:space="preserve">Act and Date of Commencement of </w:t>
      </w:r>
      <w:r w:rsidR="002A6BC7">
        <w:t>the Funding Act</w:t>
      </w:r>
      <w:r w:rsidR="00835133" w:rsidRPr="00835133">
        <w:t xml:space="preserve"> GN 64 of 2021, GG 44125 of 29 Jan 2021.</w:t>
      </w:r>
    </w:p>
  </w:footnote>
  <w:footnote w:id="3">
    <w:p w14:paraId="0E7BDEBC" w14:textId="1292D55F" w:rsidR="006D4B2C" w:rsidRDefault="006D4B2C" w:rsidP="009E4BAF">
      <w:pPr>
        <w:pStyle w:val="FootnoteText"/>
      </w:pPr>
      <w:r>
        <w:rPr>
          <w:rStyle w:val="FootnoteReference"/>
        </w:rPr>
        <w:footnoteRef/>
      </w:r>
      <w:r>
        <w:t xml:space="preserve"> </w:t>
      </w:r>
      <w:r w:rsidRPr="00422AF6">
        <w:t>26 of 2005</w:t>
      </w:r>
      <w:r>
        <w:t xml:space="preserve">. </w:t>
      </w:r>
    </w:p>
  </w:footnote>
  <w:footnote w:id="4">
    <w:p w14:paraId="1802F52D" w14:textId="71045E66" w:rsidR="00171F86" w:rsidRPr="00E44B8E" w:rsidRDefault="00171F86" w:rsidP="009E4BAF">
      <w:pPr>
        <w:pStyle w:val="FootnoteText"/>
      </w:pPr>
      <w:r w:rsidRPr="00E44B8E">
        <w:rPr>
          <w:rStyle w:val="FootnoteReference"/>
        </w:rPr>
        <w:footnoteRef/>
      </w:r>
      <w:r w:rsidR="00FB26E0">
        <w:t xml:space="preserve"> </w:t>
      </w:r>
      <w:r w:rsidRPr="00B8580C">
        <w:rPr>
          <w:i/>
        </w:rPr>
        <w:t>Esau v Minister of C</w:t>
      </w:r>
      <w:r w:rsidR="008873CB" w:rsidRPr="00B8580C">
        <w:rPr>
          <w:i/>
        </w:rPr>
        <w:t xml:space="preserve">ooperative </w:t>
      </w:r>
      <w:r w:rsidRPr="00B8580C">
        <w:rPr>
          <w:i/>
        </w:rPr>
        <w:t>G</w:t>
      </w:r>
      <w:r w:rsidR="008873CB" w:rsidRPr="00B8580C">
        <w:rPr>
          <w:i/>
        </w:rPr>
        <w:t xml:space="preserve">overnment and </w:t>
      </w:r>
      <w:r w:rsidRPr="00B8580C">
        <w:rPr>
          <w:i/>
        </w:rPr>
        <w:t>T</w:t>
      </w:r>
      <w:r w:rsidR="008873CB" w:rsidRPr="00B8580C">
        <w:rPr>
          <w:i/>
        </w:rPr>
        <w:t xml:space="preserve">raditional </w:t>
      </w:r>
      <w:r w:rsidR="001D6451" w:rsidRPr="00B8580C">
        <w:rPr>
          <w:i/>
        </w:rPr>
        <w:t>Affairs</w:t>
      </w:r>
      <w:r w:rsidR="00FB26E0">
        <w:t xml:space="preserve"> 2021 (3) SA 593 (SCA) para 82-</w:t>
      </w:r>
      <w:r w:rsidRPr="00E44B8E">
        <w:t xml:space="preserve">4. </w:t>
      </w:r>
    </w:p>
  </w:footnote>
  <w:footnote w:id="5">
    <w:p w14:paraId="4EE3E778" w14:textId="5670E71E" w:rsidR="00171F86" w:rsidRPr="008F211C" w:rsidRDefault="00171F86" w:rsidP="009E4BAF">
      <w:pPr>
        <w:pStyle w:val="FootnoteText"/>
      </w:pPr>
      <w:r w:rsidRPr="00E44B8E">
        <w:rPr>
          <w:rStyle w:val="FootnoteReference"/>
        </w:rPr>
        <w:footnoteRef/>
      </w:r>
      <w:r w:rsidR="00FB26E0">
        <w:t xml:space="preserve"> </w:t>
      </w:r>
      <w:r w:rsidRPr="00B8580C">
        <w:rPr>
          <w:i/>
        </w:rPr>
        <w:t>Oudekraal Estates (Pty) Ltd v City of Cape Town</w:t>
      </w:r>
      <w:r w:rsidRPr="00E44B8E">
        <w:t xml:space="preserve"> [2004] 3 All SA 1 (SCA)</w:t>
      </w:r>
      <w:r w:rsidR="001D6451" w:rsidRPr="00E44B8E">
        <w:t>.</w:t>
      </w:r>
      <w:r w:rsidR="001D6451">
        <w:t xml:space="preserve"> </w:t>
      </w:r>
    </w:p>
  </w:footnote>
  <w:footnote w:id="6">
    <w:p w14:paraId="42A36C48" w14:textId="37DDE49A" w:rsidR="008E3888" w:rsidRPr="0024744F" w:rsidRDefault="008E3888" w:rsidP="009E4BAF">
      <w:pPr>
        <w:pStyle w:val="FootnoteText"/>
      </w:pPr>
      <w:r w:rsidRPr="0024744F">
        <w:rPr>
          <w:rStyle w:val="FootnoteReference"/>
        </w:rPr>
        <w:footnoteRef/>
      </w:r>
      <w:r w:rsidRPr="0024744F">
        <w:t xml:space="preserve"> Section 15 provides as follows</w:t>
      </w:r>
      <w:r w:rsidR="00293037" w:rsidRPr="0024744F">
        <w:t>: “</w:t>
      </w:r>
      <w:r w:rsidR="001E6D9B" w:rsidRPr="0024744F">
        <w:t>15 Commission’s</w:t>
      </w:r>
      <w:r w:rsidRPr="0024744F">
        <w:t xml:space="preserve"> power to issue directions</w:t>
      </w:r>
    </w:p>
    <w:p w14:paraId="127DE6BE" w14:textId="77777777" w:rsidR="008E3888" w:rsidRPr="0024744F" w:rsidRDefault="008E3888" w:rsidP="009E4BAF">
      <w:pPr>
        <w:pStyle w:val="FootnoteText"/>
      </w:pPr>
      <w:r w:rsidRPr="0024744F">
        <w:t>(1) The Commission may issue a direction to a political party in the prescribed manner in order to avoid imposing a sanction-</w:t>
      </w:r>
    </w:p>
    <w:p w14:paraId="0309BFAC" w14:textId="77777777" w:rsidR="008E3888" w:rsidRPr="0024744F" w:rsidRDefault="008E3888" w:rsidP="009E4BAF">
      <w:pPr>
        <w:pStyle w:val="FootnoteText"/>
      </w:pPr>
      <w:r w:rsidRPr="0024744F">
        <w:t xml:space="preserve">   (a)   after affording that party an opportunity to make representations; and</w:t>
      </w:r>
    </w:p>
    <w:p w14:paraId="280AE940" w14:textId="77777777" w:rsidR="008E3888" w:rsidRPr="0024744F" w:rsidRDefault="008E3888" w:rsidP="009E4BAF">
      <w:pPr>
        <w:pStyle w:val="FootnoteText"/>
      </w:pPr>
      <w:r w:rsidRPr="0024744F">
        <w:t xml:space="preserve">   (b)   if it is of the opinion that the party fails to comply with this Act.</w:t>
      </w:r>
    </w:p>
    <w:p w14:paraId="45A305D5" w14:textId="77777777" w:rsidR="008E3888" w:rsidRPr="0024744F" w:rsidRDefault="008E3888" w:rsidP="009E4BAF">
      <w:pPr>
        <w:pStyle w:val="FootnoteText"/>
      </w:pPr>
      <w:r w:rsidRPr="0024744F">
        <w:t>(2) The direction contemplated in subsection (1) must indicate which of the following sanctions that the Commission may impose if the political party fails to comply with that direction:</w:t>
      </w:r>
    </w:p>
    <w:p w14:paraId="1A239519" w14:textId="77777777" w:rsidR="008E3888" w:rsidRPr="0024744F" w:rsidRDefault="008E3888" w:rsidP="009E4BAF">
      <w:pPr>
        <w:pStyle w:val="FootnoteText"/>
      </w:pPr>
      <w:r w:rsidRPr="0024744F">
        <w:t xml:space="preserve">   (a)   Suspension of payment of allocated money under section 16;</w:t>
      </w:r>
    </w:p>
    <w:p w14:paraId="621B95F4" w14:textId="77777777" w:rsidR="008E3888" w:rsidRPr="0024744F" w:rsidRDefault="008E3888" w:rsidP="009E4BAF">
      <w:pPr>
        <w:pStyle w:val="FootnoteText"/>
      </w:pPr>
      <w:r w:rsidRPr="0024744F">
        <w:t xml:space="preserve">   (b)   the recovery of money irregularly accepted or spent under 17; or</w:t>
      </w:r>
    </w:p>
    <w:p w14:paraId="1F98197A" w14:textId="10A7F252" w:rsidR="008E3888" w:rsidRPr="00386420" w:rsidRDefault="008E3888" w:rsidP="009E4BAF">
      <w:pPr>
        <w:pStyle w:val="FootnoteText"/>
      </w:pPr>
      <w:r w:rsidRPr="0024744F">
        <w:t xml:space="preserve">   (c)   the imposition of an administrative fine in terms of section 18.</w:t>
      </w:r>
      <w:r w:rsidR="00F63260" w:rsidRPr="0024744F">
        <w:t>”</w:t>
      </w:r>
    </w:p>
  </w:footnote>
  <w:footnote w:id="7">
    <w:p w14:paraId="5172516E" w14:textId="60224D37" w:rsidR="00A07258" w:rsidRPr="00E92A0D" w:rsidRDefault="00A07258" w:rsidP="009E4BAF">
      <w:pPr>
        <w:pStyle w:val="FootnoteText"/>
      </w:pPr>
      <w:r w:rsidRPr="00E92A0D">
        <w:rPr>
          <w:rStyle w:val="FootnoteReference"/>
        </w:rPr>
        <w:footnoteRef/>
      </w:r>
      <w:r w:rsidR="00FB26E0">
        <w:t xml:space="preserve">  </w:t>
      </w:r>
      <w:r w:rsidRPr="00E92A0D">
        <w:t>2011 (2) SA 118 (SCA) para 22.</w:t>
      </w:r>
    </w:p>
  </w:footnote>
  <w:footnote w:id="8">
    <w:p w14:paraId="29AABEFB" w14:textId="190A6CFC" w:rsidR="00A07258" w:rsidRPr="00E92A0D" w:rsidRDefault="00A07258" w:rsidP="009E4BAF">
      <w:pPr>
        <w:pStyle w:val="FootnoteText"/>
      </w:pPr>
      <w:r w:rsidRPr="00E92A0D">
        <w:rPr>
          <w:rStyle w:val="FootnoteReference"/>
        </w:rPr>
        <w:footnoteRef/>
      </w:r>
      <w:r w:rsidR="00FB26E0">
        <w:t xml:space="preserve"> </w:t>
      </w:r>
      <w:r w:rsidRPr="00E92A0D">
        <w:rPr>
          <w:i/>
        </w:rPr>
        <w:t>Van Zyl</w:t>
      </w:r>
      <w:r w:rsidRPr="00E92A0D">
        <w:t xml:space="preserve"> para 121, quoting Craies on Statute Law (Sweet &amp; Maxwell, London 1971) p 268.</w:t>
      </w:r>
    </w:p>
  </w:footnote>
  <w:footnote w:id="9">
    <w:p w14:paraId="166D6ABE" w14:textId="5E444EDC" w:rsidR="00A07258" w:rsidRPr="00E92A0D" w:rsidRDefault="00A07258" w:rsidP="009E4BAF">
      <w:pPr>
        <w:pStyle w:val="FootnoteText"/>
      </w:pPr>
      <w:r w:rsidRPr="00E92A0D">
        <w:rPr>
          <w:rStyle w:val="FootnoteReference"/>
        </w:rPr>
        <w:footnoteRef/>
      </w:r>
      <w:r w:rsidR="00FB26E0">
        <w:t xml:space="preserve"> </w:t>
      </w:r>
      <w:r w:rsidRPr="00E92A0D">
        <w:t xml:space="preserve">Ibid. </w:t>
      </w:r>
    </w:p>
  </w:footnote>
  <w:footnote w:id="10">
    <w:p w14:paraId="7EA4C067" w14:textId="083DBE72" w:rsidR="00A07258" w:rsidRPr="00E92A0D" w:rsidRDefault="00A07258" w:rsidP="009E4BAF">
      <w:pPr>
        <w:pStyle w:val="FootnoteText"/>
      </w:pPr>
      <w:r w:rsidRPr="00E92A0D">
        <w:rPr>
          <w:rStyle w:val="FootnoteReference"/>
        </w:rPr>
        <w:footnoteRef/>
      </w:r>
      <w:r w:rsidR="00FB26E0">
        <w:t xml:space="preserve"> </w:t>
      </w:r>
      <w:r w:rsidR="00036F12" w:rsidRPr="00E92A0D">
        <w:t xml:space="preserve">See </w:t>
      </w:r>
      <w:r w:rsidRPr="00B8580C">
        <w:rPr>
          <w:i/>
        </w:rPr>
        <w:t>Slabbert v Ma-Afrika Hotels t/a Rivierbos Guest Hous</w:t>
      </w:r>
      <w:r w:rsidR="00C94588" w:rsidRPr="00B8580C">
        <w:rPr>
          <w:i/>
        </w:rPr>
        <w:t>e</w:t>
      </w:r>
      <w:r w:rsidRPr="00B8580C">
        <w:rPr>
          <w:i/>
        </w:rPr>
        <w:t xml:space="preserve"> </w:t>
      </w:r>
      <w:r w:rsidRPr="00E92A0D">
        <w:t>[2022] ZASCA 152</w:t>
      </w:r>
      <w:r w:rsidR="00036F12" w:rsidRPr="00E92A0D">
        <w:t>.</w:t>
      </w:r>
    </w:p>
  </w:footnote>
  <w:footnote w:id="11">
    <w:p w14:paraId="11763744" w14:textId="43EA548E" w:rsidR="00A07258" w:rsidRPr="00E92A0D" w:rsidRDefault="00A07258" w:rsidP="009E4BAF">
      <w:pPr>
        <w:pStyle w:val="FootnoteText"/>
      </w:pPr>
      <w:r w:rsidRPr="00E92A0D">
        <w:rPr>
          <w:rStyle w:val="FootnoteReference"/>
        </w:rPr>
        <w:footnoteRef/>
      </w:r>
      <w:r w:rsidR="00FB26E0">
        <w:t xml:space="preserve"> </w:t>
      </w:r>
      <w:r w:rsidRPr="00E92A0D">
        <w:rPr>
          <w:i/>
        </w:rPr>
        <w:t>Mohlomi v Minister of Defence</w:t>
      </w:r>
      <w:r w:rsidRPr="00E92A0D">
        <w:t xml:space="preserve"> 1997 (1) SA 124 (CC) para 17. </w:t>
      </w:r>
    </w:p>
  </w:footnote>
  <w:footnote w:id="12">
    <w:p w14:paraId="472ECE36" w14:textId="7B5BE404" w:rsidR="00CF30F5" w:rsidRPr="00E44B8E" w:rsidRDefault="00CF30F5" w:rsidP="009E4BAF">
      <w:pPr>
        <w:pStyle w:val="FootnoteText"/>
      </w:pPr>
      <w:r w:rsidRPr="00E92A0D">
        <w:rPr>
          <w:rStyle w:val="FootnoteReference"/>
        </w:rPr>
        <w:footnoteRef/>
      </w:r>
      <w:r w:rsidR="00FB26E0">
        <w:t xml:space="preserve"> </w:t>
      </w:r>
      <w:r w:rsidRPr="00B8580C">
        <w:rPr>
          <w:i/>
        </w:rPr>
        <w:t>Phillips v National Director of Public Prosecutions</w:t>
      </w:r>
      <w:r w:rsidRPr="00E92A0D">
        <w:t xml:space="preserve"> 2006 (1) SA 505 (CC) paras 51-2. </w:t>
      </w:r>
    </w:p>
  </w:footnote>
  <w:footnote w:id="13">
    <w:p w14:paraId="3CB125F1" w14:textId="7819F225" w:rsidR="00C57D9C" w:rsidRPr="00E44B8E" w:rsidRDefault="00C57D9C" w:rsidP="009E4BAF">
      <w:pPr>
        <w:pStyle w:val="FootnoteText"/>
      </w:pPr>
      <w:r w:rsidRPr="00E44B8E">
        <w:rPr>
          <w:rStyle w:val="FootnoteReference"/>
        </w:rPr>
        <w:footnoteRef/>
      </w:r>
      <w:r w:rsidR="00FB26E0">
        <w:t xml:space="preserve">  </w:t>
      </w:r>
      <w:r w:rsidRPr="00B8580C">
        <w:rPr>
          <w:i/>
        </w:rPr>
        <w:t>Sutter</w:t>
      </w:r>
      <w:r w:rsidRPr="00B8580C">
        <w:rPr>
          <w:i/>
          <w:spacing w:val="-4"/>
        </w:rPr>
        <w:t xml:space="preserve"> </w:t>
      </w:r>
      <w:r w:rsidRPr="00B8580C">
        <w:rPr>
          <w:i/>
        </w:rPr>
        <w:t>v</w:t>
      </w:r>
      <w:r w:rsidRPr="00B8580C">
        <w:rPr>
          <w:i/>
          <w:spacing w:val="-5"/>
        </w:rPr>
        <w:t xml:space="preserve"> </w:t>
      </w:r>
      <w:r w:rsidRPr="00B8580C">
        <w:rPr>
          <w:i/>
        </w:rPr>
        <w:t>Scheepers</w:t>
      </w:r>
      <w:r w:rsidRPr="00E44B8E">
        <w:rPr>
          <w:spacing w:val="-4"/>
        </w:rPr>
        <w:t xml:space="preserve"> </w:t>
      </w:r>
      <w:r w:rsidRPr="00E44B8E">
        <w:t>1932</w:t>
      </w:r>
      <w:r w:rsidRPr="00E44B8E">
        <w:rPr>
          <w:spacing w:val="-5"/>
        </w:rPr>
        <w:t xml:space="preserve"> </w:t>
      </w:r>
      <w:r w:rsidRPr="00E44B8E">
        <w:t>AD</w:t>
      </w:r>
      <w:r w:rsidRPr="00E44B8E">
        <w:rPr>
          <w:spacing w:val="-5"/>
        </w:rPr>
        <w:t xml:space="preserve"> </w:t>
      </w:r>
      <w:r w:rsidRPr="00E44B8E">
        <w:t>165</w:t>
      </w:r>
      <w:r w:rsidRPr="00E44B8E">
        <w:rPr>
          <w:spacing w:val="-4"/>
        </w:rPr>
        <w:t xml:space="preserve"> </w:t>
      </w:r>
      <w:r w:rsidRPr="00E44B8E">
        <w:t>at</w:t>
      </w:r>
      <w:r w:rsidRPr="00E44B8E">
        <w:rPr>
          <w:spacing w:val="-5"/>
        </w:rPr>
        <w:t xml:space="preserve"> </w:t>
      </w:r>
      <w:r w:rsidRPr="00E44B8E">
        <w:t>173-174;</w:t>
      </w:r>
      <w:r w:rsidRPr="00E44B8E">
        <w:rPr>
          <w:spacing w:val="-4"/>
        </w:rPr>
        <w:t xml:space="preserve"> </w:t>
      </w:r>
      <w:r w:rsidRPr="00B8580C">
        <w:rPr>
          <w:i/>
        </w:rPr>
        <w:t>Standard</w:t>
      </w:r>
      <w:r w:rsidRPr="00B8580C">
        <w:rPr>
          <w:i/>
          <w:spacing w:val="-5"/>
        </w:rPr>
        <w:t xml:space="preserve"> </w:t>
      </w:r>
      <w:r w:rsidRPr="00B8580C">
        <w:rPr>
          <w:i/>
        </w:rPr>
        <w:t>Bank</w:t>
      </w:r>
      <w:r w:rsidRPr="00B8580C">
        <w:rPr>
          <w:i/>
          <w:spacing w:val="-4"/>
        </w:rPr>
        <w:t xml:space="preserve"> </w:t>
      </w:r>
      <w:r w:rsidRPr="00B8580C">
        <w:rPr>
          <w:i/>
        </w:rPr>
        <w:t>Ltd</w:t>
      </w:r>
      <w:r w:rsidRPr="00B8580C">
        <w:rPr>
          <w:i/>
          <w:spacing w:val="-4"/>
        </w:rPr>
        <w:t xml:space="preserve"> </w:t>
      </w:r>
      <w:r w:rsidRPr="00B8580C">
        <w:rPr>
          <w:i/>
        </w:rPr>
        <w:t>v</w:t>
      </w:r>
      <w:r w:rsidRPr="00B8580C">
        <w:rPr>
          <w:i/>
          <w:spacing w:val="-5"/>
        </w:rPr>
        <w:t xml:space="preserve"> </w:t>
      </w:r>
      <w:r w:rsidRPr="00B8580C">
        <w:rPr>
          <w:i/>
        </w:rPr>
        <w:t>van</w:t>
      </w:r>
      <w:r w:rsidRPr="00B8580C">
        <w:rPr>
          <w:i/>
          <w:spacing w:val="-4"/>
        </w:rPr>
        <w:t xml:space="preserve"> </w:t>
      </w:r>
      <w:r w:rsidRPr="00B8580C">
        <w:rPr>
          <w:i/>
        </w:rPr>
        <w:t>Rhyn</w:t>
      </w:r>
      <w:r w:rsidRPr="00E44B8E">
        <w:rPr>
          <w:spacing w:val="-5"/>
        </w:rPr>
        <w:t xml:space="preserve"> </w:t>
      </w:r>
      <w:r w:rsidRPr="00E44B8E">
        <w:t>1925</w:t>
      </w:r>
      <w:r w:rsidRPr="00E44B8E">
        <w:rPr>
          <w:spacing w:val="-4"/>
        </w:rPr>
        <w:t xml:space="preserve"> </w:t>
      </w:r>
      <w:r w:rsidRPr="00E44B8E">
        <w:t>AD</w:t>
      </w:r>
      <w:r w:rsidRPr="00E44B8E">
        <w:rPr>
          <w:spacing w:val="-5"/>
        </w:rPr>
        <w:t xml:space="preserve"> </w:t>
      </w:r>
      <w:r w:rsidRPr="00E44B8E">
        <w:rPr>
          <w:spacing w:val="-4"/>
        </w:rPr>
        <w:t xml:space="preserve">266. </w:t>
      </w:r>
    </w:p>
  </w:footnote>
  <w:footnote w:id="14">
    <w:p w14:paraId="31717260" w14:textId="5ACAA1E1" w:rsidR="00474A8B" w:rsidRDefault="00C57D9C" w:rsidP="009E4BAF">
      <w:pPr>
        <w:pStyle w:val="FootnoteText"/>
      </w:pPr>
      <w:r w:rsidRPr="00E44B8E">
        <w:rPr>
          <w:rStyle w:val="FootnoteReference"/>
        </w:rPr>
        <w:footnoteRef/>
      </w:r>
      <w:r w:rsidR="00FB26E0">
        <w:t xml:space="preserve"> </w:t>
      </w:r>
      <w:r w:rsidRPr="00E44B8E">
        <w:t>Where a political party or accounting officer does not comply with the obligations in s 12(1), (2)</w:t>
      </w:r>
    </w:p>
    <w:p w14:paraId="73096FA8" w14:textId="6C0F11FF" w:rsidR="00C57D9C" w:rsidRDefault="00C57D9C" w:rsidP="009E4BAF">
      <w:pPr>
        <w:pStyle w:val="FootnoteText"/>
      </w:pPr>
      <w:r w:rsidRPr="00E44B8E">
        <w:t xml:space="preserve"> </w:t>
      </w:r>
      <w:r w:rsidR="00474A8B" w:rsidRPr="00474A8B">
        <w:t xml:space="preserve">or (4), they commit an offence in terms of s 19(1)(b) and are subject to a fine or imprisonment in </w:t>
      </w:r>
    </w:p>
    <w:p w14:paraId="629095E0" w14:textId="00FDFC03" w:rsidR="00474A8B" w:rsidRPr="008F211C" w:rsidRDefault="00474A8B" w:rsidP="009E4BAF">
      <w:pPr>
        <w:pStyle w:val="FootnoteText"/>
      </w:pPr>
      <w:r w:rsidRPr="00474A8B">
        <w:t>terms of s 19(2)(b).</w:t>
      </w:r>
    </w:p>
  </w:footnote>
  <w:footnote w:id="15">
    <w:p w14:paraId="56EDDE1F" w14:textId="1508241D" w:rsidR="00A07258" w:rsidRPr="00FF02D0" w:rsidRDefault="00A07258" w:rsidP="009E4BAF">
      <w:pPr>
        <w:pStyle w:val="FootnoteText"/>
      </w:pPr>
      <w:r>
        <w:rPr>
          <w:rStyle w:val="FootnoteReference"/>
        </w:rPr>
        <w:footnoteRef/>
      </w:r>
      <w:r w:rsidR="00FB26E0">
        <w:t xml:space="preserve"> </w:t>
      </w:r>
      <w:r w:rsidRPr="006F03D3">
        <w:rPr>
          <w:i/>
        </w:rPr>
        <w:t>Economic Freedom Fighters v Speaker of the National</w:t>
      </w:r>
      <w:r w:rsidRPr="0001739F">
        <w:t xml:space="preserve"> Assembly</w:t>
      </w:r>
      <w:r w:rsidRPr="008F47BD">
        <w:t xml:space="preserve"> 2018 (3) BCLR 259 (CC) paras 210-11.</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E09F" w14:textId="77777777" w:rsidR="00A16770" w:rsidRDefault="005E100E">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6DDF2" w14:textId="77777777" w:rsidR="00A16770" w:rsidRDefault="00A16770">
    <w:pPr>
      <w:pStyle w:val="Header"/>
      <w:ind w:right="360"/>
    </w:pPr>
  </w:p>
  <w:p w14:paraId="2F0D70DF" w14:textId="77777777" w:rsidR="00A16770" w:rsidRDefault="00A167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291759"/>
      <w:docPartObj>
        <w:docPartGallery w:val="Page Numbers (Top of Page)"/>
        <w:docPartUnique/>
      </w:docPartObj>
    </w:sdtPr>
    <w:sdtEndPr>
      <w:rPr>
        <w:noProof/>
      </w:rPr>
    </w:sdtEndPr>
    <w:sdtContent>
      <w:p w14:paraId="54DF2588" w14:textId="7F0DDA13" w:rsidR="00CB2EF9" w:rsidRDefault="00CB2EF9">
        <w:pPr>
          <w:pStyle w:val="Header"/>
        </w:pPr>
        <w:r>
          <w:fldChar w:fldCharType="begin"/>
        </w:r>
        <w:r>
          <w:instrText xml:space="preserve"> PAGE   \* MERGEFORMAT </w:instrText>
        </w:r>
        <w:r>
          <w:fldChar w:fldCharType="separate"/>
        </w:r>
        <w:r w:rsidR="00CE3587">
          <w:rPr>
            <w:noProof/>
          </w:rPr>
          <w:t>22</w:t>
        </w:r>
        <w:r>
          <w:rPr>
            <w:noProof/>
          </w:rPr>
          <w:fldChar w:fldCharType="end"/>
        </w:r>
      </w:p>
    </w:sdtContent>
  </w:sdt>
  <w:p w14:paraId="42578EA6" w14:textId="37305950" w:rsidR="00A16770" w:rsidRDefault="00A16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0A"/>
    <w:multiLevelType w:val="multilevel"/>
    <w:tmpl w:val="2694766A"/>
    <w:lvl w:ilvl="0">
      <w:start w:val="12"/>
      <w:numFmt w:val="decimal"/>
      <w:lvlText w:val="%1"/>
      <w:lvlJc w:val="left"/>
      <w:pPr>
        <w:ind w:left="4005"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D8C3413"/>
    <w:multiLevelType w:val="multilevel"/>
    <w:tmpl w:val="FDA41FBC"/>
    <w:lvl w:ilvl="0">
      <w:start w:val="15"/>
      <w:numFmt w:val="decimal"/>
      <w:lvlText w:val="%1"/>
      <w:lvlJc w:val="left"/>
      <w:pPr>
        <w:ind w:left="600" w:hanging="600"/>
      </w:pPr>
      <w:rPr>
        <w:rFonts w:hint="default"/>
      </w:rPr>
    </w:lvl>
    <w:lvl w:ilvl="1">
      <w:start w:val="11"/>
      <w:numFmt w:val="decimal"/>
      <w:lvlText w:val="%1.%2"/>
      <w:lvlJc w:val="left"/>
      <w:pPr>
        <w:ind w:left="1911" w:hanging="60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5013" w:hanging="108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995" w:hanging="1440"/>
      </w:pPr>
      <w:rPr>
        <w:rFonts w:hint="default"/>
      </w:rPr>
    </w:lvl>
    <w:lvl w:ilvl="6">
      <w:start w:val="1"/>
      <w:numFmt w:val="decimal"/>
      <w:lvlText w:val="%1.%2.%3.%4.%5.%6.%7"/>
      <w:lvlJc w:val="left"/>
      <w:pPr>
        <w:ind w:left="9306" w:hanging="1440"/>
      </w:pPr>
      <w:rPr>
        <w:rFonts w:hint="default"/>
      </w:rPr>
    </w:lvl>
    <w:lvl w:ilvl="7">
      <w:start w:val="1"/>
      <w:numFmt w:val="decimal"/>
      <w:lvlText w:val="%1.%2.%3.%4.%5.%6.%7.%8"/>
      <w:lvlJc w:val="left"/>
      <w:pPr>
        <w:ind w:left="10977" w:hanging="1800"/>
      </w:pPr>
      <w:rPr>
        <w:rFonts w:hint="default"/>
      </w:rPr>
    </w:lvl>
    <w:lvl w:ilvl="8">
      <w:start w:val="1"/>
      <w:numFmt w:val="decimal"/>
      <w:lvlText w:val="%1.%2.%3.%4.%5.%6.%7.%8.%9"/>
      <w:lvlJc w:val="left"/>
      <w:pPr>
        <w:ind w:left="12288" w:hanging="1800"/>
      </w:pPr>
      <w:rPr>
        <w:rFonts w:hint="default"/>
      </w:rPr>
    </w:lvl>
  </w:abstractNum>
  <w:abstractNum w:abstractNumId="2" w15:restartNumberingAfterBreak="0">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3842602"/>
    <w:multiLevelType w:val="multilevel"/>
    <w:tmpl w:val="9208D3F2"/>
    <w:lvl w:ilvl="0">
      <w:start w:val="22"/>
      <w:numFmt w:val="decimal"/>
      <w:lvlText w:val="%1"/>
      <w:lvlJc w:val="left"/>
      <w:pPr>
        <w:ind w:left="660" w:hanging="660"/>
      </w:pPr>
      <w:rPr>
        <w:rFonts w:hint="default"/>
      </w:rPr>
    </w:lvl>
    <w:lvl w:ilvl="1">
      <w:start w:val="2"/>
      <w:numFmt w:val="decimal"/>
      <w:lvlText w:val="%1.%2"/>
      <w:lvlJc w:val="left"/>
      <w:pPr>
        <w:ind w:left="1340" w:hanging="660"/>
      </w:pPr>
      <w:rPr>
        <w:rFonts w:hint="default"/>
      </w:rPr>
    </w:lvl>
    <w:lvl w:ilvl="2">
      <w:start w:val="3"/>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28481BDC"/>
    <w:multiLevelType w:val="multilevel"/>
    <w:tmpl w:val="EBF82AA0"/>
    <w:lvl w:ilvl="0">
      <w:start w:val="21"/>
      <w:numFmt w:val="decimal"/>
      <w:lvlText w:val="%1"/>
      <w:lvlJc w:val="left"/>
      <w:pPr>
        <w:ind w:left="460" w:hanging="460"/>
      </w:pPr>
      <w:rPr>
        <w:rFonts w:hint="default"/>
      </w:rPr>
    </w:lvl>
    <w:lvl w:ilvl="1">
      <w:start w:val="1"/>
      <w:numFmt w:val="decimal"/>
      <w:lvlText w:val="%1.%2"/>
      <w:lvlJc w:val="left"/>
      <w:pPr>
        <w:ind w:left="1487" w:hanging="460"/>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4161" w:hanging="108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575" w:hanging="144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989" w:hanging="1800"/>
      </w:pPr>
      <w:rPr>
        <w:rFonts w:hint="default"/>
      </w:rPr>
    </w:lvl>
    <w:lvl w:ilvl="8">
      <w:start w:val="1"/>
      <w:numFmt w:val="decimal"/>
      <w:lvlText w:val="%1.%2.%3.%4.%5.%6.%7.%8.%9"/>
      <w:lvlJc w:val="left"/>
      <w:pPr>
        <w:ind w:left="10016" w:hanging="1800"/>
      </w:pPr>
      <w:rPr>
        <w:rFonts w:hint="default"/>
      </w:rPr>
    </w:lvl>
  </w:abstractNum>
  <w:abstractNum w:abstractNumId="5" w15:restartNumberingAfterBreak="0">
    <w:nsid w:val="29B4149F"/>
    <w:multiLevelType w:val="hybridMultilevel"/>
    <w:tmpl w:val="A8A8D31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0094E82"/>
    <w:multiLevelType w:val="multilevel"/>
    <w:tmpl w:val="4F2A774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7356F12"/>
    <w:multiLevelType w:val="multilevel"/>
    <w:tmpl w:val="8A626868"/>
    <w:lvl w:ilvl="0">
      <w:start w:val="22"/>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949327E"/>
    <w:multiLevelType w:val="multilevel"/>
    <w:tmpl w:val="88E4F7DC"/>
    <w:lvl w:ilvl="0">
      <w:start w:val="21"/>
      <w:numFmt w:val="decimal"/>
      <w:lvlText w:val="%1"/>
      <w:lvlJc w:val="left"/>
      <w:pPr>
        <w:ind w:left="944" w:hanging="660"/>
      </w:pPr>
      <w:rPr>
        <w:rFonts w:hint="default"/>
      </w:rPr>
    </w:lvl>
    <w:lvl w:ilvl="1">
      <w:start w:val="2"/>
      <w:numFmt w:val="decimal"/>
      <w:lvlText w:val="%1.%2"/>
      <w:lvlJc w:val="left"/>
      <w:pPr>
        <w:ind w:left="1340" w:hanging="660"/>
      </w:pPr>
      <w:rPr>
        <w:rFonts w:hint="default"/>
      </w:rPr>
    </w:lvl>
    <w:lvl w:ilvl="2">
      <w:start w:val="3"/>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4BBB789D"/>
    <w:multiLevelType w:val="multilevel"/>
    <w:tmpl w:val="F70C4EB2"/>
    <w:lvl w:ilvl="0">
      <w:start w:val="15"/>
      <w:numFmt w:val="decimal"/>
      <w:lvlText w:val="%1"/>
      <w:lvlJc w:val="left"/>
      <w:pPr>
        <w:ind w:left="460" w:hanging="460"/>
      </w:pPr>
      <w:rPr>
        <w:rFonts w:hint="default"/>
      </w:rPr>
    </w:lvl>
    <w:lvl w:ilvl="1">
      <w:start w:val="1"/>
      <w:numFmt w:val="decimal"/>
      <w:lvlText w:val="%1.%2"/>
      <w:lvlJc w:val="left"/>
      <w:pPr>
        <w:ind w:left="1311"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1B95A87"/>
    <w:multiLevelType w:val="multilevel"/>
    <w:tmpl w:val="2694766A"/>
    <w:lvl w:ilvl="0">
      <w:start w:val="12"/>
      <w:numFmt w:val="decimal"/>
      <w:lvlText w:val="%1"/>
      <w:lvlJc w:val="left"/>
      <w:pPr>
        <w:ind w:left="4005"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1C7132B"/>
    <w:multiLevelType w:val="multilevel"/>
    <w:tmpl w:val="1B62D27C"/>
    <w:lvl w:ilvl="0">
      <w:start w:val="13"/>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7494F76"/>
    <w:multiLevelType w:val="multilevel"/>
    <w:tmpl w:val="6A4C712A"/>
    <w:lvl w:ilvl="0">
      <w:start w:val="14"/>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4A61304"/>
    <w:multiLevelType w:val="multilevel"/>
    <w:tmpl w:val="2F9CEFCC"/>
    <w:lvl w:ilvl="0">
      <w:start w:val="1"/>
      <w:numFmt w:val="decimal"/>
      <w:pStyle w:val="WLGLevel1"/>
      <w:lvlText w:val="%1"/>
      <w:lvlJc w:val="left"/>
      <w:pPr>
        <w:tabs>
          <w:tab w:val="num" w:pos="567"/>
        </w:tabs>
        <w:ind w:left="567" w:hanging="567"/>
      </w:pPr>
      <w:rPr>
        <w:rFonts w:hint="default"/>
        <w:b w:val="0"/>
        <w:bCs w:val="0"/>
      </w:r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4" w15:restartNumberingAfterBreak="0">
    <w:nsid w:val="71FD46D7"/>
    <w:multiLevelType w:val="hybridMultilevel"/>
    <w:tmpl w:val="4064967C"/>
    <w:lvl w:ilvl="0" w:tplc="898C51B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4"/>
  </w:num>
  <w:num w:numId="5">
    <w:abstractNumId w:val="2"/>
  </w:num>
  <w:num w:numId="6">
    <w:abstractNumId w:val="12"/>
  </w:num>
  <w:num w:numId="7">
    <w:abstractNumId w:val="4"/>
  </w:num>
  <w:num w:numId="8">
    <w:abstractNumId w:val="8"/>
  </w:num>
  <w:num w:numId="9">
    <w:abstractNumId w:val="11"/>
  </w:num>
  <w:num w:numId="10">
    <w:abstractNumId w:val="6"/>
  </w:num>
  <w:num w:numId="11">
    <w:abstractNumId w:val="9"/>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58"/>
    <w:rsid w:val="0000244C"/>
    <w:rsid w:val="0001140D"/>
    <w:rsid w:val="0001305A"/>
    <w:rsid w:val="000134C5"/>
    <w:rsid w:val="000172EE"/>
    <w:rsid w:val="0001739F"/>
    <w:rsid w:val="00022ED2"/>
    <w:rsid w:val="00023A22"/>
    <w:rsid w:val="0002664E"/>
    <w:rsid w:val="00026CB4"/>
    <w:rsid w:val="00035BD2"/>
    <w:rsid w:val="00036F12"/>
    <w:rsid w:val="0004070F"/>
    <w:rsid w:val="000440B0"/>
    <w:rsid w:val="000457E4"/>
    <w:rsid w:val="00047FD8"/>
    <w:rsid w:val="0005014A"/>
    <w:rsid w:val="00050E2A"/>
    <w:rsid w:val="00052849"/>
    <w:rsid w:val="00053CF4"/>
    <w:rsid w:val="000546E1"/>
    <w:rsid w:val="00054786"/>
    <w:rsid w:val="00055047"/>
    <w:rsid w:val="00056AC2"/>
    <w:rsid w:val="00061AC7"/>
    <w:rsid w:val="000706EA"/>
    <w:rsid w:val="00073C1C"/>
    <w:rsid w:val="000745FE"/>
    <w:rsid w:val="000768DA"/>
    <w:rsid w:val="000832EE"/>
    <w:rsid w:val="000833AA"/>
    <w:rsid w:val="00086A12"/>
    <w:rsid w:val="00095633"/>
    <w:rsid w:val="00095C59"/>
    <w:rsid w:val="00096A7E"/>
    <w:rsid w:val="000A7E3F"/>
    <w:rsid w:val="000B4D7A"/>
    <w:rsid w:val="000B7F61"/>
    <w:rsid w:val="000C00FD"/>
    <w:rsid w:val="000C0F3C"/>
    <w:rsid w:val="000C1FCF"/>
    <w:rsid w:val="000C792D"/>
    <w:rsid w:val="000C7F59"/>
    <w:rsid w:val="000D0C7F"/>
    <w:rsid w:val="000D268D"/>
    <w:rsid w:val="000D28AE"/>
    <w:rsid w:val="000D4491"/>
    <w:rsid w:val="000D5CF4"/>
    <w:rsid w:val="000D71DF"/>
    <w:rsid w:val="000E084E"/>
    <w:rsid w:val="000E2DF6"/>
    <w:rsid w:val="000E6FC8"/>
    <w:rsid w:val="000F3E2A"/>
    <w:rsid w:val="000F5877"/>
    <w:rsid w:val="00101860"/>
    <w:rsid w:val="00101E78"/>
    <w:rsid w:val="00101F1A"/>
    <w:rsid w:val="00103ADB"/>
    <w:rsid w:val="00110460"/>
    <w:rsid w:val="00125EF3"/>
    <w:rsid w:val="001352EC"/>
    <w:rsid w:val="001363A9"/>
    <w:rsid w:val="001363F7"/>
    <w:rsid w:val="0013725B"/>
    <w:rsid w:val="00137A0D"/>
    <w:rsid w:val="00141A71"/>
    <w:rsid w:val="00144537"/>
    <w:rsid w:val="00145515"/>
    <w:rsid w:val="00151C16"/>
    <w:rsid w:val="00155544"/>
    <w:rsid w:val="0015601C"/>
    <w:rsid w:val="0015786A"/>
    <w:rsid w:val="00167992"/>
    <w:rsid w:val="00171F86"/>
    <w:rsid w:val="0017558B"/>
    <w:rsid w:val="00176268"/>
    <w:rsid w:val="00186227"/>
    <w:rsid w:val="00186CC8"/>
    <w:rsid w:val="001906C3"/>
    <w:rsid w:val="0019326E"/>
    <w:rsid w:val="001A2678"/>
    <w:rsid w:val="001A3011"/>
    <w:rsid w:val="001A67A6"/>
    <w:rsid w:val="001C10B1"/>
    <w:rsid w:val="001C2984"/>
    <w:rsid w:val="001C35C7"/>
    <w:rsid w:val="001C44B8"/>
    <w:rsid w:val="001D2D79"/>
    <w:rsid w:val="001D3D2E"/>
    <w:rsid w:val="001D6451"/>
    <w:rsid w:val="001D6B52"/>
    <w:rsid w:val="001D78E3"/>
    <w:rsid w:val="001D79AE"/>
    <w:rsid w:val="001E6D9B"/>
    <w:rsid w:val="00204FF4"/>
    <w:rsid w:val="002067BE"/>
    <w:rsid w:val="002075D4"/>
    <w:rsid w:val="0022265D"/>
    <w:rsid w:val="00222791"/>
    <w:rsid w:val="00223A96"/>
    <w:rsid w:val="00225FC0"/>
    <w:rsid w:val="0023270E"/>
    <w:rsid w:val="00236959"/>
    <w:rsid w:val="00240F82"/>
    <w:rsid w:val="00241F29"/>
    <w:rsid w:val="002434E3"/>
    <w:rsid w:val="00243E5E"/>
    <w:rsid w:val="00244963"/>
    <w:rsid w:val="0024744F"/>
    <w:rsid w:val="002478C0"/>
    <w:rsid w:val="00254F23"/>
    <w:rsid w:val="0025606C"/>
    <w:rsid w:val="002560FA"/>
    <w:rsid w:val="00261451"/>
    <w:rsid w:val="00262975"/>
    <w:rsid w:val="00266B4C"/>
    <w:rsid w:val="00281E3B"/>
    <w:rsid w:val="00281F5E"/>
    <w:rsid w:val="00282B43"/>
    <w:rsid w:val="00283CFD"/>
    <w:rsid w:val="00290B11"/>
    <w:rsid w:val="0029158F"/>
    <w:rsid w:val="00293037"/>
    <w:rsid w:val="00294C5F"/>
    <w:rsid w:val="002955B7"/>
    <w:rsid w:val="0029746F"/>
    <w:rsid w:val="002A1776"/>
    <w:rsid w:val="002A5245"/>
    <w:rsid w:val="002A6BC7"/>
    <w:rsid w:val="002A7DE8"/>
    <w:rsid w:val="002B106F"/>
    <w:rsid w:val="002B2ADB"/>
    <w:rsid w:val="002C2F9C"/>
    <w:rsid w:val="002C3930"/>
    <w:rsid w:val="002D1933"/>
    <w:rsid w:val="002E0553"/>
    <w:rsid w:val="002E38F1"/>
    <w:rsid w:val="002F3801"/>
    <w:rsid w:val="002F4828"/>
    <w:rsid w:val="002F7657"/>
    <w:rsid w:val="00300F16"/>
    <w:rsid w:val="00305088"/>
    <w:rsid w:val="00306E86"/>
    <w:rsid w:val="003078EF"/>
    <w:rsid w:val="00310928"/>
    <w:rsid w:val="003128F4"/>
    <w:rsid w:val="003159E3"/>
    <w:rsid w:val="0032378B"/>
    <w:rsid w:val="00326143"/>
    <w:rsid w:val="003303E8"/>
    <w:rsid w:val="003436E1"/>
    <w:rsid w:val="00346755"/>
    <w:rsid w:val="00346920"/>
    <w:rsid w:val="003478AB"/>
    <w:rsid w:val="003530D1"/>
    <w:rsid w:val="00353839"/>
    <w:rsid w:val="00356E43"/>
    <w:rsid w:val="00360F49"/>
    <w:rsid w:val="00365779"/>
    <w:rsid w:val="00367801"/>
    <w:rsid w:val="00367E65"/>
    <w:rsid w:val="00372E22"/>
    <w:rsid w:val="003805F2"/>
    <w:rsid w:val="00384F33"/>
    <w:rsid w:val="00386304"/>
    <w:rsid w:val="00386420"/>
    <w:rsid w:val="00386481"/>
    <w:rsid w:val="00386953"/>
    <w:rsid w:val="0039047C"/>
    <w:rsid w:val="00390D13"/>
    <w:rsid w:val="00392815"/>
    <w:rsid w:val="00394866"/>
    <w:rsid w:val="00395ED7"/>
    <w:rsid w:val="003A17C9"/>
    <w:rsid w:val="003A3843"/>
    <w:rsid w:val="003A5E7B"/>
    <w:rsid w:val="003B1A39"/>
    <w:rsid w:val="003C0E08"/>
    <w:rsid w:val="003D090B"/>
    <w:rsid w:val="003D171D"/>
    <w:rsid w:val="003D7C24"/>
    <w:rsid w:val="003E15BE"/>
    <w:rsid w:val="003E2479"/>
    <w:rsid w:val="003E5DD9"/>
    <w:rsid w:val="003E7FE4"/>
    <w:rsid w:val="003F00B6"/>
    <w:rsid w:val="003F6187"/>
    <w:rsid w:val="00401A31"/>
    <w:rsid w:val="004068BD"/>
    <w:rsid w:val="00407AE7"/>
    <w:rsid w:val="00410DE6"/>
    <w:rsid w:val="00413ADB"/>
    <w:rsid w:val="00414293"/>
    <w:rsid w:val="004206A3"/>
    <w:rsid w:val="00420B9B"/>
    <w:rsid w:val="00425C63"/>
    <w:rsid w:val="00426659"/>
    <w:rsid w:val="0042682D"/>
    <w:rsid w:val="00435405"/>
    <w:rsid w:val="00436AFF"/>
    <w:rsid w:val="00443FDC"/>
    <w:rsid w:val="00450B25"/>
    <w:rsid w:val="004521FE"/>
    <w:rsid w:val="00471991"/>
    <w:rsid w:val="0047469A"/>
    <w:rsid w:val="00474A8B"/>
    <w:rsid w:val="00476D17"/>
    <w:rsid w:val="00477FFD"/>
    <w:rsid w:val="0048072E"/>
    <w:rsid w:val="004822A6"/>
    <w:rsid w:val="0048340A"/>
    <w:rsid w:val="004847EF"/>
    <w:rsid w:val="00486A48"/>
    <w:rsid w:val="004870BA"/>
    <w:rsid w:val="00491769"/>
    <w:rsid w:val="004941DD"/>
    <w:rsid w:val="00494535"/>
    <w:rsid w:val="004A061B"/>
    <w:rsid w:val="004A271C"/>
    <w:rsid w:val="004B088C"/>
    <w:rsid w:val="004B1355"/>
    <w:rsid w:val="004B14A2"/>
    <w:rsid w:val="004B1D3A"/>
    <w:rsid w:val="004B2533"/>
    <w:rsid w:val="004B264C"/>
    <w:rsid w:val="004B43FA"/>
    <w:rsid w:val="004B4890"/>
    <w:rsid w:val="004B5CD7"/>
    <w:rsid w:val="004B7B8A"/>
    <w:rsid w:val="004B7DB4"/>
    <w:rsid w:val="004C3845"/>
    <w:rsid w:val="004C3D8D"/>
    <w:rsid w:val="004D0F8C"/>
    <w:rsid w:val="004D21E6"/>
    <w:rsid w:val="004D4E9E"/>
    <w:rsid w:val="004D6BA2"/>
    <w:rsid w:val="004E2809"/>
    <w:rsid w:val="004E755C"/>
    <w:rsid w:val="004F0194"/>
    <w:rsid w:val="004F0A3D"/>
    <w:rsid w:val="004F289A"/>
    <w:rsid w:val="004F7181"/>
    <w:rsid w:val="0050242C"/>
    <w:rsid w:val="0050324C"/>
    <w:rsid w:val="005072AE"/>
    <w:rsid w:val="005078AF"/>
    <w:rsid w:val="00507A58"/>
    <w:rsid w:val="00515A9C"/>
    <w:rsid w:val="005164D0"/>
    <w:rsid w:val="00521F01"/>
    <w:rsid w:val="005222F9"/>
    <w:rsid w:val="00524C5A"/>
    <w:rsid w:val="00526DA6"/>
    <w:rsid w:val="00527727"/>
    <w:rsid w:val="005333C2"/>
    <w:rsid w:val="00540912"/>
    <w:rsid w:val="005427E4"/>
    <w:rsid w:val="00543E47"/>
    <w:rsid w:val="005440B0"/>
    <w:rsid w:val="00546D51"/>
    <w:rsid w:val="005505D5"/>
    <w:rsid w:val="00555380"/>
    <w:rsid w:val="0055780C"/>
    <w:rsid w:val="005621EF"/>
    <w:rsid w:val="005648E0"/>
    <w:rsid w:val="00564C12"/>
    <w:rsid w:val="0056646B"/>
    <w:rsid w:val="00570E4D"/>
    <w:rsid w:val="005725B2"/>
    <w:rsid w:val="00574AC2"/>
    <w:rsid w:val="00584615"/>
    <w:rsid w:val="00586CD4"/>
    <w:rsid w:val="00592902"/>
    <w:rsid w:val="00595371"/>
    <w:rsid w:val="0059594E"/>
    <w:rsid w:val="00596C5E"/>
    <w:rsid w:val="005A4354"/>
    <w:rsid w:val="005A6BDC"/>
    <w:rsid w:val="005A784F"/>
    <w:rsid w:val="005B07CB"/>
    <w:rsid w:val="005B086B"/>
    <w:rsid w:val="005B2E4E"/>
    <w:rsid w:val="005B7A55"/>
    <w:rsid w:val="005C081C"/>
    <w:rsid w:val="005C1A93"/>
    <w:rsid w:val="005C2311"/>
    <w:rsid w:val="005C3985"/>
    <w:rsid w:val="005C5912"/>
    <w:rsid w:val="005D2D35"/>
    <w:rsid w:val="005D695D"/>
    <w:rsid w:val="005E100E"/>
    <w:rsid w:val="005E4C78"/>
    <w:rsid w:val="005E5772"/>
    <w:rsid w:val="005F05B8"/>
    <w:rsid w:val="005F4B93"/>
    <w:rsid w:val="005F4F67"/>
    <w:rsid w:val="00611DD7"/>
    <w:rsid w:val="00614560"/>
    <w:rsid w:val="00616992"/>
    <w:rsid w:val="00620157"/>
    <w:rsid w:val="0062191D"/>
    <w:rsid w:val="0063360D"/>
    <w:rsid w:val="0064654C"/>
    <w:rsid w:val="00647B6E"/>
    <w:rsid w:val="006505EF"/>
    <w:rsid w:val="006507CF"/>
    <w:rsid w:val="00650A5B"/>
    <w:rsid w:val="0065124F"/>
    <w:rsid w:val="00656F06"/>
    <w:rsid w:val="006637CE"/>
    <w:rsid w:val="006652E7"/>
    <w:rsid w:val="0066649F"/>
    <w:rsid w:val="006670F6"/>
    <w:rsid w:val="006762A5"/>
    <w:rsid w:val="00677247"/>
    <w:rsid w:val="006774B6"/>
    <w:rsid w:val="006842EC"/>
    <w:rsid w:val="0068473C"/>
    <w:rsid w:val="006913B0"/>
    <w:rsid w:val="006A0437"/>
    <w:rsid w:val="006A3F9B"/>
    <w:rsid w:val="006A46E7"/>
    <w:rsid w:val="006A58CB"/>
    <w:rsid w:val="006B021D"/>
    <w:rsid w:val="006B0CD6"/>
    <w:rsid w:val="006B0D90"/>
    <w:rsid w:val="006B0EB6"/>
    <w:rsid w:val="006B40CB"/>
    <w:rsid w:val="006B7949"/>
    <w:rsid w:val="006C319A"/>
    <w:rsid w:val="006C7655"/>
    <w:rsid w:val="006C7AD7"/>
    <w:rsid w:val="006D0FC8"/>
    <w:rsid w:val="006D24E6"/>
    <w:rsid w:val="006D4B2C"/>
    <w:rsid w:val="006E48CE"/>
    <w:rsid w:val="006E4EFD"/>
    <w:rsid w:val="006E538D"/>
    <w:rsid w:val="006E6B80"/>
    <w:rsid w:val="006F03D3"/>
    <w:rsid w:val="006F06AD"/>
    <w:rsid w:val="0071113B"/>
    <w:rsid w:val="00716FF0"/>
    <w:rsid w:val="00723F52"/>
    <w:rsid w:val="00730D4F"/>
    <w:rsid w:val="0073252F"/>
    <w:rsid w:val="007346AE"/>
    <w:rsid w:val="0073487A"/>
    <w:rsid w:val="00742004"/>
    <w:rsid w:val="00746604"/>
    <w:rsid w:val="00747813"/>
    <w:rsid w:val="007478F3"/>
    <w:rsid w:val="00751C19"/>
    <w:rsid w:val="00753533"/>
    <w:rsid w:val="00756080"/>
    <w:rsid w:val="00761E3D"/>
    <w:rsid w:val="00762412"/>
    <w:rsid w:val="00765C72"/>
    <w:rsid w:val="00766549"/>
    <w:rsid w:val="007712B0"/>
    <w:rsid w:val="00777297"/>
    <w:rsid w:val="00781BE3"/>
    <w:rsid w:val="0078239B"/>
    <w:rsid w:val="00785D83"/>
    <w:rsid w:val="00792F8A"/>
    <w:rsid w:val="007A0339"/>
    <w:rsid w:val="007A1804"/>
    <w:rsid w:val="007A1AFF"/>
    <w:rsid w:val="007A5B58"/>
    <w:rsid w:val="007A6A74"/>
    <w:rsid w:val="007A6AAB"/>
    <w:rsid w:val="007B55C4"/>
    <w:rsid w:val="007B5DFE"/>
    <w:rsid w:val="007C20BA"/>
    <w:rsid w:val="007C4F18"/>
    <w:rsid w:val="007C6755"/>
    <w:rsid w:val="007C6EA7"/>
    <w:rsid w:val="007D1049"/>
    <w:rsid w:val="007D181C"/>
    <w:rsid w:val="007D1B1A"/>
    <w:rsid w:val="007D7222"/>
    <w:rsid w:val="007E1AFE"/>
    <w:rsid w:val="007E3317"/>
    <w:rsid w:val="007E3BAF"/>
    <w:rsid w:val="007E540E"/>
    <w:rsid w:val="007F096B"/>
    <w:rsid w:val="007F3633"/>
    <w:rsid w:val="007F6548"/>
    <w:rsid w:val="0080113E"/>
    <w:rsid w:val="00801450"/>
    <w:rsid w:val="0080309D"/>
    <w:rsid w:val="00804C97"/>
    <w:rsid w:val="00807C70"/>
    <w:rsid w:val="00811FA2"/>
    <w:rsid w:val="00813002"/>
    <w:rsid w:val="00816837"/>
    <w:rsid w:val="008200BF"/>
    <w:rsid w:val="008206F0"/>
    <w:rsid w:val="00820C16"/>
    <w:rsid w:val="0082273B"/>
    <w:rsid w:val="008259B9"/>
    <w:rsid w:val="00827B0D"/>
    <w:rsid w:val="00835133"/>
    <w:rsid w:val="00835815"/>
    <w:rsid w:val="0084147C"/>
    <w:rsid w:val="00851587"/>
    <w:rsid w:val="00853C73"/>
    <w:rsid w:val="00854E51"/>
    <w:rsid w:val="008568A3"/>
    <w:rsid w:val="0085701D"/>
    <w:rsid w:val="00860385"/>
    <w:rsid w:val="008607C6"/>
    <w:rsid w:val="00863E49"/>
    <w:rsid w:val="00867A23"/>
    <w:rsid w:val="00875004"/>
    <w:rsid w:val="008760AD"/>
    <w:rsid w:val="00880AEF"/>
    <w:rsid w:val="008866C5"/>
    <w:rsid w:val="008873CB"/>
    <w:rsid w:val="00890D54"/>
    <w:rsid w:val="00892AB7"/>
    <w:rsid w:val="0089465A"/>
    <w:rsid w:val="008A48FA"/>
    <w:rsid w:val="008A498A"/>
    <w:rsid w:val="008A6FEF"/>
    <w:rsid w:val="008B238C"/>
    <w:rsid w:val="008B670A"/>
    <w:rsid w:val="008D2F1B"/>
    <w:rsid w:val="008D3D30"/>
    <w:rsid w:val="008D44E3"/>
    <w:rsid w:val="008D5405"/>
    <w:rsid w:val="008E01E6"/>
    <w:rsid w:val="008E1518"/>
    <w:rsid w:val="008E3888"/>
    <w:rsid w:val="008E4343"/>
    <w:rsid w:val="008E4378"/>
    <w:rsid w:val="008F458E"/>
    <w:rsid w:val="008F47BD"/>
    <w:rsid w:val="008F53D7"/>
    <w:rsid w:val="00900A4D"/>
    <w:rsid w:val="0090491D"/>
    <w:rsid w:val="00912B12"/>
    <w:rsid w:val="009145CA"/>
    <w:rsid w:val="009158C7"/>
    <w:rsid w:val="0091723D"/>
    <w:rsid w:val="009241A3"/>
    <w:rsid w:val="0092678D"/>
    <w:rsid w:val="00927934"/>
    <w:rsid w:val="00932478"/>
    <w:rsid w:val="0093396F"/>
    <w:rsid w:val="00935860"/>
    <w:rsid w:val="0094035D"/>
    <w:rsid w:val="00941ED5"/>
    <w:rsid w:val="00942427"/>
    <w:rsid w:val="009552FA"/>
    <w:rsid w:val="009602EF"/>
    <w:rsid w:val="009606B0"/>
    <w:rsid w:val="00963A18"/>
    <w:rsid w:val="00967293"/>
    <w:rsid w:val="00967544"/>
    <w:rsid w:val="009678A5"/>
    <w:rsid w:val="00981B6D"/>
    <w:rsid w:val="0098619B"/>
    <w:rsid w:val="009877C5"/>
    <w:rsid w:val="009962D0"/>
    <w:rsid w:val="0099714C"/>
    <w:rsid w:val="009A35E3"/>
    <w:rsid w:val="009B20B2"/>
    <w:rsid w:val="009B4489"/>
    <w:rsid w:val="009B4B07"/>
    <w:rsid w:val="009B6574"/>
    <w:rsid w:val="009C2048"/>
    <w:rsid w:val="009C5AF9"/>
    <w:rsid w:val="009D18BF"/>
    <w:rsid w:val="009E0E3C"/>
    <w:rsid w:val="009E2B9C"/>
    <w:rsid w:val="009E35E8"/>
    <w:rsid w:val="009E4BAF"/>
    <w:rsid w:val="009F6DC2"/>
    <w:rsid w:val="00A03A84"/>
    <w:rsid w:val="00A051D2"/>
    <w:rsid w:val="00A06E82"/>
    <w:rsid w:val="00A07258"/>
    <w:rsid w:val="00A1065E"/>
    <w:rsid w:val="00A107EB"/>
    <w:rsid w:val="00A13330"/>
    <w:rsid w:val="00A1428B"/>
    <w:rsid w:val="00A1543D"/>
    <w:rsid w:val="00A16770"/>
    <w:rsid w:val="00A20D3B"/>
    <w:rsid w:val="00A301D8"/>
    <w:rsid w:val="00A32AE8"/>
    <w:rsid w:val="00A40A8C"/>
    <w:rsid w:val="00A42F45"/>
    <w:rsid w:val="00A451A4"/>
    <w:rsid w:val="00A638AC"/>
    <w:rsid w:val="00A67747"/>
    <w:rsid w:val="00A71082"/>
    <w:rsid w:val="00A7690B"/>
    <w:rsid w:val="00A830C9"/>
    <w:rsid w:val="00A85A4E"/>
    <w:rsid w:val="00A85AEB"/>
    <w:rsid w:val="00A87026"/>
    <w:rsid w:val="00A876DC"/>
    <w:rsid w:val="00A87755"/>
    <w:rsid w:val="00A95EE6"/>
    <w:rsid w:val="00AA07C4"/>
    <w:rsid w:val="00AA3E8F"/>
    <w:rsid w:val="00AB48ED"/>
    <w:rsid w:val="00AC3DFF"/>
    <w:rsid w:val="00AC3E78"/>
    <w:rsid w:val="00AC4181"/>
    <w:rsid w:val="00AC516D"/>
    <w:rsid w:val="00AC6DE5"/>
    <w:rsid w:val="00AC7143"/>
    <w:rsid w:val="00AC7CA7"/>
    <w:rsid w:val="00AD1C1C"/>
    <w:rsid w:val="00AD3E85"/>
    <w:rsid w:val="00AE6AB2"/>
    <w:rsid w:val="00AF27E5"/>
    <w:rsid w:val="00AF3B17"/>
    <w:rsid w:val="00B00A1B"/>
    <w:rsid w:val="00B04C9D"/>
    <w:rsid w:val="00B058BA"/>
    <w:rsid w:val="00B075A2"/>
    <w:rsid w:val="00B15866"/>
    <w:rsid w:val="00B206BF"/>
    <w:rsid w:val="00B213AF"/>
    <w:rsid w:val="00B263FA"/>
    <w:rsid w:val="00B3322C"/>
    <w:rsid w:val="00B365C1"/>
    <w:rsid w:val="00B4320E"/>
    <w:rsid w:val="00B43ABB"/>
    <w:rsid w:val="00B46D91"/>
    <w:rsid w:val="00B51368"/>
    <w:rsid w:val="00B560C1"/>
    <w:rsid w:val="00B57E15"/>
    <w:rsid w:val="00B6164E"/>
    <w:rsid w:val="00B63A9F"/>
    <w:rsid w:val="00B74B75"/>
    <w:rsid w:val="00B74C01"/>
    <w:rsid w:val="00B75904"/>
    <w:rsid w:val="00B82DE8"/>
    <w:rsid w:val="00B8480D"/>
    <w:rsid w:val="00B84BF6"/>
    <w:rsid w:val="00B8580C"/>
    <w:rsid w:val="00B908DB"/>
    <w:rsid w:val="00B93163"/>
    <w:rsid w:val="00B95135"/>
    <w:rsid w:val="00B95CC5"/>
    <w:rsid w:val="00B96DEE"/>
    <w:rsid w:val="00B96EA9"/>
    <w:rsid w:val="00BA0EB6"/>
    <w:rsid w:val="00BA44BD"/>
    <w:rsid w:val="00BB0131"/>
    <w:rsid w:val="00BB1574"/>
    <w:rsid w:val="00BB58BD"/>
    <w:rsid w:val="00BC1C45"/>
    <w:rsid w:val="00BC1D2F"/>
    <w:rsid w:val="00BC6E89"/>
    <w:rsid w:val="00BD31BC"/>
    <w:rsid w:val="00BD3C78"/>
    <w:rsid w:val="00BD4835"/>
    <w:rsid w:val="00BD493F"/>
    <w:rsid w:val="00BD74A3"/>
    <w:rsid w:val="00BE0E1D"/>
    <w:rsid w:val="00BF1731"/>
    <w:rsid w:val="00BF1FE2"/>
    <w:rsid w:val="00BF7942"/>
    <w:rsid w:val="00C053B2"/>
    <w:rsid w:val="00C07D85"/>
    <w:rsid w:val="00C07F97"/>
    <w:rsid w:val="00C118E4"/>
    <w:rsid w:val="00C26AA4"/>
    <w:rsid w:val="00C31783"/>
    <w:rsid w:val="00C33417"/>
    <w:rsid w:val="00C340E9"/>
    <w:rsid w:val="00C37268"/>
    <w:rsid w:val="00C37694"/>
    <w:rsid w:val="00C3798C"/>
    <w:rsid w:val="00C44712"/>
    <w:rsid w:val="00C448D8"/>
    <w:rsid w:val="00C56D84"/>
    <w:rsid w:val="00C57015"/>
    <w:rsid w:val="00C57D9C"/>
    <w:rsid w:val="00C615E8"/>
    <w:rsid w:val="00C622AF"/>
    <w:rsid w:val="00C63692"/>
    <w:rsid w:val="00C63E40"/>
    <w:rsid w:val="00C65865"/>
    <w:rsid w:val="00C71043"/>
    <w:rsid w:val="00C767EF"/>
    <w:rsid w:val="00C834BC"/>
    <w:rsid w:val="00C8673F"/>
    <w:rsid w:val="00C86FC6"/>
    <w:rsid w:val="00C873FB"/>
    <w:rsid w:val="00C94588"/>
    <w:rsid w:val="00C95630"/>
    <w:rsid w:val="00C9641D"/>
    <w:rsid w:val="00C9716F"/>
    <w:rsid w:val="00CA3D53"/>
    <w:rsid w:val="00CA49DE"/>
    <w:rsid w:val="00CA513B"/>
    <w:rsid w:val="00CB143A"/>
    <w:rsid w:val="00CB2EF9"/>
    <w:rsid w:val="00CB32A4"/>
    <w:rsid w:val="00CB556F"/>
    <w:rsid w:val="00CB741B"/>
    <w:rsid w:val="00CB79F0"/>
    <w:rsid w:val="00CC0328"/>
    <w:rsid w:val="00CC0C0B"/>
    <w:rsid w:val="00CC37FA"/>
    <w:rsid w:val="00CD1F67"/>
    <w:rsid w:val="00CD6FD2"/>
    <w:rsid w:val="00CE05C9"/>
    <w:rsid w:val="00CE14F2"/>
    <w:rsid w:val="00CE3587"/>
    <w:rsid w:val="00CE42DF"/>
    <w:rsid w:val="00CE4454"/>
    <w:rsid w:val="00CE513A"/>
    <w:rsid w:val="00CF1A87"/>
    <w:rsid w:val="00CF257E"/>
    <w:rsid w:val="00CF2782"/>
    <w:rsid w:val="00CF30F5"/>
    <w:rsid w:val="00CF3C17"/>
    <w:rsid w:val="00CF5BB4"/>
    <w:rsid w:val="00CF7257"/>
    <w:rsid w:val="00D037EC"/>
    <w:rsid w:val="00D10331"/>
    <w:rsid w:val="00D11F97"/>
    <w:rsid w:val="00D13649"/>
    <w:rsid w:val="00D13757"/>
    <w:rsid w:val="00D166AE"/>
    <w:rsid w:val="00D169AC"/>
    <w:rsid w:val="00D23408"/>
    <w:rsid w:val="00D23E86"/>
    <w:rsid w:val="00D23F07"/>
    <w:rsid w:val="00D26AFB"/>
    <w:rsid w:val="00D31AFB"/>
    <w:rsid w:val="00D35139"/>
    <w:rsid w:val="00D4038D"/>
    <w:rsid w:val="00D41131"/>
    <w:rsid w:val="00D41531"/>
    <w:rsid w:val="00D43AB8"/>
    <w:rsid w:val="00D514E3"/>
    <w:rsid w:val="00D52E23"/>
    <w:rsid w:val="00D5324C"/>
    <w:rsid w:val="00D54512"/>
    <w:rsid w:val="00D6131D"/>
    <w:rsid w:val="00D66BC1"/>
    <w:rsid w:val="00D70B0C"/>
    <w:rsid w:val="00D732F9"/>
    <w:rsid w:val="00D75AC5"/>
    <w:rsid w:val="00D769BE"/>
    <w:rsid w:val="00D80CAA"/>
    <w:rsid w:val="00D85DA5"/>
    <w:rsid w:val="00D8666A"/>
    <w:rsid w:val="00D8754D"/>
    <w:rsid w:val="00D9138A"/>
    <w:rsid w:val="00D928B7"/>
    <w:rsid w:val="00D969D5"/>
    <w:rsid w:val="00DA1184"/>
    <w:rsid w:val="00DA2D16"/>
    <w:rsid w:val="00DB5113"/>
    <w:rsid w:val="00DB5377"/>
    <w:rsid w:val="00DB5BF3"/>
    <w:rsid w:val="00DC1EBB"/>
    <w:rsid w:val="00DC3188"/>
    <w:rsid w:val="00DD791D"/>
    <w:rsid w:val="00DE5B03"/>
    <w:rsid w:val="00DF0AEC"/>
    <w:rsid w:val="00DF2A4B"/>
    <w:rsid w:val="00DF70DC"/>
    <w:rsid w:val="00E1243C"/>
    <w:rsid w:val="00E1739C"/>
    <w:rsid w:val="00E24E3D"/>
    <w:rsid w:val="00E313F8"/>
    <w:rsid w:val="00E33705"/>
    <w:rsid w:val="00E34CFB"/>
    <w:rsid w:val="00E404B1"/>
    <w:rsid w:val="00E437E9"/>
    <w:rsid w:val="00E44B8E"/>
    <w:rsid w:val="00E47A7F"/>
    <w:rsid w:val="00E5352C"/>
    <w:rsid w:val="00E557D0"/>
    <w:rsid w:val="00E57BC8"/>
    <w:rsid w:val="00E62FA2"/>
    <w:rsid w:val="00E63EC8"/>
    <w:rsid w:val="00E73674"/>
    <w:rsid w:val="00E744B2"/>
    <w:rsid w:val="00E75672"/>
    <w:rsid w:val="00E76D40"/>
    <w:rsid w:val="00E8001B"/>
    <w:rsid w:val="00E8220D"/>
    <w:rsid w:val="00E84FE7"/>
    <w:rsid w:val="00E86317"/>
    <w:rsid w:val="00E879E3"/>
    <w:rsid w:val="00E87A95"/>
    <w:rsid w:val="00E91669"/>
    <w:rsid w:val="00E92A0D"/>
    <w:rsid w:val="00E93024"/>
    <w:rsid w:val="00EA152D"/>
    <w:rsid w:val="00EA199B"/>
    <w:rsid w:val="00EA1A44"/>
    <w:rsid w:val="00EA792B"/>
    <w:rsid w:val="00EB0C0E"/>
    <w:rsid w:val="00EB3C09"/>
    <w:rsid w:val="00EB6976"/>
    <w:rsid w:val="00EB74E8"/>
    <w:rsid w:val="00EC19F2"/>
    <w:rsid w:val="00EC206D"/>
    <w:rsid w:val="00EC24A0"/>
    <w:rsid w:val="00EC61EF"/>
    <w:rsid w:val="00ED067A"/>
    <w:rsid w:val="00ED3B90"/>
    <w:rsid w:val="00EE0395"/>
    <w:rsid w:val="00EF1CA7"/>
    <w:rsid w:val="00EF39B7"/>
    <w:rsid w:val="00EF4141"/>
    <w:rsid w:val="00EF682B"/>
    <w:rsid w:val="00F04E4F"/>
    <w:rsid w:val="00F06283"/>
    <w:rsid w:val="00F12AA1"/>
    <w:rsid w:val="00F12FBC"/>
    <w:rsid w:val="00F1439A"/>
    <w:rsid w:val="00F1722E"/>
    <w:rsid w:val="00F27004"/>
    <w:rsid w:val="00F279A4"/>
    <w:rsid w:val="00F36E00"/>
    <w:rsid w:val="00F37F89"/>
    <w:rsid w:val="00F4605F"/>
    <w:rsid w:val="00F5035F"/>
    <w:rsid w:val="00F51B52"/>
    <w:rsid w:val="00F522CA"/>
    <w:rsid w:val="00F5620C"/>
    <w:rsid w:val="00F63260"/>
    <w:rsid w:val="00F64821"/>
    <w:rsid w:val="00F666B2"/>
    <w:rsid w:val="00F67A6A"/>
    <w:rsid w:val="00F7009C"/>
    <w:rsid w:val="00F72566"/>
    <w:rsid w:val="00F8185E"/>
    <w:rsid w:val="00F82160"/>
    <w:rsid w:val="00F837AE"/>
    <w:rsid w:val="00F867B1"/>
    <w:rsid w:val="00F9208E"/>
    <w:rsid w:val="00F9297D"/>
    <w:rsid w:val="00F96286"/>
    <w:rsid w:val="00FA18E5"/>
    <w:rsid w:val="00FB10B0"/>
    <w:rsid w:val="00FB26E0"/>
    <w:rsid w:val="00FB3786"/>
    <w:rsid w:val="00FB3B31"/>
    <w:rsid w:val="00FC059E"/>
    <w:rsid w:val="00FC4332"/>
    <w:rsid w:val="00FC7582"/>
    <w:rsid w:val="00FD1860"/>
    <w:rsid w:val="00FD5DBD"/>
    <w:rsid w:val="00FD60D5"/>
    <w:rsid w:val="00FE372C"/>
    <w:rsid w:val="00FF1C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5C7C"/>
  <w15:chartTrackingRefBased/>
  <w15:docId w15:val="{82FE5215-AE1F-4039-9A31-FAE8BFA5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58"/>
    <w:pPr>
      <w:suppressAutoHyphens/>
      <w:spacing w:after="0" w:line="480" w:lineRule="auto"/>
      <w:jc w:val="both"/>
    </w:pPr>
    <w:rPr>
      <w:rFonts w:ascii="Arial" w:eastAsia="Times New Roman" w:hAnsi="Arial" w:cs="Times New Roman"/>
      <w:kern w:val="0"/>
      <w:sz w:val="24"/>
      <w:szCs w:val="20"/>
      <w14:ligatures w14:val="none"/>
    </w:rPr>
  </w:style>
  <w:style w:type="paragraph" w:styleId="Heading1">
    <w:name w:val="heading 1"/>
    <w:basedOn w:val="Normal"/>
    <w:next w:val="Normal"/>
    <w:link w:val="Heading1Char"/>
    <w:qFormat/>
    <w:rsid w:val="00A07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A07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72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72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72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72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72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72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72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2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A072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72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72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72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72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72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72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7258"/>
    <w:rPr>
      <w:rFonts w:eastAsiaTheme="majorEastAsia" w:cstheme="majorBidi"/>
      <w:color w:val="272727" w:themeColor="text1" w:themeTint="D8"/>
    </w:rPr>
  </w:style>
  <w:style w:type="paragraph" w:styleId="Title">
    <w:name w:val="Title"/>
    <w:basedOn w:val="Normal"/>
    <w:next w:val="Normal"/>
    <w:link w:val="TitleChar"/>
    <w:uiPriority w:val="10"/>
    <w:qFormat/>
    <w:rsid w:val="00A072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2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72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72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7258"/>
    <w:pPr>
      <w:spacing w:before="160"/>
      <w:jc w:val="center"/>
    </w:pPr>
    <w:rPr>
      <w:i/>
      <w:iCs/>
      <w:color w:val="404040" w:themeColor="text1" w:themeTint="BF"/>
    </w:rPr>
  </w:style>
  <w:style w:type="character" w:customStyle="1" w:styleId="QuoteChar">
    <w:name w:val="Quote Char"/>
    <w:basedOn w:val="DefaultParagraphFont"/>
    <w:link w:val="Quote"/>
    <w:uiPriority w:val="29"/>
    <w:rsid w:val="00A07258"/>
    <w:rPr>
      <w:i/>
      <w:iCs/>
      <w:color w:val="404040" w:themeColor="text1" w:themeTint="BF"/>
    </w:rPr>
  </w:style>
  <w:style w:type="paragraph" w:styleId="ListParagraph">
    <w:name w:val="List Paragraph"/>
    <w:basedOn w:val="Normal"/>
    <w:uiPriority w:val="34"/>
    <w:qFormat/>
    <w:rsid w:val="00A07258"/>
    <w:pPr>
      <w:ind w:left="720"/>
      <w:contextualSpacing/>
    </w:pPr>
  </w:style>
  <w:style w:type="character" w:styleId="IntenseEmphasis">
    <w:name w:val="Intense Emphasis"/>
    <w:basedOn w:val="DefaultParagraphFont"/>
    <w:uiPriority w:val="21"/>
    <w:qFormat/>
    <w:rsid w:val="00A07258"/>
    <w:rPr>
      <w:i/>
      <w:iCs/>
      <w:color w:val="0F4761" w:themeColor="accent1" w:themeShade="BF"/>
    </w:rPr>
  </w:style>
  <w:style w:type="paragraph" w:styleId="IntenseQuote">
    <w:name w:val="Intense Quote"/>
    <w:basedOn w:val="Normal"/>
    <w:next w:val="Normal"/>
    <w:link w:val="IntenseQuoteChar"/>
    <w:uiPriority w:val="30"/>
    <w:qFormat/>
    <w:rsid w:val="00A07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7258"/>
    <w:rPr>
      <w:i/>
      <w:iCs/>
      <w:color w:val="0F4761" w:themeColor="accent1" w:themeShade="BF"/>
    </w:rPr>
  </w:style>
  <w:style w:type="character" w:styleId="IntenseReference">
    <w:name w:val="Intense Reference"/>
    <w:basedOn w:val="DefaultParagraphFont"/>
    <w:uiPriority w:val="32"/>
    <w:qFormat/>
    <w:rsid w:val="00A07258"/>
    <w:rPr>
      <w:b/>
      <w:bCs/>
      <w:smallCaps/>
      <w:color w:val="0F4761" w:themeColor="accent1" w:themeShade="BF"/>
      <w:spacing w:val="5"/>
    </w:rPr>
  </w:style>
  <w:style w:type="paragraph" w:styleId="Header">
    <w:name w:val="header"/>
    <w:basedOn w:val="Normal"/>
    <w:link w:val="HeaderChar"/>
    <w:uiPriority w:val="99"/>
    <w:rsid w:val="00A07258"/>
    <w:pPr>
      <w:spacing w:line="240" w:lineRule="auto"/>
      <w:jc w:val="right"/>
    </w:pPr>
  </w:style>
  <w:style w:type="character" w:customStyle="1" w:styleId="HeaderChar">
    <w:name w:val="Header Char"/>
    <w:basedOn w:val="DefaultParagraphFont"/>
    <w:link w:val="Header"/>
    <w:uiPriority w:val="99"/>
    <w:rsid w:val="00A07258"/>
    <w:rPr>
      <w:rFonts w:ascii="Arial" w:eastAsia="Times New Roman" w:hAnsi="Arial" w:cs="Times New Roman"/>
      <w:kern w:val="0"/>
      <w:sz w:val="24"/>
      <w:szCs w:val="20"/>
      <w14:ligatures w14:val="none"/>
    </w:rPr>
  </w:style>
  <w:style w:type="paragraph" w:customStyle="1" w:styleId="WLGLevel1">
    <w:name w:val="WLGLevel1"/>
    <w:basedOn w:val="Normal"/>
    <w:qFormat/>
    <w:rsid w:val="00A07258"/>
    <w:pPr>
      <w:numPr>
        <w:numId w:val="1"/>
      </w:numPr>
      <w:spacing w:before="320" w:after="320"/>
      <w:outlineLvl w:val="0"/>
    </w:pPr>
  </w:style>
  <w:style w:type="paragraph" w:customStyle="1" w:styleId="WLGLevel2">
    <w:name w:val="WLGLevel2"/>
    <w:basedOn w:val="Normal"/>
    <w:qFormat/>
    <w:rsid w:val="00A07258"/>
    <w:pPr>
      <w:numPr>
        <w:ilvl w:val="1"/>
        <w:numId w:val="1"/>
      </w:numPr>
      <w:spacing w:after="320"/>
      <w:outlineLvl w:val="1"/>
    </w:pPr>
  </w:style>
  <w:style w:type="paragraph" w:customStyle="1" w:styleId="WLGLevel3">
    <w:name w:val="WLGLevel3"/>
    <w:basedOn w:val="Normal"/>
    <w:qFormat/>
    <w:rsid w:val="00A07258"/>
    <w:pPr>
      <w:numPr>
        <w:ilvl w:val="2"/>
        <w:numId w:val="1"/>
      </w:numPr>
      <w:spacing w:after="320"/>
      <w:outlineLvl w:val="2"/>
    </w:pPr>
  </w:style>
  <w:style w:type="paragraph" w:customStyle="1" w:styleId="WLGLevel4">
    <w:name w:val="WLGLevel4"/>
    <w:basedOn w:val="Normal"/>
    <w:qFormat/>
    <w:rsid w:val="00A07258"/>
    <w:pPr>
      <w:numPr>
        <w:ilvl w:val="3"/>
        <w:numId w:val="1"/>
      </w:numPr>
      <w:spacing w:after="320"/>
      <w:outlineLvl w:val="3"/>
    </w:pPr>
  </w:style>
  <w:style w:type="paragraph" w:customStyle="1" w:styleId="WLGLevel5">
    <w:name w:val="WLGLevel5"/>
    <w:basedOn w:val="Normal"/>
    <w:qFormat/>
    <w:rsid w:val="00A07258"/>
    <w:pPr>
      <w:numPr>
        <w:ilvl w:val="4"/>
        <w:numId w:val="1"/>
      </w:numPr>
      <w:spacing w:after="320"/>
      <w:outlineLvl w:val="4"/>
    </w:pPr>
  </w:style>
  <w:style w:type="character" w:styleId="PageNumber">
    <w:name w:val="page number"/>
    <w:rsid w:val="00A07258"/>
    <w:rPr>
      <w:rFonts w:ascii="Arial" w:hAnsi="Arial"/>
      <w:sz w:val="24"/>
    </w:rPr>
  </w:style>
  <w:style w:type="paragraph" w:styleId="TOC1">
    <w:name w:val="toc 1"/>
    <w:basedOn w:val="Normal"/>
    <w:autoRedefine/>
    <w:uiPriority w:val="39"/>
    <w:rsid w:val="00A07258"/>
    <w:pPr>
      <w:tabs>
        <w:tab w:val="right" w:pos="9016"/>
      </w:tabs>
      <w:spacing w:before="360" w:line="240" w:lineRule="auto"/>
      <w:jc w:val="center"/>
    </w:pPr>
    <w:rPr>
      <w:rFonts w:cs="Arial"/>
      <w:b/>
      <w:bCs/>
      <w:caps/>
      <w:szCs w:val="24"/>
    </w:rPr>
  </w:style>
  <w:style w:type="paragraph" w:styleId="TOC2">
    <w:name w:val="toc 2"/>
    <w:basedOn w:val="Normal"/>
    <w:autoRedefine/>
    <w:uiPriority w:val="39"/>
    <w:rsid w:val="00A07258"/>
    <w:pPr>
      <w:spacing w:before="240"/>
      <w:jc w:val="left"/>
    </w:pPr>
    <w:rPr>
      <w:rFonts w:asciiTheme="minorHAnsi" w:hAnsiTheme="minorHAnsi"/>
      <w:b/>
      <w:bCs/>
      <w:sz w:val="20"/>
    </w:rPr>
  </w:style>
  <w:style w:type="character" w:styleId="Hyperlink">
    <w:name w:val="Hyperlink"/>
    <w:uiPriority w:val="99"/>
    <w:rsid w:val="00A07258"/>
    <w:rPr>
      <w:color w:val="0000FF"/>
      <w:u w:val="single"/>
    </w:rPr>
  </w:style>
  <w:style w:type="paragraph" w:customStyle="1" w:styleId="Parties">
    <w:name w:val="Parties"/>
    <w:basedOn w:val="Normal"/>
    <w:qFormat/>
    <w:rsid w:val="00A07258"/>
    <w:pPr>
      <w:tabs>
        <w:tab w:val="right" w:pos="9072"/>
      </w:tabs>
      <w:spacing w:line="240" w:lineRule="auto"/>
    </w:pPr>
  </w:style>
  <w:style w:type="paragraph" w:customStyle="1" w:styleId="Tramlinescentred">
    <w:name w:val="Tramlines centred"/>
    <w:basedOn w:val="Normal"/>
    <w:qFormat/>
    <w:rsid w:val="00A07258"/>
    <w:pPr>
      <w:pBdr>
        <w:top w:val="single" w:sz="8" w:space="12" w:color="auto"/>
        <w:bottom w:val="single" w:sz="8" w:space="12" w:color="auto"/>
      </w:pBdr>
      <w:spacing w:after="320" w:line="240" w:lineRule="auto"/>
      <w:jc w:val="center"/>
    </w:pPr>
    <w:rPr>
      <w:b/>
      <w:bCs/>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autoRedefine/>
    <w:uiPriority w:val="99"/>
    <w:qFormat/>
    <w:rsid w:val="009E4BAF"/>
    <w:pPr>
      <w:suppressAutoHyphens w:val="0"/>
      <w:spacing w:line="360" w:lineRule="auto"/>
      <w:ind w:left="426" w:hanging="426"/>
    </w:pPr>
    <w:rPr>
      <w:rFonts w:cs="Arial"/>
      <w:iCs/>
      <w:sz w:val="20"/>
      <w:lang w:val="en-GB"/>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qFormat/>
    <w:rsid w:val="009E4BAF"/>
    <w:rPr>
      <w:rFonts w:ascii="Arial" w:eastAsia="Times New Roman" w:hAnsi="Arial" w:cs="Arial"/>
      <w:iCs/>
      <w:kern w:val="0"/>
      <w:sz w:val="20"/>
      <w:szCs w:val="20"/>
      <w:lang w:val="en-GB"/>
      <w14:ligatures w14:val="none"/>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basedOn w:val="DefaultParagraphFont"/>
    <w:uiPriority w:val="99"/>
    <w:qFormat/>
    <w:rsid w:val="00A07258"/>
    <w:rPr>
      <w:vertAlign w:val="superscript"/>
    </w:rPr>
  </w:style>
  <w:style w:type="paragraph" w:customStyle="1" w:styleId="Quotelevel1">
    <w:name w:val="Quote level 1"/>
    <w:basedOn w:val="BodyTextIndent3"/>
    <w:link w:val="Quotelevel1Char"/>
    <w:qFormat/>
    <w:rsid w:val="00A07258"/>
    <w:pPr>
      <w:suppressAutoHyphens w:val="0"/>
      <w:spacing w:before="120" w:after="0" w:line="360" w:lineRule="auto"/>
      <w:ind w:left="1134"/>
    </w:pPr>
    <w:rPr>
      <w:rFonts w:cs="Arial"/>
      <w:sz w:val="22"/>
      <w:szCs w:val="22"/>
      <w:lang w:eastAsia="en-GB"/>
    </w:rPr>
  </w:style>
  <w:style w:type="character" w:customStyle="1" w:styleId="Quotelevel1Char">
    <w:name w:val="Quote level 1 Char"/>
    <w:link w:val="Quotelevel1"/>
    <w:rsid w:val="00A07258"/>
    <w:rPr>
      <w:rFonts w:ascii="Arial" w:eastAsia="Times New Roman" w:hAnsi="Arial" w:cs="Arial"/>
      <w:kern w:val="0"/>
      <w:lang w:eastAsia="en-GB"/>
      <w14:ligatures w14:val="none"/>
    </w:rPr>
  </w:style>
  <w:style w:type="paragraph" w:styleId="BodyTextIndent3">
    <w:name w:val="Body Text Indent 3"/>
    <w:basedOn w:val="Normal"/>
    <w:link w:val="BodyTextIndent3Char"/>
    <w:uiPriority w:val="99"/>
    <w:semiHidden/>
    <w:unhideWhenUsed/>
    <w:rsid w:val="00A072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7258"/>
    <w:rPr>
      <w:rFonts w:ascii="Arial" w:eastAsia="Times New Roman" w:hAnsi="Arial" w:cs="Times New Roman"/>
      <w:kern w:val="0"/>
      <w:sz w:val="16"/>
      <w:szCs w:val="16"/>
      <w14:ligatures w14:val="none"/>
    </w:rPr>
  </w:style>
  <w:style w:type="paragraph" w:customStyle="1" w:styleId="JudgmentNumbered">
    <w:name w:val="Judgment Numbered"/>
    <w:basedOn w:val="Normal"/>
    <w:link w:val="JudgmentNumberedChar"/>
    <w:qFormat/>
    <w:rsid w:val="00E84FE7"/>
    <w:pPr>
      <w:numPr>
        <w:numId w:val="5"/>
      </w:numPr>
      <w:suppressAutoHyphens w:val="0"/>
      <w:spacing w:after="240" w:line="360" w:lineRule="auto"/>
    </w:pPr>
    <w:rPr>
      <w:rFonts w:eastAsiaTheme="minorHAnsi" w:cs="Arial"/>
      <w:szCs w:val="22"/>
      <w:lang w:val="en-GB"/>
    </w:rPr>
  </w:style>
  <w:style w:type="character" w:customStyle="1" w:styleId="JudgmentNumberedChar">
    <w:name w:val="Judgment Numbered Char"/>
    <w:basedOn w:val="DefaultParagraphFont"/>
    <w:link w:val="JudgmentNumbered"/>
    <w:rsid w:val="00E84FE7"/>
    <w:rPr>
      <w:rFonts w:ascii="Arial" w:hAnsi="Arial" w:cs="Arial"/>
      <w:kern w:val="0"/>
      <w:sz w:val="24"/>
      <w:lang w:val="en-GB"/>
      <w14:ligatures w14:val="none"/>
    </w:rPr>
  </w:style>
  <w:style w:type="paragraph" w:customStyle="1" w:styleId="p1">
    <w:name w:val="p1"/>
    <w:basedOn w:val="Normal"/>
    <w:rsid w:val="008568A3"/>
    <w:pPr>
      <w:suppressAutoHyphens w:val="0"/>
      <w:spacing w:after="45" w:line="240" w:lineRule="auto"/>
      <w:jc w:val="left"/>
    </w:pPr>
    <w:rPr>
      <w:rFonts w:ascii=".AppleSystemUIFont" w:eastAsiaTheme="minorHAnsi" w:hAnsi=".AppleSystemUIFont" w:cs="Aptos"/>
      <w:sz w:val="57"/>
      <w:szCs w:val="57"/>
      <w:lang w:eastAsia="en-ZA"/>
    </w:rPr>
  </w:style>
  <w:style w:type="paragraph" w:customStyle="1" w:styleId="p2">
    <w:name w:val="p2"/>
    <w:basedOn w:val="Normal"/>
    <w:rsid w:val="008568A3"/>
    <w:pPr>
      <w:suppressAutoHyphens w:val="0"/>
      <w:spacing w:line="240" w:lineRule="auto"/>
      <w:jc w:val="left"/>
    </w:pPr>
    <w:rPr>
      <w:rFonts w:ascii=".AppleSystemUIFont" w:eastAsiaTheme="minorHAnsi" w:hAnsi=".AppleSystemUIFont" w:cs="Aptos"/>
      <w:sz w:val="35"/>
      <w:szCs w:val="35"/>
      <w:lang w:eastAsia="en-ZA"/>
    </w:rPr>
  </w:style>
  <w:style w:type="paragraph" w:customStyle="1" w:styleId="p3">
    <w:name w:val="p3"/>
    <w:basedOn w:val="Normal"/>
    <w:rsid w:val="008568A3"/>
    <w:pPr>
      <w:suppressAutoHyphens w:val="0"/>
      <w:spacing w:line="240" w:lineRule="auto"/>
      <w:jc w:val="left"/>
    </w:pPr>
    <w:rPr>
      <w:rFonts w:ascii=".AppleSystemUIFont" w:eastAsiaTheme="minorHAnsi" w:hAnsi=".AppleSystemUIFont" w:cs="Aptos"/>
      <w:sz w:val="35"/>
      <w:szCs w:val="35"/>
      <w:lang w:eastAsia="en-ZA"/>
    </w:rPr>
  </w:style>
  <w:style w:type="paragraph" w:customStyle="1" w:styleId="li3">
    <w:name w:val="li3"/>
    <w:basedOn w:val="Normal"/>
    <w:rsid w:val="008568A3"/>
    <w:pPr>
      <w:suppressAutoHyphens w:val="0"/>
      <w:spacing w:line="240" w:lineRule="auto"/>
      <w:jc w:val="left"/>
    </w:pPr>
    <w:rPr>
      <w:rFonts w:ascii=".AppleSystemUIFont" w:eastAsiaTheme="minorHAnsi" w:hAnsi=".AppleSystemUIFont" w:cs="Aptos"/>
      <w:sz w:val="35"/>
      <w:szCs w:val="35"/>
      <w:lang w:eastAsia="en-ZA"/>
    </w:rPr>
  </w:style>
  <w:style w:type="character" w:customStyle="1" w:styleId="s1">
    <w:name w:val="s1"/>
    <w:basedOn w:val="DefaultParagraphFont"/>
    <w:rsid w:val="008568A3"/>
    <w:rPr>
      <w:rFonts w:ascii="UICTFontTextStyleBody" w:hAnsi="UICTFontTextStyleBody" w:hint="default"/>
      <w:b/>
      <w:bCs/>
      <w:i w:val="0"/>
      <w:iCs w:val="0"/>
      <w:sz w:val="57"/>
      <w:szCs w:val="57"/>
    </w:rPr>
  </w:style>
  <w:style w:type="character" w:customStyle="1" w:styleId="s2">
    <w:name w:val="s2"/>
    <w:basedOn w:val="DefaultParagraphFont"/>
    <w:rsid w:val="008568A3"/>
    <w:rPr>
      <w:rFonts w:ascii="UICTFontTextStyleBody" w:hAnsi="UICTFontTextStyleBody" w:hint="default"/>
      <w:b w:val="0"/>
      <w:bCs w:val="0"/>
      <w:i w:val="0"/>
      <w:iCs w:val="0"/>
      <w:sz w:val="35"/>
      <w:szCs w:val="35"/>
    </w:rPr>
  </w:style>
  <w:style w:type="character" w:customStyle="1" w:styleId="apple-converted-space">
    <w:name w:val="apple-converted-space"/>
    <w:basedOn w:val="DefaultParagraphFont"/>
    <w:rsid w:val="008568A3"/>
  </w:style>
  <w:style w:type="paragraph" w:styleId="Revision">
    <w:name w:val="Revision"/>
    <w:hidden/>
    <w:uiPriority w:val="99"/>
    <w:semiHidden/>
    <w:rsid w:val="00D26AFB"/>
    <w:pPr>
      <w:spacing w:after="0" w:line="240" w:lineRule="auto"/>
    </w:pPr>
    <w:rPr>
      <w:rFonts w:ascii="Arial" w:eastAsia="Times New Roman" w:hAnsi="Arial" w:cs="Times New Roman"/>
      <w:kern w:val="0"/>
      <w:sz w:val="24"/>
      <w:szCs w:val="20"/>
      <w14:ligatures w14:val="none"/>
    </w:rPr>
  </w:style>
  <w:style w:type="character" w:styleId="CommentReference">
    <w:name w:val="annotation reference"/>
    <w:basedOn w:val="DefaultParagraphFont"/>
    <w:uiPriority w:val="99"/>
    <w:semiHidden/>
    <w:unhideWhenUsed/>
    <w:rsid w:val="003159E3"/>
    <w:rPr>
      <w:sz w:val="16"/>
      <w:szCs w:val="16"/>
    </w:rPr>
  </w:style>
  <w:style w:type="paragraph" w:styleId="CommentText">
    <w:name w:val="annotation text"/>
    <w:basedOn w:val="Normal"/>
    <w:link w:val="CommentTextChar"/>
    <w:uiPriority w:val="99"/>
    <w:unhideWhenUsed/>
    <w:rsid w:val="003159E3"/>
    <w:pPr>
      <w:spacing w:line="240" w:lineRule="auto"/>
    </w:pPr>
    <w:rPr>
      <w:sz w:val="20"/>
    </w:rPr>
  </w:style>
  <w:style w:type="character" w:customStyle="1" w:styleId="CommentTextChar">
    <w:name w:val="Comment Text Char"/>
    <w:basedOn w:val="DefaultParagraphFont"/>
    <w:link w:val="CommentText"/>
    <w:uiPriority w:val="99"/>
    <w:rsid w:val="003159E3"/>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59E3"/>
    <w:rPr>
      <w:b/>
      <w:bCs/>
    </w:rPr>
  </w:style>
  <w:style w:type="character" w:customStyle="1" w:styleId="CommentSubjectChar">
    <w:name w:val="Comment Subject Char"/>
    <w:basedOn w:val="CommentTextChar"/>
    <w:link w:val="CommentSubject"/>
    <w:uiPriority w:val="99"/>
    <w:semiHidden/>
    <w:rsid w:val="003159E3"/>
    <w:rPr>
      <w:rFonts w:ascii="Arial" w:eastAsia="Times New Roman" w:hAnsi="Arial" w:cs="Times New Roman"/>
      <w:b/>
      <w:bCs/>
      <w:kern w:val="0"/>
      <w:sz w:val="20"/>
      <w:szCs w:val="20"/>
      <w14:ligatures w14:val="none"/>
    </w:rPr>
  </w:style>
  <w:style w:type="paragraph" w:styleId="Footer">
    <w:name w:val="footer"/>
    <w:basedOn w:val="Normal"/>
    <w:link w:val="FooterChar"/>
    <w:uiPriority w:val="99"/>
    <w:unhideWhenUsed/>
    <w:rsid w:val="00CB2EF9"/>
    <w:pPr>
      <w:tabs>
        <w:tab w:val="center" w:pos="4513"/>
        <w:tab w:val="right" w:pos="9026"/>
      </w:tabs>
      <w:spacing w:line="240" w:lineRule="auto"/>
    </w:pPr>
  </w:style>
  <w:style w:type="character" w:customStyle="1" w:styleId="FooterChar">
    <w:name w:val="Footer Char"/>
    <w:basedOn w:val="DefaultParagraphFont"/>
    <w:link w:val="Footer"/>
    <w:uiPriority w:val="99"/>
    <w:rsid w:val="00CB2EF9"/>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275">
      <w:bodyDiv w:val="1"/>
      <w:marLeft w:val="0"/>
      <w:marRight w:val="0"/>
      <w:marTop w:val="0"/>
      <w:marBottom w:val="0"/>
      <w:divBdr>
        <w:top w:val="none" w:sz="0" w:space="0" w:color="auto"/>
        <w:left w:val="none" w:sz="0" w:space="0" w:color="auto"/>
        <w:bottom w:val="none" w:sz="0" w:space="0" w:color="auto"/>
        <w:right w:val="none" w:sz="0" w:space="0" w:color="auto"/>
      </w:divBdr>
      <w:divsChild>
        <w:div w:id="1790782564">
          <w:marLeft w:val="0"/>
          <w:marRight w:val="0"/>
          <w:marTop w:val="240"/>
          <w:marBottom w:val="0"/>
          <w:divBdr>
            <w:top w:val="none" w:sz="0" w:space="0" w:color="auto"/>
            <w:left w:val="none" w:sz="0" w:space="0" w:color="auto"/>
            <w:bottom w:val="none" w:sz="0" w:space="0" w:color="auto"/>
            <w:right w:val="none" w:sz="0" w:space="0" w:color="auto"/>
          </w:divBdr>
        </w:div>
        <w:div w:id="13852308">
          <w:marLeft w:val="0"/>
          <w:marRight w:val="0"/>
          <w:marTop w:val="120"/>
          <w:marBottom w:val="0"/>
          <w:divBdr>
            <w:top w:val="none" w:sz="0" w:space="0" w:color="auto"/>
            <w:left w:val="none" w:sz="0" w:space="0" w:color="auto"/>
            <w:bottom w:val="none" w:sz="0" w:space="0" w:color="auto"/>
            <w:right w:val="none" w:sz="0" w:space="0" w:color="auto"/>
          </w:divBdr>
        </w:div>
        <w:div w:id="150297904">
          <w:marLeft w:val="1134"/>
          <w:marRight w:val="0"/>
          <w:marTop w:val="60"/>
          <w:marBottom w:val="0"/>
          <w:divBdr>
            <w:top w:val="none" w:sz="0" w:space="0" w:color="auto"/>
            <w:left w:val="none" w:sz="0" w:space="0" w:color="auto"/>
            <w:bottom w:val="none" w:sz="0" w:space="0" w:color="auto"/>
            <w:right w:val="none" w:sz="0" w:space="0" w:color="auto"/>
          </w:divBdr>
        </w:div>
        <w:div w:id="821434707">
          <w:marLeft w:val="1134"/>
          <w:marRight w:val="0"/>
          <w:marTop w:val="60"/>
          <w:marBottom w:val="0"/>
          <w:divBdr>
            <w:top w:val="none" w:sz="0" w:space="0" w:color="auto"/>
            <w:left w:val="none" w:sz="0" w:space="0" w:color="auto"/>
            <w:bottom w:val="none" w:sz="0" w:space="0" w:color="auto"/>
            <w:right w:val="none" w:sz="0" w:space="0" w:color="auto"/>
          </w:divBdr>
        </w:div>
        <w:div w:id="290870362">
          <w:marLeft w:val="1134"/>
          <w:marRight w:val="0"/>
          <w:marTop w:val="60"/>
          <w:marBottom w:val="0"/>
          <w:divBdr>
            <w:top w:val="none" w:sz="0" w:space="0" w:color="auto"/>
            <w:left w:val="none" w:sz="0" w:space="0" w:color="auto"/>
            <w:bottom w:val="none" w:sz="0" w:space="0" w:color="auto"/>
            <w:right w:val="none" w:sz="0" w:space="0" w:color="auto"/>
          </w:divBdr>
        </w:div>
        <w:div w:id="323096220">
          <w:marLeft w:val="1134"/>
          <w:marRight w:val="0"/>
          <w:marTop w:val="60"/>
          <w:marBottom w:val="0"/>
          <w:divBdr>
            <w:top w:val="none" w:sz="0" w:space="0" w:color="auto"/>
            <w:left w:val="none" w:sz="0" w:space="0" w:color="auto"/>
            <w:bottom w:val="none" w:sz="0" w:space="0" w:color="auto"/>
            <w:right w:val="none" w:sz="0" w:space="0" w:color="auto"/>
          </w:divBdr>
        </w:div>
        <w:div w:id="297229007">
          <w:marLeft w:val="0"/>
          <w:marRight w:val="0"/>
          <w:marTop w:val="120"/>
          <w:marBottom w:val="0"/>
          <w:divBdr>
            <w:top w:val="none" w:sz="0" w:space="0" w:color="auto"/>
            <w:left w:val="none" w:sz="0" w:space="0" w:color="auto"/>
            <w:bottom w:val="none" w:sz="0" w:space="0" w:color="auto"/>
            <w:right w:val="none" w:sz="0" w:space="0" w:color="auto"/>
          </w:divBdr>
        </w:div>
        <w:div w:id="1198271289">
          <w:marLeft w:val="0"/>
          <w:marRight w:val="0"/>
          <w:marTop w:val="120"/>
          <w:marBottom w:val="0"/>
          <w:divBdr>
            <w:top w:val="none" w:sz="0" w:space="0" w:color="auto"/>
            <w:left w:val="none" w:sz="0" w:space="0" w:color="auto"/>
            <w:bottom w:val="none" w:sz="0" w:space="0" w:color="auto"/>
            <w:right w:val="none" w:sz="0" w:space="0" w:color="auto"/>
          </w:divBdr>
        </w:div>
        <w:div w:id="1288587310">
          <w:marLeft w:val="0"/>
          <w:marRight w:val="0"/>
          <w:marTop w:val="120"/>
          <w:marBottom w:val="0"/>
          <w:divBdr>
            <w:top w:val="none" w:sz="0" w:space="0" w:color="auto"/>
            <w:left w:val="none" w:sz="0" w:space="0" w:color="auto"/>
            <w:bottom w:val="none" w:sz="0" w:space="0" w:color="auto"/>
            <w:right w:val="none" w:sz="0" w:space="0" w:color="auto"/>
          </w:divBdr>
        </w:div>
        <w:div w:id="457769046">
          <w:marLeft w:val="1134"/>
          <w:marRight w:val="0"/>
          <w:marTop w:val="60"/>
          <w:marBottom w:val="0"/>
          <w:divBdr>
            <w:top w:val="none" w:sz="0" w:space="0" w:color="auto"/>
            <w:left w:val="none" w:sz="0" w:space="0" w:color="auto"/>
            <w:bottom w:val="none" w:sz="0" w:space="0" w:color="auto"/>
            <w:right w:val="none" w:sz="0" w:space="0" w:color="auto"/>
          </w:divBdr>
        </w:div>
        <w:div w:id="1711956844">
          <w:marLeft w:val="1134"/>
          <w:marRight w:val="0"/>
          <w:marTop w:val="60"/>
          <w:marBottom w:val="0"/>
          <w:divBdr>
            <w:top w:val="none" w:sz="0" w:space="0" w:color="auto"/>
            <w:left w:val="none" w:sz="0" w:space="0" w:color="auto"/>
            <w:bottom w:val="none" w:sz="0" w:space="0" w:color="auto"/>
            <w:right w:val="none" w:sz="0" w:space="0" w:color="auto"/>
          </w:divBdr>
        </w:div>
        <w:div w:id="1127509624">
          <w:marLeft w:val="0"/>
          <w:marRight w:val="0"/>
          <w:marTop w:val="120"/>
          <w:marBottom w:val="0"/>
          <w:divBdr>
            <w:top w:val="none" w:sz="0" w:space="0" w:color="auto"/>
            <w:left w:val="none" w:sz="0" w:space="0" w:color="auto"/>
            <w:bottom w:val="none" w:sz="0" w:space="0" w:color="auto"/>
            <w:right w:val="none" w:sz="0" w:space="0" w:color="auto"/>
          </w:divBdr>
        </w:div>
      </w:divsChild>
    </w:div>
    <w:div w:id="687872178">
      <w:bodyDiv w:val="1"/>
      <w:marLeft w:val="0"/>
      <w:marRight w:val="0"/>
      <w:marTop w:val="0"/>
      <w:marBottom w:val="0"/>
      <w:divBdr>
        <w:top w:val="none" w:sz="0" w:space="0" w:color="auto"/>
        <w:left w:val="none" w:sz="0" w:space="0" w:color="auto"/>
        <w:bottom w:val="none" w:sz="0" w:space="0" w:color="auto"/>
        <w:right w:val="none" w:sz="0" w:space="0" w:color="auto"/>
      </w:divBdr>
      <w:divsChild>
        <w:div w:id="513425006">
          <w:marLeft w:val="0"/>
          <w:marRight w:val="0"/>
          <w:marTop w:val="240"/>
          <w:marBottom w:val="0"/>
          <w:divBdr>
            <w:top w:val="none" w:sz="0" w:space="0" w:color="auto"/>
            <w:left w:val="none" w:sz="0" w:space="0" w:color="auto"/>
            <w:bottom w:val="none" w:sz="0" w:space="0" w:color="auto"/>
            <w:right w:val="none" w:sz="0" w:space="0" w:color="auto"/>
          </w:divBdr>
        </w:div>
        <w:div w:id="352921379">
          <w:marLeft w:val="0"/>
          <w:marRight w:val="0"/>
          <w:marTop w:val="120"/>
          <w:marBottom w:val="0"/>
          <w:divBdr>
            <w:top w:val="none" w:sz="0" w:space="0" w:color="auto"/>
            <w:left w:val="none" w:sz="0" w:space="0" w:color="auto"/>
            <w:bottom w:val="none" w:sz="0" w:space="0" w:color="auto"/>
            <w:right w:val="none" w:sz="0" w:space="0" w:color="auto"/>
          </w:divBdr>
        </w:div>
        <w:div w:id="1933775657">
          <w:marLeft w:val="0"/>
          <w:marRight w:val="0"/>
          <w:marTop w:val="120"/>
          <w:marBottom w:val="0"/>
          <w:divBdr>
            <w:top w:val="none" w:sz="0" w:space="0" w:color="auto"/>
            <w:left w:val="none" w:sz="0" w:space="0" w:color="auto"/>
            <w:bottom w:val="none" w:sz="0" w:space="0" w:color="auto"/>
            <w:right w:val="none" w:sz="0" w:space="0" w:color="auto"/>
          </w:divBdr>
        </w:div>
      </w:divsChild>
    </w:div>
    <w:div w:id="898707198">
      <w:bodyDiv w:val="1"/>
      <w:marLeft w:val="0"/>
      <w:marRight w:val="0"/>
      <w:marTop w:val="0"/>
      <w:marBottom w:val="0"/>
      <w:divBdr>
        <w:top w:val="none" w:sz="0" w:space="0" w:color="auto"/>
        <w:left w:val="none" w:sz="0" w:space="0" w:color="auto"/>
        <w:bottom w:val="none" w:sz="0" w:space="0" w:color="auto"/>
        <w:right w:val="none" w:sz="0" w:space="0" w:color="auto"/>
      </w:divBdr>
      <w:divsChild>
        <w:div w:id="2080638185">
          <w:marLeft w:val="0"/>
          <w:marRight w:val="0"/>
          <w:marTop w:val="240"/>
          <w:marBottom w:val="0"/>
          <w:divBdr>
            <w:top w:val="none" w:sz="0" w:space="0" w:color="auto"/>
            <w:left w:val="none" w:sz="0" w:space="0" w:color="auto"/>
            <w:bottom w:val="none" w:sz="0" w:space="0" w:color="auto"/>
            <w:right w:val="none" w:sz="0" w:space="0" w:color="auto"/>
          </w:divBdr>
        </w:div>
        <w:div w:id="1895698447">
          <w:marLeft w:val="0"/>
          <w:marRight w:val="0"/>
          <w:marTop w:val="120"/>
          <w:marBottom w:val="0"/>
          <w:divBdr>
            <w:top w:val="none" w:sz="0" w:space="0" w:color="auto"/>
            <w:left w:val="none" w:sz="0" w:space="0" w:color="auto"/>
            <w:bottom w:val="none" w:sz="0" w:space="0" w:color="auto"/>
            <w:right w:val="none" w:sz="0" w:space="0" w:color="auto"/>
          </w:divBdr>
        </w:div>
        <w:div w:id="235408763">
          <w:marLeft w:val="1134"/>
          <w:marRight w:val="0"/>
          <w:marTop w:val="60"/>
          <w:marBottom w:val="0"/>
          <w:divBdr>
            <w:top w:val="none" w:sz="0" w:space="0" w:color="auto"/>
            <w:left w:val="none" w:sz="0" w:space="0" w:color="auto"/>
            <w:bottom w:val="none" w:sz="0" w:space="0" w:color="auto"/>
            <w:right w:val="none" w:sz="0" w:space="0" w:color="auto"/>
          </w:divBdr>
        </w:div>
        <w:div w:id="989946002">
          <w:marLeft w:val="1134"/>
          <w:marRight w:val="0"/>
          <w:marTop w:val="60"/>
          <w:marBottom w:val="0"/>
          <w:divBdr>
            <w:top w:val="none" w:sz="0" w:space="0" w:color="auto"/>
            <w:left w:val="none" w:sz="0" w:space="0" w:color="auto"/>
            <w:bottom w:val="none" w:sz="0" w:space="0" w:color="auto"/>
            <w:right w:val="none" w:sz="0" w:space="0" w:color="auto"/>
          </w:divBdr>
        </w:div>
        <w:div w:id="1507014096">
          <w:marLeft w:val="0"/>
          <w:marRight w:val="0"/>
          <w:marTop w:val="120"/>
          <w:marBottom w:val="0"/>
          <w:divBdr>
            <w:top w:val="none" w:sz="0" w:space="0" w:color="auto"/>
            <w:left w:val="none" w:sz="0" w:space="0" w:color="auto"/>
            <w:bottom w:val="none" w:sz="0" w:space="0" w:color="auto"/>
            <w:right w:val="none" w:sz="0" w:space="0" w:color="auto"/>
          </w:divBdr>
        </w:div>
        <w:div w:id="1908758043">
          <w:marLeft w:val="1134"/>
          <w:marRight w:val="0"/>
          <w:marTop w:val="60"/>
          <w:marBottom w:val="0"/>
          <w:divBdr>
            <w:top w:val="none" w:sz="0" w:space="0" w:color="auto"/>
            <w:left w:val="none" w:sz="0" w:space="0" w:color="auto"/>
            <w:bottom w:val="none" w:sz="0" w:space="0" w:color="auto"/>
            <w:right w:val="none" w:sz="0" w:space="0" w:color="auto"/>
          </w:divBdr>
        </w:div>
        <w:div w:id="1567952458">
          <w:marLeft w:val="1134"/>
          <w:marRight w:val="0"/>
          <w:marTop w:val="60"/>
          <w:marBottom w:val="0"/>
          <w:divBdr>
            <w:top w:val="none" w:sz="0" w:space="0" w:color="auto"/>
            <w:left w:val="none" w:sz="0" w:space="0" w:color="auto"/>
            <w:bottom w:val="none" w:sz="0" w:space="0" w:color="auto"/>
            <w:right w:val="none" w:sz="0" w:space="0" w:color="auto"/>
          </w:divBdr>
        </w:div>
        <w:div w:id="1114324030">
          <w:marLeft w:val="1134"/>
          <w:marRight w:val="0"/>
          <w:marTop w:val="60"/>
          <w:marBottom w:val="0"/>
          <w:divBdr>
            <w:top w:val="none" w:sz="0" w:space="0" w:color="auto"/>
            <w:left w:val="none" w:sz="0" w:space="0" w:color="auto"/>
            <w:bottom w:val="none" w:sz="0" w:space="0" w:color="auto"/>
            <w:right w:val="none" w:sz="0" w:space="0" w:color="auto"/>
          </w:divBdr>
        </w:div>
      </w:divsChild>
    </w:div>
    <w:div w:id="973603646">
      <w:bodyDiv w:val="1"/>
      <w:marLeft w:val="0"/>
      <w:marRight w:val="0"/>
      <w:marTop w:val="0"/>
      <w:marBottom w:val="0"/>
      <w:divBdr>
        <w:top w:val="none" w:sz="0" w:space="0" w:color="auto"/>
        <w:left w:val="none" w:sz="0" w:space="0" w:color="auto"/>
        <w:bottom w:val="none" w:sz="0" w:space="0" w:color="auto"/>
        <w:right w:val="none" w:sz="0" w:space="0" w:color="auto"/>
      </w:divBdr>
      <w:divsChild>
        <w:div w:id="373039774">
          <w:marLeft w:val="0"/>
          <w:marRight w:val="0"/>
          <w:marTop w:val="240"/>
          <w:marBottom w:val="0"/>
          <w:divBdr>
            <w:top w:val="none" w:sz="0" w:space="0" w:color="auto"/>
            <w:left w:val="none" w:sz="0" w:space="0" w:color="auto"/>
            <w:bottom w:val="none" w:sz="0" w:space="0" w:color="auto"/>
            <w:right w:val="none" w:sz="0" w:space="0" w:color="auto"/>
          </w:divBdr>
        </w:div>
        <w:div w:id="296839406">
          <w:marLeft w:val="0"/>
          <w:marRight w:val="0"/>
          <w:marTop w:val="120"/>
          <w:marBottom w:val="0"/>
          <w:divBdr>
            <w:top w:val="none" w:sz="0" w:space="0" w:color="auto"/>
            <w:left w:val="none" w:sz="0" w:space="0" w:color="auto"/>
            <w:bottom w:val="none" w:sz="0" w:space="0" w:color="auto"/>
            <w:right w:val="none" w:sz="0" w:space="0" w:color="auto"/>
          </w:divBdr>
        </w:div>
        <w:div w:id="427432701">
          <w:marLeft w:val="1134"/>
          <w:marRight w:val="0"/>
          <w:marTop w:val="60"/>
          <w:marBottom w:val="0"/>
          <w:divBdr>
            <w:top w:val="none" w:sz="0" w:space="0" w:color="auto"/>
            <w:left w:val="none" w:sz="0" w:space="0" w:color="auto"/>
            <w:bottom w:val="none" w:sz="0" w:space="0" w:color="auto"/>
            <w:right w:val="none" w:sz="0" w:space="0" w:color="auto"/>
          </w:divBdr>
        </w:div>
        <w:div w:id="1646199250">
          <w:marLeft w:val="1134"/>
          <w:marRight w:val="0"/>
          <w:marTop w:val="60"/>
          <w:marBottom w:val="0"/>
          <w:divBdr>
            <w:top w:val="none" w:sz="0" w:space="0" w:color="auto"/>
            <w:left w:val="none" w:sz="0" w:space="0" w:color="auto"/>
            <w:bottom w:val="none" w:sz="0" w:space="0" w:color="auto"/>
            <w:right w:val="none" w:sz="0" w:space="0" w:color="auto"/>
          </w:divBdr>
        </w:div>
        <w:div w:id="1817407618">
          <w:marLeft w:val="0"/>
          <w:marRight w:val="0"/>
          <w:marTop w:val="120"/>
          <w:marBottom w:val="0"/>
          <w:divBdr>
            <w:top w:val="none" w:sz="0" w:space="0" w:color="auto"/>
            <w:left w:val="none" w:sz="0" w:space="0" w:color="auto"/>
            <w:bottom w:val="none" w:sz="0" w:space="0" w:color="auto"/>
            <w:right w:val="none" w:sz="0" w:space="0" w:color="auto"/>
          </w:divBdr>
        </w:div>
        <w:div w:id="1631208750">
          <w:marLeft w:val="0"/>
          <w:marRight w:val="0"/>
          <w:marTop w:val="120"/>
          <w:marBottom w:val="0"/>
          <w:divBdr>
            <w:top w:val="none" w:sz="0" w:space="0" w:color="auto"/>
            <w:left w:val="none" w:sz="0" w:space="0" w:color="auto"/>
            <w:bottom w:val="none" w:sz="0" w:space="0" w:color="auto"/>
            <w:right w:val="none" w:sz="0" w:space="0" w:color="auto"/>
          </w:divBdr>
        </w:div>
        <w:div w:id="454563021">
          <w:marLeft w:val="1134"/>
          <w:marRight w:val="0"/>
          <w:marTop w:val="60"/>
          <w:marBottom w:val="0"/>
          <w:divBdr>
            <w:top w:val="none" w:sz="0" w:space="0" w:color="auto"/>
            <w:left w:val="none" w:sz="0" w:space="0" w:color="auto"/>
            <w:bottom w:val="none" w:sz="0" w:space="0" w:color="auto"/>
            <w:right w:val="none" w:sz="0" w:space="0" w:color="auto"/>
          </w:divBdr>
        </w:div>
        <w:div w:id="181668675">
          <w:marLeft w:val="1134"/>
          <w:marRight w:val="0"/>
          <w:marTop w:val="60"/>
          <w:marBottom w:val="0"/>
          <w:divBdr>
            <w:top w:val="none" w:sz="0" w:space="0" w:color="auto"/>
            <w:left w:val="none" w:sz="0" w:space="0" w:color="auto"/>
            <w:bottom w:val="none" w:sz="0" w:space="0" w:color="auto"/>
            <w:right w:val="none" w:sz="0" w:space="0" w:color="auto"/>
          </w:divBdr>
        </w:div>
        <w:div w:id="326709920">
          <w:marLeft w:val="0"/>
          <w:marRight w:val="0"/>
          <w:marTop w:val="120"/>
          <w:marBottom w:val="0"/>
          <w:divBdr>
            <w:top w:val="none" w:sz="0" w:space="0" w:color="auto"/>
            <w:left w:val="none" w:sz="0" w:space="0" w:color="auto"/>
            <w:bottom w:val="none" w:sz="0" w:space="0" w:color="auto"/>
            <w:right w:val="none" w:sz="0" w:space="0" w:color="auto"/>
          </w:divBdr>
        </w:div>
      </w:divsChild>
    </w:div>
    <w:div w:id="1041325742">
      <w:bodyDiv w:val="1"/>
      <w:marLeft w:val="0"/>
      <w:marRight w:val="0"/>
      <w:marTop w:val="0"/>
      <w:marBottom w:val="0"/>
      <w:divBdr>
        <w:top w:val="none" w:sz="0" w:space="0" w:color="auto"/>
        <w:left w:val="none" w:sz="0" w:space="0" w:color="auto"/>
        <w:bottom w:val="none" w:sz="0" w:space="0" w:color="auto"/>
        <w:right w:val="none" w:sz="0" w:space="0" w:color="auto"/>
      </w:divBdr>
    </w:div>
    <w:div w:id="1505777276">
      <w:bodyDiv w:val="1"/>
      <w:marLeft w:val="0"/>
      <w:marRight w:val="0"/>
      <w:marTop w:val="0"/>
      <w:marBottom w:val="0"/>
      <w:divBdr>
        <w:top w:val="none" w:sz="0" w:space="0" w:color="auto"/>
        <w:left w:val="none" w:sz="0" w:space="0" w:color="auto"/>
        <w:bottom w:val="none" w:sz="0" w:space="0" w:color="auto"/>
        <w:right w:val="none" w:sz="0" w:space="0" w:color="auto"/>
      </w:divBdr>
      <w:divsChild>
        <w:div w:id="207491794">
          <w:marLeft w:val="20"/>
          <w:marRight w:val="20"/>
          <w:marTop w:val="20"/>
          <w:marBottom w:val="20"/>
          <w:divBdr>
            <w:top w:val="none" w:sz="0" w:space="0" w:color="auto"/>
            <w:left w:val="none" w:sz="0" w:space="0" w:color="auto"/>
            <w:bottom w:val="none" w:sz="0" w:space="0" w:color="auto"/>
            <w:right w:val="none" w:sz="0" w:space="0" w:color="auto"/>
          </w:divBdr>
        </w:div>
        <w:div w:id="21052456">
          <w:marLeft w:val="20"/>
          <w:marRight w:val="20"/>
          <w:marTop w:val="20"/>
          <w:marBottom w:val="20"/>
          <w:divBdr>
            <w:top w:val="none" w:sz="0" w:space="0" w:color="auto"/>
            <w:left w:val="none" w:sz="0" w:space="0" w:color="auto"/>
            <w:bottom w:val="none" w:sz="0" w:space="0" w:color="auto"/>
            <w:right w:val="none" w:sz="0" w:space="0" w:color="auto"/>
          </w:divBdr>
        </w:div>
        <w:div w:id="1609042235">
          <w:marLeft w:val="20"/>
          <w:marRight w:val="20"/>
          <w:marTop w:val="20"/>
          <w:marBottom w:val="20"/>
          <w:divBdr>
            <w:top w:val="none" w:sz="0" w:space="0" w:color="auto"/>
            <w:left w:val="none" w:sz="0" w:space="0" w:color="auto"/>
            <w:bottom w:val="none" w:sz="0" w:space="0" w:color="auto"/>
            <w:right w:val="none" w:sz="0" w:space="0" w:color="auto"/>
          </w:divBdr>
        </w:div>
        <w:div w:id="386269719">
          <w:marLeft w:val="20"/>
          <w:marRight w:val="20"/>
          <w:marTop w:val="20"/>
          <w:marBottom w:val="20"/>
          <w:divBdr>
            <w:top w:val="none" w:sz="0" w:space="0" w:color="auto"/>
            <w:left w:val="none" w:sz="0" w:space="0" w:color="auto"/>
            <w:bottom w:val="none" w:sz="0" w:space="0" w:color="auto"/>
            <w:right w:val="none" w:sz="0" w:space="0" w:color="auto"/>
          </w:divBdr>
        </w:div>
        <w:div w:id="831533329">
          <w:marLeft w:val="20"/>
          <w:marRight w:val="20"/>
          <w:marTop w:val="20"/>
          <w:marBottom w:val="20"/>
          <w:divBdr>
            <w:top w:val="none" w:sz="0" w:space="0" w:color="auto"/>
            <w:left w:val="none" w:sz="0" w:space="0" w:color="auto"/>
            <w:bottom w:val="none" w:sz="0" w:space="0" w:color="auto"/>
            <w:right w:val="none" w:sz="0" w:space="0" w:color="auto"/>
          </w:divBdr>
        </w:div>
        <w:div w:id="2115661064">
          <w:marLeft w:val="20"/>
          <w:marRight w:val="20"/>
          <w:marTop w:val="20"/>
          <w:marBottom w:val="20"/>
          <w:divBdr>
            <w:top w:val="none" w:sz="0" w:space="0" w:color="auto"/>
            <w:left w:val="none" w:sz="0" w:space="0" w:color="auto"/>
            <w:bottom w:val="none" w:sz="0" w:space="0" w:color="auto"/>
            <w:right w:val="none" w:sz="0" w:space="0" w:color="auto"/>
          </w:divBdr>
        </w:div>
      </w:divsChild>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sChild>
        <w:div w:id="178546847">
          <w:marLeft w:val="0"/>
          <w:marRight w:val="0"/>
          <w:marTop w:val="240"/>
          <w:marBottom w:val="0"/>
          <w:divBdr>
            <w:top w:val="none" w:sz="0" w:space="0" w:color="auto"/>
            <w:left w:val="none" w:sz="0" w:space="0" w:color="auto"/>
            <w:bottom w:val="none" w:sz="0" w:space="0" w:color="auto"/>
            <w:right w:val="none" w:sz="0" w:space="0" w:color="auto"/>
          </w:divBdr>
        </w:div>
        <w:div w:id="985549913">
          <w:marLeft w:val="0"/>
          <w:marRight w:val="0"/>
          <w:marTop w:val="120"/>
          <w:marBottom w:val="0"/>
          <w:divBdr>
            <w:top w:val="none" w:sz="0" w:space="0" w:color="auto"/>
            <w:left w:val="none" w:sz="0" w:space="0" w:color="auto"/>
            <w:bottom w:val="none" w:sz="0" w:space="0" w:color="auto"/>
            <w:right w:val="none" w:sz="0" w:space="0" w:color="auto"/>
          </w:divBdr>
        </w:div>
        <w:div w:id="410860533">
          <w:marLeft w:val="1134"/>
          <w:marRight w:val="0"/>
          <w:marTop w:val="60"/>
          <w:marBottom w:val="0"/>
          <w:divBdr>
            <w:top w:val="none" w:sz="0" w:space="0" w:color="auto"/>
            <w:left w:val="none" w:sz="0" w:space="0" w:color="auto"/>
            <w:bottom w:val="none" w:sz="0" w:space="0" w:color="auto"/>
            <w:right w:val="none" w:sz="0" w:space="0" w:color="auto"/>
          </w:divBdr>
        </w:div>
        <w:div w:id="1130825338">
          <w:marLeft w:val="1134"/>
          <w:marRight w:val="0"/>
          <w:marTop w:val="60"/>
          <w:marBottom w:val="0"/>
          <w:divBdr>
            <w:top w:val="none" w:sz="0" w:space="0" w:color="auto"/>
            <w:left w:val="none" w:sz="0" w:space="0" w:color="auto"/>
            <w:bottom w:val="none" w:sz="0" w:space="0" w:color="auto"/>
            <w:right w:val="none" w:sz="0" w:space="0" w:color="auto"/>
          </w:divBdr>
        </w:div>
        <w:div w:id="210772818">
          <w:marLeft w:val="1134"/>
          <w:marRight w:val="0"/>
          <w:marTop w:val="60"/>
          <w:marBottom w:val="0"/>
          <w:divBdr>
            <w:top w:val="none" w:sz="0" w:space="0" w:color="auto"/>
            <w:left w:val="none" w:sz="0" w:space="0" w:color="auto"/>
            <w:bottom w:val="none" w:sz="0" w:space="0" w:color="auto"/>
            <w:right w:val="none" w:sz="0" w:space="0" w:color="auto"/>
          </w:divBdr>
        </w:div>
        <w:div w:id="618486002">
          <w:marLeft w:val="1134"/>
          <w:marRight w:val="0"/>
          <w:marTop w:val="60"/>
          <w:marBottom w:val="0"/>
          <w:divBdr>
            <w:top w:val="none" w:sz="0" w:space="0" w:color="auto"/>
            <w:left w:val="none" w:sz="0" w:space="0" w:color="auto"/>
            <w:bottom w:val="none" w:sz="0" w:space="0" w:color="auto"/>
            <w:right w:val="none" w:sz="0" w:space="0" w:color="auto"/>
          </w:divBdr>
        </w:div>
        <w:div w:id="1324771553">
          <w:marLeft w:val="0"/>
          <w:marRight w:val="0"/>
          <w:marTop w:val="120"/>
          <w:marBottom w:val="0"/>
          <w:divBdr>
            <w:top w:val="none" w:sz="0" w:space="0" w:color="auto"/>
            <w:left w:val="none" w:sz="0" w:space="0" w:color="auto"/>
            <w:bottom w:val="none" w:sz="0" w:space="0" w:color="auto"/>
            <w:right w:val="none" w:sz="0" w:space="0" w:color="auto"/>
          </w:divBdr>
        </w:div>
        <w:div w:id="762651426">
          <w:marLeft w:val="0"/>
          <w:marRight w:val="0"/>
          <w:marTop w:val="120"/>
          <w:marBottom w:val="0"/>
          <w:divBdr>
            <w:top w:val="none" w:sz="0" w:space="0" w:color="auto"/>
            <w:left w:val="none" w:sz="0" w:space="0" w:color="auto"/>
            <w:bottom w:val="none" w:sz="0" w:space="0" w:color="auto"/>
            <w:right w:val="none" w:sz="0" w:space="0" w:color="auto"/>
          </w:divBdr>
        </w:div>
        <w:div w:id="1524826548">
          <w:marLeft w:val="0"/>
          <w:marRight w:val="0"/>
          <w:marTop w:val="120"/>
          <w:marBottom w:val="0"/>
          <w:divBdr>
            <w:top w:val="none" w:sz="0" w:space="0" w:color="auto"/>
            <w:left w:val="none" w:sz="0" w:space="0" w:color="auto"/>
            <w:bottom w:val="none" w:sz="0" w:space="0" w:color="auto"/>
            <w:right w:val="none" w:sz="0" w:space="0" w:color="auto"/>
          </w:divBdr>
        </w:div>
        <w:div w:id="1322925920">
          <w:marLeft w:val="1134"/>
          <w:marRight w:val="0"/>
          <w:marTop w:val="60"/>
          <w:marBottom w:val="0"/>
          <w:divBdr>
            <w:top w:val="none" w:sz="0" w:space="0" w:color="auto"/>
            <w:left w:val="none" w:sz="0" w:space="0" w:color="auto"/>
            <w:bottom w:val="none" w:sz="0" w:space="0" w:color="auto"/>
            <w:right w:val="none" w:sz="0" w:space="0" w:color="auto"/>
          </w:divBdr>
        </w:div>
        <w:div w:id="1929149924">
          <w:marLeft w:val="1134"/>
          <w:marRight w:val="0"/>
          <w:marTop w:val="60"/>
          <w:marBottom w:val="0"/>
          <w:divBdr>
            <w:top w:val="none" w:sz="0" w:space="0" w:color="auto"/>
            <w:left w:val="none" w:sz="0" w:space="0" w:color="auto"/>
            <w:bottom w:val="none" w:sz="0" w:space="0" w:color="auto"/>
            <w:right w:val="none" w:sz="0" w:space="0" w:color="auto"/>
          </w:divBdr>
        </w:div>
        <w:div w:id="8275554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13" ma:contentTypeDescription="Create a new document." ma:contentTypeScope="" ma:versionID="b5db4e98fcd1e950f8d866a1e7098a57">
  <xsd:schema xmlns:xsd="http://www.w3.org/2001/XMLSchema" xmlns:xs="http://www.w3.org/2001/XMLSchema" xmlns:p="http://schemas.microsoft.com/office/2006/metadata/properties" xmlns:ns3="da7c55be-2862-49ea-a69a-82bf28a5f3de" targetNamespace="http://schemas.microsoft.com/office/2006/metadata/properties" ma:root="true" ma:fieldsID="4b7996589e896ff0aca8d4d8089cd4d4"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SearchPropertie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a7c55be-2862-49ea-a69a-82bf28a5f3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C2A4-22EF-43C4-97B5-8787C7E9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AC06C-EF90-4BCD-AD40-AB56E1B07BBA}">
  <ds:schemaRefs>
    <ds:schemaRef ds:uri="http://schemas.microsoft.com/office/2006/metadata/properties"/>
    <ds:schemaRef ds:uri="http://schemas.microsoft.com/office/infopath/2007/PartnerControls"/>
    <ds:schemaRef ds:uri="da7c55be-2862-49ea-a69a-82bf28a5f3de"/>
  </ds:schemaRefs>
</ds:datastoreItem>
</file>

<file path=customXml/itemProps3.xml><?xml version="1.0" encoding="utf-8"?>
<ds:datastoreItem xmlns:ds="http://schemas.openxmlformats.org/officeDocument/2006/customXml" ds:itemID="{103D08B2-03E0-424A-A4F0-0A37220C91D8}">
  <ds:schemaRefs>
    <ds:schemaRef ds:uri="http://schemas.microsoft.com/sharepoint/v3/contenttype/forms"/>
  </ds:schemaRefs>
</ds:datastoreItem>
</file>

<file path=customXml/itemProps4.xml><?xml version="1.0" encoding="utf-8"?>
<ds:datastoreItem xmlns:ds="http://schemas.openxmlformats.org/officeDocument/2006/customXml" ds:itemID="{FE81B255-CC2F-4468-9789-A8208459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6309</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4</cp:revision>
  <cp:lastPrinted>2024-05-10T10:26:00Z</cp:lastPrinted>
  <dcterms:created xsi:type="dcterms:W3CDTF">2024-05-10T09:32:00Z</dcterms:created>
  <dcterms:modified xsi:type="dcterms:W3CDTF">2024-05-10T13:19:00Z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