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E12E" w14:textId="77777777" w:rsidR="00AB1CC1" w:rsidRDefault="00AB1CC1" w:rsidP="003907E3">
      <w:pPr>
        <w:widowControl w:val="0"/>
        <w:spacing w:after="0" w:line="360" w:lineRule="auto"/>
        <w:contextualSpacing/>
        <w:jc w:val="center"/>
        <w:rPr>
          <w:rFonts w:ascii="Arial" w:eastAsia="Times New Roman" w:hAnsi="Arial" w:cs="Arial"/>
          <w:b/>
          <w:sz w:val="24"/>
          <w:szCs w:val="24"/>
          <w:lang w:val="en-ZA" w:eastAsia="en-GB"/>
        </w:rPr>
      </w:pPr>
      <w:bookmarkStart w:id="0" w:name="_GoBack"/>
      <w:bookmarkEnd w:id="0"/>
      <w:r w:rsidRPr="00AB1CC1">
        <w:rPr>
          <w:rFonts w:ascii="Arial" w:eastAsia="Arial" w:hAnsi="Arial" w:cs="Arial"/>
          <w:noProof/>
          <w:lang w:val="en-ZA" w:eastAsia="en-ZA"/>
        </w:rPr>
        <w:drawing>
          <wp:inline distT="0" distB="0" distL="0" distR="0" wp14:anchorId="57CE6702" wp14:editId="2452A80C">
            <wp:extent cx="1060806" cy="121300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1060806" cy="1213008"/>
                    </a:xfrm>
                    <a:prstGeom prst="rect">
                      <a:avLst/>
                    </a:prstGeom>
                  </pic:spPr>
                </pic:pic>
              </a:graphicData>
            </a:graphic>
          </wp:inline>
        </w:drawing>
      </w:r>
    </w:p>
    <w:p w14:paraId="75D66DE9" w14:textId="77777777" w:rsidR="00BE0E61" w:rsidRPr="00336BE4" w:rsidRDefault="00BE0E61" w:rsidP="003907E3">
      <w:pPr>
        <w:widowControl w:val="0"/>
        <w:spacing w:after="0" w:line="360" w:lineRule="auto"/>
        <w:contextualSpacing/>
        <w:jc w:val="center"/>
        <w:rPr>
          <w:rFonts w:ascii="Arial" w:eastAsia="Times New Roman" w:hAnsi="Arial" w:cs="Arial"/>
          <w:b/>
          <w:sz w:val="24"/>
          <w:szCs w:val="24"/>
          <w:lang w:val="en-ZA" w:eastAsia="en-GB"/>
        </w:rPr>
      </w:pPr>
      <w:r w:rsidRPr="00336BE4">
        <w:rPr>
          <w:rFonts w:ascii="Arial" w:eastAsia="Times New Roman" w:hAnsi="Arial" w:cs="Arial"/>
          <w:b/>
          <w:sz w:val="24"/>
          <w:szCs w:val="24"/>
          <w:lang w:val="en-ZA" w:eastAsia="en-GB"/>
        </w:rPr>
        <w:t xml:space="preserve">THE </w:t>
      </w:r>
      <w:r w:rsidR="00D001FB" w:rsidRPr="00336BE4">
        <w:rPr>
          <w:rFonts w:ascii="Arial" w:eastAsia="Times New Roman" w:hAnsi="Arial" w:cs="Arial"/>
          <w:b/>
          <w:sz w:val="24"/>
          <w:szCs w:val="24"/>
          <w:lang w:val="en-ZA" w:eastAsia="en-GB"/>
        </w:rPr>
        <w:t>ELECTORAL COURT OF SOUTH AFRICA</w:t>
      </w:r>
    </w:p>
    <w:p w14:paraId="3E43796F" w14:textId="292F1AB5" w:rsidR="00BE0E61" w:rsidRDefault="00D001FB" w:rsidP="003907E3">
      <w:pPr>
        <w:widowControl w:val="0"/>
        <w:spacing w:after="0" w:line="360" w:lineRule="auto"/>
        <w:contextualSpacing/>
        <w:jc w:val="center"/>
        <w:rPr>
          <w:rFonts w:ascii="Arial" w:eastAsia="Times New Roman" w:hAnsi="Arial" w:cs="Arial"/>
          <w:b/>
          <w:sz w:val="24"/>
          <w:szCs w:val="24"/>
          <w:lang w:val="en-ZA" w:eastAsia="en-GB"/>
        </w:rPr>
      </w:pPr>
      <w:r w:rsidRPr="00336BE4">
        <w:rPr>
          <w:rFonts w:ascii="Arial" w:eastAsia="Times New Roman" w:hAnsi="Arial" w:cs="Arial"/>
          <w:b/>
          <w:sz w:val="24"/>
          <w:szCs w:val="24"/>
          <w:lang w:val="en-ZA" w:eastAsia="en-GB"/>
        </w:rPr>
        <w:t>BLOEMFONTEIN</w:t>
      </w:r>
    </w:p>
    <w:p w14:paraId="3D965F7B" w14:textId="77777777" w:rsidR="00A42EAB" w:rsidRPr="00336BE4" w:rsidRDefault="00A42EAB" w:rsidP="003907E3">
      <w:pPr>
        <w:widowControl w:val="0"/>
        <w:spacing w:after="0" w:line="360" w:lineRule="auto"/>
        <w:contextualSpacing/>
        <w:jc w:val="center"/>
        <w:rPr>
          <w:rFonts w:ascii="Arial" w:eastAsia="Times New Roman" w:hAnsi="Arial" w:cs="Arial"/>
          <w:b/>
          <w:sz w:val="24"/>
          <w:szCs w:val="24"/>
          <w:lang w:val="en-ZA" w:eastAsia="en-GB"/>
        </w:rPr>
      </w:pPr>
    </w:p>
    <w:p w14:paraId="4CD9C873" w14:textId="77777777" w:rsidR="00BE0E61" w:rsidRPr="005B44B1" w:rsidRDefault="005B44B1" w:rsidP="005B44B1">
      <w:pPr>
        <w:tabs>
          <w:tab w:val="right" w:pos="8910"/>
        </w:tabs>
        <w:spacing w:after="0" w:line="360" w:lineRule="auto"/>
        <w:ind w:right="270"/>
        <w:contextualSpacing/>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Not Reportable</w:t>
      </w:r>
    </w:p>
    <w:p w14:paraId="59EBCAA7" w14:textId="24E4AEF0" w:rsidR="00BE0E61" w:rsidRPr="00336BE4" w:rsidRDefault="00BE0E61" w:rsidP="00FB755B">
      <w:pPr>
        <w:tabs>
          <w:tab w:val="right" w:pos="8910"/>
        </w:tabs>
        <w:spacing w:after="0" w:line="360" w:lineRule="auto"/>
        <w:ind w:right="270"/>
        <w:contextualSpacing/>
        <w:jc w:val="right"/>
        <w:rPr>
          <w:rFonts w:ascii="Arial" w:eastAsia="Times New Roman" w:hAnsi="Arial" w:cs="Arial"/>
          <w:sz w:val="24"/>
          <w:szCs w:val="24"/>
          <w:lang w:val="en-ZA" w:eastAsia="en-GB"/>
        </w:rPr>
      </w:pPr>
      <w:r w:rsidRPr="00336BE4">
        <w:rPr>
          <w:rFonts w:ascii="Arial" w:eastAsia="Times New Roman" w:hAnsi="Arial" w:cs="Arial"/>
          <w:sz w:val="24"/>
          <w:szCs w:val="24"/>
          <w:lang w:val="en-ZA" w:eastAsia="en-GB"/>
        </w:rPr>
        <w:tab/>
      </w:r>
      <w:r w:rsidR="005B44B1">
        <w:rPr>
          <w:rFonts w:ascii="Arial" w:eastAsia="Times New Roman" w:hAnsi="Arial" w:cs="Arial"/>
          <w:sz w:val="24"/>
          <w:szCs w:val="24"/>
          <w:lang w:val="en-ZA" w:eastAsia="en-GB"/>
        </w:rPr>
        <w:t xml:space="preserve">     </w:t>
      </w:r>
      <w:r w:rsidR="00FB755B">
        <w:rPr>
          <w:rFonts w:ascii="Arial" w:eastAsia="Times New Roman" w:hAnsi="Arial" w:cs="Arial"/>
          <w:sz w:val="24"/>
          <w:szCs w:val="24"/>
          <w:lang w:val="en-ZA" w:eastAsia="en-GB"/>
        </w:rPr>
        <w:t xml:space="preserve"> </w:t>
      </w:r>
      <w:r w:rsidRPr="005B44B1">
        <w:rPr>
          <w:rFonts w:ascii="Arial" w:eastAsia="Times New Roman" w:hAnsi="Arial" w:cs="Arial"/>
          <w:b/>
          <w:sz w:val="24"/>
          <w:szCs w:val="24"/>
          <w:lang w:val="en-ZA" w:eastAsia="en-GB"/>
        </w:rPr>
        <w:t>C</w:t>
      </w:r>
      <w:r w:rsidR="005B44B1" w:rsidRPr="005B44B1">
        <w:rPr>
          <w:rFonts w:ascii="Arial" w:eastAsia="Times New Roman" w:hAnsi="Arial" w:cs="Arial"/>
          <w:b/>
          <w:sz w:val="24"/>
          <w:szCs w:val="24"/>
          <w:lang w:val="en-ZA" w:eastAsia="en-GB"/>
        </w:rPr>
        <w:t>ase No:</w:t>
      </w:r>
      <w:r w:rsidRPr="00336BE4">
        <w:rPr>
          <w:rFonts w:ascii="Arial" w:eastAsia="Times New Roman" w:hAnsi="Arial" w:cs="Arial"/>
          <w:sz w:val="24"/>
          <w:szCs w:val="24"/>
          <w:lang w:val="en-ZA" w:eastAsia="en-GB"/>
        </w:rPr>
        <w:t xml:space="preserve"> </w:t>
      </w:r>
      <w:r w:rsidR="00D001FB" w:rsidRPr="00336BE4">
        <w:rPr>
          <w:rFonts w:ascii="Arial" w:eastAsia="Times New Roman" w:hAnsi="Arial" w:cs="Arial"/>
          <w:bCs/>
          <w:sz w:val="24"/>
          <w:szCs w:val="24"/>
          <w:lang w:val="en-ZA"/>
        </w:rPr>
        <w:t>0022/24EC</w:t>
      </w:r>
    </w:p>
    <w:p w14:paraId="45CA5191" w14:textId="77777777" w:rsidR="00BE0E61" w:rsidRPr="00336BE4" w:rsidRDefault="00BE0E61" w:rsidP="003907E3">
      <w:pPr>
        <w:tabs>
          <w:tab w:val="right" w:pos="9072"/>
        </w:tabs>
        <w:spacing w:after="0" w:line="360" w:lineRule="auto"/>
        <w:ind w:left="4200" w:hanging="4200"/>
        <w:contextualSpacing/>
        <w:jc w:val="both"/>
        <w:rPr>
          <w:rFonts w:ascii="Arial" w:eastAsia="Times New Roman" w:hAnsi="Arial" w:cs="Arial"/>
          <w:sz w:val="24"/>
          <w:szCs w:val="24"/>
          <w:lang w:val="en-ZA" w:eastAsia="en-GB"/>
        </w:rPr>
      </w:pPr>
    </w:p>
    <w:p w14:paraId="7DA80CE7" w14:textId="77777777" w:rsidR="00BE0E61" w:rsidRPr="00336BE4" w:rsidRDefault="00BE0E61" w:rsidP="003907E3">
      <w:pPr>
        <w:tabs>
          <w:tab w:val="right" w:pos="9072"/>
        </w:tabs>
        <w:spacing w:after="0" w:line="360" w:lineRule="auto"/>
        <w:ind w:left="4200" w:hanging="4200"/>
        <w:contextualSpacing/>
        <w:jc w:val="both"/>
        <w:rPr>
          <w:rFonts w:ascii="Arial" w:eastAsia="Times New Roman" w:hAnsi="Arial" w:cs="Arial"/>
          <w:sz w:val="24"/>
          <w:szCs w:val="24"/>
          <w:lang w:val="en-ZA" w:eastAsia="en-GB"/>
        </w:rPr>
      </w:pPr>
      <w:r w:rsidRPr="00336BE4">
        <w:rPr>
          <w:rFonts w:ascii="Arial" w:eastAsia="Times New Roman" w:hAnsi="Arial" w:cs="Arial"/>
          <w:sz w:val="24"/>
          <w:szCs w:val="24"/>
          <w:lang w:val="en-ZA" w:eastAsia="en-GB"/>
        </w:rPr>
        <w:t>In the matter between:</w:t>
      </w:r>
    </w:p>
    <w:p w14:paraId="3303E2F8" w14:textId="77777777" w:rsidR="00BE0E61" w:rsidRPr="00336BE4" w:rsidRDefault="00BE0E61" w:rsidP="00737F04">
      <w:pPr>
        <w:tabs>
          <w:tab w:val="right" w:pos="9072"/>
        </w:tabs>
        <w:spacing w:after="0" w:line="360" w:lineRule="auto"/>
        <w:ind w:left="4200" w:hanging="4200"/>
        <w:contextualSpacing/>
        <w:jc w:val="both"/>
        <w:rPr>
          <w:rFonts w:ascii="Arial" w:eastAsia="Times New Roman" w:hAnsi="Arial" w:cs="Arial"/>
          <w:sz w:val="24"/>
          <w:szCs w:val="24"/>
          <w:lang w:val="en-ZA" w:eastAsia="en-GB"/>
        </w:rPr>
      </w:pPr>
    </w:p>
    <w:p w14:paraId="3727110C" w14:textId="48C670D5" w:rsidR="00BE0E61" w:rsidRPr="00336BE4" w:rsidRDefault="00D001FB" w:rsidP="00D12046">
      <w:pPr>
        <w:spacing w:after="0" w:line="360" w:lineRule="auto"/>
        <w:contextualSpacing/>
        <w:jc w:val="both"/>
        <w:rPr>
          <w:rFonts w:ascii="Arial" w:eastAsia="Times New Roman" w:hAnsi="Arial" w:cs="Arial"/>
          <w:sz w:val="24"/>
          <w:szCs w:val="24"/>
          <w:lang w:val="en-ZA" w:eastAsia="en-GB"/>
        </w:rPr>
      </w:pPr>
      <w:r w:rsidRPr="00336BE4">
        <w:rPr>
          <w:rFonts w:ascii="Arial" w:eastAsia="Times New Roman" w:hAnsi="Arial" w:cs="Arial"/>
          <w:b/>
          <w:sz w:val="24"/>
          <w:szCs w:val="24"/>
          <w:lang w:val="en-ZA" w:eastAsia="en-GB"/>
        </w:rPr>
        <w:t>AFRICAN ECONOMIC FREEDOM</w:t>
      </w:r>
      <w:r w:rsidR="00FB755B">
        <w:rPr>
          <w:rFonts w:ascii="Arial" w:eastAsia="Times New Roman" w:hAnsi="Arial" w:cs="Arial"/>
          <w:b/>
          <w:sz w:val="24"/>
          <w:szCs w:val="24"/>
          <w:lang w:val="en-ZA" w:eastAsia="en-GB"/>
        </w:rPr>
        <w:t xml:space="preserve">                               </w:t>
      </w:r>
      <w:r w:rsidR="00D12046">
        <w:rPr>
          <w:rFonts w:ascii="Arial" w:eastAsia="Times New Roman" w:hAnsi="Arial" w:cs="Arial"/>
          <w:b/>
          <w:sz w:val="24"/>
          <w:szCs w:val="24"/>
          <w:lang w:val="en-ZA" w:eastAsia="en-GB"/>
        </w:rPr>
        <w:t xml:space="preserve">                              </w:t>
      </w:r>
      <w:r w:rsidR="00D12046" w:rsidRPr="00336BE4">
        <w:rPr>
          <w:rFonts w:ascii="Arial" w:eastAsia="Times New Roman" w:hAnsi="Arial" w:cs="Arial"/>
          <w:b/>
          <w:sz w:val="24"/>
          <w:szCs w:val="24"/>
          <w:lang w:val="en-ZA" w:eastAsia="en-GB"/>
        </w:rPr>
        <w:t xml:space="preserve"> </w:t>
      </w:r>
      <w:r w:rsidR="00D12046">
        <w:rPr>
          <w:rFonts w:ascii="Arial" w:eastAsia="Times New Roman" w:hAnsi="Arial" w:cs="Arial"/>
          <w:b/>
          <w:sz w:val="24"/>
          <w:szCs w:val="24"/>
          <w:lang w:val="en-ZA" w:eastAsia="en-GB"/>
        </w:rPr>
        <w:t xml:space="preserve"> </w:t>
      </w:r>
      <w:r w:rsidR="00D12046" w:rsidRPr="00D12046">
        <w:rPr>
          <w:rFonts w:ascii="Arial" w:eastAsia="Times New Roman" w:hAnsi="Arial" w:cs="Arial"/>
          <w:b/>
          <w:sz w:val="24"/>
          <w:szCs w:val="24"/>
          <w:lang w:val="en-ZA" w:eastAsia="en-GB"/>
        </w:rPr>
        <w:t>APPLICANT</w:t>
      </w:r>
    </w:p>
    <w:p w14:paraId="70C5C1BD" w14:textId="77777777" w:rsidR="00BE0E61" w:rsidRPr="00336BE4" w:rsidRDefault="00BE0E61" w:rsidP="00737F04">
      <w:pPr>
        <w:tabs>
          <w:tab w:val="right" w:pos="9072"/>
        </w:tabs>
        <w:spacing w:after="0" w:line="360" w:lineRule="auto"/>
        <w:contextualSpacing/>
        <w:jc w:val="both"/>
        <w:rPr>
          <w:rFonts w:ascii="Arial" w:eastAsia="Times New Roman" w:hAnsi="Arial" w:cs="Arial"/>
          <w:b/>
          <w:sz w:val="24"/>
          <w:szCs w:val="24"/>
          <w:lang w:val="en-ZA" w:eastAsia="en-GB"/>
        </w:rPr>
      </w:pPr>
    </w:p>
    <w:p w14:paraId="6DA65B54" w14:textId="77777777" w:rsidR="00BE0E61" w:rsidRPr="00336BE4" w:rsidRDefault="00BE0E61" w:rsidP="00737F04">
      <w:pPr>
        <w:tabs>
          <w:tab w:val="right" w:pos="9072"/>
        </w:tabs>
        <w:spacing w:after="0" w:line="360" w:lineRule="auto"/>
        <w:contextualSpacing/>
        <w:jc w:val="both"/>
        <w:rPr>
          <w:rFonts w:ascii="Arial" w:eastAsia="Times New Roman" w:hAnsi="Arial" w:cs="Arial"/>
          <w:sz w:val="24"/>
          <w:szCs w:val="24"/>
          <w:lang w:val="en-ZA" w:eastAsia="en-GB"/>
        </w:rPr>
      </w:pPr>
      <w:r w:rsidRPr="00336BE4">
        <w:rPr>
          <w:rFonts w:ascii="Arial" w:eastAsia="Times New Roman" w:hAnsi="Arial" w:cs="Arial"/>
          <w:sz w:val="24"/>
          <w:szCs w:val="24"/>
          <w:lang w:val="en-ZA" w:eastAsia="en-GB"/>
        </w:rPr>
        <w:t>and</w:t>
      </w:r>
    </w:p>
    <w:p w14:paraId="220AA678" w14:textId="77777777" w:rsidR="00BE0E61" w:rsidRPr="00336BE4" w:rsidRDefault="00BE0E61" w:rsidP="00737F04">
      <w:pPr>
        <w:tabs>
          <w:tab w:val="right" w:pos="9072"/>
        </w:tabs>
        <w:spacing w:after="0" w:line="360" w:lineRule="auto"/>
        <w:contextualSpacing/>
        <w:jc w:val="both"/>
        <w:rPr>
          <w:rFonts w:ascii="Arial" w:eastAsia="Times New Roman" w:hAnsi="Arial" w:cs="Arial"/>
          <w:b/>
          <w:sz w:val="24"/>
          <w:szCs w:val="24"/>
          <w:lang w:val="en-ZA" w:eastAsia="en-GB"/>
        </w:rPr>
      </w:pPr>
    </w:p>
    <w:p w14:paraId="0DA1144D" w14:textId="21D1D05D" w:rsidR="007D721B" w:rsidRDefault="00D001FB" w:rsidP="00D12046">
      <w:pPr>
        <w:tabs>
          <w:tab w:val="right" w:pos="9072"/>
        </w:tabs>
        <w:spacing w:after="0" w:line="360" w:lineRule="auto"/>
        <w:contextualSpacing/>
        <w:jc w:val="both"/>
        <w:rPr>
          <w:rFonts w:ascii="Arial" w:eastAsia="Times New Roman" w:hAnsi="Arial" w:cs="Arial"/>
          <w:sz w:val="24"/>
          <w:szCs w:val="24"/>
          <w:lang w:val="en-ZA" w:eastAsia="en-GB"/>
        </w:rPr>
      </w:pPr>
      <w:r w:rsidRPr="00336BE4">
        <w:rPr>
          <w:rFonts w:ascii="Arial" w:eastAsia="Times New Roman" w:hAnsi="Arial" w:cs="Arial"/>
          <w:b/>
          <w:sz w:val="24"/>
          <w:szCs w:val="24"/>
          <w:lang w:val="en-ZA" w:eastAsia="en-GB"/>
        </w:rPr>
        <w:t>ELECTORAL COMMISSION OF SOUTH AFRICA</w:t>
      </w:r>
      <w:r w:rsidR="00FB755B">
        <w:rPr>
          <w:rFonts w:ascii="Arial" w:eastAsia="Times New Roman" w:hAnsi="Arial" w:cs="Arial"/>
          <w:b/>
          <w:sz w:val="24"/>
          <w:szCs w:val="24"/>
          <w:lang w:val="en-ZA" w:eastAsia="en-GB"/>
        </w:rPr>
        <w:t xml:space="preserve">      </w:t>
      </w:r>
      <w:r w:rsidR="00D12046">
        <w:rPr>
          <w:rFonts w:ascii="Arial" w:eastAsia="Times New Roman" w:hAnsi="Arial" w:cs="Arial"/>
          <w:b/>
          <w:sz w:val="24"/>
          <w:szCs w:val="24"/>
          <w:lang w:val="en-ZA" w:eastAsia="en-GB"/>
        </w:rPr>
        <w:t xml:space="preserve">                             RESPONDENT</w:t>
      </w:r>
    </w:p>
    <w:p w14:paraId="7794851E" w14:textId="77777777" w:rsidR="005B44B1" w:rsidRDefault="005B44B1" w:rsidP="00737F04">
      <w:pPr>
        <w:tabs>
          <w:tab w:val="right" w:pos="9072"/>
        </w:tabs>
        <w:spacing w:after="0" w:line="360" w:lineRule="auto"/>
        <w:contextualSpacing/>
        <w:jc w:val="both"/>
        <w:rPr>
          <w:rFonts w:ascii="Arial" w:eastAsia="Times New Roman" w:hAnsi="Arial" w:cs="Arial"/>
          <w:b/>
          <w:sz w:val="24"/>
          <w:szCs w:val="24"/>
          <w:lang w:val="en-ZA" w:eastAsia="en-GB"/>
        </w:rPr>
      </w:pPr>
    </w:p>
    <w:p w14:paraId="17C3C41D" w14:textId="6ACE2A61" w:rsidR="005B44B1" w:rsidRDefault="005B44B1" w:rsidP="00737F04">
      <w:pPr>
        <w:tabs>
          <w:tab w:val="left" w:pos="2160"/>
          <w:tab w:val="right" w:pos="9072"/>
        </w:tabs>
        <w:spacing w:after="0" w:line="360" w:lineRule="auto"/>
        <w:ind w:left="2160" w:hanging="2160"/>
        <w:contextualSpacing/>
        <w:jc w:val="both"/>
        <w:rPr>
          <w:rFonts w:ascii="Arial" w:eastAsia="Times New Roman" w:hAnsi="Arial" w:cs="Arial"/>
          <w:sz w:val="24"/>
          <w:szCs w:val="24"/>
          <w:lang w:val="en-ZA" w:eastAsia="en-GB"/>
        </w:rPr>
      </w:pPr>
      <w:r>
        <w:rPr>
          <w:rFonts w:ascii="Arial" w:eastAsia="Times New Roman" w:hAnsi="Arial" w:cs="Arial"/>
          <w:b/>
          <w:sz w:val="24"/>
          <w:szCs w:val="24"/>
          <w:lang w:val="en-ZA" w:eastAsia="en-GB"/>
        </w:rPr>
        <w:t>Neutral Citation:</w:t>
      </w:r>
      <w:r>
        <w:rPr>
          <w:rFonts w:ascii="Arial" w:eastAsia="Times New Roman" w:hAnsi="Arial" w:cs="Arial"/>
          <w:b/>
          <w:sz w:val="24"/>
          <w:szCs w:val="24"/>
          <w:lang w:val="en-ZA" w:eastAsia="en-GB"/>
        </w:rPr>
        <w:tab/>
      </w:r>
      <w:r>
        <w:rPr>
          <w:rFonts w:ascii="Arial" w:eastAsia="Times New Roman" w:hAnsi="Arial" w:cs="Arial"/>
          <w:i/>
          <w:sz w:val="24"/>
          <w:szCs w:val="24"/>
          <w:lang w:val="en-ZA" w:eastAsia="en-GB"/>
        </w:rPr>
        <w:t xml:space="preserve">African Economic Freedom v Electoral Commission of South Africa </w:t>
      </w:r>
      <w:r w:rsidRPr="005B44B1">
        <w:rPr>
          <w:rFonts w:ascii="Arial" w:eastAsia="Times New Roman" w:hAnsi="Arial" w:cs="Arial"/>
          <w:sz w:val="24"/>
          <w:szCs w:val="24"/>
          <w:lang w:val="en-ZA" w:eastAsia="en-GB"/>
        </w:rPr>
        <w:t>(0022/24EC)</w:t>
      </w:r>
      <w:r>
        <w:rPr>
          <w:rFonts w:ascii="Arial" w:eastAsia="Times New Roman" w:hAnsi="Arial" w:cs="Arial"/>
          <w:b/>
          <w:sz w:val="24"/>
          <w:szCs w:val="24"/>
          <w:lang w:val="en-ZA" w:eastAsia="en-GB"/>
        </w:rPr>
        <w:t xml:space="preserve"> </w:t>
      </w:r>
      <w:r>
        <w:rPr>
          <w:rFonts w:ascii="Arial" w:eastAsia="Times New Roman" w:hAnsi="Arial" w:cs="Arial"/>
          <w:sz w:val="24"/>
          <w:szCs w:val="24"/>
          <w:lang w:val="en-ZA" w:eastAsia="en-GB"/>
        </w:rPr>
        <w:t>[2024] ZAEC</w:t>
      </w:r>
      <w:r w:rsidR="00F36891">
        <w:rPr>
          <w:rFonts w:ascii="Arial" w:eastAsia="Times New Roman" w:hAnsi="Arial" w:cs="Arial"/>
          <w:sz w:val="24"/>
          <w:szCs w:val="24"/>
          <w:lang w:val="en-ZA" w:eastAsia="en-GB"/>
        </w:rPr>
        <w:t xml:space="preserve"> 17</w:t>
      </w:r>
      <w:r>
        <w:rPr>
          <w:rFonts w:ascii="Arial" w:eastAsia="Times New Roman" w:hAnsi="Arial" w:cs="Arial"/>
          <w:sz w:val="24"/>
          <w:szCs w:val="24"/>
          <w:lang w:val="en-ZA" w:eastAsia="en-GB"/>
        </w:rPr>
        <w:t xml:space="preserve"> (10 May 2024)</w:t>
      </w:r>
    </w:p>
    <w:p w14:paraId="4C475BE2" w14:textId="77777777" w:rsidR="005B44B1" w:rsidRDefault="005B44B1" w:rsidP="00737F04">
      <w:pPr>
        <w:tabs>
          <w:tab w:val="left" w:pos="1440"/>
          <w:tab w:val="left" w:pos="2160"/>
          <w:tab w:val="right" w:pos="9072"/>
        </w:tabs>
        <w:spacing w:after="0" w:line="360" w:lineRule="auto"/>
        <w:ind w:left="1440" w:hanging="1440"/>
        <w:contextualSpacing/>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Coram: </w:t>
      </w:r>
      <w:r>
        <w:rPr>
          <w:rFonts w:ascii="Arial" w:eastAsia="Times New Roman" w:hAnsi="Arial" w:cs="Arial"/>
          <w:b/>
          <w:sz w:val="24"/>
          <w:szCs w:val="24"/>
          <w:lang w:val="en-ZA" w:eastAsia="en-GB"/>
        </w:rPr>
        <w:tab/>
      </w:r>
      <w:r>
        <w:rPr>
          <w:rFonts w:ascii="Arial" w:eastAsia="Times New Roman" w:hAnsi="Arial" w:cs="Arial"/>
          <w:sz w:val="24"/>
          <w:szCs w:val="24"/>
          <w:lang w:val="en-ZA" w:eastAsia="en-GB"/>
        </w:rPr>
        <w:t>Zondi JA, Adams and Steyn AJJ, Professor Ntlama-Makhanya (Additional Member)</w:t>
      </w:r>
      <w:r>
        <w:rPr>
          <w:rFonts w:ascii="Arial" w:eastAsia="Times New Roman" w:hAnsi="Arial" w:cs="Arial"/>
          <w:b/>
          <w:sz w:val="24"/>
          <w:szCs w:val="24"/>
          <w:lang w:val="en-ZA" w:eastAsia="en-GB"/>
        </w:rPr>
        <w:t xml:space="preserve">  </w:t>
      </w:r>
    </w:p>
    <w:p w14:paraId="689CD4A6" w14:textId="6D15462A" w:rsidR="005B44B1" w:rsidRDefault="008C0A98" w:rsidP="008C0A98">
      <w:pPr>
        <w:tabs>
          <w:tab w:val="left" w:pos="1440"/>
          <w:tab w:val="left" w:pos="1843"/>
          <w:tab w:val="right" w:pos="9072"/>
        </w:tabs>
        <w:spacing w:after="0" w:line="360" w:lineRule="auto"/>
        <w:ind w:left="1440" w:hanging="1440"/>
        <w:contextualSpacing/>
        <w:jc w:val="both"/>
        <w:rPr>
          <w:rFonts w:ascii="Arial" w:eastAsia="Times New Roman" w:hAnsi="Arial" w:cs="Arial"/>
          <w:sz w:val="24"/>
          <w:szCs w:val="24"/>
          <w:lang w:val="en-ZA" w:eastAsia="en-GB"/>
        </w:rPr>
      </w:pPr>
      <w:r>
        <w:rPr>
          <w:rFonts w:ascii="Arial" w:eastAsia="Times New Roman" w:hAnsi="Arial" w:cs="Arial"/>
          <w:b/>
          <w:sz w:val="24"/>
          <w:szCs w:val="24"/>
          <w:lang w:val="en-ZA" w:eastAsia="en-GB"/>
        </w:rPr>
        <w:t>Heard:</w:t>
      </w:r>
      <w:r>
        <w:rPr>
          <w:rFonts w:ascii="Arial" w:eastAsia="Times New Roman" w:hAnsi="Arial" w:cs="Arial"/>
          <w:b/>
          <w:sz w:val="24"/>
          <w:szCs w:val="24"/>
          <w:lang w:val="en-ZA" w:eastAsia="en-GB"/>
        </w:rPr>
        <w:tab/>
      </w:r>
      <w:r w:rsidR="00174073">
        <w:rPr>
          <w:rFonts w:ascii="Arial" w:eastAsia="Times New Roman" w:hAnsi="Arial" w:cs="Arial"/>
          <w:sz w:val="24"/>
          <w:szCs w:val="24"/>
          <w:lang w:val="en-ZA" w:eastAsia="en-GB"/>
        </w:rPr>
        <w:t xml:space="preserve">10 May </w:t>
      </w:r>
      <w:r w:rsidR="005B44B1">
        <w:rPr>
          <w:rFonts w:ascii="Arial" w:eastAsia="Times New Roman" w:hAnsi="Arial" w:cs="Arial"/>
          <w:sz w:val="24"/>
          <w:szCs w:val="24"/>
          <w:lang w:val="en-ZA" w:eastAsia="en-GB"/>
        </w:rPr>
        <w:t>2024–</w:t>
      </w:r>
      <w:r>
        <w:rPr>
          <w:rFonts w:ascii="Arial" w:eastAsia="Times New Roman" w:hAnsi="Arial" w:cs="Arial"/>
          <w:sz w:val="24"/>
          <w:szCs w:val="24"/>
          <w:lang w:val="en-ZA" w:eastAsia="en-GB"/>
        </w:rPr>
        <w:t xml:space="preserve">virtually by </w:t>
      </w:r>
      <w:r w:rsidR="005B44B1">
        <w:rPr>
          <w:rFonts w:ascii="Arial" w:eastAsia="Times New Roman" w:hAnsi="Arial" w:cs="Arial"/>
          <w:sz w:val="24"/>
          <w:szCs w:val="24"/>
          <w:lang w:val="en-ZA" w:eastAsia="en-GB"/>
        </w:rPr>
        <w:t>videoconference</w:t>
      </w:r>
      <w:r w:rsidR="00086A97">
        <w:rPr>
          <w:rFonts w:ascii="Arial" w:eastAsia="Times New Roman" w:hAnsi="Arial" w:cs="Arial"/>
          <w:sz w:val="24"/>
          <w:szCs w:val="24"/>
          <w:lang w:val="en-ZA" w:eastAsia="en-GB"/>
        </w:rPr>
        <w:t xml:space="preserve"> on Microsoft </w:t>
      </w:r>
      <w:r w:rsidR="00086A97">
        <w:rPr>
          <w:rFonts w:ascii="Arial" w:eastAsia="Times New Roman" w:hAnsi="Arial" w:cs="Arial"/>
          <w:sz w:val="24"/>
          <w:szCs w:val="24"/>
          <w:lang w:val="en-ZA" w:eastAsia="en-GB"/>
        </w:rPr>
        <w:br/>
        <w:t>Teams</w:t>
      </w:r>
    </w:p>
    <w:p w14:paraId="6396E58E" w14:textId="20C91CF3" w:rsidR="005B44B1" w:rsidRPr="00737F04" w:rsidRDefault="005B44B1" w:rsidP="00737F04">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r>
        <w:rPr>
          <w:rFonts w:ascii="Arial" w:eastAsia="Times New Roman" w:hAnsi="Arial" w:cs="Arial"/>
          <w:b/>
          <w:sz w:val="24"/>
          <w:szCs w:val="24"/>
          <w:lang w:val="en-ZA" w:eastAsia="en-GB"/>
        </w:rPr>
        <w:t>Delivered:</w:t>
      </w:r>
      <w:r w:rsidR="009C3E71">
        <w:rPr>
          <w:rFonts w:ascii="Arial" w:eastAsia="Times New Roman" w:hAnsi="Arial" w:cs="Arial"/>
          <w:b/>
          <w:sz w:val="24"/>
          <w:szCs w:val="24"/>
          <w:lang w:val="en-ZA" w:eastAsia="en-GB"/>
        </w:rPr>
        <w:tab/>
      </w:r>
      <w:r w:rsidR="00174073">
        <w:rPr>
          <w:rFonts w:ascii="Arial" w:eastAsia="Times New Roman" w:hAnsi="Arial" w:cs="Arial"/>
          <w:sz w:val="24"/>
          <w:szCs w:val="24"/>
          <w:lang w:val="en-ZA" w:eastAsia="en-GB"/>
        </w:rPr>
        <w:t xml:space="preserve">21 </w:t>
      </w:r>
      <w:r w:rsidR="009C3E71" w:rsidRPr="009C3E71">
        <w:rPr>
          <w:rFonts w:ascii="Arial" w:eastAsia="Times New Roman" w:hAnsi="Arial" w:cs="Arial"/>
          <w:sz w:val="24"/>
          <w:szCs w:val="24"/>
          <w:lang w:val="en-ZA" w:eastAsia="en-GB"/>
        </w:rPr>
        <w:t>May 2024</w:t>
      </w:r>
      <w:r w:rsidR="00970DE7" w:rsidRPr="009C3E71">
        <w:rPr>
          <w:rFonts w:ascii="Arial" w:eastAsia="Times New Roman" w:hAnsi="Arial" w:cs="Arial"/>
          <w:sz w:val="24"/>
          <w:szCs w:val="24"/>
          <w:lang w:val="en-ZA" w:eastAsia="en-GB"/>
        </w:rPr>
        <w:t>-</w:t>
      </w:r>
      <w:r w:rsidR="00970DE7">
        <w:rPr>
          <w:rFonts w:ascii="Arial" w:eastAsia="Times New Roman" w:hAnsi="Arial" w:cs="Arial"/>
          <w:b/>
          <w:sz w:val="24"/>
          <w:szCs w:val="24"/>
          <w:lang w:val="en-ZA" w:eastAsia="en-GB"/>
        </w:rPr>
        <w:t xml:space="preserve"> </w:t>
      </w:r>
      <w:r w:rsidR="00737F04">
        <w:rPr>
          <w:rFonts w:ascii="Arial" w:eastAsia="Times New Roman" w:hAnsi="Arial" w:cs="Arial"/>
          <w:sz w:val="24"/>
          <w:szCs w:val="24"/>
          <w:lang w:val="en-ZA" w:eastAsia="en-GB"/>
        </w:rPr>
        <w:t xml:space="preserve">This judgment was handed down electronically by circulation to the parties’ representatives </w:t>
      </w:r>
      <w:r w:rsidR="00737F04">
        <w:rPr>
          <w:rFonts w:ascii="Arial" w:eastAsia="Times New Roman" w:hAnsi="Arial" w:cs="Arial"/>
          <w:i/>
          <w:sz w:val="24"/>
          <w:szCs w:val="24"/>
          <w:lang w:val="en-ZA" w:eastAsia="en-GB"/>
        </w:rPr>
        <w:t>via</w:t>
      </w:r>
      <w:r w:rsidR="00737F04">
        <w:rPr>
          <w:rFonts w:ascii="Arial" w:eastAsia="Times New Roman" w:hAnsi="Arial" w:cs="Arial"/>
          <w:sz w:val="24"/>
          <w:szCs w:val="24"/>
          <w:lang w:val="en-ZA" w:eastAsia="en-GB"/>
        </w:rPr>
        <w:t xml:space="preserve"> email, by publication on the website of the Supreme Court of Appeal and by release to SAFLII. The date and time for hand-do</w:t>
      </w:r>
      <w:r w:rsidR="009C3E71">
        <w:rPr>
          <w:rFonts w:ascii="Arial" w:eastAsia="Times New Roman" w:hAnsi="Arial" w:cs="Arial"/>
          <w:sz w:val="24"/>
          <w:szCs w:val="24"/>
          <w:lang w:val="en-ZA" w:eastAsia="en-GB"/>
        </w:rPr>
        <w:t xml:space="preserve">wn is deemed to be 11h00 on </w:t>
      </w:r>
      <w:r w:rsidR="00174073">
        <w:rPr>
          <w:rFonts w:ascii="Arial" w:eastAsia="Times New Roman" w:hAnsi="Arial" w:cs="Arial"/>
          <w:sz w:val="24"/>
          <w:szCs w:val="24"/>
          <w:lang w:val="en-ZA" w:eastAsia="en-GB"/>
        </w:rPr>
        <w:t xml:space="preserve">21 </w:t>
      </w:r>
      <w:r w:rsidR="00737F04">
        <w:rPr>
          <w:rFonts w:ascii="Arial" w:eastAsia="Times New Roman" w:hAnsi="Arial" w:cs="Arial"/>
          <w:sz w:val="24"/>
          <w:szCs w:val="24"/>
          <w:lang w:val="en-ZA" w:eastAsia="en-GB"/>
        </w:rPr>
        <w:t>May 2024.</w:t>
      </w:r>
    </w:p>
    <w:p w14:paraId="7CD9BB69" w14:textId="449230C6" w:rsidR="00ED29EF" w:rsidRDefault="005B44B1"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r>
        <w:rPr>
          <w:rFonts w:ascii="Arial" w:eastAsia="Times New Roman" w:hAnsi="Arial" w:cs="Arial"/>
          <w:b/>
          <w:sz w:val="24"/>
          <w:szCs w:val="24"/>
          <w:lang w:val="en-ZA" w:eastAsia="en-GB"/>
        </w:rPr>
        <w:t>Summary:</w:t>
      </w:r>
      <w:r>
        <w:rPr>
          <w:rFonts w:ascii="Arial" w:eastAsia="Times New Roman" w:hAnsi="Arial" w:cs="Arial"/>
          <w:b/>
          <w:sz w:val="24"/>
          <w:szCs w:val="24"/>
          <w:lang w:val="en-ZA" w:eastAsia="en-GB"/>
        </w:rPr>
        <w:tab/>
      </w:r>
      <w:r w:rsidR="00737F04">
        <w:rPr>
          <w:rFonts w:ascii="Arial" w:eastAsia="Times New Roman" w:hAnsi="Arial" w:cs="Arial"/>
          <w:sz w:val="24"/>
          <w:szCs w:val="24"/>
          <w:lang w:val="en-ZA" w:eastAsia="en-GB"/>
        </w:rPr>
        <w:t xml:space="preserve">Application to condone the non-compliance and failure to meet the deadline in </w:t>
      </w:r>
      <w:r w:rsidR="0037146B">
        <w:rPr>
          <w:rFonts w:ascii="Arial" w:eastAsia="Times New Roman" w:hAnsi="Arial" w:cs="Arial"/>
          <w:sz w:val="24"/>
          <w:szCs w:val="24"/>
          <w:lang w:val="en-ZA" w:eastAsia="en-GB"/>
        </w:rPr>
        <w:t xml:space="preserve">the </w:t>
      </w:r>
      <w:r w:rsidR="00737F04">
        <w:rPr>
          <w:rFonts w:ascii="Arial" w:eastAsia="Times New Roman" w:hAnsi="Arial" w:cs="Arial"/>
          <w:sz w:val="24"/>
          <w:szCs w:val="24"/>
          <w:lang w:val="en-ZA" w:eastAsia="en-GB"/>
        </w:rPr>
        <w:t xml:space="preserve">Election </w:t>
      </w:r>
      <w:r w:rsidR="00A858F7">
        <w:rPr>
          <w:rFonts w:ascii="Arial" w:eastAsia="Times New Roman" w:hAnsi="Arial" w:cs="Arial"/>
          <w:sz w:val="24"/>
          <w:szCs w:val="24"/>
          <w:lang w:val="en-ZA" w:eastAsia="en-GB"/>
        </w:rPr>
        <w:t>T</w:t>
      </w:r>
      <w:r w:rsidR="00737F04">
        <w:rPr>
          <w:rFonts w:ascii="Arial" w:eastAsia="Times New Roman" w:hAnsi="Arial" w:cs="Arial"/>
          <w:sz w:val="24"/>
          <w:szCs w:val="24"/>
          <w:lang w:val="en-ZA" w:eastAsia="en-GB"/>
        </w:rPr>
        <w:t xml:space="preserve">imetable for the Election of the National Assembly and the </w:t>
      </w:r>
      <w:r w:rsidR="00737F04">
        <w:rPr>
          <w:rFonts w:ascii="Arial" w:eastAsia="Times New Roman" w:hAnsi="Arial" w:cs="Arial"/>
          <w:sz w:val="24"/>
          <w:szCs w:val="24"/>
          <w:lang w:val="en-ZA" w:eastAsia="en-GB"/>
        </w:rPr>
        <w:lastRenderedPageBreak/>
        <w:t xml:space="preserve">Election of Provincial Legislatures. </w:t>
      </w:r>
      <w:r w:rsidR="00970DE7">
        <w:rPr>
          <w:rFonts w:ascii="Arial" w:eastAsia="Times New Roman" w:hAnsi="Arial" w:cs="Arial"/>
          <w:sz w:val="24"/>
          <w:szCs w:val="24"/>
          <w:lang w:val="en-ZA" w:eastAsia="en-GB"/>
        </w:rPr>
        <w:t>No</w:t>
      </w:r>
      <w:r w:rsidR="00086A97">
        <w:rPr>
          <w:rFonts w:ascii="Arial" w:eastAsia="Times New Roman" w:hAnsi="Arial" w:cs="Arial"/>
          <w:sz w:val="24"/>
          <w:szCs w:val="24"/>
          <w:lang w:val="en-ZA" w:eastAsia="en-GB"/>
        </w:rPr>
        <w:t>n-</w:t>
      </w:r>
      <w:r w:rsidR="00970DE7">
        <w:rPr>
          <w:rFonts w:ascii="Arial" w:eastAsia="Times New Roman" w:hAnsi="Arial" w:cs="Arial"/>
          <w:sz w:val="24"/>
          <w:szCs w:val="24"/>
          <w:lang w:val="en-ZA" w:eastAsia="en-GB"/>
        </w:rPr>
        <w:t>compliance with s</w:t>
      </w:r>
      <w:r w:rsidR="00737F04">
        <w:rPr>
          <w:rFonts w:ascii="Arial" w:eastAsia="Times New Roman" w:hAnsi="Arial" w:cs="Arial"/>
          <w:sz w:val="24"/>
          <w:szCs w:val="24"/>
          <w:lang w:val="en-ZA" w:eastAsia="en-GB"/>
        </w:rPr>
        <w:t xml:space="preserve"> 27 of the Electoral Act</w:t>
      </w:r>
      <w:r w:rsidR="00607B95">
        <w:rPr>
          <w:rFonts w:ascii="Arial" w:eastAsia="Times New Roman" w:hAnsi="Arial" w:cs="Arial"/>
          <w:sz w:val="24"/>
          <w:szCs w:val="24"/>
          <w:lang w:val="en-ZA" w:eastAsia="en-GB"/>
        </w:rPr>
        <w:t>, 73 of 1998</w:t>
      </w:r>
      <w:r w:rsidR="00970DE7">
        <w:rPr>
          <w:rFonts w:ascii="Arial" w:eastAsia="Times New Roman" w:hAnsi="Arial" w:cs="Arial"/>
          <w:sz w:val="24"/>
          <w:szCs w:val="24"/>
          <w:lang w:val="en-ZA" w:eastAsia="en-GB"/>
        </w:rPr>
        <w:t>.</w:t>
      </w:r>
      <w:r w:rsidR="00607B95">
        <w:rPr>
          <w:rFonts w:ascii="Arial" w:eastAsia="Times New Roman" w:hAnsi="Arial" w:cs="Arial"/>
          <w:sz w:val="24"/>
          <w:szCs w:val="24"/>
          <w:lang w:val="en-ZA" w:eastAsia="en-GB"/>
        </w:rPr>
        <w:t xml:space="preserve"> </w:t>
      </w:r>
      <w:r w:rsidR="00737F04">
        <w:rPr>
          <w:rFonts w:ascii="Arial" w:eastAsia="Times New Roman" w:hAnsi="Arial" w:cs="Arial"/>
          <w:sz w:val="24"/>
          <w:szCs w:val="24"/>
          <w:lang w:val="en-ZA" w:eastAsia="en-GB"/>
        </w:rPr>
        <w:t xml:space="preserve">Nothing unlawful about the IEC’s insistence on compliance with the deadline in the </w:t>
      </w:r>
      <w:r w:rsidR="00A858F7">
        <w:rPr>
          <w:rFonts w:ascii="Arial" w:eastAsia="Times New Roman" w:hAnsi="Arial" w:cs="Arial"/>
          <w:sz w:val="24"/>
          <w:szCs w:val="24"/>
          <w:lang w:val="en-ZA" w:eastAsia="en-GB"/>
        </w:rPr>
        <w:t>T</w:t>
      </w:r>
      <w:r w:rsidR="00D25756">
        <w:rPr>
          <w:rFonts w:ascii="Arial" w:eastAsia="Times New Roman" w:hAnsi="Arial" w:cs="Arial"/>
          <w:sz w:val="24"/>
          <w:szCs w:val="24"/>
          <w:lang w:val="en-ZA" w:eastAsia="en-GB"/>
        </w:rPr>
        <w:t>imetable</w:t>
      </w:r>
      <w:r w:rsidR="00737F04">
        <w:rPr>
          <w:rFonts w:ascii="Arial" w:eastAsia="Times New Roman" w:hAnsi="Arial" w:cs="Arial"/>
          <w:sz w:val="24"/>
          <w:szCs w:val="24"/>
          <w:lang w:val="en-ZA" w:eastAsia="en-GB"/>
        </w:rPr>
        <w:t>.</w:t>
      </w:r>
      <w:r w:rsidR="00086A97">
        <w:rPr>
          <w:rFonts w:ascii="Arial" w:eastAsia="Times New Roman" w:hAnsi="Arial" w:cs="Arial"/>
          <w:sz w:val="24"/>
          <w:szCs w:val="24"/>
          <w:lang w:val="en-ZA" w:eastAsia="en-GB"/>
        </w:rPr>
        <w:t xml:space="preserve"> Non-compliance </w:t>
      </w:r>
      <w:r w:rsidR="00613ABE">
        <w:rPr>
          <w:rFonts w:ascii="Arial" w:eastAsia="Times New Roman" w:hAnsi="Arial" w:cs="Arial"/>
          <w:sz w:val="24"/>
          <w:szCs w:val="24"/>
          <w:lang w:val="en-ZA" w:eastAsia="en-GB"/>
        </w:rPr>
        <w:t xml:space="preserve">by applicant </w:t>
      </w:r>
      <w:r w:rsidR="00086A97">
        <w:rPr>
          <w:rFonts w:ascii="Arial" w:eastAsia="Times New Roman" w:hAnsi="Arial" w:cs="Arial"/>
          <w:sz w:val="24"/>
          <w:szCs w:val="24"/>
          <w:lang w:val="en-ZA" w:eastAsia="en-GB"/>
        </w:rPr>
        <w:t xml:space="preserve">to meet </w:t>
      </w:r>
      <w:r w:rsidR="00613ABE">
        <w:rPr>
          <w:rFonts w:ascii="Arial" w:eastAsia="Times New Roman" w:hAnsi="Arial" w:cs="Arial"/>
          <w:sz w:val="24"/>
          <w:szCs w:val="24"/>
          <w:lang w:val="en-ZA" w:eastAsia="en-GB"/>
        </w:rPr>
        <w:t xml:space="preserve">the </w:t>
      </w:r>
      <w:r w:rsidR="00086A97">
        <w:rPr>
          <w:rFonts w:ascii="Arial" w:eastAsia="Times New Roman" w:hAnsi="Arial" w:cs="Arial"/>
          <w:sz w:val="24"/>
          <w:szCs w:val="24"/>
          <w:lang w:val="en-ZA" w:eastAsia="en-GB"/>
        </w:rPr>
        <w:t>deadline of paying the deposit on time to the IEC attri</w:t>
      </w:r>
      <w:r w:rsidR="00613ABE">
        <w:rPr>
          <w:rFonts w:ascii="Arial" w:eastAsia="Times New Roman" w:hAnsi="Arial" w:cs="Arial"/>
          <w:sz w:val="24"/>
          <w:szCs w:val="24"/>
          <w:lang w:val="en-ZA" w:eastAsia="en-GB"/>
        </w:rPr>
        <w:t>buted to the party’s own fault and not that of the IEC</w:t>
      </w:r>
      <w:r w:rsidR="00086A97">
        <w:rPr>
          <w:rFonts w:ascii="Arial" w:eastAsia="Times New Roman" w:hAnsi="Arial" w:cs="Arial"/>
          <w:sz w:val="24"/>
          <w:szCs w:val="24"/>
          <w:lang w:val="en-ZA" w:eastAsia="en-GB"/>
        </w:rPr>
        <w:t>.</w:t>
      </w:r>
      <w:bookmarkStart w:id="1" w:name="_Hlk166057180"/>
    </w:p>
    <w:p w14:paraId="3765E74F" w14:textId="36E89F3C"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1531A0A2" w14:textId="0796BA6D"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3C7A9E85" w14:textId="1A18844D"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3998412F" w14:textId="588446C9"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659C70D2" w14:textId="3554DE8B"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13EA4368" w14:textId="00DF41EA"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FF06E13" w14:textId="6A59AEB4"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D902961" w14:textId="0F440644"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3FB11B78" w14:textId="4541AD4A"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3A1C8D4" w14:textId="7760B653"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543F8D74" w14:textId="34E6AC8F"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1076BC4C" w14:textId="53CBB9A3"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499D7A08" w14:textId="7EBD0EA7"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35E80678" w14:textId="7BB8E348"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7EF4445A" w14:textId="26FE7CC4"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C054040" w14:textId="1ABFA370"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44EDB869" w14:textId="660C596F"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2CFEB8B" w14:textId="032CA60F"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62EB42A6" w14:textId="1BF2082E"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2F3094DE" w14:textId="709959B9"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4613F875" w14:textId="7CEF9B74"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0F2B9AF1" w14:textId="52C30768"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1F000064" w14:textId="63118013"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316B4480" w14:textId="4363A806"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6131BBE1" w14:textId="4B3CA6F7" w:rsidR="008C0A98"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70DE2546" w14:textId="77777777" w:rsidR="008C0A98" w:rsidRPr="00F67282" w:rsidRDefault="008C0A98" w:rsidP="00F67282">
      <w:pPr>
        <w:tabs>
          <w:tab w:val="left" w:pos="1440"/>
          <w:tab w:val="left" w:pos="2160"/>
          <w:tab w:val="right" w:pos="9072"/>
        </w:tabs>
        <w:spacing w:after="0" w:line="360" w:lineRule="auto"/>
        <w:ind w:left="1440" w:hanging="1440"/>
        <w:contextualSpacing/>
        <w:jc w:val="both"/>
        <w:rPr>
          <w:rFonts w:ascii="Arial" w:eastAsia="Times New Roman" w:hAnsi="Arial" w:cs="Arial"/>
          <w:sz w:val="24"/>
          <w:szCs w:val="24"/>
          <w:lang w:val="en-ZA" w:eastAsia="en-GB"/>
        </w:rPr>
      </w:pPr>
    </w:p>
    <w:p w14:paraId="47F7A4FA" w14:textId="3C3D9E21" w:rsidR="00607B95" w:rsidRPr="003D552A" w:rsidRDefault="00607B95" w:rsidP="00607B95">
      <w:pPr>
        <w:widowControl w:val="0"/>
        <w:pBdr>
          <w:bottom w:val="single" w:sz="12" w:space="1" w:color="auto"/>
        </w:pBdr>
        <w:spacing w:after="0" w:line="360" w:lineRule="auto"/>
        <w:contextualSpacing/>
        <w:jc w:val="both"/>
        <w:rPr>
          <w:rFonts w:ascii="Arial" w:eastAsia="Times New Roman" w:hAnsi="Arial" w:cs="Arial"/>
          <w:sz w:val="24"/>
          <w:szCs w:val="24"/>
          <w:lang w:val="en-ZA"/>
        </w:rPr>
      </w:pPr>
    </w:p>
    <w:p w14:paraId="0280F227" w14:textId="77777777" w:rsidR="00607B95" w:rsidRPr="00320969" w:rsidRDefault="00607B95" w:rsidP="00607B95">
      <w:pPr>
        <w:widowControl w:val="0"/>
        <w:spacing w:after="0" w:line="360" w:lineRule="auto"/>
        <w:contextualSpacing/>
        <w:jc w:val="both"/>
        <w:rPr>
          <w:rFonts w:ascii="Arial" w:eastAsia="Times New Roman" w:hAnsi="Arial" w:cs="Arial"/>
          <w:b/>
          <w:sz w:val="20"/>
          <w:szCs w:val="24"/>
          <w:lang w:val="en-ZA"/>
        </w:rPr>
      </w:pPr>
    </w:p>
    <w:p w14:paraId="27D661CA" w14:textId="6C669586" w:rsidR="00607B95" w:rsidRDefault="00607B95" w:rsidP="00607B95">
      <w:pPr>
        <w:widowControl w:val="0"/>
        <w:pBdr>
          <w:bottom w:val="single" w:sz="12" w:space="1" w:color="auto"/>
        </w:pBdr>
        <w:spacing w:after="0" w:line="360" w:lineRule="auto"/>
        <w:contextualSpacing/>
        <w:jc w:val="center"/>
        <w:rPr>
          <w:rFonts w:ascii="Arial" w:eastAsia="Times New Roman" w:hAnsi="Arial" w:cs="Arial"/>
          <w:b/>
          <w:sz w:val="24"/>
          <w:szCs w:val="32"/>
          <w:lang w:val="en-ZA"/>
        </w:rPr>
      </w:pPr>
      <w:r w:rsidRPr="00320969">
        <w:rPr>
          <w:rFonts w:ascii="Arial" w:eastAsia="Times New Roman" w:hAnsi="Arial" w:cs="Arial"/>
          <w:b/>
          <w:sz w:val="24"/>
          <w:szCs w:val="32"/>
          <w:lang w:val="en-ZA"/>
        </w:rPr>
        <w:t>ORDER</w:t>
      </w:r>
    </w:p>
    <w:p w14:paraId="66724EE3" w14:textId="2142FBAB" w:rsidR="00ED29EF" w:rsidRDefault="00ED29EF" w:rsidP="004446DF">
      <w:pPr>
        <w:spacing w:after="0" w:line="240" w:lineRule="auto"/>
        <w:contextualSpacing/>
        <w:jc w:val="both"/>
        <w:rPr>
          <w:rFonts w:ascii="Arial" w:eastAsia="Times New Roman" w:hAnsi="Arial" w:cs="Arial"/>
          <w:b/>
          <w:sz w:val="20"/>
          <w:szCs w:val="24"/>
          <w:lang w:val="en-ZA"/>
        </w:rPr>
      </w:pPr>
    </w:p>
    <w:p w14:paraId="21BD87C5" w14:textId="77777777" w:rsidR="004446DF" w:rsidRDefault="004446DF" w:rsidP="004446DF">
      <w:pPr>
        <w:spacing w:after="0" w:line="240" w:lineRule="auto"/>
        <w:contextualSpacing/>
        <w:jc w:val="both"/>
        <w:rPr>
          <w:rFonts w:ascii="Arial" w:eastAsia="Times New Roman" w:hAnsi="Arial" w:cs="Arial"/>
          <w:lang w:val="en-ZA"/>
        </w:rPr>
      </w:pPr>
    </w:p>
    <w:p w14:paraId="4A493667" w14:textId="77777777" w:rsidR="00ED29EF" w:rsidRPr="00970DE7" w:rsidRDefault="00ED29EF" w:rsidP="00607B95">
      <w:pPr>
        <w:spacing w:after="0" w:line="360" w:lineRule="auto"/>
        <w:contextualSpacing/>
        <w:jc w:val="both"/>
        <w:rPr>
          <w:rFonts w:ascii="Arial" w:eastAsia="Times New Roman" w:hAnsi="Arial" w:cs="Arial"/>
          <w:sz w:val="24"/>
          <w:szCs w:val="24"/>
          <w:lang w:val="en-ZA"/>
        </w:rPr>
      </w:pPr>
      <w:r w:rsidRPr="00970DE7">
        <w:rPr>
          <w:rFonts w:ascii="Arial" w:eastAsia="Times New Roman" w:hAnsi="Arial" w:cs="Arial"/>
          <w:sz w:val="24"/>
          <w:szCs w:val="24"/>
          <w:lang w:val="en-ZA"/>
        </w:rPr>
        <w:t>The application is dismissed with no order as to costs.</w:t>
      </w:r>
    </w:p>
    <w:p w14:paraId="75B8E262" w14:textId="77777777" w:rsidR="00607B95" w:rsidRPr="00320969" w:rsidRDefault="00607B95" w:rsidP="004446DF">
      <w:pPr>
        <w:widowControl w:val="0"/>
        <w:pBdr>
          <w:bottom w:val="single" w:sz="12" w:space="1" w:color="auto"/>
        </w:pBdr>
        <w:spacing w:after="0" w:line="240" w:lineRule="auto"/>
        <w:contextualSpacing/>
        <w:jc w:val="both"/>
        <w:rPr>
          <w:rFonts w:ascii="Arial" w:eastAsia="Times New Roman" w:hAnsi="Arial" w:cs="Arial"/>
          <w:b/>
          <w:sz w:val="20"/>
          <w:szCs w:val="24"/>
          <w:lang w:val="en-ZA"/>
        </w:rPr>
      </w:pPr>
    </w:p>
    <w:p w14:paraId="50D1C90E" w14:textId="77777777" w:rsidR="00607B95" w:rsidRPr="00320969" w:rsidRDefault="00607B95" w:rsidP="00607B95">
      <w:pPr>
        <w:widowControl w:val="0"/>
        <w:spacing w:after="0" w:line="360" w:lineRule="auto"/>
        <w:contextualSpacing/>
        <w:jc w:val="both"/>
        <w:rPr>
          <w:rFonts w:ascii="Arial" w:eastAsia="Times New Roman" w:hAnsi="Arial" w:cs="Arial"/>
          <w:b/>
          <w:sz w:val="20"/>
          <w:szCs w:val="24"/>
          <w:lang w:val="en-ZA"/>
        </w:rPr>
      </w:pPr>
    </w:p>
    <w:p w14:paraId="1B1AF6E1" w14:textId="608C29E2" w:rsidR="00607B95" w:rsidRDefault="00607B95" w:rsidP="00607B95">
      <w:pPr>
        <w:widowControl w:val="0"/>
        <w:pBdr>
          <w:bottom w:val="single" w:sz="12" w:space="1" w:color="auto"/>
        </w:pBdr>
        <w:spacing w:after="0" w:line="360" w:lineRule="auto"/>
        <w:contextualSpacing/>
        <w:jc w:val="center"/>
        <w:rPr>
          <w:rFonts w:ascii="Arial" w:eastAsia="Times New Roman" w:hAnsi="Arial" w:cs="Arial"/>
          <w:b/>
          <w:sz w:val="24"/>
          <w:szCs w:val="32"/>
          <w:lang w:val="en-ZA"/>
        </w:rPr>
      </w:pPr>
      <w:r w:rsidRPr="00320969">
        <w:rPr>
          <w:rFonts w:ascii="Arial" w:eastAsia="Times New Roman" w:hAnsi="Arial" w:cs="Arial"/>
          <w:b/>
          <w:sz w:val="24"/>
          <w:szCs w:val="32"/>
          <w:lang w:val="en-ZA"/>
        </w:rPr>
        <w:t>JUDGMENT</w:t>
      </w:r>
    </w:p>
    <w:p w14:paraId="747DD294" w14:textId="23BB6770" w:rsidR="00854F11" w:rsidRDefault="00854F11" w:rsidP="00E74636">
      <w:pPr>
        <w:widowControl w:val="0"/>
        <w:tabs>
          <w:tab w:val="left" w:pos="0"/>
        </w:tabs>
        <w:spacing w:after="0" w:line="240" w:lineRule="auto"/>
        <w:contextualSpacing/>
        <w:jc w:val="both"/>
        <w:rPr>
          <w:rFonts w:ascii="Arial" w:eastAsia="Calibri" w:hAnsi="Arial" w:cs="Arial"/>
          <w:b/>
          <w:sz w:val="24"/>
          <w:szCs w:val="24"/>
          <w:lang w:val="en-ZA"/>
        </w:rPr>
      </w:pPr>
    </w:p>
    <w:p w14:paraId="1A04647D" w14:textId="77777777" w:rsidR="00607B95" w:rsidRPr="00AA6950" w:rsidRDefault="00854F11" w:rsidP="00AA6950">
      <w:pPr>
        <w:widowControl w:val="0"/>
        <w:tabs>
          <w:tab w:val="left" w:pos="0"/>
        </w:tabs>
        <w:spacing w:after="0" w:line="360" w:lineRule="auto"/>
        <w:contextualSpacing/>
        <w:jc w:val="both"/>
        <w:rPr>
          <w:rFonts w:ascii="Arial" w:eastAsia="Calibri" w:hAnsi="Arial" w:cs="Arial"/>
          <w:b/>
          <w:sz w:val="24"/>
          <w:szCs w:val="24"/>
          <w:lang w:val="en-ZA"/>
        </w:rPr>
      </w:pPr>
      <w:r w:rsidRPr="00AA6950">
        <w:rPr>
          <w:rFonts w:ascii="Arial" w:eastAsia="Calibri" w:hAnsi="Arial" w:cs="Arial"/>
          <w:b/>
          <w:sz w:val="24"/>
          <w:szCs w:val="24"/>
          <w:lang w:val="en-ZA"/>
        </w:rPr>
        <w:t>Steyn AJ (</w:t>
      </w:r>
      <w:r w:rsidR="00ED29EF" w:rsidRPr="00AA6950">
        <w:rPr>
          <w:rFonts w:ascii="Arial" w:eastAsia="Calibri" w:hAnsi="Arial" w:cs="Arial"/>
          <w:b/>
          <w:sz w:val="24"/>
          <w:szCs w:val="24"/>
          <w:lang w:val="en-ZA"/>
        </w:rPr>
        <w:t>Zondi JA</w:t>
      </w:r>
      <w:r w:rsidRPr="00AA6950">
        <w:rPr>
          <w:rFonts w:ascii="Arial" w:eastAsia="Calibri" w:hAnsi="Arial" w:cs="Arial"/>
          <w:b/>
          <w:sz w:val="24"/>
          <w:szCs w:val="24"/>
          <w:lang w:val="en-ZA"/>
        </w:rPr>
        <w:t xml:space="preserve">, </w:t>
      </w:r>
      <w:r w:rsidR="00ED29EF" w:rsidRPr="00AA6950">
        <w:rPr>
          <w:rFonts w:ascii="Arial" w:eastAsia="Calibri" w:hAnsi="Arial" w:cs="Arial"/>
          <w:b/>
          <w:sz w:val="24"/>
          <w:szCs w:val="24"/>
          <w:lang w:val="en-ZA"/>
        </w:rPr>
        <w:t>Adams</w:t>
      </w:r>
      <w:r w:rsidRPr="00AA6950">
        <w:rPr>
          <w:rFonts w:ascii="Arial" w:eastAsia="Calibri" w:hAnsi="Arial" w:cs="Arial"/>
          <w:b/>
          <w:sz w:val="24"/>
          <w:szCs w:val="24"/>
          <w:lang w:val="en-ZA"/>
        </w:rPr>
        <w:t xml:space="preserve"> AJ and </w:t>
      </w:r>
      <w:r w:rsidR="00ED29EF" w:rsidRPr="00AA6950">
        <w:rPr>
          <w:rFonts w:ascii="Arial" w:eastAsia="Calibri" w:hAnsi="Arial" w:cs="Arial"/>
          <w:b/>
          <w:sz w:val="24"/>
          <w:szCs w:val="24"/>
          <w:lang w:val="en-ZA"/>
        </w:rPr>
        <w:t>Professor Ntlama-Makhanya (Additional Member)</w:t>
      </w:r>
      <w:r w:rsidR="00134AAF" w:rsidRPr="00AA6950">
        <w:rPr>
          <w:rFonts w:ascii="Arial" w:eastAsia="Calibri" w:hAnsi="Arial" w:cs="Arial"/>
          <w:b/>
          <w:sz w:val="24"/>
          <w:szCs w:val="24"/>
          <w:lang w:val="en-ZA"/>
        </w:rPr>
        <w:t xml:space="preserve"> concurring)</w:t>
      </w:r>
      <w:r w:rsidR="00ED29EF" w:rsidRPr="00AA6950">
        <w:rPr>
          <w:rFonts w:ascii="Arial" w:eastAsia="Calibri" w:hAnsi="Arial" w:cs="Arial"/>
          <w:b/>
          <w:sz w:val="24"/>
          <w:szCs w:val="24"/>
          <w:lang w:val="en-ZA"/>
        </w:rPr>
        <w:t>:</w:t>
      </w:r>
    </w:p>
    <w:p w14:paraId="358FD877" w14:textId="4A2035A9" w:rsidR="00607B95" w:rsidRDefault="00607B95" w:rsidP="009630A7">
      <w:pPr>
        <w:widowControl w:val="0"/>
        <w:spacing w:after="0" w:line="360" w:lineRule="auto"/>
        <w:contextualSpacing/>
        <w:jc w:val="both"/>
        <w:rPr>
          <w:rFonts w:ascii="Arial" w:eastAsia="Calibri" w:hAnsi="Arial" w:cs="Arial"/>
          <w:sz w:val="24"/>
          <w:szCs w:val="24"/>
          <w:lang w:val="en-ZA"/>
        </w:rPr>
      </w:pPr>
    </w:p>
    <w:p w14:paraId="50B77C78" w14:textId="1E7F8EF0" w:rsidR="00F67282" w:rsidRPr="00F67282" w:rsidRDefault="00F67282" w:rsidP="00AA6950">
      <w:pPr>
        <w:widowControl w:val="0"/>
        <w:spacing w:after="0" w:line="360" w:lineRule="auto"/>
        <w:ind w:left="720" w:hanging="720"/>
        <w:contextualSpacing/>
        <w:jc w:val="both"/>
        <w:rPr>
          <w:rFonts w:ascii="Arial" w:eastAsia="Calibri" w:hAnsi="Arial" w:cs="Arial"/>
          <w:b/>
          <w:sz w:val="24"/>
          <w:szCs w:val="24"/>
          <w:lang w:val="en-ZA"/>
        </w:rPr>
      </w:pPr>
      <w:r w:rsidRPr="00F67282">
        <w:rPr>
          <w:rFonts w:ascii="Arial" w:eastAsia="Calibri" w:hAnsi="Arial" w:cs="Arial"/>
          <w:b/>
          <w:sz w:val="24"/>
          <w:szCs w:val="24"/>
          <w:lang w:val="en-ZA"/>
        </w:rPr>
        <w:t>Introduction</w:t>
      </w:r>
    </w:p>
    <w:p w14:paraId="6A702AE3" w14:textId="77777777" w:rsidR="00B26B80" w:rsidRPr="00AA6950" w:rsidRDefault="001C2BE4" w:rsidP="00AA6950">
      <w:pPr>
        <w:widowControl w:val="0"/>
        <w:spacing w:after="0" w:line="360" w:lineRule="auto"/>
        <w:contextualSpacing/>
        <w:jc w:val="both"/>
        <w:rPr>
          <w:rFonts w:ascii="Arial" w:eastAsia="Calibri" w:hAnsi="Arial" w:cs="Arial"/>
          <w:sz w:val="24"/>
          <w:szCs w:val="24"/>
          <w:lang w:val="en-ZA"/>
        </w:rPr>
      </w:pPr>
      <w:r w:rsidRPr="00AA6950">
        <w:rPr>
          <w:rFonts w:ascii="Arial" w:eastAsia="Calibri" w:hAnsi="Arial" w:cs="Arial"/>
          <w:sz w:val="24"/>
          <w:szCs w:val="24"/>
          <w:lang w:val="en-ZA"/>
        </w:rPr>
        <w:t>[1]</w:t>
      </w:r>
      <w:r w:rsidRPr="00AA6950">
        <w:rPr>
          <w:rFonts w:ascii="Arial" w:eastAsia="Calibri" w:hAnsi="Arial" w:cs="Arial"/>
          <w:sz w:val="24"/>
          <w:szCs w:val="24"/>
          <w:lang w:val="en-ZA"/>
        </w:rPr>
        <w:tab/>
        <w:t>On Friday, 10 May 2024, the applicant sought relief from this court. After</w:t>
      </w:r>
      <w:r w:rsidR="006978BB" w:rsidRPr="00AA6950">
        <w:rPr>
          <w:rFonts w:ascii="Arial" w:eastAsia="Calibri" w:hAnsi="Arial" w:cs="Arial"/>
          <w:sz w:val="24"/>
          <w:szCs w:val="24"/>
          <w:lang w:val="en-ZA"/>
        </w:rPr>
        <w:t xml:space="preserve"> hearing argument and considering the matter, the court issued the following order:</w:t>
      </w:r>
    </w:p>
    <w:p w14:paraId="2D309C6F" w14:textId="388C2AF7" w:rsidR="00854F11" w:rsidRPr="00AA6950" w:rsidRDefault="00AA6950" w:rsidP="00AA6950">
      <w:pPr>
        <w:widowControl w:val="0"/>
        <w:spacing w:after="0" w:line="360" w:lineRule="auto"/>
        <w:contextualSpacing/>
        <w:jc w:val="both"/>
        <w:rPr>
          <w:rFonts w:ascii="Arial" w:eastAsia="Calibri" w:hAnsi="Arial" w:cs="Arial"/>
          <w:lang w:val="en-ZA"/>
        </w:rPr>
      </w:pPr>
      <w:r w:rsidRPr="00AA6950">
        <w:rPr>
          <w:rFonts w:ascii="Arial" w:eastAsia="Calibri" w:hAnsi="Arial" w:cs="Arial"/>
          <w:lang w:val="en-ZA"/>
        </w:rPr>
        <w:t>‘</w:t>
      </w:r>
      <w:r w:rsidR="00B26B80" w:rsidRPr="00AA6950">
        <w:rPr>
          <w:rFonts w:ascii="Arial" w:eastAsia="Calibri" w:hAnsi="Arial" w:cs="Arial"/>
          <w:lang w:val="en-ZA"/>
        </w:rPr>
        <w:t>The application is dismissed with no order as to costs.</w:t>
      </w:r>
      <w:r w:rsidRPr="00AA6950">
        <w:rPr>
          <w:rFonts w:ascii="Arial" w:eastAsia="Calibri" w:hAnsi="Arial" w:cs="Arial"/>
          <w:lang w:val="en-ZA"/>
        </w:rPr>
        <w:t>’</w:t>
      </w:r>
      <w:r w:rsidR="00B26B80" w:rsidRPr="00AA6950">
        <w:rPr>
          <w:rFonts w:ascii="Arial" w:eastAsia="Calibri" w:hAnsi="Arial" w:cs="Arial"/>
          <w:lang w:val="en-ZA"/>
        </w:rPr>
        <w:t xml:space="preserve"> </w:t>
      </w:r>
    </w:p>
    <w:p w14:paraId="3CEE094B" w14:textId="77777777" w:rsidR="00854F11" w:rsidRPr="00AA6950" w:rsidRDefault="00854F11" w:rsidP="00AA6950">
      <w:pPr>
        <w:widowControl w:val="0"/>
        <w:spacing w:after="0" w:line="360" w:lineRule="auto"/>
        <w:contextualSpacing/>
        <w:jc w:val="both"/>
        <w:rPr>
          <w:rFonts w:ascii="Arial" w:eastAsia="Calibri" w:hAnsi="Arial" w:cs="Arial"/>
          <w:sz w:val="24"/>
          <w:szCs w:val="24"/>
          <w:lang w:val="en-ZA"/>
        </w:rPr>
      </w:pPr>
    </w:p>
    <w:p w14:paraId="12E75A37" w14:textId="77777777" w:rsidR="00B26B80" w:rsidRPr="00AA6950" w:rsidRDefault="00854F11" w:rsidP="00AA6950">
      <w:pPr>
        <w:widowControl w:val="0"/>
        <w:spacing w:after="0" w:line="360" w:lineRule="auto"/>
        <w:contextualSpacing/>
        <w:jc w:val="both"/>
        <w:rPr>
          <w:rFonts w:ascii="Arial" w:eastAsia="Calibri" w:hAnsi="Arial" w:cs="Arial"/>
          <w:sz w:val="24"/>
          <w:szCs w:val="24"/>
          <w:lang w:val="en-ZA"/>
        </w:rPr>
      </w:pPr>
      <w:r w:rsidRPr="00AA6950">
        <w:rPr>
          <w:rFonts w:ascii="Arial" w:eastAsia="Calibri" w:hAnsi="Arial" w:cs="Arial"/>
          <w:sz w:val="24"/>
          <w:szCs w:val="24"/>
          <w:lang w:val="en-ZA"/>
        </w:rPr>
        <w:t>[2]</w:t>
      </w:r>
      <w:r w:rsidRPr="00AA6950">
        <w:rPr>
          <w:rFonts w:ascii="Arial" w:eastAsia="Calibri" w:hAnsi="Arial" w:cs="Arial"/>
          <w:sz w:val="24"/>
          <w:szCs w:val="24"/>
          <w:lang w:val="en-ZA"/>
        </w:rPr>
        <w:tab/>
      </w:r>
      <w:r w:rsidR="00B26B80" w:rsidRPr="00AA6950">
        <w:rPr>
          <w:rFonts w:ascii="Arial" w:eastAsia="Calibri" w:hAnsi="Arial" w:cs="Arial"/>
          <w:sz w:val="24"/>
          <w:szCs w:val="24"/>
          <w:lang w:val="en-ZA"/>
        </w:rPr>
        <w:t>What follows are the reasons for the dismissal of the application.</w:t>
      </w:r>
    </w:p>
    <w:p w14:paraId="507CACE6" w14:textId="77777777" w:rsidR="00854F11" w:rsidRPr="00AA6950" w:rsidRDefault="00854F11" w:rsidP="00AA6950">
      <w:pPr>
        <w:widowControl w:val="0"/>
        <w:spacing w:after="0" w:line="360" w:lineRule="auto"/>
        <w:contextualSpacing/>
        <w:jc w:val="both"/>
        <w:rPr>
          <w:rFonts w:ascii="Arial" w:eastAsia="Calibri" w:hAnsi="Arial" w:cs="Arial"/>
          <w:b/>
          <w:sz w:val="24"/>
          <w:szCs w:val="24"/>
          <w:lang w:val="en-ZA"/>
        </w:rPr>
      </w:pPr>
    </w:p>
    <w:p w14:paraId="5A01C0E1" w14:textId="77777777" w:rsidR="00854F11" w:rsidRPr="00AA6950" w:rsidRDefault="00854F11" w:rsidP="00AA6950">
      <w:pPr>
        <w:widowControl w:val="0"/>
        <w:spacing w:after="0" w:line="360" w:lineRule="auto"/>
        <w:contextualSpacing/>
        <w:jc w:val="both"/>
        <w:rPr>
          <w:rFonts w:ascii="Arial" w:eastAsia="Calibri" w:hAnsi="Arial" w:cs="Arial"/>
          <w:sz w:val="24"/>
          <w:szCs w:val="24"/>
          <w:lang w:val="en-ZA"/>
        </w:rPr>
      </w:pPr>
      <w:r w:rsidRPr="00AA6950">
        <w:rPr>
          <w:rFonts w:ascii="Arial" w:eastAsia="Calibri" w:hAnsi="Arial" w:cs="Arial"/>
          <w:b/>
          <w:sz w:val="24"/>
          <w:szCs w:val="24"/>
          <w:lang w:val="en-ZA"/>
        </w:rPr>
        <w:t>Parties</w:t>
      </w:r>
    </w:p>
    <w:p w14:paraId="105162F7" w14:textId="3C5E9787" w:rsidR="00854F11" w:rsidRPr="00AA6950" w:rsidRDefault="00854F11" w:rsidP="00AA6950">
      <w:pPr>
        <w:widowControl w:val="0"/>
        <w:spacing w:after="0" w:line="360" w:lineRule="auto"/>
        <w:contextualSpacing/>
        <w:jc w:val="both"/>
        <w:rPr>
          <w:rFonts w:ascii="Arial" w:eastAsia="Calibri" w:hAnsi="Arial" w:cs="Arial"/>
          <w:sz w:val="24"/>
          <w:szCs w:val="24"/>
          <w:lang w:val="en-ZA"/>
        </w:rPr>
      </w:pPr>
      <w:r w:rsidRPr="00AA6950">
        <w:rPr>
          <w:rFonts w:ascii="Arial" w:eastAsia="Calibri" w:hAnsi="Arial" w:cs="Arial"/>
          <w:sz w:val="24"/>
          <w:szCs w:val="24"/>
          <w:lang w:val="en-ZA"/>
        </w:rPr>
        <w:t>[3]</w:t>
      </w:r>
      <w:r w:rsidRPr="00AA6950">
        <w:rPr>
          <w:rFonts w:ascii="Arial" w:eastAsia="Calibri" w:hAnsi="Arial" w:cs="Arial"/>
          <w:sz w:val="24"/>
          <w:szCs w:val="24"/>
          <w:lang w:val="en-ZA"/>
        </w:rPr>
        <w:tab/>
        <w:t xml:space="preserve">The applicant is the </w:t>
      </w:r>
      <w:r w:rsidRPr="00AA6950">
        <w:rPr>
          <w:rFonts w:ascii="Arial" w:eastAsia="Calibri" w:hAnsi="Arial" w:cs="Arial"/>
          <w:i/>
          <w:sz w:val="24"/>
          <w:szCs w:val="24"/>
          <w:lang w:val="en-ZA"/>
        </w:rPr>
        <w:t xml:space="preserve">African Economic Freedom </w:t>
      </w:r>
      <w:r w:rsidRPr="00AA6950">
        <w:rPr>
          <w:rFonts w:ascii="Arial" w:eastAsia="Calibri" w:hAnsi="Arial" w:cs="Arial"/>
          <w:sz w:val="24"/>
          <w:szCs w:val="24"/>
          <w:lang w:val="en-ZA"/>
        </w:rPr>
        <w:t>(</w:t>
      </w:r>
      <w:r w:rsidR="000F0F61" w:rsidRPr="00AA6950">
        <w:rPr>
          <w:rFonts w:ascii="Arial" w:eastAsia="Calibri" w:hAnsi="Arial" w:cs="Arial"/>
          <w:sz w:val="24"/>
          <w:szCs w:val="24"/>
          <w:lang w:val="en-ZA"/>
        </w:rPr>
        <w:t>‘</w:t>
      </w:r>
      <w:r w:rsidRPr="00AA6950">
        <w:rPr>
          <w:rFonts w:ascii="Arial" w:eastAsia="Calibri" w:hAnsi="Arial" w:cs="Arial"/>
          <w:sz w:val="24"/>
          <w:szCs w:val="24"/>
          <w:lang w:val="en-ZA"/>
        </w:rPr>
        <w:t>AEF</w:t>
      </w:r>
      <w:r w:rsidR="000F0F61" w:rsidRPr="00AA6950">
        <w:rPr>
          <w:rFonts w:ascii="Arial" w:eastAsia="Calibri" w:hAnsi="Arial" w:cs="Arial"/>
          <w:sz w:val="24"/>
          <w:szCs w:val="24"/>
          <w:lang w:val="en-ZA"/>
        </w:rPr>
        <w:t>’</w:t>
      </w:r>
      <w:r w:rsidRPr="00AA6950">
        <w:rPr>
          <w:rFonts w:ascii="Arial" w:eastAsia="Calibri" w:hAnsi="Arial" w:cs="Arial"/>
          <w:sz w:val="24"/>
          <w:szCs w:val="24"/>
          <w:lang w:val="en-ZA"/>
        </w:rPr>
        <w:t>)</w:t>
      </w:r>
      <w:r w:rsidRPr="00AA6950">
        <w:rPr>
          <w:rFonts w:ascii="Arial" w:eastAsia="Calibri" w:hAnsi="Arial" w:cs="Arial"/>
          <w:i/>
          <w:sz w:val="24"/>
          <w:szCs w:val="24"/>
          <w:lang w:val="en-ZA"/>
        </w:rPr>
        <w:t xml:space="preserve">, </w:t>
      </w:r>
      <w:r w:rsidRPr="00AA6950">
        <w:rPr>
          <w:rFonts w:ascii="Arial" w:eastAsia="Calibri" w:hAnsi="Arial" w:cs="Arial"/>
          <w:sz w:val="24"/>
          <w:szCs w:val="24"/>
          <w:lang w:val="en-ZA"/>
        </w:rPr>
        <w:t xml:space="preserve">a registered political party who intended participating in the general elections to be held on 29 May 2024. The </w:t>
      </w:r>
      <w:r w:rsidR="009630A7">
        <w:rPr>
          <w:rFonts w:ascii="Arial" w:eastAsia="Calibri" w:hAnsi="Arial" w:cs="Arial"/>
          <w:sz w:val="24"/>
          <w:szCs w:val="24"/>
          <w:lang w:val="en-ZA"/>
        </w:rPr>
        <w:t>r</w:t>
      </w:r>
      <w:r w:rsidRPr="00AA6950">
        <w:rPr>
          <w:rFonts w:ascii="Arial" w:eastAsia="Calibri" w:hAnsi="Arial" w:cs="Arial"/>
          <w:sz w:val="24"/>
          <w:szCs w:val="24"/>
          <w:lang w:val="en-ZA"/>
        </w:rPr>
        <w:t xml:space="preserve">espondent is the </w:t>
      </w:r>
      <w:r w:rsidRPr="00AA6950">
        <w:rPr>
          <w:rFonts w:ascii="Arial" w:eastAsia="Calibri" w:hAnsi="Arial" w:cs="Arial"/>
          <w:i/>
          <w:sz w:val="24"/>
          <w:szCs w:val="24"/>
          <w:lang w:val="en-ZA"/>
        </w:rPr>
        <w:t xml:space="preserve">Electoral Commission </w:t>
      </w:r>
      <w:r w:rsidR="00B80B0F">
        <w:rPr>
          <w:rFonts w:ascii="Arial" w:eastAsia="Calibri" w:hAnsi="Arial" w:cs="Arial"/>
          <w:i/>
          <w:sz w:val="24"/>
          <w:szCs w:val="24"/>
          <w:lang w:val="en-ZA"/>
        </w:rPr>
        <w:t xml:space="preserve">of South Africa, </w:t>
      </w:r>
      <w:r w:rsidRPr="00AA6950">
        <w:rPr>
          <w:rFonts w:ascii="Arial" w:eastAsia="Calibri" w:hAnsi="Arial" w:cs="Arial"/>
          <w:sz w:val="24"/>
          <w:szCs w:val="24"/>
          <w:lang w:val="en-ZA"/>
        </w:rPr>
        <w:t xml:space="preserve">colloquially referred to as the </w:t>
      </w:r>
      <w:r w:rsidR="00BF0690" w:rsidRPr="00AA6950">
        <w:rPr>
          <w:rFonts w:ascii="Arial" w:eastAsia="Calibri" w:hAnsi="Arial" w:cs="Arial"/>
          <w:sz w:val="24"/>
          <w:szCs w:val="24"/>
          <w:lang w:val="en-ZA"/>
        </w:rPr>
        <w:t xml:space="preserve">Independent Electoral Commission (‘IEC’). The IEC is </w:t>
      </w:r>
      <w:r w:rsidRPr="00AA6950">
        <w:rPr>
          <w:rFonts w:ascii="Arial" w:eastAsia="Calibri" w:hAnsi="Arial" w:cs="Arial"/>
          <w:sz w:val="24"/>
          <w:szCs w:val="24"/>
          <w:lang w:val="en-ZA"/>
        </w:rPr>
        <w:t>a body established in terms of s 1</w:t>
      </w:r>
      <w:r w:rsidR="00F1661E">
        <w:rPr>
          <w:rFonts w:ascii="Arial" w:eastAsia="Calibri" w:hAnsi="Arial" w:cs="Arial"/>
          <w:sz w:val="24"/>
          <w:szCs w:val="24"/>
          <w:lang w:val="en-ZA"/>
        </w:rPr>
        <w:t>8</w:t>
      </w:r>
      <w:r w:rsidRPr="00AA6950">
        <w:rPr>
          <w:rFonts w:ascii="Arial" w:eastAsia="Calibri" w:hAnsi="Arial" w:cs="Arial"/>
          <w:sz w:val="24"/>
          <w:szCs w:val="24"/>
          <w:lang w:val="en-ZA"/>
        </w:rPr>
        <w:t>1 of the Constitution</w:t>
      </w:r>
      <w:r w:rsidR="00BF0690" w:rsidRPr="00AA6950">
        <w:rPr>
          <w:rFonts w:ascii="Arial" w:eastAsia="Calibri" w:hAnsi="Arial" w:cs="Arial"/>
          <w:sz w:val="24"/>
          <w:szCs w:val="24"/>
          <w:lang w:val="en-ZA"/>
        </w:rPr>
        <w:t xml:space="preserve"> of the Republic of South Africa</w:t>
      </w:r>
      <w:r w:rsidRPr="00AA6950">
        <w:rPr>
          <w:rFonts w:ascii="Arial" w:eastAsia="Calibri" w:hAnsi="Arial" w:cs="Arial"/>
          <w:sz w:val="24"/>
          <w:szCs w:val="24"/>
          <w:lang w:val="en-ZA"/>
        </w:rPr>
        <w:t>, 1996</w:t>
      </w:r>
      <w:r w:rsidR="002E1EAD">
        <w:rPr>
          <w:rFonts w:ascii="Arial" w:eastAsia="Calibri" w:hAnsi="Arial" w:cs="Arial"/>
          <w:sz w:val="24"/>
          <w:szCs w:val="24"/>
          <w:lang w:val="en-ZA"/>
        </w:rPr>
        <w:t xml:space="preserve"> (‘Constitution’)</w:t>
      </w:r>
      <w:r w:rsidRPr="00AA6950">
        <w:rPr>
          <w:rFonts w:ascii="Arial" w:eastAsia="Calibri" w:hAnsi="Arial" w:cs="Arial"/>
          <w:sz w:val="24"/>
          <w:szCs w:val="24"/>
          <w:lang w:val="en-ZA"/>
        </w:rPr>
        <w:t>.</w:t>
      </w:r>
      <w:r w:rsidR="00F1661E">
        <w:rPr>
          <w:rStyle w:val="FootnoteReference"/>
          <w:rFonts w:ascii="Arial" w:eastAsia="Calibri" w:hAnsi="Arial" w:cs="Arial"/>
          <w:sz w:val="24"/>
          <w:szCs w:val="24"/>
          <w:lang w:val="en-ZA"/>
        </w:rPr>
        <w:footnoteReference w:id="1"/>
      </w:r>
      <w:r w:rsidRPr="00AA6950">
        <w:rPr>
          <w:rFonts w:ascii="Arial" w:eastAsia="Calibri" w:hAnsi="Arial" w:cs="Arial"/>
          <w:sz w:val="24"/>
          <w:szCs w:val="24"/>
          <w:lang w:val="en-ZA"/>
        </w:rPr>
        <w:t xml:space="preserve"> </w:t>
      </w:r>
      <w:r w:rsidR="00B54E2A" w:rsidRPr="00AA6950">
        <w:rPr>
          <w:rFonts w:ascii="Arial" w:eastAsia="Calibri" w:hAnsi="Arial" w:cs="Arial"/>
          <w:sz w:val="24"/>
          <w:szCs w:val="24"/>
          <w:lang w:val="en-ZA"/>
        </w:rPr>
        <w:t>The objects of the Commission</w:t>
      </w:r>
      <w:r w:rsidR="00E95E72">
        <w:rPr>
          <w:rFonts w:ascii="Arial" w:eastAsia="Calibri" w:hAnsi="Arial" w:cs="Arial"/>
          <w:sz w:val="24"/>
          <w:szCs w:val="24"/>
          <w:lang w:val="en-ZA"/>
        </w:rPr>
        <w:t>,</w:t>
      </w:r>
      <w:r w:rsidR="00B54E2A" w:rsidRPr="00AA6950">
        <w:rPr>
          <w:rFonts w:ascii="Arial" w:eastAsia="Calibri" w:hAnsi="Arial" w:cs="Arial"/>
          <w:sz w:val="24"/>
          <w:szCs w:val="24"/>
          <w:lang w:val="en-ZA"/>
        </w:rPr>
        <w:t xml:space="preserve"> which are to strengthen constitutional democracy and promote democratic electoral processes</w:t>
      </w:r>
      <w:r w:rsidR="00E95E72">
        <w:rPr>
          <w:rFonts w:ascii="Arial" w:eastAsia="Calibri" w:hAnsi="Arial" w:cs="Arial"/>
          <w:sz w:val="24"/>
          <w:szCs w:val="24"/>
          <w:lang w:val="en-ZA"/>
        </w:rPr>
        <w:t>,</w:t>
      </w:r>
      <w:r w:rsidR="00B54E2A" w:rsidRPr="00AA6950">
        <w:rPr>
          <w:rFonts w:ascii="Arial" w:eastAsia="Calibri" w:hAnsi="Arial" w:cs="Arial"/>
          <w:sz w:val="24"/>
          <w:szCs w:val="24"/>
          <w:lang w:val="en-ZA"/>
        </w:rPr>
        <w:t xml:space="preserve"> are confirmed in s</w:t>
      </w:r>
      <w:r w:rsidR="00AA6950">
        <w:rPr>
          <w:rFonts w:ascii="Arial" w:eastAsia="Calibri" w:hAnsi="Arial" w:cs="Arial"/>
          <w:sz w:val="24"/>
          <w:szCs w:val="24"/>
          <w:lang w:val="en-ZA"/>
        </w:rPr>
        <w:t xml:space="preserve"> </w:t>
      </w:r>
      <w:r w:rsidR="00B54E2A" w:rsidRPr="00AA6950">
        <w:rPr>
          <w:rFonts w:ascii="Arial" w:eastAsia="Calibri" w:hAnsi="Arial" w:cs="Arial"/>
          <w:sz w:val="24"/>
          <w:szCs w:val="24"/>
          <w:lang w:val="en-ZA"/>
        </w:rPr>
        <w:t>4 of the Electoral Commission Act, 51 of 1996 (‘the ECA’).</w:t>
      </w:r>
      <w:r w:rsidR="002611E8" w:rsidRPr="00AA6950">
        <w:rPr>
          <w:rFonts w:ascii="Arial" w:eastAsia="Calibri" w:hAnsi="Arial" w:cs="Arial"/>
          <w:sz w:val="24"/>
          <w:szCs w:val="24"/>
          <w:lang w:val="en-ZA"/>
        </w:rPr>
        <w:t xml:space="preserve"> The Constitution </w:t>
      </w:r>
      <w:r w:rsidR="002A6B73" w:rsidRPr="00AA6950">
        <w:rPr>
          <w:rFonts w:ascii="Arial" w:eastAsia="Calibri" w:hAnsi="Arial" w:cs="Arial"/>
          <w:sz w:val="24"/>
          <w:szCs w:val="24"/>
          <w:lang w:val="en-ZA"/>
        </w:rPr>
        <w:t xml:space="preserve">also </w:t>
      </w:r>
      <w:r w:rsidR="002611E8" w:rsidRPr="00AA6950">
        <w:rPr>
          <w:rFonts w:ascii="Arial" w:eastAsia="Calibri" w:hAnsi="Arial" w:cs="Arial"/>
          <w:sz w:val="24"/>
          <w:szCs w:val="24"/>
          <w:lang w:val="en-ZA"/>
        </w:rPr>
        <w:t>obliges the IEC to manage elections in accordance with national legislation.</w:t>
      </w:r>
      <w:r w:rsidR="007F485A" w:rsidRPr="00AA6950">
        <w:rPr>
          <w:rStyle w:val="FootnoteReference"/>
          <w:rFonts w:ascii="Arial" w:eastAsia="Calibri" w:hAnsi="Arial" w:cs="Arial"/>
          <w:sz w:val="24"/>
          <w:szCs w:val="24"/>
          <w:lang w:val="en-ZA"/>
        </w:rPr>
        <w:footnoteReference w:id="2"/>
      </w:r>
    </w:p>
    <w:p w14:paraId="1D4E4E70" w14:textId="77777777" w:rsidR="002A6B73" w:rsidRPr="00AA6950" w:rsidRDefault="002A6B73" w:rsidP="00AA6950">
      <w:pPr>
        <w:widowControl w:val="0"/>
        <w:spacing w:after="0" w:line="360" w:lineRule="auto"/>
        <w:ind w:left="720" w:hanging="720"/>
        <w:contextualSpacing/>
        <w:jc w:val="both"/>
        <w:rPr>
          <w:rFonts w:ascii="Arial" w:eastAsia="Calibri" w:hAnsi="Arial" w:cs="Arial"/>
          <w:b/>
          <w:sz w:val="24"/>
          <w:szCs w:val="24"/>
          <w:lang w:val="en-ZA"/>
        </w:rPr>
      </w:pPr>
    </w:p>
    <w:p w14:paraId="59A42288" w14:textId="02634E33" w:rsidR="002A6B73" w:rsidRPr="00AA6950" w:rsidRDefault="00BF0690" w:rsidP="00AA6950">
      <w:pPr>
        <w:widowControl w:val="0"/>
        <w:spacing w:after="0" w:line="360" w:lineRule="auto"/>
        <w:contextualSpacing/>
        <w:jc w:val="both"/>
        <w:rPr>
          <w:rFonts w:ascii="Arial" w:eastAsia="Calibri" w:hAnsi="Arial" w:cs="Arial"/>
          <w:b/>
          <w:sz w:val="24"/>
          <w:szCs w:val="24"/>
          <w:lang w:val="en-ZA"/>
        </w:rPr>
      </w:pPr>
      <w:r w:rsidRPr="00AA6950">
        <w:rPr>
          <w:rFonts w:ascii="Arial" w:eastAsia="Calibri" w:hAnsi="Arial" w:cs="Arial"/>
          <w:b/>
          <w:sz w:val="24"/>
          <w:szCs w:val="24"/>
          <w:lang w:val="en-ZA"/>
        </w:rPr>
        <w:lastRenderedPageBreak/>
        <w:t>Relief</w:t>
      </w:r>
    </w:p>
    <w:p w14:paraId="02C009B7" w14:textId="22227DDA" w:rsidR="00A23F0A" w:rsidRPr="002E5CC2" w:rsidRDefault="00AA6950" w:rsidP="00AA6950">
      <w:pPr>
        <w:widowControl w:val="0"/>
        <w:spacing w:after="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[4]</w:t>
      </w:r>
      <w:r>
        <w:rPr>
          <w:rFonts w:ascii="Arial" w:eastAsia="Calibri" w:hAnsi="Arial" w:cs="Arial"/>
          <w:sz w:val="24"/>
          <w:szCs w:val="24"/>
          <w:lang w:val="en-ZA"/>
        </w:rPr>
        <w:tab/>
      </w:r>
      <w:r w:rsidR="00BF0690" w:rsidRPr="002E5CC2">
        <w:rPr>
          <w:rFonts w:ascii="Arial" w:eastAsia="Calibri" w:hAnsi="Arial" w:cs="Arial"/>
          <w:sz w:val="24"/>
          <w:szCs w:val="24"/>
          <w:lang w:val="en-ZA"/>
        </w:rPr>
        <w:t xml:space="preserve">When the matter was heard </w:t>
      </w:r>
      <w:r w:rsidR="00A23F0A" w:rsidRPr="002E5CC2">
        <w:rPr>
          <w:rFonts w:ascii="Arial" w:eastAsia="Calibri" w:hAnsi="Arial" w:cs="Arial"/>
          <w:sz w:val="24"/>
          <w:szCs w:val="24"/>
          <w:lang w:val="en-ZA"/>
        </w:rPr>
        <w:t xml:space="preserve">the </w:t>
      </w:r>
      <w:r w:rsidR="00DE114C" w:rsidRPr="002E5CC2">
        <w:rPr>
          <w:rFonts w:ascii="Arial" w:eastAsia="Calibri" w:hAnsi="Arial" w:cs="Arial"/>
          <w:sz w:val="24"/>
          <w:szCs w:val="24"/>
          <w:lang w:val="en-ZA"/>
        </w:rPr>
        <w:t>AEF</w:t>
      </w:r>
      <w:r w:rsidR="00A23F0A" w:rsidRPr="002E5CC2">
        <w:rPr>
          <w:rFonts w:ascii="Arial" w:eastAsia="Calibri" w:hAnsi="Arial" w:cs="Arial"/>
          <w:sz w:val="24"/>
          <w:szCs w:val="24"/>
          <w:lang w:val="en-ZA"/>
        </w:rPr>
        <w:t xml:space="preserve"> </w:t>
      </w:r>
      <w:r w:rsidR="00BF0690" w:rsidRPr="002E5CC2">
        <w:rPr>
          <w:rFonts w:ascii="Arial" w:eastAsia="Calibri" w:hAnsi="Arial" w:cs="Arial"/>
          <w:sz w:val="24"/>
          <w:szCs w:val="24"/>
          <w:lang w:val="en-ZA"/>
        </w:rPr>
        <w:t>abandoned some of the relief it sought</w:t>
      </w:r>
      <w:r w:rsidRPr="002E5CC2">
        <w:rPr>
          <w:rFonts w:ascii="Arial" w:eastAsia="Calibri" w:hAnsi="Arial" w:cs="Arial"/>
          <w:sz w:val="24"/>
          <w:szCs w:val="24"/>
          <w:lang w:val="en-ZA"/>
        </w:rPr>
        <w:t xml:space="preserve"> </w:t>
      </w:r>
      <w:r w:rsidR="00BF0690" w:rsidRPr="002E5CC2">
        <w:rPr>
          <w:rFonts w:ascii="Arial" w:eastAsia="Calibri" w:hAnsi="Arial" w:cs="Arial"/>
          <w:sz w:val="24"/>
          <w:szCs w:val="24"/>
          <w:lang w:val="en-ZA"/>
        </w:rPr>
        <w:t xml:space="preserve">in </w:t>
      </w:r>
      <w:r w:rsidR="007F485A" w:rsidRPr="002E5CC2">
        <w:rPr>
          <w:rFonts w:ascii="Arial" w:eastAsia="Calibri" w:hAnsi="Arial" w:cs="Arial"/>
          <w:sz w:val="24"/>
          <w:szCs w:val="24"/>
          <w:lang w:val="en-ZA"/>
        </w:rPr>
        <w:t>its</w:t>
      </w:r>
      <w:r w:rsidR="00BF0690" w:rsidRPr="002E5CC2">
        <w:rPr>
          <w:rFonts w:ascii="Arial" w:eastAsia="Calibri" w:hAnsi="Arial" w:cs="Arial"/>
          <w:sz w:val="24"/>
          <w:szCs w:val="24"/>
          <w:lang w:val="en-ZA"/>
        </w:rPr>
        <w:t xml:space="preserve"> notice</w:t>
      </w:r>
      <w:r w:rsidR="009C3E71" w:rsidRPr="002E5CC2">
        <w:rPr>
          <w:rFonts w:ascii="Arial" w:eastAsia="Calibri" w:hAnsi="Arial" w:cs="Arial"/>
          <w:sz w:val="24"/>
          <w:szCs w:val="24"/>
          <w:lang w:val="en-ZA"/>
        </w:rPr>
        <w:t xml:space="preserve"> of motion</w:t>
      </w:r>
      <w:r w:rsidR="00BF0690" w:rsidRPr="002E5CC2">
        <w:rPr>
          <w:rFonts w:ascii="Arial" w:eastAsia="Calibri" w:hAnsi="Arial" w:cs="Arial"/>
          <w:sz w:val="24"/>
          <w:szCs w:val="24"/>
          <w:lang w:val="en-ZA"/>
        </w:rPr>
        <w:t xml:space="preserve"> but persisted with the review of </w:t>
      </w:r>
      <w:r w:rsidR="009C3E71" w:rsidRPr="002E5CC2">
        <w:rPr>
          <w:rFonts w:ascii="Arial" w:eastAsia="Calibri" w:hAnsi="Arial" w:cs="Arial"/>
          <w:sz w:val="24"/>
          <w:szCs w:val="24"/>
          <w:lang w:val="en-ZA"/>
        </w:rPr>
        <w:t>a decision taken by the IEC, which</w:t>
      </w:r>
      <w:r w:rsidR="00BF0690" w:rsidRPr="002E5CC2">
        <w:rPr>
          <w:rFonts w:ascii="Arial" w:eastAsia="Calibri" w:hAnsi="Arial" w:cs="Arial"/>
          <w:sz w:val="24"/>
          <w:szCs w:val="24"/>
          <w:lang w:val="en-ZA"/>
        </w:rPr>
        <w:t xml:space="preserve"> it said, w</w:t>
      </w:r>
      <w:r w:rsidR="00B54E2A" w:rsidRPr="002E5CC2">
        <w:rPr>
          <w:rFonts w:ascii="Arial" w:eastAsia="Calibri" w:hAnsi="Arial" w:cs="Arial"/>
          <w:sz w:val="24"/>
          <w:szCs w:val="24"/>
          <w:lang w:val="en-ZA"/>
        </w:rPr>
        <w:t xml:space="preserve">as </w:t>
      </w:r>
      <w:r w:rsidR="00A858F7" w:rsidRPr="002E5CC2">
        <w:rPr>
          <w:rFonts w:ascii="Arial" w:eastAsia="Calibri" w:hAnsi="Arial" w:cs="Arial"/>
          <w:sz w:val="24"/>
          <w:szCs w:val="24"/>
          <w:lang w:val="en-ZA"/>
        </w:rPr>
        <w:t xml:space="preserve">a decision </w:t>
      </w:r>
      <w:r w:rsidR="00BF0690" w:rsidRPr="002E5CC2">
        <w:rPr>
          <w:rFonts w:ascii="Arial" w:eastAsia="Calibri" w:hAnsi="Arial" w:cs="Arial"/>
          <w:sz w:val="24"/>
          <w:szCs w:val="24"/>
          <w:lang w:val="en-ZA"/>
        </w:rPr>
        <w:t xml:space="preserve">to disqualify </w:t>
      </w:r>
      <w:r w:rsidR="00333456" w:rsidRPr="002E5CC2">
        <w:rPr>
          <w:rFonts w:ascii="Arial" w:eastAsia="Calibri" w:hAnsi="Arial" w:cs="Arial"/>
          <w:sz w:val="24"/>
          <w:szCs w:val="24"/>
          <w:lang w:val="en-ZA"/>
        </w:rPr>
        <w:t xml:space="preserve">the </w:t>
      </w:r>
      <w:r w:rsidR="001F1BCE" w:rsidRPr="002E5CC2">
        <w:rPr>
          <w:rFonts w:ascii="Arial" w:eastAsia="Calibri" w:hAnsi="Arial" w:cs="Arial"/>
          <w:sz w:val="24"/>
          <w:szCs w:val="24"/>
          <w:lang w:val="en-ZA"/>
        </w:rPr>
        <w:t>AEF</w:t>
      </w:r>
      <w:r w:rsidR="00BF0690" w:rsidRPr="002E5CC2">
        <w:rPr>
          <w:rFonts w:ascii="Arial" w:eastAsia="Calibri" w:hAnsi="Arial" w:cs="Arial"/>
          <w:sz w:val="24"/>
          <w:szCs w:val="24"/>
          <w:lang w:val="en-ZA"/>
        </w:rPr>
        <w:t xml:space="preserve"> to participate</w:t>
      </w:r>
      <w:r w:rsidR="00BE4C6D" w:rsidRPr="002E5CC2">
        <w:rPr>
          <w:rFonts w:ascii="Arial" w:eastAsia="Calibri" w:hAnsi="Arial" w:cs="Arial"/>
          <w:sz w:val="24"/>
          <w:szCs w:val="24"/>
          <w:lang w:val="en-ZA"/>
        </w:rPr>
        <w:t xml:space="preserve"> i</w:t>
      </w:r>
      <w:r w:rsidR="00BF0690" w:rsidRPr="002E5CC2">
        <w:rPr>
          <w:rFonts w:ascii="Arial" w:eastAsia="Calibri" w:hAnsi="Arial" w:cs="Arial"/>
          <w:sz w:val="24"/>
          <w:szCs w:val="24"/>
          <w:lang w:val="en-ZA"/>
        </w:rPr>
        <w:t xml:space="preserve">n the elections </w:t>
      </w:r>
      <w:r w:rsidR="0090290F" w:rsidRPr="002E5CC2">
        <w:rPr>
          <w:rFonts w:ascii="Arial" w:eastAsia="Calibri" w:hAnsi="Arial" w:cs="Arial"/>
          <w:sz w:val="24"/>
          <w:szCs w:val="24"/>
          <w:lang w:val="en-ZA"/>
        </w:rPr>
        <w:t xml:space="preserve">to be held on 29 May 2024 </w:t>
      </w:r>
      <w:r w:rsidR="00BE4C6D" w:rsidRPr="002E5CC2">
        <w:rPr>
          <w:rFonts w:ascii="Arial" w:eastAsia="Calibri" w:hAnsi="Arial" w:cs="Arial"/>
          <w:sz w:val="24"/>
          <w:szCs w:val="24"/>
          <w:lang w:val="en-ZA"/>
        </w:rPr>
        <w:t>si</w:t>
      </w:r>
      <w:r w:rsidR="00BF0690" w:rsidRPr="002E5CC2">
        <w:rPr>
          <w:rFonts w:ascii="Arial" w:eastAsia="Calibri" w:hAnsi="Arial" w:cs="Arial"/>
          <w:sz w:val="24"/>
          <w:szCs w:val="24"/>
          <w:lang w:val="en-ZA"/>
        </w:rPr>
        <w:t>nce</w:t>
      </w:r>
      <w:r w:rsidR="0073154C" w:rsidRPr="002E5CC2">
        <w:rPr>
          <w:rFonts w:ascii="Arial" w:eastAsia="Calibri" w:hAnsi="Arial" w:cs="Arial"/>
          <w:sz w:val="24"/>
          <w:szCs w:val="24"/>
          <w:lang w:val="en-ZA"/>
        </w:rPr>
        <w:t xml:space="preserve"> it</w:t>
      </w:r>
      <w:r w:rsidRPr="002E5CC2">
        <w:rPr>
          <w:rFonts w:ascii="Arial" w:eastAsia="Calibri" w:hAnsi="Arial" w:cs="Arial"/>
          <w:sz w:val="24"/>
          <w:szCs w:val="24"/>
          <w:lang w:val="en-ZA"/>
        </w:rPr>
        <w:t xml:space="preserve"> </w:t>
      </w:r>
      <w:r w:rsidR="009C3E71" w:rsidRPr="002E5CC2">
        <w:rPr>
          <w:rFonts w:ascii="Arial" w:eastAsia="Calibri" w:hAnsi="Arial" w:cs="Arial"/>
          <w:sz w:val="24"/>
          <w:szCs w:val="24"/>
          <w:lang w:val="en-ZA"/>
        </w:rPr>
        <w:t xml:space="preserve">failed </w:t>
      </w:r>
      <w:r w:rsidR="00BE4C6D" w:rsidRPr="002E5CC2">
        <w:rPr>
          <w:rFonts w:ascii="Arial" w:eastAsia="Calibri" w:hAnsi="Arial" w:cs="Arial"/>
          <w:sz w:val="24"/>
          <w:szCs w:val="24"/>
          <w:lang w:val="en-ZA"/>
        </w:rPr>
        <w:t>to pay its deposit by 17h00 on 8 March 2024</w:t>
      </w:r>
      <w:r w:rsidR="000F0F61" w:rsidRPr="002E5CC2">
        <w:rPr>
          <w:rFonts w:ascii="Arial" w:eastAsia="Calibri" w:hAnsi="Arial" w:cs="Arial"/>
          <w:sz w:val="24"/>
          <w:szCs w:val="24"/>
          <w:lang w:val="en-ZA"/>
        </w:rPr>
        <w:t>,</w:t>
      </w:r>
      <w:r w:rsidR="00BE4C6D" w:rsidRPr="002E5CC2">
        <w:rPr>
          <w:rFonts w:ascii="Arial" w:eastAsia="Calibri" w:hAnsi="Arial" w:cs="Arial"/>
          <w:sz w:val="24"/>
          <w:szCs w:val="24"/>
          <w:lang w:val="en-ZA"/>
        </w:rPr>
        <w:t xml:space="preserve"> </w:t>
      </w:r>
      <w:r w:rsidR="009C3E71" w:rsidRPr="002E5CC2">
        <w:rPr>
          <w:rFonts w:ascii="Arial" w:eastAsia="Calibri" w:hAnsi="Arial" w:cs="Arial"/>
          <w:sz w:val="24"/>
          <w:szCs w:val="24"/>
          <w:lang w:val="en-ZA"/>
        </w:rPr>
        <w:t>in terms of</w:t>
      </w:r>
      <w:r w:rsidR="00BE4C6D" w:rsidRPr="002E5CC2">
        <w:rPr>
          <w:rFonts w:ascii="Arial" w:eastAsia="Calibri" w:hAnsi="Arial" w:cs="Arial"/>
          <w:sz w:val="24"/>
          <w:szCs w:val="24"/>
          <w:lang w:val="en-ZA"/>
        </w:rPr>
        <w:t xml:space="preserve"> </w:t>
      </w:r>
      <w:r w:rsidR="00BE4C6D" w:rsidRPr="002E5CC2">
        <w:rPr>
          <w:rFonts w:ascii="Arial" w:eastAsia="Times New Roman" w:hAnsi="Arial" w:cs="Arial"/>
          <w:sz w:val="24"/>
          <w:szCs w:val="24"/>
          <w:lang w:val="en-ZA" w:eastAsia="en-GB"/>
        </w:rPr>
        <w:t xml:space="preserve">the Election </w:t>
      </w:r>
      <w:r w:rsidR="00FE6D66" w:rsidRPr="002E5CC2">
        <w:rPr>
          <w:rFonts w:ascii="Arial" w:eastAsia="Times New Roman" w:hAnsi="Arial" w:cs="Arial"/>
          <w:sz w:val="24"/>
          <w:szCs w:val="24"/>
          <w:lang w:val="en-ZA" w:eastAsia="en-GB"/>
        </w:rPr>
        <w:t>T</w:t>
      </w:r>
      <w:r w:rsidR="00BE4C6D" w:rsidRPr="002E5CC2">
        <w:rPr>
          <w:rFonts w:ascii="Arial" w:eastAsia="Times New Roman" w:hAnsi="Arial" w:cs="Arial"/>
          <w:sz w:val="24"/>
          <w:szCs w:val="24"/>
          <w:lang w:val="en-ZA" w:eastAsia="en-GB"/>
        </w:rPr>
        <w:t>imetable for the Election of the National Assembly and the Election of Provincial Legislatures</w:t>
      </w:r>
      <w:r w:rsidR="002A6B73" w:rsidRPr="002E5CC2">
        <w:rPr>
          <w:rFonts w:ascii="Arial" w:eastAsia="Times New Roman" w:hAnsi="Arial" w:cs="Arial"/>
          <w:sz w:val="24"/>
          <w:szCs w:val="24"/>
          <w:lang w:val="en-ZA" w:eastAsia="en-GB"/>
        </w:rPr>
        <w:t>.</w:t>
      </w:r>
      <w:r w:rsidR="007F485A" w:rsidRPr="002E5CC2">
        <w:rPr>
          <w:rStyle w:val="FootnoteReference"/>
          <w:rFonts w:ascii="Arial" w:eastAsia="Times New Roman" w:hAnsi="Arial" w:cs="Arial"/>
          <w:sz w:val="24"/>
          <w:szCs w:val="24"/>
          <w:lang w:val="en-ZA" w:eastAsia="en-GB"/>
        </w:rPr>
        <w:footnoteReference w:id="3"/>
      </w:r>
      <w:r w:rsidR="007F485A" w:rsidRPr="002E5CC2">
        <w:rPr>
          <w:rFonts w:ascii="Arial" w:eastAsia="Times New Roman" w:hAnsi="Arial" w:cs="Arial"/>
          <w:sz w:val="24"/>
          <w:szCs w:val="24"/>
          <w:lang w:val="en-ZA" w:eastAsia="en-GB"/>
        </w:rPr>
        <w:t xml:space="preserve"> </w:t>
      </w:r>
      <w:r w:rsidR="002A6B73" w:rsidRPr="002E5CC2">
        <w:rPr>
          <w:rFonts w:ascii="Arial" w:eastAsia="Times New Roman" w:hAnsi="Arial" w:cs="Arial"/>
          <w:sz w:val="24"/>
          <w:szCs w:val="24"/>
          <w:lang w:val="en-ZA" w:eastAsia="en-GB"/>
        </w:rPr>
        <w:t>We were asked to set</w:t>
      </w:r>
      <w:r w:rsidR="000F0F61" w:rsidRPr="002E5CC2">
        <w:rPr>
          <w:rFonts w:ascii="Arial" w:eastAsia="Times New Roman" w:hAnsi="Arial" w:cs="Arial"/>
          <w:sz w:val="24"/>
          <w:szCs w:val="24"/>
          <w:lang w:val="en-ZA" w:eastAsia="en-GB"/>
        </w:rPr>
        <w:t xml:space="preserve"> that</w:t>
      </w:r>
      <w:r w:rsidR="002A6B73" w:rsidRPr="002E5CC2">
        <w:rPr>
          <w:rFonts w:ascii="Arial" w:eastAsia="Times New Roman" w:hAnsi="Arial" w:cs="Arial"/>
          <w:sz w:val="24"/>
          <w:szCs w:val="24"/>
          <w:lang w:val="en-ZA" w:eastAsia="en-GB"/>
        </w:rPr>
        <w:t xml:space="preserve"> decision aside.</w:t>
      </w:r>
      <w:r w:rsidR="001F1BCE" w:rsidRPr="002E5CC2">
        <w:rPr>
          <w:rFonts w:ascii="Arial" w:eastAsia="Times New Roman" w:hAnsi="Arial" w:cs="Arial"/>
          <w:sz w:val="24"/>
          <w:szCs w:val="24"/>
          <w:lang w:val="en-ZA" w:eastAsia="en-GB"/>
        </w:rPr>
        <w:t xml:space="preserve"> The AEF also sought</w:t>
      </w:r>
      <w:r w:rsidR="002A6B73" w:rsidRPr="002E5CC2">
        <w:rPr>
          <w:rFonts w:ascii="Arial" w:eastAsia="Times New Roman" w:hAnsi="Arial" w:cs="Arial"/>
          <w:sz w:val="24"/>
          <w:szCs w:val="24"/>
          <w:lang w:val="en-ZA" w:eastAsia="en-GB"/>
        </w:rPr>
        <w:t xml:space="preserve"> </w:t>
      </w:r>
      <w:r w:rsidR="00DE114C" w:rsidRPr="002E5CC2">
        <w:rPr>
          <w:rFonts w:ascii="Arial" w:eastAsia="Times New Roman" w:hAnsi="Arial" w:cs="Arial"/>
          <w:sz w:val="24"/>
          <w:szCs w:val="24"/>
          <w:lang w:val="en-ZA" w:eastAsia="en-GB"/>
        </w:rPr>
        <w:t>declaratory orders</w:t>
      </w:r>
      <w:r w:rsidR="00B54E2A" w:rsidRPr="002E5CC2">
        <w:rPr>
          <w:rFonts w:ascii="Arial" w:eastAsia="Times New Roman" w:hAnsi="Arial" w:cs="Arial"/>
          <w:sz w:val="24"/>
          <w:szCs w:val="24"/>
          <w:lang w:val="en-ZA" w:eastAsia="en-GB"/>
        </w:rPr>
        <w:t xml:space="preserve"> </w:t>
      </w:r>
      <w:r w:rsidR="0090290F" w:rsidRPr="002E5CC2">
        <w:rPr>
          <w:rFonts w:ascii="Arial" w:eastAsia="Times New Roman" w:hAnsi="Arial" w:cs="Arial"/>
          <w:sz w:val="24"/>
          <w:szCs w:val="24"/>
          <w:lang w:val="en-ZA" w:eastAsia="en-GB"/>
        </w:rPr>
        <w:t xml:space="preserve">from this </w:t>
      </w:r>
      <w:r w:rsidR="009C3E71" w:rsidRPr="002E5CC2">
        <w:rPr>
          <w:rFonts w:ascii="Arial" w:eastAsia="Times New Roman" w:hAnsi="Arial" w:cs="Arial"/>
          <w:sz w:val="24"/>
          <w:szCs w:val="24"/>
          <w:lang w:val="en-ZA" w:eastAsia="en-GB"/>
        </w:rPr>
        <w:t>C</w:t>
      </w:r>
      <w:r w:rsidR="0090290F" w:rsidRPr="002E5CC2">
        <w:rPr>
          <w:rFonts w:ascii="Arial" w:eastAsia="Times New Roman" w:hAnsi="Arial" w:cs="Arial"/>
          <w:sz w:val="24"/>
          <w:szCs w:val="24"/>
          <w:lang w:val="en-ZA" w:eastAsia="en-GB"/>
        </w:rPr>
        <w:t>ourt to</w:t>
      </w:r>
      <w:r w:rsidR="009C3E71" w:rsidRPr="002E5CC2">
        <w:rPr>
          <w:rFonts w:ascii="Arial" w:eastAsia="Times New Roman" w:hAnsi="Arial" w:cs="Arial"/>
          <w:sz w:val="24"/>
          <w:szCs w:val="24"/>
          <w:lang w:val="en-ZA" w:eastAsia="en-GB"/>
        </w:rPr>
        <w:t xml:space="preserve"> declar</w:t>
      </w:r>
      <w:r w:rsidR="0073154C" w:rsidRPr="002E5CC2">
        <w:rPr>
          <w:rFonts w:ascii="Arial" w:eastAsia="Times New Roman" w:hAnsi="Arial" w:cs="Arial"/>
          <w:sz w:val="24"/>
          <w:szCs w:val="24"/>
          <w:lang w:val="en-ZA" w:eastAsia="en-GB"/>
        </w:rPr>
        <w:t>e</w:t>
      </w:r>
      <w:r w:rsidR="00333456" w:rsidRPr="002E5CC2">
        <w:rPr>
          <w:rFonts w:ascii="Arial" w:eastAsia="Times New Roman" w:hAnsi="Arial" w:cs="Arial"/>
          <w:sz w:val="24"/>
          <w:szCs w:val="24"/>
          <w:lang w:val="en-ZA" w:eastAsia="en-GB"/>
        </w:rPr>
        <w:t xml:space="preserve"> that </w:t>
      </w:r>
      <w:r w:rsidR="0073154C" w:rsidRPr="002E5CC2">
        <w:rPr>
          <w:rFonts w:ascii="Arial" w:eastAsia="Times New Roman" w:hAnsi="Arial" w:cs="Arial"/>
          <w:sz w:val="24"/>
          <w:szCs w:val="24"/>
          <w:lang w:val="en-ZA" w:eastAsia="en-GB"/>
        </w:rPr>
        <w:t>it</w:t>
      </w:r>
      <w:r w:rsidR="00333456" w:rsidRPr="002E5CC2">
        <w:rPr>
          <w:rFonts w:ascii="Arial" w:eastAsia="Times New Roman" w:hAnsi="Arial" w:cs="Arial"/>
          <w:sz w:val="24"/>
          <w:szCs w:val="24"/>
          <w:lang w:val="en-ZA" w:eastAsia="en-GB"/>
        </w:rPr>
        <w:t xml:space="preserve"> had complied with s 27(2) of the </w:t>
      </w:r>
      <w:r w:rsidR="000F0F61" w:rsidRPr="002E5CC2">
        <w:rPr>
          <w:rFonts w:ascii="Arial" w:eastAsia="Times New Roman" w:hAnsi="Arial" w:cs="Arial"/>
          <w:sz w:val="24"/>
          <w:szCs w:val="24"/>
          <w:lang w:val="en-ZA" w:eastAsia="en-GB"/>
        </w:rPr>
        <w:t xml:space="preserve">Electoral </w:t>
      </w:r>
      <w:r w:rsidR="00333456" w:rsidRPr="002E5CC2">
        <w:rPr>
          <w:rFonts w:ascii="Arial" w:eastAsia="Times New Roman" w:hAnsi="Arial" w:cs="Arial"/>
          <w:sz w:val="24"/>
          <w:szCs w:val="24"/>
          <w:lang w:val="en-ZA" w:eastAsia="en-GB"/>
        </w:rPr>
        <w:t>Act</w:t>
      </w:r>
      <w:r w:rsidR="000F0F61" w:rsidRPr="002E5CC2">
        <w:rPr>
          <w:rFonts w:ascii="Arial" w:eastAsia="Times New Roman" w:hAnsi="Arial" w:cs="Arial"/>
          <w:sz w:val="24"/>
          <w:szCs w:val="24"/>
          <w:lang w:val="en-ZA" w:eastAsia="en-GB"/>
        </w:rPr>
        <w:t>, 73 of 1998 (</w:t>
      </w:r>
      <w:r w:rsidR="00DE114C" w:rsidRPr="002E5CC2">
        <w:rPr>
          <w:rFonts w:ascii="Arial" w:eastAsia="Times New Roman" w:hAnsi="Arial" w:cs="Arial"/>
          <w:sz w:val="24"/>
          <w:szCs w:val="24"/>
          <w:lang w:val="en-ZA" w:eastAsia="en-GB"/>
        </w:rPr>
        <w:t>‘</w:t>
      </w:r>
      <w:r w:rsidR="00FB755B" w:rsidRPr="002E5CC2">
        <w:rPr>
          <w:rFonts w:ascii="Arial" w:eastAsia="Times New Roman" w:hAnsi="Arial" w:cs="Arial"/>
          <w:sz w:val="24"/>
          <w:szCs w:val="24"/>
          <w:lang w:val="en-ZA" w:eastAsia="en-GB"/>
        </w:rPr>
        <w:t xml:space="preserve">the </w:t>
      </w:r>
      <w:r w:rsidR="00E74636" w:rsidRPr="002E5CC2">
        <w:rPr>
          <w:rFonts w:ascii="Arial" w:eastAsia="Times New Roman" w:hAnsi="Arial" w:cs="Arial"/>
          <w:sz w:val="24"/>
          <w:szCs w:val="24"/>
          <w:lang w:val="en-ZA" w:eastAsia="en-GB"/>
        </w:rPr>
        <w:t>Act</w:t>
      </w:r>
      <w:r w:rsidR="00DE114C" w:rsidRPr="002E5CC2">
        <w:rPr>
          <w:rFonts w:ascii="Arial" w:eastAsia="Times New Roman" w:hAnsi="Arial" w:cs="Arial"/>
          <w:sz w:val="24"/>
          <w:szCs w:val="24"/>
          <w:lang w:val="en-ZA" w:eastAsia="en-GB"/>
        </w:rPr>
        <w:t>’</w:t>
      </w:r>
      <w:r w:rsidR="000F0F61" w:rsidRPr="002E5CC2">
        <w:rPr>
          <w:rFonts w:ascii="Arial" w:eastAsia="Times New Roman" w:hAnsi="Arial" w:cs="Arial"/>
          <w:sz w:val="24"/>
          <w:szCs w:val="24"/>
          <w:lang w:val="en-ZA" w:eastAsia="en-GB"/>
        </w:rPr>
        <w:t>)</w:t>
      </w:r>
      <w:r w:rsidR="007F485A" w:rsidRPr="002E5CC2">
        <w:rPr>
          <w:rStyle w:val="FootnoteReference"/>
          <w:rFonts w:ascii="Arial" w:eastAsia="Times New Roman" w:hAnsi="Arial" w:cs="Arial"/>
          <w:sz w:val="24"/>
          <w:szCs w:val="24"/>
          <w:lang w:val="en-ZA" w:eastAsia="en-GB"/>
        </w:rPr>
        <w:footnoteReference w:id="4"/>
      </w:r>
      <w:r w:rsidR="00333456" w:rsidRPr="002E5CC2">
        <w:rPr>
          <w:rFonts w:ascii="Arial" w:eastAsia="Times New Roman" w:hAnsi="Arial" w:cs="Arial"/>
          <w:sz w:val="24"/>
          <w:szCs w:val="24"/>
          <w:lang w:val="en-ZA" w:eastAsia="en-GB"/>
        </w:rPr>
        <w:t xml:space="preserve"> and to</w:t>
      </w:r>
      <w:r w:rsidR="001F1BCE" w:rsidRPr="002E5CC2">
        <w:rPr>
          <w:rFonts w:ascii="Arial" w:eastAsia="Calibri" w:hAnsi="Arial" w:cs="Arial"/>
          <w:sz w:val="24"/>
          <w:szCs w:val="24"/>
          <w:lang w:val="en-ZA"/>
        </w:rPr>
        <w:t xml:space="preserve"> direct</w:t>
      </w:r>
      <w:r w:rsidR="0090290F" w:rsidRPr="002E5CC2">
        <w:rPr>
          <w:rFonts w:ascii="Arial" w:eastAsia="Calibri" w:hAnsi="Arial" w:cs="Arial"/>
          <w:sz w:val="24"/>
          <w:szCs w:val="24"/>
          <w:lang w:val="en-ZA"/>
        </w:rPr>
        <w:t xml:space="preserve"> the IEC</w:t>
      </w:r>
      <w:r w:rsidR="001F1BCE" w:rsidRPr="002E5CC2">
        <w:rPr>
          <w:rFonts w:ascii="Arial" w:eastAsia="Calibri" w:hAnsi="Arial" w:cs="Arial"/>
          <w:sz w:val="24"/>
          <w:szCs w:val="24"/>
          <w:lang w:val="en-ZA"/>
        </w:rPr>
        <w:t xml:space="preserve"> to take all </w:t>
      </w:r>
      <w:r w:rsidR="002A6B73" w:rsidRPr="002E5CC2">
        <w:rPr>
          <w:rFonts w:ascii="Arial" w:eastAsia="Calibri" w:hAnsi="Arial" w:cs="Arial"/>
          <w:sz w:val="24"/>
          <w:szCs w:val="24"/>
          <w:lang w:val="en-ZA"/>
        </w:rPr>
        <w:t xml:space="preserve">the </w:t>
      </w:r>
      <w:r w:rsidR="001F1BCE" w:rsidRPr="002E5CC2">
        <w:rPr>
          <w:rFonts w:ascii="Arial" w:eastAsia="Calibri" w:hAnsi="Arial" w:cs="Arial"/>
          <w:sz w:val="24"/>
          <w:szCs w:val="24"/>
          <w:lang w:val="en-ZA"/>
        </w:rPr>
        <w:t xml:space="preserve">necessary steps to ensure that </w:t>
      </w:r>
      <w:r w:rsidR="00A858F7" w:rsidRPr="002E5CC2">
        <w:rPr>
          <w:rFonts w:ascii="Arial" w:eastAsia="Calibri" w:hAnsi="Arial" w:cs="Arial"/>
          <w:sz w:val="24"/>
          <w:szCs w:val="24"/>
          <w:lang w:val="en-ZA"/>
        </w:rPr>
        <w:t>the AEF’s</w:t>
      </w:r>
      <w:r w:rsidR="001F1BCE" w:rsidRPr="002E5CC2">
        <w:rPr>
          <w:rFonts w:ascii="Arial" w:eastAsia="Calibri" w:hAnsi="Arial" w:cs="Arial"/>
          <w:sz w:val="24"/>
          <w:szCs w:val="24"/>
          <w:lang w:val="en-ZA"/>
        </w:rPr>
        <w:t xml:space="preserve"> list of candidates is amongst the list of party candidates e</w:t>
      </w:r>
      <w:r w:rsidR="00B54E2A" w:rsidRPr="002E5CC2">
        <w:rPr>
          <w:rFonts w:ascii="Arial" w:eastAsia="Calibri" w:hAnsi="Arial" w:cs="Arial"/>
          <w:sz w:val="24"/>
          <w:szCs w:val="24"/>
          <w:lang w:val="en-ZA"/>
        </w:rPr>
        <w:t>ntitled to contest the election.</w:t>
      </w:r>
    </w:p>
    <w:p w14:paraId="1C4157D9" w14:textId="77777777" w:rsidR="00726AC5" w:rsidRPr="002E5CC2" w:rsidRDefault="00726AC5" w:rsidP="00D25756">
      <w:pPr>
        <w:widowControl w:val="0"/>
        <w:spacing w:after="0" w:line="360" w:lineRule="auto"/>
        <w:ind w:left="720" w:hanging="720"/>
        <w:contextualSpacing/>
        <w:jc w:val="both"/>
        <w:rPr>
          <w:rFonts w:ascii="Arial" w:eastAsia="Calibri" w:hAnsi="Arial" w:cs="Arial"/>
          <w:b/>
          <w:sz w:val="24"/>
          <w:szCs w:val="24"/>
          <w:lang w:val="en-ZA"/>
        </w:rPr>
      </w:pPr>
    </w:p>
    <w:p w14:paraId="065E6661" w14:textId="5FEC1845" w:rsidR="00240D70" w:rsidRPr="002E5CC2" w:rsidRDefault="00240D70" w:rsidP="00AA6950">
      <w:pPr>
        <w:widowControl w:val="0"/>
        <w:spacing w:after="0" w:line="360" w:lineRule="auto"/>
        <w:contextualSpacing/>
        <w:jc w:val="both"/>
        <w:rPr>
          <w:rFonts w:ascii="Arial" w:eastAsia="Calibri" w:hAnsi="Arial" w:cs="Arial"/>
          <w:b/>
          <w:sz w:val="24"/>
          <w:szCs w:val="24"/>
          <w:lang w:val="en-ZA"/>
        </w:rPr>
      </w:pPr>
      <w:r w:rsidRPr="002E5CC2">
        <w:rPr>
          <w:rFonts w:ascii="Arial" w:eastAsia="Calibri" w:hAnsi="Arial" w:cs="Arial"/>
          <w:b/>
          <w:sz w:val="24"/>
          <w:szCs w:val="24"/>
          <w:lang w:val="en-ZA"/>
        </w:rPr>
        <w:t>Issues</w:t>
      </w:r>
    </w:p>
    <w:p w14:paraId="6E8A4132" w14:textId="5FC4872B" w:rsidR="00240D70" w:rsidRDefault="00240D70" w:rsidP="00AA6950">
      <w:pPr>
        <w:widowControl w:val="0"/>
        <w:spacing w:after="0" w:line="360" w:lineRule="auto"/>
        <w:contextualSpacing/>
        <w:jc w:val="both"/>
        <w:rPr>
          <w:rFonts w:ascii="Arial" w:eastAsia="Calibri" w:hAnsi="Arial" w:cs="Arial"/>
          <w:sz w:val="24"/>
          <w:szCs w:val="24"/>
          <w:lang w:val="en-ZA"/>
        </w:rPr>
      </w:pPr>
      <w:r w:rsidRPr="002E5CC2">
        <w:rPr>
          <w:rFonts w:ascii="Arial" w:eastAsia="Calibri" w:hAnsi="Arial" w:cs="Arial"/>
          <w:sz w:val="24"/>
          <w:szCs w:val="24"/>
          <w:lang w:val="en-ZA"/>
        </w:rPr>
        <w:t>[</w:t>
      </w:r>
      <w:r w:rsidR="00AA6950" w:rsidRPr="002E5CC2">
        <w:rPr>
          <w:rFonts w:ascii="Arial" w:eastAsia="Calibri" w:hAnsi="Arial" w:cs="Arial"/>
          <w:sz w:val="24"/>
          <w:szCs w:val="24"/>
          <w:lang w:val="en-ZA"/>
        </w:rPr>
        <w:t>5</w:t>
      </w:r>
      <w:r w:rsidRPr="002E5CC2">
        <w:rPr>
          <w:rFonts w:ascii="Arial" w:eastAsia="Calibri" w:hAnsi="Arial" w:cs="Arial"/>
          <w:sz w:val="24"/>
          <w:szCs w:val="24"/>
          <w:lang w:val="en-ZA"/>
        </w:rPr>
        <w:t>]</w:t>
      </w:r>
      <w:r w:rsidRPr="002E5CC2">
        <w:rPr>
          <w:rFonts w:ascii="Arial" w:eastAsia="Calibri" w:hAnsi="Arial" w:cs="Arial"/>
          <w:sz w:val="24"/>
          <w:szCs w:val="24"/>
          <w:lang w:val="en-ZA"/>
        </w:rPr>
        <w:tab/>
        <w:t>Th</w:t>
      </w:r>
      <w:r w:rsidR="0073154C" w:rsidRPr="002E5CC2">
        <w:rPr>
          <w:rFonts w:ascii="Arial" w:eastAsia="Calibri" w:hAnsi="Arial" w:cs="Arial"/>
          <w:sz w:val="24"/>
          <w:szCs w:val="24"/>
          <w:lang w:val="en-ZA"/>
        </w:rPr>
        <w:t>e issue in this</w:t>
      </w:r>
      <w:r w:rsidRPr="002E5CC2">
        <w:rPr>
          <w:rFonts w:ascii="Arial" w:eastAsia="Calibri" w:hAnsi="Arial" w:cs="Arial"/>
          <w:sz w:val="24"/>
          <w:szCs w:val="24"/>
          <w:lang w:val="en-ZA"/>
        </w:rPr>
        <w:t xml:space="preserve"> application </w:t>
      </w:r>
      <w:r w:rsidR="0073154C" w:rsidRPr="002E5CC2">
        <w:rPr>
          <w:rFonts w:ascii="Arial" w:eastAsia="Calibri" w:hAnsi="Arial" w:cs="Arial"/>
          <w:sz w:val="24"/>
          <w:szCs w:val="24"/>
          <w:lang w:val="en-ZA"/>
        </w:rPr>
        <w:t>is</w:t>
      </w:r>
      <w:r w:rsidRPr="002E5CC2">
        <w:rPr>
          <w:rFonts w:ascii="Arial" w:eastAsia="Calibri" w:hAnsi="Arial" w:cs="Arial"/>
          <w:sz w:val="24"/>
          <w:szCs w:val="24"/>
          <w:lang w:val="en-ZA"/>
        </w:rPr>
        <w:t xml:space="preserve"> whether the AEF had </w:t>
      </w:r>
      <w:r w:rsidR="001A6765" w:rsidRPr="002E5CC2">
        <w:rPr>
          <w:rFonts w:ascii="Arial" w:eastAsia="Calibri" w:hAnsi="Arial" w:cs="Arial"/>
          <w:sz w:val="24"/>
          <w:szCs w:val="24"/>
          <w:lang w:val="en-ZA"/>
        </w:rPr>
        <w:t xml:space="preserve">complied </w:t>
      </w:r>
      <w:r w:rsidRPr="002E5CC2">
        <w:rPr>
          <w:rFonts w:ascii="Arial" w:eastAsia="Calibri" w:hAnsi="Arial" w:cs="Arial"/>
          <w:sz w:val="24"/>
          <w:szCs w:val="24"/>
          <w:lang w:val="en-ZA"/>
        </w:rPr>
        <w:t xml:space="preserve">with s 27(2) of the </w:t>
      </w:r>
      <w:r w:rsidR="00E74636" w:rsidRPr="002E5CC2">
        <w:rPr>
          <w:rFonts w:ascii="Arial" w:eastAsia="Calibri" w:hAnsi="Arial" w:cs="Arial"/>
          <w:sz w:val="24"/>
          <w:szCs w:val="24"/>
          <w:lang w:val="en-ZA"/>
        </w:rPr>
        <w:lastRenderedPageBreak/>
        <w:t>Act</w:t>
      </w:r>
      <w:r w:rsidRPr="002E5CC2">
        <w:rPr>
          <w:rFonts w:ascii="Arial" w:eastAsia="Calibri" w:hAnsi="Arial" w:cs="Arial"/>
          <w:sz w:val="24"/>
          <w:szCs w:val="24"/>
          <w:lang w:val="en-ZA"/>
        </w:rPr>
        <w:t xml:space="preserve"> </w:t>
      </w:r>
      <w:r w:rsidR="001A6765" w:rsidRPr="002E5CC2">
        <w:rPr>
          <w:rFonts w:ascii="Arial" w:eastAsia="Calibri" w:hAnsi="Arial" w:cs="Arial"/>
          <w:sz w:val="24"/>
          <w:szCs w:val="24"/>
          <w:lang w:val="en-ZA"/>
        </w:rPr>
        <w:t xml:space="preserve">or whether substantial compliance with the requirements was sufficient </w:t>
      </w:r>
      <w:r w:rsidR="0073154C" w:rsidRPr="002E5CC2">
        <w:rPr>
          <w:rFonts w:ascii="Arial" w:eastAsia="Calibri" w:hAnsi="Arial" w:cs="Arial"/>
          <w:sz w:val="24"/>
          <w:szCs w:val="24"/>
          <w:lang w:val="en-ZA"/>
        </w:rPr>
        <w:t xml:space="preserve">to condone non-compliance with the requirement to pay the deposit before the deadline </w:t>
      </w:r>
      <w:r w:rsidR="009C3E71" w:rsidRPr="002E5CC2">
        <w:rPr>
          <w:rFonts w:ascii="Arial" w:eastAsia="Calibri" w:hAnsi="Arial" w:cs="Arial"/>
          <w:sz w:val="24"/>
          <w:szCs w:val="24"/>
          <w:lang w:val="en-ZA"/>
        </w:rPr>
        <w:t>stipulated in</w:t>
      </w:r>
      <w:r w:rsidR="001A6765" w:rsidRPr="002E5CC2">
        <w:rPr>
          <w:rFonts w:ascii="Arial" w:eastAsia="Calibri" w:hAnsi="Arial" w:cs="Arial"/>
          <w:sz w:val="24"/>
          <w:szCs w:val="24"/>
          <w:lang w:val="en-ZA"/>
        </w:rPr>
        <w:t xml:space="preserve"> the published </w:t>
      </w:r>
      <w:r w:rsidR="00D25756" w:rsidRPr="002E5CC2">
        <w:rPr>
          <w:rFonts w:ascii="Arial" w:eastAsia="Calibri" w:hAnsi="Arial" w:cs="Arial"/>
          <w:sz w:val="24"/>
          <w:szCs w:val="24"/>
          <w:lang w:val="en-ZA"/>
        </w:rPr>
        <w:t>t</w:t>
      </w:r>
      <w:r w:rsidR="001A6765" w:rsidRPr="002E5CC2">
        <w:rPr>
          <w:rFonts w:ascii="Arial" w:eastAsia="Calibri" w:hAnsi="Arial" w:cs="Arial"/>
          <w:sz w:val="24"/>
          <w:szCs w:val="24"/>
          <w:lang w:val="en-ZA"/>
        </w:rPr>
        <w:t>ime</w:t>
      </w:r>
      <w:r w:rsidRPr="002E5CC2">
        <w:rPr>
          <w:rFonts w:ascii="Arial" w:eastAsia="Calibri" w:hAnsi="Arial" w:cs="Arial"/>
          <w:sz w:val="24"/>
          <w:szCs w:val="24"/>
          <w:lang w:val="en-ZA"/>
        </w:rPr>
        <w:t>table.</w:t>
      </w:r>
      <w:r w:rsidR="001A6765" w:rsidRPr="002E5CC2">
        <w:rPr>
          <w:rFonts w:ascii="Arial" w:eastAsia="Calibri" w:hAnsi="Arial" w:cs="Arial"/>
          <w:sz w:val="24"/>
          <w:szCs w:val="24"/>
          <w:lang w:val="en-ZA"/>
        </w:rPr>
        <w:t xml:space="preserve"> Section 27(2) of the </w:t>
      </w:r>
      <w:r w:rsidR="00E74636" w:rsidRPr="002E5CC2">
        <w:rPr>
          <w:rFonts w:ascii="Arial" w:eastAsia="Calibri" w:hAnsi="Arial" w:cs="Arial"/>
          <w:sz w:val="24"/>
          <w:szCs w:val="24"/>
          <w:lang w:val="en-ZA"/>
        </w:rPr>
        <w:t>Act</w:t>
      </w:r>
      <w:r w:rsidR="001A6765" w:rsidRPr="002E5CC2">
        <w:rPr>
          <w:rFonts w:ascii="Arial" w:eastAsia="Calibri" w:hAnsi="Arial" w:cs="Arial"/>
          <w:sz w:val="24"/>
          <w:szCs w:val="24"/>
          <w:lang w:val="en-ZA"/>
        </w:rPr>
        <w:t xml:space="preserve"> required payment before 17h00 on 8 March 2024.</w:t>
      </w:r>
      <w:r w:rsidRPr="002E5CC2">
        <w:rPr>
          <w:rFonts w:ascii="Arial" w:eastAsia="Calibri" w:hAnsi="Arial" w:cs="Arial"/>
          <w:sz w:val="24"/>
          <w:szCs w:val="24"/>
          <w:lang w:val="en-ZA"/>
        </w:rPr>
        <w:t xml:space="preserve"> Simply put</w:t>
      </w:r>
      <w:r w:rsidR="00F4465A" w:rsidRPr="002E5CC2">
        <w:rPr>
          <w:rFonts w:ascii="Arial" w:eastAsia="Calibri" w:hAnsi="Arial" w:cs="Arial"/>
          <w:sz w:val="24"/>
          <w:szCs w:val="24"/>
          <w:lang w:val="en-ZA"/>
        </w:rPr>
        <w:t>,</w:t>
      </w:r>
      <w:r w:rsidRPr="002E5CC2">
        <w:rPr>
          <w:rFonts w:ascii="Arial" w:eastAsia="Calibri" w:hAnsi="Arial" w:cs="Arial"/>
          <w:sz w:val="24"/>
          <w:szCs w:val="24"/>
          <w:lang w:val="en-ZA"/>
        </w:rPr>
        <w:t xml:space="preserve"> is there any conduct of the IEC to be reviewed and set aside. When the matter was argued it was conceded </w:t>
      </w:r>
      <w:r w:rsidR="001A6765" w:rsidRPr="002E5CC2">
        <w:rPr>
          <w:rFonts w:ascii="Arial" w:eastAsia="Calibri" w:hAnsi="Arial" w:cs="Arial"/>
          <w:sz w:val="24"/>
          <w:szCs w:val="24"/>
          <w:lang w:val="en-ZA"/>
        </w:rPr>
        <w:t xml:space="preserve">by the </w:t>
      </w:r>
      <w:r w:rsidR="00D25756" w:rsidRPr="002E5CC2">
        <w:rPr>
          <w:rFonts w:ascii="Arial" w:eastAsia="Calibri" w:hAnsi="Arial" w:cs="Arial"/>
          <w:sz w:val="24"/>
          <w:szCs w:val="24"/>
          <w:lang w:val="en-ZA"/>
        </w:rPr>
        <w:t xml:space="preserve">AEF </w:t>
      </w:r>
      <w:r w:rsidR="001A6765" w:rsidRPr="002E5CC2">
        <w:rPr>
          <w:rFonts w:ascii="Arial" w:eastAsia="Calibri" w:hAnsi="Arial" w:cs="Arial"/>
          <w:sz w:val="24"/>
          <w:szCs w:val="24"/>
          <w:lang w:val="en-ZA"/>
        </w:rPr>
        <w:t>that t</w:t>
      </w:r>
      <w:r w:rsidRPr="002E5CC2">
        <w:rPr>
          <w:rFonts w:ascii="Arial" w:eastAsia="Calibri" w:hAnsi="Arial" w:cs="Arial"/>
          <w:sz w:val="24"/>
          <w:szCs w:val="24"/>
          <w:lang w:val="en-ZA"/>
        </w:rPr>
        <w:t>he IEC has no power to condone the non-compliance of the requirements as prescribed</w:t>
      </w:r>
      <w:r w:rsidR="0073154C" w:rsidRPr="002E5CC2">
        <w:rPr>
          <w:rFonts w:ascii="Arial" w:eastAsia="Calibri" w:hAnsi="Arial" w:cs="Arial"/>
          <w:sz w:val="24"/>
          <w:szCs w:val="24"/>
          <w:lang w:val="en-ZA"/>
        </w:rPr>
        <w:t xml:space="preserve"> in s 27 of</w:t>
      </w:r>
      <w:r w:rsidRPr="002E5CC2">
        <w:rPr>
          <w:rFonts w:ascii="Arial" w:eastAsia="Calibri" w:hAnsi="Arial" w:cs="Arial"/>
          <w:sz w:val="24"/>
          <w:szCs w:val="24"/>
          <w:lang w:val="en-ZA"/>
        </w:rPr>
        <w:t xml:space="preserve"> the </w:t>
      </w:r>
      <w:r w:rsidR="00E74636" w:rsidRPr="002E5CC2">
        <w:rPr>
          <w:rFonts w:ascii="Arial" w:eastAsia="Calibri" w:hAnsi="Arial" w:cs="Arial"/>
          <w:sz w:val="24"/>
          <w:szCs w:val="24"/>
          <w:lang w:val="en-ZA"/>
        </w:rPr>
        <w:t>Act</w:t>
      </w:r>
      <w:r w:rsidRPr="002E5CC2">
        <w:rPr>
          <w:rFonts w:ascii="Arial" w:eastAsia="Calibri" w:hAnsi="Arial" w:cs="Arial"/>
          <w:sz w:val="24"/>
          <w:szCs w:val="24"/>
          <w:lang w:val="en-ZA"/>
        </w:rPr>
        <w:t>.</w:t>
      </w:r>
      <w:r w:rsidR="00726AC5" w:rsidRPr="00AA6950">
        <w:rPr>
          <w:rFonts w:ascii="Arial" w:eastAsia="Calibri" w:hAnsi="Arial" w:cs="Arial"/>
          <w:sz w:val="24"/>
          <w:szCs w:val="24"/>
          <w:lang w:val="en-ZA"/>
        </w:rPr>
        <w:t xml:space="preserve"> </w:t>
      </w:r>
    </w:p>
    <w:p w14:paraId="07195187" w14:textId="6F8C6AAE" w:rsidR="00B80B0F" w:rsidRDefault="00B80B0F" w:rsidP="00D25756">
      <w:pPr>
        <w:widowControl w:val="0"/>
        <w:spacing w:after="0" w:line="360" w:lineRule="auto"/>
        <w:contextualSpacing/>
        <w:jc w:val="both"/>
        <w:rPr>
          <w:rFonts w:ascii="Arial" w:eastAsia="Calibri" w:hAnsi="Arial" w:cs="Arial"/>
          <w:sz w:val="24"/>
          <w:szCs w:val="24"/>
          <w:lang w:val="en-ZA"/>
        </w:rPr>
      </w:pPr>
    </w:p>
    <w:p w14:paraId="78E585C0" w14:textId="1B1E0A6F" w:rsidR="00B80B0F" w:rsidRDefault="00B80B0F" w:rsidP="00D25756">
      <w:pPr>
        <w:widowControl w:val="0"/>
        <w:spacing w:after="0" w:line="360" w:lineRule="auto"/>
        <w:contextualSpacing/>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Before I </w:t>
      </w:r>
      <w:r w:rsidRPr="00D25756">
        <w:rPr>
          <w:rFonts w:ascii="Arial" w:eastAsia="Calibri" w:hAnsi="Arial" w:cs="Arial"/>
          <w:sz w:val="24"/>
          <w:szCs w:val="24"/>
          <w:lang w:val="en-ZA"/>
        </w:rPr>
        <w:t>deal</w:t>
      </w:r>
      <w:r>
        <w:rPr>
          <w:rFonts w:ascii="Arial" w:hAnsi="Arial" w:cs="Arial"/>
          <w:sz w:val="24"/>
          <w:szCs w:val="24"/>
        </w:rPr>
        <w:t xml:space="preserve"> with the facts of this application it is necessary to state that this</w:t>
      </w:r>
      <w:r w:rsidR="00D25756">
        <w:rPr>
          <w:rFonts w:ascii="Arial" w:hAnsi="Arial" w:cs="Arial"/>
          <w:sz w:val="24"/>
          <w:szCs w:val="24"/>
        </w:rPr>
        <w:t xml:space="preserve"> </w:t>
      </w:r>
      <w:r w:rsidR="009C3E71">
        <w:rPr>
          <w:rFonts w:ascii="Arial" w:hAnsi="Arial" w:cs="Arial"/>
          <w:sz w:val="24"/>
          <w:szCs w:val="24"/>
        </w:rPr>
        <w:t>C</w:t>
      </w:r>
      <w:r>
        <w:rPr>
          <w:rFonts w:ascii="Arial" w:hAnsi="Arial" w:cs="Arial"/>
          <w:sz w:val="24"/>
          <w:szCs w:val="24"/>
        </w:rPr>
        <w:t xml:space="preserve">ourt has received a </w:t>
      </w:r>
      <w:r w:rsidR="008D36B9">
        <w:rPr>
          <w:rFonts w:ascii="Arial" w:hAnsi="Arial" w:cs="Arial"/>
          <w:sz w:val="24"/>
          <w:szCs w:val="24"/>
        </w:rPr>
        <w:t>flurry</w:t>
      </w:r>
      <w:r>
        <w:rPr>
          <w:rFonts w:ascii="Arial" w:hAnsi="Arial" w:cs="Arial"/>
          <w:sz w:val="24"/>
          <w:szCs w:val="24"/>
        </w:rPr>
        <w:t xml:space="preserve"> of applications</w:t>
      </w:r>
      <w:r w:rsidR="008D36B9">
        <w:rPr>
          <w:rFonts w:ascii="Arial" w:hAnsi="Arial" w:cs="Arial"/>
          <w:sz w:val="24"/>
          <w:szCs w:val="24"/>
        </w:rPr>
        <w:t>,</w:t>
      </w:r>
      <w:r>
        <w:rPr>
          <w:rFonts w:ascii="Arial" w:hAnsi="Arial" w:cs="Arial"/>
          <w:sz w:val="24"/>
          <w:szCs w:val="24"/>
        </w:rPr>
        <w:t xml:space="preserve"> albeit by different parties, over the last three</w:t>
      </w:r>
      <w:r w:rsidR="00D25756">
        <w:rPr>
          <w:rFonts w:ascii="Arial" w:hAnsi="Arial" w:cs="Arial"/>
          <w:sz w:val="24"/>
          <w:szCs w:val="24"/>
        </w:rPr>
        <w:t xml:space="preserve"> </w:t>
      </w:r>
      <w:r>
        <w:rPr>
          <w:rFonts w:ascii="Arial" w:hAnsi="Arial" w:cs="Arial"/>
          <w:sz w:val="24"/>
          <w:szCs w:val="24"/>
        </w:rPr>
        <w:t>months, applying for relief relating to their non-compliance with s 27(2) of the Act.</w:t>
      </w:r>
      <w:r w:rsidRPr="00B80B0F">
        <w:rPr>
          <w:rStyle w:val="FootnoteReference"/>
          <w:rFonts w:ascii="Arial" w:hAnsi="Arial" w:cs="Arial"/>
          <w:sz w:val="24"/>
          <w:szCs w:val="24"/>
        </w:rPr>
        <w:t xml:space="preserve"> </w:t>
      </w:r>
      <w:r>
        <w:rPr>
          <w:rStyle w:val="FootnoteReference"/>
          <w:rFonts w:ascii="Arial" w:hAnsi="Arial" w:cs="Arial"/>
          <w:sz w:val="24"/>
          <w:szCs w:val="24"/>
        </w:rPr>
        <w:footnoteReference w:id="5"/>
      </w:r>
      <w:r>
        <w:rPr>
          <w:rFonts w:ascii="Arial" w:hAnsi="Arial" w:cs="Arial"/>
          <w:sz w:val="24"/>
          <w:szCs w:val="24"/>
        </w:rPr>
        <w:t xml:space="preserve"> </w:t>
      </w:r>
    </w:p>
    <w:p w14:paraId="21C9AFD2" w14:textId="77777777" w:rsidR="00D25756" w:rsidRPr="00D25756" w:rsidRDefault="00D25756" w:rsidP="00D25756">
      <w:pPr>
        <w:widowControl w:val="0"/>
        <w:spacing w:after="0" w:line="360" w:lineRule="auto"/>
        <w:contextualSpacing/>
        <w:jc w:val="both"/>
        <w:rPr>
          <w:rFonts w:ascii="Arial" w:hAnsi="Arial" w:cs="Arial"/>
          <w:sz w:val="24"/>
          <w:szCs w:val="24"/>
        </w:rPr>
      </w:pPr>
    </w:p>
    <w:p w14:paraId="02268122" w14:textId="24FA3520" w:rsidR="00626CEB" w:rsidRPr="00AA6950" w:rsidRDefault="002110B7" w:rsidP="00AA6950">
      <w:pPr>
        <w:widowControl w:val="0"/>
        <w:spacing w:after="0" w:line="360" w:lineRule="auto"/>
        <w:ind w:left="720" w:hanging="720"/>
        <w:contextualSpacing/>
        <w:jc w:val="both"/>
        <w:rPr>
          <w:rFonts w:ascii="Arial" w:eastAsia="Calibri" w:hAnsi="Arial" w:cs="Arial"/>
          <w:b/>
          <w:sz w:val="24"/>
          <w:szCs w:val="24"/>
          <w:lang w:val="en-ZA"/>
        </w:rPr>
      </w:pPr>
      <w:r w:rsidRPr="00AA6950">
        <w:rPr>
          <w:rFonts w:ascii="Arial" w:eastAsia="Calibri" w:hAnsi="Arial" w:cs="Arial"/>
          <w:b/>
          <w:sz w:val="24"/>
          <w:szCs w:val="24"/>
          <w:lang w:val="en-ZA"/>
        </w:rPr>
        <w:t>Facts</w:t>
      </w:r>
    </w:p>
    <w:p w14:paraId="1A34A383" w14:textId="27BD4F6D" w:rsidR="006978BB" w:rsidRPr="002613BD" w:rsidRDefault="002110B7"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4446DF" w:rsidRPr="002613BD">
        <w:rPr>
          <w:rFonts w:ascii="Arial" w:eastAsia="Calibri" w:hAnsi="Arial" w:cs="Arial"/>
          <w:sz w:val="24"/>
          <w:szCs w:val="24"/>
          <w:lang w:val="en-ZA"/>
        </w:rPr>
        <w:t>7</w:t>
      </w:r>
      <w:r w:rsidR="002A6B73" w:rsidRPr="002613BD">
        <w:rPr>
          <w:rFonts w:ascii="Arial" w:eastAsia="Calibri" w:hAnsi="Arial" w:cs="Arial"/>
          <w:sz w:val="24"/>
          <w:szCs w:val="24"/>
          <w:lang w:val="en-ZA"/>
        </w:rPr>
        <w:t>]</w:t>
      </w:r>
      <w:r w:rsidR="002A6B73" w:rsidRPr="002613BD">
        <w:rPr>
          <w:rFonts w:ascii="Arial" w:eastAsia="Calibri" w:hAnsi="Arial" w:cs="Arial"/>
          <w:sz w:val="24"/>
          <w:szCs w:val="24"/>
          <w:lang w:val="en-ZA"/>
        </w:rPr>
        <w:tab/>
      </w:r>
      <w:r w:rsidR="001A6765" w:rsidRPr="002613BD">
        <w:rPr>
          <w:rFonts w:ascii="Arial" w:eastAsia="Calibri" w:hAnsi="Arial" w:cs="Arial"/>
          <w:sz w:val="24"/>
          <w:szCs w:val="24"/>
          <w:lang w:val="en-ZA"/>
        </w:rPr>
        <w:t xml:space="preserve">I intend dealing with the facts in detail </w:t>
      </w:r>
      <w:r w:rsidR="00FB2DDB" w:rsidRPr="002613BD">
        <w:rPr>
          <w:rFonts w:ascii="Arial" w:eastAsia="Calibri" w:hAnsi="Arial" w:cs="Arial"/>
          <w:sz w:val="24"/>
          <w:szCs w:val="24"/>
          <w:lang w:val="en-ZA"/>
        </w:rPr>
        <w:t xml:space="preserve">in light of the AEF’s claim that </w:t>
      </w:r>
      <w:r w:rsidR="00152430" w:rsidRPr="002613BD">
        <w:rPr>
          <w:rFonts w:ascii="Arial" w:eastAsia="Calibri" w:hAnsi="Arial" w:cs="Arial"/>
          <w:sz w:val="24"/>
          <w:szCs w:val="24"/>
          <w:lang w:val="en-ZA"/>
        </w:rPr>
        <w:t>it</w:t>
      </w:r>
      <w:r w:rsidR="00FB2DDB" w:rsidRPr="002613BD">
        <w:rPr>
          <w:rFonts w:ascii="Arial" w:eastAsia="Calibri" w:hAnsi="Arial" w:cs="Arial"/>
          <w:sz w:val="24"/>
          <w:szCs w:val="24"/>
          <w:lang w:val="en-ZA"/>
        </w:rPr>
        <w:t xml:space="preserve"> complied substantially with the requirements. </w:t>
      </w:r>
      <w:r w:rsidR="002A6B73" w:rsidRPr="002613BD">
        <w:rPr>
          <w:rFonts w:ascii="Arial" w:eastAsia="Calibri" w:hAnsi="Arial" w:cs="Arial"/>
          <w:sz w:val="24"/>
          <w:szCs w:val="24"/>
          <w:lang w:val="en-ZA"/>
        </w:rPr>
        <w:t xml:space="preserve">The </w:t>
      </w:r>
      <w:r w:rsidRPr="002613BD">
        <w:rPr>
          <w:rFonts w:ascii="Arial" w:eastAsia="Calibri" w:hAnsi="Arial" w:cs="Arial"/>
          <w:sz w:val="24"/>
          <w:szCs w:val="24"/>
          <w:lang w:val="en-ZA"/>
        </w:rPr>
        <w:t xml:space="preserve">AEF attempted </w:t>
      </w:r>
      <w:r w:rsidR="00E4025C" w:rsidRPr="002613BD">
        <w:rPr>
          <w:rFonts w:ascii="Arial" w:eastAsia="Calibri" w:hAnsi="Arial" w:cs="Arial"/>
          <w:sz w:val="24"/>
          <w:szCs w:val="24"/>
          <w:lang w:val="en-ZA"/>
        </w:rPr>
        <w:t xml:space="preserve">to </w:t>
      </w:r>
      <w:r w:rsidRPr="002613BD">
        <w:rPr>
          <w:rFonts w:ascii="Arial" w:eastAsia="Calibri" w:hAnsi="Arial" w:cs="Arial"/>
          <w:sz w:val="24"/>
          <w:szCs w:val="24"/>
          <w:lang w:val="en-ZA"/>
        </w:rPr>
        <w:t>pay</w:t>
      </w:r>
      <w:r w:rsidR="00E4025C" w:rsidRPr="002613BD">
        <w:rPr>
          <w:rFonts w:ascii="Arial" w:eastAsia="Calibri" w:hAnsi="Arial" w:cs="Arial"/>
          <w:sz w:val="24"/>
          <w:szCs w:val="24"/>
          <w:lang w:val="en-ZA"/>
        </w:rPr>
        <w:t xml:space="preserve"> a deposit of</w:t>
      </w:r>
      <w:r w:rsidRPr="002613BD">
        <w:rPr>
          <w:rFonts w:ascii="Arial" w:eastAsia="Calibri" w:hAnsi="Arial" w:cs="Arial"/>
          <w:sz w:val="24"/>
          <w:szCs w:val="24"/>
          <w:lang w:val="en-ZA"/>
        </w:rPr>
        <w:t xml:space="preserve"> R750</w:t>
      </w:r>
      <w:r w:rsidR="00E4025C" w:rsidRPr="002613BD">
        <w:rPr>
          <w:rFonts w:ascii="Arial" w:eastAsia="Calibri" w:hAnsi="Arial" w:cs="Arial"/>
          <w:sz w:val="24"/>
          <w:szCs w:val="24"/>
          <w:lang w:val="en-ZA"/>
        </w:rPr>
        <w:t> </w:t>
      </w:r>
      <w:r w:rsidRPr="002613BD">
        <w:rPr>
          <w:rFonts w:ascii="Arial" w:eastAsia="Calibri" w:hAnsi="Arial" w:cs="Arial"/>
          <w:sz w:val="24"/>
          <w:szCs w:val="24"/>
          <w:lang w:val="en-ZA"/>
        </w:rPr>
        <w:t>000</w:t>
      </w:r>
      <w:r w:rsidR="00E4025C" w:rsidRPr="002613BD">
        <w:rPr>
          <w:rFonts w:ascii="Arial" w:eastAsia="Calibri" w:hAnsi="Arial" w:cs="Arial"/>
          <w:sz w:val="24"/>
          <w:szCs w:val="24"/>
          <w:lang w:val="en-ZA"/>
        </w:rPr>
        <w:t xml:space="preserve"> to contest the electi</w:t>
      </w:r>
      <w:r w:rsidR="00FD4689" w:rsidRPr="002613BD">
        <w:rPr>
          <w:rFonts w:ascii="Arial" w:eastAsia="Calibri" w:hAnsi="Arial" w:cs="Arial"/>
          <w:sz w:val="24"/>
          <w:szCs w:val="24"/>
          <w:lang w:val="en-ZA"/>
        </w:rPr>
        <w:t>o</w:t>
      </w:r>
      <w:r w:rsidR="00E4025C" w:rsidRPr="002613BD">
        <w:rPr>
          <w:rFonts w:ascii="Arial" w:eastAsia="Calibri" w:hAnsi="Arial" w:cs="Arial"/>
          <w:sz w:val="24"/>
          <w:szCs w:val="24"/>
          <w:lang w:val="en-ZA"/>
        </w:rPr>
        <w:t xml:space="preserve">n </w:t>
      </w:r>
      <w:r w:rsidR="00FB2DDB" w:rsidRPr="002613BD">
        <w:rPr>
          <w:rFonts w:ascii="Arial" w:eastAsia="Calibri" w:hAnsi="Arial" w:cs="Arial"/>
          <w:sz w:val="24"/>
          <w:szCs w:val="24"/>
          <w:lang w:val="en-ZA"/>
        </w:rPr>
        <w:t xml:space="preserve">into the account of the IEC. Payment was not made from its account </w:t>
      </w:r>
      <w:r w:rsidR="00E4025C" w:rsidRPr="002613BD">
        <w:rPr>
          <w:rFonts w:ascii="Arial" w:eastAsia="Calibri" w:hAnsi="Arial" w:cs="Arial"/>
          <w:sz w:val="24"/>
          <w:szCs w:val="24"/>
          <w:lang w:val="en-ZA"/>
        </w:rPr>
        <w:t xml:space="preserve">  but on </w:t>
      </w:r>
      <w:r w:rsidRPr="002613BD">
        <w:rPr>
          <w:rFonts w:ascii="Arial" w:eastAsia="Calibri" w:hAnsi="Arial" w:cs="Arial"/>
          <w:sz w:val="24"/>
          <w:szCs w:val="24"/>
          <w:lang w:val="en-ZA"/>
        </w:rPr>
        <w:t xml:space="preserve">its behalf </w:t>
      </w:r>
      <w:r w:rsidR="00FD4689" w:rsidRPr="002613BD">
        <w:rPr>
          <w:rFonts w:ascii="Arial" w:eastAsia="Calibri" w:hAnsi="Arial" w:cs="Arial"/>
          <w:sz w:val="24"/>
          <w:szCs w:val="24"/>
          <w:lang w:val="en-ZA"/>
        </w:rPr>
        <w:t>by a dono</w:t>
      </w:r>
      <w:r w:rsidR="00E4025C" w:rsidRPr="002613BD">
        <w:rPr>
          <w:rFonts w:ascii="Arial" w:eastAsia="Calibri" w:hAnsi="Arial" w:cs="Arial"/>
          <w:sz w:val="24"/>
          <w:szCs w:val="24"/>
          <w:lang w:val="en-ZA"/>
        </w:rPr>
        <w:t xml:space="preserve">r </w:t>
      </w:r>
      <w:r w:rsidRPr="002613BD">
        <w:rPr>
          <w:rFonts w:ascii="Arial" w:eastAsia="Calibri" w:hAnsi="Arial" w:cs="Arial"/>
          <w:sz w:val="24"/>
          <w:szCs w:val="24"/>
          <w:lang w:val="en-ZA"/>
        </w:rPr>
        <w:t>on 8 March 2024</w:t>
      </w:r>
      <w:r w:rsidR="00FD4689" w:rsidRPr="002613BD">
        <w:rPr>
          <w:rFonts w:ascii="Arial" w:eastAsia="Calibri" w:hAnsi="Arial" w:cs="Arial"/>
          <w:sz w:val="24"/>
          <w:szCs w:val="24"/>
          <w:lang w:val="en-ZA"/>
        </w:rPr>
        <w:t>.</w:t>
      </w:r>
      <w:r w:rsidR="00B26B80" w:rsidRPr="002613BD">
        <w:rPr>
          <w:rFonts w:ascii="Arial" w:eastAsia="Calibri" w:hAnsi="Arial" w:cs="Arial"/>
          <w:sz w:val="24"/>
          <w:szCs w:val="24"/>
          <w:lang w:val="en-ZA"/>
        </w:rPr>
        <w:t xml:space="preserve"> In </w:t>
      </w:r>
      <w:r w:rsidR="002A6B73" w:rsidRPr="002613BD">
        <w:rPr>
          <w:rFonts w:ascii="Arial" w:eastAsia="Calibri" w:hAnsi="Arial" w:cs="Arial"/>
          <w:sz w:val="24"/>
          <w:szCs w:val="24"/>
          <w:lang w:val="en-ZA"/>
        </w:rPr>
        <w:t>terms of the El</w:t>
      </w:r>
      <w:r w:rsidRPr="002613BD">
        <w:rPr>
          <w:rFonts w:ascii="Arial" w:eastAsia="Calibri" w:hAnsi="Arial" w:cs="Arial"/>
          <w:sz w:val="24"/>
          <w:szCs w:val="24"/>
          <w:lang w:val="en-ZA"/>
        </w:rPr>
        <w:t xml:space="preserve">ection timetable </w:t>
      </w:r>
      <w:r w:rsidR="00B26B80" w:rsidRPr="002613BD">
        <w:rPr>
          <w:rFonts w:ascii="Arial" w:eastAsia="Calibri" w:hAnsi="Arial" w:cs="Arial"/>
          <w:sz w:val="24"/>
          <w:szCs w:val="24"/>
          <w:lang w:val="en-ZA"/>
        </w:rPr>
        <w:t>t</w:t>
      </w:r>
      <w:r w:rsidRPr="002613BD">
        <w:rPr>
          <w:rFonts w:ascii="Arial" w:eastAsia="Calibri" w:hAnsi="Arial" w:cs="Arial"/>
          <w:sz w:val="24"/>
          <w:szCs w:val="24"/>
          <w:lang w:val="en-ZA"/>
        </w:rPr>
        <w:t xml:space="preserve">he cut-off time for any act that needs to be performed in terms of the </w:t>
      </w:r>
      <w:r w:rsidR="00E74636" w:rsidRPr="002613BD">
        <w:rPr>
          <w:rFonts w:ascii="Arial" w:eastAsia="Calibri" w:hAnsi="Arial" w:cs="Arial"/>
          <w:sz w:val="24"/>
          <w:szCs w:val="24"/>
          <w:lang w:val="en-ZA"/>
        </w:rPr>
        <w:t>Act</w:t>
      </w:r>
      <w:r w:rsidRPr="002613BD">
        <w:rPr>
          <w:rFonts w:ascii="Arial" w:eastAsia="Calibri" w:hAnsi="Arial" w:cs="Arial"/>
          <w:sz w:val="24"/>
          <w:szCs w:val="24"/>
          <w:lang w:val="en-ZA"/>
        </w:rPr>
        <w:t xml:space="preserve">, </w:t>
      </w:r>
      <w:r w:rsidR="009C3E71" w:rsidRPr="002613BD">
        <w:rPr>
          <w:rFonts w:ascii="Arial" w:eastAsia="Calibri" w:hAnsi="Arial" w:cs="Arial"/>
          <w:sz w:val="24"/>
          <w:szCs w:val="24"/>
          <w:lang w:val="en-ZA"/>
        </w:rPr>
        <w:t xml:space="preserve">was </w:t>
      </w:r>
      <w:r w:rsidRPr="002613BD">
        <w:rPr>
          <w:rFonts w:ascii="Arial" w:eastAsia="Calibri" w:hAnsi="Arial" w:cs="Arial"/>
          <w:sz w:val="24"/>
          <w:szCs w:val="24"/>
          <w:lang w:val="en-ZA"/>
        </w:rPr>
        <w:t>17</w:t>
      </w:r>
      <w:r w:rsidR="00AA4C2D" w:rsidRPr="002613BD">
        <w:rPr>
          <w:rFonts w:ascii="Arial" w:eastAsia="Calibri" w:hAnsi="Arial" w:cs="Arial"/>
          <w:sz w:val="24"/>
          <w:szCs w:val="24"/>
          <w:lang w:val="en-ZA"/>
        </w:rPr>
        <w:t>h</w:t>
      </w:r>
      <w:r w:rsidRPr="002613BD">
        <w:rPr>
          <w:rFonts w:ascii="Arial" w:eastAsia="Calibri" w:hAnsi="Arial" w:cs="Arial"/>
          <w:sz w:val="24"/>
          <w:szCs w:val="24"/>
          <w:lang w:val="en-ZA"/>
        </w:rPr>
        <w:t>00</w:t>
      </w:r>
      <w:r w:rsidR="00AA4C2D" w:rsidRPr="002613BD">
        <w:rPr>
          <w:rFonts w:ascii="Arial" w:eastAsia="Calibri" w:hAnsi="Arial" w:cs="Arial"/>
          <w:sz w:val="24"/>
          <w:szCs w:val="24"/>
          <w:lang w:val="en-ZA"/>
        </w:rPr>
        <w:t xml:space="preserve"> and</w:t>
      </w:r>
      <w:r w:rsidRPr="002613BD">
        <w:rPr>
          <w:rFonts w:ascii="Arial" w:eastAsia="Calibri" w:hAnsi="Arial" w:cs="Arial"/>
          <w:sz w:val="24"/>
          <w:szCs w:val="24"/>
          <w:lang w:val="en-ZA"/>
        </w:rPr>
        <w:t xml:space="preserve"> </w:t>
      </w:r>
      <w:r w:rsidR="009C3E71" w:rsidRPr="002613BD">
        <w:rPr>
          <w:rFonts w:ascii="Arial" w:eastAsia="Calibri" w:hAnsi="Arial" w:cs="Arial"/>
          <w:sz w:val="24"/>
          <w:szCs w:val="24"/>
          <w:lang w:val="en-ZA"/>
        </w:rPr>
        <w:t>had to be</w:t>
      </w:r>
      <w:r w:rsidRPr="002613BD">
        <w:rPr>
          <w:rFonts w:ascii="Arial" w:eastAsia="Calibri" w:hAnsi="Arial" w:cs="Arial"/>
          <w:sz w:val="24"/>
          <w:szCs w:val="24"/>
          <w:lang w:val="en-ZA"/>
        </w:rPr>
        <w:t xml:space="preserve"> performed</w:t>
      </w:r>
      <w:r w:rsidR="000F0F61" w:rsidRPr="002613BD">
        <w:rPr>
          <w:rFonts w:ascii="Arial" w:eastAsia="Calibri" w:hAnsi="Arial" w:cs="Arial"/>
          <w:sz w:val="24"/>
          <w:szCs w:val="24"/>
          <w:lang w:val="en-ZA"/>
        </w:rPr>
        <w:t xml:space="preserve"> </w:t>
      </w:r>
      <w:r w:rsidRPr="002613BD">
        <w:rPr>
          <w:rFonts w:ascii="Arial" w:eastAsia="Calibri" w:hAnsi="Arial" w:cs="Arial"/>
          <w:sz w:val="24"/>
          <w:szCs w:val="24"/>
          <w:lang w:val="en-ZA"/>
        </w:rPr>
        <w:t>on that date.</w:t>
      </w:r>
      <w:r w:rsidRPr="002613BD">
        <w:rPr>
          <w:rStyle w:val="FootnoteReference"/>
          <w:rFonts w:ascii="Arial" w:eastAsia="Calibri" w:hAnsi="Arial" w:cs="Arial"/>
          <w:sz w:val="24"/>
          <w:szCs w:val="24"/>
          <w:lang w:val="en-ZA"/>
        </w:rPr>
        <w:footnoteReference w:id="6"/>
      </w:r>
      <w:r w:rsidRPr="002613BD">
        <w:rPr>
          <w:rFonts w:ascii="Arial" w:eastAsia="Calibri" w:hAnsi="Arial" w:cs="Arial"/>
          <w:sz w:val="24"/>
          <w:szCs w:val="24"/>
          <w:lang w:val="en-ZA"/>
        </w:rPr>
        <w:t xml:space="preserve"> Regarding payments of deposits paid by parties and the submission of the candidate lists</w:t>
      </w:r>
      <w:r w:rsidR="00B26B80" w:rsidRPr="002613BD">
        <w:rPr>
          <w:rFonts w:ascii="Arial" w:eastAsia="Calibri" w:hAnsi="Arial" w:cs="Arial"/>
          <w:sz w:val="24"/>
          <w:szCs w:val="24"/>
          <w:lang w:val="en-ZA"/>
        </w:rPr>
        <w:t xml:space="preserve"> of the parties</w:t>
      </w:r>
      <w:r w:rsidRPr="002613BD">
        <w:rPr>
          <w:rFonts w:ascii="Arial" w:eastAsia="Calibri" w:hAnsi="Arial" w:cs="Arial"/>
          <w:sz w:val="24"/>
          <w:szCs w:val="24"/>
          <w:lang w:val="en-ZA"/>
        </w:rPr>
        <w:t>, s</w:t>
      </w:r>
      <w:r w:rsidR="00AA6950" w:rsidRPr="002613BD">
        <w:rPr>
          <w:rFonts w:ascii="Arial" w:eastAsia="Calibri" w:hAnsi="Arial" w:cs="Arial"/>
          <w:sz w:val="24"/>
          <w:szCs w:val="24"/>
          <w:lang w:val="en-ZA"/>
        </w:rPr>
        <w:t xml:space="preserve"> </w:t>
      </w:r>
      <w:r w:rsidRPr="002613BD">
        <w:rPr>
          <w:rFonts w:ascii="Arial" w:eastAsia="Calibri" w:hAnsi="Arial" w:cs="Arial"/>
          <w:sz w:val="24"/>
          <w:szCs w:val="24"/>
          <w:lang w:val="en-ZA"/>
        </w:rPr>
        <w:t>27(2)</w:t>
      </w:r>
      <w:r w:rsidRPr="002613BD">
        <w:rPr>
          <w:rFonts w:ascii="Arial" w:eastAsia="Calibri" w:hAnsi="Arial" w:cs="Arial"/>
          <w:i/>
          <w:sz w:val="24"/>
          <w:szCs w:val="24"/>
          <w:lang w:val="en-ZA"/>
        </w:rPr>
        <w:t xml:space="preserve"> </w:t>
      </w:r>
      <w:r w:rsidRPr="002613BD">
        <w:rPr>
          <w:rFonts w:ascii="Arial" w:eastAsia="Calibri" w:hAnsi="Arial" w:cs="Arial"/>
          <w:sz w:val="24"/>
          <w:szCs w:val="24"/>
          <w:lang w:val="en-ZA"/>
        </w:rPr>
        <w:t>of the Act finds application. It is averred by the AEF</w:t>
      </w:r>
      <w:r w:rsidR="00FD4689" w:rsidRPr="002613BD">
        <w:rPr>
          <w:rFonts w:ascii="Arial" w:eastAsia="Calibri" w:hAnsi="Arial" w:cs="Arial"/>
          <w:sz w:val="24"/>
          <w:szCs w:val="24"/>
          <w:lang w:val="en-ZA"/>
        </w:rPr>
        <w:t xml:space="preserve"> in its founding affidavit</w:t>
      </w:r>
      <w:r w:rsidRPr="002613BD">
        <w:rPr>
          <w:rFonts w:ascii="Arial" w:eastAsia="Calibri" w:hAnsi="Arial" w:cs="Arial"/>
          <w:sz w:val="24"/>
          <w:szCs w:val="24"/>
          <w:lang w:val="en-ZA"/>
        </w:rPr>
        <w:t xml:space="preserve"> that </w:t>
      </w:r>
      <w:r w:rsidR="00A858F7" w:rsidRPr="002613BD">
        <w:rPr>
          <w:rFonts w:ascii="Arial" w:eastAsia="Calibri" w:hAnsi="Arial" w:cs="Arial"/>
          <w:sz w:val="24"/>
          <w:szCs w:val="24"/>
          <w:lang w:val="en-ZA"/>
        </w:rPr>
        <w:t>a</w:t>
      </w:r>
      <w:r w:rsidRPr="002613BD">
        <w:rPr>
          <w:rFonts w:ascii="Arial" w:eastAsia="Calibri" w:hAnsi="Arial" w:cs="Arial"/>
          <w:sz w:val="24"/>
          <w:szCs w:val="24"/>
          <w:lang w:val="en-ZA"/>
        </w:rPr>
        <w:t xml:space="preserve"> </w:t>
      </w:r>
      <w:r w:rsidR="00B26B80" w:rsidRPr="002613BD">
        <w:rPr>
          <w:rFonts w:ascii="Arial" w:eastAsia="Calibri" w:hAnsi="Arial" w:cs="Arial"/>
          <w:sz w:val="24"/>
          <w:szCs w:val="24"/>
          <w:lang w:val="en-ZA"/>
        </w:rPr>
        <w:t>donor</w:t>
      </w:r>
      <w:r w:rsidRPr="002613BD">
        <w:rPr>
          <w:rFonts w:ascii="Arial" w:eastAsia="Calibri" w:hAnsi="Arial" w:cs="Arial"/>
          <w:sz w:val="24"/>
          <w:szCs w:val="24"/>
          <w:lang w:val="en-ZA"/>
        </w:rPr>
        <w:t xml:space="preserve"> made payment of R750 000 </w:t>
      </w:r>
      <w:r w:rsidR="00FB2DDB" w:rsidRPr="002613BD">
        <w:rPr>
          <w:rFonts w:ascii="Arial" w:eastAsia="Calibri" w:hAnsi="Arial" w:cs="Arial"/>
          <w:sz w:val="24"/>
          <w:szCs w:val="24"/>
          <w:lang w:val="en-ZA"/>
        </w:rPr>
        <w:t xml:space="preserve">and </w:t>
      </w:r>
      <w:r w:rsidRPr="002613BD">
        <w:rPr>
          <w:rFonts w:ascii="Arial" w:eastAsia="Calibri" w:hAnsi="Arial" w:cs="Arial"/>
          <w:sz w:val="24"/>
          <w:szCs w:val="24"/>
          <w:lang w:val="en-ZA"/>
        </w:rPr>
        <w:t xml:space="preserve">proof of </w:t>
      </w:r>
      <w:r w:rsidR="00FD4689" w:rsidRPr="002613BD">
        <w:rPr>
          <w:rFonts w:ascii="Arial" w:eastAsia="Calibri" w:hAnsi="Arial" w:cs="Arial"/>
          <w:sz w:val="24"/>
          <w:szCs w:val="24"/>
          <w:lang w:val="en-ZA"/>
        </w:rPr>
        <w:t xml:space="preserve">the electronic transfer from </w:t>
      </w:r>
      <w:r w:rsidR="000F0F61" w:rsidRPr="002613BD">
        <w:rPr>
          <w:rFonts w:ascii="Arial" w:eastAsia="Calibri" w:hAnsi="Arial" w:cs="Arial"/>
          <w:sz w:val="24"/>
          <w:szCs w:val="24"/>
          <w:lang w:val="en-ZA"/>
        </w:rPr>
        <w:t>the</w:t>
      </w:r>
      <w:r w:rsidR="00FD4689" w:rsidRPr="002613BD">
        <w:rPr>
          <w:rFonts w:ascii="Arial" w:eastAsia="Calibri" w:hAnsi="Arial" w:cs="Arial"/>
          <w:sz w:val="24"/>
          <w:szCs w:val="24"/>
          <w:lang w:val="en-ZA"/>
        </w:rPr>
        <w:t xml:space="preserve"> </w:t>
      </w:r>
      <w:r w:rsidR="00A858F7" w:rsidRPr="002613BD">
        <w:rPr>
          <w:rFonts w:ascii="Arial" w:eastAsia="Calibri" w:hAnsi="Arial" w:cs="Arial"/>
          <w:sz w:val="24"/>
          <w:szCs w:val="24"/>
          <w:lang w:val="en-ZA"/>
        </w:rPr>
        <w:t>donor’s</w:t>
      </w:r>
      <w:r w:rsidR="00FB2DDB" w:rsidRPr="002613BD">
        <w:rPr>
          <w:rFonts w:ascii="Arial" w:eastAsia="Calibri" w:hAnsi="Arial" w:cs="Arial"/>
          <w:sz w:val="24"/>
          <w:szCs w:val="24"/>
          <w:lang w:val="en-ZA"/>
        </w:rPr>
        <w:t xml:space="preserve"> account</w:t>
      </w:r>
      <w:r w:rsidR="00A858F7" w:rsidRPr="002613BD">
        <w:rPr>
          <w:rFonts w:ascii="Arial" w:eastAsia="Calibri" w:hAnsi="Arial" w:cs="Arial"/>
          <w:sz w:val="24"/>
          <w:szCs w:val="24"/>
          <w:lang w:val="en-ZA"/>
        </w:rPr>
        <w:t xml:space="preserve"> </w:t>
      </w:r>
      <w:r w:rsidR="00FD4689" w:rsidRPr="002613BD">
        <w:rPr>
          <w:rFonts w:ascii="Arial" w:eastAsia="Calibri" w:hAnsi="Arial" w:cs="Arial"/>
          <w:sz w:val="24"/>
          <w:szCs w:val="24"/>
          <w:lang w:val="en-ZA"/>
        </w:rPr>
        <w:t xml:space="preserve">was </w:t>
      </w:r>
      <w:r w:rsidRPr="002613BD">
        <w:rPr>
          <w:rFonts w:ascii="Arial" w:eastAsia="Calibri" w:hAnsi="Arial" w:cs="Arial"/>
          <w:sz w:val="24"/>
          <w:szCs w:val="24"/>
          <w:lang w:val="en-ZA"/>
        </w:rPr>
        <w:t>forwarded to the</w:t>
      </w:r>
      <w:r w:rsidR="000F0F61" w:rsidRPr="002613BD">
        <w:rPr>
          <w:rFonts w:ascii="Arial" w:eastAsia="Calibri" w:hAnsi="Arial" w:cs="Arial"/>
          <w:sz w:val="24"/>
          <w:szCs w:val="24"/>
          <w:lang w:val="en-ZA"/>
        </w:rPr>
        <w:t xml:space="preserve"> IEC.</w:t>
      </w:r>
      <w:r w:rsidR="00B26B80" w:rsidRPr="002613BD">
        <w:rPr>
          <w:rFonts w:ascii="Arial" w:eastAsia="Calibri" w:hAnsi="Arial" w:cs="Arial"/>
          <w:sz w:val="24"/>
          <w:szCs w:val="24"/>
          <w:lang w:val="en-ZA"/>
        </w:rPr>
        <w:t xml:space="preserve"> According to the </w:t>
      </w:r>
      <w:r w:rsidR="000E712F" w:rsidRPr="002613BD">
        <w:rPr>
          <w:rFonts w:ascii="Arial" w:eastAsia="Calibri" w:hAnsi="Arial" w:cs="Arial"/>
          <w:sz w:val="24"/>
          <w:szCs w:val="24"/>
          <w:lang w:val="en-ZA"/>
        </w:rPr>
        <w:t>AEF</w:t>
      </w:r>
      <w:r w:rsidR="00B26B80" w:rsidRPr="002613BD">
        <w:rPr>
          <w:rFonts w:ascii="Arial" w:eastAsia="Calibri" w:hAnsi="Arial" w:cs="Arial"/>
          <w:sz w:val="24"/>
          <w:szCs w:val="24"/>
          <w:lang w:val="en-ZA"/>
        </w:rPr>
        <w:t xml:space="preserve">, the </w:t>
      </w:r>
      <w:r w:rsidR="00A858F7" w:rsidRPr="002613BD">
        <w:rPr>
          <w:rFonts w:ascii="Arial" w:eastAsia="Calibri" w:hAnsi="Arial" w:cs="Arial"/>
          <w:sz w:val="24"/>
          <w:szCs w:val="24"/>
          <w:lang w:val="en-ZA"/>
        </w:rPr>
        <w:t>IEC</w:t>
      </w:r>
      <w:r w:rsidRPr="002613BD">
        <w:rPr>
          <w:rFonts w:ascii="Arial" w:eastAsia="Calibri" w:hAnsi="Arial" w:cs="Arial"/>
          <w:sz w:val="24"/>
          <w:szCs w:val="24"/>
          <w:lang w:val="en-ZA"/>
        </w:rPr>
        <w:t xml:space="preserve"> then opened the online system which allowed AEF to electronically submit its candidate</w:t>
      </w:r>
      <w:r w:rsidR="000E712F" w:rsidRPr="002613BD">
        <w:rPr>
          <w:rFonts w:ascii="Arial" w:eastAsia="Calibri" w:hAnsi="Arial" w:cs="Arial"/>
          <w:sz w:val="24"/>
          <w:szCs w:val="24"/>
          <w:lang w:val="en-ZA"/>
        </w:rPr>
        <w:t>s</w:t>
      </w:r>
      <w:r w:rsidRPr="002613BD">
        <w:rPr>
          <w:rFonts w:ascii="Arial" w:eastAsia="Calibri" w:hAnsi="Arial" w:cs="Arial"/>
          <w:sz w:val="24"/>
          <w:szCs w:val="24"/>
          <w:lang w:val="en-ZA"/>
        </w:rPr>
        <w:t xml:space="preserve"> list.</w:t>
      </w:r>
      <w:r w:rsidR="000F0F61" w:rsidRPr="002613BD">
        <w:rPr>
          <w:rFonts w:ascii="Arial" w:eastAsia="Calibri" w:hAnsi="Arial" w:cs="Arial"/>
          <w:sz w:val="24"/>
          <w:szCs w:val="24"/>
          <w:lang w:val="en-ZA"/>
        </w:rPr>
        <w:t xml:space="preserve"> This issue</w:t>
      </w:r>
      <w:r w:rsidR="00FB2DDB" w:rsidRPr="002613BD">
        <w:rPr>
          <w:rFonts w:ascii="Arial" w:eastAsia="Calibri" w:hAnsi="Arial" w:cs="Arial"/>
          <w:sz w:val="24"/>
          <w:szCs w:val="24"/>
          <w:lang w:val="en-ZA"/>
        </w:rPr>
        <w:t>, of allowing capturing of candidates after proof of payment was</w:t>
      </w:r>
      <w:r w:rsidR="000F0F61" w:rsidRPr="002613BD">
        <w:rPr>
          <w:rFonts w:ascii="Arial" w:eastAsia="Calibri" w:hAnsi="Arial" w:cs="Arial"/>
          <w:sz w:val="24"/>
          <w:szCs w:val="24"/>
          <w:lang w:val="en-ZA"/>
        </w:rPr>
        <w:t xml:space="preserve"> contested by the IEC</w:t>
      </w:r>
      <w:r w:rsidR="00FB2DDB" w:rsidRPr="002613BD">
        <w:rPr>
          <w:rFonts w:ascii="Arial" w:eastAsia="Calibri" w:hAnsi="Arial" w:cs="Arial"/>
          <w:sz w:val="24"/>
          <w:szCs w:val="24"/>
          <w:lang w:val="en-ZA"/>
        </w:rPr>
        <w:t xml:space="preserve">. </w:t>
      </w:r>
      <w:r w:rsidR="000F0F61" w:rsidRPr="002613BD">
        <w:rPr>
          <w:rFonts w:ascii="Arial" w:eastAsia="Calibri" w:hAnsi="Arial" w:cs="Arial"/>
          <w:sz w:val="24"/>
          <w:szCs w:val="24"/>
          <w:lang w:val="en-ZA"/>
        </w:rPr>
        <w:t>I will return to it when I summarise the version of the IEC.</w:t>
      </w:r>
      <w:r w:rsidRPr="002613BD">
        <w:rPr>
          <w:rFonts w:ascii="Arial" w:eastAsia="Calibri" w:hAnsi="Arial" w:cs="Arial"/>
          <w:sz w:val="24"/>
          <w:szCs w:val="24"/>
          <w:lang w:val="en-ZA"/>
        </w:rPr>
        <w:t xml:space="preserve"> </w:t>
      </w:r>
      <w:r w:rsidR="00B26B80" w:rsidRPr="002613BD">
        <w:rPr>
          <w:rFonts w:ascii="Arial" w:eastAsia="Calibri" w:hAnsi="Arial" w:cs="Arial"/>
          <w:sz w:val="24"/>
          <w:szCs w:val="24"/>
          <w:lang w:val="en-ZA"/>
        </w:rPr>
        <w:t xml:space="preserve">Later </w:t>
      </w:r>
      <w:r w:rsidR="00134AAF" w:rsidRPr="002613BD">
        <w:rPr>
          <w:rFonts w:ascii="Arial" w:eastAsia="Calibri" w:hAnsi="Arial" w:cs="Arial"/>
          <w:sz w:val="24"/>
          <w:szCs w:val="24"/>
          <w:lang w:val="en-ZA"/>
        </w:rPr>
        <w:t>on,</w:t>
      </w:r>
      <w:r w:rsidR="00B26B80" w:rsidRPr="002613BD">
        <w:rPr>
          <w:rFonts w:ascii="Arial" w:eastAsia="Calibri" w:hAnsi="Arial" w:cs="Arial"/>
          <w:sz w:val="24"/>
          <w:szCs w:val="24"/>
          <w:lang w:val="en-ZA"/>
        </w:rPr>
        <w:t xml:space="preserve"> </w:t>
      </w:r>
      <w:r w:rsidR="000F0F61" w:rsidRPr="002613BD">
        <w:rPr>
          <w:rFonts w:ascii="Arial" w:eastAsia="Calibri" w:hAnsi="Arial" w:cs="Arial"/>
          <w:sz w:val="24"/>
          <w:szCs w:val="24"/>
          <w:lang w:val="en-ZA"/>
        </w:rPr>
        <w:t xml:space="preserve">on </w:t>
      </w:r>
      <w:r w:rsidR="00FB2DDB" w:rsidRPr="002613BD">
        <w:rPr>
          <w:rFonts w:ascii="Arial" w:eastAsia="Calibri" w:hAnsi="Arial" w:cs="Arial"/>
          <w:sz w:val="24"/>
          <w:szCs w:val="24"/>
          <w:lang w:val="en-ZA"/>
        </w:rPr>
        <w:t>8 March 2024</w:t>
      </w:r>
      <w:r w:rsidR="00B26B80" w:rsidRPr="002613BD">
        <w:rPr>
          <w:rFonts w:ascii="Arial" w:eastAsia="Calibri" w:hAnsi="Arial" w:cs="Arial"/>
          <w:sz w:val="24"/>
          <w:szCs w:val="24"/>
          <w:lang w:val="en-ZA"/>
        </w:rPr>
        <w:t xml:space="preserve"> it </w:t>
      </w:r>
      <w:r w:rsidR="00FD4689" w:rsidRPr="002613BD">
        <w:rPr>
          <w:rFonts w:ascii="Arial" w:eastAsia="Calibri" w:hAnsi="Arial" w:cs="Arial"/>
          <w:sz w:val="24"/>
          <w:szCs w:val="24"/>
          <w:lang w:val="en-ZA"/>
        </w:rPr>
        <w:t xml:space="preserve">was discovered </w:t>
      </w:r>
      <w:r w:rsidR="00FB2DDB" w:rsidRPr="002613BD">
        <w:rPr>
          <w:rFonts w:ascii="Arial" w:eastAsia="Calibri" w:hAnsi="Arial" w:cs="Arial"/>
          <w:sz w:val="24"/>
          <w:szCs w:val="24"/>
          <w:lang w:val="en-ZA"/>
        </w:rPr>
        <w:t xml:space="preserve">by AEF </w:t>
      </w:r>
      <w:r w:rsidR="00FD4689" w:rsidRPr="002613BD">
        <w:rPr>
          <w:rFonts w:ascii="Arial" w:eastAsia="Calibri" w:hAnsi="Arial" w:cs="Arial"/>
          <w:sz w:val="24"/>
          <w:szCs w:val="24"/>
          <w:lang w:val="en-ZA"/>
        </w:rPr>
        <w:t xml:space="preserve">that the bank with which the legal entity banks, </w:t>
      </w:r>
      <w:r w:rsidRPr="002613BD">
        <w:rPr>
          <w:rFonts w:ascii="Arial" w:eastAsia="Calibri" w:hAnsi="Arial" w:cs="Arial"/>
          <w:sz w:val="24"/>
          <w:szCs w:val="24"/>
          <w:lang w:val="en-ZA"/>
        </w:rPr>
        <w:t xml:space="preserve">reversed </w:t>
      </w:r>
      <w:r w:rsidR="00FD4689" w:rsidRPr="002613BD">
        <w:rPr>
          <w:rFonts w:ascii="Arial" w:eastAsia="Calibri" w:hAnsi="Arial" w:cs="Arial"/>
          <w:sz w:val="24"/>
          <w:szCs w:val="24"/>
          <w:lang w:val="en-ZA"/>
        </w:rPr>
        <w:t>the payment</w:t>
      </w:r>
      <w:r w:rsidRPr="002613BD">
        <w:rPr>
          <w:rFonts w:ascii="Arial" w:eastAsia="Calibri" w:hAnsi="Arial" w:cs="Arial"/>
          <w:sz w:val="24"/>
          <w:szCs w:val="24"/>
          <w:lang w:val="en-ZA"/>
        </w:rPr>
        <w:t xml:space="preserve"> </w:t>
      </w:r>
      <w:r w:rsidR="00FD4689" w:rsidRPr="002613BD">
        <w:rPr>
          <w:rFonts w:ascii="Arial" w:eastAsia="Calibri" w:hAnsi="Arial" w:cs="Arial"/>
          <w:sz w:val="24"/>
          <w:szCs w:val="24"/>
          <w:lang w:val="en-ZA"/>
        </w:rPr>
        <w:t>of the money. Knowing that the amount had to be paid the AEF made payment later on two separate days, that is</w:t>
      </w:r>
      <w:r w:rsidRPr="002613BD">
        <w:rPr>
          <w:rFonts w:ascii="Arial" w:eastAsia="Calibri" w:hAnsi="Arial" w:cs="Arial"/>
          <w:sz w:val="24"/>
          <w:szCs w:val="24"/>
          <w:lang w:val="en-ZA"/>
        </w:rPr>
        <w:t xml:space="preserve"> 11 and </w:t>
      </w:r>
      <w:r w:rsidRPr="002613BD">
        <w:rPr>
          <w:rFonts w:ascii="Arial" w:eastAsia="Calibri" w:hAnsi="Arial" w:cs="Arial"/>
          <w:sz w:val="24"/>
          <w:szCs w:val="24"/>
          <w:lang w:val="en-ZA"/>
        </w:rPr>
        <w:lastRenderedPageBreak/>
        <w:t>12 March of R500 000 and R250 000</w:t>
      </w:r>
      <w:r w:rsidR="00B26B80" w:rsidRPr="002613BD">
        <w:rPr>
          <w:rFonts w:ascii="Arial" w:eastAsia="Calibri" w:hAnsi="Arial" w:cs="Arial"/>
          <w:sz w:val="24"/>
          <w:szCs w:val="24"/>
          <w:lang w:val="en-ZA"/>
        </w:rPr>
        <w:t>,</w:t>
      </w:r>
      <w:r w:rsidRPr="002613BD">
        <w:rPr>
          <w:rFonts w:ascii="Arial" w:eastAsia="Calibri" w:hAnsi="Arial" w:cs="Arial"/>
          <w:sz w:val="24"/>
          <w:szCs w:val="24"/>
          <w:lang w:val="en-ZA"/>
        </w:rPr>
        <w:t xml:space="preserve"> respectively.</w:t>
      </w:r>
      <w:r w:rsidR="00B45370" w:rsidRPr="002613BD">
        <w:rPr>
          <w:rFonts w:ascii="Arial" w:eastAsia="Calibri" w:hAnsi="Arial" w:cs="Arial"/>
          <w:sz w:val="24"/>
          <w:szCs w:val="24"/>
          <w:lang w:val="en-ZA"/>
        </w:rPr>
        <w:t xml:space="preserve"> </w:t>
      </w:r>
      <w:r w:rsidR="009C3E71" w:rsidRPr="002613BD">
        <w:rPr>
          <w:rFonts w:ascii="Arial" w:eastAsia="Calibri" w:hAnsi="Arial" w:cs="Arial"/>
          <w:sz w:val="24"/>
          <w:szCs w:val="24"/>
          <w:lang w:val="en-ZA"/>
        </w:rPr>
        <w:t>Proof of payment of the two amounts submitted by the AEF shows that payment</w:t>
      </w:r>
      <w:r w:rsidR="00FD4689" w:rsidRPr="002613BD">
        <w:rPr>
          <w:rFonts w:ascii="Arial" w:eastAsia="Calibri" w:hAnsi="Arial" w:cs="Arial"/>
          <w:sz w:val="24"/>
          <w:szCs w:val="24"/>
          <w:lang w:val="en-ZA"/>
        </w:rPr>
        <w:t xml:space="preserve"> did not come from the same legal entity. An am</w:t>
      </w:r>
      <w:r w:rsidR="004E04CE" w:rsidRPr="002613BD">
        <w:rPr>
          <w:rFonts w:ascii="Arial" w:eastAsia="Calibri" w:hAnsi="Arial" w:cs="Arial"/>
          <w:sz w:val="24"/>
          <w:szCs w:val="24"/>
          <w:lang w:val="en-ZA"/>
        </w:rPr>
        <w:t xml:space="preserve">ount of R500 000 was paid by one </w:t>
      </w:r>
      <w:r w:rsidR="00FD4689" w:rsidRPr="002613BD">
        <w:rPr>
          <w:rFonts w:ascii="Arial" w:eastAsia="Calibri" w:hAnsi="Arial" w:cs="Arial"/>
          <w:sz w:val="24"/>
          <w:szCs w:val="24"/>
          <w:lang w:val="en-ZA"/>
        </w:rPr>
        <w:t xml:space="preserve">legal entity and the rest </w:t>
      </w:r>
      <w:r w:rsidR="00FB2DDB" w:rsidRPr="002613BD">
        <w:rPr>
          <w:rFonts w:ascii="Arial" w:eastAsia="Calibri" w:hAnsi="Arial" w:cs="Arial"/>
          <w:sz w:val="24"/>
          <w:szCs w:val="24"/>
          <w:lang w:val="en-ZA"/>
        </w:rPr>
        <w:t xml:space="preserve">of the money </w:t>
      </w:r>
      <w:r w:rsidR="00FD4689" w:rsidRPr="002613BD">
        <w:rPr>
          <w:rFonts w:ascii="Arial" w:eastAsia="Calibri" w:hAnsi="Arial" w:cs="Arial"/>
          <w:sz w:val="24"/>
          <w:szCs w:val="24"/>
          <w:lang w:val="en-ZA"/>
        </w:rPr>
        <w:t>by another legal entity</w:t>
      </w:r>
      <w:r w:rsidR="00362AC3" w:rsidRPr="002613BD">
        <w:rPr>
          <w:rFonts w:ascii="Arial" w:eastAsia="Calibri" w:hAnsi="Arial" w:cs="Arial"/>
          <w:sz w:val="24"/>
          <w:szCs w:val="24"/>
          <w:lang w:val="en-ZA"/>
        </w:rPr>
        <w:t>. The AEF claimed that it took all necessary steps</w:t>
      </w:r>
      <w:r w:rsidR="00B45370" w:rsidRPr="002613BD">
        <w:rPr>
          <w:rFonts w:ascii="Arial" w:eastAsia="Calibri" w:hAnsi="Arial" w:cs="Arial"/>
          <w:sz w:val="24"/>
          <w:szCs w:val="24"/>
          <w:lang w:val="en-ZA"/>
        </w:rPr>
        <w:t xml:space="preserve"> to make</w:t>
      </w:r>
      <w:r w:rsidR="00362AC3" w:rsidRPr="002613BD">
        <w:rPr>
          <w:rFonts w:ascii="Arial" w:eastAsia="Calibri" w:hAnsi="Arial" w:cs="Arial"/>
          <w:sz w:val="24"/>
          <w:szCs w:val="24"/>
          <w:lang w:val="en-ZA"/>
        </w:rPr>
        <w:t xml:space="preserve"> payment of the deposit timeously and accordingly, so it was argued, it had substantially complied with the s 27(2) of the Act.</w:t>
      </w:r>
    </w:p>
    <w:p w14:paraId="707187DF" w14:textId="77777777" w:rsidR="00B45370" w:rsidRPr="002613BD" w:rsidRDefault="00B45370" w:rsidP="00AA6950">
      <w:pPr>
        <w:widowControl w:val="0"/>
        <w:spacing w:after="0" w:line="360" w:lineRule="auto"/>
        <w:contextualSpacing/>
        <w:jc w:val="both"/>
        <w:rPr>
          <w:rFonts w:ascii="Arial" w:eastAsia="Calibri" w:hAnsi="Arial" w:cs="Arial"/>
          <w:sz w:val="24"/>
          <w:szCs w:val="24"/>
          <w:lang w:val="en-ZA"/>
        </w:rPr>
      </w:pPr>
    </w:p>
    <w:p w14:paraId="4E765818" w14:textId="385C5E24" w:rsidR="00B45370" w:rsidRPr="002613BD" w:rsidRDefault="00AA6950"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4446DF" w:rsidRPr="002613BD">
        <w:rPr>
          <w:rFonts w:ascii="Arial" w:eastAsia="Calibri" w:hAnsi="Arial" w:cs="Arial"/>
          <w:sz w:val="24"/>
          <w:szCs w:val="24"/>
          <w:lang w:val="en-ZA"/>
        </w:rPr>
        <w:t>8</w:t>
      </w:r>
      <w:r w:rsidRPr="002613BD">
        <w:rPr>
          <w:rFonts w:ascii="Arial" w:eastAsia="Calibri" w:hAnsi="Arial" w:cs="Arial"/>
          <w:sz w:val="24"/>
          <w:szCs w:val="24"/>
          <w:lang w:val="en-ZA"/>
        </w:rPr>
        <w:t>]</w:t>
      </w:r>
      <w:r w:rsidRPr="002613BD">
        <w:rPr>
          <w:rFonts w:ascii="Arial" w:eastAsia="Calibri" w:hAnsi="Arial" w:cs="Arial"/>
          <w:sz w:val="24"/>
          <w:szCs w:val="24"/>
          <w:lang w:val="en-ZA"/>
        </w:rPr>
        <w:tab/>
      </w:r>
      <w:r w:rsidR="00B45370" w:rsidRPr="002613BD">
        <w:rPr>
          <w:rFonts w:ascii="Arial" w:eastAsia="Calibri" w:hAnsi="Arial" w:cs="Arial"/>
          <w:sz w:val="24"/>
          <w:szCs w:val="24"/>
          <w:lang w:val="en-ZA"/>
        </w:rPr>
        <w:t>Ms Mthethwa</w:t>
      </w:r>
      <w:r w:rsidR="00A858F7" w:rsidRPr="002613BD">
        <w:rPr>
          <w:rFonts w:ascii="Arial" w:eastAsia="Calibri" w:hAnsi="Arial" w:cs="Arial"/>
          <w:sz w:val="24"/>
          <w:szCs w:val="24"/>
          <w:lang w:val="en-ZA"/>
        </w:rPr>
        <w:t xml:space="preserve"> of the AEF</w:t>
      </w:r>
      <w:r w:rsidR="00B45370" w:rsidRPr="002613BD">
        <w:rPr>
          <w:rFonts w:ascii="Arial" w:eastAsia="Calibri" w:hAnsi="Arial" w:cs="Arial"/>
          <w:sz w:val="24"/>
          <w:szCs w:val="24"/>
          <w:lang w:val="en-ZA"/>
        </w:rPr>
        <w:t xml:space="preserve"> filed an explanatory affidavit regarding the </w:t>
      </w:r>
      <w:r w:rsidR="00FB2DDB" w:rsidRPr="002613BD">
        <w:rPr>
          <w:rFonts w:ascii="Arial" w:eastAsia="Calibri" w:hAnsi="Arial" w:cs="Arial"/>
          <w:sz w:val="24"/>
          <w:szCs w:val="24"/>
          <w:lang w:val="en-ZA"/>
        </w:rPr>
        <w:t xml:space="preserve">electronic </w:t>
      </w:r>
      <w:r w:rsidR="00B45370" w:rsidRPr="002613BD">
        <w:rPr>
          <w:rFonts w:ascii="Arial" w:eastAsia="Calibri" w:hAnsi="Arial" w:cs="Arial"/>
          <w:sz w:val="24"/>
          <w:szCs w:val="24"/>
          <w:lang w:val="en-ZA"/>
        </w:rPr>
        <w:t xml:space="preserve">payment </w:t>
      </w:r>
      <w:r w:rsidR="00881BF9" w:rsidRPr="002613BD">
        <w:rPr>
          <w:rFonts w:ascii="Arial" w:eastAsia="Calibri" w:hAnsi="Arial" w:cs="Arial"/>
          <w:sz w:val="24"/>
          <w:szCs w:val="24"/>
          <w:lang w:val="en-ZA"/>
        </w:rPr>
        <w:t xml:space="preserve">purportedly </w:t>
      </w:r>
      <w:r w:rsidR="00B45370" w:rsidRPr="002613BD">
        <w:rPr>
          <w:rFonts w:ascii="Arial" w:eastAsia="Calibri" w:hAnsi="Arial" w:cs="Arial"/>
          <w:sz w:val="24"/>
          <w:szCs w:val="24"/>
          <w:lang w:val="en-ZA"/>
        </w:rPr>
        <w:t>made from Firs</w:t>
      </w:r>
      <w:r w:rsidR="00241B50" w:rsidRPr="002613BD">
        <w:rPr>
          <w:rFonts w:ascii="Arial" w:eastAsia="Calibri" w:hAnsi="Arial" w:cs="Arial"/>
          <w:sz w:val="24"/>
          <w:szCs w:val="24"/>
          <w:lang w:val="en-ZA"/>
        </w:rPr>
        <w:t>t National B</w:t>
      </w:r>
      <w:r w:rsidR="00B45370" w:rsidRPr="002613BD">
        <w:rPr>
          <w:rFonts w:ascii="Arial" w:eastAsia="Calibri" w:hAnsi="Arial" w:cs="Arial"/>
          <w:sz w:val="24"/>
          <w:szCs w:val="24"/>
          <w:lang w:val="en-ZA"/>
        </w:rPr>
        <w:t xml:space="preserve">ank to the bank </w:t>
      </w:r>
      <w:r w:rsidR="00FB2DDB" w:rsidRPr="002613BD">
        <w:rPr>
          <w:rFonts w:ascii="Arial" w:eastAsia="Calibri" w:hAnsi="Arial" w:cs="Arial"/>
          <w:sz w:val="24"/>
          <w:szCs w:val="24"/>
          <w:lang w:val="en-ZA"/>
        </w:rPr>
        <w:t xml:space="preserve">account </w:t>
      </w:r>
      <w:r w:rsidR="00B45370" w:rsidRPr="002613BD">
        <w:rPr>
          <w:rFonts w:ascii="Arial" w:eastAsia="Calibri" w:hAnsi="Arial" w:cs="Arial"/>
          <w:sz w:val="24"/>
          <w:szCs w:val="24"/>
          <w:lang w:val="en-ZA"/>
        </w:rPr>
        <w:t xml:space="preserve">of the IEC. Her affidavit however </w:t>
      </w:r>
      <w:r w:rsidR="00881BF9" w:rsidRPr="002613BD">
        <w:rPr>
          <w:rFonts w:ascii="Arial" w:eastAsia="Calibri" w:hAnsi="Arial" w:cs="Arial"/>
          <w:sz w:val="24"/>
          <w:szCs w:val="24"/>
          <w:lang w:val="en-ZA"/>
        </w:rPr>
        <w:t>contradicts</w:t>
      </w:r>
      <w:r w:rsidR="00B45370" w:rsidRPr="002613BD">
        <w:rPr>
          <w:rFonts w:ascii="Arial" w:eastAsia="Calibri" w:hAnsi="Arial" w:cs="Arial"/>
          <w:sz w:val="24"/>
          <w:szCs w:val="24"/>
          <w:lang w:val="en-ZA"/>
        </w:rPr>
        <w:t xml:space="preserve"> the founding affidavit. In paragraph 6 of her affidavit she states that the bank was </w:t>
      </w:r>
      <w:r w:rsidR="00881BF9" w:rsidRPr="002613BD">
        <w:rPr>
          <w:rFonts w:ascii="Arial" w:eastAsia="Calibri" w:hAnsi="Arial" w:cs="Arial"/>
          <w:sz w:val="24"/>
          <w:szCs w:val="24"/>
          <w:lang w:val="en-ZA"/>
        </w:rPr>
        <w:t xml:space="preserve">already </w:t>
      </w:r>
      <w:r w:rsidR="00B45370" w:rsidRPr="002613BD">
        <w:rPr>
          <w:rFonts w:ascii="Arial" w:eastAsia="Calibri" w:hAnsi="Arial" w:cs="Arial"/>
          <w:sz w:val="24"/>
          <w:szCs w:val="24"/>
          <w:lang w:val="en-ZA"/>
        </w:rPr>
        <w:t xml:space="preserve">closed when it was discovered that there was a reversal of the payment. According to the founding affidavit </w:t>
      </w:r>
      <w:r w:rsidR="00FB2DDB" w:rsidRPr="002613BD">
        <w:rPr>
          <w:rFonts w:ascii="Arial" w:eastAsia="Calibri" w:hAnsi="Arial" w:cs="Arial"/>
          <w:sz w:val="24"/>
          <w:szCs w:val="24"/>
          <w:lang w:val="en-ZA"/>
        </w:rPr>
        <w:t>Ms</w:t>
      </w:r>
      <w:r w:rsidR="00B45370" w:rsidRPr="002613BD">
        <w:rPr>
          <w:rFonts w:ascii="Arial" w:eastAsia="Calibri" w:hAnsi="Arial" w:cs="Arial"/>
          <w:sz w:val="24"/>
          <w:szCs w:val="24"/>
          <w:lang w:val="en-ZA"/>
        </w:rPr>
        <w:t xml:space="preserve"> Mthethwa became aware on 8 March that payment h</w:t>
      </w:r>
      <w:r w:rsidR="00A905E7" w:rsidRPr="002613BD">
        <w:rPr>
          <w:rFonts w:ascii="Arial" w:eastAsia="Calibri" w:hAnsi="Arial" w:cs="Arial"/>
          <w:sz w:val="24"/>
          <w:szCs w:val="24"/>
          <w:lang w:val="en-ZA"/>
        </w:rPr>
        <w:t xml:space="preserve">ad been reversed and informed </w:t>
      </w:r>
      <w:r w:rsidR="00B45370" w:rsidRPr="002613BD">
        <w:rPr>
          <w:rFonts w:ascii="Arial" w:eastAsia="Calibri" w:hAnsi="Arial" w:cs="Arial"/>
          <w:sz w:val="24"/>
          <w:szCs w:val="24"/>
          <w:lang w:val="en-ZA"/>
        </w:rPr>
        <w:t>Ms Zulu</w:t>
      </w:r>
      <w:r w:rsidR="00A858F7" w:rsidRPr="002613BD">
        <w:rPr>
          <w:rFonts w:ascii="Arial" w:eastAsia="Calibri" w:hAnsi="Arial" w:cs="Arial"/>
          <w:sz w:val="24"/>
          <w:szCs w:val="24"/>
          <w:lang w:val="en-ZA"/>
        </w:rPr>
        <w:t>, also a member of the party</w:t>
      </w:r>
      <w:r w:rsidR="00A905E7" w:rsidRPr="002613BD">
        <w:rPr>
          <w:rFonts w:ascii="Arial" w:eastAsia="Calibri" w:hAnsi="Arial" w:cs="Arial"/>
          <w:sz w:val="24"/>
          <w:szCs w:val="24"/>
          <w:lang w:val="en-ZA"/>
        </w:rPr>
        <w:t xml:space="preserve">. The latter </w:t>
      </w:r>
      <w:r w:rsidR="00B45370" w:rsidRPr="002613BD">
        <w:rPr>
          <w:rFonts w:ascii="Arial" w:eastAsia="Calibri" w:hAnsi="Arial" w:cs="Arial"/>
          <w:sz w:val="24"/>
          <w:szCs w:val="24"/>
          <w:lang w:val="en-ZA"/>
        </w:rPr>
        <w:t xml:space="preserve">then inquired </w:t>
      </w:r>
      <w:r w:rsidR="0078025D" w:rsidRPr="002613BD">
        <w:rPr>
          <w:rFonts w:ascii="Arial" w:eastAsia="Calibri" w:hAnsi="Arial" w:cs="Arial"/>
          <w:sz w:val="24"/>
          <w:szCs w:val="24"/>
          <w:lang w:val="en-ZA"/>
        </w:rPr>
        <w:t>from</w:t>
      </w:r>
      <w:r w:rsidR="00B45370" w:rsidRPr="002613BD">
        <w:rPr>
          <w:rFonts w:ascii="Arial" w:eastAsia="Calibri" w:hAnsi="Arial" w:cs="Arial"/>
          <w:sz w:val="24"/>
          <w:szCs w:val="24"/>
          <w:lang w:val="en-ZA"/>
        </w:rPr>
        <w:t xml:space="preserve"> the bank </w:t>
      </w:r>
      <w:r w:rsidR="0078025D" w:rsidRPr="002613BD">
        <w:rPr>
          <w:rFonts w:ascii="Arial" w:eastAsia="Calibri" w:hAnsi="Arial" w:cs="Arial"/>
          <w:sz w:val="24"/>
          <w:szCs w:val="24"/>
          <w:lang w:val="en-ZA"/>
        </w:rPr>
        <w:t>about the reversal.</w:t>
      </w:r>
      <w:r w:rsidR="005F0B29" w:rsidRPr="002613BD">
        <w:rPr>
          <w:rStyle w:val="FootnoteReference"/>
          <w:rFonts w:ascii="Arial" w:eastAsia="Calibri" w:hAnsi="Arial" w:cs="Arial"/>
          <w:sz w:val="24"/>
          <w:szCs w:val="24"/>
          <w:lang w:val="en-ZA"/>
        </w:rPr>
        <w:footnoteReference w:id="7"/>
      </w:r>
      <w:r w:rsidR="00B45370" w:rsidRPr="002613BD">
        <w:rPr>
          <w:rFonts w:ascii="Arial" w:eastAsia="Calibri" w:hAnsi="Arial" w:cs="Arial"/>
          <w:sz w:val="24"/>
          <w:szCs w:val="24"/>
          <w:lang w:val="en-ZA"/>
        </w:rPr>
        <w:t xml:space="preserve"> She was then informed that the transaction was for a large amount and was withheld by the fraud department until the funds could be cleared.</w:t>
      </w:r>
      <w:r w:rsidR="00241B50" w:rsidRPr="002613BD">
        <w:rPr>
          <w:rFonts w:ascii="Arial" w:eastAsia="Calibri" w:hAnsi="Arial" w:cs="Arial"/>
          <w:sz w:val="24"/>
          <w:szCs w:val="24"/>
          <w:lang w:val="en-ZA"/>
        </w:rPr>
        <w:t xml:space="preserve"> No confirmatory affidavit was filed of Ms Zulu.</w:t>
      </w:r>
    </w:p>
    <w:p w14:paraId="2D1E61B8" w14:textId="77777777" w:rsidR="002110B7" w:rsidRPr="002613BD" w:rsidRDefault="002110B7" w:rsidP="00AA6950">
      <w:pPr>
        <w:widowControl w:val="0"/>
        <w:spacing w:after="0" w:line="360" w:lineRule="auto"/>
        <w:ind w:left="720" w:hanging="720"/>
        <w:contextualSpacing/>
        <w:jc w:val="both"/>
        <w:rPr>
          <w:rFonts w:ascii="Arial" w:eastAsia="Calibri" w:hAnsi="Arial" w:cs="Arial"/>
          <w:sz w:val="24"/>
          <w:szCs w:val="24"/>
          <w:lang w:val="en-ZA"/>
        </w:rPr>
      </w:pPr>
    </w:p>
    <w:p w14:paraId="019790E3" w14:textId="6A1E843F" w:rsidR="002110B7" w:rsidRPr="002613BD" w:rsidRDefault="00B26B80"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4446DF" w:rsidRPr="002613BD">
        <w:rPr>
          <w:rFonts w:ascii="Arial" w:eastAsia="Calibri" w:hAnsi="Arial" w:cs="Arial"/>
          <w:sz w:val="24"/>
          <w:szCs w:val="24"/>
          <w:lang w:val="en-ZA"/>
        </w:rPr>
        <w:t>9</w:t>
      </w:r>
      <w:r w:rsidRPr="002613BD">
        <w:rPr>
          <w:rFonts w:ascii="Arial" w:eastAsia="Calibri" w:hAnsi="Arial" w:cs="Arial"/>
          <w:sz w:val="24"/>
          <w:szCs w:val="24"/>
          <w:lang w:val="en-ZA"/>
        </w:rPr>
        <w:t>]</w:t>
      </w:r>
      <w:r w:rsidRPr="002613BD">
        <w:rPr>
          <w:rFonts w:ascii="Arial" w:eastAsia="Calibri" w:hAnsi="Arial" w:cs="Arial"/>
          <w:sz w:val="24"/>
          <w:szCs w:val="24"/>
          <w:lang w:val="en-ZA"/>
        </w:rPr>
        <w:tab/>
      </w:r>
      <w:r w:rsidR="00A858F7" w:rsidRPr="002613BD">
        <w:rPr>
          <w:rFonts w:ascii="Arial" w:eastAsia="Calibri" w:hAnsi="Arial" w:cs="Arial"/>
          <w:sz w:val="24"/>
          <w:szCs w:val="24"/>
          <w:lang w:val="en-ZA"/>
        </w:rPr>
        <w:t xml:space="preserve">The </w:t>
      </w:r>
      <w:r w:rsidR="002110B7" w:rsidRPr="002613BD">
        <w:rPr>
          <w:rFonts w:ascii="Arial" w:eastAsia="Calibri" w:hAnsi="Arial" w:cs="Arial"/>
          <w:sz w:val="24"/>
          <w:szCs w:val="24"/>
          <w:lang w:val="en-ZA"/>
        </w:rPr>
        <w:t xml:space="preserve">AEF further avers that no communication was received from the </w:t>
      </w:r>
      <w:r w:rsidR="00DD5153" w:rsidRPr="002613BD">
        <w:rPr>
          <w:rFonts w:ascii="Arial" w:eastAsia="Calibri" w:hAnsi="Arial" w:cs="Arial"/>
          <w:sz w:val="24"/>
          <w:szCs w:val="24"/>
          <w:lang w:val="en-ZA"/>
        </w:rPr>
        <w:t xml:space="preserve">IEC. It was only on </w:t>
      </w:r>
      <w:r w:rsidR="002110B7" w:rsidRPr="002613BD">
        <w:rPr>
          <w:rFonts w:ascii="Arial" w:eastAsia="Calibri" w:hAnsi="Arial" w:cs="Arial"/>
          <w:sz w:val="24"/>
          <w:szCs w:val="24"/>
          <w:lang w:val="en-ZA"/>
        </w:rPr>
        <w:t xml:space="preserve">26 March 2024 when the lists of party candidates were published by the </w:t>
      </w:r>
      <w:r w:rsidR="00DD5153" w:rsidRPr="002613BD">
        <w:rPr>
          <w:rFonts w:ascii="Arial" w:eastAsia="Calibri" w:hAnsi="Arial" w:cs="Arial"/>
          <w:sz w:val="24"/>
          <w:szCs w:val="24"/>
          <w:lang w:val="en-ZA"/>
        </w:rPr>
        <w:t xml:space="preserve">IEC, that </w:t>
      </w:r>
      <w:r w:rsidR="00AA6950" w:rsidRPr="002613BD">
        <w:rPr>
          <w:rFonts w:ascii="Arial" w:eastAsia="Calibri" w:hAnsi="Arial" w:cs="Arial"/>
          <w:sz w:val="24"/>
          <w:szCs w:val="24"/>
          <w:lang w:val="en-ZA"/>
        </w:rPr>
        <w:t>the AEF</w:t>
      </w:r>
      <w:r w:rsidR="00DD5153" w:rsidRPr="002613BD">
        <w:rPr>
          <w:rFonts w:ascii="Arial" w:eastAsia="Calibri" w:hAnsi="Arial" w:cs="Arial"/>
          <w:sz w:val="24"/>
          <w:szCs w:val="24"/>
          <w:lang w:val="en-ZA"/>
        </w:rPr>
        <w:t xml:space="preserve"> noticed that it</w:t>
      </w:r>
      <w:r w:rsidR="002110B7" w:rsidRPr="002613BD">
        <w:rPr>
          <w:rFonts w:ascii="Arial" w:eastAsia="Calibri" w:hAnsi="Arial" w:cs="Arial"/>
          <w:sz w:val="24"/>
          <w:szCs w:val="24"/>
          <w:lang w:val="en-ZA"/>
        </w:rPr>
        <w:t xml:space="preserve"> was not amongst those published</w:t>
      </w:r>
      <w:r w:rsidR="005A32EF" w:rsidRPr="002613BD">
        <w:rPr>
          <w:rFonts w:ascii="Arial" w:eastAsia="Calibri" w:hAnsi="Arial" w:cs="Arial"/>
          <w:sz w:val="24"/>
          <w:szCs w:val="24"/>
          <w:lang w:val="en-ZA"/>
        </w:rPr>
        <w:t xml:space="preserve">. The </w:t>
      </w:r>
      <w:r w:rsidR="00DD5153" w:rsidRPr="002613BD">
        <w:rPr>
          <w:rFonts w:ascii="Arial" w:eastAsia="Calibri" w:hAnsi="Arial" w:cs="Arial"/>
          <w:sz w:val="24"/>
          <w:szCs w:val="24"/>
          <w:lang w:val="en-ZA"/>
        </w:rPr>
        <w:t>IEC</w:t>
      </w:r>
      <w:r w:rsidR="005A32EF" w:rsidRPr="002613BD">
        <w:rPr>
          <w:rFonts w:ascii="Arial" w:eastAsia="Calibri" w:hAnsi="Arial" w:cs="Arial"/>
          <w:sz w:val="24"/>
          <w:szCs w:val="24"/>
          <w:lang w:val="en-ZA"/>
        </w:rPr>
        <w:t xml:space="preserve"> advised the AEF that it had been disqualified since the deposit amount was not reflected in the account of t</w:t>
      </w:r>
      <w:r w:rsidR="004172A9" w:rsidRPr="002613BD">
        <w:rPr>
          <w:rFonts w:ascii="Arial" w:eastAsia="Calibri" w:hAnsi="Arial" w:cs="Arial"/>
          <w:sz w:val="24"/>
          <w:szCs w:val="24"/>
          <w:lang w:val="en-ZA"/>
        </w:rPr>
        <w:t>he IEC</w:t>
      </w:r>
      <w:r w:rsidR="005A32EF" w:rsidRPr="002613BD">
        <w:rPr>
          <w:rFonts w:ascii="Arial" w:eastAsia="Calibri" w:hAnsi="Arial" w:cs="Arial"/>
          <w:sz w:val="24"/>
          <w:szCs w:val="24"/>
          <w:lang w:val="en-ZA"/>
        </w:rPr>
        <w:t xml:space="preserve">. The AEF was advised to file an objection </w:t>
      </w:r>
      <w:r w:rsidR="004172A9" w:rsidRPr="002613BD">
        <w:rPr>
          <w:rFonts w:ascii="Arial" w:eastAsia="Calibri" w:hAnsi="Arial" w:cs="Arial"/>
          <w:sz w:val="24"/>
          <w:szCs w:val="24"/>
          <w:lang w:val="en-ZA"/>
        </w:rPr>
        <w:t>and to do so timeously.</w:t>
      </w:r>
    </w:p>
    <w:p w14:paraId="2E9DFB0E" w14:textId="77777777" w:rsidR="005A32EF" w:rsidRPr="002613BD" w:rsidRDefault="005A32EF" w:rsidP="00AA6950">
      <w:pPr>
        <w:widowControl w:val="0"/>
        <w:spacing w:after="0" w:line="360" w:lineRule="auto"/>
        <w:ind w:left="720" w:hanging="720"/>
        <w:contextualSpacing/>
        <w:jc w:val="both"/>
        <w:rPr>
          <w:rFonts w:ascii="Arial" w:eastAsia="Calibri" w:hAnsi="Arial" w:cs="Arial"/>
          <w:sz w:val="24"/>
          <w:szCs w:val="24"/>
          <w:lang w:val="en-ZA"/>
        </w:rPr>
      </w:pPr>
    </w:p>
    <w:p w14:paraId="26459C68" w14:textId="74AE3283" w:rsidR="005A32EF" w:rsidRPr="002613BD" w:rsidRDefault="00B26B80"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4446DF" w:rsidRPr="002613BD">
        <w:rPr>
          <w:rFonts w:ascii="Arial" w:eastAsia="Calibri" w:hAnsi="Arial" w:cs="Arial"/>
          <w:sz w:val="24"/>
          <w:szCs w:val="24"/>
          <w:lang w:val="en-ZA"/>
        </w:rPr>
        <w:t>10</w:t>
      </w:r>
      <w:r w:rsidRPr="002613BD">
        <w:rPr>
          <w:rFonts w:ascii="Arial" w:eastAsia="Calibri" w:hAnsi="Arial" w:cs="Arial"/>
          <w:sz w:val="24"/>
          <w:szCs w:val="24"/>
          <w:lang w:val="en-ZA"/>
        </w:rPr>
        <w:t>]</w:t>
      </w:r>
      <w:r w:rsidRPr="002613BD">
        <w:rPr>
          <w:rFonts w:ascii="Arial" w:eastAsia="Calibri" w:hAnsi="Arial" w:cs="Arial"/>
          <w:sz w:val="24"/>
          <w:szCs w:val="24"/>
          <w:lang w:val="en-ZA"/>
        </w:rPr>
        <w:tab/>
      </w:r>
      <w:r w:rsidR="005A32EF" w:rsidRPr="002613BD">
        <w:rPr>
          <w:rFonts w:ascii="Arial" w:eastAsia="Calibri" w:hAnsi="Arial" w:cs="Arial"/>
          <w:sz w:val="24"/>
          <w:szCs w:val="24"/>
          <w:lang w:val="en-ZA"/>
        </w:rPr>
        <w:t xml:space="preserve">On 28 March, the AEF received correspondence from the </w:t>
      </w:r>
      <w:r w:rsidR="00A858F7" w:rsidRPr="002613BD">
        <w:rPr>
          <w:rFonts w:ascii="Arial" w:eastAsia="Calibri" w:hAnsi="Arial" w:cs="Arial"/>
          <w:sz w:val="24"/>
          <w:szCs w:val="24"/>
          <w:lang w:val="en-ZA"/>
        </w:rPr>
        <w:t>IEC</w:t>
      </w:r>
      <w:r w:rsidR="005A32EF" w:rsidRPr="002613BD">
        <w:rPr>
          <w:rFonts w:ascii="Arial" w:eastAsia="Calibri" w:hAnsi="Arial" w:cs="Arial"/>
          <w:sz w:val="24"/>
          <w:szCs w:val="24"/>
          <w:lang w:val="en-ZA"/>
        </w:rPr>
        <w:t xml:space="preserve"> stating that the failure to pay the deposit</w:t>
      </w:r>
      <w:r w:rsidR="004172A9" w:rsidRPr="002613BD">
        <w:rPr>
          <w:rFonts w:ascii="Arial" w:eastAsia="Calibri" w:hAnsi="Arial" w:cs="Arial"/>
          <w:sz w:val="24"/>
          <w:szCs w:val="24"/>
          <w:lang w:val="en-ZA"/>
        </w:rPr>
        <w:t xml:space="preserve"> in accordance with the deadline in the timetable </w:t>
      </w:r>
      <w:r w:rsidR="005A32EF" w:rsidRPr="002613BD">
        <w:rPr>
          <w:rFonts w:ascii="Arial" w:eastAsia="Calibri" w:hAnsi="Arial" w:cs="Arial"/>
          <w:sz w:val="24"/>
          <w:szCs w:val="24"/>
          <w:lang w:val="en-ZA"/>
        </w:rPr>
        <w:t xml:space="preserve">could not be remedied. The objection filed by the AEF was not upheld by the </w:t>
      </w:r>
      <w:r w:rsidR="00A858F7" w:rsidRPr="002613BD">
        <w:rPr>
          <w:rFonts w:ascii="Arial" w:eastAsia="Calibri" w:hAnsi="Arial" w:cs="Arial"/>
          <w:sz w:val="24"/>
          <w:szCs w:val="24"/>
          <w:lang w:val="en-ZA"/>
        </w:rPr>
        <w:t>IEC</w:t>
      </w:r>
      <w:r w:rsidR="005A32EF" w:rsidRPr="002613BD">
        <w:rPr>
          <w:rFonts w:ascii="Arial" w:eastAsia="Calibri" w:hAnsi="Arial" w:cs="Arial"/>
          <w:sz w:val="24"/>
          <w:szCs w:val="24"/>
          <w:lang w:val="en-ZA"/>
        </w:rPr>
        <w:t>. The AEF was advised to refer th</w:t>
      </w:r>
      <w:r w:rsidR="00DD5153" w:rsidRPr="002613BD">
        <w:rPr>
          <w:rFonts w:ascii="Arial" w:eastAsia="Calibri" w:hAnsi="Arial" w:cs="Arial"/>
          <w:sz w:val="24"/>
          <w:szCs w:val="24"/>
          <w:lang w:val="en-ZA"/>
        </w:rPr>
        <w:t>e matter to the Electoral Court within the prescribed time.</w:t>
      </w:r>
    </w:p>
    <w:p w14:paraId="19B566B3" w14:textId="77777777" w:rsidR="00152430" w:rsidRPr="002613BD" w:rsidRDefault="00152430" w:rsidP="00AA6950">
      <w:pPr>
        <w:widowControl w:val="0"/>
        <w:spacing w:after="0" w:line="360" w:lineRule="auto"/>
        <w:contextualSpacing/>
        <w:jc w:val="both"/>
        <w:rPr>
          <w:rFonts w:ascii="Arial" w:eastAsia="Calibri" w:hAnsi="Arial" w:cs="Arial"/>
          <w:sz w:val="24"/>
          <w:szCs w:val="24"/>
          <w:lang w:val="en-ZA"/>
        </w:rPr>
      </w:pPr>
    </w:p>
    <w:p w14:paraId="578E04B1" w14:textId="249CD088" w:rsidR="005A32EF" w:rsidRPr="002613BD" w:rsidRDefault="005A32EF"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AA6950" w:rsidRPr="002613BD">
        <w:rPr>
          <w:rFonts w:ascii="Arial" w:eastAsia="Calibri" w:hAnsi="Arial" w:cs="Arial"/>
          <w:sz w:val="24"/>
          <w:szCs w:val="24"/>
          <w:lang w:val="en-ZA"/>
        </w:rPr>
        <w:t>1</w:t>
      </w:r>
      <w:r w:rsidR="004446DF" w:rsidRPr="002613BD">
        <w:rPr>
          <w:rFonts w:ascii="Arial" w:eastAsia="Calibri" w:hAnsi="Arial" w:cs="Arial"/>
          <w:sz w:val="24"/>
          <w:szCs w:val="24"/>
          <w:lang w:val="en-ZA"/>
        </w:rPr>
        <w:t>1</w:t>
      </w:r>
      <w:r w:rsidRPr="002613BD">
        <w:rPr>
          <w:rFonts w:ascii="Arial" w:eastAsia="Calibri" w:hAnsi="Arial" w:cs="Arial"/>
          <w:sz w:val="24"/>
          <w:szCs w:val="24"/>
          <w:lang w:val="en-ZA"/>
        </w:rPr>
        <w:t>]</w:t>
      </w:r>
      <w:r w:rsidRPr="002613BD">
        <w:rPr>
          <w:rFonts w:ascii="Arial" w:eastAsia="Calibri" w:hAnsi="Arial" w:cs="Arial"/>
          <w:sz w:val="24"/>
          <w:szCs w:val="24"/>
          <w:lang w:val="en-ZA"/>
        </w:rPr>
        <w:tab/>
        <w:t xml:space="preserve">The version </w:t>
      </w:r>
      <w:r w:rsidR="00DD5153" w:rsidRPr="002613BD">
        <w:rPr>
          <w:rFonts w:ascii="Arial" w:eastAsia="Calibri" w:hAnsi="Arial" w:cs="Arial"/>
          <w:sz w:val="24"/>
          <w:szCs w:val="24"/>
          <w:lang w:val="en-ZA"/>
        </w:rPr>
        <w:t xml:space="preserve">of the IEC </w:t>
      </w:r>
      <w:r w:rsidRPr="002613BD">
        <w:rPr>
          <w:rFonts w:ascii="Arial" w:eastAsia="Calibri" w:hAnsi="Arial" w:cs="Arial"/>
          <w:sz w:val="24"/>
          <w:szCs w:val="24"/>
          <w:lang w:val="en-ZA"/>
        </w:rPr>
        <w:t>is straight forward</w:t>
      </w:r>
      <w:r w:rsidR="004172A9" w:rsidRPr="002613BD">
        <w:rPr>
          <w:rFonts w:ascii="Arial" w:eastAsia="Calibri" w:hAnsi="Arial" w:cs="Arial"/>
          <w:sz w:val="24"/>
          <w:szCs w:val="24"/>
          <w:lang w:val="en-ZA"/>
        </w:rPr>
        <w:t>. I</w:t>
      </w:r>
      <w:r w:rsidR="00DD5153" w:rsidRPr="002613BD">
        <w:rPr>
          <w:rFonts w:ascii="Arial" w:eastAsia="Calibri" w:hAnsi="Arial" w:cs="Arial"/>
          <w:sz w:val="24"/>
          <w:szCs w:val="24"/>
          <w:lang w:val="en-ZA"/>
        </w:rPr>
        <w:t>t states that in</w:t>
      </w:r>
      <w:r w:rsidR="00B26B80" w:rsidRPr="002613BD">
        <w:rPr>
          <w:rFonts w:ascii="Arial" w:eastAsia="Calibri" w:hAnsi="Arial" w:cs="Arial"/>
          <w:sz w:val="24"/>
          <w:szCs w:val="24"/>
          <w:lang w:val="en-ZA"/>
        </w:rPr>
        <w:t xml:space="preserve">asmuch </w:t>
      </w:r>
      <w:r w:rsidRPr="002613BD">
        <w:rPr>
          <w:rFonts w:ascii="Arial" w:eastAsia="Calibri" w:hAnsi="Arial" w:cs="Arial"/>
          <w:sz w:val="24"/>
          <w:szCs w:val="24"/>
          <w:lang w:val="en-ZA"/>
        </w:rPr>
        <w:t xml:space="preserve">as payment was attempted by the AEF on 8 March 2024, the date of the deadline, the payment was </w:t>
      </w:r>
      <w:r w:rsidRPr="002613BD">
        <w:rPr>
          <w:rFonts w:ascii="Arial" w:eastAsia="Calibri" w:hAnsi="Arial" w:cs="Arial"/>
          <w:sz w:val="24"/>
          <w:szCs w:val="24"/>
          <w:lang w:val="en-ZA"/>
        </w:rPr>
        <w:lastRenderedPageBreak/>
        <w:t>reversed by the bank and handed over to the</w:t>
      </w:r>
      <w:r w:rsidR="00B26B80" w:rsidRPr="002613BD">
        <w:rPr>
          <w:rFonts w:ascii="Arial" w:eastAsia="Calibri" w:hAnsi="Arial" w:cs="Arial"/>
          <w:sz w:val="24"/>
          <w:szCs w:val="24"/>
          <w:lang w:val="en-ZA"/>
        </w:rPr>
        <w:t xml:space="preserve"> bank’s</w:t>
      </w:r>
      <w:r w:rsidRPr="002613BD">
        <w:rPr>
          <w:rFonts w:ascii="Arial" w:eastAsia="Calibri" w:hAnsi="Arial" w:cs="Arial"/>
          <w:sz w:val="24"/>
          <w:szCs w:val="24"/>
          <w:lang w:val="en-ZA"/>
        </w:rPr>
        <w:t xml:space="preserve"> fraud department for further investigation. The </w:t>
      </w:r>
      <w:r w:rsidR="00A858F7" w:rsidRPr="002613BD">
        <w:rPr>
          <w:rFonts w:ascii="Arial" w:eastAsia="Calibri" w:hAnsi="Arial" w:cs="Arial"/>
          <w:sz w:val="24"/>
          <w:szCs w:val="24"/>
          <w:lang w:val="en-ZA"/>
        </w:rPr>
        <w:t>IEC</w:t>
      </w:r>
      <w:r w:rsidR="00B26B80" w:rsidRPr="002613BD">
        <w:rPr>
          <w:rFonts w:ascii="Arial" w:eastAsia="Calibri" w:hAnsi="Arial" w:cs="Arial"/>
          <w:sz w:val="24"/>
          <w:szCs w:val="24"/>
          <w:lang w:val="en-ZA"/>
        </w:rPr>
        <w:t xml:space="preserve"> </w:t>
      </w:r>
      <w:r w:rsidRPr="002613BD">
        <w:rPr>
          <w:rFonts w:ascii="Arial" w:eastAsia="Calibri" w:hAnsi="Arial" w:cs="Arial"/>
          <w:sz w:val="24"/>
          <w:szCs w:val="24"/>
          <w:lang w:val="en-ZA"/>
        </w:rPr>
        <w:t>explains that while the bank statement records</w:t>
      </w:r>
      <w:r w:rsidR="00B26342" w:rsidRPr="002613BD">
        <w:rPr>
          <w:rFonts w:ascii="Arial" w:eastAsia="Calibri" w:hAnsi="Arial" w:cs="Arial"/>
          <w:sz w:val="24"/>
          <w:szCs w:val="24"/>
          <w:lang w:val="en-ZA"/>
        </w:rPr>
        <w:t xml:space="preserve"> of the third party records a</w:t>
      </w:r>
      <w:r w:rsidRPr="002613BD">
        <w:rPr>
          <w:rFonts w:ascii="Arial" w:eastAsia="Calibri" w:hAnsi="Arial" w:cs="Arial"/>
          <w:sz w:val="24"/>
          <w:szCs w:val="24"/>
          <w:lang w:val="en-ZA"/>
        </w:rPr>
        <w:t xml:space="preserve"> ‘reversal’</w:t>
      </w:r>
      <w:r w:rsidR="00BC4C9A" w:rsidRPr="002613BD">
        <w:rPr>
          <w:rFonts w:ascii="Arial" w:eastAsia="Calibri" w:hAnsi="Arial" w:cs="Arial"/>
          <w:sz w:val="24"/>
          <w:szCs w:val="24"/>
          <w:lang w:val="en-ZA"/>
        </w:rPr>
        <w:t xml:space="preserve"> – the money was never paid into the </w:t>
      </w:r>
      <w:r w:rsidR="00A858F7" w:rsidRPr="002613BD">
        <w:rPr>
          <w:rFonts w:ascii="Arial" w:eastAsia="Calibri" w:hAnsi="Arial" w:cs="Arial"/>
          <w:sz w:val="24"/>
          <w:szCs w:val="24"/>
          <w:lang w:val="en-ZA"/>
        </w:rPr>
        <w:t>IEC</w:t>
      </w:r>
      <w:r w:rsidR="00BC4C9A" w:rsidRPr="002613BD">
        <w:rPr>
          <w:rFonts w:ascii="Arial" w:eastAsia="Calibri" w:hAnsi="Arial" w:cs="Arial"/>
          <w:sz w:val="24"/>
          <w:szCs w:val="24"/>
          <w:lang w:val="en-ZA"/>
        </w:rPr>
        <w:t>’s bank account. At 17h00 on 8 March 2024, the</w:t>
      </w:r>
      <w:r w:rsidR="00B26342" w:rsidRPr="002613BD">
        <w:rPr>
          <w:rFonts w:ascii="Arial" w:eastAsia="Calibri" w:hAnsi="Arial" w:cs="Arial"/>
          <w:sz w:val="24"/>
          <w:szCs w:val="24"/>
          <w:lang w:val="en-ZA"/>
        </w:rPr>
        <w:t>re was no</w:t>
      </w:r>
      <w:r w:rsidR="00BC4C9A" w:rsidRPr="002613BD">
        <w:rPr>
          <w:rFonts w:ascii="Arial" w:eastAsia="Calibri" w:hAnsi="Arial" w:cs="Arial"/>
          <w:sz w:val="24"/>
          <w:szCs w:val="24"/>
          <w:lang w:val="en-ZA"/>
        </w:rPr>
        <w:t xml:space="preserve"> deposit paid</w:t>
      </w:r>
      <w:r w:rsidR="00ED29EF" w:rsidRPr="002613BD">
        <w:rPr>
          <w:rFonts w:ascii="Arial" w:eastAsia="Calibri" w:hAnsi="Arial" w:cs="Arial"/>
          <w:sz w:val="24"/>
          <w:szCs w:val="24"/>
          <w:lang w:val="en-ZA"/>
        </w:rPr>
        <w:t xml:space="preserve"> </w:t>
      </w:r>
      <w:r w:rsidR="00A905E7" w:rsidRPr="002613BD">
        <w:rPr>
          <w:rFonts w:ascii="Arial" w:eastAsia="Calibri" w:hAnsi="Arial" w:cs="Arial"/>
          <w:sz w:val="24"/>
          <w:szCs w:val="24"/>
          <w:lang w:val="en-ZA"/>
        </w:rPr>
        <w:t>in</w:t>
      </w:r>
      <w:r w:rsidR="00BC4C9A" w:rsidRPr="002613BD">
        <w:rPr>
          <w:rFonts w:ascii="Arial" w:eastAsia="Calibri" w:hAnsi="Arial" w:cs="Arial"/>
          <w:sz w:val="24"/>
          <w:szCs w:val="24"/>
          <w:lang w:val="en-ZA"/>
        </w:rPr>
        <w:t xml:space="preserve">to the </w:t>
      </w:r>
      <w:r w:rsidR="00A905E7" w:rsidRPr="002613BD">
        <w:rPr>
          <w:rFonts w:ascii="Arial" w:eastAsia="Calibri" w:hAnsi="Arial" w:cs="Arial"/>
          <w:sz w:val="24"/>
          <w:szCs w:val="24"/>
          <w:lang w:val="en-ZA"/>
        </w:rPr>
        <w:t>IEC’s account.</w:t>
      </w:r>
      <w:r w:rsidR="00BC4C9A" w:rsidRPr="002613BD">
        <w:rPr>
          <w:rFonts w:ascii="Arial" w:eastAsia="Calibri" w:hAnsi="Arial" w:cs="Arial"/>
          <w:sz w:val="24"/>
          <w:szCs w:val="24"/>
          <w:lang w:val="en-ZA"/>
        </w:rPr>
        <w:t xml:space="preserve"> Most importantly, the </w:t>
      </w:r>
      <w:r w:rsidR="00A858F7" w:rsidRPr="002613BD">
        <w:rPr>
          <w:rFonts w:ascii="Arial" w:eastAsia="Calibri" w:hAnsi="Arial" w:cs="Arial"/>
          <w:sz w:val="24"/>
          <w:szCs w:val="24"/>
          <w:lang w:val="en-ZA"/>
        </w:rPr>
        <w:t>IEC</w:t>
      </w:r>
      <w:r w:rsidR="00BC4C9A" w:rsidRPr="002613BD">
        <w:rPr>
          <w:rFonts w:ascii="Arial" w:eastAsia="Calibri" w:hAnsi="Arial" w:cs="Arial"/>
          <w:sz w:val="24"/>
          <w:szCs w:val="24"/>
          <w:lang w:val="en-ZA"/>
        </w:rPr>
        <w:t xml:space="preserve"> </w:t>
      </w:r>
      <w:r w:rsidR="00ED29EF" w:rsidRPr="002613BD">
        <w:rPr>
          <w:rFonts w:ascii="Arial" w:eastAsia="Calibri" w:hAnsi="Arial" w:cs="Arial"/>
          <w:sz w:val="24"/>
          <w:szCs w:val="24"/>
          <w:lang w:val="en-ZA"/>
        </w:rPr>
        <w:t>states</w:t>
      </w:r>
      <w:r w:rsidR="00BC4C9A" w:rsidRPr="002613BD">
        <w:rPr>
          <w:rFonts w:ascii="Arial" w:eastAsia="Calibri" w:hAnsi="Arial" w:cs="Arial"/>
          <w:sz w:val="24"/>
          <w:szCs w:val="24"/>
          <w:lang w:val="en-ZA"/>
        </w:rPr>
        <w:t xml:space="preserve"> that it has no power to condone</w:t>
      </w:r>
      <w:r w:rsidR="00ED29EF" w:rsidRPr="002613BD">
        <w:rPr>
          <w:rFonts w:ascii="Arial" w:eastAsia="Calibri" w:hAnsi="Arial" w:cs="Arial"/>
          <w:sz w:val="24"/>
          <w:szCs w:val="24"/>
          <w:lang w:val="en-ZA"/>
        </w:rPr>
        <w:t xml:space="preserve"> any</w:t>
      </w:r>
      <w:r w:rsidR="00BC4C9A" w:rsidRPr="002613BD">
        <w:rPr>
          <w:rFonts w:ascii="Arial" w:eastAsia="Calibri" w:hAnsi="Arial" w:cs="Arial"/>
          <w:sz w:val="24"/>
          <w:szCs w:val="24"/>
          <w:lang w:val="en-ZA"/>
        </w:rPr>
        <w:t xml:space="preserve"> non-compliance with the deadlines set</w:t>
      </w:r>
      <w:r w:rsidR="00B26342" w:rsidRPr="002613BD">
        <w:rPr>
          <w:rFonts w:ascii="Arial" w:eastAsia="Calibri" w:hAnsi="Arial" w:cs="Arial"/>
          <w:sz w:val="24"/>
          <w:szCs w:val="24"/>
          <w:lang w:val="en-ZA"/>
        </w:rPr>
        <w:t xml:space="preserve"> </w:t>
      </w:r>
      <w:r w:rsidR="004C7B84" w:rsidRPr="002613BD">
        <w:rPr>
          <w:rFonts w:ascii="Arial" w:eastAsia="Calibri" w:hAnsi="Arial" w:cs="Arial"/>
          <w:sz w:val="24"/>
          <w:szCs w:val="24"/>
          <w:lang w:val="en-ZA"/>
        </w:rPr>
        <w:t>out in</w:t>
      </w:r>
      <w:r w:rsidR="00BC4C9A" w:rsidRPr="002613BD">
        <w:rPr>
          <w:rFonts w:ascii="Arial" w:eastAsia="Calibri" w:hAnsi="Arial" w:cs="Arial"/>
          <w:sz w:val="24"/>
          <w:szCs w:val="24"/>
          <w:lang w:val="en-ZA"/>
        </w:rPr>
        <w:t xml:space="preserve"> the timetable.</w:t>
      </w:r>
      <w:r w:rsidR="004C7B84" w:rsidRPr="002613BD">
        <w:rPr>
          <w:rFonts w:ascii="Arial" w:eastAsia="Calibri" w:hAnsi="Arial" w:cs="Arial"/>
          <w:sz w:val="24"/>
          <w:szCs w:val="24"/>
          <w:lang w:val="en-ZA"/>
        </w:rPr>
        <w:t xml:space="preserve"> In its replying affidavit the AEF did not take issue with the fact that the money was not in the IEC’s bank account at 17h00 on 8 March 2024</w:t>
      </w:r>
      <w:r w:rsidR="00A905E7" w:rsidRPr="002613BD">
        <w:rPr>
          <w:rFonts w:ascii="Arial" w:eastAsia="Calibri" w:hAnsi="Arial" w:cs="Arial"/>
          <w:sz w:val="24"/>
          <w:szCs w:val="24"/>
          <w:lang w:val="en-ZA"/>
        </w:rPr>
        <w:t>, the cut</w:t>
      </w:r>
      <w:r w:rsidR="00152430" w:rsidRPr="002613BD">
        <w:rPr>
          <w:rFonts w:ascii="Arial" w:eastAsia="Calibri" w:hAnsi="Arial" w:cs="Arial"/>
          <w:sz w:val="24"/>
          <w:szCs w:val="24"/>
          <w:lang w:val="en-ZA"/>
        </w:rPr>
        <w:t>-</w:t>
      </w:r>
      <w:r w:rsidR="00A905E7" w:rsidRPr="002613BD">
        <w:rPr>
          <w:rFonts w:ascii="Arial" w:eastAsia="Calibri" w:hAnsi="Arial" w:cs="Arial"/>
          <w:sz w:val="24"/>
          <w:szCs w:val="24"/>
          <w:lang w:val="en-ZA"/>
        </w:rPr>
        <w:t>off time</w:t>
      </w:r>
      <w:r w:rsidR="004C7B84" w:rsidRPr="002613BD">
        <w:rPr>
          <w:rFonts w:ascii="Arial" w:eastAsia="Calibri" w:hAnsi="Arial" w:cs="Arial"/>
          <w:sz w:val="24"/>
          <w:szCs w:val="24"/>
          <w:lang w:val="en-ZA"/>
        </w:rPr>
        <w:t>. Instead</w:t>
      </w:r>
      <w:r w:rsidR="000E712F" w:rsidRPr="002613BD">
        <w:rPr>
          <w:rFonts w:ascii="Arial" w:eastAsia="Calibri" w:hAnsi="Arial" w:cs="Arial"/>
          <w:sz w:val="24"/>
          <w:szCs w:val="24"/>
          <w:lang w:val="en-ZA"/>
        </w:rPr>
        <w:t>,</w:t>
      </w:r>
      <w:r w:rsidR="004C7B84" w:rsidRPr="002613BD">
        <w:rPr>
          <w:rFonts w:ascii="Arial" w:eastAsia="Calibri" w:hAnsi="Arial" w:cs="Arial"/>
          <w:sz w:val="24"/>
          <w:szCs w:val="24"/>
          <w:lang w:val="en-ZA"/>
        </w:rPr>
        <w:t xml:space="preserve"> it ele</w:t>
      </w:r>
      <w:r w:rsidR="00B26342" w:rsidRPr="002613BD">
        <w:rPr>
          <w:rFonts w:ascii="Arial" w:eastAsia="Calibri" w:hAnsi="Arial" w:cs="Arial"/>
          <w:sz w:val="24"/>
          <w:szCs w:val="24"/>
          <w:lang w:val="en-ZA"/>
        </w:rPr>
        <w:t>cted to elaborate on the remedies</w:t>
      </w:r>
      <w:r w:rsidR="004C7B84" w:rsidRPr="002613BD">
        <w:rPr>
          <w:rFonts w:ascii="Arial" w:eastAsia="Calibri" w:hAnsi="Arial" w:cs="Arial"/>
          <w:sz w:val="24"/>
          <w:szCs w:val="24"/>
          <w:lang w:val="en-ZA"/>
        </w:rPr>
        <w:t xml:space="preserve"> sought and that the relief sought would not compromise a free and fair election as averred to by the IEC. </w:t>
      </w:r>
    </w:p>
    <w:p w14:paraId="7E56DC01" w14:textId="77777777" w:rsidR="00B26342" w:rsidRPr="002613BD" w:rsidRDefault="00B26342" w:rsidP="00AA6950">
      <w:pPr>
        <w:widowControl w:val="0"/>
        <w:spacing w:after="0" w:line="360" w:lineRule="auto"/>
        <w:contextualSpacing/>
        <w:jc w:val="both"/>
        <w:rPr>
          <w:rFonts w:ascii="Arial" w:eastAsia="Calibri" w:hAnsi="Arial" w:cs="Arial"/>
          <w:sz w:val="24"/>
          <w:szCs w:val="24"/>
          <w:lang w:val="en-ZA"/>
        </w:rPr>
      </w:pPr>
    </w:p>
    <w:p w14:paraId="65430D2B" w14:textId="20A31E5A" w:rsidR="009334FD" w:rsidRPr="002613BD" w:rsidRDefault="009334FD" w:rsidP="00AA6950">
      <w:pPr>
        <w:widowControl w:val="0"/>
        <w:kinsoku w:val="0"/>
        <w:overflowPunct w:val="0"/>
        <w:autoSpaceDE w:val="0"/>
        <w:autoSpaceDN w:val="0"/>
        <w:adjustRightInd w:val="0"/>
        <w:spacing w:after="0" w:line="360" w:lineRule="auto"/>
        <w:ind w:right="-52"/>
        <w:jc w:val="both"/>
        <w:rPr>
          <w:rFonts w:ascii="Arial" w:hAnsi="Arial" w:cs="Arial"/>
          <w:color w:val="000000" w:themeColor="text1"/>
          <w:sz w:val="24"/>
          <w:szCs w:val="24"/>
        </w:rPr>
      </w:pPr>
      <w:r w:rsidRPr="002613BD">
        <w:rPr>
          <w:rFonts w:ascii="Arial" w:hAnsi="Arial" w:cs="Arial"/>
          <w:bCs/>
          <w:color w:val="000000" w:themeColor="text1"/>
          <w:sz w:val="24"/>
          <w:szCs w:val="24"/>
        </w:rPr>
        <w:t>[</w:t>
      </w:r>
      <w:r w:rsidR="00AA6950" w:rsidRPr="002613BD">
        <w:rPr>
          <w:rFonts w:ascii="Arial" w:hAnsi="Arial" w:cs="Arial"/>
          <w:bCs/>
          <w:color w:val="000000" w:themeColor="text1"/>
          <w:sz w:val="24"/>
          <w:szCs w:val="24"/>
        </w:rPr>
        <w:t>1</w:t>
      </w:r>
      <w:r w:rsidR="004446DF" w:rsidRPr="002613BD">
        <w:rPr>
          <w:rFonts w:ascii="Arial" w:hAnsi="Arial" w:cs="Arial"/>
          <w:bCs/>
          <w:color w:val="000000" w:themeColor="text1"/>
          <w:sz w:val="24"/>
          <w:szCs w:val="24"/>
        </w:rPr>
        <w:t>2</w:t>
      </w:r>
      <w:r w:rsidRPr="002613BD">
        <w:rPr>
          <w:rFonts w:ascii="Arial" w:hAnsi="Arial" w:cs="Arial"/>
          <w:bCs/>
          <w:color w:val="000000" w:themeColor="text1"/>
          <w:sz w:val="24"/>
          <w:szCs w:val="24"/>
        </w:rPr>
        <w:t>]</w:t>
      </w:r>
      <w:r w:rsidR="00546C03" w:rsidRPr="002613BD">
        <w:rPr>
          <w:rFonts w:ascii="Arial" w:hAnsi="Arial" w:cs="Arial"/>
          <w:bCs/>
          <w:color w:val="000000" w:themeColor="text1"/>
          <w:sz w:val="24"/>
          <w:szCs w:val="24"/>
        </w:rPr>
        <w:tab/>
      </w:r>
      <w:r w:rsidRPr="002613BD">
        <w:rPr>
          <w:rFonts w:ascii="Arial" w:hAnsi="Arial" w:cs="Arial"/>
          <w:bCs/>
          <w:color w:val="000000" w:themeColor="text1"/>
          <w:sz w:val="24"/>
          <w:szCs w:val="24"/>
        </w:rPr>
        <w:t xml:space="preserve">There is evidently a dispute </w:t>
      </w:r>
      <w:r w:rsidR="00A905E7" w:rsidRPr="002613BD">
        <w:rPr>
          <w:rFonts w:ascii="Arial" w:hAnsi="Arial" w:cs="Arial"/>
          <w:bCs/>
          <w:color w:val="000000" w:themeColor="text1"/>
          <w:sz w:val="24"/>
          <w:szCs w:val="24"/>
        </w:rPr>
        <w:t xml:space="preserve">of fact </w:t>
      </w:r>
      <w:r w:rsidRPr="002613BD">
        <w:rPr>
          <w:rFonts w:ascii="Arial" w:hAnsi="Arial" w:cs="Arial"/>
          <w:bCs/>
          <w:color w:val="000000" w:themeColor="text1"/>
          <w:sz w:val="24"/>
          <w:szCs w:val="24"/>
        </w:rPr>
        <w:t>on whether the AEF’s payment was received by the IEC</w:t>
      </w:r>
      <w:r w:rsidR="00B80B0F" w:rsidRPr="002613BD">
        <w:rPr>
          <w:rFonts w:ascii="Arial" w:hAnsi="Arial" w:cs="Arial"/>
          <w:bCs/>
          <w:color w:val="000000" w:themeColor="text1"/>
          <w:sz w:val="24"/>
          <w:szCs w:val="24"/>
        </w:rPr>
        <w:t xml:space="preserve"> in its account</w:t>
      </w:r>
      <w:r w:rsidRPr="002613BD">
        <w:rPr>
          <w:rFonts w:ascii="Arial" w:hAnsi="Arial" w:cs="Arial"/>
          <w:bCs/>
          <w:color w:val="000000" w:themeColor="text1"/>
          <w:sz w:val="24"/>
          <w:szCs w:val="24"/>
        </w:rPr>
        <w:t xml:space="preserve">. </w:t>
      </w:r>
      <w:r w:rsidR="00A858F7" w:rsidRPr="002613BD">
        <w:rPr>
          <w:rFonts w:ascii="Arial" w:hAnsi="Arial" w:cs="Arial"/>
          <w:bCs/>
          <w:color w:val="000000" w:themeColor="text1"/>
          <w:sz w:val="24"/>
          <w:szCs w:val="24"/>
        </w:rPr>
        <w:t>T</w:t>
      </w:r>
      <w:r w:rsidRPr="002613BD">
        <w:rPr>
          <w:rFonts w:ascii="Arial" w:hAnsi="Arial" w:cs="Arial"/>
          <w:bCs/>
          <w:color w:val="000000" w:themeColor="text1"/>
          <w:sz w:val="24"/>
          <w:szCs w:val="24"/>
        </w:rPr>
        <w:t xml:space="preserve">he trite test </w:t>
      </w:r>
      <w:r w:rsidR="00A858F7" w:rsidRPr="002613BD">
        <w:rPr>
          <w:rFonts w:ascii="Arial" w:hAnsi="Arial" w:cs="Arial"/>
          <w:bCs/>
          <w:color w:val="000000" w:themeColor="text1"/>
          <w:sz w:val="24"/>
          <w:szCs w:val="24"/>
        </w:rPr>
        <w:t>in dealing with</w:t>
      </w:r>
      <w:r w:rsidRPr="002613BD">
        <w:rPr>
          <w:rFonts w:ascii="Arial" w:hAnsi="Arial" w:cs="Arial"/>
          <w:bCs/>
          <w:color w:val="000000" w:themeColor="text1"/>
          <w:sz w:val="24"/>
          <w:szCs w:val="24"/>
        </w:rPr>
        <w:t xml:space="preserve"> </w:t>
      </w:r>
      <w:r w:rsidR="00A858F7" w:rsidRPr="002613BD">
        <w:rPr>
          <w:rFonts w:ascii="Arial" w:hAnsi="Arial" w:cs="Arial"/>
          <w:bCs/>
          <w:color w:val="000000" w:themeColor="text1"/>
          <w:sz w:val="24"/>
          <w:szCs w:val="24"/>
        </w:rPr>
        <w:t xml:space="preserve">factual disputes as stated in </w:t>
      </w:r>
      <w:r w:rsidR="00A858F7" w:rsidRPr="002613BD">
        <w:rPr>
          <w:rFonts w:ascii="Arial" w:hAnsi="Arial" w:cs="Arial"/>
          <w:bCs/>
          <w:i/>
          <w:color w:val="000000" w:themeColor="text1"/>
          <w:sz w:val="24"/>
          <w:szCs w:val="24"/>
        </w:rPr>
        <w:t>Plascon-Evans Paints Ltd v Van Riebeeck Paints (Pty) Ltd</w:t>
      </w:r>
      <w:r w:rsidR="00A858F7" w:rsidRPr="002613BD">
        <w:rPr>
          <w:rStyle w:val="FootnoteReference"/>
          <w:rFonts w:ascii="Arial" w:hAnsi="Arial" w:cs="Arial"/>
          <w:color w:val="000000" w:themeColor="text1"/>
          <w:sz w:val="24"/>
          <w:szCs w:val="24"/>
        </w:rPr>
        <w:footnoteReference w:id="8"/>
      </w:r>
      <w:r w:rsidR="00A858F7" w:rsidRPr="002613BD">
        <w:rPr>
          <w:rFonts w:ascii="Arial" w:hAnsi="Arial" w:cs="Arial"/>
          <w:color w:val="000000" w:themeColor="text1"/>
          <w:sz w:val="24"/>
          <w:szCs w:val="24"/>
        </w:rPr>
        <w:t xml:space="preserve"> </w:t>
      </w:r>
      <w:r w:rsidR="00A858F7" w:rsidRPr="002613BD">
        <w:rPr>
          <w:rFonts w:ascii="Arial" w:hAnsi="Arial" w:cs="Arial"/>
          <w:bCs/>
          <w:color w:val="000000" w:themeColor="text1"/>
          <w:sz w:val="24"/>
          <w:szCs w:val="24"/>
        </w:rPr>
        <w:t>finds application. It is</w:t>
      </w:r>
      <w:r w:rsidRPr="002613BD">
        <w:rPr>
          <w:rFonts w:ascii="Arial" w:hAnsi="Arial" w:cs="Arial"/>
          <w:color w:val="000000" w:themeColor="text1"/>
          <w:sz w:val="24"/>
          <w:szCs w:val="24"/>
        </w:rPr>
        <w:t>:</w:t>
      </w:r>
    </w:p>
    <w:p w14:paraId="542138D5" w14:textId="6152ECEE" w:rsidR="004C0908" w:rsidRPr="002613BD" w:rsidRDefault="008C0A98" w:rsidP="00AA6950">
      <w:pPr>
        <w:widowControl w:val="0"/>
        <w:spacing w:after="0" w:line="360" w:lineRule="auto"/>
        <w:contextualSpacing/>
        <w:jc w:val="both"/>
        <w:rPr>
          <w:rFonts w:ascii="Arial" w:hAnsi="Arial" w:cs="Arial"/>
          <w:color w:val="000000" w:themeColor="text1"/>
        </w:rPr>
      </w:pPr>
      <w:r w:rsidRPr="002613BD">
        <w:rPr>
          <w:rFonts w:ascii="Arial" w:hAnsi="Arial" w:cs="Arial"/>
          <w:color w:val="000000" w:themeColor="text1"/>
        </w:rPr>
        <w:t>‘” ...</w:t>
      </w:r>
      <w:r w:rsidR="009334FD" w:rsidRPr="002613BD">
        <w:rPr>
          <w:rFonts w:ascii="Arial" w:hAnsi="Arial" w:cs="Arial"/>
          <w:color w:val="000000" w:themeColor="text1"/>
        </w:rPr>
        <w:t xml:space="preserve"> where there is a dispute as to the facts a final interdict should only be granted in notice of motion proceedings if the facts as stated by the respondents together with the admitted facts in the applicant's affidavits justify </w:t>
      </w:r>
      <w:r w:rsidR="00240D70" w:rsidRPr="002613BD">
        <w:rPr>
          <w:rFonts w:ascii="Arial" w:hAnsi="Arial" w:cs="Arial"/>
          <w:color w:val="000000" w:themeColor="text1"/>
        </w:rPr>
        <w:t>such an order ...</w:t>
      </w:r>
      <w:r w:rsidR="009334FD" w:rsidRPr="002613BD">
        <w:rPr>
          <w:rFonts w:ascii="Arial" w:hAnsi="Arial" w:cs="Arial"/>
          <w:color w:val="000000" w:themeColor="text1"/>
        </w:rPr>
        <w:t xml:space="preserve">Where it is clear that the facts, though not formally admitted, cannot be denied, they </w:t>
      </w:r>
      <w:r w:rsidR="00240D70" w:rsidRPr="002613BD">
        <w:rPr>
          <w:rFonts w:ascii="Arial" w:hAnsi="Arial" w:cs="Arial"/>
          <w:color w:val="000000" w:themeColor="text1"/>
        </w:rPr>
        <w:t>must be regarded as admit</w:t>
      </w:r>
      <w:r w:rsidR="009334FD" w:rsidRPr="002613BD">
        <w:rPr>
          <w:rFonts w:ascii="Arial" w:hAnsi="Arial" w:cs="Arial"/>
          <w:color w:val="000000" w:themeColor="text1"/>
        </w:rPr>
        <w:t>ted</w:t>
      </w:r>
      <w:r w:rsidR="00240D70" w:rsidRPr="002613BD">
        <w:rPr>
          <w:rFonts w:ascii="Arial" w:hAnsi="Arial" w:cs="Arial"/>
          <w:color w:val="000000" w:themeColor="text1"/>
        </w:rPr>
        <w:t>.</w:t>
      </w:r>
      <w:r w:rsidR="004C0908" w:rsidRPr="002613BD">
        <w:rPr>
          <w:rFonts w:ascii="Arial" w:hAnsi="Arial" w:cs="Arial"/>
          <w:color w:val="000000" w:themeColor="text1"/>
        </w:rPr>
        <w:t>”’</w:t>
      </w:r>
      <w:r w:rsidR="00240D70" w:rsidRPr="002613BD">
        <w:rPr>
          <w:rFonts w:ascii="Arial" w:hAnsi="Arial" w:cs="Arial"/>
          <w:color w:val="000000" w:themeColor="text1"/>
          <w:sz w:val="24"/>
          <w:szCs w:val="24"/>
        </w:rPr>
        <w:t xml:space="preserve"> </w:t>
      </w:r>
    </w:p>
    <w:p w14:paraId="5150BBB9" w14:textId="11DEDC3A" w:rsidR="00B26342" w:rsidRPr="002613BD" w:rsidRDefault="00327CA5" w:rsidP="00AA6950">
      <w:pPr>
        <w:widowControl w:val="0"/>
        <w:spacing w:after="0" w:line="360" w:lineRule="auto"/>
        <w:contextualSpacing/>
        <w:jc w:val="both"/>
        <w:rPr>
          <w:rFonts w:ascii="Arial" w:eastAsia="Calibri" w:hAnsi="Arial" w:cs="Arial"/>
          <w:sz w:val="24"/>
          <w:szCs w:val="24"/>
          <w:lang w:val="en-ZA"/>
        </w:rPr>
      </w:pPr>
      <w:r w:rsidRPr="002613BD">
        <w:rPr>
          <w:rFonts w:ascii="Arial" w:hAnsi="Arial" w:cs="Arial"/>
          <w:color w:val="000000" w:themeColor="text1"/>
          <w:sz w:val="24"/>
          <w:szCs w:val="24"/>
        </w:rPr>
        <w:t xml:space="preserve">The </w:t>
      </w:r>
      <w:r w:rsidR="00C255DA" w:rsidRPr="002613BD">
        <w:rPr>
          <w:rFonts w:ascii="Arial" w:hAnsi="Arial" w:cs="Arial"/>
          <w:color w:val="000000" w:themeColor="text1"/>
          <w:sz w:val="24"/>
          <w:szCs w:val="24"/>
        </w:rPr>
        <w:t>AEF</w:t>
      </w:r>
      <w:r w:rsidR="00240D70" w:rsidRPr="002613BD">
        <w:rPr>
          <w:rFonts w:ascii="Arial" w:hAnsi="Arial" w:cs="Arial"/>
          <w:color w:val="000000" w:themeColor="text1"/>
          <w:sz w:val="24"/>
          <w:szCs w:val="24"/>
        </w:rPr>
        <w:t xml:space="preserve"> did not deny that the payment never reached the IEC’s account on the </w:t>
      </w:r>
      <w:r w:rsidR="00A905E7" w:rsidRPr="002613BD">
        <w:rPr>
          <w:rFonts w:ascii="Arial" w:hAnsi="Arial" w:cs="Arial"/>
          <w:color w:val="000000" w:themeColor="text1"/>
          <w:sz w:val="24"/>
          <w:szCs w:val="24"/>
        </w:rPr>
        <w:t>deadline</w:t>
      </w:r>
      <w:r w:rsidR="00240D70" w:rsidRPr="002613BD">
        <w:rPr>
          <w:rFonts w:ascii="Arial" w:hAnsi="Arial" w:cs="Arial"/>
          <w:color w:val="000000" w:themeColor="text1"/>
          <w:sz w:val="24"/>
          <w:szCs w:val="24"/>
        </w:rPr>
        <w:t xml:space="preserve"> determined by the </w:t>
      </w:r>
      <w:r w:rsidR="004C0908" w:rsidRPr="002613BD">
        <w:rPr>
          <w:rFonts w:ascii="Arial" w:hAnsi="Arial" w:cs="Arial"/>
          <w:color w:val="000000" w:themeColor="text1"/>
          <w:sz w:val="24"/>
          <w:szCs w:val="24"/>
        </w:rPr>
        <w:t>E</w:t>
      </w:r>
      <w:r w:rsidR="00240D70" w:rsidRPr="002613BD">
        <w:rPr>
          <w:rFonts w:ascii="Arial" w:hAnsi="Arial" w:cs="Arial"/>
          <w:color w:val="000000" w:themeColor="text1"/>
          <w:sz w:val="24"/>
          <w:szCs w:val="24"/>
        </w:rPr>
        <w:t>lection timetable.</w:t>
      </w:r>
      <w:r w:rsidR="00B80B0F" w:rsidRPr="002613BD">
        <w:rPr>
          <w:rFonts w:ascii="Arial" w:hAnsi="Arial" w:cs="Arial"/>
          <w:color w:val="000000" w:themeColor="text1"/>
          <w:sz w:val="24"/>
          <w:szCs w:val="24"/>
        </w:rPr>
        <w:t xml:space="preserve"> </w:t>
      </w:r>
      <w:r w:rsidR="004C0908" w:rsidRPr="002613BD">
        <w:rPr>
          <w:rFonts w:ascii="Arial" w:hAnsi="Arial" w:cs="Arial"/>
          <w:color w:val="000000" w:themeColor="text1"/>
          <w:sz w:val="24"/>
          <w:szCs w:val="24"/>
        </w:rPr>
        <w:t xml:space="preserve">The </w:t>
      </w:r>
      <w:r w:rsidR="00B80B0F" w:rsidRPr="002613BD">
        <w:rPr>
          <w:rFonts w:ascii="Arial" w:hAnsi="Arial" w:cs="Arial"/>
          <w:color w:val="000000" w:themeColor="text1"/>
          <w:sz w:val="24"/>
          <w:szCs w:val="24"/>
        </w:rPr>
        <w:t>AEF</w:t>
      </w:r>
      <w:r w:rsidR="00240D70" w:rsidRPr="002613BD">
        <w:rPr>
          <w:rFonts w:ascii="Arial" w:hAnsi="Arial" w:cs="Arial"/>
          <w:color w:val="000000" w:themeColor="text1"/>
          <w:sz w:val="24"/>
          <w:szCs w:val="24"/>
        </w:rPr>
        <w:t xml:space="preserve"> failed to make payment of the deposit on time and the version of the IEC h</w:t>
      </w:r>
      <w:r w:rsidR="00A905E7" w:rsidRPr="002613BD">
        <w:rPr>
          <w:rFonts w:ascii="Arial" w:hAnsi="Arial" w:cs="Arial"/>
          <w:color w:val="000000" w:themeColor="text1"/>
          <w:sz w:val="24"/>
          <w:szCs w:val="24"/>
        </w:rPr>
        <w:t xml:space="preserve">as to be accepted on this score as correct and true. </w:t>
      </w:r>
    </w:p>
    <w:p w14:paraId="213E8BB7" w14:textId="77777777" w:rsidR="004C7B84" w:rsidRPr="002613BD" w:rsidRDefault="004C7B84" w:rsidP="00AA6950">
      <w:pPr>
        <w:widowControl w:val="0"/>
        <w:spacing w:after="0" w:line="360" w:lineRule="auto"/>
        <w:contextualSpacing/>
        <w:jc w:val="both"/>
        <w:rPr>
          <w:rFonts w:ascii="Arial" w:eastAsia="Calibri" w:hAnsi="Arial" w:cs="Arial"/>
          <w:sz w:val="24"/>
          <w:szCs w:val="24"/>
          <w:lang w:val="en-ZA"/>
        </w:rPr>
      </w:pPr>
    </w:p>
    <w:p w14:paraId="7782A758" w14:textId="025F6E2E" w:rsidR="00336BE4" w:rsidRPr="002613BD" w:rsidRDefault="00D001FB"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746DEE" w:rsidRPr="002613BD">
        <w:rPr>
          <w:rFonts w:ascii="Arial" w:eastAsia="Calibri" w:hAnsi="Arial" w:cs="Arial"/>
          <w:sz w:val="24"/>
          <w:szCs w:val="24"/>
          <w:lang w:val="en-ZA"/>
        </w:rPr>
        <w:t>1</w:t>
      </w:r>
      <w:r w:rsidR="004446DF" w:rsidRPr="002613BD">
        <w:rPr>
          <w:rFonts w:ascii="Arial" w:eastAsia="Calibri" w:hAnsi="Arial" w:cs="Arial"/>
          <w:sz w:val="24"/>
          <w:szCs w:val="24"/>
          <w:lang w:val="en-ZA"/>
        </w:rPr>
        <w:t>3</w:t>
      </w:r>
      <w:r w:rsidRPr="002613BD">
        <w:rPr>
          <w:rFonts w:ascii="Arial" w:eastAsia="Calibri" w:hAnsi="Arial" w:cs="Arial"/>
          <w:sz w:val="24"/>
          <w:szCs w:val="24"/>
          <w:lang w:val="en-ZA"/>
        </w:rPr>
        <w:t>]</w:t>
      </w:r>
      <w:r w:rsidRPr="002613BD">
        <w:rPr>
          <w:rFonts w:ascii="Arial" w:eastAsia="Calibri" w:hAnsi="Arial" w:cs="Arial"/>
          <w:sz w:val="24"/>
          <w:szCs w:val="24"/>
          <w:lang w:val="en-ZA"/>
        </w:rPr>
        <w:tab/>
      </w:r>
      <w:r w:rsidR="00881BF9" w:rsidRPr="002613BD">
        <w:rPr>
          <w:rFonts w:ascii="Arial" w:eastAsia="Calibri" w:hAnsi="Arial" w:cs="Arial"/>
          <w:sz w:val="24"/>
          <w:szCs w:val="24"/>
          <w:lang w:val="en-ZA"/>
        </w:rPr>
        <w:t>Counsel</w:t>
      </w:r>
      <w:r w:rsidR="00746DEE" w:rsidRPr="002613BD">
        <w:rPr>
          <w:rFonts w:ascii="Arial" w:eastAsia="Calibri" w:hAnsi="Arial" w:cs="Arial"/>
          <w:sz w:val="24"/>
          <w:szCs w:val="24"/>
          <w:lang w:val="en-ZA"/>
        </w:rPr>
        <w:t xml:space="preserve"> on behalf of the AEF, submitted to us that </w:t>
      </w:r>
      <w:r w:rsidRPr="002613BD">
        <w:rPr>
          <w:rFonts w:ascii="Arial" w:eastAsia="Calibri" w:hAnsi="Arial" w:cs="Arial"/>
          <w:i/>
          <w:sz w:val="24"/>
          <w:szCs w:val="24"/>
          <w:lang w:val="en-ZA"/>
        </w:rPr>
        <w:t>African Christian Democratic Party v Electoral Commission</w:t>
      </w:r>
      <w:r w:rsidR="004C0908" w:rsidRPr="002613BD">
        <w:rPr>
          <w:rFonts w:ascii="Arial" w:eastAsia="Calibri" w:hAnsi="Arial" w:cs="Arial"/>
          <w:i/>
          <w:sz w:val="24"/>
          <w:szCs w:val="24"/>
          <w:lang w:val="en-ZA"/>
        </w:rPr>
        <w:t xml:space="preserve"> and Others</w:t>
      </w:r>
      <w:r w:rsidR="00F4465A" w:rsidRPr="002613BD">
        <w:rPr>
          <w:rStyle w:val="FootnoteReference"/>
          <w:rFonts w:ascii="Arial" w:eastAsia="Calibri" w:hAnsi="Arial" w:cs="Arial"/>
          <w:sz w:val="24"/>
          <w:szCs w:val="24"/>
          <w:lang w:val="en-ZA"/>
        </w:rPr>
        <w:footnoteReference w:id="9"/>
      </w:r>
      <w:r w:rsidR="00F4465A" w:rsidRPr="002613BD">
        <w:rPr>
          <w:rFonts w:ascii="Arial" w:eastAsia="Calibri" w:hAnsi="Arial" w:cs="Arial"/>
          <w:i/>
          <w:sz w:val="24"/>
          <w:szCs w:val="24"/>
          <w:lang w:val="en-ZA"/>
        </w:rPr>
        <w:t xml:space="preserve"> </w:t>
      </w:r>
      <w:r w:rsidR="00F4465A" w:rsidRPr="002613BD">
        <w:rPr>
          <w:rFonts w:ascii="Arial" w:eastAsia="Calibri" w:hAnsi="Arial" w:cs="Arial"/>
          <w:sz w:val="24"/>
          <w:szCs w:val="24"/>
          <w:lang w:val="en-ZA"/>
        </w:rPr>
        <w:t>(‘</w:t>
      </w:r>
      <w:r w:rsidR="00F4465A" w:rsidRPr="002613BD">
        <w:rPr>
          <w:rFonts w:ascii="Arial" w:eastAsia="Calibri" w:hAnsi="Arial" w:cs="Arial"/>
          <w:i/>
          <w:sz w:val="24"/>
          <w:szCs w:val="24"/>
          <w:lang w:val="en-ZA"/>
        </w:rPr>
        <w:t>ACDP’</w:t>
      </w:r>
      <w:r w:rsidR="00F4465A" w:rsidRPr="002613BD">
        <w:rPr>
          <w:rFonts w:ascii="Arial" w:eastAsia="Calibri" w:hAnsi="Arial" w:cs="Arial"/>
          <w:sz w:val="24"/>
          <w:szCs w:val="24"/>
          <w:lang w:val="en-ZA"/>
        </w:rPr>
        <w:t>)</w:t>
      </w:r>
      <w:r w:rsidR="00E3070C" w:rsidRPr="002613BD">
        <w:rPr>
          <w:rFonts w:ascii="Arial" w:eastAsia="Calibri" w:hAnsi="Arial" w:cs="Arial"/>
          <w:sz w:val="24"/>
          <w:szCs w:val="24"/>
          <w:lang w:val="en-ZA"/>
        </w:rPr>
        <w:t xml:space="preserve"> </w:t>
      </w:r>
      <w:r w:rsidR="00746DEE" w:rsidRPr="002613BD">
        <w:rPr>
          <w:rFonts w:ascii="Arial" w:eastAsia="Calibri" w:hAnsi="Arial" w:cs="Arial"/>
          <w:sz w:val="24"/>
          <w:szCs w:val="24"/>
          <w:lang w:val="en-ZA"/>
        </w:rPr>
        <w:t>clearly states that this court should follow a purposive approach in interpreting s 27 of the Act. I consider it necessary to refer to para</w:t>
      </w:r>
      <w:r w:rsidR="004C0908" w:rsidRPr="002613BD">
        <w:rPr>
          <w:rFonts w:ascii="Arial" w:eastAsia="Calibri" w:hAnsi="Arial" w:cs="Arial"/>
          <w:sz w:val="24"/>
          <w:szCs w:val="24"/>
          <w:lang w:val="en-ZA"/>
        </w:rPr>
        <w:t>graph</w:t>
      </w:r>
      <w:r w:rsidR="00746DEE" w:rsidRPr="002613BD">
        <w:rPr>
          <w:rFonts w:ascii="Arial" w:eastAsia="Calibri" w:hAnsi="Arial" w:cs="Arial"/>
          <w:sz w:val="24"/>
          <w:szCs w:val="24"/>
          <w:lang w:val="en-ZA"/>
        </w:rPr>
        <w:t xml:space="preserve"> 25 of</w:t>
      </w:r>
      <w:r w:rsidR="00746DEE" w:rsidRPr="002613BD">
        <w:rPr>
          <w:rFonts w:ascii="Arial" w:eastAsia="Calibri" w:hAnsi="Arial" w:cs="Arial"/>
          <w:i/>
          <w:sz w:val="24"/>
          <w:szCs w:val="24"/>
          <w:lang w:val="en-ZA"/>
        </w:rPr>
        <w:t xml:space="preserve"> ACDP</w:t>
      </w:r>
      <w:r w:rsidR="000A2E7B" w:rsidRPr="002613BD">
        <w:rPr>
          <w:rFonts w:ascii="Arial" w:eastAsia="Calibri" w:hAnsi="Arial" w:cs="Arial"/>
          <w:sz w:val="24"/>
          <w:szCs w:val="24"/>
          <w:lang w:val="en-ZA"/>
        </w:rPr>
        <w:t>:</w:t>
      </w:r>
    </w:p>
    <w:p w14:paraId="3B579024" w14:textId="5C28BD28" w:rsidR="00574205" w:rsidRPr="002613BD" w:rsidRDefault="000A2E7B" w:rsidP="00AA6950">
      <w:pPr>
        <w:widowControl w:val="0"/>
        <w:tabs>
          <w:tab w:val="left" w:pos="680"/>
        </w:tabs>
        <w:autoSpaceDN w:val="0"/>
        <w:adjustRightInd w:val="0"/>
        <w:spacing w:after="0" w:line="360" w:lineRule="auto"/>
        <w:jc w:val="both"/>
        <w:rPr>
          <w:rFonts w:ascii="Arial" w:eastAsiaTheme="minorEastAsia" w:hAnsi="Arial" w:cs="Arial"/>
          <w:lang w:val="en-ZA" w:eastAsia="en-ZA"/>
        </w:rPr>
      </w:pPr>
      <w:r w:rsidRPr="002613BD">
        <w:rPr>
          <w:rFonts w:ascii="Arial" w:eastAsiaTheme="minorEastAsia" w:hAnsi="Arial" w:cs="Arial"/>
          <w:lang w:val="en-ZA" w:eastAsia="en-ZA"/>
        </w:rPr>
        <w:t>‘</w:t>
      </w:r>
      <w:r w:rsidR="00574205" w:rsidRPr="002613BD">
        <w:rPr>
          <w:rFonts w:ascii="Arial" w:eastAsiaTheme="minorEastAsia" w:hAnsi="Arial" w:cs="Arial"/>
          <w:lang w:val="en-ZA" w:eastAsia="en-ZA"/>
        </w:rPr>
        <w:t xml:space="preserve">The question thus formulated is whether what the applicant did constituted compliance with the statutory provisions viewed in the light of their purpose. A narrowly textual and legalistic approach is to be avoided as Olivier JA urged in </w:t>
      </w:r>
      <w:r w:rsidR="00574205" w:rsidRPr="002613BD">
        <w:rPr>
          <w:rFonts w:ascii="Arial" w:eastAsiaTheme="minorEastAsia" w:hAnsi="Arial" w:cs="Arial"/>
          <w:i/>
          <w:lang w:val="en-ZA" w:eastAsia="en-ZA"/>
        </w:rPr>
        <w:t>Weenen Transitional Local Council v Van Dyk</w:t>
      </w:r>
      <w:r w:rsidR="00574205" w:rsidRPr="002613BD">
        <w:rPr>
          <w:rFonts w:ascii="Arial" w:eastAsiaTheme="minorEastAsia" w:hAnsi="Arial" w:cs="Arial"/>
          <w:lang w:val="en-ZA" w:eastAsia="en-ZA"/>
        </w:rPr>
        <w:t>:</w:t>
      </w:r>
    </w:p>
    <w:p w14:paraId="294194D7" w14:textId="7FD12775" w:rsidR="00574205" w:rsidRPr="002613BD" w:rsidRDefault="00574205" w:rsidP="00AA6950">
      <w:pPr>
        <w:widowControl w:val="0"/>
        <w:autoSpaceDN w:val="0"/>
        <w:adjustRightInd w:val="0"/>
        <w:spacing w:after="0" w:line="360" w:lineRule="auto"/>
        <w:ind w:left="720"/>
        <w:jc w:val="both"/>
        <w:rPr>
          <w:rFonts w:ascii="Arial" w:eastAsiaTheme="minorEastAsia" w:hAnsi="Arial" w:cs="Arial"/>
          <w:lang w:val="en-ZA" w:eastAsia="en-ZA"/>
        </w:rPr>
      </w:pPr>
      <w:r w:rsidRPr="002613BD">
        <w:rPr>
          <w:rFonts w:ascii="Arial" w:eastAsiaTheme="minorEastAsia" w:hAnsi="Arial" w:cs="Arial"/>
          <w:lang w:val="en-ZA" w:eastAsia="en-ZA"/>
        </w:rPr>
        <w:t xml:space="preserve">“It seems to me that the correct approach to the objection that the appellant </w:t>
      </w:r>
      <w:r w:rsidR="00B526B9" w:rsidRPr="002613BD">
        <w:rPr>
          <w:rFonts w:ascii="Arial" w:eastAsiaTheme="minorEastAsia" w:hAnsi="Arial" w:cs="Arial"/>
          <w:lang w:val="en-ZA" w:eastAsia="en-ZA"/>
        </w:rPr>
        <w:t>h</w:t>
      </w:r>
      <w:r w:rsidRPr="002613BD">
        <w:rPr>
          <w:rFonts w:ascii="Arial" w:eastAsiaTheme="minorEastAsia" w:hAnsi="Arial" w:cs="Arial"/>
          <w:lang w:val="en-ZA" w:eastAsia="en-ZA"/>
        </w:rPr>
        <w:t xml:space="preserve">ad failed to comply with the requirements of s 166 of the ordinance is to follow a common-sense </w:t>
      </w:r>
      <w:r w:rsidRPr="002613BD">
        <w:rPr>
          <w:rFonts w:ascii="Arial" w:eastAsiaTheme="minorEastAsia" w:hAnsi="Arial" w:cs="Arial"/>
          <w:lang w:val="en-ZA" w:eastAsia="en-ZA"/>
        </w:rPr>
        <w:lastRenderedPageBreak/>
        <w:t xml:space="preserve">approach by asking the question whether the steps taken by the local authority were effective to bring about the exigibility of the claim measured against the intention of the </w:t>
      </w:r>
      <w:r w:rsidR="004C0908" w:rsidRPr="002613BD">
        <w:rPr>
          <w:rFonts w:ascii="Arial" w:eastAsiaTheme="minorEastAsia" w:hAnsi="Arial" w:cs="Arial"/>
          <w:lang w:val="en-ZA" w:eastAsia="en-ZA"/>
        </w:rPr>
        <w:t>L</w:t>
      </w:r>
      <w:r w:rsidRPr="002613BD">
        <w:rPr>
          <w:rFonts w:ascii="Arial" w:eastAsiaTheme="minorEastAsia" w:hAnsi="Arial" w:cs="Arial"/>
          <w:lang w:val="en-ZA" w:eastAsia="en-ZA"/>
        </w:rPr>
        <w:t>egislature as ascertained from the language, scope and purpose of the enactment as a whole and the statutory requirement in particular</w:t>
      </w:r>
      <w:r w:rsidR="00DD7317" w:rsidRPr="002613BD">
        <w:rPr>
          <w:rFonts w:ascii="Arial" w:eastAsiaTheme="minorEastAsia" w:hAnsi="Arial" w:cs="Arial"/>
          <w:lang w:val="en-ZA" w:eastAsia="en-ZA"/>
        </w:rPr>
        <w:t>.</w:t>
      </w:r>
      <w:r w:rsidRPr="002613BD">
        <w:rPr>
          <w:rFonts w:ascii="Arial" w:eastAsiaTheme="minorEastAsia" w:hAnsi="Arial" w:cs="Arial"/>
          <w:lang w:val="en-ZA" w:eastAsia="en-ZA"/>
        </w:rPr>
        <w:t xml:space="preserve"> Legalistic debates as to whether the enactment is peremptory (imperative, absolute, mandatory, a categorical imperative) or merely directory; whether ‘shall’ should be read as ‘may’; whether strict as opposed to substantial compliance is required; whether delegated legislation dealing with formal requirements are of legislative or administrative nature, etc</w:t>
      </w:r>
      <w:r w:rsidR="00DD7317" w:rsidRPr="002613BD">
        <w:rPr>
          <w:rFonts w:ascii="Arial" w:eastAsiaTheme="minorEastAsia" w:hAnsi="Arial" w:cs="Arial"/>
          <w:lang w:val="en-ZA" w:eastAsia="en-ZA"/>
        </w:rPr>
        <w:t>.</w:t>
      </w:r>
      <w:r w:rsidRPr="002613BD">
        <w:rPr>
          <w:rFonts w:ascii="Arial" w:eastAsiaTheme="minorEastAsia" w:hAnsi="Arial" w:cs="Arial"/>
          <w:lang w:val="en-ZA" w:eastAsia="en-ZA"/>
        </w:rPr>
        <w:t xml:space="preserve"> may be interesting, but seldom essential to the outcome of a real case before the courts.  They tell us what the outcome of the court’s interpretation of the particular enactment is; they cannot tell us how to interpret.  These debates have </w:t>
      </w:r>
      <w:r w:rsidRPr="002613BD">
        <w:rPr>
          <w:rFonts w:ascii="Arial" w:eastAsiaTheme="minorEastAsia" w:hAnsi="Arial" w:cs="Arial"/>
          <w:i/>
          <w:lang w:val="en-ZA" w:eastAsia="en-ZA"/>
        </w:rPr>
        <w:t>a</w:t>
      </w:r>
      <w:r w:rsidR="00250572">
        <w:rPr>
          <w:rFonts w:ascii="Arial" w:eastAsiaTheme="minorEastAsia" w:hAnsi="Arial" w:cs="Arial"/>
          <w:i/>
          <w:lang w:val="en-ZA" w:eastAsia="en-ZA"/>
        </w:rPr>
        <w:t xml:space="preserve"> </w:t>
      </w:r>
      <w:r w:rsidR="00336BE4" w:rsidRPr="002613BD">
        <w:rPr>
          <w:rFonts w:ascii="Arial" w:eastAsiaTheme="minorEastAsia" w:hAnsi="Arial" w:cs="Arial"/>
          <w:i/>
          <w:lang w:val="en-ZA" w:eastAsia="en-ZA"/>
        </w:rPr>
        <w:t xml:space="preserve">posteriori, </w:t>
      </w:r>
      <w:r w:rsidR="00336BE4" w:rsidRPr="002613BD">
        <w:rPr>
          <w:rFonts w:ascii="Arial" w:eastAsiaTheme="minorEastAsia" w:hAnsi="Arial" w:cs="Arial"/>
          <w:lang w:val="en-ZA" w:eastAsia="en-ZA"/>
        </w:rPr>
        <w:t>not</w:t>
      </w:r>
      <w:r w:rsidRPr="002613BD">
        <w:rPr>
          <w:rFonts w:ascii="Arial" w:eastAsiaTheme="minorEastAsia" w:hAnsi="Arial" w:cs="Arial"/>
          <w:lang w:val="en-ZA" w:eastAsia="en-ZA"/>
        </w:rPr>
        <w:t xml:space="preserve"> </w:t>
      </w:r>
      <w:r w:rsidRPr="002613BD">
        <w:rPr>
          <w:rFonts w:ascii="Arial" w:eastAsiaTheme="minorEastAsia" w:hAnsi="Arial" w:cs="Arial"/>
          <w:i/>
          <w:lang w:val="en-ZA" w:eastAsia="en-ZA"/>
        </w:rPr>
        <w:t>a priori</w:t>
      </w:r>
      <w:r w:rsidRPr="002613BD">
        <w:rPr>
          <w:rFonts w:ascii="Arial" w:eastAsiaTheme="minorEastAsia" w:hAnsi="Arial" w:cs="Arial"/>
          <w:lang w:val="en-ZA" w:eastAsia="en-ZA"/>
        </w:rPr>
        <w:t xml:space="preserve"> significance.  The approach described above, identified as ‘… a trend in interpretation away from the strict legalistic to the substantive’ by Van Dijkhorst J in </w:t>
      </w:r>
      <w:r w:rsidRPr="002613BD">
        <w:rPr>
          <w:rFonts w:ascii="Arial" w:eastAsiaTheme="minorEastAsia" w:hAnsi="Arial" w:cs="Arial"/>
          <w:i/>
          <w:lang w:val="en-ZA" w:eastAsia="en-ZA"/>
        </w:rPr>
        <w:t>Ex parte Mothuloe (Law Society, Transvaal, Intervening)</w:t>
      </w:r>
      <w:r w:rsidRPr="002613BD">
        <w:rPr>
          <w:rFonts w:ascii="Arial" w:eastAsiaTheme="minorEastAsia" w:hAnsi="Arial" w:cs="Arial"/>
          <w:lang w:val="en-ZA" w:eastAsia="en-ZA"/>
        </w:rPr>
        <w:t xml:space="preserve"> seems to be the correct one and does away with debates of secondary importance only.</w:t>
      </w:r>
      <w:r w:rsidR="000A2E7B" w:rsidRPr="002613BD">
        <w:rPr>
          <w:rFonts w:ascii="Arial" w:eastAsiaTheme="minorEastAsia" w:hAnsi="Arial" w:cs="Arial"/>
          <w:lang w:val="en-ZA" w:eastAsia="en-ZA"/>
        </w:rPr>
        <w:t>”’</w:t>
      </w:r>
      <w:r w:rsidR="005F0B29" w:rsidRPr="002613BD">
        <w:rPr>
          <w:rFonts w:ascii="Arial" w:eastAsiaTheme="minorEastAsia" w:hAnsi="Arial" w:cs="Arial"/>
          <w:lang w:val="en-ZA" w:eastAsia="en-ZA"/>
        </w:rPr>
        <w:t xml:space="preserve"> </w:t>
      </w:r>
      <w:r w:rsidR="00DD7317" w:rsidRPr="002613BD">
        <w:rPr>
          <w:rFonts w:ascii="Arial" w:eastAsiaTheme="minorEastAsia" w:hAnsi="Arial" w:cs="Arial"/>
          <w:lang w:val="en-ZA" w:eastAsia="en-ZA"/>
        </w:rPr>
        <w:t xml:space="preserve">(Original </w:t>
      </w:r>
      <w:r w:rsidR="004C0908" w:rsidRPr="002613BD">
        <w:rPr>
          <w:rFonts w:ascii="Arial" w:eastAsiaTheme="minorEastAsia" w:hAnsi="Arial" w:cs="Arial"/>
          <w:lang w:val="en-ZA" w:eastAsia="en-ZA"/>
        </w:rPr>
        <w:t>references</w:t>
      </w:r>
      <w:r w:rsidR="00DD7317" w:rsidRPr="002613BD">
        <w:rPr>
          <w:rFonts w:ascii="Arial" w:eastAsiaTheme="minorEastAsia" w:hAnsi="Arial" w:cs="Arial"/>
          <w:lang w:val="en-ZA" w:eastAsia="en-ZA"/>
        </w:rPr>
        <w:t xml:space="preserve"> </w:t>
      </w:r>
      <w:r w:rsidR="005F0B29" w:rsidRPr="002613BD">
        <w:rPr>
          <w:rFonts w:ascii="Arial" w:eastAsiaTheme="minorEastAsia" w:hAnsi="Arial" w:cs="Arial"/>
          <w:lang w:val="en-ZA" w:eastAsia="en-ZA"/>
        </w:rPr>
        <w:t>omitted.</w:t>
      </w:r>
      <w:r w:rsidR="00DD7317" w:rsidRPr="002613BD">
        <w:rPr>
          <w:rFonts w:ascii="Arial" w:eastAsiaTheme="minorEastAsia" w:hAnsi="Arial" w:cs="Arial"/>
          <w:lang w:val="en-ZA" w:eastAsia="en-ZA"/>
        </w:rPr>
        <w:t>)</w:t>
      </w:r>
    </w:p>
    <w:p w14:paraId="53F7B4D3" w14:textId="77777777" w:rsidR="00A905E7" w:rsidRPr="002613BD" w:rsidRDefault="00A905E7" w:rsidP="00AA6950">
      <w:pPr>
        <w:widowControl w:val="0"/>
        <w:autoSpaceDN w:val="0"/>
        <w:adjustRightInd w:val="0"/>
        <w:spacing w:after="0" w:line="360" w:lineRule="auto"/>
        <w:ind w:left="1440"/>
        <w:jc w:val="both"/>
        <w:rPr>
          <w:rFonts w:ascii="Arial" w:eastAsiaTheme="minorEastAsia" w:hAnsi="Arial" w:cs="Arial"/>
          <w:lang w:val="en-ZA" w:eastAsia="en-ZA"/>
        </w:rPr>
      </w:pPr>
    </w:p>
    <w:p w14:paraId="60E0EFBF" w14:textId="366C977C" w:rsidR="00336BE4" w:rsidRPr="002613BD" w:rsidRDefault="00D001FB" w:rsidP="00AA6950">
      <w:pPr>
        <w:widowControl w:val="0"/>
        <w:spacing w:after="0" w:line="360" w:lineRule="auto"/>
        <w:contextualSpacing/>
        <w:jc w:val="both"/>
        <w:rPr>
          <w:rFonts w:ascii="Arial" w:eastAsia="Calibri" w:hAnsi="Arial" w:cs="Arial"/>
          <w:sz w:val="24"/>
          <w:szCs w:val="24"/>
          <w:lang w:val="en-ZA"/>
        </w:rPr>
      </w:pPr>
      <w:r w:rsidRPr="002613BD">
        <w:rPr>
          <w:rFonts w:ascii="Arial" w:eastAsia="Calibri" w:hAnsi="Arial" w:cs="Arial"/>
          <w:sz w:val="24"/>
          <w:szCs w:val="24"/>
          <w:lang w:val="en-ZA"/>
        </w:rPr>
        <w:t>[</w:t>
      </w:r>
      <w:r w:rsidR="00ED29EF" w:rsidRPr="002613BD">
        <w:rPr>
          <w:rFonts w:ascii="Arial" w:eastAsia="Calibri" w:hAnsi="Arial" w:cs="Arial"/>
          <w:sz w:val="24"/>
          <w:szCs w:val="24"/>
          <w:lang w:val="en-ZA"/>
        </w:rPr>
        <w:t>1</w:t>
      </w:r>
      <w:r w:rsidR="004446DF" w:rsidRPr="002613BD">
        <w:rPr>
          <w:rFonts w:ascii="Arial" w:eastAsia="Calibri" w:hAnsi="Arial" w:cs="Arial"/>
          <w:sz w:val="24"/>
          <w:szCs w:val="24"/>
          <w:lang w:val="en-ZA"/>
        </w:rPr>
        <w:t>4</w:t>
      </w:r>
      <w:r w:rsidRPr="002613BD">
        <w:rPr>
          <w:rFonts w:ascii="Arial" w:eastAsia="Calibri" w:hAnsi="Arial" w:cs="Arial"/>
          <w:sz w:val="24"/>
          <w:szCs w:val="24"/>
          <w:lang w:val="en-ZA"/>
        </w:rPr>
        <w:t>]</w:t>
      </w:r>
      <w:r w:rsidRPr="002613BD">
        <w:rPr>
          <w:rFonts w:ascii="Arial" w:eastAsia="Calibri" w:hAnsi="Arial" w:cs="Arial"/>
          <w:sz w:val="24"/>
          <w:szCs w:val="24"/>
          <w:lang w:val="en-ZA"/>
        </w:rPr>
        <w:tab/>
      </w:r>
      <w:r w:rsidR="004620CD" w:rsidRPr="002613BD">
        <w:rPr>
          <w:rFonts w:ascii="Arial" w:eastAsia="Calibri" w:hAnsi="Arial" w:cs="Arial"/>
          <w:sz w:val="24"/>
          <w:szCs w:val="24"/>
          <w:lang w:val="en-ZA"/>
        </w:rPr>
        <w:t>The Constitutional Court</w:t>
      </w:r>
      <w:r w:rsidRPr="002613BD">
        <w:rPr>
          <w:rFonts w:ascii="Arial" w:eastAsia="Calibri" w:hAnsi="Arial" w:cs="Arial"/>
          <w:sz w:val="24"/>
          <w:szCs w:val="24"/>
          <w:lang w:val="en-ZA"/>
        </w:rPr>
        <w:t xml:space="preserve"> </w:t>
      </w:r>
      <w:r w:rsidR="00DD7317" w:rsidRPr="002613BD">
        <w:rPr>
          <w:rFonts w:ascii="Arial" w:eastAsia="Calibri" w:hAnsi="Arial" w:cs="Arial"/>
          <w:sz w:val="24"/>
          <w:szCs w:val="24"/>
          <w:lang w:val="en-ZA"/>
        </w:rPr>
        <w:t xml:space="preserve">also </w:t>
      </w:r>
      <w:r w:rsidRPr="002613BD">
        <w:rPr>
          <w:rFonts w:ascii="Arial" w:eastAsia="Calibri" w:hAnsi="Arial" w:cs="Arial"/>
          <w:sz w:val="24"/>
          <w:szCs w:val="24"/>
          <w:lang w:val="en-ZA"/>
        </w:rPr>
        <w:t xml:space="preserve">considered the issue of non-compliance with the </w:t>
      </w:r>
      <w:r w:rsidR="004C0908" w:rsidRPr="002613BD">
        <w:rPr>
          <w:rFonts w:ascii="Arial" w:eastAsia="Calibri" w:hAnsi="Arial" w:cs="Arial"/>
          <w:sz w:val="24"/>
          <w:szCs w:val="24"/>
          <w:lang w:val="en-ZA"/>
        </w:rPr>
        <w:t>Election</w:t>
      </w:r>
      <w:r w:rsidRPr="002613BD">
        <w:rPr>
          <w:rFonts w:ascii="Arial" w:eastAsia="Calibri" w:hAnsi="Arial" w:cs="Arial"/>
          <w:sz w:val="24"/>
          <w:szCs w:val="24"/>
          <w:lang w:val="en-ZA"/>
        </w:rPr>
        <w:t xml:space="preserve"> timetable in </w:t>
      </w:r>
      <w:r w:rsidRPr="002613BD">
        <w:rPr>
          <w:rFonts w:ascii="Arial" w:eastAsia="Calibri" w:hAnsi="Arial" w:cs="Arial"/>
          <w:i/>
          <w:sz w:val="24"/>
          <w:szCs w:val="24"/>
          <w:lang w:val="en-ZA"/>
        </w:rPr>
        <w:t xml:space="preserve">Liberal Party v </w:t>
      </w:r>
      <w:r w:rsidR="00E31B01" w:rsidRPr="002613BD">
        <w:rPr>
          <w:rFonts w:ascii="Arial" w:eastAsia="Calibri" w:hAnsi="Arial" w:cs="Arial"/>
          <w:i/>
          <w:sz w:val="24"/>
          <w:szCs w:val="24"/>
          <w:lang w:val="en-ZA"/>
        </w:rPr>
        <w:t xml:space="preserve">The Electoral Commission </w:t>
      </w:r>
      <w:r w:rsidRPr="002613BD">
        <w:rPr>
          <w:rFonts w:ascii="Arial" w:eastAsia="Calibri" w:hAnsi="Arial" w:cs="Arial"/>
          <w:i/>
          <w:sz w:val="24"/>
          <w:szCs w:val="24"/>
          <w:lang w:val="en-ZA"/>
        </w:rPr>
        <w:t>and Others</w:t>
      </w:r>
      <w:r w:rsidR="00DD7317" w:rsidRPr="002613BD">
        <w:rPr>
          <w:rFonts w:ascii="Arial" w:eastAsia="Calibri" w:hAnsi="Arial" w:cs="Arial"/>
          <w:sz w:val="24"/>
          <w:szCs w:val="24"/>
          <w:lang w:val="en-ZA"/>
        </w:rPr>
        <w:t>:</w:t>
      </w:r>
      <w:bookmarkEnd w:id="1"/>
      <w:r w:rsidR="005F0B29" w:rsidRPr="002613BD">
        <w:rPr>
          <w:rStyle w:val="FootnoteReference"/>
          <w:rFonts w:ascii="Arial" w:eastAsia="Calibri" w:hAnsi="Arial" w:cs="Arial"/>
          <w:sz w:val="24"/>
          <w:szCs w:val="24"/>
          <w:lang w:val="en-ZA"/>
        </w:rPr>
        <w:footnoteReference w:id="10"/>
      </w:r>
    </w:p>
    <w:p w14:paraId="0943A65D" w14:textId="77777777" w:rsidR="004446DF" w:rsidRPr="002613BD" w:rsidRDefault="004446DF" w:rsidP="004446DF">
      <w:pPr>
        <w:pStyle w:val="JUGMENTNUMBERED"/>
        <w:numPr>
          <w:ilvl w:val="0"/>
          <w:numId w:val="0"/>
        </w:numPr>
        <w:spacing w:line="360" w:lineRule="auto"/>
        <w:rPr>
          <w:rFonts w:ascii="Arial" w:hAnsi="Arial" w:cs="Arial"/>
          <w:sz w:val="22"/>
          <w:szCs w:val="22"/>
        </w:rPr>
      </w:pPr>
      <w:r w:rsidRPr="002613BD">
        <w:rPr>
          <w:rFonts w:ascii="Arial" w:hAnsi="Arial" w:cs="Arial"/>
          <w:sz w:val="22"/>
          <w:szCs w:val="22"/>
        </w:rPr>
        <w:t xml:space="preserve">‘The applicant’s inability to contest the forthcoming elections, </w:t>
      </w:r>
      <w:r w:rsidRPr="002613BD">
        <w:rPr>
          <w:rFonts w:ascii="Arial" w:hAnsi="Arial" w:cs="Arial"/>
          <w:i/>
          <w:sz w:val="22"/>
          <w:szCs w:val="22"/>
        </w:rPr>
        <w:t>therefore, arises solely from its failure to comply with the mandatory provisions of the Electoral Act and regulations and cannot be laid at the door of the Commission.</w:t>
      </w:r>
      <w:r w:rsidRPr="002613BD">
        <w:rPr>
          <w:rFonts w:ascii="Arial" w:hAnsi="Arial" w:cs="Arial"/>
          <w:sz w:val="22"/>
          <w:szCs w:val="22"/>
        </w:rPr>
        <w:t xml:space="preserve">  The application must therefore fail.  In the circumstances, we do not consider it necessary to consider the peripheral issues raised by the applicant in this case.  Should the applicant wish to pursue these issues, it may do so in a proper forum in the proper manner’. (My emphasis.)</w:t>
      </w:r>
    </w:p>
    <w:p w14:paraId="0351F683" w14:textId="77777777" w:rsidR="004446DF" w:rsidRPr="002613BD" w:rsidRDefault="004446DF" w:rsidP="004446DF">
      <w:pPr>
        <w:pStyle w:val="JUGMENTNUMBERED"/>
        <w:numPr>
          <w:ilvl w:val="0"/>
          <w:numId w:val="0"/>
        </w:numPr>
        <w:spacing w:line="360" w:lineRule="auto"/>
        <w:ind w:left="1440" w:hanging="720"/>
        <w:rPr>
          <w:rFonts w:ascii="Arial" w:hAnsi="Arial" w:cs="Arial"/>
          <w:sz w:val="22"/>
          <w:szCs w:val="22"/>
        </w:rPr>
      </w:pPr>
    </w:p>
    <w:p w14:paraId="7A6A9FF5" w14:textId="5E101C81" w:rsidR="004446DF" w:rsidRPr="002613BD" w:rsidRDefault="004446DF" w:rsidP="004446DF">
      <w:pPr>
        <w:pStyle w:val="JUGMENTNUMBERED"/>
        <w:numPr>
          <w:ilvl w:val="0"/>
          <w:numId w:val="0"/>
        </w:numPr>
        <w:spacing w:line="360" w:lineRule="auto"/>
        <w:rPr>
          <w:rFonts w:ascii="Arial" w:hAnsi="Arial" w:cs="Arial"/>
          <w:sz w:val="24"/>
          <w:szCs w:val="24"/>
        </w:rPr>
      </w:pPr>
      <w:r w:rsidRPr="002613BD">
        <w:rPr>
          <w:rFonts w:ascii="Arial" w:hAnsi="Arial" w:cs="Arial"/>
          <w:sz w:val="24"/>
          <w:szCs w:val="24"/>
        </w:rPr>
        <w:t xml:space="preserve">[15] </w:t>
      </w:r>
      <w:r w:rsidRPr="002613BD">
        <w:rPr>
          <w:rFonts w:ascii="Arial" w:hAnsi="Arial" w:cs="Arial"/>
          <w:sz w:val="24"/>
          <w:szCs w:val="24"/>
        </w:rPr>
        <w:tab/>
        <w:t xml:space="preserve">At the heart of the dispute is the timetable that was issued by the IEC. The AEF did not challenge the timetable as unreasonable or unlawful, it decided to challenge the </w:t>
      </w:r>
      <w:r w:rsidRPr="002613BD">
        <w:rPr>
          <w:rFonts w:ascii="Arial" w:hAnsi="Arial" w:cs="Arial"/>
          <w:sz w:val="24"/>
          <w:szCs w:val="24"/>
        </w:rPr>
        <w:lastRenderedPageBreak/>
        <w:t>adherence to the timeframes, as set out in the timetable by the IEC</w:t>
      </w:r>
      <w:r w:rsidR="00655AF4">
        <w:rPr>
          <w:rFonts w:ascii="Arial" w:hAnsi="Arial" w:cs="Arial"/>
          <w:sz w:val="24"/>
          <w:szCs w:val="24"/>
        </w:rPr>
        <w:t>,</w:t>
      </w:r>
      <w:r w:rsidRPr="002613BD">
        <w:rPr>
          <w:rFonts w:ascii="Arial" w:hAnsi="Arial" w:cs="Arial"/>
          <w:sz w:val="24"/>
          <w:szCs w:val="24"/>
        </w:rPr>
        <w:t xml:space="preserve"> as reviewable. In my view the IEC is created by statute and is required to act within the confines of the ECA and other applicable legislation. Section 5 of the ECA provides for the powers, duties and functions of the IEC, and s 5</w:t>
      </w:r>
      <w:r w:rsidRPr="002613BD">
        <w:rPr>
          <w:rFonts w:ascii="Arial" w:hAnsi="Arial" w:cs="Arial"/>
          <w:i/>
          <w:sz w:val="24"/>
          <w:szCs w:val="24"/>
        </w:rPr>
        <w:t>(b)</w:t>
      </w:r>
      <w:r w:rsidRPr="002613BD">
        <w:rPr>
          <w:rFonts w:ascii="Arial" w:hAnsi="Arial" w:cs="Arial"/>
          <w:sz w:val="24"/>
          <w:szCs w:val="24"/>
        </w:rPr>
        <w:t xml:space="preserve"> of the ECA specifically provides for the duty to ensure that the election is free and fair. The timetable is binding on the AEF as a matter of law. </w:t>
      </w:r>
    </w:p>
    <w:p w14:paraId="678765D3" w14:textId="77777777" w:rsidR="004446DF" w:rsidRPr="002613BD" w:rsidRDefault="004446DF" w:rsidP="004446DF">
      <w:pPr>
        <w:pStyle w:val="JUGMENTNUMBERED"/>
        <w:numPr>
          <w:ilvl w:val="0"/>
          <w:numId w:val="0"/>
        </w:numPr>
        <w:spacing w:line="360" w:lineRule="auto"/>
        <w:rPr>
          <w:rFonts w:ascii="Arial" w:hAnsi="Arial" w:cs="Arial"/>
          <w:sz w:val="24"/>
          <w:szCs w:val="24"/>
        </w:rPr>
      </w:pPr>
    </w:p>
    <w:p w14:paraId="505A4F1B" w14:textId="122C975C" w:rsidR="004446DF" w:rsidRPr="002613BD" w:rsidRDefault="004446DF" w:rsidP="004446DF">
      <w:pPr>
        <w:pStyle w:val="JUGMENTNUMBERED"/>
        <w:numPr>
          <w:ilvl w:val="0"/>
          <w:numId w:val="0"/>
        </w:numPr>
        <w:spacing w:line="360" w:lineRule="auto"/>
        <w:rPr>
          <w:rFonts w:ascii="Arial" w:hAnsi="Arial" w:cs="Arial"/>
          <w:sz w:val="24"/>
          <w:szCs w:val="24"/>
        </w:rPr>
      </w:pPr>
      <w:r w:rsidRPr="002613BD">
        <w:rPr>
          <w:rFonts w:ascii="Arial" w:hAnsi="Arial" w:cs="Arial"/>
          <w:sz w:val="24"/>
          <w:szCs w:val="24"/>
        </w:rPr>
        <w:t>[16]</w:t>
      </w:r>
      <w:r w:rsidRPr="002613BD">
        <w:rPr>
          <w:rFonts w:ascii="Arial" w:hAnsi="Arial" w:cs="Arial"/>
          <w:sz w:val="24"/>
          <w:szCs w:val="24"/>
        </w:rPr>
        <w:tab/>
        <w:t>The importance of the timetable has been explained by the IEC in that it sets out the various stages of the process and when it must occur. Any delay or amendment to the steps in the timetable will have a cascading effect on the election preparations, hence strict compliance is required to ensure a fair and free election to all. The IEC made it abundantly clear in its answering affidavit that the relief sought by the AEF is not just a simple administrative remedy but constitutes radical remedial relief that has the potential to derail the entire election process.</w:t>
      </w:r>
    </w:p>
    <w:p w14:paraId="2656CBEB" w14:textId="2DF8F247" w:rsidR="004446DF" w:rsidRPr="002613BD" w:rsidRDefault="004446DF" w:rsidP="00AA6950">
      <w:pPr>
        <w:pStyle w:val="JUGMENTNUMBERED"/>
        <w:numPr>
          <w:ilvl w:val="0"/>
          <w:numId w:val="0"/>
        </w:numPr>
        <w:spacing w:line="360" w:lineRule="auto"/>
        <w:rPr>
          <w:rFonts w:ascii="Arial" w:hAnsi="Arial" w:cs="Arial"/>
          <w:sz w:val="24"/>
          <w:szCs w:val="24"/>
          <w:lang w:val="en-GB"/>
        </w:rPr>
      </w:pPr>
    </w:p>
    <w:p w14:paraId="42735068" w14:textId="36FD3FC6" w:rsidR="008D36B9" w:rsidRPr="002613BD" w:rsidRDefault="008D36B9" w:rsidP="00AA6950">
      <w:pPr>
        <w:pStyle w:val="JUGMENTNUMBERED"/>
        <w:numPr>
          <w:ilvl w:val="0"/>
          <w:numId w:val="0"/>
        </w:numPr>
        <w:spacing w:line="360" w:lineRule="auto"/>
        <w:rPr>
          <w:rFonts w:ascii="Arial" w:hAnsi="Arial" w:cs="Arial"/>
          <w:b/>
          <w:sz w:val="24"/>
          <w:szCs w:val="24"/>
          <w:lang w:val="en-GB"/>
        </w:rPr>
      </w:pPr>
      <w:r w:rsidRPr="002613BD">
        <w:rPr>
          <w:rFonts w:ascii="Arial" w:hAnsi="Arial" w:cs="Arial"/>
          <w:b/>
          <w:sz w:val="24"/>
          <w:szCs w:val="24"/>
          <w:lang w:val="en-GB"/>
        </w:rPr>
        <w:t>Interpretation</w:t>
      </w:r>
    </w:p>
    <w:p w14:paraId="006328FC" w14:textId="3B972585" w:rsidR="000577B7" w:rsidRPr="002613BD" w:rsidRDefault="004446DF" w:rsidP="00AA6950">
      <w:pPr>
        <w:pStyle w:val="JUGMENTNUMBERED"/>
        <w:numPr>
          <w:ilvl w:val="0"/>
          <w:numId w:val="0"/>
        </w:numPr>
        <w:spacing w:line="360" w:lineRule="auto"/>
        <w:rPr>
          <w:rFonts w:ascii="Arial" w:hAnsi="Arial" w:cs="Arial"/>
        </w:rPr>
      </w:pPr>
      <w:r w:rsidRPr="002613BD">
        <w:rPr>
          <w:rFonts w:ascii="Arial" w:hAnsi="Arial" w:cs="Arial"/>
          <w:sz w:val="24"/>
          <w:szCs w:val="24"/>
          <w:lang w:val="en-GB"/>
        </w:rPr>
        <w:t>[17]</w:t>
      </w:r>
      <w:r w:rsidRPr="002613BD">
        <w:rPr>
          <w:rFonts w:ascii="Arial" w:hAnsi="Arial" w:cs="Arial"/>
          <w:sz w:val="24"/>
          <w:szCs w:val="24"/>
          <w:lang w:val="en-GB"/>
        </w:rPr>
        <w:tab/>
        <w:t xml:space="preserve">I consider it necessary to briefly deal with the interpretation of s 27 of the Act since the AEF submits that a purposive interpretation of the provision results in allowing the AEF to participate in the election since it has substantially complied with the provision. Whilst I agree that a purposive approach should be followed in interpreting the statutory requirements as per s 27(2) of the Act, I disagree with the contention that substantial compliance with some of the requirements suffice. The proper approach to statutory </w:t>
      </w:r>
      <w:r w:rsidR="00893C33" w:rsidRPr="002613BD">
        <w:rPr>
          <w:rFonts w:ascii="Arial" w:hAnsi="Arial" w:cs="Arial"/>
          <w:sz w:val="24"/>
          <w:szCs w:val="24"/>
          <w:lang w:val="en-GB"/>
        </w:rPr>
        <w:t xml:space="preserve">interpretation has been </w:t>
      </w:r>
      <w:r w:rsidR="00A858F7" w:rsidRPr="002613BD">
        <w:rPr>
          <w:rFonts w:ascii="Arial" w:hAnsi="Arial" w:cs="Arial"/>
          <w:sz w:val="24"/>
          <w:szCs w:val="24"/>
          <w:lang w:val="en-GB"/>
        </w:rPr>
        <w:t>encapsulated</w:t>
      </w:r>
      <w:r w:rsidR="00893C33" w:rsidRPr="002613BD">
        <w:rPr>
          <w:rFonts w:ascii="Arial" w:hAnsi="Arial" w:cs="Arial"/>
          <w:sz w:val="24"/>
          <w:szCs w:val="24"/>
          <w:lang w:val="en-GB"/>
        </w:rPr>
        <w:t xml:space="preserve"> in </w:t>
      </w:r>
      <w:r w:rsidR="00893C33" w:rsidRPr="002613BD">
        <w:rPr>
          <w:rFonts w:ascii="Arial" w:hAnsi="Arial" w:cs="Arial"/>
          <w:i/>
          <w:sz w:val="24"/>
          <w:szCs w:val="24"/>
          <w:lang w:val="en-GB"/>
        </w:rPr>
        <w:t xml:space="preserve">Natal Joint Municipal </w:t>
      </w:r>
      <w:r w:rsidR="00FB755B" w:rsidRPr="002613BD">
        <w:rPr>
          <w:rFonts w:ascii="Arial" w:hAnsi="Arial" w:cs="Arial"/>
          <w:i/>
          <w:sz w:val="24"/>
          <w:szCs w:val="24"/>
          <w:lang w:val="en-GB"/>
        </w:rPr>
        <w:t xml:space="preserve">Pension </w:t>
      </w:r>
      <w:r w:rsidR="00893C33" w:rsidRPr="002613BD">
        <w:rPr>
          <w:rFonts w:ascii="Arial" w:hAnsi="Arial" w:cs="Arial"/>
          <w:i/>
          <w:sz w:val="24"/>
          <w:szCs w:val="24"/>
          <w:lang w:val="en-GB"/>
        </w:rPr>
        <w:t>Fund v Endumeni Municipality</w:t>
      </w:r>
      <w:r w:rsidR="00893C33" w:rsidRPr="002613BD">
        <w:rPr>
          <w:rFonts w:ascii="Arial" w:hAnsi="Arial" w:cs="Arial"/>
          <w:sz w:val="24"/>
          <w:szCs w:val="24"/>
          <w:lang w:val="en-GB"/>
        </w:rPr>
        <w:t>,</w:t>
      </w:r>
      <w:r w:rsidR="00D44BBE" w:rsidRPr="002613BD">
        <w:rPr>
          <w:rStyle w:val="FootnoteReference"/>
          <w:rFonts w:ascii="Arial" w:hAnsi="Arial" w:cs="Arial"/>
          <w:sz w:val="24"/>
          <w:szCs w:val="24"/>
          <w:lang w:val="en-GB"/>
        </w:rPr>
        <w:footnoteReference w:id="11"/>
      </w:r>
      <w:r w:rsidRPr="002613BD">
        <w:rPr>
          <w:rFonts w:ascii="Arial" w:hAnsi="Arial" w:cs="Arial"/>
          <w:sz w:val="24"/>
          <w:szCs w:val="24"/>
          <w:lang w:val="en-GB"/>
        </w:rPr>
        <w:t xml:space="preserve"> </w:t>
      </w:r>
      <w:r w:rsidR="009A0F3F" w:rsidRPr="002613BD">
        <w:rPr>
          <w:rFonts w:ascii="Arial" w:hAnsi="Arial" w:cs="Arial"/>
          <w:sz w:val="24"/>
          <w:szCs w:val="24"/>
          <w:lang w:val="en-GB"/>
        </w:rPr>
        <w:t>(‘</w:t>
      </w:r>
      <w:r w:rsidR="009A0F3F" w:rsidRPr="002613BD">
        <w:rPr>
          <w:rFonts w:ascii="Arial" w:hAnsi="Arial" w:cs="Arial"/>
          <w:i/>
          <w:sz w:val="24"/>
          <w:szCs w:val="24"/>
          <w:lang w:val="en-GB"/>
        </w:rPr>
        <w:t>Endumeni</w:t>
      </w:r>
      <w:r w:rsidR="009A0F3F" w:rsidRPr="002613BD">
        <w:rPr>
          <w:rFonts w:ascii="Arial" w:hAnsi="Arial" w:cs="Arial"/>
          <w:sz w:val="24"/>
          <w:szCs w:val="24"/>
          <w:lang w:val="en-GB"/>
        </w:rPr>
        <w:t xml:space="preserve">’). </w:t>
      </w:r>
      <w:r w:rsidR="000577B7" w:rsidRPr="002613BD">
        <w:rPr>
          <w:rFonts w:ascii="Arial" w:hAnsi="Arial" w:cs="Arial"/>
          <w:sz w:val="24"/>
          <w:szCs w:val="24"/>
        </w:rPr>
        <w:t>The S</w:t>
      </w:r>
      <w:r w:rsidR="00E3070C" w:rsidRPr="002613BD">
        <w:rPr>
          <w:rFonts w:ascii="Arial" w:hAnsi="Arial" w:cs="Arial"/>
          <w:sz w:val="24"/>
          <w:szCs w:val="24"/>
        </w:rPr>
        <w:t xml:space="preserve">upreme </w:t>
      </w:r>
      <w:r w:rsidR="000577B7" w:rsidRPr="002613BD">
        <w:rPr>
          <w:rFonts w:ascii="Arial" w:hAnsi="Arial" w:cs="Arial"/>
          <w:sz w:val="24"/>
          <w:szCs w:val="24"/>
        </w:rPr>
        <w:t>C</w:t>
      </w:r>
      <w:r w:rsidR="00E3070C" w:rsidRPr="002613BD">
        <w:rPr>
          <w:rFonts w:ascii="Arial" w:hAnsi="Arial" w:cs="Arial"/>
          <w:sz w:val="24"/>
          <w:szCs w:val="24"/>
        </w:rPr>
        <w:t xml:space="preserve">ourt of </w:t>
      </w:r>
      <w:r w:rsidR="000577B7" w:rsidRPr="002613BD">
        <w:rPr>
          <w:rFonts w:ascii="Arial" w:hAnsi="Arial" w:cs="Arial"/>
          <w:sz w:val="24"/>
          <w:szCs w:val="24"/>
        </w:rPr>
        <w:t>A</w:t>
      </w:r>
      <w:r w:rsidR="00E3070C" w:rsidRPr="002613BD">
        <w:rPr>
          <w:rFonts w:ascii="Arial" w:hAnsi="Arial" w:cs="Arial"/>
          <w:sz w:val="24"/>
          <w:szCs w:val="24"/>
        </w:rPr>
        <w:t>ppeal</w:t>
      </w:r>
      <w:r w:rsidR="000577B7" w:rsidRPr="002613BD">
        <w:rPr>
          <w:rFonts w:ascii="Arial" w:hAnsi="Arial" w:cs="Arial"/>
          <w:sz w:val="24"/>
          <w:szCs w:val="24"/>
        </w:rPr>
        <w:t xml:space="preserve"> in </w:t>
      </w:r>
      <w:r w:rsidR="000577B7" w:rsidRPr="002613BD">
        <w:rPr>
          <w:rFonts w:ascii="Arial" w:hAnsi="Arial" w:cs="Arial"/>
          <w:i/>
          <w:sz w:val="24"/>
          <w:szCs w:val="24"/>
        </w:rPr>
        <w:t xml:space="preserve">Endumeni </w:t>
      </w:r>
      <w:r w:rsidR="000577B7" w:rsidRPr="002613BD">
        <w:rPr>
          <w:rFonts w:ascii="Arial" w:hAnsi="Arial" w:cs="Arial"/>
          <w:sz w:val="24"/>
          <w:szCs w:val="24"/>
        </w:rPr>
        <w:t>stated as follows</w:t>
      </w:r>
      <w:r w:rsidR="000577B7" w:rsidRPr="002613BD">
        <w:rPr>
          <w:rFonts w:ascii="Arial" w:hAnsi="Arial" w:cs="Arial"/>
        </w:rPr>
        <w:t>:</w:t>
      </w:r>
      <w:r w:rsidR="00E3070C" w:rsidRPr="002613BD">
        <w:rPr>
          <w:rStyle w:val="FootnoteReference"/>
          <w:rFonts w:ascii="Arial" w:hAnsi="Arial" w:cs="Arial"/>
        </w:rPr>
        <w:footnoteReference w:id="12"/>
      </w:r>
    </w:p>
    <w:p w14:paraId="7727EF36" w14:textId="0AE9D9B6" w:rsidR="000577B7" w:rsidRPr="002613BD" w:rsidRDefault="004F4948" w:rsidP="00AA6950">
      <w:pPr>
        <w:pStyle w:val="western"/>
        <w:shd w:val="clear" w:color="auto" w:fill="FFFFFF"/>
        <w:spacing w:before="0" w:beforeAutospacing="0" w:after="0" w:afterAutospacing="0" w:line="360" w:lineRule="auto"/>
        <w:contextualSpacing/>
        <w:jc w:val="both"/>
        <w:rPr>
          <w:rFonts w:ascii="Arial" w:hAnsi="Arial" w:cs="Arial"/>
          <w:color w:val="000000" w:themeColor="text1"/>
          <w:sz w:val="22"/>
          <w:szCs w:val="22"/>
        </w:rPr>
      </w:pPr>
      <w:r w:rsidRPr="002613BD">
        <w:rPr>
          <w:rFonts w:ascii="Arial" w:hAnsi="Arial" w:cs="Arial"/>
          <w:color w:val="000000" w:themeColor="text1"/>
          <w:sz w:val="22"/>
          <w:szCs w:val="22"/>
        </w:rPr>
        <w:t>‘…</w:t>
      </w:r>
      <w:r w:rsidR="000577B7" w:rsidRPr="002613BD">
        <w:rPr>
          <w:rFonts w:ascii="Arial" w:hAnsi="Arial" w:cs="Arial"/>
          <w:color w:val="000000" w:themeColor="text1"/>
          <w:sz w:val="22"/>
          <w:szCs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w:t>
      </w:r>
      <w:r w:rsidR="000577B7" w:rsidRPr="002613BD">
        <w:rPr>
          <w:rFonts w:ascii="Arial" w:hAnsi="Arial" w:cs="Arial"/>
          <w:color w:val="000000" w:themeColor="text1"/>
          <w:sz w:val="22"/>
          <w:szCs w:val="22"/>
        </w:rPr>
        <w:lastRenderedPageBreak/>
        <w:t>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2" w:name="0-0-0-75031"/>
      <w:bookmarkEnd w:id="2"/>
      <w:r w:rsidR="000577B7" w:rsidRPr="002613BD">
        <w:rPr>
          <w:rFonts w:ascii="Arial" w:hAnsi="Arial" w:cs="Arial"/>
          <w:color w:val="000000" w:themeColor="text1"/>
          <w:sz w:val="22"/>
          <w:szCs w:val="22"/>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w:t>
      </w:r>
      <w:r w:rsidR="000577B7" w:rsidRPr="002613BD">
        <w:rPr>
          <w:rFonts w:ascii="Arial" w:hAnsi="Arial" w:cs="Arial"/>
          <w:i/>
          <w:color w:val="000000" w:themeColor="text1"/>
          <w:sz w:val="22"/>
          <w:szCs w:val="22"/>
        </w:rPr>
        <w:t>The “inevitable point of departure is the language of the provision itself”,</w:t>
      </w:r>
      <w:bookmarkStart w:id="3" w:name="0-0-0-75035"/>
      <w:bookmarkEnd w:id="3"/>
      <w:r w:rsidR="000577B7" w:rsidRPr="002613BD">
        <w:rPr>
          <w:rFonts w:ascii="Arial" w:hAnsi="Arial" w:cs="Arial"/>
          <w:i/>
          <w:color w:val="000000" w:themeColor="text1"/>
          <w:sz w:val="22"/>
          <w:szCs w:val="22"/>
        </w:rPr>
        <w:t xml:space="preserve"> read in context and having regard to the purpose of the provision</w:t>
      </w:r>
      <w:r w:rsidR="000577B7" w:rsidRPr="002613BD">
        <w:rPr>
          <w:rFonts w:ascii="Arial" w:hAnsi="Arial" w:cs="Arial"/>
          <w:color w:val="000000" w:themeColor="text1"/>
          <w:sz w:val="22"/>
          <w:szCs w:val="22"/>
        </w:rPr>
        <w:t xml:space="preserve"> and the background to the preparation and production of the document.’ </w:t>
      </w:r>
      <w:r w:rsidRPr="002613BD">
        <w:rPr>
          <w:rFonts w:ascii="Arial" w:hAnsi="Arial" w:cs="Arial"/>
          <w:color w:val="000000" w:themeColor="text1"/>
          <w:sz w:val="22"/>
          <w:szCs w:val="22"/>
        </w:rPr>
        <w:t xml:space="preserve">(Footnotes omitted.) </w:t>
      </w:r>
      <w:r w:rsidR="000577B7" w:rsidRPr="002613BD">
        <w:rPr>
          <w:rFonts w:ascii="Arial" w:hAnsi="Arial" w:cs="Arial"/>
          <w:color w:val="000000" w:themeColor="text1"/>
          <w:sz w:val="22"/>
          <w:szCs w:val="22"/>
        </w:rPr>
        <w:t>(My emphasis</w:t>
      </w:r>
      <w:r w:rsidRPr="002613BD">
        <w:rPr>
          <w:rFonts w:ascii="Arial" w:hAnsi="Arial" w:cs="Arial"/>
          <w:color w:val="000000" w:themeColor="text1"/>
          <w:sz w:val="22"/>
          <w:szCs w:val="22"/>
        </w:rPr>
        <w:t>.</w:t>
      </w:r>
      <w:r w:rsidR="000577B7" w:rsidRPr="002613BD">
        <w:rPr>
          <w:rFonts w:ascii="Arial" w:hAnsi="Arial" w:cs="Arial"/>
          <w:color w:val="000000" w:themeColor="text1"/>
          <w:sz w:val="22"/>
          <w:szCs w:val="22"/>
        </w:rPr>
        <w:t>)</w:t>
      </w:r>
    </w:p>
    <w:p w14:paraId="29098DD5" w14:textId="77777777" w:rsidR="00D44BBE" w:rsidRPr="002613BD" w:rsidRDefault="00D44BBE" w:rsidP="00AA6950">
      <w:pPr>
        <w:pStyle w:val="western"/>
        <w:shd w:val="clear" w:color="auto" w:fill="FFFFFF"/>
        <w:spacing w:before="0" w:beforeAutospacing="0" w:after="0" w:afterAutospacing="0" w:line="360" w:lineRule="auto"/>
        <w:contextualSpacing/>
        <w:jc w:val="both"/>
        <w:rPr>
          <w:rFonts w:ascii="Arial" w:hAnsi="Arial" w:cs="Arial"/>
          <w:color w:val="000000" w:themeColor="text1"/>
        </w:rPr>
      </w:pPr>
    </w:p>
    <w:p w14:paraId="5210D624" w14:textId="2CD019B2" w:rsidR="00B237C3" w:rsidRPr="002613BD" w:rsidRDefault="00B237C3" w:rsidP="00AA6950">
      <w:pPr>
        <w:pStyle w:val="JUGMENTNUMBERED"/>
        <w:numPr>
          <w:ilvl w:val="0"/>
          <w:numId w:val="0"/>
        </w:numPr>
        <w:spacing w:line="360" w:lineRule="auto"/>
        <w:rPr>
          <w:rFonts w:ascii="Arial" w:eastAsia="Calibri" w:hAnsi="Arial" w:cs="Arial"/>
          <w:sz w:val="24"/>
          <w:szCs w:val="24"/>
        </w:rPr>
      </w:pPr>
      <w:r w:rsidRPr="002613BD">
        <w:rPr>
          <w:rFonts w:ascii="Arial" w:eastAsia="Calibri" w:hAnsi="Arial" w:cs="Arial"/>
          <w:sz w:val="24"/>
          <w:szCs w:val="24"/>
        </w:rPr>
        <w:t>[1</w:t>
      </w:r>
      <w:r w:rsidR="004446DF" w:rsidRPr="002613BD">
        <w:rPr>
          <w:rFonts w:ascii="Arial" w:eastAsia="Calibri" w:hAnsi="Arial" w:cs="Arial"/>
          <w:sz w:val="24"/>
          <w:szCs w:val="24"/>
        </w:rPr>
        <w:t>8</w:t>
      </w:r>
      <w:r w:rsidRPr="002613BD">
        <w:rPr>
          <w:rFonts w:ascii="Arial" w:eastAsia="Calibri" w:hAnsi="Arial" w:cs="Arial"/>
          <w:sz w:val="24"/>
          <w:szCs w:val="24"/>
        </w:rPr>
        <w:t>]</w:t>
      </w:r>
      <w:r w:rsidRPr="002613BD">
        <w:rPr>
          <w:rFonts w:ascii="Arial" w:eastAsia="Calibri" w:hAnsi="Arial" w:cs="Arial"/>
          <w:sz w:val="24"/>
          <w:szCs w:val="24"/>
        </w:rPr>
        <w:tab/>
        <w:t xml:space="preserve">In </w:t>
      </w:r>
      <w:r w:rsidRPr="002613BD">
        <w:rPr>
          <w:rFonts w:ascii="Arial" w:eastAsia="Calibri" w:hAnsi="Arial" w:cs="Arial"/>
          <w:i/>
          <w:sz w:val="24"/>
          <w:szCs w:val="24"/>
        </w:rPr>
        <w:t>Electoral Commission v Inkatha Freedom Party,</w:t>
      </w:r>
      <w:r w:rsidR="00D44BBE" w:rsidRPr="002613BD">
        <w:rPr>
          <w:rStyle w:val="FootnoteReference"/>
          <w:rFonts w:ascii="Arial" w:eastAsia="Calibri" w:hAnsi="Arial" w:cs="Arial"/>
          <w:sz w:val="24"/>
          <w:szCs w:val="24"/>
        </w:rPr>
        <w:footnoteReference w:id="13"/>
      </w:r>
      <w:r w:rsidR="006A0EC0" w:rsidRPr="002613BD">
        <w:rPr>
          <w:rFonts w:ascii="Arial" w:eastAsia="Calibri" w:hAnsi="Arial" w:cs="Arial"/>
          <w:i/>
          <w:sz w:val="24"/>
          <w:szCs w:val="24"/>
        </w:rPr>
        <w:t xml:space="preserve"> </w:t>
      </w:r>
      <w:r w:rsidRPr="002613BD">
        <w:rPr>
          <w:rFonts w:ascii="Arial" w:eastAsia="Calibri" w:hAnsi="Arial" w:cs="Arial"/>
          <w:sz w:val="24"/>
          <w:szCs w:val="24"/>
        </w:rPr>
        <w:t xml:space="preserve">the Constitutional Court emphasised the legislative purpose of the </w:t>
      </w:r>
      <w:r w:rsidR="00E74636" w:rsidRPr="002613BD">
        <w:rPr>
          <w:rFonts w:ascii="Arial" w:eastAsia="Calibri" w:hAnsi="Arial" w:cs="Arial"/>
          <w:sz w:val="24"/>
          <w:szCs w:val="24"/>
        </w:rPr>
        <w:t>Act</w:t>
      </w:r>
      <w:r w:rsidRPr="002613BD">
        <w:rPr>
          <w:rFonts w:ascii="Arial" w:eastAsia="Calibri" w:hAnsi="Arial" w:cs="Arial"/>
          <w:sz w:val="24"/>
          <w:szCs w:val="24"/>
        </w:rPr>
        <w:t>, it held:</w:t>
      </w:r>
      <w:r w:rsidR="004F4948" w:rsidRPr="002613BD">
        <w:rPr>
          <w:rStyle w:val="FootnoteReference"/>
          <w:rFonts w:ascii="Arial" w:eastAsia="Calibri" w:hAnsi="Arial" w:cs="Arial"/>
          <w:sz w:val="24"/>
          <w:szCs w:val="24"/>
        </w:rPr>
        <w:footnoteReference w:id="14"/>
      </w:r>
    </w:p>
    <w:p w14:paraId="6AF3FE1D" w14:textId="47001045" w:rsidR="00B237C3" w:rsidRPr="002613BD" w:rsidRDefault="00B237C3" w:rsidP="00AA6950">
      <w:pPr>
        <w:pStyle w:val="JUGMENTNUMBERED"/>
        <w:numPr>
          <w:ilvl w:val="0"/>
          <w:numId w:val="0"/>
        </w:numPr>
        <w:spacing w:line="360" w:lineRule="auto"/>
        <w:rPr>
          <w:rFonts w:ascii="Arial" w:eastAsia="Calibri" w:hAnsi="Arial" w:cs="Arial"/>
          <w:sz w:val="22"/>
          <w:szCs w:val="22"/>
        </w:rPr>
      </w:pPr>
      <w:r w:rsidRPr="002613BD">
        <w:rPr>
          <w:rFonts w:ascii="Arial" w:eastAsia="Calibri" w:hAnsi="Arial" w:cs="Arial"/>
          <w:sz w:val="22"/>
          <w:szCs w:val="22"/>
        </w:rPr>
        <w:t>‘As we have held previously, and as section 2 of the Act requires, the provisions of the Act must be construed in a manner that gives effect to the right “to vote in elections” and the right “to stand for public office.” In addition, the Act must be construed in the light of the foundational values of our constitutional democracy, which include:</w:t>
      </w:r>
    </w:p>
    <w:p w14:paraId="2D6892FA" w14:textId="77777777" w:rsidR="00B237C3" w:rsidRPr="002613BD" w:rsidRDefault="00B237C3" w:rsidP="0049728A">
      <w:pPr>
        <w:pStyle w:val="JUGMENTNUMBERED"/>
        <w:numPr>
          <w:ilvl w:val="0"/>
          <w:numId w:val="0"/>
        </w:numPr>
        <w:spacing w:line="360" w:lineRule="auto"/>
        <w:rPr>
          <w:rFonts w:ascii="Arial" w:eastAsia="Calibri" w:hAnsi="Arial" w:cs="Arial"/>
          <w:sz w:val="22"/>
          <w:szCs w:val="22"/>
        </w:rPr>
      </w:pPr>
      <w:r w:rsidRPr="002613BD">
        <w:rPr>
          <w:rFonts w:ascii="Arial" w:eastAsia="Calibri" w:hAnsi="Arial" w:cs="Arial"/>
          <w:sz w:val="22"/>
          <w:szCs w:val="22"/>
        </w:rPr>
        <w:t>“…a national common voters roll, regular elections and a multi-party system of democratic government, to ensure accountability, responsiveness and openness.”</w:t>
      </w:r>
    </w:p>
    <w:p w14:paraId="1FDB3ECA" w14:textId="236A0559" w:rsidR="00B237C3" w:rsidRPr="002613BD" w:rsidRDefault="00B237C3" w:rsidP="00AA6950">
      <w:pPr>
        <w:pStyle w:val="JUGMENTNUMBERED"/>
        <w:numPr>
          <w:ilvl w:val="0"/>
          <w:numId w:val="0"/>
        </w:numPr>
        <w:spacing w:line="360" w:lineRule="auto"/>
        <w:rPr>
          <w:rFonts w:ascii="Arial" w:eastAsia="Calibri" w:hAnsi="Arial" w:cs="Arial"/>
          <w:sz w:val="22"/>
          <w:szCs w:val="22"/>
        </w:rPr>
      </w:pPr>
      <w:r w:rsidRPr="002613BD">
        <w:rPr>
          <w:rFonts w:ascii="Arial" w:eastAsia="Calibri" w:hAnsi="Arial" w:cs="Arial"/>
          <w:sz w:val="22"/>
          <w:szCs w:val="22"/>
        </w:rPr>
        <w:t>These foundational values require courts and the Commission to construe the electoral statutes in a manner that promotes enfranchisement rather than disenfranchisement and participation rather than exclusion…’</w:t>
      </w:r>
      <w:r w:rsidR="00E42D6A" w:rsidRPr="002613BD">
        <w:rPr>
          <w:rFonts w:ascii="Arial" w:eastAsia="Calibri" w:hAnsi="Arial" w:cs="Arial"/>
          <w:sz w:val="22"/>
          <w:szCs w:val="22"/>
        </w:rPr>
        <w:t xml:space="preserve"> (Footnotes omitted.)</w:t>
      </w:r>
    </w:p>
    <w:p w14:paraId="3904872D" w14:textId="79684923" w:rsidR="00B237C3" w:rsidRPr="002613BD" w:rsidRDefault="00B237C3" w:rsidP="00AA6950">
      <w:pPr>
        <w:pStyle w:val="JUGMENTNUMBERED"/>
        <w:numPr>
          <w:ilvl w:val="0"/>
          <w:numId w:val="0"/>
        </w:numPr>
        <w:spacing w:line="360" w:lineRule="auto"/>
        <w:rPr>
          <w:rFonts w:ascii="Arial" w:eastAsia="Calibri" w:hAnsi="Arial" w:cs="Arial"/>
          <w:sz w:val="24"/>
          <w:szCs w:val="24"/>
        </w:rPr>
      </w:pPr>
      <w:r w:rsidRPr="002613BD">
        <w:rPr>
          <w:rFonts w:ascii="Arial" w:eastAsia="Calibri" w:hAnsi="Arial" w:cs="Arial"/>
          <w:sz w:val="24"/>
          <w:szCs w:val="24"/>
        </w:rPr>
        <w:t xml:space="preserve">The </w:t>
      </w:r>
      <w:r w:rsidR="00F37D87" w:rsidRPr="002613BD">
        <w:rPr>
          <w:rFonts w:ascii="Arial" w:eastAsia="Calibri" w:hAnsi="Arial" w:cs="Arial"/>
          <w:sz w:val="24"/>
          <w:szCs w:val="24"/>
        </w:rPr>
        <w:t xml:space="preserve">Constitutional </w:t>
      </w:r>
      <w:r w:rsidRPr="002613BD">
        <w:rPr>
          <w:rFonts w:ascii="Arial" w:eastAsia="Calibri" w:hAnsi="Arial" w:cs="Arial"/>
          <w:sz w:val="24"/>
          <w:szCs w:val="24"/>
        </w:rPr>
        <w:t>Court went however further and held in paragraph 52 that these foundation values are best advanced through the IEC’s rigorous adherence to deadlines which is crucial to the integrity of the electoral process.</w:t>
      </w:r>
    </w:p>
    <w:p w14:paraId="2EB07D79" w14:textId="77777777" w:rsidR="00A81440" w:rsidRPr="002613BD" w:rsidRDefault="00A81440" w:rsidP="00AA6950">
      <w:pPr>
        <w:pStyle w:val="western"/>
        <w:shd w:val="clear" w:color="auto" w:fill="FFFFFF"/>
        <w:spacing w:before="0" w:beforeAutospacing="0" w:after="0" w:afterAutospacing="0" w:line="360" w:lineRule="auto"/>
        <w:contextualSpacing/>
        <w:jc w:val="both"/>
        <w:rPr>
          <w:rFonts w:ascii="Arial" w:hAnsi="Arial" w:cs="Arial"/>
          <w:color w:val="000000" w:themeColor="text1"/>
        </w:rPr>
      </w:pPr>
    </w:p>
    <w:p w14:paraId="43CA5C67" w14:textId="78005AE5" w:rsidR="00A81440" w:rsidRPr="002613BD" w:rsidRDefault="00A81440" w:rsidP="00AA6950">
      <w:pPr>
        <w:pStyle w:val="western"/>
        <w:shd w:val="clear" w:color="auto" w:fill="FFFFFF"/>
        <w:spacing w:before="0" w:beforeAutospacing="0" w:after="0" w:afterAutospacing="0" w:line="360" w:lineRule="auto"/>
        <w:contextualSpacing/>
        <w:jc w:val="both"/>
        <w:rPr>
          <w:rFonts w:ascii="Arial" w:hAnsi="Arial" w:cs="Arial"/>
          <w:color w:val="000000" w:themeColor="text1"/>
        </w:rPr>
      </w:pPr>
      <w:r w:rsidRPr="002613BD">
        <w:rPr>
          <w:rFonts w:ascii="Arial" w:hAnsi="Arial" w:cs="Arial"/>
          <w:color w:val="000000" w:themeColor="text1"/>
        </w:rPr>
        <w:t>[</w:t>
      </w:r>
      <w:r w:rsidR="00AA6950" w:rsidRPr="002613BD">
        <w:rPr>
          <w:rFonts w:ascii="Arial" w:hAnsi="Arial" w:cs="Arial"/>
          <w:color w:val="000000" w:themeColor="text1"/>
        </w:rPr>
        <w:t>1</w:t>
      </w:r>
      <w:r w:rsidR="004446DF" w:rsidRPr="002613BD">
        <w:rPr>
          <w:rFonts w:ascii="Arial" w:hAnsi="Arial" w:cs="Arial"/>
          <w:color w:val="000000" w:themeColor="text1"/>
        </w:rPr>
        <w:t>9</w:t>
      </w:r>
      <w:r w:rsidRPr="002613BD">
        <w:rPr>
          <w:rFonts w:ascii="Arial" w:hAnsi="Arial" w:cs="Arial"/>
          <w:color w:val="000000" w:themeColor="text1"/>
        </w:rPr>
        <w:t>]</w:t>
      </w:r>
      <w:r w:rsidR="00DB14F9" w:rsidRPr="002613BD">
        <w:rPr>
          <w:rFonts w:ascii="Arial" w:hAnsi="Arial" w:cs="Arial"/>
          <w:color w:val="000000" w:themeColor="text1"/>
        </w:rPr>
        <w:tab/>
      </w:r>
      <w:r w:rsidR="00E42D6A" w:rsidRPr="002613BD">
        <w:rPr>
          <w:rFonts w:ascii="Arial" w:hAnsi="Arial" w:cs="Arial"/>
          <w:color w:val="000000" w:themeColor="text1"/>
        </w:rPr>
        <w:t xml:space="preserve">The </w:t>
      </w:r>
      <w:r w:rsidRPr="002613BD">
        <w:rPr>
          <w:rFonts w:ascii="Arial" w:hAnsi="Arial" w:cs="Arial"/>
          <w:color w:val="000000" w:themeColor="text1"/>
        </w:rPr>
        <w:t>AE</w:t>
      </w:r>
      <w:r w:rsidR="00ED54BA">
        <w:rPr>
          <w:rFonts w:ascii="Arial" w:hAnsi="Arial" w:cs="Arial"/>
          <w:color w:val="000000" w:themeColor="text1"/>
        </w:rPr>
        <w:t>F</w:t>
      </w:r>
      <w:r w:rsidRPr="002613BD">
        <w:rPr>
          <w:rFonts w:ascii="Arial" w:hAnsi="Arial" w:cs="Arial"/>
          <w:color w:val="000000" w:themeColor="text1"/>
        </w:rPr>
        <w:t xml:space="preserve"> submits that the purpose of the </w:t>
      </w:r>
      <w:r w:rsidR="00F37D87" w:rsidRPr="002613BD">
        <w:rPr>
          <w:rFonts w:ascii="Arial" w:hAnsi="Arial" w:cs="Arial"/>
          <w:color w:val="000000" w:themeColor="text1"/>
        </w:rPr>
        <w:t>provision</w:t>
      </w:r>
      <w:r w:rsidRPr="002613BD">
        <w:rPr>
          <w:rFonts w:ascii="Arial" w:hAnsi="Arial" w:cs="Arial"/>
          <w:color w:val="000000" w:themeColor="text1"/>
        </w:rPr>
        <w:t xml:space="preserve"> is to establish that parties have a serious intention to</w:t>
      </w:r>
      <w:r w:rsidR="007F365B" w:rsidRPr="002613BD">
        <w:rPr>
          <w:rFonts w:ascii="Arial" w:hAnsi="Arial" w:cs="Arial"/>
          <w:color w:val="000000" w:themeColor="text1"/>
        </w:rPr>
        <w:t xml:space="preserve"> contest the election. T</w:t>
      </w:r>
      <w:r w:rsidRPr="002613BD">
        <w:rPr>
          <w:rFonts w:ascii="Arial" w:hAnsi="Arial" w:cs="Arial"/>
          <w:color w:val="000000" w:themeColor="text1"/>
        </w:rPr>
        <w:t xml:space="preserve">his </w:t>
      </w:r>
      <w:r w:rsidR="00F37D87" w:rsidRPr="002613BD">
        <w:rPr>
          <w:rFonts w:ascii="Arial" w:hAnsi="Arial" w:cs="Arial"/>
          <w:color w:val="000000" w:themeColor="text1"/>
        </w:rPr>
        <w:t>is in my view, not the only purpose of the provision. Section</w:t>
      </w:r>
      <w:r w:rsidRPr="002613BD">
        <w:rPr>
          <w:rFonts w:ascii="Arial" w:hAnsi="Arial" w:cs="Arial"/>
          <w:color w:val="000000" w:themeColor="text1"/>
        </w:rPr>
        <w:t xml:space="preserve"> 27(1) of the Act </w:t>
      </w:r>
      <w:r w:rsidR="0021311B" w:rsidRPr="002613BD">
        <w:rPr>
          <w:rFonts w:ascii="Arial" w:hAnsi="Arial" w:cs="Arial"/>
          <w:color w:val="000000" w:themeColor="text1"/>
        </w:rPr>
        <w:t xml:space="preserve">is mandatory and requires of a </w:t>
      </w:r>
      <w:r w:rsidRPr="002613BD">
        <w:rPr>
          <w:rFonts w:ascii="Arial" w:hAnsi="Arial" w:cs="Arial"/>
          <w:color w:val="000000" w:themeColor="text1"/>
        </w:rPr>
        <w:t xml:space="preserve">registered party to </w:t>
      </w:r>
      <w:r w:rsidRPr="002613BD">
        <w:rPr>
          <w:rFonts w:ascii="Arial" w:hAnsi="Arial" w:cs="Arial"/>
          <w:color w:val="000000" w:themeColor="text1"/>
        </w:rPr>
        <w:lastRenderedPageBreak/>
        <w:t>comply in the prescribed manner</w:t>
      </w:r>
      <w:r w:rsidR="00652111" w:rsidRPr="002613BD">
        <w:rPr>
          <w:rFonts w:ascii="Arial" w:hAnsi="Arial" w:cs="Arial"/>
          <w:color w:val="000000" w:themeColor="text1"/>
        </w:rPr>
        <w:t>.</w:t>
      </w:r>
      <w:r w:rsidR="00F37D87" w:rsidRPr="002613BD">
        <w:rPr>
          <w:rFonts w:ascii="Arial" w:hAnsi="Arial" w:cs="Arial"/>
          <w:color w:val="000000" w:themeColor="text1"/>
        </w:rPr>
        <w:t xml:space="preserve"> </w:t>
      </w:r>
      <w:r w:rsidR="00652111" w:rsidRPr="002613BD">
        <w:rPr>
          <w:rFonts w:ascii="Arial" w:hAnsi="Arial" w:cs="Arial"/>
          <w:color w:val="000000" w:themeColor="text1"/>
        </w:rPr>
        <w:t>The manner in which it should comply is meeting the</w:t>
      </w:r>
      <w:r w:rsidRPr="002613BD">
        <w:rPr>
          <w:rFonts w:ascii="Arial" w:hAnsi="Arial" w:cs="Arial"/>
          <w:color w:val="000000" w:themeColor="text1"/>
        </w:rPr>
        <w:t xml:space="preserve"> requirements </w:t>
      </w:r>
      <w:r w:rsidR="00171A3F" w:rsidRPr="002613BD">
        <w:rPr>
          <w:rFonts w:ascii="Arial" w:hAnsi="Arial" w:cs="Arial"/>
          <w:color w:val="000000" w:themeColor="text1"/>
        </w:rPr>
        <w:t xml:space="preserve">as </w:t>
      </w:r>
      <w:r w:rsidRPr="002613BD">
        <w:rPr>
          <w:rFonts w:ascii="Arial" w:hAnsi="Arial" w:cs="Arial"/>
          <w:color w:val="000000" w:themeColor="text1"/>
        </w:rPr>
        <w:t>listed i</w:t>
      </w:r>
      <w:r w:rsidR="00B237C3" w:rsidRPr="002613BD">
        <w:rPr>
          <w:rFonts w:ascii="Arial" w:hAnsi="Arial" w:cs="Arial"/>
          <w:color w:val="000000" w:themeColor="text1"/>
        </w:rPr>
        <w:t>n s 27(2)</w:t>
      </w:r>
      <w:r w:rsidR="00B237C3" w:rsidRPr="002613BD">
        <w:rPr>
          <w:rFonts w:ascii="Arial" w:hAnsi="Arial" w:cs="Arial"/>
          <w:i/>
          <w:color w:val="000000" w:themeColor="text1"/>
        </w:rPr>
        <w:t>(a)</w:t>
      </w:r>
      <w:r w:rsidR="00B237C3" w:rsidRPr="002613BD">
        <w:rPr>
          <w:rFonts w:ascii="Arial" w:hAnsi="Arial" w:cs="Arial"/>
          <w:color w:val="000000" w:themeColor="text1"/>
        </w:rPr>
        <w:t xml:space="preserve"> to </w:t>
      </w:r>
      <w:r w:rsidR="00B237C3" w:rsidRPr="002613BD">
        <w:rPr>
          <w:rFonts w:ascii="Arial" w:hAnsi="Arial" w:cs="Arial"/>
          <w:i/>
          <w:color w:val="000000" w:themeColor="text1"/>
        </w:rPr>
        <w:t>(e)</w:t>
      </w:r>
      <w:r w:rsidR="00B237C3" w:rsidRPr="002613BD">
        <w:rPr>
          <w:rFonts w:ascii="Arial" w:hAnsi="Arial" w:cs="Arial"/>
          <w:color w:val="000000" w:themeColor="text1"/>
        </w:rPr>
        <w:t xml:space="preserve">, which should be read with the timetable issued by the IEC in terms of s 20 of the </w:t>
      </w:r>
      <w:r w:rsidR="00E74636" w:rsidRPr="002613BD">
        <w:rPr>
          <w:rFonts w:ascii="Arial" w:hAnsi="Arial" w:cs="Arial"/>
          <w:color w:val="000000" w:themeColor="text1"/>
        </w:rPr>
        <w:t>Act</w:t>
      </w:r>
      <w:r w:rsidR="00B237C3" w:rsidRPr="002613BD">
        <w:rPr>
          <w:rFonts w:ascii="Arial" w:hAnsi="Arial" w:cs="Arial"/>
          <w:color w:val="000000" w:themeColor="text1"/>
        </w:rPr>
        <w:t xml:space="preserve">. </w:t>
      </w:r>
      <w:r w:rsidR="0021311B" w:rsidRPr="002613BD">
        <w:rPr>
          <w:rFonts w:ascii="Arial" w:hAnsi="Arial" w:cs="Arial"/>
          <w:color w:val="000000" w:themeColor="text1"/>
        </w:rPr>
        <w:t>The requirements cannot be separated</w:t>
      </w:r>
      <w:r w:rsidR="00B237C3" w:rsidRPr="002613BD">
        <w:rPr>
          <w:rFonts w:ascii="Arial" w:hAnsi="Arial" w:cs="Arial"/>
          <w:color w:val="000000" w:themeColor="text1"/>
        </w:rPr>
        <w:t xml:space="preserve"> they are all </w:t>
      </w:r>
      <w:r w:rsidR="00F37D87" w:rsidRPr="002613BD">
        <w:rPr>
          <w:rFonts w:ascii="Arial" w:hAnsi="Arial" w:cs="Arial"/>
          <w:color w:val="000000" w:themeColor="text1"/>
        </w:rPr>
        <w:t xml:space="preserve">equally </w:t>
      </w:r>
      <w:r w:rsidR="00B237C3" w:rsidRPr="002613BD">
        <w:rPr>
          <w:rFonts w:ascii="Arial" w:hAnsi="Arial" w:cs="Arial"/>
          <w:color w:val="000000" w:themeColor="text1"/>
        </w:rPr>
        <w:t xml:space="preserve">important and </w:t>
      </w:r>
      <w:r w:rsidR="00F37D87" w:rsidRPr="002613BD">
        <w:rPr>
          <w:rFonts w:ascii="Arial" w:hAnsi="Arial" w:cs="Arial"/>
          <w:color w:val="000000" w:themeColor="text1"/>
        </w:rPr>
        <w:t xml:space="preserve">are </w:t>
      </w:r>
      <w:r w:rsidR="00B237C3" w:rsidRPr="002613BD">
        <w:rPr>
          <w:rFonts w:ascii="Arial" w:hAnsi="Arial" w:cs="Arial"/>
          <w:color w:val="000000" w:themeColor="text1"/>
        </w:rPr>
        <w:t>aimed at</w:t>
      </w:r>
      <w:r w:rsidR="00787742" w:rsidRPr="002613BD">
        <w:rPr>
          <w:rFonts w:ascii="Arial" w:hAnsi="Arial" w:cs="Arial"/>
          <w:color w:val="000000" w:themeColor="text1"/>
        </w:rPr>
        <w:t xml:space="preserve"> ensuring a fair</w:t>
      </w:r>
      <w:r w:rsidR="00B237C3" w:rsidRPr="002613BD">
        <w:rPr>
          <w:rFonts w:ascii="Arial" w:hAnsi="Arial" w:cs="Arial"/>
          <w:color w:val="000000" w:themeColor="text1"/>
        </w:rPr>
        <w:t xml:space="preserve"> and free</w:t>
      </w:r>
      <w:r w:rsidR="00787742" w:rsidRPr="002613BD">
        <w:rPr>
          <w:rFonts w:ascii="Arial" w:hAnsi="Arial" w:cs="Arial"/>
          <w:color w:val="000000" w:themeColor="text1"/>
        </w:rPr>
        <w:t xml:space="preserve"> election. </w:t>
      </w:r>
    </w:p>
    <w:p w14:paraId="4547C644" w14:textId="77777777" w:rsidR="00C3070E" w:rsidRPr="002613BD" w:rsidRDefault="00C3070E" w:rsidP="00AA6950">
      <w:pPr>
        <w:pStyle w:val="western"/>
        <w:shd w:val="clear" w:color="auto" w:fill="FFFFFF"/>
        <w:spacing w:before="0" w:beforeAutospacing="0" w:after="0" w:afterAutospacing="0" w:line="360" w:lineRule="auto"/>
        <w:contextualSpacing/>
        <w:jc w:val="both"/>
        <w:rPr>
          <w:rFonts w:ascii="Arial" w:hAnsi="Arial" w:cs="Arial"/>
          <w:color w:val="000000" w:themeColor="text1"/>
        </w:rPr>
      </w:pPr>
    </w:p>
    <w:p w14:paraId="6D8DF94A" w14:textId="6DA692F7" w:rsidR="00A0027E" w:rsidRPr="002613BD" w:rsidRDefault="006E7F70" w:rsidP="00AA6950">
      <w:pPr>
        <w:pStyle w:val="JUGMENTNUMBERED"/>
        <w:numPr>
          <w:ilvl w:val="0"/>
          <w:numId w:val="0"/>
        </w:numPr>
        <w:spacing w:line="360" w:lineRule="auto"/>
        <w:rPr>
          <w:rFonts w:ascii="Arial" w:eastAsia="Calibri" w:hAnsi="Arial" w:cs="Arial"/>
          <w:sz w:val="24"/>
          <w:szCs w:val="24"/>
        </w:rPr>
      </w:pPr>
      <w:r w:rsidRPr="002613BD">
        <w:rPr>
          <w:rFonts w:ascii="Arial" w:eastAsia="Calibri" w:hAnsi="Arial" w:cs="Arial"/>
          <w:sz w:val="24"/>
          <w:szCs w:val="24"/>
        </w:rPr>
        <w:t>[</w:t>
      </w:r>
      <w:r w:rsidR="004446DF" w:rsidRPr="002613BD">
        <w:rPr>
          <w:rFonts w:ascii="Arial" w:eastAsia="Calibri" w:hAnsi="Arial" w:cs="Arial"/>
          <w:sz w:val="24"/>
          <w:szCs w:val="24"/>
        </w:rPr>
        <w:t>20</w:t>
      </w:r>
      <w:r w:rsidRPr="002613BD">
        <w:rPr>
          <w:rFonts w:ascii="Arial" w:eastAsia="Calibri" w:hAnsi="Arial" w:cs="Arial"/>
          <w:sz w:val="24"/>
          <w:szCs w:val="24"/>
        </w:rPr>
        <w:t>]</w:t>
      </w:r>
      <w:r w:rsidR="009A0F3F" w:rsidRPr="002613BD">
        <w:rPr>
          <w:rFonts w:ascii="Arial" w:eastAsia="Calibri" w:hAnsi="Arial" w:cs="Arial"/>
          <w:sz w:val="24"/>
          <w:szCs w:val="24"/>
        </w:rPr>
        <w:tab/>
      </w:r>
      <w:r w:rsidR="007F365B" w:rsidRPr="002613BD">
        <w:rPr>
          <w:rFonts w:ascii="Arial" w:eastAsia="Calibri" w:hAnsi="Arial" w:cs="Arial"/>
          <w:sz w:val="24"/>
          <w:szCs w:val="24"/>
        </w:rPr>
        <w:t xml:space="preserve">The AEF relied on proof that was issued by the bank to show that a transfer was made to the IEC. In my view given the obligation on it to make the deadline of payment, such proof was insufficient. </w:t>
      </w:r>
      <w:r w:rsidRPr="002613BD">
        <w:rPr>
          <w:rFonts w:ascii="Arial" w:eastAsia="Calibri" w:hAnsi="Arial" w:cs="Arial"/>
          <w:sz w:val="24"/>
          <w:szCs w:val="24"/>
        </w:rPr>
        <w:t xml:space="preserve"> In </w:t>
      </w:r>
      <w:r w:rsidR="00134AAF" w:rsidRPr="002613BD">
        <w:rPr>
          <w:rFonts w:ascii="Arial" w:eastAsia="Calibri" w:hAnsi="Arial" w:cs="Arial"/>
          <w:i/>
          <w:sz w:val="24"/>
          <w:szCs w:val="24"/>
        </w:rPr>
        <w:t>Minister of Environmental Affairs and Tourism and Others v Pepper Bay Fishing (Pty) Ltd; Minister of Environmental Affairs and Others v Smith</w:t>
      </w:r>
      <w:r w:rsidR="00D44BBE" w:rsidRPr="002613BD">
        <w:rPr>
          <w:rStyle w:val="FootnoteReference"/>
          <w:rFonts w:ascii="Arial" w:eastAsia="Calibri" w:hAnsi="Arial" w:cs="Arial"/>
          <w:sz w:val="24"/>
          <w:szCs w:val="24"/>
        </w:rPr>
        <w:footnoteReference w:id="15"/>
      </w:r>
      <w:r w:rsidR="00134AAF" w:rsidRPr="002613BD">
        <w:rPr>
          <w:rFonts w:ascii="Arial" w:eastAsia="Calibri" w:hAnsi="Arial" w:cs="Arial"/>
          <w:i/>
          <w:sz w:val="24"/>
          <w:szCs w:val="24"/>
        </w:rPr>
        <w:t xml:space="preserve"> </w:t>
      </w:r>
      <w:r w:rsidRPr="002613BD">
        <w:rPr>
          <w:rFonts w:ascii="Arial" w:eastAsia="Calibri" w:hAnsi="Arial" w:cs="Arial"/>
          <w:sz w:val="24"/>
          <w:szCs w:val="24"/>
        </w:rPr>
        <w:t xml:space="preserve">the </w:t>
      </w:r>
      <w:r w:rsidR="00FB755B" w:rsidRPr="002613BD">
        <w:rPr>
          <w:rFonts w:ascii="Arial" w:eastAsia="Calibri" w:hAnsi="Arial" w:cs="Arial"/>
          <w:sz w:val="24"/>
          <w:szCs w:val="24"/>
        </w:rPr>
        <w:t>SCA</w:t>
      </w:r>
      <w:r w:rsidRPr="002613BD">
        <w:rPr>
          <w:rFonts w:ascii="Arial" w:eastAsia="Calibri" w:hAnsi="Arial" w:cs="Arial"/>
          <w:sz w:val="24"/>
          <w:szCs w:val="24"/>
        </w:rPr>
        <w:t xml:space="preserve"> dealt with the status of a document that purports to constitute proof of payment</w:t>
      </w:r>
      <w:r w:rsidR="00BE13E5" w:rsidRPr="002613BD">
        <w:rPr>
          <w:rFonts w:ascii="Arial" w:eastAsia="Calibri" w:hAnsi="Arial" w:cs="Arial"/>
          <w:sz w:val="24"/>
          <w:szCs w:val="24"/>
        </w:rPr>
        <w:t xml:space="preserve"> and held</w:t>
      </w:r>
      <w:r w:rsidR="00134AAF" w:rsidRPr="002613BD">
        <w:rPr>
          <w:rFonts w:ascii="Arial" w:eastAsia="Calibri" w:hAnsi="Arial" w:cs="Arial"/>
          <w:sz w:val="24"/>
          <w:szCs w:val="24"/>
        </w:rPr>
        <w:t xml:space="preserve"> as follows:</w:t>
      </w:r>
      <w:r w:rsidR="00FB755B" w:rsidRPr="002613BD">
        <w:rPr>
          <w:rStyle w:val="FootnoteReference"/>
          <w:rFonts w:ascii="Arial" w:eastAsia="Calibri" w:hAnsi="Arial" w:cs="Arial"/>
          <w:sz w:val="24"/>
          <w:szCs w:val="24"/>
        </w:rPr>
        <w:footnoteReference w:id="16"/>
      </w:r>
    </w:p>
    <w:p w14:paraId="7AA17CDF" w14:textId="73520E19" w:rsidR="00134AAF" w:rsidRPr="00AA6950" w:rsidRDefault="00134AAF" w:rsidP="00AA6950">
      <w:pPr>
        <w:pStyle w:val="JUGMENTNUMBERED"/>
        <w:numPr>
          <w:ilvl w:val="0"/>
          <w:numId w:val="0"/>
        </w:numPr>
        <w:spacing w:line="360" w:lineRule="auto"/>
        <w:rPr>
          <w:rFonts w:ascii="Arial" w:eastAsia="Calibri" w:hAnsi="Arial" w:cs="Arial"/>
          <w:sz w:val="22"/>
          <w:szCs w:val="22"/>
        </w:rPr>
      </w:pPr>
      <w:r w:rsidRPr="002613BD">
        <w:rPr>
          <w:rFonts w:ascii="Arial" w:eastAsia="Calibri" w:hAnsi="Arial" w:cs="Arial"/>
          <w:sz w:val="22"/>
          <w:szCs w:val="22"/>
        </w:rPr>
        <w:t>‘Since the deposit slip duly stamped by the bank and annexed to its application constituted such proof, so the argument concluded, the application had been lodged properly</w:t>
      </w:r>
      <w:r w:rsidRPr="002613BD">
        <w:rPr>
          <w:rFonts w:ascii="Arial" w:eastAsia="Calibri" w:hAnsi="Arial" w:cs="Arial"/>
          <w:i/>
          <w:sz w:val="22"/>
          <w:szCs w:val="22"/>
        </w:rPr>
        <w:t>. This argument, in my view, amounts to an elevation of the façade of proof over the substance of payment. What the General Notice requires is actual payment of the application fee before the application is lodged, together with proper proof by way of a deposit slip that such payment had been made. The notion that incorrect or false proof of such payment would suffice is quite untenable.</w:t>
      </w:r>
      <w:r w:rsidRPr="002613BD">
        <w:rPr>
          <w:rFonts w:ascii="Arial" w:eastAsia="Calibri" w:hAnsi="Arial" w:cs="Arial"/>
          <w:sz w:val="22"/>
          <w:szCs w:val="22"/>
        </w:rPr>
        <w:t>’</w:t>
      </w:r>
      <w:r w:rsidR="00BE13E5" w:rsidRPr="002613BD">
        <w:rPr>
          <w:rFonts w:ascii="Arial" w:eastAsia="Calibri" w:hAnsi="Arial" w:cs="Arial"/>
          <w:sz w:val="22"/>
          <w:szCs w:val="22"/>
        </w:rPr>
        <w:t xml:space="preserve"> (</w:t>
      </w:r>
      <w:r w:rsidR="00AA6950" w:rsidRPr="002613BD">
        <w:rPr>
          <w:rFonts w:ascii="Arial" w:eastAsia="Calibri" w:hAnsi="Arial" w:cs="Arial"/>
          <w:sz w:val="22"/>
          <w:szCs w:val="22"/>
        </w:rPr>
        <w:t>M</w:t>
      </w:r>
      <w:r w:rsidR="00BE13E5" w:rsidRPr="002613BD">
        <w:rPr>
          <w:rFonts w:ascii="Arial" w:eastAsia="Calibri" w:hAnsi="Arial" w:cs="Arial"/>
          <w:sz w:val="22"/>
          <w:szCs w:val="22"/>
        </w:rPr>
        <w:t>y emphasis</w:t>
      </w:r>
      <w:r w:rsidR="00AA6950" w:rsidRPr="002613BD">
        <w:rPr>
          <w:rFonts w:ascii="Arial" w:eastAsia="Calibri" w:hAnsi="Arial" w:cs="Arial"/>
          <w:sz w:val="22"/>
          <w:szCs w:val="22"/>
        </w:rPr>
        <w:t>.</w:t>
      </w:r>
      <w:r w:rsidR="00BE13E5" w:rsidRPr="002613BD">
        <w:rPr>
          <w:rFonts w:ascii="Arial" w:eastAsia="Calibri" w:hAnsi="Arial" w:cs="Arial"/>
          <w:sz w:val="22"/>
          <w:szCs w:val="22"/>
        </w:rPr>
        <w:t>)</w:t>
      </w:r>
    </w:p>
    <w:p w14:paraId="55B20AA3" w14:textId="065693F8" w:rsidR="00E42D6A" w:rsidRDefault="00E42D6A" w:rsidP="00AA6950">
      <w:pPr>
        <w:pStyle w:val="JUGMENTNUMBERED"/>
        <w:numPr>
          <w:ilvl w:val="0"/>
          <w:numId w:val="0"/>
        </w:numPr>
        <w:spacing w:line="360" w:lineRule="auto"/>
        <w:rPr>
          <w:rFonts w:ascii="Arial" w:eastAsia="Calibri" w:hAnsi="Arial" w:cs="Arial"/>
          <w:b/>
          <w:sz w:val="24"/>
          <w:szCs w:val="24"/>
        </w:rPr>
      </w:pPr>
    </w:p>
    <w:p w14:paraId="63ABD06A" w14:textId="657F0A11" w:rsidR="009A0F3F" w:rsidRPr="00AA6950" w:rsidRDefault="007F365B" w:rsidP="00AA6950">
      <w:pPr>
        <w:pStyle w:val="JUGMENTNUMBERED"/>
        <w:numPr>
          <w:ilvl w:val="0"/>
          <w:numId w:val="0"/>
        </w:numPr>
        <w:spacing w:line="360" w:lineRule="auto"/>
        <w:rPr>
          <w:rFonts w:ascii="Arial" w:eastAsia="Calibri" w:hAnsi="Arial" w:cs="Arial"/>
          <w:b/>
          <w:sz w:val="24"/>
          <w:szCs w:val="24"/>
        </w:rPr>
      </w:pPr>
      <w:r w:rsidRPr="00AA6950">
        <w:rPr>
          <w:rFonts w:ascii="Arial" w:eastAsia="Calibri" w:hAnsi="Arial" w:cs="Arial"/>
          <w:b/>
          <w:sz w:val="24"/>
          <w:szCs w:val="24"/>
        </w:rPr>
        <w:t>S</w:t>
      </w:r>
      <w:r w:rsidR="009A0F3F" w:rsidRPr="00AA6950">
        <w:rPr>
          <w:rFonts w:ascii="Arial" w:eastAsia="Calibri" w:hAnsi="Arial" w:cs="Arial"/>
          <w:b/>
          <w:sz w:val="24"/>
          <w:szCs w:val="24"/>
        </w:rPr>
        <w:t>ubstantial compliance</w:t>
      </w:r>
    </w:p>
    <w:p w14:paraId="081028A6" w14:textId="1C24D22E" w:rsidR="000C7284" w:rsidRDefault="009A0F3F" w:rsidP="00AA6950">
      <w:pPr>
        <w:pStyle w:val="JUGMENTNUMBERED"/>
        <w:numPr>
          <w:ilvl w:val="0"/>
          <w:numId w:val="0"/>
        </w:numPr>
        <w:spacing w:line="360" w:lineRule="auto"/>
        <w:rPr>
          <w:rFonts w:ascii="Arial" w:eastAsia="Calibri" w:hAnsi="Arial" w:cs="Arial"/>
          <w:sz w:val="24"/>
          <w:szCs w:val="24"/>
        </w:rPr>
      </w:pPr>
      <w:r w:rsidRPr="00AA6950">
        <w:rPr>
          <w:rFonts w:ascii="Arial" w:eastAsia="Calibri" w:hAnsi="Arial" w:cs="Arial"/>
          <w:sz w:val="24"/>
          <w:szCs w:val="24"/>
        </w:rPr>
        <w:t>[</w:t>
      </w:r>
      <w:r w:rsidR="00AA6950">
        <w:rPr>
          <w:rFonts w:ascii="Arial" w:eastAsia="Calibri" w:hAnsi="Arial" w:cs="Arial"/>
          <w:sz w:val="24"/>
          <w:szCs w:val="24"/>
        </w:rPr>
        <w:t>2</w:t>
      </w:r>
      <w:r w:rsidR="004446DF">
        <w:rPr>
          <w:rFonts w:ascii="Arial" w:eastAsia="Calibri" w:hAnsi="Arial" w:cs="Arial"/>
          <w:sz w:val="24"/>
          <w:szCs w:val="24"/>
        </w:rPr>
        <w:t>1</w:t>
      </w:r>
      <w:r w:rsidRPr="00AA6950">
        <w:rPr>
          <w:rFonts w:ascii="Arial" w:eastAsia="Calibri" w:hAnsi="Arial" w:cs="Arial"/>
          <w:sz w:val="24"/>
          <w:szCs w:val="24"/>
        </w:rPr>
        <w:t>]</w:t>
      </w:r>
      <w:r w:rsidR="00AA6950">
        <w:rPr>
          <w:rFonts w:ascii="Arial" w:eastAsia="Calibri" w:hAnsi="Arial" w:cs="Arial"/>
          <w:sz w:val="24"/>
          <w:szCs w:val="24"/>
        </w:rPr>
        <w:tab/>
      </w:r>
      <w:r w:rsidRPr="00AA6950">
        <w:rPr>
          <w:rFonts w:ascii="Arial" w:eastAsia="Calibri" w:hAnsi="Arial" w:cs="Arial"/>
          <w:sz w:val="24"/>
          <w:szCs w:val="24"/>
        </w:rPr>
        <w:t xml:space="preserve">Since </w:t>
      </w:r>
      <w:r w:rsidR="00E42D6A">
        <w:rPr>
          <w:rFonts w:ascii="Arial" w:eastAsia="Calibri" w:hAnsi="Arial" w:cs="Arial"/>
          <w:sz w:val="24"/>
          <w:szCs w:val="24"/>
        </w:rPr>
        <w:t xml:space="preserve">the </w:t>
      </w:r>
      <w:r w:rsidRPr="00AA6950">
        <w:rPr>
          <w:rFonts w:ascii="Arial" w:eastAsia="Calibri" w:hAnsi="Arial" w:cs="Arial"/>
          <w:sz w:val="24"/>
          <w:szCs w:val="24"/>
        </w:rPr>
        <w:t xml:space="preserve">AEF claims that </w:t>
      </w:r>
      <w:r w:rsidR="00E42D6A">
        <w:rPr>
          <w:rFonts w:ascii="Arial" w:eastAsia="Calibri" w:hAnsi="Arial" w:cs="Arial"/>
          <w:sz w:val="24"/>
          <w:szCs w:val="24"/>
        </w:rPr>
        <w:t>it has</w:t>
      </w:r>
      <w:r w:rsidRPr="00AA6950">
        <w:rPr>
          <w:rFonts w:ascii="Arial" w:eastAsia="Calibri" w:hAnsi="Arial" w:cs="Arial"/>
          <w:sz w:val="24"/>
          <w:szCs w:val="24"/>
        </w:rPr>
        <w:t xml:space="preserve"> substantially complied with s 27(2) </w:t>
      </w:r>
      <w:r w:rsidR="00655AF4">
        <w:rPr>
          <w:rFonts w:ascii="Arial" w:eastAsia="Calibri" w:hAnsi="Arial" w:cs="Arial"/>
          <w:sz w:val="24"/>
          <w:szCs w:val="24"/>
        </w:rPr>
        <w:t xml:space="preserve">of the Act </w:t>
      </w:r>
      <w:r w:rsidRPr="00AA6950">
        <w:rPr>
          <w:rFonts w:ascii="Arial" w:eastAsia="Calibri" w:hAnsi="Arial" w:cs="Arial"/>
          <w:sz w:val="24"/>
          <w:szCs w:val="24"/>
        </w:rPr>
        <w:t xml:space="preserve">it is necessary to analyse </w:t>
      </w:r>
      <w:r w:rsidR="00864060">
        <w:rPr>
          <w:rFonts w:ascii="Arial" w:eastAsia="Calibri" w:hAnsi="Arial" w:cs="Arial"/>
          <w:sz w:val="24"/>
          <w:szCs w:val="24"/>
        </w:rPr>
        <w:t>its actions aimed at ensuring compliance with the provision</w:t>
      </w:r>
      <w:r w:rsidR="00651D05" w:rsidRPr="002613BD">
        <w:rPr>
          <w:rFonts w:ascii="Arial" w:eastAsia="Calibri" w:hAnsi="Arial" w:cs="Arial"/>
          <w:sz w:val="24"/>
          <w:szCs w:val="24"/>
        </w:rPr>
        <w:t xml:space="preserve">s </w:t>
      </w:r>
      <w:r w:rsidR="000E712F" w:rsidRPr="002613BD">
        <w:rPr>
          <w:rFonts w:ascii="Arial" w:eastAsia="Calibri" w:hAnsi="Arial" w:cs="Arial"/>
          <w:sz w:val="24"/>
          <w:szCs w:val="24"/>
        </w:rPr>
        <w:t>of</w:t>
      </w:r>
      <w:r w:rsidR="00864060" w:rsidRPr="002613BD">
        <w:rPr>
          <w:rFonts w:ascii="Arial" w:eastAsia="Calibri" w:hAnsi="Arial" w:cs="Arial"/>
          <w:sz w:val="24"/>
          <w:szCs w:val="24"/>
        </w:rPr>
        <w:t xml:space="preserve"> the section.</w:t>
      </w:r>
      <w:r w:rsidRPr="00AA6950">
        <w:rPr>
          <w:rFonts w:ascii="Arial" w:eastAsia="Calibri" w:hAnsi="Arial" w:cs="Arial"/>
          <w:sz w:val="24"/>
          <w:szCs w:val="24"/>
        </w:rPr>
        <w:t xml:space="preserve"> </w:t>
      </w:r>
      <w:r w:rsidR="00E42D6A">
        <w:rPr>
          <w:rFonts w:ascii="Arial" w:eastAsia="Calibri" w:hAnsi="Arial" w:cs="Arial"/>
          <w:sz w:val="24"/>
          <w:szCs w:val="24"/>
        </w:rPr>
        <w:t xml:space="preserve">The </w:t>
      </w:r>
      <w:r w:rsidR="0057159A" w:rsidRPr="00AA6950">
        <w:rPr>
          <w:rFonts w:ascii="Arial" w:eastAsia="Calibri" w:hAnsi="Arial" w:cs="Arial"/>
          <w:sz w:val="24"/>
          <w:szCs w:val="24"/>
        </w:rPr>
        <w:t xml:space="preserve">AEF failed to meet the deadline for payment. It elected to rely on a third party, another legal entity, to make payment on its behalf on the very last day that the payment should be </w:t>
      </w:r>
      <w:r w:rsidR="007F365B" w:rsidRPr="00AA6950">
        <w:rPr>
          <w:rFonts w:ascii="Arial" w:eastAsia="Calibri" w:hAnsi="Arial" w:cs="Arial"/>
          <w:sz w:val="24"/>
          <w:szCs w:val="24"/>
        </w:rPr>
        <w:t>effected</w:t>
      </w:r>
      <w:r w:rsidR="0057159A" w:rsidRPr="00AA6950">
        <w:rPr>
          <w:rFonts w:ascii="Arial" w:eastAsia="Calibri" w:hAnsi="Arial" w:cs="Arial"/>
          <w:sz w:val="24"/>
          <w:szCs w:val="24"/>
        </w:rPr>
        <w:t>. The AEF fails to explain why it was necessary to make payment</w:t>
      </w:r>
      <w:r w:rsidR="00C93716" w:rsidRPr="00AA6950">
        <w:rPr>
          <w:rFonts w:ascii="Arial" w:eastAsia="Calibri" w:hAnsi="Arial" w:cs="Arial"/>
          <w:sz w:val="24"/>
          <w:szCs w:val="24"/>
        </w:rPr>
        <w:t>,</w:t>
      </w:r>
      <w:r w:rsidR="0057159A" w:rsidRPr="00AA6950">
        <w:rPr>
          <w:rFonts w:ascii="Arial" w:eastAsia="Calibri" w:hAnsi="Arial" w:cs="Arial"/>
          <w:sz w:val="24"/>
          <w:szCs w:val="24"/>
        </w:rPr>
        <w:t xml:space="preserve"> not from its own bank account but from this</w:t>
      </w:r>
      <w:r w:rsidR="003127AB" w:rsidRPr="00AA6950">
        <w:rPr>
          <w:rFonts w:ascii="Arial" w:eastAsia="Calibri" w:hAnsi="Arial" w:cs="Arial"/>
          <w:sz w:val="24"/>
          <w:szCs w:val="24"/>
        </w:rPr>
        <w:t xml:space="preserve"> third</w:t>
      </w:r>
      <w:r w:rsidR="0057159A" w:rsidRPr="00AA6950">
        <w:rPr>
          <w:rFonts w:ascii="Arial" w:eastAsia="Calibri" w:hAnsi="Arial" w:cs="Arial"/>
          <w:sz w:val="24"/>
          <w:szCs w:val="24"/>
        </w:rPr>
        <w:t xml:space="preserve"> </w:t>
      </w:r>
      <w:r w:rsidR="003127AB" w:rsidRPr="00AA6950">
        <w:rPr>
          <w:rFonts w:ascii="Arial" w:eastAsia="Calibri" w:hAnsi="Arial" w:cs="Arial"/>
          <w:sz w:val="24"/>
          <w:szCs w:val="24"/>
        </w:rPr>
        <w:t>party.</w:t>
      </w:r>
      <w:r w:rsidR="0057159A" w:rsidRPr="00AA6950">
        <w:rPr>
          <w:rFonts w:ascii="Arial" w:eastAsia="Calibri" w:hAnsi="Arial" w:cs="Arial"/>
          <w:sz w:val="24"/>
          <w:szCs w:val="24"/>
        </w:rPr>
        <w:t xml:space="preserve"> </w:t>
      </w:r>
      <w:r w:rsidR="00C93716" w:rsidRPr="00AA6950">
        <w:rPr>
          <w:rFonts w:ascii="Arial" w:eastAsia="Calibri" w:hAnsi="Arial" w:cs="Arial"/>
          <w:sz w:val="24"/>
          <w:szCs w:val="24"/>
        </w:rPr>
        <w:t>No</w:t>
      </w:r>
      <w:r w:rsidR="0057159A" w:rsidRPr="00AA6950">
        <w:rPr>
          <w:rFonts w:ascii="Arial" w:eastAsia="Calibri" w:hAnsi="Arial" w:cs="Arial"/>
          <w:sz w:val="24"/>
          <w:szCs w:val="24"/>
        </w:rPr>
        <w:t xml:space="preserve"> confirmatory affidavit</w:t>
      </w:r>
      <w:r w:rsidR="00C93716" w:rsidRPr="00AA6950">
        <w:rPr>
          <w:rFonts w:ascii="Arial" w:eastAsia="Calibri" w:hAnsi="Arial" w:cs="Arial"/>
          <w:sz w:val="24"/>
          <w:szCs w:val="24"/>
        </w:rPr>
        <w:t xml:space="preserve"> was</w:t>
      </w:r>
      <w:r w:rsidR="0057159A" w:rsidRPr="00AA6950">
        <w:rPr>
          <w:rFonts w:ascii="Arial" w:eastAsia="Calibri" w:hAnsi="Arial" w:cs="Arial"/>
          <w:sz w:val="24"/>
          <w:szCs w:val="24"/>
        </w:rPr>
        <w:t xml:space="preserve"> filed by the Bank, explaining the reason</w:t>
      </w:r>
      <w:r w:rsidR="000C7284" w:rsidRPr="00AA6950">
        <w:rPr>
          <w:rFonts w:ascii="Arial" w:eastAsia="Calibri" w:hAnsi="Arial" w:cs="Arial"/>
          <w:sz w:val="24"/>
          <w:szCs w:val="24"/>
        </w:rPr>
        <w:t xml:space="preserve">s </w:t>
      </w:r>
      <w:r w:rsidR="0057159A" w:rsidRPr="00AA6950">
        <w:rPr>
          <w:rFonts w:ascii="Arial" w:eastAsia="Calibri" w:hAnsi="Arial" w:cs="Arial"/>
          <w:sz w:val="24"/>
          <w:szCs w:val="24"/>
        </w:rPr>
        <w:t xml:space="preserve">for not transferring the monies into the account of the IEC. </w:t>
      </w:r>
    </w:p>
    <w:p w14:paraId="0592EB0E" w14:textId="77777777" w:rsidR="00EE4471" w:rsidRPr="00AA6950" w:rsidRDefault="00EE4471" w:rsidP="00AA6950">
      <w:pPr>
        <w:pStyle w:val="JUGMENTNUMBERED"/>
        <w:numPr>
          <w:ilvl w:val="0"/>
          <w:numId w:val="0"/>
        </w:numPr>
        <w:spacing w:line="360" w:lineRule="auto"/>
        <w:rPr>
          <w:rFonts w:ascii="Arial" w:eastAsia="Calibri" w:hAnsi="Arial" w:cs="Arial"/>
          <w:sz w:val="24"/>
          <w:szCs w:val="24"/>
        </w:rPr>
      </w:pPr>
    </w:p>
    <w:p w14:paraId="6EF40F91" w14:textId="4C3F8D12" w:rsidR="007F0F32" w:rsidRPr="00AA6950" w:rsidRDefault="007F0F32" w:rsidP="00AA6950">
      <w:pPr>
        <w:pStyle w:val="JUGMENTNUMBERED"/>
        <w:numPr>
          <w:ilvl w:val="0"/>
          <w:numId w:val="0"/>
        </w:numPr>
        <w:spacing w:line="360" w:lineRule="auto"/>
        <w:rPr>
          <w:rFonts w:ascii="Arial" w:eastAsia="Calibri" w:hAnsi="Arial" w:cs="Arial"/>
          <w:sz w:val="24"/>
          <w:szCs w:val="24"/>
        </w:rPr>
      </w:pPr>
      <w:r w:rsidRPr="00AA6950">
        <w:rPr>
          <w:rFonts w:ascii="Arial" w:eastAsia="Calibri" w:hAnsi="Arial" w:cs="Arial"/>
          <w:sz w:val="24"/>
          <w:szCs w:val="24"/>
        </w:rPr>
        <w:t>[</w:t>
      </w:r>
      <w:r w:rsidR="00AA6950">
        <w:rPr>
          <w:rFonts w:ascii="Arial" w:eastAsia="Calibri" w:hAnsi="Arial" w:cs="Arial"/>
          <w:sz w:val="24"/>
          <w:szCs w:val="24"/>
        </w:rPr>
        <w:t>2</w:t>
      </w:r>
      <w:r w:rsidR="004446DF">
        <w:rPr>
          <w:rFonts w:ascii="Arial" w:eastAsia="Calibri" w:hAnsi="Arial" w:cs="Arial"/>
          <w:sz w:val="24"/>
          <w:szCs w:val="24"/>
        </w:rPr>
        <w:t>2</w:t>
      </w:r>
      <w:r w:rsidRPr="00AA6950">
        <w:rPr>
          <w:rFonts w:ascii="Arial" w:eastAsia="Calibri" w:hAnsi="Arial" w:cs="Arial"/>
          <w:sz w:val="24"/>
          <w:szCs w:val="24"/>
        </w:rPr>
        <w:t>]</w:t>
      </w:r>
      <w:r w:rsidRPr="00AA6950">
        <w:rPr>
          <w:rFonts w:ascii="Arial" w:eastAsia="Calibri" w:hAnsi="Arial" w:cs="Arial"/>
          <w:sz w:val="24"/>
          <w:szCs w:val="24"/>
        </w:rPr>
        <w:tab/>
      </w:r>
      <w:r w:rsidR="00651D05" w:rsidRPr="002613BD">
        <w:rPr>
          <w:rFonts w:ascii="Arial" w:eastAsia="Calibri" w:hAnsi="Arial" w:cs="Arial"/>
          <w:sz w:val="24"/>
          <w:szCs w:val="24"/>
        </w:rPr>
        <w:t xml:space="preserve">The </w:t>
      </w:r>
      <w:r w:rsidRPr="002613BD">
        <w:rPr>
          <w:rFonts w:ascii="Arial" w:eastAsia="Calibri" w:hAnsi="Arial" w:cs="Arial"/>
          <w:sz w:val="24"/>
          <w:szCs w:val="24"/>
        </w:rPr>
        <w:t xml:space="preserve">proof of payment relied on by the </w:t>
      </w:r>
      <w:r w:rsidR="00E42D6A" w:rsidRPr="002613BD">
        <w:rPr>
          <w:rFonts w:ascii="Arial" w:eastAsia="Calibri" w:hAnsi="Arial" w:cs="Arial"/>
          <w:sz w:val="24"/>
          <w:szCs w:val="24"/>
        </w:rPr>
        <w:t>AEF</w:t>
      </w:r>
      <w:r w:rsidRPr="002613BD">
        <w:rPr>
          <w:rFonts w:ascii="Arial" w:eastAsia="Calibri" w:hAnsi="Arial" w:cs="Arial"/>
          <w:sz w:val="24"/>
          <w:szCs w:val="24"/>
        </w:rPr>
        <w:t xml:space="preserve"> does not show compliance with s</w:t>
      </w:r>
      <w:r w:rsidR="00AA6950" w:rsidRPr="002613BD">
        <w:rPr>
          <w:rFonts w:ascii="Arial" w:eastAsia="Calibri" w:hAnsi="Arial" w:cs="Arial"/>
          <w:sz w:val="24"/>
          <w:szCs w:val="24"/>
        </w:rPr>
        <w:t xml:space="preserve"> </w:t>
      </w:r>
      <w:r w:rsidRPr="002613BD">
        <w:rPr>
          <w:rFonts w:ascii="Arial" w:eastAsia="Calibri" w:hAnsi="Arial" w:cs="Arial"/>
          <w:sz w:val="24"/>
          <w:szCs w:val="24"/>
        </w:rPr>
        <w:t>27(2)</w:t>
      </w:r>
      <w:r w:rsidRPr="002613BD">
        <w:rPr>
          <w:rFonts w:ascii="Arial" w:eastAsia="Calibri" w:hAnsi="Arial" w:cs="Arial"/>
          <w:i/>
          <w:sz w:val="24"/>
          <w:szCs w:val="24"/>
        </w:rPr>
        <w:t>(e)</w:t>
      </w:r>
      <w:r w:rsidRPr="002613BD">
        <w:rPr>
          <w:rFonts w:ascii="Arial" w:eastAsia="Calibri" w:hAnsi="Arial" w:cs="Arial"/>
          <w:sz w:val="24"/>
          <w:szCs w:val="24"/>
        </w:rPr>
        <w:t xml:space="preserve"> of the Act</w:t>
      </w:r>
      <w:r w:rsidR="00C3070E" w:rsidRPr="002613BD">
        <w:rPr>
          <w:rFonts w:ascii="Arial" w:eastAsia="Calibri" w:hAnsi="Arial" w:cs="Arial"/>
          <w:sz w:val="24"/>
          <w:szCs w:val="24"/>
        </w:rPr>
        <w:t xml:space="preserve">. </w:t>
      </w:r>
      <w:r w:rsidR="007F365B" w:rsidRPr="002613BD">
        <w:rPr>
          <w:rFonts w:ascii="Arial" w:eastAsia="Calibri" w:hAnsi="Arial" w:cs="Arial"/>
          <w:sz w:val="24"/>
          <w:szCs w:val="24"/>
        </w:rPr>
        <w:t xml:space="preserve">The money </w:t>
      </w:r>
      <w:r w:rsidR="00C3070E" w:rsidRPr="002613BD">
        <w:rPr>
          <w:rFonts w:ascii="Arial" w:eastAsia="Calibri" w:hAnsi="Arial" w:cs="Arial"/>
          <w:sz w:val="24"/>
          <w:szCs w:val="24"/>
        </w:rPr>
        <w:t xml:space="preserve">had to be </w:t>
      </w:r>
      <w:r w:rsidRPr="002613BD">
        <w:rPr>
          <w:rFonts w:ascii="Arial" w:eastAsia="Calibri" w:hAnsi="Arial" w:cs="Arial"/>
          <w:sz w:val="24"/>
          <w:szCs w:val="24"/>
        </w:rPr>
        <w:t>receiv</w:t>
      </w:r>
      <w:r w:rsidR="00BE13E5" w:rsidRPr="002613BD">
        <w:rPr>
          <w:rFonts w:ascii="Arial" w:eastAsia="Calibri" w:hAnsi="Arial" w:cs="Arial"/>
          <w:sz w:val="24"/>
          <w:szCs w:val="24"/>
        </w:rPr>
        <w:t xml:space="preserve">ed in the </w:t>
      </w:r>
      <w:r w:rsidR="004446DF" w:rsidRPr="002613BD">
        <w:rPr>
          <w:rFonts w:ascii="Arial" w:eastAsia="Calibri" w:hAnsi="Arial" w:cs="Arial"/>
          <w:sz w:val="24"/>
          <w:szCs w:val="24"/>
        </w:rPr>
        <w:t>IEC</w:t>
      </w:r>
      <w:r w:rsidR="00BE13E5" w:rsidRPr="002613BD">
        <w:rPr>
          <w:rFonts w:ascii="Arial" w:eastAsia="Calibri" w:hAnsi="Arial" w:cs="Arial"/>
          <w:sz w:val="24"/>
          <w:szCs w:val="24"/>
        </w:rPr>
        <w:t>’s account by the time of the deadline</w:t>
      </w:r>
      <w:r w:rsidR="00C3070E" w:rsidRPr="002613BD">
        <w:rPr>
          <w:rFonts w:ascii="Arial" w:eastAsia="Calibri" w:hAnsi="Arial" w:cs="Arial"/>
          <w:sz w:val="24"/>
          <w:szCs w:val="24"/>
        </w:rPr>
        <w:t xml:space="preserve"> and it was not</w:t>
      </w:r>
      <w:r w:rsidR="00BE13E5" w:rsidRPr="002613BD">
        <w:rPr>
          <w:rFonts w:ascii="Arial" w:eastAsia="Calibri" w:hAnsi="Arial" w:cs="Arial"/>
          <w:sz w:val="24"/>
          <w:szCs w:val="24"/>
        </w:rPr>
        <w:t xml:space="preserve">. </w:t>
      </w:r>
      <w:r w:rsidRPr="002613BD">
        <w:rPr>
          <w:rFonts w:ascii="Arial" w:eastAsia="Calibri" w:hAnsi="Arial" w:cs="Arial"/>
          <w:sz w:val="24"/>
          <w:szCs w:val="24"/>
        </w:rPr>
        <w:t>The</w:t>
      </w:r>
      <w:r w:rsidR="00C3070E" w:rsidRPr="002613BD">
        <w:rPr>
          <w:rFonts w:ascii="Arial" w:eastAsia="Calibri" w:hAnsi="Arial" w:cs="Arial"/>
          <w:sz w:val="24"/>
          <w:szCs w:val="24"/>
        </w:rPr>
        <w:t xml:space="preserve"> AEF has failed to comply with the prescribed requirements of the Act. </w:t>
      </w:r>
      <w:r w:rsidR="009634AE" w:rsidRPr="002613BD">
        <w:rPr>
          <w:rFonts w:ascii="Arial" w:eastAsia="Calibri" w:hAnsi="Arial" w:cs="Arial"/>
          <w:sz w:val="24"/>
          <w:szCs w:val="24"/>
        </w:rPr>
        <w:t xml:space="preserve">It is not for this </w:t>
      </w:r>
      <w:r w:rsidR="000E712F" w:rsidRPr="002613BD">
        <w:rPr>
          <w:rFonts w:ascii="Arial" w:eastAsia="Calibri" w:hAnsi="Arial" w:cs="Arial"/>
          <w:sz w:val="24"/>
          <w:szCs w:val="24"/>
        </w:rPr>
        <w:t>C</w:t>
      </w:r>
      <w:r w:rsidR="009634AE" w:rsidRPr="002613BD">
        <w:rPr>
          <w:rFonts w:ascii="Arial" w:eastAsia="Calibri" w:hAnsi="Arial" w:cs="Arial"/>
          <w:sz w:val="24"/>
          <w:szCs w:val="24"/>
        </w:rPr>
        <w:t xml:space="preserve">ourt to speculate as to why payment was attempted at the last minute. </w:t>
      </w:r>
      <w:r w:rsidR="00E42D6A" w:rsidRPr="002613BD">
        <w:rPr>
          <w:rFonts w:ascii="Arial" w:eastAsia="Calibri" w:hAnsi="Arial" w:cs="Arial"/>
          <w:sz w:val="24"/>
          <w:szCs w:val="24"/>
        </w:rPr>
        <w:t xml:space="preserve">The </w:t>
      </w:r>
      <w:r w:rsidR="009634AE" w:rsidRPr="002613BD">
        <w:rPr>
          <w:rFonts w:ascii="Arial" w:eastAsia="Calibri" w:hAnsi="Arial" w:cs="Arial"/>
          <w:sz w:val="24"/>
          <w:szCs w:val="24"/>
        </w:rPr>
        <w:t xml:space="preserve">AEF should have addressed the reasons for making a payment at the last minute and through a third party in its founding affidavit. There is no explanation in the affidavit as to what arrangements were made with the third party and why </w:t>
      </w:r>
      <w:r w:rsidR="00E42D6A" w:rsidRPr="002613BD">
        <w:rPr>
          <w:rFonts w:ascii="Arial" w:eastAsia="Calibri" w:hAnsi="Arial" w:cs="Arial"/>
          <w:sz w:val="24"/>
          <w:szCs w:val="24"/>
        </w:rPr>
        <w:t xml:space="preserve">the </w:t>
      </w:r>
      <w:r w:rsidR="009634AE" w:rsidRPr="002613BD">
        <w:rPr>
          <w:rFonts w:ascii="Arial" w:eastAsia="Calibri" w:hAnsi="Arial" w:cs="Arial"/>
          <w:sz w:val="24"/>
          <w:szCs w:val="24"/>
        </w:rPr>
        <w:t>AEF could not make payment from its own ba</w:t>
      </w:r>
      <w:r w:rsidR="007F365B" w:rsidRPr="002613BD">
        <w:rPr>
          <w:rFonts w:ascii="Arial" w:eastAsia="Calibri" w:hAnsi="Arial" w:cs="Arial"/>
          <w:sz w:val="24"/>
          <w:szCs w:val="24"/>
        </w:rPr>
        <w:t xml:space="preserve">nk account. If </w:t>
      </w:r>
      <w:r w:rsidR="00E42D6A" w:rsidRPr="002613BD">
        <w:rPr>
          <w:rFonts w:ascii="Arial" w:eastAsia="Calibri" w:hAnsi="Arial" w:cs="Arial"/>
          <w:sz w:val="24"/>
          <w:szCs w:val="24"/>
        </w:rPr>
        <w:t xml:space="preserve">the </w:t>
      </w:r>
      <w:r w:rsidR="007F365B" w:rsidRPr="002613BD">
        <w:rPr>
          <w:rFonts w:ascii="Arial" w:eastAsia="Calibri" w:hAnsi="Arial" w:cs="Arial"/>
          <w:sz w:val="24"/>
          <w:szCs w:val="24"/>
        </w:rPr>
        <w:t xml:space="preserve">AEF </w:t>
      </w:r>
      <w:r w:rsidR="009634AE" w:rsidRPr="002613BD">
        <w:rPr>
          <w:rFonts w:ascii="Arial" w:eastAsia="Calibri" w:hAnsi="Arial" w:cs="Arial"/>
          <w:sz w:val="24"/>
          <w:szCs w:val="24"/>
        </w:rPr>
        <w:t xml:space="preserve">wanted to rely on a third party to act on </w:t>
      </w:r>
      <w:r w:rsidR="00095ABE" w:rsidRPr="002613BD">
        <w:rPr>
          <w:rFonts w:ascii="Arial" w:eastAsia="Calibri" w:hAnsi="Arial" w:cs="Arial"/>
          <w:sz w:val="24"/>
          <w:szCs w:val="24"/>
        </w:rPr>
        <w:t>its</w:t>
      </w:r>
      <w:r w:rsidR="009634AE" w:rsidRPr="002613BD">
        <w:rPr>
          <w:rFonts w:ascii="Arial" w:eastAsia="Calibri" w:hAnsi="Arial" w:cs="Arial"/>
          <w:sz w:val="24"/>
          <w:szCs w:val="24"/>
        </w:rPr>
        <w:t xml:space="preserve"> behalf it ought to have ensured that the payment was cleared and reflected </w:t>
      </w:r>
      <w:r w:rsidR="00E42D6A" w:rsidRPr="002613BD">
        <w:rPr>
          <w:rFonts w:ascii="Arial" w:eastAsia="Calibri" w:hAnsi="Arial" w:cs="Arial"/>
          <w:sz w:val="24"/>
          <w:szCs w:val="24"/>
        </w:rPr>
        <w:t>in the</w:t>
      </w:r>
      <w:r w:rsidR="009634AE" w:rsidRPr="002613BD">
        <w:rPr>
          <w:rFonts w:ascii="Arial" w:eastAsia="Calibri" w:hAnsi="Arial" w:cs="Arial"/>
          <w:sz w:val="24"/>
          <w:szCs w:val="24"/>
        </w:rPr>
        <w:t xml:space="preserve"> bank account of the IEC. It had failed to do so.</w:t>
      </w:r>
      <w:r w:rsidR="007F365B" w:rsidRPr="002613BD">
        <w:rPr>
          <w:rFonts w:ascii="Arial" w:eastAsia="Calibri" w:hAnsi="Arial" w:cs="Arial"/>
          <w:sz w:val="24"/>
          <w:szCs w:val="24"/>
        </w:rPr>
        <w:t xml:space="preserve"> In </w:t>
      </w:r>
      <w:r w:rsidR="00651D05" w:rsidRPr="002613BD">
        <w:rPr>
          <w:rFonts w:ascii="Arial" w:eastAsia="Calibri" w:hAnsi="Arial" w:cs="Arial"/>
          <w:sz w:val="24"/>
          <w:szCs w:val="24"/>
        </w:rPr>
        <w:t>fact,</w:t>
      </w:r>
      <w:r w:rsidR="007F365B" w:rsidRPr="002613BD">
        <w:rPr>
          <w:rFonts w:ascii="Arial" w:eastAsia="Calibri" w:hAnsi="Arial" w:cs="Arial"/>
          <w:sz w:val="24"/>
          <w:szCs w:val="24"/>
        </w:rPr>
        <w:t xml:space="preserve"> the paymen</w:t>
      </w:r>
      <w:r w:rsidR="004B7855" w:rsidRPr="002613BD">
        <w:rPr>
          <w:rFonts w:ascii="Arial" w:eastAsia="Calibri" w:hAnsi="Arial" w:cs="Arial"/>
          <w:sz w:val="24"/>
          <w:szCs w:val="24"/>
        </w:rPr>
        <w:t>ts</w:t>
      </w:r>
      <w:r w:rsidR="007F365B" w:rsidRPr="002613BD">
        <w:rPr>
          <w:rFonts w:ascii="Arial" w:eastAsia="Calibri" w:hAnsi="Arial" w:cs="Arial"/>
          <w:sz w:val="24"/>
          <w:szCs w:val="24"/>
        </w:rPr>
        <w:t xml:space="preserve"> </w:t>
      </w:r>
      <w:r w:rsidR="004B7855" w:rsidRPr="002613BD">
        <w:rPr>
          <w:rFonts w:ascii="Arial" w:eastAsia="Calibri" w:hAnsi="Arial" w:cs="Arial"/>
          <w:sz w:val="24"/>
          <w:szCs w:val="24"/>
        </w:rPr>
        <w:t>that were</w:t>
      </w:r>
      <w:r w:rsidR="00651D05" w:rsidRPr="002613BD">
        <w:rPr>
          <w:rFonts w:ascii="Arial" w:eastAsia="Calibri" w:hAnsi="Arial" w:cs="Arial"/>
          <w:sz w:val="24"/>
          <w:szCs w:val="24"/>
        </w:rPr>
        <w:t xml:space="preserve"> subsequently</w:t>
      </w:r>
      <w:r w:rsidR="004B7855" w:rsidRPr="002613BD">
        <w:rPr>
          <w:rFonts w:ascii="Arial" w:eastAsia="Calibri" w:hAnsi="Arial" w:cs="Arial"/>
          <w:sz w:val="24"/>
          <w:szCs w:val="24"/>
        </w:rPr>
        <w:t xml:space="preserve"> made </w:t>
      </w:r>
      <w:r w:rsidR="007F365B" w:rsidRPr="002613BD">
        <w:rPr>
          <w:rFonts w:ascii="Arial" w:eastAsia="Calibri" w:hAnsi="Arial" w:cs="Arial"/>
          <w:sz w:val="24"/>
          <w:szCs w:val="24"/>
        </w:rPr>
        <w:t>by two different legal entities raises ma</w:t>
      </w:r>
      <w:r w:rsidR="004B7855" w:rsidRPr="002613BD">
        <w:rPr>
          <w:rFonts w:ascii="Arial" w:eastAsia="Calibri" w:hAnsi="Arial" w:cs="Arial"/>
          <w:sz w:val="24"/>
          <w:szCs w:val="24"/>
        </w:rPr>
        <w:t>ny unanswere</w:t>
      </w:r>
      <w:r w:rsidR="007F365B" w:rsidRPr="002613BD">
        <w:rPr>
          <w:rFonts w:ascii="Arial" w:eastAsia="Calibri" w:hAnsi="Arial" w:cs="Arial"/>
          <w:sz w:val="24"/>
          <w:szCs w:val="24"/>
        </w:rPr>
        <w:t>d questions.</w:t>
      </w:r>
      <w:r w:rsidR="00EE4471" w:rsidRPr="002613BD">
        <w:rPr>
          <w:rFonts w:ascii="Arial" w:eastAsia="Calibri" w:hAnsi="Arial" w:cs="Arial"/>
          <w:sz w:val="24"/>
          <w:szCs w:val="24"/>
        </w:rPr>
        <w:t xml:space="preserve"> I do not intend to venture into </w:t>
      </w:r>
      <w:r w:rsidR="004446DF" w:rsidRPr="002613BD">
        <w:rPr>
          <w:rFonts w:ascii="Arial" w:eastAsia="Calibri" w:hAnsi="Arial" w:cs="Arial"/>
          <w:sz w:val="24"/>
          <w:szCs w:val="24"/>
        </w:rPr>
        <w:t>the duties</w:t>
      </w:r>
      <w:r w:rsidR="00EE4471" w:rsidRPr="002613BD">
        <w:rPr>
          <w:rFonts w:ascii="Arial" w:eastAsia="Calibri" w:hAnsi="Arial" w:cs="Arial"/>
          <w:sz w:val="24"/>
          <w:szCs w:val="24"/>
        </w:rPr>
        <w:t xml:space="preserve"> that apply to all </w:t>
      </w:r>
      <w:r w:rsidR="004446DF" w:rsidRPr="002613BD">
        <w:rPr>
          <w:rFonts w:ascii="Arial" w:eastAsia="Calibri" w:hAnsi="Arial" w:cs="Arial"/>
          <w:sz w:val="24"/>
          <w:szCs w:val="24"/>
        </w:rPr>
        <w:t xml:space="preserve">registered </w:t>
      </w:r>
      <w:r w:rsidR="00EE4471" w:rsidRPr="002613BD">
        <w:rPr>
          <w:rFonts w:ascii="Arial" w:eastAsia="Calibri" w:hAnsi="Arial" w:cs="Arial"/>
          <w:sz w:val="24"/>
          <w:szCs w:val="24"/>
        </w:rPr>
        <w:t xml:space="preserve">parties regarding their </w:t>
      </w:r>
      <w:r w:rsidR="000A301E" w:rsidRPr="002613BD">
        <w:rPr>
          <w:rFonts w:ascii="Arial" w:eastAsia="Calibri" w:hAnsi="Arial" w:cs="Arial"/>
          <w:sz w:val="24"/>
          <w:szCs w:val="24"/>
        </w:rPr>
        <w:t>obligations to account</w:t>
      </w:r>
      <w:r w:rsidR="00EE4471" w:rsidRPr="002613BD">
        <w:rPr>
          <w:rFonts w:ascii="Arial" w:eastAsia="Calibri" w:hAnsi="Arial" w:cs="Arial"/>
          <w:sz w:val="24"/>
          <w:szCs w:val="24"/>
        </w:rPr>
        <w:t xml:space="preserve"> and declaring donations above the prescribed threshold, sin</w:t>
      </w:r>
      <w:r w:rsidR="000A301E" w:rsidRPr="002613BD">
        <w:rPr>
          <w:rFonts w:ascii="Arial" w:eastAsia="Calibri" w:hAnsi="Arial" w:cs="Arial"/>
          <w:sz w:val="24"/>
          <w:szCs w:val="24"/>
        </w:rPr>
        <w:t xml:space="preserve">ce the attempted payment </w:t>
      </w:r>
      <w:r w:rsidR="00651D05" w:rsidRPr="002613BD">
        <w:rPr>
          <w:rFonts w:ascii="Arial" w:eastAsia="Calibri" w:hAnsi="Arial" w:cs="Arial"/>
          <w:sz w:val="24"/>
          <w:szCs w:val="24"/>
        </w:rPr>
        <w:t>in the present matter</w:t>
      </w:r>
      <w:r w:rsidR="004446DF" w:rsidRPr="002613BD">
        <w:rPr>
          <w:rFonts w:ascii="Arial" w:eastAsia="Calibri" w:hAnsi="Arial" w:cs="Arial"/>
          <w:sz w:val="24"/>
          <w:szCs w:val="24"/>
        </w:rPr>
        <w:t xml:space="preserve"> </w:t>
      </w:r>
      <w:r w:rsidR="000A301E" w:rsidRPr="002613BD">
        <w:rPr>
          <w:rFonts w:ascii="Arial" w:eastAsia="Calibri" w:hAnsi="Arial" w:cs="Arial"/>
          <w:sz w:val="24"/>
          <w:szCs w:val="24"/>
        </w:rPr>
        <w:t>never reached the IEC</w:t>
      </w:r>
      <w:r w:rsidR="004446DF" w:rsidRPr="002613BD">
        <w:rPr>
          <w:rFonts w:ascii="Arial" w:eastAsia="Calibri" w:hAnsi="Arial" w:cs="Arial"/>
          <w:sz w:val="24"/>
          <w:szCs w:val="24"/>
        </w:rPr>
        <w:t>’s account on time</w:t>
      </w:r>
      <w:r w:rsidR="000A301E" w:rsidRPr="002613BD">
        <w:rPr>
          <w:rFonts w:ascii="Arial" w:eastAsia="Calibri" w:hAnsi="Arial" w:cs="Arial"/>
          <w:sz w:val="24"/>
          <w:szCs w:val="24"/>
        </w:rPr>
        <w:t>.</w:t>
      </w:r>
      <w:r w:rsidR="000A301E" w:rsidRPr="002613BD">
        <w:rPr>
          <w:rStyle w:val="FootnoteReference"/>
          <w:rFonts w:ascii="Arial" w:eastAsia="Calibri" w:hAnsi="Arial" w:cs="Arial"/>
          <w:sz w:val="24"/>
          <w:szCs w:val="24"/>
        </w:rPr>
        <w:footnoteReference w:id="17"/>
      </w:r>
    </w:p>
    <w:p w14:paraId="24060E69" w14:textId="77777777" w:rsidR="007F0F32" w:rsidRPr="00AA6950" w:rsidRDefault="007F0F32" w:rsidP="00AA6950">
      <w:pPr>
        <w:pStyle w:val="JUGMENTNUMBERED"/>
        <w:numPr>
          <w:ilvl w:val="0"/>
          <w:numId w:val="0"/>
        </w:numPr>
        <w:spacing w:line="360" w:lineRule="auto"/>
        <w:rPr>
          <w:rFonts w:ascii="Arial" w:eastAsia="Calibri" w:hAnsi="Arial" w:cs="Arial"/>
          <w:sz w:val="24"/>
          <w:szCs w:val="24"/>
        </w:rPr>
      </w:pPr>
    </w:p>
    <w:p w14:paraId="176398CE" w14:textId="27FD312D" w:rsidR="007F0F32" w:rsidRPr="00AA6950" w:rsidRDefault="007F0F32" w:rsidP="00AA6950">
      <w:pPr>
        <w:pStyle w:val="JUGMENTNUMBERED"/>
        <w:numPr>
          <w:ilvl w:val="0"/>
          <w:numId w:val="0"/>
        </w:numPr>
        <w:spacing w:line="360" w:lineRule="auto"/>
        <w:rPr>
          <w:rFonts w:ascii="Arial" w:eastAsia="Calibri" w:hAnsi="Arial" w:cs="Arial"/>
          <w:sz w:val="24"/>
          <w:szCs w:val="24"/>
        </w:rPr>
      </w:pPr>
      <w:r w:rsidRPr="00AA6950">
        <w:rPr>
          <w:rFonts w:ascii="Arial" w:eastAsia="Calibri" w:hAnsi="Arial" w:cs="Arial"/>
          <w:sz w:val="24"/>
          <w:szCs w:val="24"/>
        </w:rPr>
        <w:t>[</w:t>
      </w:r>
      <w:r w:rsidR="00AA6950">
        <w:rPr>
          <w:rFonts w:ascii="Arial" w:eastAsia="Calibri" w:hAnsi="Arial" w:cs="Arial"/>
          <w:sz w:val="24"/>
          <w:szCs w:val="24"/>
        </w:rPr>
        <w:t>2</w:t>
      </w:r>
      <w:r w:rsidR="004446DF">
        <w:rPr>
          <w:rFonts w:ascii="Arial" w:eastAsia="Calibri" w:hAnsi="Arial" w:cs="Arial"/>
          <w:sz w:val="24"/>
          <w:szCs w:val="24"/>
        </w:rPr>
        <w:t>3</w:t>
      </w:r>
      <w:r w:rsidRPr="00AA6950">
        <w:rPr>
          <w:rFonts w:ascii="Arial" w:eastAsia="Calibri" w:hAnsi="Arial" w:cs="Arial"/>
          <w:sz w:val="24"/>
          <w:szCs w:val="24"/>
        </w:rPr>
        <w:t>]</w:t>
      </w:r>
      <w:r w:rsidRPr="00AA6950">
        <w:rPr>
          <w:rFonts w:ascii="Arial" w:eastAsia="Calibri" w:hAnsi="Arial" w:cs="Arial"/>
          <w:sz w:val="24"/>
          <w:szCs w:val="24"/>
        </w:rPr>
        <w:tab/>
      </w:r>
      <w:r w:rsidR="00BE13E5" w:rsidRPr="00AA6950">
        <w:rPr>
          <w:rFonts w:ascii="Arial" w:eastAsia="Calibri" w:hAnsi="Arial" w:cs="Arial"/>
          <w:sz w:val="24"/>
          <w:szCs w:val="24"/>
        </w:rPr>
        <w:t xml:space="preserve">Moreover it cannot </w:t>
      </w:r>
      <w:r w:rsidRPr="00AA6950">
        <w:rPr>
          <w:rFonts w:ascii="Arial" w:eastAsia="Calibri" w:hAnsi="Arial" w:cs="Arial"/>
          <w:sz w:val="24"/>
          <w:szCs w:val="24"/>
        </w:rPr>
        <w:t>be s</w:t>
      </w:r>
      <w:r w:rsidR="00BE13E5" w:rsidRPr="00AA6950">
        <w:rPr>
          <w:rFonts w:ascii="Arial" w:eastAsia="Calibri" w:hAnsi="Arial" w:cs="Arial"/>
          <w:sz w:val="24"/>
          <w:szCs w:val="24"/>
        </w:rPr>
        <w:t>tated</w:t>
      </w:r>
      <w:r w:rsidRPr="00AA6950">
        <w:rPr>
          <w:rFonts w:ascii="Arial" w:eastAsia="Calibri" w:hAnsi="Arial" w:cs="Arial"/>
          <w:sz w:val="24"/>
          <w:szCs w:val="24"/>
        </w:rPr>
        <w:t xml:space="preserve">, given the facts of this case that payment of the deposit </w:t>
      </w:r>
      <w:r w:rsidR="00BE13E5" w:rsidRPr="00AA6950">
        <w:rPr>
          <w:rFonts w:ascii="Arial" w:eastAsia="Calibri" w:hAnsi="Arial" w:cs="Arial"/>
          <w:sz w:val="24"/>
          <w:szCs w:val="24"/>
        </w:rPr>
        <w:t>as required by s 27(2</w:t>
      </w:r>
      <w:r w:rsidR="00BE13E5" w:rsidRPr="00FB755B">
        <w:rPr>
          <w:rFonts w:ascii="Arial" w:eastAsia="Calibri" w:hAnsi="Arial" w:cs="Arial"/>
          <w:sz w:val="24"/>
          <w:szCs w:val="24"/>
        </w:rPr>
        <w:t>)</w:t>
      </w:r>
      <w:r w:rsidR="00BE13E5" w:rsidRPr="00FB755B">
        <w:rPr>
          <w:rFonts w:ascii="Arial" w:eastAsia="Calibri" w:hAnsi="Arial" w:cs="Arial"/>
          <w:i/>
          <w:sz w:val="24"/>
          <w:szCs w:val="24"/>
        </w:rPr>
        <w:t>(e)</w:t>
      </w:r>
      <w:r w:rsidR="00BE13E5" w:rsidRPr="00AA6950">
        <w:rPr>
          <w:rFonts w:ascii="Arial" w:eastAsia="Calibri" w:hAnsi="Arial" w:cs="Arial"/>
          <w:sz w:val="24"/>
          <w:szCs w:val="24"/>
        </w:rPr>
        <w:t xml:space="preserve"> </w:t>
      </w:r>
      <w:r w:rsidRPr="00AA6950">
        <w:rPr>
          <w:rFonts w:ascii="Arial" w:eastAsia="Calibri" w:hAnsi="Arial" w:cs="Arial"/>
          <w:sz w:val="24"/>
          <w:szCs w:val="24"/>
        </w:rPr>
        <w:t xml:space="preserve">should be </w:t>
      </w:r>
      <w:r w:rsidR="00BE13E5" w:rsidRPr="00AA6950">
        <w:rPr>
          <w:rFonts w:ascii="Arial" w:eastAsia="Calibri" w:hAnsi="Arial" w:cs="Arial"/>
          <w:sz w:val="24"/>
          <w:szCs w:val="24"/>
        </w:rPr>
        <w:t xml:space="preserve">regarded as being </w:t>
      </w:r>
      <w:r w:rsidRPr="00AA6950">
        <w:rPr>
          <w:rFonts w:ascii="Arial" w:eastAsia="Calibri" w:hAnsi="Arial" w:cs="Arial"/>
          <w:sz w:val="24"/>
          <w:szCs w:val="24"/>
        </w:rPr>
        <w:t xml:space="preserve">complementary </w:t>
      </w:r>
      <w:r w:rsidR="00BE13E5" w:rsidRPr="00AA6950">
        <w:rPr>
          <w:rFonts w:ascii="Arial" w:eastAsia="Calibri" w:hAnsi="Arial" w:cs="Arial"/>
          <w:sz w:val="24"/>
          <w:szCs w:val="24"/>
        </w:rPr>
        <w:t xml:space="preserve">to the other </w:t>
      </w:r>
      <w:r w:rsidR="009A0F3F" w:rsidRPr="00AA6950">
        <w:rPr>
          <w:rFonts w:ascii="Arial" w:eastAsia="Calibri" w:hAnsi="Arial" w:cs="Arial"/>
          <w:sz w:val="24"/>
          <w:szCs w:val="24"/>
        </w:rPr>
        <w:t xml:space="preserve">prescribed </w:t>
      </w:r>
      <w:r w:rsidR="00BE13E5" w:rsidRPr="00AA6950">
        <w:rPr>
          <w:rFonts w:ascii="Arial" w:eastAsia="Calibri" w:hAnsi="Arial" w:cs="Arial"/>
          <w:sz w:val="24"/>
          <w:szCs w:val="24"/>
        </w:rPr>
        <w:t xml:space="preserve">requirements </w:t>
      </w:r>
      <w:r w:rsidRPr="00AA6950">
        <w:rPr>
          <w:rFonts w:ascii="Arial" w:eastAsia="Calibri" w:hAnsi="Arial" w:cs="Arial"/>
          <w:sz w:val="24"/>
          <w:szCs w:val="24"/>
        </w:rPr>
        <w:t xml:space="preserve">as was </w:t>
      </w:r>
      <w:r w:rsidR="00BE13E5" w:rsidRPr="00AA6950">
        <w:rPr>
          <w:rFonts w:ascii="Arial" w:eastAsia="Calibri" w:hAnsi="Arial" w:cs="Arial"/>
          <w:sz w:val="24"/>
          <w:szCs w:val="24"/>
        </w:rPr>
        <w:t xml:space="preserve">held </w:t>
      </w:r>
      <w:r w:rsidR="00F4465A">
        <w:rPr>
          <w:rFonts w:ascii="Arial" w:eastAsia="Calibri" w:hAnsi="Arial" w:cs="Arial"/>
          <w:sz w:val="24"/>
          <w:szCs w:val="24"/>
        </w:rPr>
        <w:t xml:space="preserve">in </w:t>
      </w:r>
      <w:r w:rsidRPr="00AA6950">
        <w:rPr>
          <w:rFonts w:ascii="Arial" w:eastAsia="Calibri" w:hAnsi="Arial" w:cs="Arial"/>
          <w:i/>
          <w:sz w:val="24"/>
          <w:szCs w:val="24"/>
        </w:rPr>
        <w:t>ACDP</w:t>
      </w:r>
      <w:r w:rsidRPr="00AA6950">
        <w:rPr>
          <w:rFonts w:ascii="Arial" w:eastAsia="Calibri" w:hAnsi="Arial" w:cs="Arial"/>
          <w:sz w:val="24"/>
          <w:szCs w:val="24"/>
        </w:rPr>
        <w:t xml:space="preserve">. In </w:t>
      </w:r>
      <w:r w:rsidRPr="00AA6950">
        <w:rPr>
          <w:rFonts w:ascii="Arial" w:eastAsia="Calibri" w:hAnsi="Arial" w:cs="Arial"/>
          <w:i/>
          <w:sz w:val="24"/>
          <w:szCs w:val="24"/>
        </w:rPr>
        <w:t>ACDP</w:t>
      </w:r>
      <w:r w:rsidRPr="00AA6950">
        <w:rPr>
          <w:rFonts w:ascii="Arial" w:eastAsia="Calibri" w:hAnsi="Arial" w:cs="Arial"/>
          <w:sz w:val="24"/>
          <w:szCs w:val="24"/>
        </w:rPr>
        <w:t xml:space="preserve">, the Constitutional Court considered whether the establishment of a bulk payment </w:t>
      </w:r>
      <w:r w:rsidR="004446DF">
        <w:rPr>
          <w:rFonts w:ascii="Arial" w:eastAsia="Calibri" w:hAnsi="Arial" w:cs="Arial"/>
          <w:sz w:val="24"/>
          <w:szCs w:val="24"/>
        </w:rPr>
        <w:t xml:space="preserve">instead of individual deposits </w:t>
      </w:r>
      <w:r w:rsidR="00BE13E5" w:rsidRPr="00AA6950">
        <w:rPr>
          <w:rFonts w:ascii="Arial" w:eastAsia="Calibri" w:hAnsi="Arial" w:cs="Arial"/>
          <w:sz w:val="24"/>
          <w:szCs w:val="24"/>
        </w:rPr>
        <w:t xml:space="preserve">constituted substantial compliance with the Act. </w:t>
      </w:r>
      <w:r w:rsidR="00C3070E" w:rsidRPr="00AA6950">
        <w:rPr>
          <w:rFonts w:ascii="Arial" w:eastAsia="Calibri" w:hAnsi="Arial" w:cs="Arial"/>
          <w:sz w:val="24"/>
          <w:szCs w:val="24"/>
        </w:rPr>
        <w:t xml:space="preserve">The distinction between the conduct of the AEF and the party in </w:t>
      </w:r>
      <w:r w:rsidR="00C3070E" w:rsidRPr="00AA6950">
        <w:rPr>
          <w:rFonts w:ascii="Arial" w:eastAsia="Calibri" w:hAnsi="Arial" w:cs="Arial"/>
          <w:i/>
          <w:sz w:val="24"/>
          <w:szCs w:val="24"/>
        </w:rPr>
        <w:t>ACDP</w:t>
      </w:r>
      <w:r w:rsidR="00C3070E" w:rsidRPr="00AA6950">
        <w:rPr>
          <w:rFonts w:ascii="Arial" w:eastAsia="Calibri" w:hAnsi="Arial" w:cs="Arial"/>
          <w:sz w:val="24"/>
          <w:szCs w:val="24"/>
        </w:rPr>
        <w:t xml:space="preserve"> is that t</w:t>
      </w:r>
      <w:r w:rsidR="00BE13E5" w:rsidRPr="00AA6950">
        <w:rPr>
          <w:rFonts w:ascii="Arial" w:eastAsia="Calibri" w:hAnsi="Arial" w:cs="Arial"/>
          <w:sz w:val="24"/>
          <w:szCs w:val="24"/>
        </w:rPr>
        <w:t>here</w:t>
      </w:r>
      <w:r w:rsidR="00E23B9A" w:rsidRPr="00AA6950">
        <w:rPr>
          <w:rFonts w:ascii="Arial" w:eastAsia="Calibri" w:hAnsi="Arial" w:cs="Arial"/>
          <w:sz w:val="24"/>
          <w:szCs w:val="24"/>
        </w:rPr>
        <w:t xml:space="preserve"> was</w:t>
      </w:r>
      <w:r w:rsidR="00BE13E5" w:rsidRPr="00AA6950">
        <w:rPr>
          <w:rFonts w:ascii="Arial" w:eastAsia="Calibri" w:hAnsi="Arial" w:cs="Arial"/>
          <w:sz w:val="24"/>
          <w:szCs w:val="24"/>
        </w:rPr>
        <w:t xml:space="preserve"> payment made </w:t>
      </w:r>
      <w:r w:rsidR="000C7284" w:rsidRPr="00AA6950">
        <w:rPr>
          <w:rFonts w:ascii="Arial" w:eastAsia="Calibri" w:hAnsi="Arial" w:cs="Arial"/>
          <w:sz w:val="24"/>
          <w:szCs w:val="24"/>
        </w:rPr>
        <w:t xml:space="preserve">in </w:t>
      </w:r>
      <w:r w:rsidR="000C7284" w:rsidRPr="00AA6950">
        <w:rPr>
          <w:rFonts w:ascii="Arial" w:eastAsia="Calibri" w:hAnsi="Arial" w:cs="Arial"/>
          <w:i/>
          <w:sz w:val="24"/>
          <w:szCs w:val="24"/>
        </w:rPr>
        <w:t xml:space="preserve">ACDP </w:t>
      </w:r>
      <w:r w:rsidR="00BE13E5" w:rsidRPr="00AA6950">
        <w:rPr>
          <w:rFonts w:ascii="Arial" w:eastAsia="Calibri" w:hAnsi="Arial" w:cs="Arial"/>
          <w:sz w:val="24"/>
          <w:szCs w:val="24"/>
        </w:rPr>
        <w:t xml:space="preserve">and it was </w:t>
      </w:r>
      <w:r w:rsidR="004446DF">
        <w:rPr>
          <w:rFonts w:ascii="Arial" w:eastAsia="Calibri" w:hAnsi="Arial" w:cs="Arial"/>
          <w:sz w:val="24"/>
          <w:szCs w:val="24"/>
        </w:rPr>
        <w:t xml:space="preserve">made </w:t>
      </w:r>
      <w:r w:rsidR="00BE13E5" w:rsidRPr="00AA6950">
        <w:rPr>
          <w:rFonts w:ascii="Arial" w:eastAsia="Calibri" w:hAnsi="Arial" w:cs="Arial"/>
          <w:sz w:val="24"/>
          <w:szCs w:val="24"/>
        </w:rPr>
        <w:t xml:space="preserve">on time. </w:t>
      </w:r>
      <w:r w:rsidR="009A0F3F" w:rsidRPr="00AA6950">
        <w:rPr>
          <w:rFonts w:ascii="Arial" w:eastAsia="Calibri" w:hAnsi="Arial" w:cs="Arial"/>
          <w:sz w:val="24"/>
          <w:szCs w:val="24"/>
        </w:rPr>
        <w:t xml:space="preserve">The reliance by </w:t>
      </w:r>
      <w:r w:rsidR="00F4465A">
        <w:rPr>
          <w:rFonts w:ascii="Arial" w:eastAsia="Calibri" w:hAnsi="Arial" w:cs="Arial"/>
          <w:sz w:val="24"/>
          <w:szCs w:val="24"/>
        </w:rPr>
        <w:t xml:space="preserve">the </w:t>
      </w:r>
      <w:r w:rsidR="009A0F3F" w:rsidRPr="00AA6950">
        <w:rPr>
          <w:rFonts w:ascii="Arial" w:eastAsia="Calibri" w:hAnsi="Arial" w:cs="Arial"/>
          <w:sz w:val="24"/>
          <w:szCs w:val="24"/>
        </w:rPr>
        <w:t xml:space="preserve">AEF on </w:t>
      </w:r>
      <w:r w:rsidR="009A0F3F" w:rsidRPr="00AA6950">
        <w:rPr>
          <w:rFonts w:ascii="Arial" w:eastAsia="Calibri" w:hAnsi="Arial" w:cs="Arial"/>
          <w:i/>
          <w:sz w:val="24"/>
          <w:szCs w:val="24"/>
        </w:rPr>
        <w:t>ACDP</w:t>
      </w:r>
      <w:r w:rsidR="009A0F3F" w:rsidRPr="00AA6950">
        <w:rPr>
          <w:rFonts w:ascii="Arial" w:eastAsia="Calibri" w:hAnsi="Arial" w:cs="Arial"/>
          <w:sz w:val="24"/>
          <w:szCs w:val="24"/>
        </w:rPr>
        <w:t xml:space="preserve"> is in my view misplaced.</w:t>
      </w:r>
      <w:r w:rsidR="003127AB" w:rsidRPr="00AA6950">
        <w:rPr>
          <w:rFonts w:ascii="Arial" w:eastAsia="Calibri" w:hAnsi="Arial" w:cs="Arial"/>
          <w:sz w:val="24"/>
          <w:szCs w:val="24"/>
        </w:rPr>
        <w:t xml:space="preserve"> </w:t>
      </w:r>
      <w:r w:rsidR="002F1374" w:rsidRPr="00AA6950">
        <w:rPr>
          <w:rFonts w:ascii="Arial" w:eastAsia="Calibri" w:hAnsi="Arial" w:cs="Arial"/>
          <w:sz w:val="24"/>
          <w:szCs w:val="24"/>
        </w:rPr>
        <w:t xml:space="preserve">I find that </w:t>
      </w:r>
      <w:r w:rsidR="00F4465A">
        <w:rPr>
          <w:rFonts w:ascii="Arial" w:eastAsia="Calibri" w:hAnsi="Arial" w:cs="Arial"/>
          <w:sz w:val="24"/>
          <w:szCs w:val="24"/>
        </w:rPr>
        <w:t xml:space="preserve">the </w:t>
      </w:r>
      <w:r w:rsidR="002F1374" w:rsidRPr="00AA6950">
        <w:rPr>
          <w:rFonts w:ascii="Arial" w:eastAsia="Calibri" w:hAnsi="Arial" w:cs="Arial"/>
          <w:sz w:val="24"/>
          <w:szCs w:val="24"/>
        </w:rPr>
        <w:t xml:space="preserve">AEF failed to comply with s 27(2) of the </w:t>
      </w:r>
      <w:r w:rsidR="00E74636">
        <w:rPr>
          <w:rFonts w:ascii="Arial" w:eastAsia="Calibri" w:hAnsi="Arial" w:cs="Arial"/>
          <w:sz w:val="24"/>
          <w:szCs w:val="24"/>
        </w:rPr>
        <w:t>Act</w:t>
      </w:r>
      <w:r w:rsidR="002F1374" w:rsidRPr="00AA6950">
        <w:rPr>
          <w:rFonts w:ascii="Arial" w:eastAsia="Calibri" w:hAnsi="Arial" w:cs="Arial"/>
          <w:sz w:val="24"/>
          <w:szCs w:val="24"/>
        </w:rPr>
        <w:t xml:space="preserve"> and that there is no room for substantial compliance with the provision. </w:t>
      </w:r>
    </w:p>
    <w:p w14:paraId="17702591" w14:textId="77777777" w:rsidR="00D44BBE" w:rsidRPr="00AA6950" w:rsidRDefault="00D44BBE" w:rsidP="00AA6950">
      <w:pPr>
        <w:widowControl w:val="0"/>
        <w:spacing w:after="0" w:line="360" w:lineRule="auto"/>
        <w:contextualSpacing/>
        <w:jc w:val="both"/>
        <w:rPr>
          <w:rFonts w:ascii="Arial" w:eastAsia="Calibri" w:hAnsi="Arial" w:cs="Arial"/>
          <w:sz w:val="24"/>
          <w:szCs w:val="24"/>
        </w:rPr>
      </w:pPr>
    </w:p>
    <w:p w14:paraId="62E9D553" w14:textId="77777777" w:rsidR="002F1374" w:rsidRPr="00AA6950" w:rsidRDefault="002F1374" w:rsidP="00AA6950">
      <w:pPr>
        <w:widowControl w:val="0"/>
        <w:spacing w:after="0" w:line="360" w:lineRule="auto"/>
        <w:contextualSpacing/>
        <w:jc w:val="both"/>
        <w:rPr>
          <w:rFonts w:ascii="Arial" w:eastAsia="Calibri" w:hAnsi="Arial" w:cs="Arial"/>
          <w:b/>
          <w:sz w:val="24"/>
          <w:szCs w:val="24"/>
        </w:rPr>
      </w:pPr>
      <w:r w:rsidRPr="00AA6950">
        <w:rPr>
          <w:rFonts w:ascii="Arial" w:eastAsia="Calibri" w:hAnsi="Arial" w:cs="Arial"/>
          <w:b/>
          <w:sz w:val="24"/>
          <w:szCs w:val="24"/>
        </w:rPr>
        <w:t>Conclusion</w:t>
      </w:r>
    </w:p>
    <w:p w14:paraId="3FA9BDB9" w14:textId="4A9F8C99" w:rsidR="000C7284" w:rsidRDefault="00F33606" w:rsidP="00AA6950">
      <w:pPr>
        <w:widowControl w:val="0"/>
        <w:spacing w:after="0" w:line="360" w:lineRule="auto"/>
        <w:contextualSpacing/>
        <w:jc w:val="both"/>
        <w:rPr>
          <w:rFonts w:ascii="Arial" w:eastAsia="Calibri" w:hAnsi="Arial" w:cs="Arial"/>
          <w:sz w:val="24"/>
          <w:szCs w:val="24"/>
        </w:rPr>
      </w:pPr>
      <w:r w:rsidRPr="00AA6950">
        <w:rPr>
          <w:rFonts w:ascii="Arial" w:eastAsia="Calibri" w:hAnsi="Arial" w:cs="Arial"/>
          <w:sz w:val="24"/>
          <w:szCs w:val="24"/>
        </w:rPr>
        <w:t>[</w:t>
      </w:r>
      <w:r w:rsidR="00AA6950">
        <w:rPr>
          <w:rFonts w:ascii="Arial" w:eastAsia="Calibri" w:hAnsi="Arial" w:cs="Arial"/>
          <w:sz w:val="24"/>
          <w:szCs w:val="24"/>
          <w:lang w:val="en-ZA"/>
        </w:rPr>
        <w:t>2</w:t>
      </w:r>
      <w:r w:rsidR="004446DF">
        <w:rPr>
          <w:rFonts w:ascii="Arial" w:eastAsia="Calibri" w:hAnsi="Arial" w:cs="Arial"/>
          <w:sz w:val="24"/>
          <w:szCs w:val="24"/>
          <w:lang w:val="en-ZA"/>
        </w:rPr>
        <w:t>4</w:t>
      </w:r>
      <w:r w:rsidRPr="00AA6950">
        <w:rPr>
          <w:rFonts w:ascii="Arial" w:eastAsia="Calibri" w:hAnsi="Arial" w:cs="Arial"/>
          <w:sz w:val="24"/>
          <w:szCs w:val="24"/>
        </w:rPr>
        <w:t>]</w:t>
      </w:r>
      <w:r w:rsidRPr="00AA6950">
        <w:rPr>
          <w:rFonts w:ascii="Arial" w:eastAsia="Calibri" w:hAnsi="Arial" w:cs="Arial"/>
          <w:sz w:val="24"/>
          <w:szCs w:val="24"/>
        </w:rPr>
        <w:tab/>
        <w:t xml:space="preserve">Given the </w:t>
      </w:r>
      <w:r w:rsidR="000A6C13" w:rsidRPr="00AA6950">
        <w:rPr>
          <w:rFonts w:ascii="Arial" w:eastAsia="Calibri" w:hAnsi="Arial" w:cs="Arial"/>
          <w:sz w:val="24"/>
          <w:szCs w:val="24"/>
        </w:rPr>
        <w:t xml:space="preserve">said </w:t>
      </w:r>
      <w:r w:rsidRPr="00AA6950">
        <w:rPr>
          <w:rFonts w:ascii="Arial" w:eastAsia="Calibri" w:hAnsi="Arial" w:cs="Arial"/>
          <w:sz w:val="24"/>
          <w:szCs w:val="24"/>
        </w:rPr>
        <w:t xml:space="preserve">circumstances, the </w:t>
      </w:r>
      <w:r w:rsidR="000C7284" w:rsidRPr="00AA6950">
        <w:rPr>
          <w:rFonts w:ascii="Arial" w:eastAsia="Calibri" w:hAnsi="Arial" w:cs="Arial"/>
          <w:sz w:val="24"/>
          <w:szCs w:val="24"/>
        </w:rPr>
        <w:t>IEC</w:t>
      </w:r>
      <w:r w:rsidR="00651D05">
        <w:rPr>
          <w:rFonts w:ascii="Arial" w:eastAsia="Calibri" w:hAnsi="Arial" w:cs="Arial"/>
          <w:sz w:val="24"/>
          <w:szCs w:val="24"/>
        </w:rPr>
        <w:t xml:space="preserve"> acted lawfully, reasonab</w:t>
      </w:r>
      <w:r w:rsidR="00651D05" w:rsidRPr="002613BD">
        <w:rPr>
          <w:rFonts w:ascii="Arial" w:eastAsia="Calibri" w:hAnsi="Arial" w:cs="Arial"/>
          <w:sz w:val="24"/>
          <w:szCs w:val="24"/>
        </w:rPr>
        <w:t>ly</w:t>
      </w:r>
      <w:r w:rsidRPr="002613BD">
        <w:rPr>
          <w:rFonts w:ascii="Arial" w:eastAsia="Calibri" w:hAnsi="Arial" w:cs="Arial"/>
          <w:sz w:val="24"/>
          <w:szCs w:val="24"/>
        </w:rPr>
        <w:t>,</w:t>
      </w:r>
      <w:r w:rsidRPr="00AA6950">
        <w:rPr>
          <w:rFonts w:ascii="Arial" w:eastAsia="Calibri" w:hAnsi="Arial" w:cs="Arial"/>
          <w:sz w:val="24"/>
          <w:szCs w:val="24"/>
        </w:rPr>
        <w:t xml:space="preserve"> rationally and within the ambit of the law. There is no basis to</w:t>
      </w:r>
      <w:r w:rsidR="00651D05">
        <w:rPr>
          <w:rFonts w:ascii="Arial" w:eastAsia="Calibri" w:hAnsi="Arial" w:cs="Arial"/>
          <w:sz w:val="24"/>
          <w:szCs w:val="24"/>
        </w:rPr>
        <w:t xml:space="preserve"> </w:t>
      </w:r>
      <w:r w:rsidR="00651D05" w:rsidRPr="002613BD">
        <w:rPr>
          <w:rFonts w:ascii="Arial" w:eastAsia="Calibri" w:hAnsi="Arial" w:cs="Arial"/>
          <w:sz w:val="24"/>
          <w:szCs w:val="24"/>
        </w:rPr>
        <w:t>find fault</w:t>
      </w:r>
      <w:r w:rsidR="00E51AAF">
        <w:rPr>
          <w:rFonts w:ascii="Arial" w:eastAsia="Calibri" w:hAnsi="Arial" w:cs="Arial"/>
          <w:sz w:val="24"/>
          <w:szCs w:val="24"/>
        </w:rPr>
        <w:t xml:space="preserve"> with th</w:t>
      </w:r>
      <w:r w:rsidR="00F1661E">
        <w:rPr>
          <w:rFonts w:ascii="Arial" w:eastAsia="Calibri" w:hAnsi="Arial" w:cs="Arial"/>
          <w:sz w:val="24"/>
          <w:szCs w:val="24"/>
        </w:rPr>
        <w:t>e I</w:t>
      </w:r>
      <w:r w:rsidR="004446DF">
        <w:rPr>
          <w:rFonts w:ascii="Arial" w:eastAsia="Calibri" w:hAnsi="Arial" w:cs="Arial"/>
          <w:sz w:val="24"/>
          <w:szCs w:val="24"/>
        </w:rPr>
        <w:t>EC</w:t>
      </w:r>
      <w:r w:rsidRPr="00AA6950">
        <w:rPr>
          <w:rFonts w:ascii="Arial" w:eastAsia="Calibri" w:hAnsi="Arial" w:cs="Arial"/>
          <w:sz w:val="24"/>
          <w:szCs w:val="24"/>
        </w:rPr>
        <w:t xml:space="preserve">’s conduct. The application stands to be dismissed </w:t>
      </w:r>
      <w:r w:rsidRPr="002613BD">
        <w:rPr>
          <w:rFonts w:ascii="Arial" w:eastAsia="Calibri" w:hAnsi="Arial" w:cs="Arial"/>
          <w:sz w:val="24"/>
          <w:szCs w:val="24"/>
        </w:rPr>
        <w:t xml:space="preserve">due to the </w:t>
      </w:r>
      <w:r w:rsidR="00F4465A" w:rsidRPr="002613BD">
        <w:rPr>
          <w:rFonts w:ascii="Arial" w:eastAsia="Calibri" w:hAnsi="Arial" w:cs="Arial"/>
          <w:sz w:val="24"/>
          <w:szCs w:val="24"/>
        </w:rPr>
        <w:t>AEF</w:t>
      </w:r>
      <w:r w:rsidR="002613BD">
        <w:rPr>
          <w:rFonts w:ascii="Arial" w:eastAsia="Calibri" w:hAnsi="Arial" w:cs="Arial"/>
          <w:sz w:val="24"/>
          <w:szCs w:val="24"/>
        </w:rPr>
        <w:t>’s</w:t>
      </w:r>
      <w:r w:rsidRPr="002613BD">
        <w:rPr>
          <w:rFonts w:ascii="Arial" w:eastAsia="Calibri" w:hAnsi="Arial" w:cs="Arial"/>
          <w:sz w:val="24"/>
          <w:szCs w:val="24"/>
        </w:rPr>
        <w:t xml:space="preserve"> </w:t>
      </w:r>
      <w:r w:rsidR="00CA4F83" w:rsidRPr="002613BD">
        <w:rPr>
          <w:rFonts w:ascii="Arial" w:eastAsia="Calibri" w:hAnsi="Arial" w:cs="Arial"/>
          <w:sz w:val="24"/>
          <w:szCs w:val="24"/>
        </w:rPr>
        <w:t xml:space="preserve">failure </w:t>
      </w:r>
      <w:r w:rsidRPr="002613BD">
        <w:rPr>
          <w:rFonts w:ascii="Arial" w:eastAsia="Calibri" w:hAnsi="Arial" w:cs="Arial"/>
          <w:sz w:val="24"/>
          <w:szCs w:val="24"/>
        </w:rPr>
        <w:t>to comply with the legislative requirement</w:t>
      </w:r>
      <w:r w:rsidR="00CA4F83" w:rsidRPr="002613BD">
        <w:rPr>
          <w:rFonts w:ascii="Arial" w:eastAsia="Calibri" w:hAnsi="Arial" w:cs="Arial"/>
          <w:sz w:val="24"/>
          <w:szCs w:val="24"/>
        </w:rPr>
        <w:t>s</w:t>
      </w:r>
      <w:r w:rsidRPr="002613BD">
        <w:rPr>
          <w:rFonts w:ascii="Arial" w:eastAsia="Calibri" w:hAnsi="Arial" w:cs="Arial"/>
          <w:sz w:val="24"/>
          <w:szCs w:val="24"/>
        </w:rPr>
        <w:t xml:space="preserve"> of s</w:t>
      </w:r>
      <w:r w:rsidR="00D44BBE" w:rsidRPr="002613BD">
        <w:rPr>
          <w:rFonts w:ascii="Arial" w:eastAsia="Calibri" w:hAnsi="Arial" w:cs="Arial"/>
          <w:sz w:val="24"/>
          <w:szCs w:val="24"/>
        </w:rPr>
        <w:t xml:space="preserve"> </w:t>
      </w:r>
      <w:r w:rsidRPr="002613BD">
        <w:rPr>
          <w:rFonts w:ascii="Arial" w:eastAsia="Calibri" w:hAnsi="Arial" w:cs="Arial"/>
          <w:sz w:val="24"/>
          <w:szCs w:val="24"/>
        </w:rPr>
        <w:t>27(2)</w:t>
      </w:r>
      <w:r w:rsidRPr="002613BD">
        <w:rPr>
          <w:rFonts w:ascii="Arial" w:eastAsia="Calibri" w:hAnsi="Arial" w:cs="Arial"/>
          <w:i/>
          <w:sz w:val="24"/>
          <w:szCs w:val="24"/>
        </w:rPr>
        <w:t xml:space="preserve"> </w:t>
      </w:r>
      <w:r w:rsidR="000A6C13" w:rsidRPr="002613BD">
        <w:rPr>
          <w:rFonts w:ascii="Arial" w:eastAsia="Calibri" w:hAnsi="Arial" w:cs="Arial"/>
          <w:sz w:val="24"/>
          <w:szCs w:val="24"/>
        </w:rPr>
        <w:t xml:space="preserve">of the </w:t>
      </w:r>
      <w:r w:rsidR="00E74636" w:rsidRPr="002613BD">
        <w:rPr>
          <w:rFonts w:ascii="Arial" w:eastAsia="Calibri" w:hAnsi="Arial" w:cs="Arial"/>
          <w:sz w:val="24"/>
          <w:szCs w:val="24"/>
        </w:rPr>
        <w:t>Act</w:t>
      </w:r>
      <w:r w:rsidR="000A6C13" w:rsidRPr="002613BD">
        <w:rPr>
          <w:rFonts w:ascii="Arial" w:eastAsia="Calibri" w:hAnsi="Arial" w:cs="Arial"/>
          <w:sz w:val="24"/>
          <w:szCs w:val="24"/>
        </w:rPr>
        <w:t xml:space="preserve"> </w:t>
      </w:r>
      <w:r w:rsidRPr="002613BD">
        <w:rPr>
          <w:rFonts w:ascii="Arial" w:eastAsia="Calibri" w:hAnsi="Arial" w:cs="Arial"/>
          <w:sz w:val="24"/>
          <w:szCs w:val="24"/>
        </w:rPr>
        <w:t xml:space="preserve">to pay the required deposit </w:t>
      </w:r>
      <w:r w:rsidR="000A6C13" w:rsidRPr="002613BD">
        <w:rPr>
          <w:rFonts w:ascii="Arial" w:eastAsia="Calibri" w:hAnsi="Arial" w:cs="Arial"/>
          <w:sz w:val="24"/>
          <w:szCs w:val="24"/>
        </w:rPr>
        <w:t>b</w:t>
      </w:r>
      <w:r w:rsidR="00CA4F83" w:rsidRPr="002613BD">
        <w:rPr>
          <w:rFonts w:ascii="Arial" w:eastAsia="Calibri" w:hAnsi="Arial" w:cs="Arial"/>
          <w:sz w:val="24"/>
          <w:szCs w:val="24"/>
        </w:rPr>
        <w:t xml:space="preserve">y </w:t>
      </w:r>
      <w:r w:rsidRPr="002613BD">
        <w:rPr>
          <w:rFonts w:ascii="Arial" w:eastAsia="Calibri" w:hAnsi="Arial" w:cs="Arial"/>
          <w:sz w:val="24"/>
          <w:szCs w:val="24"/>
        </w:rPr>
        <w:t xml:space="preserve">17h00 on 8 March 2024. The </w:t>
      </w:r>
      <w:r w:rsidR="00CA4F83" w:rsidRPr="002613BD">
        <w:rPr>
          <w:rFonts w:ascii="Arial" w:eastAsia="Calibri" w:hAnsi="Arial" w:cs="Arial"/>
          <w:sz w:val="24"/>
          <w:szCs w:val="24"/>
        </w:rPr>
        <w:t>AEF</w:t>
      </w:r>
      <w:r w:rsidRPr="002613BD">
        <w:rPr>
          <w:rFonts w:ascii="Arial" w:eastAsia="Calibri" w:hAnsi="Arial" w:cs="Arial"/>
          <w:sz w:val="24"/>
          <w:szCs w:val="24"/>
        </w:rPr>
        <w:t>, by</w:t>
      </w:r>
      <w:r w:rsidR="000A6C13" w:rsidRPr="002613BD">
        <w:rPr>
          <w:rFonts w:ascii="Arial" w:eastAsia="Calibri" w:hAnsi="Arial" w:cs="Arial"/>
          <w:sz w:val="24"/>
          <w:szCs w:val="24"/>
        </w:rPr>
        <w:t xml:space="preserve"> not complying</w:t>
      </w:r>
      <w:r w:rsidRPr="002613BD">
        <w:rPr>
          <w:rFonts w:ascii="Arial" w:eastAsia="Calibri" w:hAnsi="Arial" w:cs="Arial"/>
          <w:sz w:val="24"/>
          <w:szCs w:val="24"/>
        </w:rPr>
        <w:t xml:space="preserve"> with th</w:t>
      </w:r>
      <w:r w:rsidRPr="00AA6950">
        <w:rPr>
          <w:rFonts w:ascii="Arial" w:eastAsia="Calibri" w:hAnsi="Arial" w:cs="Arial"/>
          <w:sz w:val="24"/>
          <w:szCs w:val="24"/>
        </w:rPr>
        <w:t>e legal prescripts excluded itself from contesting the election.</w:t>
      </w:r>
      <w:r w:rsidR="000C7284" w:rsidRPr="00AA6950">
        <w:rPr>
          <w:rFonts w:ascii="Arial" w:eastAsia="Calibri" w:hAnsi="Arial" w:cs="Arial"/>
          <w:sz w:val="24"/>
          <w:szCs w:val="24"/>
        </w:rPr>
        <w:t xml:space="preserve"> </w:t>
      </w:r>
      <w:r w:rsidR="00F4465A">
        <w:rPr>
          <w:rFonts w:ascii="Arial" w:eastAsia="Calibri" w:hAnsi="Arial" w:cs="Arial"/>
          <w:sz w:val="24"/>
          <w:szCs w:val="24"/>
        </w:rPr>
        <w:t xml:space="preserve">The </w:t>
      </w:r>
      <w:r w:rsidR="000C7284" w:rsidRPr="00AA6950">
        <w:rPr>
          <w:rFonts w:ascii="Arial" w:eastAsia="Calibri" w:hAnsi="Arial" w:cs="Arial"/>
          <w:sz w:val="24"/>
          <w:szCs w:val="24"/>
        </w:rPr>
        <w:t xml:space="preserve">AEF </w:t>
      </w:r>
      <w:r w:rsidR="00511467">
        <w:rPr>
          <w:rFonts w:ascii="Arial" w:eastAsia="Calibri" w:hAnsi="Arial" w:cs="Arial"/>
          <w:sz w:val="24"/>
          <w:szCs w:val="24"/>
        </w:rPr>
        <w:t>failed to</w:t>
      </w:r>
      <w:r w:rsidR="000C7284" w:rsidRPr="00AA6950">
        <w:rPr>
          <w:rFonts w:ascii="Arial" w:eastAsia="Calibri" w:hAnsi="Arial" w:cs="Arial"/>
          <w:sz w:val="24"/>
          <w:szCs w:val="24"/>
        </w:rPr>
        <w:t xml:space="preserve"> make out a case entitling </w:t>
      </w:r>
      <w:r w:rsidR="00F4465A">
        <w:rPr>
          <w:rFonts w:ascii="Arial" w:eastAsia="Calibri" w:hAnsi="Arial" w:cs="Arial"/>
          <w:sz w:val="24"/>
          <w:szCs w:val="24"/>
        </w:rPr>
        <w:t>it</w:t>
      </w:r>
      <w:r w:rsidR="000C7284" w:rsidRPr="00AA6950">
        <w:rPr>
          <w:rFonts w:ascii="Arial" w:eastAsia="Calibri" w:hAnsi="Arial" w:cs="Arial"/>
          <w:sz w:val="24"/>
          <w:szCs w:val="24"/>
        </w:rPr>
        <w:t xml:space="preserve"> to </w:t>
      </w:r>
      <w:r w:rsidR="007C5CA5" w:rsidRPr="00AA6950">
        <w:rPr>
          <w:rFonts w:ascii="Arial" w:eastAsia="Calibri" w:hAnsi="Arial" w:cs="Arial"/>
          <w:sz w:val="24"/>
          <w:szCs w:val="24"/>
        </w:rPr>
        <w:t>any of the</w:t>
      </w:r>
      <w:r w:rsidR="000C7284" w:rsidRPr="00AA6950">
        <w:rPr>
          <w:rFonts w:ascii="Arial" w:eastAsia="Calibri" w:hAnsi="Arial" w:cs="Arial"/>
          <w:sz w:val="24"/>
          <w:szCs w:val="24"/>
        </w:rPr>
        <w:t xml:space="preserve"> relief sought.</w:t>
      </w:r>
    </w:p>
    <w:p w14:paraId="347547F6" w14:textId="77777777" w:rsidR="00AA6950" w:rsidRPr="00AA6950" w:rsidRDefault="00AA6950" w:rsidP="00AA6950">
      <w:pPr>
        <w:widowControl w:val="0"/>
        <w:spacing w:after="0" w:line="360" w:lineRule="auto"/>
        <w:contextualSpacing/>
        <w:jc w:val="both"/>
        <w:rPr>
          <w:rFonts w:ascii="Arial" w:eastAsia="Calibri" w:hAnsi="Arial" w:cs="Arial"/>
          <w:sz w:val="24"/>
          <w:szCs w:val="24"/>
        </w:rPr>
      </w:pPr>
    </w:p>
    <w:p w14:paraId="04CDA019" w14:textId="77777777" w:rsidR="00D44BBE" w:rsidRPr="00AA6950" w:rsidRDefault="00AA09D1" w:rsidP="00AA6950">
      <w:pPr>
        <w:widowControl w:val="0"/>
        <w:spacing w:after="0" w:line="360" w:lineRule="auto"/>
        <w:contextualSpacing/>
        <w:jc w:val="both"/>
        <w:rPr>
          <w:rFonts w:ascii="Arial" w:eastAsia="Calibri" w:hAnsi="Arial" w:cs="Arial"/>
          <w:b/>
          <w:sz w:val="24"/>
          <w:szCs w:val="24"/>
        </w:rPr>
      </w:pPr>
      <w:r w:rsidRPr="00AA6950">
        <w:rPr>
          <w:rFonts w:ascii="Arial" w:eastAsia="Calibri" w:hAnsi="Arial" w:cs="Arial"/>
          <w:b/>
          <w:sz w:val="24"/>
          <w:szCs w:val="24"/>
        </w:rPr>
        <w:t>Costs</w:t>
      </w:r>
    </w:p>
    <w:p w14:paraId="059F18B1" w14:textId="331C97DC" w:rsidR="00AA6950" w:rsidRDefault="00AA6950" w:rsidP="004446DF">
      <w:pPr>
        <w:widowControl w:val="0"/>
        <w:spacing w:after="0" w:line="360" w:lineRule="auto"/>
        <w:contextualSpacing/>
        <w:jc w:val="both"/>
        <w:rPr>
          <w:rFonts w:ascii="Arial" w:eastAsia="Calibri" w:hAnsi="Arial" w:cs="Arial"/>
          <w:sz w:val="24"/>
          <w:szCs w:val="24"/>
        </w:rPr>
      </w:pPr>
      <w:r>
        <w:rPr>
          <w:rFonts w:ascii="Arial" w:eastAsia="Calibri" w:hAnsi="Arial" w:cs="Arial"/>
          <w:sz w:val="24"/>
          <w:szCs w:val="24"/>
        </w:rPr>
        <w:t>[</w:t>
      </w:r>
      <w:r w:rsidR="004446DF">
        <w:rPr>
          <w:rFonts w:ascii="Arial" w:eastAsia="Calibri" w:hAnsi="Arial" w:cs="Arial"/>
          <w:sz w:val="24"/>
          <w:szCs w:val="24"/>
        </w:rPr>
        <w:t>25</w:t>
      </w:r>
      <w:r>
        <w:rPr>
          <w:rFonts w:ascii="Arial" w:eastAsia="Calibri" w:hAnsi="Arial" w:cs="Arial"/>
          <w:sz w:val="24"/>
          <w:szCs w:val="24"/>
        </w:rPr>
        <w:t>]</w:t>
      </w:r>
      <w:r>
        <w:rPr>
          <w:rFonts w:ascii="Arial" w:eastAsia="Calibri" w:hAnsi="Arial" w:cs="Arial"/>
          <w:sz w:val="24"/>
          <w:szCs w:val="24"/>
        </w:rPr>
        <w:tab/>
      </w:r>
      <w:r w:rsidR="004E04CE" w:rsidRPr="002613BD">
        <w:rPr>
          <w:rFonts w:ascii="Arial" w:eastAsia="Calibri" w:hAnsi="Arial" w:cs="Arial"/>
          <w:sz w:val="24"/>
          <w:szCs w:val="24"/>
        </w:rPr>
        <w:t>T</w:t>
      </w:r>
      <w:r w:rsidR="00ED6753" w:rsidRPr="002613BD">
        <w:rPr>
          <w:rFonts w:ascii="Arial" w:eastAsia="Calibri" w:hAnsi="Arial" w:cs="Arial"/>
          <w:sz w:val="24"/>
          <w:szCs w:val="24"/>
        </w:rPr>
        <w:t xml:space="preserve">he practice in this </w:t>
      </w:r>
      <w:r w:rsidR="000E712F" w:rsidRPr="002613BD">
        <w:rPr>
          <w:rFonts w:ascii="Arial" w:eastAsia="Calibri" w:hAnsi="Arial" w:cs="Arial"/>
          <w:sz w:val="24"/>
          <w:szCs w:val="24"/>
        </w:rPr>
        <w:t>C</w:t>
      </w:r>
      <w:r w:rsidR="00ED6753" w:rsidRPr="002613BD">
        <w:rPr>
          <w:rFonts w:ascii="Arial" w:eastAsia="Calibri" w:hAnsi="Arial" w:cs="Arial"/>
          <w:sz w:val="24"/>
          <w:szCs w:val="24"/>
        </w:rPr>
        <w:t>ourt</w:t>
      </w:r>
      <w:r w:rsidR="000E712F" w:rsidRPr="002613BD">
        <w:rPr>
          <w:rFonts w:ascii="Arial" w:eastAsia="Calibri" w:hAnsi="Arial" w:cs="Arial"/>
          <w:sz w:val="24"/>
          <w:szCs w:val="24"/>
        </w:rPr>
        <w:t xml:space="preserve"> is </w:t>
      </w:r>
      <w:r w:rsidR="00A90506" w:rsidRPr="002613BD">
        <w:rPr>
          <w:rFonts w:ascii="Arial" w:eastAsia="Calibri" w:hAnsi="Arial" w:cs="Arial"/>
          <w:sz w:val="24"/>
          <w:szCs w:val="24"/>
        </w:rPr>
        <w:t xml:space="preserve">that </w:t>
      </w:r>
      <w:r w:rsidR="000E712F" w:rsidRPr="002613BD">
        <w:rPr>
          <w:rFonts w:ascii="Arial" w:eastAsia="Calibri" w:hAnsi="Arial" w:cs="Arial"/>
          <w:sz w:val="24"/>
          <w:szCs w:val="24"/>
        </w:rPr>
        <w:t xml:space="preserve">in general </w:t>
      </w:r>
      <w:r w:rsidR="00ED6753" w:rsidRPr="002613BD">
        <w:rPr>
          <w:rFonts w:ascii="Arial" w:eastAsia="Calibri" w:hAnsi="Arial" w:cs="Arial"/>
          <w:sz w:val="24"/>
          <w:szCs w:val="24"/>
        </w:rPr>
        <w:t xml:space="preserve">an unsuccessful party </w:t>
      </w:r>
      <w:r w:rsidR="00A90506" w:rsidRPr="002613BD">
        <w:rPr>
          <w:rFonts w:ascii="Arial" w:eastAsia="Calibri" w:hAnsi="Arial" w:cs="Arial"/>
          <w:sz w:val="24"/>
          <w:szCs w:val="24"/>
        </w:rPr>
        <w:t>is</w:t>
      </w:r>
      <w:r w:rsidR="000E712F" w:rsidRPr="002613BD">
        <w:rPr>
          <w:rFonts w:ascii="Arial" w:eastAsia="Calibri" w:hAnsi="Arial" w:cs="Arial"/>
          <w:sz w:val="24"/>
          <w:szCs w:val="24"/>
        </w:rPr>
        <w:t xml:space="preserve"> not </w:t>
      </w:r>
      <w:r w:rsidR="00A90506" w:rsidRPr="002613BD">
        <w:rPr>
          <w:rFonts w:ascii="Arial" w:eastAsia="Calibri" w:hAnsi="Arial" w:cs="Arial"/>
          <w:sz w:val="24"/>
          <w:szCs w:val="24"/>
        </w:rPr>
        <w:t xml:space="preserve">ordered to </w:t>
      </w:r>
      <w:r w:rsidR="00ED6753" w:rsidRPr="002613BD">
        <w:rPr>
          <w:rFonts w:ascii="Arial" w:eastAsia="Calibri" w:hAnsi="Arial" w:cs="Arial"/>
          <w:sz w:val="24"/>
          <w:szCs w:val="24"/>
        </w:rPr>
        <w:t>pay the costs of the successful party, unless the application is frivolous and vexatious. There is no basis to deviate from the established practice in this case.</w:t>
      </w:r>
    </w:p>
    <w:p w14:paraId="68E1B929" w14:textId="77777777" w:rsidR="00DB14F9" w:rsidRPr="00DB14F9" w:rsidRDefault="00DB14F9" w:rsidP="00DB14F9">
      <w:pPr>
        <w:widowControl w:val="0"/>
        <w:spacing w:after="0" w:line="360" w:lineRule="auto"/>
        <w:contextualSpacing/>
        <w:jc w:val="both"/>
        <w:rPr>
          <w:rFonts w:ascii="Arial" w:eastAsia="Calibri" w:hAnsi="Arial" w:cs="Arial"/>
          <w:sz w:val="24"/>
          <w:szCs w:val="24"/>
        </w:rPr>
      </w:pPr>
    </w:p>
    <w:p w14:paraId="242B8588" w14:textId="77777777" w:rsidR="00E86870" w:rsidRPr="00BA65F3" w:rsidRDefault="00E86870" w:rsidP="00E86870">
      <w:pPr>
        <w:rPr>
          <w:rFonts w:ascii="Arial" w:hAnsi="Arial" w:cs="Arial"/>
          <w:sz w:val="24"/>
          <w:szCs w:val="24"/>
        </w:rPr>
      </w:pPr>
      <w:r>
        <w:rPr>
          <w:rFonts w:ascii="Arial" w:hAnsi="Arial" w:cs="Arial"/>
          <w:b/>
          <w:sz w:val="24"/>
          <w:szCs w:val="24"/>
        </w:rPr>
        <w:t>Order</w:t>
      </w:r>
    </w:p>
    <w:p w14:paraId="34AE7E76" w14:textId="6D0AEB90" w:rsidR="00E86870" w:rsidRDefault="00E86870" w:rsidP="004446DF">
      <w:pPr>
        <w:spacing w:line="360" w:lineRule="auto"/>
        <w:jc w:val="both"/>
        <w:rPr>
          <w:rFonts w:ascii="Arial" w:hAnsi="Arial" w:cs="Arial"/>
          <w:sz w:val="24"/>
          <w:szCs w:val="24"/>
        </w:rPr>
      </w:pPr>
      <w:r>
        <w:rPr>
          <w:rFonts w:ascii="Arial" w:hAnsi="Arial" w:cs="Arial"/>
          <w:sz w:val="24"/>
          <w:szCs w:val="24"/>
        </w:rPr>
        <w:t>[2</w:t>
      </w:r>
      <w:r w:rsidR="004446DF">
        <w:rPr>
          <w:rFonts w:ascii="Arial" w:hAnsi="Arial" w:cs="Arial"/>
          <w:sz w:val="24"/>
          <w:szCs w:val="24"/>
        </w:rPr>
        <w:t>6</w:t>
      </w:r>
      <w:r>
        <w:rPr>
          <w:rFonts w:ascii="Arial" w:hAnsi="Arial" w:cs="Arial"/>
          <w:sz w:val="24"/>
          <w:szCs w:val="24"/>
        </w:rPr>
        <w:t>]</w:t>
      </w:r>
      <w:r>
        <w:rPr>
          <w:rFonts w:ascii="Arial" w:hAnsi="Arial" w:cs="Arial"/>
          <w:b/>
          <w:sz w:val="24"/>
          <w:szCs w:val="24"/>
        </w:rPr>
        <w:tab/>
      </w:r>
      <w:r>
        <w:rPr>
          <w:rFonts w:ascii="Arial" w:hAnsi="Arial" w:cs="Arial"/>
          <w:sz w:val="24"/>
          <w:szCs w:val="24"/>
        </w:rPr>
        <w:t>In the result and for these reasons, on 10 May 2024, the following order was issued:</w:t>
      </w:r>
    </w:p>
    <w:p w14:paraId="2536365B" w14:textId="6118D8A5" w:rsidR="00E86870" w:rsidRDefault="004446DF" w:rsidP="00E86870">
      <w:pPr>
        <w:rPr>
          <w:rFonts w:ascii="Arial" w:hAnsi="Arial" w:cs="Arial"/>
          <w:sz w:val="24"/>
          <w:szCs w:val="24"/>
        </w:rPr>
      </w:pPr>
      <w:r>
        <w:rPr>
          <w:rFonts w:ascii="Arial" w:hAnsi="Arial" w:cs="Arial"/>
          <w:sz w:val="24"/>
          <w:szCs w:val="24"/>
        </w:rPr>
        <w:t>‘</w:t>
      </w:r>
      <w:r w:rsidR="00E86870">
        <w:rPr>
          <w:rFonts w:ascii="Arial" w:hAnsi="Arial" w:cs="Arial"/>
          <w:sz w:val="24"/>
          <w:szCs w:val="24"/>
        </w:rPr>
        <w:t>The application is dismissed with no order as to costs.</w:t>
      </w:r>
      <w:r>
        <w:rPr>
          <w:rFonts w:ascii="Arial" w:hAnsi="Arial" w:cs="Arial"/>
          <w:sz w:val="24"/>
          <w:szCs w:val="24"/>
        </w:rPr>
        <w:t>’</w:t>
      </w:r>
    </w:p>
    <w:p w14:paraId="6CEB4187" w14:textId="58DCD7ED" w:rsidR="00F4465A" w:rsidRDefault="00F4465A" w:rsidP="004446DF">
      <w:pPr>
        <w:widowControl w:val="0"/>
        <w:spacing w:after="0" w:line="360" w:lineRule="auto"/>
        <w:contextualSpacing/>
        <w:rPr>
          <w:rFonts w:ascii="Arial" w:eastAsia="Calibri" w:hAnsi="Arial" w:cs="Arial"/>
          <w:b/>
          <w:sz w:val="24"/>
          <w:szCs w:val="24"/>
        </w:rPr>
      </w:pPr>
    </w:p>
    <w:p w14:paraId="18347712" w14:textId="06D840C8" w:rsidR="00625A8D" w:rsidRDefault="00F07598" w:rsidP="00A72828">
      <w:pPr>
        <w:widowControl w:val="0"/>
        <w:tabs>
          <w:tab w:val="left" w:pos="720"/>
          <w:tab w:val="left" w:pos="1440"/>
          <w:tab w:val="left" w:pos="2160"/>
          <w:tab w:val="left" w:pos="2880"/>
          <w:tab w:val="left" w:pos="3600"/>
          <w:tab w:val="left" w:pos="4320"/>
          <w:tab w:val="left" w:pos="5040"/>
          <w:tab w:val="left" w:pos="5760"/>
          <w:tab w:val="left" w:pos="7100"/>
        </w:tabs>
        <w:spacing w:after="0" w:line="360" w:lineRule="auto"/>
        <w:contextualSpacing/>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A72828">
        <w:rPr>
          <w:rFonts w:ascii="Arial" w:eastAsia="Calibri" w:hAnsi="Arial" w:cs="Arial"/>
          <w:b/>
          <w:sz w:val="24"/>
          <w:szCs w:val="24"/>
        </w:rPr>
        <w:tab/>
      </w:r>
    </w:p>
    <w:p w14:paraId="171F4054" w14:textId="441DA22D" w:rsidR="00F4465A" w:rsidRPr="007C3DAF" w:rsidRDefault="007C3DAF" w:rsidP="00F67282">
      <w:pPr>
        <w:widowControl w:val="0"/>
        <w:spacing w:after="0" w:line="360" w:lineRule="auto"/>
        <w:contextualSpacing/>
        <w:jc w:val="right"/>
        <w:rPr>
          <w:rFonts w:ascii="Arial" w:eastAsia="Calibri" w:hAnsi="Arial" w:cs="Arial"/>
          <w:sz w:val="24"/>
          <w:szCs w:val="24"/>
        </w:rPr>
      </w:pPr>
      <w:r>
        <w:rPr>
          <w:rFonts w:ascii="Arial" w:eastAsia="Calibri" w:hAnsi="Arial" w:cs="Arial"/>
          <w:sz w:val="24"/>
          <w:szCs w:val="24"/>
        </w:rPr>
        <w:t>_____________________________</w:t>
      </w:r>
    </w:p>
    <w:p w14:paraId="0F6B1717" w14:textId="24135BDA" w:rsidR="00F67282" w:rsidRDefault="007C3DAF" w:rsidP="007C3DAF">
      <w:pPr>
        <w:widowControl w:val="0"/>
        <w:spacing w:after="0" w:line="360" w:lineRule="auto"/>
        <w:ind w:left="7200" w:firstLine="720"/>
        <w:contextualSpacing/>
        <w:jc w:val="center"/>
        <w:rPr>
          <w:rFonts w:ascii="Arial" w:eastAsia="Calibri" w:hAnsi="Arial" w:cs="Arial"/>
          <w:b/>
          <w:sz w:val="24"/>
          <w:szCs w:val="24"/>
        </w:rPr>
      </w:pPr>
      <w:r>
        <w:rPr>
          <w:rFonts w:ascii="Arial" w:eastAsia="Calibri" w:hAnsi="Arial" w:cs="Arial"/>
          <w:b/>
          <w:sz w:val="24"/>
          <w:szCs w:val="24"/>
        </w:rPr>
        <w:t xml:space="preserve">EJS </w:t>
      </w:r>
      <w:r w:rsidR="00F67282" w:rsidRPr="00F67282">
        <w:rPr>
          <w:rFonts w:ascii="Arial" w:eastAsia="Calibri" w:hAnsi="Arial" w:cs="Arial"/>
          <w:b/>
          <w:sz w:val="24"/>
          <w:szCs w:val="24"/>
        </w:rPr>
        <w:t>STEYN</w:t>
      </w:r>
    </w:p>
    <w:p w14:paraId="15B782A7" w14:textId="0A1D287A" w:rsidR="007C3DAF" w:rsidRPr="007C3DAF" w:rsidRDefault="007C3DAF" w:rsidP="007C3DAF">
      <w:pPr>
        <w:widowControl w:val="0"/>
        <w:spacing w:after="0" w:line="360" w:lineRule="auto"/>
        <w:ind w:left="5040"/>
        <w:contextualSpacing/>
        <w:rPr>
          <w:rFonts w:ascii="Arial" w:eastAsia="Calibri" w:hAnsi="Arial" w:cs="Arial"/>
          <w:sz w:val="24"/>
          <w:szCs w:val="24"/>
        </w:rPr>
      </w:pPr>
      <w:r>
        <w:rPr>
          <w:rFonts w:ascii="Arial" w:eastAsia="Calibri" w:hAnsi="Arial" w:cs="Arial"/>
          <w:sz w:val="24"/>
          <w:szCs w:val="24"/>
        </w:rPr>
        <w:t xml:space="preserve">         Acting Judge of the Electoral Court</w:t>
      </w:r>
    </w:p>
    <w:p w14:paraId="780843D4" w14:textId="5E37C690" w:rsidR="00174073" w:rsidRDefault="00174073" w:rsidP="00AA6950">
      <w:pPr>
        <w:spacing w:after="0" w:line="360" w:lineRule="auto"/>
        <w:ind w:left="207" w:hanging="207"/>
        <w:contextualSpacing/>
        <w:jc w:val="both"/>
        <w:rPr>
          <w:rFonts w:ascii="Arial" w:eastAsia="Times New Roman" w:hAnsi="Arial" w:cs="Arial"/>
          <w:sz w:val="24"/>
          <w:szCs w:val="24"/>
          <w:lang w:val="en-ZA"/>
        </w:rPr>
      </w:pPr>
    </w:p>
    <w:p w14:paraId="1CC9588F" w14:textId="175927F6"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525ED89D" w14:textId="7BE303C6"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4F14C0A9" w14:textId="7E7B1C0D"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53F0236B" w14:textId="0789F8BA"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531799E3" w14:textId="092210AB"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7AE63859" w14:textId="33EC3B26"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08A60117" w14:textId="0E75E5F2"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5C031E59" w14:textId="65324D70"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55D1A0C5" w14:textId="3AF656F3"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17727083" w14:textId="77777777" w:rsidR="008C0A98" w:rsidRDefault="008C0A98" w:rsidP="00AA6950">
      <w:pPr>
        <w:spacing w:after="0" w:line="360" w:lineRule="auto"/>
        <w:ind w:left="207" w:hanging="207"/>
        <w:contextualSpacing/>
        <w:jc w:val="both"/>
        <w:rPr>
          <w:rFonts w:ascii="Arial" w:eastAsia="Times New Roman" w:hAnsi="Arial" w:cs="Arial"/>
          <w:sz w:val="24"/>
          <w:szCs w:val="24"/>
          <w:lang w:val="en-ZA"/>
        </w:rPr>
      </w:pPr>
    </w:p>
    <w:p w14:paraId="6C134325" w14:textId="77777777" w:rsidR="00174073" w:rsidRDefault="00174073" w:rsidP="00AA6950">
      <w:pPr>
        <w:spacing w:after="0" w:line="360" w:lineRule="auto"/>
        <w:ind w:left="207" w:hanging="207"/>
        <w:contextualSpacing/>
        <w:jc w:val="both"/>
        <w:rPr>
          <w:rFonts w:ascii="Arial" w:eastAsia="Times New Roman" w:hAnsi="Arial" w:cs="Arial"/>
          <w:sz w:val="24"/>
          <w:szCs w:val="24"/>
          <w:lang w:val="en-ZA"/>
        </w:rPr>
      </w:pPr>
    </w:p>
    <w:p w14:paraId="34E5A7A5" w14:textId="24A1BE6E" w:rsidR="00AA6950" w:rsidRPr="00320969" w:rsidRDefault="00AA6950" w:rsidP="00AA6950">
      <w:pPr>
        <w:spacing w:after="0" w:line="360" w:lineRule="auto"/>
        <w:ind w:left="207" w:hanging="207"/>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Appearances</w:t>
      </w:r>
    </w:p>
    <w:p w14:paraId="695D455F" w14:textId="77777777" w:rsidR="00AA6950" w:rsidRPr="00320969" w:rsidRDefault="00AA6950" w:rsidP="00AA6950">
      <w:pPr>
        <w:spacing w:after="0" w:line="360" w:lineRule="auto"/>
        <w:ind w:left="207" w:hanging="567"/>
        <w:contextualSpacing/>
        <w:jc w:val="both"/>
        <w:rPr>
          <w:rFonts w:ascii="Arial" w:eastAsia="Times New Roman" w:hAnsi="Arial" w:cs="Arial"/>
          <w:sz w:val="24"/>
          <w:szCs w:val="24"/>
          <w:lang w:val="en-ZA"/>
        </w:rPr>
      </w:pPr>
      <w:r>
        <w:rPr>
          <w:rFonts w:ascii="Arial" w:eastAsia="Times New Roman" w:hAnsi="Arial" w:cs="Arial"/>
          <w:sz w:val="24"/>
          <w:szCs w:val="24"/>
          <w:lang w:val="en-ZA"/>
        </w:rPr>
        <w:tab/>
      </w:r>
    </w:p>
    <w:p w14:paraId="3A3B44F3" w14:textId="63C5F208" w:rsidR="00AA6950" w:rsidRPr="00320969" w:rsidRDefault="00AA6950" w:rsidP="00AA6950">
      <w:pPr>
        <w:spacing w:after="0" w:line="360" w:lineRule="auto"/>
        <w:ind w:left="207" w:hanging="207"/>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 xml:space="preserve">Counsel for the </w:t>
      </w:r>
      <w:r w:rsidR="009630A7">
        <w:rPr>
          <w:rFonts w:ascii="Arial" w:eastAsia="Times New Roman" w:hAnsi="Arial" w:cs="Arial"/>
          <w:sz w:val="24"/>
          <w:szCs w:val="24"/>
          <w:lang w:val="en-ZA"/>
        </w:rPr>
        <w:t>a</w:t>
      </w:r>
      <w:r>
        <w:rPr>
          <w:rFonts w:ascii="Arial" w:eastAsia="Times New Roman" w:hAnsi="Arial" w:cs="Arial"/>
          <w:sz w:val="24"/>
          <w:szCs w:val="24"/>
          <w:lang w:val="en-ZA"/>
        </w:rPr>
        <w:t>pplicant</w:t>
      </w:r>
      <w:r w:rsidRPr="00320969">
        <w:rPr>
          <w:rFonts w:ascii="Arial" w:eastAsia="Times New Roman" w:hAnsi="Arial" w:cs="Arial"/>
          <w:sz w:val="24"/>
          <w:szCs w:val="24"/>
          <w:lang w:val="en-ZA"/>
        </w:rPr>
        <w:tab/>
        <w:t>:</w:t>
      </w:r>
      <w:r>
        <w:rPr>
          <w:rFonts w:ascii="Arial" w:eastAsia="Times New Roman" w:hAnsi="Arial" w:cs="Arial"/>
          <w:sz w:val="24"/>
          <w:szCs w:val="24"/>
          <w:lang w:val="en-ZA"/>
        </w:rPr>
        <w:tab/>
        <w:t>K N</w:t>
      </w:r>
      <w:r w:rsidR="00CA4F83">
        <w:rPr>
          <w:rFonts w:ascii="Arial" w:eastAsia="Times New Roman" w:hAnsi="Arial" w:cs="Arial"/>
          <w:sz w:val="24"/>
          <w:szCs w:val="24"/>
          <w:lang w:val="en-ZA"/>
        </w:rPr>
        <w:t>hlapo</w:t>
      </w:r>
      <w:r>
        <w:rPr>
          <w:rFonts w:ascii="Arial" w:eastAsia="Times New Roman" w:hAnsi="Arial" w:cs="Arial"/>
          <w:sz w:val="24"/>
          <w:szCs w:val="24"/>
          <w:lang w:val="en-ZA"/>
        </w:rPr>
        <w:t>-M</w:t>
      </w:r>
      <w:r w:rsidR="00CA4F83">
        <w:rPr>
          <w:rFonts w:ascii="Arial" w:eastAsia="Times New Roman" w:hAnsi="Arial" w:cs="Arial"/>
          <w:sz w:val="24"/>
          <w:szCs w:val="24"/>
          <w:lang w:val="en-ZA"/>
        </w:rPr>
        <w:t>erabe</w:t>
      </w:r>
      <w:r w:rsidR="00CA4F83">
        <w:rPr>
          <w:rFonts w:ascii="Arial" w:eastAsia="Times New Roman" w:hAnsi="Arial" w:cs="Arial"/>
          <w:sz w:val="24"/>
          <w:szCs w:val="24"/>
          <w:lang w:val="en-ZA"/>
        </w:rPr>
        <w:tab/>
      </w:r>
    </w:p>
    <w:p w14:paraId="0ED0E649" w14:textId="77777777" w:rsidR="00AA6950" w:rsidRPr="00320969" w:rsidRDefault="00AA6950" w:rsidP="00AA6950">
      <w:pPr>
        <w:spacing w:after="0" w:line="360" w:lineRule="auto"/>
        <w:ind w:left="207" w:hanging="567"/>
        <w:contextualSpacing/>
        <w:jc w:val="both"/>
        <w:rPr>
          <w:rFonts w:ascii="Arial" w:eastAsia="Times New Roman" w:hAnsi="Arial" w:cs="Arial"/>
          <w:sz w:val="24"/>
          <w:szCs w:val="24"/>
          <w:lang w:val="en-ZA"/>
        </w:rPr>
      </w:pPr>
    </w:p>
    <w:p w14:paraId="7F1F4759" w14:textId="38896AE3" w:rsidR="00AA6950" w:rsidRPr="00320969" w:rsidRDefault="00AA6950" w:rsidP="00AA6950">
      <w:pPr>
        <w:spacing w:after="0" w:line="360" w:lineRule="auto"/>
        <w:contextualSpacing/>
        <w:jc w:val="both"/>
        <w:rPr>
          <w:rFonts w:ascii="Arial" w:eastAsia="Times New Roman" w:hAnsi="Arial" w:cs="Arial"/>
          <w:sz w:val="24"/>
          <w:szCs w:val="24"/>
          <w:lang w:val="en-ZA"/>
        </w:rPr>
      </w:pPr>
      <w:bookmarkStart w:id="4" w:name="_Hlk136351949"/>
      <w:r w:rsidRPr="00320969">
        <w:rPr>
          <w:rFonts w:ascii="Arial" w:eastAsia="Times New Roman" w:hAnsi="Arial" w:cs="Arial"/>
          <w:sz w:val="24"/>
          <w:szCs w:val="24"/>
          <w:lang w:val="en-ZA"/>
        </w:rPr>
        <w:t>Instructed by</w:t>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t>:</w:t>
      </w:r>
      <w:r w:rsidRPr="00320969">
        <w:rPr>
          <w:rFonts w:ascii="Arial" w:eastAsia="Times New Roman" w:hAnsi="Arial" w:cs="Arial"/>
          <w:sz w:val="24"/>
          <w:szCs w:val="24"/>
          <w:lang w:val="en-ZA"/>
        </w:rPr>
        <w:tab/>
      </w:r>
      <w:r>
        <w:rPr>
          <w:rFonts w:ascii="Arial" w:eastAsia="Times New Roman" w:hAnsi="Arial" w:cs="Arial"/>
          <w:sz w:val="24"/>
          <w:szCs w:val="24"/>
          <w:lang w:val="en-ZA"/>
        </w:rPr>
        <w:t>M</w:t>
      </w:r>
      <w:r w:rsidR="00CA4F83">
        <w:rPr>
          <w:rFonts w:ascii="Arial" w:eastAsia="Times New Roman" w:hAnsi="Arial" w:cs="Arial"/>
          <w:sz w:val="24"/>
          <w:szCs w:val="24"/>
          <w:lang w:val="en-ZA"/>
        </w:rPr>
        <w:t>panza Attorneys</w:t>
      </w:r>
      <w:r w:rsidR="00174073">
        <w:rPr>
          <w:rFonts w:ascii="Arial" w:eastAsia="Times New Roman" w:hAnsi="Arial" w:cs="Arial"/>
          <w:sz w:val="24"/>
          <w:szCs w:val="24"/>
          <w:lang w:val="en-ZA"/>
        </w:rPr>
        <w:t>, Durban</w:t>
      </w:r>
    </w:p>
    <w:p w14:paraId="6E011073" w14:textId="3C645EBE" w:rsidR="00AA6950" w:rsidRPr="00320969" w:rsidRDefault="00AA6950" w:rsidP="00AA6950">
      <w:pPr>
        <w:spacing w:after="0" w:line="360" w:lineRule="auto"/>
        <w:ind w:left="-360"/>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p>
    <w:p w14:paraId="39E0F401" w14:textId="77777777" w:rsidR="00AA6950" w:rsidRPr="00320969" w:rsidRDefault="00AA6950" w:rsidP="00AA6950">
      <w:pPr>
        <w:widowControl w:val="0"/>
        <w:spacing w:after="0" w:line="360" w:lineRule="auto"/>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p>
    <w:p w14:paraId="05FD9752" w14:textId="77777777" w:rsidR="00AA6950" w:rsidRPr="00320969" w:rsidRDefault="00AA6950" w:rsidP="00AA6950">
      <w:pPr>
        <w:widowControl w:val="0"/>
        <w:spacing w:after="0" w:line="360" w:lineRule="auto"/>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r>
      <w:r w:rsidRPr="00320969">
        <w:rPr>
          <w:rFonts w:ascii="Arial" w:eastAsia="Times New Roman" w:hAnsi="Arial" w:cs="Arial"/>
          <w:sz w:val="24"/>
          <w:szCs w:val="24"/>
          <w:lang w:val="en-ZA"/>
        </w:rPr>
        <w:tab/>
        <w:t xml:space="preserve"> </w:t>
      </w:r>
    </w:p>
    <w:bookmarkEnd w:id="4"/>
    <w:p w14:paraId="6CA2C6CE" w14:textId="6B3EC68E" w:rsidR="00AA6950" w:rsidRPr="00320969" w:rsidRDefault="00AA6950" w:rsidP="00AA6950">
      <w:pPr>
        <w:spacing w:after="0" w:line="360" w:lineRule="auto"/>
        <w:contextualSpacing/>
        <w:jc w:val="both"/>
        <w:rPr>
          <w:rFonts w:ascii="Arial" w:eastAsia="Times New Roman" w:hAnsi="Arial" w:cs="Arial"/>
          <w:sz w:val="24"/>
          <w:szCs w:val="24"/>
          <w:lang w:val="en-ZA"/>
        </w:rPr>
      </w:pPr>
      <w:r w:rsidRPr="00320969">
        <w:rPr>
          <w:rFonts w:ascii="Arial" w:eastAsia="Times New Roman" w:hAnsi="Arial" w:cs="Arial"/>
          <w:sz w:val="24"/>
          <w:szCs w:val="24"/>
          <w:lang w:val="en-ZA"/>
        </w:rPr>
        <w:t xml:space="preserve">Counsel for the </w:t>
      </w:r>
      <w:r w:rsidR="009630A7">
        <w:rPr>
          <w:rFonts w:ascii="Arial" w:eastAsia="Times New Roman" w:hAnsi="Arial" w:cs="Arial"/>
          <w:sz w:val="24"/>
          <w:szCs w:val="24"/>
          <w:lang w:val="en-ZA"/>
        </w:rPr>
        <w:t>r</w:t>
      </w:r>
      <w:r>
        <w:rPr>
          <w:rFonts w:ascii="Arial" w:eastAsia="Times New Roman" w:hAnsi="Arial" w:cs="Arial"/>
          <w:sz w:val="24"/>
          <w:szCs w:val="24"/>
          <w:lang w:val="en-ZA"/>
        </w:rPr>
        <w:t>espondent</w:t>
      </w:r>
      <w:r w:rsidRPr="00320969">
        <w:rPr>
          <w:rFonts w:ascii="Arial" w:eastAsia="Times New Roman" w:hAnsi="Arial" w:cs="Arial"/>
          <w:sz w:val="24"/>
          <w:szCs w:val="24"/>
          <w:lang w:val="en-ZA"/>
        </w:rPr>
        <w:t xml:space="preserve">: </w:t>
      </w:r>
      <w:r w:rsidRPr="00320969">
        <w:rPr>
          <w:rFonts w:ascii="Arial" w:eastAsia="Times New Roman" w:hAnsi="Arial" w:cs="Arial"/>
          <w:sz w:val="24"/>
          <w:szCs w:val="24"/>
          <w:lang w:val="en-ZA"/>
        </w:rPr>
        <w:tab/>
        <w:t>M</w:t>
      </w:r>
      <w:r>
        <w:rPr>
          <w:rFonts w:ascii="Arial" w:eastAsia="Times New Roman" w:hAnsi="Arial" w:cs="Arial"/>
          <w:sz w:val="24"/>
          <w:szCs w:val="24"/>
          <w:lang w:val="en-ZA"/>
        </w:rPr>
        <w:t xml:space="preserve"> D</w:t>
      </w:r>
      <w:r w:rsidR="00CA4F83">
        <w:rPr>
          <w:rFonts w:ascii="Arial" w:eastAsia="Times New Roman" w:hAnsi="Arial" w:cs="Arial"/>
          <w:sz w:val="24"/>
          <w:szCs w:val="24"/>
          <w:lang w:val="en-ZA"/>
        </w:rPr>
        <w:t>e</w:t>
      </w:r>
      <w:r>
        <w:rPr>
          <w:rFonts w:ascii="Arial" w:eastAsia="Times New Roman" w:hAnsi="Arial" w:cs="Arial"/>
          <w:sz w:val="24"/>
          <w:szCs w:val="24"/>
          <w:lang w:val="en-ZA"/>
        </w:rPr>
        <w:t xml:space="preserve"> B</w:t>
      </w:r>
      <w:r w:rsidR="00CA4F83">
        <w:rPr>
          <w:rFonts w:ascii="Arial" w:eastAsia="Times New Roman" w:hAnsi="Arial" w:cs="Arial"/>
          <w:sz w:val="24"/>
          <w:szCs w:val="24"/>
          <w:lang w:val="en-ZA"/>
        </w:rPr>
        <w:t>eer</w:t>
      </w:r>
    </w:p>
    <w:p w14:paraId="3BB1B882" w14:textId="77777777" w:rsidR="00AA6950" w:rsidRPr="00320969" w:rsidRDefault="00AA6950" w:rsidP="00AA6950">
      <w:pPr>
        <w:spacing w:after="0" w:line="360" w:lineRule="auto"/>
        <w:ind w:left="207" w:hanging="567"/>
        <w:contextualSpacing/>
        <w:jc w:val="both"/>
        <w:rPr>
          <w:rFonts w:ascii="Arial" w:eastAsia="Times New Roman" w:hAnsi="Arial" w:cs="Times New Roman"/>
          <w:sz w:val="24"/>
          <w:szCs w:val="20"/>
          <w:lang w:val="en-ZA"/>
        </w:rPr>
      </w:pPr>
    </w:p>
    <w:p w14:paraId="2C002DD1" w14:textId="2A2C8DF1" w:rsidR="00AA6950" w:rsidRDefault="00AA6950" w:rsidP="00AA6950">
      <w:pPr>
        <w:widowControl w:val="0"/>
        <w:spacing w:after="0" w:line="360" w:lineRule="auto"/>
        <w:contextualSpacing/>
        <w:jc w:val="both"/>
        <w:rPr>
          <w:rFonts w:ascii="Arial" w:eastAsia="Times New Roman" w:hAnsi="Arial" w:cs="Arial"/>
          <w:sz w:val="24"/>
          <w:szCs w:val="24"/>
          <w:lang w:val="en-ZA"/>
        </w:rPr>
      </w:pPr>
      <w:r w:rsidRPr="00320969">
        <w:rPr>
          <w:rFonts w:ascii="Arial" w:eastAsia="Times New Roman" w:hAnsi="Arial" w:cs="Times New Roman"/>
          <w:sz w:val="24"/>
          <w:szCs w:val="20"/>
          <w:lang w:val="en-ZA"/>
        </w:rPr>
        <w:t>Instructed by</w:t>
      </w:r>
      <w:r w:rsidRPr="00320969">
        <w:rPr>
          <w:rFonts w:ascii="Arial" w:eastAsia="Times New Roman" w:hAnsi="Arial" w:cs="Times New Roman"/>
          <w:sz w:val="24"/>
          <w:szCs w:val="20"/>
          <w:lang w:val="en-ZA"/>
        </w:rPr>
        <w:tab/>
      </w:r>
      <w:r w:rsidRPr="00320969">
        <w:rPr>
          <w:rFonts w:ascii="Arial" w:eastAsia="Times New Roman" w:hAnsi="Arial" w:cs="Times New Roman"/>
          <w:sz w:val="24"/>
          <w:szCs w:val="20"/>
          <w:lang w:val="en-ZA"/>
        </w:rPr>
        <w:tab/>
      </w:r>
      <w:r w:rsidRPr="00320969">
        <w:rPr>
          <w:rFonts w:ascii="Arial" w:eastAsia="Times New Roman" w:hAnsi="Arial" w:cs="Times New Roman"/>
          <w:sz w:val="24"/>
          <w:szCs w:val="20"/>
          <w:lang w:val="en-ZA"/>
        </w:rPr>
        <w:tab/>
        <w:t>:</w:t>
      </w:r>
      <w:r w:rsidRPr="00320969">
        <w:rPr>
          <w:rFonts w:ascii="Arial" w:eastAsia="Times New Roman" w:hAnsi="Arial" w:cs="Times New Roman"/>
          <w:sz w:val="24"/>
          <w:szCs w:val="20"/>
          <w:lang w:val="en-ZA"/>
        </w:rPr>
        <w:tab/>
      </w:r>
      <w:r w:rsidR="00174073">
        <w:rPr>
          <w:rFonts w:ascii="Arial" w:eastAsia="Times New Roman" w:hAnsi="Arial" w:cs="Arial"/>
          <w:sz w:val="24"/>
          <w:szCs w:val="24"/>
          <w:lang w:val="en-ZA"/>
        </w:rPr>
        <w:t>Gildenhuys Malatji Inc, Pretoria</w:t>
      </w:r>
    </w:p>
    <w:p w14:paraId="46AC9F21" w14:textId="77777777" w:rsidR="00AA6950" w:rsidRPr="00320969" w:rsidRDefault="00AA6950" w:rsidP="00AA6950">
      <w:pPr>
        <w:spacing w:after="0" w:line="360" w:lineRule="auto"/>
        <w:ind w:left="207" w:hanging="567"/>
        <w:contextualSpacing/>
        <w:jc w:val="both"/>
        <w:rPr>
          <w:rFonts w:ascii="Arial" w:eastAsia="Times New Roman" w:hAnsi="Arial" w:cs="Times New Roman"/>
          <w:sz w:val="24"/>
          <w:szCs w:val="20"/>
          <w:lang w:val="en-ZA"/>
        </w:rPr>
      </w:pPr>
    </w:p>
    <w:p w14:paraId="676186F5" w14:textId="77777777" w:rsidR="00AA6950" w:rsidRDefault="00AA6950" w:rsidP="00AA6950">
      <w:pPr>
        <w:pStyle w:val="JUGMENTNUMBERED"/>
        <w:numPr>
          <w:ilvl w:val="0"/>
          <w:numId w:val="0"/>
        </w:numPr>
        <w:ind w:left="1440" w:hanging="720"/>
        <w:rPr>
          <w:rFonts w:ascii="Arial" w:eastAsia="Calibri" w:hAnsi="Arial" w:cs="Arial"/>
          <w:b/>
          <w:sz w:val="24"/>
          <w:szCs w:val="24"/>
        </w:rPr>
      </w:pPr>
    </w:p>
    <w:p w14:paraId="23835A45" w14:textId="77777777" w:rsidR="00AA6950" w:rsidRPr="00AA09D1" w:rsidRDefault="00AA6950" w:rsidP="00AA6950">
      <w:pPr>
        <w:pStyle w:val="EndnoteText"/>
        <w:rPr>
          <w:lang w:val="en-ZA"/>
        </w:rPr>
      </w:pPr>
    </w:p>
    <w:p w14:paraId="1D9BB68D" w14:textId="77777777" w:rsidR="00AA6950" w:rsidRPr="00AA6950" w:rsidRDefault="00AA6950" w:rsidP="00AA6950">
      <w:pPr>
        <w:widowControl w:val="0"/>
        <w:spacing w:after="0" w:line="360" w:lineRule="auto"/>
        <w:contextualSpacing/>
        <w:jc w:val="both"/>
        <w:rPr>
          <w:rFonts w:ascii="Arial" w:eastAsia="Calibri" w:hAnsi="Arial" w:cs="Arial"/>
          <w:sz w:val="24"/>
          <w:szCs w:val="24"/>
        </w:rPr>
      </w:pPr>
    </w:p>
    <w:p w14:paraId="3FC98AA7" w14:textId="77777777" w:rsidR="00A0027E" w:rsidRDefault="00A0027E" w:rsidP="00F33606">
      <w:pPr>
        <w:pStyle w:val="JUGMENTNUMBERED"/>
        <w:numPr>
          <w:ilvl w:val="0"/>
          <w:numId w:val="0"/>
        </w:numPr>
        <w:rPr>
          <w:rFonts w:ascii="Arial" w:eastAsia="Calibri" w:hAnsi="Arial" w:cs="Arial"/>
          <w:b/>
          <w:sz w:val="24"/>
          <w:szCs w:val="24"/>
        </w:rPr>
      </w:pPr>
    </w:p>
    <w:p w14:paraId="31D911DE" w14:textId="77777777" w:rsidR="00A0027E" w:rsidRDefault="00A0027E" w:rsidP="00AA4C2D">
      <w:pPr>
        <w:pStyle w:val="JUGMENTNUMBERED"/>
        <w:numPr>
          <w:ilvl w:val="0"/>
          <w:numId w:val="0"/>
        </w:numPr>
        <w:ind w:left="1440" w:hanging="720"/>
        <w:rPr>
          <w:rFonts w:ascii="Arial" w:eastAsia="Calibri" w:hAnsi="Arial" w:cs="Arial"/>
          <w:b/>
          <w:sz w:val="24"/>
          <w:szCs w:val="24"/>
        </w:rPr>
      </w:pPr>
    </w:p>
    <w:p w14:paraId="6F8F4C62" w14:textId="77777777" w:rsidR="00A0027E" w:rsidRDefault="00A0027E" w:rsidP="00AA4C2D">
      <w:pPr>
        <w:pStyle w:val="JUGMENTNUMBERED"/>
        <w:numPr>
          <w:ilvl w:val="0"/>
          <w:numId w:val="0"/>
        </w:numPr>
        <w:ind w:left="1440" w:hanging="720"/>
        <w:rPr>
          <w:rFonts w:ascii="Arial" w:eastAsia="Calibri" w:hAnsi="Arial" w:cs="Arial"/>
          <w:b/>
          <w:sz w:val="24"/>
          <w:szCs w:val="24"/>
        </w:rPr>
      </w:pPr>
    </w:p>
    <w:p w14:paraId="67724A87" w14:textId="77777777" w:rsidR="00A0027E" w:rsidRDefault="00A0027E" w:rsidP="00AA4C2D">
      <w:pPr>
        <w:pStyle w:val="JUGMENTNUMBERED"/>
        <w:numPr>
          <w:ilvl w:val="0"/>
          <w:numId w:val="0"/>
        </w:numPr>
        <w:ind w:left="1440" w:hanging="720"/>
        <w:rPr>
          <w:rFonts w:ascii="Arial" w:eastAsia="Calibri" w:hAnsi="Arial" w:cs="Arial"/>
          <w:b/>
          <w:sz w:val="24"/>
          <w:szCs w:val="24"/>
        </w:rPr>
      </w:pPr>
    </w:p>
    <w:p w14:paraId="26A211DC" w14:textId="77777777" w:rsidR="00A0027E" w:rsidRDefault="00A0027E" w:rsidP="00AA4C2D">
      <w:pPr>
        <w:pStyle w:val="JUGMENTNUMBERED"/>
        <w:numPr>
          <w:ilvl w:val="0"/>
          <w:numId w:val="0"/>
        </w:numPr>
        <w:ind w:left="1440" w:hanging="720"/>
        <w:rPr>
          <w:rFonts w:ascii="Arial" w:eastAsia="Calibri" w:hAnsi="Arial" w:cs="Arial"/>
          <w:b/>
          <w:sz w:val="24"/>
          <w:szCs w:val="24"/>
        </w:rPr>
      </w:pPr>
    </w:p>
    <w:p w14:paraId="3293DF38" w14:textId="77777777" w:rsidR="00A0027E" w:rsidRDefault="00A0027E" w:rsidP="00AA4C2D">
      <w:pPr>
        <w:pStyle w:val="JUGMENTNUMBERED"/>
        <w:numPr>
          <w:ilvl w:val="0"/>
          <w:numId w:val="0"/>
        </w:numPr>
        <w:ind w:left="1440" w:hanging="720"/>
        <w:rPr>
          <w:rFonts w:ascii="Arial" w:eastAsia="Calibri" w:hAnsi="Arial" w:cs="Arial"/>
          <w:b/>
          <w:sz w:val="24"/>
          <w:szCs w:val="24"/>
        </w:rPr>
      </w:pPr>
    </w:p>
    <w:p w14:paraId="6DE726F5" w14:textId="77777777" w:rsidR="00134AAF" w:rsidRDefault="00134AAF" w:rsidP="00AA4C2D">
      <w:pPr>
        <w:pStyle w:val="JUGMENTNUMBERED"/>
        <w:numPr>
          <w:ilvl w:val="0"/>
          <w:numId w:val="0"/>
        </w:numPr>
        <w:ind w:left="1440" w:hanging="720"/>
        <w:rPr>
          <w:rFonts w:ascii="Arial" w:eastAsia="Calibri" w:hAnsi="Arial" w:cs="Arial"/>
          <w:b/>
          <w:sz w:val="24"/>
          <w:szCs w:val="24"/>
        </w:rPr>
      </w:pPr>
    </w:p>
    <w:sectPr w:rsidR="00134AAF" w:rsidSect="00C7291B">
      <w:head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2255A2" w16cid:durableId="102864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7F45" w14:textId="77777777" w:rsidR="00D42FD3" w:rsidRDefault="00D42FD3" w:rsidP="00BE0E61">
      <w:pPr>
        <w:spacing w:after="0" w:line="240" w:lineRule="auto"/>
      </w:pPr>
      <w:r>
        <w:separator/>
      </w:r>
    </w:p>
  </w:endnote>
  <w:endnote w:type="continuationSeparator" w:id="0">
    <w:p w14:paraId="69978B3C" w14:textId="77777777" w:rsidR="00D42FD3" w:rsidRDefault="00D42FD3" w:rsidP="00BE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A312" w14:textId="77777777" w:rsidR="00D42FD3" w:rsidRDefault="00D42FD3" w:rsidP="00BE0E61">
      <w:pPr>
        <w:spacing w:after="0" w:line="240" w:lineRule="auto"/>
      </w:pPr>
      <w:r>
        <w:separator/>
      </w:r>
    </w:p>
  </w:footnote>
  <w:footnote w:type="continuationSeparator" w:id="0">
    <w:p w14:paraId="5D450899" w14:textId="77777777" w:rsidR="00D42FD3" w:rsidRDefault="00D42FD3" w:rsidP="00BE0E61">
      <w:pPr>
        <w:spacing w:after="0" w:line="240" w:lineRule="auto"/>
      </w:pPr>
      <w:r>
        <w:continuationSeparator/>
      </w:r>
    </w:p>
  </w:footnote>
  <w:footnote w:id="1">
    <w:p w14:paraId="524EF64C" w14:textId="6BF927C0" w:rsidR="00F1661E" w:rsidRDefault="00F1661E">
      <w:pPr>
        <w:pStyle w:val="FootnoteText"/>
      </w:pPr>
      <w:r>
        <w:rPr>
          <w:rStyle w:val="FootnoteReference"/>
        </w:rPr>
        <w:footnoteRef/>
      </w:r>
      <w:r>
        <w:t xml:space="preserve"> Also see s 191 of the Constitution of the Republic of South Africa, 1996.</w:t>
      </w:r>
    </w:p>
  </w:footnote>
  <w:footnote w:id="2">
    <w:p w14:paraId="4A346D35" w14:textId="25D23113" w:rsidR="007F485A" w:rsidRPr="007F485A" w:rsidRDefault="007F485A" w:rsidP="007F485A">
      <w:pPr>
        <w:pStyle w:val="FootnoteText"/>
        <w:rPr>
          <w:rFonts w:cs="Arial"/>
          <w:lang w:val="en-GB"/>
        </w:rPr>
      </w:pPr>
      <w:r w:rsidRPr="007F485A">
        <w:rPr>
          <w:rStyle w:val="FootnoteReference"/>
          <w:rFonts w:cs="Arial"/>
        </w:rPr>
        <w:footnoteRef/>
      </w:r>
      <w:r w:rsidRPr="007F485A">
        <w:rPr>
          <w:rFonts w:cs="Arial"/>
        </w:rPr>
        <w:t xml:space="preserve"> See s 190 of the Constitution</w:t>
      </w:r>
      <w:r w:rsidR="00F1661E">
        <w:rPr>
          <w:rFonts w:cs="Arial"/>
        </w:rPr>
        <w:t>.</w:t>
      </w:r>
    </w:p>
  </w:footnote>
  <w:footnote w:id="3">
    <w:p w14:paraId="61164D8C" w14:textId="693E9931" w:rsidR="007F485A" w:rsidRPr="007F485A" w:rsidRDefault="007F485A" w:rsidP="00D12046">
      <w:pPr>
        <w:pStyle w:val="FootnoteText"/>
        <w:rPr>
          <w:rFonts w:cs="Arial"/>
          <w:lang w:val="en-GB"/>
        </w:rPr>
      </w:pPr>
      <w:r w:rsidRPr="007F485A">
        <w:rPr>
          <w:rStyle w:val="FootnoteReference"/>
          <w:rFonts w:cs="Arial"/>
        </w:rPr>
        <w:footnoteRef/>
      </w:r>
      <w:r w:rsidRPr="007F485A">
        <w:rPr>
          <w:rFonts w:cs="Arial"/>
        </w:rPr>
        <w:t xml:space="preserve"> Government Gazette No 50185, dated 24 February 2024, ‘Election timetable for the election of the National </w:t>
      </w:r>
      <w:r w:rsidR="00D25756">
        <w:rPr>
          <w:rFonts w:cs="Arial"/>
        </w:rPr>
        <w:t>A</w:t>
      </w:r>
      <w:r w:rsidRPr="007F485A">
        <w:rPr>
          <w:rFonts w:cs="Arial"/>
        </w:rPr>
        <w:t>ssembly and the election of Provincial Legislatures.’</w:t>
      </w:r>
    </w:p>
  </w:footnote>
  <w:footnote w:id="4">
    <w:p w14:paraId="2494520D" w14:textId="77777777" w:rsidR="007F485A" w:rsidRPr="007F485A" w:rsidRDefault="007F485A" w:rsidP="007F485A">
      <w:pPr>
        <w:pStyle w:val="EndnoteText"/>
        <w:jc w:val="both"/>
        <w:rPr>
          <w:rFonts w:ascii="Arial" w:hAnsi="Arial" w:cs="Arial"/>
          <w:lang w:val="en-ZA"/>
        </w:rPr>
      </w:pPr>
      <w:r w:rsidRPr="007F485A">
        <w:rPr>
          <w:rStyle w:val="FootnoteReference"/>
          <w:rFonts w:ascii="Arial" w:hAnsi="Arial" w:cs="Arial"/>
        </w:rPr>
        <w:footnoteRef/>
      </w:r>
      <w:r w:rsidRPr="007F485A">
        <w:rPr>
          <w:rFonts w:ascii="Arial" w:hAnsi="Arial" w:cs="Arial"/>
        </w:rPr>
        <w:t xml:space="preserve"> </w:t>
      </w:r>
      <w:r w:rsidRPr="007F485A">
        <w:rPr>
          <w:rFonts w:ascii="Arial" w:hAnsi="Arial" w:cs="Arial"/>
          <w:lang w:val="en-ZA"/>
        </w:rPr>
        <w:t>Section 27(2) of the Act reads:</w:t>
      </w:r>
    </w:p>
    <w:p w14:paraId="691C7A17" w14:textId="3D4E3ABD" w:rsidR="007F485A" w:rsidRPr="007F485A" w:rsidRDefault="007F485A" w:rsidP="00D12046">
      <w:pPr>
        <w:pStyle w:val="EndnoteText"/>
        <w:jc w:val="both"/>
        <w:rPr>
          <w:rFonts w:ascii="Arial" w:hAnsi="Arial" w:cs="Arial"/>
          <w:lang w:val="en-ZA"/>
        </w:rPr>
      </w:pPr>
      <w:r>
        <w:rPr>
          <w:rFonts w:ascii="Arial" w:hAnsi="Arial" w:cs="Arial"/>
          <w:lang w:val="en-ZA"/>
        </w:rPr>
        <w:t>‘(2)</w:t>
      </w:r>
      <w:r>
        <w:rPr>
          <w:rFonts w:ascii="Arial" w:hAnsi="Arial" w:cs="Arial"/>
          <w:lang w:val="en-ZA"/>
        </w:rPr>
        <w:tab/>
      </w:r>
      <w:r w:rsidRPr="007F485A">
        <w:rPr>
          <w:rFonts w:ascii="Arial" w:hAnsi="Arial" w:cs="Arial"/>
          <w:lang w:val="en-ZA"/>
        </w:rPr>
        <w:t>The list or lists must be accompanied by a prescribed-</w:t>
      </w:r>
    </w:p>
    <w:p w14:paraId="0484A0A2" w14:textId="679F6F71" w:rsidR="007F485A" w:rsidRPr="007F485A" w:rsidRDefault="00E3070C" w:rsidP="00D12046">
      <w:pPr>
        <w:pStyle w:val="EndnoteText"/>
        <w:ind w:left="851" w:hanging="720"/>
        <w:jc w:val="both"/>
        <w:rPr>
          <w:rFonts w:ascii="Arial" w:hAnsi="Arial" w:cs="Arial"/>
          <w:lang w:val="en-ZA"/>
        </w:rPr>
      </w:pPr>
      <w:r w:rsidRPr="00E3070C">
        <w:rPr>
          <w:rFonts w:ascii="Arial" w:hAnsi="Arial" w:cs="Arial"/>
          <w:i/>
          <w:lang w:val="en-ZA"/>
        </w:rPr>
        <w:t>(a)</w:t>
      </w:r>
      <w:r>
        <w:rPr>
          <w:rFonts w:ascii="Arial" w:hAnsi="Arial" w:cs="Arial"/>
          <w:lang w:val="en-ZA"/>
        </w:rPr>
        <w:tab/>
      </w:r>
      <w:r w:rsidR="007F485A" w:rsidRPr="007F485A">
        <w:rPr>
          <w:rFonts w:ascii="Arial" w:hAnsi="Arial" w:cs="Arial"/>
          <w:lang w:val="en-ZA"/>
        </w:rPr>
        <w:t>undertaking, signed by the duly authorised representative of the party, binding the party, persons holding political office in the party, and its representatives and members, to the Code;</w:t>
      </w:r>
    </w:p>
    <w:p w14:paraId="6F132198" w14:textId="20CAA7FF" w:rsidR="007F485A" w:rsidRPr="007F485A" w:rsidRDefault="00E3070C" w:rsidP="00D12046">
      <w:pPr>
        <w:pStyle w:val="EndnoteText"/>
        <w:ind w:left="851" w:hanging="720"/>
        <w:jc w:val="both"/>
        <w:rPr>
          <w:rFonts w:ascii="Arial" w:hAnsi="Arial" w:cs="Arial"/>
          <w:lang w:val="en-ZA"/>
        </w:rPr>
      </w:pPr>
      <w:r w:rsidRPr="00E3070C">
        <w:rPr>
          <w:rFonts w:ascii="Arial" w:hAnsi="Arial" w:cs="Arial"/>
          <w:i/>
          <w:lang w:val="en-ZA"/>
        </w:rPr>
        <w:t>(b)</w:t>
      </w:r>
      <w:r>
        <w:rPr>
          <w:rFonts w:ascii="Arial" w:hAnsi="Arial" w:cs="Arial"/>
          <w:lang w:val="en-ZA"/>
        </w:rPr>
        <w:tab/>
      </w:r>
      <w:r w:rsidR="007F485A" w:rsidRPr="007F485A">
        <w:rPr>
          <w:rFonts w:ascii="Arial" w:hAnsi="Arial" w:cs="Arial"/>
          <w:lang w:val="en-ZA"/>
        </w:rPr>
        <w:t>declaration, signed by the duly authorised representative of the party, that each candidate on the list is qualified to stand for election in terms of the Constitution or national or provincial legislation under Chapter 7 of the Constitution and has signed the prescribed acceptance of nomination;</w:t>
      </w:r>
    </w:p>
    <w:p w14:paraId="4BFCADA4" w14:textId="1CA7BD7E" w:rsidR="007F485A" w:rsidRPr="007F485A" w:rsidRDefault="00E3070C" w:rsidP="00D12046">
      <w:pPr>
        <w:pStyle w:val="EndnoteText"/>
        <w:ind w:left="851" w:hanging="720"/>
        <w:jc w:val="both"/>
        <w:rPr>
          <w:rFonts w:ascii="Arial" w:hAnsi="Arial" w:cs="Arial"/>
          <w:lang w:val="en-ZA"/>
        </w:rPr>
      </w:pPr>
      <w:r w:rsidRPr="00E3070C">
        <w:rPr>
          <w:rFonts w:ascii="Arial" w:hAnsi="Arial" w:cs="Arial"/>
          <w:i/>
          <w:lang w:val="en-ZA"/>
        </w:rPr>
        <w:t>(c)</w:t>
      </w:r>
      <w:r>
        <w:rPr>
          <w:rFonts w:ascii="Arial" w:hAnsi="Arial" w:cs="Arial"/>
          <w:lang w:val="en-ZA"/>
        </w:rPr>
        <w:tab/>
        <w:t>…</w:t>
      </w:r>
    </w:p>
    <w:p w14:paraId="5147A2C7" w14:textId="537B8995" w:rsidR="007F485A" w:rsidRPr="007F485A" w:rsidRDefault="007F485A" w:rsidP="00D12046">
      <w:pPr>
        <w:pStyle w:val="EndnoteText"/>
        <w:ind w:left="851" w:hanging="720"/>
        <w:jc w:val="both"/>
        <w:rPr>
          <w:rFonts w:ascii="Arial" w:hAnsi="Arial" w:cs="Arial"/>
          <w:lang w:val="en-ZA"/>
        </w:rPr>
      </w:pPr>
      <w:r w:rsidRPr="00E3070C">
        <w:rPr>
          <w:rFonts w:ascii="Arial" w:hAnsi="Arial" w:cs="Arial"/>
          <w:i/>
          <w:lang w:val="en-ZA"/>
        </w:rPr>
        <w:t>(cA)</w:t>
      </w:r>
      <w:r w:rsidRPr="00E3070C">
        <w:rPr>
          <w:rFonts w:ascii="Arial" w:hAnsi="Arial" w:cs="Arial"/>
          <w:i/>
          <w:lang w:val="en-ZA"/>
        </w:rPr>
        <w:tab/>
      </w:r>
      <w:r w:rsidRPr="007F485A">
        <w:rPr>
          <w:rFonts w:ascii="Arial" w:hAnsi="Arial" w:cs="Arial"/>
          <w:lang w:val="en-ZA"/>
        </w:rPr>
        <w:t>declaration, signed by the duly authorised representative of the party confirming that each candidate appearing on the party’s provincial list of candidates referred to in Schedule 1Ais registered to vote within the province in which the election will take place;</w:t>
      </w:r>
    </w:p>
    <w:p w14:paraId="513680CD" w14:textId="2AA4C167" w:rsidR="007F485A" w:rsidRPr="007F485A" w:rsidRDefault="007F485A" w:rsidP="00D12046">
      <w:pPr>
        <w:pStyle w:val="EndnoteText"/>
        <w:ind w:left="851" w:hanging="720"/>
        <w:jc w:val="both"/>
        <w:rPr>
          <w:rFonts w:ascii="Arial" w:hAnsi="Arial" w:cs="Arial"/>
          <w:lang w:val="en-ZA"/>
        </w:rPr>
      </w:pPr>
      <w:r w:rsidRPr="00E3070C">
        <w:rPr>
          <w:rFonts w:ascii="Arial" w:hAnsi="Arial" w:cs="Arial"/>
          <w:i/>
          <w:lang w:val="en-ZA"/>
        </w:rPr>
        <w:t>(cB)</w:t>
      </w:r>
      <w:r w:rsidRPr="007F485A">
        <w:rPr>
          <w:rFonts w:ascii="Arial" w:hAnsi="Arial" w:cs="Arial"/>
          <w:lang w:val="en-ZA"/>
        </w:rPr>
        <w:t xml:space="preserve"> </w:t>
      </w:r>
      <w:r w:rsidR="00E3070C">
        <w:rPr>
          <w:rFonts w:ascii="Arial" w:hAnsi="Arial" w:cs="Arial"/>
          <w:lang w:val="en-ZA"/>
        </w:rPr>
        <w:tab/>
      </w:r>
      <w:r w:rsidRPr="007F485A">
        <w:rPr>
          <w:rFonts w:ascii="Arial" w:hAnsi="Arial" w:cs="Arial"/>
          <w:lang w:val="en-ZA"/>
        </w:rPr>
        <w:t xml:space="preserve">form, in the case of a registered party not represented in the National Assembly or any </w:t>
      </w:r>
      <w:r w:rsidR="00E3070C" w:rsidRPr="007F485A">
        <w:rPr>
          <w:rFonts w:ascii="Arial" w:hAnsi="Arial" w:cs="Arial"/>
          <w:lang w:val="en-ZA"/>
        </w:rPr>
        <w:t>provincial legislature</w:t>
      </w:r>
      <w:r w:rsidRPr="007F485A">
        <w:rPr>
          <w:rFonts w:ascii="Arial" w:hAnsi="Arial" w:cs="Arial"/>
          <w:lang w:val="en-ZA"/>
        </w:rPr>
        <w:t>, confirming that the party has submitted, in the prescribed manner, the names, identity numbers and signatures of voters whose names appear-</w:t>
      </w:r>
    </w:p>
    <w:p w14:paraId="32F80ABF" w14:textId="4778358F" w:rsidR="007F485A" w:rsidRPr="007F485A" w:rsidRDefault="0046056B" w:rsidP="0046056B">
      <w:pPr>
        <w:pStyle w:val="EndnoteText"/>
        <w:ind w:left="851" w:hanging="720"/>
        <w:jc w:val="both"/>
        <w:rPr>
          <w:rFonts w:ascii="Arial" w:hAnsi="Arial" w:cs="Arial"/>
          <w:lang w:val="en-ZA"/>
        </w:rPr>
      </w:pPr>
      <w:r w:rsidRPr="007F485A">
        <w:rPr>
          <w:rFonts w:ascii="Arial" w:hAnsi="Arial" w:cs="Arial"/>
          <w:lang w:val="en-ZA"/>
        </w:rPr>
        <w:t>(i)</w:t>
      </w:r>
      <w:r w:rsidRPr="007F485A">
        <w:rPr>
          <w:rFonts w:ascii="Arial" w:hAnsi="Arial" w:cs="Arial"/>
          <w:lang w:val="en-ZA"/>
        </w:rPr>
        <w:tab/>
      </w:r>
      <w:r w:rsidR="007F485A" w:rsidRPr="007F485A">
        <w:rPr>
          <w:rFonts w:ascii="Arial" w:hAnsi="Arial" w:cs="Arial"/>
          <w:lang w:val="en-ZA"/>
        </w:rPr>
        <w:t>in the case of an election of the National Assembly in respect of regional seats, on the national segment of the voters’ roll and who support the party-</w:t>
      </w:r>
    </w:p>
    <w:p w14:paraId="70C105CB" w14:textId="43F7A48E" w:rsidR="007F485A" w:rsidRPr="007F485A" w:rsidRDefault="007F485A" w:rsidP="00D12046">
      <w:pPr>
        <w:pStyle w:val="EndnoteText"/>
        <w:ind w:left="851" w:hanging="720"/>
        <w:jc w:val="both"/>
        <w:rPr>
          <w:rFonts w:ascii="Arial" w:hAnsi="Arial" w:cs="Arial"/>
          <w:lang w:val="en-ZA"/>
        </w:rPr>
      </w:pPr>
      <w:r w:rsidRPr="00E3070C">
        <w:rPr>
          <w:rFonts w:ascii="Arial" w:hAnsi="Arial" w:cs="Arial"/>
          <w:i/>
          <w:lang w:val="en-ZA"/>
        </w:rPr>
        <w:t>(aa)</w:t>
      </w:r>
      <w:r w:rsidR="00E3070C">
        <w:rPr>
          <w:rFonts w:ascii="Arial" w:hAnsi="Arial" w:cs="Arial"/>
          <w:lang w:val="en-ZA"/>
        </w:rPr>
        <w:tab/>
      </w:r>
      <w:r w:rsidRPr="007F485A">
        <w:rPr>
          <w:rFonts w:ascii="Arial" w:hAnsi="Arial" w:cs="Arial"/>
          <w:lang w:val="en-ZA"/>
        </w:rPr>
        <w:t>totalling 15 percent of the quota for that region in the preceding election, when nominating candidates for the region; or</w:t>
      </w:r>
    </w:p>
    <w:p w14:paraId="380836BB" w14:textId="0E70AB76" w:rsidR="007F485A" w:rsidRPr="007F485A" w:rsidRDefault="007F485A" w:rsidP="00D12046">
      <w:pPr>
        <w:pStyle w:val="EndnoteText"/>
        <w:ind w:left="851" w:hanging="720"/>
        <w:jc w:val="both"/>
        <w:rPr>
          <w:rFonts w:ascii="Arial" w:hAnsi="Arial" w:cs="Arial"/>
          <w:lang w:val="en-ZA"/>
        </w:rPr>
      </w:pPr>
      <w:r w:rsidRPr="00E3070C">
        <w:rPr>
          <w:rFonts w:ascii="Arial" w:hAnsi="Arial" w:cs="Arial"/>
          <w:i/>
          <w:lang w:val="en-ZA"/>
        </w:rPr>
        <w:t>(bb)</w:t>
      </w:r>
      <w:r w:rsidRPr="007F485A">
        <w:rPr>
          <w:rFonts w:ascii="Arial" w:hAnsi="Arial" w:cs="Arial"/>
          <w:lang w:val="en-ZA"/>
        </w:rPr>
        <w:t xml:space="preserve"> </w:t>
      </w:r>
      <w:r w:rsidR="00E3070C">
        <w:rPr>
          <w:rFonts w:ascii="Arial" w:hAnsi="Arial" w:cs="Arial"/>
          <w:lang w:val="en-ZA"/>
        </w:rPr>
        <w:tab/>
      </w:r>
      <w:r w:rsidRPr="007F485A">
        <w:rPr>
          <w:rFonts w:ascii="Arial" w:hAnsi="Arial" w:cs="Arial"/>
          <w:lang w:val="en-ZA"/>
        </w:rPr>
        <w:t>totalling 15 percent of the highest of the regional quotas in the preceding election, when nominating candidates for more than one region provided that where 15 percent of the highest quotas is not achieved, that the party may only nominate candidates for the region of regions as determined by the next highest quota; or</w:t>
      </w:r>
    </w:p>
    <w:p w14:paraId="2E2872AF" w14:textId="2C9ABE03" w:rsidR="007F485A" w:rsidRPr="007F485A" w:rsidRDefault="0046056B" w:rsidP="0046056B">
      <w:pPr>
        <w:pStyle w:val="EndnoteText"/>
        <w:ind w:left="851" w:hanging="720"/>
        <w:jc w:val="both"/>
        <w:rPr>
          <w:rFonts w:ascii="Arial" w:hAnsi="Arial" w:cs="Arial"/>
          <w:lang w:val="en-ZA"/>
        </w:rPr>
      </w:pPr>
      <w:r w:rsidRPr="007F485A">
        <w:rPr>
          <w:rFonts w:ascii="Arial" w:hAnsi="Arial" w:cs="Arial"/>
          <w:lang w:val="en-ZA"/>
        </w:rPr>
        <w:t>(ii)</w:t>
      </w:r>
      <w:r w:rsidRPr="007F485A">
        <w:rPr>
          <w:rFonts w:ascii="Arial" w:hAnsi="Arial" w:cs="Arial"/>
          <w:lang w:val="en-ZA"/>
        </w:rPr>
        <w:tab/>
      </w:r>
      <w:r w:rsidR="007F485A" w:rsidRPr="007F485A">
        <w:rPr>
          <w:rFonts w:ascii="Arial" w:hAnsi="Arial" w:cs="Arial"/>
          <w:lang w:val="en-ZA"/>
        </w:rPr>
        <w:t>in the case of an election of a provincial legislature, on the segment of the voters’ roll</w:t>
      </w:r>
    </w:p>
    <w:p w14:paraId="60C479BD" w14:textId="77777777" w:rsidR="007F485A" w:rsidRPr="007F485A" w:rsidRDefault="007F485A" w:rsidP="00D12046">
      <w:pPr>
        <w:pStyle w:val="EndnoteText"/>
        <w:ind w:left="131" w:firstLine="720"/>
        <w:jc w:val="both"/>
        <w:rPr>
          <w:rFonts w:ascii="Arial" w:hAnsi="Arial" w:cs="Arial"/>
          <w:lang w:val="en-ZA"/>
        </w:rPr>
      </w:pPr>
      <w:r w:rsidRPr="007F485A">
        <w:rPr>
          <w:rFonts w:ascii="Arial" w:hAnsi="Arial" w:cs="Arial"/>
          <w:lang w:val="en-ZA"/>
        </w:rPr>
        <w:t>for the province and who support the party, totalling at least 15 percent of the quota</w:t>
      </w:r>
    </w:p>
    <w:p w14:paraId="6C7F4384" w14:textId="77777777" w:rsidR="007F485A" w:rsidRPr="007F485A" w:rsidRDefault="007F485A" w:rsidP="00D12046">
      <w:pPr>
        <w:pStyle w:val="EndnoteText"/>
        <w:jc w:val="both"/>
        <w:rPr>
          <w:rFonts w:ascii="Arial" w:hAnsi="Arial" w:cs="Arial"/>
          <w:lang w:val="en-ZA"/>
        </w:rPr>
      </w:pPr>
      <w:r w:rsidRPr="007F485A">
        <w:rPr>
          <w:rFonts w:ascii="Arial" w:hAnsi="Arial" w:cs="Arial"/>
          <w:lang w:val="en-ZA"/>
        </w:rPr>
        <w:t>of that province in the preceding election, for which the party intends to nominate candidates;</w:t>
      </w:r>
    </w:p>
    <w:p w14:paraId="694E0275" w14:textId="70855EB3" w:rsidR="007F485A" w:rsidRPr="007F485A" w:rsidRDefault="00E3070C" w:rsidP="00D12046">
      <w:pPr>
        <w:pStyle w:val="EndnoteText"/>
        <w:ind w:left="720" w:hanging="720"/>
        <w:jc w:val="both"/>
        <w:rPr>
          <w:rFonts w:ascii="Arial" w:hAnsi="Arial" w:cs="Arial"/>
          <w:lang w:val="en-ZA"/>
        </w:rPr>
      </w:pPr>
      <w:r>
        <w:rPr>
          <w:rFonts w:ascii="Arial" w:hAnsi="Arial" w:cs="Arial"/>
          <w:i/>
          <w:lang w:val="en-ZA"/>
        </w:rPr>
        <w:t>(d)</w:t>
      </w:r>
      <w:r>
        <w:rPr>
          <w:rFonts w:ascii="Arial" w:hAnsi="Arial" w:cs="Arial"/>
          <w:i/>
          <w:lang w:val="en-ZA"/>
        </w:rPr>
        <w:tab/>
      </w:r>
      <w:r w:rsidR="007F485A" w:rsidRPr="00F4465A">
        <w:rPr>
          <w:rFonts w:ascii="Arial" w:hAnsi="Arial" w:cs="Arial"/>
          <w:lang w:val="en-ZA"/>
        </w:rPr>
        <w:t>undertaking signed</w:t>
      </w:r>
      <w:r w:rsidR="007F485A" w:rsidRPr="007F485A">
        <w:rPr>
          <w:rFonts w:ascii="Arial" w:hAnsi="Arial" w:cs="Arial"/>
          <w:lang w:val="en-ZA"/>
        </w:rPr>
        <w:t xml:space="preserve"> by each candidate, that that candidate will be bound by the Code; and</w:t>
      </w:r>
    </w:p>
    <w:p w14:paraId="4A575C4A" w14:textId="3473FB25" w:rsidR="007F485A" w:rsidRPr="007F485A" w:rsidRDefault="0049728A" w:rsidP="00D12046">
      <w:pPr>
        <w:pStyle w:val="EndnoteText"/>
        <w:ind w:left="720" w:hanging="720"/>
        <w:jc w:val="both"/>
        <w:rPr>
          <w:rFonts w:ascii="Arial" w:hAnsi="Arial" w:cs="Arial"/>
          <w:lang w:val="en-ZA"/>
        </w:rPr>
      </w:pPr>
      <w:r>
        <w:rPr>
          <w:rFonts w:ascii="Arial" w:hAnsi="Arial" w:cs="Arial"/>
          <w:i/>
          <w:lang w:val="en-ZA"/>
        </w:rPr>
        <w:t xml:space="preserve">(e) </w:t>
      </w:r>
      <w:r w:rsidR="007F485A" w:rsidRPr="00FB755B">
        <w:rPr>
          <w:rFonts w:ascii="Arial" w:hAnsi="Arial" w:cs="Arial"/>
          <w:lang w:val="en-ZA"/>
        </w:rPr>
        <w:t>deposit.’</w:t>
      </w:r>
    </w:p>
  </w:footnote>
  <w:footnote w:id="5">
    <w:p w14:paraId="1E390BEF" w14:textId="7B6F7053" w:rsidR="00B80B0F" w:rsidRDefault="00B80B0F" w:rsidP="00B80B0F">
      <w:pPr>
        <w:pStyle w:val="FootnoteText"/>
      </w:pPr>
      <w:r>
        <w:rPr>
          <w:rStyle w:val="FootnoteReference"/>
        </w:rPr>
        <w:footnoteRef/>
      </w:r>
      <w:r>
        <w:t xml:space="preserve"> See </w:t>
      </w:r>
      <w:r w:rsidRPr="00C20411">
        <w:rPr>
          <w:i/>
        </w:rPr>
        <w:t>Labour Party of South Africa and Others v Electoral Commission of South Africa and Others</w:t>
      </w:r>
      <w:r>
        <w:t xml:space="preserve"> [2024] ZAEC 4; </w:t>
      </w:r>
      <w:r w:rsidRPr="00C20411">
        <w:rPr>
          <w:i/>
        </w:rPr>
        <w:t xml:space="preserve">Arise South Africa v Electoral Commission of South Africa; Independent South African National Civic Organisation v Electoral Commission of South Africa </w:t>
      </w:r>
      <w:r>
        <w:t xml:space="preserve">[2024] ZAEC 8; </w:t>
      </w:r>
      <w:r w:rsidRPr="00C20411">
        <w:rPr>
          <w:i/>
        </w:rPr>
        <w:t>Operation Dudula v Electoral Commission of South Africa and Another</w:t>
      </w:r>
      <w:r w:rsidR="00152430">
        <w:t xml:space="preserve"> </w:t>
      </w:r>
      <w:r>
        <w:t xml:space="preserve">[2024] ZAEC 9; </w:t>
      </w:r>
      <w:r w:rsidRPr="00C20411">
        <w:rPr>
          <w:i/>
        </w:rPr>
        <w:t>Defenders of the People and Another v Electoral Commission of South Africa and Another</w:t>
      </w:r>
      <w:r>
        <w:t xml:space="preserve"> [2024] ZAEC 10.</w:t>
      </w:r>
    </w:p>
  </w:footnote>
  <w:footnote w:id="6">
    <w:p w14:paraId="1D67F400" w14:textId="5BC49C0A" w:rsidR="00B45370" w:rsidRPr="002110B7" w:rsidRDefault="00B45370">
      <w:pPr>
        <w:pStyle w:val="FootnoteText"/>
        <w:rPr>
          <w:lang w:val="en-GB"/>
        </w:rPr>
      </w:pPr>
      <w:r>
        <w:rPr>
          <w:rStyle w:val="FootnoteReference"/>
        </w:rPr>
        <w:footnoteRef/>
      </w:r>
      <w:r>
        <w:t xml:space="preserve"> </w:t>
      </w:r>
      <w:r>
        <w:rPr>
          <w:lang w:val="en-GB"/>
        </w:rPr>
        <w:t xml:space="preserve">See s </w:t>
      </w:r>
      <w:r w:rsidR="006A0EC0">
        <w:rPr>
          <w:lang w:val="en-GB"/>
        </w:rPr>
        <w:t>1</w:t>
      </w:r>
      <w:r>
        <w:rPr>
          <w:lang w:val="en-GB"/>
        </w:rPr>
        <w:t xml:space="preserve"> of the proclamation.</w:t>
      </w:r>
    </w:p>
  </w:footnote>
  <w:footnote w:id="7">
    <w:p w14:paraId="51404AAE" w14:textId="323C00BF" w:rsidR="005F0B29" w:rsidRPr="005F0B29" w:rsidRDefault="005F0B29">
      <w:pPr>
        <w:pStyle w:val="FootnoteText"/>
        <w:rPr>
          <w:lang w:val="en-GB"/>
        </w:rPr>
      </w:pPr>
      <w:r>
        <w:rPr>
          <w:rStyle w:val="FootnoteReference"/>
        </w:rPr>
        <w:footnoteRef/>
      </w:r>
      <w:r>
        <w:t xml:space="preserve"> See para 28 of the founding affidavit.</w:t>
      </w:r>
    </w:p>
  </w:footnote>
  <w:footnote w:id="8">
    <w:p w14:paraId="08D48B3F" w14:textId="77777777" w:rsidR="00A858F7" w:rsidRPr="00D44BBE" w:rsidRDefault="00A858F7" w:rsidP="00A858F7">
      <w:pPr>
        <w:pStyle w:val="FootnoteText"/>
        <w:rPr>
          <w:rFonts w:cs="Arial"/>
          <w:lang w:val="en-GB"/>
        </w:rPr>
      </w:pPr>
      <w:r w:rsidRPr="00D44BBE">
        <w:rPr>
          <w:rStyle w:val="FootnoteReference"/>
          <w:rFonts w:cs="Arial"/>
        </w:rPr>
        <w:footnoteRef/>
      </w:r>
      <w:r w:rsidRPr="00D44BBE">
        <w:rPr>
          <w:rFonts w:cs="Arial"/>
        </w:rPr>
        <w:t xml:space="preserve"> </w:t>
      </w:r>
      <w:r w:rsidRPr="00D44BBE">
        <w:rPr>
          <w:rFonts w:cs="Arial"/>
          <w:bCs/>
          <w:i/>
          <w:color w:val="000000" w:themeColor="text1"/>
        </w:rPr>
        <w:t>Plascon-Evans Paints Ltd v Van Riebeeck Paints (Pty) Ltd</w:t>
      </w:r>
      <w:r w:rsidRPr="00D44BBE">
        <w:rPr>
          <w:rFonts w:cs="Arial"/>
        </w:rPr>
        <w:t xml:space="preserve"> 1984 (3) SA 623 (A)</w:t>
      </w:r>
      <w:r>
        <w:rPr>
          <w:rFonts w:cs="Arial"/>
        </w:rPr>
        <w:t xml:space="preserve"> at 634E-F</w:t>
      </w:r>
      <w:r w:rsidRPr="00D44BBE">
        <w:rPr>
          <w:rFonts w:cs="Arial"/>
        </w:rPr>
        <w:t>.</w:t>
      </w:r>
    </w:p>
  </w:footnote>
  <w:footnote w:id="9">
    <w:p w14:paraId="338F4312" w14:textId="77777777" w:rsidR="00F4465A" w:rsidRPr="004C0908" w:rsidRDefault="00F4465A" w:rsidP="00F4465A">
      <w:pPr>
        <w:pStyle w:val="JUGMENTNUMBERED"/>
        <w:numPr>
          <w:ilvl w:val="0"/>
          <w:numId w:val="0"/>
        </w:numPr>
        <w:spacing w:line="240" w:lineRule="auto"/>
        <w:rPr>
          <w:rFonts w:ascii="Arial" w:hAnsi="Arial" w:cs="Arial"/>
          <w:sz w:val="20"/>
          <w:szCs w:val="20"/>
          <w:lang w:val="en-GB"/>
        </w:rPr>
      </w:pPr>
      <w:r w:rsidRPr="00D44BBE">
        <w:rPr>
          <w:rStyle w:val="FootnoteReference"/>
          <w:rFonts w:ascii="Arial" w:hAnsi="Arial" w:cs="Arial"/>
          <w:sz w:val="20"/>
          <w:szCs w:val="20"/>
        </w:rPr>
        <w:footnoteRef/>
      </w:r>
      <w:r w:rsidRPr="00D44BBE">
        <w:rPr>
          <w:rFonts w:ascii="Arial" w:hAnsi="Arial" w:cs="Arial"/>
          <w:sz w:val="20"/>
          <w:szCs w:val="20"/>
        </w:rPr>
        <w:t xml:space="preserve"> </w:t>
      </w:r>
      <w:r w:rsidRPr="00D44BBE">
        <w:rPr>
          <w:rFonts w:ascii="Arial" w:eastAsia="Calibri" w:hAnsi="Arial" w:cs="Arial"/>
          <w:i/>
          <w:sz w:val="20"/>
          <w:szCs w:val="20"/>
        </w:rPr>
        <w:t xml:space="preserve">African Christian Democratic Party v Electoral Commission </w:t>
      </w:r>
      <w:r>
        <w:rPr>
          <w:rFonts w:ascii="Arial" w:eastAsia="Calibri" w:hAnsi="Arial" w:cs="Arial"/>
          <w:i/>
          <w:sz w:val="20"/>
          <w:szCs w:val="20"/>
        </w:rPr>
        <w:t xml:space="preserve">and Others </w:t>
      </w:r>
      <w:r w:rsidRPr="00D44BBE">
        <w:rPr>
          <w:rFonts w:ascii="Arial" w:hAnsi="Arial" w:cs="Arial"/>
          <w:sz w:val="20"/>
          <w:szCs w:val="20"/>
        </w:rPr>
        <w:t>2006 (3) SA 305 (CC)</w:t>
      </w:r>
      <w:r w:rsidRPr="00D44BBE">
        <w:rPr>
          <w:rFonts w:ascii="Arial" w:hAnsi="Arial" w:cs="Arial"/>
          <w:sz w:val="20"/>
          <w:szCs w:val="20"/>
          <w:lang w:val="en-GB"/>
        </w:rPr>
        <w:t>.</w:t>
      </w:r>
    </w:p>
  </w:footnote>
  <w:footnote w:id="10">
    <w:p w14:paraId="20570208" w14:textId="7A4E9EB2" w:rsidR="00D44BBE" w:rsidRPr="00D44BBE" w:rsidRDefault="005F0B29" w:rsidP="00D44BBE">
      <w:pPr>
        <w:pStyle w:val="JUGMENTNUMBERED"/>
        <w:numPr>
          <w:ilvl w:val="0"/>
          <w:numId w:val="0"/>
        </w:numPr>
        <w:spacing w:line="240" w:lineRule="auto"/>
        <w:rPr>
          <w:rFonts w:ascii="Arial" w:hAnsi="Arial" w:cs="Arial"/>
          <w:sz w:val="20"/>
          <w:szCs w:val="20"/>
          <w:lang w:val="en-GB"/>
        </w:rPr>
      </w:pPr>
      <w:r w:rsidRPr="00D44BBE">
        <w:rPr>
          <w:rStyle w:val="FootnoteReference"/>
          <w:rFonts w:ascii="Arial" w:hAnsi="Arial" w:cs="Arial"/>
          <w:sz w:val="20"/>
          <w:szCs w:val="20"/>
        </w:rPr>
        <w:footnoteRef/>
      </w:r>
      <w:r w:rsidRPr="00D44BBE">
        <w:rPr>
          <w:rFonts w:ascii="Arial" w:hAnsi="Arial" w:cs="Arial"/>
          <w:sz w:val="20"/>
          <w:szCs w:val="20"/>
        </w:rPr>
        <w:t xml:space="preserve"> </w:t>
      </w:r>
      <w:r w:rsidR="00D44BBE" w:rsidRPr="00D44BBE">
        <w:rPr>
          <w:rFonts w:ascii="Arial" w:eastAsia="Calibri" w:hAnsi="Arial" w:cs="Arial"/>
          <w:i/>
          <w:sz w:val="20"/>
          <w:szCs w:val="20"/>
        </w:rPr>
        <w:t>Liberal Party v The Electoral Commission and Others</w:t>
      </w:r>
      <w:r w:rsidR="00D44BBE" w:rsidRPr="00D44BBE">
        <w:rPr>
          <w:rFonts w:ascii="Arial" w:hAnsi="Arial" w:cs="Arial"/>
          <w:sz w:val="20"/>
          <w:szCs w:val="20"/>
        </w:rPr>
        <w:t xml:space="preserve"> 2004 (8) BCLR 810 (CC) para 30. For the sake of </w:t>
      </w:r>
      <w:r w:rsidR="00D12046" w:rsidRPr="00D44BBE">
        <w:rPr>
          <w:rFonts w:ascii="Arial" w:hAnsi="Arial" w:cs="Arial"/>
          <w:sz w:val="20"/>
          <w:szCs w:val="20"/>
        </w:rPr>
        <w:t>completeness,</w:t>
      </w:r>
      <w:r w:rsidR="00D44BBE" w:rsidRPr="00D44BBE">
        <w:rPr>
          <w:rFonts w:ascii="Arial" w:hAnsi="Arial" w:cs="Arial"/>
          <w:sz w:val="20"/>
          <w:szCs w:val="20"/>
        </w:rPr>
        <w:t xml:space="preserve"> I also like to emphasise what was stated by the </w:t>
      </w:r>
      <w:r w:rsidR="00D44BBE" w:rsidRPr="00D44BBE">
        <w:rPr>
          <w:rFonts w:ascii="Arial" w:hAnsi="Arial" w:cs="Arial"/>
          <w:sz w:val="20"/>
          <w:szCs w:val="20"/>
          <w:lang w:val="en-GB"/>
        </w:rPr>
        <w:t>Constitutional Court at para</w:t>
      </w:r>
      <w:r w:rsidR="00DB1DA3">
        <w:rPr>
          <w:rFonts w:ascii="Arial" w:hAnsi="Arial" w:cs="Arial"/>
          <w:sz w:val="20"/>
          <w:szCs w:val="20"/>
          <w:lang w:val="en-GB"/>
        </w:rPr>
        <w:t>graph</w:t>
      </w:r>
      <w:r w:rsidR="00D44BBE" w:rsidRPr="00D44BBE">
        <w:rPr>
          <w:rFonts w:ascii="Arial" w:hAnsi="Arial" w:cs="Arial"/>
          <w:sz w:val="20"/>
          <w:szCs w:val="20"/>
          <w:lang w:val="en-GB"/>
        </w:rPr>
        <w:t xml:space="preserve"> 22 when it dealt with the powers of the Commission to rectify in terms of s 27 of the Act. It held:</w:t>
      </w:r>
    </w:p>
    <w:p w14:paraId="686AF8E5" w14:textId="0197D61D" w:rsidR="004446DF" w:rsidRPr="00D44BBE" w:rsidRDefault="00D44BBE" w:rsidP="00D44BBE">
      <w:pPr>
        <w:pStyle w:val="JUGMENTNUMBERED"/>
        <w:numPr>
          <w:ilvl w:val="0"/>
          <w:numId w:val="0"/>
        </w:numPr>
        <w:spacing w:line="240" w:lineRule="auto"/>
        <w:rPr>
          <w:rFonts w:ascii="Arial" w:hAnsi="Arial" w:cs="Arial"/>
          <w:sz w:val="20"/>
          <w:szCs w:val="20"/>
          <w:lang w:val="en-GB"/>
        </w:rPr>
      </w:pPr>
      <w:r w:rsidRPr="00D44BBE">
        <w:rPr>
          <w:rFonts w:ascii="Arial" w:hAnsi="Arial" w:cs="Arial"/>
          <w:sz w:val="20"/>
          <w:szCs w:val="20"/>
          <w:lang w:val="en-GB"/>
        </w:rPr>
        <w:t>‘Section 28(1) provides for condonation and rectification “[i]f a registered party that has submitted a list of candidates has not fully complied with section 27”. As such, contrary</w:t>
      </w:r>
      <w:r>
        <w:rPr>
          <w:rFonts w:ascii="Arial" w:hAnsi="Arial" w:cs="Arial"/>
          <w:sz w:val="20"/>
          <w:szCs w:val="20"/>
          <w:lang w:val="en-GB"/>
        </w:rPr>
        <w:t xml:space="preserve"> </w:t>
      </w:r>
      <w:r w:rsidRPr="00D44BBE">
        <w:rPr>
          <w:rFonts w:ascii="Arial" w:hAnsi="Arial" w:cs="Arial"/>
          <w:sz w:val="20"/>
          <w:szCs w:val="20"/>
          <w:lang w:val="en-GB"/>
        </w:rPr>
        <w:t>to the applicant’s submission, section 28 does not vest the Commission with a discretion to condone late submission of candidates’ lists, but only to allow the rectification of other failures to comply with section 27. The applicant had not submitted a list by the deadline and is therefore not entitled to rectify its non-performance in terms of section 28</w:t>
      </w:r>
      <w:r w:rsidR="00E3070C">
        <w:rPr>
          <w:rFonts w:ascii="Arial" w:hAnsi="Arial" w:cs="Arial"/>
          <w:sz w:val="20"/>
          <w:szCs w:val="20"/>
          <w:lang w:val="en-GB"/>
        </w:rPr>
        <w:t>.</w:t>
      </w:r>
      <w:r w:rsidRPr="00D44BBE">
        <w:rPr>
          <w:rFonts w:ascii="Arial" w:hAnsi="Arial" w:cs="Arial"/>
          <w:sz w:val="20"/>
          <w:szCs w:val="20"/>
          <w:lang w:val="en-GB"/>
        </w:rPr>
        <w:t>’</w:t>
      </w:r>
    </w:p>
    <w:p w14:paraId="7100EDAE" w14:textId="2521E4E6" w:rsidR="005F0B29" w:rsidRPr="005F0B29" w:rsidRDefault="005F0B29" w:rsidP="005F0B29">
      <w:pPr>
        <w:pStyle w:val="EndnoteText"/>
        <w:jc w:val="both"/>
        <w:rPr>
          <w:rFonts w:ascii="Arial" w:hAnsi="Arial" w:cs="Arial"/>
          <w:lang w:val="en-ZA"/>
        </w:rPr>
      </w:pPr>
    </w:p>
  </w:footnote>
  <w:footnote w:id="11">
    <w:p w14:paraId="71046FD5" w14:textId="2FB3EF00" w:rsidR="00D44BBE" w:rsidRPr="00D44BBE" w:rsidRDefault="00D44BBE" w:rsidP="00D44BBE">
      <w:pPr>
        <w:pStyle w:val="EndnoteText"/>
        <w:jc w:val="both"/>
        <w:rPr>
          <w:rFonts w:ascii="Arial" w:hAnsi="Arial" w:cs="Arial"/>
          <w:lang w:val="en-ZA"/>
        </w:rPr>
      </w:pPr>
      <w:r w:rsidRPr="00D44BBE">
        <w:rPr>
          <w:rStyle w:val="FootnoteReference"/>
          <w:rFonts w:ascii="Arial" w:hAnsi="Arial" w:cs="Arial"/>
        </w:rPr>
        <w:footnoteRef/>
      </w:r>
      <w:r w:rsidRPr="00D44BBE">
        <w:rPr>
          <w:rFonts w:ascii="Arial" w:hAnsi="Arial" w:cs="Arial"/>
        </w:rPr>
        <w:t xml:space="preserve"> </w:t>
      </w:r>
      <w:r w:rsidRPr="00D44BBE">
        <w:rPr>
          <w:rFonts w:ascii="Arial" w:hAnsi="Arial" w:cs="Arial"/>
          <w:i/>
        </w:rPr>
        <w:t>N</w:t>
      </w:r>
      <w:r w:rsidRPr="00D44BBE">
        <w:rPr>
          <w:rFonts w:ascii="Arial" w:hAnsi="Arial" w:cs="Arial"/>
          <w:i/>
          <w:lang w:val="en-GB"/>
        </w:rPr>
        <w:t xml:space="preserve">atal Joint Municipal </w:t>
      </w:r>
      <w:r w:rsidR="00FB755B">
        <w:rPr>
          <w:rFonts w:ascii="Arial" w:hAnsi="Arial" w:cs="Arial"/>
          <w:i/>
          <w:lang w:val="en-GB"/>
        </w:rPr>
        <w:t xml:space="preserve">Pension </w:t>
      </w:r>
      <w:r w:rsidRPr="00D44BBE">
        <w:rPr>
          <w:rFonts w:ascii="Arial" w:hAnsi="Arial" w:cs="Arial"/>
          <w:i/>
          <w:lang w:val="en-GB"/>
        </w:rPr>
        <w:t xml:space="preserve">Fund v Endumeni Municipality </w:t>
      </w:r>
      <w:r w:rsidRPr="00D44BBE">
        <w:rPr>
          <w:rFonts w:ascii="Arial" w:hAnsi="Arial" w:cs="Arial"/>
          <w:lang w:val="en-ZA"/>
        </w:rPr>
        <w:t>2012 (4) SA 593 (SCA).</w:t>
      </w:r>
    </w:p>
  </w:footnote>
  <w:footnote w:id="12">
    <w:p w14:paraId="6A64DEB5" w14:textId="3D2EF1C1" w:rsidR="00E3070C" w:rsidRPr="00E3070C" w:rsidRDefault="00E3070C">
      <w:pPr>
        <w:pStyle w:val="FootnoteText"/>
        <w:rPr>
          <w:lang w:val="en-GB"/>
        </w:rPr>
      </w:pPr>
      <w:r>
        <w:rPr>
          <w:rStyle w:val="FootnoteReference"/>
        </w:rPr>
        <w:footnoteRef/>
      </w:r>
      <w:r>
        <w:t xml:space="preserve"> </w:t>
      </w:r>
      <w:r>
        <w:rPr>
          <w:lang w:val="en-GB"/>
        </w:rPr>
        <w:t>Ibid para 18.</w:t>
      </w:r>
    </w:p>
  </w:footnote>
  <w:footnote w:id="13">
    <w:p w14:paraId="4A386A1C" w14:textId="1E060511" w:rsidR="00D44BBE" w:rsidRPr="00D44BBE" w:rsidRDefault="00D44BBE" w:rsidP="00D44BBE">
      <w:pPr>
        <w:pStyle w:val="EndnoteText"/>
        <w:jc w:val="both"/>
        <w:rPr>
          <w:rFonts w:ascii="Arial" w:hAnsi="Arial" w:cs="Arial"/>
          <w:lang w:val="en-ZA"/>
        </w:rPr>
      </w:pPr>
      <w:r w:rsidRPr="00D44BBE">
        <w:rPr>
          <w:rStyle w:val="FootnoteReference"/>
          <w:rFonts w:ascii="Arial" w:hAnsi="Arial" w:cs="Arial"/>
        </w:rPr>
        <w:footnoteRef/>
      </w:r>
      <w:r w:rsidRPr="00D44BBE">
        <w:rPr>
          <w:rFonts w:ascii="Arial" w:hAnsi="Arial" w:cs="Arial"/>
        </w:rPr>
        <w:t xml:space="preserve"> </w:t>
      </w:r>
      <w:r w:rsidRPr="00D44BBE">
        <w:rPr>
          <w:rFonts w:ascii="Arial" w:eastAsia="Calibri" w:hAnsi="Arial" w:cs="Arial"/>
          <w:i/>
        </w:rPr>
        <w:t xml:space="preserve">Electoral Commission v Inkatha Freedom Party </w:t>
      </w:r>
      <w:r w:rsidRPr="00D44BBE">
        <w:rPr>
          <w:rFonts w:ascii="Arial" w:hAnsi="Arial" w:cs="Arial"/>
        </w:rPr>
        <w:t>2011 (9) BCLR 943 (CC).</w:t>
      </w:r>
    </w:p>
  </w:footnote>
  <w:footnote w:id="14">
    <w:p w14:paraId="05C2CB25" w14:textId="42228716" w:rsidR="004F4948" w:rsidRDefault="004F4948">
      <w:pPr>
        <w:pStyle w:val="FootnoteText"/>
      </w:pPr>
      <w:r>
        <w:rPr>
          <w:rStyle w:val="FootnoteReference"/>
        </w:rPr>
        <w:footnoteRef/>
      </w:r>
      <w:r>
        <w:t xml:space="preserve"> Ibid para 37.</w:t>
      </w:r>
    </w:p>
  </w:footnote>
  <w:footnote w:id="15">
    <w:p w14:paraId="5AC4EB82" w14:textId="3E67A89A" w:rsidR="00D44BBE" w:rsidRPr="00D44BBE" w:rsidRDefault="00D44BBE" w:rsidP="00D12046">
      <w:pPr>
        <w:pStyle w:val="FootnoteText"/>
        <w:rPr>
          <w:lang w:val="en-GB"/>
        </w:rPr>
      </w:pPr>
      <w:r w:rsidRPr="00D44BBE">
        <w:rPr>
          <w:rStyle w:val="FootnoteReference"/>
        </w:rPr>
        <w:footnoteRef/>
      </w:r>
      <w:r w:rsidRPr="00D44BBE">
        <w:t xml:space="preserve"> </w:t>
      </w:r>
      <w:r w:rsidRPr="00D44BBE">
        <w:rPr>
          <w:rFonts w:eastAsia="Calibri" w:cs="Arial"/>
          <w:i/>
        </w:rPr>
        <w:t xml:space="preserve">Minister of Environmental Affairs and Tourism and Others v Pepper Bay Fishing (Pty) Ltd; Minister of Environmental Affairs and Others v Smith </w:t>
      </w:r>
      <w:r w:rsidRPr="00D44BBE">
        <w:t>2004 (1) SA 308 (SCA).</w:t>
      </w:r>
    </w:p>
  </w:footnote>
  <w:footnote w:id="16">
    <w:p w14:paraId="70B79D46" w14:textId="035ED3FD" w:rsidR="00FB755B" w:rsidRPr="00FB755B" w:rsidRDefault="00FB755B">
      <w:pPr>
        <w:pStyle w:val="FootnoteText"/>
        <w:rPr>
          <w:lang w:val="en-GB"/>
        </w:rPr>
      </w:pPr>
      <w:r>
        <w:rPr>
          <w:rStyle w:val="FootnoteReference"/>
        </w:rPr>
        <w:footnoteRef/>
      </w:r>
      <w:r>
        <w:t xml:space="preserve"> </w:t>
      </w:r>
      <w:r>
        <w:rPr>
          <w:lang w:val="en-GB"/>
        </w:rPr>
        <w:t>Ibid para 24.</w:t>
      </w:r>
    </w:p>
  </w:footnote>
  <w:footnote w:id="17">
    <w:p w14:paraId="493C1DCD" w14:textId="1149E703" w:rsidR="000A301E" w:rsidRDefault="000A301E">
      <w:pPr>
        <w:pStyle w:val="FootnoteText"/>
      </w:pPr>
      <w:r>
        <w:rPr>
          <w:rStyle w:val="FootnoteReference"/>
        </w:rPr>
        <w:footnoteRef/>
      </w:r>
      <w:r>
        <w:t xml:space="preserve"> Regarding the obligations that rest on parties to account for income see </w:t>
      </w:r>
      <w:r w:rsidRPr="000A301E">
        <w:rPr>
          <w:i/>
        </w:rPr>
        <w:t xml:space="preserve">Electoral Commission of South </w:t>
      </w:r>
      <w:r w:rsidR="00D12046">
        <w:rPr>
          <w:i/>
        </w:rPr>
        <w:t xml:space="preserve">  </w:t>
      </w:r>
      <w:r w:rsidRPr="000A301E">
        <w:rPr>
          <w:i/>
        </w:rPr>
        <w:t>Africa v African Independent Congress and Others</w:t>
      </w:r>
      <w:r>
        <w:t xml:space="preserve"> [2024] ZAEC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36065"/>
      <w:docPartObj>
        <w:docPartGallery w:val="Page Numbers (Top of Page)"/>
        <w:docPartUnique/>
      </w:docPartObj>
    </w:sdtPr>
    <w:sdtEndPr>
      <w:rPr>
        <w:rFonts w:ascii="Arial" w:hAnsi="Arial" w:cs="Arial"/>
        <w:noProof/>
        <w:sz w:val="24"/>
      </w:rPr>
    </w:sdtEndPr>
    <w:sdtContent>
      <w:p w14:paraId="27F1F027" w14:textId="0C709DAC" w:rsidR="00B45370" w:rsidRPr="00100462" w:rsidRDefault="00B45370">
        <w:pPr>
          <w:pStyle w:val="Header"/>
          <w:jc w:val="right"/>
          <w:rPr>
            <w:rFonts w:ascii="Arial" w:hAnsi="Arial" w:cs="Arial"/>
            <w:sz w:val="24"/>
          </w:rPr>
        </w:pPr>
        <w:r w:rsidRPr="00100462">
          <w:rPr>
            <w:rFonts w:ascii="Arial" w:hAnsi="Arial" w:cs="Arial"/>
            <w:sz w:val="24"/>
          </w:rPr>
          <w:fldChar w:fldCharType="begin"/>
        </w:r>
        <w:r w:rsidRPr="00100462">
          <w:rPr>
            <w:rFonts w:ascii="Arial" w:hAnsi="Arial" w:cs="Arial"/>
            <w:sz w:val="24"/>
          </w:rPr>
          <w:instrText xml:space="preserve"> PAGE   \* MERGEFORMAT </w:instrText>
        </w:r>
        <w:r w:rsidRPr="00100462">
          <w:rPr>
            <w:rFonts w:ascii="Arial" w:hAnsi="Arial" w:cs="Arial"/>
            <w:sz w:val="24"/>
          </w:rPr>
          <w:fldChar w:fldCharType="separate"/>
        </w:r>
        <w:r w:rsidR="0046056B">
          <w:rPr>
            <w:rFonts w:ascii="Arial" w:hAnsi="Arial" w:cs="Arial"/>
            <w:noProof/>
            <w:sz w:val="24"/>
          </w:rPr>
          <w:t>10</w:t>
        </w:r>
        <w:r w:rsidRPr="00100462">
          <w:rPr>
            <w:rFonts w:ascii="Arial" w:hAnsi="Arial" w:cs="Arial"/>
            <w:noProof/>
            <w:sz w:val="24"/>
          </w:rPr>
          <w:fldChar w:fldCharType="end"/>
        </w:r>
      </w:p>
    </w:sdtContent>
  </w:sdt>
  <w:p w14:paraId="0796DB7E" w14:textId="77777777" w:rsidR="00B45370" w:rsidRDefault="00B453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RTF_Num 4"/>
    <w:lvl w:ilvl="0">
      <w:start w:val="1"/>
      <w:numFmt w:val="decimal"/>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 w15:restartNumberingAfterBreak="0">
    <w:nsid w:val="00000402"/>
    <w:multiLevelType w:val="multilevel"/>
    <w:tmpl w:val="00000885"/>
    <w:lvl w:ilvl="0">
      <w:start w:val="1"/>
      <w:numFmt w:val="decimal"/>
      <w:lvlText w:val="%1."/>
      <w:lvlJc w:val="left"/>
      <w:pPr>
        <w:ind w:left="494" w:hanging="329"/>
      </w:pPr>
      <w:rPr>
        <w:rFonts w:cs="Times New Roman"/>
        <w:b w:val="0"/>
        <w:bCs w:val="0"/>
        <w:w w:val="105"/>
      </w:rPr>
    </w:lvl>
    <w:lvl w:ilvl="1">
      <w:start w:val="2"/>
      <w:numFmt w:val="lowerLetter"/>
      <w:lvlText w:val="(%2)"/>
      <w:lvlJc w:val="left"/>
      <w:pPr>
        <w:ind w:left="1556" w:hanging="624"/>
      </w:pPr>
      <w:rPr>
        <w:rFonts w:cs="Times New Roman"/>
        <w:b w:val="0"/>
        <w:bCs w:val="0"/>
        <w:w w:val="120"/>
      </w:rPr>
    </w:lvl>
    <w:lvl w:ilvl="2">
      <w:numFmt w:val="bullet"/>
      <w:lvlText w:val="•"/>
      <w:lvlJc w:val="left"/>
      <w:pPr>
        <w:ind w:left="2391" w:hanging="624"/>
      </w:pPr>
    </w:lvl>
    <w:lvl w:ilvl="3">
      <w:numFmt w:val="bullet"/>
      <w:lvlText w:val="•"/>
      <w:lvlJc w:val="left"/>
      <w:pPr>
        <w:ind w:left="3222" w:hanging="624"/>
      </w:pPr>
    </w:lvl>
    <w:lvl w:ilvl="4">
      <w:numFmt w:val="bullet"/>
      <w:lvlText w:val="•"/>
      <w:lvlJc w:val="left"/>
      <w:pPr>
        <w:ind w:left="4053" w:hanging="624"/>
      </w:pPr>
    </w:lvl>
    <w:lvl w:ilvl="5">
      <w:numFmt w:val="bullet"/>
      <w:lvlText w:val="•"/>
      <w:lvlJc w:val="left"/>
      <w:pPr>
        <w:ind w:left="4884" w:hanging="624"/>
      </w:pPr>
    </w:lvl>
    <w:lvl w:ilvl="6">
      <w:numFmt w:val="bullet"/>
      <w:lvlText w:val="•"/>
      <w:lvlJc w:val="left"/>
      <w:pPr>
        <w:ind w:left="5715" w:hanging="624"/>
      </w:pPr>
    </w:lvl>
    <w:lvl w:ilvl="7">
      <w:numFmt w:val="bullet"/>
      <w:lvlText w:val="•"/>
      <w:lvlJc w:val="left"/>
      <w:pPr>
        <w:ind w:left="6546" w:hanging="624"/>
      </w:pPr>
    </w:lvl>
    <w:lvl w:ilvl="8">
      <w:numFmt w:val="bullet"/>
      <w:lvlText w:val="•"/>
      <w:lvlJc w:val="left"/>
      <w:pPr>
        <w:ind w:left="7377" w:hanging="624"/>
      </w:pPr>
    </w:lvl>
  </w:abstractNum>
  <w:abstractNum w:abstractNumId="2" w15:restartNumberingAfterBreak="0">
    <w:nsid w:val="01A26382"/>
    <w:multiLevelType w:val="hybridMultilevel"/>
    <w:tmpl w:val="24F2BE02"/>
    <w:lvl w:ilvl="0" w:tplc="F43427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387068D"/>
    <w:multiLevelType w:val="hybridMultilevel"/>
    <w:tmpl w:val="DA2E9D54"/>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C1959"/>
    <w:multiLevelType w:val="hybridMultilevel"/>
    <w:tmpl w:val="2AB4BE7A"/>
    <w:lvl w:ilvl="0" w:tplc="79EE0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0872"/>
    <w:multiLevelType w:val="hybridMultilevel"/>
    <w:tmpl w:val="4CB8B3C4"/>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55B89"/>
    <w:multiLevelType w:val="hybridMultilevel"/>
    <w:tmpl w:val="B4D8629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B1F2F"/>
    <w:multiLevelType w:val="hybridMultilevel"/>
    <w:tmpl w:val="3758AA8E"/>
    <w:lvl w:ilvl="0" w:tplc="952C1D56">
      <w:start w:val="1"/>
      <w:numFmt w:val="lowerLetter"/>
      <w:lvlText w:val="(%1)"/>
      <w:lvlJc w:val="left"/>
      <w:pPr>
        <w:ind w:left="1800" w:hanging="360"/>
      </w:pPr>
      <w:rPr>
        <w:rFonts w:hint="default"/>
        <w:sz w:val="24"/>
        <w:szCs w:val="24"/>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0EDF246B"/>
    <w:multiLevelType w:val="hybridMultilevel"/>
    <w:tmpl w:val="3732E780"/>
    <w:lvl w:ilvl="0" w:tplc="38E07846">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89156B"/>
    <w:multiLevelType w:val="hybridMultilevel"/>
    <w:tmpl w:val="C8063CF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2330B"/>
    <w:multiLevelType w:val="hybridMultilevel"/>
    <w:tmpl w:val="4BFEB5E4"/>
    <w:lvl w:ilvl="0" w:tplc="57969FC8">
      <w:start w:val="1"/>
      <w:numFmt w:val="lowerRoman"/>
      <w:lvlText w:val="(%1)"/>
      <w:lvlJc w:val="left"/>
      <w:pPr>
        <w:ind w:left="851" w:hanging="720"/>
      </w:pPr>
      <w:rPr>
        <w:rFonts w:hint="default"/>
      </w:rPr>
    </w:lvl>
    <w:lvl w:ilvl="1" w:tplc="1C090019" w:tentative="1">
      <w:start w:val="1"/>
      <w:numFmt w:val="lowerLetter"/>
      <w:lvlText w:val="%2."/>
      <w:lvlJc w:val="left"/>
      <w:pPr>
        <w:ind w:left="1211" w:hanging="360"/>
      </w:pPr>
    </w:lvl>
    <w:lvl w:ilvl="2" w:tplc="1C09001B" w:tentative="1">
      <w:start w:val="1"/>
      <w:numFmt w:val="lowerRoman"/>
      <w:lvlText w:val="%3."/>
      <w:lvlJc w:val="right"/>
      <w:pPr>
        <w:ind w:left="1931" w:hanging="180"/>
      </w:pPr>
    </w:lvl>
    <w:lvl w:ilvl="3" w:tplc="1C09000F" w:tentative="1">
      <w:start w:val="1"/>
      <w:numFmt w:val="decimal"/>
      <w:lvlText w:val="%4."/>
      <w:lvlJc w:val="left"/>
      <w:pPr>
        <w:ind w:left="2651" w:hanging="360"/>
      </w:pPr>
    </w:lvl>
    <w:lvl w:ilvl="4" w:tplc="1C090019" w:tentative="1">
      <w:start w:val="1"/>
      <w:numFmt w:val="lowerLetter"/>
      <w:lvlText w:val="%5."/>
      <w:lvlJc w:val="left"/>
      <w:pPr>
        <w:ind w:left="3371" w:hanging="360"/>
      </w:pPr>
    </w:lvl>
    <w:lvl w:ilvl="5" w:tplc="1C09001B" w:tentative="1">
      <w:start w:val="1"/>
      <w:numFmt w:val="lowerRoman"/>
      <w:lvlText w:val="%6."/>
      <w:lvlJc w:val="right"/>
      <w:pPr>
        <w:ind w:left="4091" w:hanging="180"/>
      </w:pPr>
    </w:lvl>
    <w:lvl w:ilvl="6" w:tplc="1C09000F" w:tentative="1">
      <w:start w:val="1"/>
      <w:numFmt w:val="decimal"/>
      <w:lvlText w:val="%7."/>
      <w:lvlJc w:val="left"/>
      <w:pPr>
        <w:ind w:left="4811" w:hanging="360"/>
      </w:pPr>
    </w:lvl>
    <w:lvl w:ilvl="7" w:tplc="1C090019" w:tentative="1">
      <w:start w:val="1"/>
      <w:numFmt w:val="lowerLetter"/>
      <w:lvlText w:val="%8."/>
      <w:lvlJc w:val="left"/>
      <w:pPr>
        <w:ind w:left="5531" w:hanging="360"/>
      </w:pPr>
    </w:lvl>
    <w:lvl w:ilvl="8" w:tplc="1C09001B" w:tentative="1">
      <w:start w:val="1"/>
      <w:numFmt w:val="lowerRoman"/>
      <w:lvlText w:val="%9."/>
      <w:lvlJc w:val="right"/>
      <w:pPr>
        <w:ind w:left="6251" w:hanging="180"/>
      </w:pPr>
    </w:lvl>
  </w:abstractNum>
  <w:abstractNum w:abstractNumId="11" w15:restartNumberingAfterBreak="0">
    <w:nsid w:val="140F2FFE"/>
    <w:multiLevelType w:val="hybridMultilevel"/>
    <w:tmpl w:val="836677B6"/>
    <w:lvl w:ilvl="0" w:tplc="C2E68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D1526"/>
    <w:multiLevelType w:val="hybridMultilevel"/>
    <w:tmpl w:val="096242DC"/>
    <w:lvl w:ilvl="0" w:tplc="47AE2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5507B"/>
    <w:multiLevelType w:val="hybridMultilevel"/>
    <w:tmpl w:val="EFE4C650"/>
    <w:lvl w:ilvl="0" w:tplc="60B692A2">
      <w:start w:val="1"/>
      <w:numFmt w:val="decimal"/>
      <w:lvlText w:val="%1."/>
      <w:lvlJc w:val="left"/>
      <w:pPr>
        <w:ind w:left="3960" w:hanging="360"/>
      </w:pPr>
      <w:rPr>
        <w:rFonts w:ascii="Arial" w:eastAsia="Times New Roman" w:hAnsi="Arial"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182B5E7B"/>
    <w:multiLevelType w:val="hybridMultilevel"/>
    <w:tmpl w:val="A27AA1A2"/>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459B6"/>
    <w:multiLevelType w:val="hybridMultilevel"/>
    <w:tmpl w:val="69D6C91A"/>
    <w:lvl w:ilvl="0" w:tplc="77E2B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30266"/>
    <w:multiLevelType w:val="hybridMultilevel"/>
    <w:tmpl w:val="0FFC9450"/>
    <w:lvl w:ilvl="0" w:tplc="9ACC34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A349B"/>
    <w:multiLevelType w:val="hybridMultilevel"/>
    <w:tmpl w:val="A38A72D0"/>
    <w:lvl w:ilvl="0" w:tplc="6242D7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A4A0A"/>
    <w:multiLevelType w:val="hybridMultilevel"/>
    <w:tmpl w:val="F48C3446"/>
    <w:lvl w:ilvl="0" w:tplc="601ED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050D"/>
    <w:multiLevelType w:val="hybridMultilevel"/>
    <w:tmpl w:val="F48AE1DA"/>
    <w:lvl w:ilvl="0" w:tplc="5AE0DA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857F7"/>
    <w:multiLevelType w:val="hybridMultilevel"/>
    <w:tmpl w:val="ACD038AA"/>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271A0"/>
    <w:multiLevelType w:val="hybridMultilevel"/>
    <w:tmpl w:val="FE580C44"/>
    <w:lvl w:ilvl="0" w:tplc="4A2874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2F6868F6"/>
    <w:multiLevelType w:val="hybridMultilevel"/>
    <w:tmpl w:val="CB80A7C2"/>
    <w:lvl w:ilvl="0" w:tplc="38E0784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10858"/>
    <w:multiLevelType w:val="hybridMultilevel"/>
    <w:tmpl w:val="936287A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C45ED"/>
    <w:multiLevelType w:val="hybridMultilevel"/>
    <w:tmpl w:val="D27A445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84F0B"/>
    <w:multiLevelType w:val="hybridMultilevel"/>
    <w:tmpl w:val="4FD056D2"/>
    <w:lvl w:ilvl="0" w:tplc="8DD80FA4">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58D01F9"/>
    <w:multiLevelType w:val="hybridMultilevel"/>
    <w:tmpl w:val="98BE2D0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D13BD"/>
    <w:multiLevelType w:val="multilevel"/>
    <w:tmpl w:val="92D0E282"/>
    <w:lvl w:ilvl="0">
      <w:start w:val="1"/>
      <w:numFmt w:val="decimal"/>
      <w:pStyle w:val="JUGMENTNUMBERED"/>
      <w:lvlText w:val="[%1]"/>
      <w:lvlJc w:val="left"/>
      <w:pPr>
        <w:tabs>
          <w:tab w:val="num" w:pos="68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D6D258D"/>
    <w:multiLevelType w:val="hybridMultilevel"/>
    <w:tmpl w:val="34562B02"/>
    <w:lvl w:ilvl="0" w:tplc="78BE9ABE">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37435B"/>
    <w:multiLevelType w:val="hybridMultilevel"/>
    <w:tmpl w:val="5AE698E4"/>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D161F"/>
    <w:multiLevelType w:val="hybridMultilevel"/>
    <w:tmpl w:val="E124B022"/>
    <w:lvl w:ilvl="0" w:tplc="4656D39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862A7C"/>
    <w:multiLevelType w:val="hybridMultilevel"/>
    <w:tmpl w:val="2154FFE2"/>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9281D"/>
    <w:multiLevelType w:val="hybridMultilevel"/>
    <w:tmpl w:val="26D2BC94"/>
    <w:lvl w:ilvl="0" w:tplc="47AE2C50">
      <w:start w:val="1"/>
      <w:numFmt w:val="decimal"/>
      <w:lvlText w:val="[%1]"/>
      <w:lvlJc w:val="left"/>
      <w:pPr>
        <w:ind w:left="720" w:hanging="360"/>
      </w:pPr>
      <w:rPr>
        <w:rFonts w:hint="default"/>
      </w:rPr>
    </w:lvl>
    <w:lvl w:ilvl="1" w:tplc="F27E5ED0">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60152"/>
    <w:multiLevelType w:val="hybridMultilevel"/>
    <w:tmpl w:val="8D4AE82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82804"/>
    <w:multiLevelType w:val="hybridMultilevel"/>
    <w:tmpl w:val="6408E666"/>
    <w:lvl w:ilvl="0" w:tplc="3244D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370BE"/>
    <w:multiLevelType w:val="hybridMultilevel"/>
    <w:tmpl w:val="D60E890C"/>
    <w:lvl w:ilvl="0" w:tplc="00AC249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445D8"/>
    <w:multiLevelType w:val="hybridMultilevel"/>
    <w:tmpl w:val="86AE4CAA"/>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476B3"/>
    <w:multiLevelType w:val="hybridMultilevel"/>
    <w:tmpl w:val="5A0E3E54"/>
    <w:lvl w:ilvl="0" w:tplc="B00A25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FA6BCD"/>
    <w:multiLevelType w:val="hybridMultilevel"/>
    <w:tmpl w:val="B57CDE90"/>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E1F2B"/>
    <w:multiLevelType w:val="hybridMultilevel"/>
    <w:tmpl w:val="CC648D7C"/>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22C7B"/>
    <w:multiLevelType w:val="hybridMultilevel"/>
    <w:tmpl w:val="0916CA2C"/>
    <w:lvl w:ilvl="0" w:tplc="625255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A64A5"/>
    <w:multiLevelType w:val="hybridMultilevel"/>
    <w:tmpl w:val="B9046D0C"/>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D10B9"/>
    <w:multiLevelType w:val="hybridMultilevel"/>
    <w:tmpl w:val="6DBC439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408E8"/>
    <w:multiLevelType w:val="multilevel"/>
    <w:tmpl w:val="A59E3382"/>
    <w:lvl w:ilvl="0">
      <w:start w:val="1"/>
      <w:numFmt w:val="decimal"/>
      <w:lvlText w:val="%1"/>
      <w:lvlJc w:val="left"/>
      <w:pPr>
        <w:ind w:left="720" w:hanging="72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D40590"/>
    <w:multiLevelType w:val="multilevel"/>
    <w:tmpl w:val="1AA216EC"/>
    <w:lvl w:ilvl="0">
      <w:start w:val="1"/>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27D33"/>
    <w:multiLevelType w:val="hybridMultilevel"/>
    <w:tmpl w:val="CE6A6A9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76AE2"/>
    <w:multiLevelType w:val="hybridMultilevel"/>
    <w:tmpl w:val="F9944C88"/>
    <w:lvl w:ilvl="0" w:tplc="4BC425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B42BD"/>
    <w:multiLevelType w:val="hybridMultilevel"/>
    <w:tmpl w:val="1A30E650"/>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82AE3"/>
    <w:multiLevelType w:val="hybridMultilevel"/>
    <w:tmpl w:val="49465378"/>
    <w:lvl w:ilvl="0" w:tplc="4D22A5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D6025F1"/>
    <w:multiLevelType w:val="hybridMultilevel"/>
    <w:tmpl w:val="816EEA7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4"/>
  </w:num>
  <w:num w:numId="3">
    <w:abstractNumId w:val="4"/>
  </w:num>
  <w:num w:numId="4">
    <w:abstractNumId w:val="15"/>
  </w:num>
  <w:num w:numId="5">
    <w:abstractNumId w:val="40"/>
  </w:num>
  <w:num w:numId="6">
    <w:abstractNumId w:val="28"/>
  </w:num>
  <w:num w:numId="7">
    <w:abstractNumId w:val="37"/>
  </w:num>
  <w:num w:numId="8">
    <w:abstractNumId w:val="13"/>
  </w:num>
  <w:num w:numId="9">
    <w:abstractNumId w:val="35"/>
  </w:num>
  <w:num w:numId="10">
    <w:abstractNumId w:val="43"/>
  </w:num>
  <w:num w:numId="11">
    <w:abstractNumId w:val="45"/>
  </w:num>
  <w:num w:numId="12">
    <w:abstractNumId w:val="12"/>
  </w:num>
  <w:num w:numId="13">
    <w:abstractNumId w:val="39"/>
  </w:num>
  <w:num w:numId="14">
    <w:abstractNumId w:val="5"/>
  </w:num>
  <w:num w:numId="15">
    <w:abstractNumId w:val="29"/>
  </w:num>
  <w:num w:numId="16">
    <w:abstractNumId w:val="47"/>
  </w:num>
  <w:num w:numId="17">
    <w:abstractNumId w:val="9"/>
  </w:num>
  <w:num w:numId="18">
    <w:abstractNumId w:val="31"/>
  </w:num>
  <w:num w:numId="19">
    <w:abstractNumId w:val="41"/>
  </w:num>
  <w:num w:numId="20">
    <w:abstractNumId w:val="26"/>
  </w:num>
  <w:num w:numId="21">
    <w:abstractNumId w:val="14"/>
  </w:num>
  <w:num w:numId="22">
    <w:abstractNumId w:val="49"/>
  </w:num>
  <w:num w:numId="23">
    <w:abstractNumId w:val="38"/>
  </w:num>
  <w:num w:numId="24">
    <w:abstractNumId w:val="36"/>
  </w:num>
  <w:num w:numId="25">
    <w:abstractNumId w:val="23"/>
  </w:num>
  <w:num w:numId="26">
    <w:abstractNumId w:val="32"/>
  </w:num>
  <w:num w:numId="27">
    <w:abstractNumId w:val="24"/>
  </w:num>
  <w:num w:numId="28">
    <w:abstractNumId w:val="3"/>
  </w:num>
  <w:num w:numId="29">
    <w:abstractNumId w:val="6"/>
  </w:num>
  <w:num w:numId="30">
    <w:abstractNumId w:val="20"/>
  </w:num>
  <w:num w:numId="31">
    <w:abstractNumId w:val="42"/>
  </w:num>
  <w:num w:numId="32">
    <w:abstractNumId w:val="33"/>
  </w:num>
  <w:num w:numId="33">
    <w:abstractNumId w:val="22"/>
  </w:num>
  <w:num w:numId="34">
    <w:abstractNumId w:val="11"/>
  </w:num>
  <w:num w:numId="35">
    <w:abstractNumId w:val="16"/>
  </w:num>
  <w:num w:numId="36">
    <w:abstractNumId w:val="19"/>
  </w:num>
  <w:num w:numId="37">
    <w:abstractNumId w:val="46"/>
  </w:num>
  <w:num w:numId="38">
    <w:abstractNumId w:val="21"/>
  </w:num>
  <w:num w:numId="39">
    <w:abstractNumId w:val="7"/>
  </w:num>
  <w:num w:numId="40">
    <w:abstractNumId w:val="17"/>
  </w:num>
  <w:num w:numId="41">
    <w:abstractNumId w:val="34"/>
  </w:num>
  <w:num w:numId="42">
    <w:abstractNumId w:val="18"/>
  </w:num>
  <w:num w:numId="43">
    <w:abstractNumId w:val="0"/>
  </w:num>
  <w:num w:numId="44">
    <w:abstractNumId w:val="27"/>
  </w:num>
  <w:num w:numId="45">
    <w:abstractNumId w:val="2"/>
  </w:num>
  <w:num w:numId="46">
    <w:abstractNumId w:val="48"/>
  </w:num>
  <w:num w:numId="47">
    <w:abstractNumId w:val="30"/>
  </w:num>
  <w:num w:numId="48">
    <w:abstractNumId w:val="10"/>
  </w:num>
  <w:num w:numId="49">
    <w:abstractNumId w:val="2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61"/>
    <w:rsid w:val="000013F2"/>
    <w:rsid w:val="00002350"/>
    <w:rsid w:val="00005EAE"/>
    <w:rsid w:val="00006A80"/>
    <w:rsid w:val="0001204A"/>
    <w:rsid w:val="00014517"/>
    <w:rsid w:val="00015687"/>
    <w:rsid w:val="000168B8"/>
    <w:rsid w:val="00016A41"/>
    <w:rsid w:val="00017A6E"/>
    <w:rsid w:val="00020799"/>
    <w:rsid w:val="0002250A"/>
    <w:rsid w:val="0003187B"/>
    <w:rsid w:val="00032A3B"/>
    <w:rsid w:val="00032DD2"/>
    <w:rsid w:val="00034572"/>
    <w:rsid w:val="00041E96"/>
    <w:rsid w:val="000424CB"/>
    <w:rsid w:val="00050F0E"/>
    <w:rsid w:val="0005199A"/>
    <w:rsid w:val="000551AB"/>
    <w:rsid w:val="000577B7"/>
    <w:rsid w:val="00063FCB"/>
    <w:rsid w:val="000677D1"/>
    <w:rsid w:val="00070A43"/>
    <w:rsid w:val="00070B38"/>
    <w:rsid w:val="00086A97"/>
    <w:rsid w:val="00086D31"/>
    <w:rsid w:val="00087BCD"/>
    <w:rsid w:val="000902DE"/>
    <w:rsid w:val="000939D0"/>
    <w:rsid w:val="00095ABE"/>
    <w:rsid w:val="000A2E7B"/>
    <w:rsid w:val="000A301E"/>
    <w:rsid w:val="000A6C13"/>
    <w:rsid w:val="000B15E4"/>
    <w:rsid w:val="000B5131"/>
    <w:rsid w:val="000C2A54"/>
    <w:rsid w:val="000C4B6F"/>
    <w:rsid w:val="000C4D5A"/>
    <w:rsid w:val="000C4F1B"/>
    <w:rsid w:val="000C62C6"/>
    <w:rsid w:val="000C7284"/>
    <w:rsid w:val="000D004F"/>
    <w:rsid w:val="000D58BE"/>
    <w:rsid w:val="000D5B13"/>
    <w:rsid w:val="000D73C5"/>
    <w:rsid w:val="000E4194"/>
    <w:rsid w:val="000E712F"/>
    <w:rsid w:val="000E775B"/>
    <w:rsid w:val="000F0F61"/>
    <w:rsid w:val="000F21EB"/>
    <w:rsid w:val="000F5125"/>
    <w:rsid w:val="000F6634"/>
    <w:rsid w:val="00100462"/>
    <w:rsid w:val="00115A3B"/>
    <w:rsid w:val="001168C7"/>
    <w:rsid w:val="00132DAA"/>
    <w:rsid w:val="00134AAF"/>
    <w:rsid w:val="00134EFB"/>
    <w:rsid w:val="001469F0"/>
    <w:rsid w:val="00151B5B"/>
    <w:rsid w:val="00152430"/>
    <w:rsid w:val="0015343B"/>
    <w:rsid w:val="00154B9F"/>
    <w:rsid w:val="001562FE"/>
    <w:rsid w:val="00156AC6"/>
    <w:rsid w:val="00162008"/>
    <w:rsid w:val="001645D4"/>
    <w:rsid w:val="00165EA3"/>
    <w:rsid w:val="001666AC"/>
    <w:rsid w:val="00171A3F"/>
    <w:rsid w:val="001732B8"/>
    <w:rsid w:val="00173910"/>
    <w:rsid w:val="00173D1E"/>
    <w:rsid w:val="00174073"/>
    <w:rsid w:val="0017575D"/>
    <w:rsid w:val="00176134"/>
    <w:rsid w:val="00181902"/>
    <w:rsid w:val="00184483"/>
    <w:rsid w:val="00186479"/>
    <w:rsid w:val="001878A4"/>
    <w:rsid w:val="00190229"/>
    <w:rsid w:val="00194ADB"/>
    <w:rsid w:val="00195374"/>
    <w:rsid w:val="00196A92"/>
    <w:rsid w:val="001A1D33"/>
    <w:rsid w:val="001A5E38"/>
    <w:rsid w:val="001A6765"/>
    <w:rsid w:val="001A75B1"/>
    <w:rsid w:val="001B0CF4"/>
    <w:rsid w:val="001B1BB3"/>
    <w:rsid w:val="001B27EE"/>
    <w:rsid w:val="001B3982"/>
    <w:rsid w:val="001B50C0"/>
    <w:rsid w:val="001B50E0"/>
    <w:rsid w:val="001B6F44"/>
    <w:rsid w:val="001C2BE4"/>
    <w:rsid w:val="001C4F91"/>
    <w:rsid w:val="001C57EF"/>
    <w:rsid w:val="001C5A3D"/>
    <w:rsid w:val="001D184D"/>
    <w:rsid w:val="001D353D"/>
    <w:rsid w:val="001D359E"/>
    <w:rsid w:val="001D523C"/>
    <w:rsid w:val="001E0125"/>
    <w:rsid w:val="001E3E53"/>
    <w:rsid w:val="001E40EF"/>
    <w:rsid w:val="001E52FD"/>
    <w:rsid w:val="001F02A5"/>
    <w:rsid w:val="001F1BCE"/>
    <w:rsid w:val="001F1F28"/>
    <w:rsid w:val="001F2E86"/>
    <w:rsid w:val="001F321D"/>
    <w:rsid w:val="001F5969"/>
    <w:rsid w:val="00200024"/>
    <w:rsid w:val="00202D29"/>
    <w:rsid w:val="002030B1"/>
    <w:rsid w:val="002110B7"/>
    <w:rsid w:val="0021311B"/>
    <w:rsid w:val="002255C1"/>
    <w:rsid w:val="00225FE2"/>
    <w:rsid w:val="00226656"/>
    <w:rsid w:val="00235B46"/>
    <w:rsid w:val="00237D5C"/>
    <w:rsid w:val="00240D70"/>
    <w:rsid w:val="00241B50"/>
    <w:rsid w:val="00242695"/>
    <w:rsid w:val="00242718"/>
    <w:rsid w:val="00250572"/>
    <w:rsid w:val="002611E8"/>
    <w:rsid w:val="002613BD"/>
    <w:rsid w:val="00262F6E"/>
    <w:rsid w:val="00266847"/>
    <w:rsid w:val="00270AFD"/>
    <w:rsid w:val="0027458F"/>
    <w:rsid w:val="00275047"/>
    <w:rsid w:val="00276C5D"/>
    <w:rsid w:val="00296E1F"/>
    <w:rsid w:val="00297568"/>
    <w:rsid w:val="002978F4"/>
    <w:rsid w:val="00297EDB"/>
    <w:rsid w:val="002A06C6"/>
    <w:rsid w:val="002A0C0A"/>
    <w:rsid w:val="002A5973"/>
    <w:rsid w:val="002A605F"/>
    <w:rsid w:val="002A6B73"/>
    <w:rsid w:val="002A7186"/>
    <w:rsid w:val="002B1835"/>
    <w:rsid w:val="002B2696"/>
    <w:rsid w:val="002B3A09"/>
    <w:rsid w:val="002B5BDD"/>
    <w:rsid w:val="002C2C0F"/>
    <w:rsid w:val="002C3426"/>
    <w:rsid w:val="002C5B7A"/>
    <w:rsid w:val="002D2F21"/>
    <w:rsid w:val="002E1540"/>
    <w:rsid w:val="002E1EAD"/>
    <w:rsid w:val="002E5CC2"/>
    <w:rsid w:val="002F1374"/>
    <w:rsid w:val="002F448E"/>
    <w:rsid w:val="002F664F"/>
    <w:rsid w:val="003023FB"/>
    <w:rsid w:val="00302B0B"/>
    <w:rsid w:val="00302E21"/>
    <w:rsid w:val="00306B72"/>
    <w:rsid w:val="00306E24"/>
    <w:rsid w:val="003127AB"/>
    <w:rsid w:val="00312A80"/>
    <w:rsid w:val="00312E78"/>
    <w:rsid w:val="0031352F"/>
    <w:rsid w:val="00320969"/>
    <w:rsid w:val="00320C86"/>
    <w:rsid w:val="00320CF2"/>
    <w:rsid w:val="00322301"/>
    <w:rsid w:val="003257DF"/>
    <w:rsid w:val="00325DB8"/>
    <w:rsid w:val="003275CF"/>
    <w:rsid w:val="00327CA5"/>
    <w:rsid w:val="0033115C"/>
    <w:rsid w:val="00332782"/>
    <w:rsid w:val="00333456"/>
    <w:rsid w:val="003360F5"/>
    <w:rsid w:val="00336BE4"/>
    <w:rsid w:val="003374D5"/>
    <w:rsid w:val="00342274"/>
    <w:rsid w:val="00346897"/>
    <w:rsid w:val="00347F8A"/>
    <w:rsid w:val="00351253"/>
    <w:rsid w:val="00361D07"/>
    <w:rsid w:val="00362AC3"/>
    <w:rsid w:val="00364AA7"/>
    <w:rsid w:val="00366B35"/>
    <w:rsid w:val="003678B5"/>
    <w:rsid w:val="00370DA0"/>
    <w:rsid w:val="0037146B"/>
    <w:rsid w:val="00371D2D"/>
    <w:rsid w:val="003745C7"/>
    <w:rsid w:val="00380D39"/>
    <w:rsid w:val="00382B10"/>
    <w:rsid w:val="00386E29"/>
    <w:rsid w:val="00390250"/>
    <w:rsid w:val="003907E3"/>
    <w:rsid w:val="0039525F"/>
    <w:rsid w:val="003959E1"/>
    <w:rsid w:val="00395A66"/>
    <w:rsid w:val="003A0180"/>
    <w:rsid w:val="003A22F7"/>
    <w:rsid w:val="003A6E0E"/>
    <w:rsid w:val="003B2CBE"/>
    <w:rsid w:val="003B760D"/>
    <w:rsid w:val="003B7D64"/>
    <w:rsid w:val="003C4943"/>
    <w:rsid w:val="003D4C99"/>
    <w:rsid w:val="003D605F"/>
    <w:rsid w:val="003E0702"/>
    <w:rsid w:val="003E0793"/>
    <w:rsid w:val="003E39AB"/>
    <w:rsid w:val="003E4283"/>
    <w:rsid w:val="003E432C"/>
    <w:rsid w:val="003E7F11"/>
    <w:rsid w:val="003F2EF8"/>
    <w:rsid w:val="003F5ADB"/>
    <w:rsid w:val="003F6D15"/>
    <w:rsid w:val="00400213"/>
    <w:rsid w:val="00400D5C"/>
    <w:rsid w:val="0040604D"/>
    <w:rsid w:val="0041148E"/>
    <w:rsid w:val="004115BA"/>
    <w:rsid w:val="00411BC0"/>
    <w:rsid w:val="00415462"/>
    <w:rsid w:val="004160AC"/>
    <w:rsid w:val="00416238"/>
    <w:rsid w:val="00416422"/>
    <w:rsid w:val="00416905"/>
    <w:rsid w:val="004172A9"/>
    <w:rsid w:val="004202E3"/>
    <w:rsid w:val="00421FC0"/>
    <w:rsid w:val="004224DE"/>
    <w:rsid w:val="00425715"/>
    <w:rsid w:val="00427DE5"/>
    <w:rsid w:val="00434131"/>
    <w:rsid w:val="00440B3D"/>
    <w:rsid w:val="004446DF"/>
    <w:rsid w:val="004456AC"/>
    <w:rsid w:val="00446157"/>
    <w:rsid w:val="00451A81"/>
    <w:rsid w:val="00454A20"/>
    <w:rsid w:val="0046056B"/>
    <w:rsid w:val="00460ABA"/>
    <w:rsid w:val="004620CD"/>
    <w:rsid w:val="00462936"/>
    <w:rsid w:val="00464E15"/>
    <w:rsid w:val="00467FB5"/>
    <w:rsid w:val="004731D8"/>
    <w:rsid w:val="00473984"/>
    <w:rsid w:val="004745EC"/>
    <w:rsid w:val="004759CA"/>
    <w:rsid w:val="0048161D"/>
    <w:rsid w:val="00484B8A"/>
    <w:rsid w:val="00486966"/>
    <w:rsid w:val="00494F74"/>
    <w:rsid w:val="0049728A"/>
    <w:rsid w:val="004A1CD1"/>
    <w:rsid w:val="004A2B91"/>
    <w:rsid w:val="004A2CB8"/>
    <w:rsid w:val="004A3123"/>
    <w:rsid w:val="004A3F57"/>
    <w:rsid w:val="004B2304"/>
    <w:rsid w:val="004B32CB"/>
    <w:rsid w:val="004B4D1C"/>
    <w:rsid w:val="004B7855"/>
    <w:rsid w:val="004B7D08"/>
    <w:rsid w:val="004C0908"/>
    <w:rsid w:val="004C241B"/>
    <w:rsid w:val="004C32B1"/>
    <w:rsid w:val="004C33D7"/>
    <w:rsid w:val="004C70D3"/>
    <w:rsid w:val="004C7B84"/>
    <w:rsid w:val="004D5172"/>
    <w:rsid w:val="004E04CE"/>
    <w:rsid w:val="004F1189"/>
    <w:rsid w:val="004F2686"/>
    <w:rsid w:val="004F4948"/>
    <w:rsid w:val="004F5646"/>
    <w:rsid w:val="00501BE1"/>
    <w:rsid w:val="00511467"/>
    <w:rsid w:val="0051210D"/>
    <w:rsid w:val="00517812"/>
    <w:rsid w:val="00520B6C"/>
    <w:rsid w:val="0052793F"/>
    <w:rsid w:val="00531F4F"/>
    <w:rsid w:val="005336DE"/>
    <w:rsid w:val="00534CDC"/>
    <w:rsid w:val="00544FFE"/>
    <w:rsid w:val="00546C03"/>
    <w:rsid w:val="00546F46"/>
    <w:rsid w:val="0055256E"/>
    <w:rsid w:val="005526BD"/>
    <w:rsid w:val="00556283"/>
    <w:rsid w:val="00556D60"/>
    <w:rsid w:val="005579AC"/>
    <w:rsid w:val="00560B65"/>
    <w:rsid w:val="0056370C"/>
    <w:rsid w:val="00563BA5"/>
    <w:rsid w:val="0057159A"/>
    <w:rsid w:val="00571A91"/>
    <w:rsid w:val="00574205"/>
    <w:rsid w:val="005761C9"/>
    <w:rsid w:val="00576E55"/>
    <w:rsid w:val="005815D2"/>
    <w:rsid w:val="005866D2"/>
    <w:rsid w:val="00591D14"/>
    <w:rsid w:val="005929CC"/>
    <w:rsid w:val="00594EED"/>
    <w:rsid w:val="00595BBE"/>
    <w:rsid w:val="005A3190"/>
    <w:rsid w:val="005A32EF"/>
    <w:rsid w:val="005A77DD"/>
    <w:rsid w:val="005B44B1"/>
    <w:rsid w:val="005B51ED"/>
    <w:rsid w:val="005B590A"/>
    <w:rsid w:val="005C2B37"/>
    <w:rsid w:val="005C3846"/>
    <w:rsid w:val="005C43C4"/>
    <w:rsid w:val="005C440A"/>
    <w:rsid w:val="005C65E4"/>
    <w:rsid w:val="005D293C"/>
    <w:rsid w:val="005D584D"/>
    <w:rsid w:val="005D69CF"/>
    <w:rsid w:val="005E076D"/>
    <w:rsid w:val="005E2AEC"/>
    <w:rsid w:val="005E3AA4"/>
    <w:rsid w:val="005E4804"/>
    <w:rsid w:val="005E5328"/>
    <w:rsid w:val="005F0B29"/>
    <w:rsid w:val="005F1456"/>
    <w:rsid w:val="005F1B97"/>
    <w:rsid w:val="005F4BD8"/>
    <w:rsid w:val="00600ECF"/>
    <w:rsid w:val="0060196E"/>
    <w:rsid w:val="006026BB"/>
    <w:rsid w:val="00602750"/>
    <w:rsid w:val="00603A69"/>
    <w:rsid w:val="00604172"/>
    <w:rsid w:val="00605152"/>
    <w:rsid w:val="0060558A"/>
    <w:rsid w:val="00605E63"/>
    <w:rsid w:val="00605EA1"/>
    <w:rsid w:val="00607496"/>
    <w:rsid w:val="00607B95"/>
    <w:rsid w:val="00610815"/>
    <w:rsid w:val="00613ABE"/>
    <w:rsid w:val="006148C1"/>
    <w:rsid w:val="00617685"/>
    <w:rsid w:val="00623ED5"/>
    <w:rsid w:val="006248F5"/>
    <w:rsid w:val="00625A8D"/>
    <w:rsid w:val="00625E56"/>
    <w:rsid w:val="00626CEB"/>
    <w:rsid w:val="00634D28"/>
    <w:rsid w:val="00637454"/>
    <w:rsid w:val="0063771F"/>
    <w:rsid w:val="006406BB"/>
    <w:rsid w:val="0064573E"/>
    <w:rsid w:val="006508B0"/>
    <w:rsid w:val="00651D05"/>
    <w:rsid w:val="00652111"/>
    <w:rsid w:val="00654BEB"/>
    <w:rsid w:val="00655AF4"/>
    <w:rsid w:val="00657F2F"/>
    <w:rsid w:val="006646DF"/>
    <w:rsid w:val="00666350"/>
    <w:rsid w:val="00666630"/>
    <w:rsid w:val="006667E1"/>
    <w:rsid w:val="00670E69"/>
    <w:rsid w:val="00677EA3"/>
    <w:rsid w:val="006807B6"/>
    <w:rsid w:val="00681AFD"/>
    <w:rsid w:val="00683932"/>
    <w:rsid w:val="00685C35"/>
    <w:rsid w:val="0068664D"/>
    <w:rsid w:val="006870E5"/>
    <w:rsid w:val="00690C57"/>
    <w:rsid w:val="00692521"/>
    <w:rsid w:val="00694B6D"/>
    <w:rsid w:val="00697780"/>
    <w:rsid w:val="006978BB"/>
    <w:rsid w:val="006A0EC0"/>
    <w:rsid w:val="006A3DCF"/>
    <w:rsid w:val="006A4154"/>
    <w:rsid w:val="006A78AB"/>
    <w:rsid w:val="006B7E39"/>
    <w:rsid w:val="006C5F5F"/>
    <w:rsid w:val="006D389D"/>
    <w:rsid w:val="006D4D75"/>
    <w:rsid w:val="006D552A"/>
    <w:rsid w:val="006D555B"/>
    <w:rsid w:val="006D5732"/>
    <w:rsid w:val="006E06AF"/>
    <w:rsid w:val="006E212C"/>
    <w:rsid w:val="006E3E0D"/>
    <w:rsid w:val="006E5D67"/>
    <w:rsid w:val="006E7F48"/>
    <w:rsid w:val="006E7F70"/>
    <w:rsid w:val="006F0B0B"/>
    <w:rsid w:val="006F6346"/>
    <w:rsid w:val="006F7C26"/>
    <w:rsid w:val="007011D0"/>
    <w:rsid w:val="007032C8"/>
    <w:rsid w:val="007056D7"/>
    <w:rsid w:val="007121C5"/>
    <w:rsid w:val="00716DB8"/>
    <w:rsid w:val="00717490"/>
    <w:rsid w:val="00721473"/>
    <w:rsid w:val="00726AC5"/>
    <w:rsid w:val="007300B6"/>
    <w:rsid w:val="0073154C"/>
    <w:rsid w:val="007364D7"/>
    <w:rsid w:val="00737AA6"/>
    <w:rsid w:val="00737F04"/>
    <w:rsid w:val="00742046"/>
    <w:rsid w:val="00746871"/>
    <w:rsid w:val="00746DEE"/>
    <w:rsid w:val="00747394"/>
    <w:rsid w:val="00754624"/>
    <w:rsid w:val="00755792"/>
    <w:rsid w:val="00761C6A"/>
    <w:rsid w:val="00765290"/>
    <w:rsid w:val="007678FC"/>
    <w:rsid w:val="00772437"/>
    <w:rsid w:val="00773B5C"/>
    <w:rsid w:val="00774A77"/>
    <w:rsid w:val="007762FD"/>
    <w:rsid w:val="0077664C"/>
    <w:rsid w:val="0078025D"/>
    <w:rsid w:val="00782FE5"/>
    <w:rsid w:val="0078347D"/>
    <w:rsid w:val="00783703"/>
    <w:rsid w:val="00787742"/>
    <w:rsid w:val="00790CC1"/>
    <w:rsid w:val="00792A36"/>
    <w:rsid w:val="00794C5A"/>
    <w:rsid w:val="00795002"/>
    <w:rsid w:val="00796296"/>
    <w:rsid w:val="007A0344"/>
    <w:rsid w:val="007B24A5"/>
    <w:rsid w:val="007B2774"/>
    <w:rsid w:val="007B3BF7"/>
    <w:rsid w:val="007B6E30"/>
    <w:rsid w:val="007B76F0"/>
    <w:rsid w:val="007C09B8"/>
    <w:rsid w:val="007C12A0"/>
    <w:rsid w:val="007C2883"/>
    <w:rsid w:val="007C3DAF"/>
    <w:rsid w:val="007C5CA5"/>
    <w:rsid w:val="007D1FB0"/>
    <w:rsid w:val="007D721B"/>
    <w:rsid w:val="007E3937"/>
    <w:rsid w:val="007F0065"/>
    <w:rsid w:val="007F0F32"/>
    <w:rsid w:val="007F365B"/>
    <w:rsid w:val="007F485A"/>
    <w:rsid w:val="007F58FE"/>
    <w:rsid w:val="0082409E"/>
    <w:rsid w:val="0083029D"/>
    <w:rsid w:val="00830672"/>
    <w:rsid w:val="00832611"/>
    <w:rsid w:val="00833704"/>
    <w:rsid w:val="00834AB0"/>
    <w:rsid w:val="00834CA2"/>
    <w:rsid w:val="00835577"/>
    <w:rsid w:val="00843C2F"/>
    <w:rsid w:val="00844C10"/>
    <w:rsid w:val="00850F4F"/>
    <w:rsid w:val="00854F11"/>
    <w:rsid w:val="00862065"/>
    <w:rsid w:val="00864060"/>
    <w:rsid w:val="00864F09"/>
    <w:rsid w:val="0086531F"/>
    <w:rsid w:val="00877B1B"/>
    <w:rsid w:val="00881BF9"/>
    <w:rsid w:val="00892F9F"/>
    <w:rsid w:val="00893C33"/>
    <w:rsid w:val="008A3462"/>
    <w:rsid w:val="008A59F2"/>
    <w:rsid w:val="008B2286"/>
    <w:rsid w:val="008B585A"/>
    <w:rsid w:val="008C0A98"/>
    <w:rsid w:val="008C4EF1"/>
    <w:rsid w:val="008C6D15"/>
    <w:rsid w:val="008D36B9"/>
    <w:rsid w:val="008E2B04"/>
    <w:rsid w:val="008E4604"/>
    <w:rsid w:val="008E7FF5"/>
    <w:rsid w:val="008F0BA9"/>
    <w:rsid w:val="0090290F"/>
    <w:rsid w:val="00902FBF"/>
    <w:rsid w:val="00905F51"/>
    <w:rsid w:val="009129C9"/>
    <w:rsid w:val="00912E7F"/>
    <w:rsid w:val="00914309"/>
    <w:rsid w:val="0091435D"/>
    <w:rsid w:val="00914A5F"/>
    <w:rsid w:val="009163FF"/>
    <w:rsid w:val="00916934"/>
    <w:rsid w:val="00916C4C"/>
    <w:rsid w:val="00920E2B"/>
    <w:rsid w:val="0092544E"/>
    <w:rsid w:val="009256C7"/>
    <w:rsid w:val="009264B9"/>
    <w:rsid w:val="009334FD"/>
    <w:rsid w:val="009464FB"/>
    <w:rsid w:val="00953684"/>
    <w:rsid w:val="009538C3"/>
    <w:rsid w:val="0095774C"/>
    <w:rsid w:val="00960965"/>
    <w:rsid w:val="00960A44"/>
    <w:rsid w:val="009625F8"/>
    <w:rsid w:val="009630A7"/>
    <w:rsid w:val="009634AE"/>
    <w:rsid w:val="00964DF5"/>
    <w:rsid w:val="00970DE7"/>
    <w:rsid w:val="009733B5"/>
    <w:rsid w:val="009747FE"/>
    <w:rsid w:val="009809FF"/>
    <w:rsid w:val="00982B62"/>
    <w:rsid w:val="00985F98"/>
    <w:rsid w:val="00987FF8"/>
    <w:rsid w:val="00991AA4"/>
    <w:rsid w:val="009A0F3F"/>
    <w:rsid w:val="009A113A"/>
    <w:rsid w:val="009A144A"/>
    <w:rsid w:val="009A2821"/>
    <w:rsid w:val="009A448C"/>
    <w:rsid w:val="009A6CC7"/>
    <w:rsid w:val="009B7020"/>
    <w:rsid w:val="009C17CA"/>
    <w:rsid w:val="009C3E71"/>
    <w:rsid w:val="009C7DE1"/>
    <w:rsid w:val="009D0D5B"/>
    <w:rsid w:val="009D7CE5"/>
    <w:rsid w:val="009E08CB"/>
    <w:rsid w:val="009E3C6E"/>
    <w:rsid w:val="009E4849"/>
    <w:rsid w:val="009E700A"/>
    <w:rsid w:val="009E7E25"/>
    <w:rsid w:val="009F2A74"/>
    <w:rsid w:val="009F62E2"/>
    <w:rsid w:val="00A0027E"/>
    <w:rsid w:val="00A05F17"/>
    <w:rsid w:val="00A16E81"/>
    <w:rsid w:val="00A2042A"/>
    <w:rsid w:val="00A20FDE"/>
    <w:rsid w:val="00A23F0A"/>
    <w:rsid w:val="00A268CC"/>
    <w:rsid w:val="00A35258"/>
    <w:rsid w:val="00A36176"/>
    <w:rsid w:val="00A42EAB"/>
    <w:rsid w:val="00A45FA5"/>
    <w:rsid w:val="00A470CA"/>
    <w:rsid w:val="00A508BE"/>
    <w:rsid w:val="00A5437C"/>
    <w:rsid w:val="00A6571C"/>
    <w:rsid w:val="00A678BE"/>
    <w:rsid w:val="00A704A6"/>
    <w:rsid w:val="00A72828"/>
    <w:rsid w:val="00A75A9B"/>
    <w:rsid w:val="00A81440"/>
    <w:rsid w:val="00A81844"/>
    <w:rsid w:val="00A85558"/>
    <w:rsid w:val="00A858F7"/>
    <w:rsid w:val="00A90506"/>
    <w:rsid w:val="00A905E7"/>
    <w:rsid w:val="00A90656"/>
    <w:rsid w:val="00A94EF3"/>
    <w:rsid w:val="00A95D9C"/>
    <w:rsid w:val="00A95E17"/>
    <w:rsid w:val="00AA09D1"/>
    <w:rsid w:val="00AA0B8E"/>
    <w:rsid w:val="00AA4C2D"/>
    <w:rsid w:val="00AA6950"/>
    <w:rsid w:val="00AB0A39"/>
    <w:rsid w:val="00AB1CC1"/>
    <w:rsid w:val="00AB5972"/>
    <w:rsid w:val="00AB7B54"/>
    <w:rsid w:val="00AC5A64"/>
    <w:rsid w:val="00AC5B41"/>
    <w:rsid w:val="00AC791C"/>
    <w:rsid w:val="00AF07DD"/>
    <w:rsid w:val="00AF3D61"/>
    <w:rsid w:val="00AF708A"/>
    <w:rsid w:val="00B00FF0"/>
    <w:rsid w:val="00B022DE"/>
    <w:rsid w:val="00B11347"/>
    <w:rsid w:val="00B167B7"/>
    <w:rsid w:val="00B17828"/>
    <w:rsid w:val="00B237C3"/>
    <w:rsid w:val="00B24C05"/>
    <w:rsid w:val="00B24D41"/>
    <w:rsid w:val="00B26342"/>
    <w:rsid w:val="00B26B80"/>
    <w:rsid w:val="00B30DBC"/>
    <w:rsid w:val="00B364B5"/>
    <w:rsid w:val="00B43167"/>
    <w:rsid w:val="00B45370"/>
    <w:rsid w:val="00B453DC"/>
    <w:rsid w:val="00B47A09"/>
    <w:rsid w:val="00B526B9"/>
    <w:rsid w:val="00B52EC4"/>
    <w:rsid w:val="00B53A1F"/>
    <w:rsid w:val="00B54E2A"/>
    <w:rsid w:val="00B566C6"/>
    <w:rsid w:val="00B61755"/>
    <w:rsid w:val="00B6407D"/>
    <w:rsid w:val="00B72D87"/>
    <w:rsid w:val="00B761A6"/>
    <w:rsid w:val="00B80AF8"/>
    <w:rsid w:val="00B80B0F"/>
    <w:rsid w:val="00B86507"/>
    <w:rsid w:val="00B86728"/>
    <w:rsid w:val="00B922B1"/>
    <w:rsid w:val="00B94F44"/>
    <w:rsid w:val="00BA7C3B"/>
    <w:rsid w:val="00BB0F2E"/>
    <w:rsid w:val="00BB1458"/>
    <w:rsid w:val="00BB2EB6"/>
    <w:rsid w:val="00BC075C"/>
    <w:rsid w:val="00BC2FD9"/>
    <w:rsid w:val="00BC3299"/>
    <w:rsid w:val="00BC4C9A"/>
    <w:rsid w:val="00BC700B"/>
    <w:rsid w:val="00BC751E"/>
    <w:rsid w:val="00BD5464"/>
    <w:rsid w:val="00BD752C"/>
    <w:rsid w:val="00BE094F"/>
    <w:rsid w:val="00BE0E61"/>
    <w:rsid w:val="00BE13E5"/>
    <w:rsid w:val="00BE21BC"/>
    <w:rsid w:val="00BE4C6D"/>
    <w:rsid w:val="00BE6A79"/>
    <w:rsid w:val="00BE7451"/>
    <w:rsid w:val="00BF0690"/>
    <w:rsid w:val="00BF4CD8"/>
    <w:rsid w:val="00BF70A6"/>
    <w:rsid w:val="00C06D72"/>
    <w:rsid w:val="00C127BE"/>
    <w:rsid w:val="00C12D94"/>
    <w:rsid w:val="00C13991"/>
    <w:rsid w:val="00C15898"/>
    <w:rsid w:val="00C1648F"/>
    <w:rsid w:val="00C22450"/>
    <w:rsid w:val="00C22944"/>
    <w:rsid w:val="00C22BE2"/>
    <w:rsid w:val="00C24125"/>
    <w:rsid w:val="00C24FAF"/>
    <w:rsid w:val="00C255DA"/>
    <w:rsid w:val="00C25A89"/>
    <w:rsid w:val="00C270C5"/>
    <w:rsid w:val="00C3070E"/>
    <w:rsid w:val="00C34842"/>
    <w:rsid w:val="00C34FF3"/>
    <w:rsid w:val="00C359C6"/>
    <w:rsid w:val="00C41BCD"/>
    <w:rsid w:val="00C5597A"/>
    <w:rsid w:val="00C6216F"/>
    <w:rsid w:val="00C623B5"/>
    <w:rsid w:val="00C62CA1"/>
    <w:rsid w:val="00C701F3"/>
    <w:rsid w:val="00C7291B"/>
    <w:rsid w:val="00C905C2"/>
    <w:rsid w:val="00C907CD"/>
    <w:rsid w:val="00C93716"/>
    <w:rsid w:val="00CA2A2C"/>
    <w:rsid w:val="00CA356B"/>
    <w:rsid w:val="00CA488C"/>
    <w:rsid w:val="00CA4F83"/>
    <w:rsid w:val="00CB3070"/>
    <w:rsid w:val="00CB6C73"/>
    <w:rsid w:val="00CC0F4B"/>
    <w:rsid w:val="00CC2D6B"/>
    <w:rsid w:val="00CC4456"/>
    <w:rsid w:val="00CD2C2E"/>
    <w:rsid w:val="00CD6722"/>
    <w:rsid w:val="00CE3EA2"/>
    <w:rsid w:val="00CE6799"/>
    <w:rsid w:val="00CF183F"/>
    <w:rsid w:val="00CF4953"/>
    <w:rsid w:val="00CF7603"/>
    <w:rsid w:val="00CF7A18"/>
    <w:rsid w:val="00D00084"/>
    <w:rsid w:val="00D001FB"/>
    <w:rsid w:val="00D05F31"/>
    <w:rsid w:val="00D12046"/>
    <w:rsid w:val="00D154EA"/>
    <w:rsid w:val="00D15500"/>
    <w:rsid w:val="00D15E79"/>
    <w:rsid w:val="00D20C55"/>
    <w:rsid w:val="00D243E6"/>
    <w:rsid w:val="00D25756"/>
    <w:rsid w:val="00D25811"/>
    <w:rsid w:val="00D337BC"/>
    <w:rsid w:val="00D35C16"/>
    <w:rsid w:val="00D36439"/>
    <w:rsid w:val="00D41A7E"/>
    <w:rsid w:val="00D4223A"/>
    <w:rsid w:val="00D42FD3"/>
    <w:rsid w:val="00D4452E"/>
    <w:rsid w:val="00D44BBE"/>
    <w:rsid w:val="00D4527F"/>
    <w:rsid w:val="00D53DA3"/>
    <w:rsid w:val="00D57FB7"/>
    <w:rsid w:val="00D62D27"/>
    <w:rsid w:val="00D63018"/>
    <w:rsid w:val="00D670F2"/>
    <w:rsid w:val="00D708AA"/>
    <w:rsid w:val="00D7574A"/>
    <w:rsid w:val="00D76FE7"/>
    <w:rsid w:val="00D8018E"/>
    <w:rsid w:val="00D80610"/>
    <w:rsid w:val="00D815C5"/>
    <w:rsid w:val="00D821C2"/>
    <w:rsid w:val="00D86ADA"/>
    <w:rsid w:val="00D92366"/>
    <w:rsid w:val="00D926D4"/>
    <w:rsid w:val="00D92A6B"/>
    <w:rsid w:val="00D95AE4"/>
    <w:rsid w:val="00DA1618"/>
    <w:rsid w:val="00DA1CA5"/>
    <w:rsid w:val="00DA3546"/>
    <w:rsid w:val="00DA4C37"/>
    <w:rsid w:val="00DA56D1"/>
    <w:rsid w:val="00DA69DA"/>
    <w:rsid w:val="00DA7027"/>
    <w:rsid w:val="00DA7B4B"/>
    <w:rsid w:val="00DB14F9"/>
    <w:rsid w:val="00DB1DA3"/>
    <w:rsid w:val="00DB43DC"/>
    <w:rsid w:val="00DC5554"/>
    <w:rsid w:val="00DC691A"/>
    <w:rsid w:val="00DD1B82"/>
    <w:rsid w:val="00DD5153"/>
    <w:rsid w:val="00DD7317"/>
    <w:rsid w:val="00DD7EBF"/>
    <w:rsid w:val="00DE0F71"/>
    <w:rsid w:val="00DE114C"/>
    <w:rsid w:val="00DE335F"/>
    <w:rsid w:val="00DF005F"/>
    <w:rsid w:val="00DF344D"/>
    <w:rsid w:val="00DF4043"/>
    <w:rsid w:val="00E01A02"/>
    <w:rsid w:val="00E04588"/>
    <w:rsid w:val="00E13187"/>
    <w:rsid w:val="00E15427"/>
    <w:rsid w:val="00E16B74"/>
    <w:rsid w:val="00E22A71"/>
    <w:rsid w:val="00E2347B"/>
    <w:rsid w:val="00E23B9A"/>
    <w:rsid w:val="00E3070C"/>
    <w:rsid w:val="00E31B01"/>
    <w:rsid w:val="00E33940"/>
    <w:rsid w:val="00E4025C"/>
    <w:rsid w:val="00E414D2"/>
    <w:rsid w:val="00E41CF3"/>
    <w:rsid w:val="00E42D6A"/>
    <w:rsid w:val="00E436F2"/>
    <w:rsid w:val="00E4504A"/>
    <w:rsid w:val="00E45A38"/>
    <w:rsid w:val="00E51AAF"/>
    <w:rsid w:val="00E52DEF"/>
    <w:rsid w:val="00E60395"/>
    <w:rsid w:val="00E6146E"/>
    <w:rsid w:val="00E65A32"/>
    <w:rsid w:val="00E65EA3"/>
    <w:rsid w:val="00E71313"/>
    <w:rsid w:val="00E71C8F"/>
    <w:rsid w:val="00E74636"/>
    <w:rsid w:val="00E769D8"/>
    <w:rsid w:val="00E76E55"/>
    <w:rsid w:val="00E86177"/>
    <w:rsid w:val="00E86870"/>
    <w:rsid w:val="00E877B7"/>
    <w:rsid w:val="00E9395A"/>
    <w:rsid w:val="00E95E72"/>
    <w:rsid w:val="00E962B2"/>
    <w:rsid w:val="00EA108F"/>
    <w:rsid w:val="00EA52DE"/>
    <w:rsid w:val="00EA7B72"/>
    <w:rsid w:val="00EB6970"/>
    <w:rsid w:val="00EC1530"/>
    <w:rsid w:val="00EC307B"/>
    <w:rsid w:val="00EC5BDA"/>
    <w:rsid w:val="00ED29EF"/>
    <w:rsid w:val="00ED301C"/>
    <w:rsid w:val="00ED37CD"/>
    <w:rsid w:val="00ED3921"/>
    <w:rsid w:val="00ED54BA"/>
    <w:rsid w:val="00ED6753"/>
    <w:rsid w:val="00ED6D66"/>
    <w:rsid w:val="00ED7128"/>
    <w:rsid w:val="00ED789C"/>
    <w:rsid w:val="00EE4471"/>
    <w:rsid w:val="00EE506B"/>
    <w:rsid w:val="00EF1551"/>
    <w:rsid w:val="00EF2C9F"/>
    <w:rsid w:val="00EF3412"/>
    <w:rsid w:val="00EF4072"/>
    <w:rsid w:val="00EF5C6D"/>
    <w:rsid w:val="00EF72DE"/>
    <w:rsid w:val="00F006CF"/>
    <w:rsid w:val="00F031DC"/>
    <w:rsid w:val="00F07598"/>
    <w:rsid w:val="00F15E5E"/>
    <w:rsid w:val="00F164F8"/>
    <w:rsid w:val="00F1661E"/>
    <w:rsid w:val="00F20172"/>
    <w:rsid w:val="00F2055A"/>
    <w:rsid w:val="00F2357B"/>
    <w:rsid w:val="00F3033F"/>
    <w:rsid w:val="00F31939"/>
    <w:rsid w:val="00F33606"/>
    <w:rsid w:val="00F343BD"/>
    <w:rsid w:val="00F35ED7"/>
    <w:rsid w:val="00F3661A"/>
    <w:rsid w:val="00F36891"/>
    <w:rsid w:val="00F37D87"/>
    <w:rsid w:val="00F4194F"/>
    <w:rsid w:val="00F4465A"/>
    <w:rsid w:val="00F44B28"/>
    <w:rsid w:val="00F474D9"/>
    <w:rsid w:val="00F5415C"/>
    <w:rsid w:val="00F56577"/>
    <w:rsid w:val="00F56DA9"/>
    <w:rsid w:val="00F604AA"/>
    <w:rsid w:val="00F608B3"/>
    <w:rsid w:val="00F65DB2"/>
    <w:rsid w:val="00F67282"/>
    <w:rsid w:val="00F703C0"/>
    <w:rsid w:val="00F70F04"/>
    <w:rsid w:val="00F7209B"/>
    <w:rsid w:val="00F7218D"/>
    <w:rsid w:val="00F72A06"/>
    <w:rsid w:val="00F73096"/>
    <w:rsid w:val="00F740A5"/>
    <w:rsid w:val="00F81D86"/>
    <w:rsid w:val="00F82D58"/>
    <w:rsid w:val="00F84E0B"/>
    <w:rsid w:val="00F9766B"/>
    <w:rsid w:val="00FA1284"/>
    <w:rsid w:val="00FA3177"/>
    <w:rsid w:val="00FA6ECB"/>
    <w:rsid w:val="00FB022A"/>
    <w:rsid w:val="00FB1304"/>
    <w:rsid w:val="00FB1515"/>
    <w:rsid w:val="00FB2AE6"/>
    <w:rsid w:val="00FB2DDB"/>
    <w:rsid w:val="00FB3309"/>
    <w:rsid w:val="00FB73F5"/>
    <w:rsid w:val="00FB7482"/>
    <w:rsid w:val="00FB755B"/>
    <w:rsid w:val="00FC21F6"/>
    <w:rsid w:val="00FD09DB"/>
    <w:rsid w:val="00FD1251"/>
    <w:rsid w:val="00FD1711"/>
    <w:rsid w:val="00FD38C9"/>
    <w:rsid w:val="00FD4689"/>
    <w:rsid w:val="00FD6F6F"/>
    <w:rsid w:val="00FD786E"/>
    <w:rsid w:val="00FE2D73"/>
    <w:rsid w:val="00FE64ED"/>
    <w:rsid w:val="00FE6D66"/>
    <w:rsid w:val="00FE79F1"/>
    <w:rsid w:val="00FF0C6F"/>
    <w:rsid w:val="00FF3203"/>
    <w:rsid w:val="00FF4EEF"/>
    <w:rsid w:val="00FF4F95"/>
    <w:rsid w:val="00FF5E7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FC2"/>
  <w15:chartTrackingRefBased/>
  <w15:docId w15:val="{659E8F16-3B59-424B-B447-5BE1D4A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E61"/>
    <w:pPr>
      <w:widowControl w:val="0"/>
      <w:spacing w:after="0" w:line="240" w:lineRule="auto"/>
      <w:jc w:val="both"/>
    </w:pPr>
    <w:rPr>
      <w:rFonts w:ascii="Arial" w:eastAsia="Times New Roman" w:hAnsi="Arial" w:cs="Times New Roman"/>
      <w:sz w:val="20"/>
      <w:szCs w:val="20"/>
      <w:lang w:val="en-ZA"/>
    </w:rPr>
  </w:style>
  <w:style w:type="character" w:customStyle="1" w:styleId="FootnoteTextChar">
    <w:name w:val="Footnote Text Char"/>
    <w:basedOn w:val="DefaultParagraphFont"/>
    <w:link w:val="FootnoteText"/>
    <w:uiPriority w:val="99"/>
    <w:semiHidden/>
    <w:rsid w:val="00BE0E61"/>
    <w:rPr>
      <w:rFonts w:ascii="Arial" w:eastAsia="Times New Roman" w:hAnsi="Arial" w:cs="Times New Roman"/>
      <w:sz w:val="20"/>
      <w:szCs w:val="20"/>
      <w:lang w:val="en-ZA"/>
    </w:rPr>
  </w:style>
  <w:style w:type="paragraph" w:styleId="Header">
    <w:name w:val="header"/>
    <w:basedOn w:val="Normal"/>
    <w:link w:val="HeaderChar"/>
    <w:uiPriority w:val="99"/>
    <w:unhideWhenUsed/>
    <w:rsid w:val="00BE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61"/>
  </w:style>
  <w:style w:type="paragraph" w:styleId="Footer">
    <w:name w:val="footer"/>
    <w:basedOn w:val="Normal"/>
    <w:link w:val="FooterChar"/>
    <w:uiPriority w:val="99"/>
    <w:unhideWhenUsed/>
    <w:rsid w:val="00BE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61"/>
  </w:style>
  <w:style w:type="paragraph" w:styleId="BalloonText">
    <w:name w:val="Balloon Text"/>
    <w:basedOn w:val="Normal"/>
    <w:link w:val="BalloonTextChar"/>
    <w:uiPriority w:val="99"/>
    <w:semiHidden/>
    <w:unhideWhenUsed/>
    <w:rsid w:val="00BE0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1"/>
    <w:rPr>
      <w:rFonts w:ascii="Segoe UI" w:hAnsi="Segoe UI" w:cs="Segoe UI"/>
      <w:sz w:val="18"/>
      <w:szCs w:val="18"/>
    </w:rPr>
  </w:style>
  <w:style w:type="table" w:styleId="TableGrid">
    <w:name w:val="Table Grid"/>
    <w:basedOn w:val="TableNormal"/>
    <w:uiPriority w:val="39"/>
    <w:rsid w:val="002A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F0B0B"/>
    <w:pPr>
      <w:ind w:left="720"/>
      <w:contextualSpacing/>
    </w:pPr>
  </w:style>
  <w:style w:type="character" w:styleId="FootnoteReference">
    <w:name w:val="footnote reference"/>
    <w:basedOn w:val="DefaultParagraphFont"/>
    <w:uiPriority w:val="99"/>
    <w:semiHidden/>
    <w:unhideWhenUsed/>
    <w:rsid w:val="00556D60"/>
    <w:rPr>
      <w:vertAlign w:val="superscript"/>
    </w:rPr>
  </w:style>
  <w:style w:type="character" w:styleId="Hyperlink">
    <w:name w:val="Hyperlink"/>
    <w:basedOn w:val="DefaultParagraphFont"/>
    <w:uiPriority w:val="99"/>
    <w:unhideWhenUsed/>
    <w:rsid w:val="00666350"/>
    <w:rPr>
      <w:color w:val="0563C1" w:themeColor="hyperlink"/>
      <w:u w:val="single"/>
    </w:rPr>
  </w:style>
  <w:style w:type="character" w:customStyle="1" w:styleId="UnresolvedMention1">
    <w:name w:val="Unresolved Mention1"/>
    <w:basedOn w:val="DefaultParagraphFont"/>
    <w:uiPriority w:val="99"/>
    <w:semiHidden/>
    <w:unhideWhenUsed/>
    <w:rsid w:val="00666350"/>
    <w:rPr>
      <w:color w:val="605E5C"/>
      <w:shd w:val="clear" w:color="auto" w:fill="E1DFDD"/>
    </w:rPr>
  </w:style>
  <w:style w:type="character" w:customStyle="1" w:styleId="UnresolvedMention2">
    <w:name w:val="Unresolved Mention2"/>
    <w:basedOn w:val="DefaultParagraphFont"/>
    <w:uiPriority w:val="99"/>
    <w:semiHidden/>
    <w:unhideWhenUsed/>
    <w:rsid w:val="006646DF"/>
    <w:rPr>
      <w:color w:val="605E5C"/>
      <w:shd w:val="clear" w:color="auto" w:fill="E1DFDD"/>
    </w:rPr>
  </w:style>
  <w:style w:type="character" w:styleId="CommentReference">
    <w:name w:val="annotation reference"/>
    <w:basedOn w:val="DefaultParagraphFont"/>
    <w:uiPriority w:val="99"/>
    <w:semiHidden/>
    <w:unhideWhenUsed/>
    <w:rsid w:val="00D243E6"/>
    <w:rPr>
      <w:sz w:val="16"/>
      <w:szCs w:val="16"/>
    </w:rPr>
  </w:style>
  <w:style w:type="paragraph" w:styleId="CommentText">
    <w:name w:val="annotation text"/>
    <w:basedOn w:val="Normal"/>
    <w:link w:val="CommentTextChar"/>
    <w:uiPriority w:val="99"/>
    <w:unhideWhenUsed/>
    <w:rsid w:val="00D243E6"/>
    <w:pPr>
      <w:spacing w:line="240" w:lineRule="auto"/>
    </w:pPr>
    <w:rPr>
      <w:sz w:val="20"/>
      <w:szCs w:val="20"/>
    </w:rPr>
  </w:style>
  <w:style w:type="character" w:customStyle="1" w:styleId="CommentTextChar">
    <w:name w:val="Comment Text Char"/>
    <w:basedOn w:val="DefaultParagraphFont"/>
    <w:link w:val="CommentText"/>
    <w:uiPriority w:val="99"/>
    <w:rsid w:val="00D243E6"/>
    <w:rPr>
      <w:sz w:val="20"/>
      <w:szCs w:val="20"/>
    </w:rPr>
  </w:style>
  <w:style w:type="paragraph" w:styleId="CommentSubject">
    <w:name w:val="annotation subject"/>
    <w:basedOn w:val="CommentText"/>
    <w:next w:val="CommentText"/>
    <w:link w:val="CommentSubjectChar"/>
    <w:uiPriority w:val="99"/>
    <w:semiHidden/>
    <w:unhideWhenUsed/>
    <w:rsid w:val="00D243E6"/>
    <w:rPr>
      <w:b/>
      <w:bCs/>
    </w:rPr>
  </w:style>
  <w:style w:type="character" w:customStyle="1" w:styleId="CommentSubjectChar">
    <w:name w:val="Comment Subject Char"/>
    <w:basedOn w:val="CommentTextChar"/>
    <w:link w:val="CommentSubject"/>
    <w:uiPriority w:val="99"/>
    <w:semiHidden/>
    <w:rsid w:val="00D243E6"/>
    <w:rPr>
      <w:b/>
      <w:bCs/>
      <w:sz w:val="20"/>
      <w:szCs w:val="20"/>
    </w:rPr>
  </w:style>
  <w:style w:type="paragraph" w:styleId="Revision">
    <w:name w:val="Revision"/>
    <w:hidden/>
    <w:uiPriority w:val="99"/>
    <w:semiHidden/>
    <w:rsid w:val="00FD38C9"/>
    <w:pPr>
      <w:spacing w:after="0" w:line="240" w:lineRule="auto"/>
    </w:pPr>
  </w:style>
  <w:style w:type="character" w:customStyle="1" w:styleId="UnresolvedMention3">
    <w:name w:val="Unresolved Mention3"/>
    <w:basedOn w:val="DefaultParagraphFont"/>
    <w:uiPriority w:val="99"/>
    <w:semiHidden/>
    <w:unhideWhenUsed/>
    <w:rsid w:val="00FA6ECB"/>
    <w:rPr>
      <w:color w:val="605E5C"/>
      <w:shd w:val="clear" w:color="auto" w:fill="E1DFDD"/>
    </w:rPr>
  </w:style>
  <w:style w:type="paragraph" w:customStyle="1" w:styleId="JUGMENTNUMBERED">
    <w:name w:val="JUGMENT NUMBERED"/>
    <w:basedOn w:val="Normal"/>
    <w:uiPriority w:val="99"/>
    <w:rsid w:val="00336BE4"/>
    <w:pPr>
      <w:numPr>
        <w:numId w:val="44"/>
      </w:numPr>
      <w:spacing w:after="0" w:line="480" w:lineRule="auto"/>
      <w:jc w:val="both"/>
    </w:pPr>
    <w:rPr>
      <w:rFonts w:ascii="Times New Roman" w:eastAsiaTheme="minorEastAsia" w:hAnsi="Times New Roman" w:cs="Times New Roman"/>
      <w:sz w:val="26"/>
      <w:szCs w:val="26"/>
      <w:lang w:val="en-ZA" w:eastAsia="en-ZA"/>
    </w:rPr>
  </w:style>
  <w:style w:type="paragraph" w:styleId="EndnoteText">
    <w:name w:val="endnote text"/>
    <w:basedOn w:val="Normal"/>
    <w:link w:val="EndnoteTextChar"/>
    <w:uiPriority w:val="99"/>
    <w:unhideWhenUsed/>
    <w:rsid w:val="001F1BCE"/>
    <w:pPr>
      <w:spacing w:after="0" w:line="240" w:lineRule="auto"/>
    </w:pPr>
    <w:rPr>
      <w:sz w:val="20"/>
      <w:szCs w:val="20"/>
    </w:rPr>
  </w:style>
  <w:style w:type="character" w:customStyle="1" w:styleId="EndnoteTextChar">
    <w:name w:val="Endnote Text Char"/>
    <w:basedOn w:val="DefaultParagraphFont"/>
    <w:link w:val="EndnoteText"/>
    <w:uiPriority w:val="99"/>
    <w:rsid w:val="001F1BCE"/>
    <w:rPr>
      <w:sz w:val="20"/>
      <w:szCs w:val="20"/>
    </w:rPr>
  </w:style>
  <w:style w:type="character" w:styleId="EndnoteReference">
    <w:name w:val="endnote reference"/>
    <w:basedOn w:val="DefaultParagraphFont"/>
    <w:uiPriority w:val="99"/>
    <w:semiHidden/>
    <w:unhideWhenUsed/>
    <w:rsid w:val="001F1BCE"/>
    <w:rPr>
      <w:vertAlign w:val="superscript"/>
    </w:rPr>
  </w:style>
  <w:style w:type="paragraph" w:customStyle="1" w:styleId="western">
    <w:name w:val="western"/>
    <w:basedOn w:val="Normal"/>
    <w:rsid w:val="000577B7"/>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9424">
      <w:bodyDiv w:val="1"/>
      <w:marLeft w:val="0"/>
      <w:marRight w:val="0"/>
      <w:marTop w:val="0"/>
      <w:marBottom w:val="0"/>
      <w:divBdr>
        <w:top w:val="none" w:sz="0" w:space="0" w:color="auto"/>
        <w:left w:val="none" w:sz="0" w:space="0" w:color="auto"/>
        <w:bottom w:val="none" w:sz="0" w:space="0" w:color="auto"/>
        <w:right w:val="none" w:sz="0" w:space="0" w:color="auto"/>
      </w:divBdr>
      <w:divsChild>
        <w:div w:id="2060854180">
          <w:marLeft w:val="0"/>
          <w:marRight w:val="0"/>
          <w:marTop w:val="120"/>
          <w:marBottom w:val="0"/>
          <w:divBdr>
            <w:top w:val="none" w:sz="0" w:space="0" w:color="auto"/>
            <w:left w:val="none" w:sz="0" w:space="0" w:color="auto"/>
            <w:bottom w:val="none" w:sz="0" w:space="0" w:color="auto"/>
            <w:right w:val="none" w:sz="0" w:space="0" w:color="auto"/>
          </w:divBdr>
        </w:div>
        <w:div w:id="1515222911">
          <w:marLeft w:val="0"/>
          <w:marRight w:val="0"/>
          <w:marTop w:val="120"/>
          <w:marBottom w:val="0"/>
          <w:divBdr>
            <w:top w:val="none" w:sz="0" w:space="0" w:color="auto"/>
            <w:left w:val="none" w:sz="0" w:space="0" w:color="auto"/>
            <w:bottom w:val="none" w:sz="0" w:space="0" w:color="auto"/>
            <w:right w:val="none" w:sz="0" w:space="0" w:color="auto"/>
          </w:divBdr>
        </w:div>
        <w:div w:id="1759985654">
          <w:marLeft w:val="1418"/>
          <w:marRight w:val="0"/>
          <w:marTop w:val="60"/>
          <w:marBottom w:val="0"/>
          <w:divBdr>
            <w:top w:val="none" w:sz="0" w:space="0" w:color="auto"/>
            <w:left w:val="none" w:sz="0" w:space="0" w:color="auto"/>
            <w:bottom w:val="none" w:sz="0" w:space="0" w:color="auto"/>
            <w:right w:val="none" w:sz="0" w:space="0" w:color="auto"/>
          </w:divBdr>
        </w:div>
        <w:div w:id="1291738823">
          <w:marLeft w:val="1418"/>
          <w:marRight w:val="0"/>
          <w:marTop w:val="60"/>
          <w:marBottom w:val="0"/>
          <w:divBdr>
            <w:top w:val="none" w:sz="0" w:space="0" w:color="auto"/>
            <w:left w:val="none" w:sz="0" w:space="0" w:color="auto"/>
            <w:bottom w:val="none" w:sz="0" w:space="0" w:color="auto"/>
            <w:right w:val="none" w:sz="0" w:space="0" w:color="auto"/>
          </w:divBdr>
        </w:div>
        <w:div w:id="346054670">
          <w:marLeft w:val="1418"/>
          <w:marRight w:val="0"/>
          <w:marTop w:val="60"/>
          <w:marBottom w:val="0"/>
          <w:divBdr>
            <w:top w:val="none" w:sz="0" w:space="0" w:color="auto"/>
            <w:left w:val="none" w:sz="0" w:space="0" w:color="auto"/>
            <w:bottom w:val="none" w:sz="0" w:space="0" w:color="auto"/>
            <w:right w:val="none" w:sz="0" w:space="0" w:color="auto"/>
          </w:divBdr>
        </w:div>
        <w:div w:id="532114350">
          <w:marLeft w:val="1418"/>
          <w:marRight w:val="0"/>
          <w:marTop w:val="60"/>
          <w:marBottom w:val="0"/>
          <w:divBdr>
            <w:top w:val="none" w:sz="0" w:space="0" w:color="auto"/>
            <w:left w:val="none" w:sz="0" w:space="0" w:color="auto"/>
            <w:bottom w:val="none" w:sz="0" w:space="0" w:color="auto"/>
            <w:right w:val="none" w:sz="0" w:space="0" w:color="auto"/>
          </w:divBdr>
        </w:div>
      </w:divsChild>
    </w:div>
    <w:div w:id="1069230608">
      <w:bodyDiv w:val="1"/>
      <w:marLeft w:val="0"/>
      <w:marRight w:val="0"/>
      <w:marTop w:val="0"/>
      <w:marBottom w:val="0"/>
      <w:divBdr>
        <w:top w:val="none" w:sz="0" w:space="0" w:color="auto"/>
        <w:left w:val="none" w:sz="0" w:space="0" w:color="auto"/>
        <w:bottom w:val="none" w:sz="0" w:space="0" w:color="auto"/>
        <w:right w:val="none" w:sz="0" w:space="0" w:color="auto"/>
      </w:divBdr>
      <w:divsChild>
        <w:div w:id="2139227448">
          <w:marLeft w:val="0"/>
          <w:marRight w:val="0"/>
          <w:marTop w:val="120"/>
          <w:marBottom w:val="0"/>
          <w:divBdr>
            <w:top w:val="none" w:sz="0" w:space="0" w:color="auto"/>
            <w:left w:val="none" w:sz="0" w:space="0" w:color="auto"/>
            <w:bottom w:val="none" w:sz="0" w:space="0" w:color="auto"/>
            <w:right w:val="none" w:sz="0" w:space="0" w:color="auto"/>
          </w:divBdr>
        </w:div>
        <w:div w:id="1029524622">
          <w:marLeft w:val="0"/>
          <w:marRight w:val="0"/>
          <w:marTop w:val="240"/>
          <w:marBottom w:val="24"/>
          <w:divBdr>
            <w:top w:val="single" w:sz="8" w:space="2" w:color="808080"/>
            <w:left w:val="none" w:sz="0" w:space="0" w:color="auto"/>
            <w:bottom w:val="none" w:sz="0" w:space="0" w:color="auto"/>
            <w:right w:val="none" w:sz="0" w:space="0" w:color="auto"/>
          </w:divBdr>
        </w:div>
        <w:div w:id="170143846">
          <w:marLeft w:val="0"/>
          <w:marRight w:val="0"/>
          <w:marTop w:val="120"/>
          <w:marBottom w:val="0"/>
          <w:divBdr>
            <w:top w:val="none" w:sz="0" w:space="0" w:color="auto"/>
            <w:left w:val="none" w:sz="0" w:space="0" w:color="auto"/>
            <w:bottom w:val="none" w:sz="0" w:space="0" w:color="auto"/>
            <w:right w:val="none" w:sz="0" w:space="0" w:color="auto"/>
          </w:divBdr>
        </w:div>
        <w:div w:id="1034380563">
          <w:marLeft w:val="0"/>
          <w:marRight w:val="0"/>
          <w:marTop w:val="120"/>
          <w:marBottom w:val="0"/>
          <w:divBdr>
            <w:top w:val="none" w:sz="0" w:space="0" w:color="auto"/>
            <w:left w:val="none" w:sz="0" w:space="0" w:color="auto"/>
            <w:bottom w:val="none" w:sz="0" w:space="0" w:color="auto"/>
            <w:right w:val="none" w:sz="0" w:space="0" w:color="auto"/>
          </w:divBdr>
        </w:div>
      </w:divsChild>
    </w:div>
    <w:div w:id="2060469201">
      <w:bodyDiv w:val="1"/>
      <w:marLeft w:val="0"/>
      <w:marRight w:val="0"/>
      <w:marTop w:val="0"/>
      <w:marBottom w:val="0"/>
      <w:divBdr>
        <w:top w:val="none" w:sz="0" w:space="0" w:color="auto"/>
        <w:left w:val="none" w:sz="0" w:space="0" w:color="auto"/>
        <w:bottom w:val="none" w:sz="0" w:space="0" w:color="auto"/>
        <w:right w:val="none" w:sz="0" w:space="0" w:color="auto"/>
      </w:divBdr>
      <w:divsChild>
        <w:div w:id="1814561611">
          <w:marLeft w:val="0"/>
          <w:marRight w:val="0"/>
          <w:marTop w:val="120"/>
          <w:marBottom w:val="0"/>
          <w:divBdr>
            <w:top w:val="none" w:sz="0" w:space="0" w:color="auto"/>
            <w:left w:val="none" w:sz="0" w:space="0" w:color="auto"/>
            <w:bottom w:val="none" w:sz="0" w:space="0" w:color="auto"/>
            <w:right w:val="none" w:sz="0" w:space="0" w:color="auto"/>
          </w:divBdr>
        </w:div>
        <w:div w:id="1670980303">
          <w:marLeft w:val="0"/>
          <w:marRight w:val="0"/>
          <w:marTop w:val="120"/>
          <w:marBottom w:val="0"/>
          <w:divBdr>
            <w:top w:val="none" w:sz="0" w:space="0" w:color="auto"/>
            <w:left w:val="none" w:sz="0" w:space="0" w:color="auto"/>
            <w:bottom w:val="none" w:sz="0" w:space="0" w:color="auto"/>
            <w:right w:val="none" w:sz="0" w:space="0" w:color="auto"/>
          </w:divBdr>
        </w:div>
        <w:div w:id="1977758016">
          <w:marLeft w:val="1418"/>
          <w:marRight w:val="0"/>
          <w:marTop w:val="60"/>
          <w:marBottom w:val="0"/>
          <w:divBdr>
            <w:top w:val="none" w:sz="0" w:space="0" w:color="auto"/>
            <w:left w:val="none" w:sz="0" w:space="0" w:color="auto"/>
            <w:bottom w:val="none" w:sz="0" w:space="0" w:color="auto"/>
            <w:right w:val="none" w:sz="0" w:space="0" w:color="auto"/>
          </w:divBdr>
        </w:div>
        <w:div w:id="1924484037">
          <w:marLeft w:val="1418"/>
          <w:marRight w:val="0"/>
          <w:marTop w:val="60"/>
          <w:marBottom w:val="0"/>
          <w:divBdr>
            <w:top w:val="none" w:sz="0" w:space="0" w:color="auto"/>
            <w:left w:val="none" w:sz="0" w:space="0" w:color="auto"/>
            <w:bottom w:val="none" w:sz="0" w:space="0" w:color="auto"/>
            <w:right w:val="none" w:sz="0" w:space="0" w:color="auto"/>
          </w:divBdr>
        </w:div>
        <w:div w:id="1584023937">
          <w:marLeft w:val="1418"/>
          <w:marRight w:val="0"/>
          <w:marTop w:val="60"/>
          <w:marBottom w:val="0"/>
          <w:divBdr>
            <w:top w:val="none" w:sz="0" w:space="0" w:color="auto"/>
            <w:left w:val="none" w:sz="0" w:space="0" w:color="auto"/>
            <w:bottom w:val="none" w:sz="0" w:space="0" w:color="auto"/>
            <w:right w:val="none" w:sz="0" w:space="0" w:color="auto"/>
          </w:divBdr>
        </w:div>
        <w:div w:id="143595705">
          <w:marLeft w:val="1418"/>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10" ma:contentTypeDescription="Create a new document." ma:contentTypeScope="" ma:versionID="b3d76bc34afdd93d1c6d27c0b232e591">
  <xsd:schema xmlns:xsd="http://www.w3.org/2001/XMLSchema" xmlns:xs="http://www.w3.org/2001/XMLSchema" xmlns:p="http://schemas.microsoft.com/office/2006/metadata/properties" xmlns:ns3="ec14f804-e730-47a5-b9c6-c5e326b23f54" targetNamespace="http://schemas.microsoft.com/office/2006/metadata/properties" ma:root="true" ma:fieldsID="4e3e77a174d75379172c0443082cd853"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3857-1F22-4E5C-A11C-67D1EEAA3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DCC21-F34C-400E-AFDB-E15F616D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463C2-B089-4F9E-A83F-4520AE4AEFBB}">
  <ds:schemaRefs>
    <ds:schemaRef ds:uri="http://schemas.microsoft.com/sharepoint/v3/contenttype/forms"/>
  </ds:schemaRefs>
</ds:datastoreItem>
</file>

<file path=customXml/itemProps4.xml><?xml version="1.0" encoding="utf-8"?>
<ds:datastoreItem xmlns:ds="http://schemas.openxmlformats.org/officeDocument/2006/customXml" ds:itemID="{53E93769-0032-463E-A900-8850E8B3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Pieterse</dc:creator>
  <cp:keywords/>
  <dc:description/>
  <cp:lastModifiedBy>Mary Bruce</cp:lastModifiedBy>
  <cp:revision>4</cp:revision>
  <cp:lastPrinted>2024-05-16T07:42:00Z</cp:lastPrinted>
  <dcterms:created xsi:type="dcterms:W3CDTF">2024-05-21T09:20:00Z</dcterms:created>
  <dcterms:modified xsi:type="dcterms:W3CDTF">2024-05-21T19:43:00Z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