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15" w:type="dxa"/>
        <w:tblInd w:w="105" w:type="dxa"/>
        <w:tblCellMar>
          <w:left w:w="0" w:type="dxa"/>
          <w:right w:w="0" w:type="dxa"/>
        </w:tblCellMar>
        <w:tblLook w:val="04A0" w:firstRow="1" w:lastRow="0" w:firstColumn="1" w:lastColumn="0" w:noHBand="0" w:noVBand="1"/>
      </w:tblPr>
      <w:tblGrid>
        <w:gridCol w:w="8415"/>
      </w:tblGrid>
      <w:tr w:rsidR="00843CB7" w:rsidRPr="00843CB7" w14:paraId="475C5939" w14:textId="77777777" w:rsidTr="00843CB7">
        <w:tc>
          <w:tcPr>
            <w:tcW w:w="8415" w:type="dxa"/>
            <w:shd w:val="clear" w:color="auto" w:fill="E6E6E6"/>
            <w:hideMark/>
          </w:tcPr>
          <w:p w14:paraId="0BDD6445" w14:textId="77777777" w:rsidR="00843CB7" w:rsidRDefault="00843CB7">
            <w:pPr>
              <w:pStyle w:val="TableContents"/>
              <w:spacing w:before="102" w:after="119" w:line="256" w:lineRule="auto"/>
            </w:pPr>
            <w:r>
              <w:rPr>
                <w:b/>
                <w:color w:val="000000"/>
                <w:sz w:val="20"/>
                <w:lang w:val="en-GB"/>
              </w:rPr>
              <w:t xml:space="preserve">Editorial note: </w:t>
            </w:r>
            <w:r>
              <w:rPr>
                <w:bCs/>
                <w:color w:val="000000"/>
                <w:sz w:val="20"/>
                <w:lang w:val="en-GB"/>
              </w:rPr>
              <w:t>Certain information has been redacted from this judgment in compliance with the law.</w:t>
            </w:r>
          </w:p>
        </w:tc>
      </w:tr>
    </w:tbl>
    <w:p w14:paraId="3CD7B55A" w14:textId="77777777" w:rsidR="00843CB7" w:rsidRPr="00843CB7" w:rsidRDefault="00843CB7" w:rsidP="008D57B2">
      <w:pPr>
        <w:pStyle w:val="Title"/>
        <w:spacing w:before="360" w:after="0" w:line="360" w:lineRule="auto"/>
        <w:rPr>
          <w:lang w:val="en-US"/>
        </w:rPr>
      </w:pPr>
    </w:p>
    <w:p w14:paraId="3A5508C6" w14:textId="77777777" w:rsidR="0019180A" w:rsidRPr="00CC07C3" w:rsidRDefault="0019180A" w:rsidP="008D57B2">
      <w:pPr>
        <w:pStyle w:val="Title"/>
        <w:spacing w:before="360" w:after="0" w:line="360" w:lineRule="auto"/>
      </w:pPr>
      <w:r w:rsidRPr="00CC07C3">
        <w:t>THE SUPREME COURT OF APPEAL</w:t>
      </w:r>
    </w:p>
    <w:p w14:paraId="6B3E6DEB" w14:textId="77777777" w:rsidR="0019180A" w:rsidRPr="00CC07C3" w:rsidRDefault="0019180A" w:rsidP="008D57B2">
      <w:pPr>
        <w:pStyle w:val="Title"/>
        <w:spacing w:after="120" w:line="360" w:lineRule="auto"/>
      </w:pPr>
      <w:r w:rsidRPr="00CC07C3">
        <w:t xml:space="preserve">OF </w:t>
      </w:r>
      <w:smartTag w:uri="urn:schemas-microsoft-com:office:smarttags" w:element="country-region">
        <w:smartTag w:uri="urn:schemas-microsoft-com:office:smarttags" w:element="place">
          <w:r w:rsidRPr="00CC07C3">
            <w:t>SOUTH AFRICA</w:t>
          </w:r>
        </w:smartTag>
      </w:smartTag>
    </w:p>
    <w:p w14:paraId="550BAFFB" w14:textId="77777777" w:rsidR="0019180A" w:rsidRPr="001E4EC5" w:rsidRDefault="0019180A" w:rsidP="008D57B2">
      <w:pPr>
        <w:pStyle w:val="Subtitle"/>
        <w:spacing w:after="120" w:line="360" w:lineRule="auto"/>
        <w:rPr>
          <w:b w:val="0"/>
          <w:bCs w:val="0"/>
          <w:i/>
          <w:iCs/>
          <w:sz w:val="24"/>
          <w:szCs w:val="24"/>
        </w:rPr>
      </w:pPr>
      <w:r w:rsidRPr="00CC07C3">
        <w:t xml:space="preserve">CASE NO: </w:t>
      </w:r>
      <w:r w:rsidR="00112C81">
        <w:t>215</w:t>
      </w:r>
      <w:r w:rsidR="006E7811">
        <w:t>/0</w:t>
      </w:r>
      <w:r w:rsidR="00112C81">
        <w:t>6</w:t>
      </w:r>
      <w:r w:rsidR="001E4EC5">
        <w:br/>
      </w:r>
      <w:r w:rsidR="001E4EC5">
        <w:rPr>
          <w:b w:val="0"/>
          <w:bCs w:val="0"/>
          <w:i/>
          <w:iCs/>
          <w:sz w:val="24"/>
          <w:szCs w:val="24"/>
        </w:rPr>
        <w:t xml:space="preserve"> Reportable</w:t>
      </w:r>
    </w:p>
    <w:p w14:paraId="3C6B0155" w14:textId="77777777" w:rsidR="0019180A" w:rsidRPr="00E53274" w:rsidRDefault="0019180A" w:rsidP="00091881">
      <w:r w:rsidRPr="00E53274">
        <w:t xml:space="preserve">In the matter between </w:t>
      </w:r>
    </w:p>
    <w:p w14:paraId="701EE8DA" w14:textId="77777777" w:rsidR="0019180A" w:rsidRPr="00CC07C3" w:rsidRDefault="00ED5005" w:rsidP="00091881">
      <w:r>
        <w:rPr>
          <w:rStyle w:val="StyleBoldAllcaps"/>
        </w:rPr>
        <w:t xml:space="preserve">J. F. </w:t>
      </w:r>
      <w:r w:rsidR="00112C81">
        <w:rPr>
          <w:rStyle w:val="StyleBoldAllcaps"/>
        </w:rPr>
        <w:t>potgieter</w:t>
      </w:r>
      <w:r w:rsidR="002404B8">
        <w:tab/>
      </w:r>
      <w:r w:rsidR="00655076" w:rsidRPr="00834490">
        <w:t>Appellant</w:t>
      </w:r>
    </w:p>
    <w:p w14:paraId="6CD7DE44" w14:textId="77777777" w:rsidR="0019180A" w:rsidRPr="00834490" w:rsidRDefault="00FE4D37" w:rsidP="00091881">
      <w:r w:rsidRPr="00834490">
        <w:t>and</w:t>
      </w:r>
    </w:p>
    <w:p w14:paraId="3076C646" w14:textId="77777777" w:rsidR="0019180A" w:rsidRPr="00091881" w:rsidRDefault="00ED5005" w:rsidP="00091881">
      <w:r w:rsidRPr="00091881">
        <w:rPr>
          <w:b/>
          <w:bCs/>
          <w:caps/>
        </w:rPr>
        <w:t xml:space="preserve">I. </w:t>
      </w:r>
      <w:r w:rsidR="00112C81" w:rsidRPr="00091881">
        <w:rPr>
          <w:b/>
          <w:bCs/>
          <w:caps/>
        </w:rPr>
        <w:t>potgieter</w:t>
      </w:r>
      <w:r w:rsidR="0019180A" w:rsidRPr="00091881">
        <w:tab/>
      </w:r>
      <w:r w:rsidR="00655076" w:rsidRPr="00091881">
        <w:t>Respondent</w:t>
      </w:r>
    </w:p>
    <w:p w14:paraId="57A130BD" w14:textId="77777777" w:rsidR="00B15E38" w:rsidRPr="00B15E38" w:rsidRDefault="00B15E38" w:rsidP="00091881"/>
    <w:p w14:paraId="5DD79D2C" w14:textId="77777777" w:rsidR="0019180A" w:rsidRPr="008F2840" w:rsidRDefault="0019180A" w:rsidP="00112C81">
      <w:pPr>
        <w:tabs>
          <w:tab w:val="left" w:pos="1985"/>
          <w:tab w:val="right" w:pos="7080"/>
        </w:tabs>
        <w:spacing w:after="120" w:line="240" w:lineRule="auto"/>
        <w:ind w:left="1985" w:hanging="1985"/>
        <w:rPr>
          <w:rStyle w:val="Quotation"/>
          <w:sz w:val="28"/>
          <w:szCs w:val="28"/>
          <w:lang w:val="en-US" w:eastAsia="en-ZA"/>
        </w:rPr>
      </w:pPr>
      <w:r w:rsidRPr="008F2840">
        <w:rPr>
          <w:rStyle w:val="Quotation"/>
          <w:sz w:val="28"/>
          <w:szCs w:val="28"/>
          <w:lang w:val="en-US" w:eastAsia="en-ZA"/>
        </w:rPr>
        <w:t>C</w:t>
      </w:r>
      <w:r w:rsidR="00F44CFB" w:rsidRPr="008F2840">
        <w:rPr>
          <w:rStyle w:val="Quotation"/>
          <w:sz w:val="28"/>
          <w:szCs w:val="28"/>
          <w:lang w:val="en-US" w:eastAsia="en-ZA"/>
        </w:rPr>
        <w:t>oram</w:t>
      </w:r>
      <w:r w:rsidRPr="008F2840">
        <w:rPr>
          <w:b/>
          <w:bCs/>
          <w:lang w:val="en-US"/>
        </w:rPr>
        <w:t>:</w:t>
      </w:r>
      <w:r w:rsidR="00A70FA0" w:rsidRPr="008F2840">
        <w:rPr>
          <w:b/>
          <w:bCs/>
          <w:lang w:val="en-US"/>
        </w:rPr>
        <w:tab/>
      </w:r>
      <w:r w:rsidR="00112C81" w:rsidRPr="008F2840">
        <w:rPr>
          <w:b/>
          <w:bCs/>
          <w:lang w:val="en-US"/>
        </w:rPr>
        <w:tab/>
      </w:r>
      <w:proofErr w:type="spellStart"/>
      <w:r w:rsidR="00112C81" w:rsidRPr="008F2840">
        <w:rPr>
          <w:lang w:val="en-US"/>
        </w:rPr>
        <w:t>Farlam</w:t>
      </w:r>
      <w:proofErr w:type="spellEnd"/>
      <w:r w:rsidR="00112C81" w:rsidRPr="008F2840">
        <w:rPr>
          <w:lang w:val="en-US"/>
        </w:rPr>
        <w:t xml:space="preserve">, Cameron et </w:t>
      </w:r>
      <w:r w:rsidR="00F44CFB" w:rsidRPr="008F2840">
        <w:rPr>
          <w:rStyle w:val="Quotation"/>
          <w:sz w:val="28"/>
          <w:szCs w:val="28"/>
          <w:lang w:val="en-US" w:eastAsia="en-ZA"/>
        </w:rPr>
        <w:t>Van Heerden JJA</w:t>
      </w:r>
      <w:r w:rsidR="00112C81" w:rsidRPr="008F2840">
        <w:rPr>
          <w:rStyle w:val="Quotation"/>
          <w:sz w:val="28"/>
          <w:szCs w:val="28"/>
          <w:lang w:val="en-US" w:eastAsia="en-ZA"/>
        </w:rPr>
        <w:t>, Hancke</w:t>
      </w:r>
      <w:r w:rsidR="00E657D8" w:rsidRPr="008F2840">
        <w:rPr>
          <w:rStyle w:val="Quotation"/>
          <w:sz w:val="28"/>
          <w:szCs w:val="28"/>
          <w:lang w:val="en-US" w:eastAsia="en-ZA"/>
        </w:rPr>
        <w:t xml:space="preserve"> et </w:t>
      </w:r>
      <w:r w:rsidR="00112C81" w:rsidRPr="008F2840">
        <w:rPr>
          <w:rStyle w:val="Quotation"/>
          <w:sz w:val="28"/>
          <w:szCs w:val="28"/>
          <w:lang w:val="en-US" w:eastAsia="en-ZA"/>
        </w:rPr>
        <w:t xml:space="preserve">Theron </w:t>
      </w:r>
      <w:r w:rsidR="00304B82" w:rsidRPr="008F2840">
        <w:rPr>
          <w:rStyle w:val="Quotation"/>
          <w:sz w:val="28"/>
          <w:szCs w:val="28"/>
          <w:lang w:val="en-US" w:eastAsia="en-ZA"/>
        </w:rPr>
        <w:t>AJ</w:t>
      </w:r>
      <w:r w:rsidR="00112C81" w:rsidRPr="008F2840">
        <w:rPr>
          <w:rStyle w:val="Quotation"/>
          <w:sz w:val="28"/>
          <w:szCs w:val="28"/>
          <w:lang w:val="en-US" w:eastAsia="en-ZA"/>
        </w:rPr>
        <w:t>J</w:t>
      </w:r>
      <w:r w:rsidR="00304B82" w:rsidRPr="008F2840">
        <w:rPr>
          <w:rStyle w:val="Quotation"/>
          <w:sz w:val="28"/>
          <w:szCs w:val="28"/>
          <w:lang w:val="en-US" w:eastAsia="en-ZA"/>
        </w:rPr>
        <w:t>A</w:t>
      </w:r>
    </w:p>
    <w:p w14:paraId="33B58B02" w14:textId="77777777" w:rsidR="0019180A" w:rsidRPr="00E31376" w:rsidRDefault="00F44CFB" w:rsidP="00A340D8">
      <w:pPr>
        <w:tabs>
          <w:tab w:val="left" w:pos="1985"/>
          <w:tab w:val="right" w:pos="7080"/>
        </w:tabs>
        <w:spacing w:after="120" w:line="240" w:lineRule="auto"/>
        <w:rPr>
          <w:rStyle w:val="Quotation"/>
          <w:sz w:val="28"/>
          <w:szCs w:val="28"/>
          <w:lang w:eastAsia="en-ZA"/>
        </w:rPr>
      </w:pPr>
      <w:r w:rsidRPr="00E31376">
        <w:rPr>
          <w:rStyle w:val="Quotation"/>
          <w:sz w:val="28"/>
          <w:szCs w:val="28"/>
          <w:lang w:eastAsia="en-ZA"/>
        </w:rPr>
        <w:t>Heard:</w:t>
      </w:r>
      <w:r w:rsidR="00112C81">
        <w:rPr>
          <w:rStyle w:val="Quotation"/>
          <w:sz w:val="28"/>
          <w:szCs w:val="28"/>
          <w:lang w:eastAsia="en-ZA"/>
        </w:rPr>
        <w:tab/>
        <w:t>22 March 2007</w:t>
      </w:r>
    </w:p>
    <w:p w14:paraId="56A2A664" w14:textId="77777777" w:rsidR="0019180A" w:rsidRPr="00E31376" w:rsidRDefault="00A70FA0" w:rsidP="007A077D">
      <w:pPr>
        <w:tabs>
          <w:tab w:val="left" w:pos="1985"/>
          <w:tab w:val="right" w:pos="7080"/>
        </w:tabs>
        <w:spacing w:after="120" w:line="360" w:lineRule="auto"/>
        <w:rPr>
          <w:rStyle w:val="Quotation"/>
          <w:sz w:val="28"/>
          <w:szCs w:val="28"/>
          <w:lang w:eastAsia="en-ZA"/>
        </w:rPr>
      </w:pPr>
      <w:r w:rsidRPr="00E31376">
        <w:rPr>
          <w:rStyle w:val="Quotation"/>
          <w:sz w:val="28"/>
          <w:szCs w:val="28"/>
          <w:lang w:eastAsia="en-ZA"/>
        </w:rPr>
        <w:t>Delivered:</w:t>
      </w:r>
      <w:r w:rsidRPr="00E31376">
        <w:rPr>
          <w:rStyle w:val="Quotation"/>
          <w:sz w:val="28"/>
          <w:szCs w:val="28"/>
          <w:lang w:eastAsia="en-ZA"/>
        </w:rPr>
        <w:tab/>
      </w:r>
      <w:r w:rsidR="000263BF">
        <w:rPr>
          <w:rStyle w:val="Quotation"/>
          <w:sz w:val="28"/>
          <w:szCs w:val="28"/>
          <w:lang w:eastAsia="en-ZA"/>
        </w:rPr>
        <w:t>30</w:t>
      </w:r>
      <w:r w:rsidR="00834490" w:rsidRPr="00E31376">
        <w:rPr>
          <w:rStyle w:val="Quotation"/>
          <w:sz w:val="28"/>
          <w:szCs w:val="28"/>
          <w:lang w:eastAsia="en-ZA"/>
        </w:rPr>
        <w:t xml:space="preserve"> </w:t>
      </w:r>
      <w:r w:rsidR="00112C81">
        <w:rPr>
          <w:rStyle w:val="Quotation"/>
          <w:sz w:val="28"/>
          <w:szCs w:val="28"/>
          <w:lang w:eastAsia="en-ZA"/>
        </w:rPr>
        <w:t>March 2007</w:t>
      </w:r>
    </w:p>
    <w:p w14:paraId="38D61BED" w14:textId="77777777" w:rsidR="00C35DD5" w:rsidRPr="00C35DD5" w:rsidRDefault="0019180A" w:rsidP="00385290">
      <w:pPr>
        <w:tabs>
          <w:tab w:val="left" w:pos="1985"/>
          <w:tab w:val="right" w:pos="7080"/>
        </w:tabs>
        <w:spacing w:after="240" w:line="240" w:lineRule="auto"/>
        <w:ind w:left="1985" w:hanging="1985"/>
        <w:rPr>
          <w:i/>
          <w:iCs/>
        </w:rPr>
      </w:pPr>
      <w:r w:rsidRPr="00E31376">
        <w:rPr>
          <w:b/>
          <w:bCs/>
          <w:i/>
          <w:iCs/>
        </w:rPr>
        <w:t>Summary:</w:t>
      </w:r>
      <w:r w:rsidR="00CB287F" w:rsidRPr="00E31376">
        <w:rPr>
          <w:b/>
          <w:bCs/>
          <w:i/>
          <w:iCs/>
        </w:rPr>
        <w:tab/>
      </w:r>
      <w:r w:rsidR="00C35DD5">
        <w:rPr>
          <w:i/>
          <w:iCs/>
        </w:rPr>
        <w:t>Divorce – custody of minor children – best interests o</w:t>
      </w:r>
      <w:r w:rsidR="00597516">
        <w:rPr>
          <w:i/>
          <w:iCs/>
        </w:rPr>
        <w:t>f child paramount consideration</w:t>
      </w:r>
      <w:r w:rsidR="00C35DD5">
        <w:rPr>
          <w:i/>
          <w:iCs/>
        </w:rPr>
        <w:t xml:space="preserve"> – factual findings made by trial court relating to parties’ parental capacity –</w:t>
      </w:r>
      <w:r w:rsidR="003B430F">
        <w:rPr>
          <w:i/>
          <w:iCs/>
        </w:rPr>
        <w:t xml:space="preserve"> approach of appeal court </w:t>
      </w:r>
      <w:r w:rsidR="00597516">
        <w:rPr>
          <w:i/>
          <w:iCs/>
        </w:rPr>
        <w:t>to</w:t>
      </w:r>
      <w:r w:rsidR="003B430F">
        <w:rPr>
          <w:i/>
          <w:iCs/>
        </w:rPr>
        <w:t xml:space="preserve"> such fac</w:t>
      </w:r>
      <w:r w:rsidR="00597516">
        <w:rPr>
          <w:i/>
          <w:iCs/>
        </w:rPr>
        <w:t>tual findings</w:t>
      </w:r>
      <w:r w:rsidR="003B430F">
        <w:rPr>
          <w:i/>
          <w:iCs/>
        </w:rPr>
        <w:t xml:space="preserve"> </w:t>
      </w:r>
      <w:proofErr w:type="gramStart"/>
      <w:r w:rsidR="003B430F">
        <w:rPr>
          <w:i/>
          <w:iCs/>
        </w:rPr>
        <w:t>–</w:t>
      </w:r>
      <w:r w:rsidR="00C35DD5">
        <w:rPr>
          <w:i/>
          <w:iCs/>
        </w:rPr>
        <w:t xml:space="preserve">  expert</w:t>
      </w:r>
      <w:proofErr w:type="gramEnd"/>
      <w:r w:rsidR="00C35DD5">
        <w:rPr>
          <w:i/>
          <w:iCs/>
        </w:rPr>
        <w:t xml:space="preserve"> evidence – principles relevant to evaluation of</w:t>
      </w:r>
    </w:p>
    <w:p w14:paraId="08FA2586" w14:textId="77777777" w:rsidR="007A077D" w:rsidRPr="00205FB5" w:rsidRDefault="007A077D" w:rsidP="00385290">
      <w:pPr>
        <w:tabs>
          <w:tab w:val="left" w:pos="1985"/>
          <w:tab w:val="right" w:pos="7080"/>
        </w:tabs>
        <w:spacing w:after="120" w:line="240" w:lineRule="auto"/>
        <w:rPr>
          <w:b/>
          <w:bCs/>
          <w:i/>
          <w:iCs/>
        </w:rPr>
      </w:pPr>
      <w:r w:rsidRPr="00205FB5">
        <w:rPr>
          <w:b/>
          <w:bCs/>
        </w:rPr>
        <w:t xml:space="preserve">Neutral citation: This judgment may be referred to as </w:t>
      </w:r>
      <w:r w:rsidRPr="00205FB5">
        <w:rPr>
          <w:b/>
          <w:bCs/>
          <w:i/>
          <w:iCs/>
        </w:rPr>
        <w:t xml:space="preserve">Potgieter v Potgieter </w:t>
      </w:r>
      <w:r w:rsidRPr="00205FB5">
        <w:rPr>
          <w:b/>
          <w:bCs/>
        </w:rPr>
        <w:t xml:space="preserve">[2007] SCA </w:t>
      </w:r>
      <w:r w:rsidR="005046B1">
        <w:rPr>
          <w:b/>
          <w:bCs/>
        </w:rPr>
        <w:t>47</w:t>
      </w:r>
      <w:r w:rsidRPr="00205FB5">
        <w:rPr>
          <w:b/>
          <w:bCs/>
        </w:rPr>
        <w:t xml:space="preserve"> (RSA)</w:t>
      </w:r>
    </w:p>
    <w:p w14:paraId="7F7E31A9" w14:textId="77777777" w:rsidR="0019180A" w:rsidRPr="00CC07C3" w:rsidRDefault="0019180A" w:rsidP="00A340D8">
      <w:pPr>
        <w:tabs>
          <w:tab w:val="right" w:pos="7080"/>
        </w:tabs>
        <w:spacing w:after="120" w:line="240" w:lineRule="auto"/>
        <w:rPr>
          <w:b/>
          <w:bCs/>
          <w:i/>
          <w:iCs/>
        </w:rPr>
      </w:pPr>
    </w:p>
    <w:p w14:paraId="27441223" w14:textId="77777777" w:rsidR="0019180A" w:rsidRPr="00232D64" w:rsidRDefault="0019180A" w:rsidP="00A340D8">
      <w:pPr>
        <w:tabs>
          <w:tab w:val="right" w:pos="7080"/>
        </w:tabs>
        <w:spacing w:before="120" w:after="120" w:line="240" w:lineRule="auto"/>
        <w:jc w:val="center"/>
        <w:rPr>
          <w:b/>
          <w:bCs/>
          <w:spacing w:val="20"/>
        </w:rPr>
      </w:pPr>
      <w:r w:rsidRPr="00232D64">
        <w:rPr>
          <w:b/>
          <w:bCs/>
          <w:spacing w:val="20"/>
        </w:rPr>
        <w:t>JUDGMENT</w:t>
      </w:r>
    </w:p>
    <w:p w14:paraId="7978985C" w14:textId="77777777" w:rsidR="0019180A" w:rsidRPr="00CC07C3" w:rsidRDefault="0019180A" w:rsidP="00A71BB2">
      <w:pPr>
        <w:tabs>
          <w:tab w:val="right" w:pos="7080"/>
        </w:tabs>
        <w:spacing w:after="120" w:line="360" w:lineRule="auto"/>
        <w:jc w:val="center"/>
        <w:rPr>
          <w:b/>
          <w:bCs/>
          <w:i/>
          <w:iCs/>
        </w:rPr>
      </w:pPr>
    </w:p>
    <w:p w14:paraId="227A04D9" w14:textId="2BD7B661" w:rsidR="0019180A" w:rsidRPr="00CD70B8" w:rsidRDefault="00F11090" w:rsidP="00F11090">
      <w:pPr>
        <w:tabs>
          <w:tab w:val="left" w:pos="330"/>
          <w:tab w:val="right" w:pos="7080"/>
        </w:tabs>
        <w:spacing w:line="240" w:lineRule="auto"/>
        <w:jc w:val="left"/>
        <w:rPr>
          <w:b/>
          <w:bCs/>
          <w:spacing w:val="20"/>
        </w:rPr>
      </w:pPr>
      <w:r>
        <w:rPr>
          <w:b/>
          <w:bCs/>
          <w:spacing w:val="20"/>
        </w:rPr>
        <w:tab/>
      </w:r>
      <w:r>
        <w:rPr>
          <w:b/>
          <w:bCs/>
          <w:spacing w:val="20"/>
        </w:rPr>
        <w:tab/>
      </w:r>
      <w:r w:rsidR="0019180A" w:rsidRPr="00CD70B8">
        <w:rPr>
          <w:b/>
          <w:bCs/>
          <w:spacing w:val="20"/>
        </w:rPr>
        <w:t>V</w:t>
      </w:r>
      <w:r w:rsidR="00F123E6" w:rsidRPr="00CD70B8">
        <w:rPr>
          <w:b/>
          <w:bCs/>
          <w:spacing w:val="20"/>
        </w:rPr>
        <w:t>AN HEERDEN JA</w:t>
      </w:r>
      <w:r w:rsidR="00837CF7" w:rsidRPr="00CD70B8">
        <w:rPr>
          <w:b/>
          <w:bCs/>
          <w:spacing w:val="20"/>
        </w:rPr>
        <w:t>:</w:t>
      </w:r>
    </w:p>
    <w:p w14:paraId="3E18C363" w14:textId="1A54CE74" w:rsidR="00193BD6" w:rsidRDefault="00605C29" w:rsidP="00605C29">
      <w:pPr>
        <w:tabs>
          <w:tab w:val="left" w:pos="851"/>
        </w:tabs>
      </w:pPr>
      <w:r>
        <w:t>[1]</w:t>
      </w:r>
      <w:r>
        <w:tab/>
      </w:r>
      <w:r w:rsidR="00193BD6">
        <w:t xml:space="preserve">The main issue in this appeal is the custody of two minor children, </w:t>
      </w:r>
      <w:proofErr w:type="gramStart"/>
      <w:r w:rsidR="00ED5005">
        <w:t>E.</w:t>
      </w:r>
      <w:proofErr w:type="gramEnd"/>
      <w:r w:rsidR="00193BD6">
        <w:t xml:space="preserve"> and </w:t>
      </w:r>
      <w:r w:rsidR="00ED5005">
        <w:t xml:space="preserve">J. </w:t>
      </w:r>
      <w:r w:rsidR="00A71BB2">
        <w:t>Potgieter</w:t>
      </w:r>
      <w:r w:rsidR="00193BD6">
        <w:t>, now aged 15 and 11 years, respectively.</w:t>
      </w:r>
    </w:p>
    <w:p w14:paraId="570C7C8A" w14:textId="4D99A4D1" w:rsidR="006435ED" w:rsidRDefault="00605C29" w:rsidP="00605C29">
      <w:pPr>
        <w:tabs>
          <w:tab w:val="left" w:pos="851"/>
        </w:tabs>
      </w:pPr>
      <w:r>
        <w:t>[2]</w:t>
      </w:r>
      <w:r>
        <w:tab/>
      </w:r>
      <w:r w:rsidR="0019180A" w:rsidRPr="001A49B4">
        <w:t>Th</w:t>
      </w:r>
      <w:r w:rsidR="006435ED">
        <w:t>e appellan</w:t>
      </w:r>
      <w:r w:rsidR="00193BD6">
        <w:t>t</w:t>
      </w:r>
      <w:r w:rsidR="005D1074">
        <w:t>, Dr Potgieter,</w:t>
      </w:r>
      <w:r w:rsidR="00193BD6">
        <w:t xml:space="preserve"> is the father of the children and th</w:t>
      </w:r>
      <w:r w:rsidR="006435ED">
        <w:t>e respondent</w:t>
      </w:r>
      <w:r w:rsidR="005D1074">
        <w:t>, Mrs Potgieter,</w:t>
      </w:r>
      <w:r w:rsidR="006435ED">
        <w:t xml:space="preserve"> is the</w:t>
      </w:r>
      <w:r w:rsidR="00193BD6">
        <w:t>ir</w:t>
      </w:r>
      <w:r w:rsidR="006435ED">
        <w:t xml:space="preserve"> mother.  The parties were divorced on 26 October 2004 by order of th</w:t>
      </w:r>
      <w:r w:rsidR="00193BD6">
        <w:t>e Port Elizabeth High Court (</w:t>
      </w:r>
      <w:r w:rsidR="006435ED">
        <w:t xml:space="preserve">Chetty J) and custody of the children </w:t>
      </w:r>
      <w:r w:rsidR="00193BD6">
        <w:t xml:space="preserve">was awarded to </w:t>
      </w:r>
      <w:r w:rsidR="005D1074">
        <w:t>Mrs Potgieter</w:t>
      </w:r>
      <w:r w:rsidR="00193BD6">
        <w:t xml:space="preserve">, subject to reasonable access by </w:t>
      </w:r>
      <w:r w:rsidR="00992C2E">
        <w:t>Dr Potgieter</w:t>
      </w:r>
      <w:r w:rsidR="00193BD6">
        <w:t xml:space="preserve"> as specified in the court order.  </w:t>
      </w:r>
      <w:r w:rsidR="00992C2E">
        <w:t xml:space="preserve">Dr Potgieter </w:t>
      </w:r>
      <w:r w:rsidR="00193BD6">
        <w:t>was also ordered to pay maintenance in respect of the children, as</w:t>
      </w:r>
      <w:r w:rsidR="00462E08">
        <w:t xml:space="preserve"> </w:t>
      </w:r>
      <w:r w:rsidR="00193BD6">
        <w:t xml:space="preserve">well as rehabilitative maintenance for </w:t>
      </w:r>
      <w:r w:rsidR="005D1074">
        <w:t>Mrs Potgieter</w:t>
      </w:r>
      <w:r w:rsidR="00193BD6">
        <w:t xml:space="preserve"> in the amount of R4650 per month for 12 months.  </w:t>
      </w:r>
    </w:p>
    <w:p w14:paraId="1512903A" w14:textId="7E563E1C" w:rsidR="00193BD6" w:rsidRDefault="00605C29" w:rsidP="00605C29">
      <w:pPr>
        <w:tabs>
          <w:tab w:val="left" w:pos="851"/>
        </w:tabs>
      </w:pPr>
      <w:r>
        <w:t>[3]</w:t>
      </w:r>
      <w:r>
        <w:tab/>
      </w:r>
      <w:r w:rsidR="00193BD6">
        <w:t xml:space="preserve">Chetty J refused </w:t>
      </w:r>
      <w:r w:rsidR="00992C2E">
        <w:t>Dr Potgieter</w:t>
      </w:r>
      <w:r w:rsidR="00193BD6">
        <w:t>’s application for leave to appeal</w:t>
      </w:r>
      <w:r w:rsidR="00462E08">
        <w:t xml:space="preserve"> against </w:t>
      </w:r>
      <w:r w:rsidR="001558CD">
        <w:t>the custody order and the cost</w:t>
      </w:r>
      <w:r w:rsidR="00992C2E">
        <w:t>s</w:t>
      </w:r>
      <w:r w:rsidR="001558CD">
        <w:t xml:space="preserve"> order made against</w:t>
      </w:r>
      <w:r w:rsidR="00992C2E">
        <w:t xml:space="preserve"> him</w:t>
      </w:r>
      <w:r w:rsidR="00462E08">
        <w:t>,</w:t>
      </w:r>
      <w:r w:rsidR="00193BD6">
        <w:t xml:space="preserve"> but this Court subsequently granted leave to appeal to the Full Court</w:t>
      </w:r>
      <w:r w:rsidR="001558CD">
        <w:t xml:space="preserve"> of the Eastern Cape Provincial Division</w:t>
      </w:r>
      <w:r w:rsidR="00193BD6">
        <w:t>.  On 13 January 2006, the Full Court (</w:t>
      </w:r>
      <w:r w:rsidR="00462E08">
        <w:t xml:space="preserve">Erasmus J, with whom </w:t>
      </w:r>
      <w:proofErr w:type="spellStart"/>
      <w:r w:rsidR="00462E08">
        <w:t>Maqubela</w:t>
      </w:r>
      <w:proofErr w:type="spellEnd"/>
      <w:r w:rsidR="00462E08">
        <w:t xml:space="preserve"> AJ and Matthee AJ concurred) dismissed the appeal</w:t>
      </w:r>
      <w:r w:rsidR="00C457E3">
        <w:t xml:space="preserve"> with costs</w:t>
      </w:r>
      <w:r w:rsidR="00462E08">
        <w:t xml:space="preserve">.  </w:t>
      </w:r>
      <w:r w:rsidR="00992C2E">
        <w:t>Dr Potgieter</w:t>
      </w:r>
      <w:r w:rsidR="00462E08">
        <w:t xml:space="preserve"> now appeals further with the special leave of this </w:t>
      </w:r>
      <w:r w:rsidR="000263BF">
        <w:lastRenderedPageBreak/>
        <w:t>c</w:t>
      </w:r>
      <w:r w:rsidR="00462E08">
        <w:t>ourt.</w:t>
      </w:r>
      <w:r w:rsidR="001558CD">
        <w:t xml:space="preserve">  The appeal is directe</w:t>
      </w:r>
      <w:r w:rsidR="00C457E3">
        <w:t xml:space="preserve">d against the custody order, the order for rehabilitative maintenance in favour of </w:t>
      </w:r>
      <w:r w:rsidR="005D1074">
        <w:t>Mrs Potgieter</w:t>
      </w:r>
      <w:r w:rsidR="00C457E3">
        <w:t xml:space="preserve"> and the cost</w:t>
      </w:r>
      <w:r w:rsidR="009E2D7F">
        <w:t>s</w:t>
      </w:r>
      <w:r w:rsidR="00C457E3">
        <w:t xml:space="preserve"> orders </w:t>
      </w:r>
      <w:r w:rsidR="00597516">
        <w:t xml:space="preserve">granted </w:t>
      </w:r>
      <w:r w:rsidR="00C457E3">
        <w:t xml:space="preserve">against </w:t>
      </w:r>
      <w:r w:rsidR="00992C2E">
        <w:t>Dr Potgieter</w:t>
      </w:r>
      <w:r w:rsidR="00C457E3">
        <w:t>.</w:t>
      </w:r>
    </w:p>
    <w:p w14:paraId="0433CF99" w14:textId="536C5719" w:rsidR="00462E08" w:rsidRDefault="00605C29" w:rsidP="00605C29">
      <w:pPr>
        <w:tabs>
          <w:tab w:val="left" w:pos="851"/>
        </w:tabs>
      </w:pPr>
      <w:r>
        <w:t>[4]</w:t>
      </w:r>
      <w:r>
        <w:tab/>
      </w:r>
      <w:r w:rsidR="00992C2E">
        <w:t>Dr Potgieter</w:t>
      </w:r>
      <w:r w:rsidR="00C457E3">
        <w:t xml:space="preserve"> instituted divorce proceedings in February 2003</w:t>
      </w:r>
      <w:r w:rsidR="0053039C">
        <w:t xml:space="preserve">, claiming </w:t>
      </w:r>
      <w:r w:rsidR="00C457E3">
        <w:t xml:space="preserve">custody of the two children, then aged ten years and 11 months and seven years and eight months, respectively.  </w:t>
      </w:r>
      <w:r w:rsidR="00992C2E">
        <w:t>Mrs Potgieter</w:t>
      </w:r>
      <w:r w:rsidR="00BC0C97">
        <w:t xml:space="preserve"> opposed the divorce action</w:t>
      </w:r>
      <w:r w:rsidR="00C457E3">
        <w:t xml:space="preserve"> and counterclaimed for </w:t>
      </w:r>
      <w:r w:rsidR="00BC0C97">
        <w:t xml:space="preserve">(inter alia) </w:t>
      </w:r>
      <w:r w:rsidR="0053039C">
        <w:t>custody of the children.</w:t>
      </w:r>
      <w:r w:rsidR="00FA4565">
        <w:t xml:space="preserve">  </w:t>
      </w:r>
    </w:p>
    <w:p w14:paraId="52AFE1D8" w14:textId="06AA6EE1" w:rsidR="006272BD" w:rsidRDefault="00605C29" w:rsidP="00605C29">
      <w:pPr>
        <w:tabs>
          <w:tab w:val="left" w:pos="851"/>
        </w:tabs>
      </w:pPr>
      <w:r>
        <w:t>[5]</w:t>
      </w:r>
      <w:r>
        <w:tab/>
      </w:r>
      <w:r w:rsidR="00597516">
        <w:t xml:space="preserve">At the instance of </w:t>
      </w:r>
      <w:r w:rsidR="00992C2E">
        <w:t>Dr Potgieter</w:t>
      </w:r>
      <w:r w:rsidR="00FA4565">
        <w:t xml:space="preserve">, the </w:t>
      </w:r>
      <w:r w:rsidR="00597516">
        <w:t xml:space="preserve">trial court directed the </w:t>
      </w:r>
      <w:r w:rsidR="00FA4565">
        <w:t>family advocate (</w:t>
      </w:r>
      <w:r w:rsidR="00597516">
        <w:t>Ms</w:t>
      </w:r>
      <w:r w:rsidR="00FA4565">
        <w:t xml:space="preserve"> </w:t>
      </w:r>
      <w:r w:rsidR="00483A6E">
        <w:t xml:space="preserve">René </w:t>
      </w:r>
      <w:r w:rsidR="00FA4565">
        <w:t>Claas</w:t>
      </w:r>
      <w:r w:rsidR="00E10461">
        <w:t>s</w:t>
      </w:r>
      <w:r w:rsidR="00FA4565">
        <w:t xml:space="preserve">en) </w:t>
      </w:r>
      <w:r w:rsidR="00597516">
        <w:t>t</w:t>
      </w:r>
      <w:r w:rsidR="00FA4565">
        <w:t>o conduct an enquiry in terms of section 4(1) of the Mediation in Certain Divorce Matters Act 24 of 1987</w:t>
      </w:r>
      <w:r w:rsidR="00597516">
        <w:t>.</w:t>
      </w:r>
      <w:r w:rsidR="00FA4565">
        <w:t xml:space="preserve">  </w:t>
      </w:r>
      <w:r w:rsidR="0075029B">
        <w:t xml:space="preserve">She appointed </w:t>
      </w:r>
      <w:r w:rsidR="00597516">
        <w:t>Ms</w:t>
      </w:r>
      <w:r w:rsidR="00FA4565">
        <w:t xml:space="preserve"> </w:t>
      </w:r>
      <w:r w:rsidR="00483A6E">
        <w:t>Helena Retief, a social worker and family</w:t>
      </w:r>
      <w:r w:rsidR="0075029B">
        <w:t xml:space="preserve"> counsellor, to </w:t>
      </w:r>
      <w:proofErr w:type="gramStart"/>
      <w:r w:rsidR="006272BD">
        <w:t>conduct an investigation into</w:t>
      </w:r>
      <w:proofErr w:type="gramEnd"/>
      <w:r w:rsidR="006272BD">
        <w:t xml:space="preserve"> the interests of the children as regards custody and access</w:t>
      </w:r>
      <w:r w:rsidR="0075029B">
        <w:t xml:space="preserve">, </w:t>
      </w:r>
      <w:r w:rsidR="006272BD">
        <w:t>and</w:t>
      </w:r>
      <w:r w:rsidR="00E10461">
        <w:t xml:space="preserve"> also engaged the services of Dr</w:t>
      </w:r>
      <w:r w:rsidR="006272BD">
        <w:t xml:space="preserve"> Estelle de </w:t>
      </w:r>
      <w:r w:rsidR="00A71BB2">
        <w:t>Wit</w:t>
      </w:r>
      <w:r w:rsidR="006272BD">
        <w:t xml:space="preserve">, a clinical psychologist, to undertake a psychological assessment of the children.  </w:t>
      </w:r>
      <w:r w:rsidR="0075029B">
        <w:t xml:space="preserve">In their written reports and in their testimony during the trial, both </w:t>
      </w:r>
      <w:r w:rsidR="00597516">
        <w:t>Ms</w:t>
      </w:r>
      <w:r w:rsidR="00A71BB2">
        <w:t xml:space="preserve"> Retief and </w:t>
      </w:r>
      <w:r w:rsidR="00E10461">
        <w:t>Dr de Wit</w:t>
      </w:r>
      <w:r w:rsidR="00A71BB2">
        <w:t xml:space="preserve"> </w:t>
      </w:r>
      <w:r w:rsidR="0075029B">
        <w:t>recommended that custody of the childr</w:t>
      </w:r>
      <w:r w:rsidR="00A71BB2">
        <w:t xml:space="preserve">en be awarded to </w:t>
      </w:r>
      <w:r w:rsidR="00992C2E">
        <w:t>Dr Potgieter</w:t>
      </w:r>
      <w:r w:rsidR="00A71BB2">
        <w:t xml:space="preserve">, </w:t>
      </w:r>
      <w:r w:rsidR="005D1074">
        <w:t>Mrs Potgieter</w:t>
      </w:r>
      <w:r w:rsidR="0075029B">
        <w:t xml:space="preserve"> to have restricted rights of access</w:t>
      </w:r>
      <w:r w:rsidR="00837E37">
        <w:t>.</w:t>
      </w:r>
      <w:r w:rsidR="0075029B">
        <w:t xml:space="preserve">  </w:t>
      </w:r>
      <w:proofErr w:type="gramStart"/>
      <w:r w:rsidR="005D1074">
        <w:t>On the basis of</w:t>
      </w:r>
      <w:proofErr w:type="gramEnd"/>
      <w:r w:rsidR="005D1074">
        <w:t xml:space="preserve"> these reports, t</w:t>
      </w:r>
      <w:r w:rsidR="0075029B">
        <w:t xml:space="preserve">his was also the recommendation made by the family advocate.  </w:t>
      </w:r>
    </w:p>
    <w:p w14:paraId="4077FD53" w14:textId="5D1EEE57" w:rsidR="007D66BD" w:rsidRDefault="00605C29" w:rsidP="00605C29">
      <w:pPr>
        <w:tabs>
          <w:tab w:val="left" w:pos="851"/>
        </w:tabs>
      </w:pPr>
      <w:r>
        <w:lastRenderedPageBreak/>
        <w:t>[6]</w:t>
      </w:r>
      <w:r>
        <w:tab/>
      </w:r>
      <w:r w:rsidR="0075029B">
        <w:t xml:space="preserve">At the insistence of </w:t>
      </w:r>
      <w:r w:rsidR="005D1074">
        <w:t>Mrs Potgieter</w:t>
      </w:r>
      <w:r w:rsidR="0075029B">
        <w:t xml:space="preserve">, a report was also obtained from a second clinical psychologist, </w:t>
      </w:r>
      <w:r w:rsidR="00597516">
        <w:t>Ms</w:t>
      </w:r>
      <w:r w:rsidR="0075029B">
        <w:t xml:space="preserve"> Carol </w:t>
      </w:r>
      <w:r w:rsidR="00836185">
        <w:t>Voge</w:t>
      </w:r>
      <w:r w:rsidR="007D66BD">
        <w:t>l</w:t>
      </w:r>
      <w:r w:rsidR="009E2D7F">
        <w:t>.  I</w:t>
      </w:r>
      <w:r w:rsidR="00A71BB2">
        <w:t xml:space="preserve">n </w:t>
      </w:r>
      <w:r w:rsidR="009E2D7F">
        <w:t>this</w:t>
      </w:r>
      <w:r w:rsidR="00A71BB2">
        <w:t xml:space="preserve"> report</w:t>
      </w:r>
      <w:r w:rsidR="009E2D7F">
        <w:t>, Ms Vogel</w:t>
      </w:r>
      <w:r w:rsidR="00A71BB2">
        <w:t xml:space="preserve"> </w:t>
      </w:r>
      <w:r w:rsidR="007D66BD">
        <w:t xml:space="preserve">agreed with the recommendations of </w:t>
      </w:r>
      <w:r w:rsidR="00E10461">
        <w:t>Dr de Wit</w:t>
      </w:r>
      <w:r w:rsidR="007D66BD">
        <w:t xml:space="preserve"> and </w:t>
      </w:r>
      <w:r w:rsidR="00597516">
        <w:t>Ms</w:t>
      </w:r>
      <w:r w:rsidR="007D66BD">
        <w:t xml:space="preserve"> Retief in respect of custody and access. </w:t>
      </w:r>
      <w:r w:rsidR="00836185">
        <w:t xml:space="preserve"> </w:t>
      </w:r>
      <w:r w:rsidR="009E2D7F">
        <w:t>She</w:t>
      </w:r>
      <w:r w:rsidR="00836185">
        <w:t xml:space="preserve"> was thereafter called by </w:t>
      </w:r>
      <w:r w:rsidR="00992C2E">
        <w:t>Dr Potgieter</w:t>
      </w:r>
      <w:r w:rsidR="00836185">
        <w:t xml:space="preserve"> as his first witness during the trial.  </w:t>
      </w:r>
      <w:r w:rsidR="0075029B">
        <w:t xml:space="preserve">Like </w:t>
      </w:r>
      <w:r w:rsidR="00E10461">
        <w:t>Dr de Wit</w:t>
      </w:r>
      <w:r w:rsidR="0075029B">
        <w:t xml:space="preserve">, </w:t>
      </w:r>
      <w:r w:rsidR="00597516">
        <w:t>Ms</w:t>
      </w:r>
      <w:r w:rsidR="0075029B">
        <w:t xml:space="preserve"> Vogel </w:t>
      </w:r>
      <w:r w:rsidR="00836185">
        <w:t xml:space="preserve">had </w:t>
      </w:r>
      <w:r w:rsidR="0075029B">
        <w:t xml:space="preserve">administered a psychometric test known as the Minnesota Multiphasic Personality Inventory-2 (MMPI-2) </w:t>
      </w:r>
      <w:r w:rsidR="00836185">
        <w:t>to both parti</w:t>
      </w:r>
      <w:r w:rsidR="008F55CC">
        <w:t xml:space="preserve">es.  Based on the results of these </w:t>
      </w:r>
      <w:r w:rsidR="00836185">
        <w:t>test</w:t>
      </w:r>
      <w:r w:rsidR="008F55CC">
        <w:t>s, each clinical psychologist</w:t>
      </w:r>
      <w:r w:rsidR="00836185">
        <w:t xml:space="preserve"> diagnosed </w:t>
      </w:r>
      <w:r w:rsidR="005D1074">
        <w:t>Mrs Potgieter</w:t>
      </w:r>
      <w:r w:rsidR="00836185">
        <w:t xml:space="preserve"> to be suffering from a borderline personality disorder manifesting itself in, amon</w:t>
      </w:r>
      <w:r w:rsidR="008F55CC">
        <w:t>gst other things,</w:t>
      </w:r>
      <w:r w:rsidR="00836185">
        <w:t xml:space="preserve"> impulsivity; </w:t>
      </w:r>
      <w:r w:rsidR="008F55CC">
        <w:t xml:space="preserve">a </w:t>
      </w:r>
      <w:r w:rsidR="00836185">
        <w:t>pattern of unstable and intense interpersonal relationships; abuse</w:t>
      </w:r>
      <w:r w:rsidR="004327D5">
        <w:t xml:space="preserve"> </w:t>
      </w:r>
      <w:r w:rsidR="000263BF">
        <w:t>of prescription drugs;</w:t>
      </w:r>
      <w:r w:rsidR="00836185">
        <w:t xml:space="preserve"> </w:t>
      </w:r>
      <w:r w:rsidR="008F55CC">
        <w:t xml:space="preserve">emotional instability and </w:t>
      </w:r>
      <w:r w:rsidR="00836185">
        <w:t xml:space="preserve">mood swings.  </w:t>
      </w:r>
    </w:p>
    <w:p w14:paraId="563E3B88" w14:textId="7A0CEE4D" w:rsidR="00D135CE" w:rsidRDefault="00605C29" w:rsidP="00605C29">
      <w:pPr>
        <w:tabs>
          <w:tab w:val="left" w:pos="851"/>
        </w:tabs>
      </w:pPr>
      <w:r>
        <w:t>[7]</w:t>
      </w:r>
      <w:r>
        <w:tab/>
      </w:r>
      <w:r w:rsidR="00992C2E">
        <w:t>Dr Potgieter</w:t>
      </w:r>
      <w:r w:rsidR="00D135CE">
        <w:t xml:space="preserve"> also called a psychiatrist, Dr Peter </w:t>
      </w:r>
      <w:proofErr w:type="spellStart"/>
      <w:r w:rsidR="00D135CE">
        <w:t>Crafford</w:t>
      </w:r>
      <w:proofErr w:type="spellEnd"/>
      <w:r w:rsidR="00D135CE">
        <w:t xml:space="preserve">, to testify on his behalf at the trial.  Dr </w:t>
      </w:r>
      <w:proofErr w:type="spellStart"/>
      <w:r w:rsidR="00D135CE">
        <w:t>Crafford</w:t>
      </w:r>
      <w:proofErr w:type="spellEnd"/>
      <w:r w:rsidR="00D135CE">
        <w:t xml:space="preserve"> had treated </w:t>
      </w:r>
      <w:r w:rsidR="005D1074">
        <w:t>Mrs Potgieter</w:t>
      </w:r>
      <w:r w:rsidR="00D135CE">
        <w:t xml:space="preserve"> for anxiety and dep</w:t>
      </w:r>
      <w:r w:rsidR="00E10461">
        <w:t>ression over a period of about five</w:t>
      </w:r>
      <w:r w:rsidR="00D135CE">
        <w:t xml:space="preserve"> months some six years bef</w:t>
      </w:r>
      <w:r w:rsidR="008F55CC">
        <w:t xml:space="preserve">ore the trial.  He had </w:t>
      </w:r>
      <w:r w:rsidR="00D135CE">
        <w:t>also diagnosed her as suffering from ‘marked borderline personality traits’, with ‘</w:t>
      </w:r>
      <w:r w:rsidR="00971C7C">
        <w:t>generalis</w:t>
      </w:r>
      <w:r w:rsidR="00D135CE">
        <w:t xml:space="preserve">ed personality disorder’, ‘panic disorder’ and ‘recurrent major depressive disorder’. According to Dr </w:t>
      </w:r>
      <w:proofErr w:type="spellStart"/>
      <w:r w:rsidR="00D135CE">
        <w:t>Crafford</w:t>
      </w:r>
      <w:proofErr w:type="spellEnd"/>
      <w:r w:rsidR="00D135CE">
        <w:t xml:space="preserve">, </w:t>
      </w:r>
      <w:r w:rsidR="008F55CC">
        <w:t xml:space="preserve">although </w:t>
      </w:r>
      <w:r w:rsidR="005D1074">
        <w:t>Mrs Potgieter</w:t>
      </w:r>
      <w:r w:rsidR="00D135CE">
        <w:t xml:space="preserve"> had initially responded well to elec</w:t>
      </w:r>
      <w:r w:rsidR="00475492">
        <w:t>t</w:t>
      </w:r>
      <w:r w:rsidR="00D135CE">
        <w:t xml:space="preserve">ro-convulsive therapy, the anti-depressants prescribed for her at that stage </w:t>
      </w:r>
      <w:proofErr w:type="gramStart"/>
      <w:r w:rsidR="00D135CE">
        <w:t>did not succeed</w:t>
      </w:r>
      <w:proofErr w:type="gramEnd"/>
      <w:r w:rsidR="00D135CE">
        <w:t xml:space="preserve"> in keeping her depression at bay.  </w:t>
      </w:r>
      <w:r w:rsidR="00971C7C">
        <w:t xml:space="preserve">Dr </w:t>
      </w:r>
      <w:proofErr w:type="spellStart"/>
      <w:r w:rsidR="00971C7C">
        <w:t>Crafford</w:t>
      </w:r>
      <w:proofErr w:type="spellEnd"/>
      <w:r w:rsidR="00971C7C">
        <w:t xml:space="preserve"> opined that </w:t>
      </w:r>
      <w:r w:rsidR="005D1074">
        <w:t>Mrs Potgieter</w:t>
      </w:r>
      <w:r w:rsidR="00971C7C">
        <w:t xml:space="preserve"> </w:t>
      </w:r>
      <w:r w:rsidR="00971C7C">
        <w:lastRenderedPageBreak/>
        <w:t xml:space="preserve">had serious problems coping with reality and that her insight into her problems was very limited.  He was of the view that she did not have the strength of </w:t>
      </w:r>
      <w:proofErr w:type="gramStart"/>
      <w:r w:rsidR="00971C7C">
        <w:t>will to</w:t>
      </w:r>
      <w:proofErr w:type="gramEnd"/>
      <w:r w:rsidR="00971C7C">
        <w:t xml:space="preserve"> persevere with psy</w:t>
      </w:r>
      <w:r w:rsidR="008F55CC">
        <w:t xml:space="preserve">chiatric treatment, nor </w:t>
      </w:r>
      <w:r w:rsidR="00971C7C">
        <w:t xml:space="preserve">was she motivated to undergo individual psychotherapy.  He testified that </w:t>
      </w:r>
      <w:r w:rsidR="005D1074">
        <w:t>Mrs Potgieter</w:t>
      </w:r>
      <w:r w:rsidR="00971C7C">
        <w:t xml:space="preserve">’s ‘generalised anxiety disorder’ was a lifelong condition and that, although it could be treated, was not curable.  It was characterised by excessive uncontrollable worry; mood instability; inability to cope with change; </w:t>
      </w:r>
      <w:r w:rsidR="00173AB4">
        <w:t xml:space="preserve">the avoidance of stressors and the formation of inappropriately intense and unstable interpersonal relationships.  According to Dr </w:t>
      </w:r>
      <w:proofErr w:type="spellStart"/>
      <w:r w:rsidR="00173AB4">
        <w:t>Crafford</w:t>
      </w:r>
      <w:proofErr w:type="spellEnd"/>
      <w:r w:rsidR="00173AB4">
        <w:t xml:space="preserve">, </w:t>
      </w:r>
      <w:r w:rsidR="005D1074">
        <w:t>Mrs Potgieter</w:t>
      </w:r>
      <w:r w:rsidR="00173AB4">
        <w:t xml:space="preserve">’s ‘long-term </w:t>
      </w:r>
      <w:proofErr w:type="gramStart"/>
      <w:r w:rsidR="00173AB4">
        <w:t>prognosis’</w:t>
      </w:r>
      <w:proofErr w:type="gramEnd"/>
      <w:r w:rsidR="00173AB4">
        <w:t xml:space="preserve"> was not good.  </w:t>
      </w:r>
    </w:p>
    <w:p w14:paraId="2C7EBD34" w14:textId="5632E877" w:rsidR="0075029B" w:rsidRDefault="00605C29" w:rsidP="00605C29">
      <w:pPr>
        <w:tabs>
          <w:tab w:val="left" w:pos="851"/>
        </w:tabs>
      </w:pPr>
      <w:r>
        <w:t>[8]</w:t>
      </w:r>
      <w:r>
        <w:tab/>
      </w:r>
      <w:r w:rsidR="007D66BD">
        <w:t xml:space="preserve">It is important to note that </w:t>
      </w:r>
      <w:r w:rsidR="00E10461">
        <w:t>Dr de Wit</w:t>
      </w:r>
      <w:r w:rsidR="00836185">
        <w:t xml:space="preserve"> and </w:t>
      </w:r>
      <w:r w:rsidR="00597516">
        <w:t>Ms</w:t>
      </w:r>
      <w:r w:rsidR="00836185">
        <w:t xml:space="preserve"> Retief </w:t>
      </w:r>
      <w:r w:rsidR="007D66BD">
        <w:t xml:space="preserve">premised their recommendations to </w:t>
      </w:r>
      <w:r w:rsidR="008F55CC">
        <w:t>a large</w:t>
      </w:r>
      <w:r w:rsidR="00971C7C">
        <w:t xml:space="preserve"> </w:t>
      </w:r>
      <w:r w:rsidR="007D66BD">
        <w:t xml:space="preserve">extent on their ‘factual finding’ that the parties’ housekeeper, </w:t>
      </w:r>
      <w:r w:rsidR="00597516">
        <w:t>Ms</w:t>
      </w:r>
      <w:r w:rsidR="007D66BD">
        <w:t xml:space="preserve"> Maria Zama, had been the children’s primary caregiver for </w:t>
      </w:r>
      <w:proofErr w:type="gramStart"/>
      <w:r w:rsidR="007D66BD">
        <w:t>a number of</w:t>
      </w:r>
      <w:proofErr w:type="gramEnd"/>
      <w:r w:rsidR="007D66BD">
        <w:t xml:space="preserve"> years preceding the trial.  I will return to this aspect in due course.  So too, the family advocate accepted as a fact in her report the allegation that </w:t>
      </w:r>
      <w:r w:rsidR="00597516">
        <w:t>Ms</w:t>
      </w:r>
      <w:r w:rsidR="007D66BD">
        <w:t xml:space="preserve"> Zama, and not </w:t>
      </w:r>
      <w:r w:rsidR="005D1074">
        <w:t>Mrs Potgieter</w:t>
      </w:r>
      <w:r w:rsidR="007D66BD">
        <w:t>, was the children’</w:t>
      </w:r>
      <w:r w:rsidR="00D135CE">
        <w:t>s primary caregiver.</w:t>
      </w:r>
    </w:p>
    <w:p w14:paraId="152D43D8" w14:textId="175C97A9" w:rsidR="006272BD" w:rsidRDefault="00605C29" w:rsidP="00605C29">
      <w:pPr>
        <w:tabs>
          <w:tab w:val="left" w:pos="851"/>
        </w:tabs>
      </w:pPr>
      <w:r>
        <w:t>[9]</w:t>
      </w:r>
      <w:r>
        <w:tab/>
      </w:r>
      <w:r w:rsidR="00173AB4">
        <w:t xml:space="preserve">The family advocate also called a third clinical psychologist, Mr Ian Meyer, to testify at the trial.  Mr Meyer had been instructed by </w:t>
      </w:r>
      <w:r w:rsidR="005D1074">
        <w:t>Mrs Potgieter</w:t>
      </w:r>
      <w:r w:rsidR="00173AB4">
        <w:t xml:space="preserve">’s attorneys </w:t>
      </w:r>
      <w:proofErr w:type="gramStart"/>
      <w:r w:rsidR="008F55CC">
        <w:t>during the course of</w:t>
      </w:r>
      <w:proofErr w:type="gramEnd"/>
      <w:r w:rsidR="008F55CC">
        <w:t xml:space="preserve"> the trial </w:t>
      </w:r>
      <w:r w:rsidR="00173AB4">
        <w:t xml:space="preserve">to conduct an </w:t>
      </w:r>
      <w:r w:rsidR="00173AB4">
        <w:lastRenderedPageBreak/>
        <w:t xml:space="preserve">investigation and compile a report, focussing in his assessment on the </w:t>
      </w:r>
      <w:r w:rsidR="008F55CC">
        <w:t xml:space="preserve">parties’ </w:t>
      </w:r>
      <w:r w:rsidR="00173AB4">
        <w:t>respective parental capacity</w:t>
      </w:r>
      <w:r w:rsidR="008F55CC">
        <w:t>.</w:t>
      </w:r>
      <w:r w:rsidR="00173AB4">
        <w:t xml:space="preserve">  In accordance with his instructions, he did not reassess the children for fear of traumatising them by subjecting them to a further distressing psychological process.</w:t>
      </w:r>
      <w:r w:rsidR="0013189B">
        <w:t xml:space="preserve">  Mr Meyer was of the view that </w:t>
      </w:r>
      <w:r w:rsidR="00992C2E">
        <w:t>Dr Potgieter</w:t>
      </w:r>
      <w:r w:rsidR="0013189B">
        <w:t xml:space="preserve"> showed greater parental capacity </w:t>
      </w:r>
      <w:r w:rsidR="008F55CC">
        <w:t xml:space="preserve">than </w:t>
      </w:r>
      <w:r w:rsidR="005D1074">
        <w:t>Mrs Potgieter</w:t>
      </w:r>
      <w:r w:rsidR="008F55CC">
        <w:t xml:space="preserve"> and</w:t>
      </w:r>
      <w:r w:rsidR="0013189B">
        <w:t xml:space="preserve"> that custody of the children should be awarded to </w:t>
      </w:r>
      <w:r w:rsidR="00992C2E">
        <w:t>Dr Potgieter</w:t>
      </w:r>
      <w:r w:rsidR="008F55CC">
        <w:t>.</w:t>
      </w:r>
      <w:r w:rsidR="0013189B">
        <w:t xml:space="preserve">  His opinion was derived largely from his conclusion that, given her ‘ego strength’, psychiatric history and previous style of coping while she was a full-time mother and housewife with considerable domestic support, she </w:t>
      </w:r>
      <w:r w:rsidR="008E6B7D">
        <w:t xml:space="preserve">might </w:t>
      </w:r>
      <w:r w:rsidR="0013189B">
        <w:t xml:space="preserve">well not be able to cope with the stress of being a single parent and </w:t>
      </w:r>
      <w:r w:rsidR="008F55CC">
        <w:t xml:space="preserve">of </w:t>
      </w:r>
      <w:r w:rsidR="0013189B">
        <w:t xml:space="preserve">managing a household, </w:t>
      </w:r>
      <w:r w:rsidR="008F55CC">
        <w:t xml:space="preserve">a </w:t>
      </w:r>
      <w:proofErr w:type="gramStart"/>
      <w:r w:rsidR="0013189B">
        <w:t>job</w:t>
      </w:r>
      <w:proofErr w:type="gramEnd"/>
      <w:r w:rsidR="0013189B">
        <w:t xml:space="preserve"> and finances.</w:t>
      </w:r>
    </w:p>
    <w:p w14:paraId="049061AE" w14:textId="76257DEB" w:rsidR="0013189B" w:rsidRDefault="00605C29" w:rsidP="00605C29">
      <w:pPr>
        <w:tabs>
          <w:tab w:val="left" w:pos="851"/>
        </w:tabs>
      </w:pPr>
      <w:r>
        <w:t>[10]</w:t>
      </w:r>
      <w:r>
        <w:tab/>
      </w:r>
      <w:r w:rsidR="008E6B7D">
        <w:t>Chetty J was unimpressed with the various expert witnesses.  He described Ms Vogel as a ‘poor witness’ who was evasive</w:t>
      </w:r>
      <w:r w:rsidR="003A0419">
        <w:t>,</w:t>
      </w:r>
      <w:r w:rsidR="008E6B7D">
        <w:t xml:space="preserve"> unable to answer questions directly</w:t>
      </w:r>
      <w:r w:rsidR="003A0419">
        <w:t xml:space="preserve"> and </w:t>
      </w:r>
      <w:r w:rsidR="008E6B7D">
        <w:t>reluctant to make obvious concessions</w:t>
      </w:r>
      <w:r w:rsidR="003A0419">
        <w:t xml:space="preserve"> –</w:t>
      </w:r>
    </w:p>
    <w:p w14:paraId="32000A22" w14:textId="77777777" w:rsidR="003A0419" w:rsidRDefault="003A0419" w:rsidP="003A0419">
      <w:pPr>
        <w:rPr>
          <w:rStyle w:val="Quotation"/>
          <w:lang w:eastAsia="en-ZA"/>
        </w:rPr>
      </w:pPr>
      <w:r>
        <w:rPr>
          <w:rStyle w:val="Quotation"/>
          <w:lang w:eastAsia="en-ZA"/>
        </w:rPr>
        <w:t xml:space="preserve">‘The defensive attitude which she displayed towards her report compounded the problems she experienced under cross-examination and contributed markedly to her unease in the witness box . . . it became obvious that her recommendation was inextricably bound to her diagnosis.  She was reluctant to concede that even if the factual substratum upon which her diagnosis rested was different to that which she accepted her conclusion could be different . . .Cross-examination soon established the spurious nature of the allegations which she regarded as fact.  Those allegations </w:t>
      </w:r>
      <w:r>
        <w:rPr>
          <w:rStyle w:val="Quotation"/>
          <w:lang w:eastAsia="en-ZA"/>
        </w:rPr>
        <w:lastRenderedPageBreak/>
        <w:t>emanated from the [appellant] and those loyal to him which she unreservedly accepted as factually correct</w:t>
      </w:r>
      <w:r w:rsidR="00180F2D">
        <w:rPr>
          <w:rStyle w:val="Quotation"/>
          <w:lang w:eastAsia="en-ZA"/>
        </w:rPr>
        <w:t>.’</w:t>
      </w:r>
    </w:p>
    <w:p w14:paraId="46917D7D" w14:textId="1A0CBFC4" w:rsidR="003A0419" w:rsidRPr="004E7601" w:rsidRDefault="00605C29" w:rsidP="00605C29">
      <w:pPr>
        <w:tabs>
          <w:tab w:val="left" w:pos="851"/>
        </w:tabs>
        <w:rPr>
          <w:rStyle w:val="Quotation"/>
          <w:lang w:eastAsia="en-ZA"/>
        </w:rPr>
      </w:pPr>
      <w:r w:rsidRPr="004E7601">
        <w:rPr>
          <w:rStyle w:val="Quotation"/>
          <w:sz w:val="28"/>
          <w:szCs w:val="28"/>
          <w:lang w:eastAsia="en-ZA"/>
        </w:rPr>
        <w:t>[11]</w:t>
      </w:r>
      <w:r w:rsidRPr="004E7601">
        <w:rPr>
          <w:rStyle w:val="Quotation"/>
          <w:sz w:val="28"/>
          <w:szCs w:val="28"/>
          <w:lang w:eastAsia="en-ZA"/>
        </w:rPr>
        <w:tab/>
      </w:r>
      <w:r w:rsidR="00BB264F">
        <w:rPr>
          <w:rStyle w:val="Quotation"/>
          <w:sz w:val="28"/>
          <w:szCs w:val="28"/>
          <w:lang w:eastAsia="en-ZA"/>
        </w:rPr>
        <w:t>As Erasmus J pointed out in his</w:t>
      </w:r>
      <w:r w:rsidR="003A0419">
        <w:rPr>
          <w:rStyle w:val="Quotation"/>
          <w:sz w:val="28"/>
          <w:szCs w:val="28"/>
          <w:lang w:eastAsia="en-ZA"/>
        </w:rPr>
        <w:t xml:space="preserve"> judgment</w:t>
      </w:r>
      <w:r w:rsidR="008F55CC">
        <w:rPr>
          <w:rStyle w:val="Quotation"/>
          <w:sz w:val="28"/>
          <w:szCs w:val="28"/>
          <w:lang w:eastAsia="en-ZA"/>
        </w:rPr>
        <w:t xml:space="preserve"> in</w:t>
      </w:r>
      <w:r w:rsidR="00BB264F">
        <w:rPr>
          <w:rStyle w:val="Quotation"/>
          <w:sz w:val="28"/>
          <w:szCs w:val="28"/>
          <w:lang w:eastAsia="en-ZA"/>
        </w:rPr>
        <w:t xml:space="preserve"> the Full Court</w:t>
      </w:r>
      <w:r w:rsidR="003A0419">
        <w:rPr>
          <w:rStyle w:val="Quotation"/>
          <w:sz w:val="28"/>
          <w:szCs w:val="28"/>
          <w:lang w:eastAsia="en-ZA"/>
        </w:rPr>
        <w:t xml:space="preserve">, </w:t>
      </w:r>
      <w:r w:rsidR="004E7601">
        <w:rPr>
          <w:rStyle w:val="Quotation"/>
          <w:sz w:val="28"/>
          <w:szCs w:val="28"/>
          <w:lang w:eastAsia="en-ZA"/>
        </w:rPr>
        <w:t xml:space="preserve">it was put to </w:t>
      </w:r>
      <w:r w:rsidR="00597516">
        <w:rPr>
          <w:rStyle w:val="Quotation"/>
          <w:sz w:val="28"/>
          <w:szCs w:val="28"/>
          <w:lang w:eastAsia="en-ZA"/>
        </w:rPr>
        <w:t>Ms</w:t>
      </w:r>
      <w:r w:rsidR="004E7601">
        <w:rPr>
          <w:rStyle w:val="Quotation"/>
          <w:sz w:val="28"/>
          <w:szCs w:val="28"/>
          <w:lang w:eastAsia="en-ZA"/>
        </w:rPr>
        <w:t xml:space="preserve"> Vogel in cross-examination that her strenuous attempts to ‘defend’ her position and her unwillingness to make any concessions in favour of </w:t>
      </w:r>
      <w:r w:rsidR="005D1074">
        <w:rPr>
          <w:rStyle w:val="Quotation"/>
          <w:sz w:val="28"/>
          <w:szCs w:val="28"/>
          <w:lang w:eastAsia="en-ZA"/>
        </w:rPr>
        <w:t>Mrs Potgieter</w:t>
      </w:r>
      <w:r w:rsidR="004E7601">
        <w:rPr>
          <w:rStyle w:val="Quotation"/>
          <w:sz w:val="28"/>
          <w:szCs w:val="28"/>
          <w:lang w:eastAsia="en-ZA"/>
        </w:rPr>
        <w:t xml:space="preserve"> indicated her lack of objectivity. Her answer was as follows:</w:t>
      </w:r>
    </w:p>
    <w:p w14:paraId="5687F4A8" w14:textId="77777777" w:rsidR="004E7601" w:rsidRDefault="004E7601" w:rsidP="00D907F0">
      <w:pPr>
        <w:rPr>
          <w:rStyle w:val="Quotation"/>
          <w:lang w:eastAsia="en-ZA"/>
        </w:rPr>
      </w:pPr>
      <w:r>
        <w:rPr>
          <w:rStyle w:val="Quotation"/>
          <w:lang w:eastAsia="en-ZA"/>
        </w:rPr>
        <w:t xml:space="preserve">'I cannot be </w:t>
      </w:r>
      <w:proofErr w:type="gramStart"/>
      <w:r>
        <w:rPr>
          <w:rStyle w:val="Quotation"/>
          <w:lang w:eastAsia="en-ZA"/>
        </w:rPr>
        <w:t>neutral,</w:t>
      </w:r>
      <w:proofErr w:type="gramEnd"/>
      <w:r>
        <w:rPr>
          <w:rStyle w:val="Quotation"/>
          <w:lang w:eastAsia="en-ZA"/>
        </w:rPr>
        <w:t xml:space="preserve"> I have decided in my report that Dr Potgieter is the better custodian and maybe I am being too defensive of my report.  I have written something which took a long time and [which] I am proud of and I would like to explain why I came to these findings and I see that they are in line with other people’s findings, so I know that I am not – it is not just a magical </w:t>
      </w:r>
      <w:proofErr w:type="spellStart"/>
      <w:r>
        <w:rPr>
          <w:rStyle w:val="Quotation"/>
          <w:lang w:eastAsia="en-ZA"/>
        </w:rPr>
        <w:t>thumbsuck</w:t>
      </w:r>
      <w:proofErr w:type="spellEnd"/>
      <w:r>
        <w:rPr>
          <w:rStyle w:val="Quotation"/>
          <w:lang w:eastAsia="en-ZA"/>
        </w:rPr>
        <w:t>, it is based on as much evidence and quant</w:t>
      </w:r>
      <w:r w:rsidR="00475492">
        <w:rPr>
          <w:rStyle w:val="Quotation"/>
          <w:lang w:eastAsia="en-ZA"/>
        </w:rPr>
        <w:t>i</w:t>
      </w:r>
      <w:r w:rsidR="00D907F0">
        <w:rPr>
          <w:rStyle w:val="Quotation"/>
          <w:lang w:eastAsia="en-ZA"/>
        </w:rPr>
        <w:t>ta</w:t>
      </w:r>
      <w:r>
        <w:rPr>
          <w:rStyle w:val="Quotation"/>
          <w:lang w:eastAsia="en-ZA"/>
        </w:rPr>
        <w:t>tive and qualitative measurements that I could find.’</w:t>
      </w:r>
    </w:p>
    <w:p w14:paraId="38C1BF7A" w14:textId="77777777" w:rsidR="004E7601" w:rsidRDefault="00BB264F" w:rsidP="004E7601">
      <w:pPr>
        <w:rPr>
          <w:rStyle w:val="Quotation"/>
          <w:sz w:val="28"/>
          <w:szCs w:val="28"/>
          <w:lang w:eastAsia="en-ZA"/>
        </w:rPr>
      </w:pPr>
      <w:r>
        <w:rPr>
          <w:rStyle w:val="Quotation"/>
          <w:sz w:val="28"/>
          <w:szCs w:val="28"/>
          <w:lang w:eastAsia="en-ZA"/>
        </w:rPr>
        <w:t>Erasmus J</w:t>
      </w:r>
      <w:r w:rsidR="001767FD">
        <w:rPr>
          <w:rStyle w:val="Quotation"/>
          <w:sz w:val="28"/>
          <w:szCs w:val="28"/>
          <w:lang w:eastAsia="en-ZA"/>
        </w:rPr>
        <w:t xml:space="preserve"> commented, correctly in my view, that this was indeed an unfortunate attitude for an expert whose task was to assist the court</w:t>
      </w:r>
      <w:r w:rsidR="008F55CC">
        <w:rPr>
          <w:rStyle w:val="Quotation"/>
          <w:sz w:val="28"/>
          <w:szCs w:val="28"/>
          <w:lang w:eastAsia="en-ZA"/>
        </w:rPr>
        <w:t xml:space="preserve"> in an objective manner</w:t>
      </w:r>
      <w:r w:rsidR="001767FD">
        <w:rPr>
          <w:rStyle w:val="Quotation"/>
          <w:sz w:val="28"/>
          <w:szCs w:val="28"/>
          <w:lang w:eastAsia="en-ZA"/>
        </w:rPr>
        <w:t xml:space="preserve">.  </w:t>
      </w:r>
    </w:p>
    <w:p w14:paraId="7BDB7B1E" w14:textId="7E86F25C" w:rsidR="001767FD" w:rsidRDefault="00605C29" w:rsidP="00605C29">
      <w:pPr>
        <w:tabs>
          <w:tab w:val="left" w:pos="851"/>
        </w:tabs>
      </w:pPr>
      <w:r>
        <w:t>[12]</w:t>
      </w:r>
      <w:r>
        <w:tab/>
      </w:r>
      <w:r w:rsidR="001767FD">
        <w:t xml:space="preserve">The trial judge was also critical of </w:t>
      </w:r>
      <w:r w:rsidR="00E10461">
        <w:t>Dr de Wit</w:t>
      </w:r>
      <w:r w:rsidR="001767FD">
        <w:t xml:space="preserve">’s evidence for much the same reasons.  As far as </w:t>
      </w:r>
      <w:r w:rsidR="00597516">
        <w:t>Ms</w:t>
      </w:r>
      <w:r w:rsidR="001767FD">
        <w:t xml:space="preserve"> Retief was concerned, Chetty J </w:t>
      </w:r>
      <w:r w:rsidR="00813E12">
        <w:t xml:space="preserve">correctly observed that her report and her testimony made it abundantly clear that she accepted the allegations contained in </w:t>
      </w:r>
      <w:r w:rsidR="00E10461">
        <w:t>Dr de Wit</w:t>
      </w:r>
      <w:r w:rsidR="00813E12">
        <w:t xml:space="preserve">’s report as factually </w:t>
      </w:r>
      <w:r w:rsidR="00813E12">
        <w:lastRenderedPageBreak/>
        <w:t xml:space="preserve">correct; that she relied heavily on </w:t>
      </w:r>
      <w:r w:rsidR="00E10461">
        <w:t>Dr de Wit</w:t>
      </w:r>
      <w:r w:rsidR="00813E12">
        <w:t xml:space="preserve">’s findings, and that her recommendations were influenced by </w:t>
      </w:r>
      <w:r w:rsidR="00E10461">
        <w:t>Dr de Wit</w:t>
      </w:r>
      <w:r w:rsidR="00813E12">
        <w:t xml:space="preserve"> to an appreciable degree.  As the family advocate’s opinion was </w:t>
      </w:r>
      <w:r w:rsidR="008F55CC">
        <w:t xml:space="preserve">in turn </w:t>
      </w:r>
      <w:r w:rsidR="00813E12">
        <w:t xml:space="preserve">based almost exclusively on the recommendations in the reports submitted to her by </w:t>
      </w:r>
      <w:r w:rsidR="00597516">
        <w:t>Ms</w:t>
      </w:r>
      <w:r w:rsidR="00813E12">
        <w:t xml:space="preserve"> Retief and </w:t>
      </w:r>
      <w:r w:rsidR="00E10461">
        <w:t>Dr de Wit</w:t>
      </w:r>
      <w:r w:rsidR="00813E12">
        <w:t xml:space="preserve">, as well as </w:t>
      </w:r>
      <w:r w:rsidR="008F55CC">
        <w:t xml:space="preserve">on </w:t>
      </w:r>
      <w:r w:rsidR="00813E12">
        <w:t>the allegations in the pleadings and in the affidavits filed in the Rule 43 application, Chetty J did not derive any assistance from her recommendation</w:t>
      </w:r>
      <w:r w:rsidR="008F55CC">
        <w:t xml:space="preserve"> either</w:t>
      </w:r>
      <w:r w:rsidR="00813E12">
        <w:t>.</w:t>
      </w:r>
    </w:p>
    <w:p w14:paraId="2E0F18E6" w14:textId="54313339" w:rsidR="009F68EC" w:rsidRDefault="00605C29" w:rsidP="00605C29">
      <w:pPr>
        <w:tabs>
          <w:tab w:val="left" w:pos="851"/>
        </w:tabs>
      </w:pPr>
      <w:r>
        <w:t>[13]</w:t>
      </w:r>
      <w:r>
        <w:tab/>
      </w:r>
      <w:r w:rsidR="00B37827">
        <w:t>As stated by the trial judge at the outset of his judgment, t</w:t>
      </w:r>
      <w:r w:rsidR="00CE20E3">
        <w:t xml:space="preserve">he </w:t>
      </w:r>
      <w:r w:rsidR="00B37827">
        <w:t>fundamental</w:t>
      </w:r>
      <w:r w:rsidR="00D93420">
        <w:t xml:space="preserve"> principle</w:t>
      </w:r>
      <w:r w:rsidR="00CE20E3">
        <w:t xml:space="preserve"> </w:t>
      </w:r>
      <w:r w:rsidR="00AD1E30">
        <w:t>consistently applied by South African</w:t>
      </w:r>
      <w:r w:rsidR="00D93420">
        <w:t xml:space="preserve"> courts in custody disputes, as indeed in all matters concerning children, is now entrenched in section 28(2) of the Constitution</w:t>
      </w:r>
      <w:r w:rsidR="00B37827">
        <w:t>.  This section</w:t>
      </w:r>
      <w:r w:rsidR="00D93420">
        <w:t xml:space="preserve"> provides that ‘[a] child’s best interests are of paramount importance in </w:t>
      </w:r>
      <w:r w:rsidR="00B37827">
        <w:t>e</w:t>
      </w:r>
      <w:r w:rsidR="00D93420">
        <w:t xml:space="preserve">very matter concerning the child’. (See further </w:t>
      </w:r>
      <w:r w:rsidR="00D93420">
        <w:rPr>
          <w:i/>
          <w:iCs/>
        </w:rPr>
        <w:t>Jackson</w:t>
      </w:r>
      <w:r w:rsidR="00FC3877">
        <w:rPr>
          <w:i/>
          <w:iCs/>
        </w:rPr>
        <w:t xml:space="preserve"> v Jackson</w:t>
      </w:r>
      <w:r w:rsidR="00D93420">
        <w:rPr>
          <w:i/>
          <w:iCs/>
        </w:rPr>
        <w:t xml:space="preserve"> </w:t>
      </w:r>
      <w:r w:rsidR="00AD1E30">
        <w:t xml:space="preserve">2002 (2) SA 303 (SCA) </w:t>
      </w:r>
      <w:r w:rsidR="00B37827">
        <w:t xml:space="preserve">at 307I-308A, </w:t>
      </w:r>
      <w:r w:rsidR="00B37827">
        <w:rPr>
          <w:i/>
          <w:iCs/>
        </w:rPr>
        <w:t xml:space="preserve">F v F </w:t>
      </w:r>
      <w:r w:rsidR="00B37827">
        <w:t>2</w:t>
      </w:r>
      <w:r w:rsidR="00D9099E">
        <w:t>006 (3</w:t>
      </w:r>
      <w:r w:rsidR="00B37827">
        <w:t>) SA 42 (SCA) para 8</w:t>
      </w:r>
      <w:r w:rsidR="00D9099E">
        <w:t xml:space="preserve"> </w:t>
      </w:r>
      <w:proofErr w:type="gramStart"/>
      <w:r w:rsidR="00D9099E">
        <w:t>and also</w:t>
      </w:r>
      <w:proofErr w:type="gramEnd"/>
      <w:r w:rsidR="00D9099E">
        <w:t xml:space="preserve"> </w:t>
      </w:r>
      <w:r w:rsidR="00D9099E">
        <w:rPr>
          <w:i/>
          <w:iCs/>
        </w:rPr>
        <w:t xml:space="preserve">Lubbe v Du Plessis </w:t>
      </w:r>
      <w:r w:rsidR="00D9099E">
        <w:t>2001 (4) SA 57 (C) at 66B-67G</w:t>
      </w:r>
      <w:r w:rsidR="00B37827">
        <w:t xml:space="preserve">.)  </w:t>
      </w:r>
      <w:r w:rsidR="00D9099E">
        <w:t xml:space="preserve">It is not necessary for the purposes of this judgment to repeat the </w:t>
      </w:r>
      <w:r w:rsidR="00AD1E30">
        <w:t>non-exhaustive, albeit comprehensive,</w:t>
      </w:r>
      <w:r w:rsidR="00D9099E">
        <w:t xml:space="preserve"> </w:t>
      </w:r>
      <w:r w:rsidR="00317648">
        <w:t>‘</w:t>
      </w:r>
      <w:r w:rsidR="00D9099E">
        <w:t>checklist</w:t>
      </w:r>
      <w:r w:rsidR="00317648">
        <w:t xml:space="preserve">’ of </w:t>
      </w:r>
      <w:r w:rsidR="00D9099E">
        <w:t xml:space="preserve">criteria </w:t>
      </w:r>
      <w:r w:rsidR="00317648">
        <w:t xml:space="preserve">relevant to the application of the best interests standard, </w:t>
      </w:r>
      <w:r w:rsidR="004E06C3">
        <w:t xml:space="preserve">set out </w:t>
      </w:r>
      <w:r w:rsidR="00D9099E">
        <w:t xml:space="preserve">in </w:t>
      </w:r>
      <w:r w:rsidR="00D9099E">
        <w:rPr>
          <w:i/>
          <w:iCs/>
        </w:rPr>
        <w:t>McCall v McCall</w:t>
      </w:r>
      <w:r w:rsidR="00317648">
        <w:rPr>
          <w:i/>
          <w:iCs/>
        </w:rPr>
        <w:t xml:space="preserve"> </w:t>
      </w:r>
      <w:r w:rsidR="00D9099E">
        <w:t>1994 (3) SA 201 (C)</w:t>
      </w:r>
      <w:r w:rsidR="00317648">
        <w:t xml:space="preserve"> along t</w:t>
      </w:r>
      <w:r w:rsidR="0037148E">
        <w:t xml:space="preserve">he lines of the checklist of relevant factors recommended by the English Law Commission in its </w:t>
      </w:r>
      <w:r w:rsidR="0037148E">
        <w:rPr>
          <w:i/>
          <w:iCs/>
        </w:rPr>
        <w:t xml:space="preserve">Review of Child Law, Guardianship and Custody </w:t>
      </w:r>
      <w:r w:rsidR="0037148E">
        <w:lastRenderedPageBreak/>
        <w:t>Law Com No 172 (1988) paras 3.17 et seq.  These criteria – and quite a few more – have now been encapsulated in section 7(1) of the Children’s Act 38 of 2005</w:t>
      </w:r>
      <w:r w:rsidR="009F68EC">
        <w:t xml:space="preserve"> which was signed into law by the President on 8 June 2006, but which is not yet in operation</w:t>
      </w:r>
      <w:r w:rsidR="00DB7789">
        <w:t xml:space="preserve">.  </w:t>
      </w:r>
    </w:p>
    <w:p w14:paraId="143AF1B8" w14:textId="5ED95F7D" w:rsidR="00027080" w:rsidRDefault="00605C29" w:rsidP="00605C29">
      <w:pPr>
        <w:tabs>
          <w:tab w:val="left" w:pos="851"/>
        </w:tabs>
      </w:pPr>
      <w:r>
        <w:t>[14]</w:t>
      </w:r>
      <w:r>
        <w:tab/>
      </w:r>
      <w:r w:rsidR="007E178C">
        <w:t>D</w:t>
      </w:r>
      <w:r w:rsidR="0030700B">
        <w:t>etermin</w:t>
      </w:r>
      <w:r w:rsidR="007E178C">
        <w:t xml:space="preserve">ing </w:t>
      </w:r>
      <w:r w:rsidR="0030700B">
        <w:t xml:space="preserve">what custody arrangement will serve the best interests of the children in any </w:t>
      </w:r>
      <w:proofErr w:type="gramStart"/>
      <w:r w:rsidR="0030700B">
        <w:t>particular case</w:t>
      </w:r>
      <w:proofErr w:type="gramEnd"/>
      <w:r w:rsidR="0030700B">
        <w:t xml:space="preserve"> involves </w:t>
      </w:r>
      <w:r w:rsidR="00E75B75">
        <w:t xml:space="preserve">the High Court </w:t>
      </w:r>
      <w:r w:rsidR="0030700B">
        <w:t xml:space="preserve">making </w:t>
      </w:r>
      <w:r w:rsidR="006B6EB4">
        <w:t>a value judgment</w:t>
      </w:r>
      <w:r w:rsidR="0054444C">
        <w:t>,</w:t>
      </w:r>
      <w:r w:rsidR="006B6EB4">
        <w:t xml:space="preserve"> based on its </w:t>
      </w:r>
      <w:r w:rsidR="0054444C">
        <w:t>findings of fact, in the exercise of its inherent jurisdiction as the upper guardian of minor children.</w:t>
      </w:r>
      <w:r w:rsidR="0030700B">
        <w:t xml:space="preserve">  This being so, an appeal court will not easily second-gues</w:t>
      </w:r>
      <w:r w:rsidR="00597516">
        <w:t>s those</w:t>
      </w:r>
      <w:r w:rsidR="0030700B">
        <w:t xml:space="preserve"> findings a</w:t>
      </w:r>
      <w:r w:rsidR="00AD1E30">
        <w:t>nd conclusions</w:t>
      </w:r>
      <w:r w:rsidR="00597516">
        <w:t xml:space="preserve">.  This </w:t>
      </w:r>
      <w:r w:rsidR="006B6EB4">
        <w:t xml:space="preserve">is especially so in </w:t>
      </w:r>
      <w:r w:rsidR="00B415F6">
        <w:t>a case like the present, where</w:t>
      </w:r>
      <w:r w:rsidR="0098592A">
        <w:t xml:space="preserve"> t</w:t>
      </w:r>
      <w:r w:rsidR="00027080">
        <w:t>he trial court’s conclusion</w:t>
      </w:r>
      <w:r w:rsidR="00E75B75">
        <w:t xml:space="preserve"> – </w:t>
      </w:r>
      <w:r w:rsidR="00027080">
        <w:t>that the best interests of the children ‘demand</w:t>
      </w:r>
      <w:r w:rsidR="0098592A">
        <w:t>ed</w:t>
      </w:r>
      <w:r w:rsidR="00027080">
        <w:t xml:space="preserve">’ that custody be awarded to </w:t>
      </w:r>
      <w:r w:rsidR="005D1074">
        <w:t>Mrs Potgieter</w:t>
      </w:r>
      <w:r w:rsidR="00027080">
        <w:t xml:space="preserve"> </w:t>
      </w:r>
      <w:r w:rsidR="00E75B75">
        <w:t xml:space="preserve">– </w:t>
      </w:r>
      <w:r w:rsidR="00027080">
        <w:t xml:space="preserve">was based to a large extent on favourable credibility findings in favour of </w:t>
      </w:r>
      <w:r w:rsidR="005D1074">
        <w:t>Mrs Potgieter</w:t>
      </w:r>
      <w:r w:rsidR="00027080">
        <w:t xml:space="preserve"> and adverse credibility </w:t>
      </w:r>
      <w:r w:rsidR="00B415F6">
        <w:t xml:space="preserve">findings against </w:t>
      </w:r>
      <w:r w:rsidR="00992C2E">
        <w:t>Dr Potgieter</w:t>
      </w:r>
      <w:r w:rsidR="0054444C">
        <w:t xml:space="preserve"> and the expert witnesses</w:t>
      </w:r>
      <w:r w:rsidR="00B415F6">
        <w:t xml:space="preserve">.  (See generally </w:t>
      </w:r>
      <w:r w:rsidR="00B415F6">
        <w:rPr>
          <w:i/>
          <w:iCs/>
        </w:rPr>
        <w:t xml:space="preserve">R v </w:t>
      </w:r>
      <w:proofErr w:type="spellStart"/>
      <w:r w:rsidR="00B415F6">
        <w:rPr>
          <w:i/>
          <w:iCs/>
        </w:rPr>
        <w:t>Dhlumayo</w:t>
      </w:r>
      <w:proofErr w:type="spellEnd"/>
      <w:r w:rsidR="00B415F6">
        <w:rPr>
          <w:i/>
          <w:iCs/>
        </w:rPr>
        <w:t xml:space="preserve"> </w:t>
      </w:r>
      <w:r w:rsidR="00B415F6">
        <w:t xml:space="preserve">1948 (2) SA 677 (A) and </w:t>
      </w:r>
      <w:proofErr w:type="spellStart"/>
      <w:r w:rsidR="00B415F6">
        <w:rPr>
          <w:i/>
          <w:iCs/>
        </w:rPr>
        <w:t>Santam</w:t>
      </w:r>
      <w:proofErr w:type="spellEnd"/>
      <w:r w:rsidR="00B415F6">
        <w:rPr>
          <w:i/>
          <w:iCs/>
        </w:rPr>
        <w:t xml:space="preserve"> </w:t>
      </w:r>
      <w:proofErr w:type="spellStart"/>
      <w:r w:rsidR="00B415F6">
        <w:rPr>
          <w:i/>
          <w:iCs/>
        </w:rPr>
        <w:t>Bpk</w:t>
      </w:r>
      <w:proofErr w:type="spellEnd"/>
      <w:r w:rsidR="00B415F6">
        <w:rPr>
          <w:i/>
          <w:iCs/>
        </w:rPr>
        <w:t xml:space="preserve"> v Biddulph </w:t>
      </w:r>
      <w:r w:rsidR="00B415F6">
        <w:t xml:space="preserve">[2004] 2 All SA 23 (SCA) para 5; but </w:t>
      </w:r>
      <w:proofErr w:type="spellStart"/>
      <w:r w:rsidR="00B415F6">
        <w:t>cf</w:t>
      </w:r>
      <w:proofErr w:type="spellEnd"/>
      <w:r w:rsidR="00B415F6">
        <w:t xml:space="preserve"> </w:t>
      </w:r>
      <w:r w:rsidR="00B415F6">
        <w:rPr>
          <w:i/>
          <w:iCs/>
        </w:rPr>
        <w:t xml:space="preserve">Jackson v Jackson </w:t>
      </w:r>
      <w:r w:rsidR="000F6194">
        <w:t xml:space="preserve">supra </w:t>
      </w:r>
      <w:r w:rsidR="00B415F6">
        <w:t xml:space="preserve">at 325B-C.)  This was in fact the approach </w:t>
      </w:r>
      <w:r w:rsidR="00E75B75">
        <w:t xml:space="preserve">the Full Court </w:t>
      </w:r>
      <w:r w:rsidR="00B415F6">
        <w:t xml:space="preserve">followed </w:t>
      </w:r>
      <w:r w:rsidR="00597516">
        <w:t>on</w:t>
      </w:r>
      <w:r w:rsidR="00B415F6">
        <w:t xml:space="preserve"> appeal to it.  </w:t>
      </w:r>
    </w:p>
    <w:p w14:paraId="3457E23B" w14:textId="26D89BAF" w:rsidR="00357220" w:rsidRDefault="00605C29" w:rsidP="00605C29">
      <w:pPr>
        <w:tabs>
          <w:tab w:val="left" w:pos="851"/>
        </w:tabs>
      </w:pPr>
      <w:r>
        <w:t>[15]</w:t>
      </w:r>
      <w:r>
        <w:tab/>
      </w:r>
      <w:r w:rsidR="00357220">
        <w:t xml:space="preserve">Counsel for </w:t>
      </w:r>
      <w:r w:rsidR="00992C2E">
        <w:t>Dr Potgieter</w:t>
      </w:r>
      <w:r w:rsidR="00357220">
        <w:t xml:space="preserve"> contended, however, that </w:t>
      </w:r>
      <w:r w:rsidR="00AD1E30">
        <w:t xml:space="preserve">both the trial court and the Full Court </w:t>
      </w:r>
      <w:r w:rsidR="00357220">
        <w:t xml:space="preserve">had misdirected </w:t>
      </w:r>
      <w:r w:rsidR="00AD1E30">
        <w:t>themselves in their</w:t>
      </w:r>
      <w:r w:rsidR="00357220">
        <w:t xml:space="preserve"> assessment of the expert eviden</w:t>
      </w:r>
      <w:r w:rsidR="00AD1E30">
        <w:t>ce.  Thus, counsel argued</w:t>
      </w:r>
      <w:r w:rsidR="00357220">
        <w:t xml:space="preserve">, the material facts on which </w:t>
      </w:r>
      <w:r w:rsidR="00357220">
        <w:lastRenderedPageBreak/>
        <w:t xml:space="preserve">both </w:t>
      </w:r>
      <w:r w:rsidR="00597516">
        <w:t>Ms</w:t>
      </w:r>
      <w:r w:rsidR="00357220">
        <w:t xml:space="preserve"> Vogel and </w:t>
      </w:r>
      <w:r w:rsidR="00E10461">
        <w:t>Dr de Wit</w:t>
      </w:r>
      <w:r w:rsidR="00357220">
        <w:t xml:space="preserve"> based their o</w:t>
      </w:r>
      <w:r w:rsidR="00AD1E30">
        <w:t xml:space="preserve">pinions had been proved and </w:t>
      </w:r>
      <w:r w:rsidR="00357220">
        <w:t xml:space="preserve">Chetty J’s criticism of their evidence was </w:t>
      </w:r>
      <w:r w:rsidR="00AD1E30">
        <w:t xml:space="preserve">accordingly </w:t>
      </w:r>
      <w:r w:rsidR="00357220">
        <w:t xml:space="preserve">not justified.  According to counsel, the learned judge had erred by finding that these two expert witnesses had unreservedly and uncritically accepted the version of events proffered by </w:t>
      </w:r>
      <w:r w:rsidR="00992C2E">
        <w:t>Dr Potgieter</w:t>
      </w:r>
      <w:r w:rsidR="00357220">
        <w:t xml:space="preserve"> and those collateral sources loyal to him.  This finding did not take into proper consideration the information gleaned from </w:t>
      </w:r>
      <w:r w:rsidR="00AD1E30">
        <w:t xml:space="preserve">the </w:t>
      </w:r>
      <w:r w:rsidR="00357220">
        <w:t>collateral sources consulted by the experts and the results of the psychometric tests administered by them</w:t>
      </w:r>
      <w:r w:rsidR="00AD1E30">
        <w:t>.  Counsel submitted</w:t>
      </w:r>
      <w:r w:rsidR="00357220">
        <w:t xml:space="preserve"> that the trial judge </w:t>
      </w:r>
      <w:r w:rsidR="00AD1E30">
        <w:t xml:space="preserve">had </w:t>
      </w:r>
      <w:r w:rsidR="00357220">
        <w:t xml:space="preserve">incorrectly allowed himself to be influenced by statements put to the expert witnesses by counsel for </w:t>
      </w:r>
      <w:r w:rsidR="005D1074">
        <w:t>Mrs Potgieter</w:t>
      </w:r>
      <w:r w:rsidR="00357220">
        <w:t xml:space="preserve"> in cross-examination without any factual basis having been laid for such statements and without any evidence being adduced either by or on behalf of </w:t>
      </w:r>
      <w:r w:rsidR="005D1074">
        <w:t>Mrs Potgieter</w:t>
      </w:r>
      <w:r w:rsidR="00357220">
        <w:t xml:space="preserve"> to support such statements.  </w:t>
      </w:r>
    </w:p>
    <w:p w14:paraId="2A8EC8BA" w14:textId="34A7DD11" w:rsidR="00EC6636" w:rsidRDefault="00605C29" w:rsidP="00605C29">
      <w:pPr>
        <w:tabs>
          <w:tab w:val="left" w:pos="851"/>
        </w:tabs>
      </w:pPr>
      <w:r>
        <w:t>[16]</w:t>
      </w:r>
      <w:r>
        <w:tab/>
      </w:r>
      <w:r w:rsidR="005129D6">
        <w:rPr>
          <w:rStyle w:val="Quotation"/>
          <w:sz w:val="28"/>
          <w:szCs w:val="28"/>
          <w:lang w:eastAsia="en-ZA"/>
        </w:rPr>
        <w:t>The principles applicable to the admissi</w:t>
      </w:r>
      <w:r w:rsidR="008623C4">
        <w:rPr>
          <w:rStyle w:val="Quotation"/>
          <w:sz w:val="28"/>
          <w:szCs w:val="28"/>
          <w:lang w:eastAsia="en-ZA"/>
        </w:rPr>
        <w:t xml:space="preserve">bility and evaluation of expert opinion evidence </w:t>
      </w:r>
      <w:r w:rsidR="007867F3">
        <w:rPr>
          <w:rStyle w:val="Quotation"/>
          <w:sz w:val="28"/>
          <w:szCs w:val="28"/>
          <w:lang w:eastAsia="en-ZA"/>
        </w:rPr>
        <w:t xml:space="preserve">are well-established (see, for example, DT </w:t>
      </w:r>
      <w:proofErr w:type="spellStart"/>
      <w:r w:rsidR="007867F3">
        <w:rPr>
          <w:rStyle w:val="Quotation"/>
          <w:sz w:val="28"/>
          <w:szCs w:val="28"/>
          <w:lang w:eastAsia="en-ZA"/>
        </w:rPr>
        <w:t>Zeffertt</w:t>
      </w:r>
      <w:proofErr w:type="spellEnd"/>
      <w:r w:rsidR="007867F3">
        <w:rPr>
          <w:rStyle w:val="Quotation"/>
          <w:sz w:val="28"/>
          <w:szCs w:val="28"/>
          <w:lang w:eastAsia="en-ZA"/>
        </w:rPr>
        <w:t xml:space="preserve">, AP </w:t>
      </w:r>
      <w:proofErr w:type="spellStart"/>
      <w:r w:rsidR="007867F3">
        <w:rPr>
          <w:rStyle w:val="Quotation"/>
          <w:sz w:val="28"/>
          <w:szCs w:val="28"/>
          <w:lang w:eastAsia="en-ZA"/>
        </w:rPr>
        <w:t>Paizes</w:t>
      </w:r>
      <w:proofErr w:type="spellEnd"/>
      <w:r w:rsidR="007867F3">
        <w:rPr>
          <w:rStyle w:val="Quotation"/>
          <w:sz w:val="28"/>
          <w:szCs w:val="28"/>
          <w:lang w:eastAsia="en-ZA"/>
        </w:rPr>
        <w:t xml:space="preserve"> &amp; A St Q Skeen </w:t>
      </w:r>
      <w:proofErr w:type="gramStart"/>
      <w:r w:rsidR="007867F3">
        <w:rPr>
          <w:rStyle w:val="Quotation"/>
          <w:i/>
          <w:iCs/>
          <w:sz w:val="28"/>
          <w:szCs w:val="28"/>
          <w:lang w:eastAsia="en-ZA"/>
        </w:rPr>
        <w:t>The</w:t>
      </w:r>
      <w:proofErr w:type="gramEnd"/>
      <w:r w:rsidR="007867F3">
        <w:rPr>
          <w:rStyle w:val="Quotation"/>
          <w:i/>
          <w:iCs/>
          <w:sz w:val="28"/>
          <w:szCs w:val="28"/>
          <w:lang w:eastAsia="en-ZA"/>
        </w:rPr>
        <w:t xml:space="preserve"> South African Law of Evidence </w:t>
      </w:r>
      <w:r w:rsidR="007867F3">
        <w:rPr>
          <w:rStyle w:val="Quotation"/>
          <w:sz w:val="28"/>
          <w:szCs w:val="28"/>
          <w:lang w:eastAsia="en-ZA"/>
        </w:rPr>
        <w:t>(2003)</w:t>
      </w:r>
      <w:r w:rsidR="00EC6636">
        <w:rPr>
          <w:rStyle w:val="Quotation"/>
          <w:sz w:val="28"/>
          <w:szCs w:val="28"/>
          <w:lang w:eastAsia="en-ZA"/>
        </w:rPr>
        <w:t xml:space="preserve"> p 299 ff; </w:t>
      </w:r>
      <w:r w:rsidR="007867F3">
        <w:rPr>
          <w:rStyle w:val="Quotation"/>
          <w:sz w:val="28"/>
          <w:szCs w:val="28"/>
          <w:lang w:eastAsia="en-ZA"/>
        </w:rPr>
        <w:t xml:space="preserve">PJ </w:t>
      </w:r>
      <w:proofErr w:type="spellStart"/>
      <w:r w:rsidR="007867F3">
        <w:rPr>
          <w:rStyle w:val="Quotation"/>
          <w:sz w:val="28"/>
          <w:szCs w:val="28"/>
          <w:lang w:eastAsia="en-ZA"/>
        </w:rPr>
        <w:t>Schwikkard</w:t>
      </w:r>
      <w:proofErr w:type="spellEnd"/>
      <w:r w:rsidR="007867F3">
        <w:rPr>
          <w:rStyle w:val="Quotation"/>
          <w:sz w:val="28"/>
          <w:szCs w:val="28"/>
          <w:lang w:eastAsia="en-ZA"/>
        </w:rPr>
        <w:t xml:space="preserve"> &amp; SE van der Merwe </w:t>
      </w:r>
      <w:r w:rsidR="007867F3">
        <w:rPr>
          <w:rStyle w:val="Quotation"/>
          <w:i/>
          <w:iCs/>
          <w:sz w:val="28"/>
          <w:szCs w:val="28"/>
          <w:lang w:eastAsia="en-ZA"/>
        </w:rPr>
        <w:t xml:space="preserve">Principles of Evidence </w:t>
      </w:r>
      <w:r w:rsidR="007867F3">
        <w:rPr>
          <w:rStyle w:val="Quotation"/>
          <w:sz w:val="28"/>
          <w:szCs w:val="28"/>
          <w:lang w:eastAsia="en-ZA"/>
        </w:rPr>
        <w:t xml:space="preserve">2 ed (2002) p 89 ff and the cases cited by these writers).  </w:t>
      </w:r>
      <w:r w:rsidR="00EC6636">
        <w:t xml:space="preserve">As Chetty J pointed out – </w:t>
      </w:r>
    </w:p>
    <w:p w14:paraId="42B75280" w14:textId="77777777" w:rsidR="00EC6636" w:rsidRDefault="00EC6636" w:rsidP="00EC6636">
      <w:pPr>
        <w:rPr>
          <w:rStyle w:val="Quotation"/>
          <w:lang w:eastAsia="en-ZA"/>
        </w:rPr>
      </w:pPr>
      <w:r>
        <w:rPr>
          <w:rStyle w:val="Quotation"/>
          <w:lang w:eastAsia="en-ZA"/>
        </w:rPr>
        <w:lastRenderedPageBreak/>
        <w:t xml:space="preserve">‘It is clear . . .that expert opinion is not the mere conjecture, </w:t>
      </w:r>
      <w:proofErr w:type="gramStart"/>
      <w:r>
        <w:rPr>
          <w:rStyle w:val="Quotation"/>
          <w:lang w:eastAsia="en-ZA"/>
        </w:rPr>
        <w:t>surmise</w:t>
      </w:r>
      <w:proofErr w:type="gramEnd"/>
      <w:r>
        <w:rPr>
          <w:rStyle w:val="Quotation"/>
          <w:lang w:eastAsia="en-ZA"/>
        </w:rPr>
        <w:t xml:space="preserve"> or speculation of the expert: it is his judgment in a matter of fact.  It is equally clear, that whilst in many cases a court needs and benefits from an expert’s opinion, the expert witness should not usurp the function of the court.’</w:t>
      </w:r>
    </w:p>
    <w:p w14:paraId="0DE4C48E" w14:textId="77777777" w:rsidR="00C243A9" w:rsidRPr="00682766" w:rsidRDefault="00C243A9" w:rsidP="00510EC0">
      <w:pPr>
        <w:rPr>
          <w:rStyle w:val="Quotation"/>
          <w:sz w:val="28"/>
          <w:szCs w:val="28"/>
          <w:lang w:eastAsia="en-ZA"/>
        </w:rPr>
      </w:pPr>
      <w:r>
        <w:rPr>
          <w:rStyle w:val="Quotation"/>
          <w:sz w:val="28"/>
          <w:szCs w:val="28"/>
          <w:lang w:eastAsia="en-ZA"/>
        </w:rPr>
        <w:t xml:space="preserve">(On the proper </w:t>
      </w:r>
      <w:r w:rsidR="00682766">
        <w:rPr>
          <w:rStyle w:val="Quotation"/>
          <w:sz w:val="28"/>
          <w:szCs w:val="28"/>
          <w:lang w:eastAsia="en-ZA"/>
        </w:rPr>
        <w:t xml:space="preserve">role and function </w:t>
      </w:r>
      <w:r>
        <w:rPr>
          <w:rStyle w:val="Quotation"/>
          <w:sz w:val="28"/>
          <w:szCs w:val="28"/>
          <w:lang w:eastAsia="en-ZA"/>
        </w:rPr>
        <w:t xml:space="preserve">of expert witnesses in disputes involving children and families, see further </w:t>
      </w:r>
      <w:r>
        <w:rPr>
          <w:rStyle w:val="Quotation"/>
          <w:i/>
          <w:iCs/>
          <w:sz w:val="28"/>
          <w:szCs w:val="28"/>
          <w:lang w:eastAsia="en-ZA"/>
        </w:rPr>
        <w:t xml:space="preserve">Stock v Stock </w:t>
      </w:r>
      <w:r>
        <w:rPr>
          <w:rStyle w:val="Quotation"/>
          <w:sz w:val="28"/>
          <w:szCs w:val="28"/>
          <w:lang w:eastAsia="en-ZA"/>
        </w:rPr>
        <w:t xml:space="preserve">1981 (3) SA </w:t>
      </w:r>
      <w:r w:rsidR="00682766">
        <w:rPr>
          <w:rStyle w:val="Quotation"/>
          <w:sz w:val="28"/>
          <w:szCs w:val="28"/>
          <w:lang w:eastAsia="en-ZA"/>
        </w:rPr>
        <w:t>1280 (A) at 1296E-F</w:t>
      </w:r>
      <w:r w:rsidR="00EC6636">
        <w:rPr>
          <w:rStyle w:val="Quotation"/>
          <w:sz w:val="28"/>
          <w:szCs w:val="28"/>
          <w:lang w:eastAsia="en-ZA"/>
        </w:rPr>
        <w:t xml:space="preserve"> and </w:t>
      </w:r>
      <w:r w:rsidR="00682766">
        <w:rPr>
          <w:rStyle w:val="Quotation"/>
          <w:i/>
          <w:iCs/>
          <w:sz w:val="28"/>
          <w:szCs w:val="28"/>
          <w:lang w:eastAsia="en-ZA"/>
        </w:rPr>
        <w:t xml:space="preserve">Jackson v Jackson </w:t>
      </w:r>
      <w:r w:rsidR="000F6194">
        <w:rPr>
          <w:rStyle w:val="Quotation"/>
          <w:sz w:val="28"/>
          <w:szCs w:val="28"/>
          <w:lang w:eastAsia="en-ZA"/>
        </w:rPr>
        <w:t xml:space="preserve">supra </w:t>
      </w:r>
      <w:r w:rsidR="00682766">
        <w:rPr>
          <w:rStyle w:val="Quotation"/>
          <w:sz w:val="28"/>
          <w:szCs w:val="28"/>
          <w:lang w:eastAsia="en-ZA"/>
        </w:rPr>
        <w:t>at 311F-G, 323E-324C and 327G-333I.)</w:t>
      </w:r>
    </w:p>
    <w:p w14:paraId="1C553D13" w14:textId="6E1EF4F2" w:rsidR="00510EC0" w:rsidRPr="00A94308" w:rsidRDefault="00605C29" w:rsidP="00605C29">
      <w:pPr>
        <w:tabs>
          <w:tab w:val="left" w:pos="851"/>
        </w:tabs>
        <w:rPr>
          <w:rStyle w:val="Quotation"/>
          <w:lang w:eastAsia="en-ZA"/>
        </w:rPr>
      </w:pPr>
      <w:r w:rsidRPr="00A94308">
        <w:rPr>
          <w:rStyle w:val="Quotation"/>
          <w:sz w:val="28"/>
          <w:szCs w:val="28"/>
          <w:lang w:eastAsia="en-ZA"/>
        </w:rPr>
        <w:t>[17]</w:t>
      </w:r>
      <w:r w:rsidRPr="00A94308">
        <w:rPr>
          <w:rStyle w:val="Quotation"/>
          <w:sz w:val="28"/>
          <w:szCs w:val="28"/>
          <w:lang w:eastAsia="en-ZA"/>
        </w:rPr>
        <w:tab/>
      </w:r>
      <w:r w:rsidR="00510EC0">
        <w:rPr>
          <w:rStyle w:val="Quotation"/>
          <w:sz w:val="28"/>
          <w:szCs w:val="28"/>
          <w:lang w:eastAsia="en-ZA"/>
        </w:rPr>
        <w:t>T</w:t>
      </w:r>
      <w:r w:rsidR="005436AE">
        <w:rPr>
          <w:rStyle w:val="Quotation"/>
          <w:sz w:val="28"/>
          <w:szCs w:val="28"/>
          <w:lang w:eastAsia="en-ZA"/>
        </w:rPr>
        <w:t>he trial judge</w:t>
      </w:r>
      <w:r w:rsidR="00510EC0">
        <w:rPr>
          <w:rStyle w:val="Quotation"/>
          <w:sz w:val="28"/>
          <w:szCs w:val="28"/>
          <w:lang w:eastAsia="en-ZA"/>
        </w:rPr>
        <w:t xml:space="preserve"> did not question the specialised knowledge, </w:t>
      </w:r>
      <w:proofErr w:type="gramStart"/>
      <w:r w:rsidR="00510EC0">
        <w:rPr>
          <w:rStyle w:val="Quotation"/>
          <w:sz w:val="28"/>
          <w:szCs w:val="28"/>
          <w:lang w:eastAsia="en-ZA"/>
        </w:rPr>
        <w:t>training</w:t>
      </w:r>
      <w:proofErr w:type="gramEnd"/>
      <w:r w:rsidR="00510EC0">
        <w:rPr>
          <w:rStyle w:val="Quotation"/>
          <w:sz w:val="28"/>
          <w:szCs w:val="28"/>
          <w:lang w:eastAsia="en-ZA"/>
        </w:rPr>
        <w:t xml:space="preserve"> or experience of the various expert witnesses, but identified his main problem with such experts as </w:t>
      </w:r>
      <w:r w:rsidR="00EC6636">
        <w:rPr>
          <w:rStyle w:val="Quotation"/>
          <w:sz w:val="28"/>
          <w:szCs w:val="28"/>
          <w:lang w:eastAsia="en-ZA"/>
        </w:rPr>
        <w:t xml:space="preserve">being </w:t>
      </w:r>
      <w:r w:rsidR="00510EC0">
        <w:rPr>
          <w:rStyle w:val="Quotation"/>
          <w:sz w:val="28"/>
          <w:szCs w:val="28"/>
          <w:lang w:eastAsia="en-ZA"/>
        </w:rPr>
        <w:t xml:space="preserve">‘[their] inability . . .to draw a line between matters of fact and matters of value thereby distorting the judicial process by acting like judges.’  For this reason, he </w:t>
      </w:r>
      <w:r w:rsidR="00EC6636">
        <w:rPr>
          <w:rStyle w:val="Quotation"/>
          <w:sz w:val="28"/>
          <w:szCs w:val="28"/>
          <w:lang w:eastAsia="en-ZA"/>
        </w:rPr>
        <w:t xml:space="preserve">considered </w:t>
      </w:r>
      <w:r w:rsidR="00510EC0">
        <w:rPr>
          <w:rStyle w:val="Quotation"/>
          <w:sz w:val="28"/>
          <w:szCs w:val="28"/>
          <w:lang w:eastAsia="en-ZA"/>
        </w:rPr>
        <w:t xml:space="preserve">their evidence </w:t>
      </w:r>
      <w:r w:rsidR="00EC6636">
        <w:rPr>
          <w:rStyle w:val="Quotation"/>
          <w:sz w:val="28"/>
          <w:szCs w:val="28"/>
          <w:lang w:eastAsia="en-ZA"/>
        </w:rPr>
        <w:t>to have</w:t>
      </w:r>
      <w:r w:rsidR="00510EC0">
        <w:rPr>
          <w:rStyle w:val="Quotation"/>
          <w:sz w:val="28"/>
          <w:szCs w:val="28"/>
          <w:lang w:eastAsia="en-ZA"/>
        </w:rPr>
        <w:t xml:space="preserve"> ‘no real probative value’.</w:t>
      </w:r>
      <w:r w:rsidR="00A94308">
        <w:rPr>
          <w:rStyle w:val="Quotation"/>
          <w:sz w:val="28"/>
          <w:szCs w:val="28"/>
          <w:lang w:eastAsia="en-ZA"/>
        </w:rPr>
        <w:t xml:space="preserve">  </w:t>
      </w:r>
    </w:p>
    <w:p w14:paraId="0D14D24E" w14:textId="29E26A91" w:rsidR="001E5FED" w:rsidRPr="001E5FED" w:rsidRDefault="00605C29" w:rsidP="00605C29">
      <w:pPr>
        <w:tabs>
          <w:tab w:val="left" w:pos="851"/>
        </w:tabs>
        <w:rPr>
          <w:rStyle w:val="Quotation"/>
          <w:lang w:eastAsia="en-ZA"/>
        </w:rPr>
      </w:pPr>
      <w:r w:rsidRPr="001E5FED">
        <w:rPr>
          <w:rStyle w:val="Quotation"/>
          <w:sz w:val="28"/>
          <w:szCs w:val="28"/>
          <w:lang w:eastAsia="en-ZA"/>
        </w:rPr>
        <w:t>[18]</w:t>
      </w:r>
      <w:r w:rsidRPr="001E5FED">
        <w:rPr>
          <w:rStyle w:val="Quotation"/>
          <w:sz w:val="28"/>
          <w:szCs w:val="28"/>
          <w:lang w:eastAsia="en-ZA"/>
        </w:rPr>
        <w:tab/>
      </w:r>
      <w:r w:rsidR="005436AE">
        <w:rPr>
          <w:rStyle w:val="Quotation"/>
          <w:sz w:val="28"/>
          <w:szCs w:val="28"/>
          <w:lang w:eastAsia="en-ZA"/>
        </w:rPr>
        <w:t>This was a somewhat unusual case in that</w:t>
      </w:r>
      <w:r w:rsidR="00C243A9">
        <w:rPr>
          <w:rStyle w:val="Quotation"/>
          <w:sz w:val="28"/>
          <w:szCs w:val="28"/>
          <w:lang w:eastAsia="en-ZA"/>
        </w:rPr>
        <w:t xml:space="preserve">, although both </w:t>
      </w:r>
      <w:r w:rsidR="00597516">
        <w:rPr>
          <w:rStyle w:val="Quotation"/>
          <w:sz w:val="28"/>
          <w:szCs w:val="28"/>
          <w:lang w:eastAsia="en-ZA"/>
        </w:rPr>
        <w:t>Ms</w:t>
      </w:r>
      <w:r w:rsidR="005436AE">
        <w:rPr>
          <w:rStyle w:val="Quotation"/>
          <w:sz w:val="28"/>
          <w:szCs w:val="28"/>
          <w:lang w:eastAsia="en-ZA"/>
        </w:rPr>
        <w:t xml:space="preserve"> Vogel and Mr Meyer were initially </w:t>
      </w:r>
      <w:r w:rsidR="00FA06C5">
        <w:rPr>
          <w:rStyle w:val="Quotation"/>
          <w:sz w:val="28"/>
          <w:szCs w:val="28"/>
          <w:lang w:eastAsia="en-ZA"/>
        </w:rPr>
        <w:t xml:space="preserve">engaged by </w:t>
      </w:r>
      <w:r w:rsidR="005D1074">
        <w:rPr>
          <w:rStyle w:val="Quotation"/>
          <w:sz w:val="28"/>
          <w:szCs w:val="28"/>
          <w:lang w:eastAsia="en-ZA"/>
        </w:rPr>
        <w:t>Mrs Potgieter</w:t>
      </w:r>
      <w:r w:rsidR="00FA06C5">
        <w:rPr>
          <w:rStyle w:val="Quotation"/>
          <w:sz w:val="28"/>
          <w:szCs w:val="28"/>
          <w:lang w:eastAsia="en-ZA"/>
        </w:rPr>
        <w:t xml:space="preserve"> to investigate the issue of custody, </w:t>
      </w:r>
      <w:r w:rsidR="00C243A9">
        <w:rPr>
          <w:rStyle w:val="Quotation"/>
          <w:sz w:val="28"/>
          <w:szCs w:val="28"/>
          <w:lang w:eastAsia="en-ZA"/>
        </w:rPr>
        <w:t xml:space="preserve">both ultimately recommended that custody of the children be awarded to </w:t>
      </w:r>
      <w:r w:rsidR="00992C2E">
        <w:rPr>
          <w:rStyle w:val="Quotation"/>
          <w:sz w:val="28"/>
          <w:szCs w:val="28"/>
          <w:lang w:eastAsia="en-ZA"/>
        </w:rPr>
        <w:t>Dr Potgieter</w:t>
      </w:r>
      <w:r w:rsidR="00C243A9">
        <w:rPr>
          <w:rStyle w:val="Quotation"/>
          <w:sz w:val="28"/>
          <w:szCs w:val="28"/>
          <w:lang w:eastAsia="en-ZA"/>
        </w:rPr>
        <w:t xml:space="preserve">.  </w:t>
      </w:r>
      <w:r w:rsidR="00FA06C5">
        <w:rPr>
          <w:rStyle w:val="Quotation"/>
          <w:sz w:val="28"/>
          <w:szCs w:val="28"/>
          <w:lang w:eastAsia="en-ZA"/>
        </w:rPr>
        <w:t xml:space="preserve">It thus cannot be said that either of them was partisan in the sense that he or she ‘consistently asserted the cause of the party’ who had engaged him or her (see </w:t>
      </w:r>
      <w:r w:rsidR="00FA06C5">
        <w:rPr>
          <w:rStyle w:val="Quotation"/>
          <w:i/>
          <w:iCs/>
          <w:sz w:val="28"/>
          <w:szCs w:val="28"/>
          <w:lang w:eastAsia="en-ZA"/>
        </w:rPr>
        <w:t xml:space="preserve">Stock </w:t>
      </w:r>
      <w:proofErr w:type="gramStart"/>
      <w:r w:rsidR="00FA06C5">
        <w:rPr>
          <w:rStyle w:val="Quotation"/>
          <w:i/>
          <w:iCs/>
          <w:sz w:val="28"/>
          <w:szCs w:val="28"/>
          <w:lang w:eastAsia="en-ZA"/>
        </w:rPr>
        <w:t>v</w:t>
      </w:r>
      <w:proofErr w:type="gramEnd"/>
      <w:r w:rsidR="00FA06C5">
        <w:rPr>
          <w:rStyle w:val="Quotation"/>
          <w:i/>
          <w:iCs/>
          <w:sz w:val="28"/>
          <w:szCs w:val="28"/>
          <w:lang w:eastAsia="en-ZA"/>
        </w:rPr>
        <w:t xml:space="preserve"> Stock </w:t>
      </w:r>
      <w:r w:rsidR="000F6194">
        <w:rPr>
          <w:rStyle w:val="Quotation"/>
          <w:sz w:val="28"/>
          <w:szCs w:val="28"/>
          <w:lang w:eastAsia="en-ZA"/>
        </w:rPr>
        <w:t xml:space="preserve">supra </w:t>
      </w:r>
      <w:r w:rsidR="00FA06C5">
        <w:rPr>
          <w:rStyle w:val="Quotation"/>
          <w:sz w:val="28"/>
          <w:szCs w:val="28"/>
          <w:lang w:eastAsia="en-ZA"/>
        </w:rPr>
        <w:t xml:space="preserve">at 1296F).  </w:t>
      </w:r>
      <w:r w:rsidR="002B078B">
        <w:rPr>
          <w:rStyle w:val="Quotation"/>
          <w:sz w:val="28"/>
          <w:szCs w:val="28"/>
          <w:lang w:eastAsia="en-ZA"/>
        </w:rPr>
        <w:lastRenderedPageBreak/>
        <w:t xml:space="preserve">While </w:t>
      </w:r>
      <w:r w:rsidR="001E5FED">
        <w:rPr>
          <w:rStyle w:val="Quotation"/>
          <w:sz w:val="28"/>
          <w:szCs w:val="28"/>
          <w:lang w:eastAsia="en-ZA"/>
        </w:rPr>
        <w:t>Chetty J was</w:t>
      </w:r>
      <w:r w:rsidR="002B078B">
        <w:rPr>
          <w:rStyle w:val="Quotation"/>
          <w:sz w:val="28"/>
          <w:szCs w:val="28"/>
          <w:lang w:eastAsia="en-ZA"/>
        </w:rPr>
        <w:t xml:space="preserve"> correct in his criticism of </w:t>
      </w:r>
      <w:r w:rsidR="00597516">
        <w:rPr>
          <w:rStyle w:val="Quotation"/>
          <w:sz w:val="28"/>
          <w:szCs w:val="28"/>
          <w:lang w:eastAsia="en-ZA"/>
        </w:rPr>
        <w:t>Ms</w:t>
      </w:r>
      <w:r w:rsidR="002B078B">
        <w:rPr>
          <w:rStyle w:val="Quotation"/>
          <w:sz w:val="28"/>
          <w:szCs w:val="28"/>
          <w:lang w:eastAsia="en-ZA"/>
        </w:rPr>
        <w:t xml:space="preserve"> Vogel’s evidence, </w:t>
      </w:r>
      <w:r w:rsidR="001E5FED">
        <w:rPr>
          <w:rStyle w:val="Quotation"/>
          <w:sz w:val="28"/>
          <w:szCs w:val="28"/>
          <w:lang w:eastAsia="en-ZA"/>
        </w:rPr>
        <w:t xml:space="preserve">his treatment of </w:t>
      </w:r>
      <w:r w:rsidR="002B078B">
        <w:rPr>
          <w:rStyle w:val="Quotation"/>
          <w:sz w:val="28"/>
          <w:szCs w:val="28"/>
          <w:lang w:eastAsia="en-ZA"/>
        </w:rPr>
        <w:t>Mr Meyer’s repor</w:t>
      </w:r>
      <w:r w:rsidR="001E5FED">
        <w:rPr>
          <w:rStyle w:val="Quotation"/>
          <w:sz w:val="28"/>
          <w:szCs w:val="28"/>
          <w:lang w:eastAsia="en-ZA"/>
        </w:rPr>
        <w:t>t and the testi</w:t>
      </w:r>
      <w:r w:rsidR="00EC6636">
        <w:rPr>
          <w:rStyle w:val="Quotation"/>
          <w:sz w:val="28"/>
          <w:szCs w:val="28"/>
          <w:lang w:eastAsia="en-ZA"/>
        </w:rPr>
        <w:t xml:space="preserve">mony given by him </w:t>
      </w:r>
      <w:r w:rsidR="00597516">
        <w:rPr>
          <w:rStyle w:val="Quotation"/>
          <w:sz w:val="28"/>
          <w:szCs w:val="28"/>
          <w:lang w:eastAsia="en-ZA"/>
        </w:rPr>
        <w:t>can perhaps be criticised as being</w:t>
      </w:r>
      <w:r w:rsidR="001E5FED">
        <w:rPr>
          <w:rStyle w:val="Quotation"/>
          <w:sz w:val="28"/>
          <w:szCs w:val="28"/>
          <w:lang w:eastAsia="en-ZA"/>
        </w:rPr>
        <w:t xml:space="preserve"> unduly cursory.  The same can be said of the judgment of the Full Court in this regard.</w:t>
      </w:r>
    </w:p>
    <w:p w14:paraId="72D4A9FD" w14:textId="0144078D" w:rsidR="00510EC0" w:rsidRPr="000B73EE" w:rsidRDefault="00605C29" w:rsidP="00605C29">
      <w:pPr>
        <w:tabs>
          <w:tab w:val="left" w:pos="851"/>
        </w:tabs>
        <w:rPr>
          <w:rStyle w:val="Quotation"/>
          <w:lang w:eastAsia="en-ZA"/>
        </w:rPr>
      </w:pPr>
      <w:r w:rsidRPr="000B73EE">
        <w:rPr>
          <w:rStyle w:val="Quotation"/>
          <w:sz w:val="28"/>
          <w:szCs w:val="28"/>
          <w:lang w:eastAsia="en-ZA"/>
        </w:rPr>
        <w:t>[19]</w:t>
      </w:r>
      <w:r w:rsidRPr="000B73EE">
        <w:rPr>
          <w:rStyle w:val="Quotation"/>
          <w:sz w:val="28"/>
          <w:szCs w:val="28"/>
          <w:lang w:eastAsia="en-ZA"/>
        </w:rPr>
        <w:tab/>
      </w:r>
      <w:r w:rsidR="007A077D">
        <w:rPr>
          <w:rStyle w:val="Quotation"/>
          <w:sz w:val="28"/>
          <w:szCs w:val="28"/>
          <w:lang w:eastAsia="en-ZA"/>
        </w:rPr>
        <w:t xml:space="preserve">Chetty J disregarded Dr </w:t>
      </w:r>
      <w:proofErr w:type="spellStart"/>
      <w:r w:rsidR="007A077D">
        <w:rPr>
          <w:rStyle w:val="Quotation"/>
          <w:sz w:val="28"/>
          <w:szCs w:val="28"/>
          <w:lang w:eastAsia="en-ZA"/>
        </w:rPr>
        <w:t>Crafford’s</w:t>
      </w:r>
      <w:proofErr w:type="spellEnd"/>
      <w:r w:rsidR="007A077D">
        <w:rPr>
          <w:rStyle w:val="Quotation"/>
          <w:sz w:val="28"/>
          <w:szCs w:val="28"/>
          <w:lang w:eastAsia="en-ZA"/>
        </w:rPr>
        <w:t xml:space="preserve"> evidence on the ground that, as he had last had contact with </w:t>
      </w:r>
      <w:r w:rsidR="005D1074">
        <w:rPr>
          <w:rStyle w:val="Quotation"/>
          <w:sz w:val="28"/>
          <w:szCs w:val="28"/>
          <w:lang w:eastAsia="en-ZA"/>
        </w:rPr>
        <w:t>Mrs Potgieter</w:t>
      </w:r>
      <w:r w:rsidR="007A077D">
        <w:rPr>
          <w:rStyle w:val="Quotation"/>
          <w:sz w:val="28"/>
          <w:szCs w:val="28"/>
          <w:lang w:eastAsia="en-ZA"/>
        </w:rPr>
        <w:t xml:space="preserve"> some </w:t>
      </w:r>
      <w:r w:rsidR="00EA6CDA">
        <w:rPr>
          <w:rStyle w:val="Quotation"/>
          <w:sz w:val="28"/>
          <w:szCs w:val="28"/>
          <w:lang w:eastAsia="en-ZA"/>
        </w:rPr>
        <w:t xml:space="preserve">six </w:t>
      </w:r>
      <w:r w:rsidR="007A077D">
        <w:rPr>
          <w:rStyle w:val="Quotation"/>
          <w:sz w:val="28"/>
          <w:szCs w:val="28"/>
          <w:lang w:eastAsia="en-ZA"/>
        </w:rPr>
        <w:t xml:space="preserve">years before the trial, he was ‘unable to express any meaningful opinion on her </w:t>
      </w:r>
      <w:proofErr w:type="gramStart"/>
      <w:r w:rsidR="007A077D">
        <w:rPr>
          <w:rStyle w:val="Quotation"/>
          <w:sz w:val="28"/>
          <w:szCs w:val="28"/>
          <w:lang w:eastAsia="en-ZA"/>
        </w:rPr>
        <w:t>present day</w:t>
      </w:r>
      <w:proofErr w:type="gramEnd"/>
      <w:r w:rsidR="007A077D">
        <w:rPr>
          <w:rStyle w:val="Quotation"/>
          <w:sz w:val="28"/>
          <w:szCs w:val="28"/>
          <w:lang w:eastAsia="en-ZA"/>
        </w:rPr>
        <w:t xml:space="preserve"> condition’.  H</w:t>
      </w:r>
      <w:r w:rsidR="00EC6636">
        <w:rPr>
          <w:rStyle w:val="Quotation"/>
          <w:sz w:val="28"/>
          <w:szCs w:val="28"/>
          <w:lang w:eastAsia="en-ZA"/>
        </w:rPr>
        <w:t>owever,</w:t>
      </w:r>
      <w:r w:rsidR="002B078B">
        <w:rPr>
          <w:rStyle w:val="Quotation"/>
          <w:sz w:val="28"/>
          <w:szCs w:val="28"/>
          <w:lang w:eastAsia="en-ZA"/>
        </w:rPr>
        <w:t xml:space="preserve"> </w:t>
      </w:r>
      <w:r w:rsidR="007A077D">
        <w:rPr>
          <w:rStyle w:val="Quotation"/>
          <w:sz w:val="28"/>
          <w:szCs w:val="28"/>
          <w:lang w:eastAsia="en-ZA"/>
        </w:rPr>
        <w:t xml:space="preserve">Dr </w:t>
      </w:r>
      <w:proofErr w:type="spellStart"/>
      <w:r w:rsidR="007A077D">
        <w:rPr>
          <w:rStyle w:val="Quotation"/>
          <w:sz w:val="28"/>
          <w:szCs w:val="28"/>
          <w:lang w:eastAsia="en-ZA"/>
        </w:rPr>
        <w:t>Crafford</w:t>
      </w:r>
      <w:proofErr w:type="spellEnd"/>
      <w:r w:rsidR="00F90781">
        <w:rPr>
          <w:rStyle w:val="Quotation"/>
          <w:sz w:val="28"/>
          <w:szCs w:val="28"/>
          <w:lang w:eastAsia="en-ZA"/>
        </w:rPr>
        <w:t xml:space="preserve"> testified that the generalised anxiety disorder which he had diagnosed when treating </w:t>
      </w:r>
      <w:r w:rsidR="005D1074">
        <w:rPr>
          <w:rStyle w:val="Quotation"/>
          <w:sz w:val="28"/>
          <w:szCs w:val="28"/>
          <w:lang w:eastAsia="en-ZA"/>
        </w:rPr>
        <w:t>Mrs Potgieter</w:t>
      </w:r>
      <w:r w:rsidR="00EC6636">
        <w:rPr>
          <w:rStyle w:val="Quotation"/>
          <w:sz w:val="28"/>
          <w:szCs w:val="28"/>
          <w:lang w:eastAsia="en-ZA"/>
        </w:rPr>
        <w:t xml:space="preserve"> was</w:t>
      </w:r>
      <w:r w:rsidR="00F90781">
        <w:rPr>
          <w:rStyle w:val="Quotation"/>
          <w:sz w:val="28"/>
          <w:szCs w:val="28"/>
          <w:lang w:eastAsia="en-ZA"/>
        </w:rPr>
        <w:t xml:space="preserve"> an incurable lifelong condition and that, without ongoing psychiatric and psychotherapeutic treatment, the long-term prognosis for </w:t>
      </w:r>
      <w:r w:rsidR="005D1074">
        <w:rPr>
          <w:rStyle w:val="Quotation"/>
          <w:sz w:val="28"/>
          <w:szCs w:val="28"/>
          <w:lang w:eastAsia="en-ZA"/>
        </w:rPr>
        <w:t>Mrs Potgieter</w:t>
      </w:r>
      <w:r w:rsidR="00F90781">
        <w:rPr>
          <w:rStyle w:val="Quotation"/>
          <w:sz w:val="28"/>
          <w:szCs w:val="28"/>
          <w:lang w:eastAsia="en-ZA"/>
        </w:rPr>
        <w:t xml:space="preserve"> </w:t>
      </w:r>
      <w:r w:rsidR="00EC6636">
        <w:rPr>
          <w:rStyle w:val="Quotation"/>
          <w:sz w:val="28"/>
          <w:szCs w:val="28"/>
          <w:lang w:eastAsia="en-ZA"/>
        </w:rPr>
        <w:t xml:space="preserve">was not good.  </w:t>
      </w:r>
      <w:r w:rsidR="002B078B">
        <w:rPr>
          <w:rStyle w:val="Quotation"/>
          <w:sz w:val="28"/>
          <w:szCs w:val="28"/>
          <w:lang w:eastAsia="en-ZA"/>
        </w:rPr>
        <w:t xml:space="preserve">Chetty J’s dismissal of his evidence as having little probative value was </w:t>
      </w:r>
      <w:r w:rsidR="00EC6636">
        <w:rPr>
          <w:rStyle w:val="Quotation"/>
          <w:sz w:val="28"/>
          <w:szCs w:val="28"/>
          <w:lang w:eastAsia="en-ZA"/>
        </w:rPr>
        <w:t xml:space="preserve">therefore, in my view, not </w:t>
      </w:r>
      <w:r w:rsidR="002B078B">
        <w:rPr>
          <w:rStyle w:val="Quotation"/>
          <w:sz w:val="28"/>
          <w:szCs w:val="28"/>
          <w:lang w:eastAsia="en-ZA"/>
        </w:rPr>
        <w:t xml:space="preserve">entirely justified.  </w:t>
      </w:r>
      <w:r w:rsidR="006D20C9">
        <w:rPr>
          <w:rStyle w:val="Quotation"/>
          <w:sz w:val="28"/>
          <w:szCs w:val="28"/>
          <w:lang w:eastAsia="en-ZA"/>
        </w:rPr>
        <w:t xml:space="preserve">In this regard, Mr Meyer also testified that, while the borderline personality disorder from which, in his opinion, </w:t>
      </w:r>
      <w:r w:rsidR="005D1074">
        <w:rPr>
          <w:rStyle w:val="Quotation"/>
          <w:sz w:val="28"/>
          <w:szCs w:val="28"/>
          <w:lang w:eastAsia="en-ZA"/>
        </w:rPr>
        <w:t>Mrs Potgieter</w:t>
      </w:r>
      <w:r w:rsidR="006D20C9">
        <w:rPr>
          <w:rStyle w:val="Quotation"/>
          <w:sz w:val="28"/>
          <w:szCs w:val="28"/>
          <w:lang w:eastAsia="en-ZA"/>
        </w:rPr>
        <w:t xml:space="preserve"> suffers can be ‘contained and assisted’ with </w:t>
      </w:r>
      <w:r w:rsidR="000B73EE">
        <w:rPr>
          <w:rStyle w:val="Quotation"/>
          <w:sz w:val="28"/>
          <w:szCs w:val="28"/>
          <w:lang w:eastAsia="en-ZA"/>
        </w:rPr>
        <w:t>(</w:t>
      </w:r>
      <w:r w:rsidR="001E5FED">
        <w:rPr>
          <w:rStyle w:val="Quotation"/>
          <w:sz w:val="28"/>
          <w:szCs w:val="28"/>
          <w:lang w:eastAsia="en-ZA"/>
        </w:rPr>
        <w:t>inter alia</w:t>
      </w:r>
      <w:r w:rsidR="000B73EE">
        <w:rPr>
          <w:rStyle w:val="Quotation"/>
          <w:sz w:val="28"/>
          <w:szCs w:val="28"/>
          <w:lang w:eastAsia="en-ZA"/>
        </w:rPr>
        <w:t>)</w:t>
      </w:r>
      <w:r w:rsidR="001E5FED">
        <w:rPr>
          <w:rStyle w:val="Quotation"/>
          <w:sz w:val="28"/>
          <w:szCs w:val="28"/>
          <w:lang w:eastAsia="en-ZA"/>
        </w:rPr>
        <w:t xml:space="preserve"> medication, there is no cure for this kind of disorder.</w:t>
      </w:r>
    </w:p>
    <w:p w14:paraId="638A3CD4" w14:textId="33F60C56" w:rsidR="00D2526A" w:rsidRPr="00D2526A" w:rsidRDefault="00605C29" w:rsidP="00605C29">
      <w:pPr>
        <w:tabs>
          <w:tab w:val="left" w:pos="851"/>
        </w:tabs>
        <w:rPr>
          <w:rStyle w:val="Quotation"/>
          <w:lang w:eastAsia="en-ZA"/>
        </w:rPr>
      </w:pPr>
      <w:r w:rsidRPr="00D2526A">
        <w:rPr>
          <w:rStyle w:val="Quotation"/>
          <w:sz w:val="28"/>
          <w:szCs w:val="28"/>
          <w:lang w:eastAsia="en-ZA"/>
        </w:rPr>
        <w:t>[20]</w:t>
      </w:r>
      <w:r w:rsidRPr="00D2526A">
        <w:rPr>
          <w:rStyle w:val="Quotation"/>
          <w:sz w:val="28"/>
          <w:szCs w:val="28"/>
          <w:lang w:eastAsia="en-ZA"/>
        </w:rPr>
        <w:tab/>
      </w:r>
      <w:r w:rsidR="003459AC">
        <w:rPr>
          <w:rStyle w:val="Quotation"/>
          <w:sz w:val="28"/>
          <w:szCs w:val="28"/>
          <w:lang w:eastAsia="en-ZA"/>
        </w:rPr>
        <w:t>These shortcomings notwithstanding, I do not think that either the trial judge or the Full Court</w:t>
      </w:r>
      <w:r w:rsidR="00597516">
        <w:rPr>
          <w:rStyle w:val="Quotation"/>
          <w:sz w:val="28"/>
          <w:szCs w:val="28"/>
          <w:lang w:eastAsia="en-ZA"/>
        </w:rPr>
        <w:t xml:space="preserve"> </w:t>
      </w:r>
      <w:r w:rsidR="003459AC">
        <w:rPr>
          <w:rStyle w:val="Quotation"/>
          <w:sz w:val="28"/>
          <w:szCs w:val="28"/>
          <w:lang w:eastAsia="en-ZA"/>
        </w:rPr>
        <w:t xml:space="preserve">misdirected themselves in the assessment of the </w:t>
      </w:r>
      <w:r w:rsidR="00357220">
        <w:rPr>
          <w:rStyle w:val="Quotation"/>
          <w:sz w:val="28"/>
          <w:szCs w:val="28"/>
          <w:lang w:eastAsia="en-ZA"/>
        </w:rPr>
        <w:t xml:space="preserve">expert </w:t>
      </w:r>
      <w:proofErr w:type="gramStart"/>
      <w:r w:rsidR="00357220">
        <w:rPr>
          <w:rStyle w:val="Quotation"/>
          <w:sz w:val="28"/>
          <w:szCs w:val="28"/>
          <w:lang w:eastAsia="en-ZA"/>
        </w:rPr>
        <w:t>evidence</w:t>
      </w:r>
      <w:r w:rsidR="00EC6636">
        <w:rPr>
          <w:rStyle w:val="Quotation"/>
          <w:sz w:val="28"/>
          <w:szCs w:val="28"/>
          <w:lang w:eastAsia="en-ZA"/>
        </w:rPr>
        <w:t xml:space="preserve"> as a whole</w:t>
      </w:r>
      <w:proofErr w:type="gramEnd"/>
      <w:r w:rsidR="00357220">
        <w:rPr>
          <w:rStyle w:val="Quotation"/>
          <w:sz w:val="28"/>
          <w:szCs w:val="28"/>
          <w:lang w:eastAsia="en-ZA"/>
        </w:rPr>
        <w:t xml:space="preserve">.  </w:t>
      </w:r>
      <w:r w:rsidR="00597516">
        <w:rPr>
          <w:rStyle w:val="Quotation"/>
          <w:sz w:val="28"/>
          <w:szCs w:val="28"/>
          <w:lang w:eastAsia="en-ZA"/>
        </w:rPr>
        <w:t>T</w:t>
      </w:r>
      <w:r w:rsidR="00357220">
        <w:rPr>
          <w:rStyle w:val="Quotation"/>
          <w:sz w:val="28"/>
          <w:szCs w:val="28"/>
          <w:lang w:eastAsia="en-ZA"/>
        </w:rPr>
        <w:t xml:space="preserve">he main factual findings made by the trial court were </w:t>
      </w:r>
      <w:r w:rsidR="00C018B9">
        <w:rPr>
          <w:rStyle w:val="Quotation"/>
          <w:sz w:val="28"/>
          <w:szCs w:val="28"/>
          <w:lang w:eastAsia="en-ZA"/>
        </w:rPr>
        <w:t xml:space="preserve">that </w:t>
      </w:r>
      <w:r w:rsidR="005D1074">
        <w:rPr>
          <w:rStyle w:val="Quotation"/>
          <w:sz w:val="28"/>
          <w:szCs w:val="28"/>
          <w:lang w:eastAsia="en-ZA"/>
        </w:rPr>
        <w:t>Mrs Potgieter</w:t>
      </w:r>
      <w:r w:rsidR="00357220">
        <w:rPr>
          <w:rStyle w:val="Quotation"/>
          <w:sz w:val="28"/>
          <w:szCs w:val="28"/>
          <w:lang w:eastAsia="en-ZA"/>
        </w:rPr>
        <w:t xml:space="preserve"> had looked after the children as their primary </w:t>
      </w:r>
      <w:r w:rsidR="00357220">
        <w:rPr>
          <w:rStyle w:val="Quotation"/>
          <w:sz w:val="28"/>
          <w:szCs w:val="28"/>
          <w:lang w:eastAsia="en-ZA"/>
        </w:rPr>
        <w:lastRenderedPageBreak/>
        <w:t xml:space="preserve">caregiver all their lives; that there was no real evidence that they had suffered any harm in her care; that despite the trauma and stress caused by the </w:t>
      </w:r>
      <w:r w:rsidR="00EC6636">
        <w:rPr>
          <w:rStyle w:val="Quotation"/>
          <w:sz w:val="28"/>
          <w:szCs w:val="28"/>
          <w:lang w:eastAsia="en-ZA"/>
        </w:rPr>
        <w:t xml:space="preserve">protracted </w:t>
      </w:r>
      <w:r w:rsidR="00357220">
        <w:rPr>
          <w:rStyle w:val="Quotation"/>
          <w:sz w:val="28"/>
          <w:szCs w:val="28"/>
          <w:lang w:eastAsia="en-ZA"/>
        </w:rPr>
        <w:t xml:space="preserve">divorce proceedings, during which the parties continued to live in the </w:t>
      </w:r>
      <w:r w:rsidR="00C018B9">
        <w:rPr>
          <w:rStyle w:val="Quotation"/>
          <w:sz w:val="28"/>
          <w:szCs w:val="28"/>
          <w:lang w:eastAsia="en-ZA"/>
        </w:rPr>
        <w:t xml:space="preserve">same house with the children, the children were doing very well at school; that </w:t>
      </w:r>
      <w:r w:rsidR="005D1074">
        <w:rPr>
          <w:rStyle w:val="Quotation"/>
          <w:sz w:val="28"/>
          <w:szCs w:val="28"/>
          <w:lang w:eastAsia="en-ZA"/>
        </w:rPr>
        <w:t>Mrs Potgieter</w:t>
      </w:r>
      <w:r w:rsidR="00C018B9">
        <w:rPr>
          <w:rStyle w:val="Quotation"/>
          <w:sz w:val="28"/>
          <w:szCs w:val="28"/>
          <w:lang w:eastAsia="en-ZA"/>
        </w:rPr>
        <w:t xml:space="preserve"> dearly loved the children who reciprocated this love; and that, while </w:t>
      </w:r>
      <w:r w:rsidR="00ED5005">
        <w:rPr>
          <w:rStyle w:val="Quotation"/>
          <w:sz w:val="28"/>
          <w:szCs w:val="28"/>
          <w:lang w:eastAsia="en-ZA"/>
        </w:rPr>
        <w:t>E.</w:t>
      </w:r>
      <w:r w:rsidR="00C018B9">
        <w:rPr>
          <w:rStyle w:val="Quotation"/>
          <w:sz w:val="28"/>
          <w:szCs w:val="28"/>
          <w:lang w:eastAsia="en-ZA"/>
        </w:rPr>
        <w:t xml:space="preserve"> had indicated no real preference as to which parent she wanted to live with after the divorce, </w:t>
      </w:r>
      <w:r w:rsidR="00ED5005">
        <w:rPr>
          <w:rStyle w:val="Quotation"/>
          <w:sz w:val="28"/>
          <w:szCs w:val="28"/>
          <w:lang w:eastAsia="en-ZA"/>
        </w:rPr>
        <w:t>J.</w:t>
      </w:r>
      <w:r w:rsidR="00C018B9">
        <w:rPr>
          <w:rStyle w:val="Quotation"/>
          <w:sz w:val="28"/>
          <w:szCs w:val="28"/>
          <w:lang w:eastAsia="en-ZA"/>
        </w:rPr>
        <w:t xml:space="preserve"> had expressed a clear desire to live with </w:t>
      </w:r>
      <w:r w:rsidR="005D1074">
        <w:rPr>
          <w:rStyle w:val="Quotation"/>
          <w:sz w:val="28"/>
          <w:szCs w:val="28"/>
          <w:lang w:eastAsia="en-ZA"/>
        </w:rPr>
        <w:t>Mrs Potgieter</w:t>
      </w:r>
      <w:r w:rsidR="00C018B9">
        <w:rPr>
          <w:rStyle w:val="Quotation"/>
          <w:sz w:val="28"/>
          <w:szCs w:val="28"/>
          <w:lang w:eastAsia="en-ZA"/>
        </w:rPr>
        <w:t xml:space="preserve">.  </w:t>
      </w:r>
    </w:p>
    <w:p w14:paraId="494C7CD6" w14:textId="0AE951DC" w:rsidR="006D20C9" w:rsidRPr="003C3A2C" w:rsidRDefault="00605C29" w:rsidP="00605C29">
      <w:pPr>
        <w:tabs>
          <w:tab w:val="left" w:pos="851"/>
        </w:tabs>
        <w:rPr>
          <w:rStyle w:val="Quotation"/>
          <w:lang w:eastAsia="en-ZA"/>
        </w:rPr>
      </w:pPr>
      <w:r w:rsidRPr="003C3A2C">
        <w:rPr>
          <w:rStyle w:val="Quotation"/>
          <w:sz w:val="28"/>
          <w:szCs w:val="28"/>
          <w:lang w:eastAsia="en-ZA"/>
        </w:rPr>
        <w:t>[21]</w:t>
      </w:r>
      <w:r w:rsidRPr="003C3A2C">
        <w:rPr>
          <w:rStyle w:val="Quotation"/>
          <w:sz w:val="28"/>
          <w:szCs w:val="28"/>
          <w:lang w:eastAsia="en-ZA"/>
        </w:rPr>
        <w:tab/>
      </w:r>
      <w:r w:rsidR="00D2526A">
        <w:rPr>
          <w:rStyle w:val="Quotation"/>
          <w:sz w:val="28"/>
          <w:szCs w:val="28"/>
          <w:lang w:eastAsia="en-ZA"/>
        </w:rPr>
        <w:t xml:space="preserve">The experts, by contrast, </w:t>
      </w:r>
      <w:r w:rsidR="00C018B9">
        <w:rPr>
          <w:rStyle w:val="Quotation"/>
          <w:sz w:val="28"/>
          <w:szCs w:val="28"/>
          <w:lang w:eastAsia="en-ZA"/>
        </w:rPr>
        <w:t xml:space="preserve">did not base their opinions on these facts and were by and large not prepared to reconsider </w:t>
      </w:r>
      <w:r w:rsidR="003C3A2C">
        <w:rPr>
          <w:rStyle w:val="Quotation"/>
          <w:sz w:val="28"/>
          <w:szCs w:val="28"/>
          <w:lang w:eastAsia="en-ZA"/>
        </w:rPr>
        <w:t>their opinions when these facts</w:t>
      </w:r>
      <w:r w:rsidR="00597516">
        <w:rPr>
          <w:rStyle w:val="Quotation"/>
          <w:sz w:val="28"/>
          <w:szCs w:val="28"/>
          <w:lang w:eastAsia="en-ZA"/>
        </w:rPr>
        <w:t xml:space="preserve"> were put to them </w:t>
      </w:r>
      <w:proofErr w:type="gramStart"/>
      <w:r w:rsidR="003C3A2C">
        <w:rPr>
          <w:rStyle w:val="Quotation"/>
          <w:sz w:val="28"/>
          <w:szCs w:val="28"/>
          <w:lang w:eastAsia="en-ZA"/>
        </w:rPr>
        <w:t>during the course of</w:t>
      </w:r>
      <w:proofErr w:type="gramEnd"/>
      <w:r w:rsidR="003C3A2C">
        <w:rPr>
          <w:rStyle w:val="Quotation"/>
          <w:sz w:val="28"/>
          <w:szCs w:val="28"/>
          <w:lang w:eastAsia="en-ZA"/>
        </w:rPr>
        <w:t xml:space="preserve"> their testimony.  In the words of Erasmus J:</w:t>
      </w:r>
    </w:p>
    <w:p w14:paraId="165E0632" w14:textId="77777777" w:rsidR="003C3A2C" w:rsidRDefault="003C3A2C" w:rsidP="003C3A2C">
      <w:pPr>
        <w:rPr>
          <w:rStyle w:val="Quotation"/>
          <w:lang w:eastAsia="en-ZA"/>
        </w:rPr>
      </w:pPr>
      <w:r>
        <w:rPr>
          <w:rStyle w:val="Quotation"/>
          <w:lang w:eastAsia="en-ZA"/>
        </w:rPr>
        <w:t xml:space="preserve">‘Die problem met die </w:t>
      </w:r>
      <w:proofErr w:type="spellStart"/>
      <w:r>
        <w:rPr>
          <w:rStyle w:val="Quotation"/>
          <w:lang w:eastAsia="en-ZA"/>
        </w:rPr>
        <w:t>deskundiges</w:t>
      </w:r>
      <w:proofErr w:type="spellEnd"/>
      <w:r>
        <w:rPr>
          <w:rStyle w:val="Quotation"/>
          <w:lang w:eastAsia="en-ZA"/>
        </w:rPr>
        <w:t xml:space="preserve"> se </w:t>
      </w:r>
      <w:proofErr w:type="spellStart"/>
      <w:r>
        <w:rPr>
          <w:rStyle w:val="Quotation"/>
          <w:lang w:eastAsia="en-ZA"/>
        </w:rPr>
        <w:t>getuienis</w:t>
      </w:r>
      <w:proofErr w:type="spellEnd"/>
      <w:r>
        <w:rPr>
          <w:rStyle w:val="Quotation"/>
          <w:lang w:eastAsia="en-ZA"/>
        </w:rPr>
        <w:t xml:space="preserve"> was </w:t>
      </w:r>
      <w:proofErr w:type="spellStart"/>
      <w:r>
        <w:rPr>
          <w:rStyle w:val="Quotation"/>
          <w:lang w:eastAsia="en-ZA"/>
        </w:rPr>
        <w:t>nie</w:t>
      </w:r>
      <w:proofErr w:type="spellEnd"/>
      <w:r>
        <w:rPr>
          <w:rStyle w:val="Quotation"/>
          <w:lang w:eastAsia="en-ZA"/>
        </w:rPr>
        <w:t xml:space="preserve"> ’n </w:t>
      </w:r>
      <w:proofErr w:type="spellStart"/>
      <w:r>
        <w:rPr>
          <w:rStyle w:val="Quotation"/>
          <w:lang w:eastAsia="en-ZA"/>
        </w:rPr>
        <w:t>gebrek</w:t>
      </w:r>
      <w:proofErr w:type="spellEnd"/>
      <w:r>
        <w:rPr>
          <w:rStyle w:val="Quotation"/>
          <w:lang w:eastAsia="en-ZA"/>
        </w:rPr>
        <w:t xml:space="preserve"> </w:t>
      </w:r>
      <w:proofErr w:type="spellStart"/>
      <w:r>
        <w:rPr>
          <w:rStyle w:val="Quotation"/>
          <w:lang w:eastAsia="en-ZA"/>
        </w:rPr>
        <w:t>aan</w:t>
      </w:r>
      <w:proofErr w:type="spellEnd"/>
      <w:r>
        <w:rPr>
          <w:rStyle w:val="Quotation"/>
          <w:lang w:eastAsia="en-ZA"/>
        </w:rPr>
        <w:t xml:space="preserve"> </w:t>
      </w:r>
      <w:proofErr w:type="spellStart"/>
      <w:r>
        <w:rPr>
          <w:rStyle w:val="Quotation"/>
          <w:lang w:eastAsia="en-ZA"/>
        </w:rPr>
        <w:t>kundigheid</w:t>
      </w:r>
      <w:proofErr w:type="spellEnd"/>
      <w:r>
        <w:rPr>
          <w:rStyle w:val="Quotation"/>
          <w:lang w:eastAsia="en-ZA"/>
        </w:rPr>
        <w:t xml:space="preserve"> in </w:t>
      </w:r>
      <w:proofErr w:type="spellStart"/>
      <w:r>
        <w:rPr>
          <w:rStyle w:val="Quotation"/>
          <w:lang w:eastAsia="en-ZA"/>
        </w:rPr>
        <w:t>hul</w:t>
      </w:r>
      <w:proofErr w:type="spellEnd"/>
      <w:r>
        <w:rPr>
          <w:rStyle w:val="Quotation"/>
          <w:lang w:eastAsia="en-ZA"/>
        </w:rPr>
        <w:t xml:space="preserve"> </w:t>
      </w:r>
      <w:proofErr w:type="spellStart"/>
      <w:r>
        <w:rPr>
          <w:rStyle w:val="Quotation"/>
          <w:lang w:eastAsia="en-ZA"/>
        </w:rPr>
        <w:t>vakgebied</w:t>
      </w:r>
      <w:proofErr w:type="spellEnd"/>
      <w:r>
        <w:rPr>
          <w:rStyle w:val="Quotation"/>
          <w:lang w:eastAsia="en-ZA"/>
        </w:rPr>
        <w:t xml:space="preserve"> </w:t>
      </w:r>
      <w:proofErr w:type="spellStart"/>
      <w:r>
        <w:rPr>
          <w:rStyle w:val="Quotation"/>
          <w:lang w:eastAsia="en-ZA"/>
        </w:rPr>
        <w:t>nie</w:t>
      </w:r>
      <w:proofErr w:type="spellEnd"/>
      <w:r>
        <w:rPr>
          <w:rStyle w:val="Quotation"/>
          <w:lang w:eastAsia="en-ZA"/>
        </w:rPr>
        <w:t xml:space="preserve">, maar in </w:t>
      </w:r>
      <w:proofErr w:type="spellStart"/>
      <w:r>
        <w:rPr>
          <w:rStyle w:val="Quotation"/>
          <w:lang w:eastAsia="en-ZA"/>
        </w:rPr>
        <w:t>hul</w:t>
      </w:r>
      <w:proofErr w:type="spellEnd"/>
      <w:r>
        <w:rPr>
          <w:rStyle w:val="Quotation"/>
          <w:lang w:eastAsia="en-ZA"/>
        </w:rPr>
        <w:t xml:space="preserve"> </w:t>
      </w:r>
      <w:proofErr w:type="spellStart"/>
      <w:r>
        <w:rPr>
          <w:rStyle w:val="Quotation"/>
          <w:lang w:eastAsia="en-ZA"/>
        </w:rPr>
        <w:t>skynbaar</w:t>
      </w:r>
      <w:proofErr w:type="spellEnd"/>
      <w:r>
        <w:rPr>
          <w:rStyle w:val="Quotation"/>
          <w:lang w:eastAsia="en-ZA"/>
        </w:rPr>
        <w:t xml:space="preserve"> </w:t>
      </w:r>
      <w:proofErr w:type="spellStart"/>
      <w:r>
        <w:rPr>
          <w:rStyle w:val="Quotation"/>
          <w:lang w:eastAsia="en-ZA"/>
        </w:rPr>
        <w:t>onkritiese</w:t>
      </w:r>
      <w:proofErr w:type="spellEnd"/>
      <w:r>
        <w:rPr>
          <w:rStyle w:val="Quotation"/>
          <w:lang w:eastAsia="en-ZA"/>
        </w:rPr>
        <w:t xml:space="preserve"> </w:t>
      </w:r>
      <w:proofErr w:type="spellStart"/>
      <w:r>
        <w:rPr>
          <w:rStyle w:val="Quotation"/>
          <w:lang w:eastAsia="en-ZA"/>
        </w:rPr>
        <w:t>aanvaarding</w:t>
      </w:r>
      <w:proofErr w:type="spellEnd"/>
      <w:r>
        <w:rPr>
          <w:rStyle w:val="Quotation"/>
          <w:lang w:eastAsia="en-ZA"/>
        </w:rPr>
        <w:t xml:space="preserve"> van die </w:t>
      </w:r>
      <w:proofErr w:type="spellStart"/>
      <w:r>
        <w:rPr>
          <w:rStyle w:val="Quotation"/>
          <w:lang w:eastAsia="en-ZA"/>
        </w:rPr>
        <w:t>weergawe</w:t>
      </w:r>
      <w:proofErr w:type="spellEnd"/>
      <w:r>
        <w:rPr>
          <w:rStyle w:val="Quotation"/>
          <w:lang w:eastAsia="en-ZA"/>
        </w:rPr>
        <w:t xml:space="preserve"> van die appellant </w:t>
      </w:r>
      <w:proofErr w:type="spellStart"/>
      <w:r>
        <w:rPr>
          <w:rStyle w:val="Quotation"/>
          <w:lang w:eastAsia="en-ZA"/>
        </w:rPr>
        <w:t>en</w:t>
      </w:r>
      <w:proofErr w:type="spellEnd"/>
      <w:r>
        <w:rPr>
          <w:rStyle w:val="Quotation"/>
          <w:lang w:eastAsia="en-ZA"/>
        </w:rPr>
        <w:t xml:space="preserve"> </w:t>
      </w:r>
      <w:proofErr w:type="spellStart"/>
      <w:r>
        <w:rPr>
          <w:rStyle w:val="Quotation"/>
          <w:lang w:eastAsia="en-ZA"/>
        </w:rPr>
        <w:t>sy</w:t>
      </w:r>
      <w:proofErr w:type="spellEnd"/>
      <w:r>
        <w:rPr>
          <w:rStyle w:val="Quotation"/>
          <w:lang w:eastAsia="en-ZA"/>
        </w:rPr>
        <w:t xml:space="preserve"> </w:t>
      </w:r>
      <w:proofErr w:type="spellStart"/>
      <w:r>
        <w:rPr>
          <w:rStyle w:val="Quotation"/>
          <w:lang w:eastAsia="en-ZA"/>
        </w:rPr>
        <w:t>verwysingsbronne</w:t>
      </w:r>
      <w:proofErr w:type="spellEnd"/>
      <w:r>
        <w:rPr>
          <w:rStyle w:val="Quotation"/>
          <w:lang w:eastAsia="en-ZA"/>
        </w:rPr>
        <w:t>.’</w:t>
      </w:r>
    </w:p>
    <w:p w14:paraId="30206795" w14:textId="04995F4A" w:rsidR="008623C4" w:rsidRPr="00A61657" w:rsidRDefault="00605C29" w:rsidP="00605C29">
      <w:pPr>
        <w:tabs>
          <w:tab w:val="left" w:pos="851"/>
        </w:tabs>
        <w:rPr>
          <w:rStyle w:val="Quotation"/>
          <w:lang w:eastAsia="en-ZA"/>
        </w:rPr>
      </w:pPr>
      <w:r w:rsidRPr="00A61657">
        <w:rPr>
          <w:rStyle w:val="Quotation"/>
          <w:sz w:val="28"/>
          <w:szCs w:val="28"/>
          <w:lang w:eastAsia="en-ZA"/>
        </w:rPr>
        <w:t>[22]</w:t>
      </w:r>
      <w:r w:rsidRPr="00A61657">
        <w:rPr>
          <w:rStyle w:val="Quotation"/>
          <w:sz w:val="28"/>
          <w:szCs w:val="28"/>
          <w:lang w:eastAsia="en-ZA"/>
        </w:rPr>
        <w:tab/>
      </w:r>
      <w:r w:rsidR="003C3A2C">
        <w:rPr>
          <w:rStyle w:val="Quotation"/>
          <w:sz w:val="28"/>
          <w:szCs w:val="28"/>
          <w:lang w:eastAsia="en-ZA"/>
        </w:rPr>
        <w:t xml:space="preserve">The most telling example of this failing on the part of the expert witnesses was the acceptance by </w:t>
      </w:r>
      <w:r w:rsidR="00E10461">
        <w:rPr>
          <w:rStyle w:val="Quotation"/>
          <w:sz w:val="28"/>
          <w:szCs w:val="28"/>
          <w:lang w:eastAsia="en-ZA"/>
        </w:rPr>
        <w:t>Dr de Wit</w:t>
      </w:r>
      <w:r w:rsidR="003C3A2C">
        <w:rPr>
          <w:rStyle w:val="Quotation"/>
          <w:sz w:val="28"/>
          <w:szCs w:val="28"/>
          <w:lang w:eastAsia="en-ZA"/>
        </w:rPr>
        <w:t xml:space="preserve">, </w:t>
      </w:r>
      <w:r w:rsidR="00597516">
        <w:rPr>
          <w:rStyle w:val="Quotation"/>
          <w:sz w:val="28"/>
          <w:szCs w:val="28"/>
          <w:lang w:eastAsia="en-ZA"/>
        </w:rPr>
        <w:t>Ms</w:t>
      </w:r>
      <w:r w:rsidR="003C3A2C">
        <w:rPr>
          <w:rStyle w:val="Quotation"/>
          <w:sz w:val="28"/>
          <w:szCs w:val="28"/>
          <w:lang w:eastAsia="en-ZA"/>
        </w:rPr>
        <w:t xml:space="preserve"> Retief</w:t>
      </w:r>
      <w:r w:rsidR="00597516">
        <w:rPr>
          <w:rStyle w:val="Quotation"/>
          <w:sz w:val="28"/>
          <w:szCs w:val="28"/>
          <w:lang w:eastAsia="en-ZA"/>
        </w:rPr>
        <w:t xml:space="preserve"> and, it would appear, also</w:t>
      </w:r>
      <w:r w:rsidR="00E471CD">
        <w:rPr>
          <w:rStyle w:val="Quotation"/>
          <w:sz w:val="28"/>
          <w:szCs w:val="28"/>
          <w:lang w:eastAsia="en-ZA"/>
        </w:rPr>
        <w:t xml:space="preserve"> Mr Meyer of allegations by </w:t>
      </w:r>
      <w:r w:rsidR="00992C2E">
        <w:rPr>
          <w:rStyle w:val="Quotation"/>
          <w:sz w:val="28"/>
          <w:szCs w:val="28"/>
          <w:lang w:eastAsia="en-ZA"/>
        </w:rPr>
        <w:t>Dr Potgieter</w:t>
      </w:r>
      <w:r w:rsidR="00E471CD">
        <w:rPr>
          <w:rStyle w:val="Quotation"/>
          <w:sz w:val="28"/>
          <w:szCs w:val="28"/>
          <w:lang w:eastAsia="en-ZA"/>
        </w:rPr>
        <w:t xml:space="preserve"> and by </w:t>
      </w:r>
      <w:r w:rsidR="00597516">
        <w:rPr>
          <w:rStyle w:val="Quotation"/>
          <w:sz w:val="28"/>
          <w:szCs w:val="28"/>
          <w:lang w:eastAsia="en-ZA"/>
        </w:rPr>
        <w:t>Ms</w:t>
      </w:r>
      <w:r w:rsidR="00AA5442">
        <w:rPr>
          <w:rStyle w:val="Quotation"/>
          <w:sz w:val="28"/>
          <w:szCs w:val="28"/>
          <w:lang w:eastAsia="en-ZA"/>
        </w:rPr>
        <w:t xml:space="preserve"> Zama</w:t>
      </w:r>
      <w:r w:rsidR="00E471CD">
        <w:rPr>
          <w:rStyle w:val="Quotation"/>
          <w:sz w:val="28"/>
          <w:szCs w:val="28"/>
          <w:lang w:eastAsia="en-ZA"/>
        </w:rPr>
        <w:t xml:space="preserve"> that the latter was the children’s primary caregiver during a period of several years preceding the trial.  </w:t>
      </w:r>
      <w:r w:rsidR="00597516">
        <w:rPr>
          <w:rStyle w:val="Quotation"/>
          <w:sz w:val="28"/>
          <w:szCs w:val="28"/>
          <w:lang w:eastAsia="en-ZA"/>
        </w:rPr>
        <w:t>Ms</w:t>
      </w:r>
      <w:r w:rsidR="00E471CD">
        <w:rPr>
          <w:rStyle w:val="Quotation"/>
          <w:sz w:val="28"/>
          <w:szCs w:val="28"/>
          <w:lang w:eastAsia="en-ZA"/>
        </w:rPr>
        <w:t xml:space="preserve"> Zama’s evidence did not, however, bear out </w:t>
      </w:r>
      <w:r w:rsidR="00E471CD">
        <w:rPr>
          <w:rStyle w:val="Quotation"/>
          <w:sz w:val="28"/>
          <w:szCs w:val="28"/>
          <w:lang w:eastAsia="en-ZA"/>
        </w:rPr>
        <w:lastRenderedPageBreak/>
        <w:t>these allegations.  While her evidence</w:t>
      </w:r>
      <w:r w:rsidR="00AA5442">
        <w:rPr>
          <w:rStyle w:val="Quotation"/>
          <w:sz w:val="28"/>
          <w:szCs w:val="28"/>
          <w:lang w:eastAsia="en-ZA"/>
        </w:rPr>
        <w:t>-</w:t>
      </w:r>
      <w:r w:rsidR="00E471CD">
        <w:rPr>
          <w:rStyle w:val="Quotation"/>
          <w:sz w:val="28"/>
          <w:szCs w:val="28"/>
          <w:lang w:eastAsia="en-ZA"/>
        </w:rPr>
        <w:t>in</w:t>
      </w:r>
      <w:r w:rsidR="00AA5442">
        <w:rPr>
          <w:rStyle w:val="Quotation"/>
          <w:sz w:val="28"/>
          <w:szCs w:val="28"/>
          <w:lang w:eastAsia="en-ZA"/>
        </w:rPr>
        <w:t>-</w:t>
      </w:r>
      <w:r w:rsidR="00E471CD">
        <w:rPr>
          <w:rStyle w:val="Quotation"/>
          <w:sz w:val="28"/>
          <w:szCs w:val="28"/>
          <w:lang w:eastAsia="en-ZA"/>
        </w:rPr>
        <w:t xml:space="preserve">chief portrayed </w:t>
      </w:r>
      <w:r w:rsidR="005D1074">
        <w:rPr>
          <w:rStyle w:val="Quotation"/>
          <w:sz w:val="28"/>
          <w:szCs w:val="28"/>
          <w:lang w:eastAsia="en-ZA"/>
        </w:rPr>
        <w:t>Mrs Potgieter</w:t>
      </w:r>
      <w:r w:rsidR="00E471CD">
        <w:rPr>
          <w:rStyle w:val="Quotation"/>
          <w:sz w:val="28"/>
          <w:szCs w:val="28"/>
          <w:lang w:eastAsia="en-ZA"/>
        </w:rPr>
        <w:t xml:space="preserve"> as an uncaring</w:t>
      </w:r>
      <w:r w:rsidR="00A61657">
        <w:rPr>
          <w:rStyle w:val="Quotation"/>
          <w:sz w:val="28"/>
          <w:szCs w:val="28"/>
          <w:lang w:eastAsia="en-ZA"/>
        </w:rPr>
        <w:t>,</w:t>
      </w:r>
      <w:r w:rsidR="00E471CD">
        <w:rPr>
          <w:rStyle w:val="Quotation"/>
          <w:sz w:val="28"/>
          <w:szCs w:val="28"/>
          <w:lang w:eastAsia="en-ZA"/>
        </w:rPr>
        <w:t xml:space="preserve"> </w:t>
      </w:r>
      <w:proofErr w:type="gramStart"/>
      <w:r w:rsidR="00E471CD">
        <w:rPr>
          <w:rStyle w:val="Quotation"/>
          <w:sz w:val="28"/>
          <w:szCs w:val="28"/>
          <w:lang w:eastAsia="en-ZA"/>
        </w:rPr>
        <w:t>neglectful</w:t>
      </w:r>
      <w:proofErr w:type="gramEnd"/>
      <w:r w:rsidR="00E471CD">
        <w:rPr>
          <w:rStyle w:val="Quotation"/>
          <w:sz w:val="28"/>
          <w:szCs w:val="28"/>
          <w:lang w:eastAsia="en-ZA"/>
        </w:rPr>
        <w:t xml:space="preserve"> </w:t>
      </w:r>
      <w:r w:rsidR="00A61657">
        <w:rPr>
          <w:rStyle w:val="Quotation"/>
          <w:sz w:val="28"/>
          <w:szCs w:val="28"/>
          <w:lang w:eastAsia="en-ZA"/>
        </w:rPr>
        <w:t xml:space="preserve">and bullying </w:t>
      </w:r>
      <w:r w:rsidR="00E471CD">
        <w:rPr>
          <w:rStyle w:val="Quotation"/>
          <w:sz w:val="28"/>
          <w:szCs w:val="28"/>
          <w:lang w:eastAsia="en-ZA"/>
        </w:rPr>
        <w:t xml:space="preserve">mother prone to outbursts of rage and physical abuse directed against both </w:t>
      </w:r>
      <w:r w:rsidR="00992C2E">
        <w:rPr>
          <w:rStyle w:val="Quotation"/>
          <w:sz w:val="28"/>
          <w:szCs w:val="28"/>
          <w:lang w:eastAsia="en-ZA"/>
        </w:rPr>
        <w:t>Dr Potgieter</w:t>
      </w:r>
      <w:r w:rsidR="00E471CD">
        <w:rPr>
          <w:rStyle w:val="Quotation"/>
          <w:sz w:val="28"/>
          <w:szCs w:val="28"/>
          <w:lang w:eastAsia="en-ZA"/>
        </w:rPr>
        <w:t xml:space="preserve"> and her children, her evidence under cross-examination revealed quite a diffe</w:t>
      </w:r>
      <w:r w:rsidR="00AA5442">
        <w:rPr>
          <w:rStyle w:val="Quotation"/>
          <w:sz w:val="28"/>
          <w:szCs w:val="28"/>
          <w:lang w:eastAsia="en-ZA"/>
        </w:rPr>
        <w:t xml:space="preserve">rent picture.  </w:t>
      </w:r>
      <w:r w:rsidR="00597516">
        <w:rPr>
          <w:rStyle w:val="Quotation"/>
          <w:sz w:val="28"/>
          <w:szCs w:val="28"/>
          <w:lang w:eastAsia="en-ZA"/>
        </w:rPr>
        <w:t>Ms</w:t>
      </w:r>
      <w:r w:rsidR="00AA5442">
        <w:rPr>
          <w:rStyle w:val="Quotation"/>
          <w:sz w:val="28"/>
          <w:szCs w:val="28"/>
          <w:lang w:eastAsia="en-ZA"/>
        </w:rPr>
        <w:t xml:space="preserve"> Zama </w:t>
      </w:r>
      <w:r w:rsidR="00A61657">
        <w:rPr>
          <w:rStyle w:val="Quotation"/>
          <w:sz w:val="28"/>
          <w:szCs w:val="28"/>
          <w:lang w:eastAsia="en-ZA"/>
        </w:rPr>
        <w:t>conceded</w:t>
      </w:r>
      <w:r w:rsidR="00E471CD">
        <w:rPr>
          <w:rStyle w:val="Quotation"/>
          <w:sz w:val="28"/>
          <w:szCs w:val="28"/>
          <w:lang w:eastAsia="en-ZA"/>
        </w:rPr>
        <w:t xml:space="preserve">, albeit somewhat grudgingly, that her function in the parties’ household was that of a domestic worker </w:t>
      </w:r>
      <w:r w:rsidR="00D2526A">
        <w:rPr>
          <w:rStyle w:val="Quotation"/>
          <w:sz w:val="28"/>
          <w:szCs w:val="28"/>
          <w:lang w:eastAsia="en-ZA"/>
        </w:rPr>
        <w:t xml:space="preserve">who left at </w:t>
      </w:r>
      <w:r w:rsidR="008204E4">
        <w:rPr>
          <w:rStyle w:val="Quotation"/>
          <w:sz w:val="28"/>
          <w:szCs w:val="28"/>
          <w:lang w:eastAsia="en-ZA"/>
        </w:rPr>
        <w:t>half past four</w:t>
      </w:r>
      <w:r w:rsidR="00E10461">
        <w:rPr>
          <w:rStyle w:val="Quotation"/>
          <w:sz w:val="28"/>
          <w:szCs w:val="28"/>
          <w:lang w:eastAsia="en-ZA"/>
        </w:rPr>
        <w:t xml:space="preserve"> each afternoon</w:t>
      </w:r>
      <w:r w:rsidR="00D2526A">
        <w:rPr>
          <w:rStyle w:val="Quotation"/>
          <w:sz w:val="28"/>
          <w:szCs w:val="28"/>
          <w:lang w:eastAsia="en-ZA"/>
        </w:rPr>
        <w:t xml:space="preserve">, </w:t>
      </w:r>
      <w:r w:rsidR="00E471CD">
        <w:rPr>
          <w:rStyle w:val="Quotation"/>
          <w:sz w:val="28"/>
          <w:szCs w:val="28"/>
          <w:lang w:eastAsia="en-ZA"/>
        </w:rPr>
        <w:t>and</w:t>
      </w:r>
      <w:r w:rsidR="00AA5442">
        <w:rPr>
          <w:rStyle w:val="Quotation"/>
          <w:sz w:val="28"/>
          <w:szCs w:val="28"/>
          <w:lang w:eastAsia="en-ZA"/>
        </w:rPr>
        <w:t xml:space="preserve"> that </w:t>
      </w:r>
      <w:r w:rsidR="005D1074">
        <w:rPr>
          <w:rStyle w:val="Quotation"/>
          <w:sz w:val="28"/>
          <w:szCs w:val="28"/>
          <w:lang w:eastAsia="en-ZA"/>
        </w:rPr>
        <w:t>Mrs Potgieter</w:t>
      </w:r>
      <w:r w:rsidR="00AA5442">
        <w:rPr>
          <w:rStyle w:val="Quotation"/>
          <w:sz w:val="28"/>
          <w:szCs w:val="28"/>
          <w:lang w:eastAsia="en-ZA"/>
        </w:rPr>
        <w:t xml:space="preserve"> was</w:t>
      </w:r>
      <w:r w:rsidR="00E471CD">
        <w:rPr>
          <w:rStyle w:val="Quotation"/>
          <w:sz w:val="28"/>
          <w:szCs w:val="28"/>
          <w:lang w:eastAsia="en-ZA"/>
        </w:rPr>
        <w:t xml:space="preserve"> the person who primarily c</w:t>
      </w:r>
      <w:r w:rsidR="00AA5442">
        <w:rPr>
          <w:rStyle w:val="Quotation"/>
          <w:sz w:val="28"/>
          <w:szCs w:val="28"/>
          <w:lang w:eastAsia="en-ZA"/>
        </w:rPr>
        <w:t>ared for the children on a day-to-day</w:t>
      </w:r>
      <w:r w:rsidR="00E471CD">
        <w:rPr>
          <w:rStyle w:val="Quotation"/>
          <w:sz w:val="28"/>
          <w:szCs w:val="28"/>
          <w:lang w:eastAsia="en-ZA"/>
        </w:rPr>
        <w:t xml:space="preserve"> basis.  </w:t>
      </w:r>
      <w:r w:rsidR="00597516">
        <w:rPr>
          <w:rStyle w:val="Quotation"/>
          <w:sz w:val="28"/>
          <w:szCs w:val="28"/>
          <w:lang w:eastAsia="en-ZA"/>
        </w:rPr>
        <w:t>Ms</w:t>
      </w:r>
      <w:r w:rsidR="00E471CD">
        <w:rPr>
          <w:rStyle w:val="Quotation"/>
          <w:sz w:val="28"/>
          <w:szCs w:val="28"/>
          <w:lang w:eastAsia="en-ZA"/>
        </w:rPr>
        <w:t xml:space="preserve"> Zama went so far as to </w:t>
      </w:r>
      <w:r w:rsidR="00A61657">
        <w:rPr>
          <w:rStyle w:val="Quotation"/>
          <w:sz w:val="28"/>
          <w:szCs w:val="28"/>
          <w:lang w:eastAsia="en-ZA"/>
        </w:rPr>
        <w:t xml:space="preserve">concede that </w:t>
      </w:r>
      <w:r w:rsidR="005D1074">
        <w:rPr>
          <w:rStyle w:val="Quotation"/>
          <w:sz w:val="28"/>
          <w:szCs w:val="28"/>
          <w:lang w:eastAsia="en-ZA"/>
        </w:rPr>
        <w:t>Mrs Potgieter</w:t>
      </w:r>
      <w:r w:rsidR="00A61657">
        <w:rPr>
          <w:rStyle w:val="Quotation"/>
          <w:sz w:val="28"/>
          <w:szCs w:val="28"/>
          <w:lang w:eastAsia="en-ZA"/>
        </w:rPr>
        <w:t>, with whom she clearly had a difficult and somewhat turbu</w:t>
      </w:r>
      <w:r w:rsidR="00597516">
        <w:rPr>
          <w:rStyle w:val="Quotation"/>
          <w:sz w:val="28"/>
          <w:szCs w:val="28"/>
          <w:lang w:eastAsia="en-ZA"/>
        </w:rPr>
        <w:t>lent relationship, was in fact ‘</w:t>
      </w:r>
      <w:r w:rsidR="00A61657">
        <w:rPr>
          <w:rStyle w:val="Quotation"/>
          <w:sz w:val="28"/>
          <w:szCs w:val="28"/>
          <w:lang w:eastAsia="en-ZA"/>
        </w:rPr>
        <w:t xml:space="preserve">’n </w:t>
      </w:r>
      <w:proofErr w:type="spellStart"/>
      <w:r w:rsidR="00A61657">
        <w:rPr>
          <w:rStyle w:val="Quotation"/>
          <w:sz w:val="28"/>
          <w:szCs w:val="28"/>
          <w:lang w:eastAsia="en-ZA"/>
        </w:rPr>
        <w:t>goeie</w:t>
      </w:r>
      <w:proofErr w:type="spellEnd"/>
      <w:r w:rsidR="00A61657">
        <w:rPr>
          <w:rStyle w:val="Quotation"/>
          <w:sz w:val="28"/>
          <w:szCs w:val="28"/>
          <w:lang w:eastAsia="en-ZA"/>
        </w:rPr>
        <w:t xml:space="preserve"> ma’.</w:t>
      </w:r>
    </w:p>
    <w:p w14:paraId="66329A8A" w14:textId="48912DDD" w:rsidR="00AA5442" w:rsidRPr="00AA5442" w:rsidRDefault="00605C29" w:rsidP="00605C29">
      <w:pPr>
        <w:tabs>
          <w:tab w:val="left" w:pos="851"/>
        </w:tabs>
        <w:rPr>
          <w:rStyle w:val="Quotation"/>
          <w:lang w:eastAsia="en-ZA"/>
        </w:rPr>
      </w:pPr>
      <w:r w:rsidRPr="00AA5442">
        <w:rPr>
          <w:rStyle w:val="Quotation"/>
          <w:sz w:val="28"/>
          <w:szCs w:val="28"/>
          <w:lang w:eastAsia="en-ZA"/>
        </w:rPr>
        <w:t>[23]</w:t>
      </w:r>
      <w:r w:rsidRPr="00AA5442">
        <w:rPr>
          <w:rStyle w:val="Quotation"/>
          <w:sz w:val="28"/>
          <w:szCs w:val="28"/>
          <w:lang w:eastAsia="en-ZA"/>
        </w:rPr>
        <w:tab/>
      </w:r>
      <w:r w:rsidR="00433038">
        <w:rPr>
          <w:rStyle w:val="Quotation"/>
          <w:sz w:val="28"/>
          <w:szCs w:val="28"/>
          <w:lang w:eastAsia="en-ZA"/>
        </w:rPr>
        <w:t xml:space="preserve">The Full Court concluded that </w:t>
      </w:r>
      <w:r w:rsidR="005D1074">
        <w:rPr>
          <w:rStyle w:val="Quotation"/>
          <w:sz w:val="28"/>
          <w:szCs w:val="28"/>
          <w:lang w:eastAsia="en-ZA"/>
        </w:rPr>
        <w:t>Mrs Potgieter</w:t>
      </w:r>
      <w:r w:rsidR="00433038">
        <w:rPr>
          <w:rStyle w:val="Quotation"/>
          <w:sz w:val="28"/>
          <w:szCs w:val="28"/>
          <w:lang w:eastAsia="en-ZA"/>
        </w:rPr>
        <w:t xml:space="preserve"> clearly suffers from personality problems in that she is impulsive, unstable, somewhat inflexible in her personal relationships and prone to confrontation.  She hersel</w:t>
      </w:r>
      <w:r w:rsidR="00AA5442">
        <w:rPr>
          <w:rStyle w:val="Quotation"/>
          <w:sz w:val="28"/>
          <w:szCs w:val="28"/>
          <w:lang w:eastAsia="en-ZA"/>
        </w:rPr>
        <w:t>f conceded that she had difficulties</w:t>
      </w:r>
      <w:r w:rsidR="00433038">
        <w:rPr>
          <w:rStyle w:val="Quotation"/>
          <w:sz w:val="28"/>
          <w:szCs w:val="28"/>
          <w:lang w:eastAsia="en-ZA"/>
        </w:rPr>
        <w:t xml:space="preserve"> in managing her finances (one of the major complaints directed against her by </w:t>
      </w:r>
      <w:r w:rsidR="00992C2E">
        <w:rPr>
          <w:rStyle w:val="Quotation"/>
          <w:sz w:val="28"/>
          <w:szCs w:val="28"/>
          <w:lang w:eastAsia="en-ZA"/>
        </w:rPr>
        <w:t>Dr Potgieter</w:t>
      </w:r>
      <w:r w:rsidR="00433038">
        <w:rPr>
          <w:rStyle w:val="Quotation"/>
          <w:sz w:val="28"/>
          <w:szCs w:val="28"/>
          <w:lang w:eastAsia="en-ZA"/>
        </w:rPr>
        <w:t xml:space="preserve">).  </w:t>
      </w:r>
      <w:r w:rsidR="00E456CB">
        <w:rPr>
          <w:rStyle w:val="Quotation"/>
          <w:sz w:val="28"/>
          <w:szCs w:val="28"/>
          <w:lang w:eastAsia="en-ZA"/>
        </w:rPr>
        <w:t xml:space="preserve">However, it was common cause that, for some years preceding the trial, she had managed to keep her depression, which had </w:t>
      </w:r>
      <w:r w:rsidR="00AA5442">
        <w:rPr>
          <w:rStyle w:val="Quotation"/>
          <w:sz w:val="28"/>
          <w:szCs w:val="28"/>
          <w:lang w:eastAsia="en-ZA"/>
        </w:rPr>
        <w:t xml:space="preserve">in the past </w:t>
      </w:r>
      <w:r w:rsidR="00E456CB">
        <w:rPr>
          <w:rStyle w:val="Quotation"/>
          <w:sz w:val="28"/>
          <w:szCs w:val="28"/>
          <w:lang w:eastAsia="en-ZA"/>
        </w:rPr>
        <w:t xml:space="preserve">led to several suicide attempts, under control with medication.  </w:t>
      </w:r>
      <w:r w:rsidR="00433038">
        <w:rPr>
          <w:rStyle w:val="Quotation"/>
          <w:sz w:val="28"/>
          <w:szCs w:val="28"/>
          <w:lang w:eastAsia="en-ZA"/>
        </w:rPr>
        <w:t xml:space="preserve">Moreover, it must be remembered that many of her problems manifested themselves during the parties’ increasingly stormy marriage.  Particularly in the relatively lengthy period </w:t>
      </w:r>
      <w:r w:rsidR="00433038">
        <w:rPr>
          <w:rStyle w:val="Quotation"/>
          <w:sz w:val="28"/>
          <w:szCs w:val="28"/>
          <w:lang w:eastAsia="en-ZA"/>
        </w:rPr>
        <w:lastRenderedPageBreak/>
        <w:t xml:space="preserve">leading up to the trial, both parties were subjected to the enormous strain of living under the same roof while bitterly estranged from each other and in constant </w:t>
      </w:r>
      <w:r w:rsidR="00597516">
        <w:rPr>
          <w:rStyle w:val="Quotation"/>
          <w:sz w:val="28"/>
          <w:szCs w:val="28"/>
          <w:lang w:eastAsia="en-ZA"/>
        </w:rPr>
        <w:t>conflict</w:t>
      </w:r>
      <w:r w:rsidR="00433038">
        <w:rPr>
          <w:rStyle w:val="Quotation"/>
          <w:sz w:val="28"/>
          <w:szCs w:val="28"/>
          <w:lang w:eastAsia="en-ZA"/>
        </w:rPr>
        <w:t xml:space="preserve">.  </w:t>
      </w:r>
      <w:r w:rsidR="00E378C7">
        <w:rPr>
          <w:rStyle w:val="Quotation"/>
          <w:sz w:val="28"/>
          <w:szCs w:val="28"/>
          <w:lang w:eastAsia="en-ZA"/>
        </w:rPr>
        <w:t xml:space="preserve">There would obviously be new stresses on </w:t>
      </w:r>
      <w:r w:rsidR="005D1074">
        <w:rPr>
          <w:rStyle w:val="Quotation"/>
          <w:sz w:val="28"/>
          <w:szCs w:val="28"/>
          <w:lang w:eastAsia="en-ZA"/>
        </w:rPr>
        <w:t>Mrs Potgieter</w:t>
      </w:r>
      <w:r w:rsidR="00E378C7">
        <w:rPr>
          <w:rStyle w:val="Quotation"/>
          <w:sz w:val="28"/>
          <w:szCs w:val="28"/>
          <w:lang w:eastAsia="en-ZA"/>
        </w:rPr>
        <w:t xml:space="preserve"> in her life as a divorcée and single parent, but the trial judge and the Full Court were of the view that neither her personality problems nor these new stresses would impact on her parenting ability to such an extent that it would not be in the best interests of the children to continue being cared for by her, albeit while </w:t>
      </w:r>
      <w:r w:rsidR="00AA5442">
        <w:rPr>
          <w:rStyle w:val="Quotation"/>
          <w:sz w:val="28"/>
          <w:szCs w:val="28"/>
          <w:lang w:eastAsia="en-ZA"/>
        </w:rPr>
        <w:t>they maintained</w:t>
      </w:r>
      <w:r w:rsidR="00E378C7">
        <w:rPr>
          <w:rStyle w:val="Quotation"/>
          <w:sz w:val="28"/>
          <w:szCs w:val="28"/>
          <w:lang w:eastAsia="en-ZA"/>
        </w:rPr>
        <w:t xml:space="preserve"> the close relationship they have with </w:t>
      </w:r>
      <w:r w:rsidR="00992C2E">
        <w:rPr>
          <w:rStyle w:val="Quotation"/>
          <w:sz w:val="28"/>
          <w:szCs w:val="28"/>
          <w:lang w:eastAsia="en-ZA"/>
        </w:rPr>
        <w:t>Dr Potgieter</w:t>
      </w:r>
      <w:r w:rsidR="00E378C7">
        <w:rPr>
          <w:rStyle w:val="Quotation"/>
          <w:sz w:val="28"/>
          <w:szCs w:val="28"/>
          <w:lang w:eastAsia="en-ZA"/>
        </w:rPr>
        <w:t>.</w:t>
      </w:r>
    </w:p>
    <w:p w14:paraId="3E5F910D" w14:textId="06460DEF" w:rsidR="00F848F1" w:rsidRPr="00F848F1" w:rsidRDefault="00605C29" w:rsidP="00605C29">
      <w:pPr>
        <w:tabs>
          <w:tab w:val="left" w:pos="851"/>
        </w:tabs>
        <w:rPr>
          <w:rStyle w:val="Quotation"/>
          <w:lang w:eastAsia="en-ZA"/>
        </w:rPr>
      </w:pPr>
      <w:r w:rsidRPr="00F848F1">
        <w:rPr>
          <w:rStyle w:val="Quotation"/>
          <w:sz w:val="28"/>
          <w:szCs w:val="28"/>
          <w:lang w:eastAsia="en-ZA"/>
        </w:rPr>
        <w:t>[24]</w:t>
      </w:r>
      <w:r w:rsidRPr="00F848F1">
        <w:rPr>
          <w:rStyle w:val="Quotation"/>
          <w:sz w:val="28"/>
          <w:szCs w:val="28"/>
          <w:lang w:eastAsia="en-ZA"/>
        </w:rPr>
        <w:tab/>
      </w:r>
      <w:r w:rsidR="00E378C7">
        <w:rPr>
          <w:rStyle w:val="Quotation"/>
          <w:sz w:val="28"/>
          <w:szCs w:val="28"/>
          <w:lang w:eastAsia="en-ZA"/>
        </w:rPr>
        <w:t xml:space="preserve">I do not believe that either court misdirected itself in this regard.  </w:t>
      </w:r>
      <w:r w:rsidR="00F848F1">
        <w:rPr>
          <w:rStyle w:val="Quotation"/>
          <w:sz w:val="28"/>
          <w:szCs w:val="28"/>
          <w:lang w:eastAsia="en-ZA"/>
        </w:rPr>
        <w:t>In determining what custo</w:t>
      </w:r>
      <w:r w:rsidR="00D22703">
        <w:rPr>
          <w:rStyle w:val="Quotation"/>
          <w:sz w:val="28"/>
          <w:szCs w:val="28"/>
          <w:lang w:eastAsia="en-ZA"/>
        </w:rPr>
        <w:t>dy arrangement will best serve the</w:t>
      </w:r>
      <w:r w:rsidR="00F848F1">
        <w:rPr>
          <w:rStyle w:val="Quotation"/>
          <w:sz w:val="28"/>
          <w:szCs w:val="28"/>
          <w:lang w:eastAsia="en-ZA"/>
        </w:rPr>
        <w:t xml:space="preserve"> child</w:t>
      </w:r>
      <w:r w:rsidR="00D22703">
        <w:rPr>
          <w:rStyle w:val="Quotation"/>
          <w:sz w:val="28"/>
          <w:szCs w:val="28"/>
          <w:lang w:eastAsia="en-ZA"/>
        </w:rPr>
        <w:t>ren</w:t>
      </w:r>
      <w:r w:rsidR="00F848F1">
        <w:rPr>
          <w:rStyle w:val="Quotation"/>
          <w:sz w:val="28"/>
          <w:szCs w:val="28"/>
          <w:lang w:eastAsia="en-ZA"/>
        </w:rPr>
        <w:t>’s interests</w:t>
      </w:r>
      <w:r w:rsidR="00D22703">
        <w:rPr>
          <w:rStyle w:val="Quotation"/>
          <w:sz w:val="28"/>
          <w:szCs w:val="28"/>
          <w:lang w:eastAsia="en-ZA"/>
        </w:rPr>
        <w:t xml:space="preserve"> in a case such as the present</w:t>
      </w:r>
      <w:r w:rsidR="00F848F1">
        <w:rPr>
          <w:rStyle w:val="Quotation"/>
          <w:sz w:val="28"/>
          <w:szCs w:val="28"/>
          <w:lang w:eastAsia="en-ZA"/>
        </w:rPr>
        <w:t xml:space="preserve">, a court is not looking for the </w:t>
      </w:r>
      <w:r w:rsidR="00D22703">
        <w:rPr>
          <w:rStyle w:val="Quotation"/>
          <w:sz w:val="28"/>
          <w:szCs w:val="28"/>
          <w:lang w:eastAsia="en-ZA"/>
        </w:rPr>
        <w:t>‘</w:t>
      </w:r>
      <w:r w:rsidR="00F848F1">
        <w:rPr>
          <w:rStyle w:val="Quotation"/>
          <w:sz w:val="28"/>
          <w:szCs w:val="28"/>
          <w:lang w:eastAsia="en-ZA"/>
        </w:rPr>
        <w:t>perfect parent</w:t>
      </w:r>
      <w:r w:rsidR="00D22703">
        <w:rPr>
          <w:rStyle w:val="Quotation"/>
          <w:sz w:val="28"/>
          <w:szCs w:val="28"/>
          <w:lang w:eastAsia="en-ZA"/>
        </w:rPr>
        <w:t>’</w:t>
      </w:r>
      <w:r w:rsidR="00597516">
        <w:rPr>
          <w:rStyle w:val="Quotation"/>
          <w:sz w:val="28"/>
          <w:szCs w:val="28"/>
          <w:lang w:eastAsia="en-ZA"/>
        </w:rPr>
        <w:t xml:space="preserve"> – </w:t>
      </w:r>
      <w:r w:rsidR="00AA5442">
        <w:rPr>
          <w:rStyle w:val="Quotation"/>
          <w:sz w:val="28"/>
          <w:szCs w:val="28"/>
          <w:lang w:eastAsia="en-ZA"/>
        </w:rPr>
        <w:t>doubt</w:t>
      </w:r>
      <w:r w:rsidR="00597516">
        <w:rPr>
          <w:rStyle w:val="Quotation"/>
          <w:sz w:val="28"/>
          <w:szCs w:val="28"/>
          <w:lang w:eastAsia="en-ZA"/>
        </w:rPr>
        <w:t>less there is no</w:t>
      </w:r>
      <w:r w:rsidR="00F848F1">
        <w:rPr>
          <w:rStyle w:val="Quotation"/>
          <w:sz w:val="28"/>
          <w:szCs w:val="28"/>
          <w:lang w:eastAsia="en-ZA"/>
        </w:rPr>
        <w:t xml:space="preserve"> </w:t>
      </w:r>
      <w:r w:rsidR="00597516">
        <w:rPr>
          <w:rStyle w:val="Quotation"/>
          <w:sz w:val="28"/>
          <w:szCs w:val="28"/>
          <w:lang w:eastAsia="en-ZA"/>
        </w:rPr>
        <w:t>such being.  T</w:t>
      </w:r>
      <w:r w:rsidR="00F848F1">
        <w:rPr>
          <w:rStyle w:val="Quotation"/>
          <w:sz w:val="28"/>
          <w:szCs w:val="28"/>
          <w:lang w:eastAsia="en-ZA"/>
        </w:rPr>
        <w:t>he court</w:t>
      </w:r>
      <w:r w:rsidR="00597516">
        <w:rPr>
          <w:rStyle w:val="Quotation"/>
          <w:sz w:val="28"/>
          <w:szCs w:val="28"/>
          <w:lang w:eastAsia="en-ZA"/>
        </w:rPr>
        <w:t>’s quest</w:t>
      </w:r>
      <w:r w:rsidR="00F848F1">
        <w:rPr>
          <w:rStyle w:val="Quotation"/>
          <w:sz w:val="28"/>
          <w:szCs w:val="28"/>
          <w:lang w:eastAsia="en-ZA"/>
        </w:rPr>
        <w:t xml:space="preserve"> is </w:t>
      </w:r>
      <w:r w:rsidR="00597516">
        <w:rPr>
          <w:rStyle w:val="Quotation"/>
          <w:sz w:val="28"/>
          <w:szCs w:val="28"/>
          <w:lang w:eastAsia="en-ZA"/>
        </w:rPr>
        <w:t>to find</w:t>
      </w:r>
      <w:r w:rsidR="00F848F1">
        <w:rPr>
          <w:rStyle w:val="Quotation"/>
          <w:sz w:val="28"/>
          <w:szCs w:val="28"/>
          <w:lang w:eastAsia="en-ZA"/>
        </w:rPr>
        <w:t xml:space="preserve"> what has been called ‘the least detrimental available alternative for safeguarding the child’s growth and development’. (See Joseph Goldstein, Anna Freud &amp; Albert J Solnit </w:t>
      </w:r>
      <w:r w:rsidR="00D22703">
        <w:rPr>
          <w:rStyle w:val="Quotation"/>
          <w:i/>
          <w:iCs/>
          <w:sz w:val="28"/>
          <w:szCs w:val="28"/>
          <w:lang w:eastAsia="en-ZA"/>
        </w:rPr>
        <w:t xml:space="preserve">Beyond the Best Interests of the Child </w:t>
      </w:r>
      <w:r w:rsidR="00D22703">
        <w:rPr>
          <w:rStyle w:val="Quotation"/>
          <w:sz w:val="28"/>
          <w:szCs w:val="28"/>
          <w:lang w:eastAsia="en-ZA"/>
        </w:rPr>
        <w:t xml:space="preserve">(1973) p 53, as cited in </w:t>
      </w:r>
      <w:proofErr w:type="spellStart"/>
      <w:r w:rsidR="00D22703">
        <w:rPr>
          <w:rStyle w:val="Quotation"/>
          <w:i/>
          <w:iCs/>
          <w:sz w:val="28"/>
          <w:szCs w:val="28"/>
          <w:lang w:eastAsia="en-ZA"/>
        </w:rPr>
        <w:t>Boberg’s</w:t>
      </w:r>
      <w:proofErr w:type="spellEnd"/>
      <w:r w:rsidR="00D22703">
        <w:rPr>
          <w:rStyle w:val="Quotation"/>
          <w:i/>
          <w:iCs/>
          <w:sz w:val="28"/>
          <w:szCs w:val="28"/>
          <w:lang w:eastAsia="en-ZA"/>
        </w:rPr>
        <w:t xml:space="preserve"> Law of Persons and the Family </w:t>
      </w:r>
      <w:r w:rsidR="00D22703">
        <w:rPr>
          <w:rStyle w:val="Quotation"/>
          <w:sz w:val="28"/>
          <w:szCs w:val="28"/>
          <w:lang w:eastAsia="en-ZA"/>
        </w:rPr>
        <w:t xml:space="preserve">2 ed (1999) p 528-529 n 117.)  </w:t>
      </w:r>
    </w:p>
    <w:p w14:paraId="734C6F4B" w14:textId="6A096A76" w:rsidR="00E378C7" w:rsidRDefault="00605C29" w:rsidP="00605C29">
      <w:pPr>
        <w:tabs>
          <w:tab w:val="left" w:pos="851"/>
        </w:tabs>
        <w:rPr>
          <w:rStyle w:val="Quotation"/>
          <w:sz w:val="28"/>
          <w:szCs w:val="28"/>
          <w:lang w:eastAsia="en-ZA"/>
        </w:rPr>
      </w:pPr>
      <w:r>
        <w:rPr>
          <w:rStyle w:val="Quotation"/>
          <w:sz w:val="28"/>
          <w:szCs w:val="28"/>
          <w:lang w:eastAsia="en-ZA"/>
        </w:rPr>
        <w:t>[25]</w:t>
      </w:r>
      <w:r>
        <w:rPr>
          <w:rStyle w:val="Quotation"/>
          <w:sz w:val="28"/>
          <w:szCs w:val="28"/>
          <w:lang w:eastAsia="en-ZA"/>
        </w:rPr>
        <w:tab/>
      </w:r>
      <w:r w:rsidR="00AA5442">
        <w:rPr>
          <w:rStyle w:val="Quotation"/>
          <w:sz w:val="28"/>
          <w:szCs w:val="28"/>
          <w:lang w:eastAsia="en-ZA"/>
        </w:rPr>
        <w:t xml:space="preserve">In concluding that maternal deprivation would ‘inevitably have adverse consequences for [the children’s] development’, Chetty J cited </w:t>
      </w:r>
      <w:r w:rsidR="00AA5442">
        <w:rPr>
          <w:rStyle w:val="Quotation"/>
          <w:sz w:val="28"/>
          <w:szCs w:val="28"/>
          <w:lang w:eastAsia="en-ZA"/>
        </w:rPr>
        <w:lastRenderedPageBreak/>
        <w:t xml:space="preserve">with ‘wholehearted’ approval the following dictum of Broome J in </w:t>
      </w:r>
      <w:proofErr w:type="spellStart"/>
      <w:r w:rsidR="00AA5442">
        <w:rPr>
          <w:rStyle w:val="Quotation"/>
          <w:i/>
          <w:iCs/>
          <w:sz w:val="28"/>
          <w:szCs w:val="28"/>
          <w:lang w:eastAsia="en-ZA"/>
        </w:rPr>
        <w:t>Dunsterville</w:t>
      </w:r>
      <w:proofErr w:type="spellEnd"/>
      <w:r w:rsidR="00AA5442">
        <w:rPr>
          <w:rStyle w:val="Quotation"/>
          <w:i/>
          <w:iCs/>
          <w:sz w:val="28"/>
          <w:szCs w:val="28"/>
          <w:lang w:eastAsia="en-ZA"/>
        </w:rPr>
        <w:t xml:space="preserve"> v </w:t>
      </w:r>
      <w:proofErr w:type="spellStart"/>
      <w:r w:rsidR="00AA5442">
        <w:rPr>
          <w:rStyle w:val="Quotation"/>
          <w:i/>
          <w:iCs/>
          <w:sz w:val="28"/>
          <w:szCs w:val="28"/>
          <w:lang w:eastAsia="en-ZA"/>
        </w:rPr>
        <w:t>Dunsterville</w:t>
      </w:r>
      <w:proofErr w:type="spellEnd"/>
      <w:r w:rsidR="00AA5442">
        <w:rPr>
          <w:rStyle w:val="Quotation"/>
          <w:i/>
          <w:iCs/>
          <w:sz w:val="28"/>
          <w:szCs w:val="28"/>
          <w:lang w:eastAsia="en-ZA"/>
        </w:rPr>
        <w:t xml:space="preserve"> </w:t>
      </w:r>
      <w:r w:rsidR="00AA5442">
        <w:rPr>
          <w:rStyle w:val="Quotation"/>
          <w:sz w:val="28"/>
          <w:szCs w:val="28"/>
          <w:lang w:eastAsia="en-ZA"/>
        </w:rPr>
        <w:t>1946 NPD 594 (at 597):</w:t>
      </w:r>
    </w:p>
    <w:p w14:paraId="56568CB3" w14:textId="77777777" w:rsidR="00906E1E" w:rsidRDefault="00FB2DB4" w:rsidP="00AA5442">
      <w:pPr>
        <w:rPr>
          <w:rStyle w:val="Quotation"/>
          <w:lang w:eastAsia="en-ZA"/>
        </w:rPr>
      </w:pPr>
      <w:r>
        <w:rPr>
          <w:rStyle w:val="Quotation"/>
          <w:lang w:eastAsia="en-ZA"/>
        </w:rPr>
        <w:t>‘</w:t>
      </w:r>
      <w:r w:rsidR="00AA5442">
        <w:rPr>
          <w:rStyle w:val="Quotation"/>
          <w:lang w:eastAsia="en-ZA"/>
        </w:rPr>
        <w:t xml:space="preserve">Experience goes to show that a child needs both a father and a mother, and that, </w:t>
      </w:r>
      <w:r w:rsidR="00906E1E">
        <w:rPr>
          <w:rStyle w:val="Quotation"/>
          <w:lang w:eastAsia="en-ZA"/>
        </w:rPr>
        <w:t>if he grows up without either, he will, to some extent, be psychologically handicapped.  But the maternal link is forged earlier in the child’s life than the paternal, and if not forged early may never be forged at all.  The psychological need of a father, on the other hand, only arises later.  It seems to me that if the father is awarded the custody of these young children they will in all probability, notwithstanding the loving care which they will undoubtedly receive from their paternal grandmother, grow up as motherless children, with all the attendant psychological disadvantages.’</w:t>
      </w:r>
    </w:p>
    <w:p w14:paraId="5160A3FD" w14:textId="77777777" w:rsidR="00906E1E" w:rsidRDefault="00906E1E" w:rsidP="00AA5442">
      <w:pPr>
        <w:rPr>
          <w:rStyle w:val="Quotation"/>
          <w:sz w:val="28"/>
          <w:szCs w:val="28"/>
          <w:lang w:eastAsia="en-ZA"/>
        </w:rPr>
      </w:pPr>
      <w:r>
        <w:rPr>
          <w:rStyle w:val="Quotation"/>
          <w:sz w:val="28"/>
          <w:szCs w:val="28"/>
          <w:lang w:eastAsia="en-ZA"/>
        </w:rPr>
        <w:t xml:space="preserve">Broome J went on to state that – </w:t>
      </w:r>
    </w:p>
    <w:p w14:paraId="03800F82" w14:textId="77777777" w:rsidR="00AA5442" w:rsidRDefault="00906E1E" w:rsidP="00AA5442">
      <w:pPr>
        <w:rPr>
          <w:rStyle w:val="Quotation"/>
          <w:lang w:eastAsia="en-ZA"/>
        </w:rPr>
      </w:pPr>
      <w:r>
        <w:rPr>
          <w:rStyle w:val="Quotation"/>
          <w:lang w:eastAsia="en-ZA"/>
        </w:rPr>
        <w:t xml:space="preserve">‘If, on the other hand, the mother is awarded their custody, at any rate during their years of infancy, they will not necessarily grow up as fatherless children, for the relationship between a father and his young children is never one of continuous </w:t>
      </w:r>
      <w:proofErr w:type="gramStart"/>
      <w:r>
        <w:rPr>
          <w:rStyle w:val="Quotation"/>
          <w:lang w:eastAsia="en-ZA"/>
        </w:rPr>
        <w:t>intimacy, but</w:t>
      </w:r>
      <w:proofErr w:type="gramEnd"/>
      <w:r>
        <w:rPr>
          <w:rStyle w:val="Quotation"/>
          <w:lang w:eastAsia="en-ZA"/>
        </w:rPr>
        <w:t xml:space="preserve"> is necessarily intermittent.’</w:t>
      </w:r>
    </w:p>
    <w:p w14:paraId="62DFA599" w14:textId="2A35B910" w:rsidR="00BB264F" w:rsidRDefault="00605C29" w:rsidP="00605C29">
      <w:pPr>
        <w:tabs>
          <w:tab w:val="left" w:pos="851"/>
        </w:tabs>
      </w:pPr>
      <w:r>
        <w:t>[26]</w:t>
      </w:r>
      <w:r>
        <w:tab/>
      </w:r>
      <w:r w:rsidR="009763A6">
        <w:t xml:space="preserve">In more recent cases, the value systems and societal beliefs underpinning the </w:t>
      </w:r>
      <w:r w:rsidR="00ED771B">
        <w:t>‘</w:t>
      </w:r>
      <w:r w:rsidR="009763A6">
        <w:t>maternal preference</w:t>
      </w:r>
      <w:r w:rsidR="00ED771B">
        <w:t>’ or ‘tender years’</w:t>
      </w:r>
      <w:r w:rsidR="009763A6">
        <w:t xml:space="preserve"> principle have been challenged</w:t>
      </w:r>
      <w:r w:rsidR="0098206F">
        <w:t xml:space="preserve"> and </w:t>
      </w:r>
      <w:r w:rsidR="009763A6">
        <w:t xml:space="preserve">courts have </w:t>
      </w:r>
      <w:r w:rsidR="0098206F">
        <w:t xml:space="preserve">emphasised that parenting is a gender-neutral function and that the assumption that a mother is necessarily in a better position to care for a child than the father belongs to a past era.  </w:t>
      </w:r>
      <w:r w:rsidR="0098206F" w:rsidRPr="00AD390F">
        <w:t xml:space="preserve">(See, </w:t>
      </w:r>
      <w:r w:rsidR="0098206F" w:rsidRPr="00AD390F">
        <w:lastRenderedPageBreak/>
        <w:t xml:space="preserve">for example, </w:t>
      </w:r>
      <w:r w:rsidR="0098206F" w:rsidRPr="00AD390F">
        <w:rPr>
          <w:i/>
          <w:iCs/>
        </w:rPr>
        <w:t xml:space="preserve">Van der Linde v Van der Linde </w:t>
      </w:r>
      <w:r w:rsidR="0098206F" w:rsidRPr="00AD390F">
        <w:t xml:space="preserve">1996 (3) SA 509 (O); </w:t>
      </w:r>
      <w:r w:rsidR="00AD390F" w:rsidRPr="00AD390F">
        <w:rPr>
          <w:i/>
          <w:iCs/>
        </w:rPr>
        <w:t xml:space="preserve">Van </w:t>
      </w:r>
      <w:proofErr w:type="spellStart"/>
      <w:r w:rsidR="0098206F" w:rsidRPr="00AD390F">
        <w:rPr>
          <w:i/>
          <w:iCs/>
        </w:rPr>
        <w:t>Pletzen</w:t>
      </w:r>
      <w:proofErr w:type="spellEnd"/>
      <w:r w:rsidR="0098206F" w:rsidRPr="00AD390F">
        <w:rPr>
          <w:i/>
          <w:iCs/>
        </w:rPr>
        <w:t xml:space="preserve"> v Van </w:t>
      </w:r>
      <w:proofErr w:type="spellStart"/>
      <w:r w:rsidR="0098206F" w:rsidRPr="00AD390F">
        <w:rPr>
          <w:i/>
          <w:iCs/>
        </w:rPr>
        <w:t>Pletzen</w:t>
      </w:r>
      <w:proofErr w:type="spellEnd"/>
      <w:r w:rsidR="0098206F" w:rsidRPr="00AD390F">
        <w:rPr>
          <w:i/>
          <w:iCs/>
        </w:rPr>
        <w:t xml:space="preserve"> </w:t>
      </w:r>
      <w:r w:rsidR="00AD390F" w:rsidRPr="00AD390F">
        <w:t xml:space="preserve">1998 (4) SA 95 (O); </w:t>
      </w:r>
      <w:r w:rsidR="00AD390F" w:rsidRPr="00AD390F">
        <w:rPr>
          <w:i/>
          <w:iCs/>
        </w:rPr>
        <w:t xml:space="preserve">Ex </w:t>
      </w:r>
      <w:proofErr w:type="spellStart"/>
      <w:r w:rsidR="00AD390F" w:rsidRPr="00AD390F">
        <w:rPr>
          <w:i/>
          <w:iCs/>
        </w:rPr>
        <w:t>parte</w:t>
      </w:r>
      <w:proofErr w:type="spellEnd"/>
      <w:r w:rsidR="00AD390F" w:rsidRPr="00AD390F">
        <w:rPr>
          <w:i/>
          <w:iCs/>
        </w:rPr>
        <w:t xml:space="preserve"> Critchfield </w:t>
      </w:r>
      <w:r w:rsidR="00AD390F">
        <w:t>[1999] 1 All SA 319 (W) and t</w:t>
      </w:r>
      <w:r w:rsidR="008204E4">
        <w:t>he other cases referred to by L</w:t>
      </w:r>
      <w:r w:rsidR="00AD390F">
        <w:t xml:space="preserve">I Schäfer </w:t>
      </w:r>
      <w:r w:rsidR="00B61CF1">
        <w:t xml:space="preserve">‘Young Persons’ in Brigitte Clark (ed) </w:t>
      </w:r>
      <w:r w:rsidR="00B61CF1">
        <w:rPr>
          <w:i/>
          <w:iCs/>
        </w:rPr>
        <w:t xml:space="preserve">Family Law Service </w:t>
      </w:r>
      <w:r w:rsidR="00B61CF1">
        <w:t>(Issue 45) para E42.</w:t>
      </w:r>
      <w:r w:rsidR="008204E4">
        <w:t xml:space="preserve"> </w:t>
      </w:r>
      <w:r w:rsidR="00B61CF1">
        <w:t xml:space="preserve"> See also </w:t>
      </w:r>
      <w:proofErr w:type="spellStart"/>
      <w:r w:rsidR="00B61CF1">
        <w:rPr>
          <w:i/>
          <w:iCs/>
        </w:rPr>
        <w:t>Boberg’s</w:t>
      </w:r>
      <w:proofErr w:type="spellEnd"/>
      <w:r w:rsidR="00B61CF1">
        <w:rPr>
          <w:i/>
          <w:iCs/>
        </w:rPr>
        <w:t xml:space="preserve"> Law of Persons and the Family </w:t>
      </w:r>
      <w:r w:rsidR="00B61CF1">
        <w:t>2 ed (1999) p 534-</w:t>
      </w:r>
      <w:r w:rsidR="006903D3">
        <w:t>538 and the authorities there cited.</w:t>
      </w:r>
      <w:r w:rsidR="00B61CF1">
        <w:t xml:space="preserve">)  Chetty J’s reliance on the </w:t>
      </w:r>
      <w:proofErr w:type="spellStart"/>
      <w:r w:rsidR="00B61CF1">
        <w:t>abovequoted</w:t>
      </w:r>
      <w:proofErr w:type="spellEnd"/>
      <w:r w:rsidR="00B61CF1">
        <w:t xml:space="preserve"> dictum of Broome J in the </w:t>
      </w:r>
      <w:proofErr w:type="spellStart"/>
      <w:r w:rsidR="00B61CF1">
        <w:rPr>
          <w:i/>
          <w:iCs/>
        </w:rPr>
        <w:t>Dunsterville</w:t>
      </w:r>
      <w:proofErr w:type="spellEnd"/>
      <w:r w:rsidR="00B61CF1">
        <w:rPr>
          <w:i/>
          <w:iCs/>
        </w:rPr>
        <w:t xml:space="preserve"> </w:t>
      </w:r>
      <w:r w:rsidR="00B61CF1">
        <w:t xml:space="preserve">case must therefore be seen in the light of these more recent developments.  </w:t>
      </w:r>
      <w:r w:rsidR="00ED771B">
        <w:t>The later approach, it needs be added, is in any event consistent with the equality principle enshrined in section 9 of our Constitution.</w:t>
      </w:r>
    </w:p>
    <w:p w14:paraId="38E0C157" w14:textId="417E6D59" w:rsidR="00F344EF" w:rsidRDefault="00605C29" w:rsidP="00605C29">
      <w:pPr>
        <w:tabs>
          <w:tab w:val="left" w:pos="851"/>
        </w:tabs>
      </w:pPr>
      <w:r>
        <w:t>[27]</w:t>
      </w:r>
      <w:r>
        <w:tab/>
      </w:r>
      <w:r w:rsidR="00F344EF">
        <w:t>It should also be noted</w:t>
      </w:r>
      <w:r w:rsidR="006903D3">
        <w:t xml:space="preserve"> that the minor children have been in </w:t>
      </w:r>
      <w:r w:rsidR="005D1074">
        <w:t>Mrs Potgieter</w:t>
      </w:r>
      <w:r w:rsidR="006903D3">
        <w:t>’s custody (</w:t>
      </w:r>
      <w:r w:rsidR="000D5E28">
        <w:t xml:space="preserve">without the daily presence </w:t>
      </w:r>
      <w:r w:rsidR="006903D3">
        <w:t xml:space="preserve">of </w:t>
      </w:r>
      <w:r w:rsidR="00992C2E">
        <w:t>Dr Potgieter</w:t>
      </w:r>
      <w:r w:rsidR="006903D3">
        <w:t xml:space="preserve">) </w:t>
      </w:r>
      <w:r w:rsidR="00ED771B">
        <w:t xml:space="preserve">for nearly </w:t>
      </w:r>
      <w:r w:rsidR="006903D3">
        <w:t>two and a half years</w:t>
      </w:r>
      <w:r w:rsidR="00ED771B">
        <w:t xml:space="preserve"> since at least October 2004.</w:t>
      </w:r>
      <w:r w:rsidR="006903D3">
        <w:t xml:space="preserve">  If </w:t>
      </w:r>
      <w:r w:rsidR="00992C2E">
        <w:t>Dr Potgieter</w:t>
      </w:r>
      <w:r w:rsidR="006903D3">
        <w:t xml:space="preserve"> had</w:t>
      </w:r>
      <w:r w:rsidR="00ED771B">
        <w:t>,</w:t>
      </w:r>
      <w:r w:rsidR="006903D3">
        <w:t xml:space="preserve"> at any time during that period, formed the view that the children were suffering harm of any kind by being in </w:t>
      </w:r>
      <w:r w:rsidR="005D1074">
        <w:t>Mrs Potgieter</w:t>
      </w:r>
      <w:r w:rsidR="006903D3">
        <w:t>’s</w:t>
      </w:r>
      <w:r w:rsidR="00F344EF">
        <w:t xml:space="preserve"> custody </w:t>
      </w:r>
      <w:r w:rsidR="00ED771B">
        <w:t xml:space="preserve">or that circumstances had changed to such an extent </w:t>
      </w:r>
      <w:r w:rsidR="00F344EF">
        <w:t xml:space="preserve">that there was </w:t>
      </w:r>
      <w:r w:rsidR="006903D3">
        <w:t xml:space="preserve">‘sufficient reason’ for the custody order </w:t>
      </w:r>
      <w:r w:rsidR="000D5E28">
        <w:t xml:space="preserve">Chetty J granted </w:t>
      </w:r>
      <w:r w:rsidR="006903D3">
        <w:t>to be rescinded or varied, he could have applied to the High Court in terms of section 8(1) of the Divorce Act 70 of 19</w:t>
      </w:r>
      <w:r w:rsidR="00ED771B">
        <w:t xml:space="preserve">79.  That </w:t>
      </w:r>
      <w:r w:rsidR="00F344EF">
        <w:t xml:space="preserve">option </w:t>
      </w:r>
      <w:r w:rsidR="00ED771B">
        <w:t xml:space="preserve">obviously remains </w:t>
      </w:r>
      <w:r w:rsidR="00F344EF">
        <w:t>open to him</w:t>
      </w:r>
      <w:r w:rsidR="00ED771B">
        <w:t>.</w:t>
      </w:r>
    </w:p>
    <w:p w14:paraId="2165E985" w14:textId="12EDA277" w:rsidR="00B61CF1" w:rsidRDefault="00605C29" w:rsidP="00605C29">
      <w:pPr>
        <w:tabs>
          <w:tab w:val="left" w:pos="851"/>
        </w:tabs>
      </w:pPr>
      <w:r>
        <w:lastRenderedPageBreak/>
        <w:t>[28]</w:t>
      </w:r>
      <w:r>
        <w:tab/>
      </w:r>
      <w:r w:rsidR="00F344EF">
        <w:t xml:space="preserve">As regards </w:t>
      </w:r>
      <w:r w:rsidR="00992C2E">
        <w:t>Dr Potgieter</w:t>
      </w:r>
      <w:r w:rsidR="00F344EF">
        <w:t xml:space="preserve">’s appeal against the order by Chetty J that he should pay rehabilitative maintenance to </w:t>
      </w:r>
      <w:r w:rsidR="005D1074">
        <w:t>Mrs Potgieter</w:t>
      </w:r>
      <w:r w:rsidR="00F344EF">
        <w:t xml:space="preserve"> in the amount of R4650 per month for a period of 12 months, </w:t>
      </w:r>
      <w:r w:rsidR="007B6DA5">
        <w:t xml:space="preserve">there is ample evidence to show that </w:t>
      </w:r>
      <w:r w:rsidR="005D1074">
        <w:t>Mrs Potgieter</w:t>
      </w:r>
      <w:r w:rsidR="007B6DA5">
        <w:t xml:space="preserve"> required such rehabilitative </w:t>
      </w:r>
      <w:proofErr w:type="gramStart"/>
      <w:r w:rsidR="007B6DA5">
        <w:t>maintenance</w:t>
      </w:r>
      <w:proofErr w:type="gramEnd"/>
      <w:r w:rsidR="007B6DA5">
        <w:t xml:space="preserve"> and that </w:t>
      </w:r>
      <w:r w:rsidR="00992C2E">
        <w:t>Dr Potgieter</w:t>
      </w:r>
      <w:r w:rsidR="007B6DA5">
        <w:t xml:space="preserve"> was able to afford it.  Although counsel for </w:t>
      </w:r>
      <w:r w:rsidR="00992C2E">
        <w:t>Dr Potgieter</w:t>
      </w:r>
      <w:r w:rsidR="007B6DA5">
        <w:t xml:space="preserve"> submitted that the period of payment of such mainten</w:t>
      </w:r>
      <w:r w:rsidR="008204E4">
        <w:t xml:space="preserve">ance should be reduced to </w:t>
      </w:r>
      <w:r w:rsidR="007B6DA5">
        <w:t>three or four months, he did not point to anything in the evidence that indicated that Chetty J had erred in his determination of either the amount or the period of payment</w:t>
      </w:r>
      <w:r w:rsidR="00ED771B">
        <w:t>.</w:t>
      </w:r>
      <w:r w:rsidR="007B6DA5">
        <w:t xml:space="preserve">  In my view, there was no such error.</w:t>
      </w:r>
    </w:p>
    <w:p w14:paraId="5DBC4EA8" w14:textId="222F7D7B" w:rsidR="007B6DA5" w:rsidRDefault="00605C29" w:rsidP="00605C29">
      <w:pPr>
        <w:tabs>
          <w:tab w:val="left" w:pos="851"/>
        </w:tabs>
      </w:pPr>
      <w:r>
        <w:t>[29]</w:t>
      </w:r>
      <w:r>
        <w:tab/>
      </w:r>
      <w:r w:rsidR="000F6194">
        <w:t xml:space="preserve">Finally, </w:t>
      </w:r>
      <w:r w:rsidR="007B6DA5">
        <w:t xml:space="preserve">counsel for </w:t>
      </w:r>
      <w:r w:rsidR="00992C2E">
        <w:t>Dr Potgieter</w:t>
      </w:r>
      <w:r w:rsidR="007B6DA5">
        <w:t xml:space="preserve"> submitted that, even if the appeal </w:t>
      </w:r>
      <w:r w:rsidR="00C80E00">
        <w:t xml:space="preserve">on the merits </w:t>
      </w:r>
      <w:r w:rsidR="007B6DA5">
        <w:t>were to be dismissed, th</w:t>
      </w:r>
      <w:r w:rsidR="00C80E00">
        <w:t>is Court should make no cost</w:t>
      </w:r>
      <w:r w:rsidR="000D5E28">
        <w:t>s</w:t>
      </w:r>
      <w:r w:rsidR="00C80E00">
        <w:t xml:space="preserve"> order on appeal and should in addition set aside the cost orders made against </w:t>
      </w:r>
      <w:r w:rsidR="00992C2E">
        <w:t>Dr Potgieter</w:t>
      </w:r>
      <w:r w:rsidR="00C80E00">
        <w:t xml:space="preserve"> by the trial court and by the Full Court so that each party bears his or her own costs.  </w:t>
      </w:r>
      <w:r w:rsidR="00A92994">
        <w:t xml:space="preserve">In the light of, inter alia, the adverse credibility findings made by the trial court against </w:t>
      </w:r>
      <w:r w:rsidR="00992C2E">
        <w:t>Dr Potgieter</w:t>
      </w:r>
      <w:r w:rsidR="00A92994">
        <w:t xml:space="preserve">, I am of the view that there is no reason to interfere with the cost orders made by the two previous courts and that </w:t>
      </w:r>
      <w:r w:rsidR="00992C2E">
        <w:t>Dr Potgieter</w:t>
      </w:r>
      <w:r w:rsidR="00A92994">
        <w:t xml:space="preserve"> must be ordered to pay </w:t>
      </w:r>
      <w:r w:rsidR="005D1074">
        <w:t>Mrs Potgieter</w:t>
      </w:r>
      <w:r w:rsidR="00A92994">
        <w:t xml:space="preserve">’s costs in this Court.  I do not, however, believe that it was necessary for </w:t>
      </w:r>
      <w:r w:rsidR="005D1074">
        <w:t>Mrs Potgieter</w:t>
      </w:r>
      <w:r w:rsidR="00A92994">
        <w:t xml:space="preserve"> to </w:t>
      </w:r>
      <w:r w:rsidR="00A92994">
        <w:lastRenderedPageBreak/>
        <w:t xml:space="preserve">be represented by two </w:t>
      </w:r>
      <w:proofErr w:type="gramStart"/>
      <w:r w:rsidR="00A92994">
        <w:t>counsel</w:t>
      </w:r>
      <w:proofErr w:type="gramEnd"/>
      <w:r w:rsidR="00A92994">
        <w:t xml:space="preserve"> in this appeal: indeed, counsel for </w:t>
      </w:r>
      <w:r w:rsidR="005D1074">
        <w:t>Mrs Potgieter</w:t>
      </w:r>
      <w:r w:rsidR="00A92994">
        <w:t xml:space="preserve"> did not ask for the costs of two counsel. </w:t>
      </w:r>
    </w:p>
    <w:p w14:paraId="1C227DD7" w14:textId="177C9A13" w:rsidR="00154E02" w:rsidRPr="00CA6761" w:rsidRDefault="00605C29" w:rsidP="00605C29">
      <w:pPr>
        <w:tabs>
          <w:tab w:val="left" w:pos="851"/>
        </w:tabs>
      </w:pPr>
      <w:r w:rsidRPr="00CA6761">
        <w:t>[30]</w:t>
      </w:r>
      <w:r w:rsidRPr="00CA6761">
        <w:tab/>
      </w:r>
      <w:r w:rsidR="00CA6761">
        <w:t xml:space="preserve">In the circumstances, </w:t>
      </w:r>
      <w:r w:rsidR="0024650B">
        <w:t>the appeal is dismissed with costs.</w:t>
      </w:r>
    </w:p>
    <w:p w14:paraId="72426FC7" w14:textId="77777777" w:rsidR="00BF09B1" w:rsidRPr="00F44C12" w:rsidRDefault="00F44C12" w:rsidP="008204E4">
      <w:pPr>
        <w:spacing w:after="0" w:line="240" w:lineRule="auto"/>
        <w:ind w:left="5103"/>
        <w:jc w:val="left"/>
      </w:pPr>
      <w:r>
        <w:rPr>
          <w:u w:val="single"/>
        </w:rPr>
        <w:tab/>
      </w:r>
    </w:p>
    <w:p w14:paraId="79C71ADA" w14:textId="77777777" w:rsidR="00496D6E" w:rsidRDefault="00496D6E" w:rsidP="008204E4">
      <w:pPr>
        <w:spacing w:after="0" w:line="360" w:lineRule="auto"/>
        <w:ind w:left="5103"/>
        <w:jc w:val="center"/>
      </w:pPr>
      <w:r w:rsidRPr="003B5C12">
        <w:rPr>
          <w:spacing w:val="20"/>
        </w:rPr>
        <w:t>B</w:t>
      </w:r>
      <w:r w:rsidR="003B5C12" w:rsidRPr="003B5C12">
        <w:rPr>
          <w:spacing w:val="20"/>
        </w:rPr>
        <w:t xml:space="preserve"> </w:t>
      </w:r>
      <w:r w:rsidRPr="003B5C12">
        <w:rPr>
          <w:spacing w:val="20"/>
        </w:rPr>
        <w:t>J VAN HEERDEN</w:t>
      </w:r>
      <w:r w:rsidR="00C74C2A" w:rsidRPr="003B5C12">
        <w:rPr>
          <w:spacing w:val="20"/>
        </w:rPr>
        <w:br/>
      </w:r>
      <w:r w:rsidRPr="003B5C12">
        <w:t>JUDGE OF APPEAL</w:t>
      </w:r>
    </w:p>
    <w:p w14:paraId="665E1D3F" w14:textId="77777777" w:rsidR="005D49E9" w:rsidRPr="00ED5005" w:rsidRDefault="008204E4" w:rsidP="005D49E9">
      <w:pPr>
        <w:spacing w:after="120" w:line="360" w:lineRule="auto"/>
        <w:jc w:val="left"/>
        <w:rPr>
          <w:b/>
          <w:bCs/>
          <w:lang w:val="es-ES"/>
        </w:rPr>
      </w:pPr>
      <w:r w:rsidRPr="00ED5005">
        <w:rPr>
          <w:b/>
          <w:bCs/>
          <w:lang w:val="es-ES"/>
        </w:rPr>
        <w:t>CONCUR:</w:t>
      </w:r>
    </w:p>
    <w:p w14:paraId="4394E40F" w14:textId="77777777" w:rsidR="005D49E9" w:rsidRPr="00ED5005" w:rsidRDefault="005D49E9" w:rsidP="005D49E9">
      <w:pPr>
        <w:spacing w:after="120" w:line="240" w:lineRule="auto"/>
        <w:jc w:val="left"/>
        <w:rPr>
          <w:lang w:val="es-ES"/>
        </w:rPr>
      </w:pPr>
      <w:r w:rsidRPr="00ED5005">
        <w:rPr>
          <w:lang w:val="es-ES"/>
        </w:rPr>
        <w:t>FARLAM J</w:t>
      </w:r>
      <w:r w:rsidR="008204E4" w:rsidRPr="00ED5005">
        <w:rPr>
          <w:lang w:val="es-ES"/>
        </w:rPr>
        <w:t>A</w:t>
      </w:r>
    </w:p>
    <w:p w14:paraId="41FDFC0D" w14:textId="77777777" w:rsidR="005D49E9" w:rsidRPr="00ED5005" w:rsidRDefault="005D49E9" w:rsidP="005D49E9">
      <w:pPr>
        <w:spacing w:after="120" w:line="240" w:lineRule="auto"/>
        <w:jc w:val="left"/>
        <w:rPr>
          <w:lang w:val="es-ES"/>
        </w:rPr>
      </w:pPr>
      <w:r w:rsidRPr="00ED5005">
        <w:rPr>
          <w:lang w:val="es-ES"/>
        </w:rPr>
        <w:t>CAMERON J</w:t>
      </w:r>
      <w:r w:rsidR="008204E4" w:rsidRPr="00ED5005">
        <w:rPr>
          <w:lang w:val="es-ES"/>
        </w:rPr>
        <w:t>A</w:t>
      </w:r>
    </w:p>
    <w:p w14:paraId="47BB4814" w14:textId="77777777" w:rsidR="005D49E9" w:rsidRPr="00ED5005" w:rsidRDefault="005D49E9" w:rsidP="005D49E9">
      <w:pPr>
        <w:spacing w:after="120" w:line="240" w:lineRule="auto"/>
        <w:jc w:val="left"/>
        <w:rPr>
          <w:lang w:val="es-ES"/>
        </w:rPr>
      </w:pPr>
      <w:r w:rsidRPr="00ED5005">
        <w:rPr>
          <w:lang w:val="es-ES"/>
        </w:rPr>
        <w:t>HANCKE AJ</w:t>
      </w:r>
      <w:r w:rsidR="008204E4" w:rsidRPr="00ED5005">
        <w:rPr>
          <w:lang w:val="es-ES"/>
        </w:rPr>
        <w:t>A</w:t>
      </w:r>
    </w:p>
    <w:p w14:paraId="76C8FA6F" w14:textId="77777777" w:rsidR="005D49E9" w:rsidRPr="005D49E9" w:rsidRDefault="005D49E9" w:rsidP="00B139C6">
      <w:pPr>
        <w:spacing w:after="120" w:line="240" w:lineRule="auto"/>
        <w:jc w:val="left"/>
      </w:pPr>
      <w:r>
        <w:t>THERON AJ</w:t>
      </w:r>
      <w:r w:rsidR="008204E4">
        <w:t>A</w:t>
      </w:r>
    </w:p>
    <w:sectPr w:rsidR="005D49E9" w:rsidRPr="005D49E9" w:rsidSect="00F11090">
      <w:headerReference w:type="even" r:id="rId7"/>
      <w:headerReference w:type="default" r:id="rId8"/>
      <w:footerReference w:type="default" r:id="rId9"/>
      <w:headerReference w:type="first" r:id="rId10"/>
      <w:footerReference w:type="first" r:id="rId11"/>
      <w:pgSz w:w="11907" w:h="16840" w:code="9"/>
      <w:pgMar w:top="29" w:right="1701" w:bottom="1134" w:left="1701" w:header="851" w:footer="567"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9E0C" w14:textId="77777777" w:rsidR="00C235D7" w:rsidRDefault="00C235D7" w:rsidP="00605C29">
      <w:pPr>
        <w:tabs>
          <w:tab w:val="left" w:pos="851"/>
        </w:tabs>
      </w:pPr>
      <w:r>
        <w:t>[3]</w:t>
      </w:r>
      <w:r>
        <w:tab/>
      </w:r>
      <w:r>
        <w:separator/>
      </w:r>
    </w:p>
    <w:p w14:paraId="67C773B4" w14:textId="6AF23482" w:rsidR="00000000" w:rsidRDefault="00C235D7">
      <w:r>
        <w:t>[4]</w:t>
      </w:r>
      <w:r>
        <w:tab/>
      </w:r>
    </w:p>
  </w:endnote>
  <w:endnote w:type="continuationSeparator" w:id="0">
    <w:p w14:paraId="59E95118" w14:textId="77777777" w:rsidR="00C235D7" w:rsidRDefault="00C235D7" w:rsidP="00605C29">
      <w:pPr>
        <w:tabs>
          <w:tab w:val="left" w:pos="851"/>
        </w:tabs>
      </w:pPr>
      <w:r>
        <w:t>[5]</w:t>
      </w:r>
      <w:r>
        <w:tab/>
      </w:r>
      <w:r>
        <w:continuationSeparator/>
      </w:r>
    </w:p>
    <w:p w14:paraId="68D54C9F" w14:textId="66D8DDAF" w:rsidR="00000000" w:rsidRDefault="00C235D7">
      <w:r>
        <w:t>[6]</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D500" w14:textId="5CCF73C6" w:rsidR="00000000" w:rsidRDefault="00605C29" w:rsidP="00605C29">
    <w:pPr>
      <w:tabs>
        <w:tab w:val="left" w:pos="851"/>
      </w:tabs>
    </w:pPr>
    <w:r w:rsidRPr="00F1109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119" w14:textId="23610A28" w:rsidR="00000000" w:rsidRDefault="00605C29" w:rsidP="00605C29">
    <w:pPr>
      <w:tabs>
        <w:tab w:val="left" w:pos="851"/>
      </w:tabs>
    </w:pPr>
    <w:r w:rsidRPr="00F1109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328C" w14:textId="77777777" w:rsidR="00C235D7" w:rsidRDefault="00C235D7" w:rsidP="002232F5">
      <w:pPr>
        <w:spacing w:after="0" w:line="240" w:lineRule="auto"/>
      </w:pPr>
      <w:r>
        <w:separator/>
      </w:r>
    </w:p>
    <w:p w14:paraId="748DF37A" w14:textId="1239ED9E" w:rsidR="00000000" w:rsidRDefault="00C235D7">
      <w:r>
        <w:t>[1]</w:t>
      </w:r>
      <w:r>
        <w:tab/>
      </w:r>
    </w:p>
  </w:footnote>
  <w:footnote w:type="continuationSeparator" w:id="0">
    <w:p w14:paraId="463E5F58" w14:textId="77777777" w:rsidR="00C235D7" w:rsidRDefault="00C235D7" w:rsidP="00266225">
      <w:r>
        <w:continuationSeparator/>
      </w:r>
    </w:p>
    <w:p w14:paraId="535D882F" w14:textId="61DC9EDD" w:rsidR="00000000" w:rsidRDefault="00C235D7">
      <w:r>
        <w:t>[2]</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A3B3" w14:textId="72BF0981" w:rsidR="002A7C53" w:rsidRDefault="00605C29" w:rsidP="00605C29">
    <w:pPr>
      <w:pStyle w:val="Header"/>
      <w:framePr w:wrap="around" w:vAnchor="text" w:hAnchor="margin" w:xAlign="right" w:y="1"/>
      <w:tabs>
        <w:tab w:val="left" w:pos="851"/>
      </w:tabs>
      <w:rPr>
        <w:rStyle w:val="PageNumber"/>
      </w:rPr>
    </w:pPr>
    <w:r>
      <w:rPr>
        <w:rStyle w:val="PageNumber"/>
      </w:rPr>
      <w:t>[7]</w:t>
    </w:r>
    <w:r>
      <w:rPr>
        <w:rStyle w:val="PageNumber"/>
      </w:rPr>
      <w:tab/>
    </w:r>
    <w:r w:rsidR="002A7C53">
      <w:rPr>
        <w:rStyle w:val="PageNumber"/>
      </w:rPr>
      <w:fldChar w:fldCharType="begin"/>
    </w:r>
    <w:r w:rsidR="002A7C53">
      <w:rPr>
        <w:rStyle w:val="PageNumber"/>
      </w:rPr>
      <w:instrText xml:space="preserve">PAGE  </w:instrText>
    </w:r>
    <w:r w:rsidR="00F11090">
      <w:rPr>
        <w:rStyle w:val="PageNumber"/>
      </w:rPr>
      <w:fldChar w:fldCharType="separate"/>
    </w:r>
    <w:r w:rsidR="00F11090">
      <w:rPr>
        <w:rStyle w:val="PageNumber"/>
        <w:noProof/>
      </w:rPr>
      <w:t>2</w:t>
    </w:r>
    <w:r w:rsidR="002A7C53">
      <w:rPr>
        <w:rStyle w:val="PageNumber"/>
      </w:rPr>
      <w:fldChar w:fldCharType="end"/>
    </w:r>
  </w:p>
  <w:p w14:paraId="0E97DA34" w14:textId="6811C969" w:rsidR="002A7C53" w:rsidRDefault="00605C29" w:rsidP="00605C29">
    <w:pPr>
      <w:pStyle w:val="Header"/>
      <w:tabs>
        <w:tab w:val="left" w:pos="851"/>
      </w:tabs>
      <w:ind w:right="360"/>
    </w:pPr>
    <w:r>
      <w:t>[8]</w:t>
    </w:r>
    <w:r>
      <w:tab/>
    </w:r>
  </w:p>
  <w:p w14:paraId="729ABE00" w14:textId="26A020A9" w:rsidR="00000000" w:rsidRDefault="00605C29" w:rsidP="00605C29">
    <w:pPr>
      <w:tabs>
        <w:tab w:val="left" w:pos="851"/>
      </w:tabs>
    </w:pPr>
    <w:r>
      <w:t>[9]</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0049" w14:textId="77777777" w:rsidR="002A7C53" w:rsidRDefault="002A7C53" w:rsidP="002A7C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840">
      <w:rPr>
        <w:rStyle w:val="PageNumber"/>
        <w:noProof/>
      </w:rPr>
      <w:t>19</w:t>
    </w:r>
    <w:r>
      <w:rPr>
        <w:rStyle w:val="PageNumber"/>
      </w:rPr>
      <w:fldChar w:fldCharType="end"/>
    </w:r>
  </w:p>
  <w:p w14:paraId="0AB72258" w14:textId="11305F91" w:rsidR="00000000" w:rsidRDefault="00605C29" w:rsidP="00F11090">
    <w:pPr>
      <w:tabs>
        <w:tab w:val="left" w:pos="8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9720" w14:textId="4082EAEB" w:rsidR="00000000" w:rsidRDefault="00605C29" w:rsidP="00605C29">
    <w:pPr>
      <w:tabs>
        <w:tab w:val="left" w:pos="8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969"/>
    <w:multiLevelType w:val="hybridMultilevel"/>
    <w:tmpl w:val="FFFFFFFF"/>
    <w:lvl w:ilvl="0" w:tplc="1E4E0F30">
      <w:start w:val="1"/>
      <w:numFmt w:val="decimal"/>
      <w:lvlText w:val="[%1]"/>
      <w:lvlJc w:val="left"/>
      <w:pPr>
        <w:tabs>
          <w:tab w:val="num" w:pos="851"/>
        </w:tabs>
      </w:pPr>
      <w:rPr>
        <w:rFonts w:ascii="Times New Roman" w:hAnsi="Times New Roman" w:cs="Times New Roman" w:hint="default"/>
        <w:b w:val="0"/>
        <w:bCs w:val="0"/>
        <w:i w:val="0"/>
        <w:iCs w:val="0"/>
        <w:sz w:val="28"/>
        <w:szCs w:val="28"/>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51B0EAC"/>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7AE1071"/>
    <w:multiLevelType w:val="multilevel"/>
    <w:tmpl w:val="FFFFFFFF"/>
    <w:lvl w:ilvl="0">
      <w:start w:val="1"/>
      <w:numFmt w:val="decimal"/>
      <w:lvlText w:val="[%1]"/>
      <w:lvlJc w:val="left"/>
      <w:pPr>
        <w:tabs>
          <w:tab w:val="num" w:pos="851"/>
        </w:tabs>
      </w:pPr>
      <w:rPr>
        <w:rFonts w:ascii="Times New Roman" w:hAnsi="Times New Roman" w:cs="Times New Roman" w:hint="default"/>
        <w:b w:val="0"/>
        <w:bCs w:val="0"/>
        <w:i w:val="0"/>
        <w:iCs w:val="0"/>
        <w:sz w:val="26"/>
        <w:szCs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9132CA3"/>
    <w:multiLevelType w:val="multilevel"/>
    <w:tmpl w:val="FFFFFFFF"/>
    <w:lvl w:ilvl="0">
      <w:start w:val="1"/>
      <w:numFmt w:val="decimal"/>
      <w:lvlText w:val="[%1]"/>
      <w:lvlJc w:val="left"/>
      <w:pPr>
        <w:tabs>
          <w:tab w:val="num" w:pos="851"/>
        </w:tabs>
      </w:pPr>
      <w:rPr>
        <w:rFonts w:ascii="Times New Roman" w:hAnsi="Times New Roman" w:cs="Times New Roman" w:hint="default"/>
        <w:b w:val="0"/>
        <w:bCs w:val="0"/>
        <w:i w:val="0"/>
        <w:iCs w:val="0"/>
        <w:sz w:val="26"/>
        <w:szCs w:val="2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0B03B8B"/>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1F32087"/>
    <w:multiLevelType w:val="hybridMultilevel"/>
    <w:tmpl w:val="FFFFFFFF"/>
    <w:lvl w:ilvl="0" w:tplc="04090001">
      <w:start w:val="1"/>
      <w:numFmt w:val="bullet"/>
      <w:lvlText w:val=""/>
      <w:lvlJc w:val="left"/>
      <w:pPr>
        <w:tabs>
          <w:tab w:val="num" w:pos="360"/>
        </w:tabs>
        <w:ind w:left="360" w:hanging="360"/>
      </w:pPr>
      <w:rPr>
        <w:rFonts w:ascii="Symbol" w:hAnsi="Symbol" w:hint="default"/>
        <w:b w:val="0"/>
        <w:i w:val="0"/>
        <w:sz w:val="28"/>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2A86041E"/>
    <w:multiLevelType w:val="hybridMultilevel"/>
    <w:tmpl w:val="FFFFFFFF"/>
    <w:lvl w:ilvl="0" w:tplc="D37A92DA">
      <w:start w:val="1"/>
      <w:numFmt w:val="decimal"/>
      <w:lvlText w:val="%1."/>
      <w:lvlJc w:val="left"/>
      <w:pPr>
        <w:tabs>
          <w:tab w:val="num" w:pos="360"/>
        </w:tabs>
        <w:ind w:left="360" w:hanging="360"/>
      </w:pPr>
      <w:rPr>
        <w:rFonts w:cs="Times New Roman" w:hint="default"/>
        <w:b w:val="0"/>
        <w:bCs w:val="0"/>
        <w:i w:val="0"/>
        <w:iCs w:val="0"/>
        <w:sz w:val="28"/>
        <w:szCs w:val="28"/>
      </w:rPr>
    </w:lvl>
    <w:lvl w:ilvl="1" w:tplc="1C090019">
      <w:start w:val="1"/>
      <w:numFmt w:val="lowerLetter"/>
      <w:lvlText w:val="%2."/>
      <w:lvlJc w:val="left"/>
      <w:pPr>
        <w:tabs>
          <w:tab w:val="num" w:pos="1440"/>
        </w:tabs>
        <w:ind w:left="1440" w:hanging="360"/>
      </w:pPr>
      <w:rPr>
        <w:rFonts w:cs="Times New Roman"/>
      </w:rPr>
    </w:lvl>
    <w:lvl w:ilvl="2" w:tplc="1C09001B">
      <w:start w:val="1"/>
      <w:numFmt w:val="lowerRoman"/>
      <w:lvlText w:val="%3."/>
      <w:lvlJc w:val="right"/>
      <w:pPr>
        <w:tabs>
          <w:tab w:val="num" w:pos="2160"/>
        </w:tabs>
        <w:ind w:left="2160" w:hanging="18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lowerLetter"/>
      <w:lvlText w:val="%5."/>
      <w:lvlJc w:val="left"/>
      <w:pPr>
        <w:tabs>
          <w:tab w:val="num" w:pos="3600"/>
        </w:tabs>
        <w:ind w:left="3600" w:hanging="360"/>
      </w:pPr>
      <w:rPr>
        <w:rFonts w:cs="Times New Roman"/>
      </w:rPr>
    </w:lvl>
    <w:lvl w:ilvl="5" w:tplc="1C09001B">
      <w:start w:val="1"/>
      <w:numFmt w:val="lowerRoman"/>
      <w:lvlText w:val="%6."/>
      <w:lvlJc w:val="right"/>
      <w:pPr>
        <w:tabs>
          <w:tab w:val="num" w:pos="4320"/>
        </w:tabs>
        <w:ind w:left="4320" w:hanging="18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7" w15:restartNumberingAfterBreak="0">
    <w:nsid w:val="2D223DC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70375D7"/>
    <w:multiLevelType w:val="hybridMultilevel"/>
    <w:tmpl w:val="FFFFFFFF"/>
    <w:lvl w:ilvl="0" w:tplc="04090001">
      <w:start w:val="1"/>
      <w:numFmt w:val="bullet"/>
      <w:lvlText w:val=""/>
      <w:lvlJc w:val="left"/>
      <w:pPr>
        <w:tabs>
          <w:tab w:val="num" w:pos="360"/>
        </w:tabs>
        <w:ind w:left="360" w:hanging="360"/>
      </w:pPr>
      <w:rPr>
        <w:rFonts w:ascii="Symbol" w:hAnsi="Symbol" w:hint="default"/>
        <w:b w:val="0"/>
        <w:i w:val="0"/>
        <w:sz w:val="28"/>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4DAC7E32"/>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21C4DB6"/>
    <w:multiLevelType w:val="hybridMultilevel"/>
    <w:tmpl w:val="FFFFFFFF"/>
    <w:lvl w:ilvl="0" w:tplc="1C09000F">
      <w:start w:val="2"/>
      <w:numFmt w:val="decimal"/>
      <w:lvlText w:val="%1."/>
      <w:lvlJc w:val="left"/>
      <w:pPr>
        <w:tabs>
          <w:tab w:val="num" w:pos="720"/>
        </w:tabs>
        <w:ind w:left="720" w:hanging="360"/>
      </w:pPr>
      <w:rPr>
        <w:rFonts w:cs="Times New Roman" w:hint="default"/>
      </w:rPr>
    </w:lvl>
    <w:lvl w:ilvl="1" w:tplc="1C090019">
      <w:start w:val="1"/>
      <w:numFmt w:val="lowerLetter"/>
      <w:lvlText w:val="%2."/>
      <w:lvlJc w:val="left"/>
      <w:pPr>
        <w:tabs>
          <w:tab w:val="num" w:pos="1440"/>
        </w:tabs>
        <w:ind w:left="1440" w:hanging="360"/>
      </w:pPr>
      <w:rPr>
        <w:rFonts w:cs="Times New Roman"/>
      </w:rPr>
    </w:lvl>
    <w:lvl w:ilvl="2" w:tplc="1C09001B">
      <w:start w:val="1"/>
      <w:numFmt w:val="lowerRoman"/>
      <w:lvlText w:val="%3."/>
      <w:lvlJc w:val="right"/>
      <w:pPr>
        <w:tabs>
          <w:tab w:val="num" w:pos="2160"/>
        </w:tabs>
        <w:ind w:left="2160" w:hanging="18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lowerLetter"/>
      <w:lvlText w:val="%5."/>
      <w:lvlJc w:val="left"/>
      <w:pPr>
        <w:tabs>
          <w:tab w:val="num" w:pos="3600"/>
        </w:tabs>
        <w:ind w:left="3600" w:hanging="360"/>
      </w:pPr>
      <w:rPr>
        <w:rFonts w:cs="Times New Roman"/>
      </w:rPr>
    </w:lvl>
    <w:lvl w:ilvl="5" w:tplc="1C09001B">
      <w:start w:val="1"/>
      <w:numFmt w:val="lowerRoman"/>
      <w:lvlText w:val="%6."/>
      <w:lvlJc w:val="right"/>
      <w:pPr>
        <w:tabs>
          <w:tab w:val="num" w:pos="4320"/>
        </w:tabs>
        <w:ind w:left="4320" w:hanging="18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11" w15:restartNumberingAfterBreak="0">
    <w:nsid w:val="576755A2"/>
    <w:multiLevelType w:val="hybridMultilevel"/>
    <w:tmpl w:val="FFFFFFFF"/>
    <w:lvl w:ilvl="0" w:tplc="25DAA554">
      <w:start w:val="1"/>
      <w:numFmt w:val="decimal"/>
      <w:lvlText w:val="%1"/>
      <w:lvlJc w:val="left"/>
      <w:pPr>
        <w:tabs>
          <w:tab w:val="num" w:pos="1080"/>
        </w:tabs>
        <w:ind w:left="1080" w:hanging="720"/>
      </w:pPr>
      <w:rPr>
        <w:rFonts w:cs="Times New Roman" w:hint="default"/>
      </w:rPr>
    </w:lvl>
    <w:lvl w:ilvl="1" w:tplc="1C090019">
      <w:start w:val="1"/>
      <w:numFmt w:val="lowerLetter"/>
      <w:lvlText w:val="%2."/>
      <w:lvlJc w:val="left"/>
      <w:pPr>
        <w:tabs>
          <w:tab w:val="num" w:pos="1440"/>
        </w:tabs>
        <w:ind w:left="1440" w:hanging="360"/>
      </w:pPr>
      <w:rPr>
        <w:rFonts w:cs="Times New Roman"/>
      </w:rPr>
    </w:lvl>
    <w:lvl w:ilvl="2" w:tplc="1C09001B">
      <w:start w:val="1"/>
      <w:numFmt w:val="lowerRoman"/>
      <w:lvlText w:val="%3."/>
      <w:lvlJc w:val="right"/>
      <w:pPr>
        <w:tabs>
          <w:tab w:val="num" w:pos="2160"/>
        </w:tabs>
        <w:ind w:left="2160" w:hanging="18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lowerLetter"/>
      <w:lvlText w:val="%5."/>
      <w:lvlJc w:val="left"/>
      <w:pPr>
        <w:tabs>
          <w:tab w:val="num" w:pos="3600"/>
        </w:tabs>
        <w:ind w:left="3600" w:hanging="360"/>
      </w:pPr>
      <w:rPr>
        <w:rFonts w:cs="Times New Roman"/>
      </w:rPr>
    </w:lvl>
    <w:lvl w:ilvl="5" w:tplc="1C09001B">
      <w:start w:val="1"/>
      <w:numFmt w:val="lowerRoman"/>
      <w:lvlText w:val="%6."/>
      <w:lvlJc w:val="right"/>
      <w:pPr>
        <w:tabs>
          <w:tab w:val="num" w:pos="4320"/>
        </w:tabs>
        <w:ind w:left="4320" w:hanging="18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12" w15:restartNumberingAfterBreak="0">
    <w:nsid w:val="5BF63924"/>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C7A0CEA"/>
    <w:multiLevelType w:val="multilevel"/>
    <w:tmpl w:val="FFFFFFFF"/>
    <w:lvl w:ilvl="0">
      <w:start w:val="1"/>
      <w:numFmt w:val="decimal"/>
      <w:lvlText w:val="[%1]"/>
      <w:lvlJc w:val="left"/>
      <w:pPr>
        <w:tabs>
          <w:tab w:val="num" w:pos="851"/>
        </w:tabs>
      </w:pPr>
      <w:rPr>
        <w:rFonts w:ascii="Times New Roman" w:hAnsi="Times New Roman" w:cs="Times New Roman" w:hint="default"/>
        <w:b w:val="0"/>
        <w:bCs w:val="0"/>
        <w:i w:val="0"/>
        <w:iCs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AE22994"/>
    <w:multiLevelType w:val="hybridMultilevel"/>
    <w:tmpl w:val="FFFFFFFF"/>
    <w:lvl w:ilvl="0" w:tplc="A36AAE70">
      <w:start w:val="1"/>
      <w:numFmt w:val="decimal"/>
      <w:lvlText w:val="%1."/>
      <w:lvlJc w:val="left"/>
      <w:pPr>
        <w:tabs>
          <w:tab w:val="num" w:pos="360"/>
        </w:tabs>
        <w:ind w:left="360" w:hanging="360"/>
      </w:pPr>
      <w:rPr>
        <w:rFonts w:cs="Times New Roman" w:hint="default"/>
        <w:b w:val="0"/>
        <w:bCs w:val="0"/>
        <w:i w:val="0"/>
        <w:iCs w:val="0"/>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2F112E"/>
    <w:multiLevelType w:val="hybridMultilevel"/>
    <w:tmpl w:val="FFFFFFFF"/>
    <w:lvl w:ilvl="0" w:tplc="A3BE2116">
      <w:start w:val="2"/>
      <w:numFmt w:val="lowerLetter"/>
      <w:lvlText w:val="(%1)"/>
      <w:lvlJc w:val="left"/>
      <w:pPr>
        <w:tabs>
          <w:tab w:val="num" w:pos="870"/>
        </w:tabs>
        <w:ind w:left="870" w:hanging="510"/>
      </w:pPr>
      <w:rPr>
        <w:rFonts w:cs="Times New Roman" w:hint="default"/>
      </w:rPr>
    </w:lvl>
    <w:lvl w:ilvl="1" w:tplc="1C090019">
      <w:start w:val="1"/>
      <w:numFmt w:val="lowerLetter"/>
      <w:lvlText w:val="%2."/>
      <w:lvlJc w:val="left"/>
      <w:pPr>
        <w:tabs>
          <w:tab w:val="num" w:pos="1440"/>
        </w:tabs>
        <w:ind w:left="1440" w:hanging="360"/>
      </w:pPr>
      <w:rPr>
        <w:rFonts w:cs="Times New Roman"/>
      </w:rPr>
    </w:lvl>
    <w:lvl w:ilvl="2" w:tplc="1C09001B">
      <w:start w:val="1"/>
      <w:numFmt w:val="lowerRoman"/>
      <w:lvlText w:val="%3."/>
      <w:lvlJc w:val="right"/>
      <w:pPr>
        <w:tabs>
          <w:tab w:val="num" w:pos="2160"/>
        </w:tabs>
        <w:ind w:left="2160" w:hanging="18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lowerLetter"/>
      <w:lvlText w:val="%5."/>
      <w:lvlJc w:val="left"/>
      <w:pPr>
        <w:tabs>
          <w:tab w:val="num" w:pos="3600"/>
        </w:tabs>
        <w:ind w:left="3600" w:hanging="360"/>
      </w:pPr>
      <w:rPr>
        <w:rFonts w:cs="Times New Roman"/>
      </w:rPr>
    </w:lvl>
    <w:lvl w:ilvl="5" w:tplc="1C09001B">
      <w:start w:val="1"/>
      <w:numFmt w:val="lowerRoman"/>
      <w:lvlText w:val="%6."/>
      <w:lvlJc w:val="right"/>
      <w:pPr>
        <w:tabs>
          <w:tab w:val="num" w:pos="4320"/>
        </w:tabs>
        <w:ind w:left="4320" w:hanging="18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16" w15:restartNumberingAfterBreak="0">
    <w:nsid w:val="7BE27366"/>
    <w:multiLevelType w:val="multilevel"/>
    <w:tmpl w:val="FFFFFFFF"/>
    <w:lvl w:ilvl="0">
      <w:start w:val="1"/>
      <w:numFmt w:val="decimal"/>
      <w:lvlText w:val="[%1]"/>
      <w:lvlJc w:val="left"/>
      <w:pPr>
        <w:tabs>
          <w:tab w:val="num" w:pos="851"/>
        </w:tabs>
      </w:pPr>
      <w:rPr>
        <w:rFonts w:ascii="Times New Roman" w:hAnsi="Times New Roman" w:cs="Times New Roman" w:hint="default"/>
        <w:b w:val="0"/>
        <w:bCs w:val="0"/>
        <w:i w:val="0"/>
        <w:iCs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10189635">
    <w:abstractNumId w:val="11"/>
  </w:num>
  <w:num w:numId="2" w16cid:durableId="2111973715">
    <w:abstractNumId w:val="15"/>
  </w:num>
  <w:num w:numId="3" w16cid:durableId="2130002148">
    <w:abstractNumId w:val="10"/>
  </w:num>
  <w:num w:numId="4" w16cid:durableId="704335725">
    <w:abstractNumId w:val="6"/>
  </w:num>
  <w:num w:numId="5" w16cid:durableId="1052384177">
    <w:abstractNumId w:val="2"/>
  </w:num>
  <w:num w:numId="6" w16cid:durableId="88434075">
    <w:abstractNumId w:val="3"/>
  </w:num>
  <w:num w:numId="7" w16cid:durableId="657728027">
    <w:abstractNumId w:val="16"/>
  </w:num>
  <w:num w:numId="8" w16cid:durableId="607738689">
    <w:abstractNumId w:val="12"/>
  </w:num>
  <w:num w:numId="9" w16cid:durableId="666520037">
    <w:abstractNumId w:val="4"/>
  </w:num>
  <w:num w:numId="10" w16cid:durableId="658270439">
    <w:abstractNumId w:val="14"/>
  </w:num>
  <w:num w:numId="11" w16cid:durableId="1134982822">
    <w:abstractNumId w:val="1"/>
  </w:num>
  <w:num w:numId="12" w16cid:durableId="310449290">
    <w:abstractNumId w:val="7"/>
  </w:num>
  <w:num w:numId="13" w16cid:durableId="931472377">
    <w:abstractNumId w:val="9"/>
  </w:num>
  <w:num w:numId="14" w16cid:durableId="1208685825">
    <w:abstractNumId w:val="0"/>
  </w:num>
  <w:num w:numId="15" w16cid:durableId="1922134038">
    <w:abstractNumId w:val="13"/>
  </w:num>
  <w:num w:numId="16" w16cid:durableId="1076124332">
    <w:abstractNumId w:val="8"/>
  </w:num>
  <w:num w:numId="17" w16cid:durableId="1275164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80A"/>
    <w:rsid w:val="00002945"/>
    <w:rsid w:val="00021BCA"/>
    <w:rsid w:val="000226E0"/>
    <w:rsid w:val="0002429F"/>
    <w:rsid w:val="000263BF"/>
    <w:rsid w:val="00027080"/>
    <w:rsid w:val="00027699"/>
    <w:rsid w:val="000544EA"/>
    <w:rsid w:val="000549BA"/>
    <w:rsid w:val="0005521B"/>
    <w:rsid w:val="0006690D"/>
    <w:rsid w:val="00080247"/>
    <w:rsid w:val="00081D28"/>
    <w:rsid w:val="00084D42"/>
    <w:rsid w:val="00091881"/>
    <w:rsid w:val="000965ED"/>
    <w:rsid w:val="000A7322"/>
    <w:rsid w:val="000B4FCA"/>
    <w:rsid w:val="000B53A3"/>
    <w:rsid w:val="000B73EE"/>
    <w:rsid w:val="000C3AB5"/>
    <w:rsid w:val="000C6CBA"/>
    <w:rsid w:val="000D0B1A"/>
    <w:rsid w:val="000D5E28"/>
    <w:rsid w:val="000D62F4"/>
    <w:rsid w:val="000D6ADA"/>
    <w:rsid w:val="000E2E8C"/>
    <w:rsid w:val="000E781C"/>
    <w:rsid w:val="000F0119"/>
    <w:rsid w:val="000F6194"/>
    <w:rsid w:val="00101E89"/>
    <w:rsid w:val="00106B88"/>
    <w:rsid w:val="00112C81"/>
    <w:rsid w:val="00117A82"/>
    <w:rsid w:val="0013189B"/>
    <w:rsid w:val="001506E6"/>
    <w:rsid w:val="00150891"/>
    <w:rsid w:val="00153B05"/>
    <w:rsid w:val="00154E02"/>
    <w:rsid w:val="001558CD"/>
    <w:rsid w:val="00163825"/>
    <w:rsid w:val="00170CC1"/>
    <w:rsid w:val="00173AB4"/>
    <w:rsid w:val="001767FD"/>
    <w:rsid w:val="00180F2D"/>
    <w:rsid w:val="00184F4B"/>
    <w:rsid w:val="0019007A"/>
    <w:rsid w:val="0019180A"/>
    <w:rsid w:val="00193BD6"/>
    <w:rsid w:val="001A2CF1"/>
    <w:rsid w:val="001A49B4"/>
    <w:rsid w:val="001A6DAF"/>
    <w:rsid w:val="001B1571"/>
    <w:rsid w:val="001D1C8A"/>
    <w:rsid w:val="001D52D3"/>
    <w:rsid w:val="001E4EC5"/>
    <w:rsid w:val="001E5FED"/>
    <w:rsid w:val="00202E7F"/>
    <w:rsid w:val="00204C54"/>
    <w:rsid w:val="00205FB5"/>
    <w:rsid w:val="002144EA"/>
    <w:rsid w:val="002232F5"/>
    <w:rsid w:val="002316CD"/>
    <w:rsid w:val="00232D64"/>
    <w:rsid w:val="00232F7F"/>
    <w:rsid w:val="002404B8"/>
    <w:rsid w:val="0024650B"/>
    <w:rsid w:val="0024659D"/>
    <w:rsid w:val="00266225"/>
    <w:rsid w:val="00266A89"/>
    <w:rsid w:val="00271463"/>
    <w:rsid w:val="00283DB2"/>
    <w:rsid w:val="00284662"/>
    <w:rsid w:val="002924A5"/>
    <w:rsid w:val="002936D8"/>
    <w:rsid w:val="0029725C"/>
    <w:rsid w:val="002A04D4"/>
    <w:rsid w:val="002A40C4"/>
    <w:rsid w:val="002A7C53"/>
    <w:rsid w:val="002B078B"/>
    <w:rsid w:val="002E1E88"/>
    <w:rsid w:val="002E64DE"/>
    <w:rsid w:val="002F261A"/>
    <w:rsid w:val="002F2CC0"/>
    <w:rsid w:val="002F7A3E"/>
    <w:rsid w:val="00304B82"/>
    <w:rsid w:val="0030700B"/>
    <w:rsid w:val="003078ED"/>
    <w:rsid w:val="00310B19"/>
    <w:rsid w:val="00317648"/>
    <w:rsid w:val="00321FA0"/>
    <w:rsid w:val="0032342B"/>
    <w:rsid w:val="00335124"/>
    <w:rsid w:val="003459AC"/>
    <w:rsid w:val="0035132E"/>
    <w:rsid w:val="003548D2"/>
    <w:rsid w:val="003564AF"/>
    <w:rsid w:val="00357220"/>
    <w:rsid w:val="00357307"/>
    <w:rsid w:val="00363902"/>
    <w:rsid w:val="0037148E"/>
    <w:rsid w:val="00380804"/>
    <w:rsid w:val="00382D31"/>
    <w:rsid w:val="003844FE"/>
    <w:rsid w:val="00385290"/>
    <w:rsid w:val="00393C13"/>
    <w:rsid w:val="003A0419"/>
    <w:rsid w:val="003A0536"/>
    <w:rsid w:val="003A7D4F"/>
    <w:rsid w:val="003B430F"/>
    <w:rsid w:val="003B5C12"/>
    <w:rsid w:val="003B6298"/>
    <w:rsid w:val="003C2D9A"/>
    <w:rsid w:val="003C3A2C"/>
    <w:rsid w:val="003E4EBA"/>
    <w:rsid w:val="003F056D"/>
    <w:rsid w:val="004058F7"/>
    <w:rsid w:val="004134CF"/>
    <w:rsid w:val="004327D5"/>
    <w:rsid w:val="00433038"/>
    <w:rsid w:val="00436F03"/>
    <w:rsid w:val="0044304F"/>
    <w:rsid w:val="00462E08"/>
    <w:rsid w:val="00475492"/>
    <w:rsid w:val="004758C8"/>
    <w:rsid w:val="00483A6E"/>
    <w:rsid w:val="00496D6E"/>
    <w:rsid w:val="004A1FAD"/>
    <w:rsid w:val="004D03EB"/>
    <w:rsid w:val="004E06C3"/>
    <w:rsid w:val="004E7601"/>
    <w:rsid w:val="00502C81"/>
    <w:rsid w:val="005046B1"/>
    <w:rsid w:val="00510EC0"/>
    <w:rsid w:val="005129D6"/>
    <w:rsid w:val="00516DD6"/>
    <w:rsid w:val="00524351"/>
    <w:rsid w:val="0053039C"/>
    <w:rsid w:val="005436AE"/>
    <w:rsid w:val="0054444C"/>
    <w:rsid w:val="00555273"/>
    <w:rsid w:val="0057134F"/>
    <w:rsid w:val="0058147F"/>
    <w:rsid w:val="00593384"/>
    <w:rsid w:val="00597516"/>
    <w:rsid w:val="005A47CF"/>
    <w:rsid w:val="005A79A6"/>
    <w:rsid w:val="005B7F23"/>
    <w:rsid w:val="005D1074"/>
    <w:rsid w:val="005D3095"/>
    <w:rsid w:val="005D49E9"/>
    <w:rsid w:val="005D7AF8"/>
    <w:rsid w:val="005E1BE1"/>
    <w:rsid w:val="005E2F77"/>
    <w:rsid w:val="005E306B"/>
    <w:rsid w:val="005F3524"/>
    <w:rsid w:val="00600924"/>
    <w:rsid w:val="00605C29"/>
    <w:rsid w:val="006272BD"/>
    <w:rsid w:val="006435ED"/>
    <w:rsid w:val="00655076"/>
    <w:rsid w:val="00673F73"/>
    <w:rsid w:val="006812F5"/>
    <w:rsid w:val="0068163E"/>
    <w:rsid w:val="00682766"/>
    <w:rsid w:val="006903D3"/>
    <w:rsid w:val="006A040C"/>
    <w:rsid w:val="006A09B0"/>
    <w:rsid w:val="006A34AF"/>
    <w:rsid w:val="006B5E7C"/>
    <w:rsid w:val="006B648D"/>
    <w:rsid w:val="006B6EB4"/>
    <w:rsid w:val="006B7A8C"/>
    <w:rsid w:val="006D20C9"/>
    <w:rsid w:val="006D47AF"/>
    <w:rsid w:val="006E31AE"/>
    <w:rsid w:val="006E4C12"/>
    <w:rsid w:val="006E54C5"/>
    <w:rsid w:val="006E7811"/>
    <w:rsid w:val="00715430"/>
    <w:rsid w:val="00720250"/>
    <w:rsid w:val="00727003"/>
    <w:rsid w:val="00733040"/>
    <w:rsid w:val="0074382B"/>
    <w:rsid w:val="0075029B"/>
    <w:rsid w:val="00752DC1"/>
    <w:rsid w:val="00764532"/>
    <w:rsid w:val="0077124C"/>
    <w:rsid w:val="00780D06"/>
    <w:rsid w:val="00785C47"/>
    <w:rsid w:val="007867F3"/>
    <w:rsid w:val="007955BA"/>
    <w:rsid w:val="00795EAB"/>
    <w:rsid w:val="007A077D"/>
    <w:rsid w:val="007A15A8"/>
    <w:rsid w:val="007B6DA5"/>
    <w:rsid w:val="007D3060"/>
    <w:rsid w:val="007D66BD"/>
    <w:rsid w:val="007E178C"/>
    <w:rsid w:val="007F0E17"/>
    <w:rsid w:val="00801520"/>
    <w:rsid w:val="00810C2E"/>
    <w:rsid w:val="00813E12"/>
    <w:rsid w:val="008204E4"/>
    <w:rsid w:val="008228CB"/>
    <w:rsid w:val="00827311"/>
    <w:rsid w:val="00834490"/>
    <w:rsid w:val="00836185"/>
    <w:rsid w:val="00837CF7"/>
    <w:rsid w:val="00837E37"/>
    <w:rsid w:val="00843CB7"/>
    <w:rsid w:val="008475D1"/>
    <w:rsid w:val="008511BC"/>
    <w:rsid w:val="008623C4"/>
    <w:rsid w:val="00870F97"/>
    <w:rsid w:val="00880FDB"/>
    <w:rsid w:val="00882259"/>
    <w:rsid w:val="00897D65"/>
    <w:rsid w:val="008A4BAE"/>
    <w:rsid w:val="008B213C"/>
    <w:rsid w:val="008B741A"/>
    <w:rsid w:val="008C53C1"/>
    <w:rsid w:val="008D57B2"/>
    <w:rsid w:val="008E6B7D"/>
    <w:rsid w:val="008F2840"/>
    <w:rsid w:val="008F55CC"/>
    <w:rsid w:val="00906E1E"/>
    <w:rsid w:val="009103BA"/>
    <w:rsid w:val="00911EBA"/>
    <w:rsid w:val="00935823"/>
    <w:rsid w:val="009473A9"/>
    <w:rsid w:val="00956AA3"/>
    <w:rsid w:val="009641C5"/>
    <w:rsid w:val="00971C7C"/>
    <w:rsid w:val="009763A6"/>
    <w:rsid w:val="0098206F"/>
    <w:rsid w:val="0098592A"/>
    <w:rsid w:val="00992C2E"/>
    <w:rsid w:val="00994443"/>
    <w:rsid w:val="00996735"/>
    <w:rsid w:val="009A5736"/>
    <w:rsid w:val="009C529B"/>
    <w:rsid w:val="009D0FB4"/>
    <w:rsid w:val="009E2D7F"/>
    <w:rsid w:val="009F68EC"/>
    <w:rsid w:val="009F6EB0"/>
    <w:rsid w:val="00A01051"/>
    <w:rsid w:val="00A33589"/>
    <w:rsid w:val="00A340D8"/>
    <w:rsid w:val="00A42E9C"/>
    <w:rsid w:val="00A45929"/>
    <w:rsid w:val="00A50D43"/>
    <w:rsid w:val="00A52B42"/>
    <w:rsid w:val="00A61657"/>
    <w:rsid w:val="00A63ED7"/>
    <w:rsid w:val="00A70FA0"/>
    <w:rsid w:val="00A717A9"/>
    <w:rsid w:val="00A71BB2"/>
    <w:rsid w:val="00A75B67"/>
    <w:rsid w:val="00A76E72"/>
    <w:rsid w:val="00A914A9"/>
    <w:rsid w:val="00A92994"/>
    <w:rsid w:val="00A94308"/>
    <w:rsid w:val="00A95F4F"/>
    <w:rsid w:val="00AA5442"/>
    <w:rsid w:val="00AD1A05"/>
    <w:rsid w:val="00AD1E30"/>
    <w:rsid w:val="00AD37E9"/>
    <w:rsid w:val="00AD390F"/>
    <w:rsid w:val="00AE4A72"/>
    <w:rsid w:val="00AE6221"/>
    <w:rsid w:val="00AF15D5"/>
    <w:rsid w:val="00B139C6"/>
    <w:rsid w:val="00B15546"/>
    <w:rsid w:val="00B15E38"/>
    <w:rsid w:val="00B20A4A"/>
    <w:rsid w:val="00B22EC3"/>
    <w:rsid w:val="00B37827"/>
    <w:rsid w:val="00B415F6"/>
    <w:rsid w:val="00B42E9E"/>
    <w:rsid w:val="00B4518B"/>
    <w:rsid w:val="00B45210"/>
    <w:rsid w:val="00B47B17"/>
    <w:rsid w:val="00B61CF1"/>
    <w:rsid w:val="00B73980"/>
    <w:rsid w:val="00B95A7E"/>
    <w:rsid w:val="00BB264F"/>
    <w:rsid w:val="00BB2812"/>
    <w:rsid w:val="00BC0C97"/>
    <w:rsid w:val="00BD36BB"/>
    <w:rsid w:val="00BD5BEE"/>
    <w:rsid w:val="00BE45BF"/>
    <w:rsid w:val="00BF09B1"/>
    <w:rsid w:val="00C018B9"/>
    <w:rsid w:val="00C15C40"/>
    <w:rsid w:val="00C213EF"/>
    <w:rsid w:val="00C235D7"/>
    <w:rsid w:val="00C243A9"/>
    <w:rsid w:val="00C35DD5"/>
    <w:rsid w:val="00C44E7A"/>
    <w:rsid w:val="00C457E3"/>
    <w:rsid w:val="00C463E7"/>
    <w:rsid w:val="00C7359A"/>
    <w:rsid w:val="00C74135"/>
    <w:rsid w:val="00C74C2A"/>
    <w:rsid w:val="00C80E00"/>
    <w:rsid w:val="00C9159A"/>
    <w:rsid w:val="00C92AB6"/>
    <w:rsid w:val="00CA300C"/>
    <w:rsid w:val="00CA5975"/>
    <w:rsid w:val="00CA6761"/>
    <w:rsid w:val="00CB287F"/>
    <w:rsid w:val="00CC07C3"/>
    <w:rsid w:val="00CC4FF5"/>
    <w:rsid w:val="00CD3140"/>
    <w:rsid w:val="00CD70B8"/>
    <w:rsid w:val="00CE20E3"/>
    <w:rsid w:val="00CF19BD"/>
    <w:rsid w:val="00CF1D31"/>
    <w:rsid w:val="00CF240E"/>
    <w:rsid w:val="00D05B07"/>
    <w:rsid w:val="00D066E3"/>
    <w:rsid w:val="00D135CE"/>
    <w:rsid w:val="00D22703"/>
    <w:rsid w:val="00D2526A"/>
    <w:rsid w:val="00D46AAD"/>
    <w:rsid w:val="00D63B6D"/>
    <w:rsid w:val="00D907F0"/>
    <w:rsid w:val="00D9099E"/>
    <w:rsid w:val="00D93420"/>
    <w:rsid w:val="00D936B8"/>
    <w:rsid w:val="00DB4634"/>
    <w:rsid w:val="00DB7789"/>
    <w:rsid w:val="00DC6CD8"/>
    <w:rsid w:val="00DC7CE2"/>
    <w:rsid w:val="00DF4448"/>
    <w:rsid w:val="00E02EE7"/>
    <w:rsid w:val="00E10461"/>
    <w:rsid w:val="00E12883"/>
    <w:rsid w:val="00E31376"/>
    <w:rsid w:val="00E35071"/>
    <w:rsid w:val="00E378C7"/>
    <w:rsid w:val="00E456CB"/>
    <w:rsid w:val="00E471CD"/>
    <w:rsid w:val="00E53274"/>
    <w:rsid w:val="00E624D1"/>
    <w:rsid w:val="00E638A6"/>
    <w:rsid w:val="00E6510B"/>
    <w:rsid w:val="00E657D8"/>
    <w:rsid w:val="00E75B75"/>
    <w:rsid w:val="00E80408"/>
    <w:rsid w:val="00E82B70"/>
    <w:rsid w:val="00E8477B"/>
    <w:rsid w:val="00EA6CDA"/>
    <w:rsid w:val="00EB2868"/>
    <w:rsid w:val="00EC021F"/>
    <w:rsid w:val="00EC3968"/>
    <w:rsid w:val="00EC4778"/>
    <w:rsid w:val="00EC6636"/>
    <w:rsid w:val="00ED5005"/>
    <w:rsid w:val="00ED771B"/>
    <w:rsid w:val="00EE7AA2"/>
    <w:rsid w:val="00EF17CA"/>
    <w:rsid w:val="00EF623B"/>
    <w:rsid w:val="00EF6691"/>
    <w:rsid w:val="00F00055"/>
    <w:rsid w:val="00F0286D"/>
    <w:rsid w:val="00F10A12"/>
    <w:rsid w:val="00F11090"/>
    <w:rsid w:val="00F123E6"/>
    <w:rsid w:val="00F344EF"/>
    <w:rsid w:val="00F44C12"/>
    <w:rsid w:val="00F44CFB"/>
    <w:rsid w:val="00F46402"/>
    <w:rsid w:val="00F465C6"/>
    <w:rsid w:val="00F53B5E"/>
    <w:rsid w:val="00F613AF"/>
    <w:rsid w:val="00F73C9E"/>
    <w:rsid w:val="00F827F5"/>
    <w:rsid w:val="00F848F1"/>
    <w:rsid w:val="00F84DDB"/>
    <w:rsid w:val="00F90781"/>
    <w:rsid w:val="00FA06C5"/>
    <w:rsid w:val="00FA4565"/>
    <w:rsid w:val="00FA564D"/>
    <w:rsid w:val="00FB2DB4"/>
    <w:rsid w:val="00FC3877"/>
    <w:rsid w:val="00FC5828"/>
    <w:rsid w:val="00FC6690"/>
    <w:rsid w:val="00FC7F25"/>
    <w:rsid w:val="00FD0859"/>
    <w:rsid w:val="00FE4D37"/>
    <w:rsid w:val="00FE7181"/>
    <w:rsid w:val="00FF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1AE7CF5"/>
  <w14:defaultImageDpi w14:val="0"/>
  <w15:docId w15:val="{F59F17C8-5542-415A-B1C6-72CEC1BE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81"/>
    <w:pPr>
      <w:tabs>
        <w:tab w:val="right" w:pos="8505"/>
      </w:tabs>
      <w:spacing w:after="360" w:line="480" w:lineRule="auto"/>
      <w:jc w:val="both"/>
    </w:pPr>
    <w:rPr>
      <w:sz w:val="28"/>
      <w:szCs w:val="28"/>
      <w:lang w:val="en-ZA" w:eastAsia="en-ZA"/>
    </w:rPr>
  </w:style>
  <w:style w:type="paragraph" w:styleId="Heading1">
    <w:name w:val="heading 1"/>
    <w:basedOn w:val="Normal"/>
    <w:next w:val="Normal"/>
    <w:link w:val="Heading1Char"/>
    <w:uiPriority w:val="99"/>
    <w:qFormat/>
    <w:rsid w:val="00B20A4A"/>
    <w:pPr>
      <w:keepNext/>
      <w:spacing w:after="120"/>
      <w:outlineLvl w:val="0"/>
    </w:pPr>
    <w:rPr>
      <w:b/>
      <w:bCs/>
      <w:i/>
      <w:iCs/>
      <w:spacing w:val="20"/>
    </w:rPr>
  </w:style>
  <w:style w:type="paragraph" w:styleId="Heading2">
    <w:name w:val="heading 2"/>
    <w:basedOn w:val="Normal"/>
    <w:next w:val="Normal"/>
    <w:link w:val="Heading2Char"/>
    <w:uiPriority w:val="99"/>
    <w:qFormat/>
    <w:pPr>
      <w:keepNext/>
      <w:outlineLvl w:val="1"/>
    </w:pPr>
    <w:rPr>
      <w:b/>
      <w:bCs/>
    </w:rPr>
  </w:style>
  <w:style w:type="paragraph" w:styleId="Heading4">
    <w:name w:val="heading 4"/>
    <w:basedOn w:val="Normal"/>
    <w:next w:val="Normal"/>
    <w:link w:val="Heading4Char"/>
    <w:uiPriority w:val="99"/>
    <w:qFormat/>
    <w:pPr>
      <w:keepNext/>
      <w:spacing w:before="240" w:after="60"/>
      <w:outlineLvl w:val="3"/>
    </w:pPr>
    <w:rPr>
      <w:b/>
      <w:bCs/>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ZA" w:eastAsia="en-ZA"/>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ZA" w:eastAsia="en-ZA"/>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ZA" w:eastAsia="en-ZA"/>
    </w:rPr>
  </w:style>
  <w:style w:type="paragraph" w:styleId="FootnoteText">
    <w:name w:val="footnote text"/>
    <w:basedOn w:val="Normal"/>
    <w:link w:val="FootnoteTextChar"/>
    <w:uiPriority w:val="99"/>
    <w:semiHidden/>
    <w:rsid w:val="00266225"/>
    <w:pPr>
      <w:keepLines/>
      <w:spacing w:after="0" w:line="240" w:lineRule="auto"/>
    </w:pPr>
    <w:rPr>
      <w:sz w:val="20"/>
      <w:szCs w:val="20"/>
    </w:rPr>
  </w:style>
  <w:style w:type="character" w:customStyle="1" w:styleId="FootnoteTextChar">
    <w:name w:val="Footnote Text Char"/>
    <w:link w:val="FootnoteText"/>
    <w:uiPriority w:val="99"/>
    <w:semiHidden/>
    <w:locked/>
    <w:rPr>
      <w:rFonts w:cs="Times New Roman"/>
      <w:sz w:val="20"/>
      <w:szCs w:val="20"/>
      <w:lang w:val="en-ZA" w:eastAsia="en-ZA"/>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8"/>
      <w:szCs w:val="28"/>
      <w:lang w:val="en-ZA" w:eastAsia="en-ZA"/>
    </w:rPr>
  </w:style>
  <w:style w:type="character" w:styleId="PageNumber">
    <w:name w:val="page number"/>
    <w:uiPriority w:val="99"/>
    <w:rPr>
      <w:rFonts w:cs="Times New Roman"/>
    </w:rPr>
  </w:style>
  <w:style w:type="paragraph" w:styleId="BodyText">
    <w:name w:val="Body Text"/>
    <w:basedOn w:val="Normal"/>
    <w:link w:val="BodyTextChar"/>
    <w:uiPriority w:val="99"/>
  </w:style>
  <w:style w:type="character" w:customStyle="1" w:styleId="BodyTextChar">
    <w:name w:val="Body Text Char"/>
    <w:link w:val="BodyText"/>
    <w:uiPriority w:val="99"/>
    <w:semiHidden/>
    <w:locked/>
    <w:rPr>
      <w:rFonts w:cs="Times New Roman"/>
      <w:sz w:val="28"/>
      <w:szCs w:val="28"/>
      <w:lang w:val="en-ZA" w:eastAsia="en-ZA"/>
    </w:rPr>
  </w:style>
  <w:style w:type="paragraph" w:styleId="Title">
    <w:name w:val="Title"/>
    <w:basedOn w:val="Normal"/>
    <w:link w:val="TitleChar"/>
    <w:uiPriority w:val="99"/>
    <w:qFormat/>
    <w:pPr>
      <w:jc w:val="center"/>
    </w:pPr>
    <w:rPr>
      <w:b/>
      <w:bCs/>
      <w:lang w:eastAsia="en-US"/>
    </w:rPr>
  </w:style>
  <w:style w:type="character" w:customStyle="1" w:styleId="TitleChar">
    <w:name w:val="Title Char"/>
    <w:link w:val="Title"/>
    <w:uiPriority w:val="10"/>
    <w:locked/>
    <w:rPr>
      <w:rFonts w:ascii="Calibri Light" w:eastAsia="Times New Roman" w:hAnsi="Calibri Light" w:cs="Times New Roman"/>
      <w:b/>
      <w:bCs/>
      <w:kern w:val="28"/>
      <w:sz w:val="32"/>
      <w:szCs w:val="32"/>
      <w:lang w:val="en-ZA" w:eastAsia="en-ZA"/>
    </w:rPr>
  </w:style>
  <w:style w:type="paragraph" w:styleId="Subtitle">
    <w:name w:val="Subtitle"/>
    <w:basedOn w:val="Normal"/>
    <w:link w:val="SubtitleChar"/>
    <w:uiPriority w:val="99"/>
    <w:qFormat/>
    <w:pPr>
      <w:jc w:val="right"/>
    </w:pPr>
    <w:rPr>
      <w:b/>
      <w:bCs/>
      <w:lang w:eastAsia="en-US"/>
    </w:rPr>
  </w:style>
  <w:style w:type="character" w:customStyle="1" w:styleId="SubtitleChar">
    <w:name w:val="Subtitle Char"/>
    <w:link w:val="Subtitle"/>
    <w:uiPriority w:val="11"/>
    <w:locked/>
    <w:rPr>
      <w:rFonts w:ascii="Calibri Light" w:eastAsia="Times New Roman" w:hAnsi="Calibri Light" w:cs="Times New Roman"/>
      <w:sz w:val="24"/>
      <w:szCs w:val="24"/>
      <w:lang w:val="en-ZA" w:eastAsia="en-ZA"/>
    </w:rPr>
  </w:style>
  <w:style w:type="paragraph" w:styleId="EndnoteText">
    <w:name w:val="endnote text"/>
    <w:basedOn w:val="Normal"/>
    <w:link w:val="EndnoteTextChar"/>
    <w:uiPriority w:val="99"/>
    <w:semiHidden/>
    <w:rsid w:val="00882259"/>
    <w:rPr>
      <w:sz w:val="20"/>
      <w:szCs w:val="20"/>
    </w:rPr>
  </w:style>
  <w:style w:type="character" w:customStyle="1" w:styleId="EndnoteTextChar">
    <w:name w:val="Endnote Text Char"/>
    <w:link w:val="EndnoteText"/>
    <w:uiPriority w:val="99"/>
    <w:semiHidden/>
    <w:locked/>
    <w:rPr>
      <w:rFonts w:cs="Times New Roman"/>
      <w:sz w:val="20"/>
      <w:szCs w:val="20"/>
      <w:lang w:val="en-ZA" w:eastAsia="en-ZA"/>
    </w:rPr>
  </w:style>
  <w:style w:type="character" w:styleId="EndnoteReference">
    <w:name w:val="endnote reference"/>
    <w:uiPriority w:val="99"/>
    <w:semiHidden/>
    <w:rsid w:val="00882259"/>
    <w:rPr>
      <w:rFonts w:cs="Times New Roman"/>
      <w:vertAlign w:val="superscript"/>
    </w:rPr>
  </w:style>
  <w:style w:type="character" w:customStyle="1" w:styleId="Quotation">
    <w:name w:val="Quotation"/>
    <w:uiPriority w:val="99"/>
    <w:rsid w:val="000A7322"/>
    <w:rPr>
      <w:rFonts w:ascii="Times New Roman" w:hAnsi="Times New Roman" w:cs="Times New Roman"/>
      <w:sz w:val="24"/>
      <w:szCs w:val="24"/>
      <w:vertAlign w:val="baseline"/>
      <w:lang w:val="en-ZA" w:eastAsia="x-none"/>
    </w:rPr>
  </w:style>
  <w:style w:type="paragraph" w:styleId="Footer">
    <w:name w:val="footer"/>
    <w:basedOn w:val="Normal"/>
    <w:link w:val="FooterChar"/>
    <w:uiPriority w:val="99"/>
    <w:rsid w:val="00393C13"/>
    <w:pPr>
      <w:tabs>
        <w:tab w:val="clear" w:pos="8505"/>
        <w:tab w:val="center" w:pos="4153"/>
        <w:tab w:val="right" w:pos="8306"/>
      </w:tabs>
    </w:pPr>
  </w:style>
  <w:style w:type="character" w:customStyle="1" w:styleId="FooterChar">
    <w:name w:val="Footer Char"/>
    <w:link w:val="Footer"/>
    <w:uiPriority w:val="99"/>
    <w:semiHidden/>
    <w:locked/>
    <w:rPr>
      <w:rFonts w:cs="Times New Roman"/>
      <w:sz w:val="28"/>
      <w:szCs w:val="28"/>
      <w:lang w:val="en-ZA" w:eastAsia="en-ZA"/>
    </w:rPr>
  </w:style>
  <w:style w:type="paragraph" w:customStyle="1" w:styleId="StyleTitleLinespacingsingle">
    <w:name w:val="Style Title + Line spacing:  single"/>
    <w:basedOn w:val="Title"/>
    <w:uiPriority w:val="99"/>
    <w:rsid w:val="00D63B6D"/>
    <w:pPr>
      <w:spacing w:line="240" w:lineRule="auto"/>
    </w:pPr>
  </w:style>
  <w:style w:type="paragraph" w:styleId="Quote">
    <w:name w:val="Quote"/>
    <w:basedOn w:val="Normal"/>
    <w:link w:val="QuoteChar"/>
    <w:uiPriority w:val="99"/>
    <w:qFormat/>
    <w:rsid w:val="00AF15D5"/>
    <w:rPr>
      <w:sz w:val="24"/>
      <w:szCs w:val="24"/>
    </w:rPr>
  </w:style>
  <w:style w:type="character" w:customStyle="1" w:styleId="QuoteChar">
    <w:name w:val="Quote Char"/>
    <w:link w:val="Quote"/>
    <w:uiPriority w:val="29"/>
    <w:locked/>
    <w:rPr>
      <w:rFonts w:cs="Times New Roman"/>
      <w:i/>
      <w:iCs/>
      <w:color w:val="404040"/>
      <w:sz w:val="28"/>
      <w:szCs w:val="28"/>
      <w:lang w:val="en-ZA" w:eastAsia="en-ZA"/>
    </w:rPr>
  </w:style>
  <w:style w:type="paragraph" w:customStyle="1" w:styleId="StyleHeading1NotItalicAllcaps">
    <w:name w:val="Style Heading 1 + Not Italic All caps"/>
    <w:basedOn w:val="Heading1"/>
    <w:uiPriority w:val="99"/>
    <w:rsid w:val="0068163E"/>
    <w:rPr>
      <w:i w:val="0"/>
      <w:iCs w:val="0"/>
      <w:caps/>
    </w:rPr>
  </w:style>
  <w:style w:type="character" w:customStyle="1" w:styleId="StyleBoldAllcaps">
    <w:name w:val="Style Bold All caps"/>
    <w:uiPriority w:val="99"/>
    <w:rsid w:val="0068163E"/>
    <w:rPr>
      <w:rFonts w:cs="Times New Roman"/>
      <w:b/>
      <w:bCs/>
      <w:caps/>
    </w:rPr>
  </w:style>
  <w:style w:type="character" w:styleId="CommentReference">
    <w:name w:val="annotation reference"/>
    <w:uiPriority w:val="99"/>
    <w:semiHidden/>
    <w:rsid w:val="00F848F1"/>
    <w:rPr>
      <w:rFonts w:cs="Times New Roman"/>
      <w:sz w:val="16"/>
      <w:szCs w:val="16"/>
    </w:rPr>
  </w:style>
  <w:style w:type="paragraph" w:styleId="CommentText">
    <w:name w:val="annotation text"/>
    <w:basedOn w:val="Normal"/>
    <w:link w:val="CommentTextChar"/>
    <w:uiPriority w:val="99"/>
    <w:semiHidden/>
    <w:rsid w:val="00F848F1"/>
    <w:rPr>
      <w:sz w:val="20"/>
      <w:szCs w:val="20"/>
    </w:rPr>
  </w:style>
  <w:style w:type="character" w:customStyle="1" w:styleId="CommentTextChar">
    <w:name w:val="Comment Text Char"/>
    <w:link w:val="CommentText"/>
    <w:uiPriority w:val="99"/>
    <w:semiHidden/>
    <w:locked/>
    <w:rPr>
      <w:rFonts w:cs="Times New Roman"/>
      <w:sz w:val="20"/>
      <w:szCs w:val="20"/>
      <w:lang w:val="en-ZA" w:eastAsia="en-ZA"/>
    </w:rPr>
  </w:style>
  <w:style w:type="paragraph" w:styleId="CommentSubject">
    <w:name w:val="annotation subject"/>
    <w:basedOn w:val="CommentText"/>
    <w:next w:val="CommentText"/>
    <w:link w:val="CommentSubjectChar"/>
    <w:uiPriority w:val="99"/>
    <w:semiHidden/>
    <w:rsid w:val="00F848F1"/>
    <w:rPr>
      <w:b/>
      <w:bCs/>
    </w:rPr>
  </w:style>
  <w:style w:type="character" w:customStyle="1" w:styleId="CommentSubjectChar">
    <w:name w:val="Comment Subject Char"/>
    <w:link w:val="CommentSubject"/>
    <w:uiPriority w:val="99"/>
    <w:semiHidden/>
    <w:locked/>
    <w:rPr>
      <w:rFonts w:cs="Times New Roman"/>
      <w:b/>
      <w:bCs/>
      <w:sz w:val="20"/>
      <w:szCs w:val="20"/>
      <w:lang w:val="en-ZA" w:eastAsia="en-ZA"/>
    </w:rPr>
  </w:style>
  <w:style w:type="paragraph" w:styleId="BalloonText">
    <w:name w:val="Balloon Text"/>
    <w:basedOn w:val="Normal"/>
    <w:link w:val="BalloonTextChar"/>
    <w:uiPriority w:val="99"/>
    <w:semiHidden/>
    <w:rsid w:val="00F848F1"/>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en-ZA" w:eastAsia="en-ZA"/>
    </w:rPr>
  </w:style>
  <w:style w:type="paragraph" w:styleId="DocumentMap">
    <w:name w:val="Document Map"/>
    <w:basedOn w:val="Normal"/>
    <w:link w:val="DocumentMapChar"/>
    <w:uiPriority w:val="99"/>
    <w:semiHidden/>
    <w:rsid w:val="00A50D4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Segoe UI" w:hAnsi="Segoe UI" w:cs="Segoe UI"/>
      <w:sz w:val="16"/>
      <w:szCs w:val="16"/>
      <w:lang w:val="en-ZA" w:eastAsia="en-ZA"/>
    </w:rPr>
  </w:style>
  <w:style w:type="character" w:styleId="Hyperlink">
    <w:name w:val="Hyperlink"/>
    <w:uiPriority w:val="99"/>
    <w:rsid w:val="00117A82"/>
    <w:rPr>
      <w:rFonts w:cs="Times New Roman"/>
      <w:color w:val="0000FF"/>
      <w:u w:val="single"/>
    </w:rPr>
  </w:style>
  <w:style w:type="paragraph" w:customStyle="1" w:styleId="TableContents">
    <w:name w:val="Table Contents"/>
    <w:basedOn w:val="Normal"/>
    <w:uiPriority w:val="99"/>
    <w:rsid w:val="00843CB7"/>
    <w:pPr>
      <w:widowControl w:val="0"/>
      <w:suppressLineNumbers/>
      <w:tabs>
        <w:tab w:val="clear" w:pos="8505"/>
      </w:tabs>
      <w:autoSpaceDE w:val="0"/>
      <w:autoSpaceDN w:val="0"/>
      <w:adjustRightInd w:val="0"/>
      <w:spacing w:after="0"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30915">
      <w:marLeft w:val="0"/>
      <w:marRight w:val="0"/>
      <w:marTop w:val="0"/>
      <w:marBottom w:val="0"/>
      <w:divBdr>
        <w:top w:val="none" w:sz="0" w:space="0" w:color="auto"/>
        <w:left w:val="none" w:sz="0" w:space="0" w:color="auto"/>
        <w:bottom w:val="none" w:sz="0" w:space="0" w:color="auto"/>
        <w:right w:val="none" w:sz="0" w:space="0" w:color="auto"/>
      </w:divBdr>
    </w:div>
    <w:div w:id="2082630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3648</Words>
  <Characters>20798</Characters>
  <Application>Microsoft Office Word</Application>
  <DocSecurity>0</DocSecurity>
  <Lines>173</Lines>
  <Paragraphs>48</Paragraphs>
  <ScaleCrop>false</ScaleCrop>
  <Company>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c:creator>
  <cp:keywords/>
  <dc:description/>
  <cp:lastModifiedBy>Mariya Badeva Bright</cp:lastModifiedBy>
  <cp:revision>3</cp:revision>
  <cp:lastPrinted>2009-11-11T12:40:00Z</cp:lastPrinted>
  <dcterms:created xsi:type="dcterms:W3CDTF">2023-02-07T20:25:00Z</dcterms:created>
  <dcterms:modified xsi:type="dcterms:W3CDTF">2023-02-07T20:27:00Z</dcterms:modified>
</cp:coreProperties>
</file>