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3427A" w14:textId="77777777" w:rsidR="00A95A44" w:rsidRDefault="00A95A44" w:rsidP="00A95A44">
      <w:pPr>
        <w:pStyle w:val="Pa3"/>
        <w:jc w:val="center"/>
        <w:rPr>
          <w:noProof/>
          <w:lang w:val="en-GB" w:eastAsia="en-GB"/>
        </w:rPr>
      </w:pPr>
      <w:bookmarkStart w:id="0" w:name="OLE_LINK1"/>
      <w:bookmarkStart w:id="1" w:name="_Hlk83645702"/>
      <w:bookmarkStart w:id="2" w:name="_GoBack"/>
      <w:bookmarkEnd w:id="2"/>
    </w:p>
    <w:p w14:paraId="1F59FD24" w14:textId="1DAD15CA" w:rsidR="00A95A44" w:rsidRPr="00C85625" w:rsidRDefault="00A95A44" w:rsidP="00A95A44">
      <w:pPr>
        <w:pStyle w:val="Pa3"/>
        <w:jc w:val="center"/>
        <w:rPr>
          <w:rStyle w:val="A0"/>
          <w:b w:val="0"/>
          <w:bCs w:val="0"/>
        </w:rPr>
      </w:pPr>
      <w:r w:rsidRPr="00C85625">
        <w:rPr>
          <w:noProof/>
          <w:lang w:val="en-ZA" w:eastAsia="en-ZA"/>
        </w:rPr>
        <w:drawing>
          <wp:inline distT="0" distB="0" distL="0" distR="0" wp14:anchorId="30B1CE47" wp14:editId="092CFB30">
            <wp:extent cx="800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5A51181B" w14:textId="77777777" w:rsidR="00A95A44" w:rsidRPr="00C85625" w:rsidRDefault="00A95A44" w:rsidP="00A95A44">
      <w:pPr>
        <w:pStyle w:val="Pa3"/>
        <w:jc w:val="center"/>
        <w:rPr>
          <w:rStyle w:val="A0"/>
          <w:b w:val="0"/>
          <w:bCs w:val="0"/>
        </w:rPr>
      </w:pPr>
    </w:p>
    <w:p w14:paraId="7416AF54" w14:textId="77777777" w:rsidR="00A95A44" w:rsidRPr="00DF7AF1" w:rsidRDefault="00A95A44" w:rsidP="00A95A44">
      <w:pPr>
        <w:rPr>
          <w:sz w:val="24"/>
          <w:lang w:val="en-US"/>
        </w:rPr>
      </w:pPr>
    </w:p>
    <w:p w14:paraId="25511C75" w14:textId="77777777" w:rsidR="00A95A44" w:rsidRPr="00DF7AF1" w:rsidRDefault="00A95A44" w:rsidP="00A95A44">
      <w:pPr>
        <w:pStyle w:val="Pa3"/>
        <w:spacing w:line="360" w:lineRule="auto"/>
        <w:jc w:val="center"/>
        <w:rPr>
          <w:rStyle w:val="A0"/>
          <w:sz w:val="24"/>
          <w:szCs w:val="24"/>
        </w:rPr>
      </w:pPr>
      <w:r w:rsidRPr="00DF7AF1">
        <w:rPr>
          <w:rStyle w:val="A0"/>
          <w:bCs w:val="0"/>
          <w:sz w:val="24"/>
          <w:szCs w:val="24"/>
        </w:rPr>
        <w:t xml:space="preserve">THE SUPREME COURT OF APPEAL </w:t>
      </w:r>
      <w:r w:rsidRPr="00DF7AF1">
        <w:rPr>
          <w:rStyle w:val="A0"/>
          <w:sz w:val="24"/>
          <w:szCs w:val="24"/>
        </w:rPr>
        <w:t xml:space="preserve">OF SOUTH AFRICA </w:t>
      </w:r>
    </w:p>
    <w:p w14:paraId="33BD808F" w14:textId="77777777" w:rsidR="00A95A44" w:rsidRPr="00DF7AF1" w:rsidRDefault="00A95A44" w:rsidP="00A95A44">
      <w:pPr>
        <w:spacing w:line="360" w:lineRule="auto"/>
        <w:jc w:val="center"/>
        <w:rPr>
          <w:sz w:val="24"/>
        </w:rPr>
      </w:pPr>
      <w:r w:rsidRPr="00DF7AF1">
        <w:rPr>
          <w:b/>
          <w:sz w:val="24"/>
        </w:rPr>
        <w:t>JUDGMENT</w:t>
      </w:r>
    </w:p>
    <w:bookmarkEnd w:id="0"/>
    <w:p w14:paraId="07F9AF71" w14:textId="77777777" w:rsidR="00A95A44" w:rsidRDefault="00A95A44" w:rsidP="00A95A44">
      <w:pPr>
        <w:ind w:right="26"/>
        <w:jc w:val="right"/>
        <w:rPr>
          <w:bCs/>
          <w:sz w:val="24"/>
        </w:rPr>
      </w:pPr>
    </w:p>
    <w:p w14:paraId="10CC2C17" w14:textId="342FF7F2" w:rsidR="00A95A44" w:rsidRPr="001B7DA0" w:rsidRDefault="00A95A44" w:rsidP="00A95A44">
      <w:pPr>
        <w:ind w:right="26"/>
        <w:jc w:val="right"/>
        <w:rPr>
          <w:b/>
          <w:bCs/>
          <w:sz w:val="24"/>
        </w:rPr>
      </w:pPr>
      <w:r w:rsidRPr="00296DF4">
        <w:rPr>
          <w:b/>
          <w:bCs/>
          <w:sz w:val="24"/>
        </w:rPr>
        <w:t>Reportable</w:t>
      </w:r>
    </w:p>
    <w:p w14:paraId="03C41E04" w14:textId="77777777" w:rsidR="00A95A44" w:rsidRPr="001B7DA0" w:rsidRDefault="00A95A44" w:rsidP="00A95A44">
      <w:pPr>
        <w:widowControl w:val="0"/>
        <w:autoSpaceDE w:val="0"/>
        <w:autoSpaceDN w:val="0"/>
        <w:adjustRightInd w:val="0"/>
        <w:rPr>
          <w:b/>
          <w:sz w:val="24"/>
        </w:rPr>
      </w:pPr>
    </w:p>
    <w:p w14:paraId="15C020A6" w14:textId="583F2B85" w:rsidR="00A95A44" w:rsidRPr="001B7DA0" w:rsidRDefault="00A95A44" w:rsidP="00A95A44">
      <w:pPr>
        <w:ind w:right="26"/>
        <w:jc w:val="right"/>
        <w:rPr>
          <w:b/>
          <w:sz w:val="24"/>
        </w:rPr>
      </w:pPr>
      <w:r w:rsidRPr="001B7DA0">
        <w:rPr>
          <w:b/>
          <w:sz w:val="24"/>
        </w:rPr>
        <w:tab/>
        <w:t xml:space="preserve">Case No: </w:t>
      </w:r>
      <w:r w:rsidR="00241DE3">
        <w:rPr>
          <w:b/>
          <w:sz w:val="24"/>
        </w:rPr>
        <w:t>357/2021</w:t>
      </w:r>
    </w:p>
    <w:p w14:paraId="06B145B1" w14:textId="77777777" w:rsidR="00A95A44" w:rsidRPr="00C85625" w:rsidRDefault="00A95A44" w:rsidP="00A95A44">
      <w:pPr>
        <w:ind w:right="-328"/>
        <w:jc w:val="both"/>
        <w:rPr>
          <w:bCs/>
          <w:sz w:val="24"/>
        </w:rPr>
      </w:pPr>
    </w:p>
    <w:p w14:paraId="59CB526B" w14:textId="77777777" w:rsidR="00A95A44" w:rsidRPr="00C85625" w:rsidRDefault="00A95A44" w:rsidP="00A95A44">
      <w:pPr>
        <w:ind w:right="-328"/>
        <w:jc w:val="both"/>
        <w:rPr>
          <w:bCs/>
          <w:sz w:val="24"/>
        </w:rPr>
      </w:pPr>
    </w:p>
    <w:p w14:paraId="6825B8C5" w14:textId="77777777" w:rsidR="00A95A44" w:rsidRPr="00C85625" w:rsidRDefault="00A95A44" w:rsidP="00A95A44">
      <w:pPr>
        <w:ind w:right="-328"/>
        <w:jc w:val="both"/>
        <w:rPr>
          <w:bCs/>
          <w:sz w:val="24"/>
        </w:rPr>
      </w:pPr>
      <w:r w:rsidRPr="00C85625">
        <w:rPr>
          <w:bCs/>
          <w:sz w:val="24"/>
        </w:rPr>
        <w:t>In the matter between:</w:t>
      </w:r>
    </w:p>
    <w:p w14:paraId="0A2E5EF9" w14:textId="77777777" w:rsidR="00A95A44" w:rsidRPr="00C85625" w:rsidRDefault="00A95A44" w:rsidP="00A95A44">
      <w:pPr>
        <w:tabs>
          <w:tab w:val="right" w:pos="8900"/>
        </w:tabs>
        <w:ind w:right="-328"/>
        <w:jc w:val="both"/>
        <w:rPr>
          <w:bCs/>
          <w:sz w:val="24"/>
        </w:rPr>
      </w:pPr>
    </w:p>
    <w:p w14:paraId="2FFE1E2C" w14:textId="77777777" w:rsidR="00A95A44" w:rsidRPr="00C85625" w:rsidRDefault="00A95A44" w:rsidP="00A95A44">
      <w:pPr>
        <w:tabs>
          <w:tab w:val="right" w:pos="8900"/>
        </w:tabs>
        <w:ind w:right="-328"/>
        <w:jc w:val="both"/>
        <w:rPr>
          <w:bCs/>
          <w:sz w:val="24"/>
        </w:rPr>
      </w:pPr>
    </w:p>
    <w:p w14:paraId="42D83BCD" w14:textId="539345DF" w:rsidR="00A95A44" w:rsidRDefault="00241DE3" w:rsidP="00A95A44">
      <w:pPr>
        <w:tabs>
          <w:tab w:val="right" w:pos="8280"/>
        </w:tabs>
        <w:ind w:right="26"/>
        <w:jc w:val="both"/>
        <w:rPr>
          <w:b/>
          <w:sz w:val="24"/>
        </w:rPr>
      </w:pPr>
      <w:r>
        <w:rPr>
          <w:b/>
          <w:sz w:val="24"/>
        </w:rPr>
        <w:t xml:space="preserve">FRAMATOME                                                                                          </w:t>
      </w:r>
      <w:r w:rsidR="00190911">
        <w:rPr>
          <w:b/>
          <w:sz w:val="24"/>
        </w:rPr>
        <w:t xml:space="preserve">     </w:t>
      </w:r>
      <w:r w:rsidR="00A95A44" w:rsidRPr="00C85625">
        <w:rPr>
          <w:b/>
          <w:sz w:val="24"/>
        </w:rPr>
        <w:t>APPELLANT</w:t>
      </w:r>
    </w:p>
    <w:p w14:paraId="507B8375" w14:textId="77777777" w:rsidR="00241DE3" w:rsidRPr="00C85625" w:rsidRDefault="00241DE3" w:rsidP="00A95A44">
      <w:pPr>
        <w:tabs>
          <w:tab w:val="right" w:pos="8280"/>
        </w:tabs>
        <w:ind w:right="26"/>
        <w:jc w:val="both"/>
        <w:rPr>
          <w:b/>
          <w:sz w:val="24"/>
        </w:rPr>
      </w:pPr>
    </w:p>
    <w:p w14:paraId="7C7AFBB0" w14:textId="77777777" w:rsidR="00A95A44" w:rsidRPr="00C85625" w:rsidRDefault="00A95A44" w:rsidP="00A95A44">
      <w:pPr>
        <w:tabs>
          <w:tab w:val="right" w:pos="8280"/>
        </w:tabs>
        <w:ind w:right="26"/>
        <w:jc w:val="both"/>
        <w:rPr>
          <w:sz w:val="24"/>
        </w:rPr>
      </w:pPr>
    </w:p>
    <w:p w14:paraId="15169570" w14:textId="53EC66EF" w:rsidR="00A95A44" w:rsidRDefault="00190911" w:rsidP="00A95A44">
      <w:pPr>
        <w:tabs>
          <w:tab w:val="right" w:pos="8280"/>
        </w:tabs>
        <w:ind w:right="26"/>
        <w:jc w:val="both"/>
        <w:rPr>
          <w:b/>
          <w:sz w:val="24"/>
        </w:rPr>
      </w:pPr>
      <w:r>
        <w:rPr>
          <w:b/>
          <w:sz w:val="24"/>
        </w:rPr>
        <w:t>a</w:t>
      </w:r>
      <w:r w:rsidR="00A95A44" w:rsidRPr="00970C5F">
        <w:rPr>
          <w:b/>
          <w:sz w:val="24"/>
        </w:rPr>
        <w:t>nd</w:t>
      </w:r>
    </w:p>
    <w:p w14:paraId="1765DF5D" w14:textId="77777777" w:rsidR="00241DE3" w:rsidRPr="00970C5F" w:rsidRDefault="00241DE3" w:rsidP="00A95A44">
      <w:pPr>
        <w:tabs>
          <w:tab w:val="right" w:pos="8280"/>
        </w:tabs>
        <w:ind w:right="26"/>
        <w:jc w:val="both"/>
        <w:rPr>
          <w:b/>
          <w:sz w:val="24"/>
        </w:rPr>
      </w:pPr>
    </w:p>
    <w:p w14:paraId="1E6F9EF7" w14:textId="77777777" w:rsidR="00A95A44" w:rsidRPr="00C85625" w:rsidRDefault="00A95A44" w:rsidP="00A95A44">
      <w:pPr>
        <w:tabs>
          <w:tab w:val="right" w:pos="8280"/>
        </w:tabs>
        <w:ind w:right="26"/>
        <w:jc w:val="both"/>
        <w:rPr>
          <w:sz w:val="24"/>
        </w:rPr>
      </w:pPr>
    </w:p>
    <w:p w14:paraId="3B3222D4" w14:textId="6020BEFC" w:rsidR="00A95A44" w:rsidRPr="00C85625" w:rsidRDefault="00241DE3" w:rsidP="00A95A44">
      <w:pPr>
        <w:tabs>
          <w:tab w:val="right" w:pos="8280"/>
        </w:tabs>
        <w:jc w:val="both"/>
        <w:rPr>
          <w:b/>
          <w:sz w:val="24"/>
        </w:rPr>
      </w:pPr>
      <w:r>
        <w:rPr>
          <w:b/>
          <w:sz w:val="24"/>
        </w:rPr>
        <w:t xml:space="preserve">ESKOM HOLDINGS SOC LIMITED                                                         </w:t>
      </w:r>
      <w:r w:rsidR="00A95A44" w:rsidRPr="00C85625">
        <w:rPr>
          <w:b/>
          <w:sz w:val="24"/>
        </w:rPr>
        <w:tab/>
        <w:t>RESPONDENT</w:t>
      </w:r>
    </w:p>
    <w:p w14:paraId="0D6EE23B" w14:textId="77777777" w:rsidR="00A95A44" w:rsidRPr="00C85625" w:rsidRDefault="00A95A44" w:rsidP="00A95A44">
      <w:pPr>
        <w:tabs>
          <w:tab w:val="left" w:pos="-1440"/>
        </w:tabs>
        <w:ind w:left="2160" w:right="-329" w:hanging="2160"/>
        <w:jc w:val="both"/>
        <w:rPr>
          <w:bCs/>
          <w:sz w:val="24"/>
        </w:rPr>
      </w:pPr>
    </w:p>
    <w:p w14:paraId="71E9A249" w14:textId="77777777" w:rsidR="00A95A44" w:rsidRPr="00C85625" w:rsidRDefault="00A95A44" w:rsidP="00A95A44">
      <w:pPr>
        <w:tabs>
          <w:tab w:val="left" w:pos="-1440"/>
        </w:tabs>
        <w:ind w:left="2160" w:right="-329" w:hanging="2160"/>
        <w:jc w:val="both"/>
        <w:rPr>
          <w:bCs/>
          <w:sz w:val="24"/>
        </w:rPr>
      </w:pPr>
    </w:p>
    <w:p w14:paraId="2B03B4D8" w14:textId="77777777" w:rsidR="00A95A44" w:rsidRPr="00C85625" w:rsidRDefault="00A95A44" w:rsidP="00A95A44">
      <w:pPr>
        <w:tabs>
          <w:tab w:val="left" w:pos="-1440"/>
        </w:tabs>
        <w:ind w:left="2160" w:right="-329" w:hanging="2160"/>
        <w:jc w:val="both"/>
        <w:rPr>
          <w:bCs/>
          <w:sz w:val="24"/>
        </w:rPr>
      </w:pPr>
    </w:p>
    <w:p w14:paraId="483D92B7" w14:textId="5E24D7A0" w:rsidR="00A95A44" w:rsidRPr="00C85625" w:rsidRDefault="00A95A44" w:rsidP="00A95A44">
      <w:pPr>
        <w:spacing w:line="360" w:lineRule="auto"/>
        <w:ind w:left="2160" w:right="26" w:hanging="2160"/>
        <w:jc w:val="both"/>
        <w:rPr>
          <w:bCs/>
          <w:sz w:val="24"/>
        </w:rPr>
      </w:pPr>
      <w:r w:rsidRPr="00C85625">
        <w:rPr>
          <w:b/>
          <w:bCs/>
          <w:sz w:val="24"/>
        </w:rPr>
        <w:t>Neutral Citation:</w:t>
      </w:r>
      <w:r w:rsidRPr="00C85625">
        <w:rPr>
          <w:bCs/>
          <w:sz w:val="24"/>
        </w:rPr>
        <w:tab/>
      </w:r>
      <w:r w:rsidR="00241DE3">
        <w:rPr>
          <w:bCs/>
          <w:i/>
          <w:sz w:val="24"/>
        </w:rPr>
        <w:t>Framatome</w:t>
      </w:r>
      <w:r>
        <w:rPr>
          <w:bCs/>
          <w:i/>
          <w:sz w:val="24"/>
        </w:rPr>
        <w:t xml:space="preserve"> </w:t>
      </w:r>
      <w:r w:rsidRPr="00C85625">
        <w:rPr>
          <w:bCs/>
          <w:i/>
          <w:sz w:val="24"/>
        </w:rPr>
        <w:t>v</w:t>
      </w:r>
      <w:r>
        <w:rPr>
          <w:bCs/>
          <w:i/>
          <w:sz w:val="24"/>
        </w:rPr>
        <w:t xml:space="preserve"> </w:t>
      </w:r>
      <w:r w:rsidR="00241DE3">
        <w:rPr>
          <w:bCs/>
          <w:i/>
          <w:sz w:val="24"/>
        </w:rPr>
        <w:t xml:space="preserve">Eskom Holdings SOC </w:t>
      </w:r>
      <w:r>
        <w:rPr>
          <w:bCs/>
          <w:i/>
          <w:sz w:val="24"/>
        </w:rPr>
        <w:t>Ltd</w:t>
      </w:r>
      <w:r w:rsidRPr="00C85625">
        <w:rPr>
          <w:bCs/>
          <w:sz w:val="24"/>
        </w:rPr>
        <w:t xml:space="preserve"> (</w:t>
      </w:r>
      <w:r w:rsidR="004E6D69">
        <w:rPr>
          <w:bCs/>
          <w:sz w:val="24"/>
        </w:rPr>
        <w:t>357/2021</w:t>
      </w:r>
      <w:r w:rsidRPr="00C85625">
        <w:rPr>
          <w:bCs/>
          <w:sz w:val="24"/>
        </w:rPr>
        <w:t>) [20</w:t>
      </w:r>
      <w:r w:rsidR="00241DE3">
        <w:rPr>
          <w:bCs/>
          <w:sz w:val="24"/>
        </w:rPr>
        <w:t>21</w:t>
      </w:r>
      <w:r w:rsidRPr="00C85625">
        <w:rPr>
          <w:bCs/>
          <w:sz w:val="24"/>
        </w:rPr>
        <w:t xml:space="preserve">] ZASCA </w:t>
      </w:r>
      <w:r w:rsidR="000364DA">
        <w:rPr>
          <w:bCs/>
          <w:sz w:val="24"/>
        </w:rPr>
        <w:t>132</w:t>
      </w:r>
      <w:r w:rsidRPr="00C85625">
        <w:rPr>
          <w:bCs/>
          <w:sz w:val="24"/>
        </w:rPr>
        <w:t xml:space="preserve"> </w:t>
      </w:r>
      <w:r w:rsidRPr="00296DF4">
        <w:rPr>
          <w:bCs/>
          <w:sz w:val="24"/>
        </w:rPr>
        <w:t>(</w:t>
      </w:r>
      <w:r w:rsidR="00824813">
        <w:rPr>
          <w:bCs/>
          <w:sz w:val="24"/>
        </w:rPr>
        <w:t xml:space="preserve">1 </w:t>
      </w:r>
      <w:r w:rsidR="00C752B4" w:rsidRPr="00296DF4">
        <w:rPr>
          <w:bCs/>
          <w:sz w:val="24"/>
        </w:rPr>
        <w:t>October</w:t>
      </w:r>
      <w:r w:rsidRPr="00296DF4">
        <w:rPr>
          <w:bCs/>
          <w:sz w:val="24"/>
        </w:rPr>
        <w:t xml:space="preserve"> 20</w:t>
      </w:r>
      <w:r w:rsidR="00C752B4" w:rsidRPr="00296DF4">
        <w:rPr>
          <w:bCs/>
          <w:sz w:val="24"/>
        </w:rPr>
        <w:t>21</w:t>
      </w:r>
      <w:r w:rsidRPr="00296DF4">
        <w:rPr>
          <w:bCs/>
          <w:sz w:val="24"/>
        </w:rPr>
        <w:t>)</w:t>
      </w:r>
    </w:p>
    <w:p w14:paraId="7D3264EC" w14:textId="51606E0A" w:rsidR="00A95A44" w:rsidRPr="00C85625" w:rsidRDefault="00A95A44" w:rsidP="00A95A44">
      <w:pPr>
        <w:tabs>
          <w:tab w:val="left" w:pos="-1440"/>
        </w:tabs>
        <w:spacing w:before="120" w:line="360" w:lineRule="auto"/>
        <w:ind w:left="2160" w:right="28" w:hanging="2160"/>
        <w:jc w:val="both"/>
        <w:rPr>
          <w:bCs/>
          <w:sz w:val="24"/>
        </w:rPr>
      </w:pPr>
      <w:r w:rsidRPr="00C85625">
        <w:rPr>
          <w:b/>
          <w:bCs/>
          <w:sz w:val="24"/>
        </w:rPr>
        <w:t>Coram:</w:t>
      </w:r>
      <w:r w:rsidRPr="00C85625">
        <w:rPr>
          <w:bCs/>
          <w:sz w:val="24"/>
        </w:rPr>
        <w:tab/>
      </w:r>
      <w:r w:rsidR="00241DE3" w:rsidRPr="00241DE3">
        <w:rPr>
          <w:bCs/>
          <w:sz w:val="24"/>
        </w:rPr>
        <w:t>MATHOPO, MOLEMELA, MAKGOKA, MBATHA and MOTHLE JJA</w:t>
      </w:r>
    </w:p>
    <w:p w14:paraId="1156A7E6" w14:textId="1E00DEF7" w:rsidR="00A95A44" w:rsidRPr="00C85625" w:rsidRDefault="00A95A44" w:rsidP="00A95A44">
      <w:pPr>
        <w:tabs>
          <w:tab w:val="left" w:pos="-1440"/>
        </w:tabs>
        <w:spacing w:before="120" w:line="360" w:lineRule="auto"/>
        <w:ind w:left="2160" w:right="-329" w:hanging="2160"/>
        <w:jc w:val="both"/>
        <w:rPr>
          <w:bCs/>
          <w:sz w:val="24"/>
        </w:rPr>
      </w:pPr>
      <w:r w:rsidRPr="00C85625">
        <w:rPr>
          <w:b/>
          <w:bCs/>
          <w:sz w:val="24"/>
        </w:rPr>
        <w:t>Heard:</w:t>
      </w:r>
      <w:r w:rsidR="002B366E">
        <w:rPr>
          <w:bCs/>
          <w:sz w:val="24"/>
        </w:rPr>
        <w:tab/>
        <w:t xml:space="preserve">13 September </w:t>
      </w:r>
      <w:r w:rsidRPr="00C85625">
        <w:rPr>
          <w:bCs/>
          <w:sz w:val="24"/>
        </w:rPr>
        <w:t>20</w:t>
      </w:r>
      <w:r w:rsidR="00241DE3">
        <w:rPr>
          <w:bCs/>
          <w:sz w:val="24"/>
        </w:rPr>
        <w:t>21</w:t>
      </w:r>
    </w:p>
    <w:p w14:paraId="4473E744" w14:textId="19D8C1CD" w:rsidR="00A95A44" w:rsidRPr="00241DE3" w:rsidRDefault="00A95A44" w:rsidP="00A95A44">
      <w:pPr>
        <w:tabs>
          <w:tab w:val="left" w:pos="-1440"/>
        </w:tabs>
        <w:spacing w:before="120" w:line="360" w:lineRule="auto"/>
        <w:ind w:left="2127" w:right="-329" w:hanging="2160"/>
        <w:jc w:val="both"/>
        <w:rPr>
          <w:bCs/>
          <w:sz w:val="24"/>
        </w:rPr>
      </w:pPr>
      <w:r w:rsidRPr="00C85625">
        <w:rPr>
          <w:b/>
          <w:bCs/>
          <w:sz w:val="24"/>
        </w:rPr>
        <w:t xml:space="preserve">Delivered: </w:t>
      </w:r>
      <w:r w:rsidR="002B366E">
        <w:rPr>
          <w:b/>
          <w:sz w:val="24"/>
        </w:rPr>
        <w:tab/>
      </w:r>
      <w:r w:rsidR="00C36EA2" w:rsidRPr="00C36EA2">
        <w:rPr>
          <w:bCs/>
          <w:sz w:val="24"/>
        </w:rPr>
        <w:t xml:space="preserve">This judgment was handed down electronically by circulation to the parties' representatives by email, publication on the Supreme Court of Appeal website and release to SAFLII. The date and time for hand-down is deemed to be 10h00 on 1 </w:t>
      </w:r>
      <w:r w:rsidR="00C36EA2">
        <w:rPr>
          <w:bCs/>
          <w:sz w:val="24"/>
        </w:rPr>
        <w:t>October</w:t>
      </w:r>
      <w:r w:rsidR="00C36EA2" w:rsidRPr="00C36EA2">
        <w:rPr>
          <w:bCs/>
          <w:sz w:val="24"/>
        </w:rPr>
        <w:t xml:space="preserve"> 2021</w:t>
      </w:r>
      <w:r w:rsidR="00C36EA2">
        <w:rPr>
          <w:bCs/>
          <w:sz w:val="24"/>
        </w:rPr>
        <w:t>.</w:t>
      </w:r>
    </w:p>
    <w:p w14:paraId="2D7BE4D6" w14:textId="541D7485" w:rsidR="00A95A44" w:rsidRPr="00C85625" w:rsidRDefault="00A95A44" w:rsidP="00261502">
      <w:pPr>
        <w:tabs>
          <w:tab w:val="left" w:pos="2127"/>
        </w:tabs>
        <w:spacing w:before="120" w:line="360" w:lineRule="auto"/>
        <w:ind w:right="28"/>
        <w:jc w:val="both"/>
        <w:rPr>
          <w:bCs/>
          <w:sz w:val="24"/>
        </w:rPr>
      </w:pPr>
      <w:r w:rsidRPr="00C85625">
        <w:rPr>
          <w:b/>
          <w:bCs/>
          <w:sz w:val="24"/>
        </w:rPr>
        <w:lastRenderedPageBreak/>
        <w:t>Summary:</w:t>
      </w:r>
      <w:r w:rsidRPr="00C85625">
        <w:rPr>
          <w:b/>
          <w:bCs/>
          <w:sz w:val="24"/>
        </w:rPr>
        <w:tab/>
      </w:r>
      <w:r w:rsidR="00BF3814" w:rsidRPr="00261502">
        <w:rPr>
          <w:sz w:val="24"/>
        </w:rPr>
        <w:t>Construction contract</w:t>
      </w:r>
      <w:r w:rsidR="00580EF3">
        <w:rPr>
          <w:sz w:val="24"/>
        </w:rPr>
        <w:t xml:space="preserve"> </w:t>
      </w:r>
      <w:r w:rsidR="00261502" w:rsidRPr="00261502">
        <w:rPr>
          <w:sz w:val="24"/>
        </w:rPr>
        <w:t>–</w:t>
      </w:r>
      <w:r w:rsidR="00BF3814" w:rsidRPr="00261502">
        <w:rPr>
          <w:sz w:val="24"/>
        </w:rPr>
        <w:t xml:space="preserve"> contra</w:t>
      </w:r>
      <w:r w:rsidR="00261502" w:rsidRPr="00261502">
        <w:rPr>
          <w:sz w:val="24"/>
        </w:rPr>
        <w:t>ct providing for dispute resolution process</w:t>
      </w:r>
      <w:r w:rsidR="002B3696">
        <w:rPr>
          <w:sz w:val="24"/>
        </w:rPr>
        <w:t xml:space="preserve"> </w:t>
      </w:r>
      <w:r w:rsidR="002B3696" w:rsidRPr="004E47A4">
        <w:rPr>
          <w:sz w:val="24"/>
        </w:rPr>
        <w:t>through adjudication</w:t>
      </w:r>
      <w:r w:rsidR="00261502" w:rsidRPr="00261502">
        <w:rPr>
          <w:sz w:val="24"/>
        </w:rPr>
        <w:t xml:space="preserve"> – adjudicator’s award final and binding on the parties until and unless set aside on review – High Court erred in not enforcing the award.</w:t>
      </w:r>
    </w:p>
    <w:p w14:paraId="0506A403" w14:textId="6DD01BAE" w:rsidR="00A95A44" w:rsidRPr="00C85625" w:rsidRDefault="00A95A44" w:rsidP="00A95A44">
      <w:pPr>
        <w:ind w:right="-58"/>
        <w:jc w:val="both"/>
        <w:rPr>
          <w:bCs/>
          <w:sz w:val="24"/>
        </w:rPr>
      </w:pPr>
      <w:r w:rsidRPr="00C85625">
        <w:rPr>
          <w:bCs/>
          <w:sz w:val="24"/>
        </w:rPr>
        <w:t>______________________________________________________________</w:t>
      </w:r>
      <w:r w:rsidR="00DA663F">
        <w:rPr>
          <w:bCs/>
          <w:sz w:val="24"/>
        </w:rPr>
        <w:t>_______</w:t>
      </w:r>
    </w:p>
    <w:p w14:paraId="6ACEB864" w14:textId="77777777" w:rsidR="00A95A44" w:rsidRPr="00C85625" w:rsidRDefault="00A95A44" w:rsidP="00A95A44">
      <w:pPr>
        <w:ind w:left="720" w:right="26" w:hanging="720"/>
        <w:jc w:val="center"/>
        <w:rPr>
          <w:bCs/>
          <w:sz w:val="24"/>
        </w:rPr>
      </w:pPr>
    </w:p>
    <w:p w14:paraId="1784C21A" w14:textId="77777777" w:rsidR="00A95A44" w:rsidRPr="00C85625" w:rsidRDefault="00A95A44" w:rsidP="00A95A44">
      <w:pPr>
        <w:tabs>
          <w:tab w:val="right" w:pos="8197"/>
        </w:tabs>
        <w:ind w:left="720" w:right="26" w:hanging="720"/>
        <w:jc w:val="center"/>
        <w:rPr>
          <w:b/>
          <w:bCs/>
          <w:sz w:val="24"/>
        </w:rPr>
      </w:pPr>
      <w:r w:rsidRPr="00C85625">
        <w:rPr>
          <w:b/>
          <w:bCs/>
          <w:sz w:val="24"/>
        </w:rPr>
        <w:t>ORDER</w:t>
      </w:r>
    </w:p>
    <w:p w14:paraId="5B1716F7" w14:textId="5B585ED4" w:rsidR="00A95A44" w:rsidRPr="00C85625" w:rsidRDefault="00A95A44" w:rsidP="00A95A44">
      <w:pPr>
        <w:ind w:right="26"/>
        <w:jc w:val="both"/>
        <w:rPr>
          <w:bCs/>
          <w:sz w:val="24"/>
        </w:rPr>
      </w:pPr>
      <w:r w:rsidRPr="00C85625">
        <w:rPr>
          <w:bCs/>
          <w:sz w:val="24"/>
        </w:rPr>
        <w:t>______________________________________________________________</w:t>
      </w:r>
      <w:r w:rsidR="00DA663F">
        <w:rPr>
          <w:bCs/>
          <w:sz w:val="24"/>
        </w:rPr>
        <w:t>_______</w:t>
      </w:r>
    </w:p>
    <w:p w14:paraId="1FD8F26D" w14:textId="77777777" w:rsidR="00A95A44" w:rsidRPr="00C85625" w:rsidRDefault="00A95A44" w:rsidP="00A95A44">
      <w:pPr>
        <w:spacing w:line="360" w:lineRule="auto"/>
        <w:jc w:val="both"/>
        <w:rPr>
          <w:sz w:val="24"/>
        </w:rPr>
      </w:pPr>
    </w:p>
    <w:p w14:paraId="60D8FA44" w14:textId="275B66B3" w:rsidR="00A95A44" w:rsidRDefault="00A95A44" w:rsidP="00A95A44">
      <w:pPr>
        <w:spacing w:line="480" w:lineRule="auto"/>
        <w:jc w:val="both"/>
        <w:rPr>
          <w:sz w:val="24"/>
        </w:rPr>
      </w:pPr>
      <w:r w:rsidRPr="00BF5112">
        <w:rPr>
          <w:b/>
          <w:sz w:val="24"/>
        </w:rPr>
        <w:t>On appeal from</w:t>
      </w:r>
      <w:r>
        <w:rPr>
          <w:sz w:val="24"/>
        </w:rPr>
        <w:t>:</w:t>
      </w:r>
      <w:r w:rsidRPr="00C85625">
        <w:rPr>
          <w:sz w:val="24"/>
        </w:rPr>
        <w:t xml:space="preserve"> </w:t>
      </w:r>
      <w:r w:rsidR="00CF6DBF">
        <w:rPr>
          <w:sz w:val="24"/>
        </w:rPr>
        <w:t>Gauteng</w:t>
      </w:r>
      <w:r w:rsidR="00722782">
        <w:rPr>
          <w:sz w:val="24"/>
        </w:rPr>
        <w:t xml:space="preserve"> Division of the</w:t>
      </w:r>
      <w:r w:rsidR="00CF6DBF">
        <w:rPr>
          <w:sz w:val="24"/>
        </w:rPr>
        <w:t xml:space="preserve"> High</w:t>
      </w:r>
      <w:r w:rsidRPr="00C85625">
        <w:rPr>
          <w:sz w:val="24"/>
        </w:rPr>
        <w:t xml:space="preserve"> Court, Johannesburg (</w:t>
      </w:r>
      <w:r w:rsidR="002B366E">
        <w:rPr>
          <w:sz w:val="24"/>
        </w:rPr>
        <w:t>Coppin</w:t>
      </w:r>
      <w:r w:rsidRPr="00C85625">
        <w:rPr>
          <w:sz w:val="24"/>
        </w:rPr>
        <w:t xml:space="preserve"> J sitting as court of</w:t>
      </w:r>
      <w:r w:rsidR="00722782">
        <w:rPr>
          <w:sz w:val="24"/>
        </w:rPr>
        <w:t xml:space="preserve"> </w:t>
      </w:r>
      <w:r w:rsidRPr="00C85625">
        <w:rPr>
          <w:sz w:val="24"/>
        </w:rPr>
        <w:t>first</w:t>
      </w:r>
      <w:r w:rsidR="00CF6DBF">
        <w:rPr>
          <w:sz w:val="24"/>
        </w:rPr>
        <w:t xml:space="preserve"> </w:t>
      </w:r>
      <w:r w:rsidRPr="00C85625">
        <w:rPr>
          <w:sz w:val="24"/>
        </w:rPr>
        <w:t>instance</w:t>
      </w:r>
      <w:r>
        <w:rPr>
          <w:sz w:val="24"/>
        </w:rPr>
        <w:t>)</w:t>
      </w:r>
      <w:r w:rsidRPr="00C85625">
        <w:rPr>
          <w:sz w:val="24"/>
        </w:rPr>
        <w:t>:</w:t>
      </w:r>
    </w:p>
    <w:p w14:paraId="4CCEB0F1" w14:textId="23EF047C" w:rsidR="0039784D" w:rsidRDefault="0039784D" w:rsidP="0039784D">
      <w:pPr>
        <w:spacing w:after="160" w:line="360" w:lineRule="auto"/>
        <w:jc w:val="both"/>
        <w:rPr>
          <w:sz w:val="24"/>
        </w:rPr>
      </w:pPr>
      <w:r>
        <w:rPr>
          <w:sz w:val="24"/>
        </w:rPr>
        <w:t>1</w:t>
      </w:r>
      <w:r>
        <w:rPr>
          <w:sz w:val="24"/>
        </w:rPr>
        <w:tab/>
        <w:t>The appeal is upheld with costs which costs shall include the costs of two counsel.</w:t>
      </w:r>
    </w:p>
    <w:p w14:paraId="3066D9E7" w14:textId="7E3E8CCD" w:rsidR="0039784D" w:rsidRDefault="0039784D" w:rsidP="0039784D">
      <w:pPr>
        <w:spacing w:after="160" w:line="360" w:lineRule="auto"/>
        <w:jc w:val="both"/>
        <w:rPr>
          <w:sz w:val="24"/>
        </w:rPr>
      </w:pPr>
      <w:r>
        <w:rPr>
          <w:sz w:val="24"/>
        </w:rPr>
        <w:t>2</w:t>
      </w:r>
      <w:r w:rsidRPr="009B5ACB">
        <w:rPr>
          <w:sz w:val="24"/>
        </w:rPr>
        <w:t xml:space="preserve"> </w:t>
      </w:r>
      <w:r>
        <w:rPr>
          <w:sz w:val="24"/>
        </w:rPr>
        <w:t xml:space="preserve">       The order of the high court is set aside and replaced with the following: </w:t>
      </w:r>
    </w:p>
    <w:p w14:paraId="74C25047" w14:textId="7A24728A" w:rsidR="0039784D" w:rsidRDefault="0039784D" w:rsidP="0039784D">
      <w:pPr>
        <w:spacing w:after="160" w:line="360" w:lineRule="auto"/>
        <w:jc w:val="both"/>
        <w:rPr>
          <w:sz w:val="24"/>
        </w:rPr>
      </w:pPr>
      <w:r>
        <w:rPr>
          <w:sz w:val="24"/>
        </w:rPr>
        <w:t>‘1</w:t>
      </w:r>
      <w:r>
        <w:rPr>
          <w:sz w:val="24"/>
        </w:rPr>
        <w:tab/>
        <w:t>It is declared that Eskom is in breach of the New Engineering Contract 3: Engineering and Construction Contract (June 2005) with Option A concluded between Framatome and Eskom for the replacement of the Steam Generators at Koeberg Nuclear Power Station, Unit 1 and 2 (the Contract).</w:t>
      </w:r>
    </w:p>
    <w:p w14:paraId="5D8E9A12" w14:textId="77777777" w:rsidR="0039784D" w:rsidRDefault="0039784D" w:rsidP="0039784D">
      <w:pPr>
        <w:spacing w:after="160" w:line="360" w:lineRule="auto"/>
        <w:jc w:val="both"/>
        <w:rPr>
          <w:sz w:val="24"/>
        </w:rPr>
      </w:pPr>
      <w:r>
        <w:rPr>
          <w:sz w:val="24"/>
        </w:rPr>
        <w:t>2</w:t>
      </w:r>
      <w:r>
        <w:rPr>
          <w:sz w:val="24"/>
        </w:rPr>
        <w:tab/>
        <w:t>Eskom is directed to adhere and fully recognise and implement the decision delivered by the adjudicator on 23 July 2019.</w:t>
      </w:r>
    </w:p>
    <w:p w14:paraId="42B97C21" w14:textId="77777777" w:rsidR="0039784D" w:rsidRDefault="0039784D" w:rsidP="0039784D">
      <w:pPr>
        <w:spacing w:after="160" w:line="360" w:lineRule="auto"/>
        <w:jc w:val="both"/>
        <w:rPr>
          <w:sz w:val="24"/>
        </w:rPr>
      </w:pPr>
      <w:r>
        <w:rPr>
          <w:sz w:val="24"/>
        </w:rPr>
        <w:t>3</w:t>
      </w:r>
      <w:r>
        <w:rPr>
          <w:sz w:val="24"/>
        </w:rPr>
        <w:tab/>
        <w:t>It is declared that the contractual key dates 15, 16, 17, 18 and 19 relating to the replacement of the steam generators at the Koeberg Nuclear Power Station, Units 1 and 2, are:</w:t>
      </w:r>
    </w:p>
    <w:p w14:paraId="60DBE4CA" w14:textId="77777777" w:rsidR="0039784D" w:rsidRDefault="0039784D" w:rsidP="0039784D">
      <w:pPr>
        <w:spacing w:after="160" w:line="360" w:lineRule="auto"/>
        <w:jc w:val="both"/>
        <w:rPr>
          <w:sz w:val="24"/>
        </w:rPr>
      </w:pPr>
      <w:r>
        <w:rPr>
          <w:sz w:val="24"/>
        </w:rPr>
        <w:tab/>
        <w:t>3.1</w:t>
      </w:r>
      <w:r>
        <w:rPr>
          <w:sz w:val="24"/>
        </w:rPr>
        <w:tab/>
        <w:t>In respect of Koeberg Power Station, Unit 1, 11 November 2018, 18 May 2019, 26 April 2020, 16 January 2020 and 14 February 2020, respectively.</w:t>
      </w:r>
    </w:p>
    <w:p w14:paraId="6EE4FB50" w14:textId="77777777" w:rsidR="0039784D" w:rsidRDefault="0039784D" w:rsidP="0039784D">
      <w:pPr>
        <w:spacing w:after="160" w:line="360" w:lineRule="auto"/>
        <w:jc w:val="both"/>
        <w:rPr>
          <w:sz w:val="24"/>
        </w:rPr>
      </w:pPr>
      <w:r>
        <w:rPr>
          <w:sz w:val="24"/>
        </w:rPr>
        <w:tab/>
        <w:t>3.2</w:t>
      </w:r>
      <w:r>
        <w:rPr>
          <w:sz w:val="24"/>
        </w:rPr>
        <w:tab/>
      </w:r>
      <w:r w:rsidRPr="00556F0D">
        <w:rPr>
          <w:sz w:val="24"/>
        </w:rPr>
        <w:t>In respect of Koeberg Power Station, Unit</w:t>
      </w:r>
      <w:r>
        <w:rPr>
          <w:sz w:val="24"/>
        </w:rPr>
        <w:t xml:space="preserve"> 2, 19 May 2019, 23 November 2019, 1 November 2020, 23 July 2020 and 21 August 2020, respectively.</w:t>
      </w:r>
    </w:p>
    <w:p w14:paraId="618A1569" w14:textId="77777777" w:rsidR="0039784D" w:rsidRDefault="0039784D" w:rsidP="0039784D">
      <w:pPr>
        <w:spacing w:after="160" w:line="360" w:lineRule="auto"/>
        <w:jc w:val="both"/>
        <w:rPr>
          <w:sz w:val="24"/>
        </w:rPr>
      </w:pPr>
      <w:r>
        <w:rPr>
          <w:sz w:val="24"/>
        </w:rPr>
        <w:t>4</w:t>
      </w:r>
      <w:r>
        <w:rPr>
          <w:sz w:val="24"/>
        </w:rPr>
        <w:tab/>
        <w:t>It is declared that the contractual sectional completion dates for each section of the Works (as defined in the Contract) have been revised so that the sectional completion date 1 is 3 June 2020, sectional completion date 2 is 9 December 2020 and sectional completion date 3 is 22 June 2021.</w:t>
      </w:r>
    </w:p>
    <w:p w14:paraId="096445F9" w14:textId="77777777" w:rsidR="0039784D" w:rsidRDefault="0039784D" w:rsidP="0039784D">
      <w:pPr>
        <w:spacing w:after="160" w:line="360" w:lineRule="auto"/>
        <w:jc w:val="both"/>
        <w:rPr>
          <w:sz w:val="24"/>
        </w:rPr>
      </w:pPr>
      <w:r>
        <w:rPr>
          <w:sz w:val="24"/>
        </w:rPr>
        <w:lastRenderedPageBreak/>
        <w:t>5</w:t>
      </w:r>
      <w:r>
        <w:rPr>
          <w:sz w:val="24"/>
        </w:rPr>
        <w:tab/>
        <w:t>It is declared that the contractual completion date for the whole of the Works is 22 June 2021.</w:t>
      </w:r>
    </w:p>
    <w:p w14:paraId="66DD195A" w14:textId="77777777" w:rsidR="0039784D" w:rsidRDefault="0039784D" w:rsidP="0039784D">
      <w:pPr>
        <w:spacing w:after="160" w:line="360" w:lineRule="auto"/>
        <w:jc w:val="both"/>
        <w:rPr>
          <w:sz w:val="24"/>
        </w:rPr>
      </w:pPr>
      <w:r>
        <w:rPr>
          <w:sz w:val="24"/>
        </w:rPr>
        <w:t>6</w:t>
      </w:r>
      <w:r>
        <w:rPr>
          <w:sz w:val="24"/>
        </w:rPr>
        <w:tab/>
        <w:t>Eskom is ordered to pay Framatome additional costs of:</w:t>
      </w:r>
    </w:p>
    <w:p w14:paraId="4B227EDE" w14:textId="77777777" w:rsidR="0039784D" w:rsidRDefault="0039784D" w:rsidP="0039784D">
      <w:pPr>
        <w:spacing w:after="160" w:line="360" w:lineRule="auto"/>
        <w:ind w:left="1440" w:hanging="720"/>
        <w:jc w:val="both"/>
        <w:rPr>
          <w:sz w:val="24"/>
        </w:rPr>
      </w:pPr>
      <w:r>
        <w:rPr>
          <w:sz w:val="24"/>
        </w:rPr>
        <w:t xml:space="preserve"> 6.1</w:t>
      </w:r>
      <w:r>
        <w:rPr>
          <w:sz w:val="24"/>
        </w:rPr>
        <w:tab/>
        <w:t xml:space="preserve">EUR 2 706 146.00 which are subject to the price adjustment pursuant to Secondary Option Clause X1 of the Contract and pursuant to clause 51.4 of the Contract, the interest thereon calculated at the LIBOR rate being the 6 month London Interbank Offered Rate quoted under the caption “Money Rates” in The Wall Street Journal for the applicable currency or if no rate is quoted for the currency in question then the rate for United States Dollars, and if no such rate appears in The Wall Street Journal then the rate as quoted by the Reuters Monitor Money Rates Service (or such service as may replace the Reuters Monitor Money Rates Service) on the due date for the payment in question, adjusted </w:t>
      </w:r>
      <w:r>
        <w:rPr>
          <w:i/>
          <w:iCs/>
          <w:sz w:val="24"/>
        </w:rPr>
        <w:t xml:space="preserve">mutatis mutandis </w:t>
      </w:r>
      <w:r>
        <w:rPr>
          <w:sz w:val="24"/>
        </w:rPr>
        <w:t>every 6 months thereafter and as certified, in the event of any dispute, by any manager employed in the foreign exchange department of the Standard Bank of South Africa Limited, whose appointment it shall not be necessary to prove;</w:t>
      </w:r>
    </w:p>
    <w:p w14:paraId="0569D714" w14:textId="77777777" w:rsidR="0039784D" w:rsidRDefault="0039784D" w:rsidP="0039784D">
      <w:pPr>
        <w:spacing w:after="160" w:line="360" w:lineRule="auto"/>
        <w:ind w:left="1440" w:hanging="720"/>
        <w:jc w:val="both"/>
        <w:rPr>
          <w:sz w:val="24"/>
        </w:rPr>
      </w:pPr>
      <w:r>
        <w:rPr>
          <w:sz w:val="24"/>
        </w:rPr>
        <w:t>6.2</w:t>
      </w:r>
      <w:r>
        <w:rPr>
          <w:sz w:val="24"/>
        </w:rPr>
        <w:tab/>
        <w:t>EUR 2 706 146.00 which is subject to the price adjustment pursuant to Secondary Option Clause X1 of the Contract and pursuant to clause 51.4 of the Contract, interest thereon calculated at the LIBOR rate (described in paragraph 6.1.1) applicable at the time for amounts due in other currencies from 17 February 2019 to date of payment (inclusive of both dates);</w:t>
      </w:r>
    </w:p>
    <w:p w14:paraId="486CD83B" w14:textId="77777777" w:rsidR="0039784D" w:rsidRDefault="0039784D" w:rsidP="0039784D">
      <w:pPr>
        <w:spacing w:after="160" w:line="360" w:lineRule="auto"/>
        <w:ind w:left="1440" w:hanging="720"/>
        <w:jc w:val="both"/>
        <w:rPr>
          <w:sz w:val="24"/>
        </w:rPr>
      </w:pPr>
      <w:r>
        <w:rPr>
          <w:sz w:val="24"/>
        </w:rPr>
        <w:t xml:space="preserve">6.3 </w:t>
      </w:r>
      <w:r>
        <w:rPr>
          <w:sz w:val="24"/>
        </w:rPr>
        <w:tab/>
        <w:t>EUR 1 353 073.00 which is subject to the price adjustment pursuant to Secondary Option Clause X1 of the Contract and pursuant to clause 51.4 of the Contract, interest thereon calculated at the LIBOR rate (described in paragraph 6.1.1) applicable at the time for amounts due in other currencies from 24 September 2019 to date of payment (inclusive of both dates);</w:t>
      </w:r>
    </w:p>
    <w:p w14:paraId="12B03198" w14:textId="77777777" w:rsidR="0039784D" w:rsidRDefault="0039784D" w:rsidP="0039784D">
      <w:pPr>
        <w:spacing w:after="160" w:line="360" w:lineRule="auto"/>
        <w:ind w:left="1440" w:hanging="720"/>
        <w:jc w:val="both"/>
        <w:rPr>
          <w:sz w:val="24"/>
        </w:rPr>
      </w:pPr>
      <w:r>
        <w:rPr>
          <w:sz w:val="24"/>
        </w:rPr>
        <w:t xml:space="preserve">6.4 </w:t>
      </w:r>
      <w:r>
        <w:rPr>
          <w:sz w:val="24"/>
        </w:rPr>
        <w:tab/>
      </w:r>
      <w:r w:rsidRPr="00D63C7E">
        <w:rPr>
          <w:sz w:val="24"/>
        </w:rPr>
        <w:t>R</w:t>
      </w:r>
      <w:r>
        <w:rPr>
          <w:sz w:val="24"/>
        </w:rPr>
        <w:t xml:space="preserve"> 36 595 611.00 which is subject to the price adjustment pursuant to Secondary Option Clause X1 of the Contract and pursuant to clause 51.4 of the Contract, interest thereon calculated at a rate of zero percent above </w:t>
      </w:r>
      <w:r>
        <w:rPr>
          <w:sz w:val="24"/>
        </w:rPr>
        <w:lastRenderedPageBreak/>
        <w:t>publicly quoted prime rate of interest (calculated on a 365 day year) charged from time to time by Standard Bank of South Africa (as certified, in the event of any dispute, by any manager of such bank, whose appointment it shall not be necessary to prove) from 12 August 2018 to date of payment (inclusive of both dates);</w:t>
      </w:r>
    </w:p>
    <w:p w14:paraId="0C6B45C0" w14:textId="77777777" w:rsidR="0039784D" w:rsidRDefault="0039784D" w:rsidP="0039784D">
      <w:pPr>
        <w:spacing w:after="160" w:line="360" w:lineRule="auto"/>
        <w:ind w:left="1440" w:hanging="720"/>
        <w:jc w:val="both"/>
        <w:rPr>
          <w:sz w:val="24"/>
        </w:rPr>
      </w:pPr>
      <w:r>
        <w:rPr>
          <w:sz w:val="24"/>
        </w:rPr>
        <w:t>6.5</w:t>
      </w:r>
      <w:r>
        <w:rPr>
          <w:sz w:val="24"/>
        </w:rPr>
        <w:tab/>
        <w:t xml:space="preserve"> </w:t>
      </w:r>
      <w:r w:rsidRPr="00D63C7E">
        <w:rPr>
          <w:sz w:val="24"/>
        </w:rPr>
        <w:t>R</w:t>
      </w:r>
      <w:r>
        <w:rPr>
          <w:sz w:val="24"/>
        </w:rPr>
        <w:t xml:space="preserve"> 36 595 611.00 which is subject to the price adjustment pursuant to Secondary Option Clause X1 of the Contract and pursuant to clause 51.4 of the Contract, interest thereon calculated at a rate of zero percent above the publicly quoted prime rate interest (as described in paragraph 6.1.5) applicable at the time for amounts due in other currencies from 17 February 2019 to date of payment (inclusive of both dates);</w:t>
      </w:r>
    </w:p>
    <w:p w14:paraId="0A5F8CB4" w14:textId="77777777" w:rsidR="0039784D" w:rsidRDefault="0039784D" w:rsidP="0039784D">
      <w:pPr>
        <w:spacing w:after="160" w:line="360" w:lineRule="auto"/>
        <w:ind w:left="1440" w:hanging="720"/>
        <w:jc w:val="both"/>
        <w:rPr>
          <w:sz w:val="24"/>
        </w:rPr>
      </w:pPr>
      <w:r>
        <w:rPr>
          <w:sz w:val="24"/>
        </w:rPr>
        <w:t xml:space="preserve">6.6 </w:t>
      </w:r>
      <w:r>
        <w:rPr>
          <w:sz w:val="24"/>
        </w:rPr>
        <w:tab/>
      </w:r>
      <w:r w:rsidRPr="00D63C7E">
        <w:rPr>
          <w:sz w:val="24"/>
        </w:rPr>
        <w:t>R</w:t>
      </w:r>
      <w:r>
        <w:rPr>
          <w:sz w:val="24"/>
        </w:rPr>
        <w:t xml:space="preserve"> 18 297 805.00 which is subject to the price adjustment pursuant to Secondary Option Clause X1 of the Contract and pursuant to clause 51.4 of the Contract, interest thereon calculated at a rate of zero percent above the publicly quoted prime rate interest (as described in paragraph 6.1.5) applicable at the time for amounts due in other currencies from 24 September 2019 to date of payment (inclusive of both dates) within 10 days from the date of this order;</w:t>
      </w:r>
    </w:p>
    <w:p w14:paraId="0EA5807A" w14:textId="77777777" w:rsidR="0039784D" w:rsidRDefault="0039784D" w:rsidP="0039784D">
      <w:pPr>
        <w:spacing w:after="160" w:line="360" w:lineRule="auto"/>
        <w:jc w:val="both"/>
        <w:rPr>
          <w:sz w:val="24"/>
        </w:rPr>
      </w:pPr>
      <w:r>
        <w:rPr>
          <w:sz w:val="24"/>
        </w:rPr>
        <w:t>7</w:t>
      </w:r>
      <w:r w:rsidRPr="00D63C7E">
        <w:rPr>
          <w:sz w:val="24"/>
        </w:rPr>
        <w:tab/>
        <w:t>The respondent is ordered to pay the costs, such costs to include the costs of two counsel.</w:t>
      </w:r>
      <w:r>
        <w:rPr>
          <w:sz w:val="24"/>
        </w:rPr>
        <w:t xml:space="preserve">’ </w:t>
      </w:r>
    </w:p>
    <w:p w14:paraId="01233D0D" w14:textId="17D933D6" w:rsidR="007F410B" w:rsidRDefault="007F410B" w:rsidP="00F55419">
      <w:pPr>
        <w:spacing w:after="160" w:line="360" w:lineRule="auto"/>
        <w:jc w:val="both"/>
        <w:rPr>
          <w:sz w:val="24"/>
        </w:rPr>
      </w:pPr>
    </w:p>
    <w:p w14:paraId="02A648DA" w14:textId="404577D6" w:rsidR="0039784D" w:rsidRDefault="0039784D" w:rsidP="00F55419">
      <w:pPr>
        <w:spacing w:after="160" w:line="360" w:lineRule="auto"/>
        <w:jc w:val="both"/>
        <w:rPr>
          <w:sz w:val="24"/>
        </w:rPr>
      </w:pPr>
    </w:p>
    <w:p w14:paraId="44131FC4" w14:textId="77777777" w:rsidR="0039784D" w:rsidRDefault="0039784D" w:rsidP="00F55419">
      <w:pPr>
        <w:spacing w:after="160" w:line="360" w:lineRule="auto"/>
        <w:jc w:val="both"/>
        <w:rPr>
          <w:sz w:val="24"/>
        </w:rPr>
      </w:pPr>
    </w:p>
    <w:p w14:paraId="16C55980" w14:textId="2C07401E" w:rsidR="00F55419" w:rsidRDefault="00F55419" w:rsidP="00F55419">
      <w:pPr>
        <w:spacing w:after="160" w:line="360" w:lineRule="auto"/>
        <w:jc w:val="both"/>
        <w:rPr>
          <w:sz w:val="24"/>
        </w:rPr>
      </w:pPr>
    </w:p>
    <w:p w14:paraId="2D3396B7" w14:textId="2F29BFD3" w:rsidR="00F55419" w:rsidRDefault="00F55419" w:rsidP="00F55419">
      <w:pPr>
        <w:spacing w:after="160" w:line="360" w:lineRule="auto"/>
        <w:jc w:val="both"/>
        <w:rPr>
          <w:sz w:val="24"/>
        </w:rPr>
      </w:pPr>
    </w:p>
    <w:p w14:paraId="6FB0D738" w14:textId="6E3D69D0" w:rsidR="00F55419" w:rsidRDefault="00F55419" w:rsidP="00F55419">
      <w:pPr>
        <w:spacing w:after="160" w:line="360" w:lineRule="auto"/>
        <w:jc w:val="both"/>
        <w:rPr>
          <w:sz w:val="24"/>
        </w:rPr>
      </w:pPr>
    </w:p>
    <w:p w14:paraId="020974C1" w14:textId="77777777" w:rsidR="007F410B" w:rsidRDefault="007F410B" w:rsidP="007F410B">
      <w:pPr>
        <w:spacing w:after="160" w:line="360" w:lineRule="auto"/>
        <w:jc w:val="both"/>
        <w:rPr>
          <w:sz w:val="24"/>
        </w:rPr>
      </w:pPr>
    </w:p>
    <w:p w14:paraId="2035234C" w14:textId="16BBA271" w:rsidR="00A95A44" w:rsidRPr="00C85625" w:rsidRDefault="00A95A44" w:rsidP="00A95A44">
      <w:pPr>
        <w:jc w:val="both"/>
        <w:rPr>
          <w:bCs/>
          <w:sz w:val="24"/>
        </w:rPr>
      </w:pPr>
      <w:r w:rsidRPr="00C85625">
        <w:rPr>
          <w:bCs/>
          <w:sz w:val="24"/>
        </w:rPr>
        <w:lastRenderedPageBreak/>
        <w:t>______________________________________________________________</w:t>
      </w:r>
      <w:r w:rsidR="00DA663F">
        <w:rPr>
          <w:bCs/>
          <w:sz w:val="24"/>
        </w:rPr>
        <w:t>_______</w:t>
      </w:r>
    </w:p>
    <w:p w14:paraId="3197E683" w14:textId="77777777" w:rsidR="00A95A44" w:rsidRPr="00C85625" w:rsidRDefault="00A95A44" w:rsidP="00A95A44">
      <w:pPr>
        <w:tabs>
          <w:tab w:val="right" w:pos="8197"/>
        </w:tabs>
        <w:ind w:left="720" w:right="26" w:hanging="720"/>
        <w:jc w:val="center"/>
        <w:rPr>
          <w:bCs/>
          <w:sz w:val="24"/>
        </w:rPr>
      </w:pPr>
    </w:p>
    <w:p w14:paraId="2B730981" w14:textId="77777777" w:rsidR="00A95A44" w:rsidRPr="00C85625" w:rsidRDefault="00A95A44" w:rsidP="00A95A44">
      <w:pPr>
        <w:tabs>
          <w:tab w:val="right" w:pos="8197"/>
        </w:tabs>
        <w:ind w:left="720" w:right="26" w:hanging="720"/>
        <w:jc w:val="center"/>
        <w:rPr>
          <w:b/>
          <w:bCs/>
          <w:sz w:val="24"/>
        </w:rPr>
      </w:pPr>
      <w:r w:rsidRPr="00C85625">
        <w:rPr>
          <w:b/>
          <w:bCs/>
          <w:sz w:val="24"/>
        </w:rPr>
        <w:t>JUDGMENT</w:t>
      </w:r>
    </w:p>
    <w:p w14:paraId="77407280" w14:textId="713EF14A" w:rsidR="00A95A44" w:rsidRPr="00C85625" w:rsidRDefault="00A95A44" w:rsidP="00A95A44">
      <w:pPr>
        <w:ind w:right="26"/>
        <w:jc w:val="both"/>
        <w:rPr>
          <w:bCs/>
          <w:sz w:val="24"/>
        </w:rPr>
      </w:pPr>
      <w:r w:rsidRPr="00C85625">
        <w:rPr>
          <w:bCs/>
          <w:sz w:val="24"/>
        </w:rPr>
        <w:t>______________________________________________________________</w:t>
      </w:r>
      <w:r w:rsidR="00DA663F">
        <w:rPr>
          <w:bCs/>
          <w:sz w:val="24"/>
        </w:rPr>
        <w:t>_______</w:t>
      </w:r>
    </w:p>
    <w:p w14:paraId="7E759421" w14:textId="77777777" w:rsidR="00A95A44" w:rsidRPr="00C85625" w:rsidRDefault="00A95A44" w:rsidP="00A95A44">
      <w:pPr>
        <w:tabs>
          <w:tab w:val="left" w:pos="-1440"/>
        </w:tabs>
        <w:spacing w:line="360" w:lineRule="auto"/>
        <w:ind w:right="-329"/>
        <w:jc w:val="both"/>
        <w:rPr>
          <w:sz w:val="24"/>
        </w:rPr>
      </w:pPr>
    </w:p>
    <w:p w14:paraId="1E0383D5" w14:textId="287A9F6F" w:rsidR="00F55B2C" w:rsidRDefault="00A95A44" w:rsidP="00A95A44">
      <w:pPr>
        <w:tabs>
          <w:tab w:val="left" w:pos="-1440"/>
        </w:tabs>
        <w:spacing w:line="360" w:lineRule="auto"/>
        <w:ind w:right="26"/>
        <w:jc w:val="both"/>
        <w:rPr>
          <w:b/>
          <w:sz w:val="24"/>
        </w:rPr>
      </w:pPr>
      <w:r w:rsidRPr="00AE1CDC">
        <w:rPr>
          <w:b/>
          <w:sz w:val="24"/>
        </w:rPr>
        <w:t xml:space="preserve">Mathopo JA </w:t>
      </w:r>
      <w:r>
        <w:rPr>
          <w:b/>
          <w:sz w:val="24"/>
        </w:rPr>
        <w:t>(</w:t>
      </w:r>
      <w:r w:rsidR="00857F8A">
        <w:rPr>
          <w:b/>
          <w:sz w:val="24"/>
        </w:rPr>
        <w:t>Molemela, Makgoka, Mbatha and Mothle JJA</w:t>
      </w:r>
      <w:r w:rsidRPr="00AE1CDC">
        <w:rPr>
          <w:b/>
          <w:sz w:val="24"/>
        </w:rPr>
        <w:t xml:space="preserve"> concurring):</w:t>
      </w:r>
    </w:p>
    <w:p w14:paraId="034332A7" w14:textId="77777777" w:rsidR="007518B9" w:rsidRPr="00A95A44" w:rsidRDefault="007518B9" w:rsidP="00A95A44">
      <w:pPr>
        <w:tabs>
          <w:tab w:val="left" w:pos="-1440"/>
        </w:tabs>
        <w:spacing w:line="360" w:lineRule="auto"/>
        <w:ind w:right="26"/>
        <w:jc w:val="both"/>
        <w:rPr>
          <w:b/>
          <w:sz w:val="24"/>
        </w:rPr>
      </w:pPr>
    </w:p>
    <w:p w14:paraId="34F9AFD0" w14:textId="3E21446B" w:rsidR="00522308" w:rsidRDefault="00522308" w:rsidP="00522308">
      <w:pPr>
        <w:spacing w:line="360" w:lineRule="auto"/>
        <w:jc w:val="both"/>
        <w:rPr>
          <w:sz w:val="24"/>
        </w:rPr>
      </w:pPr>
      <w:r>
        <w:rPr>
          <w:sz w:val="24"/>
        </w:rPr>
        <w:t>[1]</w:t>
      </w:r>
      <w:r>
        <w:rPr>
          <w:sz w:val="24"/>
        </w:rPr>
        <w:tab/>
        <w:t>This appeal raises two questions</w:t>
      </w:r>
      <w:r w:rsidRPr="007F3099">
        <w:rPr>
          <w:sz w:val="24"/>
        </w:rPr>
        <w:t>:</w:t>
      </w:r>
      <w:r w:rsidR="007F3099">
        <w:rPr>
          <w:sz w:val="24"/>
        </w:rPr>
        <w:t xml:space="preserve"> </w:t>
      </w:r>
      <w:r w:rsidR="00ED3FF6" w:rsidRPr="007F3099">
        <w:rPr>
          <w:sz w:val="24"/>
        </w:rPr>
        <w:t>firs</w:t>
      </w:r>
      <w:r w:rsidR="007F3099" w:rsidRPr="007F3099">
        <w:rPr>
          <w:sz w:val="24"/>
        </w:rPr>
        <w:t>t,</w:t>
      </w:r>
      <w:r>
        <w:rPr>
          <w:sz w:val="24"/>
        </w:rPr>
        <w:t xml:space="preserve"> whether the decision</w:t>
      </w:r>
      <w:r w:rsidR="0009115D">
        <w:rPr>
          <w:sz w:val="24"/>
        </w:rPr>
        <w:t xml:space="preserve"> </w:t>
      </w:r>
      <w:r w:rsidR="0009115D" w:rsidRPr="004E47A4">
        <w:rPr>
          <w:sz w:val="24"/>
        </w:rPr>
        <w:t>(referred to as Decision 11)</w:t>
      </w:r>
      <w:r>
        <w:rPr>
          <w:sz w:val="24"/>
        </w:rPr>
        <w:t xml:space="preserve"> made by the adjudicator</w:t>
      </w:r>
      <w:r w:rsidR="00242FE7">
        <w:rPr>
          <w:sz w:val="24"/>
        </w:rPr>
        <w:t>, Mr</w:t>
      </w:r>
      <w:r>
        <w:rPr>
          <w:sz w:val="24"/>
        </w:rPr>
        <w:t xml:space="preserve"> T Mahon (</w:t>
      </w:r>
      <w:r w:rsidR="002B3696">
        <w:rPr>
          <w:sz w:val="24"/>
        </w:rPr>
        <w:t xml:space="preserve">the </w:t>
      </w:r>
      <w:r>
        <w:rPr>
          <w:sz w:val="24"/>
        </w:rPr>
        <w:t>adjudicator)</w:t>
      </w:r>
      <w:r w:rsidR="00242FE7">
        <w:rPr>
          <w:sz w:val="24"/>
        </w:rPr>
        <w:t>,</w:t>
      </w:r>
      <w:r>
        <w:rPr>
          <w:sz w:val="24"/>
        </w:rPr>
        <w:t xml:space="preserve"> in favour of </w:t>
      </w:r>
      <w:r w:rsidR="002B3696">
        <w:rPr>
          <w:sz w:val="24"/>
        </w:rPr>
        <w:t xml:space="preserve">the appellant, </w:t>
      </w:r>
      <w:r>
        <w:rPr>
          <w:sz w:val="24"/>
        </w:rPr>
        <w:t>Framatome</w:t>
      </w:r>
      <w:r w:rsidR="0066705F">
        <w:rPr>
          <w:sz w:val="24"/>
        </w:rPr>
        <w:t xml:space="preserve"> (</w:t>
      </w:r>
      <w:r w:rsidR="002B3696" w:rsidRPr="004E47A4">
        <w:rPr>
          <w:sz w:val="24"/>
        </w:rPr>
        <w:t>Framatome</w:t>
      </w:r>
      <w:r w:rsidRPr="004E47A4">
        <w:rPr>
          <w:sz w:val="24"/>
        </w:rPr>
        <w:t>)</w:t>
      </w:r>
      <w:r>
        <w:rPr>
          <w:sz w:val="24"/>
        </w:rPr>
        <w:t xml:space="preserve"> following an adjudication in terms of a construction contract that was entered into between the parties should be enforced</w:t>
      </w:r>
      <w:r w:rsidR="00C736AA">
        <w:rPr>
          <w:sz w:val="24"/>
        </w:rPr>
        <w:t>.</w:t>
      </w:r>
      <w:r w:rsidR="00ED3FF6">
        <w:rPr>
          <w:sz w:val="24"/>
        </w:rPr>
        <w:t xml:space="preserve"> </w:t>
      </w:r>
      <w:r w:rsidR="00C736AA">
        <w:rPr>
          <w:sz w:val="24"/>
        </w:rPr>
        <w:t>S</w:t>
      </w:r>
      <w:r w:rsidR="00ED3FF6" w:rsidRPr="007F3099">
        <w:rPr>
          <w:sz w:val="24"/>
        </w:rPr>
        <w:t>econd</w:t>
      </w:r>
      <w:r w:rsidR="005C2B77">
        <w:rPr>
          <w:sz w:val="24"/>
        </w:rPr>
        <w:t>ly</w:t>
      </w:r>
      <w:r w:rsidR="007F3099" w:rsidRPr="007F3099">
        <w:rPr>
          <w:sz w:val="24"/>
        </w:rPr>
        <w:t>,</w:t>
      </w:r>
      <w:r w:rsidR="007F3099">
        <w:rPr>
          <w:sz w:val="24"/>
        </w:rPr>
        <w:t xml:space="preserve"> </w:t>
      </w:r>
      <w:r>
        <w:rPr>
          <w:sz w:val="24"/>
        </w:rPr>
        <w:t xml:space="preserve">whether as contended by </w:t>
      </w:r>
      <w:r w:rsidR="00C97A85">
        <w:rPr>
          <w:sz w:val="24"/>
        </w:rPr>
        <w:t xml:space="preserve">the respondent, </w:t>
      </w:r>
      <w:r>
        <w:rPr>
          <w:sz w:val="24"/>
        </w:rPr>
        <w:t>Eskom</w:t>
      </w:r>
      <w:r w:rsidR="00ED3FF6">
        <w:rPr>
          <w:sz w:val="24"/>
        </w:rPr>
        <w:t xml:space="preserve"> Holdings S</w:t>
      </w:r>
      <w:r w:rsidR="007F3099">
        <w:rPr>
          <w:sz w:val="24"/>
        </w:rPr>
        <w:t>OC</w:t>
      </w:r>
      <w:r w:rsidR="00ED3FF6">
        <w:rPr>
          <w:sz w:val="24"/>
        </w:rPr>
        <w:t xml:space="preserve"> Limited</w:t>
      </w:r>
      <w:r w:rsidR="0066705F">
        <w:rPr>
          <w:sz w:val="24"/>
        </w:rPr>
        <w:t xml:space="preserve"> </w:t>
      </w:r>
      <w:r w:rsidR="0066705F" w:rsidRPr="004E47A4">
        <w:rPr>
          <w:sz w:val="24"/>
        </w:rPr>
        <w:t>(</w:t>
      </w:r>
      <w:r w:rsidR="00C97A85" w:rsidRPr="004E47A4">
        <w:rPr>
          <w:sz w:val="24"/>
        </w:rPr>
        <w:t>Eskom</w:t>
      </w:r>
      <w:r w:rsidRPr="004E47A4">
        <w:rPr>
          <w:sz w:val="24"/>
        </w:rPr>
        <w:t>),</w:t>
      </w:r>
      <w:r>
        <w:rPr>
          <w:sz w:val="24"/>
        </w:rPr>
        <w:t xml:space="preserve"> </w:t>
      </w:r>
      <w:r w:rsidR="00724DBE">
        <w:rPr>
          <w:sz w:val="24"/>
        </w:rPr>
        <w:t>D</w:t>
      </w:r>
      <w:r>
        <w:rPr>
          <w:sz w:val="24"/>
        </w:rPr>
        <w:t xml:space="preserve">ecision 11 cannot be enforced because it is predicated on </w:t>
      </w:r>
      <w:r w:rsidR="00724DBE">
        <w:rPr>
          <w:sz w:val="24"/>
        </w:rPr>
        <w:t>D</w:t>
      </w:r>
      <w:r>
        <w:rPr>
          <w:sz w:val="24"/>
        </w:rPr>
        <w:t>ecision 7 which</w:t>
      </w:r>
      <w:r w:rsidR="00C736AA">
        <w:rPr>
          <w:sz w:val="24"/>
        </w:rPr>
        <w:t>, according to Eskom,</w:t>
      </w:r>
      <w:r>
        <w:rPr>
          <w:sz w:val="24"/>
        </w:rPr>
        <w:t xml:space="preserve"> is invalid since the adjudicator </w:t>
      </w:r>
      <w:r w:rsidR="00C736AA">
        <w:rPr>
          <w:sz w:val="24"/>
        </w:rPr>
        <w:t xml:space="preserve">allegedly </w:t>
      </w:r>
      <w:r>
        <w:rPr>
          <w:sz w:val="24"/>
        </w:rPr>
        <w:t xml:space="preserve">exceeded his powers when he made a finding in relation to </w:t>
      </w:r>
      <w:r w:rsidR="008C716B">
        <w:rPr>
          <w:sz w:val="24"/>
        </w:rPr>
        <w:t>D</w:t>
      </w:r>
      <w:r>
        <w:rPr>
          <w:sz w:val="24"/>
        </w:rPr>
        <w:t>ispute 7</w:t>
      </w:r>
      <w:r w:rsidR="00DD1D88">
        <w:rPr>
          <w:sz w:val="24"/>
        </w:rPr>
        <w:t xml:space="preserve"> which was not notified or </w:t>
      </w:r>
      <w:r>
        <w:rPr>
          <w:sz w:val="24"/>
        </w:rPr>
        <w:t xml:space="preserve">referred </w:t>
      </w:r>
      <w:r w:rsidR="00190911">
        <w:rPr>
          <w:sz w:val="24"/>
        </w:rPr>
        <w:t>as per the</w:t>
      </w:r>
      <w:r>
        <w:rPr>
          <w:sz w:val="24"/>
        </w:rPr>
        <w:t xml:space="preserve"> terms of the agreement.</w:t>
      </w:r>
    </w:p>
    <w:p w14:paraId="16F01649" w14:textId="77777777" w:rsidR="00522308" w:rsidRDefault="00522308" w:rsidP="00522308">
      <w:pPr>
        <w:spacing w:line="360" w:lineRule="auto"/>
        <w:jc w:val="both"/>
        <w:rPr>
          <w:sz w:val="24"/>
        </w:rPr>
      </w:pPr>
    </w:p>
    <w:p w14:paraId="2250D333" w14:textId="5D62990B" w:rsidR="00522308" w:rsidRDefault="00522308" w:rsidP="00522308">
      <w:pPr>
        <w:spacing w:line="360" w:lineRule="auto"/>
        <w:jc w:val="both"/>
        <w:rPr>
          <w:sz w:val="24"/>
        </w:rPr>
      </w:pPr>
      <w:r>
        <w:rPr>
          <w:sz w:val="24"/>
        </w:rPr>
        <w:t>[2]</w:t>
      </w:r>
      <w:r>
        <w:rPr>
          <w:sz w:val="24"/>
        </w:rPr>
        <w:tab/>
        <w:t>Those questions have arisen in this way.</w:t>
      </w:r>
      <w:r w:rsidRPr="00522308">
        <w:rPr>
          <w:sz w:val="24"/>
        </w:rPr>
        <w:t xml:space="preserve"> </w:t>
      </w:r>
      <w:r>
        <w:rPr>
          <w:sz w:val="24"/>
        </w:rPr>
        <w:t xml:space="preserve">On 5 September 2014, </w:t>
      </w:r>
      <w:r w:rsidR="00904D69">
        <w:rPr>
          <w:sz w:val="24"/>
        </w:rPr>
        <w:t>Eskom</w:t>
      </w:r>
      <w:r>
        <w:rPr>
          <w:sz w:val="24"/>
        </w:rPr>
        <w:t xml:space="preserve"> concluded a written NEC3 Engineering and Construction Contract </w:t>
      </w:r>
      <w:r w:rsidR="008D39E3" w:rsidRPr="008D39E3">
        <w:rPr>
          <w:sz w:val="24"/>
          <w:lang w:val="en-ZA"/>
        </w:rPr>
        <w:t>(with amendment</w:t>
      </w:r>
      <w:r w:rsidR="008D39E3">
        <w:rPr>
          <w:sz w:val="24"/>
          <w:lang w:val="en-ZA"/>
        </w:rPr>
        <w:t>s</w:t>
      </w:r>
      <w:r w:rsidR="008D39E3" w:rsidRPr="008D39E3">
        <w:rPr>
          <w:sz w:val="24"/>
          <w:lang w:val="en-ZA"/>
        </w:rPr>
        <w:t xml:space="preserve"> of June 2006) </w:t>
      </w:r>
      <w:r>
        <w:rPr>
          <w:sz w:val="24"/>
        </w:rPr>
        <w:t>with Areva NP for the replacement of the steam generators at Koeberg Nuclear Power Station, Units 1 and 2, located in Cape Town</w:t>
      </w:r>
      <w:r w:rsidR="00C736AA">
        <w:rPr>
          <w:sz w:val="24"/>
        </w:rPr>
        <w:t>.</w:t>
      </w:r>
      <w:r>
        <w:rPr>
          <w:sz w:val="24"/>
        </w:rPr>
        <w:t xml:space="preserve"> (the Contract). Areva</w:t>
      </w:r>
      <w:r w:rsidR="0066705F">
        <w:rPr>
          <w:sz w:val="24"/>
        </w:rPr>
        <w:t xml:space="preserve"> NP</w:t>
      </w:r>
      <w:r>
        <w:rPr>
          <w:sz w:val="24"/>
        </w:rPr>
        <w:t xml:space="preserve"> later ceded the Contract to </w:t>
      </w:r>
      <w:r w:rsidR="00B22D5C">
        <w:rPr>
          <w:sz w:val="24"/>
        </w:rPr>
        <w:t>Framatome</w:t>
      </w:r>
      <w:r>
        <w:rPr>
          <w:sz w:val="24"/>
        </w:rPr>
        <w:t xml:space="preserve">. Under the Contract, </w:t>
      </w:r>
      <w:r w:rsidR="005C2B77">
        <w:rPr>
          <w:sz w:val="24"/>
        </w:rPr>
        <w:t>Framatome</w:t>
      </w:r>
      <w:r>
        <w:rPr>
          <w:sz w:val="24"/>
        </w:rPr>
        <w:t xml:space="preserve"> is the </w:t>
      </w:r>
      <w:r w:rsidR="00520C47">
        <w:rPr>
          <w:sz w:val="24"/>
        </w:rPr>
        <w:t>c</w:t>
      </w:r>
      <w:r>
        <w:rPr>
          <w:sz w:val="24"/>
        </w:rPr>
        <w:t xml:space="preserve">ontractor and </w:t>
      </w:r>
      <w:r w:rsidR="005C2B77">
        <w:rPr>
          <w:sz w:val="24"/>
        </w:rPr>
        <w:t>Eskom</w:t>
      </w:r>
      <w:r>
        <w:rPr>
          <w:sz w:val="24"/>
        </w:rPr>
        <w:t xml:space="preserve"> is the </w:t>
      </w:r>
      <w:r w:rsidR="0066705F">
        <w:rPr>
          <w:sz w:val="24"/>
        </w:rPr>
        <w:t>e</w:t>
      </w:r>
      <w:r>
        <w:rPr>
          <w:sz w:val="24"/>
        </w:rPr>
        <w:t>mployer</w:t>
      </w:r>
      <w:r w:rsidR="00B4100B" w:rsidRPr="004E47A4">
        <w:rPr>
          <w:sz w:val="24"/>
        </w:rPr>
        <w:t>, represented by the Project Manager.</w:t>
      </w:r>
    </w:p>
    <w:p w14:paraId="11C310B0" w14:textId="77777777" w:rsidR="00522308" w:rsidRDefault="00522308" w:rsidP="00522308">
      <w:pPr>
        <w:spacing w:line="360" w:lineRule="auto"/>
        <w:jc w:val="both"/>
        <w:rPr>
          <w:sz w:val="24"/>
        </w:rPr>
      </w:pPr>
    </w:p>
    <w:p w14:paraId="0363FC85" w14:textId="78AFCA92" w:rsidR="00522308" w:rsidRDefault="00522308" w:rsidP="00522308">
      <w:pPr>
        <w:spacing w:line="360" w:lineRule="auto"/>
        <w:jc w:val="both"/>
        <w:rPr>
          <w:sz w:val="24"/>
        </w:rPr>
      </w:pPr>
      <w:r>
        <w:rPr>
          <w:sz w:val="24"/>
        </w:rPr>
        <w:t>[3]</w:t>
      </w:r>
      <w:r>
        <w:rPr>
          <w:sz w:val="24"/>
        </w:rPr>
        <w:tab/>
        <w:t>The Contract is based on the</w:t>
      </w:r>
      <w:r w:rsidR="0066705F">
        <w:rPr>
          <w:sz w:val="24"/>
        </w:rPr>
        <w:t xml:space="preserve"> </w:t>
      </w:r>
      <w:r>
        <w:rPr>
          <w:sz w:val="24"/>
        </w:rPr>
        <w:t>NEC3 Engineering and Construction Contract (ECC), which is a standard contract</w:t>
      </w:r>
      <w:r w:rsidR="0066705F">
        <w:rPr>
          <w:sz w:val="24"/>
        </w:rPr>
        <w:t xml:space="preserve"> used within the construction industry;</w:t>
      </w:r>
      <w:r>
        <w:rPr>
          <w:sz w:val="24"/>
        </w:rPr>
        <w:t xml:space="preserve"> in terms of which parties can select certain clauses which govern their rights and obligations and regulate the completion of a project. </w:t>
      </w:r>
    </w:p>
    <w:p w14:paraId="2DDB1FDB" w14:textId="77777777" w:rsidR="00522308" w:rsidRDefault="00522308" w:rsidP="00522308">
      <w:pPr>
        <w:spacing w:line="360" w:lineRule="auto"/>
        <w:jc w:val="both"/>
        <w:rPr>
          <w:sz w:val="24"/>
        </w:rPr>
      </w:pPr>
    </w:p>
    <w:p w14:paraId="4A61EE79" w14:textId="1BDC7207" w:rsidR="00522308" w:rsidRDefault="00522308" w:rsidP="00522308">
      <w:pPr>
        <w:spacing w:line="360" w:lineRule="auto"/>
        <w:jc w:val="both"/>
        <w:rPr>
          <w:sz w:val="24"/>
        </w:rPr>
      </w:pPr>
      <w:r>
        <w:rPr>
          <w:sz w:val="24"/>
        </w:rPr>
        <w:t>[4]</w:t>
      </w:r>
      <w:r>
        <w:rPr>
          <w:sz w:val="24"/>
        </w:rPr>
        <w:tab/>
        <w:t xml:space="preserve">The Contract also envisages the role of a Project Manager who is appointed by the </w:t>
      </w:r>
      <w:r w:rsidR="00763F6C" w:rsidRPr="00904D69">
        <w:rPr>
          <w:sz w:val="24"/>
        </w:rPr>
        <w:t>e</w:t>
      </w:r>
      <w:r w:rsidRPr="00904D69">
        <w:rPr>
          <w:sz w:val="24"/>
        </w:rPr>
        <w:t xml:space="preserve">mployer (ie </w:t>
      </w:r>
      <w:r w:rsidR="00904D69" w:rsidRPr="00904D69">
        <w:rPr>
          <w:sz w:val="24"/>
        </w:rPr>
        <w:t>Eskom</w:t>
      </w:r>
      <w:r w:rsidRPr="00904D69">
        <w:rPr>
          <w:sz w:val="24"/>
        </w:rPr>
        <w:t>).</w:t>
      </w:r>
      <w:r>
        <w:rPr>
          <w:sz w:val="24"/>
        </w:rPr>
        <w:t xml:space="preserve"> The Project Manager’s role is to manage the contract </w:t>
      </w:r>
      <w:r w:rsidR="00607F67">
        <w:rPr>
          <w:sz w:val="24"/>
        </w:rPr>
        <w:t>on behalf of</w:t>
      </w:r>
      <w:r>
        <w:rPr>
          <w:sz w:val="24"/>
        </w:rPr>
        <w:t xml:space="preserve"> the </w:t>
      </w:r>
      <w:r w:rsidR="00607F67">
        <w:rPr>
          <w:sz w:val="24"/>
        </w:rPr>
        <w:t>e</w:t>
      </w:r>
      <w:r>
        <w:rPr>
          <w:sz w:val="24"/>
        </w:rPr>
        <w:t xml:space="preserve">mployer. The Contract places substantial authority on the Project Manager and </w:t>
      </w:r>
      <w:r>
        <w:rPr>
          <w:sz w:val="24"/>
        </w:rPr>
        <w:lastRenderedPageBreak/>
        <w:t xml:space="preserve">assumes </w:t>
      </w:r>
      <w:r w:rsidRPr="003A6D3B">
        <w:rPr>
          <w:sz w:val="24"/>
        </w:rPr>
        <w:t>that</w:t>
      </w:r>
      <w:r w:rsidR="00724DBE" w:rsidRPr="003A6D3B">
        <w:rPr>
          <w:sz w:val="24"/>
        </w:rPr>
        <w:t xml:space="preserve"> they have</w:t>
      </w:r>
      <w:r>
        <w:rPr>
          <w:sz w:val="24"/>
        </w:rPr>
        <w:t xml:space="preserve"> the </w:t>
      </w:r>
      <w:r w:rsidR="00607F67">
        <w:rPr>
          <w:sz w:val="24"/>
        </w:rPr>
        <w:t>e</w:t>
      </w:r>
      <w:r>
        <w:rPr>
          <w:sz w:val="24"/>
        </w:rPr>
        <w:t xml:space="preserve">mployer’s authority to carry out the actions and make decisions required of </w:t>
      </w:r>
      <w:r w:rsidR="00724DBE" w:rsidRPr="003A6D3B">
        <w:rPr>
          <w:sz w:val="24"/>
        </w:rPr>
        <w:t>them</w:t>
      </w:r>
      <w:r w:rsidRPr="003A6D3B">
        <w:rPr>
          <w:sz w:val="24"/>
        </w:rPr>
        <w:t>.</w:t>
      </w:r>
    </w:p>
    <w:p w14:paraId="2A067099" w14:textId="77777777" w:rsidR="00522308" w:rsidRDefault="00522308" w:rsidP="00522308">
      <w:pPr>
        <w:spacing w:line="360" w:lineRule="auto"/>
        <w:jc w:val="both"/>
        <w:rPr>
          <w:sz w:val="24"/>
        </w:rPr>
      </w:pPr>
    </w:p>
    <w:p w14:paraId="541A72D9" w14:textId="563ECF08" w:rsidR="00522308" w:rsidRDefault="00522308" w:rsidP="00522308">
      <w:pPr>
        <w:spacing w:line="360" w:lineRule="auto"/>
        <w:jc w:val="both"/>
        <w:rPr>
          <w:sz w:val="24"/>
        </w:rPr>
      </w:pPr>
      <w:r>
        <w:rPr>
          <w:sz w:val="24"/>
        </w:rPr>
        <w:t>[5]</w:t>
      </w:r>
      <w:r>
        <w:rPr>
          <w:sz w:val="24"/>
        </w:rPr>
        <w:tab/>
        <w:t xml:space="preserve">The Contract comprises four parts: (i) Part C1 – Agreements &amp; Contract Data; (ii) Part C2 – Pricing Data; (iii) Part C3 – Scope of Work; (iv) Part C4 – Information. </w:t>
      </w:r>
      <w:r w:rsidR="00F634A8">
        <w:rPr>
          <w:sz w:val="24"/>
        </w:rPr>
        <w:t xml:space="preserve">Under </w:t>
      </w:r>
      <w:r>
        <w:rPr>
          <w:sz w:val="24"/>
        </w:rPr>
        <w:t xml:space="preserve">the </w:t>
      </w:r>
      <w:r w:rsidR="00520C47">
        <w:rPr>
          <w:sz w:val="24"/>
        </w:rPr>
        <w:t>‘</w:t>
      </w:r>
      <w:r w:rsidR="00607F67">
        <w:rPr>
          <w:sz w:val="24"/>
        </w:rPr>
        <w:t xml:space="preserve">Agreements </w:t>
      </w:r>
      <w:r w:rsidR="00F634A8">
        <w:rPr>
          <w:sz w:val="24"/>
        </w:rPr>
        <w:t xml:space="preserve">&amp; </w:t>
      </w:r>
      <w:r>
        <w:rPr>
          <w:sz w:val="24"/>
        </w:rPr>
        <w:t>Contract Data</w:t>
      </w:r>
      <w:r w:rsidR="00520C47">
        <w:rPr>
          <w:sz w:val="24"/>
        </w:rPr>
        <w:t>’</w:t>
      </w:r>
      <w:r w:rsidR="00F634A8">
        <w:rPr>
          <w:sz w:val="24"/>
        </w:rPr>
        <w:t xml:space="preserve"> clause</w:t>
      </w:r>
      <w:r>
        <w:rPr>
          <w:sz w:val="24"/>
        </w:rPr>
        <w:t xml:space="preserve">, the parties selected as the conditions of the Contract the core clauses and the clauses for Option A </w:t>
      </w:r>
      <w:r w:rsidR="00F634A8">
        <w:rPr>
          <w:sz w:val="24"/>
        </w:rPr>
        <w:t>(</w:t>
      </w:r>
      <w:r>
        <w:rPr>
          <w:sz w:val="24"/>
        </w:rPr>
        <w:t>Priced Contract with activity schedule</w:t>
      </w:r>
      <w:r w:rsidR="00F634A8">
        <w:rPr>
          <w:sz w:val="24"/>
        </w:rPr>
        <w:t>)</w:t>
      </w:r>
      <w:r w:rsidR="00EF5BDE">
        <w:rPr>
          <w:sz w:val="24"/>
        </w:rPr>
        <w:t>;</w:t>
      </w:r>
      <w:r>
        <w:rPr>
          <w:sz w:val="24"/>
        </w:rPr>
        <w:t xml:space="preserve"> the dispute resolution Option W1</w:t>
      </w:r>
      <w:r w:rsidR="00EF5BDE">
        <w:rPr>
          <w:sz w:val="24"/>
        </w:rPr>
        <w:t>;</w:t>
      </w:r>
      <w:r>
        <w:rPr>
          <w:sz w:val="24"/>
        </w:rPr>
        <w:t xml:space="preserve"> identified secondary Options (x-clauses)</w:t>
      </w:r>
      <w:r w:rsidR="00EF5BDE">
        <w:rPr>
          <w:sz w:val="24"/>
        </w:rPr>
        <w:t>;</w:t>
      </w:r>
      <w:r>
        <w:rPr>
          <w:sz w:val="24"/>
        </w:rPr>
        <w:t xml:space="preserve"> and certain additional clauses (called z-clauses) of the</w:t>
      </w:r>
      <w:r w:rsidR="00EF5BDE">
        <w:rPr>
          <w:sz w:val="24"/>
        </w:rPr>
        <w:t xml:space="preserve"> ECC</w:t>
      </w:r>
      <w:r>
        <w:rPr>
          <w:sz w:val="24"/>
        </w:rPr>
        <w:t>. These general conditions, as amended by the parties, are hereinafter referred to as the Conditions.</w:t>
      </w:r>
    </w:p>
    <w:p w14:paraId="63A4A2AA" w14:textId="3E014B32" w:rsidR="00041C0A" w:rsidRDefault="00041C0A" w:rsidP="00522308">
      <w:pPr>
        <w:spacing w:line="360" w:lineRule="auto"/>
        <w:jc w:val="both"/>
        <w:rPr>
          <w:sz w:val="24"/>
        </w:rPr>
      </w:pPr>
    </w:p>
    <w:p w14:paraId="2E614F85" w14:textId="43466725" w:rsidR="00C97A85" w:rsidRDefault="00041C0A" w:rsidP="00522308">
      <w:pPr>
        <w:spacing w:line="360" w:lineRule="auto"/>
        <w:jc w:val="both"/>
        <w:rPr>
          <w:sz w:val="24"/>
        </w:rPr>
      </w:pPr>
      <w:r w:rsidRPr="00AB58D0">
        <w:rPr>
          <w:sz w:val="24"/>
        </w:rPr>
        <w:t>[6]</w:t>
      </w:r>
      <w:r>
        <w:rPr>
          <w:sz w:val="24"/>
        </w:rPr>
        <w:tab/>
      </w:r>
      <w:r w:rsidR="00EC6AB9" w:rsidRPr="004E47A4">
        <w:rPr>
          <w:sz w:val="24"/>
        </w:rPr>
        <w:t>The Contract makes provision for what is called ‘compensation events’ which allows the contractor, Framatome, in essence, to claim additional payment and extra time to do the work from the employer.</w:t>
      </w:r>
      <w:r w:rsidR="00EC6AB9">
        <w:rPr>
          <w:sz w:val="24"/>
        </w:rPr>
        <w:t xml:space="preserve"> </w:t>
      </w:r>
      <w:r>
        <w:rPr>
          <w:sz w:val="24"/>
        </w:rPr>
        <w:t xml:space="preserve">Compensation events are events which, should they occur, and provided they do not arise from the </w:t>
      </w:r>
      <w:r w:rsidR="00A425FD">
        <w:rPr>
          <w:sz w:val="24"/>
        </w:rPr>
        <w:t>c</w:t>
      </w:r>
      <w:r>
        <w:rPr>
          <w:sz w:val="24"/>
        </w:rPr>
        <w:t xml:space="preserve">ontractor’s fault, entitle the </w:t>
      </w:r>
      <w:r w:rsidR="00A425FD">
        <w:rPr>
          <w:sz w:val="24"/>
        </w:rPr>
        <w:t>c</w:t>
      </w:r>
      <w:r>
        <w:rPr>
          <w:sz w:val="24"/>
        </w:rPr>
        <w:t xml:space="preserve">ontractor to be compensated for any effect the event has on the prices and the contractual </w:t>
      </w:r>
      <w:r w:rsidR="00A425FD">
        <w:rPr>
          <w:sz w:val="24"/>
        </w:rPr>
        <w:t>s</w:t>
      </w:r>
      <w:r>
        <w:rPr>
          <w:sz w:val="24"/>
        </w:rPr>
        <w:t xml:space="preserve">ectional </w:t>
      </w:r>
      <w:r w:rsidR="00A425FD">
        <w:rPr>
          <w:sz w:val="24"/>
        </w:rPr>
        <w:t>c</w:t>
      </w:r>
      <w:r>
        <w:rPr>
          <w:sz w:val="24"/>
        </w:rPr>
        <w:t xml:space="preserve">ompletion </w:t>
      </w:r>
      <w:r w:rsidR="00A425FD">
        <w:rPr>
          <w:sz w:val="24"/>
        </w:rPr>
        <w:t>d</w:t>
      </w:r>
      <w:r>
        <w:rPr>
          <w:sz w:val="24"/>
        </w:rPr>
        <w:t xml:space="preserve">ate(s) or </w:t>
      </w:r>
      <w:r w:rsidR="00A425FD">
        <w:rPr>
          <w:sz w:val="24"/>
        </w:rPr>
        <w:t>k</w:t>
      </w:r>
      <w:r>
        <w:rPr>
          <w:sz w:val="24"/>
        </w:rPr>
        <w:t xml:space="preserve">ey </w:t>
      </w:r>
      <w:r w:rsidR="00A425FD">
        <w:rPr>
          <w:sz w:val="24"/>
        </w:rPr>
        <w:t>d</w:t>
      </w:r>
      <w:r>
        <w:rPr>
          <w:sz w:val="24"/>
        </w:rPr>
        <w:t xml:space="preserve">ate(s). The assessment of a compensation event is always in respect of its effect on the </w:t>
      </w:r>
      <w:r w:rsidR="00A425FD">
        <w:rPr>
          <w:sz w:val="24"/>
        </w:rPr>
        <w:t>p</w:t>
      </w:r>
      <w:r>
        <w:rPr>
          <w:sz w:val="24"/>
        </w:rPr>
        <w:t xml:space="preserve">rices, the </w:t>
      </w:r>
      <w:r w:rsidR="00A425FD">
        <w:rPr>
          <w:sz w:val="24"/>
        </w:rPr>
        <w:t>c</w:t>
      </w:r>
      <w:r>
        <w:rPr>
          <w:sz w:val="24"/>
        </w:rPr>
        <w:t xml:space="preserve">ompletion </w:t>
      </w:r>
      <w:r w:rsidR="00A425FD">
        <w:rPr>
          <w:sz w:val="24"/>
        </w:rPr>
        <w:t>d</w:t>
      </w:r>
      <w:r>
        <w:rPr>
          <w:sz w:val="24"/>
        </w:rPr>
        <w:t>ate and any</w:t>
      </w:r>
      <w:r w:rsidR="00F57C6C">
        <w:rPr>
          <w:sz w:val="24"/>
        </w:rPr>
        <w:t xml:space="preserve"> </w:t>
      </w:r>
      <w:r w:rsidR="00A425FD">
        <w:rPr>
          <w:sz w:val="24"/>
        </w:rPr>
        <w:t>k</w:t>
      </w:r>
      <w:r w:rsidR="00F57C6C">
        <w:rPr>
          <w:sz w:val="24"/>
        </w:rPr>
        <w:t xml:space="preserve">ey </w:t>
      </w:r>
      <w:r w:rsidR="00A425FD">
        <w:rPr>
          <w:sz w:val="24"/>
        </w:rPr>
        <w:t>d</w:t>
      </w:r>
      <w:r w:rsidR="00F57C6C">
        <w:rPr>
          <w:sz w:val="24"/>
        </w:rPr>
        <w:t xml:space="preserve">ate(s) affected by the relevant compensation event in question. The </w:t>
      </w:r>
      <w:r w:rsidR="008D39E3">
        <w:rPr>
          <w:sz w:val="24"/>
        </w:rPr>
        <w:t>C</w:t>
      </w:r>
      <w:r w:rsidR="00F57C6C">
        <w:rPr>
          <w:sz w:val="24"/>
        </w:rPr>
        <w:t xml:space="preserve">ontract contains a process whereby the assessment of a compensation event is achieved by agreement between the </w:t>
      </w:r>
      <w:r w:rsidR="00F91578">
        <w:rPr>
          <w:sz w:val="24"/>
        </w:rPr>
        <w:t>parties,</w:t>
      </w:r>
      <w:r w:rsidR="00F57C6C">
        <w:rPr>
          <w:sz w:val="24"/>
        </w:rPr>
        <w:t xml:space="preserve"> determined by the </w:t>
      </w:r>
      <w:r w:rsidR="00724DBE">
        <w:rPr>
          <w:sz w:val="24"/>
        </w:rPr>
        <w:t>P</w:t>
      </w:r>
      <w:r w:rsidR="00F57C6C">
        <w:rPr>
          <w:sz w:val="24"/>
        </w:rPr>
        <w:t xml:space="preserve">roject </w:t>
      </w:r>
      <w:r w:rsidR="00724DBE">
        <w:rPr>
          <w:sz w:val="24"/>
        </w:rPr>
        <w:t>M</w:t>
      </w:r>
      <w:r w:rsidR="00F57C6C">
        <w:rPr>
          <w:sz w:val="24"/>
        </w:rPr>
        <w:t xml:space="preserve">anager or deemed to be approved if there is inaction on the part of the </w:t>
      </w:r>
      <w:r w:rsidR="00724DBE">
        <w:rPr>
          <w:sz w:val="24"/>
        </w:rPr>
        <w:t>P</w:t>
      </w:r>
      <w:r w:rsidR="00F57C6C">
        <w:rPr>
          <w:sz w:val="24"/>
        </w:rPr>
        <w:t xml:space="preserve">roject </w:t>
      </w:r>
      <w:r w:rsidR="00724DBE">
        <w:rPr>
          <w:sz w:val="24"/>
        </w:rPr>
        <w:t>M</w:t>
      </w:r>
      <w:r w:rsidR="00F57C6C">
        <w:rPr>
          <w:sz w:val="24"/>
        </w:rPr>
        <w:t>anager.</w:t>
      </w:r>
      <w:r>
        <w:rPr>
          <w:sz w:val="24"/>
        </w:rPr>
        <w:t xml:space="preserve">  </w:t>
      </w:r>
    </w:p>
    <w:p w14:paraId="42E5CF96" w14:textId="77777777" w:rsidR="002E6322" w:rsidRDefault="002E6322" w:rsidP="00522308">
      <w:pPr>
        <w:spacing w:line="360" w:lineRule="auto"/>
        <w:jc w:val="both"/>
        <w:rPr>
          <w:sz w:val="24"/>
        </w:rPr>
      </w:pPr>
    </w:p>
    <w:p w14:paraId="7D6B7750" w14:textId="6653BD41" w:rsidR="002E6322" w:rsidRDefault="002E6322" w:rsidP="002E6322">
      <w:pPr>
        <w:spacing w:line="360" w:lineRule="auto"/>
        <w:jc w:val="both"/>
        <w:rPr>
          <w:sz w:val="24"/>
        </w:rPr>
      </w:pPr>
      <w:r w:rsidRPr="00AB58D0">
        <w:rPr>
          <w:sz w:val="24"/>
        </w:rPr>
        <w:t>[7]</w:t>
      </w:r>
      <w:r w:rsidR="00AB58D0">
        <w:rPr>
          <w:sz w:val="24"/>
        </w:rPr>
        <w:tab/>
      </w:r>
      <w:r w:rsidR="00D520B2" w:rsidRPr="004E47A4">
        <w:rPr>
          <w:sz w:val="24"/>
        </w:rPr>
        <w:t>T</w:t>
      </w:r>
      <w:r w:rsidRPr="004E47A4">
        <w:rPr>
          <w:sz w:val="24"/>
        </w:rPr>
        <w:t>here</w:t>
      </w:r>
      <w:r w:rsidRPr="00700059">
        <w:rPr>
          <w:sz w:val="24"/>
        </w:rPr>
        <w:t xml:space="preserve"> was a compensation event for which</w:t>
      </w:r>
      <w:r w:rsidR="005C2B77">
        <w:rPr>
          <w:sz w:val="24"/>
        </w:rPr>
        <w:t xml:space="preserve"> Framatome</w:t>
      </w:r>
      <w:r w:rsidRPr="00700059">
        <w:rPr>
          <w:sz w:val="24"/>
        </w:rPr>
        <w:t xml:space="preserve"> provided a quotation. Sub-clause 64.1</w:t>
      </w:r>
      <w:r w:rsidR="00601F11">
        <w:rPr>
          <w:rStyle w:val="FootnoteReference"/>
          <w:sz w:val="24"/>
        </w:rPr>
        <w:footnoteReference w:id="1"/>
      </w:r>
      <w:r w:rsidRPr="00700059">
        <w:rPr>
          <w:sz w:val="24"/>
        </w:rPr>
        <w:t xml:space="preserve"> of the Conditions compels the </w:t>
      </w:r>
      <w:r w:rsidR="00724DBE">
        <w:rPr>
          <w:sz w:val="24"/>
        </w:rPr>
        <w:t>P</w:t>
      </w:r>
      <w:r w:rsidRPr="00700059">
        <w:rPr>
          <w:sz w:val="24"/>
        </w:rPr>
        <w:t xml:space="preserve">roject </w:t>
      </w:r>
      <w:r w:rsidR="00724DBE">
        <w:rPr>
          <w:sz w:val="24"/>
        </w:rPr>
        <w:t>M</w:t>
      </w:r>
      <w:r w:rsidRPr="00700059">
        <w:rPr>
          <w:sz w:val="24"/>
        </w:rPr>
        <w:t>anager to perform an assessment of the compensation event. Sub-clause 65.1 prescribes what is to occur when a compensation event is implemented. It envisages three possible scenarios, namely when</w:t>
      </w:r>
      <w:r w:rsidRPr="003A6D3B">
        <w:rPr>
          <w:sz w:val="24"/>
        </w:rPr>
        <w:t xml:space="preserve">: </w:t>
      </w:r>
      <w:r w:rsidRPr="003A6D3B">
        <w:rPr>
          <w:sz w:val="24"/>
        </w:rPr>
        <w:lastRenderedPageBreak/>
        <w:t>(</w:t>
      </w:r>
      <w:r w:rsidR="0029360B" w:rsidRPr="003A6D3B">
        <w:rPr>
          <w:sz w:val="24"/>
        </w:rPr>
        <w:t>a</w:t>
      </w:r>
      <w:r w:rsidRPr="003A6D3B">
        <w:rPr>
          <w:sz w:val="24"/>
        </w:rPr>
        <w:t>)</w:t>
      </w:r>
      <w:r w:rsidRPr="00700059">
        <w:rPr>
          <w:sz w:val="24"/>
        </w:rPr>
        <w:t xml:space="preserve"> the </w:t>
      </w:r>
      <w:r w:rsidR="00520C47">
        <w:rPr>
          <w:sz w:val="24"/>
        </w:rPr>
        <w:t>P</w:t>
      </w:r>
      <w:r w:rsidRPr="00700059">
        <w:rPr>
          <w:sz w:val="24"/>
        </w:rPr>
        <w:t xml:space="preserve">roject </w:t>
      </w:r>
      <w:r w:rsidR="00520C47">
        <w:rPr>
          <w:sz w:val="24"/>
        </w:rPr>
        <w:t>M</w:t>
      </w:r>
      <w:r w:rsidRPr="00700059">
        <w:rPr>
          <w:sz w:val="24"/>
        </w:rPr>
        <w:t>anager accepts the quotation</w:t>
      </w:r>
      <w:r w:rsidR="00FE6265">
        <w:rPr>
          <w:sz w:val="24"/>
        </w:rPr>
        <w:t>;</w:t>
      </w:r>
      <w:r w:rsidRPr="00700059">
        <w:rPr>
          <w:sz w:val="24"/>
        </w:rPr>
        <w:t xml:space="preserve"> </w:t>
      </w:r>
      <w:r w:rsidRPr="003A6D3B">
        <w:rPr>
          <w:sz w:val="24"/>
        </w:rPr>
        <w:t>(</w:t>
      </w:r>
      <w:r w:rsidR="0029360B" w:rsidRPr="003A6D3B">
        <w:rPr>
          <w:sz w:val="24"/>
        </w:rPr>
        <w:t>b</w:t>
      </w:r>
      <w:r w:rsidRPr="003A6D3B">
        <w:rPr>
          <w:sz w:val="24"/>
        </w:rPr>
        <w:t>) the</w:t>
      </w:r>
      <w:r w:rsidRPr="00700059">
        <w:rPr>
          <w:sz w:val="24"/>
        </w:rPr>
        <w:t xml:space="preserve"> </w:t>
      </w:r>
      <w:r w:rsidR="00520C47">
        <w:rPr>
          <w:sz w:val="24"/>
        </w:rPr>
        <w:t>P</w:t>
      </w:r>
      <w:r w:rsidRPr="00700059">
        <w:rPr>
          <w:sz w:val="24"/>
        </w:rPr>
        <w:t xml:space="preserve">roject </w:t>
      </w:r>
      <w:r w:rsidR="00520C47">
        <w:rPr>
          <w:sz w:val="24"/>
        </w:rPr>
        <w:t>M</w:t>
      </w:r>
      <w:r w:rsidRPr="00700059">
        <w:rPr>
          <w:sz w:val="24"/>
        </w:rPr>
        <w:t>anager notifies the contractor of his own assessment or</w:t>
      </w:r>
      <w:r w:rsidR="00FE6265">
        <w:rPr>
          <w:sz w:val="24"/>
        </w:rPr>
        <w:t>;</w:t>
      </w:r>
      <w:r w:rsidRPr="00700059">
        <w:rPr>
          <w:sz w:val="24"/>
        </w:rPr>
        <w:t xml:space="preserve"> </w:t>
      </w:r>
      <w:r w:rsidRPr="003A6D3B">
        <w:rPr>
          <w:sz w:val="24"/>
        </w:rPr>
        <w:t>(</w:t>
      </w:r>
      <w:r w:rsidR="0029360B" w:rsidRPr="003A6D3B">
        <w:rPr>
          <w:sz w:val="24"/>
        </w:rPr>
        <w:t>c</w:t>
      </w:r>
      <w:r w:rsidRPr="003A6D3B">
        <w:rPr>
          <w:sz w:val="24"/>
        </w:rPr>
        <w:t>)</w:t>
      </w:r>
      <w:r w:rsidRPr="00700059">
        <w:rPr>
          <w:sz w:val="24"/>
        </w:rPr>
        <w:t xml:space="preserve"> when a contractor’s quotation is treated as having been accepted by the project manager (clause 64.4).</w:t>
      </w:r>
    </w:p>
    <w:p w14:paraId="59DB3657" w14:textId="77777777" w:rsidR="008B607E" w:rsidRDefault="008B607E" w:rsidP="002E6322">
      <w:pPr>
        <w:spacing w:line="360" w:lineRule="auto"/>
        <w:jc w:val="both"/>
        <w:rPr>
          <w:sz w:val="24"/>
        </w:rPr>
      </w:pPr>
    </w:p>
    <w:p w14:paraId="6291A263" w14:textId="209A0BCB" w:rsidR="008B607E" w:rsidRDefault="008B607E" w:rsidP="008B607E">
      <w:pPr>
        <w:spacing w:line="360" w:lineRule="auto"/>
        <w:jc w:val="both"/>
        <w:rPr>
          <w:sz w:val="24"/>
        </w:rPr>
      </w:pPr>
      <w:r w:rsidRPr="00AB58D0">
        <w:rPr>
          <w:sz w:val="24"/>
        </w:rPr>
        <w:t>[8]</w:t>
      </w:r>
      <w:r>
        <w:rPr>
          <w:sz w:val="24"/>
        </w:rPr>
        <w:tab/>
        <w:t xml:space="preserve">On 29 May 2017, the </w:t>
      </w:r>
      <w:r w:rsidR="00724DBE">
        <w:rPr>
          <w:sz w:val="24"/>
        </w:rPr>
        <w:t>P</w:t>
      </w:r>
      <w:r>
        <w:rPr>
          <w:sz w:val="24"/>
        </w:rPr>
        <w:t xml:space="preserve">roject </w:t>
      </w:r>
      <w:r w:rsidR="00724DBE">
        <w:rPr>
          <w:sz w:val="24"/>
        </w:rPr>
        <w:t>M</w:t>
      </w:r>
      <w:r>
        <w:rPr>
          <w:sz w:val="24"/>
        </w:rPr>
        <w:t xml:space="preserve">anager notified </w:t>
      </w:r>
      <w:r w:rsidR="00904D69">
        <w:rPr>
          <w:sz w:val="24"/>
        </w:rPr>
        <w:t>Eskom</w:t>
      </w:r>
      <w:r>
        <w:rPr>
          <w:sz w:val="24"/>
        </w:rPr>
        <w:t xml:space="preserve"> of </w:t>
      </w:r>
      <w:r w:rsidR="00FE6265">
        <w:rPr>
          <w:sz w:val="24"/>
        </w:rPr>
        <w:t xml:space="preserve">a </w:t>
      </w:r>
      <w:r>
        <w:rPr>
          <w:sz w:val="24"/>
        </w:rPr>
        <w:t>compensation event which had risen as a consequence of the agreed need for the ‘redefinition of Key Dates for Key Dates 2, 14 and 24’</w:t>
      </w:r>
      <w:r w:rsidRPr="00601F11">
        <w:rPr>
          <w:sz w:val="24"/>
        </w:rPr>
        <w:t xml:space="preserve">. Following the </w:t>
      </w:r>
      <w:r w:rsidR="00520C47" w:rsidRPr="00601F11">
        <w:rPr>
          <w:sz w:val="24"/>
        </w:rPr>
        <w:t>P</w:t>
      </w:r>
      <w:r w:rsidRPr="00601F11">
        <w:rPr>
          <w:sz w:val="24"/>
        </w:rPr>
        <w:t xml:space="preserve">roject </w:t>
      </w:r>
      <w:r w:rsidR="00520C47" w:rsidRPr="00601F11">
        <w:rPr>
          <w:sz w:val="24"/>
        </w:rPr>
        <w:t>M</w:t>
      </w:r>
      <w:r w:rsidRPr="00601F11">
        <w:rPr>
          <w:sz w:val="24"/>
        </w:rPr>
        <w:t>anager’s notification and assessment of the compensation event, a dispute arose between the parties</w:t>
      </w:r>
      <w:r w:rsidR="00FE6265" w:rsidRPr="00601F11">
        <w:rPr>
          <w:sz w:val="24"/>
        </w:rPr>
        <w:t xml:space="preserve">. </w:t>
      </w:r>
      <w:r w:rsidR="00FE6265" w:rsidRPr="004E47A4">
        <w:rPr>
          <w:sz w:val="24"/>
        </w:rPr>
        <w:t>This was</w:t>
      </w:r>
      <w:r w:rsidRPr="00601F11">
        <w:rPr>
          <w:sz w:val="24"/>
        </w:rPr>
        <w:t xml:space="preserve"> in relation to the </w:t>
      </w:r>
      <w:r w:rsidR="00724DBE" w:rsidRPr="00601F11">
        <w:rPr>
          <w:sz w:val="24"/>
        </w:rPr>
        <w:t>P</w:t>
      </w:r>
      <w:r w:rsidRPr="00601F11">
        <w:rPr>
          <w:sz w:val="24"/>
        </w:rPr>
        <w:t xml:space="preserve">roject </w:t>
      </w:r>
      <w:r w:rsidR="00724DBE" w:rsidRPr="00601F11">
        <w:rPr>
          <w:sz w:val="24"/>
        </w:rPr>
        <w:t>M</w:t>
      </w:r>
      <w:r w:rsidRPr="00601F11">
        <w:rPr>
          <w:sz w:val="24"/>
        </w:rPr>
        <w:t xml:space="preserve">anager’s decision regarding the consequences of the changed key dates mentioned above and more particularly, whether the </w:t>
      </w:r>
      <w:r w:rsidR="00724DBE" w:rsidRPr="00601F11">
        <w:rPr>
          <w:sz w:val="24"/>
        </w:rPr>
        <w:t>P</w:t>
      </w:r>
      <w:r w:rsidRPr="00601F11">
        <w:rPr>
          <w:sz w:val="24"/>
        </w:rPr>
        <w:t xml:space="preserve">roject </w:t>
      </w:r>
      <w:r w:rsidR="00724DBE" w:rsidRPr="00601F11">
        <w:rPr>
          <w:sz w:val="24"/>
        </w:rPr>
        <w:t>M</w:t>
      </w:r>
      <w:r w:rsidRPr="00601F11">
        <w:rPr>
          <w:sz w:val="24"/>
        </w:rPr>
        <w:t xml:space="preserve">anager’s aforementioned </w:t>
      </w:r>
      <w:r w:rsidR="00601F11" w:rsidRPr="004E47A4">
        <w:rPr>
          <w:sz w:val="24"/>
        </w:rPr>
        <w:t>notification</w:t>
      </w:r>
      <w:r w:rsidR="00601F11">
        <w:rPr>
          <w:sz w:val="24"/>
        </w:rPr>
        <w:t xml:space="preserve"> </w:t>
      </w:r>
      <w:r>
        <w:rPr>
          <w:sz w:val="24"/>
        </w:rPr>
        <w:t xml:space="preserve">amounted to a compensation event. </w:t>
      </w:r>
    </w:p>
    <w:p w14:paraId="35E15D13" w14:textId="77777777" w:rsidR="008B607E" w:rsidRDefault="008B607E" w:rsidP="008B607E">
      <w:pPr>
        <w:spacing w:line="360" w:lineRule="auto"/>
        <w:jc w:val="both"/>
        <w:rPr>
          <w:sz w:val="24"/>
        </w:rPr>
      </w:pPr>
    </w:p>
    <w:p w14:paraId="1D9D9611" w14:textId="699E38B1" w:rsidR="008B607E" w:rsidRDefault="008B607E" w:rsidP="008B607E">
      <w:pPr>
        <w:spacing w:line="360" w:lineRule="auto"/>
        <w:jc w:val="both"/>
        <w:rPr>
          <w:sz w:val="24"/>
        </w:rPr>
      </w:pPr>
      <w:r w:rsidRPr="00AB58D0">
        <w:rPr>
          <w:sz w:val="24"/>
        </w:rPr>
        <w:t>[9]</w:t>
      </w:r>
      <w:r>
        <w:rPr>
          <w:sz w:val="24"/>
        </w:rPr>
        <w:tab/>
      </w:r>
      <w:r w:rsidRPr="004E47A4">
        <w:rPr>
          <w:sz w:val="24"/>
        </w:rPr>
        <w:t>On 11 December 2018</w:t>
      </w:r>
      <w:r w:rsidR="00FE6265" w:rsidRPr="004E47A4">
        <w:rPr>
          <w:sz w:val="24"/>
        </w:rPr>
        <w:t xml:space="preserve">, pursuant to clause W1 of the Contract, </w:t>
      </w:r>
      <w:r w:rsidR="005C2B77" w:rsidRPr="004E47A4">
        <w:rPr>
          <w:sz w:val="24"/>
        </w:rPr>
        <w:t>Framatome</w:t>
      </w:r>
      <w:r w:rsidR="00FE6265" w:rsidRPr="004E47A4">
        <w:rPr>
          <w:sz w:val="24"/>
        </w:rPr>
        <w:t xml:space="preserve"> referred</w:t>
      </w:r>
      <w:r w:rsidRPr="004E47A4">
        <w:rPr>
          <w:sz w:val="24"/>
        </w:rPr>
        <w:t xml:space="preserve"> th</w:t>
      </w:r>
      <w:r>
        <w:rPr>
          <w:sz w:val="24"/>
        </w:rPr>
        <w:t xml:space="preserve">e dispute to adjudication as ‘Adjudication no. 7’. Included in </w:t>
      </w:r>
      <w:r w:rsidR="0095078D">
        <w:rPr>
          <w:sz w:val="24"/>
        </w:rPr>
        <w:t xml:space="preserve">the </w:t>
      </w:r>
      <w:r w:rsidR="005C2B77">
        <w:rPr>
          <w:sz w:val="24"/>
        </w:rPr>
        <w:t>Framatome</w:t>
      </w:r>
      <w:r>
        <w:rPr>
          <w:sz w:val="24"/>
        </w:rPr>
        <w:t>’s referral notice was a quotation setting out</w:t>
      </w:r>
      <w:r w:rsidR="005C2B77">
        <w:rPr>
          <w:sz w:val="24"/>
        </w:rPr>
        <w:t xml:space="preserve"> Framatome</w:t>
      </w:r>
      <w:r>
        <w:rPr>
          <w:sz w:val="24"/>
        </w:rPr>
        <w:t xml:space="preserve">’s assessment of the impact of the revised </w:t>
      </w:r>
      <w:r w:rsidR="0095078D">
        <w:rPr>
          <w:sz w:val="24"/>
        </w:rPr>
        <w:t>k</w:t>
      </w:r>
      <w:r>
        <w:rPr>
          <w:sz w:val="24"/>
        </w:rPr>
        <w:t xml:space="preserve">ey </w:t>
      </w:r>
      <w:r w:rsidR="0095078D">
        <w:rPr>
          <w:sz w:val="24"/>
        </w:rPr>
        <w:t>d</w:t>
      </w:r>
      <w:r>
        <w:rPr>
          <w:sz w:val="24"/>
        </w:rPr>
        <w:t xml:space="preserve">ates 2, 14 and 24 on the remaining </w:t>
      </w:r>
      <w:r w:rsidR="0095078D">
        <w:rPr>
          <w:sz w:val="24"/>
        </w:rPr>
        <w:t>k</w:t>
      </w:r>
      <w:r>
        <w:rPr>
          <w:sz w:val="24"/>
        </w:rPr>
        <w:t xml:space="preserve">ey </w:t>
      </w:r>
      <w:r w:rsidR="0095078D">
        <w:rPr>
          <w:sz w:val="24"/>
        </w:rPr>
        <w:t>d</w:t>
      </w:r>
      <w:r>
        <w:rPr>
          <w:sz w:val="24"/>
        </w:rPr>
        <w:t xml:space="preserve">ates (15 to 19), </w:t>
      </w:r>
      <w:r w:rsidR="0095078D">
        <w:rPr>
          <w:sz w:val="24"/>
        </w:rPr>
        <w:t>s</w:t>
      </w:r>
      <w:r>
        <w:rPr>
          <w:sz w:val="24"/>
        </w:rPr>
        <w:t xml:space="preserve">ectional </w:t>
      </w:r>
      <w:r w:rsidR="0095078D">
        <w:rPr>
          <w:sz w:val="24"/>
        </w:rPr>
        <w:t>c</w:t>
      </w:r>
      <w:r>
        <w:rPr>
          <w:sz w:val="24"/>
        </w:rPr>
        <w:t xml:space="preserve">ompletion </w:t>
      </w:r>
      <w:r w:rsidR="0095078D">
        <w:rPr>
          <w:sz w:val="24"/>
        </w:rPr>
        <w:t>d</w:t>
      </w:r>
      <w:r>
        <w:rPr>
          <w:sz w:val="24"/>
        </w:rPr>
        <w:t xml:space="preserve">ates, the </w:t>
      </w:r>
      <w:r w:rsidR="0095078D">
        <w:rPr>
          <w:sz w:val="24"/>
        </w:rPr>
        <w:t>c</w:t>
      </w:r>
      <w:r>
        <w:rPr>
          <w:sz w:val="24"/>
        </w:rPr>
        <w:t xml:space="preserve">ompletion </w:t>
      </w:r>
      <w:r w:rsidR="0095078D">
        <w:rPr>
          <w:sz w:val="24"/>
        </w:rPr>
        <w:t>d</w:t>
      </w:r>
      <w:r>
        <w:rPr>
          <w:sz w:val="24"/>
        </w:rPr>
        <w:t xml:space="preserve">ate and the </w:t>
      </w:r>
      <w:r w:rsidR="0095078D">
        <w:rPr>
          <w:sz w:val="24"/>
        </w:rPr>
        <w:t>p</w:t>
      </w:r>
      <w:r>
        <w:rPr>
          <w:sz w:val="24"/>
        </w:rPr>
        <w:t xml:space="preserve">rices. </w:t>
      </w:r>
      <w:r w:rsidR="00FE6265" w:rsidRPr="004E47A4">
        <w:rPr>
          <w:sz w:val="24"/>
        </w:rPr>
        <w:t>C</w:t>
      </w:r>
      <w:r w:rsidR="00FA7C7F" w:rsidRPr="004E47A4">
        <w:rPr>
          <w:sz w:val="24"/>
        </w:rPr>
        <w:t xml:space="preserve">lause </w:t>
      </w:r>
      <w:r w:rsidR="00FE6265" w:rsidRPr="004E47A4">
        <w:rPr>
          <w:sz w:val="24"/>
        </w:rPr>
        <w:t>W1</w:t>
      </w:r>
      <w:r w:rsidR="00FE6265">
        <w:rPr>
          <w:sz w:val="24"/>
        </w:rPr>
        <w:t xml:space="preserve"> </w:t>
      </w:r>
      <w:r w:rsidR="00FA7C7F">
        <w:rPr>
          <w:sz w:val="24"/>
        </w:rPr>
        <w:t xml:space="preserve">dictates that the adjudicator may only decide disputes which have been notified and referred to him in accordance with the provisions of the </w:t>
      </w:r>
      <w:r w:rsidR="008D39E3">
        <w:rPr>
          <w:sz w:val="24"/>
        </w:rPr>
        <w:t>C</w:t>
      </w:r>
      <w:r w:rsidR="00FA7C7F">
        <w:rPr>
          <w:sz w:val="24"/>
        </w:rPr>
        <w:t xml:space="preserve">ontract. The provisions of the </w:t>
      </w:r>
      <w:r w:rsidR="008D39E3">
        <w:rPr>
          <w:sz w:val="24"/>
        </w:rPr>
        <w:t>C</w:t>
      </w:r>
      <w:r w:rsidR="00FA7C7F">
        <w:rPr>
          <w:sz w:val="24"/>
        </w:rPr>
        <w:t>ontract also place specific time periods within which such disputes have to be notified</w:t>
      </w:r>
      <w:r w:rsidR="00724DBE">
        <w:rPr>
          <w:sz w:val="24"/>
        </w:rPr>
        <w:t xml:space="preserve"> and referred</w:t>
      </w:r>
      <w:r w:rsidR="00FA7C7F">
        <w:rPr>
          <w:sz w:val="24"/>
        </w:rPr>
        <w:t xml:space="preserve">. Put simply, an adjudicator </w:t>
      </w:r>
      <w:r w:rsidR="00FE6265" w:rsidRPr="006A4157">
        <w:rPr>
          <w:sz w:val="24"/>
        </w:rPr>
        <w:t>would</w:t>
      </w:r>
      <w:r w:rsidR="00FE6265">
        <w:rPr>
          <w:sz w:val="24"/>
        </w:rPr>
        <w:t xml:space="preserve"> </w:t>
      </w:r>
      <w:r w:rsidR="00FA7C7F">
        <w:rPr>
          <w:sz w:val="24"/>
        </w:rPr>
        <w:t xml:space="preserve">have no jurisdiction to decide a dispute which: </w:t>
      </w:r>
      <w:r w:rsidR="00FA7C7F" w:rsidRPr="003A6D3B">
        <w:rPr>
          <w:sz w:val="24"/>
        </w:rPr>
        <w:t>(</w:t>
      </w:r>
      <w:r w:rsidR="00BB1A9E" w:rsidRPr="003A6D3B">
        <w:rPr>
          <w:sz w:val="24"/>
        </w:rPr>
        <w:t>a</w:t>
      </w:r>
      <w:r w:rsidR="00FA7C7F" w:rsidRPr="003A6D3B">
        <w:rPr>
          <w:sz w:val="24"/>
        </w:rPr>
        <w:t>)</w:t>
      </w:r>
      <w:r w:rsidR="00FA7C7F">
        <w:rPr>
          <w:sz w:val="24"/>
        </w:rPr>
        <w:t xml:space="preserve"> has not been notified</w:t>
      </w:r>
      <w:r w:rsidR="00FA7C7F" w:rsidRPr="003A6D3B">
        <w:rPr>
          <w:sz w:val="24"/>
        </w:rPr>
        <w:t>; (</w:t>
      </w:r>
      <w:r w:rsidR="00BB1A9E" w:rsidRPr="003A6D3B">
        <w:rPr>
          <w:sz w:val="24"/>
        </w:rPr>
        <w:t>b</w:t>
      </w:r>
      <w:r w:rsidR="00FA7C7F" w:rsidRPr="003A6D3B">
        <w:rPr>
          <w:sz w:val="24"/>
        </w:rPr>
        <w:t>)</w:t>
      </w:r>
      <w:r w:rsidR="00FA7C7F">
        <w:rPr>
          <w:sz w:val="24"/>
        </w:rPr>
        <w:t xml:space="preserve"> if notified, has not been notified within the prescribed time period; </w:t>
      </w:r>
      <w:r w:rsidR="00FA7C7F" w:rsidRPr="003A6D3B">
        <w:rPr>
          <w:sz w:val="24"/>
        </w:rPr>
        <w:t>and (</w:t>
      </w:r>
      <w:r w:rsidR="00BB1A9E" w:rsidRPr="003A6D3B">
        <w:rPr>
          <w:sz w:val="24"/>
        </w:rPr>
        <w:t>c</w:t>
      </w:r>
      <w:r w:rsidR="00FA7C7F" w:rsidRPr="003A6D3B">
        <w:rPr>
          <w:sz w:val="24"/>
        </w:rPr>
        <w:t>)</w:t>
      </w:r>
      <w:r w:rsidR="00FA7C7F">
        <w:rPr>
          <w:sz w:val="24"/>
        </w:rPr>
        <w:t xml:space="preserve"> has not been referred to the adjudicator within the prescribed period. The adjudicator’s determination is not exhaustive of the disputes, it may be taken on arbitration or overturned during the final stage of dispute resolution.  </w:t>
      </w:r>
    </w:p>
    <w:p w14:paraId="3D9EED6F" w14:textId="77777777" w:rsidR="008B607E" w:rsidRDefault="008B607E" w:rsidP="00522308">
      <w:pPr>
        <w:spacing w:line="360" w:lineRule="auto"/>
        <w:jc w:val="both"/>
        <w:rPr>
          <w:sz w:val="24"/>
        </w:rPr>
      </w:pPr>
    </w:p>
    <w:p w14:paraId="5E7FEDB5" w14:textId="22FA9DE4" w:rsidR="008B607E" w:rsidRPr="000E1BB6" w:rsidRDefault="008B607E" w:rsidP="008B607E">
      <w:pPr>
        <w:spacing w:line="360" w:lineRule="auto"/>
        <w:jc w:val="both"/>
        <w:rPr>
          <w:sz w:val="24"/>
        </w:rPr>
      </w:pPr>
      <w:r>
        <w:rPr>
          <w:sz w:val="24"/>
        </w:rPr>
        <w:t>[1</w:t>
      </w:r>
      <w:r w:rsidR="003956DA">
        <w:rPr>
          <w:sz w:val="24"/>
        </w:rPr>
        <w:t>0</w:t>
      </w:r>
      <w:r>
        <w:rPr>
          <w:sz w:val="24"/>
        </w:rPr>
        <w:t>]</w:t>
      </w:r>
      <w:r w:rsidR="00AB58D0">
        <w:rPr>
          <w:sz w:val="24"/>
        </w:rPr>
        <w:tab/>
      </w:r>
      <w:r w:rsidRPr="000E1BB6">
        <w:rPr>
          <w:sz w:val="24"/>
        </w:rPr>
        <w:t xml:space="preserve">The adjudicator described the dispute before him </w:t>
      </w:r>
      <w:r w:rsidRPr="006A4157">
        <w:rPr>
          <w:sz w:val="24"/>
        </w:rPr>
        <w:t>as</w:t>
      </w:r>
      <w:r w:rsidR="00962D1E" w:rsidRPr="006A4157">
        <w:rPr>
          <w:sz w:val="24"/>
        </w:rPr>
        <w:t xml:space="preserve"> follows</w:t>
      </w:r>
      <w:r w:rsidRPr="006A4157">
        <w:rPr>
          <w:sz w:val="24"/>
        </w:rPr>
        <w:t>:</w:t>
      </w:r>
    </w:p>
    <w:p w14:paraId="6CCF0F12" w14:textId="67B9B41D" w:rsidR="008B607E" w:rsidRDefault="008B607E" w:rsidP="008B607E">
      <w:pPr>
        <w:spacing w:line="360" w:lineRule="auto"/>
        <w:jc w:val="both"/>
        <w:rPr>
          <w:sz w:val="22"/>
          <w:szCs w:val="22"/>
        </w:rPr>
      </w:pPr>
      <w:r>
        <w:rPr>
          <w:sz w:val="22"/>
          <w:szCs w:val="22"/>
        </w:rPr>
        <w:t>‘</w:t>
      </w:r>
      <w:r w:rsidRPr="00CF6DBF">
        <w:rPr>
          <w:sz w:val="22"/>
          <w:szCs w:val="22"/>
        </w:rPr>
        <w:t>The first issue on which I am required to give a decision is whether the Project Manager failed to make the assessment of the Compensation Event of Changed Key Dates 2, 14 and 24 in due time as directed by the Adjudicator’s decision of 26</w:t>
      </w:r>
      <w:r w:rsidRPr="00CF6DBF">
        <w:rPr>
          <w:sz w:val="22"/>
          <w:szCs w:val="22"/>
          <w:vertAlign w:val="superscript"/>
        </w:rPr>
        <w:t>th</w:t>
      </w:r>
      <w:r w:rsidRPr="00CF6DBF">
        <w:rPr>
          <w:sz w:val="22"/>
          <w:szCs w:val="22"/>
        </w:rPr>
        <w:t xml:space="preserve"> February 2019 and if not what the consequences of this are.</w:t>
      </w:r>
      <w:r>
        <w:rPr>
          <w:sz w:val="22"/>
          <w:szCs w:val="22"/>
        </w:rPr>
        <w:t>’</w:t>
      </w:r>
    </w:p>
    <w:p w14:paraId="3F235794" w14:textId="77777777" w:rsidR="0071716C" w:rsidRPr="00CF6DBF" w:rsidRDefault="0071716C" w:rsidP="008B607E">
      <w:pPr>
        <w:spacing w:line="360" w:lineRule="auto"/>
        <w:jc w:val="both"/>
        <w:rPr>
          <w:sz w:val="22"/>
          <w:szCs w:val="22"/>
        </w:rPr>
      </w:pPr>
    </w:p>
    <w:p w14:paraId="70757B16" w14:textId="18653A6E" w:rsidR="0071716C" w:rsidRPr="000E1BB6" w:rsidRDefault="0071716C" w:rsidP="0071716C">
      <w:pPr>
        <w:spacing w:line="360" w:lineRule="auto"/>
        <w:jc w:val="both"/>
        <w:rPr>
          <w:sz w:val="24"/>
        </w:rPr>
      </w:pPr>
      <w:r>
        <w:rPr>
          <w:sz w:val="24"/>
        </w:rPr>
        <w:lastRenderedPageBreak/>
        <w:t>[1</w:t>
      </w:r>
      <w:r w:rsidR="003956DA">
        <w:rPr>
          <w:sz w:val="24"/>
        </w:rPr>
        <w:t>1</w:t>
      </w:r>
      <w:r>
        <w:rPr>
          <w:sz w:val="24"/>
        </w:rPr>
        <w:t>]</w:t>
      </w:r>
      <w:r>
        <w:rPr>
          <w:sz w:val="24"/>
        </w:rPr>
        <w:tab/>
      </w:r>
      <w:r w:rsidRPr="000E1BB6">
        <w:rPr>
          <w:sz w:val="24"/>
        </w:rPr>
        <w:t xml:space="preserve">In response, </w:t>
      </w:r>
      <w:r w:rsidR="005C2B77">
        <w:rPr>
          <w:sz w:val="24"/>
        </w:rPr>
        <w:t>Framatome</w:t>
      </w:r>
      <w:r w:rsidRPr="000E1BB6">
        <w:rPr>
          <w:sz w:val="24"/>
        </w:rPr>
        <w:t xml:space="preserve">, in its redress, sought a decision that: </w:t>
      </w:r>
    </w:p>
    <w:p w14:paraId="65FFED2E" w14:textId="23BA4927" w:rsidR="0071716C" w:rsidRDefault="0071716C" w:rsidP="0071716C">
      <w:pPr>
        <w:spacing w:line="360" w:lineRule="auto"/>
        <w:jc w:val="both"/>
        <w:rPr>
          <w:sz w:val="22"/>
          <w:szCs w:val="22"/>
        </w:rPr>
      </w:pPr>
      <w:r w:rsidRPr="00601F11">
        <w:rPr>
          <w:sz w:val="22"/>
          <w:szCs w:val="22"/>
        </w:rPr>
        <w:t>‘</w:t>
      </w:r>
      <w:r w:rsidR="00FE6265" w:rsidRPr="00601F11">
        <w:rPr>
          <w:sz w:val="22"/>
          <w:szCs w:val="22"/>
        </w:rPr>
        <w:t>[The appellant</w:t>
      </w:r>
      <w:r w:rsidR="00FE6265">
        <w:rPr>
          <w:sz w:val="22"/>
          <w:szCs w:val="22"/>
        </w:rPr>
        <w:t xml:space="preserve">] </w:t>
      </w:r>
      <w:r w:rsidRPr="00CF6DBF">
        <w:rPr>
          <w:sz w:val="22"/>
          <w:szCs w:val="22"/>
        </w:rPr>
        <w:t>seeks a decision by the Adjudicator that: The Project Manager failed to make the full assessment of the compensation event of changed Key Dates 2, 14, 24 in due time and as directed by the Adjudicator’s decision of February 26</w:t>
      </w:r>
      <w:r w:rsidRPr="00CF6DBF">
        <w:rPr>
          <w:sz w:val="22"/>
          <w:szCs w:val="22"/>
          <w:vertAlign w:val="superscript"/>
        </w:rPr>
        <w:t>th</w:t>
      </w:r>
      <w:r w:rsidRPr="00CF6DBF">
        <w:rPr>
          <w:sz w:val="22"/>
          <w:szCs w:val="22"/>
        </w:rPr>
        <w:t>, 2019; as a consequence, the Contractor’s quotation contained in the Contractor’s referral of December 11</w:t>
      </w:r>
      <w:r w:rsidRPr="00CF6DBF">
        <w:rPr>
          <w:sz w:val="22"/>
          <w:szCs w:val="22"/>
          <w:vertAlign w:val="superscript"/>
        </w:rPr>
        <w:t>th</w:t>
      </w:r>
      <w:r w:rsidRPr="00CF6DBF">
        <w:rPr>
          <w:sz w:val="22"/>
          <w:szCs w:val="22"/>
        </w:rPr>
        <w:t>, 2018 (paragraphs 135 to 171 and appendices 6 and 7) shall be deemed accepted</w:t>
      </w:r>
      <w:r w:rsidR="00CB7D0A">
        <w:rPr>
          <w:sz w:val="22"/>
          <w:szCs w:val="22"/>
        </w:rPr>
        <w:t xml:space="preserve">. . . </w:t>
      </w:r>
      <w:r>
        <w:rPr>
          <w:sz w:val="22"/>
          <w:szCs w:val="22"/>
        </w:rPr>
        <w:t>’</w:t>
      </w:r>
    </w:p>
    <w:p w14:paraId="0EBCD340" w14:textId="7D00E5E2" w:rsidR="0071716C" w:rsidRDefault="0071716C" w:rsidP="0071716C">
      <w:pPr>
        <w:spacing w:line="360" w:lineRule="auto"/>
        <w:jc w:val="both"/>
        <w:rPr>
          <w:sz w:val="22"/>
          <w:szCs w:val="22"/>
        </w:rPr>
      </w:pPr>
    </w:p>
    <w:p w14:paraId="5CD2D457" w14:textId="4C33F372" w:rsidR="00522308" w:rsidRPr="00081799" w:rsidRDefault="0071716C" w:rsidP="00522308">
      <w:pPr>
        <w:spacing w:line="360" w:lineRule="auto"/>
        <w:jc w:val="both"/>
        <w:rPr>
          <w:sz w:val="24"/>
        </w:rPr>
      </w:pPr>
      <w:r w:rsidRPr="00AB58D0">
        <w:rPr>
          <w:sz w:val="22"/>
          <w:szCs w:val="22"/>
        </w:rPr>
        <w:t>[1</w:t>
      </w:r>
      <w:r w:rsidR="003956DA">
        <w:rPr>
          <w:sz w:val="22"/>
          <w:szCs w:val="22"/>
        </w:rPr>
        <w:t>2</w:t>
      </w:r>
      <w:r w:rsidRPr="00AB58D0">
        <w:rPr>
          <w:sz w:val="22"/>
          <w:szCs w:val="22"/>
        </w:rPr>
        <w:t>]</w:t>
      </w:r>
      <w:r>
        <w:rPr>
          <w:sz w:val="22"/>
          <w:szCs w:val="22"/>
        </w:rPr>
        <w:tab/>
      </w:r>
      <w:r>
        <w:rPr>
          <w:sz w:val="24"/>
        </w:rPr>
        <w:t xml:space="preserve">On 26 February 2019, the adjudicator issued his decision as ‘Decision no. 7’ which recorded that the project manager’s instruction of 29 May 2017 was indeed a compensation event and summarised the dispute as being about ‘the manner in which </w:t>
      </w:r>
      <w:r w:rsidR="00B754FE">
        <w:rPr>
          <w:sz w:val="24"/>
        </w:rPr>
        <w:t>[the]</w:t>
      </w:r>
      <w:r>
        <w:rPr>
          <w:sz w:val="24"/>
        </w:rPr>
        <w:t xml:space="preserve"> compensation event was implemented which needs to be evaluated’.</w:t>
      </w:r>
      <w:r w:rsidR="00B754FE">
        <w:rPr>
          <w:sz w:val="24"/>
        </w:rPr>
        <w:t xml:space="preserve"> </w:t>
      </w:r>
      <w:r w:rsidR="00904D69">
        <w:rPr>
          <w:sz w:val="24"/>
        </w:rPr>
        <w:t>Eskom</w:t>
      </w:r>
      <w:r w:rsidR="00FA7C7F">
        <w:rPr>
          <w:sz w:val="24"/>
        </w:rPr>
        <w:t xml:space="preserve"> did not give notice of its dissatisfaction with the decision in terms of sub</w:t>
      </w:r>
      <w:r w:rsidR="00962D1E">
        <w:rPr>
          <w:sz w:val="24"/>
        </w:rPr>
        <w:t>-</w:t>
      </w:r>
      <w:r w:rsidR="00FA7C7F">
        <w:rPr>
          <w:sz w:val="24"/>
        </w:rPr>
        <w:t xml:space="preserve">clause W14(2) of the </w:t>
      </w:r>
      <w:r w:rsidR="00B754FE">
        <w:rPr>
          <w:sz w:val="24"/>
        </w:rPr>
        <w:t>C</w:t>
      </w:r>
      <w:r w:rsidR="00FA7C7F">
        <w:rPr>
          <w:sz w:val="24"/>
        </w:rPr>
        <w:t xml:space="preserve">onditions read </w:t>
      </w:r>
      <w:r w:rsidR="00B754FE">
        <w:rPr>
          <w:sz w:val="24"/>
        </w:rPr>
        <w:t xml:space="preserve">together </w:t>
      </w:r>
      <w:r w:rsidR="00FA7C7F">
        <w:rPr>
          <w:sz w:val="24"/>
        </w:rPr>
        <w:t>with sub</w:t>
      </w:r>
      <w:r w:rsidR="00962D1E">
        <w:rPr>
          <w:sz w:val="24"/>
        </w:rPr>
        <w:t>-</w:t>
      </w:r>
      <w:r w:rsidR="00FA7C7F">
        <w:rPr>
          <w:sz w:val="24"/>
        </w:rPr>
        <w:t xml:space="preserve">clause W3.10. It must be emphasised that in its referral and submission in the adjudication of </w:t>
      </w:r>
      <w:r w:rsidR="00520C47">
        <w:rPr>
          <w:sz w:val="24"/>
        </w:rPr>
        <w:t>D</w:t>
      </w:r>
      <w:r w:rsidR="00FA7C7F">
        <w:rPr>
          <w:sz w:val="24"/>
        </w:rPr>
        <w:t xml:space="preserve">ispute 7, </w:t>
      </w:r>
      <w:r w:rsidR="005C2B77">
        <w:rPr>
          <w:sz w:val="24"/>
        </w:rPr>
        <w:t>Framatome</w:t>
      </w:r>
      <w:r w:rsidR="00FA7C7F">
        <w:rPr>
          <w:sz w:val="24"/>
        </w:rPr>
        <w:t xml:space="preserve"> included a section which set out its assessment and quotation of the compensation event and requested the adjudicator to direct the implementation of the compensation event in accordance with that assessment. After </w:t>
      </w:r>
      <w:r w:rsidR="00520C47">
        <w:rPr>
          <w:sz w:val="24"/>
        </w:rPr>
        <w:t>D</w:t>
      </w:r>
      <w:r w:rsidR="00FA7C7F">
        <w:rPr>
          <w:sz w:val="24"/>
        </w:rPr>
        <w:t xml:space="preserve">ecision 7 was issued, the </w:t>
      </w:r>
      <w:r w:rsidR="00520C47">
        <w:rPr>
          <w:sz w:val="24"/>
        </w:rPr>
        <w:t>P</w:t>
      </w:r>
      <w:r w:rsidR="00FA7C7F">
        <w:rPr>
          <w:sz w:val="24"/>
        </w:rPr>
        <w:t xml:space="preserve">roject </w:t>
      </w:r>
      <w:r w:rsidR="00520C47">
        <w:rPr>
          <w:sz w:val="24"/>
        </w:rPr>
        <w:t>M</w:t>
      </w:r>
      <w:r w:rsidR="00FA7C7F">
        <w:rPr>
          <w:sz w:val="24"/>
        </w:rPr>
        <w:t>anager did not assess the compensation event. Acting in terms of sub</w:t>
      </w:r>
      <w:r w:rsidR="00962D1E">
        <w:rPr>
          <w:sz w:val="24"/>
        </w:rPr>
        <w:t>-</w:t>
      </w:r>
      <w:r w:rsidR="00FA7C7F">
        <w:rPr>
          <w:sz w:val="24"/>
        </w:rPr>
        <w:t>clause 64.4</w:t>
      </w:r>
      <w:r w:rsidR="001567B1">
        <w:rPr>
          <w:rStyle w:val="FootnoteReference"/>
          <w:sz w:val="24"/>
        </w:rPr>
        <w:footnoteReference w:id="2"/>
      </w:r>
      <w:r w:rsidR="00FA7C7F">
        <w:rPr>
          <w:sz w:val="24"/>
        </w:rPr>
        <w:t xml:space="preserve"> of the Conditions,</w:t>
      </w:r>
      <w:r w:rsidR="00B754FE">
        <w:rPr>
          <w:sz w:val="24"/>
        </w:rPr>
        <w:t xml:space="preserve"> </w:t>
      </w:r>
      <w:r w:rsidR="005C2B77">
        <w:rPr>
          <w:sz w:val="24"/>
        </w:rPr>
        <w:t>Framatome</w:t>
      </w:r>
      <w:r w:rsidR="00FA7C7F">
        <w:rPr>
          <w:sz w:val="24"/>
        </w:rPr>
        <w:t xml:space="preserve"> notified the </w:t>
      </w:r>
      <w:r w:rsidR="00520C47">
        <w:rPr>
          <w:sz w:val="24"/>
        </w:rPr>
        <w:t>P</w:t>
      </w:r>
      <w:r w:rsidR="00FA7C7F">
        <w:rPr>
          <w:sz w:val="24"/>
        </w:rPr>
        <w:t xml:space="preserve">roject </w:t>
      </w:r>
      <w:r w:rsidR="00520C47">
        <w:rPr>
          <w:sz w:val="24"/>
        </w:rPr>
        <w:t>M</w:t>
      </w:r>
      <w:r w:rsidR="00FA7C7F">
        <w:rPr>
          <w:sz w:val="24"/>
        </w:rPr>
        <w:t xml:space="preserve">anager on 20 March 2019 that he had failed to assess the </w:t>
      </w:r>
      <w:r w:rsidR="00B754FE">
        <w:rPr>
          <w:sz w:val="24"/>
        </w:rPr>
        <w:t>c</w:t>
      </w:r>
      <w:r w:rsidR="00FA7C7F">
        <w:rPr>
          <w:sz w:val="24"/>
        </w:rPr>
        <w:t xml:space="preserve">ompensation </w:t>
      </w:r>
      <w:r w:rsidR="00B754FE">
        <w:rPr>
          <w:sz w:val="24"/>
        </w:rPr>
        <w:t>e</w:t>
      </w:r>
      <w:r w:rsidR="00FA7C7F">
        <w:rPr>
          <w:sz w:val="24"/>
        </w:rPr>
        <w:t xml:space="preserve">vent. Despite this notification, the </w:t>
      </w:r>
      <w:r w:rsidR="00520C47">
        <w:rPr>
          <w:sz w:val="24"/>
        </w:rPr>
        <w:t>P</w:t>
      </w:r>
      <w:r w:rsidR="00FA7C7F">
        <w:rPr>
          <w:sz w:val="24"/>
        </w:rPr>
        <w:t xml:space="preserve">roject </w:t>
      </w:r>
      <w:r w:rsidR="00520C47">
        <w:rPr>
          <w:sz w:val="24"/>
        </w:rPr>
        <w:t>M</w:t>
      </w:r>
      <w:r w:rsidR="00FA7C7F">
        <w:rPr>
          <w:sz w:val="24"/>
        </w:rPr>
        <w:t xml:space="preserve">anager still failed to make any assessment. </w:t>
      </w:r>
      <w:r w:rsidR="00FA7C7F" w:rsidRPr="001567B1">
        <w:rPr>
          <w:sz w:val="24"/>
        </w:rPr>
        <w:t>The consequence of such a failure is that the provisions of sub</w:t>
      </w:r>
      <w:r w:rsidR="00962D1E" w:rsidRPr="001567B1">
        <w:rPr>
          <w:sz w:val="24"/>
        </w:rPr>
        <w:t>-</w:t>
      </w:r>
      <w:r w:rsidR="00FA7C7F" w:rsidRPr="001567B1">
        <w:rPr>
          <w:sz w:val="24"/>
        </w:rPr>
        <w:t>clause 64.4 w</w:t>
      </w:r>
      <w:r w:rsidR="00B754FE" w:rsidRPr="001567B1">
        <w:rPr>
          <w:sz w:val="24"/>
        </w:rPr>
        <w:t>ere</w:t>
      </w:r>
      <w:r w:rsidR="00FA7C7F" w:rsidRPr="001567B1">
        <w:rPr>
          <w:sz w:val="24"/>
        </w:rPr>
        <w:t xml:space="preserve"> triggered with the concomitant result that</w:t>
      </w:r>
      <w:r w:rsidR="005C2B77" w:rsidRPr="001567B1">
        <w:rPr>
          <w:sz w:val="24"/>
        </w:rPr>
        <w:t xml:space="preserve"> Framatome</w:t>
      </w:r>
      <w:r w:rsidR="00FA7C7F" w:rsidRPr="001567B1">
        <w:rPr>
          <w:sz w:val="24"/>
        </w:rPr>
        <w:t>’s quotation was deemed to be acceptable.</w:t>
      </w:r>
    </w:p>
    <w:p w14:paraId="4D8C07B1" w14:textId="100FE081" w:rsidR="0071716C" w:rsidRDefault="0071716C" w:rsidP="00522308">
      <w:pPr>
        <w:spacing w:line="360" w:lineRule="auto"/>
        <w:jc w:val="both"/>
        <w:rPr>
          <w:sz w:val="24"/>
        </w:rPr>
      </w:pPr>
    </w:p>
    <w:p w14:paraId="4C24681D" w14:textId="2ABCEF2A" w:rsidR="0071716C" w:rsidRDefault="0071716C" w:rsidP="00522308">
      <w:pPr>
        <w:spacing w:line="360" w:lineRule="auto"/>
        <w:jc w:val="both"/>
        <w:rPr>
          <w:sz w:val="24"/>
        </w:rPr>
      </w:pPr>
      <w:r w:rsidRPr="00AB58D0">
        <w:rPr>
          <w:sz w:val="24"/>
        </w:rPr>
        <w:t>[1</w:t>
      </w:r>
      <w:r w:rsidR="003956DA">
        <w:rPr>
          <w:sz w:val="24"/>
        </w:rPr>
        <w:t>3</w:t>
      </w:r>
      <w:r w:rsidRPr="00AB58D0">
        <w:rPr>
          <w:sz w:val="24"/>
        </w:rPr>
        <w:t>]</w:t>
      </w:r>
      <w:r w:rsidR="001A6186">
        <w:rPr>
          <w:sz w:val="24"/>
        </w:rPr>
        <w:tab/>
        <w:t xml:space="preserve">On 23 April 2019, </w:t>
      </w:r>
      <w:r w:rsidR="00B22D5C">
        <w:rPr>
          <w:sz w:val="24"/>
        </w:rPr>
        <w:t>Framatome</w:t>
      </w:r>
      <w:r w:rsidR="00242FE7">
        <w:rPr>
          <w:sz w:val="24"/>
        </w:rPr>
        <w:t xml:space="preserve"> </w:t>
      </w:r>
      <w:r w:rsidR="001A6186">
        <w:rPr>
          <w:sz w:val="24"/>
        </w:rPr>
        <w:t xml:space="preserve">notified the </w:t>
      </w:r>
      <w:r w:rsidR="00520C47">
        <w:rPr>
          <w:sz w:val="24"/>
        </w:rPr>
        <w:t>P</w:t>
      </w:r>
      <w:r w:rsidR="001A6186">
        <w:rPr>
          <w:sz w:val="24"/>
        </w:rPr>
        <w:t xml:space="preserve">roject </w:t>
      </w:r>
      <w:r w:rsidR="00520C47">
        <w:rPr>
          <w:sz w:val="24"/>
        </w:rPr>
        <w:t>M</w:t>
      </w:r>
      <w:r w:rsidR="001A6186">
        <w:rPr>
          <w:sz w:val="24"/>
        </w:rPr>
        <w:t xml:space="preserve">anager and </w:t>
      </w:r>
      <w:r w:rsidR="00904D69">
        <w:rPr>
          <w:sz w:val="24"/>
        </w:rPr>
        <w:t>Eskom</w:t>
      </w:r>
      <w:r w:rsidR="001A6186">
        <w:rPr>
          <w:sz w:val="24"/>
        </w:rPr>
        <w:t xml:space="preserve"> of a dispute regarding the </w:t>
      </w:r>
      <w:r w:rsidR="00520C47">
        <w:rPr>
          <w:sz w:val="24"/>
        </w:rPr>
        <w:t>P</w:t>
      </w:r>
      <w:r w:rsidR="001A6186">
        <w:rPr>
          <w:sz w:val="24"/>
        </w:rPr>
        <w:t xml:space="preserve">roject </w:t>
      </w:r>
      <w:r w:rsidR="00520C47">
        <w:rPr>
          <w:sz w:val="24"/>
        </w:rPr>
        <w:t>M</w:t>
      </w:r>
      <w:r w:rsidR="001A6186">
        <w:rPr>
          <w:sz w:val="24"/>
        </w:rPr>
        <w:t>anager’s assessment. The dispute</w:t>
      </w:r>
      <w:r w:rsidR="00E722B9">
        <w:rPr>
          <w:sz w:val="24"/>
        </w:rPr>
        <w:t>, referred to as ‘Dispute 11’,</w:t>
      </w:r>
      <w:r w:rsidR="001A6186">
        <w:rPr>
          <w:sz w:val="24"/>
        </w:rPr>
        <w:t xml:space="preserve"> was referred to </w:t>
      </w:r>
      <w:r w:rsidR="001A6186" w:rsidRPr="005C2B77">
        <w:rPr>
          <w:sz w:val="24"/>
        </w:rPr>
        <w:t>the adjudicator</w:t>
      </w:r>
      <w:r w:rsidR="00962D1E" w:rsidRPr="005C2B77">
        <w:rPr>
          <w:sz w:val="24"/>
        </w:rPr>
        <w:t>.</w:t>
      </w:r>
      <w:r w:rsidR="00B22D5C">
        <w:rPr>
          <w:sz w:val="24"/>
        </w:rPr>
        <w:t xml:space="preserve"> Framatome</w:t>
      </w:r>
      <w:r w:rsidR="001A6186">
        <w:rPr>
          <w:sz w:val="24"/>
        </w:rPr>
        <w:t xml:space="preserve"> requested the adjudicator to determine </w:t>
      </w:r>
      <w:r w:rsidR="00242FE7">
        <w:rPr>
          <w:sz w:val="24"/>
        </w:rPr>
        <w:t>whether</w:t>
      </w:r>
      <w:r w:rsidR="001A6186">
        <w:rPr>
          <w:sz w:val="24"/>
        </w:rPr>
        <w:t xml:space="preserve"> </w:t>
      </w:r>
      <w:r w:rsidR="001A6186" w:rsidRPr="005C2B77">
        <w:rPr>
          <w:sz w:val="24"/>
        </w:rPr>
        <w:t xml:space="preserve">the </w:t>
      </w:r>
      <w:r w:rsidR="00520C47" w:rsidRPr="005C2B77">
        <w:rPr>
          <w:sz w:val="24"/>
        </w:rPr>
        <w:t>P</w:t>
      </w:r>
      <w:r w:rsidR="001A6186" w:rsidRPr="005C2B77">
        <w:rPr>
          <w:sz w:val="24"/>
        </w:rPr>
        <w:t xml:space="preserve">roject </w:t>
      </w:r>
      <w:r w:rsidR="00520C47" w:rsidRPr="005C2B77">
        <w:rPr>
          <w:sz w:val="24"/>
        </w:rPr>
        <w:t>M</w:t>
      </w:r>
      <w:r w:rsidR="001A6186" w:rsidRPr="005C2B77">
        <w:rPr>
          <w:sz w:val="24"/>
        </w:rPr>
        <w:t xml:space="preserve">anager had </w:t>
      </w:r>
      <w:r w:rsidR="00E722B9" w:rsidRPr="005C2B77">
        <w:rPr>
          <w:sz w:val="24"/>
        </w:rPr>
        <w:t xml:space="preserve">made </w:t>
      </w:r>
      <w:r w:rsidR="001A6186" w:rsidRPr="005C2B77">
        <w:rPr>
          <w:sz w:val="24"/>
        </w:rPr>
        <w:t>a full assessment</w:t>
      </w:r>
      <w:r w:rsidR="001A6186">
        <w:rPr>
          <w:sz w:val="24"/>
        </w:rPr>
        <w:t xml:space="preserve"> of the compensation event in due time, as directed by </w:t>
      </w:r>
      <w:r w:rsidR="00520C47">
        <w:rPr>
          <w:sz w:val="24"/>
        </w:rPr>
        <w:t>D</w:t>
      </w:r>
      <w:r w:rsidR="001A6186">
        <w:rPr>
          <w:sz w:val="24"/>
        </w:rPr>
        <w:t>ecision 7 and</w:t>
      </w:r>
      <w:r w:rsidR="00E722B9">
        <w:rPr>
          <w:sz w:val="24"/>
        </w:rPr>
        <w:t xml:space="preserve"> whether the Projector Manager had</w:t>
      </w:r>
      <w:r w:rsidR="001A6186">
        <w:rPr>
          <w:sz w:val="24"/>
        </w:rPr>
        <w:t xml:space="preserve"> properly assess</w:t>
      </w:r>
      <w:r w:rsidR="00E722B9">
        <w:rPr>
          <w:sz w:val="24"/>
        </w:rPr>
        <w:t>ed</w:t>
      </w:r>
      <w:r w:rsidR="001A6186">
        <w:rPr>
          <w:sz w:val="24"/>
        </w:rPr>
        <w:t xml:space="preserve"> the impact of the change to </w:t>
      </w:r>
      <w:r w:rsidR="00AC4F5C">
        <w:rPr>
          <w:sz w:val="24"/>
        </w:rPr>
        <w:t>k</w:t>
      </w:r>
      <w:r w:rsidR="001A6186">
        <w:rPr>
          <w:sz w:val="24"/>
        </w:rPr>
        <w:t xml:space="preserve">ey </w:t>
      </w:r>
      <w:r w:rsidR="00AC4F5C">
        <w:rPr>
          <w:sz w:val="24"/>
        </w:rPr>
        <w:t>d</w:t>
      </w:r>
      <w:r w:rsidR="001A6186">
        <w:rPr>
          <w:sz w:val="24"/>
        </w:rPr>
        <w:t xml:space="preserve">ates 2, 14 and 24 on the </w:t>
      </w:r>
      <w:r w:rsidR="00AC4F5C">
        <w:rPr>
          <w:sz w:val="24"/>
        </w:rPr>
        <w:t>s</w:t>
      </w:r>
      <w:r w:rsidR="002F57BE">
        <w:rPr>
          <w:sz w:val="24"/>
        </w:rPr>
        <w:t xml:space="preserve">ectional </w:t>
      </w:r>
      <w:r w:rsidR="00AC4F5C">
        <w:rPr>
          <w:sz w:val="24"/>
        </w:rPr>
        <w:t>c</w:t>
      </w:r>
      <w:r w:rsidR="002F57BE">
        <w:rPr>
          <w:sz w:val="24"/>
        </w:rPr>
        <w:t xml:space="preserve">ompletion </w:t>
      </w:r>
      <w:r w:rsidR="00AC4F5C">
        <w:rPr>
          <w:sz w:val="24"/>
        </w:rPr>
        <w:lastRenderedPageBreak/>
        <w:t>d</w:t>
      </w:r>
      <w:r w:rsidR="002F57BE">
        <w:rPr>
          <w:sz w:val="24"/>
        </w:rPr>
        <w:t>ates</w:t>
      </w:r>
      <w:r w:rsidR="001A6186">
        <w:rPr>
          <w:sz w:val="24"/>
        </w:rPr>
        <w:t xml:space="preserve">, the </w:t>
      </w:r>
      <w:r w:rsidR="00AC4F5C">
        <w:rPr>
          <w:sz w:val="24"/>
        </w:rPr>
        <w:t>c</w:t>
      </w:r>
      <w:r w:rsidR="001A6186">
        <w:rPr>
          <w:sz w:val="24"/>
        </w:rPr>
        <w:t xml:space="preserve">ompletion </w:t>
      </w:r>
      <w:r w:rsidR="008D0562">
        <w:rPr>
          <w:sz w:val="24"/>
        </w:rPr>
        <w:t>d</w:t>
      </w:r>
      <w:r w:rsidR="001A6186">
        <w:rPr>
          <w:sz w:val="24"/>
        </w:rPr>
        <w:t xml:space="preserve">ate, the </w:t>
      </w:r>
      <w:r w:rsidR="008D0562">
        <w:rPr>
          <w:sz w:val="24"/>
        </w:rPr>
        <w:t>p</w:t>
      </w:r>
      <w:r w:rsidR="001A6186">
        <w:rPr>
          <w:sz w:val="24"/>
        </w:rPr>
        <w:t>rices</w:t>
      </w:r>
      <w:r w:rsidR="00E722B9">
        <w:rPr>
          <w:sz w:val="24"/>
        </w:rPr>
        <w:t>,</w:t>
      </w:r>
      <w:r w:rsidR="001A6186">
        <w:rPr>
          <w:sz w:val="24"/>
        </w:rPr>
        <w:t xml:space="preserve"> and</w:t>
      </w:r>
      <w:r w:rsidR="00E722B9">
        <w:rPr>
          <w:sz w:val="24"/>
        </w:rPr>
        <w:t xml:space="preserve"> whether</w:t>
      </w:r>
      <w:r w:rsidR="001A6186">
        <w:rPr>
          <w:sz w:val="24"/>
        </w:rPr>
        <w:t xml:space="preserve"> </w:t>
      </w:r>
      <w:r w:rsidR="00B22D5C">
        <w:rPr>
          <w:sz w:val="24"/>
        </w:rPr>
        <w:t>Framatome</w:t>
      </w:r>
      <w:r w:rsidR="001A6186">
        <w:rPr>
          <w:sz w:val="24"/>
        </w:rPr>
        <w:t>’s quotation</w:t>
      </w:r>
      <w:r w:rsidR="00C30EF1">
        <w:rPr>
          <w:sz w:val="24"/>
        </w:rPr>
        <w:t xml:space="preserve"> was deemed </w:t>
      </w:r>
      <w:r w:rsidR="00C30EF1" w:rsidRPr="005C2B77">
        <w:rPr>
          <w:sz w:val="24"/>
        </w:rPr>
        <w:t xml:space="preserve">accepted by </w:t>
      </w:r>
      <w:r w:rsidR="00904D69">
        <w:rPr>
          <w:sz w:val="24"/>
        </w:rPr>
        <w:t>Eskom</w:t>
      </w:r>
      <w:r w:rsidR="00E722B9" w:rsidRPr="005C2B77">
        <w:rPr>
          <w:sz w:val="24"/>
        </w:rPr>
        <w:t xml:space="preserve"> in terms of sub-clause 16.4. </w:t>
      </w:r>
    </w:p>
    <w:p w14:paraId="3342221F" w14:textId="77777777" w:rsidR="00C30EF1" w:rsidRDefault="00C30EF1" w:rsidP="00522308">
      <w:pPr>
        <w:spacing w:line="360" w:lineRule="auto"/>
        <w:jc w:val="both"/>
        <w:rPr>
          <w:sz w:val="24"/>
        </w:rPr>
      </w:pPr>
    </w:p>
    <w:p w14:paraId="4AE08A50" w14:textId="6ABC8E27" w:rsidR="0071716C" w:rsidRDefault="0071716C" w:rsidP="00522308">
      <w:pPr>
        <w:spacing w:line="360" w:lineRule="auto"/>
        <w:jc w:val="both"/>
        <w:rPr>
          <w:sz w:val="24"/>
        </w:rPr>
      </w:pPr>
      <w:r w:rsidRPr="00AB58D0">
        <w:rPr>
          <w:sz w:val="24"/>
        </w:rPr>
        <w:t>[1</w:t>
      </w:r>
      <w:r w:rsidR="003956DA">
        <w:rPr>
          <w:sz w:val="24"/>
        </w:rPr>
        <w:t>4</w:t>
      </w:r>
      <w:r w:rsidRPr="00AB58D0">
        <w:rPr>
          <w:sz w:val="24"/>
        </w:rPr>
        <w:t>]</w:t>
      </w:r>
      <w:r w:rsidR="00C30EF1">
        <w:rPr>
          <w:sz w:val="24"/>
        </w:rPr>
        <w:tab/>
      </w:r>
      <w:r w:rsidR="00C30EF1" w:rsidRPr="005C2B77">
        <w:rPr>
          <w:sz w:val="24"/>
        </w:rPr>
        <w:t>In his findings,</w:t>
      </w:r>
      <w:r w:rsidR="00E722B9" w:rsidRPr="005C2B77">
        <w:rPr>
          <w:sz w:val="24"/>
        </w:rPr>
        <w:t xml:space="preserve"> referred to as ‘Decision 11’,</w:t>
      </w:r>
      <w:r w:rsidR="00C30EF1">
        <w:rPr>
          <w:sz w:val="24"/>
        </w:rPr>
        <w:t xml:space="preserve"> the adjudicator determined that </w:t>
      </w:r>
      <w:r w:rsidR="00904D69">
        <w:rPr>
          <w:sz w:val="24"/>
        </w:rPr>
        <w:t>Eskom</w:t>
      </w:r>
      <w:r w:rsidR="00C30EF1">
        <w:rPr>
          <w:sz w:val="24"/>
        </w:rPr>
        <w:t xml:space="preserve"> had failed</w:t>
      </w:r>
      <w:r w:rsidR="008D0562">
        <w:rPr>
          <w:sz w:val="24"/>
        </w:rPr>
        <w:t>,</w:t>
      </w:r>
      <w:r w:rsidR="00C30EF1">
        <w:rPr>
          <w:sz w:val="24"/>
        </w:rPr>
        <w:t xml:space="preserve"> within the </w:t>
      </w:r>
      <w:r w:rsidR="00520C47">
        <w:rPr>
          <w:sz w:val="24"/>
        </w:rPr>
        <w:t>P</w:t>
      </w:r>
      <w:r w:rsidR="00C30EF1">
        <w:rPr>
          <w:sz w:val="24"/>
        </w:rPr>
        <w:t xml:space="preserve">roject </w:t>
      </w:r>
      <w:r w:rsidR="00520C47">
        <w:rPr>
          <w:sz w:val="24"/>
        </w:rPr>
        <w:t>M</w:t>
      </w:r>
      <w:r w:rsidR="00C30EF1">
        <w:rPr>
          <w:sz w:val="24"/>
        </w:rPr>
        <w:t>anager’s assessment</w:t>
      </w:r>
      <w:r w:rsidR="008D0562">
        <w:rPr>
          <w:sz w:val="24"/>
        </w:rPr>
        <w:t>,</w:t>
      </w:r>
      <w:r w:rsidR="00C30EF1">
        <w:rPr>
          <w:sz w:val="24"/>
        </w:rPr>
        <w:t xml:space="preserve"> to make a full </w:t>
      </w:r>
      <w:r w:rsidR="00844AC6">
        <w:rPr>
          <w:sz w:val="24"/>
        </w:rPr>
        <w:t>assessment</w:t>
      </w:r>
      <w:r w:rsidR="00C30EF1">
        <w:rPr>
          <w:sz w:val="24"/>
        </w:rPr>
        <w:t xml:space="preserve"> of the </w:t>
      </w:r>
      <w:r w:rsidR="008D0562">
        <w:rPr>
          <w:sz w:val="24"/>
        </w:rPr>
        <w:t>c</w:t>
      </w:r>
      <w:r w:rsidR="00C30EF1">
        <w:rPr>
          <w:sz w:val="24"/>
        </w:rPr>
        <w:t xml:space="preserve">ompensation </w:t>
      </w:r>
      <w:r w:rsidR="008D0562">
        <w:rPr>
          <w:sz w:val="24"/>
        </w:rPr>
        <w:t>e</w:t>
      </w:r>
      <w:r w:rsidR="00C30EF1">
        <w:rPr>
          <w:sz w:val="24"/>
        </w:rPr>
        <w:t xml:space="preserve">vent in due time as directed by </w:t>
      </w:r>
      <w:r w:rsidR="00844AC6">
        <w:rPr>
          <w:sz w:val="24"/>
        </w:rPr>
        <w:t>D</w:t>
      </w:r>
      <w:r w:rsidR="00C30EF1">
        <w:rPr>
          <w:sz w:val="24"/>
        </w:rPr>
        <w:t xml:space="preserve">ecision 7 and also as required by clauses 63 and 64 of the Contract. The adjudicator concluded that </w:t>
      </w:r>
      <w:r w:rsidR="00B22D5C">
        <w:rPr>
          <w:sz w:val="24"/>
        </w:rPr>
        <w:t>Framatome</w:t>
      </w:r>
      <w:r w:rsidR="00C30EF1">
        <w:rPr>
          <w:sz w:val="24"/>
        </w:rPr>
        <w:t xml:space="preserve">’s quotation was deemed to have been accepted by </w:t>
      </w:r>
      <w:r w:rsidR="00904D69">
        <w:rPr>
          <w:sz w:val="24"/>
        </w:rPr>
        <w:t>Eskom</w:t>
      </w:r>
      <w:r w:rsidR="00C30EF1">
        <w:rPr>
          <w:sz w:val="24"/>
        </w:rPr>
        <w:t>.</w:t>
      </w:r>
      <w:r w:rsidR="00081799" w:rsidRPr="00081799">
        <w:rPr>
          <w:sz w:val="24"/>
        </w:rPr>
        <w:t xml:space="preserve"> </w:t>
      </w:r>
      <w:r w:rsidR="00081799">
        <w:rPr>
          <w:sz w:val="24"/>
        </w:rPr>
        <w:t xml:space="preserve">The effect of this decision </w:t>
      </w:r>
      <w:r w:rsidR="00E722B9">
        <w:rPr>
          <w:sz w:val="24"/>
        </w:rPr>
        <w:t xml:space="preserve">was </w:t>
      </w:r>
      <w:r w:rsidR="00081799">
        <w:rPr>
          <w:sz w:val="24"/>
        </w:rPr>
        <w:t xml:space="preserve">that the adjusted </w:t>
      </w:r>
      <w:r w:rsidR="000E48CD">
        <w:rPr>
          <w:sz w:val="24"/>
        </w:rPr>
        <w:t>k</w:t>
      </w:r>
      <w:r w:rsidR="00081799" w:rsidRPr="00AB58D0">
        <w:rPr>
          <w:sz w:val="24"/>
        </w:rPr>
        <w:t xml:space="preserve">ey </w:t>
      </w:r>
      <w:r w:rsidR="000E48CD">
        <w:rPr>
          <w:sz w:val="24"/>
        </w:rPr>
        <w:t>d</w:t>
      </w:r>
      <w:r w:rsidR="00081799" w:rsidRPr="00AB58D0">
        <w:rPr>
          <w:sz w:val="24"/>
        </w:rPr>
        <w:t xml:space="preserve">ates, </w:t>
      </w:r>
      <w:r w:rsidR="000E48CD">
        <w:rPr>
          <w:sz w:val="24"/>
        </w:rPr>
        <w:t>s</w:t>
      </w:r>
      <w:r w:rsidR="00081799" w:rsidRPr="00AB58D0">
        <w:rPr>
          <w:sz w:val="24"/>
        </w:rPr>
        <w:t xml:space="preserve">ectional </w:t>
      </w:r>
      <w:r w:rsidR="000E48CD">
        <w:rPr>
          <w:sz w:val="24"/>
        </w:rPr>
        <w:t>c</w:t>
      </w:r>
      <w:r w:rsidR="00081799" w:rsidRPr="00AB58D0">
        <w:rPr>
          <w:sz w:val="24"/>
        </w:rPr>
        <w:t xml:space="preserve">ompletion </w:t>
      </w:r>
      <w:r w:rsidR="000E48CD">
        <w:rPr>
          <w:sz w:val="24"/>
        </w:rPr>
        <w:t>d</w:t>
      </w:r>
      <w:r w:rsidR="00081799" w:rsidRPr="00AB58D0">
        <w:rPr>
          <w:sz w:val="24"/>
        </w:rPr>
        <w:t xml:space="preserve">ates, </w:t>
      </w:r>
      <w:r w:rsidR="000E48CD">
        <w:rPr>
          <w:sz w:val="24"/>
        </w:rPr>
        <w:t>c</w:t>
      </w:r>
      <w:r w:rsidR="00081799" w:rsidRPr="00AB58D0">
        <w:rPr>
          <w:sz w:val="24"/>
        </w:rPr>
        <w:t xml:space="preserve">ompletion </w:t>
      </w:r>
      <w:r w:rsidR="000E48CD">
        <w:rPr>
          <w:sz w:val="24"/>
        </w:rPr>
        <w:t>d</w:t>
      </w:r>
      <w:r w:rsidR="00081799" w:rsidRPr="00AB58D0">
        <w:rPr>
          <w:sz w:val="24"/>
        </w:rPr>
        <w:t>ates,</w:t>
      </w:r>
      <w:r w:rsidR="00081799">
        <w:rPr>
          <w:sz w:val="24"/>
        </w:rPr>
        <w:t xml:space="preserve"> </w:t>
      </w:r>
      <w:r w:rsidR="000E48CD">
        <w:rPr>
          <w:sz w:val="24"/>
        </w:rPr>
        <w:t>a</w:t>
      </w:r>
      <w:r w:rsidR="00081799">
        <w:rPr>
          <w:sz w:val="24"/>
        </w:rPr>
        <w:t xml:space="preserve">ctivity </w:t>
      </w:r>
      <w:r w:rsidR="000E48CD">
        <w:rPr>
          <w:sz w:val="24"/>
        </w:rPr>
        <w:t>s</w:t>
      </w:r>
      <w:r w:rsidR="00081799">
        <w:rPr>
          <w:sz w:val="24"/>
        </w:rPr>
        <w:t>chedule and payments of the quotation became contractually binding upon the parties.</w:t>
      </w:r>
      <w:r w:rsidR="00C30EF1">
        <w:rPr>
          <w:sz w:val="24"/>
        </w:rPr>
        <w:tab/>
      </w:r>
    </w:p>
    <w:p w14:paraId="4CC3EE2A" w14:textId="77777777" w:rsidR="0071716C" w:rsidRDefault="0071716C" w:rsidP="00522308">
      <w:pPr>
        <w:spacing w:line="360" w:lineRule="auto"/>
        <w:jc w:val="both"/>
        <w:rPr>
          <w:sz w:val="24"/>
        </w:rPr>
      </w:pPr>
    </w:p>
    <w:p w14:paraId="1DE68ED7" w14:textId="1A11B0C2" w:rsidR="0071716C" w:rsidRPr="00C30EF1" w:rsidRDefault="0071716C" w:rsidP="0071716C">
      <w:pPr>
        <w:spacing w:line="360" w:lineRule="auto"/>
        <w:jc w:val="both"/>
        <w:rPr>
          <w:sz w:val="22"/>
          <w:szCs w:val="22"/>
        </w:rPr>
      </w:pPr>
      <w:r w:rsidRPr="00AB58D0">
        <w:rPr>
          <w:sz w:val="24"/>
        </w:rPr>
        <w:t>[1</w:t>
      </w:r>
      <w:r w:rsidR="003956DA">
        <w:rPr>
          <w:sz w:val="24"/>
        </w:rPr>
        <w:t>5</w:t>
      </w:r>
      <w:r w:rsidRPr="00AB58D0">
        <w:rPr>
          <w:sz w:val="24"/>
        </w:rPr>
        <w:t>]</w:t>
      </w:r>
      <w:r>
        <w:rPr>
          <w:sz w:val="24"/>
        </w:rPr>
        <w:tab/>
      </w:r>
      <w:r w:rsidRPr="00CF6DBF">
        <w:rPr>
          <w:sz w:val="22"/>
          <w:szCs w:val="22"/>
        </w:rPr>
        <w:t xml:space="preserve"> </w:t>
      </w:r>
      <w:r w:rsidR="00E52A42" w:rsidRPr="00D520B2">
        <w:rPr>
          <w:sz w:val="24"/>
        </w:rPr>
        <w:t>Aggrieved</w:t>
      </w:r>
      <w:r w:rsidRPr="000E1BB6">
        <w:rPr>
          <w:sz w:val="24"/>
        </w:rPr>
        <w:t xml:space="preserve"> with that decision, </w:t>
      </w:r>
      <w:r w:rsidR="00904D69">
        <w:rPr>
          <w:sz w:val="24"/>
        </w:rPr>
        <w:t>Eskom</w:t>
      </w:r>
      <w:r w:rsidRPr="000E1BB6">
        <w:rPr>
          <w:sz w:val="24"/>
        </w:rPr>
        <w:t xml:space="preserve"> </w:t>
      </w:r>
      <w:r w:rsidRPr="00B22D5C">
        <w:rPr>
          <w:sz w:val="24"/>
        </w:rPr>
        <w:t xml:space="preserve">notified </w:t>
      </w:r>
      <w:r w:rsidR="00E722B9" w:rsidRPr="00B22D5C">
        <w:rPr>
          <w:sz w:val="24"/>
        </w:rPr>
        <w:t xml:space="preserve">the adjudicator of </w:t>
      </w:r>
      <w:r w:rsidRPr="00B22D5C">
        <w:rPr>
          <w:sz w:val="24"/>
        </w:rPr>
        <w:t>its</w:t>
      </w:r>
      <w:r w:rsidRPr="000E1BB6">
        <w:rPr>
          <w:sz w:val="24"/>
        </w:rPr>
        <w:t xml:space="preserve"> dissatisfaction</w:t>
      </w:r>
      <w:r w:rsidR="00E722B9">
        <w:rPr>
          <w:sz w:val="24"/>
        </w:rPr>
        <w:t>.</w:t>
      </w:r>
      <w:r w:rsidR="00BF3814">
        <w:rPr>
          <w:sz w:val="24"/>
        </w:rPr>
        <w:t xml:space="preserve"> </w:t>
      </w:r>
      <w:r w:rsidRPr="000E1BB6">
        <w:rPr>
          <w:sz w:val="24"/>
        </w:rPr>
        <w:t xml:space="preserve">Additionally, it raised various grounds for refusing to give full effect to </w:t>
      </w:r>
      <w:r w:rsidR="00E722B9">
        <w:rPr>
          <w:sz w:val="24"/>
        </w:rPr>
        <w:t>D</w:t>
      </w:r>
      <w:r w:rsidRPr="000E1BB6">
        <w:rPr>
          <w:sz w:val="24"/>
        </w:rPr>
        <w:t xml:space="preserve">ecision 11. This prompted </w:t>
      </w:r>
      <w:r w:rsidR="00B22D5C">
        <w:rPr>
          <w:sz w:val="24"/>
        </w:rPr>
        <w:t>Framatome</w:t>
      </w:r>
      <w:r w:rsidR="00EB2D67">
        <w:rPr>
          <w:sz w:val="24"/>
        </w:rPr>
        <w:t xml:space="preserve"> </w:t>
      </w:r>
      <w:r w:rsidRPr="000E1BB6">
        <w:rPr>
          <w:sz w:val="24"/>
        </w:rPr>
        <w:t>to institute enforcement proceedings</w:t>
      </w:r>
      <w:r w:rsidR="00E722B9">
        <w:rPr>
          <w:sz w:val="24"/>
        </w:rPr>
        <w:t xml:space="preserve"> in</w:t>
      </w:r>
      <w:r w:rsidRPr="000E1BB6">
        <w:rPr>
          <w:sz w:val="24"/>
        </w:rPr>
        <w:t xml:space="preserve"> the </w:t>
      </w:r>
      <w:r w:rsidR="00EB2D67" w:rsidRPr="00EB2D67">
        <w:rPr>
          <w:sz w:val="24"/>
        </w:rPr>
        <w:t xml:space="preserve">Gauteng Division of the High Court, Johannesburg </w:t>
      </w:r>
      <w:r w:rsidR="00EB2D67">
        <w:rPr>
          <w:sz w:val="24"/>
        </w:rPr>
        <w:t>(</w:t>
      </w:r>
      <w:r w:rsidR="00844AC6">
        <w:rPr>
          <w:sz w:val="24"/>
        </w:rPr>
        <w:t>the h</w:t>
      </w:r>
      <w:r w:rsidRPr="000E1BB6">
        <w:rPr>
          <w:sz w:val="24"/>
        </w:rPr>
        <w:t xml:space="preserve">igh </w:t>
      </w:r>
      <w:r w:rsidR="00844AC6">
        <w:rPr>
          <w:sz w:val="24"/>
        </w:rPr>
        <w:t>c</w:t>
      </w:r>
      <w:r w:rsidRPr="000E1BB6">
        <w:rPr>
          <w:sz w:val="24"/>
        </w:rPr>
        <w:t>ourt</w:t>
      </w:r>
      <w:r w:rsidR="00EB2D67">
        <w:rPr>
          <w:sz w:val="24"/>
        </w:rPr>
        <w:t>)</w:t>
      </w:r>
      <w:r w:rsidRPr="000E1BB6">
        <w:rPr>
          <w:sz w:val="24"/>
        </w:rPr>
        <w:t>.</w:t>
      </w:r>
    </w:p>
    <w:p w14:paraId="4898AE09" w14:textId="24597387" w:rsidR="0071716C" w:rsidRDefault="0071716C" w:rsidP="0071716C">
      <w:pPr>
        <w:spacing w:line="360" w:lineRule="auto"/>
        <w:jc w:val="both"/>
        <w:rPr>
          <w:sz w:val="24"/>
        </w:rPr>
      </w:pPr>
    </w:p>
    <w:p w14:paraId="7463D0D8" w14:textId="77777777" w:rsidR="00184FBB" w:rsidRDefault="0071716C" w:rsidP="00184FBB">
      <w:pPr>
        <w:spacing w:line="360" w:lineRule="auto"/>
        <w:jc w:val="both"/>
        <w:rPr>
          <w:sz w:val="24"/>
        </w:rPr>
      </w:pPr>
      <w:r w:rsidRPr="00AB58D0">
        <w:rPr>
          <w:sz w:val="24"/>
        </w:rPr>
        <w:t>[1</w:t>
      </w:r>
      <w:r w:rsidR="003956DA">
        <w:rPr>
          <w:sz w:val="24"/>
        </w:rPr>
        <w:t>6</w:t>
      </w:r>
      <w:r w:rsidRPr="00AB58D0">
        <w:rPr>
          <w:sz w:val="24"/>
        </w:rPr>
        <w:t>]</w:t>
      </w:r>
      <w:r w:rsidR="00C30EF1">
        <w:rPr>
          <w:sz w:val="24"/>
        </w:rPr>
        <w:tab/>
        <w:t xml:space="preserve">The </w:t>
      </w:r>
      <w:r w:rsidR="00844AC6">
        <w:rPr>
          <w:sz w:val="24"/>
        </w:rPr>
        <w:t>h</w:t>
      </w:r>
      <w:r w:rsidR="00C30EF1">
        <w:rPr>
          <w:sz w:val="24"/>
        </w:rPr>
        <w:t xml:space="preserve">igh </w:t>
      </w:r>
      <w:r w:rsidR="00844AC6">
        <w:rPr>
          <w:sz w:val="24"/>
        </w:rPr>
        <w:t>c</w:t>
      </w:r>
      <w:r w:rsidR="00C30EF1">
        <w:rPr>
          <w:sz w:val="24"/>
        </w:rPr>
        <w:t>ourt</w:t>
      </w:r>
      <w:r w:rsidR="00EB2D67">
        <w:rPr>
          <w:sz w:val="24"/>
        </w:rPr>
        <w:t xml:space="preserve"> </w:t>
      </w:r>
      <w:r w:rsidR="00C30EF1">
        <w:rPr>
          <w:sz w:val="24"/>
        </w:rPr>
        <w:t xml:space="preserve">dismissed </w:t>
      </w:r>
      <w:r w:rsidR="00904D69">
        <w:rPr>
          <w:sz w:val="24"/>
        </w:rPr>
        <w:t>Eskom</w:t>
      </w:r>
      <w:r w:rsidR="00C30EF1">
        <w:rPr>
          <w:sz w:val="24"/>
        </w:rPr>
        <w:t xml:space="preserve">’s challenge </w:t>
      </w:r>
      <w:r w:rsidR="00F72174">
        <w:rPr>
          <w:sz w:val="24"/>
        </w:rPr>
        <w:t xml:space="preserve">to </w:t>
      </w:r>
      <w:r w:rsidR="00844AC6" w:rsidRPr="004E47A4">
        <w:rPr>
          <w:sz w:val="24"/>
        </w:rPr>
        <w:t>D</w:t>
      </w:r>
      <w:r w:rsidR="00D520B2" w:rsidRPr="004E47A4">
        <w:rPr>
          <w:sz w:val="24"/>
        </w:rPr>
        <w:t>ecision</w:t>
      </w:r>
      <w:r w:rsidR="00C30EF1" w:rsidRPr="004E47A4">
        <w:rPr>
          <w:sz w:val="24"/>
        </w:rPr>
        <w:t xml:space="preserve"> 7</w:t>
      </w:r>
      <w:r w:rsidR="00E36847">
        <w:rPr>
          <w:sz w:val="24"/>
        </w:rPr>
        <w:t xml:space="preserve"> </w:t>
      </w:r>
      <w:r w:rsidR="00C30EF1">
        <w:rPr>
          <w:sz w:val="24"/>
        </w:rPr>
        <w:t xml:space="preserve">on the basis that the dispute fell within the jurisdiction of the adjudicator and that </w:t>
      </w:r>
      <w:r w:rsidR="00904D69">
        <w:rPr>
          <w:sz w:val="24"/>
        </w:rPr>
        <w:t>Eskom</w:t>
      </w:r>
      <w:r w:rsidR="00C30EF1">
        <w:rPr>
          <w:sz w:val="24"/>
        </w:rPr>
        <w:t xml:space="preserve"> neither objected to th</w:t>
      </w:r>
      <w:r w:rsidR="00F72174">
        <w:rPr>
          <w:sz w:val="24"/>
        </w:rPr>
        <w:t>at</w:t>
      </w:r>
      <w:r w:rsidR="00C30EF1">
        <w:rPr>
          <w:sz w:val="24"/>
        </w:rPr>
        <w:t xml:space="preserve"> </w:t>
      </w:r>
      <w:r w:rsidR="00E36847">
        <w:rPr>
          <w:sz w:val="24"/>
        </w:rPr>
        <w:t>decision</w:t>
      </w:r>
      <w:r w:rsidR="00C30EF1">
        <w:rPr>
          <w:sz w:val="24"/>
        </w:rPr>
        <w:t xml:space="preserve"> nor gave notice of its intention to refer the decision to arbitration. It upheld</w:t>
      </w:r>
      <w:r w:rsidR="00904D69">
        <w:rPr>
          <w:sz w:val="24"/>
        </w:rPr>
        <w:t xml:space="preserve"> Eskom</w:t>
      </w:r>
      <w:r w:rsidR="00C30EF1">
        <w:rPr>
          <w:sz w:val="24"/>
        </w:rPr>
        <w:t xml:space="preserve">’s argument on </w:t>
      </w:r>
      <w:r w:rsidR="00520C47">
        <w:rPr>
          <w:sz w:val="24"/>
        </w:rPr>
        <w:t>D</w:t>
      </w:r>
      <w:r w:rsidR="00C30EF1">
        <w:rPr>
          <w:sz w:val="24"/>
        </w:rPr>
        <w:t xml:space="preserve">ecision 11 on the </w:t>
      </w:r>
      <w:r w:rsidR="00E36847">
        <w:rPr>
          <w:sz w:val="24"/>
        </w:rPr>
        <w:t>ground</w:t>
      </w:r>
      <w:r w:rsidR="00C30EF1">
        <w:rPr>
          <w:sz w:val="24"/>
        </w:rPr>
        <w:t xml:space="preserve"> that the adjudicator did not decide the dispute that was referred to him under the </w:t>
      </w:r>
      <w:r w:rsidR="00EB2D67">
        <w:rPr>
          <w:sz w:val="24"/>
        </w:rPr>
        <w:t>C</w:t>
      </w:r>
      <w:r w:rsidR="00C30EF1">
        <w:rPr>
          <w:sz w:val="24"/>
        </w:rPr>
        <w:t xml:space="preserve">ontract by the parties. Essentially, the </w:t>
      </w:r>
      <w:r w:rsidR="00844AC6">
        <w:rPr>
          <w:sz w:val="24"/>
        </w:rPr>
        <w:t>h</w:t>
      </w:r>
      <w:r w:rsidR="00C30EF1">
        <w:rPr>
          <w:sz w:val="24"/>
        </w:rPr>
        <w:t xml:space="preserve">igh </w:t>
      </w:r>
      <w:r w:rsidR="00844AC6">
        <w:rPr>
          <w:sz w:val="24"/>
        </w:rPr>
        <w:t>c</w:t>
      </w:r>
      <w:r w:rsidR="00C30EF1">
        <w:rPr>
          <w:sz w:val="24"/>
        </w:rPr>
        <w:t xml:space="preserve">ourt found that there was no mention at all in the referral about whether the </w:t>
      </w:r>
      <w:r w:rsidR="00296DF4" w:rsidRPr="004E47A4">
        <w:rPr>
          <w:sz w:val="24"/>
        </w:rPr>
        <w:t>P</w:t>
      </w:r>
      <w:r w:rsidR="00C30EF1" w:rsidRPr="004E47A4">
        <w:rPr>
          <w:sz w:val="24"/>
        </w:rPr>
        <w:t xml:space="preserve">roject </w:t>
      </w:r>
      <w:r w:rsidR="00296DF4" w:rsidRPr="004E47A4">
        <w:rPr>
          <w:sz w:val="24"/>
        </w:rPr>
        <w:t>M</w:t>
      </w:r>
      <w:r w:rsidR="00C30EF1" w:rsidRPr="004E47A4">
        <w:rPr>
          <w:sz w:val="24"/>
        </w:rPr>
        <w:t xml:space="preserve">anager </w:t>
      </w:r>
      <w:r w:rsidR="00C30EF1" w:rsidRPr="004E47A4">
        <w:rPr>
          <w:i/>
          <w:iCs/>
          <w:sz w:val="24"/>
        </w:rPr>
        <w:t>timeously</w:t>
      </w:r>
      <w:r w:rsidR="00C30EF1" w:rsidRPr="004E47A4">
        <w:rPr>
          <w:sz w:val="24"/>
        </w:rPr>
        <w:t xml:space="preserve"> </w:t>
      </w:r>
      <w:r w:rsidR="00E36847" w:rsidRPr="004E47A4">
        <w:rPr>
          <w:sz w:val="24"/>
        </w:rPr>
        <w:t>issued the assessment. It concluded that the adjudicator answered the wrong question</w:t>
      </w:r>
      <w:r w:rsidR="000A3833" w:rsidRPr="004E47A4">
        <w:rPr>
          <w:sz w:val="24"/>
        </w:rPr>
        <w:t>,</w:t>
      </w:r>
      <w:r w:rsidR="00E36847" w:rsidRPr="004E47A4">
        <w:rPr>
          <w:sz w:val="24"/>
        </w:rPr>
        <w:t xml:space="preserve"> and</w:t>
      </w:r>
      <w:r w:rsidR="00D520B2" w:rsidRPr="004E47A4">
        <w:rPr>
          <w:sz w:val="24"/>
        </w:rPr>
        <w:t xml:space="preserve"> held that</w:t>
      </w:r>
      <w:r w:rsidR="00E36847" w:rsidRPr="004E47A4">
        <w:rPr>
          <w:sz w:val="24"/>
        </w:rPr>
        <w:t xml:space="preserve"> the impugned decision was not binding on the parties and was thus unenforceable</w:t>
      </w:r>
      <w:r w:rsidR="000A3833" w:rsidRPr="004E47A4">
        <w:rPr>
          <w:sz w:val="24"/>
        </w:rPr>
        <w:t>. Additionally,</w:t>
      </w:r>
      <w:r w:rsidR="00B4100B" w:rsidRPr="004E47A4">
        <w:rPr>
          <w:sz w:val="24"/>
        </w:rPr>
        <w:t xml:space="preserve"> </w:t>
      </w:r>
      <w:r w:rsidR="000A3833" w:rsidRPr="004E47A4">
        <w:rPr>
          <w:sz w:val="24"/>
        </w:rPr>
        <w:t xml:space="preserve">it </w:t>
      </w:r>
      <w:r w:rsidR="00B4100B" w:rsidRPr="004E47A4">
        <w:rPr>
          <w:sz w:val="24"/>
        </w:rPr>
        <w:t>held further,</w:t>
      </w:r>
      <w:r w:rsidR="000A3833" w:rsidRPr="004E47A4">
        <w:rPr>
          <w:sz w:val="24"/>
        </w:rPr>
        <w:t xml:space="preserve"> that</w:t>
      </w:r>
      <w:r w:rsidR="00904D69" w:rsidRPr="004E47A4">
        <w:rPr>
          <w:sz w:val="24"/>
        </w:rPr>
        <w:t xml:space="preserve"> Eskom</w:t>
      </w:r>
      <w:r w:rsidR="00E36847" w:rsidRPr="004E47A4">
        <w:rPr>
          <w:sz w:val="24"/>
        </w:rPr>
        <w:t xml:space="preserve"> ha</w:t>
      </w:r>
      <w:r w:rsidR="00F72174" w:rsidRPr="004E47A4">
        <w:rPr>
          <w:sz w:val="24"/>
        </w:rPr>
        <w:t>d</w:t>
      </w:r>
      <w:r w:rsidR="00E36847" w:rsidRPr="004E47A4">
        <w:rPr>
          <w:sz w:val="24"/>
        </w:rPr>
        <w:t xml:space="preserve"> good prospect</w:t>
      </w:r>
      <w:r w:rsidR="00F72174" w:rsidRPr="004E47A4">
        <w:rPr>
          <w:sz w:val="24"/>
        </w:rPr>
        <w:t>s</w:t>
      </w:r>
      <w:r w:rsidR="00E36847">
        <w:rPr>
          <w:sz w:val="24"/>
        </w:rPr>
        <w:t xml:space="preserve"> of successfully establishing at the arbitration, that the adjudicator acted outside his jurisdiction.</w:t>
      </w:r>
      <w:r w:rsidR="00184FBB">
        <w:rPr>
          <w:sz w:val="24"/>
        </w:rPr>
        <w:t xml:space="preserve"> The high court refused leave to appeal. This appeal is with the leave of this Court.</w:t>
      </w:r>
    </w:p>
    <w:p w14:paraId="16B1B6DF" w14:textId="344FDAE4" w:rsidR="0071716C" w:rsidRDefault="0071716C" w:rsidP="0071716C">
      <w:pPr>
        <w:spacing w:line="360" w:lineRule="auto"/>
        <w:jc w:val="both"/>
        <w:rPr>
          <w:sz w:val="24"/>
        </w:rPr>
      </w:pPr>
    </w:p>
    <w:p w14:paraId="7BA2ACB9" w14:textId="52A93355" w:rsidR="00C04BE0" w:rsidRDefault="00C04BE0" w:rsidP="00522308">
      <w:pPr>
        <w:spacing w:line="360" w:lineRule="auto"/>
        <w:jc w:val="both"/>
        <w:rPr>
          <w:sz w:val="24"/>
        </w:rPr>
      </w:pPr>
    </w:p>
    <w:p w14:paraId="0EC5C3E5" w14:textId="77777777" w:rsidR="001567B1" w:rsidRDefault="00B54E79" w:rsidP="00522308">
      <w:pPr>
        <w:spacing w:line="360" w:lineRule="auto"/>
        <w:jc w:val="both"/>
        <w:rPr>
          <w:sz w:val="24"/>
        </w:rPr>
      </w:pPr>
      <w:r>
        <w:rPr>
          <w:sz w:val="24"/>
        </w:rPr>
        <w:lastRenderedPageBreak/>
        <w:t>[</w:t>
      </w:r>
      <w:r w:rsidR="002D27C6">
        <w:rPr>
          <w:sz w:val="24"/>
        </w:rPr>
        <w:t>1</w:t>
      </w:r>
      <w:r w:rsidR="003956DA">
        <w:rPr>
          <w:sz w:val="24"/>
        </w:rPr>
        <w:t>7</w:t>
      </w:r>
      <w:r>
        <w:rPr>
          <w:sz w:val="24"/>
        </w:rPr>
        <w:t>]</w:t>
      </w:r>
      <w:r>
        <w:rPr>
          <w:sz w:val="24"/>
        </w:rPr>
        <w:tab/>
      </w:r>
      <w:r w:rsidR="00081799">
        <w:rPr>
          <w:sz w:val="24"/>
        </w:rPr>
        <w:t xml:space="preserve">Before us, </w:t>
      </w:r>
      <w:r w:rsidR="00904D69">
        <w:rPr>
          <w:sz w:val="24"/>
        </w:rPr>
        <w:t>Eskom</w:t>
      </w:r>
      <w:r w:rsidR="00081799">
        <w:rPr>
          <w:sz w:val="24"/>
        </w:rPr>
        <w:t xml:space="preserve"> </w:t>
      </w:r>
      <w:r w:rsidR="001567B1">
        <w:rPr>
          <w:sz w:val="24"/>
        </w:rPr>
        <w:t>argues</w:t>
      </w:r>
      <w:r w:rsidR="00081799">
        <w:rPr>
          <w:sz w:val="24"/>
        </w:rPr>
        <w:t xml:space="preserve"> that </w:t>
      </w:r>
      <w:r w:rsidR="00520C47">
        <w:rPr>
          <w:sz w:val="24"/>
        </w:rPr>
        <w:t>D</w:t>
      </w:r>
      <w:r w:rsidR="00081799">
        <w:rPr>
          <w:sz w:val="24"/>
        </w:rPr>
        <w:t xml:space="preserve">ecision 11 was taken by the adjudicator outside the terms of his jurisdiction as it was not a dispute that had been notified and referred to him. It submits that in </w:t>
      </w:r>
      <w:r w:rsidR="00520C47">
        <w:rPr>
          <w:sz w:val="24"/>
        </w:rPr>
        <w:t>D</w:t>
      </w:r>
      <w:r w:rsidR="00081799">
        <w:rPr>
          <w:sz w:val="24"/>
        </w:rPr>
        <w:t>ecision 1</w:t>
      </w:r>
      <w:r w:rsidR="002D27C6">
        <w:rPr>
          <w:sz w:val="24"/>
        </w:rPr>
        <w:t>1</w:t>
      </w:r>
      <w:r w:rsidR="00081799">
        <w:rPr>
          <w:sz w:val="24"/>
        </w:rPr>
        <w:t xml:space="preserve">, the adjudicator sought to enforce his previous decision in </w:t>
      </w:r>
      <w:r w:rsidR="00520C47">
        <w:rPr>
          <w:sz w:val="24"/>
        </w:rPr>
        <w:t>D</w:t>
      </w:r>
      <w:r w:rsidR="00081799">
        <w:rPr>
          <w:sz w:val="24"/>
        </w:rPr>
        <w:t xml:space="preserve">ecision 7. It contends that </w:t>
      </w:r>
      <w:r w:rsidR="006739D7">
        <w:rPr>
          <w:sz w:val="24"/>
        </w:rPr>
        <w:t>D</w:t>
      </w:r>
      <w:r w:rsidR="00081799">
        <w:rPr>
          <w:sz w:val="24"/>
        </w:rPr>
        <w:t xml:space="preserve">ecision 11 can only be considered valid if </w:t>
      </w:r>
      <w:r w:rsidR="006739D7">
        <w:rPr>
          <w:sz w:val="24"/>
        </w:rPr>
        <w:t>D</w:t>
      </w:r>
      <w:r w:rsidR="00081799">
        <w:rPr>
          <w:sz w:val="24"/>
        </w:rPr>
        <w:t xml:space="preserve">ecision 7 was within the adjudicator’s jurisdiction. Principally </w:t>
      </w:r>
      <w:r w:rsidR="00B22D5C">
        <w:rPr>
          <w:sz w:val="24"/>
        </w:rPr>
        <w:t xml:space="preserve">Eskom </w:t>
      </w:r>
      <w:r w:rsidR="00081799">
        <w:rPr>
          <w:sz w:val="24"/>
        </w:rPr>
        <w:t xml:space="preserve">asserts that the question before the adjudicator was not whether the </w:t>
      </w:r>
      <w:r w:rsidR="006739D7">
        <w:rPr>
          <w:sz w:val="24"/>
        </w:rPr>
        <w:t>P</w:t>
      </w:r>
      <w:r w:rsidR="00081799">
        <w:rPr>
          <w:sz w:val="24"/>
        </w:rPr>
        <w:t xml:space="preserve">roject </w:t>
      </w:r>
      <w:r w:rsidR="006739D7">
        <w:rPr>
          <w:sz w:val="24"/>
        </w:rPr>
        <w:t>M</w:t>
      </w:r>
      <w:r w:rsidR="00081799">
        <w:rPr>
          <w:sz w:val="24"/>
        </w:rPr>
        <w:t xml:space="preserve">anager had timeously issued the assessment or had an assessment at all, but rather, whether the assessment was correct or not. Drawing the link between </w:t>
      </w:r>
      <w:r w:rsidR="006739D7">
        <w:rPr>
          <w:sz w:val="24"/>
        </w:rPr>
        <w:t>D</w:t>
      </w:r>
      <w:r w:rsidR="00081799">
        <w:rPr>
          <w:sz w:val="24"/>
        </w:rPr>
        <w:t>ecisions 7 and 11</w:t>
      </w:r>
      <w:r w:rsidR="00C92982">
        <w:rPr>
          <w:sz w:val="24"/>
        </w:rPr>
        <w:t xml:space="preserve">, </w:t>
      </w:r>
      <w:r w:rsidR="00904D69">
        <w:rPr>
          <w:sz w:val="24"/>
        </w:rPr>
        <w:t>Eskom</w:t>
      </w:r>
      <w:r w:rsidR="00C92982">
        <w:rPr>
          <w:sz w:val="24"/>
        </w:rPr>
        <w:t xml:space="preserve"> asserts that the adjudicator had no regard to the notice of dispute and the extent to which the dispute was notified. By reverting to the event of 19 May 2017, the adjudicator erred, because such an event could not have been subject of the notice of dispute in </w:t>
      </w:r>
      <w:r w:rsidR="006739D7">
        <w:rPr>
          <w:sz w:val="24"/>
        </w:rPr>
        <w:t>D</w:t>
      </w:r>
      <w:r w:rsidR="00C92982">
        <w:rPr>
          <w:sz w:val="24"/>
        </w:rPr>
        <w:t>ecision 7 of</w:t>
      </w:r>
      <w:r w:rsidR="002D27C6">
        <w:rPr>
          <w:sz w:val="24"/>
        </w:rPr>
        <w:t xml:space="preserve"> </w:t>
      </w:r>
      <w:r w:rsidR="00C92982">
        <w:rPr>
          <w:sz w:val="24"/>
        </w:rPr>
        <w:t xml:space="preserve">13 November 2018. Therefore, </w:t>
      </w:r>
      <w:r w:rsidR="00904D69">
        <w:rPr>
          <w:sz w:val="24"/>
        </w:rPr>
        <w:t>Eskom</w:t>
      </w:r>
      <w:r w:rsidR="00C92982">
        <w:rPr>
          <w:sz w:val="24"/>
        </w:rPr>
        <w:t xml:space="preserve"> contends that the adjudicator had no power to issue a decision and consequently, such a decision </w:t>
      </w:r>
      <w:r w:rsidR="00F72174">
        <w:rPr>
          <w:sz w:val="24"/>
        </w:rPr>
        <w:t>wa</w:t>
      </w:r>
      <w:r w:rsidR="00C92982">
        <w:rPr>
          <w:sz w:val="24"/>
        </w:rPr>
        <w:t xml:space="preserve">s a nullity. </w:t>
      </w:r>
    </w:p>
    <w:p w14:paraId="0C9A2619" w14:textId="77777777" w:rsidR="001567B1" w:rsidRDefault="001567B1" w:rsidP="00522308">
      <w:pPr>
        <w:spacing w:line="360" w:lineRule="auto"/>
        <w:jc w:val="both"/>
        <w:rPr>
          <w:sz w:val="24"/>
        </w:rPr>
      </w:pPr>
    </w:p>
    <w:p w14:paraId="40232D74" w14:textId="3DD2A099" w:rsidR="00C04BE0" w:rsidRDefault="001567B1" w:rsidP="00522308">
      <w:pPr>
        <w:spacing w:line="360" w:lineRule="auto"/>
        <w:jc w:val="both"/>
        <w:rPr>
          <w:sz w:val="24"/>
        </w:rPr>
      </w:pPr>
      <w:r>
        <w:rPr>
          <w:sz w:val="24"/>
        </w:rPr>
        <w:t>[18]</w:t>
      </w:r>
      <w:r w:rsidR="00422A81">
        <w:rPr>
          <w:sz w:val="24"/>
        </w:rPr>
        <w:tab/>
      </w:r>
      <w:r w:rsidR="00C92982" w:rsidRPr="004E47A4">
        <w:rPr>
          <w:sz w:val="24"/>
        </w:rPr>
        <w:t>It advance</w:t>
      </w:r>
      <w:r w:rsidRPr="004E47A4">
        <w:rPr>
          <w:sz w:val="24"/>
        </w:rPr>
        <w:t xml:space="preserve">s </w:t>
      </w:r>
      <w:r w:rsidR="00C92982" w:rsidRPr="004E47A4">
        <w:rPr>
          <w:sz w:val="24"/>
        </w:rPr>
        <w:t>three propositions in support of its contention, first it says the decision was not in respect of the dispute notified. Second</w:t>
      </w:r>
      <w:r w:rsidR="002D27C6" w:rsidRPr="004E47A4">
        <w:rPr>
          <w:sz w:val="24"/>
        </w:rPr>
        <w:t>ly</w:t>
      </w:r>
      <w:r w:rsidR="00C92982" w:rsidRPr="004E47A4">
        <w:rPr>
          <w:sz w:val="24"/>
        </w:rPr>
        <w:t xml:space="preserve">, the dispute in respect of the project manager’s notification of the event could only have been notified and referred to the adjudicator in terms of the </w:t>
      </w:r>
      <w:r w:rsidR="00E673FA" w:rsidRPr="004E47A4">
        <w:rPr>
          <w:sz w:val="24"/>
        </w:rPr>
        <w:t>C</w:t>
      </w:r>
      <w:r w:rsidR="00C92982" w:rsidRPr="004E47A4">
        <w:rPr>
          <w:sz w:val="24"/>
        </w:rPr>
        <w:t>ontract. Third</w:t>
      </w:r>
      <w:r w:rsidR="002D27C6" w:rsidRPr="004E47A4">
        <w:rPr>
          <w:sz w:val="24"/>
        </w:rPr>
        <w:t>ly</w:t>
      </w:r>
      <w:r w:rsidR="00C92982" w:rsidRPr="004E47A4">
        <w:rPr>
          <w:sz w:val="24"/>
        </w:rPr>
        <w:t xml:space="preserve">, it submitted that, by deeming the quotation as being acceptable, the adjudicator purported to vary the terms of the </w:t>
      </w:r>
      <w:r w:rsidR="002D27C6" w:rsidRPr="004E47A4">
        <w:rPr>
          <w:sz w:val="24"/>
        </w:rPr>
        <w:t>C</w:t>
      </w:r>
      <w:r w:rsidR="00C92982" w:rsidRPr="004E47A4">
        <w:rPr>
          <w:sz w:val="24"/>
        </w:rPr>
        <w:t>ontract, which it did not have the power to do. It also contended that the quotation was not one contemplated in clause 64.4 of the Contract</w:t>
      </w:r>
      <w:r w:rsidR="0054034C" w:rsidRPr="004E47A4">
        <w:rPr>
          <w:sz w:val="24"/>
        </w:rPr>
        <w:t xml:space="preserve">. </w:t>
      </w:r>
      <w:r w:rsidR="00B22D5C" w:rsidRPr="004E47A4">
        <w:rPr>
          <w:sz w:val="24"/>
        </w:rPr>
        <w:t>Eskom</w:t>
      </w:r>
      <w:r w:rsidR="00C92982" w:rsidRPr="004E47A4">
        <w:rPr>
          <w:sz w:val="24"/>
        </w:rPr>
        <w:t xml:space="preserve"> </w:t>
      </w:r>
      <w:r w:rsidR="0054034C" w:rsidRPr="004E47A4">
        <w:rPr>
          <w:sz w:val="24"/>
        </w:rPr>
        <w:t xml:space="preserve">submits </w:t>
      </w:r>
      <w:r w:rsidR="00C92982" w:rsidRPr="004E47A4">
        <w:rPr>
          <w:sz w:val="24"/>
        </w:rPr>
        <w:t xml:space="preserve">that the quotation was a calculation of the relief which </w:t>
      </w:r>
      <w:r w:rsidR="00904D69" w:rsidRPr="004E47A4">
        <w:rPr>
          <w:sz w:val="24"/>
        </w:rPr>
        <w:t>Framatome</w:t>
      </w:r>
      <w:r w:rsidR="00C92982" w:rsidRPr="004E47A4">
        <w:rPr>
          <w:sz w:val="24"/>
        </w:rPr>
        <w:t xml:space="preserve"> sought in adjudication</w:t>
      </w:r>
      <w:r w:rsidR="00C92982">
        <w:rPr>
          <w:sz w:val="24"/>
        </w:rPr>
        <w:t xml:space="preserve"> proceedings of </w:t>
      </w:r>
      <w:r w:rsidR="006739D7">
        <w:rPr>
          <w:sz w:val="24"/>
        </w:rPr>
        <w:t>D</w:t>
      </w:r>
      <w:r w:rsidR="00C92982">
        <w:rPr>
          <w:sz w:val="24"/>
        </w:rPr>
        <w:t xml:space="preserve">ispute 7 and it was not submitted to the </w:t>
      </w:r>
      <w:r w:rsidR="006739D7">
        <w:rPr>
          <w:sz w:val="24"/>
        </w:rPr>
        <w:t>P</w:t>
      </w:r>
      <w:r w:rsidR="00C92982">
        <w:rPr>
          <w:sz w:val="24"/>
        </w:rPr>
        <w:t xml:space="preserve">roject </w:t>
      </w:r>
      <w:r w:rsidR="006739D7">
        <w:rPr>
          <w:sz w:val="24"/>
        </w:rPr>
        <w:t>M</w:t>
      </w:r>
      <w:r w:rsidR="00C92982">
        <w:rPr>
          <w:sz w:val="24"/>
        </w:rPr>
        <w:t xml:space="preserve">anager in terms of </w:t>
      </w:r>
      <w:r w:rsidR="00C92982" w:rsidRPr="00076CD0">
        <w:rPr>
          <w:sz w:val="24"/>
        </w:rPr>
        <w:t>clauses 62.1</w:t>
      </w:r>
      <w:r w:rsidR="00076CD0">
        <w:rPr>
          <w:rStyle w:val="FootnoteReference"/>
          <w:sz w:val="24"/>
        </w:rPr>
        <w:footnoteReference w:id="3"/>
      </w:r>
      <w:r w:rsidR="00076CD0">
        <w:rPr>
          <w:sz w:val="24"/>
        </w:rPr>
        <w:t xml:space="preserve"> </w:t>
      </w:r>
      <w:r w:rsidR="00C92982" w:rsidRPr="00076CD0">
        <w:rPr>
          <w:sz w:val="24"/>
        </w:rPr>
        <w:t>and 62.3.</w:t>
      </w:r>
      <w:r w:rsidR="00076CD0">
        <w:rPr>
          <w:rStyle w:val="FootnoteReference"/>
          <w:sz w:val="24"/>
        </w:rPr>
        <w:footnoteReference w:id="4"/>
      </w:r>
      <w:r w:rsidR="00C92982">
        <w:rPr>
          <w:sz w:val="24"/>
        </w:rPr>
        <w:t xml:space="preserve"> </w:t>
      </w:r>
    </w:p>
    <w:p w14:paraId="3ED8664F" w14:textId="0ED9B420" w:rsidR="00C92982" w:rsidRDefault="00C92982" w:rsidP="00522308">
      <w:pPr>
        <w:spacing w:line="360" w:lineRule="auto"/>
        <w:jc w:val="both"/>
        <w:rPr>
          <w:sz w:val="24"/>
        </w:rPr>
      </w:pPr>
    </w:p>
    <w:p w14:paraId="48AD7312" w14:textId="29612323" w:rsidR="00C92982" w:rsidRDefault="00B54E79" w:rsidP="00C92982">
      <w:pPr>
        <w:spacing w:line="360" w:lineRule="auto"/>
        <w:jc w:val="both"/>
        <w:rPr>
          <w:sz w:val="24"/>
        </w:rPr>
      </w:pPr>
      <w:r>
        <w:rPr>
          <w:sz w:val="24"/>
        </w:rPr>
        <w:t>[1</w:t>
      </w:r>
      <w:r w:rsidR="001567B1">
        <w:rPr>
          <w:sz w:val="24"/>
        </w:rPr>
        <w:t>9</w:t>
      </w:r>
      <w:r>
        <w:rPr>
          <w:sz w:val="24"/>
        </w:rPr>
        <w:t>]</w:t>
      </w:r>
      <w:r>
        <w:rPr>
          <w:sz w:val="24"/>
        </w:rPr>
        <w:tab/>
      </w:r>
      <w:r w:rsidR="00904D69">
        <w:rPr>
          <w:sz w:val="24"/>
        </w:rPr>
        <w:t>Framatome</w:t>
      </w:r>
      <w:r w:rsidR="00C92982">
        <w:rPr>
          <w:sz w:val="24"/>
        </w:rPr>
        <w:t xml:space="preserve"> </w:t>
      </w:r>
      <w:r w:rsidR="00D520B2" w:rsidRPr="004E47A4">
        <w:rPr>
          <w:sz w:val="24"/>
        </w:rPr>
        <w:t>contends</w:t>
      </w:r>
      <w:r w:rsidR="0054034C">
        <w:rPr>
          <w:sz w:val="24"/>
        </w:rPr>
        <w:t xml:space="preserve"> </w:t>
      </w:r>
      <w:r w:rsidR="00C92982">
        <w:rPr>
          <w:sz w:val="24"/>
        </w:rPr>
        <w:t xml:space="preserve">that the judgment of the </w:t>
      </w:r>
      <w:r w:rsidR="006739D7">
        <w:rPr>
          <w:sz w:val="24"/>
        </w:rPr>
        <w:t>h</w:t>
      </w:r>
      <w:r w:rsidR="00C92982">
        <w:rPr>
          <w:sz w:val="24"/>
        </w:rPr>
        <w:t xml:space="preserve">igh </w:t>
      </w:r>
      <w:r w:rsidR="006739D7">
        <w:rPr>
          <w:sz w:val="24"/>
        </w:rPr>
        <w:t>c</w:t>
      </w:r>
      <w:r w:rsidR="00C92982">
        <w:rPr>
          <w:sz w:val="24"/>
        </w:rPr>
        <w:t xml:space="preserve">ourt must be overturned and the adjudicator’s award be enforced. It submits that courts have, over the years, repeatedly confirmed that an adjudicator’s decision is final and binding until set aside by the tribunal. It contends that the judgment of the </w:t>
      </w:r>
      <w:r w:rsidR="006739D7">
        <w:rPr>
          <w:sz w:val="24"/>
        </w:rPr>
        <w:t>h</w:t>
      </w:r>
      <w:r w:rsidR="00C92982">
        <w:rPr>
          <w:sz w:val="24"/>
        </w:rPr>
        <w:t xml:space="preserve">igh </w:t>
      </w:r>
      <w:r w:rsidR="006739D7">
        <w:rPr>
          <w:sz w:val="24"/>
        </w:rPr>
        <w:t>c</w:t>
      </w:r>
      <w:r w:rsidR="00C92982">
        <w:rPr>
          <w:sz w:val="24"/>
        </w:rPr>
        <w:t xml:space="preserve">ourt has impermissibly introduced a subjective judicial discretion into the enforcement of adjudicator’s awards by concluding that </w:t>
      </w:r>
      <w:r w:rsidR="002D27C6">
        <w:rPr>
          <w:sz w:val="24"/>
        </w:rPr>
        <w:t>‘</w:t>
      </w:r>
      <w:r w:rsidR="00C92982">
        <w:rPr>
          <w:sz w:val="24"/>
        </w:rPr>
        <w:t xml:space="preserve">a very good prospect of successfully establishing that an adjudicator acted outside his jurisdiction in respect of </w:t>
      </w:r>
      <w:r w:rsidR="006739D7">
        <w:rPr>
          <w:sz w:val="24"/>
        </w:rPr>
        <w:t>D</w:t>
      </w:r>
      <w:r w:rsidR="00C92982">
        <w:rPr>
          <w:sz w:val="24"/>
        </w:rPr>
        <w:t>ecision 11 and that the decision is not binding upon the parties and is unenforceable.</w:t>
      </w:r>
      <w:r w:rsidR="002D27C6">
        <w:rPr>
          <w:sz w:val="24"/>
        </w:rPr>
        <w:t>’</w:t>
      </w:r>
      <w:r w:rsidR="00C92982">
        <w:rPr>
          <w:sz w:val="24"/>
        </w:rPr>
        <w:t xml:space="preserve"> Accordingly, </w:t>
      </w:r>
      <w:r w:rsidR="00C92982" w:rsidRPr="001567B1">
        <w:rPr>
          <w:sz w:val="24"/>
        </w:rPr>
        <w:t>it urge</w:t>
      </w:r>
      <w:r w:rsidR="001567B1" w:rsidRPr="001567B1">
        <w:rPr>
          <w:sz w:val="24"/>
        </w:rPr>
        <w:t>s</w:t>
      </w:r>
      <w:r w:rsidR="001567B1">
        <w:rPr>
          <w:sz w:val="24"/>
        </w:rPr>
        <w:t xml:space="preserve"> </w:t>
      </w:r>
      <w:r w:rsidR="00C92982">
        <w:rPr>
          <w:sz w:val="24"/>
        </w:rPr>
        <w:t xml:space="preserve">upon us to set the decision aside. </w:t>
      </w:r>
    </w:p>
    <w:p w14:paraId="2B546E41" w14:textId="6116806A" w:rsidR="00C92982" w:rsidRDefault="00C92982" w:rsidP="00C92982">
      <w:pPr>
        <w:spacing w:line="360" w:lineRule="auto"/>
        <w:jc w:val="both"/>
        <w:rPr>
          <w:sz w:val="24"/>
        </w:rPr>
      </w:pPr>
    </w:p>
    <w:p w14:paraId="37494351" w14:textId="4B992E26" w:rsidR="00C92982" w:rsidRDefault="00B54E79" w:rsidP="00C92982">
      <w:pPr>
        <w:spacing w:line="360" w:lineRule="auto"/>
        <w:jc w:val="both"/>
        <w:rPr>
          <w:sz w:val="24"/>
        </w:rPr>
      </w:pPr>
      <w:r>
        <w:rPr>
          <w:sz w:val="24"/>
        </w:rPr>
        <w:t>[</w:t>
      </w:r>
      <w:r w:rsidR="001567B1">
        <w:rPr>
          <w:sz w:val="24"/>
        </w:rPr>
        <w:t>20</w:t>
      </w:r>
      <w:r>
        <w:rPr>
          <w:sz w:val="24"/>
        </w:rPr>
        <w:t>]</w:t>
      </w:r>
      <w:r>
        <w:rPr>
          <w:sz w:val="24"/>
        </w:rPr>
        <w:tab/>
      </w:r>
      <w:r w:rsidR="00C92982">
        <w:rPr>
          <w:sz w:val="24"/>
        </w:rPr>
        <w:t xml:space="preserve">Against this background, I turn to the issue whether the </w:t>
      </w:r>
      <w:r w:rsidR="00E2522B">
        <w:rPr>
          <w:sz w:val="24"/>
        </w:rPr>
        <w:t>h</w:t>
      </w:r>
      <w:r w:rsidR="00C92982">
        <w:rPr>
          <w:sz w:val="24"/>
        </w:rPr>
        <w:t xml:space="preserve">igh </w:t>
      </w:r>
      <w:r w:rsidR="00E2522B">
        <w:rPr>
          <w:sz w:val="24"/>
        </w:rPr>
        <w:t>c</w:t>
      </w:r>
      <w:r w:rsidR="00C92982">
        <w:rPr>
          <w:sz w:val="24"/>
        </w:rPr>
        <w:t>ourt correctly declined t</w:t>
      </w:r>
      <w:r w:rsidR="00A90EB6">
        <w:rPr>
          <w:sz w:val="24"/>
        </w:rPr>
        <w:t xml:space="preserve">he order of enforcement. The principles applicable to this issue have been set out in numerous cases. In </w:t>
      </w:r>
      <w:bookmarkStart w:id="3" w:name="_Hlk83395351"/>
      <w:r w:rsidR="00A90EB6" w:rsidRPr="00A90EB6">
        <w:rPr>
          <w:i/>
          <w:iCs/>
          <w:sz w:val="24"/>
        </w:rPr>
        <w:t>Radon Projects (Pty) Ltd v NV Properties (Pty) Ltd &amp; Another</w:t>
      </w:r>
      <w:bookmarkEnd w:id="3"/>
      <w:r w:rsidR="00A90EB6">
        <w:rPr>
          <w:sz w:val="24"/>
        </w:rPr>
        <w:t>,</w:t>
      </w:r>
      <w:r w:rsidR="00A90EB6">
        <w:rPr>
          <w:rStyle w:val="FootnoteReference"/>
          <w:sz w:val="24"/>
        </w:rPr>
        <w:footnoteReference w:id="5"/>
      </w:r>
      <w:r w:rsidR="00A90EB6">
        <w:rPr>
          <w:sz w:val="24"/>
        </w:rPr>
        <w:t xml:space="preserve"> </w:t>
      </w:r>
      <w:r w:rsidR="0054034C">
        <w:rPr>
          <w:sz w:val="24"/>
        </w:rPr>
        <w:t xml:space="preserve">this Court </w:t>
      </w:r>
      <w:r w:rsidR="00A90EB6">
        <w:rPr>
          <w:sz w:val="24"/>
        </w:rPr>
        <w:t xml:space="preserve">describes the process of adjudication as follows: </w:t>
      </w:r>
    </w:p>
    <w:p w14:paraId="6517B49E" w14:textId="7BE5B65B" w:rsidR="00A90EB6" w:rsidRPr="00A90EB6" w:rsidRDefault="00A90EB6" w:rsidP="00A90EB6">
      <w:pPr>
        <w:spacing w:line="360" w:lineRule="auto"/>
        <w:jc w:val="both"/>
        <w:rPr>
          <w:sz w:val="22"/>
          <w:szCs w:val="22"/>
        </w:rPr>
      </w:pPr>
      <w:r>
        <w:rPr>
          <w:sz w:val="22"/>
          <w:szCs w:val="22"/>
        </w:rPr>
        <w:t>‘</w:t>
      </w:r>
      <w:r w:rsidRPr="00A90EB6">
        <w:rPr>
          <w:sz w:val="22"/>
          <w:szCs w:val="22"/>
        </w:rPr>
        <w:t>[3] Construction contracts most often require disputes to be resolved by arbitration, but at the same time postpone arbitration until the works have been completed, so as to avoid interruption. Earlier contracts in common use made an exception in certain limited circumstances. That was the case in Britain under the JCT1 Standard Form of Building Agreement (1980 edition), and in this country under the General Conditions of Contract 1982 for use in connection with Works of Civil Engineering Construction (Fifth Edition).</w:t>
      </w:r>
      <w:r w:rsidR="00764C8E">
        <w:rPr>
          <w:sz w:val="22"/>
          <w:szCs w:val="22"/>
        </w:rPr>
        <w:t xml:space="preserve"> </w:t>
      </w:r>
      <w:r w:rsidRPr="00A90EB6">
        <w:rPr>
          <w:sz w:val="22"/>
          <w:szCs w:val="22"/>
        </w:rPr>
        <w:t>In both cases an arbitration could not be opened until after completion of the works, except on limited issues that, by their nature, demanded earlier resolution, in particular disputes concerning payment certificates.</w:t>
      </w:r>
    </w:p>
    <w:p w14:paraId="13EA3B07" w14:textId="77777777" w:rsidR="00A90EB6" w:rsidRPr="00A90EB6" w:rsidRDefault="00A90EB6" w:rsidP="00A90EB6">
      <w:pPr>
        <w:spacing w:line="360" w:lineRule="auto"/>
        <w:jc w:val="both"/>
        <w:rPr>
          <w:sz w:val="22"/>
          <w:szCs w:val="22"/>
        </w:rPr>
      </w:pPr>
    </w:p>
    <w:p w14:paraId="0ED8866E" w14:textId="0FF8015E" w:rsidR="00A90EB6" w:rsidRPr="00A90EB6" w:rsidRDefault="00A90EB6" w:rsidP="00A90EB6">
      <w:pPr>
        <w:spacing w:line="360" w:lineRule="auto"/>
        <w:jc w:val="both"/>
        <w:rPr>
          <w:sz w:val="22"/>
          <w:szCs w:val="22"/>
        </w:rPr>
      </w:pPr>
      <w:r w:rsidRPr="00A90EB6">
        <w:rPr>
          <w:sz w:val="22"/>
          <w:szCs w:val="22"/>
        </w:rPr>
        <w:t xml:space="preserve">[4] It has now become common internationally – in some countries by legislation – for disputes to be resolved provisionally by adjudication. In </w:t>
      </w:r>
      <w:r w:rsidRPr="00FE2139">
        <w:rPr>
          <w:i/>
          <w:iCs/>
          <w:sz w:val="22"/>
          <w:szCs w:val="22"/>
        </w:rPr>
        <w:t>Macob Civil Engineering Ltd v Morrison Construction Ltd</w:t>
      </w:r>
      <w:r w:rsidR="00764C8E">
        <w:rPr>
          <w:sz w:val="22"/>
          <w:szCs w:val="22"/>
        </w:rPr>
        <w:t xml:space="preserve"> </w:t>
      </w:r>
      <w:r w:rsidRPr="00A90EB6">
        <w:rPr>
          <w:sz w:val="22"/>
          <w:szCs w:val="22"/>
        </w:rPr>
        <w:t>adjudication was described, in the context of English legislation, as</w:t>
      </w:r>
    </w:p>
    <w:p w14:paraId="23A9F471" w14:textId="623239FA" w:rsidR="00A90EB6" w:rsidRPr="00A90EB6" w:rsidRDefault="00AA0EC8" w:rsidP="00A90EB6">
      <w:pPr>
        <w:spacing w:line="360" w:lineRule="auto"/>
        <w:jc w:val="both"/>
        <w:rPr>
          <w:sz w:val="22"/>
          <w:szCs w:val="22"/>
        </w:rPr>
      </w:pPr>
      <w:r>
        <w:rPr>
          <w:sz w:val="22"/>
          <w:szCs w:val="22"/>
        </w:rPr>
        <w:t>“</w:t>
      </w:r>
      <w:r w:rsidR="00764C8E">
        <w:rPr>
          <w:sz w:val="22"/>
          <w:szCs w:val="22"/>
        </w:rPr>
        <w:t xml:space="preserve">. . . </w:t>
      </w:r>
      <w:r w:rsidR="00A90EB6" w:rsidRPr="00A90EB6">
        <w:rPr>
          <w:sz w:val="22"/>
          <w:szCs w:val="22"/>
        </w:rPr>
        <w:t>a speedy mechanism for settling disputes [under] construction contracts on a provisional interim basis,</w:t>
      </w:r>
      <w:r>
        <w:rPr>
          <w:sz w:val="22"/>
          <w:szCs w:val="22"/>
        </w:rPr>
        <w:t xml:space="preserve"> </w:t>
      </w:r>
      <w:r w:rsidR="00A90EB6" w:rsidRPr="00A90EB6">
        <w:rPr>
          <w:sz w:val="22"/>
          <w:szCs w:val="22"/>
        </w:rPr>
        <w:t>and requiring the decision of adjudicators to be enforced pending the final determination of disputes by arbitration, litigation or agreement</w:t>
      </w:r>
      <w:r w:rsidR="00764C8E">
        <w:rPr>
          <w:sz w:val="22"/>
          <w:szCs w:val="22"/>
        </w:rPr>
        <w:t>. . ..</w:t>
      </w:r>
      <w:r w:rsidR="00A90EB6" w:rsidRPr="00A90EB6">
        <w:rPr>
          <w:sz w:val="22"/>
          <w:szCs w:val="22"/>
        </w:rPr>
        <w:t xml:space="preserve">But Parliament has not </w:t>
      </w:r>
      <w:r w:rsidR="00A90EB6" w:rsidRPr="00A90EB6">
        <w:rPr>
          <w:sz w:val="22"/>
          <w:szCs w:val="22"/>
        </w:rPr>
        <w:lastRenderedPageBreak/>
        <w:t>abolished arbitration and litigation of construction disputes. It has merely introduced an intervening provisional stage in the dispute resolution process.</w:t>
      </w:r>
      <w:r>
        <w:rPr>
          <w:sz w:val="22"/>
          <w:szCs w:val="22"/>
        </w:rPr>
        <w:t>”</w:t>
      </w:r>
    </w:p>
    <w:p w14:paraId="63B0163E" w14:textId="77777777" w:rsidR="00A90EB6" w:rsidRPr="00A90EB6" w:rsidRDefault="00A90EB6" w:rsidP="00A90EB6">
      <w:pPr>
        <w:spacing w:line="360" w:lineRule="auto"/>
        <w:jc w:val="both"/>
        <w:rPr>
          <w:sz w:val="22"/>
          <w:szCs w:val="22"/>
        </w:rPr>
      </w:pPr>
    </w:p>
    <w:p w14:paraId="20A1311B" w14:textId="1A5645F5" w:rsidR="00A90EB6" w:rsidRDefault="00A90EB6" w:rsidP="00A90EB6">
      <w:pPr>
        <w:spacing w:line="360" w:lineRule="auto"/>
        <w:jc w:val="both"/>
        <w:rPr>
          <w:sz w:val="22"/>
          <w:szCs w:val="22"/>
        </w:rPr>
      </w:pPr>
      <w:r w:rsidRPr="00A90EB6">
        <w:rPr>
          <w:sz w:val="22"/>
          <w:szCs w:val="22"/>
        </w:rPr>
        <w:t xml:space="preserve">[5] The authors of Hudson’s Building and Construction Contracts observe that under New Zealand construction legislation adjudication </w:t>
      </w:r>
      <w:r w:rsidR="00AA0EC8">
        <w:rPr>
          <w:sz w:val="22"/>
          <w:szCs w:val="22"/>
        </w:rPr>
        <w:t>“</w:t>
      </w:r>
      <w:r w:rsidRPr="00A90EB6">
        <w:rPr>
          <w:sz w:val="22"/>
          <w:szCs w:val="22"/>
        </w:rPr>
        <w:t>is regarded as essentially a cash flow measure implementing what has been colloquially described as a “quick and dirty” exercise to avoid delays in payment pending definitive determination of litigation</w:t>
      </w:r>
      <w:r w:rsidR="00AA0EC8">
        <w:rPr>
          <w:sz w:val="22"/>
          <w:szCs w:val="22"/>
        </w:rPr>
        <w:t>”</w:t>
      </w:r>
      <w:r w:rsidRPr="00A90EB6">
        <w:rPr>
          <w:sz w:val="22"/>
          <w:szCs w:val="22"/>
        </w:rPr>
        <w:t>.</w:t>
      </w:r>
      <w:r>
        <w:rPr>
          <w:sz w:val="22"/>
          <w:szCs w:val="22"/>
        </w:rPr>
        <w:t>’</w:t>
      </w:r>
    </w:p>
    <w:p w14:paraId="7AC68361" w14:textId="77777777" w:rsidR="00FE2139" w:rsidRDefault="00FE2139" w:rsidP="00A90EB6">
      <w:pPr>
        <w:spacing w:line="360" w:lineRule="auto"/>
        <w:jc w:val="both"/>
        <w:rPr>
          <w:sz w:val="22"/>
          <w:szCs w:val="22"/>
        </w:rPr>
      </w:pPr>
    </w:p>
    <w:p w14:paraId="390DAA7F" w14:textId="58097CE0" w:rsidR="002C1E56" w:rsidRPr="00FE2139" w:rsidRDefault="00FE2139" w:rsidP="00FE2139">
      <w:pPr>
        <w:spacing w:after="160" w:line="360" w:lineRule="auto"/>
        <w:jc w:val="both"/>
        <w:rPr>
          <w:sz w:val="24"/>
        </w:rPr>
      </w:pPr>
      <w:r w:rsidRPr="00987D28">
        <w:rPr>
          <w:sz w:val="24"/>
        </w:rPr>
        <w:t>[2</w:t>
      </w:r>
      <w:r w:rsidR="00723ED7">
        <w:rPr>
          <w:sz w:val="24"/>
        </w:rPr>
        <w:t>1</w:t>
      </w:r>
      <w:r w:rsidRPr="00987D28">
        <w:rPr>
          <w:sz w:val="24"/>
        </w:rPr>
        <w:t>]</w:t>
      </w:r>
      <w:r>
        <w:rPr>
          <w:sz w:val="24"/>
        </w:rPr>
        <w:tab/>
        <w:t xml:space="preserve">In the forefront of his argument counsel for </w:t>
      </w:r>
      <w:r w:rsidR="00904D69">
        <w:rPr>
          <w:sz w:val="24"/>
        </w:rPr>
        <w:t>Eskom</w:t>
      </w:r>
      <w:r>
        <w:rPr>
          <w:sz w:val="24"/>
        </w:rPr>
        <w:t xml:space="preserve"> submitted that because </w:t>
      </w:r>
      <w:r w:rsidR="00E2522B">
        <w:rPr>
          <w:sz w:val="24"/>
        </w:rPr>
        <w:t>D</w:t>
      </w:r>
      <w:r>
        <w:rPr>
          <w:sz w:val="24"/>
        </w:rPr>
        <w:t xml:space="preserve">ecision 11 is predicated on an invalid </w:t>
      </w:r>
      <w:r w:rsidR="00E2522B">
        <w:rPr>
          <w:sz w:val="24"/>
        </w:rPr>
        <w:t>D</w:t>
      </w:r>
      <w:r>
        <w:rPr>
          <w:sz w:val="24"/>
        </w:rPr>
        <w:t xml:space="preserve">ecision 7, the award by the adjudicator is unenforceable and not binding. I pause to state that no attack was taken against </w:t>
      </w:r>
      <w:r w:rsidR="00E2522B">
        <w:rPr>
          <w:sz w:val="24"/>
        </w:rPr>
        <w:t>D</w:t>
      </w:r>
      <w:r>
        <w:rPr>
          <w:sz w:val="24"/>
        </w:rPr>
        <w:t xml:space="preserve">ecision 7. </w:t>
      </w:r>
      <w:r w:rsidRPr="001567B1">
        <w:rPr>
          <w:sz w:val="24"/>
        </w:rPr>
        <w:t xml:space="preserve">The closest </w:t>
      </w:r>
      <w:r w:rsidR="006A4157" w:rsidRPr="001567B1">
        <w:rPr>
          <w:sz w:val="24"/>
        </w:rPr>
        <w:t>Eskom</w:t>
      </w:r>
      <w:r w:rsidRPr="001567B1">
        <w:rPr>
          <w:sz w:val="24"/>
        </w:rPr>
        <w:t xml:space="preserve"> did was to cross-appeal that decision before the </w:t>
      </w:r>
      <w:r w:rsidR="00E2522B" w:rsidRPr="001567B1">
        <w:rPr>
          <w:sz w:val="24"/>
        </w:rPr>
        <w:t>h</w:t>
      </w:r>
      <w:r w:rsidRPr="001567B1">
        <w:rPr>
          <w:sz w:val="24"/>
        </w:rPr>
        <w:t xml:space="preserve">igh </w:t>
      </w:r>
      <w:r w:rsidR="00E2522B" w:rsidRPr="001567B1">
        <w:rPr>
          <w:sz w:val="24"/>
        </w:rPr>
        <w:t>c</w:t>
      </w:r>
      <w:r w:rsidRPr="001567B1">
        <w:rPr>
          <w:sz w:val="24"/>
        </w:rPr>
        <w:t>ourt.</w:t>
      </w:r>
      <w:r>
        <w:rPr>
          <w:sz w:val="24"/>
        </w:rPr>
        <w:t xml:space="preserve"> During argument before us, it was conceded that the cross-appeal was abandoned. In my view, if </w:t>
      </w:r>
      <w:r w:rsidR="006A4157">
        <w:rPr>
          <w:sz w:val="24"/>
        </w:rPr>
        <w:t>Eskom</w:t>
      </w:r>
      <w:r>
        <w:rPr>
          <w:sz w:val="24"/>
        </w:rPr>
        <w:t xml:space="preserve"> wished to challenge the validity of </w:t>
      </w:r>
      <w:r w:rsidR="00E2522B">
        <w:rPr>
          <w:sz w:val="24"/>
        </w:rPr>
        <w:t>D</w:t>
      </w:r>
      <w:r>
        <w:rPr>
          <w:sz w:val="24"/>
        </w:rPr>
        <w:t xml:space="preserve">ecision 7, it had an election to do so. One course open to it was to treat </w:t>
      </w:r>
      <w:r w:rsidR="00E2522B">
        <w:rPr>
          <w:sz w:val="24"/>
        </w:rPr>
        <w:t>D</w:t>
      </w:r>
      <w:r>
        <w:rPr>
          <w:sz w:val="24"/>
        </w:rPr>
        <w:t xml:space="preserve">ecision 7 as a </w:t>
      </w:r>
      <w:r w:rsidRPr="004E47A4">
        <w:rPr>
          <w:sz w:val="24"/>
        </w:rPr>
        <w:t>decision falling within the powers of the adjudicator and refer the dispute to arbitration.</w:t>
      </w:r>
      <w:r w:rsidR="00723ED7" w:rsidRPr="004E47A4">
        <w:rPr>
          <w:sz w:val="24"/>
        </w:rPr>
        <w:t xml:space="preserve"> The respondent contends that if the adjudicator exceeds his jurisdiction no referral to arbitration should be made.</w:t>
      </w:r>
      <w:r w:rsidRPr="004E47A4">
        <w:rPr>
          <w:sz w:val="24"/>
        </w:rPr>
        <w:t xml:space="preserve"> The other option was to contend that it was a nullity and challenge it. In this case</w:t>
      </w:r>
      <w:r>
        <w:rPr>
          <w:sz w:val="24"/>
        </w:rPr>
        <w:t xml:space="preserve">, at no stage did </w:t>
      </w:r>
      <w:r w:rsidR="006A4157">
        <w:rPr>
          <w:sz w:val="24"/>
        </w:rPr>
        <w:t>Eskom</w:t>
      </w:r>
      <w:r>
        <w:rPr>
          <w:sz w:val="24"/>
        </w:rPr>
        <w:t xml:space="preserve"> complain that </w:t>
      </w:r>
      <w:r w:rsidR="00E2522B">
        <w:rPr>
          <w:sz w:val="24"/>
        </w:rPr>
        <w:t>D</w:t>
      </w:r>
      <w:r>
        <w:rPr>
          <w:sz w:val="24"/>
        </w:rPr>
        <w:t>ispute 7 referred to the adjudicator was outside his jurisdiction.</w:t>
      </w:r>
      <w:r w:rsidRPr="00463487">
        <w:rPr>
          <w:sz w:val="24"/>
        </w:rPr>
        <w:t xml:space="preserve"> </w:t>
      </w:r>
      <w:r>
        <w:rPr>
          <w:sz w:val="24"/>
        </w:rPr>
        <w:t xml:space="preserve">I am not aware of any authority that supports the proposition that a lack of jurisdiction in relation to an earlier adjudication is a recognised ground for challenging an adjudicator’s jurisdiction in a subsequent adjudication that relies on the findings of the challenged jurisdiction prior to any challenge being made good. As a matter of fact, it participated in the adjudication process. </w:t>
      </w:r>
      <w:r>
        <w:rPr>
          <w:sz w:val="24"/>
        </w:rPr>
        <w:tab/>
      </w:r>
    </w:p>
    <w:p w14:paraId="4E7AB527" w14:textId="26DFD958" w:rsidR="00D33C4C" w:rsidRPr="00B54E79" w:rsidRDefault="00B54E79" w:rsidP="00D33C4C">
      <w:pPr>
        <w:spacing w:line="360" w:lineRule="auto"/>
        <w:jc w:val="both"/>
        <w:rPr>
          <w:sz w:val="24"/>
        </w:rPr>
      </w:pPr>
      <w:r>
        <w:rPr>
          <w:sz w:val="22"/>
          <w:szCs w:val="22"/>
        </w:rPr>
        <w:t>[</w:t>
      </w:r>
      <w:r w:rsidRPr="00FE2139">
        <w:rPr>
          <w:sz w:val="24"/>
        </w:rPr>
        <w:t>2</w:t>
      </w:r>
      <w:r w:rsidR="00723ED7">
        <w:rPr>
          <w:sz w:val="24"/>
        </w:rPr>
        <w:t>2</w:t>
      </w:r>
      <w:r w:rsidRPr="00FE2139">
        <w:rPr>
          <w:sz w:val="24"/>
        </w:rPr>
        <w:t>]</w:t>
      </w:r>
      <w:r>
        <w:rPr>
          <w:sz w:val="22"/>
          <w:szCs w:val="22"/>
        </w:rPr>
        <w:tab/>
      </w:r>
      <w:r w:rsidR="002C1E56" w:rsidRPr="00B54E79">
        <w:rPr>
          <w:sz w:val="24"/>
        </w:rPr>
        <w:t xml:space="preserve">It is clear that the attack on the enforcement of </w:t>
      </w:r>
      <w:r w:rsidR="00E2522B">
        <w:rPr>
          <w:sz w:val="24"/>
        </w:rPr>
        <w:t>D</w:t>
      </w:r>
      <w:r w:rsidR="002C1E56" w:rsidRPr="00B54E79">
        <w:rPr>
          <w:sz w:val="24"/>
        </w:rPr>
        <w:t xml:space="preserve">ecision 11 is an attack on its merits and the merits of </w:t>
      </w:r>
      <w:r w:rsidR="00E2522B">
        <w:rPr>
          <w:sz w:val="24"/>
        </w:rPr>
        <w:t>D</w:t>
      </w:r>
      <w:r w:rsidR="002C1E56" w:rsidRPr="00B54E79">
        <w:rPr>
          <w:sz w:val="24"/>
        </w:rPr>
        <w:t>ecision 7 which preceded it.</w:t>
      </w:r>
      <w:r w:rsidR="00FD4275">
        <w:rPr>
          <w:sz w:val="24"/>
        </w:rPr>
        <w:t xml:space="preserve"> The argument on </w:t>
      </w:r>
      <w:r w:rsidR="00E2522B">
        <w:rPr>
          <w:sz w:val="24"/>
        </w:rPr>
        <w:t>D</w:t>
      </w:r>
      <w:r w:rsidR="00FD4275">
        <w:rPr>
          <w:sz w:val="24"/>
        </w:rPr>
        <w:t xml:space="preserve">ecision 7 was rightly rejected by the high court and it is not open to </w:t>
      </w:r>
      <w:r w:rsidR="006A4157">
        <w:rPr>
          <w:sz w:val="24"/>
        </w:rPr>
        <w:t>Eskom</w:t>
      </w:r>
      <w:r w:rsidR="00FD4275">
        <w:rPr>
          <w:sz w:val="24"/>
        </w:rPr>
        <w:t xml:space="preserve"> to </w:t>
      </w:r>
      <w:r w:rsidR="0054034C">
        <w:rPr>
          <w:sz w:val="24"/>
        </w:rPr>
        <w:t>resuscitate it here in this appeal</w:t>
      </w:r>
      <w:r w:rsidR="00FD4275">
        <w:rPr>
          <w:sz w:val="24"/>
        </w:rPr>
        <w:t>. Accordingly, there is no merit in us entertaining it. One answer to this submission can be found in the provisions of</w:t>
      </w:r>
      <w:r w:rsidR="002C1E56" w:rsidRPr="00B54E79">
        <w:rPr>
          <w:sz w:val="24"/>
        </w:rPr>
        <w:t xml:space="preserve"> </w:t>
      </w:r>
      <w:r w:rsidR="00F55419">
        <w:rPr>
          <w:sz w:val="24"/>
        </w:rPr>
        <w:t>C</w:t>
      </w:r>
      <w:r w:rsidR="001C507F">
        <w:rPr>
          <w:sz w:val="24"/>
        </w:rPr>
        <w:t xml:space="preserve">lause </w:t>
      </w:r>
      <w:r w:rsidR="00D33C4C" w:rsidRPr="00B54E79">
        <w:rPr>
          <w:sz w:val="24"/>
        </w:rPr>
        <w:t>W</w:t>
      </w:r>
      <w:r w:rsidR="00E2522B">
        <w:rPr>
          <w:sz w:val="24"/>
        </w:rPr>
        <w:t>1.</w:t>
      </w:r>
      <w:r w:rsidR="00D33C4C" w:rsidRPr="00B54E79">
        <w:rPr>
          <w:sz w:val="24"/>
        </w:rPr>
        <w:t>3(10)</w:t>
      </w:r>
      <w:r w:rsidR="001C507F">
        <w:rPr>
          <w:sz w:val="24"/>
        </w:rPr>
        <w:t>,</w:t>
      </w:r>
      <w:r w:rsidR="00D33C4C" w:rsidRPr="00B54E79">
        <w:rPr>
          <w:sz w:val="24"/>
        </w:rPr>
        <w:t xml:space="preserve"> which </w:t>
      </w:r>
      <w:r w:rsidR="00E52A42" w:rsidRPr="008349BF">
        <w:rPr>
          <w:sz w:val="24"/>
        </w:rPr>
        <w:t>states</w:t>
      </w:r>
      <w:r w:rsidR="00D33C4C" w:rsidRPr="00B54E79">
        <w:rPr>
          <w:sz w:val="24"/>
        </w:rPr>
        <w:t xml:space="preserve"> that: </w:t>
      </w:r>
    </w:p>
    <w:p w14:paraId="54846A77" w14:textId="753D555B" w:rsidR="00D33C4C" w:rsidRPr="00CF6DBF" w:rsidRDefault="00171CC7" w:rsidP="00D33C4C">
      <w:pPr>
        <w:spacing w:line="360" w:lineRule="auto"/>
        <w:jc w:val="both"/>
        <w:rPr>
          <w:sz w:val="22"/>
          <w:szCs w:val="22"/>
        </w:rPr>
      </w:pPr>
      <w:r>
        <w:rPr>
          <w:sz w:val="22"/>
          <w:szCs w:val="22"/>
        </w:rPr>
        <w:t>‘</w:t>
      </w:r>
      <w:r w:rsidR="00D33C4C" w:rsidRPr="00CF6DBF">
        <w:rPr>
          <w:sz w:val="22"/>
          <w:szCs w:val="22"/>
        </w:rPr>
        <w:t xml:space="preserve">The adjudicator’s decision is binding on the Parties unless and until revised by the tribunal and is enforced as a matter of contractual obligation between Parties and not as an arbitral award. The Adjudicator’s decision is final and binding if neither Party has notified the other within the </w:t>
      </w:r>
      <w:r w:rsidR="00D33C4C" w:rsidRPr="00CF6DBF">
        <w:rPr>
          <w:sz w:val="22"/>
          <w:szCs w:val="22"/>
        </w:rPr>
        <w:lastRenderedPageBreak/>
        <w:t>times required by this contract that he is dissatisfied with a decision of the Adjudicator and intends to refer the matter to the tribunal.</w:t>
      </w:r>
      <w:r>
        <w:rPr>
          <w:sz w:val="22"/>
          <w:szCs w:val="22"/>
        </w:rPr>
        <w:t>’</w:t>
      </w:r>
      <w:r w:rsidR="00D33C4C" w:rsidRPr="00CF6DBF">
        <w:rPr>
          <w:sz w:val="22"/>
          <w:szCs w:val="22"/>
        </w:rPr>
        <w:t xml:space="preserve"> </w:t>
      </w:r>
    </w:p>
    <w:p w14:paraId="76F53423" w14:textId="14560028" w:rsidR="00D33C4C" w:rsidRDefault="00D33C4C" w:rsidP="00D33C4C">
      <w:pPr>
        <w:spacing w:line="360" w:lineRule="auto"/>
        <w:jc w:val="both"/>
        <w:rPr>
          <w:sz w:val="24"/>
        </w:rPr>
      </w:pPr>
      <w:r w:rsidRPr="002B1E3F">
        <w:rPr>
          <w:sz w:val="24"/>
        </w:rPr>
        <w:t>It is clear that only the arbitration is the appropriate forum</w:t>
      </w:r>
      <w:r>
        <w:rPr>
          <w:sz w:val="24"/>
        </w:rPr>
        <w:t>.</w:t>
      </w:r>
      <w:r w:rsidR="00FD4275">
        <w:rPr>
          <w:sz w:val="24"/>
        </w:rPr>
        <w:t xml:space="preserve"> In argument before us,</w:t>
      </w:r>
      <w:r w:rsidR="006A4157">
        <w:rPr>
          <w:sz w:val="24"/>
        </w:rPr>
        <w:t xml:space="preserve"> Eskom</w:t>
      </w:r>
      <w:r w:rsidR="00FD4275">
        <w:rPr>
          <w:sz w:val="24"/>
        </w:rPr>
        <w:t xml:space="preserve"> conceded that the dispute has been referred to arbitration.</w:t>
      </w:r>
    </w:p>
    <w:p w14:paraId="7C78B0C6" w14:textId="20AA984D" w:rsidR="0094703D" w:rsidRPr="00B54E79" w:rsidRDefault="00D33C4C" w:rsidP="00522308">
      <w:pPr>
        <w:spacing w:line="360" w:lineRule="auto"/>
        <w:jc w:val="both"/>
        <w:rPr>
          <w:sz w:val="22"/>
          <w:szCs w:val="22"/>
        </w:rPr>
      </w:pPr>
      <w:r>
        <w:rPr>
          <w:sz w:val="22"/>
          <w:szCs w:val="22"/>
        </w:rPr>
        <w:t xml:space="preserve"> </w:t>
      </w:r>
    </w:p>
    <w:p w14:paraId="125E9F50" w14:textId="779787D1" w:rsidR="0094703D" w:rsidRPr="0094703D" w:rsidRDefault="0094703D" w:rsidP="00FE2139">
      <w:pPr>
        <w:spacing w:line="360" w:lineRule="auto"/>
        <w:jc w:val="both"/>
        <w:rPr>
          <w:sz w:val="24"/>
        </w:rPr>
      </w:pPr>
      <w:r>
        <w:rPr>
          <w:sz w:val="24"/>
        </w:rPr>
        <w:t>[</w:t>
      </w:r>
      <w:r w:rsidR="004F38B6">
        <w:rPr>
          <w:sz w:val="24"/>
        </w:rPr>
        <w:t>2</w:t>
      </w:r>
      <w:r w:rsidR="00723ED7">
        <w:rPr>
          <w:sz w:val="24"/>
        </w:rPr>
        <w:t>3</w:t>
      </w:r>
      <w:r>
        <w:rPr>
          <w:sz w:val="24"/>
        </w:rPr>
        <w:t>]</w:t>
      </w:r>
      <w:r>
        <w:rPr>
          <w:sz w:val="24"/>
        </w:rPr>
        <w:tab/>
      </w:r>
      <w:r w:rsidR="00FD4275">
        <w:rPr>
          <w:sz w:val="24"/>
        </w:rPr>
        <w:t xml:space="preserve">If the interpretation contended </w:t>
      </w:r>
      <w:r w:rsidR="00FD4275" w:rsidRPr="004E47A4">
        <w:rPr>
          <w:sz w:val="24"/>
        </w:rPr>
        <w:t xml:space="preserve">for by </w:t>
      </w:r>
      <w:r w:rsidR="006A4157" w:rsidRPr="004E47A4">
        <w:rPr>
          <w:sz w:val="24"/>
        </w:rPr>
        <w:t xml:space="preserve">Eskom </w:t>
      </w:r>
      <w:r w:rsidR="00FD4275" w:rsidRPr="004E47A4">
        <w:rPr>
          <w:sz w:val="24"/>
        </w:rPr>
        <w:t xml:space="preserve">is correct, </w:t>
      </w:r>
      <w:r w:rsidRPr="004E47A4">
        <w:rPr>
          <w:sz w:val="24"/>
        </w:rPr>
        <w:t>it</w:t>
      </w:r>
      <w:r w:rsidR="00BA0FA0" w:rsidRPr="004E47A4">
        <w:rPr>
          <w:sz w:val="24"/>
        </w:rPr>
        <w:t xml:space="preserve"> will</w:t>
      </w:r>
      <w:r w:rsidRPr="004E47A4">
        <w:rPr>
          <w:sz w:val="24"/>
        </w:rPr>
        <w:t xml:space="preserve"> substantially undermine the effectiveness of the scheme </w:t>
      </w:r>
      <w:r w:rsidR="001C507F" w:rsidRPr="004E47A4">
        <w:rPr>
          <w:sz w:val="24"/>
        </w:rPr>
        <w:t xml:space="preserve">of </w:t>
      </w:r>
      <w:r w:rsidRPr="004E47A4">
        <w:rPr>
          <w:sz w:val="24"/>
        </w:rPr>
        <w:t xml:space="preserve">adjudication. It is plain that </w:t>
      </w:r>
      <w:r w:rsidR="00E2522B" w:rsidRPr="004E47A4">
        <w:rPr>
          <w:sz w:val="24"/>
        </w:rPr>
        <w:t>the</w:t>
      </w:r>
      <w:r w:rsidRPr="004E47A4">
        <w:rPr>
          <w:sz w:val="24"/>
        </w:rPr>
        <w:t xml:space="preserve"> purpose </w:t>
      </w:r>
      <w:r w:rsidR="00E2522B" w:rsidRPr="004E47A4">
        <w:rPr>
          <w:sz w:val="24"/>
        </w:rPr>
        <w:t xml:space="preserve">of </w:t>
      </w:r>
      <w:r w:rsidRPr="004E47A4">
        <w:rPr>
          <w:sz w:val="24"/>
        </w:rPr>
        <w:t>adjudication was to introduce a speedy mechanism for settling disputes in construction contracts on a provisional interim basis and requiring the decisions of adjudicators to be enforced pending the final determination of disputes by arbitration. As far as the procedure is concerned, adjudicator</w:t>
      </w:r>
      <w:r w:rsidR="00FF0858" w:rsidRPr="004E47A4">
        <w:rPr>
          <w:sz w:val="24"/>
        </w:rPr>
        <w:t>s</w:t>
      </w:r>
      <w:r w:rsidRPr="004E47A4">
        <w:rPr>
          <w:sz w:val="24"/>
        </w:rPr>
        <w:t xml:space="preserve"> </w:t>
      </w:r>
      <w:r w:rsidR="00FF0858" w:rsidRPr="004E47A4">
        <w:rPr>
          <w:sz w:val="24"/>
        </w:rPr>
        <w:t>are</w:t>
      </w:r>
      <w:r w:rsidRPr="004E47A4">
        <w:rPr>
          <w:sz w:val="24"/>
        </w:rPr>
        <w:t xml:space="preserve"> given a fairly free hand. </w:t>
      </w:r>
      <w:r w:rsidR="00FF0858" w:rsidRPr="004E47A4">
        <w:rPr>
          <w:sz w:val="24"/>
        </w:rPr>
        <w:t>They</w:t>
      </w:r>
      <w:r w:rsidRPr="004E47A4">
        <w:rPr>
          <w:sz w:val="24"/>
        </w:rPr>
        <w:t xml:space="preserve"> </w:t>
      </w:r>
      <w:r w:rsidR="00FF0858" w:rsidRPr="004E47A4">
        <w:rPr>
          <w:sz w:val="24"/>
        </w:rPr>
        <w:t>are</w:t>
      </w:r>
      <w:r w:rsidRPr="004E47A4">
        <w:rPr>
          <w:sz w:val="24"/>
        </w:rPr>
        <w:t xml:space="preserve"> required to act impartially</w:t>
      </w:r>
      <w:r w:rsidR="00FF0858" w:rsidRPr="004E47A4">
        <w:rPr>
          <w:sz w:val="24"/>
        </w:rPr>
        <w:t xml:space="preserve"> and</w:t>
      </w:r>
      <w:r w:rsidRPr="004E47A4">
        <w:rPr>
          <w:sz w:val="24"/>
        </w:rPr>
        <w:t xml:space="preserve"> permitted to take the initiative in ascertaining the facts and the law. Sight should not be lost of the fact that adjudication is merely an intervening, provisional stage in the dispute resolution process. Parties still have a right of recourse to litigation and arbitration. </w:t>
      </w:r>
      <w:r w:rsidR="00BA0FA0" w:rsidRPr="004E47A4">
        <w:rPr>
          <w:sz w:val="24"/>
        </w:rPr>
        <w:t xml:space="preserve">Only a tribunal may revise an adjudicator’s decision. As that decision has not been revised, it remains binding and enforceable. </w:t>
      </w:r>
      <w:r w:rsidR="006A4157" w:rsidRPr="004E47A4">
        <w:rPr>
          <w:sz w:val="24"/>
        </w:rPr>
        <w:t xml:space="preserve">Eskom </w:t>
      </w:r>
      <w:r w:rsidR="00BA0FA0" w:rsidRPr="004E47A4">
        <w:rPr>
          <w:sz w:val="24"/>
        </w:rPr>
        <w:t xml:space="preserve">cannot partially comply with the award and decline to give full effect to the payment portion of the award. </w:t>
      </w:r>
      <w:r w:rsidR="001C507F" w:rsidRPr="004E47A4">
        <w:rPr>
          <w:sz w:val="24"/>
        </w:rPr>
        <w:t xml:space="preserve">What </w:t>
      </w:r>
      <w:r w:rsidR="006A4157" w:rsidRPr="004E47A4">
        <w:rPr>
          <w:sz w:val="24"/>
        </w:rPr>
        <w:t>Eskom</w:t>
      </w:r>
      <w:r w:rsidR="00BA0FA0">
        <w:rPr>
          <w:sz w:val="24"/>
        </w:rPr>
        <w:t xml:space="preserve"> is asking the </w:t>
      </w:r>
      <w:r w:rsidR="00764C8E">
        <w:rPr>
          <w:sz w:val="24"/>
        </w:rPr>
        <w:t>C</w:t>
      </w:r>
      <w:r w:rsidR="00BA0FA0">
        <w:rPr>
          <w:sz w:val="24"/>
        </w:rPr>
        <w:t>ourt to do is to interrogate the merits, an aspect which falls within the purview of the arbitrator.</w:t>
      </w:r>
    </w:p>
    <w:p w14:paraId="46809BBD" w14:textId="77777777" w:rsidR="0094703D" w:rsidRDefault="0094703D" w:rsidP="00522308">
      <w:pPr>
        <w:spacing w:line="360" w:lineRule="auto"/>
        <w:jc w:val="both"/>
        <w:rPr>
          <w:sz w:val="24"/>
        </w:rPr>
      </w:pPr>
    </w:p>
    <w:p w14:paraId="3ED07D1F" w14:textId="0C492952" w:rsidR="00C752B4" w:rsidRDefault="0094703D" w:rsidP="00BA0FA0">
      <w:pPr>
        <w:spacing w:line="360" w:lineRule="auto"/>
        <w:jc w:val="both"/>
        <w:rPr>
          <w:sz w:val="24"/>
        </w:rPr>
      </w:pPr>
      <w:r>
        <w:rPr>
          <w:sz w:val="24"/>
        </w:rPr>
        <w:t>[</w:t>
      </w:r>
      <w:r w:rsidR="00601D2B">
        <w:rPr>
          <w:sz w:val="24"/>
        </w:rPr>
        <w:t>2</w:t>
      </w:r>
      <w:r w:rsidR="00723ED7">
        <w:rPr>
          <w:sz w:val="24"/>
        </w:rPr>
        <w:t>4</w:t>
      </w:r>
      <w:r>
        <w:rPr>
          <w:sz w:val="24"/>
        </w:rPr>
        <w:t>]</w:t>
      </w:r>
      <w:r w:rsidR="00BA0FA0">
        <w:rPr>
          <w:sz w:val="24"/>
        </w:rPr>
        <w:tab/>
      </w:r>
      <w:r w:rsidR="001D7553">
        <w:rPr>
          <w:sz w:val="24"/>
        </w:rPr>
        <w:t xml:space="preserve">Another compelling reason which militates against the submission of </w:t>
      </w:r>
      <w:r w:rsidR="006A4157">
        <w:rPr>
          <w:sz w:val="24"/>
        </w:rPr>
        <w:t>Eskom</w:t>
      </w:r>
      <w:r w:rsidR="001D7553">
        <w:rPr>
          <w:sz w:val="24"/>
        </w:rPr>
        <w:t xml:space="preserve"> is that </w:t>
      </w:r>
      <w:r w:rsidR="00BA0FA0" w:rsidRPr="00BA0FA0">
        <w:rPr>
          <w:sz w:val="24"/>
        </w:rPr>
        <w:t xml:space="preserve">in paragraph 13 of its answering affidavit, </w:t>
      </w:r>
      <w:r w:rsidR="006A4157">
        <w:rPr>
          <w:sz w:val="24"/>
        </w:rPr>
        <w:t>Eskom</w:t>
      </w:r>
      <w:r w:rsidR="00BA0FA0" w:rsidRPr="00BA0FA0">
        <w:rPr>
          <w:sz w:val="24"/>
        </w:rPr>
        <w:t xml:space="preserve"> stated as follows: </w:t>
      </w:r>
    </w:p>
    <w:p w14:paraId="0E6B5C4F" w14:textId="12D75B95" w:rsidR="00BA0FA0" w:rsidRPr="00C752B4" w:rsidRDefault="00C752B4" w:rsidP="00BA0FA0">
      <w:pPr>
        <w:spacing w:line="360" w:lineRule="auto"/>
        <w:jc w:val="both"/>
        <w:rPr>
          <w:sz w:val="22"/>
          <w:szCs w:val="22"/>
        </w:rPr>
      </w:pPr>
      <w:r w:rsidRPr="00C752B4">
        <w:rPr>
          <w:sz w:val="22"/>
          <w:szCs w:val="22"/>
        </w:rPr>
        <w:t>‘</w:t>
      </w:r>
      <w:r w:rsidR="00BA0FA0" w:rsidRPr="00C752B4">
        <w:rPr>
          <w:sz w:val="22"/>
          <w:szCs w:val="22"/>
        </w:rPr>
        <w:t>The whole of the Adjudicator’s decision in dispute 11 therefore forms the subject of the Respondent’s notice of dissatisfaction of 5 August 2019 and will be reconsidered by the arbitration tribunal. (A copy of the notice of dissatisfaction in terms of Clause W1.3(10) and W1.4(2) is attached hereto and marked “AA2”).</w:t>
      </w:r>
      <w:r w:rsidRPr="00C752B4">
        <w:rPr>
          <w:sz w:val="22"/>
          <w:szCs w:val="22"/>
        </w:rPr>
        <w:t>’</w:t>
      </w:r>
      <w:r w:rsidR="00BA0FA0" w:rsidRPr="00C752B4">
        <w:rPr>
          <w:sz w:val="22"/>
          <w:szCs w:val="22"/>
        </w:rPr>
        <w:t xml:space="preserve"> </w:t>
      </w:r>
    </w:p>
    <w:p w14:paraId="0012778F" w14:textId="5755219F" w:rsidR="00BB2A39" w:rsidRDefault="00BA0FA0" w:rsidP="00BA0FA0">
      <w:pPr>
        <w:spacing w:after="160" w:line="360" w:lineRule="auto"/>
        <w:jc w:val="both"/>
        <w:rPr>
          <w:sz w:val="24"/>
        </w:rPr>
      </w:pPr>
      <w:r w:rsidRPr="00BA0FA0">
        <w:rPr>
          <w:sz w:val="24"/>
        </w:rPr>
        <w:t xml:space="preserve">A reading of this paragraph makes it clear that </w:t>
      </w:r>
      <w:r w:rsidR="006A4157">
        <w:rPr>
          <w:sz w:val="24"/>
        </w:rPr>
        <w:t>Eskom</w:t>
      </w:r>
      <w:r w:rsidR="001D7553">
        <w:rPr>
          <w:sz w:val="24"/>
        </w:rPr>
        <w:t xml:space="preserve"> accepted that the dispute falls within the remit of the arbitrator and had agreed to participate in the contemplated arbitration proceedings. To my mind, no justifiable reason exists for not fully giving effect to the adjudicator’s award. Refusing to comply with the payment award of the adjudicator is disingenuous</w:t>
      </w:r>
      <w:r w:rsidR="001D7553" w:rsidRPr="00BF3814">
        <w:rPr>
          <w:sz w:val="24"/>
        </w:rPr>
        <w:t xml:space="preserve">. I will deal with </w:t>
      </w:r>
      <w:r w:rsidR="006A4157">
        <w:rPr>
          <w:sz w:val="24"/>
        </w:rPr>
        <w:t>Eskom</w:t>
      </w:r>
      <w:r w:rsidR="001D7553" w:rsidRPr="00BF3814">
        <w:rPr>
          <w:sz w:val="24"/>
        </w:rPr>
        <w:t>’s defences shortly</w:t>
      </w:r>
      <w:r w:rsidR="00BF3814">
        <w:rPr>
          <w:sz w:val="24"/>
        </w:rPr>
        <w:t>.</w:t>
      </w:r>
    </w:p>
    <w:p w14:paraId="77F7C2B9" w14:textId="77777777" w:rsidR="008349BF" w:rsidRDefault="008349BF" w:rsidP="00BA0FA0">
      <w:pPr>
        <w:spacing w:after="160" w:line="360" w:lineRule="auto"/>
        <w:jc w:val="both"/>
        <w:rPr>
          <w:sz w:val="24"/>
        </w:rPr>
      </w:pPr>
    </w:p>
    <w:p w14:paraId="33A26943" w14:textId="6B071E80" w:rsidR="00C82D72" w:rsidRDefault="00FE2139" w:rsidP="00BA0FA0">
      <w:pPr>
        <w:spacing w:after="160" w:line="360" w:lineRule="auto"/>
        <w:jc w:val="both"/>
        <w:rPr>
          <w:sz w:val="24"/>
        </w:rPr>
      </w:pPr>
      <w:r w:rsidRPr="00987D28">
        <w:rPr>
          <w:sz w:val="24"/>
        </w:rPr>
        <w:t>[</w:t>
      </w:r>
      <w:r w:rsidR="00987D28" w:rsidRPr="00987D28">
        <w:rPr>
          <w:sz w:val="24"/>
        </w:rPr>
        <w:t>2</w:t>
      </w:r>
      <w:r w:rsidR="00723ED7">
        <w:rPr>
          <w:sz w:val="24"/>
        </w:rPr>
        <w:t>5</w:t>
      </w:r>
      <w:r w:rsidRPr="00987D28">
        <w:rPr>
          <w:sz w:val="24"/>
        </w:rPr>
        <w:t>]</w:t>
      </w:r>
      <w:r>
        <w:rPr>
          <w:sz w:val="24"/>
        </w:rPr>
        <w:tab/>
        <w:t xml:space="preserve">The submission that the adjudicator exceeded his jurisdiction and that the proper procedure was not followed does not entitle </w:t>
      </w:r>
      <w:r w:rsidR="006A4157">
        <w:rPr>
          <w:sz w:val="24"/>
        </w:rPr>
        <w:t>Eskom</w:t>
      </w:r>
      <w:r>
        <w:rPr>
          <w:sz w:val="24"/>
        </w:rPr>
        <w:t xml:space="preserve"> not to comply with the adjudicator’s award. The adjudicator formulated the dispute with the understanding and appreciation of what the parties contemplated. It is trite that if upon an application for enforcement of an adjudication decision, it is found that the adjudicator did not have the requisite jurisdiction, his decision will not be binding or enforceable</w:t>
      </w:r>
      <w:r w:rsidR="001C507F">
        <w:rPr>
          <w:sz w:val="24"/>
        </w:rPr>
        <w:t>.</w:t>
      </w:r>
      <w:r>
        <w:rPr>
          <w:sz w:val="24"/>
        </w:rPr>
        <w:t xml:space="preserve"> At no stage did </w:t>
      </w:r>
      <w:r w:rsidR="006A4157">
        <w:rPr>
          <w:sz w:val="24"/>
        </w:rPr>
        <w:t>Eskom</w:t>
      </w:r>
      <w:r>
        <w:rPr>
          <w:sz w:val="24"/>
        </w:rPr>
        <w:t xml:space="preserve"> contend that the dispute referred to </w:t>
      </w:r>
      <w:r w:rsidR="00C82D72">
        <w:rPr>
          <w:sz w:val="24"/>
        </w:rPr>
        <w:t>the adjudicator</w:t>
      </w:r>
      <w:r>
        <w:rPr>
          <w:sz w:val="24"/>
        </w:rPr>
        <w:t xml:space="preserve"> was outside his jurisdiction. </w:t>
      </w:r>
      <w:r w:rsidR="003734B8">
        <w:rPr>
          <w:sz w:val="24"/>
        </w:rPr>
        <w:t xml:space="preserve">It </w:t>
      </w:r>
      <w:r w:rsidR="00C82D72">
        <w:rPr>
          <w:sz w:val="24"/>
        </w:rPr>
        <w:t>cannot</w:t>
      </w:r>
      <w:r w:rsidR="003734B8">
        <w:rPr>
          <w:sz w:val="24"/>
        </w:rPr>
        <w:t xml:space="preserve"> avail </w:t>
      </w:r>
      <w:r w:rsidR="006A4157">
        <w:rPr>
          <w:sz w:val="24"/>
        </w:rPr>
        <w:t>Eskom</w:t>
      </w:r>
      <w:r w:rsidR="003734B8">
        <w:rPr>
          <w:sz w:val="24"/>
        </w:rPr>
        <w:t xml:space="preserve"> to raise issues relating to </w:t>
      </w:r>
      <w:r w:rsidR="00904D69">
        <w:rPr>
          <w:sz w:val="24"/>
        </w:rPr>
        <w:t>Framatome’</w:t>
      </w:r>
      <w:r w:rsidR="003734B8">
        <w:rPr>
          <w:sz w:val="24"/>
        </w:rPr>
        <w:t xml:space="preserve">s quotation. The adjudicator dealt with this aspect in its finding in </w:t>
      </w:r>
      <w:r w:rsidR="0035300B">
        <w:rPr>
          <w:sz w:val="24"/>
        </w:rPr>
        <w:t>D</w:t>
      </w:r>
      <w:r w:rsidR="003734B8">
        <w:rPr>
          <w:sz w:val="24"/>
        </w:rPr>
        <w:t>ecision 11.</w:t>
      </w:r>
      <w:r w:rsidR="00C82D72">
        <w:rPr>
          <w:sz w:val="24"/>
        </w:rPr>
        <w:t xml:space="preserve"> It is an aspect that I now turn to because it formed the cornerstone of </w:t>
      </w:r>
      <w:r w:rsidR="006A4157">
        <w:rPr>
          <w:sz w:val="24"/>
        </w:rPr>
        <w:t>Eskom</w:t>
      </w:r>
      <w:r w:rsidR="00C82D72">
        <w:rPr>
          <w:sz w:val="24"/>
        </w:rPr>
        <w:t xml:space="preserve">’s submission. </w:t>
      </w:r>
    </w:p>
    <w:p w14:paraId="68135EEC" w14:textId="63AC05B6" w:rsidR="00D32806" w:rsidRDefault="00C82D72" w:rsidP="00D32806">
      <w:pPr>
        <w:spacing w:line="360" w:lineRule="auto"/>
        <w:jc w:val="both"/>
        <w:rPr>
          <w:sz w:val="24"/>
        </w:rPr>
      </w:pPr>
      <w:r>
        <w:rPr>
          <w:sz w:val="24"/>
        </w:rPr>
        <w:t>[</w:t>
      </w:r>
      <w:r w:rsidR="00987D28">
        <w:rPr>
          <w:sz w:val="24"/>
        </w:rPr>
        <w:t>2</w:t>
      </w:r>
      <w:r w:rsidR="00723ED7">
        <w:rPr>
          <w:sz w:val="24"/>
        </w:rPr>
        <w:t>6</w:t>
      </w:r>
      <w:r>
        <w:rPr>
          <w:sz w:val="24"/>
        </w:rPr>
        <w:t>]</w:t>
      </w:r>
      <w:r w:rsidR="00987D28">
        <w:rPr>
          <w:sz w:val="24"/>
        </w:rPr>
        <w:tab/>
      </w:r>
      <w:r w:rsidRPr="00BA0FA0">
        <w:rPr>
          <w:sz w:val="24"/>
        </w:rPr>
        <w:t xml:space="preserve">The quotation is challenged on the basis that it does not constitute one in terms of the </w:t>
      </w:r>
      <w:r>
        <w:rPr>
          <w:sz w:val="24"/>
        </w:rPr>
        <w:t>C</w:t>
      </w:r>
      <w:r w:rsidRPr="00BA0FA0">
        <w:rPr>
          <w:sz w:val="24"/>
        </w:rPr>
        <w:t>ontract and that the procedure provided for in clause 6</w:t>
      </w:r>
      <w:r w:rsidR="00BC3036">
        <w:rPr>
          <w:sz w:val="24"/>
        </w:rPr>
        <w:t>4.4</w:t>
      </w:r>
      <w:r w:rsidRPr="00BA0FA0">
        <w:rPr>
          <w:sz w:val="24"/>
        </w:rPr>
        <w:t xml:space="preserve"> of the </w:t>
      </w:r>
      <w:r>
        <w:rPr>
          <w:sz w:val="24"/>
        </w:rPr>
        <w:t>C</w:t>
      </w:r>
      <w:r w:rsidRPr="00BA0FA0">
        <w:rPr>
          <w:sz w:val="24"/>
        </w:rPr>
        <w:t>ontract by which the quotation is deemed to be acceptable was not followed. This argument has no merit. Clause 6</w:t>
      </w:r>
      <w:r w:rsidR="00BC3036">
        <w:rPr>
          <w:sz w:val="24"/>
        </w:rPr>
        <w:t>4</w:t>
      </w:r>
      <w:r w:rsidRPr="00BA0FA0">
        <w:rPr>
          <w:sz w:val="24"/>
        </w:rPr>
        <w:t>.4 provides</w:t>
      </w:r>
      <w:r w:rsidR="00BC3036">
        <w:rPr>
          <w:sz w:val="24"/>
        </w:rPr>
        <w:t>:</w:t>
      </w:r>
    </w:p>
    <w:p w14:paraId="32BC601F" w14:textId="77777777" w:rsidR="00D32806" w:rsidRDefault="00BC3036" w:rsidP="00D32806">
      <w:pPr>
        <w:spacing w:line="360" w:lineRule="auto"/>
        <w:jc w:val="both"/>
        <w:rPr>
          <w:sz w:val="24"/>
        </w:rPr>
      </w:pPr>
      <w:r>
        <w:rPr>
          <w:sz w:val="24"/>
        </w:rPr>
        <w:t xml:space="preserve"> </w:t>
      </w:r>
      <w:r w:rsidRPr="00BC3036">
        <w:rPr>
          <w:sz w:val="22"/>
          <w:szCs w:val="22"/>
        </w:rPr>
        <w:t>‘If the Project Manager does not assess a compensation event within the time allowed, the Contractor may notify the Project Manager to this effect. If the Contractor submitted more than one quotation for the compensation event, he states in his notification which quotation he proposes is to be accepted. If the Project Manager does not reply within two weeks of this notification the notification is treated as acceptance of the Contractor’s quotation by the Project Manager.’</w:t>
      </w:r>
      <w:r w:rsidR="00D32806">
        <w:rPr>
          <w:sz w:val="24"/>
        </w:rPr>
        <w:t xml:space="preserve"> </w:t>
      </w:r>
    </w:p>
    <w:p w14:paraId="6B742371" w14:textId="3DBEEC39" w:rsidR="00C82D72" w:rsidRDefault="00C82D72" w:rsidP="00D32806">
      <w:pPr>
        <w:spacing w:line="360" w:lineRule="auto"/>
        <w:jc w:val="both"/>
        <w:rPr>
          <w:sz w:val="24"/>
        </w:rPr>
      </w:pPr>
      <w:r w:rsidRPr="004E47A4">
        <w:rPr>
          <w:sz w:val="24"/>
        </w:rPr>
        <w:t>The quotation</w:t>
      </w:r>
      <w:r w:rsidR="008349BF" w:rsidRPr="004E47A4">
        <w:rPr>
          <w:sz w:val="24"/>
        </w:rPr>
        <w:t xml:space="preserve"> </w:t>
      </w:r>
      <w:r w:rsidR="00723ED7" w:rsidRPr="004E47A4">
        <w:rPr>
          <w:sz w:val="24"/>
        </w:rPr>
        <w:t>in terms of clause 64.4</w:t>
      </w:r>
      <w:r w:rsidR="008349BF" w:rsidRPr="004E47A4">
        <w:rPr>
          <w:sz w:val="24"/>
        </w:rPr>
        <w:t xml:space="preserve"> </w:t>
      </w:r>
      <w:r w:rsidRPr="004E47A4">
        <w:rPr>
          <w:sz w:val="24"/>
        </w:rPr>
        <w:t xml:space="preserve">was submitted together with </w:t>
      </w:r>
      <w:r w:rsidR="00904D69" w:rsidRPr="004E47A4">
        <w:rPr>
          <w:sz w:val="24"/>
        </w:rPr>
        <w:t>Framatome</w:t>
      </w:r>
      <w:r w:rsidRPr="004E47A4">
        <w:rPr>
          <w:sz w:val="24"/>
        </w:rPr>
        <w:t>’s submissions. To this</w:t>
      </w:r>
      <w:r w:rsidR="00723ED7" w:rsidRPr="004E47A4">
        <w:rPr>
          <w:sz w:val="24"/>
        </w:rPr>
        <w:t xml:space="preserve"> end</w:t>
      </w:r>
      <w:r w:rsidRPr="004E47A4">
        <w:rPr>
          <w:sz w:val="24"/>
        </w:rPr>
        <w:t xml:space="preserve">, </w:t>
      </w:r>
      <w:r w:rsidR="00904D69" w:rsidRPr="004E47A4">
        <w:rPr>
          <w:sz w:val="24"/>
        </w:rPr>
        <w:t>Eskom</w:t>
      </w:r>
      <w:r w:rsidR="004C12E1" w:rsidRPr="004E47A4">
        <w:rPr>
          <w:sz w:val="24"/>
        </w:rPr>
        <w:t xml:space="preserve"> did not object to </w:t>
      </w:r>
      <w:r w:rsidR="00904D69" w:rsidRPr="004E47A4">
        <w:rPr>
          <w:sz w:val="24"/>
        </w:rPr>
        <w:t>Framatome</w:t>
      </w:r>
      <w:r w:rsidR="004C12E1" w:rsidRPr="004E47A4">
        <w:rPr>
          <w:sz w:val="24"/>
        </w:rPr>
        <w:t>’s</w:t>
      </w:r>
      <w:r w:rsidR="00723ED7" w:rsidRPr="004E47A4">
        <w:rPr>
          <w:sz w:val="24"/>
        </w:rPr>
        <w:t xml:space="preserve"> alleged quotation</w:t>
      </w:r>
      <w:r w:rsidR="004C12E1" w:rsidRPr="004E47A4">
        <w:rPr>
          <w:sz w:val="24"/>
        </w:rPr>
        <w:t xml:space="preserve"> which w</w:t>
      </w:r>
      <w:r w:rsidR="00723ED7" w:rsidRPr="004E47A4">
        <w:rPr>
          <w:sz w:val="24"/>
        </w:rPr>
        <w:t>as</w:t>
      </w:r>
      <w:r w:rsidR="004C12E1" w:rsidRPr="004E47A4">
        <w:rPr>
          <w:sz w:val="24"/>
        </w:rPr>
        <w:t xml:space="preserve"> embodied in the submissions to the adjudicator in the referral notice.</w:t>
      </w:r>
      <w:r w:rsidRPr="004E47A4">
        <w:rPr>
          <w:sz w:val="24"/>
        </w:rPr>
        <w:t xml:space="preserve"> </w:t>
      </w:r>
      <w:r w:rsidR="004C12E1" w:rsidRPr="004E47A4">
        <w:rPr>
          <w:sz w:val="24"/>
        </w:rPr>
        <w:t xml:space="preserve">A determination of whether or not </w:t>
      </w:r>
      <w:r w:rsidR="00904D69" w:rsidRPr="004E47A4">
        <w:rPr>
          <w:sz w:val="24"/>
        </w:rPr>
        <w:t>Framatome</w:t>
      </w:r>
      <w:r w:rsidR="004C12E1" w:rsidRPr="004E47A4">
        <w:rPr>
          <w:sz w:val="24"/>
        </w:rPr>
        <w:t>’s quotation was valid under the Contract and whether the process for the deemed acceptance of that quotation requires an analysis of the facts. This is an issue which the arbitrator will deal with in due course. That said, it</w:t>
      </w:r>
      <w:r w:rsidR="00723ED7" w:rsidRPr="004E47A4">
        <w:rPr>
          <w:sz w:val="24"/>
        </w:rPr>
        <w:t xml:space="preserve"> is clear that the decision</w:t>
      </w:r>
      <w:r w:rsidR="004C12E1" w:rsidRPr="004E47A4">
        <w:rPr>
          <w:sz w:val="24"/>
        </w:rPr>
        <w:t xml:space="preserve"> </w:t>
      </w:r>
      <w:r w:rsidR="00723ED7" w:rsidRPr="004E47A4">
        <w:rPr>
          <w:sz w:val="24"/>
        </w:rPr>
        <w:t xml:space="preserve">of </w:t>
      </w:r>
      <w:r w:rsidR="004C12E1" w:rsidRPr="004E47A4">
        <w:rPr>
          <w:sz w:val="24"/>
        </w:rPr>
        <w:t>the adjudicator is binding and</w:t>
      </w:r>
      <w:r w:rsidR="004C12E1" w:rsidRPr="004020E9">
        <w:rPr>
          <w:sz w:val="24"/>
        </w:rPr>
        <w:t xml:space="preserve"> enforceable</w:t>
      </w:r>
      <w:r w:rsidR="008349BF">
        <w:rPr>
          <w:sz w:val="24"/>
        </w:rPr>
        <w:t>.</w:t>
      </w:r>
      <w:r w:rsidR="004C12E1" w:rsidRPr="004020E9">
        <w:rPr>
          <w:sz w:val="24"/>
        </w:rPr>
        <w:t xml:space="preserve"> </w:t>
      </w:r>
    </w:p>
    <w:p w14:paraId="67BF3DDC" w14:textId="77777777" w:rsidR="00D32806" w:rsidRDefault="00D32806" w:rsidP="00D32806">
      <w:pPr>
        <w:spacing w:line="360" w:lineRule="auto"/>
        <w:jc w:val="both"/>
        <w:rPr>
          <w:sz w:val="24"/>
        </w:rPr>
      </w:pPr>
    </w:p>
    <w:p w14:paraId="53BCBF9C" w14:textId="6D027770" w:rsidR="00C82D72" w:rsidRPr="004917E6" w:rsidRDefault="00C82D72" w:rsidP="00C82D72">
      <w:pPr>
        <w:spacing w:line="360" w:lineRule="auto"/>
        <w:jc w:val="both"/>
        <w:rPr>
          <w:sz w:val="24"/>
        </w:rPr>
      </w:pPr>
      <w:r>
        <w:rPr>
          <w:sz w:val="24"/>
        </w:rPr>
        <w:t>[</w:t>
      </w:r>
      <w:r w:rsidR="00987D28">
        <w:rPr>
          <w:sz w:val="24"/>
        </w:rPr>
        <w:t>2</w:t>
      </w:r>
      <w:r w:rsidR="00723ED7">
        <w:rPr>
          <w:sz w:val="24"/>
        </w:rPr>
        <w:t>7</w:t>
      </w:r>
      <w:r>
        <w:rPr>
          <w:sz w:val="24"/>
        </w:rPr>
        <w:t>]</w:t>
      </w:r>
      <w:r>
        <w:rPr>
          <w:sz w:val="24"/>
        </w:rPr>
        <w:tab/>
      </w:r>
      <w:r w:rsidR="002D3DB3">
        <w:rPr>
          <w:sz w:val="24"/>
        </w:rPr>
        <w:t>Eskom</w:t>
      </w:r>
      <w:r w:rsidRPr="004917E6">
        <w:rPr>
          <w:sz w:val="24"/>
        </w:rPr>
        <w:t xml:space="preserve"> resisted the payment to the applicant on three bases. First, it contended that the amounts claimed are not due and payable. Second</w:t>
      </w:r>
      <w:r>
        <w:rPr>
          <w:sz w:val="24"/>
        </w:rPr>
        <w:t>ly</w:t>
      </w:r>
      <w:r w:rsidRPr="004917E6">
        <w:rPr>
          <w:sz w:val="24"/>
        </w:rPr>
        <w:t xml:space="preserve">, the proposal to change the </w:t>
      </w:r>
      <w:r w:rsidRPr="004917E6">
        <w:rPr>
          <w:sz w:val="24"/>
        </w:rPr>
        <w:lastRenderedPageBreak/>
        <w:t xml:space="preserve">payment did not and could not form part of the quotation under the </w:t>
      </w:r>
      <w:r>
        <w:rPr>
          <w:sz w:val="24"/>
        </w:rPr>
        <w:t>C</w:t>
      </w:r>
      <w:r w:rsidRPr="004917E6">
        <w:rPr>
          <w:sz w:val="24"/>
        </w:rPr>
        <w:t xml:space="preserve">ontract. Thirdly, in deeming the contractor’s quotation as acceptable, the payment provisions of the </w:t>
      </w:r>
      <w:r>
        <w:rPr>
          <w:sz w:val="24"/>
        </w:rPr>
        <w:t>C</w:t>
      </w:r>
      <w:r w:rsidRPr="004917E6">
        <w:rPr>
          <w:sz w:val="24"/>
        </w:rPr>
        <w:t>ontract were changed and this was outside the jurisdiction of the adjudicator. These arguments have no merit.</w:t>
      </w:r>
    </w:p>
    <w:p w14:paraId="32755A35" w14:textId="7DE68794" w:rsidR="00C82D72" w:rsidRDefault="00C82D72" w:rsidP="00BA0FA0">
      <w:pPr>
        <w:spacing w:after="160" w:line="360" w:lineRule="auto"/>
        <w:jc w:val="both"/>
        <w:rPr>
          <w:sz w:val="24"/>
        </w:rPr>
      </w:pPr>
    </w:p>
    <w:p w14:paraId="667A4781" w14:textId="0EEBDCA6" w:rsidR="00770833" w:rsidRDefault="00C82D72" w:rsidP="004C12E1">
      <w:pPr>
        <w:spacing w:line="360" w:lineRule="auto"/>
        <w:jc w:val="both"/>
        <w:rPr>
          <w:sz w:val="24"/>
        </w:rPr>
      </w:pPr>
      <w:r>
        <w:rPr>
          <w:sz w:val="24"/>
        </w:rPr>
        <w:t>[</w:t>
      </w:r>
      <w:r w:rsidR="00987D28">
        <w:rPr>
          <w:sz w:val="24"/>
        </w:rPr>
        <w:t>2</w:t>
      </w:r>
      <w:r w:rsidR="00723ED7">
        <w:rPr>
          <w:sz w:val="24"/>
        </w:rPr>
        <w:t>8</w:t>
      </w:r>
      <w:r>
        <w:rPr>
          <w:sz w:val="24"/>
        </w:rPr>
        <w:t>]</w:t>
      </w:r>
      <w:r>
        <w:rPr>
          <w:sz w:val="24"/>
        </w:rPr>
        <w:tab/>
      </w:r>
      <w:r w:rsidRPr="004917E6">
        <w:rPr>
          <w:sz w:val="24"/>
        </w:rPr>
        <w:t xml:space="preserve">In terms of </w:t>
      </w:r>
      <w:r w:rsidR="0035300B">
        <w:rPr>
          <w:sz w:val="24"/>
        </w:rPr>
        <w:t>D</w:t>
      </w:r>
      <w:r w:rsidRPr="004917E6">
        <w:rPr>
          <w:sz w:val="24"/>
        </w:rPr>
        <w:t xml:space="preserve">ecision 11 the amounts claimed were due and payable as a result of the contractor’s quotation which was deemed acceptable by the project manager. The quotation provided various payment provisions in terms of the </w:t>
      </w:r>
      <w:r>
        <w:rPr>
          <w:sz w:val="24"/>
        </w:rPr>
        <w:t>C</w:t>
      </w:r>
      <w:r w:rsidRPr="004917E6">
        <w:rPr>
          <w:sz w:val="24"/>
        </w:rPr>
        <w:t>ontract and all these payments were in line with the activity schedule. It cannot be contended that the contractor is not entitled to propose changes to the activity schedule. In my view, any change or amendment to the activity schedule is permitted under</w:t>
      </w:r>
      <w:r>
        <w:rPr>
          <w:sz w:val="24"/>
        </w:rPr>
        <w:t xml:space="preserve"> </w:t>
      </w:r>
      <w:r w:rsidRPr="004917E6">
        <w:rPr>
          <w:sz w:val="24"/>
        </w:rPr>
        <w:t xml:space="preserve">Contract. </w:t>
      </w:r>
      <w:r w:rsidRPr="00FC7A81">
        <w:rPr>
          <w:sz w:val="24"/>
        </w:rPr>
        <w:t xml:space="preserve">The Contract recognises that the project management and other costs will be incurred by the contractor during the course of the works and throughout the duration of the project. What has been claimed by </w:t>
      </w:r>
      <w:r w:rsidR="00904D69">
        <w:rPr>
          <w:sz w:val="24"/>
        </w:rPr>
        <w:t>Framatome</w:t>
      </w:r>
      <w:r w:rsidRPr="00FC7A81">
        <w:rPr>
          <w:sz w:val="24"/>
        </w:rPr>
        <w:t xml:space="preserve"> is consistent with the contractual provisions that govern such payments. The Contract in particular envisages that interim payments must be made and are subject to a revision by the tribunal in due course.</w:t>
      </w:r>
      <w:r>
        <w:rPr>
          <w:sz w:val="24"/>
        </w:rPr>
        <w:t xml:space="preserve"> </w:t>
      </w:r>
    </w:p>
    <w:p w14:paraId="05F60AA8" w14:textId="77777777" w:rsidR="004C12E1" w:rsidRDefault="004C12E1" w:rsidP="004C12E1">
      <w:pPr>
        <w:spacing w:line="360" w:lineRule="auto"/>
        <w:jc w:val="both"/>
        <w:rPr>
          <w:sz w:val="24"/>
        </w:rPr>
      </w:pPr>
    </w:p>
    <w:p w14:paraId="51E14BD4" w14:textId="0A91F290" w:rsidR="00770833" w:rsidRDefault="00770833" w:rsidP="00770833">
      <w:pPr>
        <w:spacing w:line="360" w:lineRule="auto"/>
        <w:jc w:val="both"/>
        <w:rPr>
          <w:sz w:val="24"/>
        </w:rPr>
      </w:pPr>
      <w:r w:rsidRPr="00987D28">
        <w:rPr>
          <w:sz w:val="24"/>
        </w:rPr>
        <w:t>[</w:t>
      </w:r>
      <w:r w:rsidR="003956DA">
        <w:rPr>
          <w:sz w:val="24"/>
        </w:rPr>
        <w:t>2</w:t>
      </w:r>
      <w:r w:rsidR="00723ED7">
        <w:rPr>
          <w:sz w:val="24"/>
        </w:rPr>
        <w:t>9</w:t>
      </w:r>
      <w:r w:rsidRPr="00987D28">
        <w:rPr>
          <w:sz w:val="24"/>
        </w:rPr>
        <w:t>]</w:t>
      </w:r>
      <w:r>
        <w:rPr>
          <w:sz w:val="24"/>
        </w:rPr>
        <w:tab/>
        <w:t>In the final analysis</w:t>
      </w:r>
      <w:r w:rsidRPr="000E1BB6">
        <w:rPr>
          <w:sz w:val="24"/>
        </w:rPr>
        <w:t>, the question to be asked is whether the adjudicator’s determination is binding on the parties. The answer to that question turns on whether the adjudicator confined himself to a determination of the issues that were put before him by the parties. If he did so, then the parties are bound by his determination</w:t>
      </w:r>
      <w:r w:rsidR="00F14ABF">
        <w:rPr>
          <w:sz w:val="24"/>
        </w:rPr>
        <w:t>,</w:t>
      </w:r>
      <w:r w:rsidRPr="000E1BB6">
        <w:rPr>
          <w:sz w:val="24"/>
        </w:rPr>
        <w:t xml:space="preserve"> </w:t>
      </w:r>
      <w:r w:rsidR="00F14ABF">
        <w:rPr>
          <w:sz w:val="24"/>
        </w:rPr>
        <w:t>n</w:t>
      </w:r>
      <w:r w:rsidRPr="000E1BB6">
        <w:rPr>
          <w:sz w:val="24"/>
        </w:rPr>
        <w:t>otwithstanding that he may have fallen into an error.</w:t>
      </w:r>
      <w:r>
        <w:rPr>
          <w:rStyle w:val="FootnoteReference"/>
          <w:sz w:val="24"/>
        </w:rPr>
        <w:footnoteReference w:id="6"/>
      </w:r>
      <w:r>
        <w:rPr>
          <w:sz w:val="24"/>
        </w:rPr>
        <w:t xml:space="preserve"> </w:t>
      </w:r>
      <w:r w:rsidRPr="000E1BB6">
        <w:rPr>
          <w:sz w:val="24"/>
        </w:rPr>
        <w:t xml:space="preserve">The finding of the </w:t>
      </w:r>
      <w:r w:rsidR="003F5055">
        <w:rPr>
          <w:sz w:val="24"/>
        </w:rPr>
        <w:t>h</w:t>
      </w:r>
      <w:r w:rsidRPr="000E1BB6">
        <w:rPr>
          <w:sz w:val="24"/>
        </w:rPr>
        <w:t xml:space="preserve">igh </w:t>
      </w:r>
      <w:r w:rsidR="003F5055">
        <w:rPr>
          <w:sz w:val="24"/>
        </w:rPr>
        <w:t>c</w:t>
      </w:r>
      <w:r w:rsidRPr="000E1BB6">
        <w:rPr>
          <w:sz w:val="24"/>
        </w:rPr>
        <w:t>ourt that the adjudicator answered the wrong question is not borne out by the facts. The adjudicator formulated the dispute as it was referred to him. At no stage did he depart from the real dispute between the parties. He decided the dispute in accordance with what the parties had contemplated and appreciated.</w:t>
      </w:r>
      <w:r>
        <w:rPr>
          <w:sz w:val="24"/>
        </w:rPr>
        <w:t xml:space="preserve"> It would seem to me that the </w:t>
      </w:r>
      <w:r w:rsidR="003F5055">
        <w:rPr>
          <w:sz w:val="24"/>
        </w:rPr>
        <w:t>h</w:t>
      </w:r>
      <w:r>
        <w:rPr>
          <w:sz w:val="24"/>
        </w:rPr>
        <w:t xml:space="preserve">igh </w:t>
      </w:r>
      <w:r w:rsidR="003F5055">
        <w:rPr>
          <w:sz w:val="24"/>
        </w:rPr>
        <w:t>c</w:t>
      </w:r>
      <w:r>
        <w:rPr>
          <w:sz w:val="24"/>
        </w:rPr>
        <w:t>ourt focused its attention on the words ‘timeously or in due course’ in the adjudicator’s award and concluded that the adjudicator exceeded his jurisdiction.</w:t>
      </w:r>
      <w:r w:rsidR="00BC0465">
        <w:rPr>
          <w:sz w:val="24"/>
        </w:rPr>
        <w:t xml:space="preserve"> This approach is wrong.</w:t>
      </w:r>
    </w:p>
    <w:p w14:paraId="7729A5BC" w14:textId="133BD812" w:rsidR="00770833" w:rsidRDefault="00770833" w:rsidP="00BB2A39">
      <w:pPr>
        <w:spacing w:line="360" w:lineRule="auto"/>
        <w:jc w:val="both"/>
        <w:rPr>
          <w:sz w:val="24"/>
        </w:rPr>
      </w:pPr>
    </w:p>
    <w:p w14:paraId="29101332" w14:textId="0C2678C7" w:rsidR="00810139" w:rsidRPr="000E1BB6" w:rsidRDefault="00810139" w:rsidP="00810139">
      <w:pPr>
        <w:spacing w:line="360" w:lineRule="auto"/>
        <w:jc w:val="both"/>
        <w:rPr>
          <w:sz w:val="24"/>
        </w:rPr>
      </w:pPr>
      <w:r w:rsidRPr="00987D28">
        <w:rPr>
          <w:sz w:val="24"/>
        </w:rPr>
        <w:lastRenderedPageBreak/>
        <w:t>[</w:t>
      </w:r>
      <w:r w:rsidR="00723ED7">
        <w:rPr>
          <w:sz w:val="24"/>
        </w:rPr>
        <w:t>30</w:t>
      </w:r>
      <w:r w:rsidRPr="00987D28">
        <w:rPr>
          <w:sz w:val="24"/>
        </w:rPr>
        <w:t>]</w:t>
      </w:r>
      <w:r>
        <w:rPr>
          <w:sz w:val="24"/>
        </w:rPr>
        <w:tab/>
        <w:t xml:space="preserve">It is necessary that the dispute be looked at holistically taking into account how the parties conducted themselves. What the </w:t>
      </w:r>
      <w:r w:rsidR="003F5055">
        <w:rPr>
          <w:sz w:val="24"/>
        </w:rPr>
        <w:t>h</w:t>
      </w:r>
      <w:r>
        <w:rPr>
          <w:sz w:val="24"/>
        </w:rPr>
        <w:t xml:space="preserve">igh </w:t>
      </w:r>
      <w:r w:rsidR="003F5055">
        <w:rPr>
          <w:sz w:val="24"/>
        </w:rPr>
        <w:t>c</w:t>
      </w:r>
      <w:r>
        <w:rPr>
          <w:sz w:val="24"/>
        </w:rPr>
        <w:t>ourt did was to isolate the words</w:t>
      </w:r>
      <w:r w:rsidR="00BC0465">
        <w:rPr>
          <w:sz w:val="24"/>
        </w:rPr>
        <w:t xml:space="preserve"> </w:t>
      </w:r>
      <w:r w:rsidR="0035300B">
        <w:rPr>
          <w:sz w:val="24"/>
        </w:rPr>
        <w:t>‘</w:t>
      </w:r>
      <w:r w:rsidR="00BC0465">
        <w:rPr>
          <w:sz w:val="24"/>
        </w:rPr>
        <w:t>timeously</w:t>
      </w:r>
      <w:r w:rsidR="0035300B">
        <w:rPr>
          <w:sz w:val="24"/>
        </w:rPr>
        <w:t>’</w:t>
      </w:r>
      <w:r w:rsidR="00BC0465">
        <w:rPr>
          <w:sz w:val="24"/>
        </w:rPr>
        <w:t xml:space="preserve"> or </w:t>
      </w:r>
      <w:r w:rsidR="0035300B">
        <w:rPr>
          <w:sz w:val="24"/>
        </w:rPr>
        <w:t>‘</w:t>
      </w:r>
      <w:r w:rsidR="00BC0465">
        <w:rPr>
          <w:sz w:val="24"/>
        </w:rPr>
        <w:t>in due time</w:t>
      </w:r>
      <w:r w:rsidR="0035300B">
        <w:rPr>
          <w:sz w:val="24"/>
        </w:rPr>
        <w:t>’</w:t>
      </w:r>
      <w:r>
        <w:rPr>
          <w:sz w:val="24"/>
        </w:rPr>
        <w:t xml:space="preserve"> from the context of the main dispute.</w:t>
      </w:r>
      <w:r w:rsidR="00BC0465">
        <w:rPr>
          <w:sz w:val="24"/>
        </w:rPr>
        <w:t xml:space="preserve"> </w:t>
      </w:r>
      <w:r>
        <w:rPr>
          <w:sz w:val="24"/>
        </w:rPr>
        <w:t xml:space="preserve">During adjudication proceedings, </w:t>
      </w:r>
      <w:r w:rsidR="006A4157">
        <w:rPr>
          <w:sz w:val="24"/>
        </w:rPr>
        <w:t>Eskom</w:t>
      </w:r>
      <w:r>
        <w:rPr>
          <w:sz w:val="24"/>
        </w:rPr>
        <w:t xml:space="preserve"> did not contend that the notified dispute ha</w:t>
      </w:r>
      <w:r w:rsidR="00BC0465">
        <w:rPr>
          <w:sz w:val="24"/>
        </w:rPr>
        <w:t>s</w:t>
      </w:r>
      <w:r>
        <w:rPr>
          <w:sz w:val="24"/>
        </w:rPr>
        <w:t xml:space="preserve"> been varied. It being obvious to all the parties </w:t>
      </w:r>
      <w:r w:rsidR="00F14ABF">
        <w:rPr>
          <w:sz w:val="24"/>
        </w:rPr>
        <w:t xml:space="preserve">that </w:t>
      </w:r>
      <w:r>
        <w:rPr>
          <w:sz w:val="24"/>
        </w:rPr>
        <w:t xml:space="preserve">the dispute remained the same and the adjudicator consequently </w:t>
      </w:r>
      <w:r w:rsidRPr="006C4A17">
        <w:rPr>
          <w:sz w:val="24"/>
        </w:rPr>
        <w:t>rendered a</w:t>
      </w:r>
      <w:r w:rsidR="00E52A42" w:rsidRPr="006C4A17">
        <w:rPr>
          <w:sz w:val="24"/>
        </w:rPr>
        <w:t xml:space="preserve"> </w:t>
      </w:r>
      <w:r w:rsidR="006C4A17" w:rsidRPr="006C4A17">
        <w:rPr>
          <w:sz w:val="24"/>
        </w:rPr>
        <w:t xml:space="preserve">sound </w:t>
      </w:r>
      <w:r w:rsidR="00E52A42" w:rsidRPr="006C4A17">
        <w:rPr>
          <w:sz w:val="24"/>
        </w:rPr>
        <w:t xml:space="preserve">decision </w:t>
      </w:r>
      <w:r w:rsidR="006C4A17" w:rsidRPr="006C4A17">
        <w:rPr>
          <w:sz w:val="24"/>
        </w:rPr>
        <w:t>based on the facts.</w:t>
      </w:r>
      <w:r>
        <w:rPr>
          <w:sz w:val="24"/>
        </w:rPr>
        <w:t xml:space="preserve"> </w:t>
      </w:r>
      <w:r w:rsidR="00BC0465">
        <w:rPr>
          <w:sz w:val="24"/>
        </w:rPr>
        <w:t>Before the</w:t>
      </w:r>
      <w:r w:rsidRPr="000E1BB6">
        <w:rPr>
          <w:sz w:val="24"/>
        </w:rPr>
        <w:t xml:space="preserve"> </w:t>
      </w:r>
      <w:r w:rsidR="003F5055">
        <w:rPr>
          <w:sz w:val="24"/>
        </w:rPr>
        <w:t>h</w:t>
      </w:r>
      <w:r w:rsidRPr="000E1BB6">
        <w:rPr>
          <w:sz w:val="24"/>
        </w:rPr>
        <w:t xml:space="preserve">igh </w:t>
      </w:r>
      <w:r w:rsidR="003F5055">
        <w:rPr>
          <w:sz w:val="24"/>
        </w:rPr>
        <w:t>c</w:t>
      </w:r>
      <w:r w:rsidRPr="000E1BB6">
        <w:rPr>
          <w:sz w:val="24"/>
        </w:rPr>
        <w:t xml:space="preserve">ourt was an enforcement of a provisional or interim payment due to </w:t>
      </w:r>
      <w:r w:rsidR="00904D69">
        <w:rPr>
          <w:sz w:val="24"/>
        </w:rPr>
        <w:t>Framatome</w:t>
      </w:r>
      <w:r w:rsidRPr="000E1BB6">
        <w:rPr>
          <w:sz w:val="24"/>
        </w:rPr>
        <w:t xml:space="preserve"> in terms of the </w:t>
      </w:r>
      <w:r>
        <w:rPr>
          <w:sz w:val="24"/>
        </w:rPr>
        <w:t>C</w:t>
      </w:r>
      <w:r w:rsidRPr="000E1BB6">
        <w:rPr>
          <w:sz w:val="24"/>
        </w:rPr>
        <w:t>ontract.</w:t>
      </w:r>
      <w:r>
        <w:rPr>
          <w:sz w:val="24"/>
        </w:rPr>
        <w:t xml:space="preserve"> The provision that payment must be made even before arbitration is a strong indication of the ousting of a court’s jurisdiction to review the award. The parties knew when they contracted with each other that the disputes may arise and</w:t>
      </w:r>
      <w:r w:rsidR="006C4A17">
        <w:rPr>
          <w:sz w:val="24"/>
        </w:rPr>
        <w:t xml:space="preserve"> </w:t>
      </w:r>
      <w:r>
        <w:rPr>
          <w:sz w:val="24"/>
        </w:rPr>
        <w:t>a temporary solution in the form of interim payments</w:t>
      </w:r>
      <w:r w:rsidR="006C4A17">
        <w:rPr>
          <w:sz w:val="24"/>
        </w:rPr>
        <w:t xml:space="preserve"> is provided</w:t>
      </w:r>
      <w:r>
        <w:rPr>
          <w:sz w:val="24"/>
        </w:rPr>
        <w:t xml:space="preserve"> to ensure the completion of the Contract within the agreed specified period.</w:t>
      </w:r>
      <w:r w:rsidRPr="000E1BB6">
        <w:rPr>
          <w:sz w:val="24"/>
        </w:rPr>
        <w:t xml:space="preserve"> The </w:t>
      </w:r>
      <w:r w:rsidR="003F5055">
        <w:rPr>
          <w:sz w:val="24"/>
        </w:rPr>
        <w:t>h</w:t>
      </w:r>
      <w:r w:rsidRPr="000E1BB6">
        <w:rPr>
          <w:sz w:val="24"/>
        </w:rPr>
        <w:t xml:space="preserve">igh </w:t>
      </w:r>
      <w:r w:rsidR="003F5055">
        <w:rPr>
          <w:sz w:val="24"/>
        </w:rPr>
        <w:t>c</w:t>
      </w:r>
      <w:r w:rsidRPr="000E1BB6">
        <w:rPr>
          <w:sz w:val="24"/>
        </w:rPr>
        <w:t>ourt erred in</w:t>
      </w:r>
      <w:r w:rsidR="00BC0465">
        <w:rPr>
          <w:sz w:val="24"/>
        </w:rPr>
        <w:t xml:space="preserve"> its conclusion that the wrong question was answered</w:t>
      </w:r>
      <w:r w:rsidR="00F14ABF">
        <w:rPr>
          <w:sz w:val="24"/>
        </w:rPr>
        <w:t>.</w:t>
      </w:r>
      <w:r w:rsidR="00481468">
        <w:rPr>
          <w:sz w:val="24"/>
        </w:rPr>
        <w:t xml:space="preserve"> </w:t>
      </w:r>
      <w:r w:rsidRPr="000E1BB6">
        <w:rPr>
          <w:sz w:val="24"/>
        </w:rPr>
        <w:t>As</w:t>
      </w:r>
      <w:r w:rsidR="00925963">
        <w:rPr>
          <w:sz w:val="24"/>
        </w:rPr>
        <w:t xml:space="preserve"> </w:t>
      </w:r>
      <w:r w:rsidRPr="000E1BB6">
        <w:rPr>
          <w:sz w:val="24"/>
        </w:rPr>
        <w:t xml:space="preserve">stated in </w:t>
      </w:r>
      <w:r w:rsidRPr="00FE2139">
        <w:rPr>
          <w:i/>
          <w:iCs/>
          <w:sz w:val="24"/>
        </w:rPr>
        <w:t>Hudson’s Building and Engineering Contracts</w:t>
      </w:r>
      <w:r w:rsidRPr="000E1BB6">
        <w:rPr>
          <w:sz w:val="24"/>
        </w:rPr>
        <w:t>:</w:t>
      </w:r>
    </w:p>
    <w:p w14:paraId="68BD33E9" w14:textId="77777777" w:rsidR="00810139" w:rsidRPr="00241DE3" w:rsidRDefault="00810139" w:rsidP="00810139">
      <w:pPr>
        <w:spacing w:line="360" w:lineRule="auto"/>
        <w:jc w:val="both"/>
        <w:rPr>
          <w:sz w:val="22"/>
          <w:szCs w:val="22"/>
        </w:rPr>
      </w:pPr>
      <w:r>
        <w:rPr>
          <w:sz w:val="22"/>
          <w:szCs w:val="22"/>
        </w:rPr>
        <w:t>‘</w:t>
      </w:r>
      <w:r w:rsidRPr="00241DE3">
        <w:rPr>
          <w:sz w:val="22"/>
          <w:szCs w:val="22"/>
        </w:rPr>
        <w:t>It should only be in rare circumstances that the courts will interfere with the decision of an Adjudicator, and the courts should give no encouragement to an approach which might aptly be described as “simply scrabbling around to find some argument, however tenuous, to resist payment</w:t>
      </w:r>
      <w:r>
        <w:rPr>
          <w:sz w:val="22"/>
          <w:szCs w:val="22"/>
        </w:rPr>
        <w:t>”</w:t>
      </w:r>
      <w:r w:rsidRPr="00241DE3">
        <w:rPr>
          <w:sz w:val="22"/>
          <w:szCs w:val="22"/>
        </w:rPr>
        <w:t>.</w:t>
      </w:r>
      <w:r>
        <w:rPr>
          <w:sz w:val="22"/>
          <w:szCs w:val="22"/>
        </w:rPr>
        <w:t>’</w:t>
      </w:r>
      <w:r>
        <w:rPr>
          <w:rStyle w:val="FootnoteReference"/>
          <w:sz w:val="22"/>
          <w:szCs w:val="22"/>
        </w:rPr>
        <w:footnoteReference w:id="7"/>
      </w:r>
    </w:p>
    <w:p w14:paraId="7D23B7E0" w14:textId="7B6D45A7" w:rsidR="00C04BE0" w:rsidRDefault="00C04BE0" w:rsidP="00BA0FA0">
      <w:pPr>
        <w:spacing w:after="160" w:line="360" w:lineRule="auto"/>
        <w:jc w:val="both"/>
        <w:rPr>
          <w:sz w:val="24"/>
        </w:rPr>
      </w:pPr>
    </w:p>
    <w:p w14:paraId="4178904C" w14:textId="67CDBFB4" w:rsidR="00601D2B" w:rsidRDefault="00601D2B" w:rsidP="00BA0FA0">
      <w:pPr>
        <w:spacing w:after="160" w:line="360" w:lineRule="auto"/>
        <w:jc w:val="both"/>
        <w:rPr>
          <w:sz w:val="24"/>
        </w:rPr>
      </w:pPr>
      <w:r>
        <w:rPr>
          <w:sz w:val="24"/>
        </w:rPr>
        <w:t>[</w:t>
      </w:r>
      <w:r w:rsidR="00987D28">
        <w:rPr>
          <w:sz w:val="24"/>
        </w:rPr>
        <w:t>3</w:t>
      </w:r>
      <w:r w:rsidR="00723ED7">
        <w:rPr>
          <w:sz w:val="24"/>
        </w:rPr>
        <w:t>1</w:t>
      </w:r>
      <w:r>
        <w:rPr>
          <w:sz w:val="24"/>
        </w:rPr>
        <w:t>]</w:t>
      </w:r>
      <w:r>
        <w:rPr>
          <w:sz w:val="24"/>
        </w:rPr>
        <w:tab/>
      </w:r>
      <w:r w:rsidR="00925963">
        <w:rPr>
          <w:sz w:val="24"/>
        </w:rPr>
        <w:t>All the aforegoing demonstrate that</w:t>
      </w:r>
      <w:r w:rsidR="00FC29E8">
        <w:rPr>
          <w:sz w:val="24"/>
        </w:rPr>
        <w:t xml:space="preserve"> the appeal must succeed. I make the following order</w:t>
      </w:r>
      <w:r w:rsidR="0039784D">
        <w:rPr>
          <w:sz w:val="24"/>
        </w:rPr>
        <w:t>:</w:t>
      </w:r>
      <w:r w:rsidR="00FC29E8">
        <w:rPr>
          <w:sz w:val="24"/>
        </w:rPr>
        <w:t xml:space="preserve"> </w:t>
      </w:r>
    </w:p>
    <w:p w14:paraId="19EDD5CB" w14:textId="16F18047" w:rsidR="004020E9" w:rsidRDefault="004020E9" w:rsidP="00BA0FA0">
      <w:pPr>
        <w:spacing w:after="160" w:line="360" w:lineRule="auto"/>
        <w:jc w:val="both"/>
        <w:rPr>
          <w:sz w:val="24"/>
        </w:rPr>
      </w:pPr>
      <w:bookmarkStart w:id="4" w:name="_Hlk83644514"/>
      <w:r>
        <w:rPr>
          <w:sz w:val="24"/>
        </w:rPr>
        <w:t>1</w:t>
      </w:r>
      <w:r>
        <w:rPr>
          <w:sz w:val="24"/>
        </w:rPr>
        <w:tab/>
        <w:t>The appeal is upheld with costs</w:t>
      </w:r>
      <w:r w:rsidR="009B5ACB">
        <w:rPr>
          <w:sz w:val="24"/>
        </w:rPr>
        <w:t xml:space="preserve"> which costs shall include the costs of two counsel.</w:t>
      </w:r>
    </w:p>
    <w:p w14:paraId="3F696160" w14:textId="49D2D8EB" w:rsidR="009B5ACB" w:rsidRDefault="009B5ACB" w:rsidP="00BA0FA0">
      <w:pPr>
        <w:spacing w:after="160" w:line="360" w:lineRule="auto"/>
        <w:jc w:val="both"/>
        <w:rPr>
          <w:sz w:val="24"/>
        </w:rPr>
      </w:pPr>
      <w:r>
        <w:rPr>
          <w:sz w:val="24"/>
        </w:rPr>
        <w:t>2</w:t>
      </w:r>
      <w:r w:rsidRPr="009B5ACB">
        <w:rPr>
          <w:sz w:val="24"/>
        </w:rPr>
        <w:t xml:space="preserve"> </w:t>
      </w:r>
      <w:r>
        <w:rPr>
          <w:sz w:val="24"/>
        </w:rPr>
        <w:t xml:space="preserve">       The order of the high court is set aside and replaced with the following: </w:t>
      </w:r>
    </w:p>
    <w:p w14:paraId="31E9C7B5" w14:textId="42EEF986" w:rsidR="00481468" w:rsidRDefault="00294D99" w:rsidP="00BA0FA0">
      <w:pPr>
        <w:spacing w:after="160" w:line="360" w:lineRule="auto"/>
        <w:jc w:val="both"/>
        <w:rPr>
          <w:sz w:val="24"/>
        </w:rPr>
      </w:pPr>
      <w:r>
        <w:rPr>
          <w:sz w:val="24"/>
        </w:rPr>
        <w:t>‘1</w:t>
      </w:r>
      <w:r w:rsidR="00481468">
        <w:rPr>
          <w:sz w:val="24"/>
        </w:rPr>
        <w:tab/>
        <w:t>It is declared that Eskom is in breach of the</w:t>
      </w:r>
      <w:r w:rsidR="00F55419">
        <w:rPr>
          <w:sz w:val="24"/>
        </w:rPr>
        <w:t xml:space="preserve"> New Engineering Contract 3: Engineering and Construction Contract (June 2005) with Option A</w:t>
      </w:r>
      <w:r w:rsidR="00481468">
        <w:rPr>
          <w:sz w:val="24"/>
        </w:rPr>
        <w:t xml:space="preserve"> concluded between Framatome and Eskom for the replacement of the Steam Generators at Koeberg Nuclear Power Station, Unit 1 and 2</w:t>
      </w:r>
      <w:r w:rsidR="00123FBA">
        <w:rPr>
          <w:sz w:val="24"/>
        </w:rPr>
        <w:t xml:space="preserve"> (the Contract)</w:t>
      </w:r>
      <w:r w:rsidR="00481468">
        <w:rPr>
          <w:sz w:val="24"/>
        </w:rPr>
        <w:t>.</w:t>
      </w:r>
    </w:p>
    <w:p w14:paraId="57966D75" w14:textId="28595928" w:rsidR="00481468" w:rsidRDefault="00481468" w:rsidP="00BA0FA0">
      <w:pPr>
        <w:spacing w:after="160" w:line="360" w:lineRule="auto"/>
        <w:jc w:val="both"/>
        <w:rPr>
          <w:sz w:val="24"/>
        </w:rPr>
      </w:pPr>
      <w:r>
        <w:rPr>
          <w:sz w:val="24"/>
        </w:rPr>
        <w:lastRenderedPageBreak/>
        <w:t>2</w:t>
      </w:r>
      <w:r>
        <w:rPr>
          <w:sz w:val="24"/>
        </w:rPr>
        <w:tab/>
        <w:t>Eskom is directed to adhere and fully recognise and implement the decision delivered by the adjudicator on 23 July 2019.</w:t>
      </w:r>
    </w:p>
    <w:p w14:paraId="2DB06B87" w14:textId="08521C71" w:rsidR="00556F0D" w:rsidRDefault="00481468" w:rsidP="00BA0FA0">
      <w:pPr>
        <w:spacing w:after="160" w:line="360" w:lineRule="auto"/>
        <w:jc w:val="both"/>
        <w:rPr>
          <w:sz w:val="24"/>
        </w:rPr>
      </w:pPr>
      <w:r>
        <w:rPr>
          <w:sz w:val="24"/>
        </w:rPr>
        <w:t>3</w:t>
      </w:r>
      <w:r>
        <w:rPr>
          <w:sz w:val="24"/>
        </w:rPr>
        <w:tab/>
      </w:r>
      <w:r w:rsidR="00556F0D">
        <w:rPr>
          <w:sz w:val="24"/>
        </w:rPr>
        <w:t>It is declared that the contractual key dates 15, 16, 17, 18 and 19 relating to the replacement of the steam generators at the Koeberg Nuclear Power Station, Units 1 and 2, are:</w:t>
      </w:r>
    </w:p>
    <w:p w14:paraId="5119DAD1" w14:textId="6F5229C7" w:rsidR="00556F0D" w:rsidRDefault="00556F0D" w:rsidP="00BA0FA0">
      <w:pPr>
        <w:spacing w:after="160" w:line="360" w:lineRule="auto"/>
        <w:jc w:val="both"/>
        <w:rPr>
          <w:sz w:val="24"/>
        </w:rPr>
      </w:pPr>
      <w:r>
        <w:rPr>
          <w:sz w:val="24"/>
        </w:rPr>
        <w:tab/>
        <w:t>3.1</w:t>
      </w:r>
      <w:r>
        <w:rPr>
          <w:sz w:val="24"/>
        </w:rPr>
        <w:tab/>
        <w:t>In respect of Koeberg Power Station, Unit 1, 11 November 2018, 18 May 2019, 26 April 2020, 16 January 2020 and 14 February 2020, respectively.</w:t>
      </w:r>
    </w:p>
    <w:p w14:paraId="3E19A284" w14:textId="73AE7022" w:rsidR="00556F0D" w:rsidRDefault="00556F0D" w:rsidP="00BA0FA0">
      <w:pPr>
        <w:spacing w:after="160" w:line="360" w:lineRule="auto"/>
        <w:jc w:val="both"/>
        <w:rPr>
          <w:sz w:val="24"/>
        </w:rPr>
      </w:pPr>
      <w:r>
        <w:rPr>
          <w:sz w:val="24"/>
        </w:rPr>
        <w:tab/>
        <w:t>3.2</w:t>
      </w:r>
      <w:r>
        <w:rPr>
          <w:sz w:val="24"/>
        </w:rPr>
        <w:tab/>
      </w:r>
      <w:r w:rsidRPr="00556F0D">
        <w:rPr>
          <w:sz w:val="24"/>
        </w:rPr>
        <w:t>In respect of Koeberg Power Station, Unit</w:t>
      </w:r>
      <w:r>
        <w:rPr>
          <w:sz w:val="24"/>
        </w:rPr>
        <w:t xml:space="preserve"> 2, 19 May 2019, 23 November 2019, 1 November 2020, 23 July 2020 and 21 August 2020, respectively.</w:t>
      </w:r>
    </w:p>
    <w:p w14:paraId="06BE2D39" w14:textId="52F8B369" w:rsidR="00481468" w:rsidRDefault="00556F0D" w:rsidP="00BA0FA0">
      <w:pPr>
        <w:spacing w:after="160" w:line="360" w:lineRule="auto"/>
        <w:jc w:val="both"/>
        <w:rPr>
          <w:sz w:val="24"/>
        </w:rPr>
      </w:pPr>
      <w:r>
        <w:rPr>
          <w:sz w:val="24"/>
        </w:rPr>
        <w:t>4</w:t>
      </w:r>
      <w:r>
        <w:rPr>
          <w:sz w:val="24"/>
        </w:rPr>
        <w:tab/>
        <w:t>It is declared that the contractual sectional completion dates for each section of the Works (as defined in the Contract) have been revised so that the sectional completion date 1 is 3 June 2020, sectional completion date 2 is 9 December 2020 and sectional completion date 3 is 22 June 2021.</w:t>
      </w:r>
    </w:p>
    <w:p w14:paraId="79111761" w14:textId="023DB44A" w:rsidR="00556F0D" w:rsidRDefault="00556F0D" w:rsidP="00BA0FA0">
      <w:pPr>
        <w:spacing w:after="160" w:line="360" w:lineRule="auto"/>
        <w:jc w:val="both"/>
        <w:rPr>
          <w:sz w:val="24"/>
        </w:rPr>
      </w:pPr>
      <w:r>
        <w:rPr>
          <w:sz w:val="24"/>
        </w:rPr>
        <w:t>5</w:t>
      </w:r>
      <w:r>
        <w:rPr>
          <w:sz w:val="24"/>
        </w:rPr>
        <w:tab/>
        <w:t>It is declared that the contractual completion date for the whole of the Works is 22 June 2021.</w:t>
      </w:r>
    </w:p>
    <w:p w14:paraId="171B2AAF" w14:textId="64873587" w:rsidR="00987D28" w:rsidRDefault="00556F0D" w:rsidP="00BA0FA0">
      <w:pPr>
        <w:spacing w:after="160" w:line="360" w:lineRule="auto"/>
        <w:jc w:val="both"/>
        <w:rPr>
          <w:sz w:val="24"/>
        </w:rPr>
      </w:pPr>
      <w:r>
        <w:rPr>
          <w:sz w:val="24"/>
        </w:rPr>
        <w:t>6</w:t>
      </w:r>
      <w:r>
        <w:rPr>
          <w:sz w:val="24"/>
        </w:rPr>
        <w:tab/>
      </w:r>
      <w:r w:rsidR="00B54E79">
        <w:rPr>
          <w:sz w:val="24"/>
        </w:rPr>
        <w:t>Eskom is ordered to pay Framatome additional costs of:</w:t>
      </w:r>
    </w:p>
    <w:p w14:paraId="2120B2B3" w14:textId="33C3E914" w:rsidR="00B54E79" w:rsidRDefault="00294D99" w:rsidP="00677D2C">
      <w:pPr>
        <w:spacing w:after="160" w:line="360" w:lineRule="auto"/>
        <w:ind w:left="1440" w:hanging="720"/>
        <w:jc w:val="both"/>
        <w:rPr>
          <w:sz w:val="24"/>
        </w:rPr>
      </w:pPr>
      <w:r>
        <w:rPr>
          <w:sz w:val="24"/>
        </w:rPr>
        <w:t xml:space="preserve"> </w:t>
      </w:r>
      <w:r w:rsidR="00556F0D">
        <w:rPr>
          <w:sz w:val="24"/>
        </w:rPr>
        <w:t>6</w:t>
      </w:r>
      <w:r>
        <w:rPr>
          <w:sz w:val="24"/>
        </w:rPr>
        <w:t>.1</w:t>
      </w:r>
      <w:r w:rsidR="00987D28">
        <w:rPr>
          <w:sz w:val="24"/>
        </w:rPr>
        <w:tab/>
        <w:t>EUR 2 706 146.00 which are subject to the price adjustment pursuant to Secondary</w:t>
      </w:r>
      <w:r w:rsidR="00441B62">
        <w:rPr>
          <w:sz w:val="24"/>
        </w:rPr>
        <w:t xml:space="preserve"> Option Clause X1 of the Contract and pursuant to clause 51.4 of the Contract, the interest thereon calculated at the LIBOR rate being the 6 month London Interbank Offered Rate quoted under the caption “Money Rates” in The Wall Street Journal for the applicable currency or if no rate is quoted for the currency in question then the rate for United States Dollars, and if no such rate appears in The Wall Street Journal then the rate as quoted by the Reuters Monitor Money Rates Service (or such service as may replace the Reuters Monitor Money Rates Service) on the due date for the payment in question, adjusted </w:t>
      </w:r>
      <w:r w:rsidR="00441B62">
        <w:rPr>
          <w:i/>
          <w:iCs/>
          <w:sz w:val="24"/>
        </w:rPr>
        <w:t xml:space="preserve">mutatis mutandis </w:t>
      </w:r>
      <w:r w:rsidR="00441B62">
        <w:rPr>
          <w:sz w:val="24"/>
        </w:rPr>
        <w:t xml:space="preserve">every 6 months thereafter and as certified, in the event of any dispute, by any manager </w:t>
      </w:r>
      <w:r w:rsidR="00441B62">
        <w:rPr>
          <w:sz w:val="24"/>
        </w:rPr>
        <w:lastRenderedPageBreak/>
        <w:t>employed in the foreign exchange department of the Standard</w:t>
      </w:r>
      <w:r w:rsidR="00677D2C">
        <w:rPr>
          <w:sz w:val="24"/>
        </w:rPr>
        <w:t xml:space="preserve"> Bank of South Africa Limited, whose appointment it shall not be necessary to prove;</w:t>
      </w:r>
    </w:p>
    <w:p w14:paraId="115AEB07" w14:textId="14F4D953" w:rsidR="00677D2C" w:rsidRDefault="00556F0D" w:rsidP="00677D2C">
      <w:pPr>
        <w:spacing w:after="160" w:line="360" w:lineRule="auto"/>
        <w:ind w:left="1440" w:hanging="720"/>
        <w:jc w:val="both"/>
        <w:rPr>
          <w:sz w:val="24"/>
        </w:rPr>
      </w:pPr>
      <w:r>
        <w:rPr>
          <w:sz w:val="24"/>
        </w:rPr>
        <w:t>6</w:t>
      </w:r>
      <w:r w:rsidR="00294D99">
        <w:rPr>
          <w:sz w:val="24"/>
        </w:rPr>
        <w:t>.2</w:t>
      </w:r>
      <w:r w:rsidR="00677D2C">
        <w:rPr>
          <w:sz w:val="24"/>
        </w:rPr>
        <w:tab/>
        <w:t>EUR 2 706</w:t>
      </w:r>
      <w:r w:rsidR="00FF7239">
        <w:rPr>
          <w:sz w:val="24"/>
        </w:rPr>
        <w:t> </w:t>
      </w:r>
      <w:r w:rsidR="00677D2C">
        <w:rPr>
          <w:sz w:val="24"/>
        </w:rPr>
        <w:t>146</w:t>
      </w:r>
      <w:r w:rsidR="00FF7239">
        <w:rPr>
          <w:sz w:val="24"/>
        </w:rPr>
        <w:t>.00</w:t>
      </w:r>
      <w:r w:rsidR="00677D2C">
        <w:rPr>
          <w:sz w:val="24"/>
        </w:rPr>
        <w:t xml:space="preserve"> which is subject to the price adjustment pursuant to Secondary Option Clause X1 of the Contract and pursuant to clause 51.4 of the Contract, interest thereon calculated at the LIBOR rate (described in paragraph 6.1.1) applicable at the time for amounts due in other currencies from 17 February 2019 to date of payment (inclusive of both dates);</w:t>
      </w:r>
    </w:p>
    <w:p w14:paraId="338DA87E" w14:textId="4A21E168" w:rsidR="003E10A4" w:rsidRDefault="00556F0D" w:rsidP="00677D2C">
      <w:pPr>
        <w:spacing w:after="160" w:line="360" w:lineRule="auto"/>
        <w:ind w:left="1440" w:hanging="720"/>
        <w:jc w:val="both"/>
        <w:rPr>
          <w:sz w:val="24"/>
        </w:rPr>
      </w:pPr>
      <w:r>
        <w:rPr>
          <w:sz w:val="24"/>
        </w:rPr>
        <w:t>6</w:t>
      </w:r>
      <w:r w:rsidR="00294D99">
        <w:rPr>
          <w:sz w:val="24"/>
        </w:rPr>
        <w:t xml:space="preserve">.3 </w:t>
      </w:r>
      <w:r w:rsidR="00677D2C">
        <w:rPr>
          <w:sz w:val="24"/>
        </w:rPr>
        <w:tab/>
        <w:t>EUR 1 353</w:t>
      </w:r>
      <w:r w:rsidR="00FF7239">
        <w:rPr>
          <w:sz w:val="24"/>
        </w:rPr>
        <w:t> </w:t>
      </w:r>
      <w:r w:rsidR="00677D2C">
        <w:rPr>
          <w:sz w:val="24"/>
        </w:rPr>
        <w:t>073</w:t>
      </w:r>
      <w:r w:rsidR="00FF7239">
        <w:rPr>
          <w:sz w:val="24"/>
        </w:rPr>
        <w:t>.00</w:t>
      </w:r>
      <w:r w:rsidR="00677D2C">
        <w:rPr>
          <w:sz w:val="24"/>
        </w:rPr>
        <w:t xml:space="preserve"> which is subject to the price adjustment pursuant to Secondary Option Clause X1 of the Contract and pursuant to clause 51.4 of the Contract, interest thereon calculated at the LIBOR rate</w:t>
      </w:r>
      <w:r w:rsidR="003E10A4">
        <w:rPr>
          <w:sz w:val="24"/>
        </w:rPr>
        <w:t xml:space="preserve"> (described in paragraph 6.1.1) applicable at the time for amounts due in other currencies from 24 September 2019 to date of payment (inclusive of both dates);</w:t>
      </w:r>
    </w:p>
    <w:p w14:paraId="7EAE6925" w14:textId="4292CDFA" w:rsidR="003E10A4" w:rsidRDefault="00556F0D" w:rsidP="00677D2C">
      <w:pPr>
        <w:spacing w:after="160" w:line="360" w:lineRule="auto"/>
        <w:ind w:left="1440" w:hanging="720"/>
        <w:jc w:val="both"/>
        <w:rPr>
          <w:sz w:val="24"/>
        </w:rPr>
      </w:pPr>
      <w:r>
        <w:rPr>
          <w:sz w:val="24"/>
        </w:rPr>
        <w:t>6</w:t>
      </w:r>
      <w:r w:rsidR="00294D99">
        <w:rPr>
          <w:sz w:val="24"/>
        </w:rPr>
        <w:t xml:space="preserve">.4 </w:t>
      </w:r>
      <w:r w:rsidR="003E10A4">
        <w:rPr>
          <w:sz w:val="24"/>
        </w:rPr>
        <w:tab/>
      </w:r>
      <w:r w:rsidR="003E10A4" w:rsidRPr="00D63C7E">
        <w:rPr>
          <w:sz w:val="24"/>
        </w:rPr>
        <w:t>R</w:t>
      </w:r>
      <w:r w:rsidR="003E10A4">
        <w:rPr>
          <w:sz w:val="24"/>
        </w:rPr>
        <w:t xml:space="preserve"> 36 595</w:t>
      </w:r>
      <w:r w:rsidR="00FF7239">
        <w:rPr>
          <w:sz w:val="24"/>
        </w:rPr>
        <w:t> </w:t>
      </w:r>
      <w:r w:rsidR="003E10A4">
        <w:rPr>
          <w:sz w:val="24"/>
        </w:rPr>
        <w:t>611</w:t>
      </w:r>
      <w:r w:rsidR="00FF7239">
        <w:rPr>
          <w:sz w:val="24"/>
        </w:rPr>
        <w:t>.00</w:t>
      </w:r>
      <w:r w:rsidR="003E10A4">
        <w:rPr>
          <w:sz w:val="24"/>
        </w:rPr>
        <w:t xml:space="preserve"> which is subject to the price adjustment pursuant to Secondary Option Clause X1 of the Contract and pursuant to clause 51.4 of the Contract, interest thereon calculated at a rate of zero percent above publicly quoted prime rate of interest (calculated on a 365 day year) charged from time to time by Standard Bank of South Africa (as certified, in the event of any dispute, by any manager of such bank, whose appointment it shall not be necessary to prove) from 12 August 2018 to date of payment (inclusive of both dates);</w:t>
      </w:r>
    </w:p>
    <w:p w14:paraId="2A0DE43B" w14:textId="4C7C1AB7" w:rsidR="00677D2C" w:rsidRDefault="00556F0D" w:rsidP="00677D2C">
      <w:pPr>
        <w:spacing w:after="160" w:line="360" w:lineRule="auto"/>
        <w:ind w:left="1440" w:hanging="720"/>
        <w:jc w:val="both"/>
        <w:rPr>
          <w:sz w:val="24"/>
        </w:rPr>
      </w:pPr>
      <w:r>
        <w:rPr>
          <w:sz w:val="24"/>
        </w:rPr>
        <w:t>6</w:t>
      </w:r>
      <w:r w:rsidR="00294D99">
        <w:rPr>
          <w:sz w:val="24"/>
        </w:rPr>
        <w:t>.5</w:t>
      </w:r>
      <w:r w:rsidR="003E10A4">
        <w:rPr>
          <w:sz w:val="24"/>
        </w:rPr>
        <w:tab/>
        <w:t xml:space="preserve"> </w:t>
      </w:r>
      <w:r w:rsidR="003E10A4" w:rsidRPr="00D63C7E">
        <w:rPr>
          <w:sz w:val="24"/>
        </w:rPr>
        <w:t>R</w:t>
      </w:r>
      <w:r w:rsidR="003E10A4">
        <w:rPr>
          <w:sz w:val="24"/>
        </w:rPr>
        <w:t xml:space="preserve"> 36 595</w:t>
      </w:r>
      <w:r w:rsidR="00FF7239">
        <w:rPr>
          <w:sz w:val="24"/>
        </w:rPr>
        <w:t> </w:t>
      </w:r>
      <w:r w:rsidR="003E10A4">
        <w:rPr>
          <w:sz w:val="24"/>
        </w:rPr>
        <w:t>611</w:t>
      </w:r>
      <w:r w:rsidR="00FF7239">
        <w:rPr>
          <w:sz w:val="24"/>
        </w:rPr>
        <w:t>.00</w:t>
      </w:r>
      <w:r w:rsidR="003E10A4">
        <w:rPr>
          <w:sz w:val="24"/>
        </w:rPr>
        <w:t xml:space="preserve"> which is subject to the price adjustment pursuant to Secondary Option Clause X1 of the Contract and pursuant to clause 51.4 of the Contract, interest thereon calculated at a rate of zero percent above the publicly quoted prime rate interest (</w:t>
      </w:r>
      <w:r w:rsidR="00C22BB4">
        <w:rPr>
          <w:sz w:val="24"/>
        </w:rPr>
        <w:t xml:space="preserve">as </w:t>
      </w:r>
      <w:r w:rsidR="003E10A4">
        <w:rPr>
          <w:sz w:val="24"/>
        </w:rPr>
        <w:t>described in paragraph 6.1.</w:t>
      </w:r>
      <w:r w:rsidR="00C22BB4">
        <w:rPr>
          <w:sz w:val="24"/>
        </w:rPr>
        <w:t>5</w:t>
      </w:r>
      <w:r w:rsidR="003E10A4">
        <w:rPr>
          <w:sz w:val="24"/>
        </w:rPr>
        <w:t xml:space="preserve">) applicable at the time for amounts due in other currencies from </w:t>
      </w:r>
      <w:r w:rsidR="00C22BB4">
        <w:rPr>
          <w:sz w:val="24"/>
        </w:rPr>
        <w:t xml:space="preserve">17 February 2019 </w:t>
      </w:r>
      <w:r w:rsidR="003E10A4">
        <w:rPr>
          <w:sz w:val="24"/>
        </w:rPr>
        <w:t>to date of payment (inclusive of both dates);</w:t>
      </w:r>
    </w:p>
    <w:p w14:paraId="7BD46CB0" w14:textId="043FC4CB" w:rsidR="00C22BB4" w:rsidRDefault="00556F0D" w:rsidP="00481468">
      <w:pPr>
        <w:spacing w:after="160" w:line="360" w:lineRule="auto"/>
        <w:ind w:left="1440" w:hanging="720"/>
        <w:jc w:val="both"/>
        <w:rPr>
          <w:sz w:val="24"/>
        </w:rPr>
      </w:pPr>
      <w:r>
        <w:rPr>
          <w:sz w:val="24"/>
        </w:rPr>
        <w:t>6</w:t>
      </w:r>
      <w:r w:rsidR="00294D99">
        <w:rPr>
          <w:sz w:val="24"/>
        </w:rPr>
        <w:t xml:space="preserve">.6 </w:t>
      </w:r>
      <w:r w:rsidR="00C22BB4">
        <w:rPr>
          <w:sz w:val="24"/>
        </w:rPr>
        <w:tab/>
      </w:r>
      <w:r w:rsidR="00C22BB4" w:rsidRPr="00D63C7E">
        <w:rPr>
          <w:sz w:val="24"/>
        </w:rPr>
        <w:t>R</w:t>
      </w:r>
      <w:r w:rsidR="00C22BB4">
        <w:rPr>
          <w:sz w:val="24"/>
        </w:rPr>
        <w:t xml:space="preserve"> 18 297</w:t>
      </w:r>
      <w:r w:rsidR="00FF7239">
        <w:rPr>
          <w:sz w:val="24"/>
        </w:rPr>
        <w:t> </w:t>
      </w:r>
      <w:r w:rsidR="00C22BB4">
        <w:rPr>
          <w:sz w:val="24"/>
        </w:rPr>
        <w:t>805</w:t>
      </w:r>
      <w:r w:rsidR="00FF7239">
        <w:rPr>
          <w:sz w:val="24"/>
        </w:rPr>
        <w:t>.00</w:t>
      </w:r>
      <w:r w:rsidR="00C22BB4">
        <w:rPr>
          <w:sz w:val="24"/>
        </w:rPr>
        <w:t xml:space="preserve"> which is subject to the price adjustment pursuant to Secondary Option Clause X1 of the Contract and pursuant to clause 51.4 of the Contract, interest thereon calculated at a rate of zero percent above </w:t>
      </w:r>
      <w:r w:rsidR="00C22BB4">
        <w:rPr>
          <w:sz w:val="24"/>
        </w:rPr>
        <w:lastRenderedPageBreak/>
        <w:t>the publicly quoted prime rate interest (as described in paragraph 6.1.5) applicable at the time for amounts due in other currencies from 24 September 2019 to date of payment (inclusive of both dates)</w:t>
      </w:r>
      <w:r w:rsidR="00481468">
        <w:rPr>
          <w:sz w:val="24"/>
        </w:rPr>
        <w:t xml:space="preserve"> </w:t>
      </w:r>
      <w:r w:rsidR="00C22BB4">
        <w:rPr>
          <w:sz w:val="24"/>
        </w:rPr>
        <w:t>within 10 days from the date of this order</w:t>
      </w:r>
      <w:r w:rsidR="00D63C7E">
        <w:rPr>
          <w:sz w:val="24"/>
        </w:rPr>
        <w:t>;</w:t>
      </w:r>
    </w:p>
    <w:p w14:paraId="788E30E0" w14:textId="567D078E" w:rsidR="00601D2B" w:rsidRDefault="00F55419" w:rsidP="00BA0FA0">
      <w:pPr>
        <w:spacing w:after="160" w:line="360" w:lineRule="auto"/>
        <w:jc w:val="both"/>
        <w:rPr>
          <w:sz w:val="24"/>
        </w:rPr>
      </w:pPr>
      <w:r>
        <w:rPr>
          <w:sz w:val="24"/>
        </w:rPr>
        <w:t>7</w:t>
      </w:r>
      <w:r w:rsidR="00601D2B" w:rsidRPr="00D63C7E">
        <w:rPr>
          <w:sz w:val="24"/>
        </w:rPr>
        <w:tab/>
      </w:r>
      <w:bookmarkStart w:id="5" w:name="_Hlk83305393"/>
      <w:r w:rsidR="00601D2B" w:rsidRPr="00D63C7E">
        <w:rPr>
          <w:sz w:val="24"/>
        </w:rPr>
        <w:t>The respondent is ordered to pay the costs, such c</w:t>
      </w:r>
      <w:r w:rsidR="004C12E1" w:rsidRPr="00D63C7E">
        <w:rPr>
          <w:sz w:val="24"/>
        </w:rPr>
        <w:t>os</w:t>
      </w:r>
      <w:r w:rsidR="00601D2B" w:rsidRPr="00D63C7E">
        <w:rPr>
          <w:sz w:val="24"/>
        </w:rPr>
        <w:t>ts to include the costs of two counsel</w:t>
      </w:r>
      <w:bookmarkEnd w:id="5"/>
      <w:r w:rsidR="00601D2B" w:rsidRPr="00D63C7E">
        <w:rPr>
          <w:sz w:val="24"/>
        </w:rPr>
        <w:t>.</w:t>
      </w:r>
      <w:r>
        <w:rPr>
          <w:sz w:val="24"/>
        </w:rPr>
        <w:t xml:space="preserve">’ </w:t>
      </w:r>
    </w:p>
    <w:bookmarkEnd w:id="4"/>
    <w:p w14:paraId="38F01C34" w14:textId="6E76C7A9" w:rsidR="0094622E" w:rsidRDefault="0094622E" w:rsidP="000E1BB6">
      <w:pPr>
        <w:spacing w:line="360" w:lineRule="auto"/>
        <w:jc w:val="both"/>
        <w:rPr>
          <w:sz w:val="24"/>
        </w:rPr>
      </w:pPr>
    </w:p>
    <w:p w14:paraId="49E5F3E7" w14:textId="25FEC6D8" w:rsidR="0094622E" w:rsidRDefault="0094622E" w:rsidP="0094622E">
      <w:pPr>
        <w:spacing w:line="360" w:lineRule="auto"/>
        <w:jc w:val="both"/>
        <w:rPr>
          <w:sz w:val="24"/>
        </w:rPr>
      </w:pPr>
    </w:p>
    <w:p w14:paraId="3A1F0916" w14:textId="53AC68CF" w:rsidR="00C04BE0" w:rsidRDefault="00C04BE0" w:rsidP="0094622E">
      <w:pPr>
        <w:spacing w:line="360" w:lineRule="auto"/>
        <w:jc w:val="both"/>
        <w:rPr>
          <w:sz w:val="24"/>
        </w:rPr>
      </w:pPr>
    </w:p>
    <w:p w14:paraId="183DA28C" w14:textId="0F918411" w:rsidR="00C04BE0" w:rsidRDefault="00C04BE0" w:rsidP="0094622E">
      <w:pPr>
        <w:spacing w:line="360" w:lineRule="auto"/>
        <w:jc w:val="both"/>
        <w:rPr>
          <w:sz w:val="24"/>
        </w:rPr>
      </w:pPr>
    </w:p>
    <w:p w14:paraId="5C844449" w14:textId="593C82A1" w:rsidR="00C04BE0" w:rsidRDefault="00C04BE0" w:rsidP="0094622E">
      <w:pPr>
        <w:spacing w:line="360" w:lineRule="auto"/>
        <w:jc w:val="both"/>
        <w:rPr>
          <w:sz w:val="24"/>
        </w:rPr>
      </w:pPr>
    </w:p>
    <w:p w14:paraId="016C39BA" w14:textId="0D474639" w:rsidR="00C04BE0" w:rsidRDefault="00C04BE0" w:rsidP="0094622E">
      <w:pPr>
        <w:spacing w:line="360" w:lineRule="auto"/>
        <w:jc w:val="both"/>
        <w:rPr>
          <w:sz w:val="24"/>
        </w:rPr>
      </w:pPr>
    </w:p>
    <w:p w14:paraId="6C9A9270" w14:textId="4BA25FD5" w:rsidR="00CA776F" w:rsidRDefault="00CA776F" w:rsidP="0094622E">
      <w:pPr>
        <w:spacing w:line="360" w:lineRule="auto"/>
        <w:jc w:val="both"/>
        <w:rPr>
          <w:sz w:val="24"/>
        </w:rPr>
      </w:pPr>
    </w:p>
    <w:p w14:paraId="2F434200" w14:textId="4247C8C0" w:rsidR="00F47CA7" w:rsidRDefault="00F47CA7" w:rsidP="0094622E">
      <w:pPr>
        <w:spacing w:line="360" w:lineRule="auto"/>
        <w:jc w:val="both"/>
        <w:rPr>
          <w:sz w:val="24"/>
        </w:rPr>
      </w:pPr>
    </w:p>
    <w:p w14:paraId="56ED43EB" w14:textId="675363DD" w:rsidR="00F47CA7" w:rsidRDefault="00F47CA7" w:rsidP="0094622E">
      <w:pPr>
        <w:spacing w:line="360" w:lineRule="auto"/>
        <w:jc w:val="both"/>
        <w:rPr>
          <w:sz w:val="24"/>
        </w:rPr>
      </w:pPr>
    </w:p>
    <w:p w14:paraId="052AF8CB" w14:textId="5C973F9D" w:rsidR="00F47CA7" w:rsidRDefault="00F47CA7" w:rsidP="0094622E">
      <w:pPr>
        <w:spacing w:line="360" w:lineRule="auto"/>
        <w:jc w:val="both"/>
        <w:rPr>
          <w:sz w:val="24"/>
        </w:rPr>
      </w:pPr>
    </w:p>
    <w:p w14:paraId="317048E5" w14:textId="3BA95162" w:rsidR="00F47CA7" w:rsidRDefault="00F47CA7" w:rsidP="0094622E">
      <w:pPr>
        <w:spacing w:line="360" w:lineRule="auto"/>
        <w:jc w:val="both"/>
        <w:rPr>
          <w:sz w:val="24"/>
        </w:rPr>
      </w:pPr>
    </w:p>
    <w:p w14:paraId="69A3EE6C" w14:textId="50FE8C8F" w:rsidR="00F47CA7" w:rsidRDefault="00F47CA7" w:rsidP="0094622E">
      <w:pPr>
        <w:spacing w:line="360" w:lineRule="auto"/>
        <w:jc w:val="both"/>
        <w:rPr>
          <w:sz w:val="24"/>
        </w:rPr>
      </w:pPr>
    </w:p>
    <w:p w14:paraId="5063364B" w14:textId="0926CE1D" w:rsidR="00F47CA7" w:rsidRDefault="00F47CA7" w:rsidP="0094622E">
      <w:pPr>
        <w:spacing w:line="360" w:lineRule="auto"/>
        <w:jc w:val="both"/>
        <w:rPr>
          <w:sz w:val="24"/>
        </w:rPr>
      </w:pPr>
    </w:p>
    <w:p w14:paraId="30BDF378" w14:textId="023220A2" w:rsidR="00F47CA7" w:rsidRDefault="00F47CA7" w:rsidP="0094622E">
      <w:pPr>
        <w:spacing w:line="360" w:lineRule="auto"/>
        <w:jc w:val="both"/>
        <w:rPr>
          <w:sz w:val="24"/>
        </w:rPr>
      </w:pPr>
    </w:p>
    <w:p w14:paraId="581A98C1" w14:textId="0F62FCE9" w:rsidR="00F47CA7" w:rsidRDefault="00F47CA7" w:rsidP="0094622E">
      <w:pPr>
        <w:spacing w:line="360" w:lineRule="auto"/>
        <w:jc w:val="both"/>
        <w:rPr>
          <w:sz w:val="24"/>
        </w:rPr>
      </w:pPr>
    </w:p>
    <w:p w14:paraId="638D2420" w14:textId="38AFC348" w:rsidR="00F47CA7" w:rsidRDefault="00F47CA7" w:rsidP="0094622E">
      <w:pPr>
        <w:spacing w:line="360" w:lineRule="auto"/>
        <w:jc w:val="both"/>
        <w:rPr>
          <w:sz w:val="24"/>
        </w:rPr>
      </w:pPr>
    </w:p>
    <w:p w14:paraId="49E36AF6" w14:textId="348B35FC" w:rsidR="00F47CA7" w:rsidRDefault="00F47CA7" w:rsidP="0094622E">
      <w:pPr>
        <w:spacing w:line="360" w:lineRule="auto"/>
        <w:jc w:val="both"/>
        <w:rPr>
          <w:sz w:val="24"/>
        </w:rPr>
      </w:pPr>
    </w:p>
    <w:p w14:paraId="5BA2DD7C" w14:textId="1217CF31" w:rsidR="00F47CA7" w:rsidRDefault="00F47CA7" w:rsidP="0094622E">
      <w:pPr>
        <w:spacing w:line="360" w:lineRule="auto"/>
        <w:jc w:val="both"/>
        <w:rPr>
          <w:sz w:val="24"/>
        </w:rPr>
      </w:pPr>
    </w:p>
    <w:p w14:paraId="367448EB" w14:textId="261E291A" w:rsidR="00F47CA7" w:rsidRDefault="00F47CA7" w:rsidP="0094622E">
      <w:pPr>
        <w:spacing w:line="360" w:lineRule="auto"/>
        <w:jc w:val="both"/>
        <w:rPr>
          <w:sz w:val="24"/>
        </w:rPr>
      </w:pPr>
    </w:p>
    <w:p w14:paraId="6E1B9A17" w14:textId="33F367C8" w:rsidR="00F47CA7" w:rsidRDefault="00F47CA7" w:rsidP="0094622E">
      <w:pPr>
        <w:spacing w:line="360" w:lineRule="auto"/>
        <w:jc w:val="both"/>
        <w:rPr>
          <w:sz w:val="24"/>
        </w:rPr>
      </w:pPr>
    </w:p>
    <w:p w14:paraId="00B936E6" w14:textId="77777777" w:rsidR="00F47CA7" w:rsidRDefault="00F47CA7" w:rsidP="0094622E">
      <w:pPr>
        <w:spacing w:line="360" w:lineRule="auto"/>
        <w:jc w:val="both"/>
        <w:rPr>
          <w:sz w:val="24"/>
        </w:rPr>
      </w:pPr>
    </w:p>
    <w:p w14:paraId="08E56EF6" w14:textId="64DE7B57" w:rsidR="00C04BE0" w:rsidRDefault="00C04BE0" w:rsidP="0094622E">
      <w:pPr>
        <w:spacing w:line="360" w:lineRule="auto"/>
        <w:jc w:val="both"/>
        <w:rPr>
          <w:sz w:val="24"/>
        </w:rPr>
      </w:pPr>
    </w:p>
    <w:p w14:paraId="03853195" w14:textId="77777777" w:rsidR="00CA776F" w:rsidRPr="00C85625" w:rsidRDefault="00CA776F" w:rsidP="00CA776F">
      <w:pPr>
        <w:widowControl w:val="0"/>
        <w:autoSpaceDE w:val="0"/>
        <w:autoSpaceDN w:val="0"/>
        <w:adjustRightInd w:val="0"/>
        <w:jc w:val="right"/>
        <w:rPr>
          <w:sz w:val="24"/>
        </w:rPr>
      </w:pPr>
      <w:r w:rsidRPr="00C85625">
        <w:rPr>
          <w:sz w:val="24"/>
        </w:rPr>
        <w:t>________________________</w:t>
      </w:r>
    </w:p>
    <w:p w14:paraId="27CBD1C2" w14:textId="77777777" w:rsidR="00CA776F" w:rsidRPr="00C85625" w:rsidRDefault="00CA776F" w:rsidP="00CA776F">
      <w:pPr>
        <w:widowControl w:val="0"/>
        <w:autoSpaceDE w:val="0"/>
        <w:autoSpaceDN w:val="0"/>
        <w:adjustRightInd w:val="0"/>
        <w:jc w:val="right"/>
        <w:rPr>
          <w:sz w:val="24"/>
        </w:rPr>
      </w:pPr>
      <w:r w:rsidRPr="00C85625">
        <w:rPr>
          <w:sz w:val="24"/>
        </w:rPr>
        <w:t>R S Mathopo</w:t>
      </w:r>
    </w:p>
    <w:p w14:paraId="4445FA5B" w14:textId="327AF054" w:rsidR="00F47CA7" w:rsidRDefault="00CA776F" w:rsidP="00F02FE9">
      <w:pPr>
        <w:widowControl w:val="0"/>
        <w:autoSpaceDE w:val="0"/>
        <w:autoSpaceDN w:val="0"/>
        <w:adjustRightInd w:val="0"/>
        <w:jc w:val="right"/>
        <w:rPr>
          <w:sz w:val="24"/>
        </w:rPr>
      </w:pPr>
      <w:r>
        <w:rPr>
          <w:sz w:val="24"/>
        </w:rPr>
        <w:t>Judge o</w:t>
      </w:r>
      <w:r w:rsidRPr="00C85625">
        <w:rPr>
          <w:sz w:val="24"/>
        </w:rPr>
        <w:t>f Appeal</w:t>
      </w:r>
    </w:p>
    <w:p w14:paraId="1B1A9C11" w14:textId="77777777" w:rsidR="00FD5155" w:rsidRPr="00C85625" w:rsidRDefault="00FD5155" w:rsidP="00FD5155">
      <w:pPr>
        <w:widowControl w:val="0"/>
        <w:autoSpaceDE w:val="0"/>
        <w:autoSpaceDN w:val="0"/>
        <w:adjustRightInd w:val="0"/>
        <w:spacing w:line="360" w:lineRule="auto"/>
        <w:rPr>
          <w:sz w:val="24"/>
        </w:rPr>
      </w:pPr>
      <w:r w:rsidRPr="00C85625">
        <w:rPr>
          <w:sz w:val="24"/>
        </w:rPr>
        <w:lastRenderedPageBreak/>
        <w:t>APPEARANCES:</w:t>
      </w:r>
    </w:p>
    <w:p w14:paraId="66E1F34B" w14:textId="77777777" w:rsidR="00FD5155" w:rsidRPr="00C85625" w:rsidRDefault="00FD5155" w:rsidP="00FD5155">
      <w:pPr>
        <w:widowControl w:val="0"/>
        <w:autoSpaceDE w:val="0"/>
        <w:autoSpaceDN w:val="0"/>
        <w:adjustRightInd w:val="0"/>
        <w:spacing w:line="360" w:lineRule="auto"/>
        <w:rPr>
          <w:sz w:val="24"/>
        </w:rPr>
      </w:pPr>
    </w:p>
    <w:p w14:paraId="053F6A27" w14:textId="6F83E381" w:rsidR="00FD5155" w:rsidRDefault="00FD5155" w:rsidP="00FD5155">
      <w:pPr>
        <w:widowControl w:val="0"/>
        <w:tabs>
          <w:tab w:val="left" w:pos="2127"/>
        </w:tabs>
        <w:autoSpaceDE w:val="0"/>
        <w:autoSpaceDN w:val="0"/>
        <w:adjustRightInd w:val="0"/>
        <w:spacing w:line="360" w:lineRule="auto"/>
        <w:rPr>
          <w:sz w:val="24"/>
        </w:rPr>
      </w:pPr>
      <w:r w:rsidRPr="00C85625">
        <w:rPr>
          <w:sz w:val="24"/>
        </w:rPr>
        <w:t>For appellant:</w:t>
      </w:r>
      <w:r w:rsidRPr="00C85625">
        <w:rPr>
          <w:sz w:val="24"/>
        </w:rPr>
        <w:tab/>
      </w:r>
      <w:r w:rsidRPr="00FD5155">
        <w:rPr>
          <w:sz w:val="24"/>
        </w:rPr>
        <w:t>B Berridge SC</w:t>
      </w:r>
      <w:r w:rsidR="009B5ACB">
        <w:rPr>
          <w:sz w:val="24"/>
        </w:rPr>
        <w:t xml:space="preserve"> (with him </w:t>
      </w:r>
      <w:r w:rsidRPr="00FD5155">
        <w:rPr>
          <w:sz w:val="24"/>
        </w:rPr>
        <w:t>D V</w:t>
      </w:r>
      <w:r>
        <w:rPr>
          <w:sz w:val="24"/>
        </w:rPr>
        <w:t>an</w:t>
      </w:r>
      <w:r w:rsidRPr="00FD5155">
        <w:rPr>
          <w:sz w:val="24"/>
        </w:rPr>
        <w:t xml:space="preserve"> Z</w:t>
      </w:r>
      <w:r>
        <w:rPr>
          <w:sz w:val="24"/>
        </w:rPr>
        <w:t>yl</w:t>
      </w:r>
      <w:r w:rsidR="00B22D5C">
        <w:rPr>
          <w:sz w:val="24"/>
        </w:rPr>
        <w:t>)</w:t>
      </w:r>
    </w:p>
    <w:p w14:paraId="5DD6EA04" w14:textId="77777777" w:rsidR="00FD5155" w:rsidRPr="00C85625" w:rsidRDefault="00FD5155" w:rsidP="00FD5155">
      <w:pPr>
        <w:widowControl w:val="0"/>
        <w:tabs>
          <w:tab w:val="left" w:pos="2127"/>
        </w:tabs>
        <w:autoSpaceDE w:val="0"/>
        <w:autoSpaceDN w:val="0"/>
        <w:adjustRightInd w:val="0"/>
        <w:spacing w:line="360" w:lineRule="auto"/>
        <w:rPr>
          <w:sz w:val="24"/>
        </w:rPr>
      </w:pPr>
    </w:p>
    <w:p w14:paraId="6CD80ED7" w14:textId="474784EF" w:rsidR="00FD5155" w:rsidRDefault="00FD5155" w:rsidP="00FD5155">
      <w:pPr>
        <w:widowControl w:val="0"/>
        <w:tabs>
          <w:tab w:val="left" w:pos="2127"/>
        </w:tabs>
        <w:autoSpaceDE w:val="0"/>
        <w:autoSpaceDN w:val="0"/>
        <w:adjustRightInd w:val="0"/>
        <w:spacing w:line="360" w:lineRule="auto"/>
        <w:rPr>
          <w:sz w:val="24"/>
        </w:rPr>
      </w:pPr>
      <w:r w:rsidRPr="00C85625">
        <w:rPr>
          <w:sz w:val="24"/>
        </w:rPr>
        <w:t>Instructed by:</w:t>
      </w:r>
      <w:r>
        <w:rPr>
          <w:sz w:val="24"/>
        </w:rPr>
        <w:tab/>
        <w:t>Webber Wentzel</w:t>
      </w:r>
      <w:r w:rsidR="00E23452">
        <w:rPr>
          <w:sz w:val="24"/>
        </w:rPr>
        <w:t>, Johannesburg.</w:t>
      </w:r>
    </w:p>
    <w:p w14:paraId="29340DBE" w14:textId="00513AC0" w:rsidR="00E23452" w:rsidRPr="00C85625" w:rsidRDefault="00E23452" w:rsidP="00FD5155">
      <w:pPr>
        <w:widowControl w:val="0"/>
        <w:tabs>
          <w:tab w:val="left" w:pos="2127"/>
        </w:tabs>
        <w:autoSpaceDE w:val="0"/>
        <w:autoSpaceDN w:val="0"/>
        <w:adjustRightInd w:val="0"/>
        <w:spacing w:line="360" w:lineRule="auto"/>
        <w:rPr>
          <w:sz w:val="24"/>
        </w:rPr>
      </w:pPr>
      <w:r>
        <w:rPr>
          <w:sz w:val="24"/>
        </w:rPr>
        <w:tab/>
        <w:t>Webbers Attorneys, Bloemfontein.</w:t>
      </w:r>
    </w:p>
    <w:p w14:paraId="37BE428B" w14:textId="77777777" w:rsidR="00FD5155" w:rsidRPr="00C85625" w:rsidRDefault="00FD5155" w:rsidP="00FD5155">
      <w:pPr>
        <w:widowControl w:val="0"/>
        <w:tabs>
          <w:tab w:val="left" w:pos="2127"/>
        </w:tabs>
        <w:autoSpaceDE w:val="0"/>
        <w:autoSpaceDN w:val="0"/>
        <w:adjustRightInd w:val="0"/>
        <w:spacing w:line="360" w:lineRule="auto"/>
        <w:ind w:left="3261" w:hanging="3261"/>
        <w:jc w:val="both"/>
        <w:rPr>
          <w:sz w:val="24"/>
        </w:rPr>
      </w:pPr>
      <w:r w:rsidRPr="00C85625">
        <w:rPr>
          <w:sz w:val="24"/>
        </w:rPr>
        <w:tab/>
      </w:r>
    </w:p>
    <w:p w14:paraId="2FEF1F17" w14:textId="0543D9E0" w:rsidR="00FD5155" w:rsidRPr="00C85625" w:rsidRDefault="00FD5155" w:rsidP="00FD5155">
      <w:pPr>
        <w:widowControl w:val="0"/>
        <w:tabs>
          <w:tab w:val="left" w:pos="2127"/>
        </w:tabs>
        <w:autoSpaceDE w:val="0"/>
        <w:autoSpaceDN w:val="0"/>
        <w:adjustRightInd w:val="0"/>
        <w:spacing w:line="360" w:lineRule="auto"/>
        <w:rPr>
          <w:sz w:val="24"/>
        </w:rPr>
      </w:pPr>
    </w:p>
    <w:p w14:paraId="038891BF" w14:textId="77777777" w:rsidR="00FD5155" w:rsidRPr="00C85625" w:rsidRDefault="00FD5155" w:rsidP="00FD5155">
      <w:pPr>
        <w:widowControl w:val="0"/>
        <w:tabs>
          <w:tab w:val="left" w:pos="2127"/>
        </w:tabs>
        <w:autoSpaceDE w:val="0"/>
        <w:autoSpaceDN w:val="0"/>
        <w:adjustRightInd w:val="0"/>
        <w:spacing w:line="360" w:lineRule="auto"/>
        <w:rPr>
          <w:sz w:val="24"/>
        </w:rPr>
      </w:pPr>
    </w:p>
    <w:p w14:paraId="294BFE71" w14:textId="54F6F391" w:rsidR="00FD5155" w:rsidRDefault="00FD5155" w:rsidP="00FD5155">
      <w:pPr>
        <w:widowControl w:val="0"/>
        <w:tabs>
          <w:tab w:val="left" w:pos="2127"/>
        </w:tabs>
        <w:autoSpaceDE w:val="0"/>
        <w:autoSpaceDN w:val="0"/>
        <w:adjustRightInd w:val="0"/>
        <w:spacing w:line="360" w:lineRule="auto"/>
        <w:rPr>
          <w:sz w:val="24"/>
        </w:rPr>
      </w:pPr>
      <w:r w:rsidRPr="00C85625">
        <w:rPr>
          <w:sz w:val="24"/>
        </w:rPr>
        <w:t>For respondent:</w:t>
      </w:r>
      <w:r w:rsidRPr="00C85625">
        <w:rPr>
          <w:sz w:val="24"/>
        </w:rPr>
        <w:tab/>
      </w:r>
      <w:r w:rsidRPr="00FD5155">
        <w:rPr>
          <w:sz w:val="24"/>
        </w:rPr>
        <w:t>PHJ V</w:t>
      </w:r>
      <w:r>
        <w:rPr>
          <w:sz w:val="24"/>
        </w:rPr>
        <w:t>an</w:t>
      </w:r>
      <w:r w:rsidRPr="00FD5155">
        <w:rPr>
          <w:sz w:val="24"/>
        </w:rPr>
        <w:t xml:space="preserve"> V</w:t>
      </w:r>
      <w:r>
        <w:rPr>
          <w:sz w:val="24"/>
        </w:rPr>
        <w:t>uuren</w:t>
      </w:r>
      <w:r w:rsidRPr="00FD5155">
        <w:rPr>
          <w:sz w:val="24"/>
        </w:rPr>
        <w:t xml:space="preserve"> SC</w:t>
      </w:r>
    </w:p>
    <w:p w14:paraId="31AB78CF" w14:textId="77777777" w:rsidR="00FD5155" w:rsidRPr="00C85625" w:rsidRDefault="00FD5155" w:rsidP="00FD5155">
      <w:pPr>
        <w:widowControl w:val="0"/>
        <w:tabs>
          <w:tab w:val="left" w:pos="2127"/>
        </w:tabs>
        <w:autoSpaceDE w:val="0"/>
        <w:autoSpaceDN w:val="0"/>
        <w:adjustRightInd w:val="0"/>
        <w:spacing w:line="360" w:lineRule="auto"/>
        <w:rPr>
          <w:sz w:val="24"/>
        </w:rPr>
      </w:pPr>
    </w:p>
    <w:p w14:paraId="636CF56A" w14:textId="20EAF00C" w:rsidR="00FD5155" w:rsidRDefault="00FD5155" w:rsidP="00FD5155">
      <w:pPr>
        <w:widowControl w:val="0"/>
        <w:tabs>
          <w:tab w:val="left" w:pos="2127"/>
        </w:tabs>
        <w:autoSpaceDE w:val="0"/>
        <w:autoSpaceDN w:val="0"/>
        <w:adjustRightInd w:val="0"/>
        <w:spacing w:line="360" w:lineRule="auto"/>
        <w:rPr>
          <w:sz w:val="24"/>
        </w:rPr>
      </w:pPr>
      <w:r w:rsidRPr="00C85625">
        <w:rPr>
          <w:sz w:val="24"/>
        </w:rPr>
        <w:t>Instructed by:</w:t>
      </w:r>
      <w:r>
        <w:rPr>
          <w:sz w:val="24"/>
        </w:rPr>
        <w:tab/>
        <w:t>Edward Nathan Sonnenbergs Inc</w:t>
      </w:r>
      <w:r w:rsidR="009B5ACB">
        <w:rPr>
          <w:sz w:val="24"/>
        </w:rPr>
        <w:t>.</w:t>
      </w:r>
      <w:r w:rsidR="00E23452">
        <w:rPr>
          <w:sz w:val="24"/>
        </w:rPr>
        <w:t>, Johannesburg.</w:t>
      </w:r>
    </w:p>
    <w:p w14:paraId="7C45E860" w14:textId="7007C530" w:rsidR="00E23452" w:rsidRPr="00C85625" w:rsidRDefault="00E23452" w:rsidP="00FD5155">
      <w:pPr>
        <w:widowControl w:val="0"/>
        <w:tabs>
          <w:tab w:val="left" w:pos="2127"/>
        </w:tabs>
        <w:autoSpaceDE w:val="0"/>
        <w:autoSpaceDN w:val="0"/>
        <w:adjustRightInd w:val="0"/>
        <w:spacing w:line="360" w:lineRule="auto"/>
        <w:rPr>
          <w:sz w:val="24"/>
        </w:rPr>
      </w:pPr>
      <w:r>
        <w:rPr>
          <w:sz w:val="24"/>
        </w:rPr>
        <w:tab/>
        <w:t>Lovius Block Inc</w:t>
      </w:r>
      <w:r w:rsidR="009B5ACB">
        <w:rPr>
          <w:sz w:val="24"/>
        </w:rPr>
        <w:t>.,</w:t>
      </w:r>
      <w:r>
        <w:rPr>
          <w:sz w:val="24"/>
        </w:rPr>
        <w:t xml:space="preserve"> Bloemfontein.</w:t>
      </w:r>
    </w:p>
    <w:bookmarkEnd w:id="1"/>
    <w:p w14:paraId="57218D66" w14:textId="77777777" w:rsidR="00CA776F" w:rsidRDefault="00CA776F" w:rsidP="0094622E">
      <w:pPr>
        <w:spacing w:line="360" w:lineRule="auto"/>
        <w:jc w:val="both"/>
        <w:rPr>
          <w:sz w:val="24"/>
        </w:rPr>
      </w:pPr>
    </w:p>
    <w:sectPr w:rsidR="00CA776F" w:rsidSect="009965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D92E" w14:textId="77777777" w:rsidR="006657C6" w:rsidRDefault="006657C6" w:rsidP="0094703D">
      <w:r>
        <w:separator/>
      </w:r>
    </w:p>
  </w:endnote>
  <w:endnote w:type="continuationSeparator" w:id="0">
    <w:p w14:paraId="64735E16" w14:textId="77777777" w:rsidR="006657C6" w:rsidRDefault="006657C6" w:rsidP="0094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758A" w14:textId="77777777" w:rsidR="00294D99" w:rsidRDefault="00294D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55D4" w14:textId="77777777" w:rsidR="00294D99" w:rsidRDefault="00294D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27D7" w14:textId="77777777" w:rsidR="00294D99" w:rsidRDefault="00294D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B03FA" w14:textId="77777777" w:rsidR="006657C6" w:rsidRDefault="006657C6" w:rsidP="0094703D">
      <w:r>
        <w:separator/>
      </w:r>
    </w:p>
  </w:footnote>
  <w:footnote w:type="continuationSeparator" w:id="0">
    <w:p w14:paraId="093E6DC2" w14:textId="77777777" w:rsidR="006657C6" w:rsidRDefault="006657C6" w:rsidP="0094703D">
      <w:r>
        <w:continuationSeparator/>
      </w:r>
    </w:p>
  </w:footnote>
  <w:footnote w:id="1">
    <w:p w14:paraId="287D713D" w14:textId="0E8A8518" w:rsidR="00601F11" w:rsidRPr="005476D5" w:rsidRDefault="00601F11" w:rsidP="00601F11">
      <w:pPr>
        <w:pStyle w:val="FootnoteText"/>
        <w:jc w:val="both"/>
        <w:rPr>
          <w:rFonts w:ascii="Arial" w:hAnsi="Arial" w:cs="Arial"/>
          <w:lang w:val="en-GB"/>
        </w:rPr>
      </w:pPr>
      <w:r w:rsidRPr="005476D5">
        <w:rPr>
          <w:rStyle w:val="FootnoteReference"/>
          <w:rFonts w:ascii="Arial" w:hAnsi="Arial" w:cs="Arial"/>
        </w:rPr>
        <w:footnoteRef/>
      </w:r>
      <w:r w:rsidRPr="005476D5">
        <w:rPr>
          <w:rFonts w:ascii="Arial" w:hAnsi="Arial" w:cs="Arial"/>
        </w:rPr>
        <w:t xml:space="preserve"> </w:t>
      </w:r>
      <w:r w:rsidRPr="005476D5">
        <w:rPr>
          <w:rFonts w:ascii="Arial" w:hAnsi="Arial" w:cs="Arial"/>
          <w:lang w:val="en-GB"/>
        </w:rPr>
        <w:t>If the Project Manager does not access a compensation event within the time allowed, the Contractor may notify the Project manager to this effect.  If the Contractor submitted more than one quotation for the compensation event, he states in his notification which quotation he proposes is to be accepted. If the Project Manager does not reply within two weeks of this notification the notification is treated as acceptance of the Contractor’s quotation by the Project Manager.</w:t>
      </w:r>
    </w:p>
  </w:footnote>
  <w:footnote w:id="2">
    <w:p w14:paraId="000F3402" w14:textId="7BE21888" w:rsidR="001567B1" w:rsidRPr="005476D5" w:rsidRDefault="001567B1">
      <w:pPr>
        <w:pStyle w:val="FootnoteText"/>
        <w:rPr>
          <w:rFonts w:ascii="Arial" w:hAnsi="Arial" w:cs="Arial"/>
          <w:lang w:val="en-GB"/>
        </w:rPr>
      </w:pPr>
      <w:r w:rsidRPr="005476D5">
        <w:rPr>
          <w:rStyle w:val="FootnoteReference"/>
          <w:rFonts w:ascii="Arial" w:hAnsi="Arial" w:cs="Arial"/>
        </w:rPr>
        <w:footnoteRef/>
      </w:r>
      <w:r w:rsidRPr="005476D5">
        <w:rPr>
          <w:rFonts w:ascii="Arial" w:hAnsi="Arial" w:cs="Arial"/>
        </w:rPr>
        <w:t xml:space="preserve"> </w:t>
      </w:r>
      <w:r w:rsidRPr="005476D5">
        <w:rPr>
          <w:rFonts w:ascii="Arial" w:hAnsi="Arial" w:cs="Arial"/>
          <w:lang w:val="en-GB"/>
        </w:rPr>
        <w:t>See fn 1.</w:t>
      </w:r>
    </w:p>
  </w:footnote>
  <w:footnote w:id="3">
    <w:p w14:paraId="60B658FF" w14:textId="77777777" w:rsidR="00076CD0" w:rsidRPr="00076CD0" w:rsidRDefault="00076CD0" w:rsidP="00076CD0">
      <w:pPr>
        <w:pStyle w:val="FootnoteText"/>
        <w:jc w:val="both"/>
        <w:rPr>
          <w:rFonts w:ascii="Arial" w:hAnsi="Arial" w:cs="Arial"/>
          <w:lang w:val="en-ZA"/>
        </w:rPr>
      </w:pPr>
      <w:r w:rsidRPr="00076CD0">
        <w:rPr>
          <w:rStyle w:val="FootnoteReference"/>
          <w:rFonts w:ascii="Arial" w:hAnsi="Arial" w:cs="Arial"/>
        </w:rPr>
        <w:footnoteRef/>
      </w:r>
      <w:r w:rsidRPr="00076CD0">
        <w:rPr>
          <w:rFonts w:ascii="Arial" w:hAnsi="Arial" w:cs="Arial"/>
        </w:rPr>
        <w:t xml:space="preserve"> Clause 62.1 provides as follows: ‘After discussing with the Contractor different ways of dealing with the compensation event which are practicable, the Project Manager may instruct the Contractor to submit alternative quotations. The Contractor submits the required quotations to the Project Manager and may submit quotations for other methods of dealing with the compensation event which he considers practicable.’</w:t>
      </w:r>
    </w:p>
  </w:footnote>
  <w:footnote w:id="4">
    <w:p w14:paraId="4FA1C44B" w14:textId="6E6E04B8" w:rsidR="00076CD0" w:rsidRPr="00076CD0" w:rsidRDefault="00076CD0" w:rsidP="00076CD0">
      <w:pPr>
        <w:pStyle w:val="FootnoteText"/>
        <w:jc w:val="both"/>
        <w:rPr>
          <w:rFonts w:ascii="Arial" w:hAnsi="Arial" w:cs="Arial"/>
          <w:lang w:val="en-ZA"/>
        </w:rPr>
      </w:pPr>
      <w:r w:rsidRPr="00076CD0">
        <w:rPr>
          <w:rStyle w:val="FootnoteReference"/>
          <w:rFonts w:ascii="Arial" w:hAnsi="Arial" w:cs="Arial"/>
        </w:rPr>
        <w:footnoteRef/>
      </w:r>
      <w:r w:rsidRPr="00076CD0">
        <w:rPr>
          <w:rFonts w:ascii="Arial" w:hAnsi="Arial" w:cs="Arial"/>
        </w:rPr>
        <w:t xml:space="preserve"> </w:t>
      </w:r>
      <w:r w:rsidRPr="00076CD0">
        <w:rPr>
          <w:rFonts w:ascii="Arial" w:hAnsi="Arial" w:cs="Arial"/>
          <w:lang w:val="en-ZA"/>
        </w:rPr>
        <w:t>Clause 62.3 states: ‘The Contractor submits quotations within three weeks of being instructed to do so by the Project Manager. The Project Manager replies within two weeks of the submission. His reply is:</w:t>
      </w:r>
    </w:p>
    <w:p w14:paraId="433359AE" w14:textId="67778E97" w:rsidR="00076CD0" w:rsidRPr="00076CD0" w:rsidRDefault="00076CD0" w:rsidP="00076CD0">
      <w:pPr>
        <w:pStyle w:val="FootnoteText"/>
        <w:numPr>
          <w:ilvl w:val="0"/>
          <w:numId w:val="3"/>
        </w:numPr>
        <w:jc w:val="both"/>
        <w:rPr>
          <w:rFonts w:ascii="Arial" w:hAnsi="Arial" w:cs="Arial"/>
          <w:lang w:val="en-ZA"/>
        </w:rPr>
      </w:pPr>
      <w:r w:rsidRPr="00076CD0">
        <w:rPr>
          <w:rFonts w:ascii="Arial" w:hAnsi="Arial" w:cs="Arial"/>
          <w:lang w:val="en-ZA"/>
        </w:rPr>
        <w:t>an instruction to submit a revised quotation,</w:t>
      </w:r>
    </w:p>
    <w:p w14:paraId="04F776B9" w14:textId="3159461E" w:rsidR="00076CD0" w:rsidRPr="00076CD0" w:rsidRDefault="00076CD0" w:rsidP="00076CD0">
      <w:pPr>
        <w:pStyle w:val="FootnoteText"/>
        <w:numPr>
          <w:ilvl w:val="0"/>
          <w:numId w:val="3"/>
        </w:numPr>
        <w:jc w:val="both"/>
        <w:rPr>
          <w:rFonts w:ascii="Arial" w:hAnsi="Arial" w:cs="Arial"/>
          <w:lang w:val="en-ZA"/>
        </w:rPr>
      </w:pPr>
      <w:r w:rsidRPr="00076CD0">
        <w:rPr>
          <w:rFonts w:ascii="Arial" w:hAnsi="Arial" w:cs="Arial"/>
          <w:lang w:val="en-ZA"/>
        </w:rPr>
        <w:t>an acceptance of a quotation,</w:t>
      </w:r>
    </w:p>
    <w:p w14:paraId="140BAEF8" w14:textId="62E4EE02" w:rsidR="00076CD0" w:rsidRPr="00076CD0" w:rsidRDefault="00076CD0" w:rsidP="00076CD0">
      <w:pPr>
        <w:pStyle w:val="FootnoteText"/>
        <w:numPr>
          <w:ilvl w:val="0"/>
          <w:numId w:val="3"/>
        </w:numPr>
        <w:jc w:val="both"/>
        <w:rPr>
          <w:rFonts w:ascii="Arial" w:hAnsi="Arial" w:cs="Arial"/>
          <w:lang w:val="en-ZA"/>
        </w:rPr>
      </w:pPr>
      <w:r w:rsidRPr="00076CD0">
        <w:rPr>
          <w:rFonts w:ascii="Arial" w:hAnsi="Arial" w:cs="Arial"/>
          <w:lang w:val="en-ZA"/>
        </w:rPr>
        <w:t>a notification that a proposed instruction will not be given or a proposed change decision will not be made, or</w:t>
      </w:r>
    </w:p>
    <w:p w14:paraId="5CC2EB87" w14:textId="3FA2B2BD" w:rsidR="00076CD0" w:rsidRPr="00076CD0" w:rsidRDefault="00076CD0" w:rsidP="00076CD0">
      <w:pPr>
        <w:pStyle w:val="FootnoteText"/>
        <w:numPr>
          <w:ilvl w:val="0"/>
          <w:numId w:val="3"/>
        </w:numPr>
        <w:jc w:val="both"/>
        <w:rPr>
          <w:lang w:val="en-ZA"/>
        </w:rPr>
      </w:pPr>
      <w:r w:rsidRPr="00076CD0">
        <w:rPr>
          <w:rFonts w:ascii="Arial" w:hAnsi="Arial" w:cs="Arial"/>
          <w:lang w:val="en-ZA"/>
        </w:rPr>
        <w:t>a notification that he will be making his own assessment.</w:t>
      </w:r>
      <w:r w:rsidR="00765B84">
        <w:rPr>
          <w:rFonts w:ascii="Arial" w:hAnsi="Arial" w:cs="Arial"/>
          <w:lang w:val="en-ZA"/>
        </w:rPr>
        <w:t>’</w:t>
      </w:r>
    </w:p>
  </w:footnote>
  <w:footnote w:id="5">
    <w:p w14:paraId="7F5D02E5" w14:textId="77ECC475" w:rsidR="00A90EB6" w:rsidRPr="00FE2139" w:rsidRDefault="00A90EB6" w:rsidP="005476D5">
      <w:pPr>
        <w:pStyle w:val="FootnoteText"/>
        <w:jc w:val="both"/>
        <w:rPr>
          <w:rFonts w:ascii="Arial" w:hAnsi="Arial" w:cs="Arial"/>
          <w:lang w:val="en-ZA"/>
        </w:rPr>
      </w:pPr>
      <w:r w:rsidRPr="00A90EB6">
        <w:rPr>
          <w:rStyle w:val="FootnoteReference"/>
          <w:rFonts w:ascii="Arial" w:hAnsi="Arial" w:cs="Arial"/>
        </w:rPr>
        <w:footnoteRef/>
      </w:r>
      <w:r w:rsidRPr="00A90EB6">
        <w:rPr>
          <w:rFonts w:ascii="Arial" w:hAnsi="Arial" w:cs="Arial"/>
        </w:rPr>
        <w:t xml:space="preserve"> </w:t>
      </w:r>
      <w:r w:rsidR="00764C8E" w:rsidRPr="00764C8E">
        <w:rPr>
          <w:rFonts w:ascii="Arial" w:hAnsi="Arial" w:cs="Arial"/>
          <w:i/>
          <w:iCs/>
          <w:lang w:val="en-GB"/>
        </w:rPr>
        <w:t>Radon Projects (Pty) Ltd v NV Properties (Pty) Ltd &amp; Another</w:t>
      </w:r>
      <w:r w:rsidR="00764C8E" w:rsidRPr="00764C8E">
        <w:rPr>
          <w:rFonts w:ascii="Arial" w:hAnsi="Arial" w:cs="Arial"/>
          <w:lang w:val="en-GB"/>
        </w:rPr>
        <w:t xml:space="preserve"> </w:t>
      </w:r>
      <w:r w:rsidRPr="00A90EB6">
        <w:rPr>
          <w:rFonts w:ascii="Arial" w:hAnsi="Arial" w:cs="Arial"/>
          <w:lang w:val="en-GB"/>
        </w:rPr>
        <w:t>[2013] ZASCA 83; [2013] 3 All SA 615 (SCA); 2013 (6) SA 345 (SCA)</w:t>
      </w:r>
      <w:r w:rsidR="00764C8E">
        <w:rPr>
          <w:rFonts w:ascii="Arial" w:hAnsi="Arial" w:cs="Arial"/>
          <w:color w:val="64473A"/>
          <w:sz w:val="36"/>
          <w:szCs w:val="36"/>
          <w:lang w:val="en-ZA" w:eastAsia="en-ZA"/>
        </w:rPr>
        <w:t xml:space="preserve"> </w:t>
      </w:r>
      <w:r w:rsidR="00764C8E" w:rsidRPr="00764C8E">
        <w:rPr>
          <w:rFonts w:ascii="Arial" w:hAnsi="Arial" w:cs="Arial"/>
          <w:lang w:val="en-ZA"/>
        </w:rPr>
        <w:t>(31 May 2013)</w:t>
      </w:r>
      <w:r w:rsidR="00764C8E">
        <w:rPr>
          <w:rFonts w:ascii="Arial" w:hAnsi="Arial" w:cs="Arial"/>
          <w:lang w:val="en-GB"/>
        </w:rPr>
        <w:t xml:space="preserve"> para 3-5.</w:t>
      </w:r>
    </w:p>
  </w:footnote>
  <w:footnote w:id="6">
    <w:p w14:paraId="4B26E98B" w14:textId="77777777" w:rsidR="00770833" w:rsidRPr="005476D5" w:rsidRDefault="00770833" w:rsidP="005476D5">
      <w:pPr>
        <w:pStyle w:val="FootnoteText"/>
        <w:jc w:val="both"/>
        <w:rPr>
          <w:rFonts w:ascii="Arial" w:hAnsi="Arial" w:cs="Arial"/>
          <w:lang w:val="en-GB"/>
        </w:rPr>
      </w:pPr>
      <w:r w:rsidRPr="005476D5">
        <w:rPr>
          <w:rStyle w:val="FootnoteReference"/>
          <w:rFonts w:ascii="Arial" w:hAnsi="Arial" w:cs="Arial"/>
        </w:rPr>
        <w:footnoteRef/>
      </w:r>
      <w:r w:rsidRPr="005476D5">
        <w:rPr>
          <w:rFonts w:ascii="Arial" w:hAnsi="Arial" w:cs="Arial"/>
        </w:rPr>
        <w:t xml:space="preserve"> See </w:t>
      </w:r>
      <w:r w:rsidRPr="005476D5">
        <w:rPr>
          <w:rFonts w:ascii="Arial" w:hAnsi="Arial" w:cs="Arial"/>
          <w:i/>
          <w:iCs/>
          <w:lang w:val="en-ZA"/>
        </w:rPr>
        <w:t xml:space="preserve">Carillion Construction Limited v Devonport Royal Dockyard Ltd </w:t>
      </w:r>
      <w:r w:rsidRPr="005476D5">
        <w:rPr>
          <w:rFonts w:ascii="Arial" w:hAnsi="Arial" w:cs="Arial"/>
          <w:lang w:val="en-ZA"/>
        </w:rPr>
        <w:t>[2005] EWHC 778 (TCC) para 63.</w:t>
      </w:r>
    </w:p>
  </w:footnote>
  <w:footnote w:id="7">
    <w:p w14:paraId="3D7D6E2D" w14:textId="77777777" w:rsidR="00810139" w:rsidRPr="005476D5" w:rsidRDefault="00810139" w:rsidP="005476D5">
      <w:pPr>
        <w:pStyle w:val="FootnoteText"/>
        <w:jc w:val="both"/>
        <w:rPr>
          <w:rFonts w:ascii="Arial" w:hAnsi="Arial" w:cs="Arial"/>
          <w:b/>
          <w:bCs/>
          <w:lang w:val="en-ZA"/>
        </w:rPr>
      </w:pPr>
      <w:r w:rsidRPr="005476D5">
        <w:rPr>
          <w:rStyle w:val="FootnoteReference"/>
          <w:rFonts w:ascii="Arial" w:hAnsi="Arial" w:cs="Arial"/>
        </w:rPr>
        <w:footnoteRef/>
      </w:r>
      <w:r w:rsidRPr="005476D5">
        <w:rPr>
          <w:rFonts w:ascii="Arial" w:hAnsi="Arial" w:cs="Arial"/>
        </w:rPr>
        <w:t xml:space="preserve"> </w:t>
      </w:r>
      <w:r w:rsidRPr="005476D5">
        <w:rPr>
          <w:rFonts w:ascii="Arial" w:hAnsi="Arial" w:cs="Arial"/>
          <w:lang w:val="en-GB"/>
        </w:rPr>
        <w:t xml:space="preserve">R Clay and N Dennys </w:t>
      </w:r>
      <w:r w:rsidRPr="005476D5">
        <w:rPr>
          <w:rFonts w:ascii="Arial" w:hAnsi="Arial" w:cs="Arial"/>
          <w:i/>
          <w:iCs/>
          <w:lang w:val="en-ZA"/>
        </w:rPr>
        <w:t xml:space="preserve">Hudson's Building and Engineering Contracts </w:t>
      </w:r>
      <w:r w:rsidRPr="005476D5">
        <w:rPr>
          <w:rFonts w:ascii="Arial" w:hAnsi="Arial" w:cs="Arial"/>
          <w:lang w:val="en-ZA"/>
        </w:rPr>
        <w:t>14 ed (2021) at 11-010.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1874" w14:textId="77777777" w:rsidR="00294D99" w:rsidRDefault="00294D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50054"/>
      <w:docPartObj>
        <w:docPartGallery w:val="Page Numbers (Top of Page)"/>
        <w:docPartUnique/>
      </w:docPartObj>
    </w:sdtPr>
    <w:sdtEndPr>
      <w:rPr>
        <w:noProof/>
      </w:rPr>
    </w:sdtEndPr>
    <w:sdtContent>
      <w:p w14:paraId="5210C023" w14:textId="2C5D5DE9" w:rsidR="009965C7" w:rsidRDefault="009965C7">
        <w:pPr>
          <w:pStyle w:val="Header"/>
          <w:jc w:val="right"/>
        </w:pPr>
        <w:r>
          <w:fldChar w:fldCharType="begin"/>
        </w:r>
        <w:r>
          <w:instrText xml:space="preserve"> PAGE   \* MERGEFORMAT </w:instrText>
        </w:r>
        <w:r>
          <w:fldChar w:fldCharType="separate"/>
        </w:r>
        <w:r w:rsidR="00CF3078">
          <w:rPr>
            <w:noProof/>
          </w:rPr>
          <w:t>20</w:t>
        </w:r>
        <w:r>
          <w:rPr>
            <w:noProof/>
          </w:rPr>
          <w:fldChar w:fldCharType="end"/>
        </w:r>
      </w:p>
    </w:sdtContent>
  </w:sdt>
  <w:p w14:paraId="3A8E7361" w14:textId="24F47A9E" w:rsidR="009965C7" w:rsidRPr="009965C7" w:rsidRDefault="009965C7">
    <w:pPr>
      <w:pStyle w:val="Header"/>
      <w:rPr>
        <w:lang w:val="en-Z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204D" w14:textId="77777777" w:rsidR="00294D99" w:rsidRDefault="00294D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51DF"/>
    <w:multiLevelType w:val="hybridMultilevel"/>
    <w:tmpl w:val="176A9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BDF7601"/>
    <w:multiLevelType w:val="hybridMultilevel"/>
    <w:tmpl w:val="31A03288"/>
    <w:lvl w:ilvl="0" w:tplc="767CED2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243CFF"/>
    <w:multiLevelType w:val="hybridMultilevel"/>
    <w:tmpl w:val="BB2AB1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05E3D09"/>
    <w:multiLevelType w:val="hybridMultilevel"/>
    <w:tmpl w:val="6810A4CE"/>
    <w:lvl w:ilvl="0" w:tplc="D76E4DA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CD"/>
    <w:rsid w:val="00016A82"/>
    <w:rsid w:val="0003281D"/>
    <w:rsid w:val="000364DA"/>
    <w:rsid w:val="00041C0A"/>
    <w:rsid w:val="00052755"/>
    <w:rsid w:val="00076CD0"/>
    <w:rsid w:val="00081799"/>
    <w:rsid w:val="00085D9B"/>
    <w:rsid w:val="0009051A"/>
    <w:rsid w:val="0009115D"/>
    <w:rsid w:val="00092340"/>
    <w:rsid w:val="000A3833"/>
    <w:rsid w:val="000B44D1"/>
    <w:rsid w:val="000C0A18"/>
    <w:rsid w:val="000C7051"/>
    <w:rsid w:val="000E1BB6"/>
    <w:rsid w:val="000E48CD"/>
    <w:rsid w:val="00122882"/>
    <w:rsid w:val="00123FBA"/>
    <w:rsid w:val="001378A8"/>
    <w:rsid w:val="00154EC7"/>
    <w:rsid w:val="001567B1"/>
    <w:rsid w:val="00171CC7"/>
    <w:rsid w:val="00184FBB"/>
    <w:rsid w:val="00190911"/>
    <w:rsid w:val="001A6186"/>
    <w:rsid w:val="001A7556"/>
    <w:rsid w:val="001B00BC"/>
    <w:rsid w:val="001B53B4"/>
    <w:rsid w:val="001C507F"/>
    <w:rsid w:val="001D59E5"/>
    <w:rsid w:val="001D6204"/>
    <w:rsid w:val="001D7553"/>
    <w:rsid w:val="001E03ED"/>
    <w:rsid w:val="001F2827"/>
    <w:rsid w:val="001F29D5"/>
    <w:rsid w:val="0021043C"/>
    <w:rsid w:val="00213A1F"/>
    <w:rsid w:val="00241DE3"/>
    <w:rsid w:val="00242FE7"/>
    <w:rsid w:val="00246407"/>
    <w:rsid w:val="00261502"/>
    <w:rsid w:val="00265E10"/>
    <w:rsid w:val="00266186"/>
    <w:rsid w:val="002662CD"/>
    <w:rsid w:val="00273996"/>
    <w:rsid w:val="0029360B"/>
    <w:rsid w:val="00294D99"/>
    <w:rsid w:val="00296DF4"/>
    <w:rsid w:val="002B366E"/>
    <w:rsid w:val="002B3696"/>
    <w:rsid w:val="002C1E56"/>
    <w:rsid w:val="002C334F"/>
    <w:rsid w:val="002D27C6"/>
    <w:rsid w:val="002D3DB3"/>
    <w:rsid w:val="002D7969"/>
    <w:rsid w:val="002E6322"/>
    <w:rsid w:val="002F57BE"/>
    <w:rsid w:val="00323426"/>
    <w:rsid w:val="0035300B"/>
    <w:rsid w:val="003734B8"/>
    <w:rsid w:val="003956DA"/>
    <w:rsid w:val="0039784D"/>
    <w:rsid w:val="003A4A1D"/>
    <w:rsid w:val="003A6D3B"/>
    <w:rsid w:val="003B0B76"/>
    <w:rsid w:val="003B48A9"/>
    <w:rsid w:val="003C61CB"/>
    <w:rsid w:val="003D0AFC"/>
    <w:rsid w:val="003D71E0"/>
    <w:rsid w:val="003E10A4"/>
    <w:rsid w:val="003F019E"/>
    <w:rsid w:val="003F5055"/>
    <w:rsid w:val="004020E9"/>
    <w:rsid w:val="00413885"/>
    <w:rsid w:val="00422A81"/>
    <w:rsid w:val="00441B62"/>
    <w:rsid w:val="00461383"/>
    <w:rsid w:val="00463487"/>
    <w:rsid w:val="004645BD"/>
    <w:rsid w:val="004749DB"/>
    <w:rsid w:val="00481468"/>
    <w:rsid w:val="004917E6"/>
    <w:rsid w:val="004A51EB"/>
    <w:rsid w:val="004B1AEA"/>
    <w:rsid w:val="004C12E1"/>
    <w:rsid w:val="004E47A4"/>
    <w:rsid w:val="004E6D69"/>
    <w:rsid w:val="004F38B6"/>
    <w:rsid w:val="004F5920"/>
    <w:rsid w:val="004F71E2"/>
    <w:rsid w:val="005010DE"/>
    <w:rsid w:val="00515CFA"/>
    <w:rsid w:val="00520C47"/>
    <w:rsid w:val="00522308"/>
    <w:rsid w:val="00525714"/>
    <w:rsid w:val="00525DC3"/>
    <w:rsid w:val="00525F92"/>
    <w:rsid w:val="0054034C"/>
    <w:rsid w:val="00541850"/>
    <w:rsid w:val="005476D5"/>
    <w:rsid w:val="00556F0D"/>
    <w:rsid w:val="0056295A"/>
    <w:rsid w:val="00566996"/>
    <w:rsid w:val="00567ADA"/>
    <w:rsid w:val="00580EF3"/>
    <w:rsid w:val="00586FE9"/>
    <w:rsid w:val="005C2B77"/>
    <w:rsid w:val="005E39B9"/>
    <w:rsid w:val="005E6B9A"/>
    <w:rsid w:val="00601D2B"/>
    <w:rsid w:val="00601F11"/>
    <w:rsid w:val="00603443"/>
    <w:rsid w:val="00607F67"/>
    <w:rsid w:val="006105EB"/>
    <w:rsid w:val="006637BF"/>
    <w:rsid w:val="00664143"/>
    <w:rsid w:val="006657C6"/>
    <w:rsid w:val="0066705F"/>
    <w:rsid w:val="006739D7"/>
    <w:rsid w:val="00677D2C"/>
    <w:rsid w:val="006A0B71"/>
    <w:rsid w:val="006A4157"/>
    <w:rsid w:val="006A43BD"/>
    <w:rsid w:val="006B1B57"/>
    <w:rsid w:val="006C4A17"/>
    <w:rsid w:val="0071716C"/>
    <w:rsid w:val="00722782"/>
    <w:rsid w:val="00723ED7"/>
    <w:rsid w:val="00724DBE"/>
    <w:rsid w:val="00743615"/>
    <w:rsid w:val="007518B9"/>
    <w:rsid w:val="00763F6C"/>
    <w:rsid w:val="00764C8E"/>
    <w:rsid w:val="00765B84"/>
    <w:rsid w:val="00770833"/>
    <w:rsid w:val="00792ED5"/>
    <w:rsid w:val="007C7884"/>
    <w:rsid w:val="007F3099"/>
    <w:rsid w:val="007F410B"/>
    <w:rsid w:val="00810139"/>
    <w:rsid w:val="00824813"/>
    <w:rsid w:val="00830DFA"/>
    <w:rsid w:val="008349BF"/>
    <w:rsid w:val="00844AC6"/>
    <w:rsid w:val="00847FE3"/>
    <w:rsid w:val="00857F8A"/>
    <w:rsid w:val="00862ECC"/>
    <w:rsid w:val="008635F3"/>
    <w:rsid w:val="00883709"/>
    <w:rsid w:val="00887765"/>
    <w:rsid w:val="008B350D"/>
    <w:rsid w:val="008B607E"/>
    <w:rsid w:val="008B6973"/>
    <w:rsid w:val="008B7D93"/>
    <w:rsid w:val="008C5BEB"/>
    <w:rsid w:val="008C716B"/>
    <w:rsid w:val="008D0562"/>
    <w:rsid w:val="008D39E3"/>
    <w:rsid w:val="00903AAB"/>
    <w:rsid w:val="00904D69"/>
    <w:rsid w:val="00913C9D"/>
    <w:rsid w:val="00925963"/>
    <w:rsid w:val="00927D7F"/>
    <w:rsid w:val="0094622E"/>
    <w:rsid w:val="0094703D"/>
    <w:rsid w:val="0095078D"/>
    <w:rsid w:val="00962D1E"/>
    <w:rsid w:val="00987D28"/>
    <w:rsid w:val="00995CA6"/>
    <w:rsid w:val="009965C7"/>
    <w:rsid w:val="009B2B84"/>
    <w:rsid w:val="009B5ACB"/>
    <w:rsid w:val="009B64D5"/>
    <w:rsid w:val="009C3732"/>
    <w:rsid w:val="009D47A0"/>
    <w:rsid w:val="009F0922"/>
    <w:rsid w:val="00A027DA"/>
    <w:rsid w:val="00A32486"/>
    <w:rsid w:val="00A4024A"/>
    <w:rsid w:val="00A425FD"/>
    <w:rsid w:val="00A42DAE"/>
    <w:rsid w:val="00A56845"/>
    <w:rsid w:val="00A90EB6"/>
    <w:rsid w:val="00A95A44"/>
    <w:rsid w:val="00A97752"/>
    <w:rsid w:val="00AA0EC8"/>
    <w:rsid w:val="00AB58D0"/>
    <w:rsid w:val="00AC4F5C"/>
    <w:rsid w:val="00AE2FE7"/>
    <w:rsid w:val="00AF6704"/>
    <w:rsid w:val="00B22D5C"/>
    <w:rsid w:val="00B4100B"/>
    <w:rsid w:val="00B5172F"/>
    <w:rsid w:val="00B5488C"/>
    <w:rsid w:val="00B54E79"/>
    <w:rsid w:val="00B656FF"/>
    <w:rsid w:val="00B754FE"/>
    <w:rsid w:val="00B779C4"/>
    <w:rsid w:val="00BA0FA0"/>
    <w:rsid w:val="00BA148D"/>
    <w:rsid w:val="00BA4587"/>
    <w:rsid w:val="00BB1A9E"/>
    <w:rsid w:val="00BB2A39"/>
    <w:rsid w:val="00BB6BC9"/>
    <w:rsid w:val="00BC0465"/>
    <w:rsid w:val="00BC3036"/>
    <w:rsid w:val="00BE3149"/>
    <w:rsid w:val="00BF216E"/>
    <w:rsid w:val="00BF3814"/>
    <w:rsid w:val="00C001CD"/>
    <w:rsid w:val="00C04BE0"/>
    <w:rsid w:val="00C21D35"/>
    <w:rsid w:val="00C22BB4"/>
    <w:rsid w:val="00C239C5"/>
    <w:rsid w:val="00C25A52"/>
    <w:rsid w:val="00C30EF1"/>
    <w:rsid w:val="00C34630"/>
    <w:rsid w:val="00C36EA2"/>
    <w:rsid w:val="00C47C30"/>
    <w:rsid w:val="00C67CCF"/>
    <w:rsid w:val="00C736AA"/>
    <w:rsid w:val="00C752B4"/>
    <w:rsid w:val="00C82D72"/>
    <w:rsid w:val="00C92982"/>
    <w:rsid w:val="00C9495A"/>
    <w:rsid w:val="00C97A85"/>
    <w:rsid w:val="00CA776F"/>
    <w:rsid w:val="00CB7D0A"/>
    <w:rsid w:val="00CC7681"/>
    <w:rsid w:val="00CF3078"/>
    <w:rsid w:val="00CF36B6"/>
    <w:rsid w:val="00CF6DBF"/>
    <w:rsid w:val="00D32806"/>
    <w:rsid w:val="00D33C4C"/>
    <w:rsid w:val="00D40108"/>
    <w:rsid w:val="00D420EA"/>
    <w:rsid w:val="00D520B2"/>
    <w:rsid w:val="00D63C7E"/>
    <w:rsid w:val="00DA63A5"/>
    <w:rsid w:val="00DA663F"/>
    <w:rsid w:val="00DB0DAB"/>
    <w:rsid w:val="00DD1D88"/>
    <w:rsid w:val="00DD4275"/>
    <w:rsid w:val="00DF6620"/>
    <w:rsid w:val="00DF7AF1"/>
    <w:rsid w:val="00E23452"/>
    <w:rsid w:val="00E2522B"/>
    <w:rsid w:val="00E36847"/>
    <w:rsid w:val="00E456FE"/>
    <w:rsid w:val="00E52A42"/>
    <w:rsid w:val="00E52F89"/>
    <w:rsid w:val="00E5329F"/>
    <w:rsid w:val="00E64C43"/>
    <w:rsid w:val="00E64F04"/>
    <w:rsid w:val="00E673FA"/>
    <w:rsid w:val="00E722B9"/>
    <w:rsid w:val="00E75A3D"/>
    <w:rsid w:val="00E90C36"/>
    <w:rsid w:val="00E95FA6"/>
    <w:rsid w:val="00EB2D67"/>
    <w:rsid w:val="00EC43FC"/>
    <w:rsid w:val="00EC6AB9"/>
    <w:rsid w:val="00ED3FF6"/>
    <w:rsid w:val="00EE6313"/>
    <w:rsid w:val="00EE7B9C"/>
    <w:rsid w:val="00EF5BDE"/>
    <w:rsid w:val="00F02FE9"/>
    <w:rsid w:val="00F07F19"/>
    <w:rsid w:val="00F14ABF"/>
    <w:rsid w:val="00F47CA7"/>
    <w:rsid w:val="00F55419"/>
    <w:rsid w:val="00F55B2C"/>
    <w:rsid w:val="00F57C6C"/>
    <w:rsid w:val="00F634A8"/>
    <w:rsid w:val="00F71B30"/>
    <w:rsid w:val="00F72174"/>
    <w:rsid w:val="00F91578"/>
    <w:rsid w:val="00FA7C7F"/>
    <w:rsid w:val="00FC29E8"/>
    <w:rsid w:val="00FD4275"/>
    <w:rsid w:val="00FD5155"/>
    <w:rsid w:val="00FE2139"/>
    <w:rsid w:val="00FE6265"/>
    <w:rsid w:val="00FF0858"/>
    <w:rsid w:val="00FF18E9"/>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A3B5"/>
  <w15:chartTrackingRefBased/>
  <w15:docId w15:val="{BF308627-0E03-47FD-B95F-A4E0623B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08"/>
    <w:pPr>
      <w:spacing w:after="0" w:line="240" w:lineRule="auto"/>
    </w:pPr>
    <w:rPr>
      <w:rFonts w:ascii="Arial" w:eastAsia="Times New Roman" w:hAnsi="Arial" w:cs="Arial"/>
      <w:sz w:val="28"/>
      <w:szCs w:val="24"/>
      <w:lang w:val="en-GB"/>
    </w:rPr>
  </w:style>
  <w:style w:type="paragraph" w:styleId="Heading1">
    <w:name w:val="heading 1"/>
    <w:basedOn w:val="Normal"/>
    <w:next w:val="Normal"/>
    <w:link w:val="Heading1Char"/>
    <w:uiPriority w:val="9"/>
    <w:qFormat/>
    <w:rsid w:val="00541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C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08"/>
    <w:pPr>
      <w:ind w:left="720"/>
      <w:contextualSpacing/>
    </w:pPr>
  </w:style>
  <w:style w:type="paragraph" w:styleId="FootnoteText">
    <w:name w:val="footnote text"/>
    <w:basedOn w:val="Normal"/>
    <w:link w:val="FootnoteTextChar1"/>
    <w:uiPriority w:val="99"/>
    <w:semiHidden/>
    <w:rsid w:val="0094703D"/>
    <w:rPr>
      <w:rFonts w:ascii="Times New Roman" w:hAnsi="Times New Roman" w:cs="Times New Roman"/>
      <w:sz w:val="20"/>
      <w:szCs w:val="20"/>
      <w:lang w:val="en-US"/>
    </w:rPr>
  </w:style>
  <w:style w:type="character" w:customStyle="1" w:styleId="FootnoteTextChar">
    <w:name w:val="Footnote Text Char"/>
    <w:basedOn w:val="DefaultParagraphFont"/>
    <w:uiPriority w:val="99"/>
    <w:semiHidden/>
    <w:rsid w:val="0094703D"/>
    <w:rPr>
      <w:rFonts w:ascii="Arial" w:eastAsia="Times New Roman" w:hAnsi="Arial" w:cs="Arial"/>
      <w:sz w:val="20"/>
      <w:szCs w:val="20"/>
      <w:lang w:val="en-GB"/>
    </w:rPr>
  </w:style>
  <w:style w:type="character" w:customStyle="1" w:styleId="FootnoteTextChar1">
    <w:name w:val="Footnote Text Char1"/>
    <w:link w:val="FootnoteText"/>
    <w:semiHidden/>
    <w:locked/>
    <w:rsid w:val="0094703D"/>
    <w:rPr>
      <w:rFonts w:ascii="Times New Roman" w:eastAsia="Times New Roman" w:hAnsi="Times New Roman" w:cs="Times New Roman"/>
      <w:sz w:val="20"/>
      <w:szCs w:val="20"/>
    </w:rPr>
  </w:style>
  <w:style w:type="character" w:styleId="FootnoteReference">
    <w:name w:val="footnote reference"/>
    <w:uiPriority w:val="99"/>
    <w:semiHidden/>
    <w:rsid w:val="0094703D"/>
    <w:rPr>
      <w:rFonts w:cs="Times New Roman"/>
      <w:vertAlign w:val="superscript"/>
    </w:rPr>
  </w:style>
  <w:style w:type="paragraph" w:customStyle="1" w:styleId="Pa3">
    <w:name w:val="Pa3"/>
    <w:basedOn w:val="Normal"/>
    <w:next w:val="Normal"/>
    <w:rsid w:val="00A95A44"/>
    <w:pPr>
      <w:autoSpaceDE w:val="0"/>
      <w:autoSpaceDN w:val="0"/>
      <w:adjustRightInd w:val="0"/>
      <w:spacing w:line="241" w:lineRule="atLeast"/>
    </w:pPr>
    <w:rPr>
      <w:rFonts w:cs="Times New Roman"/>
      <w:sz w:val="24"/>
      <w:lang w:val="en-US"/>
    </w:rPr>
  </w:style>
  <w:style w:type="character" w:customStyle="1" w:styleId="A0">
    <w:name w:val="A0"/>
    <w:rsid w:val="00A95A44"/>
    <w:rPr>
      <w:rFonts w:cs="Arial"/>
      <w:b/>
      <w:bCs/>
      <w:color w:val="221E1F"/>
      <w:sz w:val="20"/>
      <w:szCs w:val="20"/>
    </w:rPr>
  </w:style>
  <w:style w:type="paragraph" w:styleId="Header">
    <w:name w:val="header"/>
    <w:basedOn w:val="Normal"/>
    <w:link w:val="HeaderChar"/>
    <w:uiPriority w:val="99"/>
    <w:unhideWhenUsed/>
    <w:rsid w:val="00DA663F"/>
    <w:pPr>
      <w:tabs>
        <w:tab w:val="center" w:pos="4680"/>
        <w:tab w:val="right" w:pos="9360"/>
      </w:tabs>
    </w:pPr>
  </w:style>
  <w:style w:type="character" w:customStyle="1" w:styleId="HeaderChar">
    <w:name w:val="Header Char"/>
    <w:basedOn w:val="DefaultParagraphFont"/>
    <w:link w:val="Header"/>
    <w:uiPriority w:val="99"/>
    <w:rsid w:val="00DA663F"/>
    <w:rPr>
      <w:rFonts w:ascii="Arial" w:eastAsia="Times New Roman" w:hAnsi="Arial" w:cs="Arial"/>
      <w:sz w:val="28"/>
      <w:szCs w:val="24"/>
      <w:lang w:val="en-GB"/>
    </w:rPr>
  </w:style>
  <w:style w:type="paragraph" w:styleId="Footer">
    <w:name w:val="footer"/>
    <w:basedOn w:val="Normal"/>
    <w:link w:val="FooterChar"/>
    <w:uiPriority w:val="99"/>
    <w:unhideWhenUsed/>
    <w:rsid w:val="00DA663F"/>
    <w:pPr>
      <w:tabs>
        <w:tab w:val="center" w:pos="4680"/>
        <w:tab w:val="right" w:pos="9360"/>
      </w:tabs>
    </w:pPr>
  </w:style>
  <w:style w:type="character" w:customStyle="1" w:styleId="FooterChar">
    <w:name w:val="Footer Char"/>
    <w:basedOn w:val="DefaultParagraphFont"/>
    <w:link w:val="Footer"/>
    <w:uiPriority w:val="99"/>
    <w:rsid w:val="00DA663F"/>
    <w:rPr>
      <w:rFonts w:ascii="Arial" w:eastAsia="Times New Roman" w:hAnsi="Arial" w:cs="Arial"/>
      <w:sz w:val="28"/>
      <w:szCs w:val="24"/>
      <w:lang w:val="en-GB"/>
    </w:rPr>
  </w:style>
  <w:style w:type="character" w:styleId="CommentReference">
    <w:name w:val="annotation reference"/>
    <w:basedOn w:val="DefaultParagraphFont"/>
    <w:uiPriority w:val="99"/>
    <w:semiHidden/>
    <w:unhideWhenUsed/>
    <w:rsid w:val="00F634A8"/>
    <w:rPr>
      <w:sz w:val="16"/>
      <w:szCs w:val="16"/>
    </w:rPr>
  </w:style>
  <w:style w:type="paragraph" w:styleId="CommentText">
    <w:name w:val="annotation text"/>
    <w:basedOn w:val="Normal"/>
    <w:link w:val="CommentTextChar"/>
    <w:uiPriority w:val="99"/>
    <w:semiHidden/>
    <w:unhideWhenUsed/>
    <w:rsid w:val="00F634A8"/>
    <w:rPr>
      <w:sz w:val="20"/>
      <w:szCs w:val="20"/>
    </w:rPr>
  </w:style>
  <w:style w:type="character" w:customStyle="1" w:styleId="CommentTextChar">
    <w:name w:val="Comment Text Char"/>
    <w:basedOn w:val="DefaultParagraphFont"/>
    <w:link w:val="CommentText"/>
    <w:uiPriority w:val="99"/>
    <w:semiHidden/>
    <w:rsid w:val="00F634A8"/>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634A8"/>
    <w:rPr>
      <w:b/>
      <w:bCs/>
    </w:rPr>
  </w:style>
  <w:style w:type="character" w:customStyle="1" w:styleId="CommentSubjectChar">
    <w:name w:val="Comment Subject Char"/>
    <w:basedOn w:val="CommentTextChar"/>
    <w:link w:val="CommentSubject"/>
    <w:uiPriority w:val="99"/>
    <w:semiHidden/>
    <w:rsid w:val="00F634A8"/>
    <w:rPr>
      <w:rFonts w:ascii="Arial" w:eastAsia="Times New Roman" w:hAnsi="Arial" w:cs="Arial"/>
      <w:b/>
      <w:bCs/>
      <w:sz w:val="20"/>
      <w:szCs w:val="20"/>
      <w:lang w:val="en-GB"/>
    </w:rPr>
  </w:style>
  <w:style w:type="character" w:customStyle="1" w:styleId="Heading2Char">
    <w:name w:val="Heading 2 Char"/>
    <w:basedOn w:val="DefaultParagraphFont"/>
    <w:link w:val="Heading2"/>
    <w:uiPriority w:val="9"/>
    <w:semiHidden/>
    <w:rsid w:val="00764C8E"/>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541850"/>
    <w:rPr>
      <w:rFonts w:asciiTheme="majorHAnsi" w:eastAsiaTheme="majorEastAsia" w:hAnsiTheme="majorHAnsi" w:cstheme="majorBidi"/>
      <w:color w:val="2F5496" w:themeColor="accent1" w:themeShade="BF"/>
      <w:sz w:val="32"/>
      <w:szCs w:val="32"/>
      <w:lang w:val="en-GB"/>
    </w:rPr>
  </w:style>
  <w:style w:type="paragraph" w:styleId="Revision">
    <w:name w:val="Revision"/>
    <w:hidden/>
    <w:uiPriority w:val="99"/>
    <w:semiHidden/>
    <w:rsid w:val="00C97A85"/>
    <w:pPr>
      <w:spacing w:after="0" w:line="240" w:lineRule="auto"/>
    </w:pPr>
    <w:rPr>
      <w:rFonts w:ascii="Arial" w:eastAsia="Times New Roman" w:hAnsi="Arial" w:cs="Arial"/>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5431">
      <w:bodyDiv w:val="1"/>
      <w:marLeft w:val="0"/>
      <w:marRight w:val="0"/>
      <w:marTop w:val="0"/>
      <w:marBottom w:val="0"/>
      <w:divBdr>
        <w:top w:val="none" w:sz="0" w:space="0" w:color="auto"/>
        <w:left w:val="none" w:sz="0" w:space="0" w:color="auto"/>
        <w:bottom w:val="none" w:sz="0" w:space="0" w:color="auto"/>
        <w:right w:val="none" w:sz="0" w:space="0" w:color="auto"/>
      </w:divBdr>
    </w:div>
    <w:div w:id="203444345">
      <w:bodyDiv w:val="1"/>
      <w:marLeft w:val="0"/>
      <w:marRight w:val="0"/>
      <w:marTop w:val="0"/>
      <w:marBottom w:val="0"/>
      <w:divBdr>
        <w:top w:val="none" w:sz="0" w:space="0" w:color="auto"/>
        <w:left w:val="none" w:sz="0" w:space="0" w:color="auto"/>
        <w:bottom w:val="none" w:sz="0" w:space="0" w:color="auto"/>
        <w:right w:val="none" w:sz="0" w:space="0" w:color="auto"/>
      </w:divBdr>
    </w:div>
    <w:div w:id="1130319723">
      <w:bodyDiv w:val="1"/>
      <w:marLeft w:val="0"/>
      <w:marRight w:val="0"/>
      <w:marTop w:val="0"/>
      <w:marBottom w:val="0"/>
      <w:divBdr>
        <w:top w:val="none" w:sz="0" w:space="0" w:color="auto"/>
        <w:left w:val="none" w:sz="0" w:space="0" w:color="auto"/>
        <w:bottom w:val="none" w:sz="0" w:space="0" w:color="auto"/>
        <w:right w:val="none" w:sz="0" w:space="0" w:color="auto"/>
      </w:divBdr>
    </w:div>
    <w:div w:id="214167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2715-A85F-42DF-B006-85C28A2C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5480</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Judge-Rammaka Mathopo</dc:creator>
  <cp:keywords/>
  <dc:description/>
  <cp:lastModifiedBy>Mary Bruce</cp:lastModifiedBy>
  <cp:revision>2</cp:revision>
  <cp:lastPrinted>2021-09-30T13:36:00Z</cp:lastPrinted>
  <dcterms:created xsi:type="dcterms:W3CDTF">2021-10-04T10:51:00Z</dcterms:created>
  <dcterms:modified xsi:type="dcterms:W3CDTF">2021-10-04T10:51:00Z</dcterms:modified>
</cp:coreProperties>
</file>