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D930A0" w:rsidRDefault="002963C5" w:rsidP="002963C5">
      <w:pPr>
        <w:ind w:left="-426"/>
        <w:rPr>
          <w:bCs/>
          <w:sz w:val="28"/>
          <w:szCs w:val="28"/>
        </w:rPr>
      </w:pPr>
      <w:bookmarkStart w:id="0" w:name="_GoBack"/>
      <w:bookmarkEnd w:id="0"/>
      <w:r w:rsidRPr="00D930A0">
        <w:rPr>
          <w:noProof/>
          <w:lang w:val="en-ZA" w:eastAsia="en-ZA"/>
        </w:rPr>
        <w:drawing>
          <wp:anchor distT="0" distB="0" distL="114300" distR="114300" simplePos="0" relativeHeight="251666432" behindDoc="0" locked="0" layoutInCell="1" allowOverlap="1" wp14:anchorId="3BC73704" wp14:editId="719F9296">
            <wp:simplePos x="0" y="0"/>
            <wp:positionH relativeFrom="column">
              <wp:posOffset>2418080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D930A0" w:rsidRDefault="00ED4C63" w:rsidP="002963C5">
      <w:pPr>
        <w:ind w:left="-426"/>
        <w:jc w:val="center"/>
        <w:rPr>
          <w:b/>
          <w:bCs/>
          <w:sz w:val="28"/>
          <w:szCs w:val="28"/>
        </w:rPr>
      </w:pPr>
    </w:p>
    <w:p w14:paraId="56C9F76C" w14:textId="77777777" w:rsidR="00ED4C63" w:rsidRPr="00D930A0" w:rsidRDefault="00ED4C63" w:rsidP="002963C5">
      <w:pPr>
        <w:ind w:left="-426"/>
        <w:jc w:val="center"/>
        <w:rPr>
          <w:b/>
          <w:bCs/>
          <w:sz w:val="28"/>
          <w:szCs w:val="28"/>
        </w:rPr>
      </w:pPr>
    </w:p>
    <w:p w14:paraId="1D25C473" w14:textId="33E5AE34" w:rsidR="00ED4C63" w:rsidRPr="00D930A0" w:rsidRDefault="00ED4C63" w:rsidP="002963C5">
      <w:pPr>
        <w:ind w:left="-426"/>
        <w:jc w:val="center"/>
        <w:rPr>
          <w:b/>
          <w:bCs/>
          <w:sz w:val="28"/>
          <w:szCs w:val="28"/>
        </w:rPr>
      </w:pPr>
    </w:p>
    <w:p w14:paraId="4CEE3DED" w14:textId="77777777" w:rsidR="00093030" w:rsidRPr="00D930A0" w:rsidRDefault="00093030" w:rsidP="002963C5">
      <w:pPr>
        <w:spacing w:line="360" w:lineRule="auto"/>
        <w:ind w:left="-426"/>
        <w:jc w:val="center"/>
        <w:rPr>
          <w:b/>
          <w:bCs/>
          <w:sz w:val="16"/>
          <w:szCs w:val="16"/>
        </w:rPr>
      </w:pPr>
    </w:p>
    <w:p w14:paraId="6ACA983E" w14:textId="77777777" w:rsidR="00093030" w:rsidRPr="00D930A0" w:rsidRDefault="00093030" w:rsidP="002963C5">
      <w:pPr>
        <w:spacing w:line="360" w:lineRule="auto"/>
        <w:ind w:left="-426"/>
        <w:jc w:val="center"/>
        <w:rPr>
          <w:rFonts w:ascii="Arial" w:hAnsi="Arial" w:cs="Arial"/>
          <w:b/>
          <w:bCs/>
        </w:rPr>
      </w:pPr>
      <w:r w:rsidRPr="00D930A0">
        <w:rPr>
          <w:rFonts w:ascii="Arial" w:hAnsi="Arial" w:cs="Arial"/>
          <w:b/>
          <w:bCs/>
        </w:rPr>
        <w:t>THE SUPREME COURT OF APPEAL OF SOUTH AFRICA</w:t>
      </w:r>
    </w:p>
    <w:p w14:paraId="793F78FB" w14:textId="77777777" w:rsidR="00093030" w:rsidRPr="00D930A0" w:rsidRDefault="00093030" w:rsidP="002963C5">
      <w:pPr>
        <w:pStyle w:val="Heading3"/>
        <w:ind w:left="-426"/>
        <w:jc w:val="center"/>
        <w:rPr>
          <w:rFonts w:ascii="Times New Roman" w:hAnsi="Times New Roman" w:cs="Times New Roman"/>
          <w:b/>
          <w:i w:val="0"/>
          <w:szCs w:val="28"/>
        </w:rPr>
      </w:pPr>
      <w:r w:rsidRPr="00D930A0">
        <w:rPr>
          <w:b/>
          <w:i w:val="0"/>
          <w:sz w:val="24"/>
        </w:rPr>
        <w:t>JUDGMENT</w:t>
      </w:r>
    </w:p>
    <w:p w14:paraId="13113C22" w14:textId="77777777" w:rsidR="00093030" w:rsidRPr="00D930A0" w:rsidRDefault="00093030" w:rsidP="002963C5">
      <w:pPr>
        <w:spacing w:line="360" w:lineRule="auto"/>
        <w:ind w:left="-426"/>
        <w:jc w:val="center"/>
        <w:rPr>
          <w:rFonts w:ascii="Arial" w:hAnsi="Arial" w:cs="Arial"/>
          <w:b/>
          <w:bCs/>
          <w:sz w:val="4"/>
          <w:szCs w:val="4"/>
        </w:rPr>
      </w:pPr>
      <w:r w:rsidRPr="00D930A0">
        <w:rPr>
          <w:rFonts w:ascii="Arial" w:hAnsi="Arial" w:cs="Arial"/>
        </w:rPr>
        <w:tab/>
      </w:r>
    </w:p>
    <w:p w14:paraId="173C9D13" w14:textId="5C9FE076" w:rsidR="00093030" w:rsidRPr="00D930A0" w:rsidRDefault="00CB01A3" w:rsidP="002963C5">
      <w:pPr>
        <w:spacing w:line="360" w:lineRule="auto"/>
        <w:ind w:left="-426"/>
        <w:jc w:val="right"/>
        <w:rPr>
          <w:rFonts w:ascii="Arial" w:hAnsi="Arial" w:cs="Arial"/>
          <w:b/>
        </w:rPr>
      </w:pPr>
      <w:r w:rsidRPr="00D930A0">
        <w:rPr>
          <w:rFonts w:ascii="Arial" w:hAnsi="Arial" w:cs="Arial"/>
          <w:b/>
        </w:rPr>
        <w:t xml:space="preserve">    </w:t>
      </w:r>
      <w:r w:rsidR="00093030" w:rsidRPr="00D930A0">
        <w:rPr>
          <w:rFonts w:ascii="Arial" w:hAnsi="Arial" w:cs="Arial"/>
          <w:b/>
        </w:rPr>
        <w:t>Reportable</w:t>
      </w:r>
      <w:r w:rsidR="00F05AA4" w:rsidRPr="00D930A0">
        <w:rPr>
          <w:rFonts w:ascii="Arial" w:hAnsi="Arial" w:cs="Arial"/>
          <w:b/>
        </w:rPr>
        <w:t xml:space="preserve"> </w:t>
      </w:r>
    </w:p>
    <w:p w14:paraId="62EC3AAC" w14:textId="0CC61297" w:rsidR="001910E7" w:rsidRPr="00D930A0" w:rsidRDefault="000F13E9" w:rsidP="00552B76">
      <w:pPr>
        <w:spacing w:line="360" w:lineRule="auto"/>
        <w:ind w:left="-426"/>
        <w:jc w:val="right"/>
        <w:rPr>
          <w:rFonts w:ascii="Arial" w:hAnsi="Arial" w:cs="Arial"/>
        </w:rPr>
      </w:pPr>
      <w:r w:rsidRPr="00D930A0">
        <w:rPr>
          <w:rFonts w:ascii="Arial" w:hAnsi="Arial" w:cs="Arial"/>
        </w:rPr>
        <w:t xml:space="preserve">Case no: </w:t>
      </w:r>
      <w:r w:rsidR="00A5422A" w:rsidRPr="00D930A0">
        <w:rPr>
          <w:rFonts w:ascii="Arial" w:hAnsi="Arial" w:cs="Arial"/>
        </w:rPr>
        <w:t>671/2020</w:t>
      </w:r>
    </w:p>
    <w:p w14:paraId="1B93C0F0" w14:textId="77777777" w:rsidR="001910E7" w:rsidRPr="00D930A0" w:rsidRDefault="001910E7" w:rsidP="002963C5">
      <w:pPr>
        <w:spacing w:line="360" w:lineRule="auto"/>
        <w:ind w:left="-426"/>
        <w:rPr>
          <w:rFonts w:ascii="Arial" w:hAnsi="Arial" w:cs="Arial"/>
        </w:rPr>
      </w:pPr>
      <w:r w:rsidRPr="00D930A0">
        <w:rPr>
          <w:rFonts w:ascii="Arial" w:hAnsi="Arial" w:cs="Arial"/>
        </w:rPr>
        <w:t>In the matter between:</w:t>
      </w:r>
    </w:p>
    <w:p w14:paraId="0E5D729C" w14:textId="77777777" w:rsidR="006E2774" w:rsidRPr="00D930A0" w:rsidRDefault="006E2774" w:rsidP="002963C5">
      <w:pPr>
        <w:widowControl w:val="0"/>
        <w:tabs>
          <w:tab w:val="right" w:pos="9360"/>
        </w:tabs>
        <w:autoSpaceDE w:val="0"/>
        <w:autoSpaceDN w:val="0"/>
        <w:adjustRightInd w:val="0"/>
        <w:ind w:left="-426"/>
        <w:rPr>
          <w:rFonts w:ascii="Arial" w:hAnsi="Arial" w:cs="Arial"/>
          <w:b/>
          <w:bCs/>
          <w:sz w:val="12"/>
          <w:szCs w:val="12"/>
        </w:rPr>
      </w:pPr>
    </w:p>
    <w:p w14:paraId="7373D170" w14:textId="6212FF15" w:rsidR="00236C2D" w:rsidRPr="00D930A0" w:rsidRDefault="00A5422A" w:rsidP="002963C5">
      <w:pPr>
        <w:widowControl w:val="0"/>
        <w:tabs>
          <w:tab w:val="right" w:pos="9360"/>
        </w:tabs>
        <w:autoSpaceDE w:val="0"/>
        <w:autoSpaceDN w:val="0"/>
        <w:adjustRightInd w:val="0"/>
        <w:ind w:left="-426"/>
        <w:rPr>
          <w:rFonts w:ascii="Arial" w:hAnsi="Arial" w:cs="Arial"/>
          <w:b/>
          <w:bCs/>
        </w:rPr>
      </w:pPr>
      <w:r w:rsidRPr="00D930A0">
        <w:rPr>
          <w:rFonts w:ascii="Arial" w:hAnsi="Arial" w:cs="Arial"/>
          <w:b/>
          <w:bCs/>
        </w:rPr>
        <w:t>AUDITOR-GENERAL OF SOUTH AFRICA</w:t>
      </w:r>
      <w:r w:rsidR="00B625EE" w:rsidRPr="00D930A0">
        <w:rPr>
          <w:rFonts w:ascii="Arial" w:hAnsi="Arial" w:cs="Arial"/>
          <w:b/>
          <w:bCs/>
        </w:rPr>
        <w:t xml:space="preserve">                                     </w:t>
      </w:r>
      <w:r w:rsidR="00B625EE" w:rsidRPr="00D930A0">
        <w:rPr>
          <w:rFonts w:ascii="Arial" w:hAnsi="Arial" w:cs="Arial"/>
          <w:b/>
          <w:bCs/>
        </w:rPr>
        <w:tab/>
        <w:t>APPELLANT</w:t>
      </w:r>
    </w:p>
    <w:p w14:paraId="0C010B5A" w14:textId="452A2BA5" w:rsidR="00B84DB2" w:rsidRPr="00D930A0" w:rsidRDefault="00B84DB2" w:rsidP="00552B76">
      <w:pPr>
        <w:widowControl w:val="0"/>
        <w:tabs>
          <w:tab w:val="right" w:pos="9360"/>
        </w:tabs>
        <w:autoSpaceDE w:val="0"/>
        <w:autoSpaceDN w:val="0"/>
        <w:adjustRightInd w:val="0"/>
        <w:rPr>
          <w:rFonts w:ascii="Arial" w:hAnsi="Arial" w:cs="Arial"/>
          <w:b/>
          <w:bCs/>
        </w:rPr>
      </w:pPr>
    </w:p>
    <w:p w14:paraId="263C14AF" w14:textId="3B9102EE" w:rsidR="007A0413" w:rsidRPr="00D930A0" w:rsidRDefault="007A0413" w:rsidP="00552B76">
      <w:pPr>
        <w:widowControl w:val="0"/>
        <w:autoSpaceDE w:val="0"/>
        <w:autoSpaceDN w:val="0"/>
        <w:adjustRightInd w:val="0"/>
        <w:ind w:left="-426"/>
        <w:rPr>
          <w:rFonts w:ascii="Arial" w:hAnsi="Arial" w:cs="Arial"/>
          <w:bCs/>
          <w:iCs/>
        </w:rPr>
      </w:pPr>
      <w:r w:rsidRPr="00D930A0">
        <w:rPr>
          <w:rFonts w:ascii="Arial" w:hAnsi="Arial" w:cs="Arial"/>
          <w:bCs/>
          <w:iCs/>
        </w:rPr>
        <w:t>and</w:t>
      </w:r>
    </w:p>
    <w:p w14:paraId="00BFBEDD" w14:textId="77777777" w:rsidR="00B84DB2" w:rsidRPr="00D930A0" w:rsidRDefault="00B84DB2" w:rsidP="002963C5">
      <w:pPr>
        <w:widowControl w:val="0"/>
        <w:autoSpaceDE w:val="0"/>
        <w:autoSpaceDN w:val="0"/>
        <w:adjustRightInd w:val="0"/>
        <w:ind w:left="-426"/>
        <w:rPr>
          <w:rFonts w:ascii="Arial" w:hAnsi="Arial" w:cs="Arial"/>
        </w:rPr>
      </w:pPr>
    </w:p>
    <w:p w14:paraId="4172265B" w14:textId="77777777" w:rsidR="00A5422A" w:rsidRPr="00D930A0" w:rsidRDefault="00A5422A" w:rsidP="00A5422A">
      <w:pPr>
        <w:widowControl w:val="0"/>
        <w:tabs>
          <w:tab w:val="right" w:pos="9360"/>
        </w:tabs>
        <w:autoSpaceDE w:val="0"/>
        <w:autoSpaceDN w:val="0"/>
        <w:adjustRightInd w:val="0"/>
        <w:spacing w:after="120"/>
        <w:ind w:left="-425"/>
        <w:rPr>
          <w:rFonts w:ascii="Arial" w:hAnsi="Arial" w:cs="Arial"/>
          <w:b/>
          <w:bCs/>
        </w:rPr>
      </w:pPr>
      <w:r w:rsidRPr="00D930A0">
        <w:rPr>
          <w:rFonts w:ascii="Arial" w:hAnsi="Arial" w:cs="Arial"/>
          <w:b/>
          <w:bCs/>
        </w:rPr>
        <w:t>MEMBER OF THE EXECUTIVE COUNCIL FOR</w:t>
      </w:r>
    </w:p>
    <w:p w14:paraId="248C32BD" w14:textId="6091D7D0" w:rsidR="00B625EE" w:rsidRPr="00D930A0" w:rsidRDefault="00A5422A" w:rsidP="00D70653">
      <w:pPr>
        <w:widowControl w:val="0"/>
        <w:tabs>
          <w:tab w:val="right" w:pos="9072"/>
        </w:tabs>
        <w:autoSpaceDE w:val="0"/>
        <w:autoSpaceDN w:val="0"/>
        <w:adjustRightInd w:val="0"/>
        <w:spacing w:after="120"/>
        <w:ind w:left="-425"/>
        <w:rPr>
          <w:rFonts w:ascii="Arial" w:hAnsi="Arial" w:cs="Arial"/>
          <w:b/>
          <w:bCs/>
        </w:rPr>
      </w:pPr>
      <w:r w:rsidRPr="00D930A0">
        <w:rPr>
          <w:rFonts w:ascii="Arial" w:hAnsi="Arial" w:cs="Arial"/>
          <w:b/>
          <w:bCs/>
        </w:rPr>
        <w:t>ECONOMIC OPPORTUNITIES</w:t>
      </w:r>
      <w:r w:rsidR="00D70653" w:rsidRPr="00D930A0">
        <w:rPr>
          <w:rFonts w:ascii="Arial" w:hAnsi="Arial" w:cs="Arial"/>
          <w:b/>
          <w:bCs/>
        </w:rPr>
        <w:t>,</w:t>
      </w:r>
      <w:r w:rsidRPr="00D930A0">
        <w:rPr>
          <w:rFonts w:ascii="Arial" w:hAnsi="Arial" w:cs="Arial"/>
          <w:b/>
          <w:bCs/>
        </w:rPr>
        <w:t xml:space="preserve"> WESTERN CAPE                         FIRST RESPONDENT</w:t>
      </w:r>
    </w:p>
    <w:p w14:paraId="40402CDE" w14:textId="77777777" w:rsidR="00A5422A" w:rsidRPr="00D930A0" w:rsidRDefault="00A5422A" w:rsidP="00A5422A">
      <w:pPr>
        <w:widowControl w:val="0"/>
        <w:tabs>
          <w:tab w:val="right" w:pos="9072"/>
        </w:tabs>
        <w:autoSpaceDE w:val="0"/>
        <w:autoSpaceDN w:val="0"/>
        <w:adjustRightInd w:val="0"/>
        <w:spacing w:after="120"/>
        <w:ind w:left="-425"/>
        <w:rPr>
          <w:rFonts w:ascii="Arial" w:hAnsi="Arial" w:cs="Arial"/>
          <w:b/>
          <w:bCs/>
          <w:sz w:val="4"/>
          <w:szCs w:val="4"/>
        </w:rPr>
      </w:pPr>
    </w:p>
    <w:p w14:paraId="3BF0255A" w14:textId="347B3320" w:rsidR="00A5422A" w:rsidRPr="00D930A0" w:rsidRDefault="00A5422A" w:rsidP="00A5422A">
      <w:pPr>
        <w:widowControl w:val="0"/>
        <w:tabs>
          <w:tab w:val="right" w:pos="9072"/>
        </w:tabs>
        <w:autoSpaceDE w:val="0"/>
        <w:autoSpaceDN w:val="0"/>
        <w:adjustRightInd w:val="0"/>
        <w:spacing w:before="120" w:after="120"/>
        <w:ind w:left="-425"/>
        <w:rPr>
          <w:rFonts w:ascii="Arial" w:hAnsi="Arial" w:cs="Arial"/>
          <w:b/>
          <w:bCs/>
        </w:rPr>
      </w:pPr>
      <w:r w:rsidRPr="00D930A0">
        <w:rPr>
          <w:rFonts w:ascii="Arial" w:hAnsi="Arial" w:cs="Arial"/>
          <w:b/>
          <w:bCs/>
        </w:rPr>
        <w:t xml:space="preserve">NATIONAL TREASURY                                       </w:t>
      </w:r>
      <w:r w:rsidR="00D70653" w:rsidRPr="00D930A0">
        <w:rPr>
          <w:rFonts w:ascii="Arial" w:hAnsi="Arial" w:cs="Arial"/>
          <w:b/>
          <w:bCs/>
        </w:rPr>
        <w:t xml:space="preserve">        </w:t>
      </w:r>
      <w:r w:rsidRPr="00D930A0">
        <w:rPr>
          <w:rFonts w:ascii="Arial" w:hAnsi="Arial" w:cs="Arial"/>
          <w:b/>
          <w:bCs/>
        </w:rPr>
        <w:t xml:space="preserve">               SECOND RESPONDENT</w:t>
      </w:r>
    </w:p>
    <w:p w14:paraId="75FE945A" w14:textId="25B833EA" w:rsidR="00B84DB2" w:rsidRPr="00D930A0" w:rsidRDefault="00B84DB2" w:rsidP="00552B76">
      <w:pPr>
        <w:widowControl w:val="0"/>
        <w:tabs>
          <w:tab w:val="right" w:pos="9360"/>
        </w:tabs>
        <w:autoSpaceDE w:val="0"/>
        <w:autoSpaceDN w:val="0"/>
        <w:adjustRightInd w:val="0"/>
        <w:rPr>
          <w:rFonts w:ascii="Arial" w:hAnsi="Arial" w:cs="Arial"/>
          <w:bCs/>
        </w:rPr>
      </w:pPr>
    </w:p>
    <w:p w14:paraId="28154893" w14:textId="009957EE" w:rsidR="001910E7" w:rsidRPr="00D930A0" w:rsidRDefault="001910E7" w:rsidP="00D35C26">
      <w:pPr>
        <w:spacing w:after="120" w:line="360" w:lineRule="auto"/>
        <w:ind w:left="1701" w:hanging="2126"/>
        <w:jc w:val="both"/>
        <w:rPr>
          <w:rFonts w:ascii="Arial" w:hAnsi="Arial" w:cs="Arial"/>
        </w:rPr>
      </w:pPr>
      <w:r w:rsidRPr="00D930A0">
        <w:rPr>
          <w:rFonts w:ascii="Arial" w:hAnsi="Arial" w:cs="Arial"/>
          <w:b/>
          <w:bCs/>
        </w:rPr>
        <w:t>Neutral citation:</w:t>
      </w:r>
      <w:r w:rsidRPr="00D930A0">
        <w:rPr>
          <w:rFonts w:ascii="Arial" w:hAnsi="Arial" w:cs="Arial"/>
          <w:b/>
          <w:bCs/>
        </w:rPr>
        <w:tab/>
      </w:r>
      <w:r w:rsidR="00BD3F1B" w:rsidRPr="00D930A0">
        <w:rPr>
          <w:rFonts w:ascii="Arial" w:hAnsi="Arial" w:cs="Arial"/>
          <w:bCs/>
          <w:i/>
        </w:rPr>
        <w:t>Auditor-General of SA v MEC for Economic Opportunities</w:t>
      </w:r>
      <w:r w:rsidR="00D70653" w:rsidRPr="00D930A0">
        <w:rPr>
          <w:rFonts w:ascii="Arial" w:hAnsi="Arial" w:cs="Arial"/>
          <w:bCs/>
          <w:i/>
        </w:rPr>
        <w:t>,</w:t>
      </w:r>
      <w:r w:rsidR="00BD3F1B" w:rsidRPr="00D930A0">
        <w:rPr>
          <w:rFonts w:ascii="Arial" w:hAnsi="Arial" w:cs="Arial"/>
          <w:bCs/>
          <w:i/>
        </w:rPr>
        <w:t xml:space="preserve"> Western</w:t>
      </w:r>
      <w:r w:rsidR="00302B39" w:rsidRPr="00D930A0">
        <w:rPr>
          <w:rFonts w:ascii="Arial" w:hAnsi="Arial" w:cs="Arial"/>
          <w:bCs/>
          <w:i/>
        </w:rPr>
        <w:t> </w:t>
      </w:r>
      <w:r w:rsidR="00BD3F1B" w:rsidRPr="00D930A0">
        <w:rPr>
          <w:rFonts w:ascii="Arial" w:hAnsi="Arial" w:cs="Arial"/>
          <w:bCs/>
          <w:i/>
        </w:rPr>
        <w:t>Cape and Another</w:t>
      </w:r>
      <w:r w:rsidR="009E2CB6" w:rsidRPr="00D930A0">
        <w:rPr>
          <w:rFonts w:ascii="Arial" w:hAnsi="Arial" w:cs="Arial"/>
          <w:bCs/>
          <w:i/>
        </w:rPr>
        <w:t xml:space="preserve"> </w:t>
      </w:r>
      <w:r w:rsidRPr="00D930A0">
        <w:rPr>
          <w:rFonts w:ascii="Arial" w:hAnsi="Arial" w:cs="Arial"/>
          <w:bCs/>
        </w:rPr>
        <w:t>(</w:t>
      </w:r>
      <w:r w:rsidR="00302B39" w:rsidRPr="00D930A0">
        <w:rPr>
          <w:rFonts w:ascii="Arial" w:hAnsi="Arial" w:cs="Arial"/>
          <w:bCs/>
        </w:rPr>
        <w:t xml:space="preserve">Case no </w:t>
      </w:r>
      <w:r w:rsidR="00BD3F1B" w:rsidRPr="00D930A0">
        <w:rPr>
          <w:rFonts w:ascii="Arial" w:hAnsi="Arial" w:cs="Arial"/>
          <w:bCs/>
        </w:rPr>
        <w:t>671/2020</w:t>
      </w:r>
      <w:r w:rsidR="00722A6E" w:rsidRPr="00D930A0">
        <w:rPr>
          <w:rFonts w:ascii="Arial" w:hAnsi="Arial" w:cs="Arial"/>
          <w:bCs/>
        </w:rPr>
        <w:t>) [202</w:t>
      </w:r>
      <w:r w:rsidR="00BD3F1B" w:rsidRPr="00D930A0">
        <w:rPr>
          <w:rFonts w:ascii="Arial" w:hAnsi="Arial" w:cs="Arial"/>
          <w:bCs/>
        </w:rPr>
        <w:t>1</w:t>
      </w:r>
      <w:r w:rsidR="00722A6E" w:rsidRPr="00D930A0">
        <w:rPr>
          <w:rFonts w:ascii="Arial" w:hAnsi="Arial" w:cs="Arial"/>
          <w:bCs/>
        </w:rPr>
        <w:t xml:space="preserve">] </w:t>
      </w:r>
      <w:r w:rsidR="00BD108B" w:rsidRPr="00D930A0">
        <w:rPr>
          <w:rFonts w:ascii="Arial" w:hAnsi="Arial" w:cs="Arial"/>
          <w:bCs/>
        </w:rPr>
        <w:t xml:space="preserve">ZASCA </w:t>
      </w:r>
      <w:r w:rsidR="002456E0" w:rsidRPr="00D930A0">
        <w:rPr>
          <w:rFonts w:ascii="Arial" w:hAnsi="Arial" w:cs="Arial"/>
          <w:bCs/>
        </w:rPr>
        <w:t xml:space="preserve">133    </w:t>
      </w:r>
      <w:r w:rsidRPr="00D930A0">
        <w:rPr>
          <w:rFonts w:ascii="Arial" w:hAnsi="Arial" w:cs="Arial"/>
          <w:bCs/>
        </w:rPr>
        <w:t>(</w:t>
      </w:r>
      <w:r w:rsidR="00B2034B" w:rsidRPr="00D930A0">
        <w:rPr>
          <w:rFonts w:ascii="Arial" w:hAnsi="Arial" w:cs="Arial"/>
          <w:bCs/>
        </w:rPr>
        <w:t>4 October</w:t>
      </w:r>
      <w:r w:rsidR="00722A6E" w:rsidRPr="00D930A0">
        <w:rPr>
          <w:rFonts w:ascii="Arial" w:hAnsi="Arial" w:cs="Arial"/>
          <w:bCs/>
        </w:rPr>
        <w:t xml:space="preserve"> 2021</w:t>
      </w:r>
      <w:r w:rsidRPr="00D930A0">
        <w:rPr>
          <w:rFonts w:ascii="Arial" w:hAnsi="Arial" w:cs="Arial"/>
          <w:bCs/>
        </w:rPr>
        <w:t>)</w:t>
      </w:r>
    </w:p>
    <w:p w14:paraId="0A840705" w14:textId="371E96AC" w:rsidR="001910E7" w:rsidRPr="00D930A0" w:rsidRDefault="001910E7" w:rsidP="00D35C26">
      <w:pPr>
        <w:spacing w:line="360" w:lineRule="auto"/>
        <w:ind w:left="1134" w:hanging="1560"/>
        <w:jc w:val="both"/>
        <w:rPr>
          <w:rFonts w:ascii="Arial" w:hAnsi="Arial" w:cs="Arial"/>
          <w:b/>
          <w:bCs/>
          <w:i/>
          <w:iCs/>
        </w:rPr>
      </w:pPr>
      <w:r w:rsidRPr="00D930A0">
        <w:rPr>
          <w:rFonts w:ascii="Arial" w:hAnsi="Arial" w:cs="Arial"/>
          <w:b/>
          <w:bCs/>
        </w:rPr>
        <w:t>Coram:</w:t>
      </w:r>
      <w:r w:rsidR="002963C5" w:rsidRPr="00D930A0">
        <w:rPr>
          <w:rFonts w:ascii="Arial" w:hAnsi="Arial" w:cs="Arial"/>
        </w:rPr>
        <w:tab/>
      </w:r>
      <w:r w:rsidR="00BD3F1B" w:rsidRPr="00D930A0">
        <w:rPr>
          <w:rFonts w:ascii="Arial" w:hAnsi="Arial" w:cs="Arial"/>
        </w:rPr>
        <w:t>NAVSA ADP and SALDULKER, VAN DER MERWE, MOLEMELA and MOTHLE JJA</w:t>
      </w:r>
    </w:p>
    <w:p w14:paraId="60DBC0AF" w14:textId="210CA71F" w:rsidR="001910E7" w:rsidRPr="00D930A0" w:rsidRDefault="001910E7" w:rsidP="00D35C26">
      <w:pPr>
        <w:tabs>
          <w:tab w:val="left" w:pos="851"/>
        </w:tabs>
        <w:spacing w:line="360" w:lineRule="auto"/>
        <w:ind w:left="-426"/>
        <w:rPr>
          <w:rFonts w:ascii="Arial" w:hAnsi="Arial" w:cs="Arial"/>
          <w:b/>
          <w:bCs/>
        </w:rPr>
      </w:pPr>
      <w:r w:rsidRPr="00D930A0">
        <w:rPr>
          <w:rFonts w:ascii="Arial" w:hAnsi="Arial" w:cs="Arial"/>
          <w:b/>
          <w:bCs/>
        </w:rPr>
        <w:t>Heard</w:t>
      </w:r>
      <w:r w:rsidR="00D35C26" w:rsidRPr="00D930A0">
        <w:rPr>
          <w:rFonts w:ascii="Arial" w:hAnsi="Arial" w:cs="Arial"/>
        </w:rPr>
        <w:t xml:space="preserve">:            </w:t>
      </w:r>
      <w:r w:rsidR="00BD3F1B" w:rsidRPr="00D930A0">
        <w:rPr>
          <w:rFonts w:ascii="Arial" w:hAnsi="Arial" w:cs="Arial"/>
        </w:rPr>
        <w:t>3 September</w:t>
      </w:r>
      <w:r w:rsidR="00722A6E" w:rsidRPr="00D930A0">
        <w:rPr>
          <w:rFonts w:ascii="Arial" w:hAnsi="Arial" w:cs="Arial"/>
        </w:rPr>
        <w:t xml:space="preserve"> 2021</w:t>
      </w:r>
      <w:r w:rsidRPr="00D930A0">
        <w:rPr>
          <w:rFonts w:ascii="Arial" w:hAnsi="Arial" w:cs="Arial"/>
        </w:rPr>
        <w:t xml:space="preserve"> </w:t>
      </w:r>
    </w:p>
    <w:p w14:paraId="52CE489D" w14:textId="6A1FCD2D" w:rsidR="001910E7" w:rsidRPr="00D930A0" w:rsidRDefault="001910E7" w:rsidP="00D35C26">
      <w:pPr>
        <w:spacing w:after="120" w:line="360" w:lineRule="auto"/>
        <w:ind w:left="1134" w:hanging="1559"/>
        <w:jc w:val="both"/>
        <w:rPr>
          <w:rFonts w:ascii="Arial" w:hAnsi="Arial" w:cs="Arial"/>
        </w:rPr>
      </w:pPr>
      <w:r w:rsidRPr="00D930A0">
        <w:rPr>
          <w:rFonts w:ascii="Arial" w:hAnsi="Arial" w:cs="Arial"/>
          <w:b/>
          <w:bCs/>
        </w:rPr>
        <w:t>Delivered</w:t>
      </w:r>
      <w:r w:rsidR="000F325E" w:rsidRPr="00D930A0">
        <w:rPr>
          <w:rFonts w:ascii="Arial" w:hAnsi="Arial" w:cs="Arial"/>
        </w:rPr>
        <w:t>:</w:t>
      </w:r>
      <w:r w:rsidR="002963C5" w:rsidRPr="00D930A0">
        <w:rPr>
          <w:rFonts w:ascii="Arial" w:hAnsi="Arial" w:cs="Arial"/>
        </w:rPr>
        <w:tab/>
      </w:r>
      <w:r w:rsidR="000F325E" w:rsidRPr="00D930A0">
        <w:rPr>
          <w:rFonts w:ascii="Arial" w:hAnsi="Arial" w:cs="Arial"/>
        </w:rPr>
        <w:t>This judgment was handed down electronically by circulation to the parties’ legal representatives by email</w:t>
      </w:r>
      <w:r w:rsidR="00733634" w:rsidRPr="00D930A0">
        <w:rPr>
          <w:rFonts w:ascii="Arial" w:hAnsi="Arial" w:cs="Arial"/>
        </w:rPr>
        <w:t xml:space="preserve">. It has been </w:t>
      </w:r>
      <w:r w:rsidR="000F325E" w:rsidRPr="00D930A0">
        <w:rPr>
          <w:rFonts w:ascii="Arial" w:hAnsi="Arial" w:cs="Arial"/>
        </w:rPr>
        <w:t>publi</w:t>
      </w:r>
      <w:r w:rsidR="00733634" w:rsidRPr="00D930A0">
        <w:rPr>
          <w:rFonts w:ascii="Arial" w:hAnsi="Arial" w:cs="Arial"/>
        </w:rPr>
        <w:t>shed</w:t>
      </w:r>
      <w:r w:rsidR="000F325E" w:rsidRPr="00D930A0">
        <w:rPr>
          <w:rFonts w:ascii="Arial" w:hAnsi="Arial" w:cs="Arial"/>
        </w:rPr>
        <w:t xml:space="preserve"> on the Supreme Court of Appeal website and release</w:t>
      </w:r>
      <w:r w:rsidR="00733634" w:rsidRPr="00D930A0">
        <w:rPr>
          <w:rFonts w:ascii="Arial" w:hAnsi="Arial" w:cs="Arial"/>
        </w:rPr>
        <w:t>d</w:t>
      </w:r>
      <w:r w:rsidR="000F325E" w:rsidRPr="00D930A0">
        <w:rPr>
          <w:rFonts w:ascii="Arial" w:hAnsi="Arial" w:cs="Arial"/>
        </w:rPr>
        <w:t xml:space="preserve"> to SAFLII. The date and time for hand-down is deemed to be </w:t>
      </w:r>
      <w:r w:rsidR="00B2034B" w:rsidRPr="00D930A0">
        <w:rPr>
          <w:rFonts w:ascii="Arial" w:hAnsi="Arial" w:cs="Arial"/>
        </w:rPr>
        <w:t>09</w:t>
      </w:r>
      <w:r w:rsidR="000F325E" w:rsidRPr="00D930A0">
        <w:rPr>
          <w:rFonts w:ascii="Arial" w:hAnsi="Arial" w:cs="Arial"/>
        </w:rPr>
        <w:t>h</w:t>
      </w:r>
      <w:r w:rsidR="00B2034B" w:rsidRPr="00D930A0">
        <w:rPr>
          <w:rFonts w:ascii="Arial" w:hAnsi="Arial" w:cs="Arial"/>
        </w:rPr>
        <w:t>45</w:t>
      </w:r>
      <w:r w:rsidR="000F325E" w:rsidRPr="00D930A0">
        <w:rPr>
          <w:rFonts w:ascii="Arial" w:hAnsi="Arial" w:cs="Arial"/>
        </w:rPr>
        <w:t xml:space="preserve"> on </w:t>
      </w:r>
      <w:r w:rsidR="00B2034B" w:rsidRPr="00D930A0">
        <w:rPr>
          <w:rFonts w:ascii="Arial" w:hAnsi="Arial" w:cs="Arial"/>
        </w:rPr>
        <w:t>4 October 2021.</w:t>
      </w:r>
    </w:p>
    <w:p w14:paraId="650A83BE" w14:textId="5BA48BCE" w:rsidR="00F243B3" w:rsidRPr="00D930A0" w:rsidRDefault="001910E7" w:rsidP="00B91C2D">
      <w:pPr>
        <w:tabs>
          <w:tab w:val="left" w:pos="709"/>
          <w:tab w:val="left" w:pos="1134"/>
        </w:tabs>
        <w:spacing w:line="360" w:lineRule="auto"/>
        <w:ind w:left="-426"/>
        <w:jc w:val="both"/>
        <w:rPr>
          <w:rFonts w:ascii="Arial" w:hAnsi="Arial" w:cs="Arial"/>
          <w:bCs/>
        </w:rPr>
      </w:pPr>
      <w:r w:rsidRPr="00D930A0">
        <w:rPr>
          <w:rFonts w:ascii="Arial" w:hAnsi="Arial" w:cs="Arial"/>
          <w:b/>
          <w:bCs/>
        </w:rPr>
        <w:t>Summary:</w:t>
      </w:r>
      <w:r w:rsidR="00B91C2D" w:rsidRPr="00D930A0">
        <w:rPr>
          <w:rFonts w:ascii="Arial" w:hAnsi="Arial" w:cs="Arial"/>
          <w:b/>
          <w:bCs/>
        </w:rPr>
        <w:tab/>
      </w:r>
      <w:r w:rsidR="00552B76" w:rsidRPr="00D930A0">
        <w:rPr>
          <w:rFonts w:ascii="Arial" w:hAnsi="Arial" w:cs="Arial"/>
          <w:bCs/>
        </w:rPr>
        <w:t>Accounting – expenditure of department – Modified Cash Standard applicable in terms of National Treasury instruction under s 76 of the Public Finance Management Act 1 of 1999 – no principal-agent relationships between department and payees – payments correctly classified in financial statements as transfers.</w:t>
      </w:r>
    </w:p>
    <w:p w14:paraId="1EFD5E55" w14:textId="565FFBF8" w:rsidR="002B635F" w:rsidRPr="00D930A0" w:rsidRDefault="00552B76" w:rsidP="00CB01A3">
      <w:pPr>
        <w:tabs>
          <w:tab w:val="left" w:pos="709"/>
          <w:tab w:val="left" w:pos="1134"/>
        </w:tabs>
        <w:spacing w:line="360" w:lineRule="auto"/>
        <w:ind w:left="-426"/>
        <w:jc w:val="both"/>
        <w:rPr>
          <w:rFonts w:ascii="Arial" w:hAnsi="Arial" w:cs="Arial"/>
          <w:bCs/>
        </w:rPr>
      </w:pPr>
      <w:r w:rsidRPr="00D930A0">
        <w:rPr>
          <w:rFonts w:ascii="Arial" w:hAnsi="Arial" w:cs="Arial"/>
          <w:bCs/>
        </w:rPr>
        <w:t xml:space="preserve">Administrative law – Promotion of Administrative Justice Act 3 of 2000 – not applicable to exercise of functions of Auditor-General under the Constitution and the Public Audit Act </w:t>
      </w:r>
      <w:r w:rsidR="00FD4F22">
        <w:rPr>
          <w:rFonts w:ascii="Arial" w:hAnsi="Arial" w:cs="Arial"/>
          <w:bCs/>
        </w:rPr>
        <w:t xml:space="preserve">   </w:t>
      </w:r>
      <w:r w:rsidRPr="00D930A0">
        <w:rPr>
          <w:rFonts w:ascii="Arial" w:hAnsi="Arial" w:cs="Arial"/>
          <w:bCs/>
        </w:rPr>
        <w:t>25 of 2004.</w:t>
      </w:r>
    </w:p>
    <w:p w14:paraId="16B6E940" w14:textId="77777777" w:rsidR="00720667" w:rsidRPr="00D930A0" w:rsidRDefault="00720667" w:rsidP="002963C5">
      <w:pPr>
        <w:pBdr>
          <w:bottom w:val="single" w:sz="12" w:space="1" w:color="auto"/>
        </w:pBdr>
        <w:ind w:left="-426"/>
        <w:rPr>
          <w:rFonts w:ascii="Arial" w:hAnsi="Arial" w:cs="Arial"/>
          <w:bCs/>
        </w:rPr>
      </w:pPr>
    </w:p>
    <w:p w14:paraId="78752FFC" w14:textId="68566A32" w:rsidR="00B625EE" w:rsidRPr="00D930A0" w:rsidRDefault="00B625EE" w:rsidP="002963C5">
      <w:pPr>
        <w:spacing w:line="360" w:lineRule="auto"/>
        <w:ind w:left="-426"/>
        <w:jc w:val="right"/>
        <w:rPr>
          <w:rFonts w:ascii="Arial" w:eastAsia="MS Mincho" w:hAnsi="Arial" w:cs="Arial"/>
        </w:rPr>
      </w:pPr>
    </w:p>
    <w:p w14:paraId="42BECD88" w14:textId="77777777" w:rsidR="00B625EE" w:rsidRPr="00D930A0" w:rsidRDefault="00B625EE" w:rsidP="002963C5">
      <w:pPr>
        <w:pBdr>
          <w:bottom w:val="single" w:sz="12" w:space="1" w:color="auto"/>
        </w:pBdr>
        <w:spacing w:line="360" w:lineRule="auto"/>
        <w:ind w:left="-426"/>
        <w:jc w:val="center"/>
        <w:rPr>
          <w:rFonts w:ascii="Arial" w:eastAsia="MS Mincho" w:hAnsi="Arial" w:cs="Arial"/>
          <w:b/>
        </w:rPr>
      </w:pPr>
      <w:r w:rsidRPr="00D930A0">
        <w:rPr>
          <w:rFonts w:ascii="Arial" w:eastAsia="MS Mincho" w:hAnsi="Arial" w:cs="Arial"/>
          <w:b/>
        </w:rPr>
        <w:t xml:space="preserve">ORDER </w:t>
      </w:r>
    </w:p>
    <w:p w14:paraId="2CDFC555" w14:textId="77777777" w:rsidR="00B625EE" w:rsidRPr="00D930A0" w:rsidRDefault="00B625EE" w:rsidP="002963C5">
      <w:pPr>
        <w:pBdr>
          <w:bottom w:val="single" w:sz="12" w:space="1" w:color="auto"/>
        </w:pBdr>
        <w:spacing w:line="360" w:lineRule="auto"/>
        <w:ind w:left="-426"/>
        <w:jc w:val="center"/>
        <w:rPr>
          <w:rFonts w:ascii="Arial" w:eastAsia="MS Mincho" w:hAnsi="Arial" w:cs="Arial"/>
          <w:b/>
          <w:sz w:val="16"/>
          <w:szCs w:val="16"/>
        </w:rPr>
      </w:pPr>
    </w:p>
    <w:p w14:paraId="1FA20913" w14:textId="77777777" w:rsidR="00B625EE" w:rsidRPr="00D930A0" w:rsidRDefault="00B625EE" w:rsidP="002963C5">
      <w:pPr>
        <w:spacing w:line="360" w:lineRule="auto"/>
        <w:ind w:left="-426"/>
        <w:jc w:val="both"/>
        <w:rPr>
          <w:rFonts w:ascii="Arial" w:eastAsia="MS Mincho" w:hAnsi="Arial" w:cs="Arial"/>
          <w:b/>
        </w:rPr>
      </w:pPr>
    </w:p>
    <w:p w14:paraId="0D3BBB59" w14:textId="415FCA68" w:rsidR="00B625EE" w:rsidRPr="00D930A0" w:rsidRDefault="00B625EE">
      <w:pPr>
        <w:spacing w:after="120" w:line="360" w:lineRule="auto"/>
        <w:ind w:left="-425"/>
        <w:jc w:val="both"/>
        <w:rPr>
          <w:rFonts w:ascii="Arial" w:hAnsi="Arial" w:cs="Arial"/>
          <w:bCs/>
          <w:i/>
          <w:lang w:val="en-ZA"/>
        </w:rPr>
      </w:pPr>
      <w:r w:rsidRPr="00D930A0">
        <w:rPr>
          <w:rFonts w:ascii="Arial" w:hAnsi="Arial" w:cs="Arial"/>
          <w:b/>
          <w:bCs/>
        </w:rPr>
        <w:t xml:space="preserve">On appeal from: </w:t>
      </w:r>
      <w:r w:rsidR="00E73F78" w:rsidRPr="00D930A0">
        <w:rPr>
          <w:rFonts w:ascii="Arial" w:hAnsi="Arial" w:cs="Arial"/>
          <w:bCs/>
        </w:rPr>
        <w:t>Western Cape</w:t>
      </w:r>
      <w:r w:rsidRPr="00D930A0">
        <w:rPr>
          <w:rFonts w:ascii="Arial" w:hAnsi="Arial" w:cs="Arial"/>
          <w:bCs/>
        </w:rPr>
        <w:t xml:space="preserve"> Division of the High Court, </w:t>
      </w:r>
      <w:r w:rsidR="00E73F78" w:rsidRPr="00D930A0">
        <w:rPr>
          <w:rFonts w:ascii="Arial" w:hAnsi="Arial" w:cs="Arial"/>
          <w:bCs/>
        </w:rPr>
        <w:t>Cape Town</w:t>
      </w:r>
      <w:r w:rsidRPr="00D930A0">
        <w:rPr>
          <w:rFonts w:ascii="Arial" w:hAnsi="Arial" w:cs="Arial"/>
          <w:bCs/>
        </w:rPr>
        <w:t xml:space="preserve"> (</w:t>
      </w:r>
      <w:r w:rsidR="003623E5" w:rsidRPr="00D930A0">
        <w:rPr>
          <w:rFonts w:ascii="Arial" w:hAnsi="Arial" w:cs="Arial"/>
          <w:bCs/>
        </w:rPr>
        <w:t>Vos A</w:t>
      </w:r>
      <w:r w:rsidRPr="00D930A0">
        <w:rPr>
          <w:rFonts w:ascii="Arial" w:hAnsi="Arial" w:cs="Arial"/>
          <w:bCs/>
        </w:rPr>
        <w:t xml:space="preserve">J sitting as court of first instance): </w:t>
      </w:r>
      <w:r w:rsidR="00C16F96" w:rsidRPr="00D930A0">
        <w:rPr>
          <w:rFonts w:ascii="Arial" w:hAnsi="Arial" w:cs="Arial"/>
          <w:bCs/>
        </w:rPr>
        <w:t xml:space="preserve">judgment reported </w:t>
      </w:r>
      <w:r w:rsidR="00C16F96" w:rsidRPr="00D930A0">
        <w:rPr>
          <w:rFonts w:ascii="Arial" w:hAnsi="Arial" w:cs="Arial"/>
          <w:bCs/>
          <w:i/>
        </w:rPr>
        <w:t xml:space="preserve">sub nom </w:t>
      </w:r>
      <w:r w:rsidR="00C16F96" w:rsidRPr="00D930A0">
        <w:rPr>
          <w:rFonts w:ascii="Arial" w:hAnsi="Arial" w:cs="Arial"/>
          <w:bCs/>
          <w:i/>
          <w:lang w:val="en-ZA"/>
        </w:rPr>
        <w:t xml:space="preserve">Member of the Executive Council for Economic Opportunities, Western Cape v Auditor General of South Africa and Another </w:t>
      </w:r>
      <w:r w:rsidR="00C16F96" w:rsidRPr="00D930A0">
        <w:rPr>
          <w:rFonts w:ascii="Arial" w:hAnsi="Arial" w:cs="Arial"/>
          <w:bCs/>
          <w:lang w:val="en-ZA"/>
        </w:rPr>
        <w:t>[2020] 3 All SA 524 (WCC); 2021 (1) SA 455 (WCC)</w:t>
      </w:r>
    </w:p>
    <w:p w14:paraId="1A054F95" w14:textId="58CABB6D" w:rsidR="009E3E7D" w:rsidRPr="00D930A0" w:rsidRDefault="009E3E7D" w:rsidP="009E3E7D">
      <w:pPr>
        <w:tabs>
          <w:tab w:val="left" w:pos="142"/>
        </w:tabs>
        <w:spacing w:line="360" w:lineRule="auto"/>
        <w:ind w:left="-426"/>
        <w:jc w:val="both"/>
        <w:rPr>
          <w:rFonts w:ascii="Arial" w:hAnsi="Arial" w:cs="Arial"/>
          <w:lang w:val="en-ZA"/>
        </w:rPr>
      </w:pPr>
      <w:r w:rsidRPr="00D930A0">
        <w:rPr>
          <w:rFonts w:ascii="Arial" w:hAnsi="Arial" w:cs="Arial"/>
          <w:lang w:val="en-ZA"/>
        </w:rPr>
        <w:t>The appeal is dismissed with costs, including the costs of two counsel.</w:t>
      </w:r>
    </w:p>
    <w:p w14:paraId="2DB9AE13" w14:textId="77777777" w:rsidR="00B625EE" w:rsidRPr="00D930A0" w:rsidRDefault="00B625EE" w:rsidP="002963C5">
      <w:pPr>
        <w:pBdr>
          <w:bottom w:val="single" w:sz="12" w:space="1" w:color="auto"/>
        </w:pBdr>
        <w:spacing w:line="360" w:lineRule="auto"/>
        <w:ind w:left="-426"/>
        <w:contextualSpacing/>
        <w:jc w:val="both"/>
        <w:rPr>
          <w:rFonts w:ascii="Arial" w:hAnsi="Arial" w:cs="Arial"/>
          <w:sz w:val="16"/>
          <w:szCs w:val="16"/>
        </w:rPr>
      </w:pPr>
    </w:p>
    <w:p w14:paraId="4757D57C" w14:textId="77777777" w:rsidR="00B625EE" w:rsidRPr="00D930A0" w:rsidRDefault="00B625EE" w:rsidP="002963C5">
      <w:pPr>
        <w:spacing w:line="360" w:lineRule="auto"/>
        <w:ind w:left="-426"/>
        <w:jc w:val="both"/>
        <w:rPr>
          <w:rFonts w:ascii="Arial" w:eastAsia="MS Mincho" w:hAnsi="Arial" w:cs="Arial"/>
          <w:b/>
          <w:sz w:val="20"/>
          <w:szCs w:val="20"/>
        </w:rPr>
      </w:pPr>
    </w:p>
    <w:p w14:paraId="0FA5D3EF" w14:textId="77777777" w:rsidR="00B625EE" w:rsidRPr="00D930A0" w:rsidRDefault="00B625EE" w:rsidP="002963C5">
      <w:pPr>
        <w:pBdr>
          <w:bottom w:val="single" w:sz="12" w:space="1" w:color="auto"/>
        </w:pBdr>
        <w:spacing w:line="360" w:lineRule="auto"/>
        <w:ind w:left="-426"/>
        <w:jc w:val="center"/>
        <w:rPr>
          <w:rFonts w:ascii="Arial" w:hAnsi="Arial" w:cs="Arial"/>
          <w:b/>
        </w:rPr>
      </w:pPr>
      <w:r w:rsidRPr="00D930A0">
        <w:rPr>
          <w:rFonts w:ascii="Arial" w:hAnsi="Arial" w:cs="Arial"/>
          <w:b/>
        </w:rPr>
        <w:t>JUDGMENT</w:t>
      </w:r>
    </w:p>
    <w:p w14:paraId="67C04227" w14:textId="77777777" w:rsidR="00B625EE" w:rsidRPr="00D930A0" w:rsidRDefault="00B625EE" w:rsidP="002963C5">
      <w:pPr>
        <w:pBdr>
          <w:bottom w:val="single" w:sz="12" w:space="1" w:color="auto"/>
        </w:pBdr>
        <w:spacing w:line="360" w:lineRule="auto"/>
        <w:ind w:left="-426"/>
        <w:jc w:val="center"/>
        <w:rPr>
          <w:rFonts w:ascii="Arial" w:hAnsi="Arial" w:cs="Arial"/>
          <w:b/>
          <w:sz w:val="16"/>
          <w:szCs w:val="16"/>
        </w:rPr>
      </w:pPr>
    </w:p>
    <w:p w14:paraId="55B6B333" w14:textId="77777777" w:rsidR="00B625EE" w:rsidRPr="00D930A0" w:rsidRDefault="00B625EE" w:rsidP="002963C5">
      <w:pPr>
        <w:spacing w:line="480" w:lineRule="auto"/>
        <w:ind w:left="-426"/>
        <w:jc w:val="both"/>
        <w:rPr>
          <w:rFonts w:ascii="Arial" w:eastAsia="MS Mincho" w:hAnsi="Arial" w:cs="Arial"/>
          <w:b/>
          <w:sz w:val="16"/>
          <w:szCs w:val="16"/>
        </w:rPr>
      </w:pPr>
    </w:p>
    <w:p w14:paraId="0F44167C" w14:textId="0C418E6B" w:rsidR="00B625EE" w:rsidRPr="00D930A0" w:rsidRDefault="00B625EE" w:rsidP="00AC5F9B">
      <w:pPr>
        <w:spacing w:after="120" w:line="360" w:lineRule="auto"/>
        <w:ind w:left="-425"/>
        <w:jc w:val="both"/>
        <w:rPr>
          <w:rFonts w:ascii="Arial" w:hAnsi="Arial" w:cs="Arial"/>
          <w:b/>
          <w:lang w:val="en-ZA"/>
        </w:rPr>
      </w:pPr>
      <w:r w:rsidRPr="00D930A0">
        <w:rPr>
          <w:rFonts w:ascii="Arial" w:hAnsi="Arial" w:cs="Arial"/>
          <w:b/>
        </w:rPr>
        <w:t>Van der Merwe</w:t>
      </w:r>
      <w:r w:rsidR="005D0CD5" w:rsidRPr="00D930A0">
        <w:rPr>
          <w:rFonts w:ascii="Arial" w:hAnsi="Arial" w:cs="Arial"/>
          <w:b/>
        </w:rPr>
        <w:t xml:space="preserve"> JA</w:t>
      </w:r>
      <w:r w:rsidRPr="00D930A0">
        <w:rPr>
          <w:rFonts w:ascii="Arial" w:hAnsi="Arial" w:cs="Arial"/>
          <w:b/>
        </w:rPr>
        <w:t xml:space="preserve"> (</w:t>
      </w:r>
      <w:r w:rsidR="00CA3BEA" w:rsidRPr="00D930A0">
        <w:rPr>
          <w:rFonts w:ascii="Arial" w:hAnsi="Arial" w:cs="Arial"/>
          <w:b/>
        </w:rPr>
        <w:t xml:space="preserve">Navsa ADP and Saldulker, Molemela and Mothle JJA </w:t>
      </w:r>
      <w:r w:rsidRPr="00D930A0">
        <w:rPr>
          <w:rFonts w:ascii="Arial" w:hAnsi="Arial" w:cs="Arial"/>
          <w:b/>
        </w:rPr>
        <w:t>concurring)</w:t>
      </w:r>
    </w:p>
    <w:p w14:paraId="5CD2C903" w14:textId="7A7BF799" w:rsidR="00F243B3" w:rsidRPr="00D930A0" w:rsidRDefault="00F243B3" w:rsidP="00722A6E">
      <w:pPr>
        <w:tabs>
          <w:tab w:val="left" w:pos="284"/>
        </w:tabs>
        <w:spacing w:line="360" w:lineRule="auto"/>
        <w:ind w:left="-426"/>
        <w:jc w:val="both"/>
        <w:rPr>
          <w:rFonts w:ascii="Arial" w:hAnsi="Arial" w:cs="Arial"/>
        </w:rPr>
      </w:pPr>
      <w:r w:rsidRPr="00D930A0">
        <w:rPr>
          <w:rFonts w:ascii="Arial" w:hAnsi="Arial" w:cs="Arial"/>
        </w:rPr>
        <w:t>[1]</w:t>
      </w:r>
      <w:r w:rsidRPr="00D930A0">
        <w:rPr>
          <w:rFonts w:ascii="Arial" w:hAnsi="Arial" w:cs="Arial"/>
        </w:rPr>
        <w:tab/>
      </w:r>
      <w:r w:rsidR="00433743" w:rsidRPr="00D930A0">
        <w:rPr>
          <w:rFonts w:ascii="Arial" w:hAnsi="Arial" w:cs="Arial"/>
        </w:rPr>
        <w:t>The appellant is the Auditor-General of South Africa. The first respondent is the Member of the Executive Council (the MEC) responsible for the Western Cape Provincial</w:t>
      </w:r>
      <w:r w:rsidR="00C7741A" w:rsidRPr="00D930A0">
        <w:rPr>
          <w:rFonts w:ascii="Arial" w:hAnsi="Arial" w:cs="Arial"/>
        </w:rPr>
        <w:t> </w:t>
      </w:r>
      <w:r w:rsidR="00433743" w:rsidRPr="00D930A0">
        <w:rPr>
          <w:rFonts w:ascii="Arial" w:hAnsi="Arial" w:cs="Arial"/>
        </w:rPr>
        <w:t>Department of Agriculture (the Department). The matter concerns the proper classification, in its financial statements, of payments that the Department made to Casidra</w:t>
      </w:r>
      <w:r w:rsidR="00C7741A" w:rsidRPr="00D930A0">
        <w:rPr>
          <w:rFonts w:ascii="Arial" w:hAnsi="Arial" w:cs="Arial"/>
        </w:rPr>
        <w:t> </w:t>
      </w:r>
      <w:r w:rsidR="00433743" w:rsidRPr="00D930A0">
        <w:rPr>
          <w:rFonts w:ascii="Arial" w:hAnsi="Arial" w:cs="Arial"/>
        </w:rPr>
        <w:t xml:space="preserve">SOC Limited (Casidra) and the </w:t>
      </w:r>
      <w:r w:rsidR="00670A6A" w:rsidRPr="00D930A0">
        <w:rPr>
          <w:rFonts w:ascii="Arial" w:hAnsi="Arial" w:cs="Arial"/>
        </w:rPr>
        <w:t>Deciduous Fruit Producers Trust</w:t>
      </w:r>
      <w:r w:rsidR="00433743" w:rsidRPr="00D930A0">
        <w:rPr>
          <w:rFonts w:ascii="Arial" w:hAnsi="Arial" w:cs="Arial"/>
        </w:rPr>
        <w:t xml:space="preserve">. Casidra is a business enterprise wholly owned by the Western Cape Provincial Government. </w:t>
      </w:r>
      <w:r w:rsidR="002456E0" w:rsidRPr="00D930A0">
        <w:rPr>
          <w:rFonts w:ascii="Arial" w:hAnsi="Arial" w:cs="Arial"/>
        </w:rPr>
        <w:t xml:space="preserve">                </w:t>
      </w:r>
      <w:r w:rsidR="00670A6A" w:rsidRPr="00D930A0">
        <w:rPr>
          <w:rFonts w:ascii="Arial" w:hAnsi="Arial" w:cs="Arial"/>
        </w:rPr>
        <w:t>The Deciduous Fruit Producers Trust</w:t>
      </w:r>
      <w:r w:rsidR="00433743" w:rsidRPr="00D930A0">
        <w:rPr>
          <w:rFonts w:ascii="Arial" w:hAnsi="Arial" w:cs="Arial"/>
        </w:rPr>
        <w:t xml:space="preserve"> is an entity established by the </w:t>
      </w:r>
      <w:r w:rsidR="00552B76" w:rsidRPr="00D930A0">
        <w:rPr>
          <w:rFonts w:ascii="Arial" w:hAnsi="Arial" w:cs="Arial"/>
        </w:rPr>
        <w:t>d</w:t>
      </w:r>
      <w:r w:rsidR="00433743" w:rsidRPr="00D930A0">
        <w:rPr>
          <w:rFonts w:ascii="Arial" w:hAnsi="Arial" w:cs="Arial"/>
        </w:rPr>
        <w:t xml:space="preserve">eciduous </w:t>
      </w:r>
      <w:r w:rsidR="00552B76" w:rsidRPr="00D930A0">
        <w:rPr>
          <w:rFonts w:ascii="Arial" w:hAnsi="Arial" w:cs="Arial"/>
        </w:rPr>
        <w:t>fruit i</w:t>
      </w:r>
      <w:r w:rsidR="00433743" w:rsidRPr="00D930A0">
        <w:rPr>
          <w:rFonts w:ascii="Arial" w:hAnsi="Arial" w:cs="Arial"/>
        </w:rPr>
        <w:t xml:space="preserve">ndustry for the purpose, inter alia, of transformation of the industry. </w:t>
      </w:r>
      <w:r w:rsidR="00670A6A" w:rsidRPr="00D930A0">
        <w:rPr>
          <w:rFonts w:ascii="Arial" w:hAnsi="Arial" w:cs="Arial"/>
        </w:rPr>
        <w:t>It carried out the activities relevant to this matter through its Hortgro programme and for convenience I refer to it as Hortgro.</w:t>
      </w:r>
    </w:p>
    <w:p w14:paraId="45D7FCF2" w14:textId="32B96234" w:rsidR="00D25CA1" w:rsidRPr="00D930A0" w:rsidRDefault="00D25CA1" w:rsidP="00722A6E">
      <w:pPr>
        <w:tabs>
          <w:tab w:val="left" w:pos="284"/>
        </w:tabs>
        <w:spacing w:line="360" w:lineRule="auto"/>
        <w:ind w:left="-426"/>
        <w:jc w:val="both"/>
        <w:rPr>
          <w:rFonts w:ascii="Arial" w:hAnsi="Arial" w:cs="Arial"/>
        </w:rPr>
      </w:pPr>
    </w:p>
    <w:p w14:paraId="0CF94195" w14:textId="490BF143" w:rsidR="00552B76" w:rsidRPr="00D930A0" w:rsidRDefault="00552B76" w:rsidP="00722A6E">
      <w:pPr>
        <w:tabs>
          <w:tab w:val="left" w:pos="284"/>
        </w:tabs>
        <w:spacing w:line="360" w:lineRule="auto"/>
        <w:ind w:left="-426"/>
        <w:jc w:val="both"/>
        <w:rPr>
          <w:rFonts w:ascii="Arial" w:hAnsi="Arial" w:cs="Arial"/>
          <w:b/>
        </w:rPr>
      </w:pPr>
      <w:r w:rsidRPr="00D930A0">
        <w:rPr>
          <w:rFonts w:ascii="Arial" w:hAnsi="Arial" w:cs="Arial"/>
          <w:b/>
        </w:rPr>
        <w:t>Background</w:t>
      </w:r>
    </w:p>
    <w:p w14:paraId="0A0F9CA5" w14:textId="3DDE76F0" w:rsidR="00D25CA1" w:rsidRPr="00D930A0" w:rsidRDefault="00D25CA1" w:rsidP="00722A6E">
      <w:pPr>
        <w:tabs>
          <w:tab w:val="left" w:pos="284"/>
        </w:tabs>
        <w:spacing w:line="360" w:lineRule="auto"/>
        <w:ind w:left="-426"/>
        <w:jc w:val="both"/>
        <w:rPr>
          <w:rFonts w:ascii="Arial" w:hAnsi="Arial" w:cs="Arial"/>
        </w:rPr>
      </w:pPr>
      <w:r w:rsidRPr="00D930A0">
        <w:rPr>
          <w:rFonts w:ascii="Arial" w:hAnsi="Arial" w:cs="Arial"/>
        </w:rPr>
        <w:t>[2]</w:t>
      </w:r>
      <w:r w:rsidRPr="00D930A0">
        <w:rPr>
          <w:rFonts w:ascii="Arial" w:hAnsi="Arial" w:cs="Arial"/>
        </w:rPr>
        <w:tab/>
        <w:t xml:space="preserve">As I shall </w:t>
      </w:r>
      <w:r w:rsidR="00670A6A" w:rsidRPr="00D930A0">
        <w:rPr>
          <w:rFonts w:ascii="Arial" w:hAnsi="Arial" w:cs="Arial"/>
        </w:rPr>
        <w:t>explain</w:t>
      </w:r>
      <w:r w:rsidRPr="00D930A0">
        <w:rPr>
          <w:rFonts w:ascii="Arial" w:hAnsi="Arial" w:cs="Arial"/>
        </w:rPr>
        <w:t xml:space="preserve">, the Auditor-General is </w:t>
      </w:r>
      <w:r w:rsidR="00670A6A" w:rsidRPr="00D930A0">
        <w:rPr>
          <w:rFonts w:ascii="Arial" w:hAnsi="Arial" w:cs="Arial"/>
        </w:rPr>
        <w:t xml:space="preserve">constitutionally and </w:t>
      </w:r>
      <w:r w:rsidRPr="00D930A0">
        <w:rPr>
          <w:rFonts w:ascii="Arial" w:hAnsi="Arial" w:cs="Arial"/>
        </w:rPr>
        <w:t xml:space="preserve">statutorily obliged to audit and report on, inter alia, the financial statements of all provincial departments. </w:t>
      </w:r>
      <w:r w:rsidR="00FD4F22">
        <w:rPr>
          <w:rFonts w:ascii="Arial" w:hAnsi="Arial" w:cs="Arial"/>
        </w:rPr>
        <w:t xml:space="preserve">         </w:t>
      </w:r>
      <w:r w:rsidRPr="00D930A0">
        <w:rPr>
          <w:rFonts w:ascii="Arial" w:hAnsi="Arial" w:cs="Arial"/>
        </w:rPr>
        <w:t xml:space="preserve">The appeal is about the audits of the Auditor-General of the financial statements of the Department for the financial year ending on 31 March 2017 (the </w:t>
      </w:r>
      <w:r w:rsidR="00552B76" w:rsidRPr="00D930A0">
        <w:rPr>
          <w:rFonts w:ascii="Arial" w:hAnsi="Arial" w:cs="Arial"/>
        </w:rPr>
        <w:t xml:space="preserve">2017 financial statements) and </w:t>
      </w:r>
      <w:r w:rsidRPr="00D930A0">
        <w:rPr>
          <w:rFonts w:ascii="Arial" w:hAnsi="Arial" w:cs="Arial"/>
        </w:rPr>
        <w:t>the year ending on 31</w:t>
      </w:r>
      <w:r w:rsidR="00B80866" w:rsidRPr="00D930A0">
        <w:rPr>
          <w:rFonts w:ascii="Arial" w:hAnsi="Arial" w:cs="Arial"/>
        </w:rPr>
        <w:t> </w:t>
      </w:r>
      <w:r w:rsidRPr="00D930A0">
        <w:rPr>
          <w:rFonts w:ascii="Arial" w:hAnsi="Arial" w:cs="Arial"/>
        </w:rPr>
        <w:t>March 2018 (the 2018 financial statements). The Auditor-</w:t>
      </w:r>
      <w:r w:rsidRPr="00D930A0">
        <w:rPr>
          <w:rFonts w:ascii="Arial" w:hAnsi="Arial" w:cs="Arial"/>
        </w:rPr>
        <w:lastRenderedPageBreak/>
        <w:t>General determined that the payments that the Department had made to Casidra and Hortgro during these financial years, were wrongly classified as transfers. With reliance on the Modified Cash Standard, issued by the Accountant General in the National Treasury on 1 April 2013 (the Standard), the Auditor-General concluded that the Department’s financial statements should have reflected these amounts as payments for goods and services. The reasoning that underpinned this conclusion was that Casidra and Hortgro had received the respective payments as agents of the Department.</w:t>
      </w:r>
    </w:p>
    <w:p w14:paraId="3BB2DF96" w14:textId="77777777" w:rsidR="00D25CA1" w:rsidRPr="00D930A0" w:rsidRDefault="00D25CA1" w:rsidP="00722A6E">
      <w:pPr>
        <w:tabs>
          <w:tab w:val="left" w:pos="284"/>
        </w:tabs>
        <w:spacing w:line="360" w:lineRule="auto"/>
        <w:ind w:left="-426"/>
        <w:jc w:val="both"/>
        <w:rPr>
          <w:rFonts w:ascii="Arial" w:hAnsi="Arial" w:cs="Arial"/>
        </w:rPr>
      </w:pPr>
    </w:p>
    <w:p w14:paraId="0452EB5E" w14:textId="6023E991" w:rsidR="00D25CA1" w:rsidRPr="00D930A0" w:rsidRDefault="00D25CA1" w:rsidP="00722A6E">
      <w:pPr>
        <w:tabs>
          <w:tab w:val="left" w:pos="284"/>
        </w:tabs>
        <w:spacing w:line="360" w:lineRule="auto"/>
        <w:ind w:left="-426"/>
        <w:jc w:val="both"/>
        <w:rPr>
          <w:rFonts w:ascii="Arial" w:hAnsi="Arial" w:cs="Arial"/>
        </w:rPr>
      </w:pPr>
      <w:r w:rsidRPr="00D930A0">
        <w:rPr>
          <w:rFonts w:ascii="Arial" w:hAnsi="Arial" w:cs="Arial"/>
        </w:rPr>
        <w:t>[3]</w:t>
      </w:r>
      <w:r w:rsidRPr="00D930A0">
        <w:rPr>
          <w:rFonts w:ascii="Arial" w:hAnsi="Arial" w:cs="Arial"/>
        </w:rPr>
        <w:tab/>
        <w:t>The Auditor-General accordingly issued qualified audit reports in respect of the 2017 and 2018 financial statements. The audit report in respect of the 2017</w:t>
      </w:r>
      <w:r w:rsidR="00AC3C37" w:rsidRPr="00D930A0">
        <w:rPr>
          <w:rFonts w:ascii="Arial" w:hAnsi="Arial" w:cs="Arial"/>
        </w:rPr>
        <w:t> </w:t>
      </w:r>
      <w:r w:rsidRPr="00D930A0">
        <w:rPr>
          <w:rFonts w:ascii="Arial" w:hAnsi="Arial" w:cs="Arial"/>
        </w:rPr>
        <w:t>financial</w:t>
      </w:r>
      <w:r w:rsidR="00AC3C37" w:rsidRPr="00D930A0">
        <w:rPr>
          <w:rFonts w:ascii="Arial" w:hAnsi="Arial" w:cs="Arial"/>
        </w:rPr>
        <w:t> </w:t>
      </w:r>
      <w:r w:rsidRPr="00D930A0">
        <w:rPr>
          <w:rFonts w:ascii="Arial" w:hAnsi="Arial" w:cs="Arial"/>
        </w:rPr>
        <w:t xml:space="preserve">statements stated that </w:t>
      </w:r>
      <w:r w:rsidR="00670A6A" w:rsidRPr="00D930A0">
        <w:rPr>
          <w:rFonts w:ascii="Arial" w:hAnsi="Arial" w:cs="Arial"/>
        </w:rPr>
        <w:t>the</w:t>
      </w:r>
      <w:r w:rsidRPr="00D930A0">
        <w:rPr>
          <w:rFonts w:ascii="Arial" w:hAnsi="Arial" w:cs="Arial"/>
        </w:rPr>
        <w:t xml:space="preserve"> Department did not account for payments to ‘implementing agents’ in accordance with the Standard, that consequently transfers were overstated by R274 340 625 and that </w:t>
      </w:r>
      <w:r w:rsidR="002520B6" w:rsidRPr="00D930A0">
        <w:rPr>
          <w:rFonts w:ascii="Arial" w:hAnsi="Arial" w:cs="Arial"/>
        </w:rPr>
        <w:t>a</w:t>
      </w:r>
      <w:r w:rsidRPr="00D930A0">
        <w:rPr>
          <w:rFonts w:ascii="Arial" w:hAnsi="Arial" w:cs="Arial"/>
        </w:rPr>
        <w:t xml:space="preserve"> corresponding amount was </w:t>
      </w:r>
      <w:r w:rsidR="00670A6A" w:rsidRPr="00D930A0">
        <w:rPr>
          <w:rFonts w:ascii="Arial" w:hAnsi="Arial" w:cs="Arial"/>
        </w:rPr>
        <w:t xml:space="preserve">thus </w:t>
      </w:r>
      <w:r w:rsidRPr="00D930A0">
        <w:rPr>
          <w:rFonts w:ascii="Arial" w:hAnsi="Arial" w:cs="Arial"/>
        </w:rPr>
        <w:t xml:space="preserve">understated or not disclosed. </w:t>
      </w:r>
      <w:r w:rsidR="00670A6A" w:rsidRPr="00D930A0">
        <w:rPr>
          <w:rFonts w:ascii="Arial" w:hAnsi="Arial" w:cs="Arial"/>
        </w:rPr>
        <w:t>According to</w:t>
      </w:r>
      <w:r w:rsidRPr="00D930A0">
        <w:rPr>
          <w:rFonts w:ascii="Arial" w:hAnsi="Arial" w:cs="Arial"/>
        </w:rPr>
        <w:t xml:space="preserve"> the audit report this amount</w:t>
      </w:r>
      <w:r w:rsidR="00BA0447" w:rsidRPr="00D930A0">
        <w:rPr>
          <w:rFonts w:ascii="Arial" w:hAnsi="Arial" w:cs="Arial"/>
        </w:rPr>
        <w:t>,</w:t>
      </w:r>
      <w:r w:rsidRPr="00D930A0">
        <w:rPr>
          <w:rFonts w:ascii="Arial" w:hAnsi="Arial" w:cs="Arial"/>
        </w:rPr>
        <w:t xml:space="preserve"> therefore</w:t>
      </w:r>
      <w:r w:rsidR="00BA0447" w:rsidRPr="00D930A0">
        <w:rPr>
          <w:rFonts w:ascii="Arial" w:hAnsi="Arial" w:cs="Arial"/>
        </w:rPr>
        <w:t>,</w:t>
      </w:r>
      <w:r w:rsidRPr="00D930A0">
        <w:rPr>
          <w:rFonts w:ascii="Arial" w:hAnsi="Arial" w:cs="Arial"/>
        </w:rPr>
        <w:t xml:space="preserve"> constituted irregular expenditure. </w:t>
      </w:r>
      <w:r w:rsidR="00FD4F22">
        <w:rPr>
          <w:rFonts w:ascii="Arial" w:hAnsi="Arial" w:cs="Arial"/>
        </w:rPr>
        <w:t xml:space="preserve">    </w:t>
      </w:r>
      <w:r w:rsidRPr="00D930A0">
        <w:rPr>
          <w:rFonts w:ascii="Arial" w:hAnsi="Arial" w:cs="Arial"/>
        </w:rPr>
        <w:t>The amount of R259 191 000 was</w:t>
      </w:r>
      <w:r w:rsidR="00BA0447" w:rsidRPr="00D930A0">
        <w:rPr>
          <w:rFonts w:ascii="Arial" w:hAnsi="Arial" w:cs="Arial"/>
        </w:rPr>
        <w:t>,</w:t>
      </w:r>
      <w:r w:rsidRPr="00D930A0">
        <w:rPr>
          <w:rFonts w:ascii="Arial" w:hAnsi="Arial" w:cs="Arial"/>
        </w:rPr>
        <w:t xml:space="preserve"> in identical terms</w:t>
      </w:r>
      <w:r w:rsidR="00BA0447" w:rsidRPr="00D930A0">
        <w:rPr>
          <w:rFonts w:ascii="Arial" w:hAnsi="Arial" w:cs="Arial"/>
        </w:rPr>
        <w:t>,</w:t>
      </w:r>
      <w:r w:rsidRPr="00D930A0">
        <w:rPr>
          <w:rFonts w:ascii="Arial" w:hAnsi="Arial" w:cs="Arial"/>
        </w:rPr>
        <w:t xml:space="preserve"> regarded as irregular expenditure in the </w:t>
      </w:r>
      <w:r w:rsidR="00EA16F3" w:rsidRPr="00D930A0">
        <w:rPr>
          <w:rFonts w:ascii="Arial" w:hAnsi="Arial" w:cs="Arial"/>
        </w:rPr>
        <w:t xml:space="preserve">audit report in respect of the 2018 financial statements. In terms of the Public Finance Management Act 1 of 1999 (the PFMA), irregular expenditure, in essence, is expenditure incurred in contravention of applicable legislation. It follows that </w:t>
      </w:r>
      <w:r w:rsidR="00475708" w:rsidRPr="00D930A0">
        <w:rPr>
          <w:rFonts w:ascii="Arial" w:hAnsi="Arial" w:cs="Arial"/>
        </w:rPr>
        <w:t>the qualification of the audit reports was not a trifling matter</w:t>
      </w:r>
      <w:r w:rsidR="00670A6A" w:rsidRPr="00D930A0">
        <w:rPr>
          <w:rFonts w:ascii="Arial" w:hAnsi="Arial" w:cs="Arial"/>
        </w:rPr>
        <w:t xml:space="preserve"> and that the Department and the MEC were rightly concerned</w:t>
      </w:r>
      <w:r w:rsidR="00475708" w:rsidRPr="00D930A0">
        <w:rPr>
          <w:rFonts w:ascii="Arial" w:hAnsi="Arial" w:cs="Arial"/>
        </w:rPr>
        <w:t>.</w:t>
      </w:r>
    </w:p>
    <w:p w14:paraId="6D6C4837" w14:textId="77777777" w:rsidR="00475708" w:rsidRPr="00D930A0" w:rsidRDefault="00475708" w:rsidP="00722A6E">
      <w:pPr>
        <w:tabs>
          <w:tab w:val="left" w:pos="284"/>
        </w:tabs>
        <w:spacing w:line="360" w:lineRule="auto"/>
        <w:ind w:left="-426"/>
        <w:jc w:val="both"/>
        <w:rPr>
          <w:rFonts w:ascii="Arial" w:hAnsi="Arial" w:cs="Arial"/>
        </w:rPr>
      </w:pPr>
    </w:p>
    <w:p w14:paraId="206194F7" w14:textId="0C8AF341" w:rsidR="00475708" w:rsidRPr="00D930A0" w:rsidRDefault="00475708" w:rsidP="00466714">
      <w:pPr>
        <w:tabs>
          <w:tab w:val="left" w:pos="284"/>
        </w:tabs>
        <w:spacing w:line="360" w:lineRule="auto"/>
        <w:ind w:left="-426"/>
        <w:jc w:val="both"/>
        <w:rPr>
          <w:rFonts w:ascii="Arial" w:hAnsi="Arial" w:cs="Arial"/>
        </w:rPr>
      </w:pPr>
      <w:r w:rsidRPr="00D930A0">
        <w:rPr>
          <w:rFonts w:ascii="Arial" w:hAnsi="Arial" w:cs="Arial"/>
        </w:rPr>
        <w:t>[4]</w:t>
      </w:r>
      <w:r w:rsidRPr="00D930A0">
        <w:rPr>
          <w:rFonts w:ascii="Arial" w:hAnsi="Arial" w:cs="Arial"/>
        </w:rPr>
        <w:tab/>
        <w:t xml:space="preserve">The MEC approached the Western Cape Division of the High Court for the review and setting aside of </w:t>
      </w:r>
      <w:r w:rsidR="00552B76" w:rsidRPr="00D930A0">
        <w:rPr>
          <w:rFonts w:ascii="Arial" w:hAnsi="Arial" w:cs="Arial"/>
        </w:rPr>
        <w:t xml:space="preserve">the relevant findings in </w:t>
      </w:r>
      <w:r w:rsidRPr="00D930A0">
        <w:rPr>
          <w:rFonts w:ascii="Arial" w:hAnsi="Arial" w:cs="Arial"/>
        </w:rPr>
        <w:t>both the abovementioned audit reports (the</w:t>
      </w:r>
      <w:r w:rsidR="003F08B9" w:rsidRPr="00D930A0">
        <w:rPr>
          <w:rFonts w:ascii="Arial" w:hAnsi="Arial" w:cs="Arial"/>
        </w:rPr>
        <w:t> </w:t>
      </w:r>
      <w:r w:rsidR="00466714" w:rsidRPr="00D930A0">
        <w:rPr>
          <w:rFonts w:ascii="Arial" w:hAnsi="Arial" w:cs="Arial"/>
        </w:rPr>
        <w:t>findings</w:t>
      </w:r>
      <w:r w:rsidRPr="00D930A0">
        <w:rPr>
          <w:rFonts w:ascii="Arial" w:hAnsi="Arial" w:cs="Arial"/>
        </w:rPr>
        <w:t>). In addition to the Auditor-General, he cited the National Treasury as a respondent in the application. The National Treasury was established in terms of s 5 of the PFMA.</w:t>
      </w:r>
      <w:r w:rsidR="00466714" w:rsidRPr="00D930A0">
        <w:rPr>
          <w:rFonts w:ascii="Arial" w:hAnsi="Arial" w:cs="Arial"/>
        </w:rPr>
        <w:t xml:space="preserve"> </w:t>
      </w:r>
      <w:r w:rsidRPr="00D930A0">
        <w:rPr>
          <w:rFonts w:ascii="Arial" w:hAnsi="Arial" w:cs="Arial"/>
        </w:rPr>
        <w:t>The MEC brought the review under the Promotion of Administrative Justice Act</w:t>
      </w:r>
      <w:r w:rsidR="003F08B9" w:rsidRPr="00D930A0">
        <w:rPr>
          <w:rFonts w:ascii="Arial" w:hAnsi="Arial" w:cs="Arial"/>
        </w:rPr>
        <w:t> </w:t>
      </w:r>
      <w:r w:rsidRPr="00D930A0">
        <w:rPr>
          <w:rFonts w:ascii="Arial" w:hAnsi="Arial" w:cs="Arial"/>
        </w:rPr>
        <w:t>3</w:t>
      </w:r>
      <w:r w:rsidR="003F08B9" w:rsidRPr="00D930A0">
        <w:rPr>
          <w:rFonts w:ascii="Arial" w:hAnsi="Arial" w:cs="Arial"/>
        </w:rPr>
        <w:t> </w:t>
      </w:r>
      <w:r w:rsidRPr="00D930A0">
        <w:rPr>
          <w:rFonts w:ascii="Arial" w:hAnsi="Arial" w:cs="Arial"/>
        </w:rPr>
        <w:t>of</w:t>
      </w:r>
      <w:r w:rsidR="003F08B9" w:rsidRPr="00D930A0">
        <w:rPr>
          <w:rFonts w:ascii="Arial" w:hAnsi="Arial" w:cs="Arial"/>
        </w:rPr>
        <w:t> </w:t>
      </w:r>
      <w:r w:rsidRPr="00D930A0">
        <w:rPr>
          <w:rFonts w:ascii="Arial" w:hAnsi="Arial" w:cs="Arial"/>
        </w:rPr>
        <w:t>2000 (PAJA), alternatively</w:t>
      </w:r>
      <w:r w:rsidR="003F08B9" w:rsidRPr="00D930A0">
        <w:rPr>
          <w:rFonts w:ascii="Arial" w:hAnsi="Arial" w:cs="Arial"/>
        </w:rPr>
        <w:t>,</w:t>
      </w:r>
      <w:r w:rsidRPr="00D930A0">
        <w:rPr>
          <w:rFonts w:ascii="Arial" w:hAnsi="Arial" w:cs="Arial"/>
        </w:rPr>
        <w:t xml:space="preserve"> the principle of legality. The MEC’s case rested on two main grounds. The first was that the Standard was not legally binding. Secondly</w:t>
      </w:r>
      <w:r w:rsidR="00670A6A" w:rsidRPr="00D930A0">
        <w:rPr>
          <w:rFonts w:ascii="Arial" w:hAnsi="Arial" w:cs="Arial"/>
        </w:rPr>
        <w:t>,</w:t>
      </w:r>
      <w:r w:rsidRPr="00D930A0">
        <w:rPr>
          <w:rFonts w:ascii="Arial" w:hAnsi="Arial" w:cs="Arial"/>
        </w:rPr>
        <w:t xml:space="preserve"> he contended that, in any event, the Department had complied with the Standard. </w:t>
      </w:r>
      <w:r w:rsidR="002456E0" w:rsidRPr="00D930A0">
        <w:rPr>
          <w:rFonts w:ascii="Arial" w:hAnsi="Arial" w:cs="Arial"/>
        </w:rPr>
        <w:t xml:space="preserve">                    </w:t>
      </w:r>
      <w:r w:rsidRPr="00D930A0">
        <w:rPr>
          <w:rFonts w:ascii="Arial" w:hAnsi="Arial" w:cs="Arial"/>
        </w:rPr>
        <w:t>The foundation of the second contention was that the legal relationship between the Department and Casidra and Hortgro respectively, were not principal-agent relationships within the meaning of the Standard.</w:t>
      </w:r>
    </w:p>
    <w:p w14:paraId="323F076D" w14:textId="77777777" w:rsidR="00475708" w:rsidRPr="00D930A0" w:rsidRDefault="00475708" w:rsidP="00722A6E">
      <w:pPr>
        <w:tabs>
          <w:tab w:val="left" w:pos="284"/>
        </w:tabs>
        <w:spacing w:line="360" w:lineRule="auto"/>
        <w:ind w:left="-426"/>
        <w:jc w:val="both"/>
        <w:rPr>
          <w:rFonts w:ascii="Arial" w:hAnsi="Arial" w:cs="Arial"/>
        </w:rPr>
      </w:pPr>
    </w:p>
    <w:p w14:paraId="7CA16025" w14:textId="134A0D4B" w:rsidR="00475708" w:rsidRPr="00D930A0" w:rsidRDefault="00475708" w:rsidP="00722A6E">
      <w:pPr>
        <w:tabs>
          <w:tab w:val="left" w:pos="284"/>
        </w:tabs>
        <w:spacing w:line="360" w:lineRule="auto"/>
        <w:ind w:left="-426"/>
        <w:jc w:val="both"/>
        <w:rPr>
          <w:rFonts w:ascii="Arial" w:hAnsi="Arial" w:cs="Arial"/>
        </w:rPr>
      </w:pPr>
      <w:r w:rsidRPr="00D930A0">
        <w:rPr>
          <w:rFonts w:ascii="Arial" w:hAnsi="Arial" w:cs="Arial"/>
        </w:rPr>
        <w:lastRenderedPageBreak/>
        <w:t>[</w:t>
      </w:r>
      <w:r w:rsidR="00466714" w:rsidRPr="00D930A0">
        <w:rPr>
          <w:rFonts w:ascii="Arial" w:hAnsi="Arial" w:cs="Arial"/>
        </w:rPr>
        <w:t>5</w:t>
      </w:r>
      <w:r w:rsidRPr="00D930A0">
        <w:rPr>
          <w:rFonts w:ascii="Arial" w:hAnsi="Arial" w:cs="Arial"/>
        </w:rPr>
        <w:t>]</w:t>
      </w:r>
      <w:r w:rsidRPr="00D930A0">
        <w:rPr>
          <w:rFonts w:ascii="Arial" w:hAnsi="Arial" w:cs="Arial"/>
        </w:rPr>
        <w:tab/>
        <w:t>Despite the fact that the Standard had emanated from the National Treasury, it did not participate in the proceedings. As will become apparent shortly, this was unfortunate and not in keepin</w:t>
      </w:r>
      <w:r w:rsidR="000967AE" w:rsidRPr="00D930A0">
        <w:rPr>
          <w:rFonts w:ascii="Arial" w:hAnsi="Arial" w:cs="Arial"/>
        </w:rPr>
        <w:t>g with the duty of an organ of s</w:t>
      </w:r>
      <w:r w:rsidRPr="00D930A0">
        <w:rPr>
          <w:rFonts w:ascii="Arial" w:hAnsi="Arial" w:cs="Arial"/>
        </w:rPr>
        <w:t>tate that is a party to legal proceedings</w:t>
      </w:r>
      <w:r w:rsidR="00466714" w:rsidRPr="00D930A0">
        <w:rPr>
          <w:rFonts w:ascii="Arial" w:hAnsi="Arial" w:cs="Arial"/>
        </w:rPr>
        <w:t>,</w:t>
      </w:r>
      <w:r w:rsidRPr="00D930A0">
        <w:rPr>
          <w:rFonts w:ascii="Arial" w:hAnsi="Arial" w:cs="Arial"/>
        </w:rPr>
        <w:t xml:space="preserve"> to assist the court by providing it with material information at its disposal. In the event</w:t>
      </w:r>
      <w:r w:rsidR="00670A6A" w:rsidRPr="00D930A0">
        <w:rPr>
          <w:rFonts w:ascii="Arial" w:hAnsi="Arial" w:cs="Arial"/>
        </w:rPr>
        <w:t>,</w:t>
      </w:r>
      <w:r w:rsidRPr="00D930A0">
        <w:rPr>
          <w:rFonts w:ascii="Arial" w:hAnsi="Arial" w:cs="Arial"/>
        </w:rPr>
        <w:t xml:space="preserve"> the High</w:t>
      </w:r>
      <w:r w:rsidR="00C96441" w:rsidRPr="00D930A0">
        <w:rPr>
          <w:rFonts w:ascii="Arial" w:hAnsi="Arial" w:cs="Arial"/>
        </w:rPr>
        <w:t> </w:t>
      </w:r>
      <w:r w:rsidRPr="00D930A0">
        <w:rPr>
          <w:rFonts w:ascii="Arial" w:hAnsi="Arial" w:cs="Arial"/>
        </w:rPr>
        <w:t>Court (Vos AJ) found for the MEC on both grounds and granted the relief sought.</w:t>
      </w:r>
      <w:r w:rsidR="00466714" w:rsidRPr="00D930A0">
        <w:rPr>
          <w:rStyle w:val="FootnoteReference"/>
          <w:rFonts w:ascii="Arial" w:hAnsi="Arial" w:cs="Arial"/>
        </w:rPr>
        <w:footnoteReference w:id="1"/>
      </w:r>
      <w:r w:rsidRPr="00D930A0">
        <w:rPr>
          <w:rFonts w:ascii="Arial" w:hAnsi="Arial" w:cs="Arial"/>
        </w:rPr>
        <w:t xml:space="preserve"> Despite its considered decision not to participate in the proceedings, the National Treasury applied for leave to appeal</w:t>
      </w:r>
      <w:r w:rsidR="00FC32B3" w:rsidRPr="00D930A0">
        <w:rPr>
          <w:rFonts w:ascii="Arial" w:hAnsi="Arial" w:cs="Arial"/>
        </w:rPr>
        <w:t>,</w:t>
      </w:r>
      <w:r w:rsidRPr="00D930A0">
        <w:rPr>
          <w:rFonts w:ascii="Arial" w:hAnsi="Arial" w:cs="Arial"/>
        </w:rPr>
        <w:t xml:space="preserve"> as did </w:t>
      </w:r>
      <w:r w:rsidR="00F95E73" w:rsidRPr="00D930A0">
        <w:rPr>
          <w:rFonts w:ascii="Arial" w:hAnsi="Arial" w:cs="Arial"/>
        </w:rPr>
        <w:t xml:space="preserve">the Auditor-General. The court a quo refused the application of the National Treasury but granted leave to the Auditor-General to appeal to this </w:t>
      </w:r>
      <w:r w:rsidR="00C96441" w:rsidRPr="00D930A0">
        <w:rPr>
          <w:rFonts w:ascii="Arial" w:hAnsi="Arial" w:cs="Arial"/>
        </w:rPr>
        <w:t>C</w:t>
      </w:r>
      <w:r w:rsidR="00F95E73" w:rsidRPr="00D930A0">
        <w:rPr>
          <w:rFonts w:ascii="Arial" w:hAnsi="Arial" w:cs="Arial"/>
        </w:rPr>
        <w:t xml:space="preserve">ourt. </w:t>
      </w:r>
    </w:p>
    <w:p w14:paraId="28EB5831" w14:textId="4D818030" w:rsidR="00F95E73" w:rsidRPr="00D930A0" w:rsidRDefault="00F95E73" w:rsidP="00722A6E">
      <w:pPr>
        <w:tabs>
          <w:tab w:val="left" w:pos="284"/>
        </w:tabs>
        <w:spacing w:line="360" w:lineRule="auto"/>
        <w:ind w:left="-426"/>
        <w:jc w:val="both"/>
        <w:rPr>
          <w:rFonts w:ascii="Arial" w:hAnsi="Arial" w:cs="Arial"/>
        </w:rPr>
      </w:pPr>
    </w:p>
    <w:p w14:paraId="7C1F90F8" w14:textId="767966FD" w:rsidR="00FC32B3" w:rsidRPr="00D930A0" w:rsidRDefault="00FC32B3" w:rsidP="00722A6E">
      <w:pPr>
        <w:tabs>
          <w:tab w:val="left" w:pos="284"/>
        </w:tabs>
        <w:spacing w:line="360" w:lineRule="auto"/>
        <w:ind w:left="-426"/>
        <w:jc w:val="both"/>
        <w:rPr>
          <w:rFonts w:ascii="Arial" w:hAnsi="Arial" w:cs="Arial"/>
          <w:b/>
        </w:rPr>
      </w:pPr>
      <w:r w:rsidRPr="00D930A0">
        <w:rPr>
          <w:rFonts w:ascii="Arial" w:hAnsi="Arial" w:cs="Arial"/>
          <w:b/>
        </w:rPr>
        <w:t>Standard binding</w:t>
      </w:r>
    </w:p>
    <w:p w14:paraId="67A31302" w14:textId="6D815240" w:rsidR="00F95E73" w:rsidRPr="00D930A0" w:rsidRDefault="00F95E73" w:rsidP="00722A6E">
      <w:pPr>
        <w:tabs>
          <w:tab w:val="left" w:pos="284"/>
        </w:tabs>
        <w:spacing w:line="360" w:lineRule="auto"/>
        <w:ind w:left="-426"/>
        <w:jc w:val="both"/>
        <w:rPr>
          <w:rFonts w:ascii="Arial" w:hAnsi="Arial" w:cs="Arial"/>
        </w:rPr>
      </w:pPr>
      <w:r w:rsidRPr="00D930A0">
        <w:rPr>
          <w:rFonts w:ascii="Arial" w:hAnsi="Arial" w:cs="Arial"/>
        </w:rPr>
        <w:t>[</w:t>
      </w:r>
      <w:r w:rsidR="00FC32B3" w:rsidRPr="00D930A0">
        <w:rPr>
          <w:rFonts w:ascii="Arial" w:hAnsi="Arial" w:cs="Arial"/>
        </w:rPr>
        <w:t>6</w:t>
      </w:r>
      <w:r w:rsidRPr="00D930A0">
        <w:rPr>
          <w:rFonts w:ascii="Arial" w:hAnsi="Arial" w:cs="Arial"/>
        </w:rPr>
        <w:t>]</w:t>
      </w:r>
      <w:r w:rsidRPr="00D930A0">
        <w:rPr>
          <w:rFonts w:ascii="Arial" w:hAnsi="Arial" w:cs="Arial"/>
        </w:rPr>
        <w:tab/>
        <w:t>Section 216(1) of the Constitution of the Republic of South Africa, 1996 provides:</w:t>
      </w:r>
    </w:p>
    <w:p w14:paraId="202FC9D6" w14:textId="77777777" w:rsidR="00BC1C42" w:rsidRPr="00D930A0" w:rsidRDefault="00F95E73" w:rsidP="00BC1C4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rPr>
        <w:t>‘</w:t>
      </w:r>
      <w:r w:rsidR="00BC1C42" w:rsidRPr="00D930A0">
        <w:rPr>
          <w:rFonts w:ascii="Arial" w:hAnsi="Arial" w:cs="Arial"/>
          <w:sz w:val="22"/>
          <w:szCs w:val="22"/>
          <w:lang w:val="en-ZA"/>
        </w:rPr>
        <w:t>National legislation must establish a national treasury and prescribe measures to ensure both transparency and expenditure control in each sphere of government, by introducing—</w:t>
      </w:r>
    </w:p>
    <w:p w14:paraId="1BE3BBC3" w14:textId="77777777" w:rsidR="00C93929" w:rsidRPr="00D930A0" w:rsidRDefault="00BC1C42" w:rsidP="00BC1C42">
      <w:pPr>
        <w:tabs>
          <w:tab w:val="left" w:pos="284"/>
        </w:tabs>
        <w:spacing w:line="360" w:lineRule="auto"/>
        <w:ind w:left="-426"/>
        <w:jc w:val="both"/>
        <w:rPr>
          <w:rFonts w:ascii="Arial" w:hAnsi="Arial" w:cs="Arial"/>
          <w:sz w:val="22"/>
          <w:szCs w:val="22"/>
          <w:lang w:val="en-ZA"/>
        </w:rPr>
      </w:pPr>
      <w:r w:rsidRPr="00D930A0">
        <w:rPr>
          <w:rFonts w:ascii="Arial" w:hAnsi="Arial" w:cs="Arial"/>
          <w:i/>
          <w:sz w:val="22"/>
          <w:szCs w:val="22"/>
          <w:lang w:val="en-ZA"/>
        </w:rPr>
        <w:t>(a)</w:t>
      </w:r>
      <w:r w:rsidRPr="00D930A0">
        <w:rPr>
          <w:rFonts w:ascii="Arial" w:hAnsi="Arial" w:cs="Arial"/>
          <w:sz w:val="22"/>
          <w:szCs w:val="22"/>
          <w:lang w:val="en-ZA"/>
        </w:rPr>
        <w:t xml:space="preserve">  generally recognised accounting practice; </w:t>
      </w:r>
    </w:p>
    <w:p w14:paraId="3FDF1116" w14:textId="77777777" w:rsidR="00C93929" w:rsidRPr="00D930A0" w:rsidRDefault="00BC1C42" w:rsidP="00BC1C42">
      <w:pPr>
        <w:tabs>
          <w:tab w:val="left" w:pos="284"/>
        </w:tabs>
        <w:spacing w:line="360" w:lineRule="auto"/>
        <w:ind w:left="-426"/>
        <w:jc w:val="both"/>
        <w:rPr>
          <w:rFonts w:ascii="Arial" w:hAnsi="Arial" w:cs="Arial"/>
          <w:sz w:val="22"/>
          <w:szCs w:val="22"/>
          <w:lang w:val="en-ZA"/>
        </w:rPr>
      </w:pPr>
      <w:r w:rsidRPr="00D930A0">
        <w:rPr>
          <w:rFonts w:ascii="Arial" w:hAnsi="Arial" w:cs="Arial"/>
          <w:i/>
          <w:sz w:val="22"/>
          <w:szCs w:val="22"/>
          <w:lang w:val="en-ZA"/>
        </w:rPr>
        <w:lastRenderedPageBreak/>
        <w:t>(b)</w:t>
      </w:r>
      <w:r w:rsidRPr="00D930A0">
        <w:rPr>
          <w:rFonts w:ascii="Arial" w:hAnsi="Arial" w:cs="Arial"/>
          <w:sz w:val="22"/>
          <w:szCs w:val="22"/>
          <w:lang w:val="en-ZA"/>
        </w:rPr>
        <w:t xml:space="preserve">  uniform expenditure classifications; and </w:t>
      </w:r>
    </w:p>
    <w:p w14:paraId="645EDB13" w14:textId="58B889AB" w:rsidR="00BC1C42" w:rsidRPr="00D930A0" w:rsidRDefault="00C93929" w:rsidP="00BC1C42">
      <w:pPr>
        <w:tabs>
          <w:tab w:val="left" w:pos="284"/>
        </w:tabs>
        <w:spacing w:line="360" w:lineRule="auto"/>
        <w:ind w:left="-426"/>
        <w:jc w:val="both"/>
        <w:rPr>
          <w:rFonts w:ascii="Arial" w:hAnsi="Arial" w:cs="Arial"/>
          <w:sz w:val="22"/>
          <w:szCs w:val="22"/>
          <w:lang w:val="en-ZA"/>
        </w:rPr>
      </w:pPr>
      <w:r w:rsidRPr="00D930A0">
        <w:rPr>
          <w:rFonts w:ascii="Arial" w:hAnsi="Arial" w:cs="Arial"/>
          <w:i/>
          <w:sz w:val="22"/>
          <w:szCs w:val="22"/>
          <w:lang w:val="en-ZA"/>
        </w:rPr>
        <w:t>(c)</w:t>
      </w:r>
      <w:r w:rsidRPr="00D930A0">
        <w:rPr>
          <w:rFonts w:ascii="Arial" w:hAnsi="Arial" w:cs="Arial"/>
          <w:sz w:val="22"/>
          <w:szCs w:val="22"/>
          <w:lang w:val="en-ZA"/>
        </w:rPr>
        <w:t xml:space="preserve">  </w:t>
      </w:r>
      <w:r w:rsidR="00BC1C42" w:rsidRPr="00D930A0">
        <w:rPr>
          <w:rFonts w:ascii="Arial" w:hAnsi="Arial" w:cs="Arial"/>
          <w:sz w:val="22"/>
          <w:szCs w:val="22"/>
          <w:lang w:val="en-ZA"/>
        </w:rPr>
        <w:t>unifor</w:t>
      </w:r>
      <w:r w:rsidRPr="00D930A0">
        <w:rPr>
          <w:rFonts w:ascii="Arial" w:hAnsi="Arial" w:cs="Arial"/>
          <w:sz w:val="22"/>
          <w:szCs w:val="22"/>
          <w:lang w:val="en-ZA"/>
        </w:rPr>
        <w:t>m treasury norms and standards.’</w:t>
      </w:r>
    </w:p>
    <w:p w14:paraId="41A3A9AE" w14:textId="15FF231B" w:rsidR="00FC32B3" w:rsidRPr="00D930A0" w:rsidRDefault="00C93929" w:rsidP="00BC1C42">
      <w:pPr>
        <w:tabs>
          <w:tab w:val="left" w:pos="284"/>
        </w:tabs>
        <w:spacing w:line="360" w:lineRule="auto"/>
        <w:ind w:left="-426"/>
        <w:jc w:val="both"/>
        <w:rPr>
          <w:rFonts w:ascii="Arial" w:hAnsi="Arial" w:cs="Arial"/>
          <w:lang w:val="en-ZA"/>
        </w:rPr>
      </w:pPr>
      <w:r w:rsidRPr="00D930A0">
        <w:rPr>
          <w:rFonts w:ascii="Arial" w:hAnsi="Arial" w:cs="Arial"/>
          <w:lang w:val="en-ZA"/>
        </w:rPr>
        <w:t>The national legislation envisaged by s 216(1) is the PFMA.</w:t>
      </w:r>
    </w:p>
    <w:p w14:paraId="77F26EB7" w14:textId="77777777" w:rsidR="00670A6A" w:rsidRPr="00D930A0" w:rsidRDefault="00670A6A" w:rsidP="00BC1C42">
      <w:pPr>
        <w:tabs>
          <w:tab w:val="left" w:pos="284"/>
        </w:tabs>
        <w:spacing w:line="360" w:lineRule="auto"/>
        <w:ind w:left="-426"/>
        <w:jc w:val="both"/>
        <w:rPr>
          <w:rFonts w:ascii="Arial" w:hAnsi="Arial" w:cs="Arial"/>
          <w:lang w:val="en-ZA"/>
        </w:rPr>
      </w:pPr>
    </w:p>
    <w:p w14:paraId="3A863A77" w14:textId="20FC01B4" w:rsidR="00C93929" w:rsidRPr="00D930A0" w:rsidRDefault="00FC32B3" w:rsidP="00BC1C42">
      <w:pPr>
        <w:tabs>
          <w:tab w:val="left" w:pos="284"/>
        </w:tabs>
        <w:spacing w:line="360" w:lineRule="auto"/>
        <w:ind w:left="-426"/>
        <w:jc w:val="both"/>
        <w:rPr>
          <w:rFonts w:ascii="Arial" w:hAnsi="Arial" w:cs="Arial"/>
          <w:lang w:val="en-ZA"/>
        </w:rPr>
      </w:pPr>
      <w:r w:rsidRPr="00D930A0">
        <w:rPr>
          <w:rFonts w:ascii="Arial" w:hAnsi="Arial" w:cs="Arial"/>
          <w:lang w:val="en-ZA"/>
        </w:rPr>
        <w:t>[7]</w:t>
      </w:r>
      <w:r w:rsidRPr="00D930A0">
        <w:rPr>
          <w:rFonts w:ascii="Arial" w:hAnsi="Arial" w:cs="Arial"/>
          <w:lang w:val="en-ZA"/>
        </w:rPr>
        <w:tab/>
      </w:r>
      <w:r w:rsidR="00C93929" w:rsidRPr="00D930A0">
        <w:rPr>
          <w:rFonts w:ascii="Arial" w:hAnsi="Arial" w:cs="Arial"/>
          <w:lang w:val="en-ZA"/>
        </w:rPr>
        <w:t>I</w:t>
      </w:r>
      <w:r w:rsidR="000C7263" w:rsidRPr="00D930A0">
        <w:rPr>
          <w:rFonts w:ascii="Arial" w:hAnsi="Arial" w:cs="Arial"/>
          <w:lang w:val="en-ZA"/>
        </w:rPr>
        <w:t xml:space="preserve">n terms of s </w:t>
      </w:r>
      <w:r w:rsidR="00C93929" w:rsidRPr="00D930A0">
        <w:rPr>
          <w:rFonts w:ascii="Arial" w:hAnsi="Arial" w:cs="Arial"/>
          <w:lang w:val="en-ZA"/>
        </w:rPr>
        <w:t>8</w:t>
      </w:r>
      <w:r w:rsidR="000C7263" w:rsidRPr="00D930A0">
        <w:rPr>
          <w:rFonts w:ascii="Arial" w:hAnsi="Arial" w:cs="Arial"/>
          <w:lang w:val="en-ZA"/>
        </w:rPr>
        <w:t>7</w:t>
      </w:r>
      <w:r w:rsidR="00C93929" w:rsidRPr="00D930A0">
        <w:rPr>
          <w:rFonts w:ascii="Arial" w:hAnsi="Arial" w:cs="Arial"/>
          <w:lang w:val="en-ZA"/>
        </w:rPr>
        <w:t xml:space="preserve"> of the PFMA, the Minister of Finance established a juristic person known as the Accounting Standards Board (the ASB). S</w:t>
      </w:r>
      <w:r w:rsidR="000C7263" w:rsidRPr="00D930A0">
        <w:rPr>
          <w:rFonts w:ascii="Arial" w:hAnsi="Arial" w:cs="Arial"/>
          <w:lang w:val="en-ZA"/>
        </w:rPr>
        <w:t>ection 89</w:t>
      </w:r>
      <w:r w:rsidR="00C93929" w:rsidRPr="00D930A0">
        <w:rPr>
          <w:rFonts w:ascii="Arial" w:hAnsi="Arial" w:cs="Arial"/>
          <w:lang w:val="en-ZA"/>
        </w:rPr>
        <w:t>(1) of the PFMA provides that the ASB must set standards of generally recognised accounting practice, as required by s 216(1)</w:t>
      </w:r>
      <w:r w:rsidR="00C93929" w:rsidRPr="00D930A0">
        <w:rPr>
          <w:rFonts w:ascii="Arial" w:hAnsi="Arial" w:cs="Arial"/>
          <w:i/>
          <w:lang w:val="en-ZA"/>
        </w:rPr>
        <w:t xml:space="preserve">(a) </w:t>
      </w:r>
      <w:r w:rsidR="00C93929" w:rsidRPr="00D930A0">
        <w:rPr>
          <w:rFonts w:ascii="Arial" w:hAnsi="Arial" w:cs="Arial"/>
          <w:lang w:val="en-ZA"/>
        </w:rPr>
        <w:t xml:space="preserve">of the Constitution, for the annual financial statements of organs of state. </w:t>
      </w:r>
      <w:r w:rsidR="00FD4F22">
        <w:rPr>
          <w:rFonts w:ascii="Arial" w:hAnsi="Arial" w:cs="Arial"/>
          <w:lang w:val="en-ZA"/>
        </w:rPr>
        <w:t xml:space="preserve">   </w:t>
      </w:r>
      <w:r w:rsidR="00C93929" w:rsidRPr="00D930A0">
        <w:rPr>
          <w:rFonts w:ascii="Arial" w:hAnsi="Arial" w:cs="Arial"/>
          <w:lang w:val="en-ZA"/>
        </w:rPr>
        <w:t>In terms of s 91(1)</w:t>
      </w:r>
      <w:r w:rsidR="00C93929" w:rsidRPr="00D930A0">
        <w:rPr>
          <w:rFonts w:ascii="Arial" w:hAnsi="Arial" w:cs="Arial"/>
          <w:i/>
          <w:lang w:val="en-ZA"/>
        </w:rPr>
        <w:t>(b)</w:t>
      </w:r>
      <w:r w:rsidR="00C93929" w:rsidRPr="00D930A0">
        <w:rPr>
          <w:rFonts w:ascii="Arial" w:hAnsi="Arial" w:cs="Arial"/>
          <w:lang w:val="en-ZA"/>
        </w:rPr>
        <w:t xml:space="preserve"> of the PFMA, the Minister of Finance may, after consulting the</w:t>
      </w:r>
      <w:r w:rsidR="000532CE" w:rsidRPr="00D930A0">
        <w:rPr>
          <w:rFonts w:ascii="Arial" w:hAnsi="Arial" w:cs="Arial"/>
          <w:lang w:val="en-ZA"/>
        </w:rPr>
        <w:t xml:space="preserve"> </w:t>
      </w:r>
      <w:r w:rsidR="002456E0" w:rsidRPr="00D930A0">
        <w:rPr>
          <w:rFonts w:ascii="Arial" w:hAnsi="Arial" w:cs="Arial"/>
          <w:lang w:val="en-ZA"/>
        </w:rPr>
        <w:t xml:space="preserve">      </w:t>
      </w:r>
      <w:r w:rsidR="00C93929" w:rsidRPr="00D930A0">
        <w:rPr>
          <w:rFonts w:ascii="Arial" w:hAnsi="Arial" w:cs="Arial"/>
          <w:lang w:val="en-ZA"/>
        </w:rPr>
        <w:t>Auditor-General, make regulations prescribing the standards set by the ASB under s 89(1). It is common cause that</w:t>
      </w:r>
      <w:r w:rsidR="00670A6A" w:rsidRPr="00D930A0">
        <w:rPr>
          <w:rFonts w:ascii="Arial" w:hAnsi="Arial" w:cs="Arial"/>
          <w:lang w:val="en-ZA"/>
        </w:rPr>
        <w:t>, despite a lengthy passage of time encompassing several audit periods,</w:t>
      </w:r>
      <w:r w:rsidR="00C93929" w:rsidRPr="00D930A0">
        <w:rPr>
          <w:rFonts w:ascii="Arial" w:hAnsi="Arial" w:cs="Arial"/>
          <w:lang w:val="en-ZA"/>
        </w:rPr>
        <w:t xml:space="preserve"> the ASB has not yet set standards of generally recognised accounting practice which are applicable to the issues in this case. However, in terms of s 76 of the</w:t>
      </w:r>
      <w:r w:rsidR="00A74668" w:rsidRPr="00D930A0">
        <w:rPr>
          <w:rFonts w:ascii="Arial" w:hAnsi="Arial" w:cs="Arial"/>
          <w:lang w:val="en-ZA"/>
        </w:rPr>
        <w:t> </w:t>
      </w:r>
      <w:r w:rsidR="00C93929" w:rsidRPr="00D930A0">
        <w:rPr>
          <w:rFonts w:ascii="Arial" w:hAnsi="Arial" w:cs="Arial"/>
          <w:lang w:val="en-ZA"/>
        </w:rPr>
        <w:t>PFMA, the National Treasury may make regulations or issue instructions applicable to departments or to all institutions to which the PFMA applies. On</w:t>
      </w:r>
      <w:r w:rsidR="00670A6A" w:rsidRPr="00D930A0">
        <w:rPr>
          <w:rFonts w:ascii="Arial" w:hAnsi="Arial" w:cs="Arial"/>
          <w:lang w:val="en-ZA"/>
        </w:rPr>
        <w:t xml:space="preserve"> what </w:t>
      </w:r>
      <w:r w:rsidR="009D4C40" w:rsidRPr="00D930A0">
        <w:rPr>
          <w:rFonts w:ascii="Arial" w:hAnsi="Arial" w:cs="Arial"/>
          <w:lang w:val="en-ZA"/>
        </w:rPr>
        <w:t>was</w:t>
      </w:r>
      <w:r w:rsidR="00670A6A" w:rsidRPr="00D930A0">
        <w:rPr>
          <w:rFonts w:ascii="Arial" w:hAnsi="Arial" w:cs="Arial"/>
          <w:lang w:val="en-ZA"/>
        </w:rPr>
        <w:t xml:space="preserve"> presented to</w:t>
      </w:r>
      <w:r w:rsidR="00C93929" w:rsidRPr="00D930A0">
        <w:rPr>
          <w:rFonts w:ascii="Arial" w:hAnsi="Arial" w:cs="Arial"/>
          <w:lang w:val="en-ZA"/>
        </w:rPr>
        <w:t xml:space="preserve"> it, the court a quo held that the Standard had not been afforded legally binding status under s 76. </w:t>
      </w:r>
    </w:p>
    <w:p w14:paraId="69A061A9" w14:textId="77777777" w:rsidR="00C93929" w:rsidRPr="00D930A0" w:rsidRDefault="00C93929" w:rsidP="00BC1C42">
      <w:pPr>
        <w:tabs>
          <w:tab w:val="left" w:pos="284"/>
        </w:tabs>
        <w:spacing w:line="360" w:lineRule="auto"/>
        <w:ind w:left="-426"/>
        <w:jc w:val="both"/>
        <w:rPr>
          <w:rFonts w:ascii="Arial" w:hAnsi="Arial" w:cs="Arial"/>
          <w:lang w:val="en-ZA"/>
        </w:rPr>
      </w:pPr>
    </w:p>
    <w:p w14:paraId="59A6C065" w14:textId="7847FBC6" w:rsidR="00C93929" w:rsidRPr="00D930A0" w:rsidRDefault="00C93929" w:rsidP="00BC1C42">
      <w:pPr>
        <w:tabs>
          <w:tab w:val="left" w:pos="284"/>
        </w:tabs>
        <w:spacing w:line="360" w:lineRule="auto"/>
        <w:ind w:left="-426"/>
        <w:jc w:val="both"/>
        <w:rPr>
          <w:rFonts w:ascii="Arial" w:hAnsi="Arial" w:cs="Arial"/>
          <w:lang w:val="en-ZA"/>
        </w:rPr>
      </w:pPr>
      <w:r w:rsidRPr="00D930A0">
        <w:rPr>
          <w:rFonts w:ascii="Arial" w:hAnsi="Arial" w:cs="Arial"/>
          <w:lang w:val="en-ZA"/>
        </w:rPr>
        <w:t>[8]</w:t>
      </w:r>
      <w:r w:rsidRPr="00D930A0">
        <w:rPr>
          <w:rFonts w:ascii="Arial" w:hAnsi="Arial" w:cs="Arial"/>
          <w:lang w:val="en-ZA"/>
        </w:rPr>
        <w:tab/>
        <w:t>Subsequent to the judgment of the court a quo, however, the Auditor-General discovered that the National Treasury had indeed issued an instruction under s 76 of the</w:t>
      </w:r>
      <w:r w:rsidR="00DE6F61" w:rsidRPr="00D930A0">
        <w:rPr>
          <w:rFonts w:ascii="Arial" w:hAnsi="Arial" w:cs="Arial"/>
          <w:lang w:val="en-ZA"/>
        </w:rPr>
        <w:t> </w:t>
      </w:r>
      <w:r w:rsidRPr="00D930A0">
        <w:rPr>
          <w:rFonts w:ascii="Arial" w:hAnsi="Arial" w:cs="Arial"/>
          <w:lang w:val="en-ZA"/>
        </w:rPr>
        <w:t xml:space="preserve">PFMA that rendered the </w:t>
      </w:r>
      <w:r w:rsidR="00FC32B3" w:rsidRPr="00D930A0">
        <w:rPr>
          <w:rFonts w:ascii="Arial" w:hAnsi="Arial" w:cs="Arial"/>
          <w:lang w:val="en-ZA"/>
        </w:rPr>
        <w:t>S</w:t>
      </w:r>
      <w:r w:rsidRPr="00D930A0">
        <w:rPr>
          <w:rFonts w:ascii="Arial" w:hAnsi="Arial" w:cs="Arial"/>
          <w:lang w:val="en-ZA"/>
        </w:rPr>
        <w:t xml:space="preserve">tandard legally binding on all </w:t>
      </w:r>
      <w:r w:rsidR="00184743" w:rsidRPr="00D930A0">
        <w:rPr>
          <w:rFonts w:ascii="Arial" w:hAnsi="Arial" w:cs="Arial"/>
          <w:lang w:val="en-ZA"/>
        </w:rPr>
        <w:t xml:space="preserve">departments </w:t>
      </w:r>
      <w:r w:rsidR="00FC32B3" w:rsidRPr="00D930A0">
        <w:rPr>
          <w:rFonts w:ascii="Arial" w:hAnsi="Arial" w:cs="Arial"/>
          <w:lang w:val="en-ZA"/>
        </w:rPr>
        <w:t>and any other entity that is required by the National Treasury or the law to comply with the Standard.</w:t>
      </w:r>
      <w:r w:rsidR="00184743" w:rsidRPr="00D930A0">
        <w:rPr>
          <w:rFonts w:ascii="Arial" w:hAnsi="Arial" w:cs="Arial"/>
          <w:lang w:val="en-ZA"/>
        </w:rPr>
        <w:t xml:space="preserve"> </w:t>
      </w:r>
      <w:r w:rsidR="002456E0" w:rsidRPr="00D930A0">
        <w:rPr>
          <w:rFonts w:ascii="Arial" w:hAnsi="Arial" w:cs="Arial"/>
          <w:lang w:val="en-ZA"/>
        </w:rPr>
        <w:t xml:space="preserve">   </w:t>
      </w:r>
      <w:r w:rsidRPr="00D930A0">
        <w:rPr>
          <w:rFonts w:ascii="Arial" w:hAnsi="Arial" w:cs="Arial"/>
          <w:lang w:val="en-ZA"/>
        </w:rPr>
        <w:t xml:space="preserve">This took place on 26 March 2015, when a duly authorised official of the National Treasury issued National Treasury Instruction No 6 of 2014/2015. The Auditor-General applied for leave to adduce further evidence on appeal by, in essence, placing the instruction before the </w:t>
      </w:r>
      <w:r w:rsidR="00184743" w:rsidRPr="00D930A0">
        <w:rPr>
          <w:rFonts w:ascii="Arial" w:hAnsi="Arial" w:cs="Arial"/>
          <w:lang w:val="en-ZA"/>
        </w:rPr>
        <w:t xml:space="preserve">court. The MEC, </w:t>
      </w:r>
      <w:r w:rsidRPr="00D930A0">
        <w:rPr>
          <w:rFonts w:ascii="Arial" w:hAnsi="Arial" w:cs="Arial"/>
          <w:lang w:val="en-ZA"/>
        </w:rPr>
        <w:t>properly in the circumstance</w:t>
      </w:r>
      <w:r w:rsidR="000C7263" w:rsidRPr="00D930A0">
        <w:rPr>
          <w:rFonts w:ascii="Arial" w:hAnsi="Arial" w:cs="Arial"/>
          <w:lang w:val="en-ZA"/>
        </w:rPr>
        <w:t>s</w:t>
      </w:r>
      <w:r w:rsidRPr="00D930A0">
        <w:rPr>
          <w:rFonts w:ascii="Arial" w:hAnsi="Arial" w:cs="Arial"/>
          <w:lang w:val="en-ZA"/>
        </w:rPr>
        <w:t>, did not oppose the application and it was duly granted at the commencement of the hearing of the appeal. In consequence, the</w:t>
      </w:r>
      <w:r w:rsidR="00BB4DEE" w:rsidRPr="00D930A0">
        <w:rPr>
          <w:rFonts w:ascii="Arial" w:hAnsi="Arial" w:cs="Arial"/>
          <w:lang w:val="en-ZA"/>
        </w:rPr>
        <w:t> </w:t>
      </w:r>
      <w:r w:rsidRPr="00D930A0">
        <w:rPr>
          <w:rFonts w:ascii="Arial" w:hAnsi="Arial" w:cs="Arial"/>
          <w:lang w:val="en-ZA"/>
        </w:rPr>
        <w:t xml:space="preserve">MEC accepted </w:t>
      </w:r>
      <w:r w:rsidR="00BC4346" w:rsidRPr="00D930A0">
        <w:rPr>
          <w:rFonts w:ascii="Arial" w:hAnsi="Arial" w:cs="Arial"/>
          <w:lang w:val="en-ZA"/>
        </w:rPr>
        <w:t xml:space="preserve">before us </w:t>
      </w:r>
      <w:r w:rsidRPr="00D930A0">
        <w:rPr>
          <w:rFonts w:ascii="Arial" w:hAnsi="Arial" w:cs="Arial"/>
          <w:lang w:val="en-ZA"/>
        </w:rPr>
        <w:t xml:space="preserve">that the Department </w:t>
      </w:r>
      <w:r w:rsidR="00184743" w:rsidRPr="00D930A0">
        <w:rPr>
          <w:rFonts w:ascii="Arial" w:hAnsi="Arial" w:cs="Arial"/>
          <w:lang w:val="en-ZA"/>
        </w:rPr>
        <w:t xml:space="preserve">had </w:t>
      </w:r>
      <w:r w:rsidRPr="00D930A0">
        <w:rPr>
          <w:rFonts w:ascii="Arial" w:hAnsi="Arial" w:cs="Arial"/>
          <w:lang w:val="en-ZA"/>
        </w:rPr>
        <w:t>at all relevant times</w:t>
      </w:r>
      <w:r w:rsidR="00184743" w:rsidRPr="00D930A0">
        <w:rPr>
          <w:rFonts w:ascii="Arial" w:hAnsi="Arial" w:cs="Arial"/>
          <w:lang w:val="en-ZA"/>
        </w:rPr>
        <w:t xml:space="preserve"> been</w:t>
      </w:r>
      <w:r w:rsidRPr="00D930A0">
        <w:rPr>
          <w:rFonts w:ascii="Arial" w:hAnsi="Arial" w:cs="Arial"/>
          <w:lang w:val="en-ZA"/>
        </w:rPr>
        <w:t xml:space="preserve"> bound in law to comply with the </w:t>
      </w:r>
      <w:r w:rsidR="00184743" w:rsidRPr="00D930A0">
        <w:rPr>
          <w:rFonts w:ascii="Arial" w:hAnsi="Arial" w:cs="Arial"/>
          <w:lang w:val="en-ZA"/>
        </w:rPr>
        <w:t>S</w:t>
      </w:r>
      <w:r w:rsidRPr="00D930A0">
        <w:rPr>
          <w:rFonts w:ascii="Arial" w:hAnsi="Arial" w:cs="Arial"/>
          <w:lang w:val="en-ZA"/>
        </w:rPr>
        <w:t xml:space="preserve">tandard in the compilation of its financial statements. </w:t>
      </w:r>
    </w:p>
    <w:p w14:paraId="1C26B764" w14:textId="77777777" w:rsidR="000C7263" w:rsidRPr="00D930A0" w:rsidRDefault="000C7263" w:rsidP="00BC1C42">
      <w:pPr>
        <w:tabs>
          <w:tab w:val="left" w:pos="284"/>
        </w:tabs>
        <w:spacing w:line="360" w:lineRule="auto"/>
        <w:ind w:left="-426"/>
        <w:jc w:val="both"/>
        <w:rPr>
          <w:rFonts w:ascii="Arial" w:hAnsi="Arial" w:cs="Arial"/>
          <w:lang w:val="en-ZA"/>
        </w:rPr>
      </w:pPr>
    </w:p>
    <w:p w14:paraId="1BF68BE9" w14:textId="78E0B8EE" w:rsidR="00184743" w:rsidRPr="00D930A0" w:rsidRDefault="000C7263" w:rsidP="006A3462">
      <w:pPr>
        <w:tabs>
          <w:tab w:val="left" w:pos="284"/>
        </w:tabs>
        <w:spacing w:line="360" w:lineRule="auto"/>
        <w:ind w:left="-426"/>
        <w:jc w:val="both"/>
        <w:rPr>
          <w:rFonts w:ascii="Arial" w:hAnsi="Arial" w:cs="Arial"/>
          <w:lang w:val="en-ZA"/>
        </w:rPr>
      </w:pPr>
      <w:r w:rsidRPr="00D930A0">
        <w:rPr>
          <w:rFonts w:ascii="Arial" w:hAnsi="Arial" w:cs="Arial"/>
          <w:lang w:val="en-ZA"/>
        </w:rPr>
        <w:t>[9]</w:t>
      </w:r>
      <w:r w:rsidRPr="00D930A0">
        <w:rPr>
          <w:rFonts w:ascii="Arial" w:hAnsi="Arial" w:cs="Arial"/>
          <w:lang w:val="en-ZA"/>
        </w:rPr>
        <w:tab/>
      </w:r>
      <w:r w:rsidR="006A3462" w:rsidRPr="00D930A0">
        <w:rPr>
          <w:rFonts w:ascii="Arial" w:hAnsi="Arial" w:cs="Arial"/>
          <w:lang w:val="en-ZA"/>
        </w:rPr>
        <w:t xml:space="preserve">The Standard is a comprehensive document. The chapter ‘Expenditure’ sets out the categories of expenditure of a department. These are: current payments, comprising compensation of employees, goods and services and interest and rent on land; transfers and subsidies; payments for capital assets; and payments for financial assets. It provides </w:t>
      </w:r>
      <w:r w:rsidR="006A3462" w:rsidRPr="00D930A0">
        <w:rPr>
          <w:rFonts w:ascii="Arial" w:hAnsi="Arial" w:cs="Arial"/>
          <w:lang w:val="en-ZA"/>
        </w:rPr>
        <w:lastRenderedPageBreak/>
        <w:t xml:space="preserve">that the Department shall recognise expenditure in its financial statements on the date of payment. It proceeds to stipulate the particulars that a department shall disclose with regards to each category of expenditure. </w:t>
      </w:r>
    </w:p>
    <w:p w14:paraId="5118AC76" w14:textId="32D97923" w:rsidR="00184743" w:rsidRPr="00D930A0" w:rsidRDefault="00184743" w:rsidP="006A3462">
      <w:pPr>
        <w:tabs>
          <w:tab w:val="left" w:pos="284"/>
        </w:tabs>
        <w:spacing w:line="360" w:lineRule="auto"/>
        <w:ind w:left="-426"/>
        <w:jc w:val="both"/>
        <w:rPr>
          <w:rFonts w:ascii="Arial" w:hAnsi="Arial" w:cs="Arial"/>
          <w:lang w:val="en-ZA"/>
        </w:rPr>
      </w:pPr>
    </w:p>
    <w:p w14:paraId="5C08FC05" w14:textId="16459586" w:rsidR="00184743" w:rsidRPr="00D930A0" w:rsidRDefault="00184743" w:rsidP="006A3462">
      <w:pPr>
        <w:tabs>
          <w:tab w:val="left" w:pos="284"/>
        </w:tabs>
        <w:spacing w:line="360" w:lineRule="auto"/>
        <w:ind w:left="-426"/>
        <w:jc w:val="both"/>
        <w:rPr>
          <w:rFonts w:ascii="Arial" w:hAnsi="Arial" w:cs="Arial"/>
          <w:b/>
          <w:lang w:val="en-ZA"/>
        </w:rPr>
      </w:pPr>
      <w:r w:rsidRPr="00D930A0">
        <w:rPr>
          <w:rFonts w:ascii="Arial" w:hAnsi="Arial" w:cs="Arial"/>
          <w:b/>
          <w:lang w:val="en-ZA"/>
        </w:rPr>
        <w:t>Principal-agent relationships?</w:t>
      </w:r>
    </w:p>
    <w:p w14:paraId="0AF24059" w14:textId="51EBA43C" w:rsidR="006A3462" w:rsidRPr="00D930A0" w:rsidRDefault="00184743" w:rsidP="006A3462">
      <w:pPr>
        <w:tabs>
          <w:tab w:val="left" w:pos="284"/>
        </w:tabs>
        <w:spacing w:line="360" w:lineRule="auto"/>
        <w:ind w:left="-426"/>
        <w:jc w:val="both"/>
        <w:rPr>
          <w:rFonts w:ascii="Arial" w:hAnsi="Arial" w:cs="Arial"/>
          <w:lang w:val="en-ZA"/>
        </w:rPr>
      </w:pPr>
      <w:r w:rsidRPr="00D930A0">
        <w:rPr>
          <w:rFonts w:ascii="Arial" w:hAnsi="Arial" w:cs="Arial"/>
          <w:lang w:val="en-ZA"/>
        </w:rPr>
        <w:t>[10]</w:t>
      </w:r>
      <w:r w:rsidRPr="00D930A0">
        <w:rPr>
          <w:rFonts w:ascii="Arial" w:hAnsi="Arial" w:cs="Arial"/>
          <w:lang w:val="en-ZA"/>
        </w:rPr>
        <w:tab/>
      </w:r>
      <w:r w:rsidR="006A3462" w:rsidRPr="00D930A0">
        <w:rPr>
          <w:rFonts w:ascii="Arial" w:hAnsi="Arial" w:cs="Arial"/>
          <w:lang w:val="en-ZA"/>
        </w:rPr>
        <w:t xml:space="preserve">As I have said, the issue is whether the Department properly </w:t>
      </w:r>
      <w:r w:rsidR="003B7622" w:rsidRPr="00D930A0">
        <w:rPr>
          <w:rFonts w:ascii="Arial" w:hAnsi="Arial" w:cs="Arial"/>
          <w:lang w:val="en-ZA"/>
        </w:rPr>
        <w:t xml:space="preserve">categorised the payments to Casidra and Hortgro as transfers, rather than as payments for goods and services, as </w:t>
      </w:r>
      <w:r w:rsidR="00BC4346" w:rsidRPr="00D930A0">
        <w:rPr>
          <w:rFonts w:ascii="Arial" w:hAnsi="Arial" w:cs="Arial"/>
          <w:lang w:val="en-ZA"/>
        </w:rPr>
        <w:t>contended for by the Auditor-General</w:t>
      </w:r>
      <w:r w:rsidR="003B7622" w:rsidRPr="00D930A0">
        <w:rPr>
          <w:rFonts w:ascii="Arial" w:hAnsi="Arial" w:cs="Arial"/>
          <w:lang w:val="en-ZA"/>
        </w:rPr>
        <w:t xml:space="preserve">. On the facts of this case, the contention of the Auditor-General is wholly dependent on the existence of principal-agent relationships between the Department and Casidra and Hortgro respectively, within the meaning of the Standard. The Standard deals with this subject in the </w:t>
      </w:r>
      <w:r w:rsidRPr="00D930A0">
        <w:rPr>
          <w:rFonts w:ascii="Arial" w:hAnsi="Arial" w:cs="Arial"/>
          <w:lang w:val="en-ZA"/>
        </w:rPr>
        <w:t>c</w:t>
      </w:r>
      <w:r w:rsidR="003B7622" w:rsidRPr="00D930A0">
        <w:rPr>
          <w:rFonts w:ascii="Arial" w:hAnsi="Arial" w:cs="Arial"/>
          <w:lang w:val="en-ZA"/>
        </w:rPr>
        <w:t xml:space="preserve">hapter ‘Accounting by Principals and Agents’. </w:t>
      </w:r>
    </w:p>
    <w:p w14:paraId="4D47B89D" w14:textId="77777777" w:rsidR="003B7622" w:rsidRPr="00D930A0" w:rsidRDefault="003B7622" w:rsidP="006A3462">
      <w:pPr>
        <w:tabs>
          <w:tab w:val="left" w:pos="284"/>
        </w:tabs>
        <w:spacing w:line="360" w:lineRule="auto"/>
        <w:ind w:left="-426"/>
        <w:jc w:val="both"/>
        <w:rPr>
          <w:rFonts w:ascii="Arial" w:hAnsi="Arial" w:cs="Arial"/>
          <w:lang w:val="en-ZA"/>
        </w:rPr>
      </w:pPr>
    </w:p>
    <w:p w14:paraId="456DDF51" w14:textId="79576185" w:rsidR="003B7622" w:rsidRPr="00D930A0" w:rsidRDefault="003B7622"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1</w:t>
      </w:r>
      <w:r w:rsidRPr="00D930A0">
        <w:rPr>
          <w:rFonts w:ascii="Arial" w:hAnsi="Arial" w:cs="Arial"/>
          <w:lang w:val="en-ZA"/>
        </w:rPr>
        <w:t>]</w:t>
      </w:r>
      <w:r w:rsidRPr="00D930A0">
        <w:rPr>
          <w:rFonts w:ascii="Arial" w:hAnsi="Arial" w:cs="Arial"/>
          <w:lang w:val="en-ZA"/>
        </w:rPr>
        <w:tab/>
        <w:t>The term ‘agency’ has a variety of meanings, depending on the context in which it is used. It may, for instance, be used to denote a contract of mandate. There a person (the</w:t>
      </w:r>
      <w:r w:rsidR="00681BED" w:rsidRPr="00D930A0">
        <w:rPr>
          <w:rFonts w:ascii="Arial" w:hAnsi="Arial" w:cs="Arial"/>
          <w:lang w:val="en-ZA"/>
        </w:rPr>
        <w:t> </w:t>
      </w:r>
      <w:r w:rsidRPr="00D930A0">
        <w:rPr>
          <w:rFonts w:ascii="Arial" w:hAnsi="Arial" w:cs="Arial"/>
          <w:lang w:val="en-ZA"/>
        </w:rPr>
        <w:t xml:space="preserve">principal) contracts with another (the agent) to perform some task, such as to find a buyer for the principal’s property or to </w:t>
      </w:r>
      <w:r w:rsidR="00962E1E" w:rsidRPr="00D930A0">
        <w:rPr>
          <w:rFonts w:ascii="Arial" w:hAnsi="Arial" w:cs="Arial"/>
          <w:lang w:val="en-ZA"/>
        </w:rPr>
        <w:t>re</w:t>
      </w:r>
      <w:r w:rsidRPr="00D930A0">
        <w:rPr>
          <w:rFonts w:ascii="Arial" w:hAnsi="Arial" w:cs="Arial"/>
          <w:lang w:val="en-ZA"/>
        </w:rPr>
        <w:t xml:space="preserve">present the principal in legal proceedings. </w:t>
      </w:r>
      <w:r w:rsidR="002456E0" w:rsidRPr="00D930A0">
        <w:rPr>
          <w:rFonts w:ascii="Arial" w:hAnsi="Arial" w:cs="Arial"/>
          <w:lang w:val="en-ZA"/>
        </w:rPr>
        <w:t xml:space="preserve">                 </w:t>
      </w:r>
      <w:r w:rsidRPr="00D930A0">
        <w:rPr>
          <w:rFonts w:ascii="Arial" w:hAnsi="Arial" w:cs="Arial"/>
          <w:lang w:val="en-ZA"/>
        </w:rPr>
        <w:t xml:space="preserve">A mandate is a contract by which the principal and the agent create rights and obligations only between them. It does not involve legal relationships with third parties. See </w:t>
      </w:r>
      <w:r w:rsidR="007036E1" w:rsidRPr="00D930A0">
        <w:rPr>
          <w:rFonts w:ascii="Arial" w:hAnsi="Arial" w:cs="Arial"/>
          <w:lang w:val="en-ZA"/>
        </w:rPr>
        <w:t xml:space="preserve">1 </w:t>
      </w:r>
      <w:r w:rsidR="007036E1" w:rsidRPr="00D930A0">
        <w:rPr>
          <w:rFonts w:ascii="Arial" w:hAnsi="Arial" w:cs="Arial"/>
          <w:i/>
          <w:lang w:val="en-ZA"/>
        </w:rPr>
        <w:t>Lawsa</w:t>
      </w:r>
      <w:r w:rsidRPr="00D930A0">
        <w:rPr>
          <w:rFonts w:ascii="Arial" w:hAnsi="Arial" w:cs="Arial"/>
          <w:i/>
          <w:lang w:val="en-ZA"/>
        </w:rPr>
        <w:t xml:space="preserve"> </w:t>
      </w:r>
      <w:r w:rsidR="00907A7E" w:rsidRPr="00D930A0">
        <w:rPr>
          <w:rFonts w:ascii="Arial" w:hAnsi="Arial" w:cs="Arial"/>
          <w:i/>
          <w:lang w:val="en-ZA"/>
        </w:rPr>
        <w:t xml:space="preserve"> </w:t>
      </w:r>
      <w:r w:rsidRPr="00D930A0">
        <w:rPr>
          <w:rFonts w:ascii="Arial" w:hAnsi="Arial" w:cs="Arial"/>
          <w:lang w:val="en-ZA"/>
        </w:rPr>
        <w:t>3</w:t>
      </w:r>
      <w:r w:rsidR="007036E1" w:rsidRPr="00D930A0">
        <w:rPr>
          <w:rFonts w:ascii="Arial" w:hAnsi="Arial" w:cs="Arial"/>
          <w:lang w:val="en-ZA"/>
        </w:rPr>
        <w:t xml:space="preserve"> ed </w:t>
      </w:r>
      <w:r w:rsidRPr="00D930A0">
        <w:rPr>
          <w:rFonts w:ascii="Arial" w:hAnsi="Arial" w:cs="Arial"/>
          <w:lang w:val="en-ZA"/>
        </w:rPr>
        <w:t xml:space="preserve">para 125. </w:t>
      </w:r>
    </w:p>
    <w:p w14:paraId="2DE80D0A" w14:textId="77777777" w:rsidR="003B7622" w:rsidRPr="00D930A0" w:rsidRDefault="003B7622" w:rsidP="006A3462">
      <w:pPr>
        <w:tabs>
          <w:tab w:val="left" w:pos="284"/>
        </w:tabs>
        <w:spacing w:line="360" w:lineRule="auto"/>
        <w:ind w:left="-426"/>
        <w:jc w:val="both"/>
        <w:rPr>
          <w:rFonts w:ascii="Arial" w:hAnsi="Arial" w:cs="Arial"/>
          <w:lang w:val="en-ZA"/>
        </w:rPr>
      </w:pPr>
    </w:p>
    <w:p w14:paraId="1F792797" w14:textId="2099F953" w:rsidR="003B7622" w:rsidRPr="00D930A0" w:rsidRDefault="003B7622"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2</w:t>
      </w:r>
      <w:r w:rsidRPr="00D930A0">
        <w:rPr>
          <w:rFonts w:ascii="Arial" w:hAnsi="Arial" w:cs="Arial"/>
          <w:lang w:val="en-ZA"/>
        </w:rPr>
        <w:t>]</w:t>
      </w:r>
      <w:r w:rsidRPr="00D930A0">
        <w:rPr>
          <w:rFonts w:ascii="Arial" w:hAnsi="Arial" w:cs="Arial"/>
          <w:lang w:val="en-ZA"/>
        </w:rPr>
        <w:tab/>
        <w:t>The expression is particularly used in respect of the</w:t>
      </w:r>
      <w:r w:rsidR="00695F69" w:rsidRPr="00D930A0">
        <w:rPr>
          <w:rFonts w:ascii="Arial" w:hAnsi="Arial" w:cs="Arial"/>
          <w:lang w:val="en-ZA"/>
        </w:rPr>
        <w:t xml:space="preserve"> phenomenon of representation. In s</w:t>
      </w:r>
      <w:r w:rsidRPr="00D930A0">
        <w:rPr>
          <w:rFonts w:ascii="Arial" w:hAnsi="Arial" w:cs="Arial"/>
          <w:lang w:val="en-ZA"/>
        </w:rPr>
        <w:t xml:space="preserve">uch a case, a person (the agent) is authorised by another (the principal) to create, alter or discharge legal relationships between the principal and third parties. The essential characteristic of agency in the form of representation </w:t>
      </w:r>
      <w:r w:rsidR="00477228" w:rsidRPr="00D930A0">
        <w:rPr>
          <w:rFonts w:ascii="Arial" w:hAnsi="Arial" w:cs="Arial"/>
          <w:lang w:val="en-ZA"/>
        </w:rPr>
        <w:t xml:space="preserve">is that authority is conferred on the agent to bind the principal to third parties. See </w:t>
      </w:r>
      <w:r w:rsidR="00D83012" w:rsidRPr="00D930A0">
        <w:rPr>
          <w:rFonts w:ascii="Arial" w:hAnsi="Arial" w:cs="Arial"/>
          <w:lang w:val="en-ZA"/>
        </w:rPr>
        <w:t xml:space="preserve">J M Silke </w:t>
      </w:r>
      <w:r w:rsidR="005A300D" w:rsidRPr="00D930A0">
        <w:rPr>
          <w:rFonts w:ascii="Arial" w:hAnsi="Arial" w:cs="Arial"/>
          <w:i/>
          <w:lang w:val="en-ZA"/>
        </w:rPr>
        <w:t>De Villiers and M</w:t>
      </w:r>
      <w:r w:rsidR="00000D60" w:rsidRPr="00D930A0">
        <w:rPr>
          <w:rFonts w:ascii="Arial" w:hAnsi="Arial" w:cs="Arial"/>
          <w:i/>
          <w:lang w:val="en-ZA"/>
        </w:rPr>
        <w:t>a</w:t>
      </w:r>
      <w:r w:rsidR="005A300D" w:rsidRPr="00D930A0">
        <w:rPr>
          <w:rFonts w:ascii="Arial" w:hAnsi="Arial" w:cs="Arial"/>
          <w:i/>
          <w:lang w:val="en-ZA"/>
        </w:rPr>
        <w:t>c</w:t>
      </w:r>
      <w:r w:rsidR="007036E1" w:rsidRPr="00D930A0">
        <w:rPr>
          <w:rFonts w:ascii="Arial" w:hAnsi="Arial" w:cs="Arial"/>
          <w:i/>
          <w:lang w:val="en-ZA"/>
        </w:rPr>
        <w:t>i</w:t>
      </w:r>
      <w:r w:rsidR="00477228" w:rsidRPr="00D930A0">
        <w:rPr>
          <w:rFonts w:ascii="Arial" w:hAnsi="Arial" w:cs="Arial"/>
          <w:i/>
          <w:lang w:val="en-ZA"/>
        </w:rPr>
        <w:t>ntosh</w:t>
      </w:r>
      <w:r w:rsidR="00477228" w:rsidRPr="00D930A0">
        <w:rPr>
          <w:rFonts w:ascii="Arial" w:hAnsi="Arial" w:cs="Arial"/>
          <w:lang w:val="en-ZA"/>
        </w:rPr>
        <w:t>,</w:t>
      </w:r>
      <w:r w:rsidR="005A300D" w:rsidRPr="00D930A0">
        <w:rPr>
          <w:rFonts w:ascii="Arial" w:hAnsi="Arial" w:cs="Arial"/>
          <w:i/>
          <w:lang w:val="en-ZA"/>
        </w:rPr>
        <w:t xml:space="preserve"> </w:t>
      </w:r>
      <w:r w:rsidR="00907A7E" w:rsidRPr="00D930A0">
        <w:rPr>
          <w:rFonts w:ascii="Arial" w:hAnsi="Arial" w:cs="Arial"/>
          <w:i/>
          <w:lang w:val="en-ZA"/>
        </w:rPr>
        <w:t xml:space="preserve">           </w:t>
      </w:r>
      <w:r w:rsidR="005A300D" w:rsidRPr="00D930A0">
        <w:rPr>
          <w:rFonts w:ascii="Arial" w:hAnsi="Arial" w:cs="Arial"/>
          <w:i/>
          <w:lang w:val="en-ZA"/>
        </w:rPr>
        <w:t>The Law of A</w:t>
      </w:r>
      <w:r w:rsidR="00477228" w:rsidRPr="00D930A0">
        <w:rPr>
          <w:rFonts w:ascii="Arial" w:hAnsi="Arial" w:cs="Arial"/>
          <w:i/>
          <w:lang w:val="en-ZA"/>
        </w:rPr>
        <w:t xml:space="preserve">gency in South Africa, </w:t>
      </w:r>
      <w:r w:rsidR="00477228" w:rsidRPr="00D930A0">
        <w:rPr>
          <w:rFonts w:ascii="Arial" w:hAnsi="Arial" w:cs="Arial"/>
          <w:lang w:val="en-ZA"/>
        </w:rPr>
        <w:t xml:space="preserve">3 ed </w:t>
      </w:r>
      <w:r w:rsidR="007036E1" w:rsidRPr="00D930A0">
        <w:rPr>
          <w:rFonts w:ascii="Arial" w:hAnsi="Arial" w:cs="Arial"/>
          <w:lang w:val="en-ZA"/>
        </w:rPr>
        <w:t xml:space="preserve">(1981) at </w:t>
      </w:r>
      <w:r w:rsidR="00477228" w:rsidRPr="00D930A0">
        <w:rPr>
          <w:rFonts w:ascii="Arial" w:hAnsi="Arial" w:cs="Arial"/>
          <w:lang w:val="en-ZA"/>
        </w:rPr>
        <w:t>38-39</w:t>
      </w:r>
      <w:r w:rsidR="005A300D" w:rsidRPr="00D930A0">
        <w:rPr>
          <w:rFonts w:ascii="Arial" w:hAnsi="Arial" w:cs="Arial"/>
          <w:lang w:val="en-ZA"/>
        </w:rPr>
        <w:t>.</w:t>
      </w:r>
    </w:p>
    <w:p w14:paraId="4C6EBE55" w14:textId="77777777" w:rsidR="005A300D" w:rsidRPr="00D930A0" w:rsidRDefault="005A300D" w:rsidP="006A3462">
      <w:pPr>
        <w:tabs>
          <w:tab w:val="left" w:pos="284"/>
        </w:tabs>
        <w:spacing w:line="360" w:lineRule="auto"/>
        <w:ind w:left="-426"/>
        <w:jc w:val="both"/>
        <w:rPr>
          <w:rFonts w:ascii="Arial" w:hAnsi="Arial" w:cs="Arial"/>
          <w:lang w:val="en-ZA"/>
        </w:rPr>
      </w:pPr>
    </w:p>
    <w:p w14:paraId="4F889B25" w14:textId="31DE2610" w:rsidR="005A300D" w:rsidRPr="00D930A0" w:rsidRDefault="005A300D"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3</w:t>
      </w:r>
      <w:r w:rsidRPr="00D930A0">
        <w:rPr>
          <w:rFonts w:ascii="Arial" w:hAnsi="Arial" w:cs="Arial"/>
          <w:lang w:val="en-ZA"/>
        </w:rPr>
        <w:t>]</w:t>
      </w:r>
      <w:r w:rsidRPr="00D930A0">
        <w:rPr>
          <w:rFonts w:ascii="Arial" w:hAnsi="Arial" w:cs="Arial"/>
          <w:lang w:val="en-ZA"/>
        </w:rPr>
        <w:tab/>
      </w:r>
      <w:r w:rsidR="007741D5" w:rsidRPr="00D930A0">
        <w:rPr>
          <w:rFonts w:ascii="Arial" w:hAnsi="Arial" w:cs="Arial"/>
          <w:lang w:val="en-ZA"/>
        </w:rPr>
        <w:t xml:space="preserve">Counsel for the Auditor-General conceded that the Standard’s </w:t>
      </w:r>
      <w:r w:rsidR="00184743" w:rsidRPr="00D930A0">
        <w:rPr>
          <w:rFonts w:ascii="Arial" w:hAnsi="Arial" w:cs="Arial"/>
          <w:lang w:val="en-ZA"/>
        </w:rPr>
        <w:t>c</w:t>
      </w:r>
      <w:r w:rsidR="007741D5" w:rsidRPr="00D930A0">
        <w:rPr>
          <w:rFonts w:ascii="Arial" w:hAnsi="Arial" w:cs="Arial"/>
          <w:lang w:val="en-ZA"/>
        </w:rPr>
        <w:t>hapter ‘Accounting</w:t>
      </w:r>
      <w:r w:rsidR="00C9043B" w:rsidRPr="00D930A0">
        <w:rPr>
          <w:rFonts w:ascii="Arial" w:hAnsi="Arial" w:cs="Arial"/>
          <w:lang w:val="en-ZA"/>
        </w:rPr>
        <w:t> </w:t>
      </w:r>
      <w:r w:rsidR="007741D5" w:rsidRPr="00D930A0">
        <w:rPr>
          <w:rFonts w:ascii="Arial" w:hAnsi="Arial" w:cs="Arial"/>
          <w:lang w:val="en-ZA"/>
        </w:rPr>
        <w:t>by Principals and Agents’ envisages principal-agent relationship</w:t>
      </w:r>
      <w:r w:rsidR="00695F69" w:rsidRPr="00D930A0">
        <w:rPr>
          <w:rFonts w:ascii="Arial" w:hAnsi="Arial" w:cs="Arial"/>
          <w:lang w:val="en-ZA"/>
        </w:rPr>
        <w:t>s</w:t>
      </w:r>
      <w:r w:rsidR="007741D5" w:rsidRPr="00D930A0">
        <w:rPr>
          <w:rFonts w:ascii="Arial" w:hAnsi="Arial" w:cs="Arial"/>
          <w:lang w:val="en-ZA"/>
        </w:rPr>
        <w:t xml:space="preserve"> in the form of representation. That this contention was correct, is </w:t>
      </w:r>
      <w:r w:rsidR="00695F69" w:rsidRPr="00D930A0">
        <w:rPr>
          <w:rFonts w:ascii="Arial" w:hAnsi="Arial" w:cs="Arial"/>
          <w:lang w:val="en-ZA"/>
        </w:rPr>
        <w:t>amply</w:t>
      </w:r>
      <w:r w:rsidR="007741D5" w:rsidRPr="00D930A0">
        <w:rPr>
          <w:rFonts w:ascii="Arial" w:hAnsi="Arial" w:cs="Arial"/>
          <w:lang w:val="en-ZA"/>
        </w:rPr>
        <w:t xml:space="preserve"> borne</w:t>
      </w:r>
      <w:r w:rsidR="009D4C40" w:rsidRPr="00D930A0">
        <w:rPr>
          <w:rFonts w:ascii="Arial" w:hAnsi="Arial" w:cs="Arial"/>
          <w:lang w:val="en-ZA"/>
        </w:rPr>
        <w:t xml:space="preserve"> out by the provisions of this c</w:t>
      </w:r>
      <w:r w:rsidR="007741D5" w:rsidRPr="00D930A0">
        <w:rPr>
          <w:rFonts w:ascii="Arial" w:hAnsi="Arial" w:cs="Arial"/>
          <w:lang w:val="en-ZA"/>
        </w:rPr>
        <w:t>hapter of the Standard. I content myself with reference to the following:</w:t>
      </w:r>
    </w:p>
    <w:p w14:paraId="3A0BEF9E" w14:textId="77777777" w:rsidR="00695F69" w:rsidRPr="00D930A0" w:rsidRDefault="007741D5" w:rsidP="006A346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w:t>
      </w:r>
      <w:r w:rsidR="00695F69" w:rsidRPr="00D930A0">
        <w:rPr>
          <w:rFonts w:ascii="Arial" w:hAnsi="Arial" w:cs="Arial"/>
          <w:sz w:val="22"/>
          <w:szCs w:val="22"/>
          <w:lang w:val="en-ZA"/>
        </w:rPr>
        <w:t>Definitions</w:t>
      </w:r>
    </w:p>
    <w:p w14:paraId="5D27389F" w14:textId="4D4FFFAC" w:rsidR="00695F69" w:rsidRPr="00D930A0" w:rsidRDefault="008545B9" w:rsidP="00E86477">
      <w:pPr>
        <w:tabs>
          <w:tab w:val="left" w:pos="284"/>
        </w:tabs>
        <w:spacing w:after="120" w:line="360" w:lineRule="auto"/>
        <w:ind w:left="-425"/>
        <w:jc w:val="both"/>
        <w:rPr>
          <w:rFonts w:ascii="Arial" w:hAnsi="Arial" w:cs="Arial"/>
          <w:b/>
          <w:i/>
          <w:sz w:val="22"/>
          <w:szCs w:val="22"/>
          <w:lang w:val="en-ZA"/>
        </w:rPr>
      </w:pPr>
      <w:r w:rsidRPr="00D930A0">
        <w:rPr>
          <w:rFonts w:ascii="Arial" w:hAnsi="Arial" w:cs="Arial"/>
          <w:sz w:val="22"/>
          <w:szCs w:val="22"/>
          <w:lang w:val="en-ZA"/>
        </w:rPr>
        <w:lastRenderedPageBreak/>
        <w:t>.06</w:t>
      </w:r>
      <w:r w:rsidR="00E86477" w:rsidRPr="00D930A0">
        <w:rPr>
          <w:rFonts w:ascii="Arial" w:hAnsi="Arial" w:cs="Arial"/>
          <w:sz w:val="22"/>
          <w:szCs w:val="22"/>
          <w:lang w:val="en-ZA"/>
        </w:rPr>
        <w:tab/>
      </w:r>
      <w:r w:rsidR="00695F69" w:rsidRPr="00D930A0">
        <w:rPr>
          <w:rFonts w:ascii="Arial" w:hAnsi="Arial" w:cs="Arial"/>
          <w:b/>
          <w:i/>
          <w:sz w:val="22"/>
          <w:szCs w:val="22"/>
          <w:lang w:val="en-ZA"/>
        </w:rPr>
        <w:t xml:space="preserve">The following terms are used in this </w:t>
      </w:r>
      <w:r w:rsidR="00600947" w:rsidRPr="00D930A0">
        <w:rPr>
          <w:rFonts w:ascii="Arial" w:hAnsi="Arial" w:cs="Arial"/>
          <w:b/>
          <w:i/>
          <w:sz w:val="22"/>
          <w:szCs w:val="22"/>
          <w:lang w:val="en-ZA"/>
        </w:rPr>
        <w:t>C</w:t>
      </w:r>
      <w:r w:rsidR="00695F69" w:rsidRPr="00D930A0">
        <w:rPr>
          <w:rFonts w:ascii="Arial" w:hAnsi="Arial" w:cs="Arial"/>
          <w:b/>
          <w:i/>
          <w:sz w:val="22"/>
          <w:szCs w:val="22"/>
          <w:lang w:val="en-ZA"/>
        </w:rPr>
        <w:t>hapter with the meanings specified:</w:t>
      </w:r>
    </w:p>
    <w:p w14:paraId="07FBBD3D" w14:textId="335B3460" w:rsidR="007741D5" w:rsidRPr="00D930A0" w:rsidRDefault="007741D5" w:rsidP="00E86477">
      <w:pPr>
        <w:tabs>
          <w:tab w:val="left" w:pos="284"/>
        </w:tabs>
        <w:spacing w:after="120" w:line="360" w:lineRule="auto"/>
        <w:ind w:left="284"/>
        <w:jc w:val="both"/>
        <w:rPr>
          <w:rFonts w:ascii="Arial" w:hAnsi="Arial" w:cs="Arial"/>
          <w:b/>
          <w:sz w:val="22"/>
          <w:szCs w:val="22"/>
          <w:lang w:val="en-ZA"/>
        </w:rPr>
      </w:pPr>
      <w:r w:rsidRPr="00D930A0">
        <w:rPr>
          <w:rFonts w:ascii="Arial" w:hAnsi="Arial" w:cs="Arial"/>
          <w:b/>
          <w:sz w:val="22"/>
          <w:szCs w:val="22"/>
          <w:lang w:val="en-ZA"/>
        </w:rPr>
        <w:t xml:space="preserve">An </w:t>
      </w:r>
      <w:r w:rsidRPr="00D930A0">
        <w:rPr>
          <w:rFonts w:ascii="Arial" w:hAnsi="Arial" w:cs="Arial"/>
          <w:b/>
          <w:sz w:val="22"/>
          <w:szCs w:val="22"/>
          <w:u w:val="single"/>
          <w:lang w:val="en-ZA"/>
        </w:rPr>
        <w:t>agent</w:t>
      </w:r>
      <w:r w:rsidRPr="00D930A0">
        <w:rPr>
          <w:rFonts w:ascii="Arial" w:hAnsi="Arial" w:cs="Arial"/>
          <w:b/>
          <w:sz w:val="22"/>
          <w:szCs w:val="22"/>
          <w:lang w:val="en-ZA"/>
        </w:rPr>
        <w:t xml:space="preserve"> is an entity that has been directed by another entity (a principal), through a binding arrangement, to undertake transactions with third parties on behalf of the principal and for the benefit of the principal.</w:t>
      </w:r>
    </w:p>
    <w:p w14:paraId="41539DEC" w14:textId="55D94A0C" w:rsidR="007741D5" w:rsidRPr="00D930A0" w:rsidRDefault="007741D5" w:rsidP="00E86477">
      <w:pPr>
        <w:tabs>
          <w:tab w:val="left" w:pos="284"/>
        </w:tabs>
        <w:spacing w:after="120" w:line="360" w:lineRule="auto"/>
        <w:ind w:left="284"/>
        <w:jc w:val="both"/>
        <w:rPr>
          <w:rFonts w:ascii="Arial" w:hAnsi="Arial" w:cs="Arial"/>
          <w:b/>
          <w:sz w:val="22"/>
          <w:szCs w:val="22"/>
          <w:lang w:val="en-ZA"/>
        </w:rPr>
      </w:pPr>
      <w:r w:rsidRPr="00D930A0">
        <w:rPr>
          <w:rFonts w:ascii="Arial" w:hAnsi="Arial" w:cs="Arial"/>
          <w:b/>
          <w:sz w:val="22"/>
          <w:szCs w:val="22"/>
          <w:lang w:val="en-ZA"/>
        </w:rPr>
        <w:t xml:space="preserve">A </w:t>
      </w:r>
      <w:r w:rsidRPr="00D930A0">
        <w:rPr>
          <w:rFonts w:ascii="Arial" w:hAnsi="Arial" w:cs="Arial"/>
          <w:b/>
          <w:sz w:val="22"/>
          <w:szCs w:val="22"/>
          <w:u w:val="single"/>
          <w:lang w:val="en-ZA"/>
        </w:rPr>
        <w:t>principal</w:t>
      </w:r>
      <w:r w:rsidRPr="00D930A0">
        <w:rPr>
          <w:rFonts w:ascii="Arial" w:hAnsi="Arial" w:cs="Arial"/>
          <w:b/>
          <w:sz w:val="22"/>
          <w:szCs w:val="22"/>
          <w:lang w:val="en-ZA"/>
        </w:rPr>
        <w:t xml:space="preserve"> is an entity that directs another entity (an agent), through a binding arrangement, to undertake transactions with third parties on its behalf and for its own benefit.</w:t>
      </w:r>
    </w:p>
    <w:p w14:paraId="5F9792C4" w14:textId="080BC905" w:rsidR="007741D5" w:rsidRPr="00D930A0" w:rsidRDefault="007741D5" w:rsidP="00E86477">
      <w:pPr>
        <w:tabs>
          <w:tab w:val="left" w:pos="284"/>
        </w:tabs>
        <w:spacing w:line="360" w:lineRule="auto"/>
        <w:ind w:left="284"/>
        <w:jc w:val="both"/>
        <w:rPr>
          <w:rFonts w:ascii="Arial" w:hAnsi="Arial" w:cs="Arial"/>
          <w:lang w:val="en-ZA"/>
        </w:rPr>
      </w:pPr>
      <w:r w:rsidRPr="00D930A0">
        <w:rPr>
          <w:rFonts w:ascii="Arial" w:hAnsi="Arial" w:cs="Arial"/>
          <w:b/>
          <w:sz w:val="22"/>
          <w:szCs w:val="22"/>
          <w:lang w:val="en-ZA"/>
        </w:rPr>
        <w:t xml:space="preserve">A </w:t>
      </w:r>
      <w:r w:rsidRPr="00D930A0">
        <w:rPr>
          <w:rFonts w:ascii="Arial" w:hAnsi="Arial" w:cs="Arial"/>
          <w:b/>
          <w:sz w:val="22"/>
          <w:szCs w:val="22"/>
          <w:u w:val="single"/>
          <w:lang w:val="en-ZA"/>
        </w:rPr>
        <w:t>principal-agent arrangement</w:t>
      </w:r>
      <w:r w:rsidRPr="00D930A0">
        <w:rPr>
          <w:rFonts w:ascii="Arial" w:hAnsi="Arial" w:cs="Arial"/>
          <w:b/>
          <w:sz w:val="22"/>
          <w:szCs w:val="22"/>
          <w:lang w:val="en-ZA"/>
        </w:rPr>
        <w:t xml:space="preserve"> results from a binding arrangement in which one entity (an agent), undertakes transactions with third parties on behalf, and for the benefit of, another entity (the principal).’</w:t>
      </w:r>
      <w:r w:rsidR="00E86477" w:rsidRPr="00D930A0">
        <w:rPr>
          <w:rFonts w:ascii="Arial" w:hAnsi="Arial" w:cs="Arial"/>
          <w:b/>
          <w:sz w:val="22"/>
          <w:szCs w:val="22"/>
          <w:lang w:val="en-ZA"/>
        </w:rPr>
        <w:t xml:space="preserve"> </w:t>
      </w:r>
    </w:p>
    <w:p w14:paraId="1D7A3CC4" w14:textId="2C7E4ED0" w:rsidR="007741D5" w:rsidRPr="00D930A0" w:rsidRDefault="00666F38">
      <w:pPr>
        <w:tabs>
          <w:tab w:val="left" w:pos="284"/>
        </w:tabs>
        <w:spacing w:after="120" w:line="360" w:lineRule="auto"/>
        <w:ind w:left="-425"/>
        <w:jc w:val="both"/>
        <w:rPr>
          <w:rFonts w:ascii="Arial" w:hAnsi="Arial" w:cs="Arial"/>
          <w:lang w:val="en-ZA"/>
        </w:rPr>
      </w:pPr>
      <w:r w:rsidRPr="00D930A0">
        <w:rPr>
          <w:rFonts w:ascii="Arial" w:hAnsi="Arial" w:cs="Arial"/>
          <w:lang w:val="en-ZA"/>
        </w:rPr>
        <w:t>. . . .</w:t>
      </w:r>
    </w:p>
    <w:p w14:paraId="293046BB" w14:textId="77777777" w:rsidR="00E86477" w:rsidRPr="00D930A0" w:rsidRDefault="00E86477" w:rsidP="006A3462">
      <w:pPr>
        <w:tabs>
          <w:tab w:val="left" w:pos="284"/>
        </w:tabs>
        <w:spacing w:line="360" w:lineRule="auto"/>
        <w:ind w:left="-426"/>
        <w:jc w:val="both"/>
        <w:rPr>
          <w:rFonts w:ascii="Arial" w:hAnsi="Arial" w:cs="Arial"/>
          <w:sz w:val="4"/>
          <w:szCs w:val="4"/>
          <w:lang w:val="en-ZA"/>
        </w:rPr>
      </w:pPr>
    </w:p>
    <w:p w14:paraId="7D3A316F" w14:textId="5C5F6C84" w:rsidR="007741D5" w:rsidRPr="00D930A0" w:rsidRDefault="008545B9" w:rsidP="006A3462">
      <w:pPr>
        <w:tabs>
          <w:tab w:val="left" w:pos="284"/>
        </w:tabs>
        <w:spacing w:line="360" w:lineRule="auto"/>
        <w:ind w:left="-426"/>
        <w:jc w:val="both"/>
        <w:rPr>
          <w:rFonts w:ascii="Arial" w:hAnsi="Arial" w:cs="Arial"/>
          <w:lang w:val="en-ZA"/>
        </w:rPr>
      </w:pPr>
      <w:r w:rsidRPr="00D930A0">
        <w:rPr>
          <w:rFonts w:ascii="Arial" w:hAnsi="Arial" w:cs="Arial"/>
          <w:sz w:val="22"/>
          <w:szCs w:val="22"/>
          <w:lang w:val="en-ZA"/>
        </w:rPr>
        <w:t>.10</w:t>
      </w:r>
      <w:r w:rsidR="00E86477" w:rsidRPr="00D930A0">
        <w:rPr>
          <w:rFonts w:ascii="Arial" w:hAnsi="Arial" w:cs="Arial"/>
          <w:sz w:val="22"/>
          <w:szCs w:val="22"/>
          <w:lang w:val="en-ZA"/>
        </w:rPr>
        <w:tab/>
        <w:t>When a department directs another entity to undertake an activity on its behalf, it must consider whether it is a party to a principal-agent arrangement. The definition of a principal-agent arrangement refers to an entity acting on behalf of another entity in relation to transaction with third parties. In the absence of transactions with third parties, the arrangement is not a principal-agent arrangement, and the entity then acts in another capacity rather than as an agent.</w:t>
      </w:r>
      <w:r w:rsidR="00666F38" w:rsidRPr="00D930A0">
        <w:rPr>
          <w:rFonts w:ascii="Arial" w:hAnsi="Arial" w:cs="Arial"/>
          <w:sz w:val="22"/>
          <w:szCs w:val="22"/>
          <w:lang w:val="en-ZA"/>
        </w:rPr>
        <w:t xml:space="preserve"> . . .</w:t>
      </w:r>
      <w:r w:rsidR="00E86477" w:rsidRPr="00D930A0">
        <w:rPr>
          <w:rFonts w:ascii="Arial" w:hAnsi="Arial" w:cs="Arial"/>
          <w:sz w:val="22"/>
          <w:szCs w:val="22"/>
          <w:lang w:val="en-ZA"/>
        </w:rPr>
        <w:t xml:space="preserve"> </w:t>
      </w:r>
    </w:p>
    <w:p w14:paraId="63867453" w14:textId="5475AF8C" w:rsidR="007741D5" w:rsidRPr="00D930A0" w:rsidRDefault="00CD76B5" w:rsidP="00CD76B5">
      <w:pPr>
        <w:tabs>
          <w:tab w:val="left" w:pos="284"/>
        </w:tabs>
        <w:spacing w:after="120" w:line="360" w:lineRule="auto"/>
        <w:ind w:left="-425"/>
        <w:jc w:val="both"/>
        <w:rPr>
          <w:rFonts w:ascii="Arial" w:hAnsi="Arial" w:cs="Arial"/>
          <w:lang w:val="en-ZA"/>
        </w:rPr>
      </w:pPr>
      <w:r w:rsidRPr="00D930A0">
        <w:rPr>
          <w:rFonts w:ascii="Arial" w:hAnsi="Arial" w:cs="Arial"/>
          <w:lang w:val="en-ZA"/>
        </w:rPr>
        <w:t>…</w:t>
      </w:r>
    </w:p>
    <w:p w14:paraId="382978C8" w14:textId="60E877B8" w:rsidR="007741D5" w:rsidRPr="00D930A0" w:rsidRDefault="008545B9" w:rsidP="006A3462">
      <w:pPr>
        <w:tabs>
          <w:tab w:val="left" w:pos="284"/>
        </w:tabs>
        <w:spacing w:line="360" w:lineRule="auto"/>
        <w:ind w:left="-426"/>
        <w:jc w:val="both"/>
        <w:rPr>
          <w:rFonts w:ascii="Arial" w:hAnsi="Arial" w:cs="Arial"/>
          <w:lang w:val="en-ZA"/>
        </w:rPr>
      </w:pPr>
      <w:r w:rsidRPr="00D930A0">
        <w:rPr>
          <w:rFonts w:ascii="Arial" w:hAnsi="Arial" w:cs="Arial"/>
          <w:sz w:val="22"/>
          <w:szCs w:val="22"/>
          <w:lang w:val="en-ZA"/>
        </w:rPr>
        <w:t>.11</w:t>
      </w:r>
      <w:r w:rsidRPr="00D930A0">
        <w:rPr>
          <w:rFonts w:ascii="Arial" w:hAnsi="Arial" w:cs="Arial"/>
          <w:sz w:val="22"/>
          <w:szCs w:val="22"/>
          <w:lang w:val="en-ZA"/>
        </w:rPr>
        <w:tab/>
      </w:r>
      <w:r w:rsidRPr="00D930A0">
        <w:rPr>
          <w:rFonts w:ascii="Arial" w:hAnsi="Arial" w:cs="Arial"/>
          <w:b/>
          <w:sz w:val="22"/>
          <w:szCs w:val="22"/>
          <w:lang w:val="en-ZA"/>
        </w:rPr>
        <w:t xml:space="preserve">“Transactions with third parties” </w:t>
      </w:r>
      <w:r w:rsidRPr="00D930A0">
        <w:rPr>
          <w:rFonts w:ascii="Arial" w:hAnsi="Arial" w:cs="Arial"/>
          <w:sz w:val="22"/>
          <w:szCs w:val="22"/>
          <w:lang w:val="en-ZA"/>
        </w:rPr>
        <w:t>in the context of this Chapter includes the execution of a specific transaction with a third party, e.g. a sale or purchase transaction, but it also includes interactions with third parties, e.g. when an agent is able to negotiate with third parties on the principal’s behalf. The nature of the transactions with third parties is linked to the type of activities carried out by the agent in accordance with the binding arrangement. These activiti</w:t>
      </w:r>
      <w:r w:rsidR="00CD76B5" w:rsidRPr="00D930A0">
        <w:rPr>
          <w:rFonts w:ascii="Arial" w:hAnsi="Arial" w:cs="Arial"/>
          <w:sz w:val="22"/>
          <w:szCs w:val="22"/>
          <w:lang w:val="en-ZA"/>
        </w:rPr>
        <w:t xml:space="preserve">es could </w:t>
      </w:r>
      <w:r w:rsidR="00EB2904" w:rsidRPr="00D930A0">
        <w:rPr>
          <w:rFonts w:ascii="Arial" w:hAnsi="Arial" w:cs="Arial"/>
          <w:sz w:val="22"/>
          <w:szCs w:val="22"/>
          <w:lang w:val="en-ZA"/>
        </w:rPr>
        <w:t>i</w:t>
      </w:r>
      <w:r w:rsidRPr="00D930A0">
        <w:rPr>
          <w:rFonts w:ascii="Arial" w:hAnsi="Arial" w:cs="Arial"/>
          <w:sz w:val="22"/>
          <w:szCs w:val="22"/>
          <w:lang w:val="en-ZA"/>
        </w:rPr>
        <w:t>nclude the agent transacting with third parties for the procurement or disposal of resources, or the receipt of resources from a third party on behalf of the principal.’</w:t>
      </w:r>
    </w:p>
    <w:p w14:paraId="19DF3C72" w14:textId="77777777" w:rsidR="007741D5" w:rsidRPr="00D930A0" w:rsidRDefault="007741D5" w:rsidP="006A3462">
      <w:pPr>
        <w:tabs>
          <w:tab w:val="left" w:pos="284"/>
        </w:tabs>
        <w:spacing w:line="360" w:lineRule="auto"/>
        <w:ind w:left="-426"/>
        <w:jc w:val="both"/>
        <w:rPr>
          <w:rFonts w:ascii="Arial" w:hAnsi="Arial" w:cs="Arial"/>
          <w:lang w:val="en-ZA"/>
        </w:rPr>
      </w:pPr>
    </w:p>
    <w:p w14:paraId="241E99E9" w14:textId="3F4AC82D" w:rsidR="007741D5" w:rsidRPr="00D930A0" w:rsidRDefault="007741D5"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4</w:t>
      </w:r>
      <w:r w:rsidRPr="00D930A0">
        <w:rPr>
          <w:rFonts w:ascii="Arial" w:hAnsi="Arial" w:cs="Arial"/>
          <w:lang w:val="en-ZA"/>
        </w:rPr>
        <w:t>]</w:t>
      </w:r>
      <w:r w:rsidRPr="00D930A0">
        <w:rPr>
          <w:rFonts w:ascii="Arial" w:hAnsi="Arial" w:cs="Arial"/>
          <w:lang w:val="en-ZA"/>
        </w:rPr>
        <w:tab/>
        <w:t>The Department made the payments in question in terms of five written contracts. They are: (a) the contract in respect of the Vegetable Industry Project (the</w:t>
      </w:r>
      <w:r w:rsidR="002C76EE" w:rsidRPr="00D930A0">
        <w:rPr>
          <w:rFonts w:ascii="Arial" w:hAnsi="Arial" w:cs="Arial"/>
          <w:lang w:val="en-ZA"/>
        </w:rPr>
        <w:t> </w:t>
      </w:r>
      <w:r w:rsidRPr="00D930A0">
        <w:rPr>
          <w:rFonts w:ascii="Arial" w:hAnsi="Arial" w:cs="Arial"/>
          <w:lang w:val="en-ZA"/>
        </w:rPr>
        <w:t>Vegetable</w:t>
      </w:r>
      <w:r w:rsidR="002C76EE" w:rsidRPr="00D930A0">
        <w:rPr>
          <w:rFonts w:ascii="Arial" w:hAnsi="Arial" w:cs="Arial"/>
          <w:lang w:val="en-ZA"/>
        </w:rPr>
        <w:t> </w:t>
      </w:r>
      <w:r w:rsidRPr="00D930A0">
        <w:rPr>
          <w:rFonts w:ascii="Arial" w:hAnsi="Arial" w:cs="Arial"/>
          <w:lang w:val="en-ZA"/>
        </w:rPr>
        <w:t>Project), entered into between the Department and Casidra on 9 May 2016, for paymen</w:t>
      </w:r>
      <w:r w:rsidR="00A81DFD" w:rsidRPr="00D930A0">
        <w:rPr>
          <w:rFonts w:ascii="Arial" w:hAnsi="Arial" w:cs="Arial"/>
          <w:lang w:val="en-ZA"/>
        </w:rPr>
        <w:t xml:space="preserve">t of the amount of R10 million; </w:t>
      </w:r>
      <w:r w:rsidRPr="00D930A0">
        <w:rPr>
          <w:rFonts w:ascii="Arial" w:hAnsi="Arial" w:cs="Arial"/>
          <w:lang w:val="en-ZA"/>
        </w:rPr>
        <w:t>(b) the contract in respect of 23</w:t>
      </w:r>
      <w:r w:rsidR="002C76EE" w:rsidRPr="00D930A0">
        <w:rPr>
          <w:rFonts w:ascii="Arial" w:hAnsi="Arial" w:cs="Arial"/>
          <w:lang w:val="en-ZA"/>
        </w:rPr>
        <w:t> </w:t>
      </w:r>
      <w:r w:rsidRPr="00D930A0">
        <w:rPr>
          <w:rFonts w:ascii="Arial" w:hAnsi="Arial" w:cs="Arial"/>
          <w:lang w:val="en-ZA"/>
        </w:rPr>
        <w:t>LandCare</w:t>
      </w:r>
      <w:r w:rsidR="002C76EE" w:rsidRPr="00D930A0">
        <w:rPr>
          <w:rFonts w:ascii="Arial" w:hAnsi="Arial" w:cs="Arial"/>
          <w:lang w:val="en-ZA"/>
        </w:rPr>
        <w:t> </w:t>
      </w:r>
      <w:r w:rsidRPr="00D930A0">
        <w:rPr>
          <w:rFonts w:ascii="Arial" w:hAnsi="Arial" w:cs="Arial"/>
          <w:lang w:val="en-ZA"/>
        </w:rPr>
        <w:t>Projects (the LandCare Projects), entered into between the Department and Casidra on 30 June 2016 for payment of the amount of R4 106 000; (c) the contract in respect of</w:t>
      </w:r>
      <w:r w:rsidR="009D4C40" w:rsidRPr="00D930A0">
        <w:rPr>
          <w:rFonts w:ascii="Arial" w:hAnsi="Arial" w:cs="Arial"/>
          <w:lang w:val="en-ZA"/>
        </w:rPr>
        <w:t xml:space="preserve"> the</w:t>
      </w:r>
      <w:r w:rsidRPr="00D930A0">
        <w:rPr>
          <w:rFonts w:ascii="Arial" w:hAnsi="Arial" w:cs="Arial"/>
          <w:lang w:val="en-ZA"/>
        </w:rPr>
        <w:t xml:space="preserve"> Flood Relief Project 2013-2014 (the Flood Relief Project), entered into between the Department and Casidra on 30 May 2016 for payment of the amount of </w:t>
      </w:r>
      <w:r w:rsidRPr="00D930A0">
        <w:rPr>
          <w:rFonts w:ascii="Arial" w:hAnsi="Arial" w:cs="Arial"/>
          <w:lang w:val="en-ZA"/>
        </w:rPr>
        <w:lastRenderedPageBreak/>
        <w:t>R</w:t>
      </w:r>
      <w:r w:rsidR="004A7988" w:rsidRPr="00D930A0">
        <w:rPr>
          <w:rFonts w:ascii="Arial" w:hAnsi="Arial" w:cs="Arial"/>
          <w:lang w:val="en-ZA"/>
        </w:rPr>
        <w:t>40 852</w:t>
      </w:r>
      <w:r w:rsidR="001B68B1" w:rsidRPr="00D930A0">
        <w:rPr>
          <w:rFonts w:ascii="Arial" w:hAnsi="Arial" w:cs="Arial"/>
          <w:lang w:val="en-ZA"/>
        </w:rPr>
        <w:t> </w:t>
      </w:r>
      <w:r w:rsidR="004A7988" w:rsidRPr="00D930A0">
        <w:rPr>
          <w:rFonts w:ascii="Arial" w:hAnsi="Arial" w:cs="Arial"/>
          <w:lang w:val="en-ZA"/>
        </w:rPr>
        <w:t>000</w:t>
      </w:r>
      <w:r w:rsidR="001B68B1" w:rsidRPr="00D930A0">
        <w:rPr>
          <w:rFonts w:ascii="Arial" w:hAnsi="Arial" w:cs="Arial"/>
          <w:lang w:val="en-ZA"/>
        </w:rPr>
        <w:t>; (d) the contract in respect of the Drought Relief Scheme 2015/16 (the</w:t>
      </w:r>
      <w:r w:rsidR="00BE541E" w:rsidRPr="00D930A0">
        <w:rPr>
          <w:rFonts w:ascii="Arial" w:hAnsi="Arial" w:cs="Arial"/>
          <w:lang w:val="en-ZA"/>
        </w:rPr>
        <w:t> </w:t>
      </w:r>
      <w:r w:rsidR="001B68B1" w:rsidRPr="00D930A0">
        <w:rPr>
          <w:rFonts w:ascii="Arial" w:hAnsi="Arial" w:cs="Arial"/>
          <w:lang w:val="en-ZA"/>
        </w:rPr>
        <w:t>Drought Relief Scheme), entered into between the Department and Casidra on 29</w:t>
      </w:r>
      <w:r w:rsidR="00BE541E" w:rsidRPr="00D930A0">
        <w:rPr>
          <w:rFonts w:ascii="Arial" w:hAnsi="Arial" w:cs="Arial"/>
          <w:lang w:val="en-ZA"/>
        </w:rPr>
        <w:t> </w:t>
      </w:r>
      <w:r w:rsidR="001B68B1" w:rsidRPr="00D930A0">
        <w:rPr>
          <w:rFonts w:ascii="Arial" w:hAnsi="Arial" w:cs="Arial"/>
          <w:lang w:val="en-ZA"/>
        </w:rPr>
        <w:t>March 2017 for payment of the amount of R31 689 000; and</w:t>
      </w:r>
      <w:r w:rsidR="009D4C40" w:rsidRPr="00D930A0">
        <w:rPr>
          <w:rFonts w:ascii="Arial" w:hAnsi="Arial" w:cs="Arial"/>
          <w:lang w:val="en-ZA"/>
        </w:rPr>
        <w:t xml:space="preserve"> (e) </w:t>
      </w:r>
      <w:r w:rsidR="001B68B1" w:rsidRPr="00D930A0">
        <w:rPr>
          <w:rFonts w:ascii="Arial" w:hAnsi="Arial" w:cs="Arial"/>
          <w:lang w:val="en-ZA"/>
        </w:rPr>
        <w:t>the contract in respect of the Fruit Industry Project (the Fruit Project), entered into between the Department and Hortgro on 9 May 2016 for payment of the amount of R19 020 000.</w:t>
      </w:r>
    </w:p>
    <w:p w14:paraId="7BA52FD3" w14:textId="77777777" w:rsidR="001B68B1" w:rsidRPr="00D930A0" w:rsidRDefault="001B68B1" w:rsidP="006A3462">
      <w:pPr>
        <w:tabs>
          <w:tab w:val="left" w:pos="284"/>
        </w:tabs>
        <w:spacing w:line="360" w:lineRule="auto"/>
        <w:ind w:left="-426"/>
        <w:jc w:val="both"/>
        <w:rPr>
          <w:rFonts w:ascii="Arial" w:hAnsi="Arial" w:cs="Arial"/>
          <w:lang w:val="en-ZA"/>
        </w:rPr>
      </w:pPr>
    </w:p>
    <w:p w14:paraId="0B28B00F" w14:textId="49C96454" w:rsidR="001B68B1" w:rsidRPr="00D930A0" w:rsidRDefault="001B68B1"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5</w:t>
      </w:r>
      <w:r w:rsidRPr="00D930A0">
        <w:rPr>
          <w:rFonts w:ascii="Arial" w:hAnsi="Arial" w:cs="Arial"/>
          <w:lang w:val="en-ZA"/>
        </w:rPr>
        <w:t>]</w:t>
      </w:r>
      <w:r w:rsidRPr="00D930A0">
        <w:rPr>
          <w:rFonts w:ascii="Arial" w:hAnsi="Arial" w:cs="Arial"/>
          <w:lang w:val="en-ZA"/>
        </w:rPr>
        <w:tab/>
        <w:t>The Vegetable Project was aimed at increasing the production of vegetables, particularly by small</w:t>
      </w:r>
      <w:r w:rsidR="00BC4346" w:rsidRPr="00D930A0">
        <w:rPr>
          <w:rFonts w:ascii="Arial" w:hAnsi="Arial" w:cs="Arial"/>
          <w:lang w:val="en-ZA"/>
        </w:rPr>
        <w:t>-scale</w:t>
      </w:r>
      <w:r w:rsidRPr="00D930A0">
        <w:rPr>
          <w:rFonts w:ascii="Arial" w:hAnsi="Arial" w:cs="Arial"/>
          <w:lang w:val="en-ZA"/>
        </w:rPr>
        <w:t xml:space="preserve"> farmers. The purpose of the LandCare Project</w:t>
      </w:r>
      <w:r w:rsidR="00695F69" w:rsidRPr="00D930A0">
        <w:rPr>
          <w:rFonts w:ascii="Arial" w:hAnsi="Arial" w:cs="Arial"/>
          <w:lang w:val="en-ZA"/>
        </w:rPr>
        <w:t>s</w:t>
      </w:r>
      <w:r w:rsidRPr="00D930A0">
        <w:rPr>
          <w:rFonts w:ascii="Arial" w:hAnsi="Arial" w:cs="Arial"/>
          <w:lang w:val="en-ZA"/>
        </w:rPr>
        <w:t xml:space="preserve"> included the clearing of alien vegetation, fencing and river protection, as well as awareness projects. The payment to Casidra in respect of the Flood Relief Project was for purposes of providing relief to farmers who had been the victims of floods in the Western Cape. Similarly, the Department allocated funds to Casidra to provide relief to farmers affected by drought within the province under the Drought Relief Scheme. The purpose of the F</w:t>
      </w:r>
      <w:r w:rsidR="00184743" w:rsidRPr="00D930A0">
        <w:rPr>
          <w:rFonts w:ascii="Arial" w:hAnsi="Arial" w:cs="Arial"/>
          <w:lang w:val="en-ZA"/>
        </w:rPr>
        <w:t>ruit</w:t>
      </w:r>
      <w:r w:rsidRPr="00D930A0">
        <w:rPr>
          <w:rFonts w:ascii="Arial" w:hAnsi="Arial" w:cs="Arial"/>
          <w:lang w:val="en-ZA"/>
        </w:rPr>
        <w:t xml:space="preserve"> Project was to enhance the capacity and production of small</w:t>
      </w:r>
      <w:r w:rsidR="00BC4346" w:rsidRPr="00D930A0">
        <w:rPr>
          <w:rFonts w:ascii="Arial" w:hAnsi="Arial" w:cs="Arial"/>
          <w:lang w:val="en-ZA"/>
        </w:rPr>
        <w:t>-scale</w:t>
      </w:r>
      <w:r w:rsidRPr="00D930A0">
        <w:rPr>
          <w:rFonts w:ascii="Arial" w:hAnsi="Arial" w:cs="Arial"/>
          <w:lang w:val="en-ZA"/>
        </w:rPr>
        <w:t xml:space="preserve"> fruit farmers.</w:t>
      </w:r>
    </w:p>
    <w:p w14:paraId="6C4CBC62" w14:textId="77777777" w:rsidR="001B68B1" w:rsidRPr="00D930A0" w:rsidRDefault="001B68B1" w:rsidP="006A3462">
      <w:pPr>
        <w:tabs>
          <w:tab w:val="left" w:pos="284"/>
        </w:tabs>
        <w:spacing w:line="360" w:lineRule="auto"/>
        <w:ind w:left="-426"/>
        <w:jc w:val="both"/>
        <w:rPr>
          <w:rFonts w:ascii="Arial" w:hAnsi="Arial" w:cs="Arial"/>
          <w:lang w:val="en-ZA"/>
        </w:rPr>
      </w:pPr>
    </w:p>
    <w:p w14:paraId="02B0260E" w14:textId="259C9963" w:rsidR="001B68B1" w:rsidRPr="00D930A0" w:rsidRDefault="001B68B1"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6</w:t>
      </w:r>
      <w:r w:rsidRPr="00D930A0">
        <w:rPr>
          <w:rFonts w:ascii="Arial" w:hAnsi="Arial" w:cs="Arial"/>
          <w:lang w:val="en-ZA"/>
        </w:rPr>
        <w:t>]</w:t>
      </w:r>
      <w:r w:rsidRPr="00D930A0">
        <w:rPr>
          <w:rFonts w:ascii="Arial" w:hAnsi="Arial" w:cs="Arial"/>
          <w:lang w:val="en-ZA"/>
        </w:rPr>
        <w:tab/>
      </w:r>
      <w:r w:rsidR="00184743" w:rsidRPr="00D930A0">
        <w:rPr>
          <w:rFonts w:ascii="Arial" w:hAnsi="Arial" w:cs="Arial"/>
          <w:lang w:val="en-ZA"/>
        </w:rPr>
        <w:t>The p</w:t>
      </w:r>
      <w:r w:rsidR="00755B7D" w:rsidRPr="00D930A0">
        <w:rPr>
          <w:rFonts w:ascii="Arial" w:hAnsi="Arial" w:cs="Arial"/>
          <w:lang w:val="en-ZA"/>
        </w:rPr>
        <w:t>roject that each contract related to, was delineated in a business plan, including a budget. The business plans were attached to the contracts and each contract expressly incorporated the relevant business plan attached thereto. Thus, the question is whether on a proper interpretation of the contracts (incorporating the business plan</w:t>
      </w:r>
      <w:r w:rsidR="00695F69" w:rsidRPr="00D930A0">
        <w:rPr>
          <w:rFonts w:ascii="Arial" w:hAnsi="Arial" w:cs="Arial"/>
          <w:lang w:val="en-ZA"/>
        </w:rPr>
        <w:t>s</w:t>
      </w:r>
      <w:r w:rsidR="00755B7D" w:rsidRPr="00D930A0">
        <w:rPr>
          <w:rFonts w:ascii="Arial" w:hAnsi="Arial" w:cs="Arial"/>
          <w:lang w:val="en-ZA"/>
        </w:rPr>
        <w:t>) the Department authorised Casidra and Hortgro to create legal relationships between the Department and third parties.</w:t>
      </w:r>
    </w:p>
    <w:p w14:paraId="643467B2" w14:textId="77777777" w:rsidR="00755B7D" w:rsidRPr="00D930A0" w:rsidRDefault="00755B7D" w:rsidP="006A3462">
      <w:pPr>
        <w:tabs>
          <w:tab w:val="left" w:pos="284"/>
        </w:tabs>
        <w:spacing w:line="360" w:lineRule="auto"/>
        <w:ind w:left="-426"/>
        <w:jc w:val="both"/>
        <w:rPr>
          <w:rFonts w:ascii="Arial" w:hAnsi="Arial" w:cs="Arial"/>
          <w:lang w:val="en-ZA"/>
        </w:rPr>
      </w:pPr>
    </w:p>
    <w:p w14:paraId="1052A837" w14:textId="6E49899C" w:rsidR="00755B7D" w:rsidRPr="00D930A0" w:rsidRDefault="00755B7D" w:rsidP="006A3462">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7</w:t>
      </w:r>
      <w:r w:rsidRPr="00D930A0">
        <w:rPr>
          <w:rFonts w:ascii="Arial" w:hAnsi="Arial" w:cs="Arial"/>
          <w:lang w:val="en-ZA"/>
        </w:rPr>
        <w:t>]</w:t>
      </w:r>
      <w:r w:rsidRPr="00D930A0">
        <w:rPr>
          <w:rFonts w:ascii="Arial" w:hAnsi="Arial" w:cs="Arial"/>
          <w:lang w:val="en-ZA"/>
        </w:rPr>
        <w:tab/>
        <w:t>The preamble of each contract recorded</w:t>
      </w:r>
      <w:r w:rsidR="00695F69" w:rsidRPr="00D930A0">
        <w:rPr>
          <w:rFonts w:ascii="Arial" w:hAnsi="Arial" w:cs="Arial"/>
          <w:lang w:val="en-ZA"/>
        </w:rPr>
        <w:t xml:space="preserve"> that</w:t>
      </w:r>
      <w:r w:rsidRPr="00D930A0">
        <w:rPr>
          <w:rFonts w:ascii="Arial" w:hAnsi="Arial" w:cs="Arial"/>
          <w:lang w:val="en-ZA"/>
        </w:rPr>
        <w:t xml:space="preserve"> the parties thereto had reached an agreement in terms of which the Department would allocate a specified amount (the funds) to ‘the </w:t>
      </w:r>
      <w:r w:rsidR="00184743" w:rsidRPr="00D930A0">
        <w:rPr>
          <w:rFonts w:ascii="Arial" w:hAnsi="Arial" w:cs="Arial"/>
          <w:lang w:val="en-ZA"/>
        </w:rPr>
        <w:t>B</w:t>
      </w:r>
      <w:r w:rsidRPr="00D930A0">
        <w:rPr>
          <w:rFonts w:ascii="Arial" w:hAnsi="Arial" w:cs="Arial"/>
          <w:lang w:val="en-ZA"/>
        </w:rPr>
        <w:t>eneficiary’ (either Casidra or Hortgro) towards the relevant project. A</w:t>
      </w:r>
      <w:r w:rsidR="00695F69" w:rsidRPr="00D930A0">
        <w:rPr>
          <w:rFonts w:ascii="Arial" w:hAnsi="Arial" w:cs="Arial"/>
          <w:lang w:val="en-ZA"/>
        </w:rPr>
        <w:t>part from these</w:t>
      </w:r>
      <w:r w:rsidRPr="00D930A0">
        <w:rPr>
          <w:rFonts w:ascii="Arial" w:hAnsi="Arial" w:cs="Arial"/>
          <w:lang w:val="en-ZA"/>
        </w:rPr>
        <w:t xml:space="preserve"> particulars, the terms of the five contracts were</w:t>
      </w:r>
      <w:r w:rsidR="00CF4A88" w:rsidRPr="00D930A0">
        <w:rPr>
          <w:rFonts w:ascii="Arial" w:hAnsi="Arial" w:cs="Arial"/>
          <w:lang w:val="en-ZA"/>
        </w:rPr>
        <w:t xml:space="preserve"> virtually</w:t>
      </w:r>
      <w:r w:rsidRPr="00D930A0">
        <w:rPr>
          <w:rFonts w:ascii="Arial" w:hAnsi="Arial" w:cs="Arial"/>
          <w:lang w:val="en-ZA"/>
        </w:rPr>
        <w:t xml:space="preserve"> </w:t>
      </w:r>
      <w:r w:rsidR="00695F69" w:rsidRPr="00D930A0">
        <w:rPr>
          <w:rFonts w:ascii="Arial" w:hAnsi="Arial" w:cs="Arial"/>
          <w:lang w:val="en-ZA"/>
        </w:rPr>
        <w:t>identical</w:t>
      </w:r>
      <w:r w:rsidRPr="00D930A0">
        <w:rPr>
          <w:rFonts w:ascii="Arial" w:hAnsi="Arial" w:cs="Arial"/>
          <w:lang w:val="en-ZA"/>
        </w:rPr>
        <w:t>. For convenience</w:t>
      </w:r>
      <w:r w:rsidR="009A7C37" w:rsidRPr="00D930A0">
        <w:rPr>
          <w:rFonts w:ascii="Arial" w:hAnsi="Arial" w:cs="Arial"/>
          <w:lang w:val="en-ZA"/>
        </w:rPr>
        <w:t>,</w:t>
      </w:r>
      <w:r w:rsidRPr="00D930A0">
        <w:rPr>
          <w:rFonts w:ascii="Arial" w:hAnsi="Arial" w:cs="Arial"/>
          <w:lang w:val="en-ZA"/>
        </w:rPr>
        <w:t xml:space="preserve"> I set out the material operative terms of the </w:t>
      </w:r>
      <w:r w:rsidR="00CF4A88" w:rsidRPr="00D930A0">
        <w:rPr>
          <w:rFonts w:ascii="Arial" w:hAnsi="Arial" w:cs="Arial"/>
          <w:lang w:val="en-ZA"/>
        </w:rPr>
        <w:t xml:space="preserve">Vegetable Project </w:t>
      </w:r>
      <w:r w:rsidRPr="00D930A0">
        <w:rPr>
          <w:rFonts w:ascii="Arial" w:hAnsi="Arial" w:cs="Arial"/>
          <w:lang w:val="en-ZA"/>
        </w:rPr>
        <w:t>contract with Casidra.</w:t>
      </w:r>
    </w:p>
    <w:p w14:paraId="17EB8A7C" w14:textId="77777777" w:rsidR="00755B7D" w:rsidRPr="00D930A0" w:rsidRDefault="00755B7D" w:rsidP="006A3462">
      <w:pPr>
        <w:tabs>
          <w:tab w:val="left" w:pos="284"/>
        </w:tabs>
        <w:spacing w:line="360" w:lineRule="auto"/>
        <w:ind w:left="-426"/>
        <w:jc w:val="both"/>
        <w:rPr>
          <w:rFonts w:ascii="Arial" w:hAnsi="Arial" w:cs="Arial"/>
          <w:lang w:val="en-ZA"/>
        </w:rPr>
      </w:pPr>
    </w:p>
    <w:p w14:paraId="490C76B2" w14:textId="06511482" w:rsidR="00CD1D16" w:rsidRPr="00D930A0" w:rsidRDefault="00755B7D" w:rsidP="00184743">
      <w:pPr>
        <w:tabs>
          <w:tab w:val="left" w:pos="284"/>
        </w:tabs>
        <w:spacing w:line="360" w:lineRule="auto"/>
        <w:ind w:left="-426"/>
        <w:jc w:val="both"/>
        <w:rPr>
          <w:rFonts w:ascii="Arial" w:hAnsi="Arial" w:cs="Arial"/>
          <w:lang w:val="en-ZA"/>
        </w:rPr>
      </w:pPr>
      <w:r w:rsidRPr="00D930A0">
        <w:rPr>
          <w:rFonts w:ascii="Arial" w:hAnsi="Arial" w:cs="Arial"/>
          <w:lang w:val="en-ZA"/>
        </w:rPr>
        <w:t>[1</w:t>
      </w:r>
      <w:r w:rsidR="00184743" w:rsidRPr="00D930A0">
        <w:rPr>
          <w:rFonts w:ascii="Arial" w:hAnsi="Arial" w:cs="Arial"/>
          <w:lang w:val="en-ZA"/>
        </w:rPr>
        <w:t>8</w:t>
      </w:r>
      <w:r w:rsidRPr="00D930A0">
        <w:rPr>
          <w:rFonts w:ascii="Arial" w:hAnsi="Arial" w:cs="Arial"/>
          <w:lang w:val="en-ZA"/>
        </w:rPr>
        <w:t>]</w:t>
      </w:r>
      <w:r w:rsidRPr="00D930A0">
        <w:rPr>
          <w:rFonts w:ascii="Arial" w:hAnsi="Arial" w:cs="Arial"/>
          <w:lang w:val="en-ZA"/>
        </w:rPr>
        <w:tab/>
      </w:r>
      <w:r w:rsidR="00CD1D16" w:rsidRPr="00D930A0">
        <w:rPr>
          <w:rFonts w:ascii="Arial" w:hAnsi="Arial" w:cs="Arial"/>
          <w:lang w:val="en-ZA"/>
        </w:rPr>
        <w:t xml:space="preserve">Clause 3 of </w:t>
      </w:r>
      <w:r w:rsidR="00CF4A88" w:rsidRPr="00D930A0">
        <w:rPr>
          <w:rFonts w:ascii="Arial" w:hAnsi="Arial" w:cs="Arial"/>
          <w:lang w:val="en-ZA"/>
        </w:rPr>
        <w:t>the</w:t>
      </w:r>
      <w:r w:rsidR="00CD1D16" w:rsidRPr="00D930A0">
        <w:rPr>
          <w:rFonts w:ascii="Arial" w:hAnsi="Arial" w:cs="Arial"/>
          <w:lang w:val="en-ZA"/>
        </w:rPr>
        <w:t xml:space="preserve"> contract provided that the Department would pay</w:t>
      </w:r>
      <w:r w:rsidR="00695F69" w:rsidRPr="00D930A0">
        <w:rPr>
          <w:rFonts w:ascii="Arial" w:hAnsi="Arial" w:cs="Arial"/>
          <w:lang w:val="en-ZA"/>
        </w:rPr>
        <w:t xml:space="preserve"> the</w:t>
      </w:r>
      <w:r w:rsidR="00CD1D16" w:rsidRPr="00D930A0">
        <w:rPr>
          <w:rFonts w:ascii="Arial" w:hAnsi="Arial" w:cs="Arial"/>
          <w:lang w:val="en-ZA"/>
        </w:rPr>
        <w:t xml:space="preserve"> funds to Casidra in four instalments on specified dates. Apart f</w:t>
      </w:r>
      <w:r w:rsidR="00695F69" w:rsidRPr="00D930A0">
        <w:rPr>
          <w:rFonts w:ascii="Arial" w:hAnsi="Arial" w:cs="Arial"/>
          <w:lang w:val="en-ZA"/>
        </w:rPr>
        <w:t>rom the first instalment, the further payments</w:t>
      </w:r>
      <w:r w:rsidR="00CD1D16" w:rsidRPr="00D930A0">
        <w:rPr>
          <w:rFonts w:ascii="Arial" w:hAnsi="Arial" w:cs="Arial"/>
          <w:lang w:val="en-ZA"/>
        </w:rPr>
        <w:t xml:space="preserve"> would be subject to progress reports by Casidra </w:t>
      </w:r>
      <w:r w:rsidR="00184743" w:rsidRPr="00D930A0">
        <w:rPr>
          <w:rFonts w:ascii="Arial" w:hAnsi="Arial" w:cs="Arial"/>
          <w:lang w:val="en-ZA"/>
        </w:rPr>
        <w:t>(</w:t>
      </w:r>
      <w:r w:rsidR="00CD1D16" w:rsidRPr="00D930A0">
        <w:rPr>
          <w:rFonts w:ascii="Arial" w:hAnsi="Arial" w:cs="Arial"/>
          <w:lang w:val="en-ZA"/>
        </w:rPr>
        <w:t>in terms of clause 5</w:t>
      </w:r>
      <w:r w:rsidR="00184743" w:rsidRPr="00D930A0">
        <w:rPr>
          <w:rFonts w:ascii="Arial" w:hAnsi="Arial" w:cs="Arial"/>
          <w:lang w:val="en-ZA"/>
        </w:rPr>
        <w:t>)</w:t>
      </w:r>
      <w:r w:rsidR="00CD1D16" w:rsidRPr="00D930A0">
        <w:rPr>
          <w:rFonts w:ascii="Arial" w:hAnsi="Arial" w:cs="Arial"/>
          <w:lang w:val="en-ZA"/>
        </w:rPr>
        <w:t xml:space="preserve"> to the satisfaction of the Department.</w:t>
      </w:r>
      <w:r w:rsidR="00184743" w:rsidRPr="00D930A0">
        <w:rPr>
          <w:rFonts w:ascii="Arial" w:hAnsi="Arial" w:cs="Arial"/>
          <w:lang w:val="en-ZA"/>
        </w:rPr>
        <w:t xml:space="preserve"> </w:t>
      </w:r>
      <w:r w:rsidR="00CD1D16" w:rsidRPr="00D930A0">
        <w:rPr>
          <w:rFonts w:ascii="Arial" w:hAnsi="Arial" w:cs="Arial"/>
          <w:lang w:val="en-ZA"/>
        </w:rPr>
        <w:t xml:space="preserve">Clause 4 circumscribed Casidra’s obligations. In essence, they related to the utilisation of the funds, the keeping of proper records and reporting to </w:t>
      </w:r>
      <w:r w:rsidR="00CD1D16" w:rsidRPr="00D930A0">
        <w:rPr>
          <w:rFonts w:ascii="Arial" w:hAnsi="Arial" w:cs="Arial"/>
          <w:lang w:val="en-ZA"/>
        </w:rPr>
        <w:lastRenderedPageBreak/>
        <w:t xml:space="preserve">the Department. Clause 4.5 obliged Casidra to utilise the funds only for the purpose for which they had been approved as detailed in the business plan. In terms of clause 4.6, Casidra was obliged to allocate the fund </w:t>
      </w:r>
      <w:r w:rsidR="00115DE2" w:rsidRPr="00D930A0">
        <w:rPr>
          <w:rFonts w:ascii="Arial" w:hAnsi="Arial" w:cs="Arial"/>
          <w:lang w:val="en-ZA"/>
        </w:rPr>
        <w:t xml:space="preserve">only </w:t>
      </w:r>
      <w:r w:rsidR="00CD1D16" w:rsidRPr="00D930A0">
        <w:rPr>
          <w:rFonts w:ascii="Arial" w:hAnsi="Arial" w:cs="Arial"/>
          <w:lang w:val="en-ZA"/>
        </w:rPr>
        <w:t>in accordance with the business</w:t>
      </w:r>
      <w:r w:rsidR="00686AE8" w:rsidRPr="00D930A0">
        <w:rPr>
          <w:rFonts w:ascii="Arial" w:hAnsi="Arial" w:cs="Arial"/>
          <w:lang w:val="en-ZA"/>
        </w:rPr>
        <w:t> </w:t>
      </w:r>
      <w:r w:rsidR="00CD1D16" w:rsidRPr="00D930A0">
        <w:rPr>
          <w:rFonts w:ascii="Arial" w:hAnsi="Arial" w:cs="Arial"/>
          <w:lang w:val="en-ZA"/>
        </w:rPr>
        <w:t>plan. Casidra was obliged by clause 4.1</w:t>
      </w:r>
      <w:r w:rsidR="009D4C40" w:rsidRPr="00D930A0">
        <w:rPr>
          <w:rFonts w:ascii="Arial" w:hAnsi="Arial" w:cs="Arial"/>
          <w:lang w:val="en-ZA"/>
        </w:rPr>
        <w:t>0</w:t>
      </w:r>
      <w:r w:rsidR="00CD1D16" w:rsidRPr="00D930A0">
        <w:rPr>
          <w:rFonts w:ascii="Arial" w:hAnsi="Arial" w:cs="Arial"/>
          <w:lang w:val="en-ZA"/>
        </w:rPr>
        <w:t xml:space="preserve"> to ‘maintain complete </w:t>
      </w:r>
      <w:r w:rsidR="00962E1E" w:rsidRPr="00D930A0">
        <w:rPr>
          <w:rFonts w:ascii="Arial" w:hAnsi="Arial" w:cs="Arial"/>
          <w:lang w:val="en-ZA"/>
        </w:rPr>
        <w:t>documentary evidence of all and any payments’ from the funds. Clause 4.1</w:t>
      </w:r>
      <w:r w:rsidR="009D4C40" w:rsidRPr="00D930A0">
        <w:rPr>
          <w:rFonts w:ascii="Arial" w:hAnsi="Arial" w:cs="Arial"/>
          <w:lang w:val="en-ZA"/>
        </w:rPr>
        <w:t>1</w:t>
      </w:r>
      <w:r w:rsidR="00962E1E" w:rsidRPr="00D930A0">
        <w:rPr>
          <w:rFonts w:ascii="Arial" w:hAnsi="Arial" w:cs="Arial"/>
          <w:lang w:val="en-ZA"/>
        </w:rPr>
        <w:t xml:space="preserve"> obliged Casidra to furnish the Department with a certified income and expenditure statement indicating the total allocation and total expenditure in respect of the project, within two months of the completion thereof. And in terms of clause 4.1</w:t>
      </w:r>
      <w:r w:rsidR="009D4C40" w:rsidRPr="00D930A0">
        <w:rPr>
          <w:rFonts w:ascii="Arial" w:hAnsi="Arial" w:cs="Arial"/>
          <w:lang w:val="en-ZA"/>
        </w:rPr>
        <w:t>2</w:t>
      </w:r>
      <w:r w:rsidR="00962E1E" w:rsidRPr="00D930A0">
        <w:rPr>
          <w:rFonts w:ascii="Arial" w:hAnsi="Arial" w:cs="Arial"/>
          <w:lang w:val="en-ZA"/>
        </w:rPr>
        <w:t xml:space="preserve"> Casidra was obliged to adhere to the provisions of clause 5.</w:t>
      </w:r>
    </w:p>
    <w:p w14:paraId="13057E10" w14:textId="77777777" w:rsidR="00962E1E" w:rsidRPr="00D930A0" w:rsidRDefault="00962E1E" w:rsidP="006A3462">
      <w:pPr>
        <w:tabs>
          <w:tab w:val="left" w:pos="284"/>
        </w:tabs>
        <w:spacing w:line="360" w:lineRule="auto"/>
        <w:ind w:left="-426"/>
        <w:jc w:val="both"/>
        <w:rPr>
          <w:rFonts w:ascii="Arial" w:hAnsi="Arial" w:cs="Arial"/>
          <w:lang w:val="en-ZA"/>
        </w:rPr>
      </w:pPr>
    </w:p>
    <w:p w14:paraId="304341A8" w14:textId="1581E7F3" w:rsidR="00962E1E" w:rsidRPr="00D930A0" w:rsidRDefault="00962E1E" w:rsidP="006A3462">
      <w:pPr>
        <w:tabs>
          <w:tab w:val="left" w:pos="284"/>
        </w:tabs>
        <w:spacing w:line="360" w:lineRule="auto"/>
        <w:ind w:left="-426"/>
        <w:jc w:val="both"/>
        <w:rPr>
          <w:rFonts w:ascii="Arial" w:hAnsi="Arial" w:cs="Arial"/>
          <w:lang w:val="en-ZA"/>
        </w:rPr>
      </w:pPr>
      <w:r w:rsidRPr="00D930A0">
        <w:rPr>
          <w:rFonts w:ascii="Arial" w:hAnsi="Arial" w:cs="Arial"/>
          <w:lang w:val="en-ZA"/>
        </w:rPr>
        <w:t>[19]</w:t>
      </w:r>
      <w:r w:rsidRPr="00D930A0">
        <w:rPr>
          <w:rFonts w:ascii="Arial" w:hAnsi="Arial" w:cs="Arial"/>
          <w:lang w:val="en-ZA"/>
        </w:rPr>
        <w:tab/>
        <w:t>Clause 5 was headed ‘Reporting, Monitoring and Evaluation’. It provided the Department with rights of access to Casidra’s record</w:t>
      </w:r>
      <w:r w:rsidR="00115DE2" w:rsidRPr="00D930A0">
        <w:rPr>
          <w:rFonts w:ascii="Arial" w:hAnsi="Arial" w:cs="Arial"/>
          <w:lang w:val="en-ZA"/>
        </w:rPr>
        <w:t>s</w:t>
      </w:r>
      <w:r w:rsidRPr="00D930A0">
        <w:rPr>
          <w:rFonts w:ascii="Arial" w:hAnsi="Arial" w:cs="Arial"/>
          <w:lang w:val="en-ZA"/>
        </w:rPr>
        <w:t>. In terms of this clause Casidra had to submit quarterly progress reports as well as a final progress report to the Department. The final progress report had to be accompanied by a report by senior management in respect of, inter alia:</w:t>
      </w:r>
    </w:p>
    <w:p w14:paraId="2A7EA236" w14:textId="45F47FC5" w:rsidR="003C61DD" w:rsidRPr="00D930A0" w:rsidRDefault="00962E1E" w:rsidP="006A346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w:t>
      </w:r>
      <w:r w:rsidR="003C61DD" w:rsidRPr="00D930A0">
        <w:rPr>
          <w:rFonts w:ascii="Arial" w:hAnsi="Arial" w:cs="Arial"/>
          <w:sz w:val="22"/>
          <w:szCs w:val="22"/>
          <w:lang w:val="en-ZA"/>
        </w:rPr>
        <w:t>. . .</w:t>
      </w:r>
    </w:p>
    <w:p w14:paraId="1C4E36C9" w14:textId="5721C7A2" w:rsidR="00962E1E" w:rsidRPr="00D930A0" w:rsidRDefault="00CA7813" w:rsidP="006A346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5.5.1</w:t>
      </w:r>
      <w:r w:rsidRPr="00D930A0">
        <w:rPr>
          <w:rFonts w:ascii="Arial" w:hAnsi="Arial" w:cs="Arial"/>
          <w:sz w:val="22"/>
          <w:szCs w:val="22"/>
          <w:lang w:val="en-ZA"/>
        </w:rPr>
        <w:tab/>
        <w:t>The extent to which the Beneficiary achieved its objectives for the financial year concerned;</w:t>
      </w:r>
    </w:p>
    <w:p w14:paraId="7F988612" w14:textId="476EA10A" w:rsidR="00962E1E" w:rsidRPr="00D930A0" w:rsidRDefault="00CA7813" w:rsidP="00CA7813">
      <w:pPr>
        <w:tabs>
          <w:tab w:val="left" w:pos="284"/>
        </w:tabs>
        <w:spacing w:line="360" w:lineRule="auto"/>
        <w:ind w:left="279" w:hanging="705"/>
        <w:jc w:val="both"/>
        <w:rPr>
          <w:rFonts w:ascii="Arial" w:hAnsi="Arial" w:cs="Arial"/>
          <w:lang w:val="en-ZA"/>
        </w:rPr>
      </w:pPr>
      <w:r w:rsidRPr="00D930A0">
        <w:rPr>
          <w:rFonts w:ascii="Arial" w:hAnsi="Arial" w:cs="Arial"/>
          <w:sz w:val="22"/>
          <w:szCs w:val="22"/>
          <w:lang w:val="en-ZA"/>
        </w:rPr>
        <w:t>5.5.2</w:t>
      </w:r>
      <w:r w:rsidRPr="00D930A0">
        <w:rPr>
          <w:rFonts w:ascii="Arial" w:hAnsi="Arial" w:cs="Arial"/>
          <w:sz w:val="22"/>
          <w:szCs w:val="22"/>
          <w:lang w:val="en-ZA"/>
        </w:rPr>
        <w:tab/>
        <w:t>Appropriate performance information regarding the economical, effective and appropriate utilisation of the Funds</w:t>
      </w:r>
      <w:r w:rsidR="00E66BF8" w:rsidRPr="00D930A0">
        <w:rPr>
          <w:rFonts w:ascii="Arial" w:hAnsi="Arial" w:cs="Arial"/>
          <w:sz w:val="22"/>
          <w:szCs w:val="22"/>
          <w:lang w:val="en-ZA"/>
        </w:rPr>
        <w:t>. . . .</w:t>
      </w:r>
      <w:r w:rsidRPr="00D930A0">
        <w:rPr>
          <w:rFonts w:ascii="Arial" w:hAnsi="Arial" w:cs="Arial"/>
          <w:sz w:val="22"/>
          <w:szCs w:val="22"/>
          <w:lang w:val="en-ZA"/>
        </w:rPr>
        <w:t xml:space="preserve">’ </w:t>
      </w:r>
    </w:p>
    <w:p w14:paraId="08E9FE36" w14:textId="77777777" w:rsidR="00962E1E" w:rsidRPr="00D930A0" w:rsidRDefault="00962E1E" w:rsidP="006A3462">
      <w:pPr>
        <w:tabs>
          <w:tab w:val="left" w:pos="284"/>
        </w:tabs>
        <w:spacing w:line="360" w:lineRule="auto"/>
        <w:ind w:left="-426"/>
        <w:jc w:val="both"/>
        <w:rPr>
          <w:rFonts w:ascii="Arial" w:hAnsi="Arial" w:cs="Arial"/>
          <w:lang w:val="en-ZA"/>
        </w:rPr>
      </w:pPr>
    </w:p>
    <w:p w14:paraId="13CA143E" w14:textId="1BFE6E98" w:rsidR="00962E1E" w:rsidRPr="00D930A0" w:rsidRDefault="00962E1E" w:rsidP="006A3462">
      <w:pPr>
        <w:tabs>
          <w:tab w:val="left" w:pos="284"/>
        </w:tabs>
        <w:spacing w:line="360" w:lineRule="auto"/>
        <w:ind w:left="-426"/>
        <w:jc w:val="both"/>
        <w:rPr>
          <w:rFonts w:ascii="Arial" w:hAnsi="Arial" w:cs="Arial"/>
          <w:lang w:val="en-ZA"/>
        </w:rPr>
      </w:pPr>
      <w:r w:rsidRPr="00D930A0">
        <w:rPr>
          <w:rFonts w:ascii="Arial" w:hAnsi="Arial" w:cs="Arial"/>
          <w:lang w:val="en-ZA"/>
        </w:rPr>
        <w:t>[20]</w:t>
      </w:r>
      <w:r w:rsidRPr="00D930A0">
        <w:rPr>
          <w:rFonts w:ascii="Arial" w:hAnsi="Arial" w:cs="Arial"/>
          <w:lang w:val="en-ZA"/>
        </w:rPr>
        <w:tab/>
      </w:r>
      <w:r w:rsidR="00115DE2" w:rsidRPr="00D930A0">
        <w:rPr>
          <w:rFonts w:ascii="Arial" w:hAnsi="Arial" w:cs="Arial"/>
          <w:lang w:val="en-ZA"/>
        </w:rPr>
        <w:t>All the projects and business plans were aimed at achieving the objects of the Department in terms of its approved programmes.</w:t>
      </w:r>
      <w:r w:rsidR="007C5B01" w:rsidRPr="00D930A0">
        <w:rPr>
          <w:rFonts w:ascii="Arial" w:hAnsi="Arial" w:cs="Arial"/>
          <w:lang w:val="en-ZA"/>
        </w:rPr>
        <w:t xml:space="preserve"> Because the Department paid public funds to Casidra and Hortgro for these purposes, it was, of course, obliged to have proper oversight over the implementation of the business plans. But in terms of the contracts, Casidra and Hortgro</w:t>
      </w:r>
      <w:r w:rsidR="00BC4346" w:rsidRPr="00D930A0">
        <w:rPr>
          <w:rFonts w:ascii="Arial" w:hAnsi="Arial" w:cs="Arial"/>
          <w:lang w:val="en-ZA"/>
        </w:rPr>
        <w:t>,</w:t>
      </w:r>
      <w:r w:rsidR="007C5B01" w:rsidRPr="00D930A0">
        <w:rPr>
          <w:rFonts w:ascii="Arial" w:hAnsi="Arial" w:cs="Arial"/>
          <w:lang w:val="en-ZA"/>
        </w:rPr>
        <w:t xml:space="preserve"> respectively</w:t>
      </w:r>
      <w:r w:rsidR="009D4C40" w:rsidRPr="00D930A0">
        <w:rPr>
          <w:rFonts w:ascii="Arial" w:hAnsi="Arial" w:cs="Arial"/>
          <w:lang w:val="en-ZA"/>
        </w:rPr>
        <w:t>,</w:t>
      </w:r>
      <w:r w:rsidR="007C5B01" w:rsidRPr="00D930A0">
        <w:rPr>
          <w:rFonts w:ascii="Arial" w:hAnsi="Arial" w:cs="Arial"/>
          <w:lang w:val="en-ZA"/>
        </w:rPr>
        <w:t xml:space="preserve"> under</w:t>
      </w:r>
      <w:r w:rsidR="00F420B4" w:rsidRPr="00D930A0">
        <w:rPr>
          <w:rFonts w:ascii="Arial" w:hAnsi="Arial" w:cs="Arial"/>
          <w:lang w:val="en-ZA"/>
        </w:rPr>
        <w:t>took</w:t>
      </w:r>
      <w:r w:rsidR="007C5B01" w:rsidRPr="00D930A0">
        <w:rPr>
          <w:rFonts w:ascii="Arial" w:hAnsi="Arial" w:cs="Arial"/>
          <w:lang w:val="en-ZA"/>
        </w:rPr>
        <w:t xml:space="preserve"> the obligations to execute the business plans, by providing goods and services to the beneficiaries of the projects, that is the selected or qualifying farmers. </w:t>
      </w:r>
      <w:r w:rsidR="00BC4346" w:rsidRPr="00D930A0">
        <w:rPr>
          <w:rFonts w:ascii="Arial" w:hAnsi="Arial" w:cs="Arial"/>
          <w:lang w:val="en-ZA"/>
        </w:rPr>
        <w:t xml:space="preserve">Beneficiaries </w:t>
      </w:r>
      <w:r w:rsidR="007C5B01" w:rsidRPr="00D930A0">
        <w:rPr>
          <w:rFonts w:ascii="Arial" w:hAnsi="Arial" w:cs="Arial"/>
          <w:lang w:val="en-ZA"/>
        </w:rPr>
        <w:t xml:space="preserve">were selected by the relevant Commodity Project Allocation Committee (CPAC). The CPAC terms of reference provided that the Department and Casidra or Hortgro would each have two representatives on it, but without a vote. </w:t>
      </w:r>
    </w:p>
    <w:p w14:paraId="2D7926C2" w14:textId="77777777" w:rsidR="007C5B01" w:rsidRPr="00D930A0" w:rsidRDefault="007C5B01" w:rsidP="006A3462">
      <w:pPr>
        <w:tabs>
          <w:tab w:val="left" w:pos="284"/>
        </w:tabs>
        <w:spacing w:line="360" w:lineRule="auto"/>
        <w:ind w:left="-426"/>
        <w:jc w:val="both"/>
        <w:rPr>
          <w:rFonts w:ascii="Arial" w:hAnsi="Arial" w:cs="Arial"/>
          <w:lang w:val="en-ZA"/>
        </w:rPr>
      </w:pPr>
    </w:p>
    <w:p w14:paraId="2DAE9375" w14:textId="3909704C" w:rsidR="007C5B01" w:rsidRPr="00D930A0" w:rsidRDefault="007C5B01" w:rsidP="006A3462">
      <w:pPr>
        <w:tabs>
          <w:tab w:val="left" w:pos="284"/>
        </w:tabs>
        <w:spacing w:line="360" w:lineRule="auto"/>
        <w:ind w:left="-426"/>
        <w:jc w:val="both"/>
        <w:rPr>
          <w:rFonts w:ascii="Arial" w:hAnsi="Arial" w:cs="Arial"/>
          <w:lang w:val="en-ZA"/>
        </w:rPr>
      </w:pPr>
      <w:r w:rsidRPr="00D930A0">
        <w:rPr>
          <w:rFonts w:ascii="Arial" w:hAnsi="Arial" w:cs="Arial"/>
          <w:lang w:val="en-ZA"/>
        </w:rPr>
        <w:t>[21]</w:t>
      </w:r>
      <w:r w:rsidRPr="00D930A0">
        <w:rPr>
          <w:rFonts w:ascii="Arial" w:hAnsi="Arial" w:cs="Arial"/>
          <w:lang w:val="en-ZA"/>
        </w:rPr>
        <w:tab/>
        <w:t xml:space="preserve">In some instances the business plans provided that Casidra or Hortgro would appoint service providers to </w:t>
      </w:r>
      <w:r w:rsidR="00BC4346" w:rsidRPr="00D930A0">
        <w:rPr>
          <w:rFonts w:ascii="Arial" w:hAnsi="Arial" w:cs="Arial"/>
          <w:lang w:val="en-ZA"/>
        </w:rPr>
        <w:t>supply goods and services</w:t>
      </w:r>
      <w:r w:rsidRPr="00D930A0">
        <w:rPr>
          <w:rFonts w:ascii="Arial" w:hAnsi="Arial" w:cs="Arial"/>
          <w:lang w:val="en-ZA"/>
        </w:rPr>
        <w:t xml:space="preserve"> to the farmers. In </w:t>
      </w:r>
      <w:r w:rsidR="009D4C40" w:rsidRPr="00D930A0">
        <w:rPr>
          <w:rFonts w:ascii="Arial" w:hAnsi="Arial" w:cs="Arial"/>
          <w:lang w:val="en-ZA"/>
        </w:rPr>
        <w:t>respect</w:t>
      </w:r>
      <w:r w:rsidRPr="00D930A0">
        <w:rPr>
          <w:rFonts w:ascii="Arial" w:hAnsi="Arial" w:cs="Arial"/>
          <w:lang w:val="en-ZA"/>
        </w:rPr>
        <w:t xml:space="preserve"> of the LandCare Projects, for instance, Casidra would enter into contracts for the removal of alien vegetation and the erection of fences. The Flood Relief Project business plan provided that </w:t>
      </w:r>
      <w:r w:rsidRPr="00D930A0">
        <w:rPr>
          <w:rFonts w:ascii="Arial" w:hAnsi="Arial" w:cs="Arial"/>
          <w:lang w:val="en-ZA"/>
        </w:rPr>
        <w:lastRenderedPageBreak/>
        <w:t>Casidra was responsible for the appointment of professional service providers, such as engineers, for the various project components.</w:t>
      </w:r>
      <w:r w:rsidR="00184743" w:rsidRPr="00D930A0">
        <w:rPr>
          <w:rFonts w:ascii="Arial" w:hAnsi="Arial" w:cs="Arial"/>
          <w:lang w:val="en-ZA"/>
        </w:rPr>
        <w:t xml:space="preserve"> The bulk </w:t>
      </w:r>
      <w:r w:rsidR="00BC4346" w:rsidRPr="00D930A0">
        <w:rPr>
          <w:rFonts w:ascii="Arial" w:hAnsi="Arial" w:cs="Arial"/>
          <w:lang w:val="en-ZA"/>
        </w:rPr>
        <w:t>t</w:t>
      </w:r>
      <w:r w:rsidR="00184743" w:rsidRPr="00D930A0">
        <w:rPr>
          <w:rFonts w:ascii="Arial" w:hAnsi="Arial" w:cs="Arial"/>
          <w:lang w:val="en-ZA"/>
        </w:rPr>
        <w:t xml:space="preserve">hereof was engineering works. </w:t>
      </w:r>
      <w:r w:rsidR="00FD4F22">
        <w:rPr>
          <w:rFonts w:ascii="Arial" w:hAnsi="Arial" w:cs="Arial"/>
          <w:lang w:val="en-ZA"/>
        </w:rPr>
        <w:t xml:space="preserve">   </w:t>
      </w:r>
      <w:r w:rsidRPr="00D930A0">
        <w:rPr>
          <w:rFonts w:ascii="Arial" w:hAnsi="Arial" w:cs="Arial"/>
          <w:lang w:val="en-ZA"/>
        </w:rPr>
        <w:t>It also provided that once both Casidra and the Department were satisfied with the specifications for infrastructure projects, ‘approval will be granted and Casid</w:t>
      </w:r>
      <w:r w:rsidR="00F420B4" w:rsidRPr="00D930A0">
        <w:rPr>
          <w:rFonts w:ascii="Arial" w:hAnsi="Arial" w:cs="Arial"/>
          <w:lang w:val="en-ZA"/>
        </w:rPr>
        <w:t xml:space="preserve">ra will award the tender to </w:t>
      </w:r>
      <w:r w:rsidR="00184743" w:rsidRPr="00D930A0">
        <w:rPr>
          <w:rFonts w:ascii="Arial" w:hAnsi="Arial" w:cs="Arial"/>
          <w:lang w:val="en-ZA"/>
        </w:rPr>
        <w:t>the</w:t>
      </w:r>
      <w:r w:rsidR="00F420B4" w:rsidRPr="00D930A0">
        <w:rPr>
          <w:rFonts w:ascii="Arial" w:hAnsi="Arial" w:cs="Arial"/>
          <w:lang w:val="en-ZA"/>
        </w:rPr>
        <w:t xml:space="preserve"> </w:t>
      </w:r>
      <w:r w:rsidRPr="00D930A0">
        <w:rPr>
          <w:rFonts w:ascii="Arial" w:hAnsi="Arial" w:cs="Arial"/>
          <w:lang w:val="en-ZA"/>
        </w:rPr>
        <w:t>successful bidder to commence work</w:t>
      </w:r>
      <w:r w:rsidR="00F67D00" w:rsidRPr="00D930A0">
        <w:rPr>
          <w:rFonts w:ascii="Arial" w:hAnsi="Arial" w:cs="Arial"/>
          <w:lang w:val="en-ZA"/>
        </w:rPr>
        <w:t>’</w:t>
      </w:r>
      <w:r w:rsidR="002F3AB0" w:rsidRPr="00D930A0">
        <w:rPr>
          <w:rFonts w:ascii="Arial" w:hAnsi="Arial" w:cs="Arial"/>
          <w:lang w:val="en-ZA"/>
        </w:rPr>
        <w:t>.</w:t>
      </w:r>
      <w:r w:rsidRPr="00D930A0">
        <w:rPr>
          <w:rFonts w:ascii="Arial" w:hAnsi="Arial" w:cs="Arial"/>
          <w:lang w:val="en-ZA"/>
        </w:rPr>
        <w:t xml:space="preserve"> In terms of </w:t>
      </w:r>
      <w:r w:rsidR="00184743" w:rsidRPr="00D930A0">
        <w:rPr>
          <w:rFonts w:ascii="Arial" w:hAnsi="Arial" w:cs="Arial"/>
          <w:lang w:val="en-ZA"/>
        </w:rPr>
        <w:t>the</w:t>
      </w:r>
      <w:r w:rsidRPr="00D930A0">
        <w:rPr>
          <w:rFonts w:ascii="Arial" w:hAnsi="Arial" w:cs="Arial"/>
          <w:lang w:val="en-ZA"/>
        </w:rPr>
        <w:t xml:space="preserve"> business plan</w:t>
      </w:r>
      <w:r w:rsidR="00772766" w:rsidRPr="00D930A0">
        <w:rPr>
          <w:rFonts w:ascii="Arial" w:hAnsi="Arial" w:cs="Arial"/>
          <w:lang w:val="en-ZA"/>
        </w:rPr>
        <w:t>,</w:t>
      </w:r>
      <w:r w:rsidRPr="00D930A0">
        <w:rPr>
          <w:rFonts w:ascii="Arial" w:hAnsi="Arial" w:cs="Arial"/>
          <w:lang w:val="en-ZA"/>
        </w:rPr>
        <w:t xml:space="preserve"> the Drought</w:t>
      </w:r>
      <w:r w:rsidR="00772766" w:rsidRPr="00D930A0">
        <w:rPr>
          <w:rFonts w:ascii="Arial" w:hAnsi="Arial" w:cs="Arial"/>
          <w:lang w:val="en-ZA"/>
        </w:rPr>
        <w:t> </w:t>
      </w:r>
      <w:r w:rsidRPr="00D930A0">
        <w:rPr>
          <w:rFonts w:ascii="Arial" w:hAnsi="Arial" w:cs="Arial"/>
          <w:lang w:val="en-ZA"/>
        </w:rPr>
        <w:t xml:space="preserve">Relief Scheme would be operated as follows. Casidra would issue vouchers to qualifying farmers, which would enable them to purchase fodder from service providers appointed by Casidra. In all these instances Casidra would make payment to the service provider but only after the </w:t>
      </w:r>
      <w:r w:rsidR="00184743" w:rsidRPr="00D930A0">
        <w:rPr>
          <w:rFonts w:ascii="Arial" w:hAnsi="Arial" w:cs="Arial"/>
          <w:lang w:val="en-ZA"/>
        </w:rPr>
        <w:t>Department had verified</w:t>
      </w:r>
      <w:r w:rsidRPr="00D930A0">
        <w:rPr>
          <w:rFonts w:ascii="Arial" w:hAnsi="Arial" w:cs="Arial"/>
          <w:lang w:val="en-ZA"/>
        </w:rPr>
        <w:t xml:space="preserve"> the relevant documentation or invoices and approv</w:t>
      </w:r>
      <w:r w:rsidR="00AC5489" w:rsidRPr="00D930A0">
        <w:rPr>
          <w:rFonts w:ascii="Arial" w:hAnsi="Arial" w:cs="Arial"/>
          <w:lang w:val="en-ZA"/>
        </w:rPr>
        <w:t>ed</w:t>
      </w:r>
      <w:r w:rsidRPr="00D930A0">
        <w:rPr>
          <w:rFonts w:ascii="Arial" w:hAnsi="Arial" w:cs="Arial"/>
          <w:lang w:val="en-ZA"/>
        </w:rPr>
        <w:t xml:space="preserve"> payment in terms thereof by the </w:t>
      </w:r>
      <w:r w:rsidR="0041769D" w:rsidRPr="00D930A0">
        <w:rPr>
          <w:rFonts w:ascii="Arial" w:hAnsi="Arial" w:cs="Arial"/>
          <w:lang w:val="en-ZA"/>
        </w:rPr>
        <w:t>D</w:t>
      </w:r>
      <w:r w:rsidRPr="00D930A0">
        <w:rPr>
          <w:rFonts w:ascii="Arial" w:hAnsi="Arial" w:cs="Arial"/>
          <w:lang w:val="en-ZA"/>
        </w:rPr>
        <w:t>epartment.</w:t>
      </w:r>
    </w:p>
    <w:p w14:paraId="5CCC46F6" w14:textId="77777777" w:rsidR="007C5B01" w:rsidRPr="00D930A0" w:rsidRDefault="007C5B01" w:rsidP="006A3462">
      <w:pPr>
        <w:tabs>
          <w:tab w:val="left" w:pos="284"/>
        </w:tabs>
        <w:spacing w:line="360" w:lineRule="auto"/>
        <w:ind w:left="-426"/>
        <w:jc w:val="both"/>
        <w:rPr>
          <w:rFonts w:ascii="Arial" w:hAnsi="Arial" w:cs="Arial"/>
          <w:lang w:val="en-ZA"/>
        </w:rPr>
      </w:pPr>
    </w:p>
    <w:p w14:paraId="4EF5AF4A" w14:textId="657F1ABD" w:rsidR="00DB385C" w:rsidRPr="00D930A0" w:rsidRDefault="007C5B01" w:rsidP="006A3462">
      <w:pPr>
        <w:tabs>
          <w:tab w:val="left" w:pos="284"/>
        </w:tabs>
        <w:spacing w:line="360" w:lineRule="auto"/>
        <w:ind w:left="-426"/>
        <w:jc w:val="both"/>
        <w:rPr>
          <w:rFonts w:ascii="Arial" w:hAnsi="Arial" w:cs="Arial"/>
          <w:lang w:val="en-ZA"/>
        </w:rPr>
      </w:pPr>
      <w:r w:rsidRPr="00D930A0">
        <w:rPr>
          <w:rFonts w:ascii="Arial" w:hAnsi="Arial" w:cs="Arial"/>
          <w:lang w:val="en-ZA"/>
        </w:rPr>
        <w:t>[22]</w:t>
      </w:r>
      <w:r w:rsidRPr="00D930A0">
        <w:rPr>
          <w:rFonts w:ascii="Arial" w:hAnsi="Arial" w:cs="Arial"/>
          <w:lang w:val="en-ZA"/>
        </w:rPr>
        <w:tab/>
        <w:t>In answering the question that I have posed, substance must prevail over form and proper regard must be had to context. Labels used by the parties are not decisive. There</w:t>
      </w:r>
      <w:r w:rsidR="00AC5489" w:rsidRPr="00D930A0">
        <w:rPr>
          <w:rFonts w:ascii="Arial" w:hAnsi="Arial" w:cs="Arial"/>
          <w:lang w:val="en-ZA"/>
        </w:rPr>
        <w:t>fore, nothing turns on the fact:</w:t>
      </w:r>
      <w:r w:rsidRPr="00D930A0">
        <w:rPr>
          <w:rFonts w:ascii="Arial" w:hAnsi="Arial" w:cs="Arial"/>
          <w:lang w:val="en-ZA"/>
        </w:rPr>
        <w:t xml:space="preserve"> that </w:t>
      </w:r>
      <w:r w:rsidR="00AC5489" w:rsidRPr="00D930A0">
        <w:rPr>
          <w:rFonts w:ascii="Arial" w:hAnsi="Arial" w:cs="Arial"/>
          <w:lang w:val="en-ZA"/>
        </w:rPr>
        <w:t>each</w:t>
      </w:r>
      <w:r w:rsidRPr="00D930A0">
        <w:rPr>
          <w:rFonts w:ascii="Arial" w:hAnsi="Arial" w:cs="Arial"/>
          <w:lang w:val="en-ZA"/>
        </w:rPr>
        <w:t xml:space="preserve"> contract was entitled ‘Transfer Payment Agreement’; that the LandCare Projects and Fruit Project business plans refer</w:t>
      </w:r>
      <w:r w:rsidR="00AC5489" w:rsidRPr="00D930A0">
        <w:rPr>
          <w:rFonts w:ascii="Arial" w:hAnsi="Arial" w:cs="Arial"/>
          <w:lang w:val="en-ZA"/>
        </w:rPr>
        <w:t>red</w:t>
      </w:r>
      <w:r w:rsidRPr="00D930A0">
        <w:rPr>
          <w:rFonts w:ascii="Arial" w:hAnsi="Arial" w:cs="Arial"/>
          <w:lang w:val="en-ZA"/>
        </w:rPr>
        <w:t xml:space="preserve"> to Casidra and Hortgro respectively as ‘implementing agents’ (the Flood Relief Project and Drought Relief Scheme business plans classified Casidra as ‘external stakeholder’); or that the Vegetable Project business plan stated:</w:t>
      </w:r>
      <w:r w:rsidR="00DB385C" w:rsidRPr="00D930A0">
        <w:rPr>
          <w:rFonts w:ascii="Arial" w:hAnsi="Arial" w:cs="Arial"/>
          <w:lang w:val="en-ZA"/>
        </w:rPr>
        <w:t xml:space="preserve"> </w:t>
      </w:r>
    </w:p>
    <w:p w14:paraId="5E0D873F" w14:textId="462BF5B8" w:rsidR="00CA7813" w:rsidRPr="00D930A0" w:rsidRDefault="00DB385C" w:rsidP="006A346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w:t>
      </w:r>
      <w:r w:rsidR="00FF5D0C" w:rsidRPr="00D930A0">
        <w:rPr>
          <w:rFonts w:ascii="Arial" w:hAnsi="Arial" w:cs="Arial"/>
          <w:sz w:val="22"/>
          <w:szCs w:val="22"/>
          <w:lang w:val="en-ZA"/>
        </w:rPr>
        <w:t xml:space="preserve">. . . </w:t>
      </w:r>
      <w:r w:rsidR="00CA7813" w:rsidRPr="00D930A0">
        <w:rPr>
          <w:rFonts w:ascii="Arial" w:hAnsi="Arial" w:cs="Arial"/>
          <w:sz w:val="22"/>
          <w:szCs w:val="22"/>
          <w:lang w:val="en-ZA"/>
        </w:rPr>
        <w:t>(CASIDRA)</w:t>
      </w:r>
      <w:r w:rsidRPr="00D930A0">
        <w:rPr>
          <w:rFonts w:ascii="Arial" w:hAnsi="Arial" w:cs="Arial"/>
          <w:sz w:val="22"/>
          <w:szCs w:val="22"/>
          <w:lang w:val="en-ZA"/>
        </w:rPr>
        <w:t xml:space="preserve"> will provide project management function and the delivery of approved projects across the </w:t>
      </w:r>
      <w:r w:rsidR="00CA7813" w:rsidRPr="00D930A0">
        <w:rPr>
          <w:rFonts w:ascii="Arial" w:hAnsi="Arial" w:cs="Arial"/>
          <w:sz w:val="22"/>
          <w:szCs w:val="22"/>
          <w:lang w:val="en-ZA"/>
        </w:rPr>
        <w:t>P</w:t>
      </w:r>
      <w:r w:rsidRPr="00D930A0">
        <w:rPr>
          <w:rFonts w:ascii="Arial" w:hAnsi="Arial" w:cs="Arial"/>
          <w:sz w:val="22"/>
          <w:szCs w:val="22"/>
          <w:lang w:val="en-ZA"/>
        </w:rPr>
        <w:t>rovince</w:t>
      </w:r>
      <w:r w:rsidR="00FF5D0C" w:rsidRPr="00D930A0">
        <w:rPr>
          <w:rFonts w:ascii="Arial" w:hAnsi="Arial" w:cs="Arial"/>
          <w:sz w:val="22"/>
          <w:szCs w:val="22"/>
          <w:lang w:val="en-ZA"/>
        </w:rPr>
        <w:t xml:space="preserve"> . . . </w:t>
      </w:r>
      <w:r w:rsidRPr="00D930A0">
        <w:rPr>
          <w:rFonts w:ascii="Arial" w:hAnsi="Arial" w:cs="Arial"/>
          <w:sz w:val="22"/>
          <w:szCs w:val="22"/>
          <w:lang w:val="en-ZA"/>
        </w:rPr>
        <w:t>In addition</w:t>
      </w:r>
      <w:r w:rsidR="00CA7813" w:rsidRPr="00D930A0">
        <w:rPr>
          <w:rFonts w:ascii="Arial" w:hAnsi="Arial" w:cs="Arial"/>
          <w:sz w:val="22"/>
          <w:szCs w:val="22"/>
          <w:lang w:val="en-ZA"/>
        </w:rPr>
        <w:t>,</w:t>
      </w:r>
      <w:r w:rsidRPr="00D930A0">
        <w:rPr>
          <w:rFonts w:ascii="Arial" w:hAnsi="Arial" w:cs="Arial"/>
          <w:sz w:val="22"/>
          <w:szCs w:val="22"/>
          <w:lang w:val="en-ZA"/>
        </w:rPr>
        <w:t xml:space="preserve"> </w:t>
      </w:r>
      <w:r w:rsidR="00CA7813" w:rsidRPr="00D930A0">
        <w:rPr>
          <w:rFonts w:ascii="Arial" w:hAnsi="Arial" w:cs="Arial"/>
          <w:sz w:val="22"/>
          <w:szCs w:val="22"/>
          <w:lang w:val="en-ZA"/>
        </w:rPr>
        <w:t>CASIDRA</w:t>
      </w:r>
      <w:r w:rsidRPr="00D930A0">
        <w:rPr>
          <w:rFonts w:ascii="Arial" w:hAnsi="Arial" w:cs="Arial"/>
          <w:sz w:val="22"/>
          <w:szCs w:val="22"/>
          <w:lang w:val="en-ZA"/>
        </w:rPr>
        <w:t xml:space="preserve"> will provide the following services to the Vegetable</w:t>
      </w:r>
      <w:r w:rsidR="00FF5D0C" w:rsidRPr="00D930A0">
        <w:rPr>
          <w:rFonts w:ascii="Arial" w:hAnsi="Arial" w:cs="Arial"/>
          <w:sz w:val="22"/>
          <w:szCs w:val="22"/>
          <w:lang w:val="en-ZA"/>
        </w:rPr>
        <w:t> </w:t>
      </w:r>
      <w:r w:rsidRPr="00D930A0">
        <w:rPr>
          <w:rFonts w:ascii="Arial" w:hAnsi="Arial" w:cs="Arial"/>
          <w:sz w:val="22"/>
          <w:szCs w:val="22"/>
          <w:lang w:val="en-ZA"/>
        </w:rPr>
        <w:t xml:space="preserve">CPAC: </w:t>
      </w:r>
    </w:p>
    <w:p w14:paraId="550482DF" w14:textId="3CD14197" w:rsidR="00DB385C" w:rsidRPr="00D930A0" w:rsidRDefault="0035047C" w:rsidP="006A3462">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 . .</w:t>
      </w:r>
    </w:p>
    <w:p w14:paraId="4544FE12" w14:textId="0FB2B1B9" w:rsidR="007C5B01" w:rsidRPr="00D930A0" w:rsidRDefault="00DB385C" w:rsidP="003D6611">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 xml:space="preserve">b)  </w:t>
      </w:r>
      <w:r w:rsidR="00CF0A3F" w:rsidRPr="00D930A0">
        <w:rPr>
          <w:rFonts w:ascii="Arial" w:hAnsi="Arial" w:cs="Arial"/>
          <w:sz w:val="22"/>
          <w:szCs w:val="22"/>
          <w:lang w:val="en-ZA"/>
        </w:rPr>
        <w:t xml:space="preserve"> </w:t>
      </w:r>
      <w:r w:rsidRPr="00D930A0">
        <w:rPr>
          <w:rFonts w:ascii="Arial" w:hAnsi="Arial" w:cs="Arial"/>
          <w:sz w:val="22"/>
          <w:szCs w:val="22"/>
          <w:lang w:val="en-ZA"/>
        </w:rPr>
        <w:t>Management procurement on behalf of the Department in line of the PFMA</w:t>
      </w:r>
      <w:r w:rsidR="003D6611" w:rsidRPr="00D930A0">
        <w:rPr>
          <w:rFonts w:ascii="Arial" w:hAnsi="Arial" w:cs="Arial"/>
          <w:sz w:val="22"/>
          <w:szCs w:val="22"/>
          <w:lang w:val="en-ZA"/>
        </w:rPr>
        <w:t>.’</w:t>
      </w:r>
      <w:r w:rsidRPr="00D930A0">
        <w:rPr>
          <w:rFonts w:ascii="Arial" w:hAnsi="Arial" w:cs="Arial"/>
          <w:sz w:val="22"/>
          <w:szCs w:val="22"/>
          <w:lang w:val="en-ZA"/>
        </w:rPr>
        <w:t xml:space="preserve"> (Whatever this may mean.)</w:t>
      </w:r>
      <w:r w:rsidR="00CF0A3F" w:rsidRPr="00D930A0">
        <w:rPr>
          <w:rFonts w:ascii="Arial" w:hAnsi="Arial" w:cs="Arial"/>
          <w:sz w:val="22"/>
          <w:szCs w:val="22"/>
          <w:lang w:val="en-ZA"/>
        </w:rPr>
        <w:t xml:space="preserve"> </w:t>
      </w:r>
    </w:p>
    <w:p w14:paraId="5D0AE0DF" w14:textId="77777777" w:rsidR="00DB385C" w:rsidRPr="00D930A0" w:rsidRDefault="00DB385C" w:rsidP="00DB385C">
      <w:pPr>
        <w:tabs>
          <w:tab w:val="left" w:pos="284"/>
        </w:tabs>
        <w:spacing w:line="360" w:lineRule="auto"/>
        <w:ind w:left="-426"/>
        <w:jc w:val="both"/>
        <w:rPr>
          <w:rFonts w:ascii="Arial" w:hAnsi="Arial" w:cs="Arial"/>
          <w:lang w:val="en-ZA"/>
        </w:rPr>
      </w:pPr>
    </w:p>
    <w:p w14:paraId="0561A634" w14:textId="55F4AB59" w:rsidR="00DB385C" w:rsidRPr="00D930A0" w:rsidRDefault="00DB385C" w:rsidP="00DB385C">
      <w:pPr>
        <w:tabs>
          <w:tab w:val="left" w:pos="284"/>
        </w:tabs>
        <w:spacing w:line="360" w:lineRule="auto"/>
        <w:ind w:left="-426"/>
        <w:jc w:val="both"/>
        <w:rPr>
          <w:rFonts w:ascii="Arial" w:hAnsi="Arial" w:cs="Arial"/>
          <w:lang w:val="en-ZA"/>
        </w:rPr>
      </w:pPr>
      <w:r w:rsidRPr="00D930A0">
        <w:rPr>
          <w:rFonts w:ascii="Arial" w:hAnsi="Arial" w:cs="Arial"/>
          <w:lang w:val="en-ZA"/>
        </w:rPr>
        <w:t>[23]</w:t>
      </w:r>
      <w:r w:rsidRPr="00D930A0">
        <w:rPr>
          <w:rFonts w:ascii="Arial" w:hAnsi="Arial" w:cs="Arial"/>
          <w:lang w:val="en-ZA"/>
        </w:rPr>
        <w:tab/>
        <w:t>It is clear from what I have said that the terms of the contracts in no way authorised Casidra or Hortgro to bind the Department to third parties. On the contrary, they appeared to have been carefully framed to avoid saddling the D</w:t>
      </w:r>
      <w:r w:rsidR="002558B3" w:rsidRPr="00D930A0">
        <w:rPr>
          <w:rFonts w:ascii="Arial" w:hAnsi="Arial" w:cs="Arial"/>
          <w:lang w:val="en-ZA"/>
        </w:rPr>
        <w:t>epartment with liabilities to third</w:t>
      </w:r>
      <w:r w:rsidR="007F6F11" w:rsidRPr="00D930A0">
        <w:rPr>
          <w:rFonts w:ascii="Arial" w:hAnsi="Arial" w:cs="Arial"/>
          <w:lang w:val="en-ZA"/>
        </w:rPr>
        <w:t> </w:t>
      </w:r>
      <w:r w:rsidR="002558B3" w:rsidRPr="00D930A0">
        <w:rPr>
          <w:rFonts w:ascii="Arial" w:hAnsi="Arial" w:cs="Arial"/>
          <w:lang w:val="en-ZA"/>
        </w:rPr>
        <w:t>parties. The same applies to the business plan provisions.</w:t>
      </w:r>
      <w:r w:rsidR="005D1E39" w:rsidRPr="00D930A0">
        <w:rPr>
          <w:rFonts w:ascii="Arial" w:hAnsi="Arial" w:cs="Arial"/>
          <w:lang w:val="en-ZA"/>
        </w:rPr>
        <w:t xml:space="preserve"> They also envisaged </w:t>
      </w:r>
      <w:r w:rsidR="002558B3" w:rsidRPr="00D930A0">
        <w:rPr>
          <w:rFonts w:ascii="Arial" w:hAnsi="Arial" w:cs="Arial"/>
          <w:lang w:val="en-ZA"/>
        </w:rPr>
        <w:t xml:space="preserve">that Casidra and Hortgro would contract with beneficiaries and service providers in their own names and not as the authorised representatives of the </w:t>
      </w:r>
      <w:r w:rsidR="005D1E39" w:rsidRPr="00D930A0">
        <w:rPr>
          <w:rFonts w:ascii="Arial" w:hAnsi="Arial" w:cs="Arial"/>
          <w:lang w:val="en-ZA"/>
        </w:rPr>
        <w:t>D</w:t>
      </w:r>
      <w:r w:rsidR="002558B3" w:rsidRPr="00D930A0">
        <w:rPr>
          <w:rFonts w:ascii="Arial" w:hAnsi="Arial" w:cs="Arial"/>
          <w:lang w:val="en-ZA"/>
        </w:rPr>
        <w:t>epartments. The Department’s approval of payments to service providers, form</w:t>
      </w:r>
      <w:r w:rsidR="00AC5489" w:rsidRPr="00D930A0">
        <w:rPr>
          <w:rFonts w:ascii="Arial" w:hAnsi="Arial" w:cs="Arial"/>
          <w:lang w:val="en-ZA"/>
        </w:rPr>
        <w:t>ed</w:t>
      </w:r>
      <w:r w:rsidR="002558B3" w:rsidRPr="00D930A0">
        <w:rPr>
          <w:rFonts w:ascii="Arial" w:hAnsi="Arial" w:cs="Arial"/>
          <w:lang w:val="en-ZA"/>
        </w:rPr>
        <w:t xml:space="preserve"> part of its oversight function and did not involve it as a party to a contract with a service provider. </w:t>
      </w:r>
    </w:p>
    <w:p w14:paraId="631FB751" w14:textId="7D851B99" w:rsidR="002558B3" w:rsidRPr="00D930A0" w:rsidRDefault="002558B3" w:rsidP="00DB385C">
      <w:pPr>
        <w:tabs>
          <w:tab w:val="left" w:pos="284"/>
        </w:tabs>
        <w:spacing w:line="360" w:lineRule="auto"/>
        <w:ind w:left="-426"/>
        <w:jc w:val="both"/>
        <w:rPr>
          <w:rFonts w:ascii="Arial" w:hAnsi="Arial" w:cs="Arial"/>
          <w:lang w:val="en-ZA"/>
        </w:rPr>
      </w:pPr>
      <w:r w:rsidRPr="00D930A0">
        <w:rPr>
          <w:rFonts w:ascii="Arial" w:hAnsi="Arial" w:cs="Arial"/>
          <w:lang w:val="en-ZA"/>
        </w:rPr>
        <w:lastRenderedPageBreak/>
        <w:t>[24]</w:t>
      </w:r>
      <w:r w:rsidRPr="00D930A0">
        <w:rPr>
          <w:rFonts w:ascii="Arial" w:hAnsi="Arial" w:cs="Arial"/>
          <w:lang w:val="en-ZA"/>
        </w:rPr>
        <w:tab/>
        <w:t xml:space="preserve">Thus, Casidra and Hortgro were not authorised to and did not create legal relationships between the Department and the beneficiaries or service providers involved in the projects. Neither the beneficiaries nor the service providers had the right to sue the Department. It follows that the </w:t>
      </w:r>
      <w:r w:rsidR="00AC5489" w:rsidRPr="00D930A0">
        <w:rPr>
          <w:rFonts w:ascii="Arial" w:hAnsi="Arial" w:cs="Arial"/>
          <w:lang w:val="en-ZA"/>
        </w:rPr>
        <w:t>findings</w:t>
      </w:r>
      <w:r w:rsidRPr="00D930A0">
        <w:rPr>
          <w:rFonts w:ascii="Arial" w:hAnsi="Arial" w:cs="Arial"/>
          <w:lang w:val="en-ZA"/>
        </w:rPr>
        <w:t xml:space="preserve"> were based on a material error of law. The error of law would vitiate the </w:t>
      </w:r>
      <w:r w:rsidR="00AC5489" w:rsidRPr="00D930A0">
        <w:rPr>
          <w:rFonts w:ascii="Arial" w:hAnsi="Arial" w:cs="Arial"/>
          <w:lang w:val="en-ZA"/>
        </w:rPr>
        <w:t>findings</w:t>
      </w:r>
      <w:r w:rsidRPr="00D930A0">
        <w:rPr>
          <w:rFonts w:ascii="Arial" w:hAnsi="Arial" w:cs="Arial"/>
          <w:lang w:val="en-ZA"/>
        </w:rPr>
        <w:t xml:space="preserve"> under the principle of legality and the provisions of PAJA, if the latter were applicable. In the result</w:t>
      </w:r>
      <w:r w:rsidR="008756F3" w:rsidRPr="00D930A0">
        <w:rPr>
          <w:rFonts w:ascii="Arial" w:hAnsi="Arial" w:cs="Arial"/>
          <w:lang w:val="en-ZA"/>
        </w:rPr>
        <w:t>,</w:t>
      </w:r>
      <w:r w:rsidRPr="00D930A0">
        <w:rPr>
          <w:rFonts w:ascii="Arial" w:hAnsi="Arial" w:cs="Arial"/>
          <w:lang w:val="en-ZA"/>
        </w:rPr>
        <w:t xml:space="preserve"> it is unnecessary to deal with the other review grounds relied upon by the MEC. It follows that the appeal must fail, irrespective of whether PAJA was applicable or not.</w:t>
      </w:r>
    </w:p>
    <w:p w14:paraId="3BD48599" w14:textId="6E7C4318" w:rsidR="002558B3" w:rsidRPr="00D930A0" w:rsidRDefault="002558B3" w:rsidP="00DB385C">
      <w:pPr>
        <w:tabs>
          <w:tab w:val="left" w:pos="284"/>
        </w:tabs>
        <w:spacing w:line="360" w:lineRule="auto"/>
        <w:ind w:left="-426"/>
        <w:jc w:val="both"/>
        <w:rPr>
          <w:rFonts w:ascii="Arial" w:hAnsi="Arial" w:cs="Arial"/>
          <w:lang w:val="en-ZA"/>
        </w:rPr>
      </w:pPr>
    </w:p>
    <w:p w14:paraId="3026E67B" w14:textId="12110B55" w:rsidR="00AC5489" w:rsidRPr="00D930A0" w:rsidRDefault="00AC5489" w:rsidP="00DB385C">
      <w:pPr>
        <w:tabs>
          <w:tab w:val="left" w:pos="284"/>
        </w:tabs>
        <w:spacing w:line="360" w:lineRule="auto"/>
        <w:ind w:left="-426"/>
        <w:jc w:val="both"/>
        <w:rPr>
          <w:rFonts w:ascii="Arial" w:hAnsi="Arial" w:cs="Arial"/>
          <w:b/>
          <w:lang w:val="en-ZA"/>
        </w:rPr>
      </w:pPr>
      <w:r w:rsidRPr="00D930A0">
        <w:rPr>
          <w:rFonts w:ascii="Arial" w:hAnsi="Arial" w:cs="Arial"/>
          <w:b/>
          <w:lang w:val="en-ZA"/>
        </w:rPr>
        <w:t>PAJA applicable?</w:t>
      </w:r>
    </w:p>
    <w:p w14:paraId="07A01D5E" w14:textId="77777777" w:rsidR="00BC4346" w:rsidRPr="00D930A0" w:rsidRDefault="002558B3" w:rsidP="00DB385C">
      <w:pPr>
        <w:tabs>
          <w:tab w:val="left" w:pos="284"/>
        </w:tabs>
        <w:spacing w:line="360" w:lineRule="auto"/>
        <w:ind w:left="-426"/>
        <w:jc w:val="both"/>
        <w:rPr>
          <w:rFonts w:ascii="Arial" w:hAnsi="Arial" w:cs="Arial"/>
          <w:lang w:val="en-ZA"/>
        </w:rPr>
      </w:pPr>
      <w:r w:rsidRPr="00D930A0">
        <w:rPr>
          <w:rFonts w:ascii="Arial" w:hAnsi="Arial" w:cs="Arial"/>
          <w:lang w:val="en-ZA"/>
        </w:rPr>
        <w:t>[25]</w:t>
      </w:r>
      <w:r w:rsidRPr="00D930A0">
        <w:rPr>
          <w:rFonts w:ascii="Arial" w:hAnsi="Arial" w:cs="Arial"/>
          <w:lang w:val="en-ZA"/>
        </w:rPr>
        <w:tab/>
        <w:t xml:space="preserve">However, as the court a quo expressed the considered view that the </w:t>
      </w:r>
      <w:r w:rsidR="00AC5489" w:rsidRPr="00D930A0">
        <w:rPr>
          <w:rFonts w:ascii="Arial" w:hAnsi="Arial" w:cs="Arial"/>
          <w:lang w:val="en-ZA"/>
        </w:rPr>
        <w:t>findings</w:t>
      </w:r>
      <w:r w:rsidRPr="00D930A0">
        <w:rPr>
          <w:rFonts w:ascii="Arial" w:hAnsi="Arial" w:cs="Arial"/>
          <w:lang w:val="en-ZA"/>
        </w:rPr>
        <w:t xml:space="preserve"> had constituted administrative action under PAJA, I deem it necessary to address this issue</w:t>
      </w:r>
      <w:r w:rsidR="00BC4346" w:rsidRPr="00D930A0">
        <w:rPr>
          <w:rFonts w:ascii="Arial" w:hAnsi="Arial" w:cs="Arial"/>
          <w:lang w:val="en-ZA"/>
        </w:rPr>
        <w:t>. Also, the question is of some importance to the Auditor-General who argued that PAJA was not applicable. For the reasons that follow, I agree with this submission</w:t>
      </w:r>
      <w:r w:rsidRPr="00D930A0">
        <w:rPr>
          <w:rFonts w:ascii="Arial" w:hAnsi="Arial" w:cs="Arial"/>
          <w:lang w:val="en-ZA"/>
        </w:rPr>
        <w:t xml:space="preserve">. </w:t>
      </w:r>
    </w:p>
    <w:p w14:paraId="45740E92" w14:textId="77777777" w:rsidR="00BC4346" w:rsidRPr="00D930A0" w:rsidRDefault="00BC4346" w:rsidP="00DB385C">
      <w:pPr>
        <w:tabs>
          <w:tab w:val="left" w:pos="284"/>
        </w:tabs>
        <w:spacing w:line="360" w:lineRule="auto"/>
        <w:ind w:left="-426"/>
        <w:jc w:val="both"/>
        <w:rPr>
          <w:rFonts w:ascii="Arial" w:hAnsi="Arial" w:cs="Arial"/>
          <w:lang w:val="en-ZA"/>
        </w:rPr>
      </w:pPr>
    </w:p>
    <w:p w14:paraId="60B9A428" w14:textId="185799E4" w:rsidR="002558B3" w:rsidRPr="00D930A0" w:rsidRDefault="00BC4346" w:rsidP="00DB385C">
      <w:pPr>
        <w:tabs>
          <w:tab w:val="left" w:pos="284"/>
        </w:tabs>
        <w:spacing w:line="360" w:lineRule="auto"/>
        <w:ind w:left="-426"/>
        <w:jc w:val="both"/>
        <w:rPr>
          <w:rFonts w:ascii="Arial" w:hAnsi="Arial" w:cs="Arial"/>
          <w:lang w:val="en-ZA"/>
        </w:rPr>
      </w:pPr>
      <w:r w:rsidRPr="00D930A0">
        <w:rPr>
          <w:rFonts w:ascii="Arial" w:hAnsi="Arial" w:cs="Arial"/>
          <w:lang w:val="en-ZA"/>
        </w:rPr>
        <w:t>[26]</w:t>
      </w:r>
      <w:r w:rsidRPr="00D930A0">
        <w:rPr>
          <w:rFonts w:ascii="Arial" w:hAnsi="Arial" w:cs="Arial"/>
          <w:lang w:val="en-ZA"/>
        </w:rPr>
        <w:tab/>
      </w:r>
      <w:r w:rsidR="002558B3" w:rsidRPr="00D930A0">
        <w:rPr>
          <w:rFonts w:ascii="Arial" w:hAnsi="Arial" w:cs="Arial"/>
          <w:lang w:val="en-ZA"/>
        </w:rPr>
        <w:t xml:space="preserve">In </w:t>
      </w:r>
      <w:r w:rsidR="002558B3" w:rsidRPr="00D930A0">
        <w:rPr>
          <w:rFonts w:ascii="Arial" w:hAnsi="Arial" w:cs="Arial"/>
          <w:i/>
          <w:lang w:val="en-ZA"/>
        </w:rPr>
        <w:t xml:space="preserve">Minister of Home Affairs and Another v Public Protector </w:t>
      </w:r>
      <w:r w:rsidR="00602670" w:rsidRPr="00D930A0">
        <w:rPr>
          <w:rFonts w:ascii="Arial" w:hAnsi="Arial" w:cs="Arial"/>
          <w:lang w:val="en-ZA"/>
        </w:rPr>
        <w:t>[2018] ZASCA 15; [2018] 2 All SA 311 (SCA);</w:t>
      </w:r>
      <w:r w:rsidR="00602670" w:rsidRPr="00D930A0">
        <w:rPr>
          <w:rFonts w:ascii="Arial" w:hAnsi="Arial" w:cs="Arial"/>
          <w:i/>
          <w:lang w:val="en-ZA"/>
        </w:rPr>
        <w:t xml:space="preserve"> </w:t>
      </w:r>
      <w:r w:rsidR="002558B3" w:rsidRPr="00D930A0">
        <w:rPr>
          <w:rFonts w:ascii="Arial" w:hAnsi="Arial" w:cs="Arial"/>
          <w:lang w:val="en-ZA"/>
        </w:rPr>
        <w:t>2018 (3) SA 380 (SCA)</w:t>
      </w:r>
      <w:r w:rsidR="00FC0A58" w:rsidRPr="00D930A0">
        <w:rPr>
          <w:rFonts w:ascii="Arial" w:hAnsi="Arial" w:cs="Arial"/>
          <w:lang w:val="en-ZA"/>
        </w:rPr>
        <w:t xml:space="preserve"> para 37</w:t>
      </w:r>
      <w:r w:rsidR="002558B3" w:rsidRPr="00D930A0">
        <w:rPr>
          <w:rFonts w:ascii="Arial" w:hAnsi="Arial" w:cs="Arial"/>
          <w:lang w:val="en-ZA"/>
        </w:rPr>
        <w:t xml:space="preserve">, this </w:t>
      </w:r>
      <w:r w:rsidR="00FC0A58" w:rsidRPr="00D930A0">
        <w:rPr>
          <w:rFonts w:ascii="Arial" w:hAnsi="Arial" w:cs="Arial"/>
          <w:lang w:val="en-ZA"/>
        </w:rPr>
        <w:t>C</w:t>
      </w:r>
      <w:r w:rsidR="002558B3" w:rsidRPr="00D930A0">
        <w:rPr>
          <w:rFonts w:ascii="Arial" w:hAnsi="Arial" w:cs="Arial"/>
          <w:lang w:val="en-ZA"/>
        </w:rPr>
        <w:t>ourt was confronted with the question whether a decision of the Public Protector was administrative action under PAJA. It had regard to the relevant provisions of the Constitution, the Public Protector Act 23 of 1994 and PAJA and concluded:</w:t>
      </w:r>
    </w:p>
    <w:p w14:paraId="36F7D726" w14:textId="1175393E" w:rsidR="002558B3" w:rsidRPr="00D930A0" w:rsidRDefault="002558B3" w:rsidP="002558B3">
      <w:pPr>
        <w:tabs>
          <w:tab w:val="left" w:pos="284"/>
        </w:tabs>
        <w:spacing w:line="360" w:lineRule="auto"/>
        <w:ind w:left="-426"/>
        <w:jc w:val="both"/>
        <w:rPr>
          <w:rFonts w:ascii="Arial" w:hAnsi="Arial" w:cs="Arial"/>
          <w:lang w:val="en-ZA"/>
        </w:rPr>
      </w:pPr>
      <w:r w:rsidRPr="00D930A0">
        <w:rPr>
          <w:rFonts w:ascii="Arial" w:hAnsi="Arial" w:cs="Arial"/>
          <w:sz w:val="22"/>
          <w:szCs w:val="22"/>
          <w:lang w:val="en-ZA"/>
        </w:rPr>
        <w:t xml:space="preserve">‘First, the Office of the Public Protector is a unique institution designed to strengthen constitutional democracy. It does not fit into the institutions of public administration but stands apart from them. Secondly, it is a purpose-built watch-dog that is independent and answerable not to the executive branch of government but to the National Assembly. Thirdly, although the State Liability Act 20 of 1957 applies to the Office of the Public Protector to enable it to sue and be sued, it is not a department of state and is functionally separate from the state administration: it is only an organ of state because it exercises constitutional powers and other statutory powers of a public nature. Fourthly, its function is not to administer but to investigate, report on and remedy maladministration. Fifthly, the Public Protector is given broad discretionary powers as to what complaints to accept, what allegations of maladministration to investigate, how to investigate them and what remedial action to order – as close as one can get to a free hand to fulfil the mandate of the Constitution. These factors point away from decisions of the Public Protector being of an administrative nature, and hence constituting administrative action. That being so, the PAJA does not apply to the review of exercises of power by the Public Protector in terms of s 182 of the Constitution and s 6 of the </w:t>
      </w:r>
      <w:r w:rsidRPr="00D930A0">
        <w:rPr>
          <w:rFonts w:ascii="Arial" w:hAnsi="Arial" w:cs="Arial"/>
          <w:sz w:val="22"/>
          <w:szCs w:val="22"/>
          <w:lang w:val="en-ZA"/>
        </w:rPr>
        <w:lastRenderedPageBreak/>
        <w:t xml:space="preserve">Public Protector Act. That means that the principle of legality applies to the review of the decisions in issue in this case.’  </w:t>
      </w:r>
    </w:p>
    <w:p w14:paraId="3F2D7CE2" w14:textId="77777777" w:rsidR="002558B3" w:rsidRPr="00D930A0" w:rsidRDefault="002558B3" w:rsidP="002558B3">
      <w:pPr>
        <w:tabs>
          <w:tab w:val="left" w:pos="284"/>
        </w:tabs>
        <w:spacing w:line="360" w:lineRule="auto"/>
        <w:ind w:left="-426"/>
        <w:jc w:val="both"/>
        <w:rPr>
          <w:rFonts w:ascii="Arial" w:hAnsi="Arial" w:cs="Arial"/>
          <w:lang w:val="en-ZA"/>
        </w:rPr>
      </w:pPr>
    </w:p>
    <w:p w14:paraId="4F1CD194" w14:textId="7433CBFD" w:rsidR="002558B3" w:rsidRPr="00D930A0" w:rsidRDefault="002558B3" w:rsidP="002558B3">
      <w:pPr>
        <w:tabs>
          <w:tab w:val="left" w:pos="284"/>
        </w:tabs>
        <w:spacing w:line="360" w:lineRule="auto"/>
        <w:ind w:left="-426"/>
        <w:jc w:val="both"/>
        <w:rPr>
          <w:rFonts w:ascii="Arial" w:hAnsi="Arial" w:cs="Arial"/>
          <w:lang w:val="en-ZA"/>
        </w:rPr>
      </w:pPr>
      <w:r w:rsidRPr="00D930A0">
        <w:rPr>
          <w:rFonts w:ascii="Arial" w:hAnsi="Arial" w:cs="Arial"/>
          <w:lang w:val="en-ZA"/>
        </w:rPr>
        <w:t>[2</w:t>
      </w:r>
      <w:r w:rsidR="00CF4A88" w:rsidRPr="00D930A0">
        <w:rPr>
          <w:rFonts w:ascii="Arial" w:hAnsi="Arial" w:cs="Arial"/>
          <w:lang w:val="en-ZA"/>
        </w:rPr>
        <w:t>7</w:t>
      </w:r>
      <w:r w:rsidRPr="00D930A0">
        <w:rPr>
          <w:rFonts w:ascii="Arial" w:hAnsi="Arial" w:cs="Arial"/>
          <w:lang w:val="en-ZA"/>
        </w:rPr>
        <w:t>]</w:t>
      </w:r>
      <w:r w:rsidRPr="00D930A0">
        <w:rPr>
          <w:rFonts w:ascii="Arial" w:hAnsi="Arial" w:cs="Arial"/>
          <w:lang w:val="en-ZA"/>
        </w:rPr>
        <w:tab/>
        <w:t>The court a quo attempted to distinguish the decisions of the Public Protector from that of the Auditor-General. It said:</w:t>
      </w:r>
    </w:p>
    <w:p w14:paraId="78C5EFFA" w14:textId="2D0F32A4" w:rsidR="00596307" w:rsidRPr="00D930A0" w:rsidRDefault="00596307" w:rsidP="002558B3">
      <w:pPr>
        <w:tabs>
          <w:tab w:val="left" w:pos="284"/>
        </w:tabs>
        <w:spacing w:line="360" w:lineRule="auto"/>
        <w:ind w:left="-426"/>
        <w:jc w:val="both"/>
        <w:rPr>
          <w:rFonts w:ascii="Arial" w:hAnsi="Arial" w:cs="Arial"/>
          <w:lang w:val="en-ZA"/>
        </w:rPr>
      </w:pPr>
      <w:r w:rsidRPr="00D930A0">
        <w:rPr>
          <w:rFonts w:ascii="Arial" w:hAnsi="Arial" w:cs="Arial"/>
          <w:sz w:val="22"/>
          <w:szCs w:val="22"/>
          <w:lang w:val="en-ZA"/>
        </w:rPr>
        <w:t>‘</w:t>
      </w:r>
      <w:r w:rsidR="00CF0A3F" w:rsidRPr="00D930A0">
        <w:rPr>
          <w:rFonts w:ascii="Arial" w:hAnsi="Arial" w:cs="Arial"/>
          <w:sz w:val="22"/>
          <w:szCs w:val="22"/>
          <w:lang w:val="en-ZA"/>
        </w:rPr>
        <w:t xml:space="preserve">I think that the AGSA differs from the Public Protector, because the AGSA fits squarely into the institutions of public administration. The AGSA’s function is indeed to administer, by auditing the accounts and financial statements of the relevant organs of state. The AGSA does not have broad discretionary powers as to what work he undertakes. He is obliged to audit and report on the accounts, financial statements and financial management of the departments and entities listed in section 108(1) of the Constitution.’ </w:t>
      </w:r>
    </w:p>
    <w:p w14:paraId="7C816EC1" w14:textId="77777777" w:rsidR="00596307" w:rsidRPr="00D930A0" w:rsidRDefault="00596307" w:rsidP="002558B3">
      <w:pPr>
        <w:tabs>
          <w:tab w:val="left" w:pos="284"/>
        </w:tabs>
        <w:spacing w:line="360" w:lineRule="auto"/>
        <w:ind w:left="-426"/>
        <w:jc w:val="both"/>
        <w:rPr>
          <w:rFonts w:ascii="Arial" w:hAnsi="Arial" w:cs="Arial"/>
          <w:lang w:val="en-ZA"/>
        </w:rPr>
      </w:pPr>
    </w:p>
    <w:p w14:paraId="64B789D4" w14:textId="444C4AEF" w:rsidR="00E91FA5" w:rsidRPr="00D930A0" w:rsidRDefault="00596307" w:rsidP="00E91FA5">
      <w:pPr>
        <w:tabs>
          <w:tab w:val="left" w:pos="284"/>
        </w:tabs>
        <w:spacing w:line="360" w:lineRule="auto"/>
        <w:ind w:left="-426"/>
        <w:jc w:val="both"/>
        <w:rPr>
          <w:rFonts w:ascii="Arial" w:hAnsi="Arial" w:cs="Arial"/>
          <w:lang w:val="en-ZA"/>
        </w:rPr>
      </w:pPr>
      <w:r w:rsidRPr="00D930A0">
        <w:rPr>
          <w:rFonts w:ascii="Arial" w:hAnsi="Arial" w:cs="Arial"/>
          <w:lang w:val="en-ZA"/>
        </w:rPr>
        <w:t>[2</w:t>
      </w:r>
      <w:r w:rsidR="00CF4A88" w:rsidRPr="00D930A0">
        <w:rPr>
          <w:rFonts w:ascii="Arial" w:hAnsi="Arial" w:cs="Arial"/>
          <w:lang w:val="en-ZA"/>
        </w:rPr>
        <w:t>8</w:t>
      </w:r>
      <w:r w:rsidRPr="00D930A0">
        <w:rPr>
          <w:rFonts w:ascii="Arial" w:hAnsi="Arial" w:cs="Arial"/>
          <w:lang w:val="en-ZA"/>
        </w:rPr>
        <w:t>]</w:t>
      </w:r>
      <w:r w:rsidRPr="00D930A0">
        <w:rPr>
          <w:rFonts w:ascii="Arial" w:hAnsi="Arial" w:cs="Arial"/>
          <w:lang w:val="en-ZA"/>
        </w:rPr>
        <w:tab/>
        <w:t>I do not think that the distinction is valid. The</w:t>
      </w:r>
      <w:r w:rsidR="00AC5489" w:rsidRPr="00D930A0">
        <w:rPr>
          <w:rFonts w:ascii="Arial" w:hAnsi="Arial" w:cs="Arial"/>
          <w:lang w:val="en-ZA"/>
        </w:rPr>
        <w:t xml:space="preserve"> office of the</w:t>
      </w:r>
      <w:r w:rsidRPr="00D930A0">
        <w:rPr>
          <w:rFonts w:ascii="Arial" w:hAnsi="Arial" w:cs="Arial"/>
          <w:lang w:val="en-ZA"/>
        </w:rPr>
        <w:t xml:space="preserve"> Auditor-General is one of the institutions established under Chapter 9 of the Constitution to ‘strengthen constitutional democracy in the Republic’. Section 181(2) of the Constitution provides:</w:t>
      </w:r>
    </w:p>
    <w:p w14:paraId="362D5398" w14:textId="4199E333" w:rsidR="00E91FA5" w:rsidRPr="00D930A0" w:rsidRDefault="00E91FA5" w:rsidP="00E91FA5">
      <w:pPr>
        <w:tabs>
          <w:tab w:val="left" w:pos="284"/>
        </w:tabs>
        <w:spacing w:line="360" w:lineRule="auto"/>
        <w:ind w:left="-426"/>
        <w:jc w:val="both"/>
        <w:rPr>
          <w:rFonts w:ascii="Arial" w:hAnsi="Arial" w:cs="Arial"/>
          <w:sz w:val="22"/>
          <w:szCs w:val="22"/>
          <w:lang w:val="en-ZA"/>
        </w:rPr>
      </w:pPr>
      <w:r w:rsidRPr="00D930A0">
        <w:rPr>
          <w:rFonts w:ascii="Arial" w:hAnsi="Arial" w:cs="Arial"/>
          <w:lang w:val="en-ZA"/>
        </w:rPr>
        <w:t>‘</w:t>
      </w:r>
      <w:r w:rsidRPr="00D930A0">
        <w:rPr>
          <w:rFonts w:ascii="Arial" w:hAnsi="Arial" w:cs="Arial"/>
          <w:sz w:val="22"/>
          <w:szCs w:val="22"/>
          <w:lang w:val="en-ZA"/>
        </w:rPr>
        <w:t>These institutions are independent, and subject only to the Constitution and the law, and they must be impartial and must exercise their powers and perform their functions without fear, favour or prejudice.’</w:t>
      </w:r>
    </w:p>
    <w:p w14:paraId="57218C78" w14:textId="45B1EE6D" w:rsidR="00E91FA5" w:rsidRPr="00D930A0" w:rsidRDefault="00E91FA5" w:rsidP="00E91FA5">
      <w:pPr>
        <w:tabs>
          <w:tab w:val="left" w:pos="284"/>
        </w:tabs>
        <w:spacing w:line="360" w:lineRule="auto"/>
        <w:ind w:left="-426"/>
        <w:jc w:val="both"/>
        <w:rPr>
          <w:rFonts w:ascii="Arial" w:hAnsi="Arial" w:cs="Arial"/>
          <w:lang w:val="en-ZA"/>
        </w:rPr>
      </w:pPr>
      <w:r w:rsidRPr="00D930A0">
        <w:rPr>
          <w:rFonts w:ascii="Arial" w:hAnsi="Arial" w:cs="Arial"/>
          <w:lang w:val="en-ZA"/>
        </w:rPr>
        <w:t>In ter</w:t>
      </w:r>
      <w:r w:rsidR="000967AE" w:rsidRPr="00D930A0">
        <w:rPr>
          <w:rFonts w:ascii="Arial" w:hAnsi="Arial" w:cs="Arial"/>
          <w:lang w:val="en-ZA"/>
        </w:rPr>
        <w:t>ms of s 181(3) other organs of s</w:t>
      </w:r>
      <w:r w:rsidRPr="00D930A0">
        <w:rPr>
          <w:rFonts w:ascii="Arial" w:hAnsi="Arial" w:cs="Arial"/>
          <w:lang w:val="en-ZA"/>
        </w:rPr>
        <w:t>tate are obliged to assist and protect the Chapter 9 institutions to ensure their independence, impartiality, dignity and effectiveness. Section</w:t>
      </w:r>
      <w:r w:rsidR="00325D86" w:rsidRPr="00D930A0">
        <w:rPr>
          <w:rFonts w:ascii="Arial" w:hAnsi="Arial" w:cs="Arial"/>
          <w:lang w:val="en-ZA"/>
        </w:rPr>
        <w:t> </w:t>
      </w:r>
      <w:r w:rsidRPr="00D930A0">
        <w:rPr>
          <w:rFonts w:ascii="Arial" w:hAnsi="Arial" w:cs="Arial"/>
          <w:lang w:val="en-ZA"/>
        </w:rPr>
        <w:t>181(4) prohibits any interference with the functioning of these institutions. They are</w:t>
      </w:r>
      <w:r w:rsidR="005D1E39" w:rsidRPr="00D930A0">
        <w:rPr>
          <w:rFonts w:ascii="Arial" w:hAnsi="Arial" w:cs="Arial"/>
          <w:lang w:val="en-ZA"/>
        </w:rPr>
        <w:t>,</w:t>
      </w:r>
      <w:r w:rsidRPr="00D930A0">
        <w:rPr>
          <w:rFonts w:ascii="Arial" w:hAnsi="Arial" w:cs="Arial"/>
          <w:lang w:val="en-ZA"/>
        </w:rPr>
        <w:t xml:space="preserve"> in terms of s 181(5)</w:t>
      </w:r>
      <w:r w:rsidR="00AC5489" w:rsidRPr="00D930A0">
        <w:rPr>
          <w:rFonts w:ascii="Arial" w:hAnsi="Arial" w:cs="Arial"/>
          <w:lang w:val="en-ZA"/>
        </w:rPr>
        <w:t>,</w:t>
      </w:r>
      <w:r w:rsidRPr="00D930A0">
        <w:rPr>
          <w:rFonts w:ascii="Arial" w:hAnsi="Arial" w:cs="Arial"/>
          <w:lang w:val="en-ZA"/>
        </w:rPr>
        <w:t xml:space="preserve"> accountable only to the National Assembly.</w:t>
      </w:r>
    </w:p>
    <w:p w14:paraId="70D4262A" w14:textId="77777777" w:rsidR="00E91FA5" w:rsidRPr="00D930A0" w:rsidRDefault="00E91FA5" w:rsidP="00E91FA5">
      <w:pPr>
        <w:tabs>
          <w:tab w:val="left" w:pos="284"/>
        </w:tabs>
        <w:spacing w:line="360" w:lineRule="auto"/>
        <w:ind w:left="-426"/>
        <w:jc w:val="both"/>
        <w:rPr>
          <w:rFonts w:ascii="Arial" w:hAnsi="Arial" w:cs="Arial"/>
          <w:lang w:val="en-ZA"/>
        </w:rPr>
      </w:pPr>
    </w:p>
    <w:p w14:paraId="5C86F0C5" w14:textId="5E157BED" w:rsidR="00E91FA5" w:rsidRPr="00D930A0" w:rsidRDefault="00E91FA5" w:rsidP="00E91FA5">
      <w:pPr>
        <w:tabs>
          <w:tab w:val="left" w:pos="284"/>
        </w:tabs>
        <w:spacing w:line="360" w:lineRule="auto"/>
        <w:ind w:left="-426"/>
        <w:jc w:val="both"/>
        <w:rPr>
          <w:rFonts w:ascii="Arial" w:hAnsi="Arial" w:cs="Arial"/>
          <w:lang w:val="en-ZA"/>
        </w:rPr>
      </w:pPr>
      <w:r w:rsidRPr="00D930A0">
        <w:rPr>
          <w:rFonts w:ascii="Arial" w:hAnsi="Arial" w:cs="Arial"/>
          <w:lang w:val="en-ZA"/>
        </w:rPr>
        <w:t>[2</w:t>
      </w:r>
      <w:r w:rsidR="00CF4A88" w:rsidRPr="00D930A0">
        <w:rPr>
          <w:rFonts w:ascii="Arial" w:hAnsi="Arial" w:cs="Arial"/>
          <w:lang w:val="en-ZA"/>
        </w:rPr>
        <w:t>9</w:t>
      </w:r>
      <w:r w:rsidRPr="00D930A0">
        <w:rPr>
          <w:rFonts w:ascii="Arial" w:hAnsi="Arial" w:cs="Arial"/>
          <w:lang w:val="en-ZA"/>
        </w:rPr>
        <w:t>]</w:t>
      </w:r>
      <w:r w:rsidRPr="00D930A0">
        <w:rPr>
          <w:rFonts w:ascii="Arial" w:hAnsi="Arial" w:cs="Arial"/>
          <w:lang w:val="en-ZA"/>
        </w:rPr>
        <w:tab/>
        <w:t xml:space="preserve">Section 188 of the Constitution deals specifically with the Auditor-General. </w:t>
      </w:r>
      <w:r w:rsidR="00907A7E" w:rsidRPr="00D930A0">
        <w:rPr>
          <w:rFonts w:ascii="Arial" w:hAnsi="Arial" w:cs="Arial"/>
          <w:lang w:val="en-ZA"/>
        </w:rPr>
        <w:t xml:space="preserve">                   </w:t>
      </w:r>
      <w:r w:rsidRPr="00D930A0">
        <w:rPr>
          <w:rFonts w:ascii="Arial" w:hAnsi="Arial" w:cs="Arial"/>
          <w:lang w:val="en-ZA"/>
        </w:rPr>
        <w:t xml:space="preserve">It provides: </w:t>
      </w:r>
    </w:p>
    <w:p w14:paraId="154FA1EC" w14:textId="3610BF4A" w:rsidR="00E91FA5" w:rsidRPr="00D930A0" w:rsidRDefault="00E91FA5" w:rsidP="00E91FA5">
      <w:pPr>
        <w:tabs>
          <w:tab w:val="left" w:pos="284"/>
        </w:tabs>
        <w:spacing w:line="360" w:lineRule="auto"/>
        <w:ind w:left="-426"/>
        <w:jc w:val="both"/>
        <w:rPr>
          <w:rFonts w:ascii="Arial" w:hAnsi="Arial" w:cs="Arial"/>
          <w:sz w:val="22"/>
          <w:szCs w:val="22"/>
          <w:lang w:val="en-ZA"/>
        </w:rPr>
      </w:pPr>
      <w:r w:rsidRPr="00D930A0">
        <w:rPr>
          <w:rFonts w:ascii="Arial" w:hAnsi="Arial" w:cs="Arial"/>
          <w:sz w:val="22"/>
          <w:szCs w:val="22"/>
          <w:lang w:val="en-ZA"/>
        </w:rPr>
        <w:t>‘(1)</w:t>
      </w:r>
      <w:r w:rsidRPr="00D930A0">
        <w:rPr>
          <w:rFonts w:ascii="Arial" w:hAnsi="Arial" w:cs="Arial"/>
          <w:sz w:val="22"/>
          <w:szCs w:val="22"/>
          <w:lang w:val="en-ZA"/>
        </w:rPr>
        <w:tab/>
        <w:t>The Auditor-General must audit and rep</w:t>
      </w:r>
      <w:r w:rsidR="005D1E39" w:rsidRPr="00D930A0">
        <w:rPr>
          <w:rFonts w:ascii="Arial" w:hAnsi="Arial" w:cs="Arial"/>
          <w:sz w:val="22"/>
          <w:szCs w:val="22"/>
          <w:lang w:val="en-ZA"/>
        </w:rPr>
        <w:t xml:space="preserve">ort on the accounts, financial </w:t>
      </w:r>
      <w:r w:rsidRPr="00D930A0">
        <w:rPr>
          <w:rFonts w:ascii="Arial" w:hAnsi="Arial" w:cs="Arial"/>
          <w:sz w:val="22"/>
          <w:szCs w:val="22"/>
          <w:lang w:val="en-ZA"/>
        </w:rPr>
        <w:t>statements and financial management of—</w:t>
      </w:r>
    </w:p>
    <w:p w14:paraId="2B03A7EA" w14:textId="6859C190" w:rsidR="00E91FA5" w:rsidRPr="00D930A0" w:rsidRDefault="00E91FA5" w:rsidP="00E91FA5">
      <w:pPr>
        <w:tabs>
          <w:tab w:val="left" w:pos="284"/>
        </w:tabs>
        <w:spacing w:line="360" w:lineRule="auto"/>
        <w:ind w:hanging="426"/>
        <w:jc w:val="both"/>
        <w:rPr>
          <w:rFonts w:ascii="Arial" w:hAnsi="Arial" w:cs="Arial"/>
          <w:sz w:val="22"/>
          <w:szCs w:val="22"/>
          <w:lang w:val="en-ZA"/>
        </w:rPr>
      </w:pPr>
      <w:r w:rsidRPr="00D930A0">
        <w:rPr>
          <w:rFonts w:ascii="Arial" w:hAnsi="Arial" w:cs="Arial"/>
          <w:i/>
          <w:sz w:val="22"/>
          <w:szCs w:val="22"/>
          <w:lang w:val="en-ZA"/>
        </w:rPr>
        <w:t>(a)</w:t>
      </w:r>
      <w:r w:rsidRPr="00D930A0">
        <w:rPr>
          <w:rFonts w:ascii="Arial" w:hAnsi="Arial" w:cs="Arial"/>
          <w:sz w:val="22"/>
          <w:szCs w:val="22"/>
          <w:lang w:val="en-ZA"/>
        </w:rPr>
        <w:tab/>
        <w:t xml:space="preserve">all national and provincial state departments and administrations; </w:t>
      </w:r>
    </w:p>
    <w:p w14:paraId="464D72EE" w14:textId="2460E07F" w:rsidR="00E91FA5" w:rsidRPr="00D930A0" w:rsidRDefault="00E91FA5" w:rsidP="00E91FA5">
      <w:pPr>
        <w:tabs>
          <w:tab w:val="left" w:pos="284"/>
        </w:tabs>
        <w:spacing w:line="360" w:lineRule="auto"/>
        <w:ind w:hanging="426"/>
        <w:jc w:val="both"/>
        <w:rPr>
          <w:rFonts w:ascii="Arial" w:hAnsi="Arial" w:cs="Arial"/>
          <w:sz w:val="22"/>
          <w:szCs w:val="22"/>
          <w:lang w:val="en-ZA"/>
        </w:rPr>
      </w:pPr>
      <w:r w:rsidRPr="00D930A0">
        <w:rPr>
          <w:rFonts w:ascii="Arial" w:hAnsi="Arial" w:cs="Arial"/>
          <w:i/>
          <w:sz w:val="22"/>
          <w:szCs w:val="22"/>
          <w:lang w:val="en-ZA"/>
        </w:rPr>
        <w:t>(b)</w:t>
      </w:r>
      <w:r w:rsidRPr="00D930A0">
        <w:rPr>
          <w:rFonts w:ascii="Arial" w:hAnsi="Arial" w:cs="Arial"/>
          <w:sz w:val="22"/>
          <w:szCs w:val="22"/>
          <w:lang w:val="en-ZA"/>
        </w:rPr>
        <w:tab/>
        <w:t xml:space="preserve">all municipalities; and </w:t>
      </w:r>
    </w:p>
    <w:p w14:paraId="7D6FE41E" w14:textId="146D9CF2" w:rsidR="00E91FA5" w:rsidRPr="00D930A0" w:rsidRDefault="00E91FA5" w:rsidP="007E092A">
      <w:pPr>
        <w:tabs>
          <w:tab w:val="left" w:pos="284"/>
        </w:tabs>
        <w:spacing w:line="360" w:lineRule="auto"/>
        <w:ind w:left="-425"/>
        <w:jc w:val="both"/>
        <w:rPr>
          <w:rFonts w:ascii="Arial" w:hAnsi="Arial" w:cs="Arial"/>
          <w:sz w:val="22"/>
          <w:szCs w:val="22"/>
          <w:lang w:val="en-ZA"/>
        </w:rPr>
      </w:pPr>
      <w:r w:rsidRPr="00D930A0">
        <w:rPr>
          <w:rFonts w:ascii="Arial" w:hAnsi="Arial" w:cs="Arial"/>
          <w:i/>
          <w:sz w:val="22"/>
          <w:szCs w:val="22"/>
          <w:lang w:val="en-ZA"/>
        </w:rPr>
        <w:t>(c)</w:t>
      </w:r>
      <w:r w:rsidR="009C4BDB" w:rsidRPr="00D930A0">
        <w:rPr>
          <w:rFonts w:ascii="Arial" w:hAnsi="Arial" w:cs="Arial"/>
          <w:sz w:val="22"/>
          <w:szCs w:val="22"/>
          <w:lang w:val="en-ZA"/>
        </w:rPr>
        <w:t xml:space="preserve">  </w:t>
      </w:r>
      <w:r w:rsidRPr="00D930A0">
        <w:rPr>
          <w:rFonts w:ascii="Arial" w:hAnsi="Arial" w:cs="Arial"/>
          <w:sz w:val="22"/>
          <w:szCs w:val="22"/>
          <w:lang w:val="en-ZA"/>
        </w:rPr>
        <w:t xml:space="preserve">any other institution or accounting entity required by national or provincial legislation to be audited by the Auditor-General. </w:t>
      </w:r>
    </w:p>
    <w:p w14:paraId="32CA70D9" w14:textId="77777777" w:rsidR="00E91FA5" w:rsidRPr="00D930A0" w:rsidRDefault="00E91FA5" w:rsidP="00E91FA5">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(2)</w:t>
      </w:r>
      <w:r w:rsidRPr="00D930A0">
        <w:rPr>
          <w:rFonts w:ascii="Arial" w:hAnsi="Arial" w:cs="Arial"/>
          <w:sz w:val="22"/>
          <w:szCs w:val="22"/>
          <w:lang w:val="en-ZA"/>
        </w:rPr>
        <w:tab/>
        <w:t>In addition to the duties prescribed in subsection (1), and subject to any legislation, the Auditor-General may audit and report on the accounts, financial statements and financial management of—</w:t>
      </w:r>
    </w:p>
    <w:p w14:paraId="45078BED" w14:textId="77777777" w:rsidR="00E91FA5" w:rsidRPr="00D930A0" w:rsidRDefault="00E91FA5" w:rsidP="007E092A">
      <w:pPr>
        <w:tabs>
          <w:tab w:val="left" w:pos="284"/>
        </w:tabs>
        <w:spacing w:line="360" w:lineRule="auto"/>
        <w:ind w:left="-425"/>
        <w:jc w:val="both"/>
        <w:rPr>
          <w:rFonts w:ascii="Arial" w:hAnsi="Arial" w:cs="Arial"/>
          <w:sz w:val="22"/>
          <w:szCs w:val="22"/>
          <w:lang w:val="en-ZA"/>
        </w:rPr>
      </w:pPr>
      <w:r w:rsidRPr="00D930A0">
        <w:rPr>
          <w:rFonts w:ascii="Arial" w:hAnsi="Arial" w:cs="Arial"/>
          <w:i/>
          <w:sz w:val="22"/>
          <w:szCs w:val="22"/>
          <w:lang w:val="en-ZA"/>
        </w:rPr>
        <w:lastRenderedPageBreak/>
        <w:t>(a)</w:t>
      </w:r>
      <w:r w:rsidRPr="00D930A0">
        <w:rPr>
          <w:rFonts w:ascii="Arial" w:hAnsi="Arial" w:cs="Arial"/>
          <w:sz w:val="22"/>
          <w:szCs w:val="22"/>
          <w:lang w:val="en-ZA"/>
        </w:rPr>
        <w:tab/>
        <w:t xml:space="preserve">any institution funded from the National Revenue Fund or a Provincial Revenue Fund or by a municipality; or </w:t>
      </w:r>
    </w:p>
    <w:p w14:paraId="2BCDE9E8" w14:textId="79B11AFA" w:rsidR="00E91FA5" w:rsidRPr="00D930A0" w:rsidRDefault="00E91FA5" w:rsidP="00E91FA5">
      <w:pPr>
        <w:tabs>
          <w:tab w:val="left" w:pos="284"/>
        </w:tabs>
        <w:spacing w:line="360" w:lineRule="auto"/>
        <w:ind w:left="279" w:hanging="705"/>
        <w:jc w:val="both"/>
        <w:rPr>
          <w:rFonts w:ascii="Arial" w:hAnsi="Arial" w:cs="Arial"/>
          <w:sz w:val="22"/>
          <w:szCs w:val="22"/>
          <w:lang w:val="en-ZA"/>
        </w:rPr>
      </w:pPr>
      <w:r w:rsidRPr="00D930A0">
        <w:rPr>
          <w:rFonts w:ascii="Arial" w:hAnsi="Arial" w:cs="Arial"/>
          <w:i/>
          <w:sz w:val="22"/>
          <w:szCs w:val="22"/>
          <w:lang w:val="en-ZA"/>
        </w:rPr>
        <w:t>(b)</w:t>
      </w:r>
      <w:r w:rsidRPr="00D930A0">
        <w:rPr>
          <w:rFonts w:ascii="Arial" w:hAnsi="Arial" w:cs="Arial"/>
          <w:sz w:val="22"/>
          <w:szCs w:val="22"/>
          <w:lang w:val="en-ZA"/>
        </w:rPr>
        <w:tab/>
        <w:t xml:space="preserve">any institution that is authorised in terms of any law to receive money for a public purpose. </w:t>
      </w:r>
    </w:p>
    <w:p w14:paraId="15934093" w14:textId="6A9CCC25" w:rsidR="00E91FA5" w:rsidRPr="00D930A0" w:rsidRDefault="00CF0A3F" w:rsidP="00E91FA5">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(3)</w:t>
      </w:r>
      <w:r w:rsidRPr="00D930A0">
        <w:rPr>
          <w:rFonts w:ascii="Arial" w:hAnsi="Arial" w:cs="Arial"/>
          <w:sz w:val="22"/>
          <w:szCs w:val="22"/>
          <w:lang w:val="en-ZA"/>
        </w:rPr>
        <w:tab/>
      </w:r>
      <w:r w:rsidR="00E91FA5" w:rsidRPr="00D930A0">
        <w:rPr>
          <w:rFonts w:ascii="Arial" w:hAnsi="Arial" w:cs="Arial"/>
          <w:sz w:val="22"/>
          <w:szCs w:val="22"/>
          <w:lang w:val="en-ZA"/>
        </w:rPr>
        <w:t xml:space="preserve">The Auditor-General must submit audit reports to any legislature that has a direct interest in the audit, and to any other authority prescribed by national legislation. All reports must be made public. </w:t>
      </w:r>
    </w:p>
    <w:p w14:paraId="4D211255" w14:textId="5DF46A8B" w:rsidR="00E91FA5"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(4)</w:t>
      </w:r>
      <w:r w:rsidRPr="00D930A0">
        <w:rPr>
          <w:rFonts w:ascii="Arial" w:hAnsi="Arial" w:cs="Arial"/>
          <w:sz w:val="22"/>
          <w:szCs w:val="22"/>
          <w:lang w:val="en-ZA"/>
        </w:rPr>
        <w:tab/>
      </w:r>
      <w:r w:rsidR="00E91FA5" w:rsidRPr="00D930A0">
        <w:rPr>
          <w:rFonts w:ascii="Arial" w:hAnsi="Arial" w:cs="Arial"/>
          <w:sz w:val="22"/>
          <w:szCs w:val="22"/>
          <w:lang w:val="en-ZA"/>
        </w:rPr>
        <w:t>The Auditor-General has the additional powers and functions pres</w:t>
      </w:r>
      <w:r w:rsidRPr="00D930A0">
        <w:rPr>
          <w:rFonts w:ascii="Arial" w:hAnsi="Arial" w:cs="Arial"/>
          <w:sz w:val="22"/>
          <w:szCs w:val="22"/>
          <w:lang w:val="en-ZA"/>
        </w:rPr>
        <w:t>cribed by national legislation.’</w:t>
      </w:r>
    </w:p>
    <w:p w14:paraId="04A83D87" w14:textId="77777777" w:rsidR="00F67D22" w:rsidRPr="00D930A0" w:rsidRDefault="00F67D22" w:rsidP="00F67D22">
      <w:pPr>
        <w:tabs>
          <w:tab w:val="left" w:pos="142"/>
        </w:tabs>
        <w:spacing w:line="360" w:lineRule="auto"/>
        <w:ind w:left="-426"/>
        <w:jc w:val="both"/>
        <w:rPr>
          <w:rFonts w:ascii="Arial" w:hAnsi="Arial" w:cs="Arial"/>
          <w:sz w:val="22"/>
          <w:szCs w:val="22"/>
          <w:lang w:val="en-ZA"/>
        </w:rPr>
      </w:pPr>
    </w:p>
    <w:p w14:paraId="454D0E27" w14:textId="0DE134F4" w:rsidR="00F67D22" w:rsidRPr="00D930A0" w:rsidRDefault="00F67D22" w:rsidP="00F67D22">
      <w:pPr>
        <w:tabs>
          <w:tab w:val="left" w:pos="142"/>
        </w:tabs>
        <w:spacing w:line="360" w:lineRule="auto"/>
        <w:ind w:left="-426"/>
        <w:jc w:val="both"/>
        <w:rPr>
          <w:rFonts w:ascii="Arial" w:hAnsi="Arial" w:cs="Arial"/>
          <w:lang w:val="en-ZA"/>
        </w:rPr>
      </w:pPr>
      <w:r w:rsidRPr="00D930A0">
        <w:rPr>
          <w:rFonts w:ascii="Arial" w:hAnsi="Arial" w:cs="Arial"/>
          <w:lang w:val="en-ZA"/>
        </w:rPr>
        <w:t>[</w:t>
      </w:r>
      <w:r w:rsidR="00CF4A88" w:rsidRPr="00D930A0">
        <w:rPr>
          <w:rFonts w:ascii="Arial" w:hAnsi="Arial" w:cs="Arial"/>
          <w:lang w:val="en-ZA"/>
        </w:rPr>
        <w:t>30</w:t>
      </w:r>
      <w:r w:rsidRPr="00D930A0">
        <w:rPr>
          <w:rFonts w:ascii="Arial" w:hAnsi="Arial" w:cs="Arial"/>
          <w:lang w:val="en-ZA"/>
        </w:rPr>
        <w:t>]</w:t>
      </w:r>
      <w:r w:rsidRPr="00D930A0">
        <w:rPr>
          <w:rFonts w:ascii="Arial" w:hAnsi="Arial" w:cs="Arial"/>
          <w:lang w:val="en-ZA"/>
        </w:rPr>
        <w:tab/>
        <w:t>The national legislation envisaged by s 188(4) is the Public Audit Act 25 of 2004. Section 3 thereof provides:</w:t>
      </w:r>
    </w:p>
    <w:p w14:paraId="2EF7F47D" w14:textId="333FAD9A"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w:t>
      </w:r>
      <w:r w:rsidRPr="00D930A0">
        <w:rPr>
          <w:rFonts w:ascii="Arial" w:hAnsi="Arial" w:cs="Arial"/>
          <w:b/>
          <w:sz w:val="22"/>
          <w:szCs w:val="22"/>
          <w:lang w:val="en-ZA"/>
        </w:rPr>
        <w:t>Constitutional and legal status</w:t>
      </w:r>
      <w:r w:rsidRPr="00D930A0">
        <w:rPr>
          <w:rFonts w:ascii="Arial" w:hAnsi="Arial" w:cs="Arial"/>
          <w:sz w:val="22"/>
          <w:szCs w:val="22"/>
          <w:lang w:val="en-ZA"/>
        </w:rPr>
        <w:t>.—The Auditor­General—</w:t>
      </w:r>
    </w:p>
    <w:p w14:paraId="796B1AC0" w14:textId="77777777"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t>(a)</w:t>
      </w:r>
      <w:r w:rsidRPr="00D930A0">
        <w:rPr>
          <w:rFonts w:ascii="Arial" w:hAnsi="Arial" w:cs="Arial"/>
          <w:sz w:val="22"/>
          <w:szCs w:val="22"/>
          <w:lang w:val="en-ZA"/>
        </w:rPr>
        <w:t xml:space="preserve"> is the supreme audit institution of the Republic;</w:t>
      </w:r>
    </w:p>
    <w:p w14:paraId="791666B2" w14:textId="4BA7C41F"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t>(b)</w:t>
      </w:r>
      <w:r w:rsidRPr="00D930A0">
        <w:rPr>
          <w:rFonts w:ascii="Arial" w:hAnsi="Arial" w:cs="Arial"/>
          <w:sz w:val="22"/>
          <w:szCs w:val="22"/>
          <w:lang w:val="en-ZA"/>
        </w:rPr>
        <w:t xml:space="preserve"> has full legal capacity, is independent and is subject only to the Constitution and the law, including this Act;</w:t>
      </w:r>
    </w:p>
    <w:p w14:paraId="6B6EB731" w14:textId="77777777"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t>(c)</w:t>
      </w:r>
      <w:r w:rsidRPr="00D930A0">
        <w:rPr>
          <w:rFonts w:ascii="Arial" w:hAnsi="Arial" w:cs="Arial"/>
          <w:sz w:val="22"/>
          <w:szCs w:val="22"/>
          <w:lang w:val="en-ZA"/>
        </w:rPr>
        <w:t xml:space="preserve"> must be impartial and must exercise the powers and perform the functions of office without fear,</w:t>
      </w:r>
    </w:p>
    <w:p w14:paraId="1176CECF" w14:textId="77777777"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favour or prejudice; and</w:t>
      </w:r>
    </w:p>
    <w:p w14:paraId="118FE331" w14:textId="39F92D0E" w:rsidR="00F67D22" w:rsidRPr="00D930A0" w:rsidRDefault="00F67D22" w:rsidP="00F67D22">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t>(d)</w:t>
      </w:r>
      <w:r w:rsidRPr="00D930A0">
        <w:rPr>
          <w:rFonts w:ascii="Arial" w:hAnsi="Arial" w:cs="Arial"/>
          <w:sz w:val="22"/>
          <w:szCs w:val="22"/>
          <w:lang w:val="en-ZA"/>
        </w:rPr>
        <w:t xml:space="preserve"> is accountable to the National Assembly.’</w:t>
      </w:r>
    </w:p>
    <w:p w14:paraId="7E1BA4DC" w14:textId="6678760B" w:rsidR="00F67D22" w:rsidRPr="00D930A0" w:rsidRDefault="00F67D22" w:rsidP="00F67D22">
      <w:pPr>
        <w:tabs>
          <w:tab w:val="left" w:pos="142"/>
        </w:tabs>
        <w:spacing w:line="360" w:lineRule="auto"/>
        <w:ind w:left="-426"/>
        <w:jc w:val="both"/>
        <w:rPr>
          <w:rFonts w:ascii="Arial" w:hAnsi="Arial" w:cs="Arial"/>
          <w:lang w:val="en-ZA"/>
        </w:rPr>
      </w:pPr>
      <w:r w:rsidRPr="00D930A0">
        <w:rPr>
          <w:rFonts w:ascii="Arial" w:hAnsi="Arial" w:cs="Arial"/>
          <w:lang w:val="en-ZA"/>
        </w:rPr>
        <w:t>The independence of the Auditor-General could hardly have been expressed in clearer terms.</w:t>
      </w:r>
    </w:p>
    <w:p w14:paraId="71ABCA30" w14:textId="77777777" w:rsidR="00F67D22" w:rsidRPr="00D930A0" w:rsidRDefault="00F67D22" w:rsidP="00F67D22">
      <w:pPr>
        <w:tabs>
          <w:tab w:val="left" w:pos="142"/>
        </w:tabs>
        <w:spacing w:line="360" w:lineRule="auto"/>
        <w:ind w:left="-426"/>
        <w:jc w:val="both"/>
        <w:rPr>
          <w:rFonts w:ascii="Arial" w:hAnsi="Arial" w:cs="Arial"/>
          <w:lang w:val="en-ZA"/>
        </w:rPr>
      </w:pPr>
    </w:p>
    <w:p w14:paraId="108CB726" w14:textId="4F7174DE" w:rsidR="00F67D22" w:rsidRPr="00D930A0" w:rsidRDefault="00F67D22" w:rsidP="00F67D22">
      <w:pPr>
        <w:tabs>
          <w:tab w:val="left" w:pos="142"/>
        </w:tabs>
        <w:spacing w:line="360" w:lineRule="auto"/>
        <w:ind w:left="-426"/>
        <w:jc w:val="both"/>
        <w:rPr>
          <w:rFonts w:ascii="Arial" w:hAnsi="Arial" w:cs="Arial"/>
          <w:lang w:val="en-ZA"/>
        </w:rPr>
      </w:pPr>
      <w:r w:rsidRPr="00D930A0">
        <w:rPr>
          <w:rFonts w:ascii="Arial" w:hAnsi="Arial" w:cs="Arial"/>
          <w:lang w:val="en-ZA"/>
        </w:rPr>
        <w:t>[3</w:t>
      </w:r>
      <w:r w:rsidR="00CF4A88" w:rsidRPr="00D930A0">
        <w:rPr>
          <w:rFonts w:ascii="Arial" w:hAnsi="Arial" w:cs="Arial"/>
          <w:lang w:val="en-ZA"/>
        </w:rPr>
        <w:t>1</w:t>
      </w:r>
      <w:r w:rsidRPr="00D930A0">
        <w:rPr>
          <w:rFonts w:ascii="Arial" w:hAnsi="Arial" w:cs="Arial"/>
          <w:lang w:val="en-ZA"/>
        </w:rPr>
        <w:t>]</w:t>
      </w:r>
      <w:r w:rsidRPr="00D930A0">
        <w:rPr>
          <w:rFonts w:ascii="Arial" w:hAnsi="Arial" w:cs="Arial"/>
          <w:lang w:val="en-ZA"/>
        </w:rPr>
        <w:tab/>
        <w:t>In terms of s 4(1) of the Public Audit Act</w:t>
      </w:r>
      <w:r w:rsidR="00453AAA" w:rsidRPr="00D930A0">
        <w:rPr>
          <w:rFonts w:ascii="Arial" w:hAnsi="Arial" w:cs="Arial"/>
          <w:lang w:val="en-ZA"/>
        </w:rPr>
        <w:t>,</w:t>
      </w:r>
      <w:r w:rsidRPr="00D930A0">
        <w:rPr>
          <w:rFonts w:ascii="Arial" w:hAnsi="Arial" w:cs="Arial"/>
          <w:lang w:val="en-ZA"/>
        </w:rPr>
        <w:t xml:space="preserve"> the Auditor-General must a</w:t>
      </w:r>
      <w:r w:rsidR="005D1E39" w:rsidRPr="00D930A0">
        <w:rPr>
          <w:rFonts w:ascii="Arial" w:hAnsi="Arial" w:cs="Arial"/>
          <w:lang w:val="en-ZA"/>
        </w:rPr>
        <w:t>udit</w:t>
      </w:r>
      <w:r w:rsidRPr="00D930A0">
        <w:rPr>
          <w:rFonts w:ascii="Arial" w:hAnsi="Arial" w:cs="Arial"/>
          <w:lang w:val="en-ZA"/>
        </w:rPr>
        <w:t xml:space="preserve"> and report on the accounts, financial stat</w:t>
      </w:r>
      <w:r w:rsidR="005D1E39" w:rsidRPr="00D930A0">
        <w:rPr>
          <w:rFonts w:ascii="Arial" w:hAnsi="Arial" w:cs="Arial"/>
          <w:lang w:val="en-ZA"/>
        </w:rPr>
        <w:t>ements and financial management</w:t>
      </w:r>
      <w:r w:rsidR="000967AE" w:rsidRPr="00D930A0">
        <w:rPr>
          <w:rFonts w:ascii="Arial" w:hAnsi="Arial" w:cs="Arial"/>
          <w:lang w:val="en-ZA"/>
        </w:rPr>
        <w:t xml:space="preserve"> of </w:t>
      </w:r>
      <w:r w:rsidR="00AC5489" w:rsidRPr="00D930A0">
        <w:rPr>
          <w:rFonts w:ascii="Arial" w:hAnsi="Arial" w:cs="Arial"/>
          <w:lang w:val="en-ZA"/>
        </w:rPr>
        <w:t>the</w:t>
      </w:r>
      <w:r w:rsidR="000967AE" w:rsidRPr="00D930A0">
        <w:rPr>
          <w:rFonts w:ascii="Arial" w:hAnsi="Arial" w:cs="Arial"/>
          <w:lang w:val="en-ZA"/>
        </w:rPr>
        <w:t xml:space="preserve"> organs of s</w:t>
      </w:r>
      <w:r w:rsidRPr="00D930A0">
        <w:rPr>
          <w:rFonts w:ascii="Arial" w:hAnsi="Arial" w:cs="Arial"/>
          <w:lang w:val="en-ZA"/>
        </w:rPr>
        <w:t xml:space="preserve">tate </w:t>
      </w:r>
      <w:r w:rsidR="00AC5489" w:rsidRPr="00D930A0">
        <w:rPr>
          <w:rFonts w:ascii="Arial" w:hAnsi="Arial" w:cs="Arial"/>
          <w:lang w:val="en-ZA"/>
        </w:rPr>
        <w:t xml:space="preserve">listed therein </w:t>
      </w:r>
      <w:r w:rsidRPr="00D930A0">
        <w:rPr>
          <w:rFonts w:ascii="Arial" w:hAnsi="Arial" w:cs="Arial"/>
          <w:lang w:val="en-ZA"/>
        </w:rPr>
        <w:t>and any other institution or accounting entity required by legislation to be audited by the Auditor-General. Section 4(2) provides that the Auditor-General must audit and report on certain consolidated financial statements of the national government, provincial governments and municipalities. For these purposes the provisions of ss 15 and 16 afford the Auditor-General extensive powers to obtain access to the documents and assets of an auditee. Section 20(2) of the Public Audit Act deals with the content of audit reports. It provides that an audit report must reflect at least an opinion or conclusion on:</w:t>
      </w:r>
    </w:p>
    <w:p w14:paraId="187D2EC3" w14:textId="318CC375" w:rsidR="00014965" w:rsidRPr="00D930A0" w:rsidRDefault="00F67D22" w:rsidP="00014965">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w:t>
      </w:r>
      <w:r w:rsidR="00014965" w:rsidRPr="00D930A0">
        <w:rPr>
          <w:rFonts w:ascii="Arial" w:hAnsi="Arial" w:cs="Arial"/>
          <w:i/>
          <w:sz w:val="22"/>
          <w:szCs w:val="22"/>
          <w:lang w:val="en-ZA"/>
        </w:rPr>
        <w:t>(a)</w:t>
      </w:r>
      <w:r w:rsidR="00014965" w:rsidRPr="00D930A0">
        <w:rPr>
          <w:rFonts w:ascii="Arial" w:hAnsi="Arial" w:cs="Arial"/>
          <w:sz w:val="22"/>
          <w:szCs w:val="22"/>
          <w:lang w:val="en-ZA"/>
        </w:rPr>
        <w:t xml:space="preserve"> the financial statements of the auditee in accordance with the applicable financial reporting</w:t>
      </w:r>
    </w:p>
    <w:p w14:paraId="1577AAB6" w14:textId="77777777" w:rsidR="00014965" w:rsidRPr="00D930A0" w:rsidRDefault="00014965" w:rsidP="00014965">
      <w:pPr>
        <w:tabs>
          <w:tab w:val="left" w:pos="142"/>
        </w:tabs>
        <w:spacing w:line="360" w:lineRule="auto"/>
        <w:ind w:left="-426"/>
        <w:jc w:val="both"/>
        <w:rPr>
          <w:rFonts w:ascii="Arial" w:hAnsi="Arial" w:cs="Arial"/>
          <w:sz w:val="22"/>
          <w:szCs w:val="22"/>
          <w:lang w:val="en-ZA"/>
        </w:rPr>
      </w:pPr>
      <w:r w:rsidRPr="00D930A0">
        <w:rPr>
          <w:rFonts w:ascii="Arial" w:hAnsi="Arial" w:cs="Arial"/>
          <w:sz w:val="22"/>
          <w:szCs w:val="22"/>
          <w:lang w:val="en-ZA"/>
        </w:rPr>
        <w:t>framework and legislation;</w:t>
      </w:r>
    </w:p>
    <w:p w14:paraId="71D61F39" w14:textId="4509BAB9" w:rsidR="00014965" w:rsidRPr="00D930A0" w:rsidRDefault="00014965" w:rsidP="00014965">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t>(b)</w:t>
      </w:r>
      <w:r w:rsidRPr="00D930A0">
        <w:rPr>
          <w:rFonts w:ascii="Arial" w:hAnsi="Arial" w:cs="Arial"/>
          <w:sz w:val="22"/>
          <w:szCs w:val="22"/>
          <w:lang w:val="en-ZA"/>
        </w:rPr>
        <w:t xml:space="preserve"> compliance with any applicable legislation relating to financial matters, financial management and other related matters; and</w:t>
      </w:r>
    </w:p>
    <w:p w14:paraId="135C6036" w14:textId="4615B6C3" w:rsidR="00F67D22" w:rsidRPr="00D930A0" w:rsidRDefault="00014965" w:rsidP="00014965">
      <w:pPr>
        <w:tabs>
          <w:tab w:val="left" w:pos="142"/>
        </w:tabs>
        <w:spacing w:line="360" w:lineRule="auto"/>
        <w:ind w:left="-426"/>
        <w:jc w:val="both"/>
        <w:rPr>
          <w:rFonts w:ascii="Arial" w:hAnsi="Arial" w:cs="Arial"/>
          <w:sz w:val="22"/>
          <w:szCs w:val="22"/>
          <w:lang w:val="en-ZA"/>
        </w:rPr>
      </w:pPr>
      <w:r w:rsidRPr="00D930A0">
        <w:rPr>
          <w:rFonts w:ascii="Arial" w:hAnsi="Arial" w:cs="Arial"/>
          <w:i/>
          <w:sz w:val="22"/>
          <w:szCs w:val="22"/>
          <w:lang w:val="en-ZA"/>
        </w:rPr>
        <w:lastRenderedPageBreak/>
        <w:t>(c)</w:t>
      </w:r>
      <w:r w:rsidRPr="00D930A0">
        <w:rPr>
          <w:rFonts w:ascii="Arial" w:hAnsi="Arial" w:cs="Arial"/>
          <w:sz w:val="22"/>
          <w:szCs w:val="22"/>
          <w:lang w:val="en-ZA"/>
        </w:rPr>
        <w:t xml:space="preserve"> reported performance of the auditee against its predetermined objectives.’</w:t>
      </w:r>
    </w:p>
    <w:p w14:paraId="4A112B95" w14:textId="77777777" w:rsidR="00014965" w:rsidRPr="00D930A0" w:rsidRDefault="00014965" w:rsidP="00014965">
      <w:pPr>
        <w:tabs>
          <w:tab w:val="left" w:pos="142"/>
        </w:tabs>
        <w:spacing w:line="360" w:lineRule="auto"/>
        <w:ind w:left="-426"/>
        <w:jc w:val="both"/>
        <w:rPr>
          <w:rFonts w:ascii="Arial" w:hAnsi="Arial" w:cs="Arial"/>
          <w:sz w:val="22"/>
          <w:szCs w:val="22"/>
          <w:lang w:val="en-ZA"/>
        </w:rPr>
      </w:pPr>
    </w:p>
    <w:p w14:paraId="0FC1DDAE" w14:textId="124FAC10" w:rsidR="00014965" w:rsidRPr="00D930A0" w:rsidRDefault="00014965" w:rsidP="00014965">
      <w:pPr>
        <w:tabs>
          <w:tab w:val="left" w:pos="142"/>
        </w:tabs>
        <w:spacing w:line="360" w:lineRule="auto"/>
        <w:ind w:left="-426"/>
        <w:jc w:val="both"/>
        <w:rPr>
          <w:rFonts w:ascii="Arial" w:hAnsi="Arial" w:cs="Arial"/>
          <w:lang w:val="en-ZA"/>
        </w:rPr>
      </w:pPr>
      <w:r w:rsidRPr="00D930A0">
        <w:rPr>
          <w:rFonts w:ascii="Arial" w:hAnsi="Arial" w:cs="Arial"/>
          <w:lang w:val="en-ZA"/>
        </w:rPr>
        <w:t>[3</w:t>
      </w:r>
      <w:r w:rsidR="00CF4A88" w:rsidRPr="00D930A0">
        <w:rPr>
          <w:rFonts w:ascii="Arial" w:hAnsi="Arial" w:cs="Arial"/>
          <w:lang w:val="en-ZA"/>
        </w:rPr>
        <w:t>2</w:t>
      </w:r>
      <w:r w:rsidRPr="00D930A0">
        <w:rPr>
          <w:rFonts w:ascii="Arial" w:hAnsi="Arial" w:cs="Arial"/>
          <w:lang w:val="en-ZA"/>
        </w:rPr>
        <w:t>]</w:t>
      </w:r>
      <w:r w:rsidRPr="00D930A0">
        <w:rPr>
          <w:rFonts w:ascii="Arial" w:hAnsi="Arial" w:cs="Arial"/>
          <w:lang w:val="en-ZA"/>
        </w:rPr>
        <w:tab/>
        <w:t>These provisions demonstrate that</w:t>
      </w:r>
      <w:r w:rsidR="00AC5489" w:rsidRPr="00D930A0">
        <w:rPr>
          <w:rFonts w:ascii="Arial" w:hAnsi="Arial" w:cs="Arial"/>
          <w:lang w:val="en-ZA"/>
        </w:rPr>
        <w:t xml:space="preserve">, not unlike the judiciary, </w:t>
      </w:r>
      <w:r w:rsidRPr="00D930A0">
        <w:rPr>
          <w:rFonts w:ascii="Arial" w:hAnsi="Arial" w:cs="Arial"/>
          <w:lang w:val="en-ZA"/>
        </w:rPr>
        <w:t>the Auditor-General</w:t>
      </w:r>
      <w:r w:rsidR="009E3E7D" w:rsidRPr="00D930A0">
        <w:rPr>
          <w:rFonts w:ascii="Arial" w:hAnsi="Arial" w:cs="Arial"/>
          <w:lang w:val="en-ZA"/>
        </w:rPr>
        <w:t xml:space="preserve"> </w:t>
      </w:r>
      <w:r w:rsidR="00AC5489" w:rsidRPr="00D930A0">
        <w:rPr>
          <w:rFonts w:ascii="Arial" w:hAnsi="Arial" w:cs="Arial"/>
          <w:lang w:val="en-ZA"/>
        </w:rPr>
        <w:t xml:space="preserve">is </w:t>
      </w:r>
      <w:r w:rsidR="009E3E7D" w:rsidRPr="00D930A0">
        <w:rPr>
          <w:rFonts w:ascii="Arial" w:hAnsi="Arial" w:cs="Arial"/>
          <w:lang w:val="en-ZA"/>
        </w:rPr>
        <w:t xml:space="preserve">subject only to the Constitution and the law. Its function is not to administer </w:t>
      </w:r>
      <w:r w:rsidR="00AC5489" w:rsidRPr="00D930A0">
        <w:rPr>
          <w:rFonts w:ascii="Arial" w:hAnsi="Arial" w:cs="Arial"/>
          <w:lang w:val="en-ZA"/>
        </w:rPr>
        <w:t>or</w:t>
      </w:r>
      <w:r w:rsidR="009E3E7D" w:rsidRPr="00D930A0">
        <w:rPr>
          <w:rFonts w:ascii="Arial" w:hAnsi="Arial" w:cs="Arial"/>
          <w:lang w:val="en-ZA"/>
        </w:rPr>
        <w:t xml:space="preserve"> to implement the policies of the executive, but to independently audit and report on the use of public</w:t>
      </w:r>
      <w:r w:rsidR="00284FB0" w:rsidRPr="00D930A0">
        <w:rPr>
          <w:rFonts w:ascii="Arial" w:hAnsi="Arial" w:cs="Arial"/>
          <w:lang w:val="en-ZA"/>
        </w:rPr>
        <w:t> </w:t>
      </w:r>
      <w:r w:rsidR="009E3E7D" w:rsidRPr="00D930A0">
        <w:rPr>
          <w:rFonts w:ascii="Arial" w:hAnsi="Arial" w:cs="Arial"/>
          <w:lang w:val="en-ZA"/>
        </w:rPr>
        <w:t>funds</w:t>
      </w:r>
      <w:r w:rsidR="00AC5489" w:rsidRPr="00D930A0">
        <w:rPr>
          <w:rFonts w:ascii="Arial" w:hAnsi="Arial" w:cs="Arial"/>
          <w:lang w:val="en-ZA"/>
        </w:rPr>
        <w:t xml:space="preserve">. </w:t>
      </w:r>
      <w:r w:rsidR="00CF4A88" w:rsidRPr="00D930A0">
        <w:rPr>
          <w:rFonts w:ascii="Arial" w:hAnsi="Arial" w:cs="Arial"/>
          <w:lang w:val="en-ZA"/>
        </w:rPr>
        <w:t>The Auditor-General acts</w:t>
      </w:r>
      <w:r w:rsidR="00C51403">
        <w:rPr>
          <w:rFonts w:ascii="Arial" w:hAnsi="Arial" w:cs="Arial"/>
          <w:lang w:val="en-ZA"/>
        </w:rPr>
        <w:t>,</w:t>
      </w:r>
      <w:r w:rsidR="00CF4A88" w:rsidRPr="00D930A0">
        <w:rPr>
          <w:rFonts w:ascii="Arial" w:hAnsi="Arial" w:cs="Arial"/>
          <w:lang w:val="en-ZA"/>
        </w:rPr>
        <w:t xml:space="preserve"> so to speak, as the public </w:t>
      </w:r>
      <w:r w:rsidR="009D4C40" w:rsidRPr="00D930A0">
        <w:rPr>
          <w:rFonts w:ascii="Arial" w:hAnsi="Arial" w:cs="Arial"/>
          <w:lang w:val="en-ZA"/>
        </w:rPr>
        <w:t>accounts</w:t>
      </w:r>
      <w:r w:rsidR="00CF4A88" w:rsidRPr="00D930A0">
        <w:rPr>
          <w:rFonts w:ascii="Arial" w:hAnsi="Arial" w:cs="Arial"/>
          <w:lang w:val="en-ZA"/>
        </w:rPr>
        <w:t xml:space="preserve"> watchdog. </w:t>
      </w:r>
      <w:r w:rsidR="00FD4F22">
        <w:rPr>
          <w:rFonts w:ascii="Arial" w:hAnsi="Arial" w:cs="Arial"/>
          <w:lang w:val="en-ZA"/>
        </w:rPr>
        <w:t xml:space="preserve">  </w:t>
      </w:r>
      <w:r w:rsidR="00CF4A88" w:rsidRPr="00D930A0">
        <w:rPr>
          <w:rFonts w:ascii="Arial" w:hAnsi="Arial" w:cs="Arial"/>
          <w:lang w:val="en-ZA"/>
        </w:rPr>
        <w:t xml:space="preserve">This function does not involve actions of </w:t>
      </w:r>
      <w:r w:rsidR="00FD4F22">
        <w:rPr>
          <w:rFonts w:ascii="Arial" w:hAnsi="Arial" w:cs="Arial"/>
          <w:lang w:val="en-ZA"/>
        </w:rPr>
        <w:t xml:space="preserve">an </w:t>
      </w:r>
      <w:r w:rsidR="00CF4A88" w:rsidRPr="00D930A0">
        <w:rPr>
          <w:rFonts w:ascii="Arial" w:hAnsi="Arial" w:cs="Arial"/>
          <w:lang w:val="en-ZA"/>
        </w:rPr>
        <w:t xml:space="preserve">administrative nature. </w:t>
      </w:r>
      <w:r w:rsidR="009E3E7D" w:rsidRPr="00D930A0">
        <w:rPr>
          <w:rFonts w:ascii="Arial" w:hAnsi="Arial" w:cs="Arial"/>
          <w:lang w:val="en-ZA"/>
        </w:rPr>
        <w:t>Unlike the Public Protector</w:t>
      </w:r>
      <w:r w:rsidR="00AC5489" w:rsidRPr="00D930A0">
        <w:rPr>
          <w:rFonts w:ascii="Arial" w:hAnsi="Arial" w:cs="Arial"/>
          <w:lang w:val="en-ZA"/>
        </w:rPr>
        <w:t>,</w:t>
      </w:r>
      <w:r w:rsidR="009E3E7D" w:rsidRPr="00D930A0">
        <w:rPr>
          <w:rFonts w:ascii="Arial" w:hAnsi="Arial" w:cs="Arial"/>
          <w:lang w:val="en-ZA"/>
        </w:rPr>
        <w:t xml:space="preserve"> the Auditor-General does not have a </w:t>
      </w:r>
      <w:r w:rsidR="00AC5489" w:rsidRPr="00D930A0">
        <w:rPr>
          <w:rFonts w:ascii="Arial" w:hAnsi="Arial" w:cs="Arial"/>
          <w:lang w:val="en-ZA"/>
        </w:rPr>
        <w:t xml:space="preserve">wide </w:t>
      </w:r>
      <w:r w:rsidR="009E3E7D" w:rsidRPr="00D930A0">
        <w:rPr>
          <w:rFonts w:ascii="Arial" w:hAnsi="Arial" w:cs="Arial"/>
          <w:lang w:val="en-ZA"/>
        </w:rPr>
        <w:t>discretion to decide whether to audit and report or not</w:t>
      </w:r>
      <w:r w:rsidR="00AC5489" w:rsidRPr="00D930A0">
        <w:rPr>
          <w:rFonts w:ascii="Arial" w:hAnsi="Arial" w:cs="Arial"/>
          <w:lang w:val="en-ZA"/>
        </w:rPr>
        <w:t>.</w:t>
      </w:r>
      <w:r w:rsidR="009E3E7D" w:rsidRPr="00D930A0">
        <w:rPr>
          <w:rFonts w:ascii="Arial" w:hAnsi="Arial" w:cs="Arial"/>
          <w:lang w:val="en-ZA"/>
        </w:rPr>
        <w:t xml:space="preserve"> But that does not detract from her independence and does not</w:t>
      </w:r>
      <w:r w:rsidR="00284FB0" w:rsidRPr="00D930A0">
        <w:rPr>
          <w:rFonts w:ascii="Arial" w:hAnsi="Arial" w:cs="Arial"/>
          <w:lang w:val="en-ZA"/>
        </w:rPr>
        <w:t>,</w:t>
      </w:r>
      <w:r w:rsidR="00AC5489" w:rsidRPr="00D930A0">
        <w:rPr>
          <w:rFonts w:ascii="Arial" w:hAnsi="Arial" w:cs="Arial"/>
          <w:lang w:val="en-ZA"/>
        </w:rPr>
        <w:t xml:space="preserve"> in this context</w:t>
      </w:r>
      <w:r w:rsidR="00284FB0" w:rsidRPr="00D930A0">
        <w:rPr>
          <w:rFonts w:ascii="Arial" w:hAnsi="Arial" w:cs="Arial"/>
          <w:lang w:val="en-ZA"/>
        </w:rPr>
        <w:t>,</w:t>
      </w:r>
      <w:r w:rsidR="009E3E7D" w:rsidRPr="00D930A0">
        <w:rPr>
          <w:rFonts w:ascii="Arial" w:hAnsi="Arial" w:cs="Arial"/>
          <w:lang w:val="en-ZA"/>
        </w:rPr>
        <w:t xml:space="preserve"> materially distinguish her from the Public</w:t>
      </w:r>
      <w:r w:rsidR="00284FB0" w:rsidRPr="00D930A0">
        <w:rPr>
          <w:rFonts w:ascii="Arial" w:hAnsi="Arial" w:cs="Arial"/>
          <w:lang w:val="en-ZA"/>
        </w:rPr>
        <w:t> </w:t>
      </w:r>
      <w:r w:rsidR="009E3E7D" w:rsidRPr="00D930A0">
        <w:rPr>
          <w:rFonts w:ascii="Arial" w:hAnsi="Arial" w:cs="Arial"/>
          <w:lang w:val="en-ZA"/>
        </w:rPr>
        <w:t xml:space="preserve">Protector. In my view the exercise of the functions of the Auditor-General in terms of the Constitution and the Public Audit Act does not constitute administrative action in terms of PAJA, but is subject to review under the principles that stem from the rule of law. </w:t>
      </w:r>
    </w:p>
    <w:p w14:paraId="19257D65" w14:textId="641B7C37" w:rsidR="009E3E7D" w:rsidRPr="00D930A0" w:rsidRDefault="009E3E7D" w:rsidP="00014965">
      <w:pPr>
        <w:tabs>
          <w:tab w:val="left" w:pos="142"/>
        </w:tabs>
        <w:spacing w:line="360" w:lineRule="auto"/>
        <w:ind w:left="-426"/>
        <w:jc w:val="both"/>
        <w:rPr>
          <w:rFonts w:ascii="Arial" w:hAnsi="Arial" w:cs="Arial"/>
          <w:lang w:val="en-ZA"/>
        </w:rPr>
      </w:pPr>
    </w:p>
    <w:p w14:paraId="0D7936A1" w14:textId="64F1C63F" w:rsidR="00B60C9E" w:rsidRPr="00D930A0" w:rsidRDefault="00B60C9E" w:rsidP="00014965">
      <w:pPr>
        <w:tabs>
          <w:tab w:val="left" w:pos="142"/>
        </w:tabs>
        <w:spacing w:line="360" w:lineRule="auto"/>
        <w:ind w:left="-426"/>
        <w:jc w:val="both"/>
        <w:rPr>
          <w:rFonts w:ascii="Arial" w:hAnsi="Arial" w:cs="Arial"/>
          <w:b/>
          <w:lang w:val="en-ZA"/>
        </w:rPr>
      </w:pPr>
      <w:r w:rsidRPr="00D930A0">
        <w:rPr>
          <w:rFonts w:ascii="Arial" w:hAnsi="Arial" w:cs="Arial"/>
          <w:b/>
          <w:lang w:val="en-ZA"/>
        </w:rPr>
        <w:t>Conclusion</w:t>
      </w:r>
    </w:p>
    <w:p w14:paraId="48639B7C" w14:textId="28B328F7" w:rsidR="009E3E7D" w:rsidRPr="00D930A0" w:rsidRDefault="009E3E7D" w:rsidP="00014965">
      <w:pPr>
        <w:tabs>
          <w:tab w:val="left" w:pos="142"/>
        </w:tabs>
        <w:spacing w:line="360" w:lineRule="auto"/>
        <w:ind w:left="-426"/>
        <w:jc w:val="both"/>
        <w:rPr>
          <w:rFonts w:ascii="Arial" w:hAnsi="Arial" w:cs="Arial"/>
          <w:lang w:val="en-ZA"/>
        </w:rPr>
      </w:pPr>
      <w:r w:rsidRPr="00D930A0">
        <w:rPr>
          <w:rFonts w:ascii="Arial" w:hAnsi="Arial" w:cs="Arial"/>
          <w:lang w:val="en-ZA"/>
        </w:rPr>
        <w:t>[3</w:t>
      </w:r>
      <w:r w:rsidR="00CF4A88" w:rsidRPr="00D930A0">
        <w:rPr>
          <w:rFonts w:ascii="Arial" w:hAnsi="Arial" w:cs="Arial"/>
          <w:lang w:val="en-ZA"/>
        </w:rPr>
        <w:t>3</w:t>
      </w:r>
      <w:r w:rsidRPr="00D930A0">
        <w:rPr>
          <w:rFonts w:ascii="Arial" w:hAnsi="Arial" w:cs="Arial"/>
          <w:lang w:val="en-ZA"/>
        </w:rPr>
        <w:t>]</w:t>
      </w:r>
      <w:r w:rsidRPr="00D930A0">
        <w:rPr>
          <w:rFonts w:ascii="Arial" w:hAnsi="Arial" w:cs="Arial"/>
          <w:lang w:val="en-ZA"/>
        </w:rPr>
        <w:tab/>
        <w:t xml:space="preserve">To sum up, the </w:t>
      </w:r>
      <w:r w:rsidR="00B60C9E" w:rsidRPr="00D930A0">
        <w:rPr>
          <w:rFonts w:ascii="Arial" w:hAnsi="Arial" w:cs="Arial"/>
          <w:lang w:val="en-ZA"/>
        </w:rPr>
        <w:t>findings f</w:t>
      </w:r>
      <w:r w:rsidR="009D4C40" w:rsidRPr="00D930A0">
        <w:rPr>
          <w:rFonts w:ascii="Arial" w:hAnsi="Arial" w:cs="Arial"/>
          <w:lang w:val="en-ZA"/>
        </w:rPr>
        <w:t>a</w:t>
      </w:r>
      <w:r w:rsidR="00B60C9E" w:rsidRPr="00D930A0">
        <w:rPr>
          <w:rFonts w:ascii="Arial" w:hAnsi="Arial" w:cs="Arial"/>
          <w:lang w:val="en-ZA"/>
        </w:rPr>
        <w:t>ll</w:t>
      </w:r>
      <w:r w:rsidRPr="00D930A0">
        <w:rPr>
          <w:rFonts w:ascii="Arial" w:hAnsi="Arial" w:cs="Arial"/>
          <w:lang w:val="en-ZA"/>
        </w:rPr>
        <w:t xml:space="preserve"> to be reviewed and set aside on the basis that they </w:t>
      </w:r>
      <w:r w:rsidR="00CF4A88" w:rsidRPr="00D930A0">
        <w:rPr>
          <w:rFonts w:ascii="Arial" w:hAnsi="Arial" w:cs="Arial"/>
          <w:lang w:val="en-ZA"/>
        </w:rPr>
        <w:t>were</w:t>
      </w:r>
      <w:r w:rsidRPr="00D930A0">
        <w:rPr>
          <w:rFonts w:ascii="Arial" w:hAnsi="Arial" w:cs="Arial"/>
          <w:lang w:val="en-ZA"/>
        </w:rPr>
        <w:t xml:space="preserve"> founded on a material error of law. On this basis</w:t>
      </w:r>
      <w:r w:rsidR="005D1E39" w:rsidRPr="00D930A0">
        <w:rPr>
          <w:rFonts w:ascii="Arial" w:hAnsi="Arial" w:cs="Arial"/>
          <w:lang w:val="en-ZA"/>
        </w:rPr>
        <w:t>,</w:t>
      </w:r>
      <w:r w:rsidRPr="00D930A0">
        <w:rPr>
          <w:rFonts w:ascii="Arial" w:hAnsi="Arial" w:cs="Arial"/>
          <w:lang w:val="en-ZA"/>
        </w:rPr>
        <w:t xml:space="preserve"> the order of the court a quo was correct and the appeal must fail.</w:t>
      </w:r>
    </w:p>
    <w:p w14:paraId="3D5F9692" w14:textId="77777777" w:rsidR="009E3E7D" w:rsidRPr="00D930A0" w:rsidRDefault="009E3E7D" w:rsidP="00014965">
      <w:pPr>
        <w:tabs>
          <w:tab w:val="left" w:pos="142"/>
        </w:tabs>
        <w:spacing w:line="360" w:lineRule="auto"/>
        <w:ind w:left="-426"/>
        <w:jc w:val="both"/>
        <w:rPr>
          <w:rFonts w:ascii="Arial" w:hAnsi="Arial" w:cs="Arial"/>
          <w:lang w:val="en-ZA"/>
        </w:rPr>
      </w:pPr>
    </w:p>
    <w:p w14:paraId="49D6E58C" w14:textId="1AD7DA3A" w:rsidR="009E3E7D" w:rsidRPr="00D930A0" w:rsidRDefault="009E3E7D" w:rsidP="00014965">
      <w:pPr>
        <w:tabs>
          <w:tab w:val="left" w:pos="142"/>
        </w:tabs>
        <w:spacing w:line="360" w:lineRule="auto"/>
        <w:ind w:left="-426"/>
        <w:jc w:val="both"/>
        <w:rPr>
          <w:rFonts w:ascii="Arial" w:hAnsi="Arial" w:cs="Arial"/>
          <w:lang w:val="en-ZA"/>
        </w:rPr>
      </w:pPr>
      <w:r w:rsidRPr="00D930A0">
        <w:rPr>
          <w:rFonts w:ascii="Arial" w:hAnsi="Arial" w:cs="Arial"/>
          <w:lang w:val="en-ZA"/>
        </w:rPr>
        <w:t>[3</w:t>
      </w:r>
      <w:r w:rsidR="00CF4A88" w:rsidRPr="00D930A0">
        <w:rPr>
          <w:rFonts w:ascii="Arial" w:hAnsi="Arial" w:cs="Arial"/>
          <w:lang w:val="en-ZA"/>
        </w:rPr>
        <w:t>4</w:t>
      </w:r>
      <w:r w:rsidRPr="00D930A0">
        <w:rPr>
          <w:rFonts w:ascii="Arial" w:hAnsi="Arial" w:cs="Arial"/>
          <w:lang w:val="en-ZA"/>
        </w:rPr>
        <w:t>]</w:t>
      </w:r>
      <w:r w:rsidRPr="00D930A0">
        <w:rPr>
          <w:rFonts w:ascii="Arial" w:hAnsi="Arial" w:cs="Arial"/>
          <w:lang w:val="en-ZA"/>
        </w:rPr>
        <w:tab/>
        <w:t xml:space="preserve">Finally there </w:t>
      </w:r>
      <w:r w:rsidR="00CF4A88" w:rsidRPr="00D930A0">
        <w:rPr>
          <w:rFonts w:ascii="Arial" w:hAnsi="Arial" w:cs="Arial"/>
          <w:lang w:val="en-ZA"/>
        </w:rPr>
        <w:t>are two</w:t>
      </w:r>
      <w:r w:rsidRPr="00D930A0">
        <w:rPr>
          <w:rFonts w:ascii="Arial" w:hAnsi="Arial" w:cs="Arial"/>
          <w:lang w:val="en-ZA"/>
        </w:rPr>
        <w:t xml:space="preserve"> aspect</w:t>
      </w:r>
      <w:r w:rsidR="00CF4A88" w:rsidRPr="00D930A0">
        <w:rPr>
          <w:rFonts w:ascii="Arial" w:hAnsi="Arial" w:cs="Arial"/>
          <w:lang w:val="en-ZA"/>
        </w:rPr>
        <w:t>s</w:t>
      </w:r>
      <w:r w:rsidRPr="00D930A0">
        <w:rPr>
          <w:rFonts w:ascii="Arial" w:hAnsi="Arial" w:cs="Arial"/>
          <w:lang w:val="en-ZA"/>
        </w:rPr>
        <w:t xml:space="preserve"> that I am constrain</w:t>
      </w:r>
      <w:r w:rsidR="00B60C9E" w:rsidRPr="00D930A0">
        <w:rPr>
          <w:rFonts w:ascii="Arial" w:hAnsi="Arial" w:cs="Arial"/>
          <w:lang w:val="en-ZA"/>
        </w:rPr>
        <w:t>ed</w:t>
      </w:r>
      <w:r w:rsidRPr="00D930A0">
        <w:rPr>
          <w:rFonts w:ascii="Arial" w:hAnsi="Arial" w:cs="Arial"/>
          <w:lang w:val="en-ZA"/>
        </w:rPr>
        <w:t xml:space="preserve"> to mention. </w:t>
      </w:r>
      <w:r w:rsidR="00CF4A88" w:rsidRPr="00D930A0">
        <w:rPr>
          <w:rFonts w:ascii="Arial" w:hAnsi="Arial" w:cs="Arial"/>
          <w:lang w:val="en-ZA"/>
        </w:rPr>
        <w:t>First, i</w:t>
      </w:r>
      <w:r w:rsidRPr="00D930A0">
        <w:rPr>
          <w:rFonts w:ascii="Arial" w:hAnsi="Arial" w:cs="Arial"/>
          <w:lang w:val="en-ZA"/>
        </w:rPr>
        <w:t xml:space="preserve">t appeared from the evidence that Casidra and Hortgro did not charge fees in the normal sense for the </w:t>
      </w:r>
      <w:r w:rsidR="00B60C9E" w:rsidRPr="00D930A0">
        <w:rPr>
          <w:rFonts w:ascii="Arial" w:hAnsi="Arial" w:cs="Arial"/>
          <w:lang w:val="en-ZA"/>
        </w:rPr>
        <w:t>implementation</w:t>
      </w:r>
      <w:r w:rsidRPr="00D930A0">
        <w:rPr>
          <w:rFonts w:ascii="Arial" w:hAnsi="Arial" w:cs="Arial"/>
          <w:lang w:val="en-ZA"/>
        </w:rPr>
        <w:t xml:space="preserve"> of the projects. However, they included the costs of administration of the projects in the business plan budgets. We do not know from the evidence how exactly this was done or what amounts were involved. To pay the cost of administration of a project to Casidra and Hortgro, may possibly amount to payment for services. As this was not addressed in the affidavits, I do no more than raise a caveat for future consideration.</w:t>
      </w:r>
      <w:r w:rsidR="00CF4A88" w:rsidRPr="00D930A0">
        <w:rPr>
          <w:rFonts w:ascii="Arial" w:hAnsi="Arial" w:cs="Arial"/>
          <w:lang w:val="en-ZA"/>
        </w:rPr>
        <w:t xml:space="preserve"> Secondly, it emerged during argument that the Auditor-General is concerned about procurement procedures down the line, as it were. This was no</w:t>
      </w:r>
      <w:r w:rsidR="009D4C40" w:rsidRPr="00D930A0">
        <w:rPr>
          <w:rFonts w:ascii="Arial" w:hAnsi="Arial" w:cs="Arial"/>
          <w:lang w:val="en-ZA"/>
        </w:rPr>
        <w:t>t</w:t>
      </w:r>
      <w:r w:rsidR="00CF4A88" w:rsidRPr="00D930A0">
        <w:rPr>
          <w:rFonts w:ascii="Arial" w:hAnsi="Arial" w:cs="Arial"/>
          <w:lang w:val="en-ZA"/>
        </w:rPr>
        <w:t xml:space="preserve"> alluded to in the papers and any legitimate concern in this regard may be addressed by appropriate measures under the relevant legislation. </w:t>
      </w:r>
    </w:p>
    <w:p w14:paraId="7EE53C6D" w14:textId="70BE426D" w:rsidR="00291EBA" w:rsidRPr="00D930A0" w:rsidRDefault="00291EBA" w:rsidP="00014965">
      <w:pPr>
        <w:tabs>
          <w:tab w:val="left" w:pos="142"/>
        </w:tabs>
        <w:spacing w:line="360" w:lineRule="auto"/>
        <w:ind w:left="-426"/>
        <w:jc w:val="both"/>
        <w:rPr>
          <w:rFonts w:ascii="Arial" w:hAnsi="Arial" w:cs="Arial"/>
          <w:lang w:val="en-ZA"/>
        </w:rPr>
      </w:pPr>
    </w:p>
    <w:p w14:paraId="4E074BFB" w14:textId="18C42DEB" w:rsidR="00B2034B" w:rsidRPr="00D930A0" w:rsidRDefault="00B2034B" w:rsidP="00014965">
      <w:pPr>
        <w:tabs>
          <w:tab w:val="left" w:pos="142"/>
        </w:tabs>
        <w:spacing w:line="360" w:lineRule="auto"/>
        <w:ind w:left="-426"/>
        <w:jc w:val="both"/>
        <w:rPr>
          <w:rFonts w:ascii="Arial" w:hAnsi="Arial" w:cs="Arial"/>
          <w:lang w:val="en-ZA"/>
        </w:rPr>
      </w:pPr>
    </w:p>
    <w:p w14:paraId="392247E5" w14:textId="77777777" w:rsidR="00B2034B" w:rsidRPr="00D930A0" w:rsidRDefault="00B2034B" w:rsidP="00014965">
      <w:pPr>
        <w:tabs>
          <w:tab w:val="left" w:pos="142"/>
        </w:tabs>
        <w:spacing w:line="360" w:lineRule="auto"/>
        <w:ind w:left="-426"/>
        <w:jc w:val="both"/>
        <w:rPr>
          <w:rFonts w:ascii="Arial" w:hAnsi="Arial" w:cs="Arial"/>
          <w:lang w:val="en-ZA"/>
        </w:rPr>
      </w:pPr>
    </w:p>
    <w:p w14:paraId="35F845FD" w14:textId="1FE1CA82" w:rsidR="009E3E7D" w:rsidRPr="00D930A0" w:rsidRDefault="009E3E7D" w:rsidP="00014965">
      <w:pPr>
        <w:tabs>
          <w:tab w:val="left" w:pos="142"/>
        </w:tabs>
        <w:spacing w:line="360" w:lineRule="auto"/>
        <w:ind w:left="-426"/>
        <w:jc w:val="both"/>
        <w:rPr>
          <w:rFonts w:ascii="Arial" w:hAnsi="Arial" w:cs="Arial"/>
          <w:lang w:val="en-ZA"/>
        </w:rPr>
      </w:pPr>
      <w:r w:rsidRPr="00D930A0">
        <w:rPr>
          <w:rFonts w:ascii="Arial" w:hAnsi="Arial" w:cs="Arial"/>
          <w:lang w:val="en-ZA"/>
        </w:rPr>
        <w:lastRenderedPageBreak/>
        <w:t>[3</w:t>
      </w:r>
      <w:r w:rsidR="003924A0" w:rsidRPr="00D930A0">
        <w:rPr>
          <w:rFonts w:ascii="Arial" w:hAnsi="Arial" w:cs="Arial"/>
          <w:lang w:val="en-ZA"/>
        </w:rPr>
        <w:t>5</w:t>
      </w:r>
      <w:r w:rsidRPr="00D930A0">
        <w:rPr>
          <w:rFonts w:ascii="Arial" w:hAnsi="Arial" w:cs="Arial"/>
          <w:lang w:val="en-ZA"/>
        </w:rPr>
        <w:t>]</w:t>
      </w:r>
      <w:r w:rsidRPr="00D930A0">
        <w:rPr>
          <w:rFonts w:ascii="Arial" w:hAnsi="Arial" w:cs="Arial"/>
          <w:lang w:val="en-ZA"/>
        </w:rPr>
        <w:tab/>
        <w:t>The appeal is dismissed with costs, including the costs of two counsel.</w:t>
      </w:r>
    </w:p>
    <w:p w14:paraId="7905AD7B" w14:textId="5C162DA4" w:rsidR="00722A6E" w:rsidRPr="00D930A0" w:rsidRDefault="00722A6E" w:rsidP="00722A6E">
      <w:pPr>
        <w:tabs>
          <w:tab w:val="left" w:pos="284"/>
        </w:tabs>
        <w:spacing w:line="360" w:lineRule="auto"/>
        <w:ind w:left="-426"/>
        <w:jc w:val="both"/>
        <w:rPr>
          <w:rFonts w:ascii="Arial" w:hAnsi="Arial" w:cs="Arial"/>
        </w:rPr>
      </w:pPr>
    </w:p>
    <w:p w14:paraId="59E1DF71" w14:textId="2CA41580" w:rsidR="00722A6E" w:rsidRPr="00D930A0" w:rsidRDefault="00722A6E" w:rsidP="00722A6E">
      <w:pPr>
        <w:tabs>
          <w:tab w:val="left" w:pos="284"/>
        </w:tabs>
        <w:spacing w:line="360" w:lineRule="auto"/>
        <w:ind w:left="-426"/>
        <w:jc w:val="both"/>
        <w:rPr>
          <w:rFonts w:ascii="Arial" w:hAnsi="Arial" w:cs="Arial"/>
        </w:rPr>
      </w:pPr>
    </w:p>
    <w:p w14:paraId="2DD9A632" w14:textId="18932C41" w:rsidR="00722A6E" w:rsidRPr="00D930A0" w:rsidRDefault="00722A6E" w:rsidP="00722A6E">
      <w:pPr>
        <w:tabs>
          <w:tab w:val="left" w:pos="284"/>
        </w:tabs>
        <w:spacing w:line="360" w:lineRule="auto"/>
        <w:ind w:left="-426"/>
        <w:jc w:val="both"/>
        <w:rPr>
          <w:rFonts w:ascii="Arial" w:hAnsi="Arial" w:cs="Arial"/>
        </w:rPr>
      </w:pPr>
    </w:p>
    <w:p w14:paraId="1ACA8325" w14:textId="77777777" w:rsidR="00D94001" w:rsidRPr="00D930A0" w:rsidRDefault="00D94001" w:rsidP="00F243B3">
      <w:pPr>
        <w:spacing w:line="480" w:lineRule="auto"/>
        <w:ind w:left="-426" w:right="-51"/>
        <w:contextualSpacing/>
        <w:jc w:val="right"/>
        <w:rPr>
          <w:rFonts w:ascii="Arial" w:eastAsia="MS Mincho" w:hAnsi="Arial" w:cs="Arial"/>
          <w:noProof/>
          <w:lang w:eastAsia="en-ZA"/>
        </w:rPr>
      </w:pPr>
      <w:r w:rsidRPr="00D930A0">
        <w:rPr>
          <w:rFonts w:ascii="Arial" w:eastAsia="MS Mincho" w:hAnsi="Arial" w:cs="Arial"/>
          <w:noProof/>
          <w:lang w:eastAsia="en-ZA"/>
        </w:rPr>
        <w:t>_______________________</w:t>
      </w:r>
    </w:p>
    <w:p w14:paraId="6615D52A" w14:textId="77777777" w:rsidR="00D94001" w:rsidRPr="00D930A0" w:rsidRDefault="00D94001" w:rsidP="00F243B3">
      <w:pPr>
        <w:spacing w:line="360" w:lineRule="auto"/>
        <w:ind w:left="-426" w:right="-51"/>
        <w:contextualSpacing/>
        <w:jc w:val="right"/>
        <w:rPr>
          <w:rFonts w:ascii="Arial" w:eastAsia="MS Mincho" w:hAnsi="Arial" w:cs="Arial"/>
        </w:rPr>
      </w:pPr>
      <w:r w:rsidRPr="00D930A0">
        <w:rPr>
          <w:rFonts w:ascii="Arial" w:eastAsia="MS Mincho" w:hAnsi="Arial" w:cs="Arial"/>
        </w:rPr>
        <w:t>C H G VAN DER MERWE</w:t>
      </w:r>
    </w:p>
    <w:p w14:paraId="6E9FAB55" w14:textId="77777777" w:rsidR="00D94001" w:rsidRPr="00D930A0" w:rsidRDefault="00D94001" w:rsidP="00F243B3">
      <w:pPr>
        <w:spacing w:line="360" w:lineRule="auto"/>
        <w:ind w:left="-426" w:right="-51"/>
        <w:contextualSpacing/>
        <w:jc w:val="right"/>
        <w:rPr>
          <w:rFonts w:ascii="Arial" w:hAnsi="Arial" w:cs="Arial"/>
          <w:i/>
        </w:rPr>
      </w:pPr>
      <w:r w:rsidRPr="00D930A0">
        <w:rPr>
          <w:rFonts w:ascii="Arial" w:eastAsia="MS Mincho" w:hAnsi="Arial" w:cs="Arial"/>
        </w:rPr>
        <w:t>JUDGE OF APPEAL</w:t>
      </w:r>
    </w:p>
    <w:p w14:paraId="5C942535" w14:textId="77777777" w:rsidR="00D94001" w:rsidRPr="00D930A0" w:rsidRDefault="00D94001" w:rsidP="00F243B3">
      <w:pPr>
        <w:spacing w:line="360" w:lineRule="auto"/>
        <w:ind w:left="-426"/>
        <w:rPr>
          <w:rFonts w:ascii="Arial" w:hAnsi="Arial" w:cs="Arial"/>
        </w:rPr>
      </w:pPr>
    </w:p>
    <w:p w14:paraId="5F4DBA96" w14:textId="77777777" w:rsidR="004337D7" w:rsidRPr="00D930A0" w:rsidRDefault="004337D7" w:rsidP="00F243B3">
      <w:pPr>
        <w:ind w:left="-426"/>
        <w:rPr>
          <w:rFonts w:ascii="Arial" w:hAnsi="Arial" w:cs="Arial"/>
        </w:rPr>
      </w:pPr>
      <w:r w:rsidRPr="00D930A0">
        <w:rPr>
          <w:rFonts w:ascii="Arial" w:hAnsi="Arial" w:cs="Arial"/>
        </w:rPr>
        <w:br w:type="page"/>
      </w:r>
    </w:p>
    <w:p w14:paraId="63CFC473" w14:textId="67CDDABF" w:rsidR="00093030" w:rsidRPr="00D930A0" w:rsidRDefault="00093030" w:rsidP="00F243B3">
      <w:pPr>
        <w:ind w:left="-426"/>
        <w:rPr>
          <w:rFonts w:ascii="Arial" w:hAnsi="Arial" w:cs="Arial"/>
        </w:rPr>
      </w:pPr>
      <w:r w:rsidRPr="00D930A0">
        <w:rPr>
          <w:rFonts w:ascii="Arial" w:hAnsi="Arial" w:cs="Arial"/>
        </w:rPr>
        <w:lastRenderedPageBreak/>
        <w:t>Appearances</w:t>
      </w:r>
      <w:r w:rsidR="00A262F5" w:rsidRPr="00D930A0">
        <w:rPr>
          <w:rFonts w:ascii="Arial" w:hAnsi="Arial" w:cs="Arial"/>
        </w:rPr>
        <w:t>:</w:t>
      </w:r>
    </w:p>
    <w:p w14:paraId="34B06EC8" w14:textId="77777777" w:rsidR="003B40A2" w:rsidRPr="00D930A0" w:rsidRDefault="003B40A2" w:rsidP="00F243B3">
      <w:pPr>
        <w:spacing w:line="360" w:lineRule="auto"/>
        <w:ind w:left="-426"/>
        <w:rPr>
          <w:rFonts w:ascii="Arial" w:hAnsi="Arial" w:cs="Arial"/>
        </w:rPr>
      </w:pPr>
    </w:p>
    <w:p w14:paraId="6F96C3EC" w14:textId="14459862" w:rsidR="003B40A2" w:rsidRPr="00D930A0" w:rsidRDefault="003B40A2" w:rsidP="00F243B3">
      <w:pPr>
        <w:spacing w:line="360" w:lineRule="auto"/>
        <w:ind w:left="-426"/>
        <w:rPr>
          <w:rFonts w:ascii="Arial" w:hAnsi="Arial" w:cs="Arial"/>
        </w:rPr>
      </w:pPr>
      <w:r w:rsidRPr="00D930A0">
        <w:rPr>
          <w:rFonts w:ascii="Arial" w:hAnsi="Arial" w:cs="Arial"/>
        </w:rPr>
        <w:t>For appellant:</w:t>
      </w:r>
      <w:r w:rsidRPr="00D930A0">
        <w:rPr>
          <w:rFonts w:ascii="Arial" w:hAnsi="Arial" w:cs="Arial"/>
        </w:rPr>
        <w:tab/>
      </w:r>
      <w:r w:rsidR="00432F90" w:rsidRPr="00D930A0">
        <w:rPr>
          <w:rFonts w:ascii="Arial" w:hAnsi="Arial" w:cs="Arial"/>
        </w:rPr>
        <w:tab/>
      </w:r>
      <w:r w:rsidR="00257896" w:rsidRPr="00D930A0">
        <w:rPr>
          <w:rFonts w:ascii="Arial" w:hAnsi="Arial" w:cs="Arial"/>
        </w:rPr>
        <w:tab/>
      </w:r>
      <w:r w:rsidR="003623E5" w:rsidRPr="00D930A0">
        <w:rPr>
          <w:rFonts w:ascii="Arial" w:hAnsi="Arial" w:cs="Arial"/>
        </w:rPr>
        <w:t>M A Chohan</w:t>
      </w:r>
      <w:r w:rsidR="00722A6E" w:rsidRPr="00D930A0">
        <w:rPr>
          <w:rFonts w:ascii="Arial" w:hAnsi="Arial" w:cs="Arial"/>
        </w:rPr>
        <w:t xml:space="preserve"> SC</w:t>
      </w:r>
      <w:r w:rsidR="00D176E8" w:rsidRPr="00D930A0">
        <w:rPr>
          <w:rFonts w:ascii="Arial" w:hAnsi="Arial" w:cs="Arial"/>
        </w:rPr>
        <w:t xml:space="preserve"> (</w:t>
      </w:r>
      <w:r w:rsidR="00722A6E" w:rsidRPr="00D930A0">
        <w:rPr>
          <w:rFonts w:ascii="Arial" w:hAnsi="Arial" w:cs="Arial"/>
        </w:rPr>
        <w:t xml:space="preserve">with him </w:t>
      </w:r>
      <w:r w:rsidR="003623E5" w:rsidRPr="00D930A0">
        <w:rPr>
          <w:rFonts w:ascii="Arial" w:hAnsi="Arial" w:cs="Arial"/>
        </w:rPr>
        <w:t>L Kutumela</w:t>
      </w:r>
      <w:r w:rsidR="00D176E8" w:rsidRPr="00D930A0">
        <w:rPr>
          <w:rFonts w:ascii="Arial" w:hAnsi="Arial" w:cs="Arial"/>
        </w:rPr>
        <w:t>)</w:t>
      </w:r>
    </w:p>
    <w:p w14:paraId="05E729B4" w14:textId="5E5246C0" w:rsidR="003B40A2" w:rsidRPr="00D930A0" w:rsidRDefault="00432F90" w:rsidP="00F243B3">
      <w:pPr>
        <w:spacing w:line="360" w:lineRule="auto"/>
        <w:ind w:left="-426"/>
        <w:rPr>
          <w:rFonts w:ascii="Arial" w:hAnsi="Arial" w:cs="Arial"/>
          <w:bCs/>
        </w:rPr>
      </w:pPr>
      <w:r w:rsidRPr="00D930A0">
        <w:rPr>
          <w:rFonts w:ascii="Arial" w:hAnsi="Arial" w:cs="Arial"/>
          <w:bCs/>
        </w:rPr>
        <w:t>Instructed by:</w:t>
      </w:r>
      <w:r w:rsidRPr="00D930A0">
        <w:rPr>
          <w:rFonts w:ascii="Arial" w:hAnsi="Arial" w:cs="Arial"/>
          <w:bCs/>
        </w:rPr>
        <w:tab/>
      </w:r>
      <w:r w:rsidRPr="00D930A0">
        <w:rPr>
          <w:rFonts w:ascii="Arial" w:hAnsi="Arial" w:cs="Arial"/>
          <w:bCs/>
        </w:rPr>
        <w:tab/>
      </w:r>
      <w:r w:rsidR="003B40A2" w:rsidRPr="00D930A0">
        <w:rPr>
          <w:rFonts w:ascii="Arial" w:hAnsi="Arial" w:cs="Arial"/>
          <w:bCs/>
        </w:rPr>
        <w:t xml:space="preserve"> </w:t>
      </w:r>
      <w:r w:rsidR="00B84DB2" w:rsidRPr="00D930A0">
        <w:rPr>
          <w:rFonts w:ascii="Arial" w:hAnsi="Arial" w:cs="Arial"/>
          <w:bCs/>
        </w:rPr>
        <w:tab/>
      </w:r>
      <w:r w:rsidR="00D70653" w:rsidRPr="00D930A0">
        <w:rPr>
          <w:rFonts w:ascii="Arial" w:hAnsi="Arial" w:cs="Arial"/>
          <w:bCs/>
        </w:rPr>
        <w:t>Fairbridges Wertheim Becker Attorneys, Johannesburg</w:t>
      </w:r>
    </w:p>
    <w:p w14:paraId="10378056" w14:textId="382CA54C" w:rsidR="003B40A2" w:rsidRPr="00D930A0" w:rsidRDefault="009F57D6" w:rsidP="00F243B3">
      <w:pPr>
        <w:spacing w:line="360" w:lineRule="auto"/>
        <w:ind w:left="-426"/>
        <w:rPr>
          <w:rFonts w:ascii="Arial" w:hAnsi="Arial" w:cs="Arial"/>
          <w:bCs/>
        </w:rPr>
      </w:pPr>
      <w:r w:rsidRPr="00D930A0">
        <w:rPr>
          <w:rFonts w:ascii="Arial" w:hAnsi="Arial" w:cs="Arial"/>
          <w:bCs/>
        </w:rPr>
        <w:tab/>
      </w:r>
      <w:r w:rsidR="00B625EE" w:rsidRPr="00D930A0">
        <w:rPr>
          <w:rFonts w:ascii="Arial" w:hAnsi="Arial" w:cs="Arial"/>
          <w:bCs/>
        </w:rPr>
        <w:tab/>
      </w:r>
      <w:r w:rsidR="00B625EE" w:rsidRPr="00D930A0">
        <w:rPr>
          <w:rFonts w:ascii="Arial" w:hAnsi="Arial" w:cs="Arial"/>
          <w:bCs/>
        </w:rPr>
        <w:tab/>
      </w:r>
      <w:r w:rsidR="00257896" w:rsidRPr="00D930A0">
        <w:rPr>
          <w:rFonts w:ascii="Arial" w:hAnsi="Arial" w:cs="Arial"/>
          <w:bCs/>
        </w:rPr>
        <w:tab/>
      </w:r>
      <w:r w:rsidR="00257896" w:rsidRPr="00D930A0">
        <w:rPr>
          <w:rFonts w:ascii="Arial" w:hAnsi="Arial" w:cs="Arial"/>
          <w:bCs/>
        </w:rPr>
        <w:tab/>
      </w:r>
      <w:r w:rsidR="00D70653" w:rsidRPr="00D930A0">
        <w:rPr>
          <w:rFonts w:ascii="Arial" w:hAnsi="Arial" w:cs="Arial"/>
          <w:bCs/>
        </w:rPr>
        <w:t xml:space="preserve">Phatshoane Henney Inc., </w:t>
      </w:r>
      <w:r w:rsidR="003B40A2" w:rsidRPr="00D930A0">
        <w:rPr>
          <w:rFonts w:ascii="Arial" w:hAnsi="Arial" w:cs="Arial"/>
          <w:bCs/>
        </w:rPr>
        <w:t>Bloemfontein</w:t>
      </w:r>
    </w:p>
    <w:p w14:paraId="3C432195" w14:textId="77777777" w:rsidR="003B40A2" w:rsidRPr="00D930A0" w:rsidRDefault="003B40A2" w:rsidP="00F243B3">
      <w:pPr>
        <w:spacing w:line="360" w:lineRule="auto"/>
        <w:ind w:left="-426"/>
        <w:rPr>
          <w:rFonts w:ascii="Arial" w:hAnsi="Arial" w:cs="Arial"/>
          <w:bCs/>
        </w:rPr>
      </w:pPr>
      <w:r w:rsidRPr="00D930A0">
        <w:rPr>
          <w:rFonts w:ascii="Arial" w:hAnsi="Arial" w:cs="Arial"/>
          <w:bCs/>
        </w:rPr>
        <w:t xml:space="preserve"> </w:t>
      </w:r>
    </w:p>
    <w:p w14:paraId="766C2FC3" w14:textId="3C509BA5" w:rsidR="003B40A2" w:rsidRPr="00D930A0" w:rsidRDefault="003B40A2" w:rsidP="00F243B3">
      <w:pPr>
        <w:spacing w:line="360" w:lineRule="auto"/>
        <w:ind w:left="-426"/>
        <w:rPr>
          <w:rFonts w:ascii="Arial" w:hAnsi="Arial" w:cs="Arial"/>
        </w:rPr>
      </w:pPr>
      <w:r w:rsidRPr="00D930A0">
        <w:rPr>
          <w:rFonts w:ascii="Arial" w:hAnsi="Arial" w:cs="Arial"/>
        </w:rPr>
        <w:t>For</w:t>
      </w:r>
      <w:r w:rsidR="003623E5" w:rsidRPr="00D930A0">
        <w:rPr>
          <w:rFonts w:ascii="Arial" w:hAnsi="Arial" w:cs="Arial"/>
        </w:rPr>
        <w:t xml:space="preserve"> 1</w:t>
      </w:r>
      <w:r w:rsidR="003623E5" w:rsidRPr="00D930A0">
        <w:rPr>
          <w:rFonts w:ascii="Arial" w:hAnsi="Arial" w:cs="Arial"/>
          <w:vertAlign w:val="superscript"/>
        </w:rPr>
        <w:t>st</w:t>
      </w:r>
      <w:r w:rsidR="003623E5" w:rsidRPr="00D930A0">
        <w:rPr>
          <w:rFonts w:ascii="Arial" w:hAnsi="Arial" w:cs="Arial"/>
        </w:rPr>
        <w:t xml:space="preserve"> </w:t>
      </w:r>
      <w:r w:rsidRPr="00D930A0">
        <w:rPr>
          <w:rFonts w:ascii="Arial" w:hAnsi="Arial" w:cs="Arial"/>
        </w:rPr>
        <w:t>respondent:</w:t>
      </w:r>
      <w:r w:rsidRPr="00D930A0">
        <w:rPr>
          <w:rFonts w:ascii="Arial" w:hAnsi="Arial" w:cs="Arial"/>
        </w:rPr>
        <w:tab/>
      </w:r>
      <w:r w:rsidR="00B625EE" w:rsidRPr="00D930A0">
        <w:rPr>
          <w:rFonts w:ascii="Arial" w:hAnsi="Arial" w:cs="Arial"/>
        </w:rPr>
        <w:tab/>
      </w:r>
      <w:r w:rsidR="003623E5" w:rsidRPr="00D930A0">
        <w:rPr>
          <w:rFonts w:ascii="Arial" w:hAnsi="Arial" w:cs="Arial"/>
        </w:rPr>
        <w:t xml:space="preserve">G M Budlender SC </w:t>
      </w:r>
      <w:r w:rsidR="00D176E8" w:rsidRPr="00D930A0">
        <w:rPr>
          <w:rFonts w:ascii="Arial" w:hAnsi="Arial" w:cs="Arial"/>
        </w:rPr>
        <w:t>(</w:t>
      </w:r>
      <w:r w:rsidR="003623E5" w:rsidRPr="00D930A0">
        <w:rPr>
          <w:rFonts w:ascii="Arial" w:hAnsi="Arial" w:cs="Arial"/>
        </w:rPr>
        <w:t>with him C Tabata</w:t>
      </w:r>
      <w:r w:rsidR="00D176E8" w:rsidRPr="00D930A0">
        <w:rPr>
          <w:rFonts w:ascii="Arial" w:hAnsi="Arial" w:cs="Arial"/>
        </w:rPr>
        <w:t>)</w:t>
      </w:r>
    </w:p>
    <w:p w14:paraId="251DDABF" w14:textId="03D5F70B" w:rsidR="003B40A2" w:rsidRPr="00D930A0" w:rsidRDefault="003B40A2" w:rsidP="003623E5">
      <w:pPr>
        <w:spacing w:line="360" w:lineRule="auto"/>
        <w:ind w:left="-426"/>
        <w:rPr>
          <w:rFonts w:ascii="Arial" w:hAnsi="Arial" w:cs="Arial"/>
          <w:bCs/>
        </w:rPr>
      </w:pPr>
      <w:r w:rsidRPr="00D930A0">
        <w:rPr>
          <w:rFonts w:ascii="Arial" w:hAnsi="Arial" w:cs="Arial"/>
          <w:bCs/>
        </w:rPr>
        <w:t>Instructed by:</w:t>
      </w:r>
      <w:r w:rsidRPr="00D930A0">
        <w:rPr>
          <w:rFonts w:ascii="Arial" w:hAnsi="Arial" w:cs="Arial"/>
          <w:bCs/>
        </w:rPr>
        <w:tab/>
      </w:r>
      <w:r w:rsidR="00432F90" w:rsidRPr="00D930A0">
        <w:rPr>
          <w:rFonts w:ascii="Arial" w:hAnsi="Arial" w:cs="Arial"/>
          <w:bCs/>
        </w:rPr>
        <w:tab/>
      </w:r>
      <w:r w:rsidR="00B84DB2" w:rsidRPr="00D930A0">
        <w:rPr>
          <w:rFonts w:ascii="Arial" w:hAnsi="Arial" w:cs="Arial"/>
          <w:bCs/>
        </w:rPr>
        <w:tab/>
      </w:r>
      <w:r w:rsidR="00D70653" w:rsidRPr="00D930A0">
        <w:rPr>
          <w:rFonts w:ascii="Arial" w:hAnsi="Arial" w:cs="Arial"/>
          <w:bCs/>
        </w:rPr>
        <w:t>State Attorney, Cape Town</w:t>
      </w:r>
    </w:p>
    <w:p w14:paraId="4273027D" w14:textId="056A5493" w:rsidR="00D70653" w:rsidRPr="00F152B9" w:rsidRDefault="00D70653" w:rsidP="003623E5">
      <w:pPr>
        <w:spacing w:line="360" w:lineRule="auto"/>
        <w:ind w:left="-426"/>
        <w:rPr>
          <w:rFonts w:ascii="Arial" w:hAnsi="Arial" w:cs="Arial"/>
          <w:bCs/>
        </w:rPr>
      </w:pPr>
      <w:r w:rsidRPr="00D930A0">
        <w:rPr>
          <w:rFonts w:ascii="Arial" w:hAnsi="Arial" w:cs="Arial"/>
          <w:bCs/>
        </w:rPr>
        <w:tab/>
      </w:r>
      <w:r w:rsidRPr="00D930A0">
        <w:rPr>
          <w:rFonts w:ascii="Arial" w:hAnsi="Arial" w:cs="Arial"/>
          <w:bCs/>
        </w:rPr>
        <w:tab/>
      </w:r>
      <w:r w:rsidRPr="00D930A0">
        <w:rPr>
          <w:rFonts w:ascii="Arial" w:hAnsi="Arial" w:cs="Arial"/>
          <w:bCs/>
        </w:rPr>
        <w:tab/>
      </w:r>
      <w:r w:rsidRPr="00D930A0">
        <w:rPr>
          <w:rFonts w:ascii="Arial" w:hAnsi="Arial" w:cs="Arial"/>
          <w:bCs/>
        </w:rPr>
        <w:tab/>
      </w:r>
      <w:r w:rsidRPr="00D930A0">
        <w:rPr>
          <w:rFonts w:ascii="Arial" w:hAnsi="Arial" w:cs="Arial"/>
          <w:bCs/>
        </w:rPr>
        <w:tab/>
        <w:t>State Attorney, Bloemfontein</w:t>
      </w:r>
    </w:p>
    <w:p w14:paraId="73AFD690" w14:textId="57EBDE9A" w:rsidR="004D6BB8" w:rsidRPr="00F152B9" w:rsidRDefault="004D6BB8" w:rsidP="00F243B3">
      <w:pPr>
        <w:spacing w:line="360" w:lineRule="auto"/>
        <w:ind w:left="-426"/>
        <w:rPr>
          <w:rFonts w:ascii="Arial" w:hAnsi="Arial" w:cs="Arial"/>
          <w:bCs/>
        </w:rPr>
      </w:pPr>
    </w:p>
    <w:sectPr w:rsidR="004D6BB8" w:rsidRPr="00F152B9" w:rsidSect="00CB01A3">
      <w:headerReference w:type="even" r:id="rId9"/>
      <w:headerReference w:type="default" r:id="rId10"/>
      <w:pgSz w:w="12240" w:h="15840"/>
      <w:pgMar w:top="993" w:right="1325" w:bottom="99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11D9" w14:textId="77777777" w:rsidR="000430D6" w:rsidRDefault="000430D6">
      <w:r>
        <w:separator/>
      </w:r>
    </w:p>
  </w:endnote>
  <w:endnote w:type="continuationSeparator" w:id="0">
    <w:p w14:paraId="2F7E088F" w14:textId="77777777" w:rsidR="000430D6" w:rsidRDefault="000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9989" w14:textId="77777777" w:rsidR="000430D6" w:rsidRDefault="000430D6" w:rsidP="00E1555B">
      <w:pPr>
        <w:ind w:left="-567"/>
      </w:pPr>
      <w:r>
        <w:separator/>
      </w:r>
    </w:p>
  </w:footnote>
  <w:footnote w:type="continuationSeparator" w:id="0">
    <w:p w14:paraId="2342F5DA" w14:textId="77777777" w:rsidR="000430D6" w:rsidRDefault="000430D6">
      <w:r>
        <w:continuationSeparator/>
      </w:r>
    </w:p>
  </w:footnote>
  <w:footnote w:id="1">
    <w:p w14:paraId="7F768E1F" w14:textId="77777777" w:rsidR="00A81DFD" w:rsidRPr="00C51403" w:rsidRDefault="00466714" w:rsidP="00466714">
      <w:pPr>
        <w:pStyle w:val="FootnoteText"/>
        <w:ind w:left="-454"/>
        <w:jc w:val="both"/>
        <w:rPr>
          <w:rFonts w:ascii="Arial" w:hAnsi="Arial" w:cs="Arial"/>
          <w:b/>
        </w:rPr>
      </w:pPr>
      <w:r w:rsidRPr="00C51403">
        <w:rPr>
          <w:rStyle w:val="FootnoteReference"/>
          <w:rFonts w:ascii="Arial" w:hAnsi="Arial" w:cs="Arial"/>
        </w:rPr>
        <w:footnoteRef/>
      </w:r>
      <w:r w:rsidRPr="00C51403">
        <w:rPr>
          <w:rFonts w:ascii="Arial" w:hAnsi="Arial" w:cs="Arial"/>
        </w:rPr>
        <w:t xml:space="preserve"> ‘</w:t>
      </w:r>
      <w:r w:rsidR="00A81DFD" w:rsidRPr="00C51403">
        <w:rPr>
          <w:rFonts w:ascii="Arial" w:hAnsi="Arial" w:cs="Arial"/>
          <w:b/>
        </w:rPr>
        <w:t>IT IS ORDERED:</w:t>
      </w:r>
    </w:p>
    <w:p w14:paraId="53222EB6" w14:textId="45CB8533" w:rsidR="00466714" w:rsidRPr="00C51403" w:rsidRDefault="00466714" w:rsidP="00466714">
      <w:pPr>
        <w:pStyle w:val="FootnoteText"/>
        <w:ind w:left="-454"/>
        <w:jc w:val="both"/>
        <w:rPr>
          <w:rFonts w:ascii="Arial" w:hAnsi="Arial" w:cs="Arial"/>
        </w:rPr>
      </w:pPr>
      <w:r w:rsidRPr="00C51403">
        <w:rPr>
          <w:rFonts w:ascii="Arial" w:hAnsi="Arial" w:cs="Arial"/>
        </w:rPr>
        <w:t>1. That the</w:t>
      </w:r>
      <w:r w:rsidR="00A81DFD" w:rsidRPr="00C51403">
        <w:rPr>
          <w:rFonts w:ascii="Arial" w:hAnsi="Arial" w:cs="Arial"/>
        </w:rPr>
        <w:t xml:space="preserve"> following</w:t>
      </w:r>
      <w:r w:rsidRPr="00C51403">
        <w:rPr>
          <w:rFonts w:ascii="Arial" w:hAnsi="Arial" w:cs="Arial"/>
        </w:rPr>
        <w:t xml:space="preserve"> findings of the First Respondent in his audit report on the financial statements of the Western</w:t>
      </w:r>
      <w:r w:rsidR="004E2B99" w:rsidRPr="00C51403">
        <w:rPr>
          <w:rFonts w:ascii="Arial" w:hAnsi="Arial" w:cs="Arial"/>
        </w:rPr>
        <w:t> </w:t>
      </w:r>
      <w:r w:rsidRPr="00C51403">
        <w:rPr>
          <w:rFonts w:ascii="Arial" w:hAnsi="Arial" w:cs="Arial"/>
        </w:rPr>
        <w:t>Cape Department of Agriculture (“the Department”) for the year ending 31 March 2017 are reviewed and set aside:</w:t>
      </w:r>
    </w:p>
    <w:p w14:paraId="6A079CEC" w14:textId="0F53B863" w:rsidR="00466714" w:rsidRPr="00C51403" w:rsidRDefault="00466714" w:rsidP="00466714">
      <w:pPr>
        <w:pStyle w:val="FootnoteText"/>
        <w:ind w:left="-454"/>
        <w:jc w:val="both"/>
        <w:rPr>
          <w:rFonts w:ascii="Arial" w:hAnsi="Arial" w:cs="Arial"/>
        </w:rPr>
      </w:pPr>
      <w:r w:rsidRPr="00C51403">
        <w:rPr>
          <w:rFonts w:ascii="Arial" w:hAnsi="Arial" w:cs="Arial"/>
        </w:rPr>
        <w:t>1.1 The qualification of his opinion that the financial statements present fairly, in all material respect</w:t>
      </w:r>
      <w:r w:rsidR="004E2B99" w:rsidRPr="00C51403">
        <w:rPr>
          <w:rFonts w:ascii="Arial" w:hAnsi="Arial" w:cs="Arial"/>
        </w:rPr>
        <w:t>s</w:t>
      </w:r>
      <w:r w:rsidRPr="00C51403">
        <w:rPr>
          <w:rFonts w:ascii="Arial" w:hAnsi="Arial" w:cs="Arial"/>
        </w:rPr>
        <w:t xml:space="preserve">, the financial position of the Department as </w:t>
      </w:r>
      <w:r w:rsidR="006A2A51" w:rsidRPr="00C51403">
        <w:rPr>
          <w:rFonts w:ascii="Arial" w:hAnsi="Arial" w:cs="Arial"/>
        </w:rPr>
        <w:t xml:space="preserve">at </w:t>
      </w:r>
      <w:r w:rsidRPr="00C51403">
        <w:rPr>
          <w:rFonts w:ascii="Arial" w:hAnsi="Arial" w:cs="Arial"/>
        </w:rPr>
        <w:t>31 March 2017 and its financial performance and cashflows for the year so ended;</w:t>
      </w:r>
    </w:p>
    <w:p w14:paraId="4585B28F" w14:textId="153B99B5" w:rsidR="00466714" w:rsidRPr="00C51403" w:rsidRDefault="00466714" w:rsidP="00466714">
      <w:pPr>
        <w:pStyle w:val="FootnoteText"/>
        <w:ind w:left="-454"/>
        <w:jc w:val="both"/>
        <w:rPr>
          <w:rFonts w:ascii="Arial" w:hAnsi="Arial" w:cs="Arial"/>
          <w:lang w:val="en-ZA"/>
        </w:rPr>
      </w:pPr>
      <w:r w:rsidRPr="00C51403">
        <w:rPr>
          <w:rFonts w:ascii="Arial" w:hAnsi="Arial" w:cs="Arial"/>
          <w:lang w:val="en-ZA"/>
        </w:rPr>
        <w:t>1.2 The finding that the Depar</w:t>
      </w:r>
      <w:r w:rsidR="00FC32B3" w:rsidRPr="00C51403">
        <w:rPr>
          <w:rFonts w:ascii="Arial" w:hAnsi="Arial" w:cs="Arial"/>
          <w:lang w:val="en-ZA"/>
        </w:rPr>
        <w:t>t</w:t>
      </w:r>
      <w:r w:rsidRPr="00C51403">
        <w:rPr>
          <w:rFonts w:ascii="Arial" w:hAnsi="Arial" w:cs="Arial"/>
          <w:lang w:val="en-ZA"/>
        </w:rPr>
        <w:t>me</w:t>
      </w:r>
      <w:r w:rsidR="00FC32B3" w:rsidRPr="00C51403">
        <w:rPr>
          <w:rFonts w:ascii="Arial" w:hAnsi="Arial" w:cs="Arial"/>
          <w:lang w:val="en-ZA"/>
        </w:rPr>
        <w:t>n</w:t>
      </w:r>
      <w:r w:rsidRPr="00C51403">
        <w:rPr>
          <w:rFonts w:ascii="Arial" w:hAnsi="Arial" w:cs="Arial"/>
          <w:lang w:val="en-ZA"/>
        </w:rPr>
        <w:t>t did not account for payments made to implementing agents in accordance with the requirements of the Modified Cash Standard;</w:t>
      </w:r>
    </w:p>
    <w:p w14:paraId="653F09EE" w14:textId="7A6235CF" w:rsidR="00466714" w:rsidRPr="00C51403" w:rsidRDefault="00466714" w:rsidP="00466714">
      <w:pPr>
        <w:pStyle w:val="FootnoteText"/>
        <w:ind w:left="-454"/>
        <w:jc w:val="both"/>
        <w:rPr>
          <w:rFonts w:ascii="Arial" w:hAnsi="Arial" w:cs="Arial"/>
          <w:lang w:val="en-ZA"/>
        </w:rPr>
      </w:pPr>
      <w:r w:rsidRPr="00C51403">
        <w:rPr>
          <w:rFonts w:ascii="Arial" w:hAnsi="Arial" w:cs="Arial"/>
          <w:lang w:val="en-ZA"/>
        </w:rPr>
        <w:t>1.3 The finding that the Department incorrectly budgeted and accounted for these payments as transfers and subsidies instead of either expenditure for capital assets or goods and service</w:t>
      </w:r>
      <w:r w:rsidR="00F4305F" w:rsidRPr="00C51403">
        <w:rPr>
          <w:rFonts w:ascii="Arial" w:hAnsi="Arial" w:cs="Arial"/>
          <w:lang w:val="en-ZA"/>
        </w:rPr>
        <w:t>s</w:t>
      </w:r>
      <w:r w:rsidRPr="00C51403">
        <w:rPr>
          <w:rFonts w:ascii="Arial" w:hAnsi="Arial" w:cs="Arial"/>
          <w:lang w:val="en-ZA"/>
        </w:rPr>
        <w:t>;</w:t>
      </w:r>
    </w:p>
    <w:p w14:paraId="0C7F5A0A" w14:textId="14CD5BC0" w:rsidR="00466714" w:rsidRPr="00C51403" w:rsidRDefault="00466714" w:rsidP="00466714">
      <w:pPr>
        <w:pStyle w:val="FootnoteText"/>
        <w:ind w:left="-454"/>
        <w:jc w:val="both"/>
        <w:rPr>
          <w:rFonts w:ascii="Arial" w:hAnsi="Arial" w:cs="Arial"/>
          <w:lang w:val="en-ZA"/>
        </w:rPr>
      </w:pPr>
      <w:r w:rsidRPr="00C51403">
        <w:rPr>
          <w:rFonts w:ascii="Arial" w:hAnsi="Arial" w:cs="Arial"/>
          <w:lang w:val="en-ZA"/>
        </w:rPr>
        <w:t>1.4 The finding that the Department irregularly entered into contracts with implementing agents without applying Treasury Regulations.</w:t>
      </w:r>
    </w:p>
    <w:p w14:paraId="254584C8" w14:textId="320F997D" w:rsidR="00466714" w:rsidRPr="00C51403" w:rsidRDefault="00466714" w:rsidP="00466714">
      <w:pPr>
        <w:pStyle w:val="FootnoteText"/>
        <w:ind w:left="-454"/>
        <w:jc w:val="both"/>
        <w:rPr>
          <w:rFonts w:ascii="Arial" w:hAnsi="Arial" w:cs="Arial"/>
          <w:lang w:val="en-ZA"/>
        </w:rPr>
      </w:pPr>
      <w:r w:rsidRPr="00C51403">
        <w:rPr>
          <w:rFonts w:ascii="Arial" w:hAnsi="Arial" w:cs="Arial"/>
          <w:lang w:val="en-ZA"/>
        </w:rPr>
        <w:t>2. That the following findings of the first respondent in his audit report on the financial statements of the Department for the year ended 31 March 2018 are reviewed and set aside:</w:t>
      </w:r>
    </w:p>
    <w:p w14:paraId="1B802276" w14:textId="14DA0F15" w:rsidR="00FC32B3" w:rsidRPr="00C51403" w:rsidRDefault="00FC32B3" w:rsidP="00466714">
      <w:pPr>
        <w:pStyle w:val="FootnoteText"/>
        <w:ind w:left="-454"/>
        <w:jc w:val="both"/>
        <w:rPr>
          <w:rFonts w:ascii="Arial" w:hAnsi="Arial" w:cs="Arial"/>
          <w:lang w:val="en-ZA"/>
        </w:rPr>
      </w:pPr>
      <w:r w:rsidRPr="00C51403">
        <w:rPr>
          <w:rFonts w:ascii="Arial" w:hAnsi="Arial" w:cs="Arial"/>
          <w:lang w:val="en-ZA"/>
        </w:rPr>
        <w:t>2.1. The qualification of his opinion that the financial statements present fairly, in all material respect</w:t>
      </w:r>
      <w:r w:rsidR="00A13E4B" w:rsidRPr="00C51403">
        <w:rPr>
          <w:rFonts w:ascii="Arial" w:hAnsi="Arial" w:cs="Arial"/>
          <w:lang w:val="en-ZA"/>
        </w:rPr>
        <w:t>s</w:t>
      </w:r>
      <w:r w:rsidRPr="00C51403">
        <w:rPr>
          <w:rFonts w:ascii="Arial" w:hAnsi="Arial" w:cs="Arial"/>
          <w:lang w:val="en-ZA"/>
        </w:rPr>
        <w:t>, the financial position of the Department as at 31 March 2018 and its financial performance and cashflows for the year so ended;</w:t>
      </w:r>
    </w:p>
    <w:p w14:paraId="5C2AAB3D" w14:textId="49ABD795" w:rsidR="00FC32B3" w:rsidRPr="00C51403" w:rsidRDefault="00FC32B3" w:rsidP="00466714">
      <w:pPr>
        <w:pStyle w:val="FootnoteText"/>
        <w:ind w:left="-454"/>
        <w:jc w:val="both"/>
        <w:rPr>
          <w:rFonts w:ascii="Arial" w:hAnsi="Arial" w:cs="Arial"/>
          <w:lang w:val="en-ZA"/>
        </w:rPr>
      </w:pPr>
      <w:r w:rsidRPr="00C51403">
        <w:rPr>
          <w:rFonts w:ascii="Arial" w:hAnsi="Arial" w:cs="Arial"/>
          <w:lang w:val="en-ZA"/>
        </w:rPr>
        <w:t>2.2The finding that the Department did not account for payments made to implementing agents in accordance with the requirements of the Modified Cash Standard;</w:t>
      </w:r>
    </w:p>
    <w:p w14:paraId="607A5182" w14:textId="65A4B2C6" w:rsidR="00FC32B3" w:rsidRPr="00C51403" w:rsidRDefault="00FC32B3" w:rsidP="00466714">
      <w:pPr>
        <w:pStyle w:val="FootnoteText"/>
        <w:ind w:left="-454"/>
        <w:jc w:val="both"/>
        <w:rPr>
          <w:rFonts w:ascii="Arial" w:hAnsi="Arial" w:cs="Arial"/>
          <w:lang w:val="en-ZA"/>
        </w:rPr>
      </w:pPr>
      <w:r w:rsidRPr="00C51403">
        <w:rPr>
          <w:rFonts w:ascii="Arial" w:hAnsi="Arial" w:cs="Arial"/>
          <w:lang w:val="en-ZA"/>
        </w:rPr>
        <w:t>2.3 The finding that the Department incorrectly budgeted and accounted for these payments as transfers and subsidies instead of either expenditure for capital assets or goods and services;</w:t>
      </w:r>
    </w:p>
    <w:p w14:paraId="7EE1EC66" w14:textId="0EA01769" w:rsidR="00FC32B3" w:rsidRPr="00C51403" w:rsidRDefault="00FC32B3" w:rsidP="00466714">
      <w:pPr>
        <w:pStyle w:val="FootnoteText"/>
        <w:ind w:left="-454"/>
        <w:jc w:val="both"/>
        <w:rPr>
          <w:rFonts w:ascii="Arial" w:hAnsi="Arial" w:cs="Arial"/>
          <w:lang w:val="en-ZA"/>
        </w:rPr>
      </w:pPr>
      <w:r w:rsidRPr="00C51403">
        <w:rPr>
          <w:rFonts w:ascii="Arial" w:hAnsi="Arial" w:cs="Arial"/>
          <w:lang w:val="en-ZA"/>
        </w:rPr>
        <w:t xml:space="preserve">2.4 The </w:t>
      </w:r>
      <w:r w:rsidR="00E52954" w:rsidRPr="00C51403">
        <w:rPr>
          <w:rFonts w:ascii="Arial" w:hAnsi="Arial" w:cs="Arial"/>
          <w:lang w:val="en-ZA"/>
        </w:rPr>
        <w:t>f</w:t>
      </w:r>
      <w:r w:rsidRPr="00C51403">
        <w:rPr>
          <w:rFonts w:ascii="Arial" w:hAnsi="Arial" w:cs="Arial"/>
          <w:lang w:val="en-ZA"/>
        </w:rPr>
        <w:t>in</w:t>
      </w:r>
      <w:r w:rsidR="00E52954" w:rsidRPr="00C51403">
        <w:rPr>
          <w:rFonts w:ascii="Arial" w:hAnsi="Arial" w:cs="Arial"/>
          <w:lang w:val="en-ZA"/>
        </w:rPr>
        <w:t>d</w:t>
      </w:r>
      <w:r w:rsidRPr="00C51403">
        <w:rPr>
          <w:rFonts w:ascii="Arial" w:hAnsi="Arial" w:cs="Arial"/>
          <w:lang w:val="en-ZA"/>
        </w:rPr>
        <w:t>ing that principal-agent relationships were not disclosed;</w:t>
      </w:r>
    </w:p>
    <w:p w14:paraId="74148333" w14:textId="4AEC09D3" w:rsidR="00FC32B3" w:rsidRPr="00C71358" w:rsidRDefault="00FC32B3" w:rsidP="00466714">
      <w:pPr>
        <w:pStyle w:val="FootnoteText"/>
        <w:ind w:left="-454"/>
        <w:jc w:val="both"/>
        <w:rPr>
          <w:rFonts w:ascii="Arial" w:hAnsi="Arial" w:cs="Arial"/>
          <w:lang w:val="en-ZA"/>
        </w:rPr>
      </w:pPr>
      <w:r w:rsidRPr="00C51403">
        <w:rPr>
          <w:rFonts w:ascii="Arial" w:hAnsi="Arial" w:cs="Arial"/>
          <w:lang w:val="en-ZA"/>
        </w:rPr>
        <w:t xml:space="preserve">2.5 The </w:t>
      </w:r>
      <w:r w:rsidR="00E52954" w:rsidRPr="00C51403">
        <w:rPr>
          <w:rFonts w:ascii="Arial" w:hAnsi="Arial" w:cs="Arial"/>
          <w:lang w:val="en-ZA"/>
        </w:rPr>
        <w:t>f</w:t>
      </w:r>
      <w:r w:rsidRPr="00C51403">
        <w:rPr>
          <w:rFonts w:ascii="Arial" w:hAnsi="Arial" w:cs="Arial"/>
          <w:lang w:val="en-ZA"/>
        </w:rPr>
        <w:t>in</w:t>
      </w:r>
      <w:r w:rsidR="00E52954" w:rsidRPr="00C51403">
        <w:rPr>
          <w:rFonts w:ascii="Arial" w:hAnsi="Arial" w:cs="Arial"/>
          <w:lang w:val="en-ZA"/>
        </w:rPr>
        <w:t>d</w:t>
      </w:r>
      <w:r w:rsidRPr="00C51403">
        <w:rPr>
          <w:rFonts w:ascii="Arial" w:hAnsi="Arial" w:cs="Arial"/>
          <w:lang w:val="en-ZA"/>
        </w:rPr>
        <w:t>ing that the Department irregularly</w:t>
      </w:r>
      <w:r w:rsidRPr="00C71358">
        <w:rPr>
          <w:rFonts w:ascii="Arial" w:hAnsi="Arial" w:cs="Arial"/>
          <w:lang w:val="en-ZA"/>
        </w:rPr>
        <w:t xml:space="preserve"> entered into contracts with implementing agents without applying Treasury Regulations.</w:t>
      </w:r>
    </w:p>
    <w:p w14:paraId="78A13047" w14:textId="7DAC93CB" w:rsidR="00FC32B3" w:rsidRPr="00C71358" w:rsidRDefault="00FC32B3" w:rsidP="00466714">
      <w:pPr>
        <w:pStyle w:val="FootnoteText"/>
        <w:ind w:left="-454"/>
        <w:jc w:val="both"/>
        <w:rPr>
          <w:rFonts w:ascii="Arial" w:hAnsi="Arial" w:cs="Arial"/>
          <w:lang w:val="en-ZA"/>
        </w:rPr>
      </w:pPr>
      <w:r w:rsidRPr="00C71358">
        <w:rPr>
          <w:rFonts w:ascii="Arial" w:hAnsi="Arial" w:cs="Arial"/>
          <w:lang w:val="en-ZA"/>
        </w:rPr>
        <w:t>3. That the Applicant shall pay the wasted costs of 6 February 2020, which shall include the costs of senior counsel.</w:t>
      </w:r>
    </w:p>
    <w:p w14:paraId="60AEC6E2" w14:textId="4BA3F2B3" w:rsidR="00FC32B3" w:rsidRDefault="00FC32B3" w:rsidP="00466714">
      <w:pPr>
        <w:pStyle w:val="FootnoteText"/>
        <w:ind w:left="-454"/>
        <w:jc w:val="both"/>
        <w:rPr>
          <w:rFonts w:ascii="Arial" w:hAnsi="Arial" w:cs="Arial"/>
          <w:lang w:val="en-ZA"/>
        </w:rPr>
      </w:pPr>
      <w:r w:rsidRPr="00C71358">
        <w:rPr>
          <w:rFonts w:ascii="Arial" w:hAnsi="Arial" w:cs="Arial"/>
          <w:lang w:val="en-ZA"/>
        </w:rPr>
        <w:t>4. That, save for the aforegoing, the first respondent is directed to pay the costs of this application which shall include the costs of senior counsel.’</w:t>
      </w:r>
    </w:p>
    <w:p w14:paraId="5841EC40" w14:textId="77777777" w:rsidR="00FC32B3" w:rsidRPr="00466714" w:rsidRDefault="00FC32B3" w:rsidP="00466714">
      <w:pPr>
        <w:pStyle w:val="FootnoteText"/>
        <w:ind w:left="-454"/>
        <w:jc w:val="both"/>
        <w:rPr>
          <w:rFonts w:ascii="Arial" w:hAnsi="Arial" w:cs="Arial"/>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F420B4" w:rsidRDefault="00F42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F420B4" w:rsidRDefault="00F420B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51938056"/>
      <w:docPartObj>
        <w:docPartGallery w:val="Page Numbers (Top of Page)"/>
        <w:docPartUnique/>
      </w:docPartObj>
    </w:sdtPr>
    <w:sdtEndPr>
      <w:rPr>
        <w:noProof/>
      </w:rPr>
    </w:sdtEndPr>
    <w:sdtContent>
      <w:p w14:paraId="3BCBD728" w14:textId="19083183" w:rsidR="00F420B4" w:rsidRPr="00E90B15" w:rsidRDefault="00F420B4">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4F5FCA">
          <w:rPr>
            <w:rFonts w:ascii="Arial" w:hAnsi="Arial" w:cs="Arial"/>
            <w:noProof/>
          </w:rPr>
          <w:t>11</w:t>
        </w:r>
        <w:r w:rsidRPr="00E90B15">
          <w:rPr>
            <w:rFonts w:ascii="Arial" w:hAnsi="Arial" w:cs="Arial"/>
            <w:noProof/>
          </w:rPr>
          <w:fldChar w:fldCharType="end"/>
        </w:r>
      </w:p>
    </w:sdtContent>
  </w:sdt>
  <w:p w14:paraId="1609F8FE" w14:textId="77777777" w:rsidR="00F420B4" w:rsidRPr="00E90B15" w:rsidRDefault="00F420B4">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8434DE"/>
    <w:multiLevelType w:val="hybridMultilevel"/>
    <w:tmpl w:val="E56E2A04"/>
    <w:lvl w:ilvl="0" w:tplc="6308897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2B78DEDC">
      <w:start w:val="1"/>
      <w:numFmt w:val="lowerLetter"/>
      <w:lvlText w:val="%2"/>
      <w:lvlJc w:val="left"/>
      <w:pPr>
        <w:ind w:left="14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365234AE">
      <w:start w:val="1"/>
      <w:numFmt w:val="lowerRoman"/>
      <w:lvlText w:val="%3"/>
      <w:lvlJc w:val="left"/>
      <w:pPr>
        <w:ind w:left="21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709EE972">
      <w:start w:val="1"/>
      <w:numFmt w:val="decimal"/>
      <w:lvlText w:val="%4"/>
      <w:lvlJc w:val="left"/>
      <w:pPr>
        <w:ind w:left="29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6BA0428C">
      <w:start w:val="1"/>
      <w:numFmt w:val="lowerLetter"/>
      <w:lvlText w:val="%5"/>
      <w:lvlJc w:val="left"/>
      <w:pPr>
        <w:ind w:left="36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45CAD50E">
      <w:start w:val="1"/>
      <w:numFmt w:val="lowerRoman"/>
      <w:lvlText w:val="%6"/>
      <w:lvlJc w:val="left"/>
      <w:pPr>
        <w:ind w:left="43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262017C8">
      <w:start w:val="1"/>
      <w:numFmt w:val="decimal"/>
      <w:lvlText w:val="%7"/>
      <w:lvlJc w:val="left"/>
      <w:pPr>
        <w:ind w:left="50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C2A6DB72">
      <w:start w:val="1"/>
      <w:numFmt w:val="lowerLetter"/>
      <w:lvlText w:val="%8"/>
      <w:lvlJc w:val="left"/>
      <w:pPr>
        <w:ind w:left="57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423AFB9E">
      <w:start w:val="1"/>
      <w:numFmt w:val="lowerRoman"/>
      <w:lvlText w:val="%9"/>
      <w:lvlJc w:val="left"/>
      <w:pPr>
        <w:ind w:left="65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3"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246E4886"/>
    <w:multiLevelType w:val="hybridMultilevel"/>
    <w:tmpl w:val="E9FE7D3E"/>
    <w:lvl w:ilvl="0" w:tplc="4D52A3F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C78E15A0">
      <w:start w:val="1"/>
      <w:numFmt w:val="lowerLetter"/>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2248723C">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F3F8181E">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A90002DA">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A5A41D70">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A844E182">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B6D212E2">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91ADD84">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5"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74E6"/>
    <w:multiLevelType w:val="hybridMultilevel"/>
    <w:tmpl w:val="D7F8FCC2"/>
    <w:lvl w:ilvl="0" w:tplc="4F280A1A">
      <w:start w:val="1"/>
      <w:numFmt w:val="decimal"/>
      <w:lvlText w:val="%1"/>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080E51B0">
      <w:start w:val="1"/>
      <w:numFmt w:val="lowerLetter"/>
      <w:lvlRestart w:val="0"/>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1BEC9A9A">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840650A6">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8214AEAC">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6AF250C8">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52CC7EC">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358CCE9E">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1FA44708">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9"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7"/>
  </w:num>
  <w:num w:numId="6">
    <w:abstractNumId w:val="5"/>
  </w:num>
  <w:num w:numId="7">
    <w:abstractNumId w:val="6"/>
  </w:num>
  <w:num w:numId="8">
    <w:abstractNumId w:val="1"/>
  </w:num>
  <w:num w:numId="9">
    <w:abstractNumId w:val="10"/>
  </w:num>
  <w:num w:numId="10">
    <w:abstractNumId w:val="12"/>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60"/>
    <w:rsid w:val="00000DDF"/>
    <w:rsid w:val="00001193"/>
    <w:rsid w:val="000049B7"/>
    <w:rsid w:val="00004A38"/>
    <w:rsid w:val="00005095"/>
    <w:rsid w:val="0000616B"/>
    <w:rsid w:val="00006C1C"/>
    <w:rsid w:val="00011532"/>
    <w:rsid w:val="00013602"/>
    <w:rsid w:val="00014965"/>
    <w:rsid w:val="00023D16"/>
    <w:rsid w:val="0002608C"/>
    <w:rsid w:val="000266AC"/>
    <w:rsid w:val="0002709F"/>
    <w:rsid w:val="00027C48"/>
    <w:rsid w:val="00032669"/>
    <w:rsid w:val="0003511F"/>
    <w:rsid w:val="0003646C"/>
    <w:rsid w:val="00037EE9"/>
    <w:rsid w:val="000430D6"/>
    <w:rsid w:val="000450F7"/>
    <w:rsid w:val="00052FD2"/>
    <w:rsid w:val="000532CE"/>
    <w:rsid w:val="000544D3"/>
    <w:rsid w:val="0006092F"/>
    <w:rsid w:val="00062146"/>
    <w:rsid w:val="00062BAE"/>
    <w:rsid w:val="00063FE4"/>
    <w:rsid w:val="00067A07"/>
    <w:rsid w:val="00067CF8"/>
    <w:rsid w:val="0007303C"/>
    <w:rsid w:val="0007319C"/>
    <w:rsid w:val="00073E5C"/>
    <w:rsid w:val="00074A73"/>
    <w:rsid w:val="00093030"/>
    <w:rsid w:val="000943C6"/>
    <w:rsid w:val="000967AE"/>
    <w:rsid w:val="000A5052"/>
    <w:rsid w:val="000B1685"/>
    <w:rsid w:val="000B1799"/>
    <w:rsid w:val="000C16AA"/>
    <w:rsid w:val="000C7263"/>
    <w:rsid w:val="000D10B8"/>
    <w:rsid w:val="000D4D7A"/>
    <w:rsid w:val="000D6DD4"/>
    <w:rsid w:val="000D71B8"/>
    <w:rsid w:val="000E03A7"/>
    <w:rsid w:val="000E07D7"/>
    <w:rsid w:val="000E3A05"/>
    <w:rsid w:val="000E4018"/>
    <w:rsid w:val="000E4C8A"/>
    <w:rsid w:val="000F012A"/>
    <w:rsid w:val="000F0ADB"/>
    <w:rsid w:val="000F13E9"/>
    <w:rsid w:val="000F1680"/>
    <w:rsid w:val="000F2D4B"/>
    <w:rsid w:val="000F325E"/>
    <w:rsid w:val="000F36A8"/>
    <w:rsid w:val="000F7403"/>
    <w:rsid w:val="00101D5F"/>
    <w:rsid w:val="001028B5"/>
    <w:rsid w:val="00102C8C"/>
    <w:rsid w:val="00107072"/>
    <w:rsid w:val="00107449"/>
    <w:rsid w:val="00107BC6"/>
    <w:rsid w:val="00115DE2"/>
    <w:rsid w:val="00116A08"/>
    <w:rsid w:val="001205BB"/>
    <w:rsid w:val="00120C7D"/>
    <w:rsid w:val="00123BD2"/>
    <w:rsid w:val="00127B00"/>
    <w:rsid w:val="00130454"/>
    <w:rsid w:val="001323CA"/>
    <w:rsid w:val="00133AD0"/>
    <w:rsid w:val="00133EBC"/>
    <w:rsid w:val="001405B2"/>
    <w:rsid w:val="00145BF9"/>
    <w:rsid w:val="0014686F"/>
    <w:rsid w:val="00146E95"/>
    <w:rsid w:val="001536E7"/>
    <w:rsid w:val="00153BD0"/>
    <w:rsid w:val="00155979"/>
    <w:rsid w:val="00155F7E"/>
    <w:rsid w:val="00156012"/>
    <w:rsid w:val="001602BF"/>
    <w:rsid w:val="001603E8"/>
    <w:rsid w:val="00161722"/>
    <w:rsid w:val="001624C6"/>
    <w:rsid w:val="00165280"/>
    <w:rsid w:val="00167CF1"/>
    <w:rsid w:val="00175473"/>
    <w:rsid w:val="00177CD2"/>
    <w:rsid w:val="00180441"/>
    <w:rsid w:val="0018188C"/>
    <w:rsid w:val="001834CD"/>
    <w:rsid w:val="00183ACB"/>
    <w:rsid w:val="00184743"/>
    <w:rsid w:val="00185E39"/>
    <w:rsid w:val="00187B8A"/>
    <w:rsid w:val="001910E7"/>
    <w:rsid w:val="00191D15"/>
    <w:rsid w:val="0019759D"/>
    <w:rsid w:val="001A2186"/>
    <w:rsid w:val="001A5A92"/>
    <w:rsid w:val="001B5808"/>
    <w:rsid w:val="001B5A79"/>
    <w:rsid w:val="001B68B1"/>
    <w:rsid w:val="001B7AD7"/>
    <w:rsid w:val="001B7F4B"/>
    <w:rsid w:val="001C01C3"/>
    <w:rsid w:val="001C48DD"/>
    <w:rsid w:val="001C5050"/>
    <w:rsid w:val="001C5729"/>
    <w:rsid w:val="001C6AE5"/>
    <w:rsid w:val="001C7DDB"/>
    <w:rsid w:val="001D05EE"/>
    <w:rsid w:val="001D5000"/>
    <w:rsid w:val="001D5248"/>
    <w:rsid w:val="001D5363"/>
    <w:rsid w:val="001E22C1"/>
    <w:rsid w:val="001E24ED"/>
    <w:rsid w:val="001F1F0F"/>
    <w:rsid w:val="001F39B0"/>
    <w:rsid w:val="001F5BA5"/>
    <w:rsid w:val="001F79B3"/>
    <w:rsid w:val="001F7B80"/>
    <w:rsid w:val="00200121"/>
    <w:rsid w:val="00201A3E"/>
    <w:rsid w:val="00202B5A"/>
    <w:rsid w:val="00202C83"/>
    <w:rsid w:val="002044D1"/>
    <w:rsid w:val="00204958"/>
    <w:rsid w:val="00205595"/>
    <w:rsid w:val="0020601B"/>
    <w:rsid w:val="00220881"/>
    <w:rsid w:val="00225BBC"/>
    <w:rsid w:val="00230082"/>
    <w:rsid w:val="0023283A"/>
    <w:rsid w:val="00232EBF"/>
    <w:rsid w:val="00233D66"/>
    <w:rsid w:val="002341A3"/>
    <w:rsid w:val="002349F8"/>
    <w:rsid w:val="00236C2D"/>
    <w:rsid w:val="00241863"/>
    <w:rsid w:val="002439D6"/>
    <w:rsid w:val="002456E0"/>
    <w:rsid w:val="002467C8"/>
    <w:rsid w:val="00247A40"/>
    <w:rsid w:val="002504A4"/>
    <w:rsid w:val="002520B6"/>
    <w:rsid w:val="0025430E"/>
    <w:rsid w:val="002558B3"/>
    <w:rsid w:val="00256D1C"/>
    <w:rsid w:val="00257159"/>
    <w:rsid w:val="00257896"/>
    <w:rsid w:val="00260BA0"/>
    <w:rsid w:val="00260E0F"/>
    <w:rsid w:val="002632AB"/>
    <w:rsid w:val="00265865"/>
    <w:rsid w:val="00265BE6"/>
    <w:rsid w:val="00271F83"/>
    <w:rsid w:val="0027337F"/>
    <w:rsid w:val="00274EF3"/>
    <w:rsid w:val="00280F22"/>
    <w:rsid w:val="00281468"/>
    <w:rsid w:val="002831CE"/>
    <w:rsid w:val="00284FB0"/>
    <w:rsid w:val="002856AB"/>
    <w:rsid w:val="00285944"/>
    <w:rsid w:val="002878A7"/>
    <w:rsid w:val="00290A48"/>
    <w:rsid w:val="00291EBA"/>
    <w:rsid w:val="00292053"/>
    <w:rsid w:val="00292DC0"/>
    <w:rsid w:val="002963C5"/>
    <w:rsid w:val="002A0965"/>
    <w:rsid w:val="002A34C7"/>
    <w:rsid w:val="002A4CF0"/>
    <w:rsid w:val="002A5121"/>
    <w:rsid w:val="002B1180"/>
    <w:rsid w:val="002B2C7F"/>
    <w:rsid w:val="002B529D"/>
    <w:rsid w:val="002B5C45"/>
    <w:rsid w:val="002B635F"/>
    <w:rsid w:val="002B68BA"/>
    <w:rsid w:val="002C0533"/>
    <w:rsid w:val="002C7593"/>
    <w:rsid w:val="002C76EE"/>
    <w:rsid w:val="002D2121"/>
    <w:rsid w:val="002D749D"/>
    <w:rsid w:val="002D7CE1"/>
    <w:rsid w:val="002E1A1B"/>
    <w:rsid w:val="002E3500"/>
    <w:rsid w:val="002E4B3D"/>
    <w:rsid w:val="002F3AB0"/>
    <w:rsid w:val="002F65FE"/>
    <w:rsid w:val="002F797D"/>
    <w:rsid w:val="00300756"/>
    <w:rsid w:val="00302B39"/>
    <w:rsid w:val="00304276"/>
    <w:rsid w:val="00304ACD"/>
    <w:rsid w:val="00305BAC"/>
    <w:rsid w:val="00310D00"/>
    <w:rsid w:val="00314E0C"/>
    <w:rsid w:val="00315704"/>
    <w:rsid w:val="00315CC1"/>
    <w:rsid w:val="0031737A"/>
    <w:rsid w:val="00322059"/>
    <w:rsid w:val="00322491"/>
    <w:rsid w:val="003225C8"/>
    <w:rsid w:val="0032305C"/>
    <w:rsid w:val="00323579"/>
    <w:rsid w:val="00325D86"/>
    <w:rsid w:val="00325F9F"/>
    <w:rsid w:val="00333427"/>
    <w:rsid w:val="00334EEF"/>
    <w:rsid w:val="0033563E"/>
    <w:rsid w:val="0034280C"/>
    <w:rsid w:val="00343ECA"/>
    <w:rsid w:val="00344264"/>
    <w:rsid w:val="00344FB1"/>
    <w:rsid w:val="00346F59"/>
    <w:rsid w:val="0035047C"/>
    <w:rsid w:val="003516D2"/>
    <w:rsid w:val="00353B16"/>
    <w:rsid w:val="00356768"/>
    <w:rsid w:val="003623E5"/>
    <w:rsid w:val="00371293"/>
    <w:rsid w:val="00375A98"/>
    <w:rsid w:val="00375AFD"/>
    <w:rsid w:val="003826D3"/>
    <w:rsid w:val="00382A78"/>
    <w:rsid w:val="00383461"/>
    <w:rsid w:val="00387552"/>
    <w:rsid w:val="003924A0"/>
    <w:rsid w:val="00392ED9"/>
    <w:rsid w:val="0039647E"/>
    <w:rsid w:val="003974AD"/>
    <w:rsid w:val="003A29B8"/>
    <w:rsid w:val="003A3165"/>
    <w:rsid w:val="003A545B"/>
    <w:rsid w:val="003A6621"/>
    <w:rsid w:val="003B24E2"/>
    <w:rsid w:val="003B28E7"/>
    <w:rsid w:val="003B40A2"/>
    <w:rsid w:val="003B4203"/>
    <w:rsid w:val="003B7622"/>
    <w:rsid w:val="003C43A7"/>
    <w:rsid w:val="003C59DB"/>
    <w:rsid w:val="003C61DD"/>
    <w:rsid w:val="003C6743"/>
    <w:rsid w:val="003D4290"/>
    <w:rsid w:val="003D5438"/>
    <w:rsid w:val="003D573B"/>
    <w:rsid w:val="003D64FA"/>
    <w:rsid w:val="003D6611"/>
    <w:rsid w:val="003D68B9"/>
    <w:rsid w:val="003E0255"/>
    <w:rsid w:val="003E10F0"/>
    <w:rsid w:val="003E4BF6"/>
    <w:rsid w:val="003E5065"/>
    <w:rsid w:val="003E5992"/>
    <w:rsid w:val="003F08B9"/>
    <w:rsid w:val="003F0B55"/>
    <w:rsid w:val="003F3243"/>
    <w:rsid w:val="003F3EA7"/>
    <w:rsid w:val="00401532"/>
    <w:rsid w:val="0040175B"/>
    <w:rsid w:val="00402CE2"/>
    <w:rsid w:val="0040480D"/>
    <w:rsid w:val="00404851"/>
    <w:rsid w:val="0040572E"/>
    <w:rsid w:val="00406576"/>
    <w:rsid w:val="0040727B"/>
    <w:rsid w:val="00407413"/>
    <w:rsid w:val="004101C3"/>
    <w:rsid w:val="0041180C"/>
    <w:rsid w:val="004122EA"/>
    <w:rsid w:val="00412851"/>
    <w:rsid w:val="00413647"/>
    <w:rsid w:val="00413F81"/>
    <w:rsid w:val="00414DEB"/>
    <w:rsid w:val="004166AD"/>
    <w:rsid w:val="0041718C"/>
    <w:rsid w:val="0041769D"/>
    <w:rsid w:val="00420828"/>
    <w:rsid w:val="004226A5"/>
    <w:rsid w:val="00422FAE"/>
    <w:rsid w:val="004238B5"/>
    <w:rsid w:val="00425FC1"/>
    <w:rsid w:val="00431E8C"/>
    <w:rsid w:val="00432C2B"/>
    <w:rsid w:val="00432D09"/>
    <w:rsid w:val="00432F90"/>
    <w:rsid w:val="00433743"/>
    <w:rsid w:val="004337D7"/>
    <w:rsid w:val="00436887"/>
    <w:rsid w:val="00436BDE"/>
    <w:rsid w:val="004461E0"/>
    <w:rsid w:val="004520E7"/>
    <w:rsid w:val="004527E5"/>
    <w:rsid w:val="00453AAA"/>
    <w:rsid w:val="00453D6A"/>
    <w:rsid w:val="0045749D"/>
    <w:rsid w:val="00457C70"/>
    <w:rsid w:val="00460B39"/>
    <w:rsid w:val="00461E34"/>
    <w:rsid w:val="00461F7D"/>
    <w:rsid w:val="00463C61"/>
    <w:rsid w:val="00466714"/>
    <w:rsid w:val="004667E3"/>
    <w:rsid w:val="00471529"/>
    <w:rsid w:val="004719E8"/>
    <w:rsid w:val="00475708"/>
    <w:rsid w:val="00476861"/>
    <w:rsid w:val="00477228"/>
    <w:rsid w:val="00481774"/>
    <w:rsid w:val="00483BA1"/>
    <w:rsid w:val="004845AA"/>
    <w:rsid w:val="00487172"/>
    <w:rsid w:val="00493BFC"/>
    <w:rsid w:val="0049401F"/>
    <w:rsid w:val="00494105"/>
    <w:rsid w:val="004A05E1"/>
    <w:rsid w:val="004A2349"/>
    <w:rsid w:val="004A279C"/>
    <w:rsid w:val="004A36DE"/>
    <w:rsid w:val="004A4475"/>
    <w:rsid w:val="004A4743"/>
    <w:rsid w:val="004A7988"/>
    <w:rsid w:val="004A7C82"/>
    <w:rsid w:val="004B2B82"/>
    <w:rsid w:val="004B2ED1"/>
    <w:rsid w:val="004B54B1"/>
    <w:rsid w:val="004C0805"/>
    <w:rsid w:val="004C36DC"/>
    <w:rsid w:val="004C4EBE"/>
    <w:rsid w:val="004C6C92"/>
    <w:rsid w:val="004D2265"/>
    <w:rsid w:val="004D2673"/>
    <w:rsid w:val="004D355B"/>
    <w:rsid w:val="004D5D7E"/>
    <w:rsid w:val="004D6BB8"/>
    <w:rsid w:val="004D7874"/>
    <w:rsid w:val="004D7D31"/>
    <w:rsid w:val="004D7EF2"/>
    <w:rsid w:val="004E22D6"/>
    <w:rsid w:val="004E2B99"/>
    <w:rsid w:val="004E444A"/>
    <w:rsid w:val="004E469D"/>
    <w:rsid w:val="004E4E9D"/>
    <w:rsid w:val="004E5081"/>
    <w:rsid w:val="004E75C7"/>
    <w:rsid w:val="004F10C6"/>
    <w:rsid w:val="004F3287"/>
    <w:rsid w:val="004F5FCA"/>
    <w:rsid w:val="005011FF"/>
    <w:rsid w:val="005016B6"/>
    <w:rsid w:val="005018BB"/>
    <w:rsid w:val="00507868"/>
    <w:rsid w:val="00507A8F"/>
    <w:rsid w:val="00511BE0"/>
    <w:rsid w:val="005144B8"/>
    <w:rsid w:val="0051479D"/>
    <w:rsid w:val="00515B18"/>
    <w:rsid w:val="0051612A"/>
    <w:rsid w:val="00517E1C"/>
    <w:rsid w:val="00520FF2"/>
    <w:rsid w:val="00521DD2"/>
    <w:rsid w:val="0052219D"/>
    <w:rsid w:val="005221B5"/>
    <w:rsid w:val="00524E89"/>
    <w:rsid w:val="00525212"/>
    <w:rsid w:val="0052534E"/>
    <w:rsid w:val="00526F26"/>
    <w:rsid w:val="00527B5C"/>
    <w:rsid w:val="00535C2A"/>
    <w:rsid w:val="00535EF8"/>
    <w:rsid w:val="005423DB"/>
    <w:rsid w:val="0054282E"/>
    <w:rsid w:val="005441A8"/>
    <w:rsid w:val="005460EA"/>
    <w:rsid w:val="00547091"/>
    <w:rsid w:val="005510AF"/>
    <w:rsid w:val="005520C9"/>
    <w:rsid w:val="00552B76"/>
    <w:rsid w:val="0055488E"/>
    <w:rsid w:val="0055507F"/>
    <w:rsid w:val="00555C2A"/>
    <w:rsid w:val="0056072F"/>
    <w:rsid w:val="005608BE"/>
    <w:rsid w:val="00562686"/>
    <w:rsid w:val="005711DB"/>
    <w:rsid w:val="00571430"/>
    <w:rsid w:val="005737EE"/>
    <w:rsid w:val="00576C20"/>
    <w:rsid w:val="00576CE3"/>
    <w:rsid w:val="00577CB4"/>
    <w:rsid w:val="00582667"/>
    <w:rsid w:val="0058502F"/>
    <w:rsid w:val="005851F6"/>
    <w:rsid w:val="00585711"/>
    <w:rsid w:val="00586D74"/>
    <w:rsid w:val="00591B51"/>
    <w:rsid w:val="00593BB6"/>
    <w:rsid w:val="00593F76"/>
    <w:rsid w:val="005952EA"/>
    <w:rsid w:val="0059598C"/>
    <w:rsid w:val="00596307"/>
    <w:rsid w:val="005A0DF6"/>
    <w:rsid w:val="005A1696"/>
    <w:rsid w:val="005A300D"/>
    <w:rsid w:val="005A58C3"/>
    <w:rsid w:val="005A6BF5"/>
    <w:rsid w:val="005B00C5"/>
    <w:rsid w:val="005B0828"/>
    <w:rsid w:val="005B2D6A"/>
    <w:rsid w:val="005C086A"/>
    <w:rsid w:val="005C0A19"/>
    <w:rsid w:val="005C27E6"/>
    <w:rsid w:val="005C4E46"/>
    <w:rsid w:val="005C4E8D"/>
    <w:rsid w:val="005C75AC"/>
    <w:rsid w:val="005C7F86"/>
    <w:rsid w:val="005D0CD5"/>
    <w:rsid w:val="005D1E39"/>
    <w:rsid w:val="005D24A5"/>
    <w:rsid w:val="005D275F"/>
    <w:rsid w:val="005D52D6"/>
    <w:rsid w:val="005D6967"/>
    <w:rsid w:val="005E28EC"/>
    <w:rsid w:val="005E31D8"/>
    <w:rsid w:val="005E693A"/>
    <w:rsid w:val="00600947"/>
    <w:rsid w:val="00602670"/>
    <w:rsid w:val="00606CA2"/>
    <w:rsid w:val="00606DBD"/>
    <w:rsid w:val="00610974"/>
    <w:rsid w:val="00611443"/>
    <w:rsid w:val="00611D93"/>
    <w:rsid w:val="00613BCC"/>
    <w:rsid w:val="00614449"/>
    <w:rsid w:val="0061489A"/>
    <w:rsid w:val="00615DCB"/>
    <w:rsid w:val="00617E09"/>
    <w:rsid w:val="006236BD"/>
    <w:rsid w:val="00623893"/>
    <w:rsid w:val="0062637C"/>
    <w:rsid w:val="00627F4E"/>
    <w:rsid w:val="00631F7F"/>
    <w:rsid w:val="00632E6A"/>
    <w:rsid w:val="00632F67"/>
    <w:rsid w:val="00637C57"/>
    <w:rsid w:val="00640039"/>
    <w:rsid w:val="0064124A"/>
    <w:rsid w:val="00643092"/>
    <w:rsid w:val="00645224"/>
    <w:rsid w:val="00645F52"/>
    <w:rsid w:val="0065005D"/>
    <w:rsid w:val="006529D8"/>
    <w:rsid w:val="00657BE7"/>
    <w:rsid w:val="006641A4"/>
    <w:rsid w:val="00666F38"/>
    <w:rsid w:val="00670A6A"/>
    <w:rsid w:val="00672C35"/>
    <w:rsid w:val="00674F7C"/>
    <w:rsid w:val="006770FC"/>
    <w:rsid w:val="00680A5A"/>
    <w:rsid w:val="00681BED"/>
    <w:rsid w:val="00684049"/>
    <w:rsid w:val="006850AF"/>
    <w:rsid w:val="006852D4"/>
    <w:rsid w:val="00686AE8"/>
    <w:rsid w:val="00690872"/>
    <w:rsid w:val="006923B4"/>
    <w:rsid w:val="00692B43"/>
    <w:rsid w:val="0069328B"/>
    <w:rsid w:val="00693ACF"/>
    <w:rsid w:val="00695F69"/>
    <w:rsid w:val="00697435"/>
    <w:rsid w:val="006A0D38"/>
    <w:rsid w:val="006A2A51"/>
    <w:rsid w:val="006A3462"/>
    <w:rsid w:val="006A4D8F"/>
    <w:rsid w:val="006A5651"/>
    <w:rsid w:val="006A58AC"/>
    <w:rsid w:val="006A6DBF"/>
    <w:rsid w:val="006B2812"/>
    <w:rsid w:val="006B759F"/>
    <w:rsid w:val="006C348B"/>
    <w:rsid w:val="006C4205"/>
    <w:rsid w:val="006D0426"/>
    <w:rsid w:val="006D455C"/>
    <w:rsid w:val="006D5984"/>
    <w:rsid w:val="006D5DB0"/>
    <w:rsid w:val="006D6A06"/>
    <w:rsid w:val="006D71AA"/>
    <w:rsid w:val="006E2774"/>
    <w:rsid w:val="006E37E1"/>
    <w:rsid w:val="006E56E3"/>
    <w:rsid w:val="006E5EBB"/>
    <w:rsid w:val="006F184A"/>
    <w:rsid w:val="006F4FD4"/>
    <w:rsid w:val="006F70FD"/>
    <w:rsid w:val="006F77CD"/>
    <w:rsid w:val="007036E1"/>
    <w:rsid w:val="007052F5"/>
    <w:rsid w:val="007070A9"/>
    <w:rsid w:val="00707B8F"/>
    <w:rsid w:val="007138C9"/>
    <w:rsid w:val="00720667"/>
    <w:rsid w:val="00720B6C"/>
    <w:rsid w:val="00722431"/>
    <w:rsid w:val="00722A6E"/>
    <w:rsid w:val="00724D4A"/>
    <w:rsid w:val="007255D6"/>
    <w:rsid w:val="00725876"/>
    <w:rsid w:val="00732B65"/>
    <w:rsid w:val="00733634"/>
    <w:rsid w:val="00733C87"/>
    <w:rsid w:val="00735EE8"/>
    <w:rsid w:val="00736D56"/>
    <w:rsid w:val="00741EFF"/>
    <w:rsid w:val="007479DD"/>
    <w:rsid w:val="00750832"/>
    <w:rsid w:val="00751747"/>
    <w:rsid w:val="00755B7D"/>
    <w:rsid w:val="00756448"/>
    <w:rsid w:val="00756EA6"/>
    <w:rsid w:val="0075743F"/>
    <w:rsid w:val="00760F88"/>
    <w:rsid w:val="0076332B"/>
    <w:rsid w:val="00772089"/>
    <w:rsid w:val="00772766"/>
    <w:rsid w:val="0077286E"/>
    <w:rsid w:val="00772F27"/>
    <w:rsid w:val="007741D5"/>
    <w:rsid w:val="00774648"/>
    <w:rsid w:val="00780954"/>
    <w:rsid w:val="007817F4"/>
    <w:rsid w:val="00793A9B"/>
    <w:rsid w:val="00797D13"/>
    <w:rsid w:val="007A0413"/>
    <w:rsid w:val="007A0EB0"/>
    <w:rsid w:val="007A18DA"/>
    <w:rsid w:val="007A1F55"/>
    <w:rsid w:val="007A3175"/>
    <w:rsid w:val="007A34DB"/>
    <w:rsid w:val="007A633F"/>
    <w:rsid w:val="007A7440"/>
    <w:rsid w:val="007B3692"/>
    <w:rsid w:val="007B3CA4"/>
    <w:rsid w:val="007B3FE9"/>
    <w:rsid w:val="007B45F0"/>
    <w:rsid w:val="007B5C09"/>
    <w:rsid w:val="007B623F"/>
    <w:rsid w:val="007C3E99"/>
    <w:rsid w:val="007C5B01"/>
    <w:rsid w:val="007D29E1"/>
    <w:rsid w:val="007D77A7"/>
    <w:rsid w:val="007D78F7"/>
    <w:rsid w:val="007E092A"/>
    <w:rsid w:val="007E35C8"/>
    <w:rsid w:val="007E71CA"/>
    <w:rsid w:val="007F0440"/>
    <w:rsid w:val="007F10D4"/>
    <w:rsid w:val="007F3DEA"/>
    <w:rsid w:val="007F45CF"/>
    <w:rsid w:val="007F69DE"/>
    <w:rsid w:val="007F6CE2"/>
    <w:rsid w:val="007F6F11"/>
    <w:rsid w:val="0080190D"/>
    <w:rsid w:val="00807DCF"/>
    <w:rsid w:val="00811073"/>
    <w:rsid w:val="008213A9"/>
    <w:rsid w:val="00821536"/>
    <w:rsid w:val="00822E92"/>
    <w:rsid w:val="00823D61"/>
    <w:rsid w:val="00824F3B"/>
    <w:rsid w:val="008307E9"/>
    <w:rsid w:val="00834EE5"/>
    <w:rsid w:val="0084056F"/>
    <w:rsid w:val="00840A7A"/>
    <w:rsid w:val="008424BA"/>
    <w:rsid w:val="0084558B"/>
    <w:rsid w:val="00851466"/>
    <w:rsid w:val="00851969"/>
    <w:rsid w:val="00854482"/>
    <w:rsid w:val="008545B9"/>
    <w:rsid w:val="008548F2"/>
    <w:rsid w:val="00854A40"/>
    <w:rsid w:val="00855D0B"/>
    <w:rsid w:val="00857612"/>
    <w:rsid w:val="0086014D"/>
    <w:rsid w:val="008604B0"/>
    <w:rsid w:val="0086616F"/>
    <w:rsid w:val="008711AB"/>
    <w:rsid w:val="0087408D"/>
    <w:rsid w:val="008742B8"/>
    <w:rsid w:val="008756F3"/>
    <w:rsid w:val="00880CAC"/>
    <w:rsid w:val="008810F3"/>
    <w:rsid w:val="008815E6"/>
    <w:rsid w:val="00882FF4"/>
    <w:rsid w:val="008839E5"/>
    <w:rsid w:val="0088444D"/>
    <w:rsid w:val="008869E1"/>
    <w:rsid w:val="00892CF6"/>
    <w:rsid w:val="00894922"/>
    <w:rsid w:val="00896F2B"/>
    <w:rsid w:val="008A38D5"/>
    <w:rsid w:val="008A53E6"/>
    <w:rsid w:val="008A590D"/>
    <w:rsid w:val="008A5B61"/>
    <w:rsid w:val="008A76E1"/>
    <w:rsid w:val="008A7C36"/>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D98"/>
    <w:rsid w:val="008C6F52"/>
    <w:rsid w:val="008C764B"/>
    <w:rsid w:val="008D0155"/>
    <w:rsid w:val="008D4AAA"/>
    <w:rsid w:val="008E2564"/>
    <w:rsid w:val="008E2936"/>
    <w:rsid w:val="008E46AA"/>
    <w:rsid w:val="008E6C69"/>
    <w:rsid w:val="008F0AA1"/>
    <w:rsid w:val="008F0ACC"/>
    <w:rsid w:val="008F1070"/>
    <w:rsid w:val="008F1177"/>
    <w:rsid w:val="008F3E5B"/>
    <w:rsid w:val="00900CC0"/>
    <w:rsid w:val="009012AA"/>
    <w:rsid w:val="0090225E"/>
    <w:rsid w:val="0090251C"/>
    <w:rsid w:val="00904B1E"/>
    <w:rsid w:val="00906403"/>
    <w:rsid w:val="009074D7"/>
    <w:rsid w:val="00907A7E"/>
    <w:rsid w:val="009105B7"/>
    <w:rsid w:val="00910E1B"/>
    <w:rsid w:val="009114B7"/>
    <w:rsid w:val="009119EC"/>
    <w:rsid w:val="009132D5"/>
    <w:rsid w:val="00915029"/>
    <w:rsid w:val="00915A24"/>
    <w:rsid w:val="0091618A"/>
    <w:rsid w:val="00916F5E"/>
    <w:rsid w:val="0092681D"/>
    <w:rsid w:val="00927190"/>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6041F"/>
    <w:rsid w:val="009623EC"/>
    <w:rsid w:val="00962E1E"/>
    <w:rsid w:val="009648AC"/>
    <w:rsid w:val="00965BAF"/>
    <w:rsid w:val="00966544"/>
    <w:rsid w:val="009676B8"/>
    <w:rsid w:val="009732E6"/>
    <w:rsid w:val="00977D10"/>
    <w:rsid w:val="009914F8"/>
    <w:rsid w:val="0099355C"/>
    <w:rsid w:val="0099533D"/>
    <w:rsid w:val="009A1AFF"/>
    <w:rsid w:val="009A278C"/>
    <w:rsid w:val="009A3876"/>
    <w:rsid w:val="009A7C37"/>
    <w:rsid w:val="009B1A7C"/>
    <w:rsid w:val="009B6E07"/>
    <w:rsid w:val="009C1E94"/>
    <w:rsid w:val="009C3584"/>
    <w:rsid w:val="009C4BDB"/>
    <w:rsid w:val="009C7EB6"/>
    <w:rsid w:val="009D0BD5"/>
    <w:rsid w:val="009D2A8E"/>
    <w:rsid w:val="009D4C40"/>
    <w:rsid w:val="009D5061"/>
    <w:rsid w:val="009D7AA2"/>
    <w:rsid w:val="009E2CB6"/>
    <w:rsid w:val="009E3003"/>
    <w:rsid w:val="009E3A3C"/>
    <w:rsid w:val="009E3E7D"/>
    <w:rsid w:val="009F015E"/>
    <w:rsid w:val="009F168E"/>
    <w:rsid w:val="009F57D6"/>
    <w:rsid w:val="009F77A0"/>
    <w:rsid w:val="00A02155"/>
    <w:rsid w:val="00A034AC"/>
    <w:rsid w:val="00A0530B"/>
    <w:rsid w:val="00A05F0C"/>
    <w:rsid w:val="00A10D62"/>
    <w:rsid w:val="00A13D03"/>
    <w:rsid w:val="00A13E4B"/>
    <w:rsid w:val="00A14022"/>
    <w:rsid w:val="00A213B1"/>
    <w:rsid w:val="00A22CA7"/>
    <w:rsid w:val="00A23B01"/>
    <w:rsid w:val="00A23D93"/>
    <w:rsid w:val="00A262F5"/>
    <w:rsid w:val="00A302B6"/>
    <w:rsid w:val="00A302D2"/>
    <w:rsid w:val="00A303B5"/>
    <w:rsid w:val="00A32737"/>
    <w:rsid w:val="00A34750"/>
    <w:rsid w:val="00A40AD7"/>
    <w:rsid w:val="00A42358"/>
    <w:rsid w:val="00A5048F"/>
    <w:rsid w:val="00A51032"/>
    <w:rsid w:val="00A52A52"/>
    <w:rsid w:val="00A5422A"/>
    <w:rsid w:val="00A60286"/>
    <w:rsid w:val="00A61A94"/>
    <w:rsid w:val="00A670AA"/>
    <w:rsid w:val="00A70ECA"/>
    <w:rsid w:val="00A74668"/>
    <w:rsid w:val="00A74A64"/>
    <w:rsid w:val="00A7779D"/>
    <w:rsid w:val="00A80895"/>
    <w:rsid w:val="00A80F7D"/>
    <w:rsid w:val="00A815D7"/>
    <w:rsid w:val="00A816F2"/>
    <w:rsid w:val="00A81DFD"/>
    <w:rsid w:val="00A82241"/>
    <w:rsid w:val="00A8288E"/>
    <w:rsid w:val="00A83F34"/>
    <w:rsid w:val="00A86707"/>
    <w:rsid w:val="00A9022D"/>
    <w:rsid w:val="00A9431F"/>
    <w:rsid w:val="00A951C0"/>
    <w:rsid w:val="00A960E7"/>
    <w:rsid w:val="00A96C8B"/>
    <w:rsid w:val="00AA6187"/>
    <w:rsid w:val="00AB33AF"/>
    <w:rsid w:val="00AB5850"/>
    <w:rsid w:val="00AC05B6"/>
    <w:rsid w:val="00AC0F5E"/>
    <w:rsid w:val="00AC2403"/>
    <w:rsid w:val="00AC2DD0"/>
    <w:rsid w:val="00AC2FF7"/>
    <w:rsid w:val="00AC3C37"/>
    <w:rsid w:val="00AC4F9D"/>
    <w:rsid w:val="00AC53AE"/>
    <w:rsid w:val="00AC5489"/>
    <w:rsid w:val="00AC551E"/>
    <w:rsid w:val="00AC5F9B"/>
    <w:rsid w:val="00AC66FC"/>
    <w:rsid w:val="00AC7B2D"/>
    <w:rsid w:val="00AD0EDB"/>
    <w:rsid w:val="00AD1272"/>
    <w:rsid w:val="00AD1FC0"/>
    <w:rsid w:val="00AD2534"/>
    <w:rsid w:val="00AD25AC"/>
    <w:rsid w:val="00AD3F3B"/>
    <w:rsid w:val="00AD5E6A"/>
    <w:rsid w:val="00AD721F"/>
    <w:rsid w:val="00AD7A38"/>
    <w:rsid w:val="00AE1852"/>
    <w:rsid w:val="00AE62C0"/>
    <w:rsid w:val="00AE681D"/>
    <w:rsid w:val="00AE75D1"/>
    <w:rsid w:val="00AE7655"/>
    <w:rsid w:val="00AE7715"/>
    <w:rsid w:val="00AF4244"/>
    <w:rsid w:val="00AF73B7"/>
    <w:rsid w:val="00B05A08"/>
    <w:rsid w:val="00B0769A"/>
    <w:rsid w:val="00B11D77"/>
    <w:rsid w:val="00B12BBF"/>
    <w:rsid w:val="00B13E9D"/>
    <w:rsid w:val="00B14DB3"/>
    <w:rsid w:val="00B16F39"/>
    <w:rsid w:val="00B2034B"/>
    <w:rsid w:val="00B20B7A"/>
    <w:rsid w:val="00B232C2"/>
    <w:rsid w:val="00B23305"/>
    <w:rsid w:val="00B247E8"/>
    <w:rsid w:val="00B24915"/>
    <w:rsid w:val="00B26BAD"/>
    <w:rsid w:val="00B2799D"/>
    <w:rsid w:val="00B304E1"/>
    <w:rsid w:val="00B319DA"/>
    <w:rsid w:val="00B3508A"/>
    <w:rsid w:val="00B4740C"/>
    <w:rsid w:val="00B5086F"/>
    <w:rsid w:val="00B5230F"/>
    <w:rsid w:val="00B53C0F"/>
    <w:rsid w:val="00B55207"/>
    <w:rsid w:val="00B572A4"/>
    <w:rsid w:val="00B60218"/>
    <w:rsid w:val="00B60C9E"/>
    <w:rsid w:val="00B625EE"/>
    <w:rsid w:val="00B6451A"/>
    <w:rsid w:val="00B64F93"/>
    <w:rsid w:val="00B71EF5"/>
    <w:rsid w:val="00B72179"/>
    <w:rsid w:val="00B72687"/>
    <w:rsid w:val="00B8010F"/>
    <w:rsid w:val="00B80433"/>
    <w:rsid w:val="00B80866"/>
    <w:rsid w:val="00B81091"/>
    <w:rsid w:val="00B81E98"/>
    <w:rsid w:val="00B835AF"/>
    <w:rsid w:val="00B84DB2"/>
    <w:rsid w:val="00B91139"/>
    <w:rsid w:val="00B91C2D"/>
    <w:rsid w:val="00B925C4"/>
    <w:rsid w:val="00BA0447"/>
    <w:rsid w:val="00BA0932"/>
    <w:rsid w:val="00BA0C39"/>
    <w:rsid w:val="00BA1906"/>
    <w:rsid w:val="00BA3A48"/>
    <w:rsid w:val="00BA46C1"/>
    <w:rsid w:val="00BA5EB8"/>
    <w:rsid w:val="00BA6469"/>
    <w:rsid w:val="00BA6988"/>
    <w:rsid w:val="00BA7B86"/>
    <w:rsid w:val="00BB0D67"/>
    <w:rsid w:val="00BB4DEE"/>
    <w:rsid w:val="00BB51F1"/>
    <w:rsid w:val="00BB5239"/>
    <w:rsid w:val="00BC0EF6"/>
    <w:rsid w:val="00BC187D"/>
    <w:rsid w:val="00BC1C42"/>
    <w:rsid w:val="00BC3776"/>
    <w:rsid w:val="00BC4346"/>
    <w:rsid w:val="00BC4979"/>
    <w:rsid w:val="00BC4A2B"/>
    <w:rsid w:val="00BD066A"/>
    <w:rsid w:val="00BD108B"/>
    <w:rsid w:val="00BD24AD"/>
    <w:rsid w:val="00BD2A51"/>
    <w:rsid w:val="00BD3E06"/>
    <w:rsid w:val="00BD3F1B"/>
    <w:rsid w:val="00BD57B9"/>
    <w:rsid w:val="00BE11C2"/>
    <w:rsid w:val="00BE328F"/>
    <w:rsid w:val="00BE51F6"/>
    <w:rsid w:val="00BE541E"/>
    <w:rsid w:val="00BE76C0"/>
    <w:rsid w:val="00BF2777"/>
    <w:rsid w:val="00BF39B0"/>
    <w:rsid w:val="00BF3FB4"/>
    <w:rsid w:val="00BF6C9F"/>
    <w:rsid w:val="00C03942"/>
    <w:rsid w:val="00C0524F"/>
    <w:rsid w:val="00C05260"/>
    <w:rsid w:val="00C05486"/>
    <w:rsid w:val="00C054C8"/>
    <w:rsid w:val="00C11270"/>
    <w:rsid w:val="00C1196D"/>
    <w:rsid w:val="00C13282"/>
    <w:rsid w:val="00C1417E"/>
    <w:rsid w:val="00C147B6"/>
    <w:rsid w:val="00C16F96"/>
    <w:rsid w:val="00C17E75"/>
    <w:rsid w:val="00C2022E"/>
    <w:rsid w:val="00C21FE8"/>
    <w:rsid w:val="00C23198"/>
    <w:rsid w:val="00C24CF4"/>
    <w:rsid w:val="00C2679F"/>
    <w:rsid w:val="00C268C7"/>
    <w:rsid w:val="00C32405"/>
    <w:rsid w:val="00C336F9"/>
    <w:rsid w:val="00C3370B"/>
    <w:rsid w:val="00C3376F"/>
    <w:rsid w:val="00C376F3"/>
    <w:rsid w:val="00C378CD"/>
    <w:rsid w:val="00C409CA"/>
    <w:rsid w:val="00C40B19"/>
    <w:rsid w:val="00C40D3A"/>
    <w:rsid w:val="00C4624B"/>
    <w:rsid w:val="00C46B33"/>
    <w:rsid w:val="00C4764A"/>
    <w:rsid w:val="00C51403"/>
    <w:rsid w:val="00C516FD"/>
    <w:rsid w:val="00C5206C"/>
    <w:rsid w:val="00C538E7"/>
    <w:rsid w:val="00C55AE0"/>
    <w:rsid w:val="00C5694D"/>
    <w:rsid w:val="00C56F00"/>
    <w:rsid w:val="00C5757F"/>
    <w:rsid w:val="00C5789A"/>
    <w:rsid w:val="00C61BB1"/>
    <w:rsid w:val="00C61BC9"/>
    <w:rsid w:val="00C63086"/>
    <w:rsid w:val="00C6385F"/>
    <w:rsid w:val="00C649FD"/>
    <w:rsid w:val="00C67679"/>
    <w:rsid w:val="00C71358"/>
    <w:rsid w:val="00C71566"/>
    <w:rsid w:val="00C7483A"/>
    <w:rsid w:val="00C75170"/>
    <w:rsid w:val="00C76CA7"/>
    <w:rsid w:val="00C7741A"/>
    <w:rsid w:val="00C776BB"/>
    <w:rsid w:val="00C81C25"/>
    <w:rsid w:val="00C82F66"/>
    <w:rsid w:val="00C8473B"/>
    <w:rsid w:val="00C85B7F"/>
    <w:rsid w:val="00C867DE"/>
    <w:rsid w:val="00C901BD"/>
    <w:rsid w:val="00C9043B"/>
    <w:rsid w:val="00C92D30"/>
    <w:rsid w:val="00C9365D"/>
    <w:rsid w:val="00C93929"/>
    <w:rsid w:val="00C96441"/>
    <w:rsid w:val="00CA10B8"/>
    <w:rsid w:val="00CA3BEA"/>
    <w:rsid w:val="00CA7813"/>
    <w:rsid w:val="00CB01A3"/>
    <w:rsid w:val="00CB1A99"/>
    <w:rsid w:val="00CB4921"/>
    <w:rsid w:val="00CB6EA1"/>
    <w:rsid w:val="00CC1132"/>
    <w:rsid w:val="00CC1ECC"/>
    <w:rsid w:val="00CC2E71"/>
    <w:rsid w:val="00CC3F9D"/>
    <w:rsid w:val="00CC4C9E"/>
    <w:rsid w:val="00CC6A69"/>
    <w:rsid w:val="00CD0A78"/>
    <w:rsid w:val="00CD1D16"/>
    <w:rsid w:val="00CD243E"/>
    <w:rsid w:val="00CD76B5"/>
    <w:rsid w:val="00CE0F74"/>
    <w:rsid w:val="00CE1509"/>
    <w:rsid w:val="00CE63B3"/>
    <w:rsid w:val="00CE66ED"/>
    <w:rsid w:val="00CE6F5E"/>
    <w:rsid w:val="00CF0A3F"/>
    <w:rsid w:val="00CF1B8F"/>
    <w:rsid w:val="00CF310A"/>
    <w:rsid w:val="00CF4A88"/>
    <w:rsid w:val="00CF5A2B"/>
    <w:rsid w:val="00CF79C9"/>
    <w:rsid w:val="00D01CDA"/>
    <w:rsid w:val="00D02517"/>
    <w:rsid w:val="00D037AF"/>
    <w:rsid w:val="00D05CA1"/>
    <w:rsid w:val="00D125D8"/>
    <w:rsid w:val="00D169E4"/>
    <w:rsid w:val="00D176E8"/>
    <w:rsid w:val="00D23B25"/>
    <w:rsid w:val="00D25CA1"/>
    <w:rsid w:val="00D262BE"/>
    <w:rsid w:val="00D3366A"/>
    <w:rsid w:val="00D35C26"/>
    <w:rsid w:val="00D35C70"/>
    <w:rsid w:val="00D3748D"/>
    <w:rsid w:val="00D37F8F"/>
    <w:rsid w:val="00D45159"/>
    <w:rsid w:val="00D45597"/>
    <w:rsid w:val="00D50D67"/>
    <w:rsid w:val="00D52794"/>
    <w:rsid w:val="00D5419A"/>
    <w:rsid w:val="00D5447D"/>
    <w:rsid w:val="00D56A45"/>
    <w:rsid w:val="00D60567"/>
    <w:rsid w:val="00D617EA"/>
    <w:rsid w:val="00D65EC3"/>
    <w:rsid w:val="00D66608"/>
    <w:rsid w:val="00D66B84"/>
    <w:rsid w:val="00D66DD3"/>
    <w:rsid w:val="00D70653"/>
    <w:rsid w:val="00D740D7"/>
    <w:rsid w:val="00D80F9F"/>
    <w:rsid w:val="00D83012"/>
    <w:rsid w:val="00D83E03"/>
    <w:rsid w:val="00D9242C"/>
    <w:rsid w:val="00D927EA"/>
    <w:rsid w:val="00D930A0"/>
    <w:rsid w:val="00D94001"/>
    <w:rsid w:val="00D978FA"/>
    <w:rsid w:val="00DA07D6"/>
    <w:rsid w:val="00DA30FD"/>
    <w:rsid w:val="00DA39FD"/>
    <w:rsid w:val="00DA466E"/>
    <w:rsid w:val="00DA7E96"/>
    <w:rsid w:val="00DB385C"/>
    <w:rsid w:val="00DB3DF8"/>
    <w:rsid w:val="00DC5726"/>
    <w:rsid w:val="00DC7CB0"/>
    <w:rsid w:val="00DC7CD7"/>
    <w:rsid w:val="00DD221B"/>
    <w:rsid w:val="00DD27FA"/>
    <w:rsid w:val="00DD2B15"/>
    <w:rsid w:val="00DD645D"/>
    <w:rsid w:val="00DD64B3"/>
    <w:rsid w:val="00DD7A0B"/>
    <w:rsid w:val="00DE1189"/>
    <w:rsid w:val="00DE3F76"/>
    <w:rsid w:val="00DE6F61"/>
    <w:rsid w:val="00DF0B3A"/>
    <w:rsid w:val="00DF104C"/>
    <w:rsid w:val="00DF3D9A"/>
    <w:rsid w:val="00DF4A4A"/>
    <w:rsid w:val="00DF6C70"/>
    <w:rsid w:val="00DF73A5"/>
    <w:rsid w:val="00E022D0"/>
    <w:rsid w:val="00E042C7"/>
    <w:rsid w:val="00E049FD"/>
    <w:rsid w:val="00E05863"/>
    <w:rsid w:val="00E11C79"/>
    <w:rsid w:val="00E1555B"/>
    <w:rsid w:val="00E156D5"/>
    <w:rsid w:val="00E3130D"/>
    <w:rsid w:val="00E31B86"/>
    <w:rsid w:val="00E3253C"/>
    <w:rsid w:val="00E34A54"/>
    <w:rsid w:val="00E42368"/>
    <w:rsid w:val="00E447AF"/>
    <w:rsid w:val="00E47C34"/>
    <w:rsid w:val="00E47EE9"/>
    <w:rsid w:val="00E51923"/>
    <w:rsid w:val="00E52954"/>
    <w:rsid w:val="00E52CFB"/>
    <w:rsid w:val="00E5502D"/>
    <w:rsid w:val="00E61887"/>
    <w:rsid w:val="00E643B9"/>
    <w:rsid w:val="00E65012"/>
    <w:rsid w:val="00E6588F"/>
    <w:rsid w:val="00E66BF8"/>
    <w:rsid w:val="00E70B47"/>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6477"/>
    <w:rsid w:val="00E87C36"/>
    <w:rsid w:val="00E90B15"/>
    <w:rsid w:val="00E90DB6"/>
    <w:rsid w:val="00E91FA5"/>
    <w:rsid w:val="00E93003"/>
    <w:rsid w:val="00E95890"/>
    <w:rsid w:val="00E967A2"/>
    <w:rsid w:val="00E9688D"/>
    <w:rsid w:val="00E97643"/>
    <w:rsid w:val="00EA16F3"/>
    <w:rsid w:val="00EA69C9"/>
    <w:rsid w:val="00EB151E"/>
    <w:rsid w:val="00EB2904"/>
    <w:rsid w:val="00EB2C6C"/>
    <w:rsid w:val="00EB55AE"/>
    <w:rsid w:val="00EB5E55"/>
    <w:rsid w:val="00EC310C"/>
    <w:rsid w:val="00EC4BD8"/>
    <w:rsid w:val="00EC538A"/>
    <w:rsid w:val="00EC5F87"/>
    <w:rsid w:val="00EC6B99"/>
    <w:rsid w:val="00EC72EC"/>
    <w:rsid w:val="00ED0C75"/>
    <w:rsid w:val="00ED312D"/>
    <w:rsid w:val="00ED3347"/>
    <w:rsid w:val="00ED4C63"/>
    <w:rsid w:val="00ED533F"/>
    <w:rsid w:val="00ED74ED"/>
    <w:rsid w:val="00EE136C"/>
    <w:rsid w:val="00EE2EC9"/>
    <w:rsid w:val="00EE343B"/>
    <w:rsid w:val="00EE3C58"/>
    <w:rsid w:val="00EE4970"/>
    <w:rsid w:val="00EE4D20"/>
    <w:rsid w:val="00EE5D84"/>
    <w:rsid w:val="00EE76AE"/>
    <w:rsid w:val="00EE7CCF"/>
    <w:rsid w:val="00EF03DB"/>
    <w:rsid w:val="00EF1051"/>
    <w:rsid w:val="00EF3C40"/>
    <w:rsid w:val="00EF536B"/>
    <w:rsid w:val="00EF6742"/>
    <w:rsid w:val="00F02805"/>
    <w:rsid w:val="00F043C7"/>
    <w:rsid w:val="00F05AA4"/>
    <w:rsid w:val="00F064F9"/>
    <w:rsid w:val="00F0676F"/>
    <w:rsid w:val="00F1059F"/>
    <w:rsid w:val="00F105A4"/>
    <w:rsid w:val="00F106B0"/>
    <w:rsid w:val="00F11D00"/>
    <w:rsid w:val="00F132D3"/>
    <w:rsid w:val="00F152B9"/>
    <w:rsid w:val="00F15BD7"/>
    <w:rsid w:val="00F207B6"/>
    <w:rsid w:val="00F23990"/>
    <w:rsid w:val="00F243B3"/>
    <w:rsid w:val="00F260C9"/>
    <w:rsid w:val="00F26734"/>
    <w:rsid w:val="00F26739"/>
    <w:rsid w:val="00F26E63"/>
    <w:rsid w:val="00F3041D"/>
    <w:rsid w:val="00F420B4"/>
    <w:rsid w:val="00F427F8"/>
    <w:rsid w:val="00F4305F"/>
    <w:rsid w:val="00F4393A"/>
    <w:rsid w:val="00F51402"/>
    <w:rsid w:val="00F51EAC"/>
    <w:rsid w:val="00F5246B"/>
    <w:rsid w:val="00F5274C"/>
    <w:rsid w:val="00F54699"/>
    <w:rsid w:val="00F551E9"/>
    <w:rsid w:val="00F55DEE"/>
    <w:rsid w:val="00F56462"/>
    <w:rsid w:val="00F57E31"/>
    <w:rsid w:val="00F67695"/>
    <w:rsid w:val="00F67D00"/>
    <w:rsid w:val="00F67D22"/>
    <w:rsid w:val="00F762BD"/>
    <w:rsid w:val="00F77CCA"/>
    <w:rsid w:val="00F85F12"/>
    <w:rsid w:val="00F860D3"/>
    <w:rsid w:val="00F863EB"/>
    <w:rsid w:val="00F86A12"/>
    <w:rsid w:val="00F9320D"/>
    <w:rsid w:val="00F95313"/>
    <w:rsid w:val="00F954D4"/>
    <w:rsid w:val="00F955EF"/>
    <w:rsid w:val="00F95E73"/>
    <w:rsid w:val="00FA02C8"/>
    <w:rsid w:val="00FA40F6"/>
    <w:rsid w:val="00FB13F0"/>
    <w:rsid w:val="00FB3597"/>
    <w:rsid w:val="00FC026E"/>
    <w:rsid w:val="00FC0A58"/>
    <w:rsid w:val="00FC32B3"/>
    <w:rsid w:val="00FC670D"/>
    <w:rsid w:val="00FC6A6F"/>
    <w:rsid w:val="00FC6AD9"/>
    <w:rsid w:val="00FC79F3"/>
    <w:rsid w:val="00FC7D19"/>
    <w:rsid w:val="00FD0C49"/>
    <w:rsid w:val="00FD2724"/>
    <w:rsid w:val="00FD388F"/>
    <w:rsid w:val="00FD4F22"/>
    <w:rsid w:val="00FD68BA"/>
    <w:rsid w:val="00FD6AD2"/>
    <w:rsid w:val="00FE12EE"/>
    <w:rsid w:val="00FE280D"/>
    <w:rsid w:val="00FF5737"/>
    <w:rsid w:val="00FF5D0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7D"/>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C16F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C16F9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FCD0-A9BA-4467-A608-BF85B723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2</cp:revision>
  <cp:lastPrinted>2021-10-01T12:02:00Z</cp:lastPrinted>
  <dcterms:created xsi:type="dcterms:W3CDTF">2021-10-04T10:48:00Z</dcterms:created>
  <dcterms:modified xsi:type="dcterms:W3CDTF">2021-10-04T10:48:00Z</dcterms:modified>
</cp:coreProperties>
</file>