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CCAAF" w14:textId="77777777" w:rsidR="00D2487B" w:rsidRDefault="00D2487B" w:rsidP="00D2487B">
      <w:r w:rsidRPr="00E542E7">
        <w:rPr>
          <w:noProof/>
        </w:rPr>
        <w:drawing>
          <wp:anchor distT="0" distB="0" distL="114300" distR="114300" simplePos="0" relativeHeight="251659264" behindDoc="0" locked="0" layoutInCell="1" allowOverlap="1" wp14:anchorId="1062A26E" wp14:editId="32FE0671">
            <wp:simplePos x="0" y="0"/>
            <wp:positionH relativeFrom="margin">
              <wp:align>center</wp:align>
            </wp:positionH>
            <wp:positionV relativeFrom="paragraph">
              <wp:posOffset>0</wp:posOffset>
            </wp:positionV>
            <wp:extent cx="800100" cy="914400"/>
            <wp:effectExtent l="0" t="0" r="0" b="0"/>
            <wp:wrapSquare wrapText="bothSides"/>
            <wp:docPr id="3"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887F75" w14:textId="77777777" w:rsidR="00D2487B" w:rsidRPr="00E542E7" w:rsidRDefault="00D2487B" w:rsidP="00D2487B"/>
    <w:p w14:paraId="518E63ED" w14:textId="77777777" w:rsidR="00D2487B" w:rsidRDefault="00D2487B" w:rsidP="00D2487B">
      <w:pPr>
        <w:spacing w:after="120" w:line="360" w:lineRule="auto"/>
        <w:rPr>
          <w:b/>
          <w:bCs/>
          <w:sz w:val="24"/>
          <w:szCs w:val="24"/>
        </w:rPr>
      </w:pPr>
    </w:p>
    <w:p w14:paraId="5E9C4C52" w14:textId="77777777" w:rsidR="00D2487B" w:rsidRDefault="00D2487B" w:rsidP="00A8737A">
      <w:pPr>
        <w:spacing w:after="100" w:afterAutospacing="1" w:line="360" w:lineRule="auto"/>
        <w:jc w:val="center"/>
        <w:rPr>
          <w:b/>
          <w:bCs/>
          <w:sz w:val="24"/>
          <w:szCs w:val="24"/>
        </w:rPr>
      </w:pPr>
    </w:p>
    <w:p w14:paraId="2D28BBBC" w14:textId="77777777" w:rsidR="00D2487B" w:rsidRPr="000D04CC" w:rsidRDefault="00D2487B" w:rsidP="00D2487B">
      <w:pPr>
        <w:spacing w:line="360" w:lineRule="auto"/>
        <w:jc w:val="center"/>
        <w:rPr>
          <w:b/>
          <w:bCs/>
          <w:sz w:val="24"/>
          <w:szCs w:val="24"/>
        </w:rPr>
      </w:pPr>
      <w:r w:rsidRPr="000D04CC">
        <w:rPr>
          <w:b/>
          <w:bCs/>
          <w:sz w:val="24"/>
          <w:szCs w:val="24"/>
        </w:rPr>
        <w:t>THE SUPREME COURT OF APPEAL OF SOUTH AFRICA</w:t>
      </w:r>
    </w:p>
    <w:p w14:paraId="0EB6DBE3" w14:textId="77777777" w:rsidR="00D2487B" w:rsidRDefault="00D2487B" w:rsidP="00D2487B">
      <w:pPr>
        <w:tabs>
          <w:tab w:val="left" w:pos="623"/>
          <w:tab w:val="center" w:pos="4513"/>
        </w:tabs>
        <w:spacing w:line="276" w:lineRule="auto"/>
        <w:jc w:val="center"/>
        <w:outlineLvl w:val="0"/>
        <w:rPr>
          <w:b/>
          <w:sz w:val="24"/>
          <w:szCs w:val="24"/>
        </w:rPr>
      </w:pPr>
      <w:r w:rsidRPr="000D04CC">
        <w:rPr>
          <w:b/>
          <w:sz w:val="24"/>
          <w:szCs w:val="24"/>
        </w:rPr>
        <w:t>JUDGMENT</w:t>
      </w:r>
    </w:p>
    <w:p w14:paraId="181E5CF9" w14:textId="77777777" w:rsidR="006E3D75" w:rsidRPr="000D04CC" w:rsidRDefault="006E3D75" w:rsidP="00D2487B">
      <w:pPr>
        <w:tabs>
          <w:tab w:val="left" w:pos="623"/>
          <w:tab w:val="center" w:pos="4513"/>
        </w:tabs>
        <w:spacing w:line="276" w:lineRule="auto"/>
        <w:jc w:val="center"/>
        <w:outlineLvl w:val="0"/>
        <w:rPr>
          <w:b/>
          <w:sz w:val="24"/>
          <w:szCs w:val="24"/>
        </w:rPr>
      </w:pPr>
    </w:p>
    <w:p w14:paraId="5FE17733" w14:textId="7E353D0D" w:rsidR="00D2487B" w:rsidRPr="000D04CC" w:rsidRDefault="00D2487B" w:rsidP="00024070">
      <w:pPr>
        <w:ind w:left="720" w:firstLine="720"/>
        <w:jc w:val="right"/>
        <w:outlineLvl w:val="0"/>
        <w:rPr>
          <w:b/>
          <w:sz w:val="24"/>
          <w:szCs w:val="24"/>
        </w:rPr>
      </w:pPr>
      <w:r w:rsidRPr="000D04CC">
        <w:rPr>
          <w:b/>
          <w:sz w:val="24"/>
          <w:szCs w:val="24"/>
        </w:rPr>
        <w:t xml:space="preserve">                  </w:t>
      </w:r>
      <w:r w:rsidRPr="000D04CC">
        <w:rPr>
          <w:b/>
          <w:sz w:val="24"/>
          <w:szCs w:val="24"/>
        </w:rPr>
        <w:tab/>
        <w:t xml:space="preserve">            Reportable</w:t>
      </w:r>
    </w:p>
    <w:p w14:paraId="67A6C8F3" w14:textId="77777777" w:rsidR="00D2487B" w:rsidRPr="000D04CC" w:rsidRDefault="00517491" w:rsidP="00517491">
      <w:pPr>
        <w:tabs>
          <w:tab w:val="left" w:pos="1200"/>
          <w:tab w:val="right" w:pos="9026"/>
        </w:tabs>
        <w:outlineLvl w:val="0"/>
        <w:rPr>
          <w:sz w:val="24"/>
          <w:szCs w:val="24"/>
        </w:rPr>
      </w:pPr>
      <w:r>
        <w:rPr>
          <w:sz w:val="24"/>
          <w:szCs w:val="24"/>
        </w:rPr>
        <w:tab/>
      </w:r>
      <w:r>
        <w:rPr>
          <w:sz w:val="24"/>
          <w:szCs w:val="24"/>
        </w:rPr>
        <w:tab/>
      </w:r>
      <w:r w:rsidR="00D2487B" w:rsidRPr="000D04CC">
        <w:rPr>
          <w:sz w:val="24"/>
          <w:szCs w:val="24"/>
        </w:rPr>
        <w:t xml:space="preserve">Case No: </w:t>
      </w:r>
      <w:r w:rsidR="00D2487B">
        <w:rPr>
          <w:sz w:val="24"/>
          <w:szCs w:val="24"/>
        </w:rPr>
        <w:t>304</w:t>
      </w:r>
      <w:r w:rsidR="00D2487B" w:rsidRPr="000D04CC">
        <w:rPr>
          <w:sz w:val="24"/>
          <w:szCs w:val="24"/>
        </w:rPr>
        <w:t>/2020</w:t>
      </w:r>
    </w:p>
    <w:p w14:paraId="047801ED" w14:textId="77777777" w:rsidR="00D2487B" w:rsidRPr="000D04CC" w:rsidRDefault="00D2487B" w:rsidP="00D2487B">
      <w:pPr>
        <w:pStyle w:val="BodyText"/>
        <w:kinsoku w:val="0"/>
        <w:overflowPunct w:val="0"/>
        <w:spacing w:before="92" w:after="120" w:line="360" w:lineRule="auto"/>
        <w:rPr>
          <w:color w:val="000000" w:themeColor="text1"/>
          <w:sz w:val="24"/>
          <w:szCs w:val="24"/>
        </w:rPr>
      </w:pPr>
      <w:r w:rsidRPr="000D04CC">
        <w:rPr>
          <w:color w:val="000000" w:themeColor="text1"/>
          <w:sz w:val="24"/>
          <w:szCs w:val="24"/>
        </w:rPr>
        <w:t>In the matter between:</w:t>
      </w:r>
    </w:p>
    <w:p w14:paraId="0AEE86F1" w14:textId="757BFC46" w:rsidR="00D2487B" w:rsidRDefault="00A87FAA" w:rsidP="00EC1080">
      <w:pPr>
        <w:pStyle w:val="BodyText"/>
        <w:kinsoku w:val="0"/>
        <w:overflowPunct w:val="0"/>
        <w:rPr>
          <w:b/>
          <w:bCs/>
          <w:color w:val="000000"/>
          <w:sz w:val="24"/>
          <w:szCs w:val="24"/>
        </w:rPr>
      </w:pPr>
      <w:r>
        <w:rPr>
          <w:b/>
          <w:bCs/>
          <w:color w:val="000000"/>
          <w:sz w:val="24"/>
          <w:szCs w:val="24"/>
        </w:rPr>
        <w:t xml:space="preserve">THE </w:t>
      </w:r>
      <w:r w:rsidR="00D2487B">
        <w:rPr>
          <w:b/>
          <w:bCs/>
          <w:color w:val="000000"/>
          <w:sz w:val="24"/>
          <w:szCs w:val="24"/>
        </w:rPr>
        <w:t>TRUSTEES F</w:t>
      </w:r>
      <w:r w:rsidR="00BD7529">
        <w:rPr>
          <w:b/>
          <w:bCs/>
          <w:color w:val="000000"/>
          <w:sz w:val="24"/>
          <w:szCs w:val="24"/>
        </w:rPr>
        <w:t>OR THE TIME BEING OF THE LEGACY</w:t>
      </w:r>
      <w:r w:rsidR="00BD7529">
        <w:rPr>
          <w:b/>
          <w:bCs/>
          <w:color w:val="000000"/>
          <w:sz w:val="24"/>
          <w:szCs w:val="24"/>
        </w:rPr>
        <w:tab/>
      </w:r>
      <w:r w:rsidR="006E3D75">
        <w:rPr>
          <w:b/>
          <w:bCs/>
          <w:color w:val="000000"/>
          <w:sz w:val="24"/>
          <w:szCs w:val="24"/>
        </w:rPr>
        <w:tab/>
      </w:r>
      <w:r w:rsidR="00EC1080">
        <w:rPr>
          <w:b/>
          <w:bCs/>
          <w:color w:val="000000"/>
          <w:sz w:val="24"/>
          <w:szCs w:val="24"/>
        </w:rPr>
        <w:t xml:space="preserve">     </w:t>
      </w:r>
      <w:r w:rsidR="006E3D75" w:rsidRPr="000D04CC">
        <w:rPr>
          <w:b/>
          <w:bCs/>
          <w:color w:val="000000"/>
          <w:sz w:val="24"/>
          <w:szCs w:val="24"/>
        </w:rPr>
        <w:t>APPELLANT</w:t>
      </w:r>
    </w:p>
    <w:p w14:paraId="7BBB749C" w14:textId="77777777" w:rsidR="00D2487B" w:rsidRPr="000D04CC" w:rsidRDefault="00D2487B" w:rsidP="00EE3E14">
      <w:pPr>
        <w:pStyle w:val="BodyText"/>
        <w:kinsoku w:val="0"/>
        <w:overflowPunct w:val="0"/>
        <w:spacing w:line="276" w:lineRule="auto"/>
        <w:rPr>
          <w:b/>
          <w:bCs/>
          <w:color w:val="000000"/>
          <w:sz w:val="24"/>
          <w:szCs w:val="24"/>
        </w:rPr>
      </w:pPr>
      <w:r>
        <w:rPr>
          <w:b/>
          <w:bCs/>
          <w:color w:val="000000"/>
          <w:sz w:val="24"/>
          <w:szCs w:val="24"/>
        </w:rPr>
        <w:t>BODY CORPORATE</w:t>
      </w:r>
      <w:r w:rsidRPr="000D04CC">
        <w:rPr>
          <w:b/>
          <w:bCs/>
          <w:color w:val="000000"/>
          <w:sz w:val="24"/>
          <w:szCs w:val="24"/>
        </w:rPr>
        <w:tab/>
      </w:r>
      <w:r w:rsidRPr="000D04CC">
        <w:rPr>
          <w:b/>
          <w:bCs/>
          <w:color w:val="000000"/>
          <w:sz w:val="24"/>
          <w:szCs w:val="24"/>
        </w:rPr>
        <w:tab/>
      </w:r>
      <w:r w:rsidRPr="000D04CC">
        <w:rPr>
          <w:b/>
          <w:bCs/>
          <w:color w:val="000000"/>
          <w:sz w:val="24"/>
          <w:szCs w:val="24"/>
        </w:rPr>
        <w:tab/>
      </w:r>
      <w:r>
        <w:rPr>
          <w:b/>
          <w:bCs/>
          <w:color w:val="000000"/>
          <w:sz w:val="24"/>
          <w:szCs w:val="24"/>
        </w:rPr>
        <w:t xml:space="preserve"> </w:t>
      </w:r>
    </w:p>
    <w:p w14:paraId="61757330" w14:textId="77777777" w:rsidR="006E3D75" w:rsidRDefault="006E3D75" w:rsidP="006E3D75">
      <w:pPr>
        <w:pStyle w:val="BodyText"/>
        <w:kinsoku w:val="0"/>
        <w:overflowPunct w:val="0"/>
        <w:spacing w:before="5" w:after="120"/>
        <w:rPr>
          <w:color w:val="000000" w:themeColor="text1"/>
          <w:sz w:val="24"/>
          <w:szCs w:val="24"/>
        </w:rPr>
      </w:pPr>
    </w:p>
    <w:p w14:paraId="71D0F5A4" w14:textId="77777777" w:rsidR="00D2487B" w:rsidRPr="000D04CC" w:rsidRDefault="00D2487B" w:rsidP="006E3D75">
      <w:pPr>
        <w:pStyle w:val="BodyText"/>
        <w:kinsoku w:val="0"/>
        <w:overflowPunct w:val="0"/>
        <w:spacing w:line="360" w:lineRule="auto"/>
        <w:rPr>
          <w:color w:val="000000" w:themeColor="text1"/>
          <w:sz w:val="24"/>
          <w:szCs w:val="24"/>
        </w:rPr>
      </w:pPr>
      <w:r w:rsidRPr="000D04CC">
        <w:rPr>
          <w:color w:val="000000" w:themeColor="text1"/>
          <w:sz w:val="24"/>
          <w:szCs w:val="24"/>
        </w:rPr>
        <w:t xml:space="preserve">and </w:t>
      </w:r>
    </w:p>
    <w:p w14:paraId="786C826B" w14:textId="77777777" w:rsidR="006E3D75" w:rsidRDefault="006E3D75" w:rsidP="006E3D75">
      <w:pPr>
        <w:pStyle w:val="BodyText"/>
        <w:kinsoku w:val="0"/>
        <w:overflowPunct w:val="0"/>
        <w:spacing w:after="120"/>
        <w:rPr>
          <w:b/>
          <w:bCs/>
          <w:color w:val="000000" w:themeColor="text1"/>
          <w:sz w:val="24"/>
          <w:szCs w:val="24"/>
        </w:rPr>
      </w:pPr>
    </w:p>
    <w:p w14:paraId="75D44E29" w14:textId="77777777" w:rsidR="00D2487B" w:rsidRPr="000D04CC" w:rsidRDefault="00D2487B" w:rsidP="006E3D75">
      <w:pPr>
        <w:pStyle w:val="BodyText"/>
        <w:kinsoku w:val="0"/>
        <w:overflowPunct w:val="0"/>
        <w:spacing w:line="360" w:lineRule="auto"/>
        <w:rPr>
          <w:b/>
          <w:bCs/>
          <w:color w:val="000000" w:themeColor="text1"/>
          <w:sz w:val="24"/>
          <w:szCs w:val="24"/>
        </w:rPr>
      </w:pPr>
      <w:r>
        <w:rPr>
          <w:b/>
          <w:bCs/>
          <w:color w:val="000000" w:themeColor="text1"/>
          <w:sz w:val="24"/>
          <w:szCs w:val="24"/>
        </w:rPr>
        <w:t xml:space="preserve">BAE ESTATES AND ESCAPES (PTY) LIMITED </w:t>
      </w:r>
      <w:r w:rsidRPr="000D04CC">
        <w:rPr>
          <w:b/>
          <w:bCs/>
          <w:color w:val="000000" w:themeColor="text1"/>
          <w:sz w:val="24"/>
          <w:szCs w:val="24"/>
        </w:rPr>
        <w:tab/>
      </w:r>
      <w:r w:rsidRPr="000D04CC">
        <w:rPr>
          <w:b/>
          <w:bCs/>
          <w:color w:val="000000" w:themeColor="text1"/>
          <w:sz w:val="24"/>
          <w:szCs w:val="24"/>
        </w:rPr>
        <w:tab/>
      </w:r>
      <w:r w:rsidR="000B374A">
        <w:rPr>
          <w:b/>
          <w:bCs/>
          <w:color w:val="000000" w:themeColor="text1"/>
          <w:sz w:val="24"/>
          <w:szCs w:val="24"/>
        </w:rPr>
        <w:t xml:space="preserve"> </w:t>
      </w:r>
      <w:r w:rsidRPr="000D04CC">
        <w:rPr>
          <w:b/>
          <w:bCs/>
          <w:color w:val="000000" w:themeColor="text1"/>
          <w:sz w:val="24"/>
          <w:szCs w:val="24"/>
        </w:rPr>
        <w:t>FIRST RESPONDENT</w:t>
      </w:r>
    </w:p>
    <w:p w14:paraId="6CC76E82" w14:textId="77777777" w:rsidR="00AE3CC8" w:rsidRDefault="00D2487B" w:rsidP="00EC1080">
      <w:pPr>
        <w:pStyle w:val="BodyText"/>
        <w:kinsoku w:val="0"/>
        <w:overflowPunct w:val="0"/>
        <w:rPr>
          <w:b/>
          <w:bCs/>
          <w:color w:val="000000" w:themeColor="text1"/>
          <w:sz w:val="24"/>
          <w:szCs w:val="24"/>
        </w:rPr>
      </w:pPr>
      <w:r>
        <w:rPr>
          <w:b/>
          <w:bCs/>
          <w:color w:val="000000" w:themeColor="text1"/>
          <w:sz w:val="24"/>
          <w:szCs w:val="24"/>
        </w:rPr>
        <w:t xml:space="preserve">PAM GOLDING PROPERTY MANAGEMENT </w:t>
      </w:r>
      <w:r w:rsidR="006E3D75">
        <w:rPr>
          <w:b/>
          <w:bCs/>
          <w:color w:val="000000" w:themeColor="text1"/>
          <w:sz w:val="24"/>
          <w:szCs w:val="24"/>
        </w:rPr>
        <w:tab/>
      </w:r>
      <w:r w:rsidR="006E3D75">
        <w:rPr>
          <w:b/>
          <w:bCs/>
          <w:color w:val="000000" w:themeColor="text1"/>
          <w:sz w:val="24"/>
          <w:szCs w:val="24"/>
        </w:rPr>
        <w:tab/>
        <w:t xml:space="preserve">       </w:t>
      </w:r>
    </w:p>
    <w:p w14:paraId="39E7558E" w14:textId="508C6CB6" w:rsidR="006E3D75" w:rsidRPr="000D04CC" w:rsidRDefault="00D2487B" w:rsidP="001176BB">
      <w:pPr>
        <w:pStyle w:val="BodyText"/>
        <w:kinsoku w:val="0"/>
        <w:overflowPunct w:val="0"/>
        <w:spacing w:line="276" w:lineRule="auto"/>
        <w:ind w:right="-46"/>
        <w:rPr>
          <w:b/>
          <w:bCs/>
          <w:color w:val="000000" w:themeColor="text1"/>
          <w:sz w:val="24"/>
          <w:szCs w:val="24"/>
        </w:rPr>
      </w:pPr>
      <w:r>
        <w:rPr>
          <w:b/>
          <w:bCs/>
          <w:color w:val="000000" w:themeColor="text1"/>
          <w:sz w:val="24"/>
          <w:szCs w:val="24"/>
        </w:rPr>
        <w:t>SERVICES (PTY) LIMITED</w:t>
      </w:r>
      <w:r w:rsidRPr="000D04CC">
        <w:rPr>
          <w:b/>
          <w:bCs/>
          <w:color w:val="000000" w:themeColor="text1"/>
          <w:sz w:val="24"/>
          <w:szCs w:val="24"/>
        </w:rPr>
        <w:tab/>
      </w:r>
      <w:r w:rsidR="006E3D75">
        <w:rPr>
          <w:b/>
          <w:bCs/>
          <w:color w:val="000000" w:themeColor="text1"/>
          <w:sz w:val="24"/>
          <w:szCs w:val="24"/>
        </w:rPr>
        <w:tab/>
      </w:r>
      <w:r w:rsidR="006E3D75">
        <w:rPr>
          <w:b/>
          <w:bCs/>
          <w:color w:val="000000" w:themeColor="text1"/>
          <w:sz w:val="24"/>
          <w:szCs w:val="24"/>
        </w:rPr>
        <w:tab/>
      </w:r>
      <w:r w:rsidR="00EE3E14">
        <w:rPr>
          <w:b/>
          <w:bCs/>
          <w:color w:val="000000" w:themeColor="text1"/>
          <w:sz w:val="24"/>
          <w:szCs w:val="24"/>
        </w:rPr>
        <w:t xml:space="preserve">                 </w:t>
      </w:r>
      <w:r w:rsidR="001176BB">
        <w:rPr>
          <w:b/>
          <w:bCs/>
          <w:color w:val="000000" w:themeColor="text1"/>
          <w:sz w:val="24"/>
          <w:szCs w:val="24"/>
        </w:rPr>
        <w:t xml:space="preserve"> </w:t>
      </w:r>
      <w:r w:rsidR="00EE3E14" w:rsidRPr="000D04CC">
        <w:rPr>
          <w:b/>
          <w:bCs/>
          <w:color w:val="000000" w:themeColor="text1"/>
          <w:sz w:val="24"/>
          <w:szCs w:val="24"/>
        </w:rPr>
        <w:t>SECOND RESPONDENT</w:t>
      </w:r>
      <w:r w:rsidR="006E3D75">
        <w:rPr>
          <w:b/>
          <w:bCs/>
          <w:color w:val="000000" w:themeColor="text1"/>
          <w:sz w:val="24"/>
          <w:szCs w:val="24"/>
        </w:rPr>
        <w:tab/>
        <w:t xml:space="preserve">       </w:t>
      </w:r>
    </w:p>
    <w:p w14:paraId="7ACA0AD0" w14:textId="077BBA36" w:rsidR="00D2487B" w:rsidRPr="00DD175F" w:rsidRDefault="00D2487B" w:rsidP="00A8737A">
      <w:pPr>
        <w:spacing w:after="100" w:afterAutospacing="1" w:line="360" w:lineRule="auto"/>
        <w:ind w:right="113"/>
        <w:jc w:val="both"/>
        <w:rPr>
          <w:b/>
        </w:rPr>
      </w:pPr>
      <w:r w:rsidRPr="00DD175F">
        <w:rPr>
          <w:b/>
          <w:sz w:val="24"/>
          <w:szCs w:val="24"/>
        </w:rPr>
        <w:t>Neutral citation:</w:t>
      </w:r>
      <w:r w:rsidRPr="00DD175F">
        <w:rPr>
          <w:bCs/>
          <w:sz w:val="24"/>
          <w:szCs w:val="24"/>
        </w:rPr>
        <w:t xml:space="preserve"> </w:t>
      </w:r>
      <w:r w:rsidRPr="00DD175F">
        <w:rPr>
          <w:rFonts w:eastAsia="Calibri"/>
          <w:bCs/>
          <w:i/>
          <w:iCs/>
          <w:sz w:val="24"/>
          <w:szCs w:val="24"/>
        </w:rPr>
        <w:t xml:space="preserve">The Trustees for the time being of the Legacy Body Corporate v Bae Estates and Escapes (Pty) Ltd and </w:t>
      </w:r>
      <w:r w:rsidR="005E5AA2" w:rsidRPr="007C2CFE">
        <w:rPr>
          <w:rFonts w:eastAsia="Calibri"/>
          <w:bCs/>
          <w:i/>
          <w:iCs/>
          <w:sz w:val="24"/>
          <w:szCs w:val="24"/>
        </w:rPr>
        <w:t>Another</w:t>
      </w:r>
      <w:r w:rsidR="00DD2BCD">
        <w:rPr>
          <w:rFonts w:eastAsia="Calibri"/>
          <w:bCs/>
          <w:i/>
          <w:iCs/>
          <w:sz w:val="24"/>
          <w:szCs w:val="24"/>
        </w:rPr>
        <w:t xml:space="preserve"> </w:t>
      </w:r>
      <w:r w:rsidRPr="00D55D55">
        <w:rPr>
          <w:bCs/>
          <w:sz w:val="24"/>
          <w:szCs w:val="24"/>
        </w:rPr>
        <w:t xml:space="preserve">(Case no </w:t>
      </w:r>
      <w:r>
        <w:rPr>
          <w:bCs/>
          <w:sz w:val="24"/>
          <w:szCs w:val="24"/>
        </w:rPr>
        <w:t>304</w:t>
      </w:r>
      <w:r w:rsidR="001176BB">
        <w:rPr>
          <w:bCs/>
          <w:sz w:val="24"/>
          <w:szCs w:val="24"/>
        </w:rPr>
        <w:t>/2020) [2021] ZASCA </w:t>
      </w:r>
      <w:r w:rsidR="00504A3E">
        <w:rPr>
          <w:bCs/>
          <w:sz w:val="24"/>
          <w:szCs w:val="24"/>
        </w:rPr>
        <w:t>15</w:t>
      </w:r>
      <w:r w:rsidR="00C47B5E">
        <w:rPr>
          <w:bCs/>
          <w:sz w:val="24"/>
          <w:szCs w:val="24"/>
        </w:rPr>
        <w:t>7</w:t>
      </w:r>
      <w:r w:rsidRPr="00D55D55">
        <w:rPr>
          <w:bCs/>
          <w:sz w:val="24"/>
          <w:szCs w:val="24"/>
        </w:rPr>
        <w:t xml:space="preserve"> (</w:t>
      </w:r>
      <w:r w:rsidR="00A82DA8">
        <w:rPr>
          <w:bCs/>
          <w:sz w:val="24"/>
          <w:szCs w:val="24"/>
        </w:rPr>
        <w:t xml:space="preserve">5 November </w:t>
      </w:r>
      <w:r w:rsidRPr="00D55D55">
        <w:rPr>
          <w:bCs/>
          <w:sz w:val="24"/>
          <w:szCs w:val="24"/>
        </w:rPr>
        <w:t xml:space="preserve">2021) </w:t>
      </w:r>
    </w:p>
    <w:p w14:paraId="340DD2C9" w14:textId="77777777" w:rsidR="00D2487B" w:rsidRPr="00DD175F" w:rsidRDefault="00D2487B" w:rsidP="006E3D75">
      <w:pPr>
        <w:ind w:left="1440" w:hanging="1440"/>
        <w:jc w:val="both"/>
        <w:rPr>
          <w:sz w:val="24"/>
          <w:szCs w:val="24"/>
        </w:rPr>
      </w:pPr>
      <w:r w:rsidRPr="00D55D55">
        <w:rPr>
          <w:b/>
          <w:sz w:val="24"/>
          <w:szCs w:val="24"/>
        </w:rPr>
        <w:t>Coram:</w:t>
      </w:r>
      <w:r w:rsidRPr="00D55D55">
        <w:rPr>
          <w:b/>
          <w:sz w:val="24"/>
          <w:szCs w:val="24"/>
        </w:rPr>
        <w:tab/>
      </w:r>
      <w:bookmarkStart w:id="0" w:name="_Hlk64406736"/>
      <w:r>
        <w:rPr>
          <w:sz w:val="24"/>
          <w:szCs w:val="24"/>
        </w:rPr>
        <w:t>PETSE</w:t>
      </w:r>
      <w:r w:rsidRPr="00D55D55">
        <w:rPr>
          <w:sz w:val="24"/>
          <w:szCs w:val="24"/>
        </w:rPr>
        <w:t xml:space="preserve"> </w:t>
      </w:r>
      <w:r w:rsidR="005E5AA2" w:rsidRPr="007C2CFE">
        <w:rPr>
          <w:sz w:val="24"/>
          <w:szCs w:val="24"/>
        </w:rPr>
        <w:t>AP</w:t>
      </w:r>
      <w:r w:rsidRPr="00D55D55">
        <w:rPr>
          <w:sz w:val="24"/>
          <w:szCs w:val="24"/>
        </w:rPr>
        <w:t xml:space="preserve">, </w:t>
      </w:r>
      <w:r w:rsidRPr="00D55D55">
        <w:rPr>
          <w:sz w:val="24"/>
          <w:szCs w:val="24"/>
          <w:lang w:val="en-US"/>
        </w:rPr>
        <w:t xml:space="preserve">MBHA and </w:t>
      </w:r>
      <w:r w:rsidRPr="00D55D55">
        <w:rPr>
          <w:sz w:val="24"/>
          <w:szCs w:val="24"/>
        </w:rPr>
        <w:t xml:space="preserve">MAKGOKA JJA </w:t>
      </w:r>
      <w:r w:rsidR="00B12F5A">
        <w:rPr>
          <w:sz w:val="24"/>
          <w:szCs w:val="24"/>
        </w:rPr>
        <w:t xml:space="preserve">and </w:t>
      </w:r>
      <w:r w:rsidR="00DD175F" w:rsidRPr="00DD175F">
        <w:rPr>
          <w:sz w:val="24"/>
          <w:szCs w:val="24"/>
        </w:rPr>
        <w:t xml:space="preserve">POTTERILL </w:t>
      </w:r>
      <w:r w:rsidR="006E3D75">
        <w:rPr>
          <w:sz w:val="24"/>
          <w:szCs w:val="24"/>
        </w:rPr>
        <w:t>a</w:t>
      </w:r>
      <w:r w:rsidR="00DD175F" w:rsidRPr="00DD175F">
        <w:rPr>
          <w:sz w:val="24"/>
          <w:szCs w:val="24"/>
        </w:rPr>
        <w:t>nd PHATSHOANE AJJA</w:t>
      </w:r>
    </w:p>
    <w:bookmarkEnd w:id="0"/>
    <w:p w14:paraId="115C415D" w14:textId="77777777" w:rsidR="00D2487B" w:rsidRPr="00D55D55" w:rsidRDefault="00D2487B" w:rsidP="00A8737A">
      <w:pPr>
        <w:tabs>
          <w:tab w:val="left" w:pos="720"/>
          <w:tab w:val="left" w:pos="1440"/>
          <w:tab w:val="left" w:pos="2160"/>
          <w:tab w:val="left" w:pos="2880"/>
          <w:tab w:val="left" w:pos="3600"/>
          <w:tab w:val="left" w:pos="7628"/>
        </w:tabs>
        <w:spacing w:before="100" w:beforeAutospacing="1" w:after="120" w:line="360" w:lineRule="auto"/>
        <w:jc w:val="both"/>
        <w:outlineLvl w:val="0"/>
        <w:rPr>
          <w:sz w:val="24"/>
          <w:szCs w:val="24"/>
        </w:rPr>
      </w:pPr>
      <w:r w:rsidRPr="00D55D55">
        <w:rPr>
          <w:b/>
          <w:sz w:val="24"/>
          <w:szCs w:val="24"/>
        </w:rPr>
        <w:t>Heard:</w:t>
      </w:r>
      <w:r w:rsidRPr="00D55D55">
        <w:rPr>
          <w:sz w:val="24"/>
          <w:szCs w:val="24"/>
        </w:rPr>
        <w:tab/>
        <w:t>2</w:t>
      </w:r>
      <w:r>
        <w:rPr>
          <w:sz w:val="24"/>
          <w:szCs w:val="24"/>
        </w:rPr>
        <w:t xml:space="preserve">6 August </w:t>
      </w:r>
      <w:r w:rsidRPr="00D55D55">
        <w:rPr>
          <w:sz w:val="24"/>
          <w:szCs w:val="24"/>
        </w:rPr>
        <w:t>2021</w:t>
      </w:r>
    </w:p>
    <w:p w14:paraId="1B44462F" w14:textId="33B317D0" w:rsidR="00D2487B" w:rsidRPr="00D55D55" w:rsidRDefault="00D2487B" w:rsidP="00D2487B">
      <w:pPr>
        <w:spacing w:after="240" w:line="360" w:lineRule="auto"/>
        <w:jc w:val="both"/>
        <w:outlineLvl w:val="0"/>
        <w:rPr>
          <w:sz w:val="24"/>
          <w:szCs w:val="24"/>
        </w:rPr>
      </w:pPr>
      <w:r w:rsidRPr="00D55D55">
        <w:rPr>
          <w:b/>
          <w:sz w:val="24"/>
          <w:szCs w:val="24"/>
        </w:rPr>
        <w:t>Delivered:</w:t>
      </w:r>
      <w:r w:rsidRPr="00D55D55">
        <w:rPr>
          <w:b/>
          <w:sz w:val="24"/>
          <w:szCs w:val="24"/>
        </w:rPr>
        <w:tab/>
      </w:r>
      <w:r w:rsidRPr="00D55D55">
        <w:rPr>
          <w:sz w:val="24"/>
          <w:szCs w:val="24"/>
        </w:rPr>
        <w:t xml:space="preserve">This judgment was handed down electronically by circulation to the parties’ representatives by email, publication on the Supreme Court of Appeal website and release to SAFLII. The time and date for hand down is deemed to be 10h00 on the </w:t>
      </w:r>
      <w:r w:rsidR="00D82B36" w:rsidRPr="00EC1080">
        <w:rPr>
          <w:sz w:val="24"/>
          <w:szCs w:val="24"/>
        </w:rPr>
        <w:t>5</w:t>
      </w:r>
      <w:r w:rsidR="00D82B36" w:rsidRPr="00EC1080">
        <w:rPr>
          <w:sz w:val="24"/>
          <w:szCs w:val="24"/>
          <w:vertAlign w:val="superscript"/>
        </w:rPr>
        <w:t>th</w:t>
      </w:r>
      <w:r w:rsidRPr="00EC1080">
        <w:rPr>
          <w:sz w:val="24"/>
          <w:szCs w:val="24"/>
        </w:rPr>
        <w:t xml:space="preserve"> day of </w:t>
      </w:r>
      <w:r w:rsidR="00D82B36" w:rsidRPr="00EC1080">
        <w:rPr>
          <w:sz w:val="24"/>
          <w:szCs w:val="24"/>
        </w:rPr>
        <w:t>November</w:t>
      </w:r>
      <w:r w:rsidR="00E1090B">
        <w:rPr>
          <w:sz w:val="24"/>
          <w:szCs w:val="24"/>
        </w:rPr>
        <w:t xml:space="preserve"> </w:t>
      </w:r>
      <w:r w:rsidRPr="00D55D55">
        <w:rPr>
          <w:sz w:val="24"/>
          <w:szCs w:val="24"/>
        </w:rPr>
        <w:t>2021.</w:t>
      </w:r>
    </w:p>
    <w:p w14:paraId="254531CC" w14:textId="77777777" w:rsidR="00AE3CC8" w:rsidRDefault="00D2487B" w:rsidP="00AE3CC8">
      <w:pPr>
        <w:spacing w:line="360" w:lineRule="auto"/>
        <w:contextualSpacing/>
        <w:jc w:val="both"/>
        <w:rPr>
          <w:sz w:val="24"/>
          <w:szCs w:val="24"/>
        </w:rPr>
      </w:pPr>
      <w:r w:rsidRPr="00D55D55">
        <w:rPr>
          <w:b/>
          <w:sz w:val="24"/>
          <w:szCs w:val="24"/>
        </w:rPr>
        <w:t xml:space="preserve">Summary: </w:t>
      </w:r>
      <w:r w:rsidR="0030206D" w:rsidRPr="00E1090B">
        <w:rPr>
          <w:bCs/>
          <w:sz w:val="24"/>
          <w:szCs w:val="24"/>
        </w:rPr>
        <w:t>Sectional Title</w:t>
      </w:r>
      <w:r w:rsidR="005E5AA2">
        <w:rPr>
          <w:bCs/>
          <w:sz w:val="24"/>
          <w:szCs w:val="24"/>
        </w:rPr>
        <w:t xml:space="preserve"> </w:t>
      </w:r>
      <w:r w:rsidR="005E5AA2" w:rsidRPr="007C2CFE">
        <w:rPr>
          <w:bCs/>
          <w:sz w:val="24"/>
          <w:szCs w:val="24"/>
        </w:rPr>
        <w:t>Scheme</w:t>
      </w:r>
      <w:r w:rsidR="0030206D" w:rsidRPr="00E1090B">
        <w:rPr>
          <w:bCs/>
          <w:sz w:val="24"/>
          <w:szCs w:val="24"/>
        </w:rPr>
        <w:t xml:space="preserve"> –</w:t>
      </w:r>
      <w:r w:rsidR="0030206D" w:rsidRPr="00E1090B">
        <w:rPr>
          <w:b/>
          <w:sz w:val="24"/>
          <w:szCs w:val="24"/>
        </w:rPr>
        <w:t xml:space="preserve"> </w:t>
      </w:r>
      <w:r w:rsidR="00AE3CC8" w:rsidRPr="005E209A">
        <w:rPr>
          <w:sz w:val="24"/>
          <w:szCs w:val="24"/>
        </w:rPr>
        <w:t xml:space="preserve">whether </w:t>
      </w:r>
      <w:r w:rsidR="009250F0" w:rsidRPr="005E209A">
        <w:rPr>
          <w:sz w:val="24"/>
          <w:szCs w:val="24"/>
        </w:rPr>
        <w:t>a body corporate’</w:t>
      </w:r>
      <w:r w:rsidR="00AE3CC8" w:rsidRPr="005E209A">
        <w:rPr>
          <w:sz w:val="24"/>
          <w:szCs w:val="24"/>
        </w:rPr>
        <w:t xml:space="preserve">s </w:t>
      </w:r>
      <w:r w:rsidR="00E0448C" w:rsidRPr="005E209A">
        <w:rPr>
          <w:sz w:val="24"/>
          <w:szCs w:val="24"/>
        </w:rPr>
        <w:t xml:space="preserve">decision to prohibit </w:t>
      </w:r>
      <w:r w:rsidR="009250F0" w:rsidRPr="005E209A">
        <w:rPr>
          <w:sz w:val="24"/>
          <w:szCs w:val="24"/>
        </w:rPr>
        <w:t xml:space="preserve">an estate agency </w:t>
      </w:r>
      <w:r w:rsidR="00AE3CC8" w:rsidRPr="005E209A">
        <w:rPr>
          <w:sz w:val="24"/>
          <w:szCs w:val="24"/>
        </w:rPr>
        <w:t xml:space="preserve">from operating </w:t>
      </w:r>
      <w:r w:rsidR="009250F0" w:rsidRPr="005E209A">
        <w:rPr>
          <w:sz w:val="24"/>
          <w:szCs w:val="24"/>
        </w:rPr>
        <w:t>within its</w:t>
      </w:r>
      <w:r w:rsidR="00AE3CC8" w:rsidRPr="005E209A">
        <w:rPr>
          <w:sz w:val="24"/>
          <w:szCs w:val="24"/>
        </w:rPr>
        <w:t xml:space="preserve"> scheme amounted to </w:t>
      </w:r>
      <w:r w:rsidR="00AE3CC8" w:rsidRPr="00553799">
        <w:rPr>
          <w:sz w:val="24"/>
          <w:szCs w:val="24"/>
        </w:rPr>
        <w:t>a</w:t>
      </w:r>
      <w:r w:rsidR="00AE3CC8" w:rsidRPr="005E209A">
        <w:rPr>
          <w:sz w:val="24"/>
          <w:szCs w:val="24"/>
        </w:rPr>
        <w:t>dministrative action for purposes of PAJA –</w:t>
      </w:r>
      <w:r w:rsidR="00E0448C" w:rsidRPr="005E209A">
        <w:rPr>
          <w:sz w:val="24"/>
          <w:szCs w:val="24"/>
        </w:rPr>
        <w:t xml:space="preserve"> </w:t>
      </w:r>
      <w:r w:rsidR="00AE3CC8" w:rsidRPr="005E209A">
        <w:rPr>
          <w:sz w:val="24"/>
          <w:szCs w:val="24"/>
        </w:rPr>
        <w:t>if PAJA</w:t>
      </w:r>
      <w:r w:rsidR="00E0448C" w:rsidRPr="005E209A">
        <w:rPr>
          <w:sz w:val="24"/>
          <w:szCs w:val="24"/>
        </w:rPr>
        <w:t xml:space="preserve"> not</w:t>
      </w:r>
      <w:r w:rsidR="00AE3CC8" w:rsidRPr="005E209A">
        <w:rPr>
          <w:sz w:val="24"/>
          <w:szCs w:val="24"/>
        </w:rPr>
        <w:t xml:space="preserve"> appli</w:t>
      </w:r>
      <w:r w:rsidR="00E0448C" w:rsidRPr="005E209A">
        <w:rPr>
          <w:sz w:val="24"/>
          <w:szCs w:val="24"/>
        </w:rPr>
        <w:t>cable</w:t>
      </w:r>
      <w:r w:rsidR="00AE3CC8" w:rsidRPr="005E209A">
        <w:rPr>
          <w:sz w:val="24"/>
          <w:szCs w:val="24"/>
        </w:rPr>
        <w:t xml:space="preserve">, whether </w:t>
      </w:r>
      <w:r w:rsidR="00E0448C" w:rsidRPr="005E209A">
        <w:rPr>
          <w:sz w:val="24"/>
          <w:szCs w:val="24"/>
        </w:rPr>
        <w:t xml:space="preserve">decision </w:t>
      </w:r>
      <w:r w:rsidR="00AE3CC8" w:rsidRPr="005E209A">
        <w:rPr>
          <w:sz w:val="24"/>
          <w:szCs w:val="24"/>
        </w:rPr>
        <w:t xml:space="preserve">subject to judicial review in terms of </w:t>
      </w:r>
      <w:r w:rsidR="000C70E2" w:rsidRPr="00553799">
        <w:rPr>
          <w:sz w:val="24"/>
          <w:szCs w:val="24"/>
        </w:rPr>
        <w:t>the</w:t>
      </w:r>
      <w:r w:rsidR="000C70E2">
        <w:rPr>
          <w:sz w:val="24"/>
          <w:szCs w:val="24"/>
        </w:rPr>
        <w:t xml:space="preserve"> </w:t>
      </w:r>
      <w:r w:rsidR="00AE3CC8" w:rsidRPr="005E209A">
        <w:rPr>
          <w:sz w:val="24"/>
          <w:szCs w:val="24"/>
        </w:rPr>
        <w:t>common law</w:t>
      </w:r>
      <w:r w:rsidR="00E0448C" w:rsidRPr="005E209A">
        <w:rPr>
          <w:sz w:val="24"/>
          <w:szCs w:val="24"/>
        </w:rPr>
        <w:t>.</w:t>
      </w:r>
    </w:p>
    <w:p w14:paraId="7A7F5CD1" w14:textId="0318B690" w:rsidR="00024070" w:rsidRDefault="00024070">
      <w:pPr>
        <w:widowControl/>
        <w:autoSpaceDE/>
        <w:autoSpaceDN/>
        <w:adjustRightInd/>
        <w:spacing w:after="160" w:line="259" w:lineRule="auto"/>
        <w:rPr>
          <w:sz w:val="24"/>
          <w:szCs w:val="24"/>
        </w:rPr>
      </w:pPr>
      <w:r>
        <w:rPr>
          <w:sz w:val="24"/>
          <w:szCs w:val="24"/>
        </w:rPr>
        <w:br w:type="page"/>
      </w:r>
    </w:p>
    <w:p w14:paraId="6A9425D7" w14:textId="77777777" w:rsidR="00D2487B" w:rsidRPr="00D55D55" w:rsidRDefault="00D2487B" w:rsidP="00D2487B">
      <w:pPr>
        <w:spacing w:after="120" w:line="360" w:lineRule="auto"/>
        <w:jc w:val="both"/>
        <w:rPr>
          <w:sz w:val="24"/>
          <w:szCs w:val="24"/>
        </w:rPr>
      </w:pPr>
      <w:r w:rsidRPr="00D55D55">
        <w:rPr>
          <w:sz w:val="24"/>
          <w:szCs w:val="24"/>
        </w:rPr>
        <w:lastRenderedPageBreak/>
        <w:t>________________________________________________________________</w:t>
      </w:r>
      <w:r w:rsidR="00AE3CC8">
        <w:rPr>
          <w:sz w:val="24"/>
          <w:szCs w:val="24"/>
        </w:rPr>
        <w:t>___</w:t>
      </w:r>
    </w:p>
    <w:p w14:paraId="507C94ED" w14:textId="77777777" w:rsidR="00D2487B" w:rsidRPr="00D55D55" w:rsidRDefault="00D2487B" w:rsidP="006E3D75">
      <w:pPr>
        <w:spacing w:line="360" w:lineRule="auto"/>
        <w:jc w:val="center"/>
        <w:rPr>
          <w:b/>
          <w:sz w:val="24"/>
          <w:szCs w:val="24"/>
        </w:rPr>
      </w:pPr>
      <w:r w:rsidRPr="00D55D55">
        <w:rPr>
          <w:b/>
          <w:sz w:val="24"/>
          <w:szCs w:val="24"/>
        </w:rPr>
        <w:t>ORDER</w:t>
      </w:r>
    </w:p>
    <w:p w14:paraId="566A308C" w14:textId="77777777" w:rsidR="00D2487B" w:rsidRPr="00D55D55" w:rsidRDefault="00D2487B" w:rsidP="00D2487B">
      <w:pPr>
        <w:spacing w:after="360" w:line="360" w:lineRule="auto"/>
        <w:jc w:val="both"/>
        <w:rPr>
          <w:sz w:val="24"/>
          <w:szCs w:val="24"/>
        </w:rPr>
      </w:pPr>
      <w:r w:rsidRPr="00D55D55">
        <w:rPr>
          <w:sz w:val="24"/>
          <w:szCs w:val="24"/>
        </w:rPr>
        <w:t>________________________________________________________________</w:t>
      </w:r>
      <w:r w:rsidR="00AE3CC8">
        <w:rPr>
          <w:sz w:val="24"/>
          <w:szCs w:val="24"/>
        </w:rPr>
        <w:t>___</w:t>
      </w:r>
    </w:p>
    <w:p w14:paraId="42D54CA4" w14:textId="77777777" w:rsidR="00FC292C" w:rsidRPr="00FC292C" w:rsidRDefault="00D2487B" w:rsidP="00FC292C">
      <w:pPr>
        <w:spacing w:line="360" w:lineRule="auto"/>
        <w:jc w:val="both"/>
        <w:rPr>
          <w:sz w:val="24"/>
          <w:szCs w:val="24"/>
        </w:rPr>
      </w:pPr>
      <w:r w:rsidRPr="00FC292C">
        <w:rPr>
          <w:sz w:val="24"/>
          <w:szCs w:val="24"/>
        </w:rPr>
        <w:t xml:space="preserve">On appeal from: </w:t>
      </w:r>
      <w:r w:rsidR="00DD175F" w:rsidRPr="00FC292C">
        <w:rPr>
          <w:sz w:val="24"/>
          <w:szCs w:val="24"/>
        </w:rPr>
        <w:t>Western Cape</w:t>
      </w:r>
      <w:r w:rsidRPr="00FC292C">
        <w:rPr>
          <w:sz w:val="24"/>
          <w:szCs w:val="24"/>
        </w:rPr>
        <w:t xml:space="preserve"> Division of the High Court, </w:t>
      </w:r>
      <w:r w:rsidR="00DD175F" w:rsidRPr="00FC292C">
        <w:rPr>
          <w:sz w:val="24"/>
          <w:szCs w:val="24"/>
        </w:rPr>
        <w:t xml:space="preserve">Cape Town </w:t>
      </w:r>
      <w:r w:rsidRPr="00FC292C">
        <w:rPr>
          <w:sz w:val="24"/>
          <w:szCs w:val="24"/>
        </w:rPr>
        <w:t>(</w:t>
      </w:r>
      <w:r w:rsidR="00DD175F" w:rsidRPr="00FC292C">
        <w:rPr>
          <w:sz w:val="24"/>
          <w:szCs w:val="24"/>
        </w:rPr>
        <w:t xml:space="preserve">Bozalek J </w:t>
      </w:r>
      <w:r w:rsidRPr="00FC292C">
        <w:rPr>
          <w:sz w:val="24"/>
          <w:szCs w:val="24"/>
        </w:rPr>
        <w:t xml:space="preserve">sitting as court of first instance): </w:t>
      </w:r>
      <w:r w:rsidR="00FC292C" w:rsidRPr="00FC292C">
        <w:rPr>
          <w:sz w:val="24"/>
          <w:szCs w:val="24"/>
        </w:rPr>
        <w:t xml:space="preserve">judgment reported </w:t>
      </w:r>
      <w:r w:rsidR="003F15F5" w:rsidRPr="001F42A8">
        <w:rPr>
          <w:i/>
          <w:sz w:val="24"/>
          <w:szCs w:val="24"/>
        </w:rPr>
        <w:t>sub nom</w:t>
      </w:r>
      <w:r w:rsidR="003F15F5" w:rsidRPr="001F42A8">
        <w:rPr>
          <w:sz w:val="24"/>
          <w:szCs w:val="24"/>
        </w:rPr>
        <w:t xml:space="preserve"> </w:t>
      </w:r>
      <w:r w:rsidR="00FC292C" w:rsidRPr="00FC292C">
        <w:rPr>
          <w:i/>
          <w:iCs/>
          <w:sz w:val="24"/>
          <w:szCs w:val="24"/>
        </w:rPr>
        <w:t>BAE Estates and Escapes (Pty) Ltd v Trustees for the Time Being of the Legacy Body Corporate and Another</w:t>
      </w:r>
      <w:r w:rsidR="00FC292C" w:rsidRPr="00FC292C">
        <w:rPr>
          <w:sz w:val="24"/>
          <w:szCs w:val="24"/>
        </w:rPr>
        <w:t xml:space="preserve"> 2020 (4) SA 514 (WCC).</w:t>
      </w:r>
    </w:p>
    <w:p w14:paraId="0BEA0AFF" w14:textId="77777777" w:rsidR="00D2487B" w:rsidRPr="00D55D55" w:rsidRDefault="00D2487B" w:rsidP="00D2487B">
      <w:pPr>
        <w:spacing w:line="360" w:lineRule="auto"/>
        <w:jc w:val="both"/>
        <w:rPr>
          <w:sz w:val="24"/>
          <w:szCs w:val="24"/>
        </w:rPr>
      </w:pPr>
    </w:p>
    <w:p w14:paraId="2CB47CD4" w14:textId="77777777" w:rsidR="00D2487B" w:rsidRPr="00D55D55" w:rsidRDefault="00D2487B" w:rsidP="007C2CFE">
      <w:pPr>
        <w:spacing w:line="360" w:lineRule="auto"/>
        <w:ind w:right="170"/>
        <w:jc w:val="both"/>
        <w:rPr>
          <w:sz w:val="24"/>
          <w:szCs w:val="24"/>
        </w:rPr>
      </w:pPr>
      <w:bookmarkStart w:id="1" w:name="_Hlk74359997"/>
      <w:r w:rsidRPr="00D55D55">
        <w:rPr>
          <w:sz w:val="24"/>
          <w:szCs w:val="24"/>
        </w:rPr>
        <w:t>The appeal is</w:t>
      </w:r>
      <w:bookmarkStart w:id="2" w:name="_Hlk67186368"/>
      <w:bookmarkStart w:id="3" w:name="_Hlk58083911"/>
      <w:r w:rsidR="00553799">
        <w:rPr>
          <w:sz w:val="24"/>
          <w:szCs w:val="24"/>
        </w:rPr>
        <w:t xml:space="preserve"> </w:t>
      </w:r>
      <w:r w:rsidR="005E5AA2" w:rsidRPr="007C2CFE">
        <w:rPr>
          <w:sz w:val="24"/>
          <w:szCs w:val="24"/>
        </w:rPr>
        <w:t>dismissed with costs, including the costs of two counsel.</w:t>
      </w:r>
    </w:p>
    <w:bookmarkEnd w:id="1"/>
    <w:bookmarkEnd w:id="2"/>
    <w:bookmarkEnd w:id="3"/>
    <w:p w14:paraId="2325A097" w14:textId="77777777" w:rsidR="00D2487B" w:rsidRPr="00D55D55" w:rsidRDefault="00D2487B" w:rsidP="00D2487B">
      <w:pPr>
        <w:spacing w:after="120" w:line="360" w:lineRule="auto"/>
        <w:jc w:val="both"/>
        <w:rPr>
          <w:b/>
          <w:sz w:val="24"/>
          <w:szCs w:val="24"/>
        </w:rPr>
      </w:pPr>
      <w:r w:rsidRPr="00D55D55">
        <w:rPr>
          <w:sz w:val="24"/>
          <w:szCs w:val="24"/>
        </w:rPr>
        <w:t>________________________________________________________________</w:t>
      </w:r>
      <w:r w:rsidR="00AE3CC8">
        <w:rPr>
          <w:sz w:val="24"/>
          <w:szCs w:val="24"/>
        </w:rPr>
        <w:t>___</w:t>
      </w:r>
    </w:p>
    <w:p w14:paraId="758E96F2" w14:textId="77777777" w:rsidR="00D2487B" w:rsidRPr="00D55D55" w:rsidRDefault="00D2487B" w:rsidP="00D2487B">
      <w:pPr>
        <w:spacing w:line="360" w:lineRule="auto"/>
        <w:jc w:val="center"/>
        <w:rPr>
          <w:b/>
          <w:sz w:val="24"/>
          <w:szCs w:val="24"/>
        </w:rPr>
      </w:pPr>
      <w:r w:rsidRPr="00D55D55">
        <w:rPr>
          <w:b/>
          <w:sz w:val="24"/>
          <w:szCs w:val="24"/>
        </w:rPr>
        <w:t>JUDGMENT</w:t>
      </w:r>
    </w:p>
    <w:p w14:paraId="7A41B6CD" w14:textId="77777777" w:rsidR="00D2487B" w:rsidRPr="00D55D55" w:rsidRDefault="00D2487B" w:rsidP="00D2487B">
      <w:pPr>
        <w:spacing w:after="240" w:line="360" w:lineRule="auto"/>
        <w:jc w:val="both"/>
        <w:rPr>
          <w:sz w:val="24"/>
          <w:szCs w:val="24"/>
        </w:rPr>
      </w:pPr>
      <w:r w:rsidRPr="00D55D55">
        <w:rPr>
          <w:sz w:val="24"/>
          <w:szCs w:val="24"/>
        </w:rPr>
        <w:t>________________________________________________________________</w:t>
      </w:r>
      <w:r w:rsidR="00AE3CC8">
        <w:rPr>
          <w:sz w:val="24"/>
          <w:szCs w:val="24"/>
        </w:rPr>
        <w:t>___</w:t>
      </w:r>
    </w:p>
    <w:p w14:paraId="460EBE19" w14:textId="231905B8" w:rsidR="00AE3CC8" w:rsidRPr="003F15F5" w:rsidRDefault="00D2487B" w:rsidP="003F15F5">
      <w:pPr>
        <w:spacing w:after="120" w:line="360" w:lineRule="auto"/>
        <w:jc w:val="both"/>
        <w:rPr>
          <w:b/>
          <w:sz w:val="24"/>
          <w:szCs w:val="24"/>
        </w:rPr>
      </w:pPr>
      <w:bookmarkStart w:id="4" w:name="_Hlk58083624"/>
      <w:r w:rsidRPr="00D55D55">
        <w:rPr>
          <w:b/>
          <w:sz w:val="24"/>
          <w:szCs w:val="24"/>
        </w:rPr>
        <w:t>Makgoka JA</w:t>
      </w:r>
      <w:bookmarkEnd w:id="4"/>
      <w:r w:rsidR="00FF770B">
        <w:rPr>
          <w:b/>
          <w:sz w:val="24"/>
          <w:szCs w:val="24"/>
        </w:rPr>
        <w:t xml:space="preserve"> </w:t>
      </w:r>
      <w:r w:rsidR="00DD2BCD" w:rsidRPr="007C2CFE">
        <w:rPr>
          <w:b/>
          <w:sz w:val="24"/>
          <w:szCs w:val="24"/>
        </w:rPr>
        <w:t>(Petse AP, Mbha JA and Potterill and Phatshoane concurring)</w:t>
      </w:r>
      <w:r w:rsidR="002A7734" w:rsidRPr="00A82DA8">
        <w:rPr>
          <w:b/>
          <w:sz w:val="24"/>
          <w:szCs w:val="24"/>
        </w:rPr>
        <w:t>:</w:t>
      </w:r>
    </w:p>
    <w:p w14:paraId="3E9FA704" w14:textId="69F6E4FA" w:rsidR="000B42EE" w:rsidRPr="00732AF5" w:rsidRDefault="00D07D58" w:rsidP="00D07D58">
      <w:pPr>
        <w:widowControl/>
        <w:autoSpaceDE/>
        <w:autoSpaceDN/>
        <w:adjustRightInd/>
        <w:spacing w:after="360" w:line="360" w:lineRule="auto"/>
        <w:jc w:val="both"/>
        <w:rPr>
          <w:bCs/>
          <w:sz w:val="24"/>
          <w:szCs w:val="24"/>
        </w:rPr>
      </w:pPr>
      <w:r w:rsidRPr="00732AF5">
        <w:rPr>
          <w:rFonts w:eastAsia="Times New Roman"/>
          <w:bCs/>
          <w:sz w:val="24"/>
          <w:szCs w:val="24"/>
        </w:rPr>
        <w:t>[1]</w:t>
      </w:r>
      <w:r w:rsidRPr="00732AF5">
        <w:rPr>
          <w:rFonts w:eastAsia="Times New Roman"/>
          <w:bCs/>
          <w:sz w:val="24"/>
          <w:szCs w:val="24"/>
        </w:rPr>
        <w:tab/>
      </w:r>
      <w:r w:rsidR="00030557" w:rsidRPr="003C634D">
        <w:rPr>
          <w:bCs/>
          <w:sz w:val="24"/>
          <w:szCs w:val="24"/>
        </w:rPr>
        <w:t xml:space="preserve">In May 2019 the appellant, the Trustees for the Body Corporate for The Time Being of the </w:t>
      </w:r>
      <w:bookmarkStart w:id="5" w:name="_Hlk80904011"/>
      <w:r w:rsidR="00030557" w:rsidRPr="003C634D">
        <w:rPr>
          <w:bCs/>
          <w:sz w:val="24"/>
          <w:szCs w:val="24"/>
        </w:rPr>
        <w:t xml:space="preserve">Legacy Body Corporate </w:t>
      </w:r>
      <w:bookmarkEnd w:id="5"/>
      <w:r w:rsidR="00030557" w:rsidRPr="003C634D">
        <w:rPr>
          <w:bCs/>
          <w:sz w:val="24"/>
          <w:szCs w:val="24"/>
        </w:rPr>
        <w:t>(the trustees)</w:t>
      </w:r>
      <w:r w:rsidR="0063285B" w:rsidRPr="003C634D">
        <w:rPr>
          <w:bCs/>
          <w:sz w:val="24"/>
          <w:szCs w:val="24"/>
        </w:rPr>
        <w:t xml:space="preserve">, </w:t>
      </w:r>
      <w:r w:rsidR="00D85C7E" w:rsidRPr="003C634D">
        <w:rPr>
          <w:bCs/>
          <w:sz w:val="24"/>
          <w:szCs w:val="24"/>
        </w:rPr>
        <w:t xml:space="preserve">decided </w:t>
      </w:r>
      <w:r w:rsidR="00030557" w:rsidRPr="003C634D">
        <w:rPr>
          <w:bCs/>
          <w:sz w:val="24"/>
          <w:szCs w:val="24"/>
        </w:rPr>
        <w:t>to prohibit the first</w:t>
      </w:r>
      <w:r w:rsidR="00503404">
        <w:rPr>
          <w:bCs/>
          <w:sz w:val="24"/>
          <w:szCs w:val="24"/>
        </w:rPr>
        <w:t> </w:t>
      </w:r>
      <w:r w:rsidR="00030557" w:rsidRPr="003C634D">
        <w:rPr>
          <w:bCs/>
          <w:sz w:val="24"/>
          <w:szCs w:val="24"/>
        </w:rPr>
        <w:t>respondent, Bae Estates and Escapes (Pty) Ltd (Bae Estates), from operating within a sectional title scheme</w:t>
      </w:r>
      <w:r w:rsidR="00B12F5A">
        <w:rPr>
          <w:bCs/>
          <w:sz w:val="24"/>
          <w:szCs w:val="24"/>
        </w:rPr>
        <w:t xml:space="preserve"> (the scheme)</w:t>
      </w:r>
      <w:r w:rsidR="00030557" w:rsidRPr="003C634D">
        <w:rPr>
          <w:bCs/>
          <w:sz w:val="24"/>
          <w:szCs w:val="24"/>
        </w:rPr>
        <w:t xml:space="preserve"> administered by the trustees</w:t>
      </w:r>
      <w:r w:rsidR="006B37F8" w:rsidRPr="003C634D">
        <w:rPr>
          <w:bCs/>
          <w:sz w:val="24"/>
          <w:szCs w:val="24"/>
        </w:rPr>
        <w:t xml:space="preserve"> in Green</w:t>
      </w:r>
      <w:r w:rsidR="00503404">
        <w:rPr>
          <w:bCs/>
          <w:sz w:val="24"/>
          <w:szCs w:val="24"/>
        </w:rPr>
        <w:t> </w:t>
      </w:r>
      <w:r w:rsidR="006B37F8" w:rsidRPr="003C634D">
        <w:rPr>
          <w:bCs/>
          <w:sz w:val="24"/>
          <w:szCs w:val="24"/>
        </w:rPr>
        <w:t>Point, Cape Town</w:t>
      </w:r>
      <w:r w:rsidR="00030557" w:rsidRPr="003C634D">
        <w:rPr>
          <w:bCs/>
          <w:sz w:val="24"/>
          <w:szCs w:val="24"/>
        </w:rPr>
        <w:t>.</w:t>
      </w:r>
      <w:r w:rsidR="00F128CC" w:rsidRPr="003C634D">
        <w:rPr>
          <w:bCs/>
          <w:sz w:val="24"/>
          <w:szCs w:val="24"/>
        </w:rPr>
        <w:t xml:space="preserve"> </w:t>
      </w:r>
      <w:r w:rsidR="00D85C7E" w:rsidRPr="00732AF5">
        <w:rPr>
          <w:bCs/>
          <w:sz w:val="24"/>
          <w:szCs w:val="24"/>
        </w:rPr>
        <w:t>On 4 February 2020 the Western Cape Division of the High Court (the</w:t>
      </w:r>
      <w:r w:rsidR="0068462F" w:rsidRPr="00732AF5">
        <w:rPr>
          <w:bCs/>
          <w:sz w:val="24"/>
          <w:szCs w:val="24"/>
        </w:rPr>
        <w:t> </w:t>
      </w:r>
      <w:r w:rsidR="00D85C7E" w:rsidRPr="00732AF5">
        <w:rPr>
          <w:bCs/>
          <w:sz w:val="24"/>
          <w:szCs w:val="24"/>
        </w:rPr>
        <w:t>high</w:t>
      </w:r>
      <w:r w:rsidR="0068462F" w:rsidRPr="00732AF5">
        <w:rPr>
          <w:bCs/>
          <w:sz w:val="24"/>
          <w:szCs w:val="24"/>
        </w:rPr>
        <w:t> </w:t>
      </w:r>
      <w:r w:rsidR="00D85C7E" w:rsidRPr="00732AF5">
        <w:rPr>
          <w:bCs/>
          <w:sz w:val="24"/>
          <w:szCs w:val="24"/>
        </w:rPr>
        <w:t xml:space="preserve">court), at the instance of Bae Estates, </w:t>
      </w:r>
      <w:r w:rsidR="002F649A" w:rsidRPr="00732AF5">
        <w:rPr>
          <w:bCs/>
          <w:sz w:val="24"/>
          <w:szCs w:val="24"/>
        </w:rPr>
        <w:t xml:space="preserve">set aside the trustees’ decision.               It </w:t>
      </w:r>
      <w:r w:rsidR="00D85C7E" w:rsidRPr="00732AF5">
        <w:rPr>
          <w:bCs/>
          <w:sz w:val="24"/>
          <w:szCs w:val="24"/>
        </w:rPr>
        <w:t>concluded that the decision was an administrative action envisaged in the Promotion of Administrative Justice Act 3 of 2000 (PAJA)</w:t>
      </w:r>
      <w:r w:rsidR="002F649A" w:rsidRPr="00732AF5">
        <w:rPr>
          <w:bCs/>
          <w:sz w:val="24"/>
          <w:szCs w:val="24"/>
        </w:rPr>
        <w:t xml:space="preserve">, and that, </w:t>
      </w:r>
      <w:r w:rsidR="00732AF5">
        <w:rPr>
          <w:bCs/>
          <w:sz w:val="24"/>
          <w:szCs w:val="24"/>
        </w:rPr>
        <w:t xml:space="preserve">in any event, </w:t>
      </w:r>
      <w:r w:rsidR="00D85C7E" w:rsidRPr="00732AF5">
        <w:rPr>
          <w:bCs/>
          <w:sz w:val="24"/>
          <w:szCs w:val="24"/>
        </w:rPr>
        <w:t>the decision</w:t>
      </w:r>
      <w:r w:rsidR="00732AF5">
        <w:rPr>
          <w:bCs/>
          <w:sz w:val="24"/>
          <w:szCs w:val="24"/>
        </w:rPr>
        <w:t xml:space="preserve"> </w:t>
      </w:r>
      <w:r w:rsidR="002F649A" w:rsidRPr="00732AF5">
        <w:rPr>
          <w:bCs/>
          <w:sz w:val="24"/>
          <w:szCs w:val="24"/>
        </w:rPr>
        <w:t xml:space="preserve">was </w:t>
      </w:r>
      <w:r w:rsidR="00D85C7E" w:rsidRPr="00732AF5">
        <w:rPr>
          <w:bCs/>
          <w:sz w:val="24"/>
          <w:szCs w:val="24"/>
        </w:rPr>
        <w:t>reviewable at common</w:t>
      </w:r>
      <w:r w:rsidR="002F649A" w:rsidRPr="00732AF5">
        <w:rPr>
          <w:bCs/>
          <w:sz w:val="24"/>
          <w:szCs w:val="24"/>
        </w:rPr>
        <w:t xml:space="preserve"> law</w:t>
      </w:r>
      <w:r w:rsidR="00D85C7E" w:rsidRPr="00732AF5">
        <w:rPr>
          <w:bCs/>
          <w:sz w:val="24"/>
          <w:szCs w:val="24"/>
        </w:rPr>
        <w:t xml:space="preserve">. </w:t>
      </w:r>
      <w:bookmarkStart w:id="6" w:name="_Hlk83033215"/>
      <w:r w:rsidR="002F649A" w:rsidRPr="00732AF5">
        <w:rPr>
          <w:bCs/>
          <w:sz w:val="24"/>
          <w:szCs w:val="24"/>
        </w:rPr>
        <w:t>The appeal is with the leave of the high court.</w:t>
      </w:r>
      <w:bookmarkEnd w:id="6"/>
      <w:r w:rsidR="00D85C7E" w:rsidRPr="00732AF5">
        <w:rPr>
          <w:bCs/>
          <w:sz w:val="24"/>
          <w:szCs w:val="24"/>
        </w:rPr>
        <w:t xml:space="preserve"> </w:t>
      </w:r>
    </w:p>
    <w:p w14:paraId="0DD70771" w14:textId="7CA1E5B9" w:rsidR="007C2CFE" w:rsidRDefault="00D07D58" w:rsidP="00D07D58">
      <w:pPr>
        <w:widowControl/>
        <w:autoSpaceDE/>
        <w:autoSpaceDN/>
        <w:adjustRightInd/>
        <w:spacing w:after="360" w:line="360" w:lineRule="auto"/>
        <w:jc w:val="both"/>
        <w:rPr>
          <w:bCs/>
          <w:sz w:val="24"/>
          <w:szCs w:val="24"/>
        </w:rPr>
      </w:pPr>
      <w:r>
        <w:rPr>
          <w:rFonts w:eastAsia="Times New Roman"/>
          <w:bCs/>
          <w:sz w:val="24"/>
          <w:szCs w:val="24"/>
        </w:rPr>
        <w:t>[2]</w:t>
      </w:r>
      <w:r>
        <w:rPr>
          <w:rFonts w:eastAsia="Times New Roman"/>
          <w:bCs/>
          <w:sz w:val="24"/>
          <w:szCs w:val="24"/>
        </w:rPr>
        <w:tab/>
      </w:r>
      <w:r w:rsidR="00B12F5A">
        <w:rPr>
          <w:sz w:val="24"/>
          <w:szCs w:val="24"/>
        </w:rPr>
        <w:t xml:space="preserve">The body corporate was </w:t>
      </w:r>
      <w:r w:rsidR="00B12F5A" w:rsidRPr="003C634D">
        <w:rPr>
          <w:sz w:val="24"/>
          <w:szCs w:val="24"/>
        </w:rPr>
        <w:t>established in terms of s 2 of the Sectional Title Schemes Management Act 8 of 2011 (the ‘Schemes Management Act’ or ‘the Act’)</w:t>
      </w:r>
      <w:r w:rsidR="00B12F5A">
        <w:rPr>
          <w:sz w:val="24"/>
          <w:szCs w:val="24"/>
        </w:rPr>
        <w:t xml:space="preserve">. </w:t>
      </w:r>
      <w:r w:rsidR="00B12F5A" w:rsidRPr="005E209A">
        <w:rPr>
          <w:sz w:val="24"/>
          <w:szCs w:val="24"/>
        </w:rPr>
        <w:t xml:space="preserve">In terms of s 10 of the Schemes Management Act, a </w:t>
      </w:r>
      <w:r w:rsidR="00B12F5A">
        <w:rPr>
          <w:sz w:val="24"/>
          <w:szCs w:val="24"/>
        </w:rPr>
        <w:t xml:space="preserve">sectional title </w:t>
      </w:r>
      <w:r w:rsidR="00B12F5A" w:rsidRPr="005E209A">
        <w:rPr>
          <w:sz w:val="24"/>
          <w:szCs w:val="24"/>
        </w:rPr>
        <w:t>scheme must as from the date of the establishment of the body corporate</w:t>
      </w:r>
      <w:r w:rsidR="000C70E2">
        <w:rPr>
          <w:sz w:val="24"/>
          <w:szCs w:val="24"/>
        </w:rPr>
        <w:t>,</w:t>
      </w:r>
      <w:r w:rsidR="00B12F5A" w:rsidRPr="005E209A">
        <w:rPr>
          <w:sz w:val="24"/>
          <w:szCs w:val="24"/>
        </w:rPr>
        <w:t xml:space="preserve"> be regulated and managed by means of rules which must provide for the regulation, management, administration</w:t>
      </w:r>
      <w:r w:rsidR="000C70E2">
        <w:rPr>
          <w:sz w:val="24"/>
          <w:szCs w:val="24"/>
        </w:rPr>
        <w:t xml:space="preserve"> </w:t>
      </w:r>
      <w:r w:rsidR="000C70E2" w:rsidRPr="00553799">
        <w:rPr>
          <w:sz w:val="24"/>
          <w:szCs w:val="24"/>
        </w:rPr>
        <w:t>and</w:t>
      </w:r>
      <w:r w:rsidR="000C70E2">
        <w:rPr>
          <w:sz w:val="24"/>
          <w:szCs w:val="24"/>
        </w:rPr>
        <w:t xml:space="preserve"> </w:t>
      </w:r>
      <w:r w:rsidR="00B12F5A" w:rsidRPr="005E209A">
        <w:rPr>
          <w:sz w:val="24"/>
          <w:szCs w:val="24"/>
        </w:rPr>
        <w:t>use and enjoyment of sections and common property. In terms of s 10(2), the rules must comprise (a) management rules and (b) conduct rules.</w:t>
      </w:r>
    </w:p>
    <w:p w14:paraId="0D453C5E" w14:textId="1DE53152" w:rsidR="00FA58CA" w:rsidRPr="007C2CFE" w:rsidRDefault="00D07D58" w:rsidP="00D07D58">
      <w:pPr>
        <w:widowControl/>
        <w:autoSpaceDE/>
        <w:autoSpaceDN/>
        <w:adjustRightInd/>
        <w:spacing w:after="360" w:line="360" w:lineRule="auto"/>
        <w:jc w:val="both"/>
        <w:rPr>
          <w:bCs/>
          <w:sz w:val="24"/>
          <w:szCs w:val="24"/>
        </w:rPr>
      </w:pPr>
      <w:r w:rsidRPr="007C2CFE">
        <w:rPr>
          <w:rFonts w:eastAsia="Times New Roman"/>
          <w:bCs/>
          <w:sz w:val="24"/>
          <w:szCs w:val="24"/>
        </w:rPr>
        <w:lastRenderedPageBreak/>
        <w:t>[3]</w:t>
      </w:r>
      <w:r w:rsidRPr="007C2CFE">
        <w:rPr>
          <w:rFonts w:eastAsia="Times New Roman"/>
          <w:bCs/>
          <w:sz w:val="24"/>
          <w:szCs w:val="24"/>
        </w:rPr>
        <w:tab/>
      </w:r>
      <w:r w:rsidR="00FA58CA" w:rsidRPr="007C2CFE">
        <w:rPr>
          <w:bCs/>
          <w:sz w:val="24"/>
          <w:szCs w:val="24"/>
        </w:rPr>
        <w:t xml:space="preserve">The facts which gave rise to the </w:t>
      </w:r>
      <w:r w:rsidR="005E5AA2" w:rsidRPr="007C2CFE">
        <w:rPr>
          <w:bCs/>
          <w:sz w:val="24"/>
          <w:szCs w:val="24"/>
        </w:rPr>
        <w:t xml:space="preserve">dispute between the parties </w:t>
      </w:r>
      <w:r w:rsidR="00FA58CA" w:rsidRPr="007C2CFE">
        <w:rPr>
          <w:bCs/>
          <w:sz w:val="24"/>
          <w:szCs w:val="24"/>
        </w:rPr>
        <w:t xml:space="preserve">are uncontroversial. </w:t>
      </w:r>
      <w:bookmarkStart w:id="7" w:name="_Hlk80818113"/>
      <w:r w:rsidR="00FA58CA" w:rsidRPr="007C2CFE">
        <w:rPr>
          <w:bCs/>
          <w:sz w:val="24"/>
          <w:szCs w:val="24"/>
        </w:rPr>
        <w:t xml:space="preserve">Bae Estates </w:t>
      </w:r>
      <w:bookmarkEnd w:id="7"/>
      <w:r w:rsidR="00FA58CA" w:rsidRPr="007C2CFE">
        <w:rPr>
          <w:bCs/>
          <w:sz w:val="24"/>
          <w:szCs w:val="24"/>
        </w:rPr>
        <w:t>is an estate agency that sells and rents properties on behalf of property owners in Cape</w:t>
      </w:r>
      <w:r w:rsidR="000471FD" w:rsidRPr="007C2CFE">
        <w:rPr>
          <w:bCs/>
          <w:sz w:val="24"/>
          <w:szCs w:val="24"/>
        </w:rPr>
        <w:t> </w:t>
      </w:r>
      <w:r w:rsidR="00FA58CA" w:rsidRPr="007C2CFE">
        <w:rPr>
          <w:bCs/>
          <w:sz w:val="24"/>
          <w:szCs w:val="24"/>
        </w:rPr>
        <w:t>Town and the surrounding areas. In May 2018 it was engaged by a</w:t>
      </w:r>
      <w:r w:rsidR="00B12F5A" w:rsidRPr="007C2CFE">
        <w:rPr>
          <w:bCs/>
          <w:sz w:val="24"/>
          <w:szCs w:val="24"/>
        </w:rPr>
        <w:t xml:space="preserve"> property</w:t>
      </w:r>
      <w:r w:rsidR="00FA58CA" w:rsidRPr="007C2CFE">
        <w:rPr>
          <w:bCs/>
          <w:sz w:val="24"/>
          <w:szCs w:val="24"/>
        </w:rPr>
        <w:t xml:space="preserve"> owner in the scheme, to procure a tenant for </w:t>
      </w:r>
      <w:r w:rsidR="00B12F5A" w:rsidRPr="007C2CFE">
        <w:rPr>
          <w:bCs/>
          <w:sz w:val="24"/>
          <w:szCs w:val="24"/>
        </w:rPr>
        <w:t xml:space="preserve">his property </w:t>
      </w:r>
      <w:r w:rsidR="00FA58CA" w:rsidRPr="007C2CFE">
        <w:rPr>
          <w:bCs/>
          <w:sz w:val="24"/>
          <w:szCs w:val="24"/>
        </w:rPr>
        <w:t>on a long-term rental. Bae</w:t>
      </w:r>
      <w:r w:rsidR="000471FD" w:rsidRPr="007C2CFE">
        <w:rPr>
          <w:bCs/>
          <w:sz w:val="24"/>
          <w:szCs w:val="24"/>
        </w:rPr>
        <w:t> </w:t>
      </w:r>
      <w:r w:rsidR="00FA58CA" w:rsidRPr="007C2CFE">
        <w:rPr>
          <w:bCs/>
          <w:sz w:val="24"/>
          <w:szCs w:val="24"/>
        </w:rPr>
        <w:t xml:space="preserve">Estates delivered on its mandate, and a lease agreement was concluded between the tenant and the owner in July 2018. In terms of the lease agreement, among other provisions, the tenant was permitted to sub-let the </w:t>
      </w:r>
      <w:r w:rsidR="00656F77" w:rsidRPr="007C2CFE">
        <w:rPr>
          <w:bCs/>
          <w:sz w:val="24"/>
          <w:szCs w:val="24"/>
        </w:rPr>
        <w:t xml:space="preserve">property on short-term holiday lease, </w:t>
      </w:r>
      <w:r w:rsidR="00E1090B" w:rsidRPr="007C2CFE">
        <w:rPr>
          <w:bCs/>
          <w:sz w:val="24"/>
          <w:szCs w:val="24"/>
        </w:rPr>
        <w:t>which</w:t>
      </w:r>
      <w:r w:rsidR="00FA58CA" w:rsidRPr="007C2CFE">
        <w:rPr>
          <w:bCs/>
          <w:sz w:val="24"/>
          <w:szCs w:val="24"/>
        </w:rPr>
        <w:t xml:space="preserve"> </w:t>
      </w:r>
      <w:r w:rsidR="000C70E2" w:rsidRPr="007C2CFE">
        <w:rPr>
          <w:bCs/>
          <w:sz w:val="24"/>
          <w:szCs w:val="24"/>
        </w:rPr>
        <w:t xml:space="preserve">the tenant </w:t>
      </w:r>
      <w:r w:rsidR="005E5AA2" w:rsidRPr="007C2CFE">
        <w:rPr>
          <w:bCs/>
          <w:sz w:val="24"/>
          <w:szCs w:val="24"/>
        </w:rPr>
        <w:t xml:space="preserve">himself </w:t>
      </w:r>
      <w:r w:rsidR="00E1090B" w:rsidRPr="007C2CFE">
        <w:rPr>
          <w:bCs/>
          <w:sz w:val="24"/>
          <w:szCs w:val="24"/>
        </w:rPr>
        <w:t>l</w:t>
      </w:r>
      <w:r w:rsidR="00FA58CA" w:rsidRPr="007C2CFE">
        <w:rPr>
          <w:bCs/>
          <w:sz w:val="24"/>
          <w:szCs w:val="24"/>
        </w:rPr>
        <w:t xml:space="preserve">ater </w:t>
      </w:r>
      <w:r w:rsidR="00E1090B" w:rsidRPr="007C2CFE">
        <w:rPr>
          <w:bCs/>
          <w:sz w:val="24"/>
          <w:szCs w:val="24"/>
        </w:rPr>
        <w:t>did</w:t>
      </w:r>
      <w:r w:rsidR="005E5AA2" w:rsidRPr="007C2CFE">
        <w:rPr>
          <w:bCs/>
          <w:sz w:val="24"/>
          <w:szCs w:val="24"/>
        </w:rPr>
        <w:t xml:space="preserve"> without reference to Bae Estates</w:t>
      </w:r>
      <w:r w:rsidR="00E1090B" w:rsidRPr="007C2CFE">
        <w:rPr>
          <w:bCs/>
          <w:sz w:val="24"/>
          <w:szCs w:val="24"/>
        </w:rPr>
        <w:t>.</w:t>
      </w:r>
      <w:r w:rsidR="00FA58CA" w:rsidRPr="007C2CFE">
        <w:rPr>
          <w:bCs/>
          <w:sz w:val="24"/>
          <w:szCs w:val="24"/>
        </w:rPr>
        <w:t xml:space="preserve"> </w:t>
      </w:r>
      <w:r w:rsidR="00D0145B" w:rsidRPr="007C2CFE">
        <w:rPr>
          <w:bCs/>
          <w:sz w:val="24"/>
          <w:szCs w:val="24"/>
        </w:rPr>
        <w:t>Subsequently, t</w:t>
      </w:r>
      <w:r w:rsidR="00FA58CA" w:rsidRPr="007C2CFE">
        <w:rPr>
          <w:bCs/>
          <w:sz w:val="24"/>
          <w:szCs w:val="24"/>
        </w:rPr>
        <w:t xml:space="preserve">here were complaints by </w:t>
      </w:r>
      <w:r w:rsidR="00656F77" w:rsidRPr="007C2CFE">
        <w:rPr>
          <w:bCs/>
          <w:sz w:val="24"/>
          <w:szCs w:val="24"/>
        </w:rPr>
        <w:t xml:space="preserve">some property </w:t>
      </w:r>
      <w:r w:rsidR="00FA58CA" w:rsidRPr="007C2CFE">
        <w:rPr>
          <w:bCs/>
          <w:sz w:val="24"/>
          <w:szCs w:val="24"/>
        </w:rPr>
        <w:t>owners about the conduct of some of the sub-tenants, including excessive noise and other unruly behaviour. According to the trustees, these sub-tenants were sourced by Bae Estates, which they accused of having failed to properly vet the</w:t>
      </w:r>
      <w:r w:rsidR="000B374A" w:rsidRPr="007C2CFE">
        <w:rPr>
          <w:bCs/>
          <w:sz w:val="24"/>
          <w:szCs w:val="24"/>
        </w:rPr>
        <w:t xml:space="preserve"> </w:t>
      </w:r>
      <w:r w:rsidR="00FA58CA" w:rsidRPr="007C2CFE">
        <w:rPr>
          <w:bCs/>
          <w:sz w:val="24"/>
          <w:szCs w:val="24"/>
        </w:rPr>
        <w:t xml:space="preserve">sub-tenants. </w:t>
      </w:r>
      <w:r w:rsidR="005E5AA2" w:rsidRPr="007C2CFE">
        <w:rPr>
          <w:bCs/>
          <w:sz w:val="24"/>
          <w:szCs w:val="24"/>
        </w:rPr>
        <w:t>For its part, Bae Estates denied that it had procured the sub</w:t>
      </w:r>
      <w:r w:rsidR="00A84866" w:rsidRPr="007C2CFE">
        <w:rPr>
          <w:bCs/>
          <w:sz w:val="24"/>
          <w:szCs w:val="24"/>
        </w:rPr>
        <w:t>-</w:t>
      </w:r>
      <w:r w:rsidR="005E5AA2" w:rsidRPr="007C2CFE">
        <w:rPr>
          <w:bCs/>
          <w:sz w:val="24"/>
          <w:szCs w:val="24"/>
        </w:rPr>
        <w:t>tenants on behalf of the owner.</w:t>
      </w:r>
    </w:p>
    <w:p w14:paraId="34298C1C" w14:textId="278B165A" w:rsidR="00D44A6A" w:rsidRPr="003C634D" w:rsidRDefault="00D07D58" w:rsidP="00D07D58">
      <w:pPr>
        <w:widowControl/>
        <w:autoSpaceDE/>
        <w:autoSpaceDN/>
        <w:adjustRightInd/>
        <w:spacing w:line="360" w:lineRule="auto"/>
        <w:jc w:val="both"/>
        <w:rPr>
          <w:bCs/>
          <w:sz w:val="24"/>
          <w:szCs w:val="24"/>
        </w:rPr>
      </w:pPr>
      <w:r w:rsidRPr="003C634D">
        <w:rPr>
          <w:rFonts w:eastAsia="Times New Roman"/>
          <w:bCs/>
          <w:sz w:val="24"/>
          <w:szCs w:val="24"/>
        </w:rPr>
        <w:t>[4]</w:t>
      </w:r>
      <w:r w:rsidRPr="003C634D">
        <w:rPr>
          <w:rFonts w:eastAsia="Times New Roman"/>
          <w:bCs/>
          <w:sz w:val="24"/>
          <w:szCs w:val="24"/>
        </w:rPr>
        <w:tab/>
      </w:r>
      <w:r w:rsidR="00FA58CA" w:rsidRPr="003C634D">
        <w:rPr>
          <w:bCs/>
          <w:sz w:val="24"/>
          <w:szCs w:val="24"/>
        </w:rPr>
        <w:t xml:space="preserve">On 14 May 2019 the trustees informed the owner that they had resolved in terms of rule 37.3 of the body corporate </w:t>
      </w:r>
      <w:r w:rsidR="00D0145B" w:rsidRPr="003C634D">
        <w:rPr>
          <w:bCs/>
          <w:sz w:val="24"/>
          <w:szCs w:val="24"/>
        </w:rPr>
        <w:t xml:space="preserve">conduct </w:t>
      </w:r>
      <w:r w:rsidR="00FA58CA" w:rsidRPr="003C634D">
        <w:rPr>
          <w:bCs/>
          <w:sz w:val="24"/>
          <w:szCs w:val="24"/>
        </w:rPr>
        <w:t>rules</w:t>
      </w:r>
      <w:r w:rsidR="000C70E2">
        <w:rPr>
          <w:bCs/>
          <w:sz w:val="24"/>
          <w:szCs w:val="24"/>
        </w:rPr>
        <w:t>,</w:t>
      </w:r>
      <w:r w:rsidR="00FA58CA" w:rsidRPr="003C634D">
        <w:rPr>
          <w:bCs/>
          <w:sz w:val="24"/>
          <w:szCs w:val="24"/>
        </w:rPr>
        <w:t xml:space="preserve"> that he was no longer allowed to carry on with short-term letting for</w:t>
      </w:r>
      <w:r w:rsidR="00656F77">
        <w:rPr>
          <w:bCs/>
          <w:sz w:val="24"/>
          <w:szCs w:val="24"/>
        </w:rPr>
        <w:t xml:space="preserve"> his property</w:t>
      </w:r>
      <w:r w:rsidR="00FA58CA" w:rsidRPr="003C634D">
        <w:rPr>
          <w:bCs/>
          <w:sz w:val="24"/>
          <w:szCs w:val="24"/>
        </w:rPr>
        <w:t>. Rule 37.3 reads as follows:</w:t>
      </w:r>
      <w:bookmarkStart w:id="8" w:name="_Hlk81335825"/>
    </w:p>
    <w:p w14:paraId="38F0DD39" w14:textId="77777777" w:rsidR="005F49C4" w:rsidRDefault="007E2D56" w:rsidP="00090D03">
      <w:pPr>
        <w:widowControl/>
        <w:autoSpaceDE/>
        <w:autoSpaceDN/>
        <w:adjustRightInd/>
        <w:spacing w:line="360" w:lineRule="auto"/>
        <w:jc w:val="both"/>
        <w:rPr>
          <w:bCs/>
        </w:rPr>
      </w:pPr>
      <w:r>
        <w:rPr>
          <w:bCs/>
        </w:rPr>
        <w:t>‘</w:t>
      </w:r>
      <w:r w:rsidR="00FA58CA" w:rsidRPr="003C634D">
        <w:rPr>
          <w:bCs/>
        </w:rPr>
        <w:t>37</w:t>
      </w:r>
      <w:r w:rsidR="005F49C4">
        <w:rPr>
          <w:bCs/>
        </w:rPr>
        <w:tab/>
      </w:r>
      <w:r w:rsidR="00FA58CA" w:rsidRPr="003C634D">
        <w:rPr>
          <w:bCs/>
        </w:rPr>
        <w:t>An owner may let or part with occupation of his section provided:</w:t>
      </w:r>
    </w:p>
    <w:p w14:paraId="0B639F63" w14:textId="77777777" w:rsidR="00FA58CA" w:rsidRPr="003C634D" w:rsidRDefault="005F49C4" w:rsidP="00090D03">
      <w:pPr>
        <w:widowControl/>
        <w:autoSpaceDE/>
        <w:autoSpaceDN/>
        <w:adjustRightInd/>
        <w:spacing w:line="360" w:lineRule="auto"/>
        <w:jc w:val="both"/>
        <w:rPr>
          <w:bCs/>
        </w:rPr>
      </w:pPr>
      <w:r>
        <w:rPr>
          <w:bCs/>
        </w:rPr>
        <w:t xml:space="preserve">. . . </w:t>
      </w:r>
    </w:p>
    <w:p w14:paraId="07E65DFA" w14:textId="77777777" w:rsidR="000C70E2" w:rsidRDefault="00FA58CA" w:rsidP="007B51F7">
      <w:pPr>
        <w:pStyle w:val="NormalWeb"/>
        <w:shd w:val="clear" w:color="auto" w:fill="FFFFFF"/>
        <w:spacing w:before="144" w:beforeAutospacing="0" w:after="360" w:afterAutospacing="0" w:line="360" w:lineRule="auto"/>
        <w:jc w:val="both"/>
      </w:pPr>
      <w:r w:rsidRPr="003C634D">
        <w:rPr>
          <w:rFonts w:ascii="Arial" w:hAnsi="Arial" w:cs="Arial"/>
          <w:bCs/>
          <w:sz w:val="22"/>
          <w:szCs w:val="22"/>
        </w:rPr>
        <w:t>37.3</w:t>
      </w:r>
      <w:r w:rsidR="005F49C4">
        <w:rPr>
          <w:rFonts w:ascii="Arial" w:hAnsi="Arial" w:cs="Arial"/>
          <w:bCs/>
          <w:sz w:val="22"/>
          <w:szCs w:val="22"/>
        </w:rPr>
        <w:tab/>
      </w:r>
      <w:r w:rsidRPr="003C634D">
        <w:rPr>
          <w:rFonts w:ascii="Arial" w:hAnsi="Arial" w:cs="Arial"/>
          <w:bCs/>
          <w:sz w:val="22"/>
          <w:szCs w:val="22"/>
        </w:rPr>
        <w:t xml:space="preserve">that in order to retain the nature of the Scheme, short term holiday letting shall be permitted provided that such </w:t>
      </w:r>
      <w:bookmarkStart w:id="9" w:name="_Hlk83992789"/>
      <w:r w:rsidRPr="003C634D">
        <w:rPr>
          <w:rFonts w:ascii="Arial" w:hAnsi="Arial" w:cs="Arial"/>
          <w:bCs/>
          <w:sz w:val="22"/>
          <w:szCs w:val="22"/>
        </w:rPr>
        <w:t>short-term holiday letting is managed through a letting agency which is considered to be reputable for such purpose in the sole discretion of the Trustees. The Trustees shall in their sole discretion have the right to restrict any short-term letting</w:t>
      </w:r>
      <w:r w:rsidR="00310323">
        <w:rPr>
          <w:rFonts w:ascii="Arial" w:hAnsi="Arial" w:cs="Arial"/>
          <w:bCs/>
          <w:sz w:val="22"/>
          <w:szCs w:val="22"/>
        </w:rPr>
        <w:t>. . . .</w:t>
      </w:r>
      <w:r w:rsidRPr="003C634D">
        <w:rPr>
          <w:rFonts w:ascii="Arial" w:hAnsi="Arial" w:cs="Arial"/>
          <w:bCs/>
          <w:sz w:val="22"/>
          <w:szCs w:val="22"/>
        </w:rPr>
        <w:t>’</w:t>
      </w:r>
      <w:bookmarkEnd w:id="8"/>
      <w:bookmarkEnd w:id="9"/>
    </w:p>
    <w:p w14:paraId="2BAFFE76" w14:textId="010B3F61" w:rsidR="00FA58CA" w:rsidRPr="003C634D" w:rsidRDefault="00D07D58" w:rsidP="00D07D58">
      <w:pPr>
        <w:widowControl/>
        <w:autoSpaceDE/>
        <w:autoSpaceDN/>
        <w:adjustRightInd/>
        <w:spacing w:line="360" w:lineRule="auto"/>
        <w:jc w:val="both"/>
        <w:rPr>
          <w:bCs/>
          <w:sz w:val="24"/>
          <w:szCs w:val="24"/>
        </w:rPr>
      </w:pPr>
      <w:r w:rsidRPr="003C634D">
        <w:rPr>
          <w:rFonts w:eastAsia="Times New Roman"/>
          <w:bCs/>
          <w:sz w:val="24"/>
          <w:szCs w:val="24"/>
        </w:rPr>
        <w:t>[5]</w:t>
      </w:r>
      <w:r w:rsidRPr="003C634D">
        <w:rPr>
          <w:rFonts w:eastAsia="Times New Roman"/>
          <w:bCs/>
          <w:sz w:val="24"/>
          <w:szCs w:val="24"/>
        </w:rPr>
        <w:tab/>
      </w:r>
      <w:r w:rsidR="00FA58CA" w:rsidRPr="003C634D">
        <w:rPr>
          <w:bCs/>
          <w:sz w:val="24"/>
          <w:szCs w:val="24"/>
        </w:rPr>
        <w:t>From 15-21 May 20</w:t>
      </w:r>
      <w:r w:rsidR="00656F77">
        <w:rPr>
          <w:bCs/>
          <w:sz w:val="24"/>
          <w:szCs w:val="24"/>
        </w:rPr>
        <w:t>1</w:t>
      </w:r>
      <w:r w:rsidR="00FA58CA" w:rsidRPr="003C634D">
        <w:rPr>
          <w:bCs/>
          <w:sz w:val="24"/>
          <w:szCs w:val="24"/>
        </w:rPr>
        <w:t>9 the trustees wrestled with the question asked by one of them whether, ‘</w:t>
      </w:r>
      <w:r w:rsidR="00CB272D">
        <w:rPr>
          <w:bCs/>
          <w:sz w:val="24"/>
          <w:szCs w:val="24"/>
        </w:rPr>
        <w:t>[</w:t>
      </w:r>
      <w:r w:rsidR="00FA58CA" w:rsidRPr="003C634D">
        <w:rPr>
          <w:bCs/>
          <w:sz w:val="24"/>
          <w:szCs w:val="24"/>
        </w:rPr>
        <w:t>i</w:t>
      </w:r>
      <w:r w:rsidR="00CB272D">
        <w:rPr>
          <w:bCs/>
          <w:sz w:val="24"/>
          <w:szCs w:val="24"/>
        </w:rPr>
        <w:t>]</w:t>
      </w:r>
      <w:r w:rsidR="00FA58CA" w:rsidRPr="003C634D">
        <w:rPr>
          <w:bCs/>
          <w:sz w:val="24"/>
          <w:szCs w:val="24"/>
        </w:rPr>
        <w:t>n light of all the events</w:t>
      </w:r>
      <w:r w:rsidR="00812D69">
        <w:rPr>
          <w:bCs/>
          <w:sz w:val="24"/>
          <w:szCs w:val="24"/>
        </w:rPr>
        <w:t xml:space="preserve"> . . . </w:t>
      </w:r>
      <w:r w:rsidR="00FA58CA" w:rsidRPr="003C634D">
        <w:rPr>
          <w:bCs/>
          <w:sz w:val="24"/>
          <w:szCs w:val="24"/>
        </w:rPr>
        <w:t>there was any potential scope to prohibit [Bae Estates] from operating within the Legacy</w:t>
      </w:r>
      <w:r w:rsidR="00812D69">
        <w:rPr>
          <w:bCs/>
          <w:sz w:val="24"/>
          <w:szCs w:val="24"/>
        </w:rPr>
        <w:t xml:space="preserve">. . . </w:t>
      </w:r>
      <w:r w:rsidR="00FA58CA" w:rsidRPr="003C634D">
        <w:rPr>
          <w:bCs/>
          <w:sz w:val="24"/>
          <w:szCs w:val="24"/>
        </w:rPr>
        <w:t>’. By 21 May 2019, the trustees had, by way of a</w:t>
      </w:r>
      <w:r w:rsidR="00656F77">
        <w:rPr>
          <w:bCs/>
          <w:sz w:val="24"/>
          <w:szCs w:val="24"/>
        </w:rPr>
        <w:t>n email</w:t>
      </w:r>
      <w:r w:rsidR="00FA58CA" w:rsidRPr="003C634D">
        <w:rPr>
          <w:bCs/>
          <w:sz w:val="24"/>
          <w:szCs w:val="24"/>
        </w:rPr>
        <w:t xml:space="preserve"> round-robin, voted to prohibit Bae Estates from operating within the </w:t>
      </w:r>
      <w:r w:rsidR="00D44A6A" w:rsidRPr="003C634D">
        <w:rPr>
          <w:bCs/>
          <w:sz w:val="24"/>
          <w:szCs w:val="24"/>
        </w:rPr>
        <w:t>scheme</w:t>
      </w:r>
      <w:r w:rsidR="00FA58CA" w:rsidRPr="003C634D">
        <w:rPr>
          <w:bCs/>
          <w:sz w:val="24"/>
          <w:szCs w:val="24"/>
        </w:rPr>
        <w:t xml:space="preserve">. </w:t>
      </w:r>
      <w:r w:rsidR="005E5AA2" w:rsidRPr="007C2CFE">
        <w:rPr>
          <w:bCs/>
          <w:sz w:val="24"/>
          <w:szCs w:val="24"/>
        </w:rPr>
        <w:t>The</w:t>
      </w:r>
      <w:r w:rsidR="00FA58CA" w:rsidRPr="003C634D">
        <w:rPr>
          <w:bCs/>
          <w:sz w:val="24"/>
          <w:szCs w:val="24"/>
        </w:rPr>
        <w:t xml:space="preserve"> same day, the resolution was communicated </w:t>
      </w:r>
      <w:r w:rsidR="005E5AA2" w:rsidRPr="007C2CFE">
        <w:rPr>
          <w:bCs/>
          <w:sz w:val="24"/>
          <w:szCs w:val="24"/>
        </w:rPr>
        <w:t>by email</w:t>
      </w:r>
      <w:r w:rsidR="005E5AA2">
        <w:rPr>
          <w:bCs/>
          <w:sz w:val="24"/>
          <w:szCs w:val="24"/>
        </w:rPr>
        <w:t xml:space="preserve"> </w:t>
      </w:r>
      <w:r w:rsidR="00FA58CA" w:rsidRPr="003C634D">
        <w:rPr>
          <w:bCs/>
          <w:sz w:val="24"/>
          <w:szCs w:val="24"/>
        </w:rPr>
        <w:t>almost simultaneously to both the owner and Bae Estates</w:t>
      </w:r>
      <w:r w:rsidR="005E5AA2">
        <w:rPr>
          <w:bCs/>
          <w:sz w:val="24"/>
          <w:szCs w:val="24"/>
        </w:rPr>
        <w:t>.</w:t>
      </w:r>
      <w:r w:rsidR="00FA58CA" w:rsidRPr="003C634D">
        <w:rPr>
          <w:bCs/>
          <w:sz w:val="24"/>
          <w:szCs w:val="24"/>
        </w:rPr>
        <w:t xml:space="preserve"> The email to Bae Estates read as follows:</w:t>
      </w:r>
    </w:p>
    <w:p w14:paraId="19C1C904" w14:textId="77777777" w:rsidR="00FA58CA" w:rsidRPr="000B374A" w:rsidRDefault="00FA58CA" w:rsidP="005B6481">
      <w:pPr>
        <w:widowControl/>
        <w:autoSpaceDE/>
        <w:autoSpaceDN/>
        <w:adjustRightInd/>
        <w:spacing w:after="100" w:afterAutospacing="1" w:line="360" w:lineRule="auto"/>
        <w:jc w:val="both"/>
        <w:rPr>
          <w:bCs/>
        </w:rPr>
      </w:pPr>
      <w:r w:rsidRPr="000B374A">
        <w:rPr>
          <w:bCs/>
        </w:rPr>
        <w:t>‘In terms of rule 37.3 of the body corporate rules, short term holiday is permitted provided that it is managed through a letting agency which is considered to be reputable in the sole discretion of the Trustees.’</w:t>
      </w:r>
    </w:p>
    <w:p w14:paraId="3A495141" w14:textId="77777777" w:rsidR="00FA58CA" w:rsidRPr="003C634D" w:rsidRDefault="00FA58CA" w:rsidP="00090D03">
      <w:pPr>
        <w:widowControl/>
        <w:autoSpaceDE/>
        <w:autoSpaceDN/>
        <w:adjustRightInd/>
        <w:spacing w:line="360" w:lineRule="auto"/>
        <w:jc w:val="both"/>
        <w:rPr>
          <w:bCs/>
          <w:sz w:val="24"/>
          <w:szCs w:val="24"/>
        </w:rPr>
      </w:pPr>
      <w:r w:rsidRPr="003C634D">
        <w:rPr>
          <w:bCs/>
          <w:sz w:val="24"/>
          <w:szCs w:val="24"/>
        </w:rPr>
        <w:lastRenderedPageBreak/>
        <w:t>After setting out the provisions of rule 37.3, the trustees concluded:</w:t>
      </w:r>
    </w:p>
    <w:p w14:paraId="29BF0A4C" w14:textId="77777777" w:rsidR="00FA58CA" w:rsidRPr="00E1090B" w:rsidRDefault="00FA58CA" w:rsidP="00EE3E14">
      <w:pPr>
        <w:widowControl/>
        <w:autoSpaceDE/>
        <w:autoSpaceDN/>
        <w:adjustRightInd/>
        <w:spacing w:after="240" w:line="360" w:lineRule="auto"/>
        <w:jc w:val="both"/>
        <w:rPr>
          <w:bCs/>
          <w:shd w:val="clear" w:color="auto" w:fill="FFFFFF"/>
        </w:rPr>
      </w:pPr>
      <w:r w:rsidRPr="00E1090B">
        <w:rPr>
          <w:bCs/>
        </w:rPr>
        <w:t>‘</w:t>
      </w:r>
      <w:r w:rsidRPr="00E1090B">
        <w:rPr>
          <w:bCs/>
          <w:shd w:val="clear" w:color="auto" w:fill="FFFFFF"/>
        </w:rPr>
        <w:t>Due to recent incidents at Unit 107</w:t>
      </w:r>
      <w:r w:rsidR="0071032D">
        <w:rPr>
          <w:bCs/>
          <w:shd w:val="clear" w:color="auto" w:fill="FFFFFF"/>
        </w:rPr>
        <w:t xml:space="preserve"> </w:t>
      </w:r>
      <w:r w:rsidRPr="00E1090B">
        <w:rPr>
          <w:bCs/>
          <w:shd w:val="clear" w:color="auto" w:fill="FFFFFF"/>
        </w:rPr>
        <w:t>the Trustees have resolved to restrict Bae Estates from operating within The Legacy with immediate effect’.</w:t>
      </w:r>
    </w:p>
    <w:p w14:paraId="20FADDBA" w14:textId="2FE8622E" w:rsidR="00AC0E03" w:rsidRPr="00553799" w:rsidRDefault="00D07D58" w:rsidP="00D07D58">
      <w:pPr>
        <w:widowControl/>
        <w:autoSpaceDE/>
        <w:autoSpaceDN/>
        <w:adjustRightInd/>
        <w:spacing w:after="360" w:line="360" w:lineRule="auto"/>
        <w:jc w:val="both"/>
        <w:rPr>
          <w:bCs/>
          <w:sz w:val="24"/>
          <w:szCs w:val="24"/>
        </w:rPr>
      </w:pPr>
      <w:r w:rsidRPr="00553799">
        <w:rPr>
          <w:rFonts w:eastAsia="Times New Roman"/>
          <w:bCs/>
          <w:sz w:val="24"/>
          <w:szCs w:val="24"/>
        </w:rPr>
        <w:t>[6]</w:t>
      </w:r>
      <w:r w:rsidRPr="00553799">
        <w:rPr>
          <w:rFonts w:eastAsia="Times New Roman"/>
          <w:bCs/>
          <w:sz w:val="24"/>
          <w:szCs w:val="24"/>
        </w:rPr>
        <w:tab/>
      </w:r>
      <w:r w:rsidR="00AC0E03" w:rsidRPr="00553799">
        <w:rPr>
          <w:bCs/>
          <w:sz w:val="24"/>
          <w:szCs w:val="24"/>
        </w:rPr>
        <w:t xml:space="preserve">Bae Estates immediately objected to the decision and </w:t>
      </w:r>
      <w:r w:rsidR="005E5AA2" w:rsidRPr="007C2CFE">
        <w:rPr>
          <w:bCs/>
          <w:sz w:val="24"/>
          <w:szCs w:val="24"/>
        </w:rPr>
        <w:t xml:space="preserve">reiterated that </w:t>
      </w:r>
      <w:r w:rsidR="00AC0E03" w:rsidRPr="00553799">
        <w:rPr>
          <w:bCs/>
          <w:sz w:val="24"/>
          <w:szCs w:val="24"/>
        </w:rPr>
        <w:t>it had nothing to do with the short-term letting of the property. Furthermore, Bae Estates stated, this had been the responsibility of the tenants, who had been permitted to do so by the owner. It accordingly requested the trustees to reverse their decision, which the trustees declined to do.</w:t>
      </w:r>
    </w:p>
    <w:p w14:paraId="5318F36C" w14:textId="5612F25B" w:rsidR="00254634" w:rsidRPr="003C634D" w:rsidRDefault="00D07D58" w:rsidP="00D07D58">
      <w:pPr>
        <w:widowControl/>
        <w:autoSpaceDE/>
        <w:autoSpaceDN/>
        <w:adjustRightInd/>
        <w:spacing w:after="360" w:line="360" w:lineRule="auto"/>
        <w:jc w:val="both"/>
        <w:rPr>
          <w:bCs/>
          <w:sz w:val="24"/>
          <w:szCs w:val="24"/>
        </w:rPr>
      </w:pPr>
      <w:r w:rsidRPr="003C634D">
        <w:rPr>
          <w:rFonts w:eastAsia="Times New Roman"/>
          <w:bCs/>
          <w:sz w:val="24"/>
          <w:szCs w:val="24"/>
        </w:rPr>
        <w:t>[7]</w:t>
      </w:r>
      <w:r w:rsidRPr="003C634D">
        <w:rPr>
          <w:rFonts w:eastAsia="Times New Roman"/>
          <w:bCs/>
          <w:sz w:val="24"/>
          <w:szCs w:val="24"/>
        </w:rPr>
        <w:tab/>
      </w:r>
      <w:r w:rsidR="00AC0E03" w:rsidRPr="00553799">
        <w:rPr>
          <w:bCs/>
          <w:sz w:val="24"/>
          <w:szCs w:val="24"/>
        </w:rPr>
        <w:t>Consequently,</w:t>
      </w:r>
      <w:r w:rsidR="00AC0E03">
        <w:rPr>
          <w:bCs/>
          <w:sz w:val="24"/>
          <w:szCs w:val="24"/>
        </w:rPr>
        <w:t xml:space="preserve"> </w:t>
      </w:r>
      <w:r w:rsidR="00FA58CA" w:rsidRPr="003C634D">
        <w:rPr>
          <w:bCs/>
          <w:sz w:val="24"/>
          <w:szCs w:val="24"/>
        </w:rPr>
        <w:t xml:space="preserve">Bae </w:t>
      </w:r>
      <w:r w:rsidR="00656F77">
        <w:rPr>
          <w:bCs/>
          <w:sz w:val="24"/>
          <w:szCs w:val="24"/>
        </w:rPr>
        <w:t xml:space="preserve">Estates </w:t>
      </w:r>
      <w:r w:rsidR="00FA58CA" w:rsidRPr="003C634D">
        <w:rPr>
          <w:bCs/>
          <w:sz w:val="24"/>
          <w:szCs w:val="24"/>
        </w:rPr>
        <w:t xml:space="preserve">launched an application in </w:t>
      </w:r>
      <w:bookmarkStart w:id="10" w:name="_Hlk80902150"/>
      <w:r w:rsidR="006D5BF8" w:rsidRPr="003C634D">
        <w:rPr>
          <w:bCs/>
          <w:sz w:val="24"/>
          <w:szCs w:val="24"/>
        </w:rPr>
        <w:t>the high court</w:t>
      </w:r>
      <w:bookmarkEnd w:id="10"/>
      <w:r w:rsidR="00FA58CA" w:rsidRPr="003C634D">
        <w:rPr>
          <w:bCs/>
          <w:sz w:val="24"/>
          <w:szCs w:val="24"/>
        </w:rPr>
        <w:t xml:space="preserve"> on an urgent basis, </w:t>
      </w:r>
      <w:r w:rsidR="00F128CC" w:rsidRPr="003C634D">
        <w:rPr>
          <w:bCs/>
          <w:sz w:val="24"/>
          <w:szCs w:val="24"/>
        </w:rPr>
        <w:t>against the trustees and the second respondent,</w:t>
      </w:r>
      <w:r w:rsidR="00254634" w:rsidRPr="003C634D">
        <w:rPr>
          <w:bCs/>
          <w:sz w:val="24"/>
          <w:szCs w:val="24"/>
        </w:rPr>
        <w:t xml:space="preserve"> Pam Golding Property Management Services (Pty) Ltd (Pam Golding) which is the managing agent of the scheme. Bae Estates </w:t>
      </w:r>
      <w:r w:rsidR="00FA58CA" w:rsidRPr="003C634D">
        <w:rPr>
          <w:bCs/>
          <w:sz w:val="24"/>
          <w:szCs w:val="24"/>
        </w:rPr>
        <w:t>s</w:t>
      </w:r>
      <w:r w:rsidR="00254634" w:rsidRPr="003C634D">
        <w:rPr>
          <w:bCs/>
          <w:sz w:val="24"/>
          <w:szCs w:val="24"/>
        </w:rPr>
        <w:t>ought</w:t>
      </w:r>
      <w:r w:rsidR="00FA58CA" w:rsidRPr="003C634D">
        <w:rPr>
          <w:bCs/>
          <w:sz w:val="24"/>
          <w:szCs w:val="24"/>
        </w:rPr>
        <w:t xml:space="preserve"> </w:t>
      </w:r>
      <w:r w:rsidR="004057FB" w:rsidRPr="003C634D">
        <w:rPr>
          <w:bCs/>
          <w:sz w:val="24"/>
          <w:szCs w:val="24"/>
        </w:rPr>
        <w:t xml:space="preserve">an interim interdict against </w:t>
      </w:r>
      <w:r w:rsidR="00F128CC" w:rsidRPr="003C634D">
        <w:rPr>
          <w:bCs/>
          <w:sz w:val="24"/>
          <w:szCs w:val="24"/>
        </w:rPr>
        <w:t>the trustees from</w:t>
      </w:r>
      <w:r w:rsidR="004057FB" w:rsidRPr="003C634D">
        <w:rPr>
          <w:bCs/>
          <w:sz w:val="24"/>
          <w:szCs w:val="24"/>
        </w:rPr>
        <w:t xml:space="preserve"> implemen</w:t>
      </w:r>
      <w:r w:rsidR="00F128CC" w:rsidRPr="003C634D">
        <w:rPr>
          <w:bCs/>
          <w:sz w:val="24"/>
          <w:szCs w:val="24"/>
        </w:rPr>
        <w:t>ting</w:t>
      </w:r>
      <w:r w:rsidR="004057FB" w:rsidRPr="003C634D">
        <w:rPr>
          <w:bCs/>
          <w:sz w:val="24"/>
          <w:szCs w:val="24"/>
        </w:rPr>
        <w:t xml:space="preserve"> the</w:t>
      </w:r>
      <w:r w:rsidR="00D44A6A" w:rsidRPr="003C634D">
        <w:rPr>
          <w:bCs/>
          <w:sz w:val="24"/>
          <w:szCs w:val="24"/>
        </w:rPr>
        <w:t xml:space="preserve"> decision</w:t>
      </w:r>
      <w:r w:rsidR="004057FB" w:rsidRPr="003C634D">
        <w:rPr>
          <w:bCs/>
          <w:sz w:val="24"/>
          <w:szCs w:val="24"/>
        </w:rPr>
        <w:t xml:space="preserve">, pending an application </w:t>
      </w:r>
      <w:r w:rsidR="00FA58CA" w:rsidRPr="003C634D">
        <w:rPr>
          <w:bCs/>
          <w:sz w:val="24"/>
          <w:szCs w:val="24"/>
        </w:rPr>
        <w:t>to review and set</w:t>
      </w:r>
      <w:r w:rsidR="004057FB" w:rsidRPr="003C634D">
        <w:rPr>
          <w:bCs/>
          <w:sz w:val="24"/>
          <w:szCs w:val="24"/>
        </w:rPr>
        <w:t xml:space="preserve"> it </w:t>
      </w:r>
      <w:r w:rsidR="00FA58CA" w:rsidRPr="003C634D">
        <w:rPr>
          <w:bCs/>
          <w:sz w:val="24"/>
          <w:szCs w:val="24"/>
        </w:rPr>
        <w:t>aside</w:t>
      </w:r>
      <w:r w:rsidR="004057FB" w:rsidRPr="003C634D">
        <w:rPr>
          <w:bCs/>
          <w:sz w:val="24"/>
          <w:szCs w:val="24"/>
        </w:rPr>
        <w:t xml:space="preserve">. </w:t>
      </w:r>
      <w:bookmarkStart w:id="11" w:name="_Hlk80903377"/>
      <w:r w:rsidR="00656F77" w:rsidRPr="003C634D">
        <w:rPr>
          <w:bCs/>
          <w:sz w:val="24"/>
          <w:szCs w:val="24"/>
        </w:rPr>
        <w:t xml:space="preserve">Despite the relief in the notice of motion being for an interim relief pending the outcome of a review application, the high court treated the application as one for the review of the trustees’ decision. Nothing turns on this aspect. </w:t>
      </w:r>
      <w:r w:rsidR="00F128CC" w:rsidRPr="003C634D">
        <w:rPr>
          <w:bCs/>
          <w:sz w:val="24"/>
          <w:szCs w:val="24"/>
        </w:rPr>
        <w:t xml:space="preserve">No substantive order was sought against </w:t>
      </w:r>
      <w:r w:rsidR="00254634" w:rsidRPr="003C634D">
        <w:rPr>
          <w:bCs/>
          <w:sz w:val="24"/>
          <w:szCs w:val="24"/>
        </w:rPr>
        <w:t>Pam Golding</w:t>
      </w:r>
      <w:r w:rsidR="00F128CC" w:rsidRPr="003C634D">
        <w:rPr>
          <w:bCs/>
          <w:sz w:val="24"/>
          <w:szCs w:val="24"/>
        </w:rPr>
        <w:t xml:space="preserve"> which, accordingly</w:t>
      </w:r>
      <w:bookmarkEnd w:id="11"/>
      <w:r w:rsidR="00436ACE">
        <w:rPr>
          <w:bCs/>
          <w:sz w:val="24"/>
          <w:szCs w:val="24"/>
        </w:rPr>
        <w:t>,</w:t>
      </w:r>
      <w:r w:rsidR="00F128CC" w:rsidRPr="003C634D">
        <w:rPr>
          <w:bCs/>
          <w:sz w:val="24"/>
          <w:szCs w:val="24"/>
        </w:rPr>
        <w:t xml:space="preserve"> </w:t>
      </w:r>
      <w:r w:rsidR="00254634" w:rsidRPr="003C634D">
        <w:rPr>
          <w:bCs/>
          <w:sz w:val="24"/>
          <w:szCs w:val="24"/>
        </w:rPr>
        <w:t>did not oppose the application, and consequently did not participat</w:t>
      </w:r>
      <w:r w:rsidR="00F128CC" w:rsidRPr="003C634D">
        <w:rPr>
          <w:bCs/>
          <w:sz w:val="24"/>
          <w:szCs w:val="24"/>
        </w:rPr>
        <w:t>e</w:t>
      </w:r>
      <w:r w:rsidR="00254634" w:rsidRPr="003C634D">
        <w:rPr>
          <w:bCs/>
          <w:sz w:val="24"/>
          <w:szCs w:val="24"/>
        </w:rPr>
        <w:t xml:space="preserve"> in this appeal. </w:t>
      </w:r>
    </w:p>
    <w:p w14:paraId="7F3F61AE" w14:textId="698CB544" w:rsidR="00254634" w:rsidRPr="003C634D" w:rsidRDefault="00D07D58" w:rsidP="00D07D58">
      <w:pPr>
        <w:widowControl/>
        <w:autoSpaceDE/>
        <w:autoSpaceDN/>
        <w:adjustRightInd/>
        <w:spacing w:after="240" w:line="360" w:lineRule="auto"/>
        <w:jc w:val="both"/>
        <w:rPr>
          <w:bCs/>
          <w:sz w:val="24"/>
          <w:szCs w:val="24"/>
        </w:rPr>
      </w:pPr>
      <w:r w:rsidRPr="003C634D">
        <w:rPr>
          <w:rFonts w:eastAsia="Times New Roman"/>
          <w:bCs/>
          <w:sz w:val="24"/>
          <w:szCs w:val="24"/>
        </w:rPr>
        <w:t>[8]</w:t>
      </w:r>
      <w:r w:rsidRPr="003C634D">
        <w:rPr>
          <w:rFonts w:eastAsia="Times New Roman"/>
          <w:bCs/>
          <w:sz w:val="24"/>
          <w:szCs w:val="24"/>
        </w:rPr>
        <w:tab/>
      </w:r>
      <w:r w:rsidR="00673079" w:rsidRPr="003C634D">
        <w:rPr>
          <w:sz w:val="24"/>
          <w:szCs w:val="24"/>
        </w:rPr>
        <w:t>Bae Estates asserted that</w:t>
      </w:r>
      <w:r w:rsidR="00D44A6A" w:rsidRPr="003C634D">
        <w:rPr>
          <w:sz w:val="24"/>
          <w:szCs w:val="24"/>
        </w:rPr>
        <w:t xml:space="preserve"> </w:t>
      </w:r>
      <w:r w:rsidR="00673079" w:rsidRPr="003C634D">
        <w:rPr>
          <w:sz w:val="24"/>
          <w:szCs w:val="24"/>
        </w:rPr>
        <w:t>the trustees’ resolution</w:t>
      </w:r>
      <w:r w:rsidR="00D44A6A" w:rsidRPr="003C634D">
        <w:rPr>
          <w:sz w:val="24"/>
          <w:szCs w:val="24"/>
        </w:rPr>
        <w:t xml:space="preserve"> was: (a)</w:t>
      </w:r>
      <w:r w:rsidR="00673079" w:rsidRPr="003C634D">
        <w:rPr>
          <w:rFonts w:eastAsia="Times New Roman"/>
          <w:sz w:val="24"/>
          <w:szCs w:val="24"/>
        </w:rPr>
        <w:t xml:space="preserve"> unlawful and passed in error as </w:t>
      </w:r>
      <w:r w:rsidR="00D44A6A" w:rsidRPr="003C634D">
        <w:rPr>
          <w:rFonts w:eastAsia="Times New Roman"/>
          <w:sz w:val="24"/>
          <w:szCs w:val="24"/>
        </w:rPr>
        <w:t xml:space="preserve">conduct </w:t>
      </w:r>
      <w:r w:rsidR="00673079" w:rsidRPr="003C634D">
        <w:rPr>
          <w:rFonts w:eastAsia="Times New Roman"/>
          <w:sz w:val="24"/>
          <w:szCs w:val="24"/>
        </w:rPr>
        <w:t xml:space="preserve">rule 37.3 had no application </w:t>
      </w:r>
      <w:r w:rsidR="00D44A6A" w:rsidRPr="003C634D">
        <w:rPr>
          <w:rFonts w:eastAsia="Times New Roman"/>
          <w:sz w:val="24"/>
          <w:szCs w:val="24"/>
        </w:rPr>
        <w:t xml:space="preserve">to it </w:t>
      </w:r>
      <w:r w:rsidR="00673079" w:rsidRPr="003C634D">
        <w:rPr>
          <w:rFonts w:eastAsia="Times New Roman"/>
          <w:sz w:val="24"/>
          <w:szCs w:val="24"/>
        </w:rPr>
        <w:t xml:space="preserve">since </w:t>
      </w:r>
      <w:r w:rsidR="00D44A6A" w:rsidRPr="003C634D">
        <w:rPr>
          <w:rFonts w:eastAsia="Times New Roman"/>
          <w:sz w:val="24"/>
          <w:szCs w:val="24"/>
        </w:rPr>
        <w:t xml:space="preserve">it </w:t>
      </w:r>
      <w:r w:rsidR="00673079" w:rsidRPr="003C634D">
        <w:rPr>
          <w:rFonts w:eastAsia="Times New Roman"/>
          <w:sz w:val="24"/>
          <w:szCs w:val="24"/>
        </w:rPr>
        <w:t>was not engaged in any short</w:t>
      </w:r>
      <w:r w:rsidR="006B37F8" w:rsidRPr="003C634D">
        <w:rPr>
          <w:rFonts w:eastAsia="Times New Roman"/>
          <w:sz w:val="24"/>
          <w:szCs w:val="24"/>
        </w:rPr>
        <w:t>-</w:t>
      </w:r>
      <w:r w:rsidR="00673079" w:rsidRPr="003C634D">
        <w:rPr>
          <w:rFonts w:eastAsia="Times New Roman"/>
          <w:sz w:val="24"/>
          <w:szCs w:val="24"/>
        </w:rPr>
        <w:t>term holiday letting;</w:t>
      </w:r>
      <w:r w:rsidR="00673079" w:rsidRPr="003C634D">
        <w:rPr>
          <w:bCs/>
          <w:sz w:val="24"/>
          <w:szCs w:val="24"/>
        </w:rPr>
        <w:t xml:space="preserve"> </w:t>
      </w:r>
      <w:r w:rsidR="00D44A6A" w:rsidRPr="003C634D">
        <w:rPr>
          <w:bCs/>
          <w:sz w:val="24"/>
          <w:szCs w:val="24"/>
        </w:rPr>
        <w:t xml:space="preserve">(b) </w:t>
      </w:r>
      <w:r w:rsidR="00673079" w:rsidRPr="003C634D">
        <w:rPr>
          <w:rFonts w:eastAsia="Times New Roman"/>
          <w:sz w:val="24"/>
          <w:szCs w:val="24"/>
        </w:rPr>
        <w:t xml:space="preserve">procedurally unfair as it was passed without any prior investigation into its role and without any prior notice to it; </w:t>
      </w:r>
      <w:r w:rsidR="00D44A6A" w:rsidRPr="003C634D">
        <w:rPr>
          <w:rFonts w:eastAsia="Times New Roman"/>
          <w:sz w:val="24"/>
          <w:szCs w:val="24"/>
        </w:rPr>
        <w:t xml:space="preserve">and (c) </w:t>
      </w:r>
      <w:r w:rsidR="00673079" w:rsidRPr="003C634D">
        <w:rPr>
          <w:rFonts w:eastAsia="Times New Roman"/>
          <w:sz w:val="24"/>
          <w:szCs w:val="24"/>
        </w:rPr>
        <w:t>arbitrar</w:t>
      </w:r>
      <w:r w:rsidR="0043193A">
        <w:rPr>
          <w:rFonts w:eastAsia="Times New Roman"/>
          <w:sz w:val="24"/>
          <w:szCs w:val="24"/>
        </w:rPr>
        <w:t>y</w:t>
      </w:r>
      <w:r w:rsidR="00673079" w:rsidRPr="003C634D">
        <w:rPr>
          <w:rFonts w:eastAsia="Times New Roman"/>
          <w:sz w:val="24"/>
          <w:szCs w:val="24"/>
        </w:rPr>
        <w:t xml:space="preserve"> and taken with an ulterior motive, namely, to simply prevent </w:t>
      </w:r>
      <w:r w:rsidR="005E5AA2" w:rsidRPr="007C2CFE">
        <w:rPr>
          <w:rFonts w:eastAsia="Times New Roman"/>
          <w:sz w:val="24"/>
          <w:szCs w:val="24"/>
        </w:rPr>
        <w:t>it</w:t>
      </w:r>
      <w:r w:rsidR="00673079" w:rsidRPr="003C634D">
        <w:rPr>
          <w:rFonts w:eastAsia="Times New Roman"/>
          <w:sz w:val="24"/>
          <w:szCs w:val="24"/>
        </w:rPr>
        <w:t xml:space="preserve"> from carrying on business within the scheme.</w:t>
      </w:r>
      <w:r w:rsidR="00F53CF0" w:rsidRPr="003C634D">
        <w:rPr>
          <w:bCs/>
          <w:sz w:val="24"/>
          <w:szCs w:val="24"/>
        </w:rPr>
        <w:t xml:space="preserve"> </w:t>
      </w:r>
      <w:r w:rsidR="00673079" w:rsidRPr="003C634D">
        <w:rPr>
          <w:rFonts w:eastAsia="Times New Roman"/>
          <w:sz w:val="24"/>
          <w:szCs w:val="24"/>
          <w:lang w:val="en-GB"/>
        </w:rPr>
        <w:t xml:space="preserve">Bae </w:t>
      </w:r>
      <w:r w:rsidR="001405E8" w:rsidRPr="003C634D">
        <w:rPr>
          <w:rFonts w:eastAsia="Times New Roman"/>
          <w:sz w:val="24"/>
          <w:szCs w:val="24"/>
          <w:lang w:val="en-GB"/>
        </w:rPr>
        <w:t xml:space="preserve">Estates </w:t>
      </w:r>
      <w:r w:rsidR="00673079" w:rsidRPr="003C634D">
        <w:rPr>
          <w:rFonts w:eastAsia="Times New Roman"/>
          <w:sz w:val="24"/>
          <w:szCs w:val="24"/>
          <w:lang w:val="en-GB"/>
        </w:rPr>
        <w:t>further</w:t>
      </w:r>
      <w:r w:rsidR="00673079" w:rsidRPr="003C634D">
        <w:rPr>
          <w:rFonts w:eastAsia="Times New Roman"/>
          <w:sz w:val="24"/>
          <w:szCs w:val="24"/>
        </w:rPr>
        <w:t xml:space="preserve"> contended that the decision amounted to administrative action</w:t>
      </w:r>
      <w:r w:rsidR="00F53CF0" w:rsidRPr="003C634D">
        <w:rPr>
          <w:rFonts w:eastAsia="Times New Roman"/>
          <w:sz w:val="24"/>
          <w:szCs w:val="24"/>
        </w:rPr>
        <w:t>, and thus susceptible to be reviewed in terms</w:t>
      </w:r>
      <w:r w:rsidR="00673079" w:rsidRPr="003C634D">
        <w:rPr>
          <w:rFonts w:eastAsia="Times New Roman"/>
          <w:sz w:val="24"/>
          <w:szCs w:val="24"/>
        </w:rPr>
        <w:t xml:space="preserve"> of PAJA, alternatively, the common law read with s 3</w:t>
      </w:r>
      <w:r w:rsidR="00A778E7" w:rsidRPr="007C2CFE">
        <w:rPr>
          <w:rFonts w:eastAsia="Times New Roman"/>
          <w:sz w:val="24"/>
          <w:szCs w:val="24"/>
        </w:rPr>
        <w:t>3</w:t>
      </w:r>
      <w:r w:rsidR="00673079" w:rsidRPr="003C634D">
        <w:rPr>
          <w:rFonts w:eastAsia="Times New Roman"/>
          <w:sz w:val="24"/>
          <w:szCs w:val="24"/>
        </w:rPr>
        <w:t xml:space="preserve"> of the Constitution.</w:t>
      </w:r>
    </w:p>
    <w:p w14:paraId="3D933C2F" w14:textId="0C825DC2" w:rsidR="006B37F8" w:rsidRPr="003C634D" w:rsidRDefault="00D07D58" w:rsidP="00D07D58">
      <w:pPr>
        <w:widowControl/>
        <w:autoSpaceDE/>
        <w:autoSpaceDN/>
        <w:adjustRightInd/>
        <w:spacing w:after="360" w:line="360" w:lineRule="auto"/>
        <w:jc w:val="both"/>
        <w:rPr>
          <w:bCs/>
          <w:sz w:val="24"/>
          <w:szCs w:val="24"/>
        </w:rPr>
      </w:pPr>
      <w:bookmarkStart w:id="12" w:name="_Hlk81683608"/>
      <w:r w:rsidRPr="003C634D">
        <w:rPr>
          <w:rFonts w:eastAsia="Times New Roman"/>
          <w:bCs/>
          <w:sz w:val="24"/>
          <w:szCs w:val="24"/>
        </w:rPr>
        <w:t>[9]</w:t>
      </w:r>
      <w:r w:rsidRPr="003C634D">
        <w:rPr>
          <w:rFonts w:eastAsia="Times New Roman"/>
          <w:bCs/>
          <w:sz w:val="24"/>
          <w:szCs w:val="24"/>
        </w:rPr>
        <w:tab/>
      </w:r>
      <w:r w:rsidR="006B37F8" w:rsidRPr="003C634D">
        <w:rPr>
          <w:sz w:val="24"/>
          <w:szCs w:val="24"/>
          <w:shd w:val="clear" w:color="auto" w:fill="FFFFFF"/>
        </w:rPr>
        <w:t xml:space="preserve">In response, </w:t>
      </w:r>
      <w:r w:rsidR="00AB3A8C" w:rsidRPr="003C634D">
        <w:rPr>
          <w:sz w:val="24"/>
          <w:szCs w:val="24"/>
          <w:shd w:val="clear" w:color="auto" w:fill="FFFFFF"/>
        </w:rPr>
        <w:t>the trustees raised</w:t>
      </w:r>
      <w:r w:rsidR="00E6056F" w:rsidRPr="003C634D">
        <w:rPr>
          <w:sz w:val="24"/>
          <w:szCs w:val="24"/>
          <w:shd w:val="clear" w:color="auto" w:fill="FFFFFF"/>
        </w:rPr>
        <w:t>, among others,</w:t>
      </w:r>
      <w:r w:rsidR="00AB3A8C" w:rsidRPr="003C634D">
        <w:rPr>
          <w:sz w:val="24"/>
          <w:szCs w:val="24"/>
          <w:shd w:val="clear" w:color="auto" w:fill="FFFFFF"/>
        </w:rPr>
        <w:t xml:space="preserve"> two preliminary points. First, that there was a non-joinder of the director of Bae Estates, its estate agent and the owner of the</w:t>
      </w:r>
      <w:r w:rsidR="005E209A">
        <w:rPr>
          <w:sz w:val="24"/>
          <w:szCs w:val="24"/>
          <w:shd w:val="clear" w:color="auto" w:fill="FFFFFF"/>
        </w:rPr>
        <w:t xml:space="preserve"> </w:t>
      </w:r>
      <w:r w:rsidR="0092525F">
        <w:rPr>
          <w:sz w:val="24"/>
          <w:szCs w:val="24"/>
          <w:shd w:val="clear" w:color="auto" w:fill="FFFFFF"/>
        </w:rPr>
        <w:t>property</w:t>
      </w:r>
      <w:r w:rsidR="00AB3A8C" w:rsidRPr="003C634D">
        <w:rPr>
          <w:sz w:val="24"/>
          <w:szCs w:val="24"/>
          <w:shd w:val="clear" w:color="auto" w:fill="FFFFFF"/>
        </w:rPr>
        <w:t>. Secondly, that because Bae Estates had asserted that the decision of the trustees did not bind it, Bae Estates did not have standing</w:t>
      </w:r>
      <w:r w:rsidR="00731C12" w:rsidRPr="003C634D">
        <w:rPr>
          <w:sz w:val="24"/>
          <w:szCs w:val="24"/>
          <w:shd w:val="clear" w:color="auto" w:fill="FFFFFF"/>
        </w:rPr>
        <w:t xml:space="preserve"> before court to bring the application. In respect of the merits of the application, </w:t>
      </w:r>
      <w:r w:rsidR="006B37F8" w:rsidRPr="003C634D">
        <w:rPr>
          <w:sz w:val="24"/>
          <w:szCs w:val="24"/>
          <w:shd w:val="clear" w:color="auto" w:fill="FFFFFF"/>
        </w:rPr>
        <w:t xml:space="preserve">the trustees </w:t>
      </w:r>
      <w:r w:rsidR="006B37F8" w:rsidRPr="003C634D">
        <w:rPr>
          <w:sz w:val="24"/>
          <w:szCs w:val="24"/>
          <w:shd w:val="clear" w:color="auto" w:fill="FFFFFF"/>
        </w:rPr>
        <w:lastRenderedPageBreak/>
        <w:t xml:space="preserve">contended that </w:t>
      </w:r>
      <w:r w:rsidR="0092525F">
        <w:rPr>
          <w:sz w:val="24"/>
          <w:szCs w:val="24"/>
          <w:shd w:val="clear" w:color="auto" w:fill="FFFFFF"/>
        </w:rPr>
        <w:t xml:space="preserve">in taking </w:t>
      </w:r>
      <w:r w:rsidR="006B37F8" w:rsidRPr="003C634D">
        <w:rPr>
          <w:sz w:val="24"/>
          <w:szCs w:val="24"/>
          <w:shd w:val="clear" w:color="auto" w:fill="FFFFFF"/>
        </w:rPr>
        <w:t>the decision, they were not exercising a public power nor performed a public function</w:t>
      </w:r>
      <w:r w:rsidR="00254634" w:rsidRPr="003C634D">
        <w:rPr>
          <w:sz w:val="24"/>
          <w:szCs w:val="24"/>
          <w:shd w:val="clear" w:color="auto" w:fill="FFFFFF"/>
        </w:rPr>
        <w:t>. Thus, it was</w:t>
      </w:r>
      <w:r w:rsidR="005E209A">
        <w:rPr>
          <w:sz w:val="24"/>
          <w:szCs w:val="24"/>
          <w:shd w:val="clear" w:color="auto" w:fill="FFFFFF"/>
        </w:rPr>
        <w:t xml:space="preserve"> </w:t>
      </w:r>
      <w:r w:rsidR="0092525F">
        <w:rPr>
          <w:sz w:val="24"/>
          <w:szCs w:val="24"/>
          <w:shd w:val="clear" w:color="auto" w:fill="FFFFFF"/>
        </w:rPr>
        <w:t>submitted</w:t>
      </w:r>
      <w:r w:rsidR="00254634" w:rsidRPr="003C634D">
        <w:rPr>
          <w:sz w:val="24"/>
          <w:szCs w:val="24"/>
          <w:shd w:val="clear" w:color="auto" w:fill="FFFFFF"/>
        </w:rPr>
        <w:t>,</w:t>
      </w:r>
      <w:r w:rsidR="006B37F8" w:rsidRPr="003C634D">
        <w:rPr>
          <w:sz w:val="24"/>
          <w:szCs w:val="24"/>
          <w:shd w:val="clear" w:color="auto" w:fill="FFFFFF"/>
        </w:rPr>
        <w:t xml:space="preserve"> the </w:t>
      </w:r>
      <w:r w:rsidR="00254634" w:rsidRPr="003C634D">
        <w:rPr>
          <w:sz w:val="24"/>
          <w:szCs w:val="24"/>
          <w:shd w:val="clear" w:color="auto" w:fill="FFFFFF"/>
        </w:rPr>
        <w:t>decision</w:t>
      </w:r>
      <w:r w:rsidR="006B37F8" w:rsidRPr="003C634D">
        <w:rPr>
          <w:sz w:val="24"/>
          <w:szCs w:val="24"/>
          <w:shd w:val="clear" w:color="auto" w:fill="FFFFFF"/>
        </w:rPr>
        <w:t xml:space="preserve"> did not constitute administrative action</w:t>
      </w:r>
      <w:r w:rsidR="00254634" w:rsidRPr="003C634D">
        <w:rPr>
          <w:sz w:val="24"/>
          <w:szCs w:val="24"/>
          <w:shd w:val="clear" w:color="auto" w:fill="FFFFFF"/>
        </w:rPr>
        <w:t xml:space="preserve">, as also, it </w:t>
      </w:r>
      <w:r w:rsidR="006B37F8" w:rsidRPr="003C634D">
        <w:rPr>
          <w:sz w:val="24"/>
          <w:szCs w:val="24"/>
          <w:shd w:val="clear" w:color="auto" w:fill="FFFFFF"/>
        </w:rPr>
        <w:t xml:space="preserve">did not adversely affect </w:t>
      </w:r>
      <w:r w:rsidR="00254634" w:rsidRPr="003C634D">
        <w:rPr>
          <w:sz w:val="24"/>
          <w:szCs w:val="24"/>
          <w:shd w:val="clear" w:color="auto" w:fill="FFFFFF"/>
        </w:rPr>
        <w:t xml:space="preserve">any of Bae Estates’ </w:t>
      </w:r>
      <w:r w:rsidR="006B37F8" w:rsidRPr="003C634D">
        <w:rPr>
          <w:sz w:val="24"/>
          <w:szCs w:val="24"/>
          <w:shd w:val="clear" w:color="auto" w:fill="FFFFFF"/>
        </w:rPr>
        <w:t xml:space="preserve">rights nor </w:t>
      </w:r>
      <w:r w:rsidR="00731C12" w:rsidRPr="003C634D">
        <w:rPr>
          <w:sz w:val="24"/>
          <w:szCs w:val="24"/>
          <w:shd w:val="clear" w:color="auto" w:fill="FFFFFF"/>
        </w:rPr>
        <w:t xml:space="preserve">did it </w:t>
      </w:r>
      <w:r w:rsidR="006B37F8" w:rsidRPr="003C634D">
        <w:rPr>
          <w:sz w:val="24"/>
          <w:szCs w:val="24"/>
          <w:shd w:val="clear" w:color="auto" w:fill="FFFFFF"/>
        </w:rPr>
        <w:t>have a direct, external legal effect.</w:t>
      </w:r>
      <w:r w:rsidR="00731C12" w:rsidRPr="003C634D">
        <w:rPr>
          <w:sz w:val="24"/>
          <w:szCs w:val="24"/>
          <w:shd w:val="clear" w:color="auto" w:fill="FFFFFF"/>
        </w:rPr>
        <w:t xml:space="preserve"> In addition, the trustees contended that the decision was reasonable and lawful in the circumstances of the case. The trustees then set out at length, the complaints which culminated in them taking the impugned decision. </w:t>
      </w:r>
    </w:p>
    <w:p w14:paraId="5478A72C" w14:textId="392CF366" w:rsidR="00B40C71" w:rsidRPr="00E1090B" w:rsidRDefault="00D07D58" w:rsidP="00D07D58">
      <w:pPr>
        <w:widowControl/>
        <w:autoSpaceDE/>
        <w:autoSpaceDN/>
        <w:adjustRightInd/>
        <w:spacing w:after="360" w:line="360" w:lineRule="auto"/>
        <w:jc w:val="both"/>
        <w:rPr>
          <w:bCs/>
        </w:rPr>
      </w:pPr>
      <w:r w:rsidRPr="00E1090B">
        <w:rPr>
          <w:rFonts w:eastAsia="Times New Roman"/>
          <w:bCs/>
          <w:sz w:val="24"/>
          <w:szCs w:val="24"/>
        </w:rPr>
        <w:t>[10]</w:t>
      </w:r>
      <w:r w:rsidRPr="00E1090B">
        <w:rPr>
          <w:rFonts w:eastAsia="Times New Roman"/>
          <w:bCs/>
          <w:sz w:val="24"/>
          <w:szCs w:val="24"/>
        </w:rPr>
        <w:tab/>
      </w:r>
      <w:r w:rsidR="00B75100" w:rsidRPr="003C634D">
        <w:rPr>
          <w:sz w:val="24"/>
          <w:szCs w:val="24"/>
          <w:shd w:val="clear" w:color="auto" w:fill="FFFFFF"/>
        </w:rPr>
        <w:t>The trustees pointed out that the decision was taken in terms of rule 37.3 of the scheme’s Conduct Rules, which</w:t>
      </w:r>
      <w:r w:rsidR="00E6056F" w:rsidRPr="003C634D">
        <w:rPr>
          <w:sz w:val="24"/>
          <w:szCs w:val="24"/>
          <w:shd w:val="clear" w:color="auto" w:fill="FFFFFF"/>
        </w:rPr>
        <w:t>, as already stated,</w:t>
      </w:r>
      <w:r w:rsidR="00B75100" w:rsidRPr="003C634D">
        <w:rPr>
          <w:sz w:val="24"/>
          <w:szCs w:val="24"/>
          <w:shd w:val="clear" w:color="auto" w:fill="FFFFFF"/>
        </w:rPr>
        <w:t xml:space="preserve"> concerns short-term holiday letting.</w:t>
      </w:r>
      <w:r w:rsidR="00E6056F" w:rsidRPr="003C634D">
        <w:rPr>
          <w:sz w:val="24"/>
          <w:szCs w:val="24"/>
          <w:shd w:val="clear" w:color="auto" w:fill="FFFFFF"/>
        </w:rPr>
        <w:t xml:space="preserve"> </w:t>
      </w:r>
      <w:r w:rsidR="00B75100" w:rsidRPr="003C634D">
        <w:rPr>
          <w:bCs/>
          <w:sz w:val="24"/>
          <w:szCs w:val="24"/>
        </w:rPr>
        <w:t>Thus, emphasised the trustees, the decision related only to ‘short-term holiday letting’ and not any long</w:t>
      </w:r>
      <w:r w:rsidR="005B1DB6" w:rsidRPr="003C634D">
        <w:rPr>
          <w:bCs/>
          <w:sz w:val="24"/>
          <w:szCs w:val="24"/>
        </w:rPr>
        <w:t>-</w:t>
      </w:r>
      <w:r w:rsidR="00B75100" w:rsidRPr="003C634D">
        <w:rPr>
          <w:bCs/>
          <w:sz w:val="24"/>
          <w:szCs w:val="24"/>
        </w:rPr>
        <w:t xml:space="preserve">term letting or </w:t>
      </w:r>
      <w:r w:rsidR="005B1DB6" w:rsidRPr="003C634D">
        <w:rPr>
          <w:bCs/>
          <w:sz w:val="24"/>
          <w:szCs w:val="24"/>
        </w:rPr>
        <w:t xml:space="preserve">sales. In other words, </w:t>
      </w:r>
      <w:r w:rsidR="00E6056F" w:rsidRPr="003C634D">
        <w:rPr>
          <w:bCs/>
          <w:sz w:val="24"/>
          <w:szCs w:val="24"/>
        </w:rPr>
        <w:t>Bae Estates</w:t>
      </w:r>
      <w:r w:rsidR="005B1DB6" w:rsidRPr="003C634D">
        <w:rPr>
          <w:bCs/>
          <w:sz w:val="24"/>
          <w:szCs w:val="24"/>
        </w:rPr>
        <w:t xml:space="preserve"> was only prohibited </w:t>
      </w:r>
      <w:r w:rsidR="005E5AA2" w:rsidRPr="007C2CFE">
        <w:rPr>
          <w:bCs/>
          <w:sz w:val="24"/>
          <w:szCs w:val="24"/>
        </w:rPr>
        <w:t>from operating</w:t>
      </w:r>
      <w:r w:rsidR="005B1DB6" w:rsidRPr="003C634D">
        <w:rPr>
          <w:bCs/>
          <w:sz w:val="24"/>
          <w:szCs w:val="24"/>
        </w:rPr>
        <w:t xml:space="preserve"> in the scheme insofar as short-term letting was concerned</w:t>
      </w:r>
      <w:r w:rsidR="0092525F">
        <w:rPr>
          <w:bCs/>
          <w:sz w:val="24"/>
          <w:szCs w:val="24"/>
        </w:rPr>
        <w:t>, and that the decision did not amount to a blanket prohibition</w:t>
      </w:r>
      <w:r w:rsidR="005B1DB6" w:rsidRPr="003C634D">
        <w:rPr>
          <w:bCs/>
          <w:sz w:val="24"/>
          <w:szCs w:val="24"/>
        </w:rPr>
        <w:t xml:space="preserve">. </w:t>
      </w:r>
    </w:p>
    <w:bookmarkEnd w:id="12"/>
    <w:p w14:paraId="33B2237E" w14:textId="739F1671" w:rsidR="00ED30FA" w:rsidRPr="00732AF5" w:rsidRDefault="00D07D58" w:rsidP="00D07D58">
      <w:pPr>
        <w:widowControl/>
        <w:autoSpaceDE/>
        <w:autoSpaceDN/>
        <w:adjustRightInd/>
        <w:spacing w:after="360" w:line="360" w:lineRule="auto"/>
        <w:jc w:val="both"/>
        <w:rPr>
          <w:bCs/>
          <w:sz w:val="24"/>
          <w:szCs w:val="24"/>
        </w:rPr>
      </w:pPr>
      <w:r w:rsidRPr="00732AF5">
        <w:rPr>
          <w:rFonts w:eastAsia="Times New Roman"/>
          <w:bCs/>
          <w:sz w:val="24"/>
          <w:szCs w:val="24"/>
        </w:rPr>
        <w:t>[11]</w:t>
      </w:r>
      <w:r w:rsidRPr="00732AF5">
        <w:rPr>
          <w:rFonts w:eastAsia="Times New Roman"/>
          <w:bCs/>
          <w:sz w:val="24"/>
          <w:szCs w:val="24"/>
        </w:rPr>
        <w:tab/>
      </w:r>
      <w:r w:rsidR="001405E8" w:rsidRPr="003C634D">
        <w:rPr>
          <w:bCs/>
          <w:sz w:val="24"/>
          <w:szCs w:val="24"/>
        </w:rPr>
        <w:t xml:space="preserve">The high court </w:t>
      </w:r>
      <w:r w:rsidR="0092525F">
        <w:rPr>
          <w:bCs/>
          <w:sz w:val="24"/>
          <w:szCs w:val="24"/>
        </w:rPr>
        <w:t xml:space="preserve">concluded that </w:t>
      </w:r>
      <w:r w:rsidR="001405E8" w:rsidRPr="003C634D">
        <w:rPr>
          <w:bCs/>
          <w:sz w:val="24"/>
          <w:szCs w:val="24"/>
        </w:rPr>
        <w:t xml:space="preserve">the trustees’ decision </w:t>
      </w:r>
      <w:r w:rsidR="0092525F">
        <w:rPr>
          <w:bCs/>
          <w:sz w:val="24"/>
          <w:szCs w:val="24"/>
        </w:rPr>
        <w:t xml:space="preserve">satisfied </w:t>
      </w:r>
      <w:r w:rsidR="001405E8" w:rsidRPr="003C634D">
        <w:rPr>
          <w:bCs/>
          <w:sz w:val="24"/>
          <w:szCs w:val="24"/>
        </w:rPr>
        <w:t xml:space="preserve">two </w:t>
      </w:r>
      <w:r w:rsidR="001405E8" w:rsidRPr="003C634D">
        <w:rPr>
          <w:sz w:val="24"/>
          <w:szCs w:val="24"/>
        </w:rPr>
        <w:t>requirements</w:t>
      </w:r>
      <w:r w:rsidR="004C2830" w:rsidRPr="003C634D">
        <w:rPr>
          <w:sz w:val="24"/>
          <w:szCs w:val="24"/>
        </w:rPr>
        <w:t xml:space="preserve"> of the definition of </w:t>
      </w:r>
      <w:r w:rsidR="001405E8" w:rsidRPr="003C634D">
        <w:rPr>
          <w:sz w:val="24"/>
          <w:szCs w:val="24"/>
        </w:rPr>
        <w:t>‘</w:t>
      </w:r>
      <w:r w:rsidR="004C2830" w:rsidRPr="003C634D">
        <w:rPr>
          <w:sz w:val="24"/>
          <w:szCs w:val="24"/>
        </w:rPr>
        <w:t>administrative action</w:t>
      </w:r>
      <w:r w:rsidR="001405E8" w:rsidRPr="003C634D">
        <w:rPr>
          <w:sz w:val="24"/>
          <w:szCs w:val="24"/>
        </w:rPr>
        <w:t>’</w:t>
      </w:r>
      <w:r w:rsidR="004C2830" w:rsidRPr="003C634D">
        <w:rPr>
          <w:sz w:val="24"/>
          <w:szCs w:val="24"/>
        </w:rPr>
        <w:t xml:space="preserve"> in PAJA</w:t>
      </w:r>
      <w:r w:rsidR="001405E8" w:rsidRPr="003C634D">
        <w:rPr>
          <w:sz w:val="24"/>
          <w:szCs w:val="24"/>
        </w:rPr>
        <w:t>, namely</w:t>
      </w:r>
      <w:r w:rsidR="004C2830" w:rsidRPr="003C634D">
        <w:rPr>
          <w:sz w:val="24"/>
          <w:szCs w:val="24"/>
        </w:rPr>
        <w:t xml:space="preserve"> </w:t>
      </w:r>
      <w:r w:rsidR="0092525F">
        <w:rPr>
          <w:sz w:val="24"/>
          <w:szCs w:val="24"/>
        </w:rPr>
        <w:t>that of ‘</w:t>
      </w:r>
      <w:r w:rsidR="004C2830" w:rsidRPr="003C634D">
        <w:rPr>
          <w:sz w:val="24"/>
          <w:szCs w:val="24"/>
        </w:rPr>
        <w:t>public character</w:t>
      </w:r>
      <w:r w:rsidR="0092525F">
        <w:rPr>
          <w:sz w:val="24"/>
          <w:szCs w:val="24"/>
        </w:rPr>
        <w:t>’</w:t>
      </w:r>
      <w:r w:rsidR="004C2830" w:rsidRPr="003C634D">
        <w:rPr>
          <w:sz w:val="24"/>
          <w:szCs w:val="24"/>
        </w:rPr>
        <w:t xml:space="preserve"> </w:t>
      </w:r>
      <w:r w:rsidR="001405E8" w:rsidRPr="003C634D">
        <w:rPr>
          <w:sz w:val="24"/>
          <w:szCs w:val="24"/>
        </w:rPr>
        <w:t xml:space="preserve">and </w:t>
      </w:r>
      <w:r w:rsidR="004C2830" w:rsidRPr="003C634D">
        <w:rPr>
          <w:sz w:val="24"/>
          <w:szCs w:val="24"/>
        </w:rPr>
        <w:t>‘a direct external legal effect’.</w:t>
      </w:r>
      <w:r w:rsidR="001405E8" w:rsidRPr="003C634D">
        <w:rPr>
          <w:sz w:val="24"/>
          <w:szCs w:val="24"/>
        </w:rPr>
        <w:t xml:space="preserve"> </w:t>
      </w:r>
      <w:r w:rsidR="0092525F">
        <w:rPr>
          <w:sz w:val="24"/>
          <w:szCs w:val="24"/>
        </w:rPr>
        <w:t>It</w:t>
      </w:r>
      <w:r w:rsidR="00436ACE">
        <w:rPr>
          <w:sz w:val="24"/>
          <w:szCs w:val="24"/>
        </w:rPr>
        <w:t>,</w:t>
      </w:r>
      <w:r w:rsidR="0092525F">
        <w:rPr>
          <w:sz w:val="24"/>
          <w:szCs w:val="24"/>
        </w:rPr>
        <w:t xml:space="preserve"> accordingly</w:t>
      </w:r>
      <w:r w:rsidR="00436ACE">
        <w:rPr>
          <w:sz w:val="24"/>
          <w:szCs w:val="24"/>
        </w:rPr>
        <w:t>,</w:t>
      </w:r>
      <w:r w:rsidR="0092525F">
        <w:rPr>
          <w:sz w:val="24"/>
          <w:szCs w:val="24"/>
        </w:rPr>
        <w:t xml:space="preserve"> </w:t>
      </w:r>
      <w:r w:rsidR="005F0EB9" w:rsidRPr="003C634D">
        <w:rPr>
          <w:sz w:val="24"/>
          <w:szCs w:val="24"/>
        </w:rPr>
        <w:t>concluded</w:t>
      </w:r>
      <w:r w:rsidR="003D49D3" w:rsidRPr="003C634D">
        <w:rPr>
          <w:sz w:val="24"/>
          <w:szCs w:val="24"/>
        </w:rPr>
        <w:t xml:space="preserve"> that the trustees’ decision</w:t>
      </w:r>
      <w:r w:rsidR="005F0EB9" w:rsidRPr="003C634D">
        <w:rPr>
          <w:sz w:val="24"/>
          <w:szCs w:val="24"/>
        </w:rPr>
        <w:t xml:space="preserve"> constitute</w:t>
      </w:r>
      <w:r w:rsidR="003D49D3" w:rsidRPr="003C634D">
        <w:rPr>
          <w:sz w:val="24"/>
          <w:szCs w:val="24"/>
        </w:rPr>
        <w:t>d</w:t>
      </w:r>
      <w:r w:rsidR="005F0EB9" w:rsidRPr="003C634D">
        <w:rPr>
          <w:sz w:val="24"/>
          <w:szCs w:val="24"/>
        </w:rPr>
        <w:t xml:space="preserve"> administrative action </w:t>
      </w:r>
      <w:r w:rsidR="003D49D3" w:rsidRPr="003C634D">
        <w:rPr>
          <w:sz w:val="24"/>
          <w:szCs w:val="24"/>
        </w:rPr>
        <w:t>envisaged</w:t>
      </w:r>
      <w:r w:rsidR="005F0EB9" w:rsidRPr="003C634D">
        <w:rPr>
          <w:sz w:val="24"/>
          <w:szCs w:val="24"/>
        </w:rPr>
        <w:t xml:space="preserve"> in PAJA and</w:t>
      </w:r>
      <w:r w:rsidR="003D49D3" w:rsidRPr="003C634D">
        <w:rPr>
          <w:sz w:val="24"/>
          <w:szCs w:val="24"/>
        </w:rPr>
        <w:t xml:space="preserve"> thus</w:t>
      </w:r>
      <w:r w:rsidR="005F0EB9" w:rsidRPr="003C634D">
        <w:rPr>
          <w:sz w:val="24"/>
          <w:szCs w:val="24"/>
        </w:rPr>
        <w:t xml:space="preserve"> reviewable</w:t>
      </w:r>
      <w:r w:rsidR="00104FF0">
        <w:rPr>
          <w:sz w:val="24"/>
          <w:szCs w:val="24"/>
        </w:rPr>
        <w:t>.</w:t>
      </w:r>
      <w:r w:rsidR="005F0EB9" w:rsidRPr="003C634D">
        <w:rPr>
          <w:sz w:val="24"/>
          <w:szCs w:val="24"/>
        </w:rPr>
        <w:t xml:space="preserve"> </w:t>
      </w:r>
      <w:bookmarkStart w:id="13" w:name="_Hlk82020656"/>
      <w:r w:rsidR="003D49D3" w:rsidRPr="00104FF0">
        <w:rPr>
          <w:sz w:val="24"/>
          <w:szCs w:val="24"/>
        </w:rPr>
        <w:t>The high</w:t>
      </w:r>
      <w:r w:rsidR="0002787C">
        <w:rPr>
          <w:sz w:val="24"/>
          <w:szCs w:val="24"/>
        </w:rPr>
        <w:t> </w:t>
      </w:r>
      <w:r w:rsidR="003D49D3" w:rsidRPr="00104FF0">
        <w:rPr>
          <w:sz w:val="24"/>
          <w:szCs w:val="24"/>
        </w:rPr>
        <w:t>court also review</w:t>
      </w:r>
      <w:r w:rsidR="00104FF0" w:rsidRPr="00104FF0">
        <w:rPr>
          <w:sz w:val="24"/>
          <w:szCs w:val="24"/>
        </w:rPr>
        <w:t xml:space="preserve">ed the trustees’ decision </w:t>
      </w:r>
      <w:r w:rsidR="003D49D3" w:rsidRPr="00104FF0">
        <w:rPr>
          <w:sz w:val="24"/>
          <w:szCs w:val="24"/>
        </w:rPr>
        <w:t>at common law</w:t>
      </w:r>
      <w:r w:rsidR="00104FF0" w:rsidRPr="00104FF0">
        <w:rPr>
          <w:sz w:val="24"/>
          <w:szCs w:val="24"/>
        </w:rPr>
        <w:t xml:space="preserve"> ‘against the standards of lawfulness, reasonableness and procedural fairness</w:t>
      </w:r>
      <w:r w:rsidR="008757BC" w:rsidRPr="00104FF0">
        <w:rPr>
          <w:sz w:val="24"/>
          <w:szCs w:val="24"/>
        </w:rPr>
        <w:t>’</w:t>
      </w:r>
      <w:r w:rsidR="00104FF0" w:rsidRPr="00104FF0">
        <w:rPr>
          <w:sz w:val="24"/>
          <w:szCs w:val="24"/>
        </w:rPr>
        <w:t>.</w:t>
      </w:r>
      <w:r w:rsidR="003D49D3" w:rsidRPr="00104FF0">
        <w:rPr>
          <w:sz w:val="24"/>
          <w:szCs w:val="24"/>
        </w:rPr>
        <w:t xml:space="preserve"> </w:t>
      </w:r>
      <w:r w:rsidR="00104FF0" w:rsidRPr="00104FF0">
        <w:rPr>
          <w:sz w:val="24"/>
          <w:szCs w:val="24"/>
        </w:rPr>
        <w:t xml:space="preserve">It reasoned that it was entitled to do so on the basis of its inherent power to develop the common law. </w:t>
      </w:r>
      <w:r w:rsidR="00104FF0" w:rsidRPr="00104FF0">
        <w:rPr>
          <w:bCs/>
          <w:sz w:val="24"/>
          <w:szCs w:val="24"/>
        </w:rPr>
        <w:t>The high court</w:t>
      </w:r>
      <w:r w:rsidR="0002787C">
        <w:rPr>
          <w:bCs/>
          <w:sz w:val="24"/>
          <w:szCs w:val="24"/>
        </w:rPr>
        <w:t>,</w:t>
      </w:r>
      <w:r w:rsidR="00104FF0" w:rsidRPr="00104FF0">
        <w:rPr>
          <w:bCs/>
          <w:sz w:val="24"/>
          <w:szCs w:val="24"/>
        </w:rPr>
        <w:t xml:space="preserve"> accordingly</w:t>
      </w:r>
      <w:r w:rsidR="0002787C">
        <w:rPr>
          <w:bCs/>
          <w:sz w:val="24"/>
          <w:szCs w:val="24"/>
        </w:rPr>
        <w:t>,</w:t>
      </w:r>
      <w:r w:rsidR="00104FF0" w:rsidRPr="00104FF0">
        <w:rPr>
          <w:bCs/>
          <w:sz w:val="24"/>
          <w:szCs w:val="24"/>
        </w:rPr>
        <w:t xml:space="preserve"> reviewed and set aside the trustees’ decision, and ordered the trustees to pay Bae Estates’ costs. </w:t>
      </w:r>
      <w:bookmarkEnd w:id="13"/>
      <w:r w:rsidR="00732AF5" w:rsidRPr="00732AF5">
        <w:rPr>
          <w:bCs/>
          <w:sz w:val="24"/>
          <w:szCs w:val="24"/>
        </w:rPr>
        <w:t xml:space="preserve">In this Court, the trustees challenge the correctness of the high </w:t>
      </w:r>
      <w:r w:rsidR="00732AF5" w:rsidRPr="007C2CFE">
        <w:rPr>
          <w:bCs/>
          <w:sz w:val="24"/>
          <w:szCs w:val="24"/>
        </w:rPr>
        <w:t>court</w:t>
      </w:r>
      <w:r w:rsidR="005E5AA2" w:rsidRPr="007C2CFE">
        <w:rPr>
          <w:bCs/>
          <w:sz w:val="24"/>
          <w:szCs w:val="24"/>
        </w:rPr>
        <w:t>'s decision</w:t>
      </w:r>
      <w:r w:rsidR="00732AF5" w:rsidRPr="007C2CFE">
        <w:rPr>
          <w:bCs/>
          <w:sz w:val="24"/>
          <w:szCs w:val="24"/>
        </w:rPr>
        <w:t>.</w:t>
      </w:r>
      <w:r w:rsidR="00732AF5" w:rsidRPr="00732AF5">
        <w:rPr>
          <w:bCs/>
          <w:sz w:val="24"/>
          <w:szCs w:val="24"/>
        </w:rPr>
        <w:t xml:space="preserve"> </w:t>
      </w:r>
    </w:p>
    <w:p w14:paraId="540870D0" w14:textId="43CB91A4" w:rsidR="00954E41" w:rsidRPr="000B374A" w:rsidRDefault="00D07D58" w:rsidP="00D07D58">
      <w:pPr>
        <w:widowControl/>
        <w:autoSpaceDE/>
        <w:autoSpaceDN/>
        <w:adjustRightInd/>
        <w:spacing w:line="360" w:lineRule="auto"/>
        <w:contextualSpacing/>
        <w:jc w:val="both"/>
        <w:rPr>
          <w:bCs/>
        </w:rPr>
      </w:pPr>
      <w:r w:rsidRPr="000B374A">
        <w:rPr>
          <w:rFonts w:eastAsia="Times New Roman"/>
          <w:bCs/>
          <w:sz w:val="24"/>
          <w:szCs w:val="24"/>
        </w:rPr>
        <w:t>[12]</w:t>
      </w:r>
      <w:r w:rsidRPr="000B374A">
        <w:rPr>
          <w:rFonts w:eastAsia="Times New Roman"/>
          <w:bCs/>
          <w:sz w:val="24"/>
          <w:szCs w:val="24"/>
        </w:rPr>
        <w:tab/>
      </w:r>
      <w:r w:rsidR="00ED30FA" w:rsidRPr="003C634D">
        <w:rPr>
          <w:bCs/>
          <w:sz w:val="24"/>
          <w:szCs w:val="24"/>
        </w:rPr>
        <w:t xml:space="preserve">In order for PAJA to apply, the trustees’ decision must </w:t>
      </w:r>
      <w:r w:rsidR="007856D5" w:rsidRPr="007C2CFE">
        <w:rPr>
          <w:bCs/>
          <w:sz w:val="24"/>
          <w:szCs w:val="24"/>
        </w:rPr>
        <w:t>amount</w:t>
      </w:r>
      <w:r w:rsidR="00ED30FA" w:rsidRPr="003C634D">
        <w:rPr>
          <w:bCs/>
          <w:sz w:val="24"/>
          <w:szCs w:val="24"/>
        </w:rPr>
        <w:t xml:space="preserve"> to ‘an administrative action’. </w:t>
      </w:r>
      <w:r w:rsidR="00ED30FA" w:rsidRPr="003C634D">
        <w:rPr>
          <w:rFonts w:eastAsia="Times New Roman"/>
          <w:sz w:val="24"/>
          <w:szCs w:val="24"/>
        </w:rPr>
        <w:t>Administrative action is defined in s 1 of PAJA as:</w:t>
      </w:r>
    </w:p>
    <w:p w14:paraId="62DCC5CF" w14:textId="77777777" w:rsidR="00ED30FA" w:rsidRPr="005E209A" w:rsidRDefault="00954E41" w:rsidP="00090D03">
      <w:pPr>
        <w:widowControl/>
        <w:autoSpaceDE/>
        <w:autoSpaceDN/>
        <w:adjustRightInd/>
        <w:spacing w:line="360" w:lineRule="auto"/>
        <w:contextualSpacing/>
        <w:jc w:val="both"/>
        <w:rPr>
          <w:bCs/>
        </w:rPr>
      </w:pPr>
      <w:r>
        <w:rPr>
          <w:rFonts w:eastAsia="Times New Roman"/>
          <w:sz w:val="24"/>
          <w:szCs w:val="24"/>
        </w:rPr>
        <w:t>‘</w:t>
      </w:r>
      <w:r w:rsidR="00ED30FA" w:rsidRPr="005E209A">
        <w:rPr>
          <w:rFonts w:eastAsia="Times New Roman"/>
        </w:rPr>
        <w:t>any decision taken, or any failure to take a decision, by—</w:t>
      </w:r>
    </w:p>
    <w:p w14:paraId="4A9D85C4" w14:textId="568B9478" w:rsidR="00ED30FA" w:rsidRPr="00D07D58" w:rsidRDefault="00D07D58" w:rsidP="00D07D58">
      <w:pPr>
        <w:widowControl/>
        <w:autoSpaceDE/>
        <w:autoSpaceDN/>
        <w:adjustRightInd/>
        <w:spacing w:line="360" w:lineRule="auto"/>
        <w:ind w:left="340" w:hanging="360"/>
        <w:jc w:val="both"/>
        <w:rPr>
          <w:rFonts w:eastAsia="Times New Roman"/>
        </w:rPr>
      </w:pPr>
      <w:r w:rsidRPr="005E209A">
        <w:rPr>
          <w:rFonts w:eastAsia="Times New Roman" w:cs="Times New Roman"/>
          <w:i/>
        </w:rPr>
        <w:t>(a)</w:t>
      </w:r>
      <w:r w:rsidRPr="005E209A">
        <w:rPr>
          <w:rFonts w:eastAsia="Times New Roman" w:cs="Times New Roman"/>
          <w:i/>
        </w:rPr>
        <w:tab/>
      </w:r>
      <w:r w:rsidR="00ED30FA" w:rsidRPr="00D07D58">
        <w:rPr>
          <w:rFonts w:eastAsia="Times New Roman"/>
        </w:rPr>
        <w:t>an organ of state, when</w:t>
      </w:r>
      <w:r w:rsidR="00146FB8" w:rsidRPr="00D07D58">
        <w:rPr>
          <w:rFonts w:eastAsia="Times New Roman"/>
        </w:rPr>
        <w:t>-</w:t>
      </w:r>
    </w:p>
    <w:p w14:paraId="18219BCE" w14:textId="4D3929C7" w:rsidR="00ED30FA" w:rsidRPr="00D07D58" w:rsidRDefault="00D07D58" w:rsidP="00D07D58">
      <w:pPr>
        <w:widowControl/>
        <w:autoSpaceDE/>
        <w:autoSpaceDN/>
        <w:adjustRightInd/>
        <w:spacing w:line="360" w:lineRule="auto"/>
        <w:ind w:left="1003" w:hanging="720"/>
        <w:jc w:val="both"/>
        <w:rPr>
          <w:bCs/>
        </w:rPr>
      </w:pPr>
      <w:r w:rsidRPr="005E209A">
        <w:rPr>
          <w:bCs/>
        </w:rPr>
        <w:t>(i)</w:t>
      </w:r>
      <w:r w:rsidRPr="005E209A">
        <w:rPr>
          <w:bCs/>
        </w:rPr>
        <w:tab/>
      </w:r>
      <w:r w:rsidR="00ED30FA" w:rsidRPr="00D07D58">
        <w:rPr>
          <w:bCs/>
        </w:rPr>
        <w:t xml:space="preserve">exercising </w:t>
      </w:r>
      <w:r w:rsidR="00146FB8" w:rsidRPr="00D07D58">
        <w:rPr>
          <w:bCs/>
        </w:rPr>
        <w:t xml:space="preserve">a </w:t>
      </w:r>
      <w:r w:rsidR="00ED30FA" w:rsidRPr="00D07D58">
        <w:rPr>
          <w:bCs/>
        </w:rPr>
        <w:t xml:space="preserve">power in terms of the Constitution or a provincial constitution; or </w:t>
      </w:r>
    </w:p>
    <w:p w14:paraId="5C62DB04" w14:textId="0E20FDE7" w:rsidR="00ED30FA" w:rsidRPr="00D07D58" w:rsidRDefault="00D07D58" w:rsidP="00D07D58">
      <w:pPr>
        <w:widowControl/>
        <w:autoSpaceDE/>
        <w:autoSpaceDN/>
        <w:adjustRightInd/>
        <w:spacing w:line="360" w:lineRule="auto"/>
        <w:ind w:left="1003" w:hanging="720"/>
        <w:jc w:val="both"/>
        <w:rPr>
          <w:bCs/>
        </w:rPr>
      </w:pPr>
      <w:r w:rsidRPr="005E209A">
        <w:rPr>
          <w:bCs/>
        </w:rPr>
        <w:t>(ii)</w:t>
      </w:r>
      <w:r w:rsidRPr="005E209A">
        <w:rPr>
          <w:bCs/>
        </w:rPr>
        <w:tab/>
      </w:r>
      <w:r w:rsidR="00ED30FA" w:rsidRPr="00D07D58">
        <w:rPr>
          <w:bCs/>
        </w:rPr>
        <w:t>exercising a public power or performing a public function in terms of any legislation; or</w:t>
      </w:r>
    </w:p>
    <w:p w14:paraId="57791699" w14:textId="34C6B8E7" w:rsidR="00ED30FA" w:rsidRPr="00D07D58" w:rsidRDefault="00D07D58" w:rsidP="00D07D58">
      <w:pPr>
        <w:widowControl/>
        <w:autoSpaceDE/>
        <w:autoSpaceDN/>
        <w:adjustRightInd/>
        <w:spacing w:line="360" w:lineRule="auto"/>
        <w:ind w:left="360" w:hanging="360"/>
        <w:jc w:val="both"/>
        <w:rPr>
          <w:bCs/>
        </w:rPr>
      </w:pPr>
      <w:r w:rsidRPr="005E209A">
        <w:rPr>
          <w:rFonts w:cs="Times New Roman"/>
          <w:bCs/>
          <w:i/>
        </w:rPr>
        <w:lastRenderedPageBreak/>
        <w:t>(b)</w:t>
      </w:r>
      <w:r w:rsidRPr="005E209A">
        <w:rPr>
          <w:rFonts w:cs="Times New Roman"/>
          <w:bCs/>
          <w:i/>
        </w:rPr>
        <w:tab/>
      </w:r>
      <w:r w:rsidR="00ED30FA" w:rsidRPr="00D07D58">
        <w:rPr>
          <w:bCs/>
        </w:rPr>
        <w:t xml:space="preserve"> a natural or juristic person, other than an organ of state, when exercising a public power or performing a public function in terms of an empowering provision, </w:t>
      </w:r>
    </w:p>
    <w:p w14:paraId="5B64C5DF" w14:textId="77777777" w:rsidR="00ED30FA" w:rsidRPr="005E209A" w:rsidRDefault="00ED30FA" w:rsidP="00090D03">
      <w:pPr>
        <w:widowControl/>
        <w:autoSpaceDE/>
        <w:autoSpaceDN/>
        <w:adjustRightInd/>
        <w:spacing w:line="360" w:lineRule="auto"/>
        <w:contextualSpacing/>
        <w:jc w:val="both"/>
        <w:rPr>
          <w:bCs/>
        </w:rPr>
      </w:pPr>
      <w:r w:rsidRPr="005E209A">
        <w:rPr>
          <w:bCs/>
        </w:rPr>
        <w:t xml:space="preserve">which </w:t>
      </w:r>
      <w:bookmarkStart w:id="14" w:name="_Hlk84100324"/>
      <w:r w:rsidRPr="005E209A">
        <w:rPr>
          <w:bCs/>
        </w:rPr>
        <w:t>adversely affects the rights of any person and which has a direct, external effect</w:t>
      </w:r>
      <w:bookmarkEnd w:id="14"/>
      <w:r w:rsidRPr="005E209A">
        <w:rPr>
          <w:bCs/>
        </w:rPr>
        <w:t>.</w:t>
      </w:r>
      <w:r w:rsidR="008B5411">
        <w:rPr>
          <w:bCs/>
        </w:rPr>
        <w:t xml:space="preserve"> . . .</w:t>
      </w:r>
      <w:r w:rsidRPr="005E209A">
        <w:rPr>
          <w:bCs/>
        </w:rPr>
        <w:t>’</w:t>
      </w:r>
    </w:p>
    <w:p w14:paraId="4407D121" w14:textId="77777777" w:rsidR="00ED30FA" w:rsidRPr="003C634D" w:rsidRDefault="00ED30FA" w:rsidP="00EE3E14">
      <w:pPr>
        <w:widowControl/>
        <w:autoSpaceDE/>
        <w:autoSpaceDN/>
        <w:adjustRightInd/>
        <w:spacing w:after="600" w:line="360" w:lineRule="auto"/>
        <w:jc w:val="both"/>
        <w:rPr>
          <w:bCs/>
          <w:sz w:val="24"/>
          <w:szCs w:val="24"/>
        </w:rPr>
      </w:pPr>
      <w:r w:rsidRPr="003C634D">
        <w:rPr>
          <w:bCs/>
          <w:sz w:val="24"/>
          <w:szCs w:val="24"/>
        </w:rPr>
        <w:t>Sub-sections (</w:t>
      </w:r>
      <w:r w:rsidRPr="003C634D">
        <w:rPr>
          <w:bCs/>
          <w:i/>
          <w:iCs/>
          <w:sz w:val="24"/>
          <w:szCs w:val="24"/>
        </w:rPr>
        <w:t>aa</w:t>
      </w:r>
      <w:r w:rsidRPr="003C634D">
        <w:rPr>
          <w:bCs/>
          <w:sz w:val="24"/>
          <w:szCs w:val="24"/>
        </w:rPr>
        <w:t>) – (</w:t>
      </w:r>
      <w:r w:rsidRPr="003C634D">
        <w:rPr>
          <w:bCs/>
          <w:i/>
          <w:iCs/>
          <w:sz w:val="24"/>
          <w:szCs w:val="24"/>
        </w:rPr>
        <w:t>ii</w:t>
      </w:r>
      <w:r w:rsidRPr="003C634D">
        <w:rPr>
          <w:bCs/>
          <w:sz w:val="24"/>
          <w:szCs w:val="24"/>
        </w:rPr>
        <w:t xml:space="preserve">) contain a list of </w:t>
      </w:r>
      <w:bookmarkStart w:id="15" w:name="_Hlk84107174"/>
      <w:r w:rsidRPr="003C634D">
        <w:rPr>
          <w:bCs/>
          <w:sz w:val="24"/>
          <w:szCs w:val="24"/>
        </w:rPr>
        <w:t xml:space="preserve">powers, functions and decisions </w:t>
      </w:r>
      <w:bookmarkEnd w:id="15"/>
      <w:r w:rsidRPr="003C634D">
        <w:rPr>
          <w:bCs/>
          <w:sz w:val="24"/>
          <w:szCs w:val="24"/>
        </w:rPr>
        <w:t xml:space="preserve">which are </w:t>
      </w:r>
      <w:r w:rsidR="00264AF7" w:rsidRPr="003C634D">
        <w:rPr>
          <w:bCs/>
          <w:sz w:val="24"/>
          <w:szCs w:val="24"/>
        </w:rPr>
        <w:t xml:space="preserve">excluded </w:t>
      </w:r>
      <w:r w:rsidRPr="003C634D">
        <w:rPr>
          <w:bCs/>
          <w:sz w:val="24"/>
          <w:szCs w:val="24"/>
        </w:rPr>
        <w:t>from PAJA’s purview.</w:t>
      </w:r>
    </w:p>
    <w:p w14:paraId="7AEEC603" w14:textId="709E738E" w:rsidR="00FC7273" w:rsidRPr="003C634D" w:rsidRDefault="00D07D58" w:rsidP="00D07D58">
      <w:pPr>
        <w:widowControl/>
        <w:autoSpaceDE/>
        <w:autoSpaceDN/>
        <w:adjustRightInd/>
        <w:spacing w:after="360" w:line="360" w:lineRule="auto"/>
        <w:jc w:val="both"/>
        <w:rPr>
          <w:bCs/>
          <w:sz w:val="24"/>
          <w:szCs w:val="24"/>
        </w:rPr>
      </w:pPr>
      <w:r w:rsidRPr="003C634D">
        <w:rPr>
          <w:rFonts w:eastAsia="Times New Roman"/>
          <w:bCs/>
          <w:sz w:val="24"/>
          <w:szCs w:val="24"/>
        </w:rPr>
        <w:t>[13]</w:t>
      </w:r>
      <w:r w:rsidRPr="003C634D">
        <w:rPr>
          <w:rFonts w:eastAsia="Times New Roman"/>
          <w:bCs/>
          <w:sz w:val="24"/>
          <w:szCs w:val="24"/>
        </w:rPr>
        <w:tab/>
      </w:r>
      <w:r w:rsidR="00FC7273" w:rsidRPr="003C634D">
        <w:rPr>
          <w:bCs/>
          <w:sz w:val="24"/>
          <w:szCs w:val="24"/>
        </w:rPr>
        <w:t xml:space="preserve">In </w:t>
      </w:r>
      <w:r w:rsidR="00FC7273" w:rsidRPr="003C634D">
        <w:rPr>
          <w:bCs/>
          <w:i/>
          <w:iCs/>
          <w:sz w:val="24"/>
          <w:szCs w:val="24"/>
        </w:rPr>
        <w:t>Minister of Defence and Military Veterans v Motau and Others</w:t>
      </w:r>
      <w:r w:rsidR="00FC7273" w:rsidRPr="003C634D">
        <w:rPr>
          <w:rStyle w:val="FootnoteReference"/>
          <w:rFonts w:cs="Arial"/>
          <w:bCs/>
          <w:sz w:val="24"/>
          <w:szCs w:val="24"/>
        </w:rPr>
        <w:footnoteReference w:id="1"/>
      </w:r>
      <w:r w:rsidR="00FC7273" w:rsidRPr="003C634D">
        <w:rPr>
          <w:bCs/>
          <w:sz w:val="24"/>
          <w:szCs w:val="24"/>
        </w:rPr>
        <w:t xml:space="preserve"> the Constitutional Court identified seven </w:t>
      </w:r>
      <w:r w:rsidR="00104FF0">
        <w:rPr>
          <w:bCs/>
          <w:sz w:val="24"/>
          <w:szCs w:val="24"/>
        </w:rPr>
        <w:t xml:space="preserve">requirements </w:t>
      </w:r>
      <w:r w:rsidR="00FC7273" w:rsidRPr="003C634D">
        <w:rPr>
          <w:bCs/>
          <w:sz w:val="24"/>
          <w:szCs w:val="24"/>
        </w:rPr>
        <w:t xml:space="preserve">of the definition of an administrative action: </w:t>
      </w:r>
      <w:r w:rsidR="00B23F0E">
        <w:rPr>
          <w:bCs/>
          <w:sz w:val="24"/>
          <w:szCs w:val="24"/>
        </w:rPr>
        <w:t>‘</w:t>
      </w:r>
      <w:r w:rsidR="00104FF0">
        <w:rPr>
          <w:bCs/>
          <w:sz w:val="24"/>
          <w:szCs w:val="24"/>
        </w:rPr>
        <w:t>t</w:t>
      </w:r>
      <w:r w:rsidR="00FC7273" w:rsidRPr="003C634D">
        <w:rPr>
          <w:bCs/>
          <w:sz w:val="24"/>
          <w:szCs w:val="24"/>
        </w:rPr>
        <w:t xml:space="preserve">here must be: (a) a decision </w:t>
      </w:r>
      <w:bookmarkStart w:id="17" w:name="_Hlk83654706"/>
      <w:r w:rsidR="00FC7273" w:rsidRPr="003C634D">
        <w:rPr>
          <w:bCs/>
          <w:sz w:val="24"/>
          <w:szCs w:val="24"/>
        </w:rPr>
        <w:t>of an administrative nature</w:t>
      </w:r>
      <w:bookmarkEnd w:id="17"/>
      <w:r w:rsidR="00FC7273" w:rsidRPr="003C634D">
        <w:rPr>
          <w:bCs/>
          <w:sz w:val="24"/>
          <w:szCs w:val="24"/>
        </w:rPr>
        <w:t xml:space="preserve">; (b) by an organ of state or a natural or juristic person; (c) </w:t>
      </w:r>
      <w:bookmarkStart w:id="18" w:name="_Hlk84118800"/>
      <w:r w:rsidR="00FC7273" w:rsidRPr="003C634D">
        <w:rPr>
          <w:bCs/>
          <w:sz w:val="24"/>
          <w:szCs w:val="24"/>
        </w:rPr>
        <w:t xml:space="preserve">exercising </w:t>
      </w:r>
      <w:bookmarkStart w:id="19" w:name="_Hlk83654772"/>
      <w:r w:rsidR="00FC7273" w:rsidRPr="003C634D">
        <w:rPr>
          <w:bCs/>
          <w:sz w:val="24"/>
          <w:szCs w:val="24"/>
        </w:rPr>
        <w:t>a public power or performing a public function</w:t>
      </w:r>
      <w:bookmarkEnd w:id="19"/>
      <w:r w:rsidR="00FC7273" w:rsidRPr="003C634D">
        <w:rPr>
          <w:bCs/>
          <w:sz w:val="24"/>
          <w:szCs w:val="24"/>
        </w:rPr>
        <w:t xml:space="preserve">; (d) in terms of any legislation or an empowering provision; </w:t>
      </w:r>
      <w:bookmarkEnd w:id="18"/>
      <w:r w:rsidR="00FC7273" w:rsidRPr="003C634D">
        <w:rPr>
          <w:bCs/>
          <w:sz w:val="24"/>
          <w:szCs w:val="24"/>
        </w:rPr>
        <w:t xml:space="preserve">(e) that </w:t>
      </w:r>
      <w:bookmarkStart w:id="20" w:name="_Hlk83769389"/>
      <w:r w:rsidR="00FC7273" w:rsidRPr="003C634D">
        <w:rPr>
          <w:bCs/>
          <w:sz w:val="24"/>
          <w:szCs w:val="24"/>
        </w:rPr>
        <w:t>adversely affects rights</w:t>
      </w:r>
      <w:bookmarkEnd w:id="20"/>
      <w:r w:rsidR="00FC7273" w:rsidRPr="003C634D">
        <w:rPr>
          <w:bCs/>
          <w:sz w:val="24"/>
          <w:szCs w:val="24"/>
        </w:rPr>
        <w:t xml:space="preserve">; (f) that has </w:t>
      </w:r>
      <w:bookmarkStart w:id="21" w:name="_Hlk83769601"/>
      <w:r w:rsidR="00FC7273" w:rsidRPr="003C634D">
        <w:rPr>
          <w:bCs/>
          <w:sz w:val="24"/>
          <w:szCs w:val="24"/>
        </w:rPr>
        <w:t>a direct, external legal effect</w:t>
      </w:r>
      <w:bookmarkEnd w:id="21"/>
      <w:r w:rsidR="00FC7273" w:rsidRPr="003C634D">
        <w:rPr>
          <w:bCs/>
          <w:sz w:val="24"/>
          <w:szCs w:val="24"/>
        </w:rPr>
        <w:t>; and (g) that does not fall under any of the listed exclusions</w:t>
      </w:r>
      <w:r w:rsidR="00A61E59">
        <w:rPr>
          <w:bCs/>
          <w:sz w:val="24"/>
          <w:szCs w:val="24"/>
        </w:rPr>
        <w:t>’</w:t>
      </w:r>
      <w:r w:rsidR="00FC7273" w:rsidRPr="003C634D">
        <w:rPr>
          <w:bCs/>
          <w:sz w:val="24"/>
          <w:szCs w:val="24"/>
        </w:rPr>
        <w:t>.</w:t>
      </w:r>
    </w:p>
    <w:p w14:paraId="352F57ED" w14:textId="39F11424" w:rsidR="00B54EB3" w:rsidRPr="001C634E" w:rsidRDefault="00D07D58" w:rsidP="00D07D58">
      <w:pPr>
        <w:widowControl/>
        <w:autoSpaceDE/>
        <w:autoSpaceDN/>
        <w:adjustRightInd/>
        <w:spacing w:after="360" w:line="360" w:lineRule="auto"/>
        <w:jc w:val="both"/>
        <w:rPr>
          <w:b/>
          <w:iCs/>
          <w:sz w:val="24"/>
          <w:szCs w:val="24"/>
        </w:rPr>
      </w:pPr>
      <w:r w:rsidRPr="001C634E">
        <w:rPr>
          <w:rFonts w:eastAsia="Times New Roman"/>
          <w:iCs/>
          <w:sz w:val="24"/>
          <w:szCs w:val="24"/>
        </w:rPr>
        <w:t>[14]</w:t>
      </w:r>
      <w:r w:rsidRPr="001C634E">
        <w:rPr>
          <w:rFonts w:eastAsia="Times New Roman"/>
          <w:iCs/>
          <w:sz w:val="24"/>
          <w:szCs w:val="24"/>
        </w:rPr>
        <w:tab/>
      </w:r>
      <w:r w:rsidR="00EC4317">
        <w:rPr>
          <w:iCs/>
          <w:sz w:val="24"/>
          <w:szCs w:val="24"/>
        </w:rPr>
        <w:t xml:space="preserve">When regard is had to the structure of the definition of an administrative action, </w:t>
      </w:r>
      <w:r w:rsidR="00FC7273" w:rsidRPr="003C634D">
        <w:rPr>
          <w:iCs/>
          <w:sz w:val="24"/>
          <w:szCs w:val="24"/>
        </w:rPr>
        <w:t xml:space="preserve">the requirement that </w:t>
      </w:r>
      <w:r w:rsidR="00FC7273" w:rsidRPr="003C634D">
        <w:rPr>
          <w:sz w:val="24"/>
          <w:szCs w:val="24"/>
        </w:rPr>
        <w:t xml:space="preserve">the decision be of an administrative nature, </w:t>
      </w:r>
      <w:r w:rsidR="00FC7273" w:rsidRPr="003C634D">
        <w:rPr>
          <w:bCs/>
          <w:iCs/>
          <w:sz w:val="24"/>
          <w:szCs w:val="24"/>
        </w:rPr>
        <w:t xml:space="preserve">is </w:t>
      </w:r>
      <w:r w:rsidR="00FC7273" w:rsidRPr="003C634D">
        <w:rPr>
          <w:bCs/>
          <w:sz w:val="24"/>
          <w:szCs w:val="24"/>
        </w:rPr>
        <w:t>a gate-way to determining whether a particular decision constitutes administrative action. As Wallis</w:t>
      </w:r>
      <w:r w:rsidR="00AD755F">
        <w:rPr>
          <w:bCs/>
          <w:sz w:val="24"/>
          <w:szCs w:val="24"/>
        </w:rPr>
        <w:t> </w:t>
      </w:r>
      <w:r w:rsidR="00FC7273" w:rsidRPr="003C634D">
        <w:rPr>
          <w:bCs/>
          <w:sz w:val="24"/>
          <w:szCs w:val="24"/>
        </w:rPr>
        <w:t xml:space="preserve">J explained in </w:t>
      </w:r>
      <w:r w:rsidR="00FC7273" w:rsidRPr="003C634D">
        <w:rPr>
          <w:bCs/>
          <w:i/>
          <w:iCs/>
          <w:sz w:val="24"/>
          <w:szCs w:val="24"/>
        </w:rPr>
        <w:t>Sokhela</w:t>
      </w:r>
      <w:r w:rsidR="00FC7273" w:rsidRPr="003C634D">
        <w:rPr>
          <w:bCs/>
          <w:sz w:val="24"/>
          <w:szCs w:val="24"/>
        </w:rPr>
        <w:t xml:space="preserve"> </w:t>
      </w:r>
      <w:r w:rsidR="00FC7273" w:rsidRPr="003C634D">
        <w:rPr>
          <w:i/>
          <w:iCs/>
          <w:sz w:val="24"/>
          <w:szCs w:val="24"/>
        </w:rPr>
        <w:t>and Others v MEC for Agriculture and Environmental Affairs</w:t>
      </w:r>
      <w:r w:rsidR="00FC7273" w:rsidRPr="003C634D">
        <w:rPr>
          <w:bCs/>
          <w:sz w:val="24"/>
          <w:szCs w:val="24"/>
        </w:rPr>
        <w:t>,</w:t>
      </w:r>
      <w:r w:rsidR="00FC7273" w:rsidRPr="003C634D">
        <w:rPr>
          <w:rStyle w:val="FootnoteReference"/>
          <w:rFonts w:cs="Arial"/>
          <w:bCs/>
          <w:sz w:val="24"/>
          <w:szCs w:val="24"/>
        </w:rPr>
        <w:footnoteReference w:id="2"/>
      </w:r>
      <w:r w:rsidR="00FC7273" w:rsidRPr="003C634D">
        <w:rPr>
          <w:bCs/>
          <w:sz w:val="24"/>
          <w:szCs w:val="24"/>
        </w:rPr>
        <w:t xml:space="preserve"> </w:t>
      </w:r>
      <w:r w:rsidR="00FC7273" w:rsidRPr="003C634D">
        <w:rPr>
          <w:sz w:val="24"/>
          <w:szCs w:val="24"/>
        </w:rPr>
        <w:t xml:space="preserve">this requirement demands that a detailed analysis be undertaken of the nature of the public power or public function in question, </w:t>
      </w:r>
      <w:r w:rsidR="00A41140">
        <w:rPr>
          <w:sz w:val="24"/>
          <w:szCs w:val="24"/>
        </w:rPr>
        <w:t>‘</w:t>
      </w:r>
      <w:r w:rsidR="00FC7273" w:rsidRPr="003C634D">
        <w:rPr>
          <w:sz w:val="24"/>
          <w:szCs w:val="24"/>
        </w:rPr>
        <w:t>to determine its true character</w:t>
      </w:r>
      <w:r w:rsidR="00C22686" w:rsidRPr="003C634D">
        <w:rPr>
          <w:sz w:val="24"/>
          <w:szCs w:val="24"/>
        </w:rPr>
        <w:t>’</w:t>
      </w:r>
      <w:r w:rsidR="00FC7273" w:rsidRPr="003C634D">
        <w:rPr>
          <w:sz w:val="24"/>
          <w:szCs w:val="24"/>
        </w:rPr>
        <w:t>. Thus, the determination of what constitutes administrative action does not occur by default, and</w:t>
      </w:r>
      <w:r w:rsidR="00FC7273" w:rsidRPr="003C634D">
        <w:rPr>
          <w:rStyle w:val="FootnoteReference"/>
          <w:rFonts w:cs="Arial"/>
          <w:sz w:val="24"/>
          <w:szCs w:val="24"/>
        </w:rPr>
        <w:t xml:space="preserve"> </w:t>
      </w:r>
      <w:r w:rsidR="00FC7273" w:rsidRPr="003C634D">
        <w:rPr>
          <w:sz w:val="24"/>
          <w:szCs w:val="24"/>
        </w:rPr>
        <w:t>‘</w:t>
      </w:r>
      <w:r w:rsidR="00FC5048">
        <w:rPr>
          <w:sz w:val="24"/>
          <w:szCs w:val="24"/>
        </w:rPr>
        <w:t>[</w:t>
      </w:r>
      <w:r w:rsidR="00FC7273" w:rsidRPr="003C634D">
        <w:rPr>
          <w:sz w:val="24"/>
          <w:szCs w:val="24"/>
        </w:rPr>
        <w:t>t</w:t>
      </w:r>
      <w:r w:rsidR="00EF6FC8">
        <w:rPr>
          <w:sz w:val="24"/>
          <w:szCs w:val="24"/>
        </w:rPr>
        <w:t>]</w:t>
      </w:r>
      <w:r w:rsidR="00FC7273" w:rsidRPr="003C634D">
        <w:rPr>
          <w:sz w:val="24"/>
          <w:szCs w:val="24"/>
        </w:rPr>
        <w:t>he court is required to make a positive decision in each case whether a particular exercise of public power or performance of a public function is of an administrative character</w:t>
      </w:r>
      <w:r w:rsidR="00FC5048">
        <w:rPr>
          <w:sz w:val="24"/>
          <w:szCs w:val="24"/>
        </w:rPr>
        <w:t>. . . .</w:t>
      </w:r>
      <w:r w:rsidR="004C4FB3" w:rsidRPr="003C634D">
        <w:rPr>
          <w:sz w:val="24"/>
          <w:szCs w:val="24"/>
        </w:rPr>
        <w:t>’</w:t>
      </w:r>
      <w:r w:rsidR="00FC7273" w:rsidRPr="003C634D">
        <w:rPr>
          <w:sz w:val="24"/>
          <w:szCs w:val="24"/>
        </w:rPr>
        <w:t>.</w:t>
      </w:r>
      <w:r w:rsidR="00FC7273" w:rsidRPr="003C634D">
        <w:rPr>
          <w:rStyle w:val="FootnoteReference"/>
          <w:rFonts w:cs="Arial"/>
          <w:sz w:val="24"/>
          <w:szCs w:val="24"/>
        </w:rPr>
        <w:footnoteReference w:id="3"/>
      </w:r>
      <w:r w:rsidR="00FC7273" w:rsidRPr="003C634D">
        <w:rPr>
          <w:bCs/>
          <w:sz w:val="24"/>
          <w:szCs w:val="24"/>
        </w:rPr>
        <w:t xml:space="preserve">  </w:t>
      </w:r>
      <w:r w:rsidR="00D11935" w:rsidRPr="003C634D">
        <w:rPr>
          <w:b/>
          <w:sz w:val="24"/>
          <w:szCs w:val="24"/>
        </w:rPr>
        <w:t xml:space="preserve"> </w:t>
      </w:r>
    </w:p>
    <w:p w14:paraId="744CFC3B" w14:textId="345717F7" w:rsidR="002E7F44" w:rsidRPr="0082012F" w:rsidRDefault="00D07D58" w:rsidP="00D07D58">
      <w:pPr>
        <w:widowControl/>
        <w:autoSpaceDE/>
        <w:autoSpaceDN/>
        <w:adjustRightInd/>
        <w:spacing w:after="360" w:line="360" w:lineRule="auto"/>
        <w:jc w:val="both"/>
        <w:rPr>
          <w:bCs/>
          <w:sz w:val="24"/>
          <w:szCs w:val="24"/>
        </w:rPr>
      </w:pPr>
      <w:bookmarkStart w:id="23" w:name="_Hlk84095306"/>
      <w:r w:rsidRPr="0082012F">
        <w:rPr>
          <w:rFonts w:eastAsia="Times New Roman"/>
          <w:bCs/>
          <w:sz w:val="24"/>
          <w:szCs w:val="24"/>
        </w:rPr>
        <w:t>[15]</w:t>
      </w:r>
      <w:r w:rsidRPr="0082012F">
        <w:rPr>
          <w:rFonts w:eastAsia="Times New Roman"/>
          <w:bCs/>
          <w:sz w:val="24"/>
          <w:szCs w:val="24"/>
        </w:rPr>
        <w:tab/>
      </w:r>
      <w:r w:rsidR="00FC342F">
        <w:rPr>
          <w:iCs/>
          <w:sz w:val="24"/>
          <w:szCs w:val="24"/>
        </w:rPr>
        <w:t xml:space="preserve">The high court </w:t>
      </w:r>
      <w:r w:rsidR="00FC342F" w:rsidRPr="003C634D">
        <w:rPr>
          <w:iCs/>
          <w:sz w:val="24"/>
          <w:szCs w:val="24"/>
        </w:rPr>
        <w:t xml:space="preserve">did not consider whether the requirement that </w:t>
      </w:r>
      <w:r w:rsidR="00FC342F">
        <w:rPr>
          <w:iCs/>
          <w:sz w:val="24"/>
          <w:szCs w:val="24"/>
        </w:rPr>
        <w:t xml:space="preserve">conduct </w:t>
      </w:r>
      <w:r w:rsidR="00FC342F" w:rsidRPr="003C634D">
        <w:rPr>
          <w:iCs/>
          <w:sz w:val="24"/>
          <w:szCs w:val="24"/>
        </w:rPr>
        <w:t>be of an administrative nature</w:t>
      </w:r>
      <w:r w:rsidR="00FC342F">
        <w:rPr>
          <w:iCs/>
          <w:sz w:val="24"/>
          <w:szCs w:val="24"/>
        </w:rPr>
        <w:t>, was met,</w:t>
      </w:r>
      <w:r w:rsidR="00FC342F">
        <w:rPr>
          <w:bCs/>
          <w:sz w:val="24"/>
          <w:szCs w:val="24"/>
        </w:rPr>
        <w:t xml:space="preserve"> and as such, did not engage in the analysis exercise suggested in </w:t>
      </w:r>
      <w:r w:rsidR="00FC342F" w:rsidRPr="005E209A">
        <w:rPr>
          <w:bCs/>
          <w:i/>
          <w:iCs/>
          <w:sz w:val="24"/>
          <w:szCs w:val="24"/>
        </w:rPr>
        <w:t>Sokhela</w:t>
      </w:r>
      <w:r w:rsidR="00FC342F">
        <w:rPr>
          <w:bCs/>
          <w:sz w:val="24"/>
          <w:szCs w:val="24"/>
        </w:rPr>
        <w:t xml:space="preserve">. To my mind, </w:t>
      </w:r>
      <w:r w:rsidR="00FC342F">
        <w:rPr>
          <w:iCs/>
          <w:sz w:val="24"/>
          <w:szCs w:val="24"/>
        </w:rPr>
        <w:t>t</w:t>
      </w:r>
      <w:r w:rsidR="00FC342F" w:rsidRPr="003C634D">
        <w:rPr>
          <w:iCs/>
          <w:sz w:val="24"/>
          <w:szCs w:val="24"/>
        </w:rPr>
        <w:t xml:space="preserve">his is a structural deficiency in the judgment, </w:t>
      </w:r>
      <w:r w:rsidR="0043193A" w:rsidRPr="00553799">
        <w:rPr>
          <w:iCs/>
          <w:sz w:val="24"/>
          <w:szCs w:val="24"/>
        </w:rPr>
        <w:t>amounting to a misdirection,</w:t>
      </w:r>
      <w:r w:rsidR="0043193A">
        <w:rPr>
          <w:iCs/>
          <w:sz w:val="24"/>
          <w:szCs w:val="24"/>
        </w:rPr>
        <w:t xml:space="preserve"> </w:t>
      </w:r>
      <w:r w:rsidR="00FC342F" w:rsidRPr="003C634D">
        <w:rPr>
          <w:iCs/>
          <w:sz w:val="24"/>
          <w:szCs w:val="24"/>
        </w:rPr>
        <w:t xml:space="preserve">for, if conduct is not of an administrative nature, a fortiori, </w:t>
      </w:r>
      <w:r w:rsidR="00FC342F" w:rsidRPr="003C634D">
        <w:rPr>
          <w:iCs/>
          <w:sz w:val="24"/>
          <w:szCs w:val="24"/>
        </w:rPr>
        <w:lastRenderedPageBreak/>
        <w:t xml:space="preserve">it cannot constitute an administrative action envisaged in PAJA. </w:t>
      </w:r>
      <w:r w:rsidR="00FC342F">
        <w:rPr>
          <w:bCs/>
          <w:sz w:val="24"/>
          <w:szCs w:val="24"/>
        </w:rPr>
        <w:t>With regard to whether the trustees exercised a public power or performed a public function, the high court noted</w:t>
      </w:r>
      <w:r w:rsidR="00EC4317">
        <w:rPr>
          <w:bCs/>
          <w:sz w:val="24"/>
          <w:szCs w:val="24"/>
        </w:rPr>
        <w:t xml:space="preserve"> </w:t>
      </w:r>
      <w:bookmarkStart w:id="24" w:name="_Hlk84101312"/>
      <w:r w:rsidR="00590E41" w:rsidRPr="003C634D">
        <w:rPr>
          <w:sz w:val="24"/>
          <w:szCs w:val="24"/>
        </w:rPr>
        <w:t>that the body corporate derives its power to formulate conduct rules and to apply them</w:t>
      </w:r>
      <w:r w:rsidR="00EC4317">
        <w:rPr>
          <w:sz w:val="24"/>
          <w:szCs w:val="24"/>
        </w:rPr>
        <w:t>,</w:t>
      </w:r>
      <w:r w:rsidR="00590E41" w:rsidRPr="003C634D">
        <w:rPr>
          <w:sz w:val="24"/>
          <w:szCs w:val="24"/>
        </w:rPr>
        <w:t xml:space="preserve"> from a statutory source, namely, the S</w:t>
      </w:r>
      <w:r w:rsidR="00B77DEA">
        <w:rPr>
          <w:sz w:val="24"/>
          <w:szCs w:val="24"/>
        </w:rPr>
        <w:t>ch</w:t>
      </w:r>
      <w:r w:rsidR="00590E41" w:rsidRPr="003C634D">
        <w:rPr>
          <w:sz w:val="24"/>
          <w:szCs w:val="24"/>
        </w:rPr>
        <w:t>em</w:t>
      </w:r>
      <w:r w:rsidR="00B77DEA">
        <w:rPr>
          <w:sz w:val="24"/>
          <w:szCs w:val="24"/>
        </w:rPr>
        <w:t>e</w:t>
      </w:r>
      <w:r w:rsidR="00590E41" w:rsidRPr="003C634D">
        <w:rPr>
          <w:sz w:val="24"/>
          <w:szCs w:val="24"/>
        </w:rPr>
        <w:t xml:space="preserve">s Management Act. </w:t>
      </w:r>
      <w:bookmarkStart w:id="25" w:name="_Hlk84108427"/>
      <w:bookmarkEnd w:id="24"/>
      <w:r w:rsidR="00EC4317">
        <w:rPr>
          <w:sz w:val="24"/>
          <w:szCs w:val="24"/>
        </w:rPr>
        <w:t>T</w:t>
      </w:r>
      <w:r w:rsidR="00590E41" w:rsidRPr="003C634D">
        <w:rPr>
          <w:sz w:val="24"/>
          <w:szCs w:val="24"/>
        </w:rPr>
        <w:t>he exercise of those powers</w:t>
      </w:r>
      <w:r w:rsidR="00EC4317">
        <w:rPr>
          <w:sz w:val="24"/>
          <w:szCs w:val="24"/>
        </w:rPr>
        <w:t>, it said,</w:t>
      </w:r>
      <w:r w:rsidR="00590E41" w:rsidRPr="003C634D">
        <w:rPr>
          <w:sz w:val="24"/>
          <w:szCs w:val="24"/>
        </w:rPr>
        <w:t xml:space="preserve"> can affect a substantial number of people in important matters concerning the conditions under which they occupy the property concerned. </w:t>
      </w:r>
      <w:bookmarkEnd w:id="25"/>
      <w:r w:rsidR="00EC4317">
        <w:rPr>
          <w:sz w:val="24"/>
          <w:szCs w:val="24"/>
        </w:rPr>
        <w:t>To that extent</w:t>
      </w:r>
      <w:r w:rsidR="005E209A">
        <w:rPr>
          <w:sz w:val="24"/>
          <w:szCs w:val="24"/>
        </w:rPr>
        <w:t>,</w:t>
      </w:r>
      <w:r w:rsidR="00590E41" w:rsidRPr="00EC4317">
        <w:rPr>
          <w:sz w:val="24"/>
          <w:szCs w:val="24"/>
        </w:rPr>
        <w:t xml:space="preserve"> ‘a body corporate can be seen as exercising a public power or performing a public function</w:t>
      </w:r>
      <w:r w:rsidR="00001189">
        <w:rPr>
          <w:sz w:val="24"/>
          <w:szCs w:val="24"/>
        </w:rPr>
        <w:t>’</w:t>
      </w:r>
      <w:r w:rsidR="00EC4317" w:rsidRPr="00EC4317">
        <w:rPr>
          <w:sz w:val="24"/>
          <w:szCs w:val="24"/>
        </w:rPr>
        <w:t>.</w:t>
      </w:r>
      <w:r w:rsidR="00EC4317">
        <w:rPr>
          <w:sz w:val="24"/>
          <w:szCs w:val="24"/>
        </w:rPr>
        <w:t xml:space="preserve"> </w:t>
      </w:r>
      <w:r w:rsidR="00EC4317" w:rsidRPr="00EC4317">
        <w:rPr>
          <w:sz w:val="24"/>
          <w:szCs w:val="24"/>
        </w:rPr>
        <w:t>Having regard to these considerations, the high court concluded that the trustees’ decision constitutes administrative action as defined in PAJA and was</w:t>
      </w:r>
      <w:r w:rsidR="0038256F">
        <w:rPr>
          <w:sz w:val="24"/>
          <w:szCs w:val="24"/>
        </w:rPr>
        <w:t>,</w:t>
      </w:r>
      <w:r w:rsidR="00EC4317" w:rsidRPr="00EC4317">
        <w:rPr>
          <w:sz w:val="24"/>
          <w:szCs w:val="24"/>
        </w:rPr>
        <w:t xml:space="preserve"> therefore</w:t>
      </w:r>
      <w:r w:rsidR="0038256F">
        <w:rPr>
          <w:sz w:val="24"/>
          <w:szCs w:val="24"/>
        </w:rPr>
        <w:t>,</w:t>
      </w:r>
      <w:r w:rsidR="00EC4317" w:rsidRPr="00EC4317">
        <w:rPr>
          <w:sz w:val="24"/>
          <w:szCs w:val="24"/>
        </w:rPr>
        <w:t xml:space="preserve"> reviewable at Bae Estate’s instance.</w:t>
      </w:r>
    </w:p>
    <w:p w14:paraId="48755B2B" w14:textId="45B7B993" w:rsidR="00A12C19" w:rsidRPr="00A62DD0" w:rsidRDefault="00D07D58" w:rsidP="00D07D58">
      <w:pPr>
        <w:widowControl/>
        <w:autoSpaceDE/>
        <w:autoSpaceDN/>
        <w:adjustRightInd/>
        <w:spacing w:after="360" w:line="360" w:lineRule="auto"/>
        <w:jc w:val="both"/>
        <w:rPr>
          <w:bCs/>
          <w:sz w:val="24"/>
          <w:szCs w:val="24"/>
        </w:rPr>
      </w:pPr>
      <w:r w:rsidRPr="00A62DD0">
        <w:rPr>
          <w:rFonts w:eastAsia="Times New Roman"/>
          <w:bCs/>
          <w:sz w:val="24"/>
          <w:szCs w:val="24"/>
        </w:rPr>
        <w:t>[16]</w:t>
      </w:r>
      <w:r w:rsidRPr="00A62DD0">
        <w:rPr>
          <w:rFonts w:eastAsia="Times New Roman"/>
          <w:bCs/>
          <w:sz w:val="24"/>
          <w:szCs w:val="24"/>
        </w:rPr>
        <w:tab/>
      </w:r>
      <w:r w:rsidR="007856D5" w:rsidRPr="007C2CFE">
        <w:rPr>
          <w:bCs/>
          <w:sz w:val="24"/>
          <w:szCs w:val="24"/>
        </w:rPr>
        <w:t>I cannot agree with the reasoning of the high court.</w:t>
      </w:r>
      <w:r w:rsidR="00A62DD0">
        <w:rPr>
          <w:bCs/>
          <w:sz w:val="24"/>
          <w:szCs w:val="24"/>
        </w:rPr>
        <w:t xml:space="preserve"> The fact that </w:t>
      </w:r>
      <w:r w:rsidR="008460BD" w:rsidRPr="00A62DD0">
        <w:rPr>
          <w:sz w:val="24"/>
          <w:szCs w:val="24"/>
        </w:rPr>
        <w:t>bodies corporate derive their powers from statute</w:t>
      </w:r>
      <w:r w:rsidR="00AB7EA4" w:rsidRPr="00A62DD0">
        <w:rPr>
          <w:sz w:val="24"/>
          <w:szCs w:val="24"/>
        </w:rPr>
        <w:t xml:space="preserve">, </w:t>
      </w:r>
      <w:r w:rsidR="008460BD" w:rsidRPr="00A62DD0">
        <w:rPr>
          <w:sz w:val="24"/>
          <w:szCs w:val="24"/>
        </w:rPr>
        <w:t xml:space="preserve">does not, without more, translate their decisions into </w:t>
      </w:r>
      <w:r w:rsidR="0043193A" w:rsidRPr="00553799">
        <w:rPr>
          <w:sz w:val="24"/>
          <w:szCs w:val="24"/>
        </w:rPr>
        <w:t>the</w:t>
      </w:r>
      <w:r w:rsidR="0043193A">
        <w:rPr>
          <w:sz w:val="24"/>
          <w:szCs w:val="24"/>
        </w:rPr>
        <w:t xml:space="preserve"> </w:t>
      </w:r>
      <w:r w:rsidR="00A62DD0" w:rsidRPr="00A62DD0">
        <w:rPr>
          <w:sz w:val="24"/>
          <w:szCs w:val="24"/>
        </w:rPr>
        <w:t>exercis</w:t>
      </w:r>
      <w:r w:rsidR="0043193A">
        <w:rPr>
          <w:sz w:val="24"/>
          <w:szCs w:val="24"/>
        </w:rPr>
        <w:t>e</w:t>
      </w:r>
      <w:r w:rsidR="00A62DD0" w:rsidRPr="00A62DD0">
        <w:rPr>
          <w:sz w:val="24"/>
          <w:szCs w:val="24"/>
        </w:rPr>
        <w:t xml:space="preserve"> of </w:t>
      </w:r>
      <w:r w:rsidR="0043193A" w:rsidRPr="00553799">
        <w:rPr>
          <w:sz w:val="24"/>
          <w:szCs w:val="24"/>
        </w:rPr>
        <w:t>any</w:t>
      </w:r>
      <w:r w:rsidR="0043193A">
        <w:rPr>
          <w:sz w:val="24"/>
          <w:szCs w:val="24"/>
        </w:rPr>
        <w:t xml:space="preserve"> </w:t>
      </w:r>
      <w:r w:rsidR="00A62DD0" w:rsidRPr="00A62DD0">
        <w:rPr>
          <w:sz w:val="24"/>
          <w:szCs w:val="24"/>
        </w:rPr>
        <w:t xml:space="preserve">public power or performance of a public function. </w:t>
      </w:r>
      <w:r w:rsidR="00A12C19" w:rsidRPr="00A62DD0">
        <w:rPr>
          <w:sz w:val="24"/>
          <w:szCs w:val="24"/>
        </w:rPr>
        <w:t xml:space="preserve">As explained in </w:t>
      </w:r>
      <w:r w:rsidR="004B798A" w:rsidRPr="00090D03">
        <w:rPr>
          <w:i/>
          <w:iCs/>
          <w:sz w:val="24"/>
          <w:szCs w:val="24"/>
        </w:rPr>
        <w:t>Chirwa v Transnet Limited</w:t>
      </w:r>
      <w:r w:rsidR="0043193A">
        <w:rPr>
          <w:sz w:val="24"/>
          <w:szCs w:val="24"/>
        </w:rPr>
        <w:t>,</w:t>
      </w:r>
      <w:r w:rsidR="004B798A" w:rsidRPr="00090D03">
        <w:rPr>
          <w:rStyle w:val="FootnoteReference"/>
          <w:rFonts w:cs="Arial"/>
          <w:sz w:val="24"/>
          <w:szCs w:val="24"/>
        </w:rPr>
        <w:footnoteReference w:id="4"/>
      </w:r>
      <w:r w:rsidR="00A12C19" w:rsidRPr="00A62DD0">
        <w:rPr>
          <w:sz w:val="24"/>
          <w:szCs w:val="24"/>
        </w:rPr>
        <w:t xml:space="preserve"> </w:t>
      </w:r>
      <w:r w:rsidR="00A12C19" w:rsidRPr="00A62DD0">
        <w:rPr>
          <w:sz w:val="24"/>
          <w:szCs w:val="24"/>
          <w:shd w:val="clear" w:color="auto" w:fill="FFFFFF"/>
        </w:rPr>
        <w:t>such an approach would render the requirement that the decision be taken ‘in terms of any legislation’ meaningless, as all decisions taken by a body created by statute would meet the requirement. </w:t>
      </w:r>
      <w:r w:rsidR="008460BD" w:rsidRPr="00A62DD0">
        <w:rPr>
          <w:sz w:val="24"/>
          <w:szCs w:val="24"/>
        </w:rPr>
        <w:t xml:space="preserve">For example, almost all of the excluded </w:t>
      </w:r>
      <w:r w:rsidR="008460BD" w:rsidRPr="00A62DD0">
        <w:rPr>
          <w:bCs/>
          <w:sz w:val="24"/>
          <w:szCs w:val="24"/>
        </w:rPr>
        <w:t xml:space="preserve">powers and functions in </w:t>
      </w:r>
      <w:r w:rsidR="00977C4F">
        <w:rPr>
          <w:bCs/>
          <w:sz w:val="24"/>
          <w:szCs w:val="24"/>
        </w:rPr>
        <w:t>s</w:t>
      </w:r>
      <w:r w:rsidR="00977C4F" w:rsidRPr="00977C4F">
        <w:rPr>
          <w:bCs/>
          <w:sz w:val="24"/>
          <w:szCs w:val="24"/>
        </w:rPr>
        <w:t xml:space="preserve">ub-sections </w:t>
      </w:r>
      <w:r w:rsidR="008460BD" w:rsidRPr="00A62DD0">
        <w:rPr>
          <w:sz w:val="24"/>
          <w:szCs w:val="24"/>
        </w:rPr>
        <w:t>(</w:t>
      </w:r>
      <w:r w:rsidR="008460BD" w:rsidRPr="00A62DD0">
        <w:rPr>
          <w:i/>
          <w:iCs/>
          <w:sz w:val="24"/>
          <w:szCs w:val="24"/>
        </w:rPr>
        <w:t>aa</w:t>
      </w:r>
      <w:r w:rsidR="008460BD" w:rsidRPr="00A62DD0">
        <w:rPr>
          <w:sz w:val="24"/>
          <w:szCs w:val="24"/>
        </w:rPr>
        <w:t>) – (</w:t>
      </w:r>
      <w:r w:rsidR="008460BD" w:rsidRPr="00A62DD0">
        <w:rPr>
          <w:i/>
          <w:iCs/>
          <w:sz w:val="24"/>
          <w:szCs w:val="24"/>
        </w:rPr>
        <w:t>ii</w:t>
      </w:r>
      <w:r w:rsidR="008460BD" w:rsidRPr="00A62DD0">
        <w:rPr>
          <w:sz w:val="24"/>
          <w:szCs w:val="24"/>
        </w:rPr>
        <w:t xml:space="preserve">) in the definition of </w:t>
      </w:r>
      <w:r w:rsidR="00090D03">
        <w:rPr>
          <w:sz w:val="24"/>
          <w:szCs w:val="24"/>
        </w:rPr>
        <w:t xml:space="preserve">administrative law in PAJA </w:t>
      </w:r>
      <w:r w:rsidR="008460BD" w:rsidRPr="00A62DD0">
        <w:rPr>
          <w:sz w:val="24"/>
          <w:szCs w:val="24"/>
        </w:rPr>
        <w:t>are exercised in terms of statute, but decisions taken in terms thereof are not administrative decisions.</w:t>
      </w:r>
      <w:r w:rsidR="00A62DD0">
        <w:rPr>
          <w:sz w:val="24"/>
          <w:szCs w:val="24"/>
        </w:rPr>
        <w:t xml:space="preserve"> And, to the extent the learned Judge </w:t>
      </w:r>
      <w:r w:rsidR="00120848">
        <w:rPr>
          <w:sz w:val="24"/>
          <w:szCs w:val="24"/>
        </w:rPr>
        <w:t>seem</w:t>
      </w:r>
      <w:r w:rsidR="0043193A">
        <w:rPr>
          <w:sz w:val="24"/>
          <w:szCs w:val="24"/>
        </w:rPr>
        <w:t>s</w:t>
      </w:r>
      <w:r w:rsidR="00120848">
        <w:rPr>
          <w:sz w:val="24"/>
          <w:szCs w:val="24"/>
        </w:rPr>
        <w:t xml:space="preserve"> to </w:t>
      </w:r>
      <w:r w:rsidR="00A62DD0">
        <w:rPr>
          <w:sz w:val="24"/>
          <w:szCs w:val="24"/>
        </w:rPr>
        <w:t>suggest that bodies corporates</w:t>
      </w:r>
      <w:r w:rsidR="00120848">
        <w:rPr>
          <w:sz w:val="24"/>
          <w:szCs w:val="24"/>
        </w:rPr>
        <w:t xml:space="preserve"> exercise public power</w:t>
      </w:r>
      <w:r w:rsidR="00A62DD0">
        <w:rPr>
          <w:sz w:val="24"/>
          <w:szCs w:val="24"/>
        </w:rPr>
        <w:t xml:space="preserve"> by </w:t>
      </w:r>
      <w:r w:rsidR="00120848">
        <w:rPr>
          <w:sz w:val="24"/>
          <w:szCs w:val="24"/>
        </w:rPr>
        <w:t xml:space="preserve">virtue of </w:t>
      </w:r>
      <w:r w:rsidR="00A62DD0">
        <w:rPr>
          <w:sz w:val="24"/>
          <w:szCs w:val="24"/>
        </w:rPr>
        <w:t>their power to regulate the living arrangements</w:t>
      </w:r>
      <w:r w:rsidR="00120848">
        <w:rPr>
          <w:sz w:val="24"/>
          <w:szCs w:val="24"/>
        </w:rPr>
        <w:t xml:space="preserve"> of property owners in their schemes</w:t>
      </w:r>
      <w:r w:rsidR="00A62DD0">
        <w:rPr>
          <w:sz w:val="24"/>
          <w:szCs w:val="24"/>
        </w:rPr>
        <w:t xml:space="preserve"> and </w:t>
      </w:r>
      <w:r w:rsidR="00120848">
        <w:rPr>
          <w:sz w:val="24"/>
          <w:szCs w:val="24"/>
        </w:rPr>
        <w:t xml:space="preserve">to </w:t>
      </w:r>
      <w:r w:rsidR="00A62DD0">
        <w:rPr>
          <w:sz w:val="24"/>
          <w:szCs w:val="24"/>
        </w:rPr>
        <w:t xml:space="preserve">control the common property, this is at odds with this Court’s decision in </w:t>
      </w:r>
      <w:r w:rsidR="00A62DD0" w:rsidRPr="003C634D">
        <w:rPr>
          <w:bCs/>
          <w:i/>
          <w:iCs/>
          <w:sz w:val="24"/>
          <w:szCs w:val="24"/>
        </w:rPr>
        <w:t xml:space="preserve">Mount </w:t>
      </w:r>
      <w:r w:rsidR="00A62DD0" w:rsidRPr="00120848">
        <w:rPr>
          <w:bCs/>
          <w:i/>
          <w:iCs/>
          <w:sz w:val="24"/>
          <w:szCs w:val="24"/>
        </w:rPr>
        <w:t>Edgecombe</w:t>
      </w:r>
      <w:r w:rsidR="00120848" w:rsidRPr="00120848">
        <w:rPr>
          <w:bCs/>
          <w:i/>
          <w:iCs/>
          <w:sz w:val="24"/>
          <w:szCs w:val="24"/>
        </w:rPr>
        <w:t xml:space="preserve"> </w:t>
      </w:r>
      <w:r w:rsidR="00120848" w:rsidRPr="005E209A">
        <w:rPr>
          <w:bCs/>
          <w:i/>
          <w:iCs/>
          <w:sz w:val="24"/>
          <w:szCs w:val="24"/>
        </w:rPr>
        <w:t>Country Club Estate Management Association v Singh</w:t>
      </w:r>
      <w:r w:rsidR="00120848" w:rsidRPr="005E209A">
        <w:rPr>
          <w:bCs/>
          <w:sz w:val="24"/>
          <w:szCs w:val="24"/>
        </w:rPr>
        <w:t>.</w:t>
      </w:r>
      <w:r w:rsidR="00120848" w:rsidRPr="005E209A">
        <w:rPr>
          <w:rStyle w:val="FootnoteReference"/>
          <w:bCs/>
          <w:sz w:val="24"/>
          <w:szCs w:val="24"/>
        </w:rPr>
        <w:footnoteReference w:id="5"/>
      </w:r>
      <w:r w:rsidR="00120848">
        <w:rPr>
          <w:bCs/>
          <w:sz w:val="24"/>
          <w:szCs w:val="24"/>
        </w:rPr>
        <w:t xml:space="preserve"> </w:t>
      </w:r>
      <w:r w:rsidR="00A62DD0" w:rsidRPr="003C634D">
        <w:rPr>
          <w:bCs/>
          <w:sz w:val="24"/>
          <w:szCs w:val="24"/>
        </w:rPr>
        <w:t xml:space="preserve"> </w:t>
      </w:r>
      <w:r w:rsidR="00A62DD0" w:rsidRPr="003C634D">
        <w:rPr>
          <w:sz w:val="24"/>
          <w:szCs w:val="24"/>
        </w:rPr>
        <w:t xml:space="preserve"> </w:t>
      </w:r>
      <w:r w:rsidR="00A62DD0">
        <w:rPr>
          <w:sz w:val="24"/>
          <w:szCs w:val="24"/>
        </w:rPr>
        <w:t xml:space="preserve"> </w:t>
      </w:r>
      <w:r w:rsidR="00A12C19" w:rsidRPr="00A62DD0">
        <w:rPr>
          <w:sz w:val="24"/>
          <w:szCs w:val="24"/>
        </w:rPr>
        <w:t xml:space="preserve"> </w:t>
      </w:r>
    </w:p>
    <w:p w14:paraId="593764A6" w14:textId="1289A626" w:rsidR="00732AF5" w:rsidRPr="00AC0E03" w:rsidRDefault="00D07D58" w:rsidP="00D07D58">
      <w:pPr>
        <w:widowControl/>
        <w:autoSpaceDE/>
        <w:autoSpaceDN/>
        <w:adjustRightInd/>
        <w:spacing w:after="360" w:line="360" w:lineRule="auto"/>
        <w:jc w:val="both"/>
        <w:rPr>
          <w:bCs/>
          <w:sz w:val="24"/>
          <w:szCs w:val="24"/>
        </w:rPr>
      </w:pPr>
      <w:r w:rsidRPr="00AC0E03">
        <w:rPr>
          <w:rFonts w:eastAsia="Times New Roman"/>
          <w:bCs/>
          <w:sz w:val="24"/>
          <w:szCs w:val="24"/>
        </w:rPr>
        <w:t>[17]</w:t>
      </w:r>
      <w:r w:rsidRPr="00AC0E03">
        <w:rPr>
          <w:rFonts w:eastAsia="Times New Roman"/>
          <w:bCs/>
          <w:sz w:val="24"/>
          <w:szCs w:val="24"/>
        </w:rPr>
        <w:tab/>
      </w:r>
      <w:r w:rsidR="00B234E8" w:rsidRPr="003C634D">
        <w:rPr>
          <w:bCs/>
          <w:sz w:val="24"/>
          <w:szCs w:val="24"/>
        </w:rPr>
        <w:t xml:space="preserve">The </w:t>
      </w:r>
      <w:r w:rsidR="003C746C">
        <w:rPr>
          <w:bCs/>
          <w:sz w:val="24"/>
          <w:szCs w:val="24"/>
        </w:rPr>
        <w:t xml:space="preserve">sum effect </w:t>
      </w:r>
      <w:r w:rsidR="00B234E8" w:rsidRPr="003C634D">
        <w:rPr>
          <w:bCs/>
          <w:sz w:val="24"/>
          <w:szCs w:val="24"/>
        </w:rPr>
        <w:t xml:space="preserve">of these is that the high court failed to </w:t>
      </w:r>
      <w:r w:rsidR="00D77F5F" w:rsidRPr="003C634D">
        <w:rPr>
          <w:bCs/>
          <w:sz w:val="24"/>
          <w:szCs w:val="24"/>
        </w:rPr>
        <w:t xml:space="preserve">properly </w:t>
      </w:r>
      <w:r w:rsidR="00B234E8" w:rsidRPr="003C634D">
        <w:rPr>
          <w:bCs/>
          <w:sz w:val="24"/>
          <w:szCs w:val="24"/>
        </w:rPr>
        <w:t>engage</w:t>
      </w:r>
      <w:r w:rsidR="00D77F5F" w:rsidRPr="003C634D">
        <w:rPr>
          <w:bCs/>
          <w:sz w:val="24"/>
          <w:szCs w:val="24"/>
        </w:rPr>
        <w:t xml:space="preserve"> in an</w:t>
      </w:r>
      <w:r w:rsidR="003C746C">
        <w:rPr>
          <w:bCs/>
          <w:sz w:val="24"/>
          <w:szCs w:val="24"/>
        </w:rPr>
        <w:t xml:space="preserve"> analysis of the relevant requirements of the definition of administrative action.</w:t>
      </w:r>
      <w:r w:rsidR="00D77F5F" w:rsidRPr="003C634D">
        <w:rPr>
          <w:bCs/>
          <w:sz w:val="24"/>
          <w:szCs w:val="24"/>
        </w:rPr>
        <w:t xml:space="preserve"> </w:t>
      </w:r>
      <w:r w:rsidR="00FD0103" w:rsidRPr="003C634D">
        <w:rPr>
          <w:bCs/>
          <w:sz w:val="24"/>
          <w:szCs w:val="24"/>
        </w:rPr>
        <w:t>I turn to that aspect.</w:t>
      </w:r>
      <w:r w:rsidR="005E209A">
        <w:rPr>
          <w:bCs/>
          <w:sz w:val="24"/>
          <w:szCs w:val="24"/>
        </w:rPr>
        <w:t xml:space="preserve"> </w:t>
      </w:r>
      <w:r w:rsidR="00FD0103" w:rsidRPr="005E209A">
        <w:rPr>
          <w:bCs/>
          <w:sz w:val="24"/>
          <w:szCs w:val="24"/>
        </w:rPr>
        <w:t xml:space="preserve">It is prudent right from the onset, to delineate which of </w:t>
      </w:r>
      <w:r w:rsidR="003C746C" w:rsidRPr="005E209A">
        <w:rPr>
          <w:bCs/>
          <w:sz w:val="24"/>
          <w:szCs w:val="24"/>
        </w:rPr>
        <w:t xml:space="preserve">those requirements </w:t>
      </w:r>
      <w:r w:rsidR="00FD0103" w:rsidRPr="005E209A">
        <w:rPr>
          <w:bCs/>
          <w:sz w:val="24"/>
          <w:szCs w:val="24"/>
        </w:rPr>
        <w:t>are in dispute</w:t>
      </w:r>
      <w:r w:rsidR="003C746C" w:rsidRPr="005E209A">
        <w:rPr>
          <w:bCs/>
          <w:sz w:val="24"/>
          <w:szCs w:val="24"/>
        </w:rPr>
        <w:t>.</w:t>
      </w:r>
      <w:r w:rsidR="00FD0103" w:rsidRPr="005E209A">
        <w:rPr>
          <w:bCs/>
          <w:sz w:val="24"/>
          <w:szCs w:val="24"/>
        </w:rPr>
        <w:t xml:space="preserve"> </w:t>
      </w:r>
      <w:r w:rsidR="003C746C" w:rsidRPr="005E209A">
        <w:rPr>
          <w:bCs/>
          <w:sz w:val="24"/>
          <w:szCs w:val="24"/>
        </w:rPr>
        <w:t xml:space="preserve">As I see it, three of those are: </w:t>
      </w:r>
      <w:bookmarkStart w:id="26" w:name="_Hlk84118888"/>
      <w:r w:rsidR="00564F9F" w:rsidRPr="005E209A">
        <w:rPr>
          <w:bCs/>
          <w:sz w:val="24"/>
          <w:szCs w:val="24"/>
        </w:rPr>
        <w:t>(a) whether the trustees’ decision is of an administrative nature</w:t>
      </w:r>
      <w:bookmarkEnd w:id="26"/>
      <w:r w:rsidR="00564F9F" w:rsidRPr="005E209A">
        <w:rPr>
          <w:bCs/>
          <w:sz w:val="24"/>
          <w:szCs w:val="24"/>
        </w:rPr>
        <w:t xml:space="preserve">; (b) </w:t>
      </w:r>
      <w:bookmarkStart w:id="27" w:name="_Hlk84118923"/>
      <w:r w:rsidR="00564F9F" w:rsidRPr="005E209A">
        <w:rPr>
          <w:bCs/>
          <w:sz w:val="24"/>
          <w:szCs w:val="24"/>
        </w:rPr>
        <w:t xml:space="preserve">whether the trustees exercised a public power or </w:t>
      </w:r>
      <w:r w:rsidR="00564F9F" w:rsidRPr="005E209A">
        <w:rPr>
          <w:bCs/>
          <w:sz w:val="24"/>
          <w:szCs w:val="24"/>
        </w:rPr>
        <w:lastRenderedPageBreak/>
        <w:t>performed a public function</w:t>
      </w:r>
      <w:bookmarkEnd w:id="27"/>
      <w:r w:rsidR="00564F9F" w:rsidRPr="005E209A">
        <w:rPr>
          <w:bCs/>
          <w:sz w:val="24"/>
          <w:szCs w:val="24"/>
        </w:rPr>
        <w:t xml:space="preserve">; </w:t>
      </w:r>
      <w:bookmarkStart w:id="28" w:name="_Hlk84118971"/>
      <w:r w:rsidR="00564F9F" w:rsidRPr="005E209A">
        <w:rPr>
          <w:bCs/>
          <w:sz w:val="24"/>
          <w:szCs w:val="24"/>
        </w:rPr>
        <w:t>(c) whether the trustees acted in terms of any legislation or an empowering provisio</w:t>
      </w:r>
      <w:bookmarkEnd w:id="28"/>
      <w:r w:rsidR="00564F9F" w:rsidRPr="005E209A">
        <w:rPr>
          <w:bCs/>
          <w:sz w:val="24"/>
          <w:szCs w:val="24"/>
        </w:rPr>
        <w:t>n.</w:t>
      </w:r>
      <w:r w:rsidR="003C746C">
        <w:rPr>
          <w:rStyle w:val="FootnoteReference"/>
          <w:bCs/>
          <w:sz w:val="24"/>
          <w:szCs w:val="24"/>
        </w:rPr>
        <w:footnoteReference w:id="6"/>
      </w:r>
    </w:p>
    <w:p w14:paraId="3D1D20F4" w14:textId="77777777" w:rsidR="00FD0103" w:rsidRPr="003C634D" w:rsidRDefault="00564F9F" w:rsidP="00090D03">
      <w:pPr>
        <w:widowControl/>
        <w:autoSpaceDE/>
        <w:autoSpaceDN/>
        <w:adjustRightInd/>
        <w:spacing w:line="360" w:lineRule="auto"/>
        <w:jc w:val="both"/>
        <w:rPr>
          <w:bCs/>
          <w:sz w:val="24"/>
          <w:szCs w:val="24"/>
        </w:rPr>
      </w:pPr>
      <w:r w:rsidRPr="003C634D">
        <w:rPr>
          <w:b/>
          <w:sz w:val="24"/>
          <w:szCs w:val="24"/>
        </w:rPr>
        <w:t>Whether the trustees’ decision is of an administrative nature</w:t>
      </w:r>
    </w:p>
    <w:p w14:paraId="2185F2A8" w14:textId="73FB80D0" w:rsidR="00193ECB" w:rsidRPr="0082012F" w:rsidRDefault="00D07D58" w:rsidP="00D07D58">
      <w:pPr>
        <w:widowControl/>
        <w:autoSpaceDE/>
        <w:autoSpaceDN/>
        <w:adjustRightInd/>
        <w:spacing w:after="360" w:line="360" w:lineRule="auto"/>
        <w:jc w:val="both"/>
        <w:rPr>
          <w:bCs/>
          <w:sz w:val="24"/>
          <w:szCs w:val="24"/>
        </w:rPr>
      </w:pPr>
      <w:r w:rsidRPr="0082012F">
        <w:rPr>
          <w:rFonts w:eastAsia="Times New Roman"/>
          <w:bCs/>
          <w:sz w:val="24"/>
          <w:szCs w:val="24"/>
        </w:rPr>
        <w:t>[18]</w:t>
      </w:r>
      <w:r w:rsidRPr="0082012F">
        <w:rPr>
          <w:rFonts w:eastAsia="Times New Roman"/>
          <w:bCs/>
          <w:sz w:val="24"/>
          <w:szCs w:val="24"/>
        </w:rPr>
        <w:tab/>
      </w:r>
      <w:r w:rsidR="004E36FD" w:rsidRPr="003C634D">
        <w:rPr>
          <w:bCs/>
          <w:sz w:val="24"/>
          <w:szCs w:val="24"/>
        </w:rPr>
        <w:t xml:space="preserve">In </w:t>
      </w:r>
      <w:r w:rsidR="00452005" w:rsidRPr="00452005">
        <w:rPr>
          <w:bCs/>
          <w:i/>
          <w:iCs/>
          <w:sz w:val="24"/>
          <w:szCs w:val="24"/>
        </w:rPr>
        <w:t>Grey</w:t>
      </w:r>
      <w:r w:rsidR="0043193A">
        <w:rPr>
          <w:bCs/>
          <w:i/>
          <w:iCs/>
          <w:sz w:val="24"/>
          <w:szCs w:val="24"/>
        </w:rPr>
        <w:t>’</w:t>
      </w:r>
      <w:r w:rsidR="00452005" w:rsidRPr="00452005">
        <w:rPr>
          <w:bCs/>
          <w:i/>
          <w:iCs/>
          <w:sz w:val="24"/>
          <w:szCs w:val="24"/>
        </w:rPr>
        <w:t>s Marine Hout Bay (Pty) Ltd and Others v Minister of Public Works and Others</w:t>
      </w:r>
      <w:r w:rsidR="004E36FD" w:rsidRPr="003C634D">
        <w:rPr>
          <w:rStyle w:val="FootnoteReference"/>
          <w:rFonts w:cs="Arial"/>
          <w:sz w:val="24"/>
          <w:szCs w:val="24"/>
        </w:rPr>
        <w:footnoteReference w:id="7"/>
      </w:r>
      <w:r w:rsidR="004E36FD" w:rsidRPr="003C634D">
        <w:rPr>
          <w:sz w:val="24"/>
          <w:szCs w:val="24"/>
        </w:rPr>
        <w:t xml:space="preserve"> it was pointed out that conduct of an administrative nature is generally understood as the ‘</w:t>
      </w:r>
      <w:r w:rsidR="00D25161">
        <w:rPr>
          <w:sz w:val="24"/>
          <w:szCs w:val="24"/>
        </w:rPr>
        <w:t xml:space="preserve">. . . </w:t>
      </w:r>
      <w:r w:rsidR="004E36FD" w:rsidRPr="003C634D">
        <w:rPr>
          <w:sz w:val="24"/>
          <w:szCs w:val="24"/>
        </w:rPr>
        <w:t>the conduct of the bureaucracy (whoever the bureaucratic functionary might be) in carrying out the daily functions of the state which necessarily involves the application of policy, usually after its translation into law…’</w:t>
      </w:r>
      <w:r w:rsidR="0082012F">
        <w:rPr>
          <w:bCs/>
          <w:sz w:val="24"/>
          <w:szCs w:val="24"/>
        </w:rPr>
        <w:t xml:space="preserve"> </w:t>
      </w:r>
      <w:r w:rsidR="004E36FD" w:rsidRPr="0082012F">
        <w:rPr>
          <w:bCs/>
          <w:sz w:val="24"/>
          <w:szCs w:val="24"/>
        </w:rPr>
        <w:t xml:space="preserve">In the present case, </w:t>
      </w:r>
      <w:r w:rsidR="004E36FD" w:rsidRPr="0082012F">
        <w:rPr>
          <w:rFonts w:eastAsia="Times New Roman"/>
          <w:sz w:val="24"/>
          <w:szCs w:val="24"/>
        </w:rPr>
        <w:t xml:space="preserve">there is nothing </w:t>
      </w:r>
      <w:r w:rsidR="004E36FD" w:rsidRPr="0082012F">
        <w:rPr>
          <w:sz w:val="24"/>
          <w:szCs w:val="24"/>
        </w:rPr>
        <w:t xml:space="preserve">bureaucratic about the trustees’ decision, nor does it involve ‘application of policy’. </w:t>
      </w:r>
      <w:r w:rsidR="00137A77" w:rsidRPr="0082012F">
        <w:rPr>
          <w:rFonts w:eastAsia="Times New Roman"/>
          <w:sz w:val="24"/>
          <w:szCs w:val="24"/>
        </w:rPr>
        <w:t xml:space="preserve">Instead, the decision seems more </w:t>
      </w:r>
      <w:r w:rsidR="00137A77" w:rsidRPr="00553799">
        <w:rPr>
          <w:rFonts w:eastAsia="Times New Roman"/>
          <w:sz w:val="24"/>
          <w:szCs w:val="24"/>
        </w:rPr>
        <w:t>c</w:t>
      </w:r>
      <w:r w:rsidR="00137A77" w:rsidRPr="0082012F">
        <w:rPr>
          <w:rFonts w:eastAsia="Times New Roman"/>
          <w:sz w:val="24"/>
          <w:szCs w:val="24"/>
        </w:rPr>
        <w:t>ommercial or managerial in nature, rather than administrative.</w:t>
      </w:r>
      <w:r w:rsidR="0082012F" w:rsidRPr="0082012F">
        <w:rPr>
          <w:rFonts w:eastAsia="Times New Roman"/>
          <w:sz w:val="24"/>
          <w:szCs w:val="24"/>
        </w:rPr>
        <w:t xml:space="preserve"> The trustees’ decision was made in the course of running and managing the scheme. T</w:t>
      </w:r>
      <w:r w:rsidR="0082012F" w:rsidRPr="0082012F">
        <w:rPr>
          <w:sz w:val="24"/>
          <w:szCs w:val="24"/>
        </w:rPr>
        <w:t>he nature of the power is thus managerial or business-related.</w:t>
      </w:r>
      <w:r w:rsidR="00553799">
        <w:rPr>
          <w:sz w:val="24"/>
          <w:szCs w:val="24"/>
        </w:rPr>
        <w:t xml:space="preserve"> </w:t>
      </w:r>
      <w:r w:rsidR="00193ECB" w:rsidRPr="0082012F">
        <w:rPr>
          <w:rFonts w:eastAsia="Times New Roman"/>
          <w:sz w:val="24"/>
          <w:szCs w:val="24"/>
        </w:rPr>
        <w:t>Their decision is no different to a decision of a meeting of shareholders of a company.</w:t>
      </w:r>
      <w:r w:rsidR="0082012F">
        <w:rPr>
          <w:rStyle w:val="FootnoteReference"/>
          <w:rFonts w:eastAsia="Times New Roman"/>
          <w:sz w:val="24"/>
          <w:szCs w:val="24"/>
        </w:rPr>
        <w:footnoteReference w:id="8"/>
      </w:r>
      <w:r w:rsidR="00193ECB" w:rsidRPr="0082012F">
        <w:rPr>
          <w:sz w:val="24"/>
          <w:szCs w:val="24"/>
        </w:rPr>
        <w:t xml:space="preserve"> </w:t>
      </w:r>
    </w:p>
    <w:p w14:paraId="2ABACB7C" w14:textId="1DD79F00" w:rsidR="00193ECB" w:rsidRPr="003C634D" w:rsidRDefault="00D07D58" w:rsidP="00D07D58">
      <w:pPr>
        <w:widowControl/>
        <w:autoSpaceDE/>
        <w:autoSpaceDN/>
        <w:adjustRightInd/>
        <w:spacing w:after="360" w:line="360" w:lineRule="auto"/>
        <w:jc w:val="both"/>
        <w:rPr>
          <w:bCs/>
          <w:sz w:val="24"/>
          <w:szCs w:val="24"/>
        </w:rPr>
      </w:pPr>
      <w:r w:rsidRPr="003C634D">
        <w:rPr>
          <w:rFonts w:eastAsia="Times New Roman"/>
          <w:bCs/>
          <w:sz w:val="24"/>
          <w:szCs w:val="24"/>
        </w:rPr>
        <w:t>[19]</w:t>
      </w:r>
      <w:r w:rsidRPr="003C634D">
        <w:rPr>
          <w:rFonts w:eastAsia="Times New Roman"/>
          <w:bCs/>
          <w:sz w:val="24"/>
          <w:szCs w:val="24"/>
        </w:rPr>
        <w:tab/>
      </w:r>
      <w:r w:rsidR="004E36FD" w:rsidRPr="003C634D">
        <w:rPr>
          <w:sz w:val="24"/>
          <w:szCs w:val="24"/>
        </w:rPr>
        <w:t>I therefore conclude that the trustees’ decision was not of an administrative</w:t>
      </w:r>
      <w:r w:rsidR="00553799">
        <w:rPr>
          <w:sz w:val="24"/>
          <w:szCs w:val="24"/>
        </w:rPr>
        <w:t xml:space="preserve"> </w:t>
      </w:r>
      <w:r w:rsidR="0043193A" w:rsidRPr="00553799">
        <w:rPr>
          <w:sz w:val="24"/>
          <w:szCs w:val="24"/>
        </w:rPr>
        <w:t>nature</w:t>
      </w:r>
      <w:r w:rsidR="004E36FD" w:rsidRPr="003C634D">
        <w:rPr>
          <w:sz w:val="24"/>
          <w:szCs w:val="24"/>
        </w:rPr>
        <w:t xml:space="preserve">. Having failed at the first hurdle, this should be the end of the enquiry. However, given the </w:t>
      </w:r>
      <w:r w:rsidR="004B798A">
        <w:rPr>
          <w:sz w:val="24"/>
          <w:szCs w:val="24"/>
        </w:rPr>
        <w:t xml:space="preserve">interrelatedness of the requirements, and the far-reaching implications the judgment of the high court holds for </w:t>
      </w:r>
      <w:r w:rsidR="004E36FD" w:rsidRPr="003C634D">
        <w:rPr>
          <w:sz w:val="24"/>
          <w:szCs w:val="24"/>
        </w:rPr>
        <w:t>bodies corporate</w:t>
      </w:r>
      <w:r w:rsidR="0043193A">
        <w:rPr>
          <w:sz w:val="24"/>
          <w:szCs w:val="24"/>
        </w:rPr>
        <w:t xml:space="preserve"> </w:t>
      </w:r>
      <w:r w:rsidR="0043193A" w:rsidRPr="00553799">
        <w:rPr>
          <w:sz w:val="24"/>
          <w:szCs w:val="24"/>
        </w:rPr>
        <w:t>generally</w:t>
      </w:r>
      <w:r w:rsidR="0043193A">
        <w:rPr>
          <w:sz w:val="24"/>
          <w:szCs w:val="24"/>
        </w:rPr>
        <w:t>,</w:t>
      </w:r>
      <w:r w:rsidR="004B798A">
        <w:rPr>
          <w:sz w:val="24"/>
          <w:szCs w:val="24"/>
        </w:rPr>
        <w:t xml:space="preserve"> I will consider the other two requirements</w:t>
      </w:r>
      <w:r w:rsidR="004E36FD" w:rsidRPr="003C634D">
        <w:rPr>
          <w:sz w:val="24"/>
          <w:szCs w:val="24"/>
        </w:rPr>
        <w:t xml:space="preserve">. </w:t>
      </w:r>
    </w:p>
    <w:p w14:paraId="5B1D0D37" w14:textId="77777777" w:rsidR="00193ECB" w:rsidRPr="003C634D" w:rsidRDefault="00564F9F" w:rsidP="00090D03">
      <w:pPr>
        <w:widowControl/>
        <w:autoSpaceDE/>
        <w:autoSpaceDN/>
        <w:adjustRightInd/>
        <w:spacing w:line="360" w:lineRule="auto"/>
        <w:jc w:val="both"/>
        <w:rPr>
          <w:bCs/>
          <w:sz w:val="24"/>
          <w:szCs w:val="24"/>
        </w:rPr>
      </w:pPr>
      <w:r w:rsidRPr="003C634D">
        <w:rPr>
          <w:b/>
          <w:sz w:val="24"/>
          <w:szCs w:val="24"/>
        </w:rPr>
        <w:t>Whether the trustees exercised a public power or performed a public function</w:t>
      </w:r>
    </w:p>
    <w:p w14:paraId="0490E787" w14:textId="65E1ADDB" w:rsidR="00762B8A" w:rsidRPr="003C634D" w:rsidRDefault="00D07D58" w:rsidP="00D07D58">
      <w:pPr>
        <w:widowControl/>
        <w:autoSpaceDE/>
        <w:autoSpaceDN/>
        <w:adjustRightInd/>
        <w:spacing w:after="360" w:line="360" w:lineRule="auto"/>
        <w:jc w:val="both"/>
        <w:rPr>
          <w:bCs/>
          <w:sz w:val="24"/>
          <w:szCs w:val="24"/>
        </w:rPr>
      </w:pPr>
      <w:r w:rsidRPr="003C634D">
        <w:rPr>
          <w:rFonts w:eastAsia="Times New Roman"/>
          <w:bCs/>
          <w:sz w:val="24"/>
          <w:szCs w:val="24"/>
        </w:rPr>
        <w:t>[20]</w:t>
      </w:r>
      <w:r w:rsidRPr="003C634D">
        <w:rPr>
          <w:rFonts w:eastAsia="Times New Roman"/>
          <w:bCs/>
          <w:sz w:val="24"/>
          <w:szCs w:val="24"/>
        </w:rPr>
        <w:tab/>
      </w:r>
      <w:r w:rsidR="00517716" w:rsidRPr="003C634D">
        <w:rPr>
          <w:rFonts w:eastAsia="Times New Roman"/>
          <w:sz w:val="24"/>
          <w:szCs w:val="24"/>
        </w:rPr>
        <w:t xml:space="preserve">The question </w:t>
      </w:r>
      <w:r w:rsidR="00517716" w:rsidRPr="00553799">
        <w:rPr>
          <w:rFonts w:eastAsia="Times New Roman"/>
          <w:sz w:val="24"/>
          <w:szCs w:val="24"/>
        </w:rPr>
        <w:t>w</w:t>
      </w:r>
      <w:r w:rsidR="00517716" w:rsidRPr="003C634D">
        <w:rPr>
          <w:rFonts w:eastAsia="Times New Roman"/>
          <w:sz w:val="24"/>
          <w:szCs w:val="24"/>
        </w:rPr>
        <w:t xml:space="preserve">hether private entities are capable of exercising public powers or performing public functions is vexed. </w:t>
      </w:r>
      <w:r w:rsidR="00762B8A" w:rsidRPr="003C634D">
        <w:rPr>
          <w:sz w:val="24"/>
          <w:szCs w:val="24"/>
          <w:lang w:val="en-GB"/>
        </w:rPr>
        <w:t xml:space="preserve">In </w:t>
      </w:r>
      <w:r w:rsidR="00762B8A" w:rsidRPr="00090D03">
        <w:rPr>
          <w:i/>
          <w:iCs/>
          <w:sz w:val="24"/>
          <w:szCs w:val="24"/>
        </w:rPr>
        <w:t xml:space="preserve">Chirwa </w:t>
      </w:r>
      <w:r w:rsidR="00762B8A" w:rsidRPr="003C634D">
        <w:rPr>
          <w:sz w:val="24"/>
          <w:szCs w:val="24"/>
        </w:rPr>
        <w:t>it was held that</w:t>
      </w:r>
      <w:r w:rsidR="00762B8A" w:rsidRPr="003C634D">
        <w:rPr>
          <w:i/>
          <w:iCs/>
          <w:sz w:val="24"/>
          <w:szCs w:val="24"/>
        </w:rPr>
        <w:t xml:space="preserve"> </w:t>
      </w:r>
      <w:r w:rsidR="00762B8A" w:rsidRPr="003C634D">
        <w:rPr>
          <w:sz w:val="24"/>
          <w:szCs w:val="24"/>
          <w:lang w:val="en-GB"/>
        </w:rPr>
        <w:t xml:space="preserve">determining whether a power or function is ’public’ has to be determined with regard to all the relevant factors including: (a) the relationship of coercion or power that the actor has in its capacity as a public institution; (b) the impact of the decision on the public; (c) the source of the power; and (d) whether there is a need for the decision to be exercised </w:t>
      </w:r>
      <w:r w:rsidR="00762B8A" w:rsidRPr="003C634D">
        <w:rPr>
          <w:sz w:val="24"/>
          <w:szCs w:val="24"/>
          <w:lang w:val="en-GB"/>
        </w:rPr>
        <w:lastRenderedPageBreak/>
        <w:t>in the public interest. None of these factors will necessarily be determinative; instead, a court must exercise its discretion considering their relative weight in the context</w:t>
      </w:r>
      <w:r w:rsidR="0033184B">
        <w:rPr>
          <w:sz w:val="24"/>
          <w:szCs w:val="24"/>
          <w:lang w:val="en-GB"/>
        </w:rPr>
        <w:t>’</w:t>
      </w:r>
      <w:r w:rsidR="00762B8A" w:rsidRPr="003C634D">
        <w:rPr>
          <w:sz w:val="24"/>
          <w:szCs w:val="24"/>
          <w:lang w:val="en-GB"/>
        </w:rPr>
        <w:t>.</w:t>
      </w:r>
    </w:p>
    <w:p w14:paraId="460ED2C6" w14:textId="383F0CFA" w:rsidR="00FF770B" w:rsidRPr="003C634D" w:rsidRDefault="00D07D58" w:rsidP="00D07D58">
      <w:pPr>
        <w:widowControl/>
        <w:autoSpaceDE/>
        <w:autoSpaceDN/>
        <w:adjustRightInd/>
        <w:spacing w:line="360" w:lineRule="auto"/>
        <w:jc w:val="both"/>
        <w:rPr>
          <w:bCs/>
          <w:sz w:val="24"/>
          <w:szCs w:val="24"/>
        </w:rPr>
      </w:pPr>
      <w:r w:rsidRPr="003C634D">
        <w:rPr>
          <w:rFonts w:eastAsia="Times New Roman"/>
          <w:bCs/>
          <w:sz w:val="24"/>
          <w:szCs w:val="24"/>
        </w:rPr>
        <w:t>[21]</w:t>
      </w:r>
      <w:r w:rsidRPr="003C634D">
        <w:rPr>
          <w:rFonts w:eastAsia="Times New Roman"/>
          <w:bCs/>
          <w:sz w:val="24"/>
          <w:szCs w:val="24"/>
        </w:rPr>
        <w:tab/>
      </w:r>
      <w:r w:rsidR="004E36FD" w:rsidRPr="003C634D">
        <w:rPr>
          <w:rFonts w:eastAsia="Times New Roman"/>
          <w:sz w:val="24"/>
          <w:szCs w:val="24"/>
        </w:rPr>
        <w:t xml:space="preserve">In </w:t>
      </w:r>
      <w:r w:rsidR="004E36FD" w:rsidRPr="003C634D">
        <w:rPr>
          <w:i/>
          <w:iCs/>
          <w:sz w:val="24"/>
          <w:szCs w:val="24"/>
        </w:rPr>
        <w:t>Calibre Clinical Consultants</w:t>
      </w:r>
      <w:r w:rsidR="004E36FD" w:rsidRPr="003C634D">
        <w:rPr>
          <w:rStyle w:val="FootnoteReference"/>
          <w:rFonts w:cs="Arial"/>
          <w:sz w:val="24"/>
          <w:szCs w:val="24"/>
        </w:rPr>
        <w:footnoteReference w:id="9"/>
      </w:r>
      <w:r w:rsidR="004E36FD" w:rsidRPr="003C634D">
        <w:rPr>
          <w:i/>
          <w:iCs/>
          <w:sz w:val="24"/>
          <w:szCs w:val="24"/>
        </w:rPr>
        <w:t xml:space="preserve"> </w:t>
      </w:r>
      <w:r w:rsidR="002F649A" w:rsidRPr="002F649A">
        <w:rPr>
          <w:sz w:val="24"/>
          <w:szCs w:val="24"/>
        </w:rPr>
        <w:t>this Court</w:t>
      </w:r>
      <w:r w:rsidR="002F649A">
        <w:rPr>
          <w:i/>
          <w:iCs/>
          <w:sz w:val="24"/>
          <w:szCs w:val="24"/>
        </w:rPr>
        <w:t xml:space="preserve"> </w:t>
      </w:r>
      <w:r w:rsidR="00A45160">
        <w:rPr>
          <w:sz w:val="24"/>
          <w:szCs w:val="24"/>
        </w:rPr>
        <w:t xml:space="preserve">at para </w:t>
      </w:r>
      <w:r w:rsidR="00A45160" w:rsidRPr="00090D03">
        <w:rPr>
          <w:sz w:val="24"/>
          <w:szCs w:val="24"/>
        </w:rPr>
        <w:t>3</w:t>
      </w:r>
      <w:r w:rsidR="00321E1D" w:rsidRPr="00090D03">
        <w:rPr>
          <w:sz w:val="24"/>
          <w:szCs w:val="24"/>
        </w:rPr>
        <w:t>1</w:t>
      </w:r>
      <w:r w:rsidR="00A45160">
        <w:rPr>
          <w:sz w:val="24"/>
          <w:szCs w:val="24"/>
        </w:rPr>
        <w:t xml:space="preserve"> </w:t>
      </w:r>
      <w:r w:rsidR="004E36FD" w:rsidRPr="003C634D">
        <w:rPr>
          <w:rFonts w:eastAsia="Times New Roman"/>
          <w:sz w:val="24"/>
          <w:szCs w:val="24"/>
        </w:rPr>
        <w:t xml:space="preserve">cited with approval the </w:t>
      </w:r>
      <w:r w:rsidR="00A45160">
        <w:rPr>
          <w:rFonts w:eastAsia="Times New Roman"/>
          <w:sz w:val="24"/>
          <w:szCs w:val="24"/>
        </w:rPr>
        <w:t xml:space="preserve">following remarks by </w:t>
      </w:r>
      <w:r w:rsidR="004E36FD" w:rsidRPr="003C634D">
        <w:rPr>
          <w:sz w:val="24"/>
          <w:szCs w:val="24"/>
        </w:rPr>
        <w:t xml:space="preserve">Lord Bingham in </w:t>
      </w:r>
      <w:r w:rsidR="004E36FD" w:rsidRPr="003C634D">
        <w:rPr>
          <w:i/>
          <w:iCs/>
          <w:sz w:val="24"/>
          <w:szCs w:val="24"/>
        </w:rPr>
        <w:t>YL v Birmingham City Council</w:t>
      </w:r>
      <w:r w:rsidR="00A45160">
        <w:rPr>
          <w:sz w:val="24"/>
          <w:szCs w:val="24"/>
        </w:rPr>
        <w:t>:</w:t>
      </w:r>
      <w:r w:rsidR="004E36FD" w:rsidRPr="003C634D">
        <w:rPr>
          <w:rStyle w:val="FootnoteReference"/>
          <w:rFonts w:cs="Arial"/>
          <w:sz w:val="24"/>
          <w:szCs w:val="24"/>
        </w:rPr>
        <w:footnoteReference w:id="10"/>
      </w:r>
      <w:r w:rsidR="004E36FD" w:rsidRPr="003C634D">
        <w:rPr>
          <w:i/>
          <w:iCs/>
          <w:sz w:val="24"/>
          <w:szCs w:val="24"/>
        </w:rPr>
        <w:t xml:space="preserve"> </w:t>
      </w:r>
    </w:p>
    <w:p w14:paraId="41B8E0A1" w14:textId="77777777" w:rsidR="00137A77" w:rsidRPr="003C634D" w:rsidRDefault="004E36FD" w:rsidP="00327738">
      <w:pPr>
        <w:widowControl/>
        <w:autoSpaceDE/>
        <w:autoSpaceDN/>
        <w:adjustRightInd/>
        <w:spacing w:after="360" w:line="360" w:lineRule="auto"/>
        <w:jc w:val="both"/>
        <w:rPr>
          <w:bCs/>
        </w:rPr>
      </w:pPr>
      <w:r w:rsidRPr="003C634D">
        <w:t xml:space="preserve">‘[T]he role and responsibility of the </w:t>
      </w:r>
      <w:r w:rsidR="00321E1D">
        <w:t>s</w:t>
      </w:r>
      <w:r w:rsidRPr="003C634D">
        <w:t>tate in relation to the subject matter in question . . . the nature and extent of any statutory power or duty in relation to the function in question . . . the extent to which the state, directly or indirectly, regulates, supervises and inspects the performance of the function in question, and imposes criminal penalties on those who fall below publicly promulgated standards in performing it . . . whether the function in question is one for which, whether directly or indirectly, and whether as a matter of course or as a last resort, the state is by one means or another willing to pay</w:t>
      </w:r>
      <w:r w:rsidR="00321E1D">
        <w:t>. . . .</w:t>
      </w:r>
      <w:r w:rsidRPr="003C634D">
        <w:t>’</w:t>
      </w:r>
    </w:p>
    <w:p w14:paraId="6C8E4D23" w14:textId="3D6DCC2F" w:rsidR="00E630D6" w:rsidRPr="00090D03" w:rsidRDefault="00D07D58" w:rsidP="00D07D58">
      <w:pPr>
        <w:widowControl/>
        <w:autoSpaceDE/>
        <w:autoSpaceDN/>
        <w:adjustRightInd/>
        <w:spacing w:line="360" w:lineRule="auto"/>
        <w:contextualSpacing/>
        <w:jc w:val="both"/>
        <w:rPr>
          <w:bCs/>
          <w:sz w:val="24"/>
          <w:szCs w:val="24"/>
        </w:rPr>
      </w:pPr>
      <w:r w:rsidRPr="00090D03">
        <w:rPr>
          <w:rFonts w:eastAsia="Times New Roman"/>
          <w:bCs/>
          <w:sz w:val="24"/>
          <w:szCs w:val="24"/>
        </w:rPr>
        <w:t>[22]</w:t>
      </w:r>
      <w:r w:rsidRPr="00090D03">
        <w:rPr>
          <w:rFonts w:eastAsia="Times New Roman"/>
          <w:bCs/>
          <w:sz w:val="24"/>
          <w:szCs w:val="24"/>
        </w:rPr>
        <w:tab/>
      </w:r>
      <w:r w:rsidR="002F649A">
        <w:rPr>
          <w:bCs/>
          <w:sz w:val="24"/>
          <w:szCs w:val="24"/>
        </w:rPr>
        <w:t xml:space="preserve">This Court </w:t>
      </w:r>
      <w:r w:rsidR="004E36FD" w:rsidRPr="003C634D">
        <w:rPr>
          <w:bCs/>
          <w:sz w:val="24"/>
          <w:szCs w:val="24"/>
        </w:rPr>
        <w:t xml:space="preserve">went on to observe (at para 38) that </w:t>
      </w:r>
      <w:r w:rsidR="002D51C5">
        <w:rPr>
          <w:bCs/>
          <w:sz w:val="24"/>
          <w:szCs w:val="24"/>
        </w:rPr>
        <w:t>‘</w:t>
      </w:r>
      <w:r w:rsidR="004E36FD" w:rsidRPr="003C634D">
        <w:rPr>
          <w:rFonts w:eastAsia="Times New Roman"/>
          <w:sz w:val="24"/>
          <w:szCs w:val="24"/>
        </w:rPr>
        <w:t xml:space="preserve">courts have consistently looked at the presence or absence of features of the conduct concerned that is </w:t>
      </w:r>
      <w:r w:rsidR="003A591D">
        <w:rPr>
          <w:rFonts w:eastAsia="Times New Roman"/>
          <w:sz w:val="24"/>
          <w:szCs w:val="24"/>
        </w:rPr>
        <w:t>“</w:t>
      </w:r>
      <w:r w:rsidR="004E36FD" w:rsidRPr="003C634D">
        <w:rPr>
          <w:rFonts w:eastAsia="Times New Roman"/>
          <w:sz w:val="24"/>
          <w:szCs w:val="24"/>
        </w:rPr>
        <w:t>governmental</w:t>
      </w:r>
      <w:r w:rsidR="003A591D">
        <w:rPr>
          <w:rFonts w:eastAsia="Times New Roman"/>
          <w:sz w:val="24"/>
          <w:szCs w:val="24"/>
        </w:rPr>
        <w:t>”</w:t>
      </w:r>
      <w:r w:rsidR="004E36FD" w:rsidRPr="003C634D">
        <w:rPr>
          <w:rFonts w:eastAsia="Times New Roman"/>
          <w:sz w:val="24"/>
          <w:szCs w:val="24"/>
        </w:rPr>
        <w:t xml:space="preserve"> in nature</w:t>
      </w:r>
      <w:r w:rsidR="003A591D">
        <w:rPr>
          <w:rFonts w:eastAsia="Times New Roman"/>
          <w:sz w:val="24"/>
          <w:szCs w:val="24"/>
        </w:rPr>
        <w:t>’</w:t>
      </w:r>
      <w:r w:rsidR="004E36FD" w:rsidRPr="003C634D">
        <w:rPr>
          <w:rFonts w:eastAsia="Times New Roman"/>
          <w:sz w:val="24"/>
          <w:szCs w:val="24"/>
        </w:rPr>
        <w:t>. Relevant considerations in this regard</w:t>
      </w:r>
      <w:r w:rsidR="00A45160">
        <w:rPr>
          <w:rFonts w:eastAsia="Times New Roman"/>
          <w:sz w:val="24"/>
          <w:szCs w:val="24"/>
        </w:rPr>
        <w:t xml:space="preserve"> </w:t>
      </w:r>
      <w:r w:rsidR="004E36FD" w:rsidRPr="003C634D">
        <w:rPr>
          <w:rFonts w:eastAsia="Times New Roman"/>
          <w:sz w:val="24"/>
          <w:szCs w:val="24"/>
        </w:rPr>
        <w:t>include:</w:t>
      </w:r>
    </w:p>
    <w:p w14:paraId="2A3230F3" w14:textId="77777777" w:rsidR="00193ECB" w:rsidRDefault="006213A2" w:rsidP="00090D03">
      <w:pPr>
        <w:widowControl/>
        <w:autoSpaceDE/>
        <w:autoSpaceDN/>
        <w:adjustRightInd/>
        <w:spacing w:line="360" w:lineRule="auto"/>
        <w:contextualSpacing/>
        <w:jc w:val="both"/>
        <w:rPr>
          <w:rFonts w:eastAsia="Times New Roman"/>
        </w:rPr>
      </w:pPr>
      <w:r w:rsidRPr="00090D03">
        <w:rPr>
          <w:rFonts w:eastAsia="Times New Roman"/>
        </w:rPr>
        <w:t>‘</w:t>
      </w:r>
      <w:r w:rsidR="00291C09" w:rsidRPr="00090D03">
        <w:rPr>
          <w:bCs/>
        </w:rPr>
        <w:t>[</w:t>
      </w:r>
      <w:r w:rsidR="004E36FD" w:rsidRPr="00090D03">
        <w:rPr>
          <w:bCs/>
        </w:rPr>
        <w:t>a</w:t>
      </w:r>
      <w:r w:rsidR="00291C09" w:rsidRPr="00090D03">
        <w:rPr>
          <w:bCs/>
        </w:rPr>
        <w:t>]</w:t>
      </w:r>
      <w:r w:rsidR="004E36FD" w:rsidRPr="00090D03">
        <w:rPr>
          <w:bCs/>
        </w:rPr>
        <w:t xml:space="preserve"> </w:t>
      </w:r>
      <w:r w:rsidR="004E36FD" w:rsidRPr="00090D03">
        <w:rPr>
          <w:rFonts w:eastAsia="Times New Roman"/>
        </w:rPr>
        <w:t xml:space="preserve">the extent to which the functions concerned are </w:t>
      </w:r>
      <w:r w:rsidR="00291C09" w:rsidRPr="00090D03">
        <w:rPr>
          <w:rFonts w:eastAsia="Times New Roman"/>
        </w:rPr>
        <w:t>“</w:t>
      </w:r>
      <w:r w:rsidR="004E36FD" w:rsidRPr="00090D03">
        <w:rPr>
          <w:rFonts w:eastAsia="Times New Roman"/>
        </w:rPr>
        <w:t>woven into a system of governmental control</w:t>
      </w:r>
      <w:r w:rsidR="00291C09" w:rsidRPr="00090D03">
        <w:rPr>
          <w:rFonts w:eastAsia="Times New Roman"/>
        </w:rPr>
        <w:t>”</w:t>
      </w:r>
      <w:r w:rsidR="004E36FD" w:rsidRPr="00090D03">
        <w:rPr>
          <w:rFonts w:eastAsia="Times New Roman"/>
        </w:rPr>
        <w:t xml:space="preserve">, or </w:t>
      </w:r>
      <w:r w:rsidR="00291C09" w:rsidRPr="00090D03">
        <w:rPr>
          <w:rFonts w:eastAsia="Times New Roman"/>
        </w:rPr>
        <w:t>[</w:t>
      </w:r>
      <w:r w:rsidR="004E36FD" w:rsidRPr="00090D03">
        <w:rPr>
          <w:rFonts w:eastAsia="Times New Roman"/>
        </w:rPr>
        <w:t>b</w:t>
      </w:r>
      <w:r w:rsidR="00291C09" w:rsidRPr="00090D03">
        <w:rPr>
          <w:rFonts w:eastAsia="Times New Roman"/>
        </w:rPr>
        <w:t>]</w:t>
      </w:r>
      <w:r w:rsidR="004E36FD" w:rsidRPr="00090D03">
        <w:rPr>
          <w:rFonts w:eastAsia="Times New Roman"/>
        </w:rPr>
        <w:t xml:space="preserve"> </w:t>
      </w:r>
      <w:r w:rsidR="00291C09" w:rsidRPr="00090D03">
        <w:rPr>
          <w:rFonts w:eastAsia="Times New Roman"/>
        </w:rPr>
        <w:t>“</w:t>
      </w:r>
      <w:r w:rsidR="004E36FD" w:rsidRPr="00090D03">
        <w:rPr>
          <w:rFonts w:eastAsia="Times New Roman"/>
        </w:rPr>
        <w:t>integrated into a system of statutory regulation</w:t>
      </w:r>
      <w:r w:rsidR="00291C09" w:rsidRPr="00090D03">
        <w:rPr>
          <w:rFonts w:eastAsia="Times New Roman"/>
        </w:rPr>
        <w:t>”</w:t>
      </w:r>
      <w:r w:rsidR="004E36FD" w:rsidRPr="00090D03">
        <w:rPr>
          <w:rFonts w:eastAsia="Times New Roman"/>
        </w:rPr>
        <w:t xml:space="preserve">, or </w:t>
      </w:r>
      <w:r w:rsidR="0041407C" w:rsidRPr="00090D03">
        <w:rPr>
          <w:rFonts w:eastAsia="Times New Roman"/>
        </w:rPr>
        <w:t>[</w:t>
      </w:r>
      <w:r w:rsidR="004E36FD" w:rsidRPr="00090D03">
        <w:rPr>
          <w:rFonts w:eastAsia="Times New Roman"/>
        </w:rPr>
        <w:t>c</w:t>
      </w:r>
      <w:r w:rsidR="0041407C" w:rsidRPr="00090D03">
        <w:rPr>
          <w:rFonts w:eastAsia="Times New Roman"/>
        </w:rPr>
        <w:t>]</w:t>
      </w:r>
      <w:r w:rsidR="004E36FD" w:rsidRPr="00090D03">
        <w:rPr>
          <w:rFonts w:eastAsia="Times New Roman"/>
        </w:rPr>
        <w:t xml:space="preserve"> </w:t>
      </w:r>
      <w:r w:rsidR="00EF0BBB" w:rsidRPr="00090D03">
        <w:rPr>
          <w:rFonts w:eastAsia="Times New Roman"/>
        </w:rPr>
        <w:t>[</w:t>
      </w:r>
      <w:r w:rsidR="004E36FD" w:rsidRPr="00090D03">
        <w:rPr>
          <w:rFonts w:eastAsia="Times New Roman"/>
        </w:rPr>
        <w:t>that</w:t>
      </w:r>
      <w:r w:rsidR="00EF0BBB" w:rsidRPr="00090D03">
        <w:rPr>
          <w:rFonts w:eastAsia="Times New Roman"/>
        </w:rPr>
        <w:t>]</w:t>
      </w:r>
      <w:r w:rsidR="004E36FD" w:rsidRPr="00090D03">
        <w:rPr>
          <w:rFonts w:eastAsia="Times New Roman"/>
        </w:rPr>
        <w:t xml:space="preserve"> the </w:t>
      </w:r>
      <w:r w:rsidR="00EF0BBB" w:rsidRPr="00090D03">
        <w:rPr>
          <w:rFonts w:eastAsia="Times New Roman"/>
        </w:rPr>
        <w:t xml:space="preserve">  </w:t>
      </w:r>
      <w:r w:rsidR="004E36FD" w:rsidRPr="00090D03">
        <w:rPr>
          <w:rFonts w:eastAsia="Times New Roman"/>
        </w:rPr>
        <w:t xml:space="preserve">government </w:t>
      </w:r>
      <w:r w:rsidR="00EF0BBB" w:rsidRPr="00090D03">
        <w:rPr>
          <w:rFonts w:eastAsia="Times New Roman"/>
        </w:rPr>
        <w:t>“</w:t>
      </w:r>
      <w:r w:rsidR="004E36FD" w:rsidRPr="00090D03">
        <w:rPr>
          <w:rFonts w:eastAsia="Times New Roman"/>
        </w:rPr>
        <w:t>regulates, supervises and inspects the performance of the function</w:t>
      </w:r>
      <w:r w:rsidR="00544062" w:rsidRPr="00090D03">
        <w:rPr>
          <w:rFonts w:eastAsia="Times New Roman"/>
        </w:rPr>
        <w:t>”</w:t>
      </w:r>
      <w:r w:rsidR="004E36FD" w:rsidRPr="00090D03">
        <w:rPr>
          <w:rFonts w:eastAsia="Times New Roman"/>
        </w:rPr>
        <w:t xml:space="preserve">, or </w:t>
      </w:r>
      <w:r w:rsidR="00544062" w:rsidRPr="00090D03">
        <w:rPr>
          <w:rFonts w:eastAsia="Times New Roman"/>
        </w:rPr>
        <w:t>[</w:t>
      </w:r>
      <w:r w:rsidR="004E36FD" w:rsidRPr="00090D03">
        <w:rPr>
          <w:rFonts w:eastAsia="Times New Roman"/>
        </w:rPr>
        <w:t>d</w:t>
      </w:r>
      <w:r w:rsidR="00544062" w:rsidRPr="00090D03">
        <w:rPr>
          <w:rFonts w:eastAsia="Times New Roman"/>
        </w:rPr>
        <w:t>]</w:t>
      </w:r>
      <w:r w:rsidR="004E36FD" w:rsidRPr="00090D03">
        <w:rPr>
          <w:rFonts w:eastAsia="Times New Roman"/>
        </w:rPr>
        <w:t xml:space="preserve"> it is </w:t>
      </w:r>
      <w:r w:rsidR="00544062" w:rsidRPr="00090D03">
        <w:rPr>
          <w:rFonts w:eastAsia="Times New Roman"/>
        </w:rPr>
        <w:t>“</w:t>
      </w:r>
      <w:r w:rsidR="004E36FD" w:rsidRPr="00090D03">
        <w:rPr>
          <w:rFonts w:eastAsia="Times New Roman"/>
        </w:rPr>
        <w:t>a task for which the public, in the shape of the state, have assumed responsibility</w:t>
      </w:r>
      <w:r w:rsidR="00641F9D" w:rsidRPr="00090D03">
        <w:rPr>
          <w:rFonts w:eastAsia="Times New Roman"/>
        </w:rPr>
        <w:t>”</w:t>
      </w:r>
      <w:r w:rsidR="004E36FD" w:rsidRPr="00090D03">
        <w:rPr>
          <w:rFonts w:eastAsia="Times New Roman"/>
        </w:rPr>
        <w:t xml:space="preserve">, or </w:t>
      </w:r>
      <w:r w:rsidR="00641F9D" w:rsidRPr="00090D03">
        <w:rPr>
          <w:rFonts w:eastAsia="Times New Roman"/>
        </w:rPr>
        <w:t>[</w:t>
      </w:r>
      <w:r w:rsidR="004E36FD" w:rsidRPr="00090D03">
        <w:rPr>
          <w:rFonts w:eastAsia="Times New Roman"/>
        </w:rPr>
        <w:t>e</w:t>
      </w:r>
      <w:r w:rsidR="00641F9D" w:rsidRPr="00090D03">
        <w:rPr>
          <w:rFonts w:eastAsia="Times New Roman"/>
        </w:rPr>
        <w:t>]</w:t>
      </w:r>
      <w:r w:rsidR="004E36FD" w:rsidRPr="00090D03">
        <w:rPr>
          <w:rFonts w:eastAsia="Times New Roman"/>
        </w:rPr>
        <w:t xml:space="preserve"> it is </w:t>
      </w:r>
      <w:r w:rsidR="00641F9D" w:rsidRPr="00090D03">
        <w:rPr>
          <w:rFonts w:eastAsia="Times New Roman"/>
        </w:rPr>
        <w:t>“</w:t>
      </w:r>
      <w:r w:rsidR="004E36FD" w:rsidRPr="00090D03">
        <w:rPr>
          <w:rFonts w:eastAsia="Times New Roman"/>
        </w:rPr>
        <w:t>linked to the functions and powers of government</w:t>
      </w:r>
      <w:r w:rsidR="00641F9D" w:rsidRPr="00090D03">
        <w:rPr>
          <w:rFonts w:eastAsia="Times New Roman"/>
        </w:rPr>
        <w:t>”</w:t>
      </w:r>
      <w:r w:rsidR="004E36FD" w:rsidRPr="00090D03">
        <w:rPr>
          <w:rFonts w:eastAsia="Times New Roman"/>
        </w:rPr>
        <w:t xml:space="preserve">, or it </w:t>
      </w:r>
      <w:r w:rsidR="00500DA9" w:rsidRPr="00090D03">
        <w:rPr>
          <w:rFonts w:eastAsia="Times New Roman"/>
        </w:rPr>
        <w:t>[</w:t>
      </w:r>
      <w:r w:rsidR="004E36FD" w:rsidRPr="00090D03">
        <w:rPr>
          <w:rFonts w:eastAsia="Times New Roman"/>
        </w:rPr>
        <w:t>f</w:t>
      </w:r>
      <w:r w:rsidR="00500DA9" w:rsidRPr="00090D03">
        <w:rPr>
          <w:rFonts w:eastAsia="Times New Roman"/>
        </w:rPr>
        <w:t>]</w:t>
      </w:r>
      <w:r w:rsidR="004E36FD" w:rsidRPr="00090D03">
        <w:rPr>
          <w:rFonts w:eastAsia="Times New Roman"/>
        </w:rPr>
        <w:t xml:space="preserve"> constitutes </w:t>
      </w:r>
      <w:r w:rsidR="00500DA9" w:rsidRPr="00090D03">
        <w:rPr>
          <w:rFonts w:eastAsia="Times New Roman"/>
        </w:rPr>
        <w:t>“</w:t>
      </w:r>
      <w:r w:rsidR="004E36FD" w:rsidRPr="00090D03">
        <w:rPr>
          <w:rFonts w:eastAsia="Times New Roman"/>
        </w:rPr>
        <w:t>a privatisation of the business of government itself</w:t>
      </w:r>
      <w:r w:rsidR="00500DA9" w:rsidRPr="00090D03">
        <w:rPr>
          <w:rFonts w:eastAsia="Times New Roman"/>
        </w:rPr>
        <w:t>”</w:t>
      </w:r>
      <w:r w:rsidR="004E36FD" w:rsidRPr="00090D03">
        <w:rPr>
          <w:rFonts w:eastAsia="Times New Roman"/>
        </w:rPr>
        <w:t xml:space="preserve">, or </w:t>
      </w:r>
      <w:r w:rsidR="00500DA9" w:rsidRPr="00090D03">
        <w:rPr>
          <w:rFonts w:eastAsia="Times New Roman"/>
        </w:rPr>
        <w:t>[</w:t>
      </w:r>
      <w:r w:rsidR="004E36FD" w:rsidRPr="00090D03">
        <w:rPr>
          <w:rFonts w:eastAsia="Times New Roman"/>
        </w:rPr>
        <w:t>g</w:t>
      </w:r>
      <w:r w:rsidR="00500DA9" w:rsidRPr="00090D03">
        <w:rPr>
          <w:rFonts w:eastAsia="Times New Roman"/>
        </w:rPr>
        <w:t>]</w:t>
      </w:r>
      <w:r w:rsidR="004E36FD" w:rsidRPr="00090D03">
        <w:rPr>
          <w:rFonts w:eastAsia="Times New Roman"/>
        </w:rPr>
        <w:t xml:space="preserve"> it is publicly funded, or </w:t>
      </w:r>
      <w:r w:rsidR="00500DA9" w:rsidRPr="00090D03">
        <w:rPr>
          <w:rFonts w:eastAsia="Times New Roman"/>
        </w:rPr>
        <w:t>[</w:t>
      </w:r>
      <w:r w:rsidR="004E36FD" w:rsidRPr="00090D03">
        <w:rPr>
          <w:rFonts w:eastAsia="Times New Roman"/>
        </w:rPr>
        <w:t>h</w:t>
      </w:r>
      <w:r w:rsidR="00500DA9" w:rsidRPr="00090D03">
        <w:rPr>
          <w:rFonts w:eastAsia="Times New Roman"/>
        </w:rPr>
        <w:t>]</w:t>
      </w:r>
      <w:r w:rsidR="004E36FD" w:rsidRPr="00090D03">
        <w:rPr>
          <w:rFonts w:eastAsia="Times New Roman"/>
        </w:rPr>
        <w:t xml:space="preserve"> there is </w:t>
      </w:r>
      <w:r w:rsidR="00AE17BF" w:rsidRPr="00090D03">
        <w:rPr>
          <w:rFonts w:eastAsia="Times New Roman"/>
        </w:rPr>
        <w:t>“</w:t>
      </w:r>
      <w:r w:rsidR="004E36FD" w:rsidRPr="00090D03">
        <w:rPr>
          <w:rFonts w:eastAsia="Times New Roman"/>
        </w:rPr>
        <w:t>potentially a governmental interest in the decision-making power in question</w:t>
      </w:r>
      <w:r w:rsidR="00AE17BF" w:rsidRPr="00090D03">
        <w:rPr>
          <w:rFonts w:eastAsia="Times New Roman"/>
        </w:rPr>
        <w:t>”</w:t>
      </w:r>
      <w:r w:rsidR="004E36FD" w:rsidRPr="00090D03">
        <w:rPr>
          <w:rFonts w:eastAsia="Times New Roman"/>
        </w:rPr>
        <w:t xml:space="preserve">, or </w:t>
      </w:r>
      <w:r w:rsidR="00B37F20" w:rsidRPr="00090D03">
        <w:rPr>
          <w:rFonts w:eastAsia="Times New Roman"/>
        </w:rPr>
        <w:t>[</w:t>
      </w:r>
      <w:r w:rsidR="004E36FD" w:rsidRPr="00090D03">
        <w:rPr>
          <w:rFonts w:eastAsia="Times New Roman"/>
        </w:rPr>
        <w:t>i</w:t>
      </w:r>
      <w:r w:rsidR="00B37F20" w:rsidRPr="00090D03">
        <w:rPr>
          <w:rFonts w:eastAsia="Times New Roman"/>
        </w:rPr>
        <w:t>]</w:t>
      </w:r>
      <w:r w:rsidR="004E36FD" w:rsidRPr="00090D03">
        <w:rPr>
          <w:rFonts w:eastAsia="Times New Roman"/>
        </w:rPr>
        <w:t xml:space="preserve"> the body concerned is </w:t>
      </w:r>
      <w:r w:rsidR="005A62CC" w:rsidRPr="00090D03">
        <w:rPr>
          <w:rFonts w:eastAsia="Times New Roman"/>
        </w:rPr>
        <w:t>“</w:t>
      </w:r>
      <w:r w:rsidR="004E36FD" w:rsidRPr="00090D03">
        <w:rPr>
          <w:rFonts w:eastAsia="Times New Roman"/>
        </w:rPr>
        <w:t>taking the place of central government or local authorities</w:t>
      </w:r>
      <w:r w:rsidR="005A62CC" w:rsidRPr="00090D03">
        <w:rPr>
          <w:rFonts w:eastAsia="Times New Roman"/>
        </w:rPr>
        <w:t>”. . . .’</w:t>
      </w:r>
    </w:p>
    <w:p w14:paraId="628CB038" w14:textId="77777777" w:rsidR="00BF5E2D" w:rsidRPr="00090D03" w:rsidRDefault="00BF5E2D" w:rsidP="00090D03">
      <w:pPr>
        <w:widowControl/>
        <w:autoSpaceDE/>
        <w:autoSpaceDN/>
        <w:adjustRightInd/>
        <w:spacing w:line="360" w:lineRule="auto"/>
        <w:contextualSpacing/>
        <w:jc w:val="both"/>
        <w:rPr>
          <w:bCs/>
        </w:rPr>
      </w:pPr>
    </w:p>
    <w:p w14:paraId="4A513B4B" w14:textId="35920244" w:rsidR="00193ECB" w:rsidRPr="003C634D" w:rsidRDefault="00D07D58" w:rsidP="00D07D58">
      <w:pPr>
        <w:widowControl/>
        <w:autoSpaceDE/>
        <w:autoSpaceDN/>
        <w:adjustRightInd/>
        <w:spacing w:after="360" w:line="360" w:lineRule="auto"/>
        <w:jc w:val="both"/>
        <w:rPr>
          <w:bCs/>
          <w:sz w:val="24"/>
          <w:szCs w:val="24"/>
        </w:rPr>
      </w:pPr>
      <w:r w:rsidRPr="003C634D">
        <w:rPr>
          <w:rFonts w:eastAsia="Times New Roman"/>
          <w:bCs/>
          <w:sz w:val="24"/>
          <w:szCs w:val="24"/>
        </w:rPr>
        <w:t>[23]</w:t>
      </w:r>
      <w:r w:rsidRPr="003C634D">
        <w:rPr>
          <w:rFonts w:eastAsia="Times New Roman"/>
          <w:bCs/>
          <w:sz w:val="24"/>
          <w:szCs w:val="24"/>
        </w:rPr>
        <w:tab/>
      </w:r>
      <w:r w:rsidR="004E36FD" w:rsidRPr="003C634D">
        <w:rPr>
          <w:bCs/>
          <w:sz w:val="24"/>
          <w:szCs w:val="24"/>
        </w:rPr>
        <w:t xml:space="preserve">To determine in </w:t>
      </w:r>
      <w:r w:rsidR="00090D03">
        <w:rPr>
          <w:bCs/>
          <w:sz w:val="24"/>
          <w:szCs w:val="24"/>
        </w:rPr>
        <w:t xml:space="preserve">this </w:t>
      </w:r>
      <w:r w:rsidR="004E36FD" w:rsidRPr="003C634D">
        <w:rPr>
          <w:bCs/>
          <w:sz w:val="24"/>
          <w:szCs w:val="24"/>
        </w:rPr>
        <w:t xml:space="preserve">case whether </w:t>
      </w:r>
      <w:r w:rsidR="00090D03">
        <w:rPr>
          <w:bCs/>
          <w:sz w:val="24"/>
          <w:szCs w:val="24"/>
        </w:rPr>
        <w:t>the above features</w:t>
      </w:r>
      <w:r w:rsidR="0043193A">
        <w:rPr>
          <w:bCs/>
          <w:sz w:val="24"/>
          <w:szCs w:val="24"/>
        </w:rPr>
        <w:t xml:space="preserve"> </w:t>
      </w:r>
      <w:r w:rsidR="0043193A" w:rsidRPr="00553799">
        <w:rPr>
          <w:bCs/>
          <w:sz w:val="24"/>
          <w:szCs w:val="24"/>
        </w:rPr>
        <w:t>are</w:t>
      </w:r>
      <w:r w:rsidR="00090D03">
        <w:rPr>
          <w:bCs/>
          <w:sz w:val="24"/>
          <w:szCs w:val="24"/>
        </w:rPr>
        <w:t xml:space="preserve"> present, </w:t>
      </w:r>
      <w:r w:rsidR="004E36FD" w:rsidRPr="003C634D">
        <w:rPr>
          <w:bCs/>
          <w:sz w:val="24"/>
          <w:szCs w:val="24"/>
        </w:rPr>
        <w:t>it suffices to refer to three sections of the Schemes Management Act, the regulations promulgated in terms thereof and the conduct rules of the scheme. Government’s involvement, through the Minister</w:t>
      </w:r>
      <w:r w:rsidR="00736C9D">
        <w:rPr>
          <w:bCs/>
          <w:sz w:val="24"/>
          <w:szCs w:val="24"/>
        </w:rPr>
        <w:t xml:space="preserve"> of Human Settlement</w:t>
      </w:r>
      <w:r w:rsidR="004E36FD" w:rsidRPr="003C634D">
        <w:rPr>
          <w:bCs/>
          <w:sz w:val="24"/>
          <w:szCs w:val="24"/>
        </w:rPr>
        <w:t xml:space="preserve">, is confined to the following matters: the management of the reserve fund levels (s 3); the powers, functions and composition </w:t>
      </w:r>
      <w:r w:rsidR="004E36FD" w:rsidRPr="003C634D">
        <w:rPr>
          <w:bCs/>
          <w:sz w:val="24"/>
          <w:szCs w:val="24"/>
        </w:rPr>
        <w:lastRenderedPageBreak/>
        <w:t xml:space="preserve">of the Advisory Council (s 18) and the power to make regulations (s 18). </w:t>
      </w:r>
      <w:r w:rsidR="00736C9D">
        <w:rPr>
          <w:bCs/>
          <w:sz w:val="24"/>
          <w:szCs w:val="24"/>
        </w:rPr>
        <w:t>N</w:t>
      </w:r>
      <w:r w:rsidR="004E36FD" w:rsidRPr="003C634D">
        <w:rPr>
          <w:bCs/>
          <w:sz w:val="24"/>
          <w:szCs w:val="24"/>
        </w:rPr>
        <w:t>one of the</w:t>
      </w:r>
      <w:r w:rsidR="00736C9D">
        <w:rPr>
          <w:bCs/>
          <w:sz w:val="24"/>
          <w:szCs w:val="24"/>
        </w:rPr>
        <w:t>se</w:t>
      </w:r>
      <w:r w:rsidR="004E36FD" w:rsidRPr="003C634D">
        <w:rPr>
          <w:bCs/>
          <w:sz w:val="24"/>
          <w:szCs w:val="24"/>
        </w:rPr>
        <w:t xml:space="preserve"> concerns or governs the relationship between bodies corporate and estate agents.</w:t>
      </w:r>
    </w:p>
    <w:p w14:paraId="295C9C1E" w14:textId="2FB45E4A" w:rsidR="00193ECB" w:rsidRPr="003C634D" w:rsidRDefault="00D07D58" w:rsidP="00D07D58">
      <w:pPr>
        <w:widowControl/>
        <w:autoSpaceDE/>
        <w:autoSpaceDN/>
        <w:adjustRightInd/>
        <w:spacing w:after="360" w:line="360" w:lineRule="auto"/>
        <w:jc w:val="both"/>
        <w:rPr>
          <w:bCs/>
          <w:sz w:val="24"/>
          <w:szCs w:val="24"/>
        </w:rPr>
      </w:pPr>
      <w:r w:rsidRPr="003C634D">
        <w:rPr>
          <w:rFonts w:eastAsia="Times New Roman"/>
          <w:bCs/>
          <w:sz w:val="24"/>
          <w:szCs w:val="24"/>
        </w:rPr>
        <w:t>[24]</w:t>
      </w:r>
      <w:r w:rsidRPr="003C634D">
        <w:rPr>
          <w:rFonts w:eastAsia="Times New Roman"/>
          <w:bCs/>
          <w:sz w:val="24"/>
          <w:szCs w:val="24"/>
        </w:rPr>
        <w:tab/>
      </w:r>
      <w:r w:rsidR="00D62836" w:rsidRPr="003C634D">
        <w:rPr>
          <w:sz w:val="24"/>
          <w:szCs w:val="24"/>
          <w:shd w:val="clear" w:color="auto" w:fill="FFFFFF"/>
        </w:rPr>
        <w:t>Therefore, when deciding to prohibit an estate agent from operating in the scheme, the trustees d</w:t>
      </w:r>
      <w:r w:rsidR="00736C9D">
        <w:rPr>
          <w:sz w:val="24"/>
          <w:szCs w:val="24"/>
          <w:shd w:val="clear" w:color="auto" w:fill="FFFFFF"/>
        </w:rPr>
        <w:t>id</w:t>
      </w:r>
      <w:r w:rsidR="00D62836" w:rsidRPr="003C634D">
        <w:rPr>
          <w:sz w:val="24"/>
          <w:szCs w:val="24"/>
          <w:shd w:val="clear" w:color="auto" w:fill="FFFFFF"/>
        </w:rPr>
        <w:t xml:space="preserve"> not perform a function that is ‘woven into a system of governmental control’ or ‘integrated into a system of statutory regulation’. Government does not ‘regulate, supervise and inspect the relationship between </w:t>
      </w:r>
      <w:r w:rsidR="00736C9D">
        <w:rPr>
          <w:sz w:val="24"/>
          <w:szCs w:val="24"/>
          <w:shd w:val="clear" w:color="auto" w:fill="FFFFFF"/>
        </w:rPr>
        <w:t xml:space="preserve">bodies corporates </w:t>
      </w:r>
      <w:r w:rsidR="00D62836" w:rsidRPr="003C634D">
        <w:rPr>
          <w:sz w:val="24"/>
          <w:szCs w:val="24"/>
          <w:shd w:val="clear" w:color="auto" w:fill="FFFFFF"/>
        </w:rPr>
        <w:t xml:space="preserve">and estate agents like Bae Estates. It is not </w:t>
      </w:r>
      <w:r w:rsidR="00D62836" w:rsidRPr="003C634D">
        <w:rPr>
          <w:bCs/>
          <w:sz w:val="24"/>
          <w:szCs w:val="24"/>
        </w:rPr>
        <w:t>an aspect</w:t>
      </w:r>
      <w:r w:rsidR="00D62836" w:rsidRPr="003C634D">
        <w:rPr>
          <w:b/>
          <w:sz w:val="24"/>
          <w:szCs w:val="24"/>
        </w:rPr>
        <w:t xml:space="preserve"> </w:t>
      </w:r>
      <w:r w:rsidR="00D62836" w:rsidRPr="003C634D">
        <w:rPr>
          <w:sz w:val="24"/>
          <w:szCs w:val="24"/>
          <w:shd w:val="clear" w:color="auto" w:fill="FFFFFF"/>
        </w:rPr>
        <w:t>for which ‘the public has assumed responsibility’</w:t>
      </w:r>
      <w:r w:rsidR="00736C9D">
        <w:rPr>
          <w:sz w:val="24"/>
          <w:szCs w:val="24"/>
          <w:shd w:val="clear" w:color="auto" w:fill="FFFFFF"/>
        </w:rPr>
        <w:t>;</w:t>
      </w:r>
      <w:r w:rsidR="00D62836" w:rsidRPr="003C634D">
        <w:rPr>
          <w:sz w:val="24"/>
          <w:szCs w:val="24"/>
          <w:shd w:val="clear" w:color="auto" w:fill="FFFFFF"/>
        </w:rPr>
        <w:t xml:space="preserve"> it is not ‘linked to the functions and powers of government’</w:t>
      </w:r>
      <w:r w:rsidR="00736C9D">
        <w:rPr>
          <w:sz w:val="24"/>
          <w:szCs w:val="24"/>
          <w:shd w:val="clear" w:color="auto" w:fill="FFFFFF"/>
        </w:rPr>
        <w:t>;</w:t>
      </w:r>
      <w:r w:rsidR="00D62836" w:rsidRPr="003C634D">
        <w:rPr>
          <w:sz w:val="24"/>
          <w:szCs w:val="24"/>
          <w:shd w:val="clear" w:color="auto" w:fill="FFFFFF"/>
        </w:rPr>
        <w:t xml:space="preserve"> it is not ‘a privatisation of the business of government itself’</w:t>
      </w:r>
      <w:r w:rsidR="00736C9D">
        <w:rPr>
          <w:sz w:val="24"/>
          <w:szCs w:val="24"/>
          <w:shd w:val="clear" w:color="auto" w:fill="FFFFFF"/>
        </w:rPr>
        <w:t>;</w:t>
      </w:r>
      <w:r w:rsidR="00D62836" w:rsidRPr="003C634D">
        <w:rPr>
          <w:sz w:val="24"/>
          <w:szCs w:val="24"/>
          <w:shd w:val="clear" w:color="auto" w:fill="FFFFFF"/>
        </w:rPr>
        <w:t xml:space="preserve"> there is no ‘potentially a governmental interest in the decision-making power in question’</w:t>
      </w:r>
      <w:r w:rsidR="00736C9D">
        <w:rPr>
          <w:sz w:val="24"/>
          <w:szCs w:val="24"/>
          <w:shd w:val="clear" w:color="auto" w:fill="FFFFFF"/>
        </w:rPr>
        <w:t>;</w:t>
      </w:r>
      <w:r w:rsidR="00D62836" w:rsidRPr="003C634D">
        <w:rPr>
          <w:sz w:val="24"/>
          <w:szCs w:val="24"/>
          <w:shd w:val="clear" w:color="auto" w:fill="FFFFFF"/>
        </w:rPr>
        <w:t xml:space="preserve"> the </w:t>
      </w:r>
      <w:r w:rsidR="00736C9D">
        <w:rPr>
          <w:sz w:val="24"/>
          <w:szCs w:val="24"/>
          <w:shd w:val="clear" w:color="auto" w:fill="FFFFFF"/>
        </w:rPr>
        <w:t xml:space="preserve">body corporate </w:t>
      </w:r>
      <w:r w:rsidR="00D62836" w:rsidRPr="003C634D">
        <w:rPr>
          <w:sz w:val="24"/>
          <w:szCs w:val="24"/>
          <w:shd w:val="clear" w:color="auto" w:fill="FFFFFF"/>
        </w:rPr>
        <w:t>is not ‘taking the place of central government or local authorities’, and</w:t>
      </w:r>
      <w:r w:rsidR="0043193A">
        <w:rPr>
          <w:sz w:val="24"/>
          <w:szCs w:val="24"/>
          <w:shd w:val="clear" w:color="auto" w:fill="FFFFFF"/>
        </w:rPr>
        <w:t>,</w:t>
      </w:r>
      <w:r w:rsidR="00D62836" w:rsidRPr="003C634D">
        <w:rPr>
          <w:sz w:val="24"/>
          <w:szCs w:val="24"/>
          <w:shd w:val="clear" w:color="auto" w:fill="FFFFFF"/>
        </w:rPr>
        <w:t xml:space="preserve"> no public money</w:t>
      </w:r>
      <w:r w:rsidR="00736C9D">
        <w:rPr>
          <w:sz w:val="24"/>
          <w:szCs w:val="24"/>
          <w:shd w:val="clear" w:color="auto" w:fill="FFFFFF"/>
        </w:rPr>
        <w:t xml:space="preserve"> is involved</w:t>
      </w:r>
      <w:r w:rsidR="00D62836" w:rsidRPr="003C634D">
        <w:rPr>
          <w:sz w:val="24"/>
          <w:szCs w:val="24"/>
          <w:shd w:val="clear" w:color="auto" w:fill="FFFFFF"/>
        </w:rPr>
        <w:t xml:space="preserve">. </w:t>
      </w:r>
    </w:p>
    <w:p w14:paraId="60DDE5A4" w14:textId="0CDDAFF7" w:rsidR="00517716" w:rsidRPr="00736C9D" w:rsidRDefault="00D07D58" w:rsidP="00D07D58">
      <w:pPr>
        <w:widowControl/>
        <w:autoSpaceDE/>
        <w:autoSpaceDN/>
        <w:adjustRightInd/>
        <w:spacing w:after="360" w:line="360" w:lineRule="auto"/>
        <w:jc w:val="both"/>
        <w:rPr>
          <w:bCs/>
          <w:sz w:val="24"/>
          <w:szCs w:val="24"/>
        </w:rPr>
      </w:pPr>
      <w:r w:rsidRPr="00736C9D">
        <w:rPr>
          <w:rFonts w:eastAsia="Times New Roman"/>
          <w:bCs/>
          <w:sz w:val="24"/>
          <w:szCs w:val="24"/>
        </w:rPr>
        <w:t>[25]</w:t>
      </w:r>
      <w:r w:rsidRPr="00736C9D">
        <w:rPr>
          <w:rFonts w:eastAsia="Times New Roman"/>
          <w:bCs/>
          <w:sz w:val="24"/>
          <w:szCs w:val="24"/>
        </w:rPr>
        <w:tab/>
      </w:r>
      <w:r w:rsidR="003F19D5" w:rsidRPr="003C634D">
        <w:rPr>
          <w:sz w:val="24"/>
          <w:szCs w:val="24"/>
          <w:shd w:val="clear" w:color="auto" w:fill="FFFFFF"/>
        </w:rPr>
        <w:t xml:space="preserve">What is more, </w:t>
      </w:r>
      <w:r w:rsidR="003F19D5" w:rsidRPr="003C634D">
        <w:rPr>
          <w:sz w:val="24"/>
          <w:szCs w:val="24"/>
        </w:rPr>
        <w:t>the trustees’ decision does not affect the public at large.</w:t>
      </w:r>
      <w:r w:rsidR="003F19D5" w:rsidRPr="003C634D">
        <w:rPr>
          <w:b/>
          <w:bCs/>
          <w:i/>
          <w:iCs/>
          <w:sz w:val="24"/>
          <w:szCs w:val="24"/>
        </w:rPr>
        <w:t xml:space="preserve"> </w:t>
      </w:r>
      <w:r w:rsidR="003F19D5" w:rsidRPr="003C634D">
        <w:rPr>
          <w:sz w:val="24"/>
          <w:szCs w:val="24"/>
        </w:rPr>
        <w:t xml:space="preserve">The general public does not have access to the estate. In </w:t>
      </w:r>
      <w:r w:rsidR="003F19D5" w:rsidRPr="003C634D">
        <w:rPr>
          <w:rFonts w:eastAsia="Times New Roman"/>
          <w:i/>
          <w:iCs/>
          <w:sz w:val="24"/>
          <w:szCs w:val="24"/>
        </w:rPr>
        <w:t>M</w:t>
      </w:r>
      <w:r w:rsidR="00736C9D">
        <w:rPr>
          <w:rFonts w:eastAsia="Times New Roman"/>
          <w:i/>
          <w:iCs/>
          <w:sz w:val="24"/>
          <w:szCs w:val="24"/>
        </w:rPr>
        <w:t>oun</w:t>
      </w:r>
      <w:r w:rsidR="003F19D5" w:rsidRPr="003C634D">
        <w:rPr>
          <w:rFonts w:eastAsia="Times New Roman"/>
          <w:i/>
          <w:iCs/>
          <w:sz w:val="24"/>
          <w:szCs w:val="24"/>
        </w:rPr>
        <w:t xml:space="preserve">t Edgecombe </w:t>
      </w:r>
      <w:r w:rsidR="003F19D5" w:rsidRPr="003C634D">
        <w:rPr>
          <w:rFonts w:eastAsia="Times New Roman"/>
          <w:sz w:val="24"/>
          <w:szCs w:val="24"/>
        </w:rPr>
        <w:t>at para</w:t>
      </w:r>
      <w:r w:rsidR="003F19D5" w:rsidRPr="003C634D">
        <w:rPr>
          <w:rFonts w:eastAsia="Times New Roman"/>
          <w:i/>
          <w:iCs/>
          <w:sz w:val="24"/>
          <w:szCs w:val="24"/>
        </w:rPr>
        <w:t xml:space="preserve"> </w:t>
      </w:r>
      <w:r w:rsidR="00517716" w:rsidRPr="003C634D">
        <w:rPr>
          <w:rFonts w:eastAsia="Times New Roman"/>
          <w:sz w:val="24"/>
          <w:szCs w:val="24"/>
        </w:rPr>
        <w:t>15</w:t>
      </w:r>
      <w:r w:rsidR="003F19D5" w:rsidRPr="003C634D">
        <w:rPr>
          <w:rFonts w:eastAsia="Times New Roman"/>
          <w:i/>
          <w:iCs/>
          <w:sz w:val="24"/>
          <w:szCs w:val="24"/>
        </w:rPr>
        <w:t xml:space="preserve"> </w:t>
      </w:r>
      <w:r w:rsidR="003F19D5" w:rsidRPr="003C634D">
        <w:rPr>
          <w:rFonts w:eastAsia="Times New Roman"/>
          <w:sz w:val="24"/>
          <w:szCs w:val="24"/>
        </w:rPr>
        <w:t>this Court held</w:t>
      </w:r>
      <w:r w:rsidR="00517716" w:rsidRPr="003C634D">
        <w:rPr>
          <w:rFonts w:eastAsia="Times New Roman"/>
          <w:sz w:val="24"/>
          <w:szCs w:val="24"/>
        </w:rPr>
        <w:t xml:space="preserve"> </w:t>
      </w:r>
      <w:r w:rsidR="003F19D5" w:rsidRPr="003C634D">
        <w:rPr>
          <w:rFonts w:eastAsia="Times New Roman"/>
          <w:sz w:val="24"/>
          <w:szCs w:val="24"/>
        </w:rPr>
        <w:t xml:space="preserve">that </w:t>
      </w:r>
      <w:r w:rsidR="00DB2241">
        <w:rPr>
          <w:rFonts w:eastAsia="Times New Roman"/>
          <w:sz w:val="24"/>
          <w:szCs w:val="24"/>
        </w:rPr>
        <w:t>‘[</w:t>
      </w:r>
      <w:r w:rsidR="003F19D5" w:rsidRPr="003C634D">
        <w:rPr>
          <w:rFonts w:eastAsia="Times New Roman"/>
          <w:sz w:val="24"/>
          <w:szCs w:val="24"/>
        </w:rPr>
        <w:t>i</w:t>
      </w:r>
      <w:r w:rsidR="00DB2241">
        <w:rPr>
          <w:rFonts w:eastAsia="Times New Roman"/>
          <w:sz w:val="24"/>
          <w:szCs w:val="24"/>
        </w:rPr>
        <w:t>]</w:t>
      </w:r>
      <w:r w:rsidR="003F19D5" w:rsidRPr="003C634D">
        <w:rPr>
          <w:sz w:val="24"/>
          <w:szCs w:val="24"/>
        </w:rPr>
        <w:t xml:space="preserve">n this context the word </w:t>
      </w:r>
      <w:r w:rsidR="00DB2241">
        <w:rPr>
          <w:sz w:val="24"/>
          <w:szCs w:val="24"/>
        </w:rPr>
        <w:t>“</w:t>
      </w:r>
      <w:r w:rsidR="003F19D5" w:rsidRPr="003C634D">
        <w:rPr>
          <w:sz w:val="24"/>
          <w:szCs w:val="24"/>
        </w:rPr>
        <w:t>public</w:t>
      </w:r>
      <w:r w:rsidR="00DB2241">
        <w:rPr>
          <w:sz w:val="24"/>
          <w:szCs w:val="24"/>
        </w:rPr>
        <w:t>”</w:t>
      </w:r>
      <w:r w:rsidR="003F19D5" w:rsidRPr="003C634D">
        <w:rPr>
          <w:sz w:val="24"/>
          <w:szCs w:val="24"/>
        </w:rPr>
        <w:t xml:space="preserve"> does not include persons who are there with the permission of the owners of property within the estate</w:t>
      </w:r>
      <w:r w:rsidR="00DB2241">
        <w:rPr>
          <w:sz w:val="24"/>
          <w:szCs w:val="24"/>
        </w:rPr>
        <w:t>’</w:t>
      </w:r>
      <w:r w:rsidR="003F19D5" w:rsidRPr="003C634D">
        <w:rPr>
          <w:sz w:val="24"/>
          <w:szCs w:val="24"/>
        </w:rPr>
        <w:t>. Thu</w:t>
      </w:r>
      <w:r w:rsidR="003F19D5" w:rsidRPr="00553799">
        <w:rPr>
          <w:sz w:val="24"/>
          <w:szCs w:val="24"/>
        </w:rPr>
        <w:t>s</w:t>
      </w:r>
      <w:r w:rsidR="003F19D5" w:rsidRPr="003C634D">
        <w:rPr>
          <w:rFonts w:eastAsia="Times New Roman"/>
          <w:sz w:val="24"/>
          <w:szCs w:val="24"/>
        </w:rPr>
        <w:t xml:space="preserve"> </w:t>
      </w:r>
      <w:r w:rsidR="003F19D5" w:rsidRPr="003C634D">
        <w:rPr>
          <w:sz w:val="24"/>
          <w:szCs w:val="24"/>
        </w:rPr>
        <w:t>the public must be the general public, not</w:t>
      </w:r>
      <w:r w:rsidR="00736C9D">
        <w:rPr>
          <w:sz w:val="24"/>
          <w:szCs w:val="24"/>
        </w:rPr>
        <w:t xml:space="preserve"> a</w:t>
      </w:r>
      <w:r w:rsidR="003F19D5" w:rsidRPr="003C634D">
        <w:rPr>
          <w:sz w:val="24"/>
          <w:szCs w:val="24"/>
        </w:rPr>
        <w:t xml:space="preserve"> special class of members of the public who have occasion for business or social purposes to go to the estate. In this case, there is no doubt that estates agents such as those representing Bae Estates, are not general members of the public, but belong to the special class of members of the public who are there for business purposes. </w:t>
      </w:r>
    </w:p>
    <w:p w14:paraId="3BBFAE01" w14:textId="3CB87E9A" w:rsidR="00736C9D" w:rsidRPr="003C634D" w:rsidRDefault="00D07D58" w:rsidP="00D07D58">
      <w:pPr>
        <w:widowControl/>
        <w:autoSpaceDE/>
        <w:autoSpaceDN/>
        <w:adjustRightInd/>
        <w:spacing w:after="360" w:line="360" w:lineRule="auto"/>
        <w:jc w:val="both"/>
        <w:rPr>
          <w:bCs/>
          <w:sz w:val="24"/>
          <w:szCs w:val="24"/>
        </w:rPr>
      </w:pPr>
      <w:r w:rsidRPr="003C634D">
        <w:rPr>
          <w:rFonts w:eastAsia="Times New Roman"/>
          <w:bCs/>
          <w:sz w:val="24"/>
          <w:szCs w:val="24"/>
        </w:rPr>
        <w:t>[26]</w:t>
      </w:r>
      <w:r w:rsidRPr="003C634D">
        <w:rPr>
          <w:rFonts w:eastAsia="Times New Roman"/>
          <w:bCs/>
          <w:sz w:val="24"/>
          <w:szCs w:val="24"/>
        </w:rPr>
        <w:tab/>
      </w:r>
      <w:r w:rsidR="00736C9D">
        <w:rPr>
          <w:sz w:val="24"/>
          <w:szCs w:val="24"/>
        </w:rPr>
        <w:t xml:space="preserve">I </w:t>
      </w:r>
      <w:r w:rsidR="00732AF5">
        <w:rPr>
          <w:sz w:val="24"/>
          <w:szCs w:val="24"/>
        </w:rPr>
        <w:t xml:space="preserve">therefore </w:t>
      </w:r>
      <w:r w:rsidR="00736C9D">
        <w:rPr>
          <w:sz w:val="24"/>
          <w:szCs w:val="24"/>
        </w:rPr>
        <w:t>conclude that the trustees did not exercise a public power or perform a public function.</w:t>
      </w:r>
    </w:p>
    <w:p w14:paraId="438325A5" w14:textId="77777777" w:rsidR="00517716" w:rsidRPr="003C634D" w:rsidRDefault="00564F9F" w:rsidP="00553799">
      <w:pPr>
        <w:widowControl/>
        <w:autoSpaceDE/>
        <w:autoSpaceDN/>
        <w:adjustRightInd/>
        <w:spacing w:after="120" w:line="276" w:lineRule="auto"/>
        <w:jc w:val="both"/>
        <w:rPr>
          <w:bCs/>
          <w:sz w:val="24"/>
          <w:szCs w:val="24"/>
        </w:rPr>
      </w:pPr>
      <w:r w:rsidRPr="003C634D">
        <w:rPr>
          <w:b/>
          <w:sz w:val="24"/>
          <w:szCs w:val="24"/>
        </w:rPr>
        <w:t>Whether the trustees acted in terms of any legislation or an empowering</w:t>
      </w:r>
      <w:r w:rsidR="00FD0103" w:rsidRPr="003C634D">
        <w:rPr>
          <w:b/>
          <w:sz w:val="24"/>
          <w:szCs w:val="24"/>
        </w:rPr>
        <w:t xml:space="preserve"> </w:t>
      </w:r>
      <w:r w:rsidRPr="003C634D">
        <w:rPr>
          <w:b/>
          <w:sz w:val="24"/>
          <w:szCs w:val="24"/>
        </w:rPr>
        <w:t>provision</w:t>
      </w:r>
    </w:p>
    <w:p w14:paraId="1947F725" w14:textId="66649BC3" w:rsidR="0034438F" w:rsidRPr="0034438F" w:rsidRDefault="00D07D58" w:rsidP="00D07D58">
      <w:pPr>
        <w:widowControl/>
        <w:autoSpaceDE/>
        <w:autoSpaceDN/>
        <w:adjustRightInd/>
        <w:spacing w:after="360" w:line="360" w:lineRule="auto"/>
        <w:jc w:val="both"/>
        <w:rPr>
          <w:bCs/>
          <w:sz w:val="24"/>
          <w:szCs w:val="24"/>
        </w:rPr>
      </w:pPr>
      <w:r w:rsidRPr="0034438F">
        <w:rPr>
          <w:rFonts w:eastAsia="Times New Roman"/>
          <w:bCs/>
          <w:sz w:val="24"/>
          <w:szCs w:val="24"/>
        </w:rPr>
        <w:t>[27]</w:t>
      </w:r>
      <w:r w:rsidRPr="0034438F">
        <w:rPr>
          <w:rFonts w:eastAsia="Times New Roman"/>
          <w:bCs/>
          <w:sz w:val="24"/>
          <w:szCs w:val="24"/>
        </w:rPr>
        <w:tab/>
      </w:r>
      <w:r w:rsidR="00D62836" w:rsidRPr="003C634D">
        <w:rPr>
          <w:sz w:val="24"/>
          <w:szCs w:val="24"/>
        </w:rPr>
        <w:t>It is important to locate the trustees’ decision to prohibit Bae Estates from operating in the scheme, within ‘an empowering provision’. In other words, under what empowering provision did the trustees act for that decision? The high court said that they acted in terms of the S</w:t>
      </w:r>
      <w:r w:rsidR="00B77DEA">
        <w:rPr>
          <w:sz w:val="24"/>
          <w:szCs w:val="24"/>
        </w:rPr>
        <w:t>che</w:t>
      </w:r>
      <w:r w:rsidR="00D62836" w:rsidRPr="003C634D">
        <w:rPr>
          <w:sz w:val="24"/>
          <w:szCs w:val="24"/>
        </w:rPr>
        <w:t>m</w:t>
      </w:r>
      <w:r w:rsidR="00B77DEA">
        <w:rPr>
          <w:sz w:val="24"/>
          <w:szCs w:val="24"/>
        </w:rPr>
        <w:t>e</w:t>
      </w:r>
      <w:r w:rsidR="00D62836" w:rsidRPr="003C634D">
        <w:rPr>
          <w:sz w:val="24"/>
          <w:szCs w:val="24"/>
        </w:rPr>
        <w:t xml:space="preserve">s Management Act. In coming to this conclusion, the high court failed to appreciate that the statutory powers conferred on the trustees </w:t>
      </w:r>
      <w:r w:rsidR="00D62836" w:rsidRPr="003C634D">
        <w:rPr>
          <w:sz w:val="24"/>
          <w:szCs w:val="24"/>
        </w:rPr>
        <w:lastRenderedPageBreak/>
        <w:t xml:space="preserve">by the </w:t>
      </w:r>
      <w:bookmarkStart w:id="29" w:name="_Hlk84116640"/>
      <w:r w:rsidR="00D62836" w:rsidRPr="003C634D">
        <w:rPr>
          <w:sz w:val="24"/>
          <w:szCs w:val="24"/>
        </w:rPr>
        <w:t>S</w:t>
      </w:r>
      <w:r w:rsidR="00B77DEA">
        <w:rPr>
          <w:sz w:val="24"/>
          <w:szCs w:val="24"/>
        </w:rPr>
        <w:t>ch</w:t>
      </w:r>
      <w:r w:rsidR="00D62836" w:rsidRPr="003C634D">
        <w:rPr>
          <w:sz w:val="24"/>
          <w:szCs w:val="24"/>
        </w:rPr>
        <w:t>em</w:t>
      </w:r>
      <w:r w:rsidR="00B77DEA">
        <w:rPr>
          <w:sz w:val="24"/>
          <w:szCs w:val="24"/>
        </w:rPr>
        <w:t>e</w:t>
      </w:r>
      <w:r w:rsidR="00D62836" w:rsidRPr="003C634D">
        <w:rPr>
          <w:sz w:val="24"/>
          <w:szCs w:val="24"/>
        </w:rPr>
        <w:t>s Management Act</w:t>
      </w:r>
      <w:bookmarkEnd w:id="29"/>
      <w:r w:rsidR="00D62836" w:rsidRPr="003C634D">
        <w:rPr>
          <w:sz w:val="24"/>
          <w:szCs w:val="24"/>
        </w:rPr>
        <w:t xml:space="preserve">, where relevant, regulate the relationship between the body corporate and the home-owners. </w:t>
      </w:r>
      <w:r w:rsidR="00D62836" w:rsidRPr="003C634D">
        <w:rPr>
          <w:rFonts w:eastAsia="Times New Roman"/>
          <w:sz w:val="24"/>
          <w:szCs w:val="24"/>
        </w:rPr>
        <w:t xml:space="preserve">This case is not about that relationship. It is about a </w:t>
      </w:r>
      <w:r w:rsidR="00736C9D">
        <w:rPr>
          <w:rFonts w:eastAsia="Times New Roman"/>
          <w:sz w:val="24"/>
          <w:szCs w:val="24"/>
        </w:rPr>
        <w:t xml:space="preserve">body corporate’s </w:t>
      </w:r>
      <w:r w:rsidR="00D62836" w:rsidRPr="003C634D">
        <w:rPr>
          <w:rFonts w:eastAsia="Times New Roman"/>
          <w:sz w:val="24"/>
          <w:szCs w:val="24"/>
        </w:rPr>
        <w:t>relationship with a third party, an estate agent</w:t>
      </w:r>
      <w:r w:rsidR="00736C9D">
        <w:rPr>
          <w:rFonts w:eastAsia="Times New Roman"/>
          <w:sz w:val="24"/>
          <w:szCs w:val="24"/>
        </w:rPr>
        <w:t>.</w:t>
      </w:r>
      <w:r w:rsidR="00D62836" w:rsidRPr="003C634D">
        <w:rPr>
          <w:rFonts w:eastAsia="Times New Roman"/>
          <w:sz w:val="24"/>
          <w:szCs w:val="24"/>
        </w:rPr>
        <w:t xml:space="preserve"> </w:t>
      </w:r>
      <w:r w:rsidR="0034438F">
        <w:rPr>
          <w:rFonts w:eastAsia="Times New Roman"/>
          <w:sz w:val="24"/>
          <w:szCs w:val="24"/>
        </w:rPr>
        <w:t>T</w:t>
      </w:r>
      <w:r w:rsidR="00D62836" w:rsidRPr="003C634D">
        <w:rPr>
          <w:rFonts w:eastAsia="Times New Roman"/>
          <w:sz w:val="24"/>
          <w:szCs w:val="24"/>
        </w:rPr>
        <w:t xml:space="preserve">here is no provision </w:t>
      </w:r>
      <w:r w:rsidR="00D62836" w:rsidRPr="003C634D">
        <w:rPr>
          <w:sz w:val="24"/>
          <w:szCs w:val="24"/>
        </w:rPr>
        <w:t>in the Act which empowers the trustees</w:t>
      </w:r>
      <w:r w:rsidR="001C634E">
        <w:rPr>
          <w:sz w:val="24"/>
          <w:szCs w:val="24"/>
        </w:rPr>
        <w:t xml:space="preserve"> </w:t>
      </w:r>
      <w:r w:rsidR="00D62836" w:rsidRPr="003C634D">
        <w:rPr>
          <w:sz w:val="24"/>
          <w:szCs w:val="24"/>
        </w:rPr>
        <w:t>t</w:t>
      </w:r>
      <w:r w:rsidR="001C634E">
        <w:rPr>
          <w:sz w:val="24"/>
          <w:szCs w:val="24"/>
        </w:rPr>
        <w:t>o</w:t>
      </w:r>
      <w:r w:rsidR="00D62836" w:rsidRPr="003C634D">
        <w:rPr>
          <w:sz w:val="24"/>
          <w:szCs w:val="24"/>
        </w:rPr>
        <w:t xml:space="preserve"> prohibit an estate agent from operating in the scheme.   </w:t>
      </w:r>
    </w:p>
    <w:p w14:paraId="78E115DD" w14:textId="4FEA30F2" w:rsidR="00517716" w:rsidRPr="003C634D" w:rsidRDefault="00D07D58" w:rsidP="00D07D58">
      <w:pPr>
        <w:widowControl/>
        <w:autoSpaceDE/>
        <w:autoSpaceDN/>
        <w:adjustRightInd/>
        <w:spacing w:after="360" w:line="360" w:lineRule="auto"/>
        <w:jc w:val="both"/>
        <w:rPr>
          <w:bCs/>
          <w:sz w:val="24"/>
          <w:szCs w:val="24"/>
        </w:rPr>
      </w:pPr>
      <w:r w:rsidRPr="003C634D">
        <w:rPr>
          <w:rFonts w:eastAsia="Times New Roman"/>
          <w:bCs/>
          <w:sz w:val="24"/>
          <w:szCs w:val="24"/>
        </w:rPr>
        <w:t>[28]</w:t>
      </w:r>
      <w:r w:rsidRPr="003C634D">
        <w:rPr>
          <w:rFonts w:eastAsia="Times New Roman"/>
          <w:bCs/>
          <w:sz w:val="24"/>
          <w:szCs w:val="24"/>
        </w:rPr>
        <w:tab/>
      </w:r>
      <w:r w:rsidR="00D62836" w:rsidRPr="003C634D">
        <w:rPr>
          <w:sz w:val="24"/>
          <w:szCs w:val="24"/>
        </w:rPr>
        <w:t xml:space="preserve">The </w:t>
      </w:r>
      <w:r w:rsidR="00D62836" w:rsidRPr="003C634D">
        <w:rPr>
          <w:bCs/>
          <w:sz w:val="24"/>
          <w:szCs w:val="24"/>
        </w:rPr>
        <w:t>relevant sections here are ss 3</w:t>
      </w:r>
      <w:r w:rsidR="00FD0103" w:rsidRPr="003C634D">
        <w:rPr>
          <w:bCs/>
          <w:sz w:val="24"/>
          <w:szCs w:val="24"/>
        </w:rPr>
        <w:t xml:space="preserve"> </w:t>
      </w:r>
      <w:r w:rsidR="00D62836" w:rsidRPr="003C634D">
        <w:rPr>
          <w:bCs/>
          <w:sz w:val="24"/>
          <w:szCs w:val="24"/>
        </w:rPr>
        <w:t>and 4. Section 3 provides for the functions of bodies corporate. In terms thereof, a body corporate must perform the functions entrusted to it by or under the Act or the rules, and such functions include the establishment of an administrative fund; the repair, maintenance, management and administration of the common property; the establishment of a reserve fund. Section</w:t>
      </w:r>
      <w:r w:rsidR="00B05119">
        <w:rPr>
          <w:bCs/>
          <w:sz w:val="24"/>
          <w:szCs w:val="24"/>
        </w:rPr>
        <w:t> </w:t>
      </w:r>
      <w:r w:rsidR="00D62836" w:rsidRPr="003C634D">
        <w:rPr>
          <w:bCs/>
          <w:sz w:val="24"/>
          <w:szCs w:val="24"/>
        </w:rPr>
        <w:t>4 provides for powers of the bodies corporat</w:t>
      </w:r>
      <w:r w:rsidR="00D62836" w:rsidRPr="00553799">
        <w:rPr>
          <w:bCs/>
          <w:sz w:val="24"/>
          <w:szCs w:val="24"/>
        </w:rPr>
        <w:t>e</w:t>
      </w:r>
      <w:r w:rsidR="00D62836" w:rsidRPr="003C634D">
        <w:rPr>
          <w:bCs/>
          <w:sz w:val="24"/>
          <w:szCs w:val="24"/>
        </w:rPr>
        <w:t>. Neither of them concerns the trustees’ power to regulate the estate agents’ right to operate in sectional titles schemes.</w:t>
      </w:r>
      <w:r w:rsidR="00D62836" w:rsidRPr="003C634D">
        <w:rPr>
          <w:rStyle w:val="FootnoteReference"/>
          <w:rFonts w:cs="Arial"/>
          <w:bCs/>
          <w:sz w:val="24"/>
          <w:szCs w:val="24"/>
        </w:rPr>
        <w:footnoteReference w:id="11"/>
      </w:r>
    </w:p>
    <w:p w14:paraId="6E10ADCD" w14:textId="24404029" w:rsidR="00517716" w:rsidRPr="003C634D" w:rsidRDefault="00D07D58" w:rsidP="00D07D58">
      <w:pPr>
        <w:widowControl/>
        <w:autoSpaceDE/>
        <w:autoSpaceDN/>
        <w:adjustRightInd/>
        <w:spacing w:after="360" w:line="360" w:lineRule="auto"/>
        <w:jc w:val="both"/>
        <w:rPr>
          <w:bCs/>
          <w:sz w:val="24"/>
          <w:szCs w:val="24"/>
        </w:rPr>
      </w:pPr>
      <w:r w:rsidRPr="003C634D">
        <w:rPr>
          <w:rFonts w:eastAsia="Times New Roman"/>
          <w:bCs/>
          <w:sz w:val="24"/>
          <w:szCs w:val="24"/>
        </w:rPr>
        <w:t>[29]</w:t>
      </w:r>
      <w:r w:rsidRPr="003C634D">
        <w:rPr>
          <w:rFonts w:eastAsia="Times New Roman"/>
          <w:bCs/>
          <w:sz w:val="24"/>
          <w:szCs w:val="24"/>
        </w:rPr>
        <w:tab/>
      </w:r>
      <w:r w:rsidR="00D62836" w:rsidRPr="003C634D">
        <w:rPr>
          <w:sz w:val="24"/>
          <w:szCs w:val="24"/>
        </w:rPr>
        <w:t xml:space="preserve">As to the regulations </w:t>
      </w:r>
      <w:r w:rsidR="0034438F">
        <w:rPr>
          <w:sz w:val="24"/>
          <w:szCs w:val="24"/>
        </w:rPr>
        <w:t xml:space="preserve">promulgated in terms of </w:t>
      </w:r>
      <w:r w:rsidR="00D62836" w:rsidRPr="003C634D">
        <w:rPr>
          <w:sz w:val="24"/>
          <w:szCs w:val="24"/>
        </w:rPr>
        <w:t>the Act,</w:t>
      </w:r>
      <w:r w:rsidR="0034438F">
        <w:rPr>
          <w:rStyle w:val="FootnoteReference"/>
          <w:sz w:val="24"/>
          <w:szCs w:val="24"/>
        </w:rPr>
        <w:footnoteReference w:id="12"/>
      </w:r>
      <w:r w:rsidR="00801A53">
        <w:rPr>
          <w:sz w:val="24"/>
          <w:szCs w:val="24"/>
        </w:rPr>
        <w:t xml:space="preserve"> </w:t>
      </w:r>
      <w:r w:rsidR="0034438F">
        <w:rPr>
          <w:sz w:val="24"/>
          <w:szCs w:val="24"/>
        </w:rPr>
        <w:t>they</w:t>
      </w:r>
      <w:r w:rsidR="00D62836" w:rsidRPr="003C634D">
        <w:rPr>
          <w:sz w:val="24"/>
          <w:szCs w:val="24"/>
        </w:rPr>
        <w:t xml:space="preserve"> deal with the following issues: minimum amounts for reserve funds; other risks to be insured against; powers of a provisional </w:t>
      </w:r>
      <w:r w:rsidR="007856D5" w:rsidRPr="007C2CFE">
        <w:rPr>
          <w:sz w:val="24"/>
          <w:szCs w:val="24"/>
        </w:rPr>
        <w:t>curator-ad</w:t>
      </w:r>
      <w:r w:rsidR="007856D5">
        <w:rPr>
          <w:sz w:val="24"/>
          <w:szCs w:val="24"/>
        </w:rPr>
        <w:t>-</w:t>
      </w:r>
      <w:r w:rsidR="00D62836" w:rsidRPr="003C634D">
        <w:rPr>
          <w:sz w:val="24"/>
          <w:szCs w:val="24"/>
        </w:rPr>
        <w:t xml:space="preserve">litem and </w:t>
      </w:r>
      <w:r w:rsidR="007856D5" w:rsidRPr="007C2CFE">
        <w:rPr>
          <w:sz w:val="24"/>
          <w:szCs w:val="24"/>
        </w:rPr>
        <w:t>curator-ad-</w:t>
      </w:r>
      <w:r w:rsidR="00D62836" w:rsidRPr="003C634D">
        <w:rPr>
          <w:sz w:val="24"/>
          <w:szCs w:val="24"/>
        </w:rPr>
        <w:t xml:space="preserve">litem; notifications; rules and representative nature of the Advisory Council established in terms of s 18 of </w:t>
      </w:r>
      <w:r w:rsidR="00D62836" w:rsidRPr="003C634D">
        <w:rPr>
          <w:sz w:val="24"/>
          <w:szCs w:val="24"/>
        </w:rPr>
        <w:lastRenderedPageBreak/>
        <w:t>the Schemes Management Act. Similarly, none of the regulations concern the relationship between the bodies corporate and estate agents.</w:t>
      </w:r>
    </w:p>
    <w:p w14:paraId="10E88EAE" w14:textId="644E2076" w:rsidR="00517716" w:rsidRPr="003C634D" w:rsidRDefault="00D07D58" w:rsidP="00D07D58">
      <w:pPr>
        <w:widowControl/>
        <w:autoSpaceDE/>
        <w:autoSpaceDN/>
        <w:adjustRightInd/>
        <w:spacing w:after="360" w:line="360" w:lineRule="auto"/>
        <w:jc w:val="both"/>
        <w:rPr>
          <w:bCs/>
          <w:sz w:val="24"/>
          <w:szCs w:val="24"/>
        </w:rPr>
      </w:pPr>
      <w:r w:rsidRPr="003C634D">
        <w:rPr>
          <w:rFonts w:eastAsia="Times New Roman"/>
          <w:bCs/>
          <w:sz w:val="24"/>
          <w:szCs w:val="24"/>
        </w:rPr>
        <w:t>[30]</w:t>
      </w:r>
      <w:r w:rsidRPr="003C634D">
        <w:rPr>
          <w:rFonts w:eastAsia="Times New Roman"/>
          <w:bCs/>
          <w:sz w:val="24"/>
          <w:szCs w:val="24"/>
        </w:rPr>
        <w:tab/>
      </w:r>
      <w:r w:rsidR="00D62836" w:rsidRPr="003C634D">
        <w:rPr>
          <w:bCs/>
          <w:sz w:val="24"/>
          <w:szCs w:val="24"/>
        </w:rPr>
        <w:t>The scheme’s conduct rules also qualify as ‘an empowering provision’, as the</w:t>
      </w:r>
      <w:r w:rsidR="00D62836" w:rsidRPr="003C634D">
        <w:rPr>
          <w:sz w:val="24"/>
          <w:szCs w:val="24"/>
        </w:rPr>
        <w:t xml:space="preserve"> latter expression is defined in s 1 of PAJA as </w:t>
      </w:r>
      <w:r w:rsidR="00D62836" w:rsidRPr="003C634D">
        <w:rPr>
          <w:rFonts w:eastAsia="Times New Roman"/>
          <w:sz w:val="24"/>
          <w:szCs w:val="24"/>
        </w:rPr>
        <w:t>‘a law, a rule of common-law, customary law, or an agreement, instrument or other document in terms of which an administrative action was purportedly taken</w:t>
      </w:r>
      <w:r w:rsidR="00D1422E" w:rsidRPr="003C634D">
        <w:rPr>
          <w:rFonts w:eastAsia="Times New Roman"/>
          <w:sz w:val="24"/>
          <w:szCs w:val="24"/>
        </w:rPr>
        <w:t>’</w:t>
      </w:r>
      <w:r w:rsidR="00D62836" w:rsidRPr="003C634D">
        <w:rPr>
          <w:rFonts w:eastAsia="Times New Roman"/>
          <w:sz w:val="24"/>
          <w:szCs w:val="24"/>
        </w:rPr>
        <w:t>. But even here, the scheme’s conduct rules do not have any provision empowering the trustees to prohibit an estate agent from operating in the scheme.</w:t>
      </w:r>
    </w:p>
    <w:p w14:paraId="44B670C4" w14:textId="0B52031D" w:rsidR="000E6F2A" w:rsidRPr="003C634D" w:rsidRDefault="00D07D58" w:rsidP="00D07D58">
      <w:pPr>
        <w:widowControl/>
        <w:autoSpaceDE/>
        <w:autoSpaceDN/>
        <w:adjustRightInd/>
        <w:spacing w:after="360" w:line="360" w:lineRule="auto"/>
        <w:jc w:val="both"/>
        <w:rPr>
          <w:bCs/>
          <w:sz w:val="24"/>
          <w:szCs w:val="24"/>
        </w:rPr>
      </w:pPr>
      <w:r w:rsidRPr="003C634D">
        <w:rPr>
          <w:rFonts w:eastAsia="Times New Roman"/>
          <w:bCs/>
          <w:sz w:val="24"/>
          <w:szCs w:val="24"/>
        </w:rPr>
        <w:t>[31]</w:t>
      </w:r>
      <w:r w:rsidRPr="003C634D">
        <w:rPr>
          <w:rFonts w:eastAsia="Times New Roman"/>
          <w:bCs/>
          <w:sz w:val="24"/>
          <w:szCs w:val="24"/>
        </w:rPr>
        <w:tab/>
      </w:r>
      <w:r w:rsidR="00D62836" w:rsidRPr="003C634D">
        <w:rPr>
          <w:sz w:val="24"/>
          <w:szCs w:val="24"/>
        </w:rPr>
        <w:t xml:space="preserve">The upshot of the above is that there is no ‘empowering provision’ in terms of which the trustees </w:t>
      </w:r>
      <w:r w:rsidR="0034438F">
        <w:rPr>
          <w:sz w:val="24"/>
          <w:szCs w:val="24"/>
        </w:rPr>
        <w:t xml:space="preserve">were entitled to </w:t>
      </w:r>
      <w:r w:rsidR="00D62836" w:rsidRPr="003C634D">
        <w:rPr>
          <w:sz w:val="24"/>
          <w:szCs w:val="24"/>
        </w:rPr>
        <w:t xml:space="preserve">take a decision to prohibit Bae Estates from operating in the scheme. </w:t>
      </w:r>
      <w:r w:rsidR="00D62836" w:rsidRPr="003C634D">
        <w:rPr>
          <w:bCs/>
          <w:sz w:val="24"/>
          <w:szCs w:val="24"/>
        </w:rPr>
        <w:t>T</w:t>
      </w:r>
      <w:r w:rsidR="00D62836" w:rsidRPr="003C634D">
        <w:rPr>
          <w:rFonts w:eastAsia="Times New Roman"/>
          <w:sz w:val="24"/>
          <w:szCs w:val="24"/>
        </w:rPr>
        <w:t>he trustees were therefore not enforcing or applying any statutory or regulatory provision.</w:t>
      </w:r>
      <w:bookmarkStart w:id="30" w:name="_Ref182922702"/>
      <w:bookmarkEnd w:id="23"/>
      <w:bookmarkEnd w:id="30"/>
    </w:p>
    <w:p w14:paraId="2610FAF4" w14:textId="7595B51D" w:rsidR="00AD2439" w:rsidRPr="003C634D" w:rsidRDefault="00D07D58" w:rsidP="00D07D58">
      <w:pPr>
        <w:widowControl/>
        <w:autoSpaceDE/>
        <w:autoSpaceDN/>
        <w:adjustRightInd/>
        <w:spacing w:after="360" w:line="360" w:lineRule="auto"/>
        <w:jc w:val="both"/>
        <w:rPr>
          <w:bCs/>
          <w:sz w:val="24"/>
          <w:szCs w:val="24"/>
        </w:rPr>
      </w:pPr>
      <w:r w:rsidRPr="003C634D">
        <w:rPr>
          <w:rFonts w:eastAsia="Times New Roman"/>
          <w:bCs/>
          <w:sz w:val="24"/>
          <w:szCs w:val="24"/>
        </w:rPr>
        <w:t>[32]</w:t>
      </w:r>
      <w:r w:rsidRPr="003C634D">
        <w:rPr>
          <w:rFonts w:eastAsia="Times New Roman"/>
          <w:bCs/>
          <w:sz w:val="24"/>
          <w:szCs w:val="24"/>
        </w:rPr>
        <w:tab/>
      </w:r>
      <w:r w:rsidR="00DE05BD" w:rsidRPr="003C634D">
        <w:rPr>
          <w:sz w:val="24"/>
          <w:szCs w:val="24"/>
        </w:rPr>
        <w:t>T</w:t>
      </w:r>
      <w:r w:rsidR="0034438F">
        <w:rPr>
          <w:sz w:val="24"/>
          <w:szCs w:val="24"/>
        </w:rPr>
        <w:t>o</w:t>
      </w:r>
      <w:r w:rsidR="00DE05BD" w:rsidRPr="003C634D">
        <w:rPr>
          <w:sz w:val="24"/>
          <w:szCs w:val="24"/>
        </w:rPr>
        <w:t xml:space="preserve"> sum </w:t>
      </w:r>
      <w:r w:rsidR="0034438F">
        <w:rPr>
          <w:sz w:val="24"/>
          <w:szCs w:val="24"/>
        </w:rPr>
        <w:t xml:space="preserve">up. </w:t>
      </w:r>
      <w:r w:rsidR="001C634E">
        <w:rPr>
          <w:sz w:val="24"/>
          <w:szCs w:val="24"/>
        </w:rPr>
        <w:t>T</w:t>
      </w:r>
      <w:r w:rsidR="00DE05BD" w:rsidRPr="003C634D">
        <w:rPr>
          <w:sz w:val="24"/>
          <w:szCs w:val="24"/>
        </w:rPr>
        <w:t>he trustees’ decision is not an administrative decision</w:t>
      </w:r>
      <w:r w:rsidR="0034438F">
        <w:rPr>
          <w:sz w:val="24"/>
          <w:szCs w:val="24"/>
        </w:rPr>
        <w:t xml:space="preserve"> envisaged in PAJA. It was thus not reviewable in terms thereof</w:t>
      </w:r>
      <w:r w:rsidR="00DE05BD" w:rsidRPr="003C634D">
        <w:rPr>
          <w:sz w:val="24"/>
          <w:szCs w:val="24"/>
        </w:rPr>
        <w:t>. The high court erred in concluding to the contrary. This bring me to a consideration as to whether the decision is reviewable at common law.</w:t>
      </w:r>
    </w:p>
    <w:p w14:paraId="74781DC2" w14:textId="77777777" w:rsidR="00AD2439" w:rsidRPr="003C634D" w:rsidRDefault="004A6C37" w:rsidP="00090D03">
      <w:pPr>
        <w:widowControl/>
        <w:autoSpaceDE/>
        <w:autoSpaceDN/>
        <w:adjustRightInd/>
        <w:spacing w:line="360" w:lineRule="auto"/>
        <w:jc w:val="both"/>
        <w:rPr>
          <w:bCs/>
          <w:sz w:val="24"/>
          <w:szCs w:val="24"/>
        </w:rPr>
      </w:pPr>
      <w:r w:rsidRPr="003C634D">
        <w:rPr>
          <w:b/>
          <w:sz w:val="24"/>
          <w:szCs w:val="24"/>
        </w:rPr>
        <w:t>Reviewability under the common law</w:t>
      </w:r>
    </w:p>
    <w:p w14:paraId="3F1A8161" w14:textId="060E81C9" w:rsidR="00AD2439" w:rsidRPr="003C634D" w:rsidRDefault="00D07D58" w:rsidP="00D07D58">
      <w:pPr>
        <w:widowControl/>
        <w:autoSpaceDE/>
        <w:autoSpaceDN/>
        <w:adjustRightInd/>
        <w:spacing w:after="360" w:line="360" w:lineRule="auto"/>
        <w:jc w:val="both"/>
        <w:rPr>
          <w:bCs/>
          <w:sz w:val="24"/>
          <w:szCs w:val="24"/>
        </w:rPr>
      </w:pPr>
      <w:r w:rsidRPr="003C634D">
        <w:rPr>
          <w:rFonts w:eastAsia="Times New Roman"/>
          <w:bCs/>
          <w:sz w:val="24"/>
          <w:szCs w:val="24"/>
        </w:rPr>
        <w:t>[33]</w:t>
      </w:r>
      <w:r w:rsidRPr="003C634D">
        <w:rPr>
          <w:rFonts w:eastAsia="Times New Roman"/>
          <w:bCs/>
          <w:sz w:val="24"/>
          <w:szCs w:val="24"/>
        </w:rPr>
        <w:tab/>
      </w:r>
      <w:r w:rsidR="007856D5" w:rsidRPr="007C2CFE">
        <w:rPr>
          <w:bCs/>
          <w:sz w:val="24"/>
          <w:szCs w:val="24"/>
        </w:rPr>
        <w:t>B</w:t>
      </w:r>
      <w:r w:rsidR="009522E8" w:rsidRPr="003C634D">
        <w:rPr>
          <w:bCs/>
          <w:sz w:val="24"/>
          <w:szCs w:val="24"/>
        </w:rPr>
        <w:t>efore us</w:t>
      </w:r>
      <w:r w:rsidR="00062AEB" w:rsidRPr="003C634D">
        <w:rPr>
          <w:bCs/>
          <w:sz w:val="24"/>
          <w:szCs w:val="24"/>
        </w:rPr>
        <w:t xml:space="preserve">, the trustees had an about-face. </w:t>
      </w:r>
      <w:r w:rsidR="006A1D8C" w:rsidRPr="003C634D">
        <w:rPr>
          <w:bCs/>
          <w:sz w:val="24"/>
          <w:szCs w:val="24"/>
        </w:rPr>
        <w:t xml:space="preserve">They </w:t>
      </w:r>
      <w:r w:rsidR="009A55DA" w:rsidRPr="003C634D">
        <w:rPr>
          <w:bCs/>
          <w:sz w:val="24"/>
          <w:szCs w:val="24"/>
        </w:rPr>
        <w:t>abandoned the</w:t>
      </w:r>
      <w:r w:rsidR="009522E8" w:rsidRPr="003C634D">
        <w:rPr>
          <w:bCs/>
          <w:sz w:val="24"/>
          <w:szCs w:val="24"/>
        </w:rPr>
        <w:t xml:space="preserve"> </w:t>
      </w:r>
      <w:r w:rsidR="009A55DA" w:rsidRPr="003C634D">
        <w:rPr>
          <w:bCs/>
          <w:sz w:val="24"/>
          <w:szCs w:val="24"/>
        </w:rPr>
        <w:t>defence adopted in the high court.</w:t>
      </w:r>
      <w:r w:rsidR="0034438F">
        <w:rPr>
          <w:bCs/>
          <w:sz w:val="24"/>
          <w:szCs w:val="24"/>
        </w:rPr>
        <w:t xml:space="preserve"> To recap</w:t>
      </w:r>
      <w:r w:rsidR="009A55DA" w:rsidRPr="003C634D">
        <w:rPr>
          <w:bCs/>
          <w:sz w:val="24"/>
          <w:szCs w:val="24"/>
        </w:rPr>
        <w:t>, th</w:t>
      </w:r>
      <w:r w:rsidR="00E20FBA" w:rsidRPr="003C634D">
        <w:rPr>
          <w:bCs/>
          <w:sz w:val="24"/>
          <w:szCs w:val="24"/>
        </w:rPr>
        <w:t>at</w:t>
      </w:r>
      <w:r w:rsidR="009A55DA" w:rsidRPr="003C634D">
        <w:rPr>
          <w:bCs/>
          <w:sz w:val="24"/>
          <w:szCs w:val="24"/>
        </w:rPr>
        <w:t xml:space="preserve"> defence was </w:t>
      </w:r>
      <w:r w:rsidR="006A1D8C" w:rsidRPr="003C634D">
        <w:rPr>
          <w:bCs/>
          <w:sz w:val="24"/>
          <w:szCs w:val="24"/>
        </w:rPr>
        <w:t xml:space="preserve">that </w:t>
      </w:r>
      <w:r w:rsidR="009A55DA" w:rsidRPr="003C634D">
        <w:rPr>
          <w:bCs/>
          <w:sz w:val="24"/>
          <w:szCs w:val="24"/>
        </w:rPr>
        <w:t xml:space="preserve">the prohibition against Bae Estates was only applicable to short-term holiday letting, and therefore, Bae Estates was </w:t>
      </w:r>
      <w:r w:rsidR="00E20FBA" w:rsidRPr="003C634D">
        <w:rPr>
          <w:bCs/>
          <w:sz w:val="24"/>
          <w:szCs w:val="24"/>
        </w:rPr>
        <w:t xml:space="preserve">entitled to operate in the scheme for </w:t>
      </w:r>
      <w:r w:rsidR="009A55DA" w:rsidRPr="003C634D">
        <w:rPr>
          <w:bCs/>
          <w:sz w:val="24"/>
          <w:szCs w:val="24"/>
        </w:rPr>
        <w:t xml:space="preserve">other purposes such as long-term letting or sales. </w:t>
      </w:r>
      <w:r w:rsidR="009522E8" w:rsidRPr="003C634D">
        <w:rPr>
          <w:bCs/>
          <w:sz w:val="24"/>
          <w:szCs w:val="24"/>
        </w:rPr>
        <w:t>C</w:t>
      </w:r>
      <w:r w:rsidR="00E20FBA" w:rsidRPr="003C634D">
        <w:rPr>
          <w:bCs/>
          <w:sz w:val="24"/>
          <w:szCs w:val="24"/>
        </w:rPr>
        <w:t>ounsel</w:t>
      </w:r>
      <w:r w:rsidR="006A1D8C" w:rsidRPr="003C634D">
        <w:rPr>
          <w:bCs/>
          <w:sz w:val="24"/>
          <w:szCs w:val="24"/>
        </w:rPr>
        <w:t xml:space="preserve"> for the trustees</w:t>
      </w:r>
      <w:r w:rsidR="00E20FBA" w:rsidRPr="003C634D">
        <w:rPr>
          <w:bCs/>
          <w:sz w:val="24"/>
          <w:szCs w:val="24"/>
        </w:rPr>
        <w:t xml:space="preserve"> </w:t>
      </w:r>
      <w:r w:rsidR="0043193A" w:rsidRPr="00553799">
        <w:rPr>
          <w:bCs/>
          <w:sz w:val="24"/>
          <w:szCs w:val="24"/>
        </w:rPr>
        <w:t>was constrain</w:t>
      </w:r>
      <w:r w:rsidR="00553799" w:rsidRPr="00553799">
        <w:rPr>
          <w:bCs/>
          <w:sz w:val="24"/>
          <w:szCs w:val="24"/>
        </w:rPr>
        <w:t>ed</w:t>
      </w:r>
      <w:r w:rsidR="0043193A" w:rsidRPr="00553799">
        <w:rPr>
          <w:bCs/>
          <w:sz w:val="24"/>
          <w:szCs w:val="24"/>
        </w:rPr>
        <w:t xml:space="preserve"> to</w:t>
      </w:r>
      <w:r w:rsidR="0043193A">
        <w:rPr>
          <w:bCs/>
          <w:sz w:val="24"/>
          <w:szCs w:val="24"/>
        </w:rPr>
        <w:t xml:space="preserve"> </w:t>
      </w:r>
      <w:r w:rsidR="00062AEB" w:rsidRPr="003C634D">
        <w:rPr>
          <w:bCs/>
          <w:sz w:val="24"/>
          <w:szCs w:val="24"/>
        </w:rPr>
        <w:t>conced</w:t>
      </w:r>
      <w:r w:rsidR="00062AEB" w:rsidRPr="00553799">
        <w:rPr>
          <w:bCs/>
          <w:sz w:val="24"/>
          <w:szCs w:val="24"/>
        </w:rPr>
        <w:t>e</w:t>
      </w:r>
      <w:r w:rsidR="00062AEB" w:rsidRPr="003C634D">
        <w:rPr>
          <w:bCs/>
          <w:sz w:val="24"/>
          <w:szCs w:val="24"/>
        </w:rPr>
        <w:t xml:space="preserve"> that the </w:t>
      </w:r>
      <w:r w:rsidR="009A55DA" w:rsidRPr="003C634D">
        <w:rPr>
          <w:bCs/>
          <w:sz w:val="24"/>
          <w:szCs w:val="24"/>
        </w:rPr>
        <w:t xml:space="preserve">trustees’ </w:t>
      </w:r>
      <w:r w:rsidR="00062AEB" w:rsidRPr="003C634D">
        <w:rPr>
          <w:bCs/>
          <w:sz w:val="24"/>
          <w:szCs w:val="24"/>
        </w:rPr>
        <w:t xml:space="preserve">decision amounted to a total </w:t>
      </w:r>
      <w:r w:rsidR="009A55DA" w:rsidRPr="003C634D">
        <w:rPr>
          <w:bCs/>
          <w:sz w:val="24"/>
          <w:szCs w:val="24"/>
        </w:rPr>
        <w:t>prohibition</w:t>
      </w:r>
      <w:r w:rsidR="00062AEB" w:rsidRPr="003C634D">
        <w:rPr>
          <w:bCs/>
          <w:sz w:val="24"/>
          <w:szCs w:val="24"/>
        </w:rPr>
        <w:t xml:space="preserve"> on Bae Estates</w:t>
      </w:r>
      <w:r w:rsidR="009A55DA" w:rsidRPr="003C634D">
        <w:rPr>
          <w:bCs/>
          <w:sz w:val="24"/>
          <w:szCs w:val="24"/>
        </w:rPr>
        <w:t xml:space="preserve"> to operate in the scheme</w:t>
      </w:r>
      <w:r w:rsidR="00E20FBA" w:rsidRPr="003C634D">
        <w:rPr>
          <w:bCs/>
          <w:sz w:val="24"/>
          <w:szCs w:val="24"/>
        </w:rPr>
        <w:t xml:space="preserve">, and </w:t>
      </w:r>
      <w:r w:rsidR="00062AEB" w:rsidRPr="003C634D">
        <w:rPr>
          <w:bCs/>
          <w:sz w:val="24"/>
          <w:szCs w:val="24"/>
        </w:rPr>
        <w:t>that: (a) the decision was taken without affording Bae Estates any hearing; (b) Bae Estates was not responsible for the sub-letting which culminated in the complaints in respect of</w:t>
      </w:r>
      <w:r w:rsidR="008E1443">
        <w:rPr>
          <w:bCs/>
          <w:sz w:val="24"/>
          <w:szCs w:val="24"/>
        </w:rPr>
        <w:t xml:space="preserve"> </w:t>
      </w:r>
      <w:r w:rsidR="0034438F">
        <w:rPr>
          <w:bCs/>
          <w:sz w:val="24"/>
          <w:szCs w:val="24"/>
        </w:rPr>
        <w:t>the property</w:t>
      </w:r>
      <w:r w:rsidR="00062AEB" w:rsidRPr="003C634D">
        <w:rPr>
          <w:bCs/>
          <w:sz w:val="24"/>
          <w:szCs w:val="24"/>
        </w:rPr>
        <w:t xml:space="preserve">, and that </w:t>
      </w:r>
      <w:r w:rsidR="0034438F">
        <w:rPr>
          <w:bCs/>
          <w:sz w:val="24"/>
          <w:szCs w:val="24"/>
        </w:rPr>
        <w:t xml:space="preserve">Bae Estates </w:t>
      </w:r>
      <w:r w:rsidR="00062AEB" w:rsidRPr="003C634D">
        <w:rPr>
          <w:bCs/>
          <w:sz w:val="24"/>
          <w:szCs w:val="24"/>
        </w:rPr>
        <w:t xml:space="preserve">became involved only after the problems arose. </w:t>
      </w:r>
    </w:p>
    <w:p w14:paraId="76E24146" w14:textId="5A86F269" w:rsidR="00AD2439" w:rsidRDefault="00D07D58" w:rsidP="00D07D58">
      <w:pPr>
        <w:widowControl/>
        <w:autoSpaceDE/>
        <w:autoSpaceDN/>
        <w:adjustRightInd/>
        <w:spacing w:after="360" w:line="360" w:lineRule="auto"/>
        <w:jc w:val="both"/>
        <w:rPr>
          <w:bCs/>
          <w:sz w:val="24"/>
          <w:szCs w:val="24"/>
        </w:rPr>
      </w:pPr>
      <w:r>
        <w:rPr>
          <w:rFonts w:eastAsia="Times New Roman"/>
          <w:bCs/>
          <w:sz w:val="24"/>
          <w:szCs w:val="24"/>
        </w:rPr>
        <w:t>[34]</w:t>
      </w:r>
      <w:r>
        <w:rPr>
          <w:rFonts w:eastAsia="Times New Roman"/>
          <w:bCs/>
          <w:sz w:val="24"/>
          <w:szCs w:val="24"/>
        </w:rPr>
        <w:tab/>
      </w:r>
      <w:r w:rsidR="008E1443">
        <w:rPr>
          <w:sz w:val="24"/>
          <w:szCs w:val="24"/>
        </w:rPr>
        <w:t xml:space="preserve">Despite the above, </w:t>
      </w:r>
      <w:r w:rsidR="001265D8" w:rsidRPr="003C634D">
        <w:rPr>
          <w:sz w:val="24"/>
          <w:szCs w:val="24"/>
        </w:rPr>
        <w:t xml:space="preserve">counsel submitted </w:t>
      </w:r>
      <w:r w:rsidR="00003898">
        <w:rPr>
          <w:sz w:val="24"/>
          <w:szCs w:val="24"/>
        </w:rPr>
        <w:t xml:space="preserve">that </w:t>
      </w:r>
      <w:r w:rsidR="00003898" w:rsidRPr="006565BC">
        <w:rPr>
          <w:sz w:val="24"/>
          <w:szCs w:val="24"/>
        </w:rPr>
        <w:t xml:space="preserve">the common law does not allow for the judicial review of the trustees’ decision because there is no contractual nexus between the body corporate and Bae Estates, as a result of which, </w:t>
      </w:r>
      <w:r w:rsidR="001265D8" w:rsidRPr="00003898">
        <w:rPr>
          <w:sz w:val="24"/>
          <w:szCs w:val="24"/>
        </w:rPr>
        <w:t>Bae Estate</w:t>
      </w:r>
      <w:r w:rsidR="00003898">
        <w:rPr>
          <w:sz w:val="24"/>
          <w:szCs w:val="24"/>
        </w:rPr>
        <w:t xml:space="preserve">s </w:t>
      </w:r>
      <w:r w:rsidR="001265D8" w:rsidRPr="00003898">
        <w:rPr>
          <w:sz w:val="24"/>
          <w:szCs w:val="24"/>
        </w:rPr>
        <w:t xml:space="preserve">did </w:t>
      </w:r>
      <w:r w:rsidR="001265D8" w:rsidRPr="00003898">
        <w:rPr>
          <w:sz w:val="24"/>
          <w:szCs w:val="24"/>
        </w:rPr>
        <w:lastRenderedPageBreak/>
        <w:t xml:space="preserve">not have an enforceable right against the trustees to operate in the scheme. </w:t>
      </w:r>
      <w:r w:rsidR="001265D8" w:rsidRPr="00003898">
        <w:rPr>
          <w:bCs/>
          <w:sz w:val="24"/>
          <w:szCs w:val="24"/>
        </w:rPr>
        <w:t>T</w:t>
      </w:r>
      <w:r w:rsidR="009522E8" w:rsidRPr="00003898">
        <w:rPr>
          <w:bCs/>
          <w:sz w:val="24"/>
          <w:szCs w:val="24"/>
        </w:rPr>
        <w:t>he result</w:t>
      </w:r>
      <w:r w:rsidR="001265D8" w:rsidRPr="00003898">
        <w:rPr>
          <w:bCs/>
          <w:sz w:val="24"/>
          <w:szCs w:val="24"/>
        </w:rPr>
        <w:t>, counsel submitted, was</w:t>
      </w:r>
      <w:r w:rsidR="009522E8" w:rsidRPr="00003898">
        <w:rPr>
          <w:bCs/>
          <w:sz w:val="24"/>
          <w:szCs w:val="24"/>
        </w:rPr>
        <w:t xml:space="preserve"> that the trustees did not owe Bae Estates a duty to act fairly to</w:t>
      </w:r>
      <w:r w:rsidR="008E1443" w:rsidRPr="00003898">
        <w:rPr>
          <w:bCs/>
          <w:sz w:val="24"/>
          <w:szCs w:val="24"/>
        </w:rPr>
        <w:t>wards</w:t>
      </w:r>
      <w:r w:rsidR="009522E8" w:rsidRPr="00003898">
        <w:rPr>
          <w:bCs/>
          <w:sz w:val="24"/>
          <w:szCs w:val="24"/>
        </w:rPr>
        <w:t xml:space="preserve"> it before they terminated Bae Estates’ ability to operate in the scheme. </w:t>
      </w:r>
      <w:r w:rsidR="00354274" w:rsidRPr="00003898">
        <w:rPr>
          <w:bCs/>
          <w:sz w:val="24"/>
          <w:szCs w:val="24"/>
        </w:rPr>
        <w:t xml:space="preserve">It was therefore submitted that Bae Estates </w:t>
      </w:r>
      <w:r w:rsidR="00354274" w:rsidRPr="00003898">
        <w:rPr>
          <w:sz w:val="24"/>
          <w:szCs w:val="24"/>
        </w:rPr>
        <w:t xml:space="preserve">lacked locus standi </w:t>
      </w:r>
      <w:r w:rsidR="00354274" w:rsidRPr="00003898">
        <w:rPr>
          <w:bCs/>
          <w:sz w:val="24"/>
          <w:szCs w:val="24"/>
        </w:rPr>
        <w:t>to set aside the trustees’ decision.</w:t>
      </w:r>
    </w:p>
    <w:p w14:paraId="60EF0EDE" w14:textId="5A2BB9E2" w:rsidR="00AD2439" w:rsidRPr="003C634D" w:rsidRDefault="00D07D58" w:rsidP="00D07D58">
      <w:pPr>
        <w:widowControl/>
        <w:autoSpaceDE/>
        <w:autoSpaceDN/>
        <w:adjustRightInd/>
        <w:spacing w:after="360" w:line="360" w:lineRule="auto"/>
        <w:jc w:val="both"/>
        <w:rPr>
          <w:bCs/>
          <w:sz w:val="24"/>
          <w:szCs w:val="24"/>
        </w:rPr>
      </w:pPr>
      <w:r w:rsidRPr="003C634D">
        <w:rPr>
          <w:rFonts w:eastAsia="Times New Roman"/>
          <w:bCs/>
          <w:sz w:val="24"/>
          <w:szCs w:val="24"/>
        </w:rPr>
        <w:t>[35]</w:t>
      </w:r>
      <w:r w:rsidRPr="003C634D">
        <w:rPr>
          <w:rFonts w:eastAsia="Times New Roman"/>
          <w:bCs/>
          <w:sz w:val="24"/>
          <w:szCs w:val="24"/>
        </w:rPr>
        <w:tab/>
      </w:r>
      <w:r w:rsidR="00391917" w:rsidRPr="00553799">
        <w:rPr>
          <w:bCs/>
          <w:sz w:val="24"/>
          <w:szCs w:val="24"/>
        </w:rPr>
        <w:t>Significantly, t</w:t>
      </w:r>
      <w:r w:rsidR="001842E9" w:rsidRPr="003C634D">
        <w:rPr>
          <w:bCs/>
          <w:sz w:val="24"/>
          <w:szCs w:val="24"/>
        </w:rPr>
        <w:t xml:space="preserve">his point was not </w:t>
      </w:r>
      <w:r w:rsidR="00391917" w:rsidRPr="00553799">
        <w:rPr>
          <w:bCs/>
          <w:sz w:val="24"/>
          <w:szCs w:val="24"/>
        </w:rPr>
        <w:t>even</w:t>
      </w:r>
      <w:r w:rsidR="00391917">
        <w:rPr>
          <w:bCs/>
          <w:sz w:val="24"/>
          <w:szCs w:val="24"/>
        </w:rPr>
        <w:t xml:space="preserve"> </w:t>
      </w:r>
      <w:r w:rsidR="001842E9" w:rsidRPr="003C634D">
        <w:rPr>
          <w:bCs/>
          <w:sz w:val="24"/>
          <w:szCs w:val="24"/>
        </w:rPr>
        <w:t>pleaded</w:t>
      </w:r>
      <w:r w:rsidR="003A1459" w:rsidRPr="003C634D">
        <w:rPr>
          <w:bCs/>
          <w:sz w:val="24"/>
          <w:szCs w:val="24"/>
        </w:rPr>
        <w:t xml:space="preserve">. </w:t>
      </w:r>
      <w:r w:rsidR="001842E9" w:rsidRPr="003C634D">
        <w:rPr>
          <w:bCs/>
          <w:sz w:val="24"/>
          <w:szCs w:val="24"/>
        </w:rPr>
        <w:t xml:space="preserve">In paras </w:t>
      </w:r>
      <w:r w:rsidR="001842E9" w:rsidRPr="00090D03">
        <w:rPr>
          <w:bCs/>
          <w:sz w:val="24"/>
          <w:szCs w:val="24"/>
        </w:rPr>
        <w:t>8-1</w:t>
      </w:r>
      <w:r w:rsidR="00090D03">
        <w:rPr>
          <w:bCs/>
          <w:sz w:val="24"/>
          <w:szCs w:val="24"/>
        </w:rPr>
        <w:t>0</w:t>
      </w:r>
      <w:r w:rsidR="001842E9" w:rsidRPr="003C634D">
        <w:rPr>
          <w:bCs/>
          <w:sz w:val="24"/>
          <w:szCs w:val="24"/>
        </w:rPr>
        <w:t xml:space="preserve"> above, I have set out fairly comprehensively, the points in the trustees’ answering affidavit upon which they rested their defence to the application. This was not one of them. </w:t>
      </w:r>
      <w:r w:rsidR="003A1459" w:rsidRPr="003C634D">
        <w:rPr>
          <w:bCs/>
          <w:sz w:val="24"/>
          <w:szCs w:val="24"/>
        </w:rPr>
        <w:t xml:space="preserve">The point </w:t>
      </w:r>
      <w:r w:rsidR="001842E9" w:rsidRPr="003C634D">
        <w:rPr>
          <w:bCs/>
          <w:sz w:val="24"/>
          <w:szCs w:val="24"/>
        </w:rPr>
        <w:t>was raised for the first time in the application for leave to appeal</w:t>
      </w:r>
      <w:r w:rsidR="00555DFA">
        <w:rPr>
          <w:bCs/>
          <w:sz w:val="24"/>
          <w:szCs w:val="24"/>
        </w:rPr>
        <w:t xml:space="preserve">. </w:t>
      </w:r>
      <w:r w:rsidR="001842E9" w:rsidRPr="003C634D">
        <w:rPr>
          <w:bCs/>
          <w:sz w:val="24"/>
          <w:szCs w:val="24"/>
        </w:rPr>
        <w:t xml:space="preserve">Ordinarily, a </w:t>
      </w:r>
      <w:r w:rsidR="008E1443">
        <w:rPr>
          <w:bCs/>
          <w:sz w:val="24"/>
          <w:szCs w:val="24"/>
        </w:rPr>
        <w:t xml:space="preserve">point </w:t>
      </w:r>
      <w:r w:rsidR="001842E9" w:rsidRPr="003C634D">
        <w:rPr>
          <w:bCs/>
          <w:sz w:val="24"/>
          <w:szCs w:val="24"/>
        </w:rPr>
        <w:t xml:space="preserve">of </w:t>
      </w:r>
      <w:r w:rsidR="008E1443">
        <w:rPr>
          <w:bCs/>
          <w:sz w:val="24"/>
          <w:szCs w:val="24"/>
        </w:rPr>
        <w:t xml:space="preserve">lack of </w:t>
      </w:r>
      <w:r w:rsidR="001842E9" w:rsidRPr="003C634D">
        <w:rPr>
          <w:bCs/>
          <w:sz w:val="24"/>
          <w:szCs w:val="24"/>
        </w:rPr>
        <w:t xml:space="preserve">locus standi should have been pertinently raised in the answering affidavit to enable Bae Estates to meet it, and for the </w:t>
      </w:r>
      <w:r w:rsidR="00391917" w:rsidRPr="00553799">
        <w:rPr>
          <w:bCs/>
          <w:sz w:val="24"/>
          <w:szCs w:val="24"/>
        </w:rPr>
        <w:t>high</w:t>
      </w:r>
      <w:r w:rsidR="00391917">
        <w:rPr>
          <w:bCs/>
          <w:sz w:val="24"/>
          <w:szCs w:val="24"/>
        </w:rPr>
        <w:t xml:space="preserve"> </w:t>
      </w:r>
      <w:r w:rsidR="001842E9" w:rsidRPr="003C634D">
        <w:rPr>
          <w:bCs/>
          <w:sz w:val="24"/>
          <w:szCs w:val="24"/>
        </w:rPr>
        <w:t xml:space="preserve">court to pronounce on it. </w:t>
      </w:r>
    </w:p>
    <w:p w14:paraId="4E1A3EFA" w14:textId="0A72336E" w:rsidR="00AD2439" w:rsidRPr="003C634D" w:rsidRDefault="00D07D58" w:rsidP="00D07D58">
      <w:pPr>
        <w:widowControl/>
        <w:autoSpaceDE/>
        <w:autoSpaceDN/>
        <w:adjustRightInd/>
        <w:spacing w:after="360" w:line="360" w:lineRule="auto"/>
        <w:jc w:val="both"/>
        <w:rPr>
          <w:bCs/>
          <w:sz w:val="24"/>
          <w:szCs w:val="24"/>
        </w:rPr>
      </w:pPr>
      <w:r w:rsidRPr="003C634D">
        <w:rPr>
          <w:rFonts w:eastAsia="Times New Roman"/>
          <w:bCs/>
          <w:sz w:val="24"/>
          <w:szCs w:val="24"/>
        </w:rPr>
        <w:t>[36]</w:t>
      </w:r>
      <w:r w:rsidRPr="003C634D">
        <w:rPr>
          <w:rFonts w:eastAsia="Times New Roman"/>
          <w:bCs/>
          <w:sz w:val="24"/>
          <w:szCs w:val="24"/>
        </w:rPr>
        <w:tab/>
      </w:r>
      <w:r w:rsidR="001842E9" w:rsidRPr="003C634D">
        <w:rPr>
          <w:sz w:val="24"/>
          <w:szCs w:val="24"/>
        </w:rPr>
        <w:t xml:space="preserve">It is so that the mere fact that a point of law is raised for the first time on appeal is not in itself </w:t>
      </w:r>
      <w:r w:rsidR="007856D5" w:rsidRPr="00D01D58">
        <w:rPr>
          <w:sz w:val="24"/>
          <w:szCs w:val="24"/>
        </w:rPr>
        <w:t>a</w:t>
      </w:r>
      <w:r w:rsidR="007856D5">
        <w:rPr>
          <w:sz w:val="24"/>
          <w:szCs w:val="24"/>
        </w:rPr>
        <w:t xml:space="preserve"> </w:t>
      </w:r>
      <w:r w:rsidR="001842E9" w:rsidRPr="003C634D">
        <w:rPr>
          <w:sz w:val="24"/>
          <w:szCs w:val="24"/>
        </w:rPr>
        <w:t>sufficient reason for refusing to consider it. If the point is covered by the pleadings, and if its consideration on appeal involves no unfairness to the other party against whom it is directed, a court may in the exercise of its discretion consider the point.</w:t>
      </w:r>
      <w:bookmarkStart w:id="31" w:name="sdfootnote26anc"/>
      <w:r w:rsidR="001842E9" w:rsidRPr="003C634D">
        <w:rPr>
          <w:rStyle w:val="FootnoteReference"/>
          <w:rFonts w:cs="Arial"/>
          <w:sz w:val="24"/>
          <w:szCs w:val="24"/>
        </w:rPr>
        <w:footnoteReference w:id="13"/>
      </w:r>
      <w:bookmarkEnd w:id="31"/>
      <w:r w:rsidR="001842E9" w:rsidRPr="003C634D">
        <w:rPr>
          <w:sz w:val="24"/>
          <w:szCs w:val="24"/>
        </w:rPr>
        <w:t xml:space="preserve"> It would be unfair to the other party if the point of law and all its ramifications were not canvassed and investigated at trial.</w:t>
      </w:r>
      <w:bookmarkStart w:id="32" w:name="sdfootnote27anc"/>
      <w:r w:rsidR="001842E9" w:rsidRPr="003C634D">
        <w:rPr>
          <w:rStyle w:val="FootnoteReference"/>
          <w:rFonts w:cs="Arial"/>
          <w:sz w:val="24"/>
          <w:szCs w:val="24"/>
        </w:rPr>
        <w:footnoteReference w:id="14"/>
      </w:r>
      <w:bookmarkEnd w:id="32"/>
      <w:r w:rsidR="001842E9" w:rsidRPr="003C634D">
        <w:rPr>
          <w:bCs/>
          <w:sz w:val="24"/>
          <w:szCs w:val="24"/>
        </w:rPr>
        <w:t xml:space="preserve"> In this case, the point was neither covered in the affidavits, nor was it canvassed and investigated in the high court. It is</w:t>
      </w:r>
      <w:r w:rsidR="007026BA">
        <w:rPr>
          <w:bCs/>
          <w:sz w:val="24"/>
          <w:szCs w:val="24"/>
        </w:rPr>
        <w:t>,</w:t>
      </w:r>
      <w:r w:rsidR="001842E9" w:rsidRPr="003C634D">
        <w:rPr>
          <w:bCs/>
          <w:sz w:val="24"/>
          <w:szCs w:val="24"/>
        </w:rPr>
        <w:t xml:space="preserve"> therefore</w:t>
      </w:r>
      <w:r w:rsidR="007026BA">
        <w:rPr>
          <w:bCs/>
          <w:sz w:val="24"/>
          <w:szCs w:val="24"/>
        </w:rPr>
        <w:t>,</w:t>
      </w:r>
      <w:r w:rsidR="001842E9" w:rsidRPr="003C634D">
        <w:rPr>
          <w:bCs/>
          <w:sz w:val="24"/>
          <w:szCs w:val="24"/>
        </w:rPr>
        <w:t xml:space="preserve"> patently unfair to Bae Estates to have to be confronted with the point for the first time on appeal. For this reason alone, the </w:t>
      </w:r>
      <w:r w:rsidR="000F2AD2" w:rsidRPr="003C634D">
        <w:rPr>
          <w:bCs/>
          <w:sz w:val="24"/>
          <w:szCs w:val="24"/>
        </w:rPr>
        <w:t xml:space="preserve">locus standi </w:t>
      </w:r>
      <w:r w:rsidR="001842E9" w:rsidRPr="003C634D">
        <w:rPr>
          <w:bCs/>
          <w:sz w:val="24"/>
          <w:szCs w:val="24"/>
        </w:rPr>
        <w:t>point must be dismissed.</w:t>
      </w:r>
      <w:r w:rsidR="003A1459" w:rsidRPr="003C634D">
        <w:rPr>
          <w:bCs/>
          <w:sz w:val="24"/>
          <w:szCs w:val="24"/>
        </w:rPr>
        <w:t xml:space="preserve"> But, in any event, as I show below, there is no merit </w:t>
      </w:r>
      <w:r w:rsidR="007856D5" w:rsidRPr="00D01D58">
        <w:rPr>
          <w:bCs/>
          <w:sz w:val="24"/>
          <w:szCs w:val="24"/>
        </w:rPr>
        <w:t>to</w:t>
      </w:r>
      <w:r w:rsidR="007856D5" w:rsidRPr="003C634D">
        <w:rPr>
          <w:bCs/>
          <w:sz w:val="24"/>
          <w:szCs w:val="24"/>
        </w:rPr>
        <w:t xml:space="preserve"> </w:t>
      </w:r>
      <w:r w:rsidR="003A1459" w:rsidRPr="003C634D">
        <w:rPr>
          <w:bCs/>
          <w:sz w:val="24"/>
          <w:szCs w:val="24"/>
        </w:rPr>
        <w:t>the point.</w:t>
      </w:r>
    </w:p>
    <w:p w14:paraId="5FEEDEFA" w14:textId="43901B40" w:rsidR="00FA3C00" w:rsidRDefault="00D07D58" w:rsidP="00D07D58">
      <w:pPr>
        <w:widowControl/>
        <w:autoSpaceDE/>
        <w:autoSpaceDN/>
        <w:adjustRightInd/>
        <w:spacing w:after="360" w:line="360" w:lineRule="auto"/>
        <w:jc w:val="both"/>
        <w:rPr>
          <w:bCs/>
          <w:sz w:val="24"/>
          <w:szCs w:val="24"/>
        </w:rPr>
      </w:pPr>
      <w:r>
        <w:rPr>
          <w:rFonts w:eastAsia="Times New Roman"/>
          <w:bCs/>
          <w:sz w:val="24"/>
          <w:szCs w:val="24"/>
        </w:rPr>
        <w:t>[37]</w:t>
      </w:r>
      <w:r>
        <w:rPr>
          <w:rFonts w:eastAsia="Times New Roman"/>
          <w:bCs/>
          <w:sz w:val="24"/>
          <w:szCs w:val="24"/>
        </w:rPr>
        <w:tab/>
      </w:r>
      <w:r w:rsidR="000422EC" w:rsidRPr="003C634D">
        <w:rPr>
          <w:sz w:val="24"/>
          <w:szCs w:val="24"/>
        </w:rPr>
        <w:t>At common law</w:t>
      </w:r>
      <w:bookmarkStart w:id="33" w:name="0-0-0-6885"/>
      <w:bookmarkEnd w:id="33"/>
      <w:r w:rsidR="000422EC" w:rsidRPr="003C634D">
        <w:rPr>
          <w:sz w:val="24"/>
          <w:szCs w:val="24"/>
        </w:rPr>
        <w:t xml:space="preserve">, </w:t>
      </w:r>
      <w:r w:rsidR="00917ADB" w:rsidRPr="003C634D">
        <w:rPr>
          <w:sz w:val="24"/>
          <w:szCs w:val="24"/>
        </w:rPr>
        <w:t xml:space="preserve">a person who approached </w:t>
      </w:r>
      <w:r w:rsidR="008E1443">
        <w:rPr>
          <w:sz w:val="24"/>
          <w:szCs w:val="24"/>
        </w:rPr>
        <w:t xml:space="preserve">a </w:t>
      </w:r>
      <w:r w:rsidR="00917ADB" w:rsidRPr="003C634D">
        <w:rPr>
          <w:sz w:val="24"/>
          <w:szCs w:val="24"/>
        </w:rPr>
        <w:t xml:space="preserve">court for relief </w:t>
      </w:r>
      <w:r w:rsidR="000422EC" w:rsidRPr="003C634D">
        <w:rPr>
          <w:sz w:val="24"/>
          <w:szCs w:val="24"/>
        </w:rPr>
        <w:t xml:space="preserve">was required to </w:t>
      </w:r>
      <w:r w:rsidR="00917ADB" w:rsidRPr="003C634D">
        <w:rPr>
          <w:sz w:val="24"/>
          <w:szCs w:val="24"/>
        </w:rPr>
        <w:t>have an interest in the sense of being personally adversely affected by the wrong alleged.</w:t>
      </w:r>
      <w:r w:rsidR="00917ADB" w:rsidRPr="003C634D">
        <w:rPr>
          <w:rStyle w:val="FootnoteReference"/>
          <w:rFonts w:cs="Arial"/>
          <w:sz w:val="24"/>
          <w:szCs w:val="24"/>
        </w:rPr>
        <w:footnoteReference w:id="15"/>
      </w:r>
      <w:bookmarkStart w:id="35" w:name="0-0-0-6889"/>
      <w:bookmarkEnd w:id="35"/>
      <w:r w:rsidR="00917ADB" w:rsidRPr="003C634D">
        <w:rPr>
          <w:sz w:val="24"/>
          <w:szCs w:val="24"/>
        </w:rPr>
        <w:t xml:space="preserve"> </w:t>
      </w:r>
      <w:bookmarkStart w:id="36" w:name="_Hlk83037098"/>
      <w:r w:rsidR="00917ADB" w:rsidRPr="003C634D">
        <w:rPr>
          <w:sz w:val="24"/>
          <w:szCs w:val="24"/>
        </w:rPr>
        <w:t>In </w:t>
      </w:r>
      <w:r w:rsidR="00917ADB" w:rsidRPr="003C634D">
        <w:rPr>
          <w:i/>
          <w:iCs/>
          <w:sz w:val="24"/>
          <w:szCs w:val="24"/>
        </w:rPr>
        <w:t>Jacobs</w:t>
      </w:r>
      <w:r w:rsidR="00917ADB" w:rsidRPr="003C634D">
        <w:rPr>
          <w:sz w:val="24"/>
          <w:szCs w:val="24"/>
        </w:rPr>
        <w:t> </w:t>
      </w:r>
      <w:bookmarkStart w:id="37" w:name="LPHit14"/>
      <w:bookmarkEnd w:id="37"/>
      <w:r w:rsidR="00917ADB" w:rsidRPr="003C634D">
        <w:rPr>
          <w:i/>
          <w:iCs/>
          <w:sz w:val="24"/>
          <w:szCs w:val="24"/>
        </w:rPr>
        <w:t>v Waks</w:t>
      </w:r>
      <w:r w:rsidR="00354274" w:rsidRPr="003C634D">
        <w:rPr>
          <w:rStyle w:val="FootnoteReference"/>
          <w:rFonts w:cs="Arial"/>
          <w:sz w:val="24"/>
          <w:szCs w:val="24"/>
        </w:rPr>
        <w:footnoteReference w:id="16"/>
      </w:r>
      <w:r w:rsidR="00BE6951" w:rsidRPr="003C634D">
        <w:rPr>
          <w:i/>
          <w:iCs/>
          <w:sz w:val="24"/>
          <w:szCs w:val="24"/>
        </w:rPr>
        <w:t xml:space="preserve"> </w:t>
      </w:r>
      <w:bookmarkStart w:id="38" w:name="0-0-0-7127"/>
      <w:bookmarkEnd w:id="38"/>
      <w:r w:rsidR="000422EC" w:rsidRPr="003C634D">
        <w:rPr>
          <w:sz w:val="24"/>
          <w:szCs w:val="24"/>
        </w:rPr>
        <w:t xml:space="preserve">this Court </w:t>
      </w:r>
      <w:bookmarkEnd w:id="36"/>
      <w:r w:rsidR="007E59EC" w:rsidRPr="003C634D">
        <w:rPr>
          <w:sz w:val="24"/>
          <w:szCs w:val="24"/>
        </w:rPr>
        <w:t>set out t</w:t>
      </w:r>
      <w:r w:rsidR="009869C9" w:rsidRPr="003C634D">
        <w:rPr>
          <w:sz w:val="24"/>
          <w:szCs w:val="24"/>
        </w:rPr>
        <w:t xml:space="preserve">he following requirements </w:t>
      </w:r>
      <w:r w:rsidR="006C0317" w:rsidRPr="003C634D">
        <w:rPr>
          <w:sz w:val="24"/>
          <w:szCs w:val="24"/>
        </w:rPr>
        <w:t xml:space="preserve">to determine whether an applicant has the necessary locus standi to challenge an </w:t>
      </w:r>
      <w:r w:rsidR="006C0317" w:rsidRPr="003C634D">
        <w:rPr>
          <w:sz w:val="24"/>
          <w:szCs w:val="24"/>
        </w:rPr>
        <w:lastRenderedPageBreak/>
        <w:t>impugned decision:</w:t>
      </w:r>
      <w:r w:rsidR="00917ADB" w:rsidRPr="003C634D">
        <w:rPr>
          <w:sz w:val="24"/>
          <w:szCs w:val="24"/>
        </w:rPr>
        <w:t xml:space="preserve">(a) the applicant for relief must have </w:t>
      </w:r>
      <w:bookmarkStart w:id="39" w:name="_Hlk83034378"/>
      <w:r w:rsidR="00917ADB" w:rsidRPr="003C634D">
        <w:rPr>
          <w:sz w:val="24"/>
          <w:szCs w:val="24"/>
        </w:rPr>
        <w:t>an adequate interest in the subject-matter of the litigation</w:t>
      </w:r>
      <w:bookmarkEnd w:id="39"/>
      <w:r w:rsidR="00917ADB" w:rsidRPr="003C634D">
        <w:rPr>
          <w:sz w:val="24"/>
          <w:szCs w:val="24"/>
        </w:rPr>
        <w:t xml:space="preserve">, </w:t>
      </w:r>
      <w:r w:rsidR="006C0317" w:rsidRPr="003C634D">
        <w:rPr>
          <w:sz w:val="24"/>
          <w:szCs w:val="24"/>
        </w:rPr>
        <w:t xml:space="preserve">in other words, </w:t>
      </w:r>
      <w:r w:rsidR="00917ADB" w:rsidRPr="003C634D">
        <w:rPr>
          <w:sz w:val="24"/>
          <w:szCs w:val="24"/>
        </w:rPr>
        <w:t>a direct interest in the relief sought;</w:t>
      </w:r>
      <w:r w:rsidR="006C0317" w:rsidRPr="003C634D">
        <w:rPr>
          <w:bCs/>
          <w:sz w:val="24"/>
          <w:szCs w:val="24"/>
        </w:rPr>
        <w:t xml:space="preserve"> </w:t>
      </w:r>
      <w:r w:rsidR="00917ADB" w:rsidRPr="003C634D">
        <w:rPr>
          <w:sz w:val="24"/>
          <w:szCs w:val="24"/>
        </w:rPr>
        <w:t>(b) </w:t>
      </w:r>
      <w:r w:rsidR="00EE5049" w:rsidRPr="003C634D">
        <w:rPr>
          <w:sz w:val="24"/>
          <w:szCs w:val="24"/>
        </w:rPr>
        <w:t>such interest</w:t>
      </w:r>
      <w:r w:rsidR="00917ADB" w:rsidRPr="003C634D">
        <w:rPr>
          <w:sz w:val="24"/>
          <w:szCs w:val="24"/>
        </w:rPr>
        <w:t xml:space="preserve"> must </w:t>
      </w:r>
      <w:r w:rsidR="00904FBA" w:rsidRPr="003C634D">
        <w:rPr>
          <w:sz w:val="24"/>
          <w:szCs w:val="24"/>
        </w:rPr>
        <w:t xml:space="preserve">(i) </w:t>
      </w:r>
      <w:r w:rsidR="00917ADB" w:rsidRPr="003C634D">
        <w:rPr>
          <w:sz w:val="24"/>
          <w:szCs w:val="24"/>
        </w:rPr>
        <w:t>not be too far removed;</w:t>
      </w:r>
      <w:r w:rsidR="006C0317" w:rsidRPr="003C634D">
        <w:rPr>
          <w:bCs/>
          <w:sz w:val="24"/>
          <w:szCs w:val="24"/>
        </w:rPr>
        <w:t xml:space="preserve"> </w:t>
      </w:r>
      <w:r w:rsidR="009522E8" w:rsidRPr="003C634D">
        <w:rPr>
          <w:sz w:val="24"/>
          <w:szCs w:val="24"/>
        </w:rPr>
        <w:t>(ii)</w:t>
      </w:r>
      <w:r w:rsidR="00917ADB" w:rsidRPr="003C634D">
        <w:rPr>
          <w:sz w:val="24"/>
          <w:szCs w:val="24"/>
        </w:rPr>
        <w:t xml:space="preserve"> be actual, not abstract or academic;</w:t>
      </w:r>
      <w:r w:rsidR="00EE5049" w:rsidRPr="003C634D">
        <w:rPr>
          <w:bCs/>
          <w:sz w:val="24"/>
          <w:szCs w:val="24"/>
        </w:rPr>
        <w:t xml:space="preserve"> </w:t>
      </w:r>
      <w:r w:rsidR="00917ADB" w:rsidRPr="003C634D">
        <w:rPr>
          <w:sz w:val="24"/>
          <w:szCs w:val="24"/>
        </w:rPr>
        <w:t>(</w:t>
      </w:r>
      <w:r w:rsidR="009522E8" w:rsidRPr="003C634D">
        <w:rPr>
          <w:sz w:val="24"/>
          <w:szCs w:val="24"/>
        </w:rPr>
        <w:t>iii</w:t>
      </w:r>
      <w:r w:rsidR="00917ADB" w:rsidRPr="003C634D">
        <w:rPr>
          <w:sz w:val="24"/>
          <w:szCs w:val="24"/>
        </w:rPr>
        <w:t>) be current, and not a hypothetical one.</w:t>
      </w:r>
      <w:r w:rsidR="00E35935" w:rsidRPr="003C634D">
        <w:rPr>
          <w:sz w:val="24"/>
          <w:szCs w:val="24"/>
        </w:rPr>
        <w:t xml:space="preserve"> </w:t>
      </w:r>
      <w:r w:rsidR="00337FFD" w:rsidRPr="003C634D">
        <w:rPr>
          <w:sz w:val="24"/>
          <w:szCs w:val="24"/>
        </w:rPr>
        <w:t xml:space="preserve">The Court </w:t>
      </w:r>
      <w:r w:rsidR="00E35935" w:rsidRPr="003C634D">
        <w:rPr>
          <w:sz w:val="24"/>
          <w:szCs w:val="24"/>
        </w:rPr>
        <w:t>further pointed out that issues of locus standi should be dealt with in a flexible and pragmatic manner</w:t>
      </w:r>
      <w:r w:rsidR="00947FD5" w:rsidRPr="00D01D58">
        <w:rPr>
          <w:sz w:val="24"/>
          <w:szCs w:val="24"/>
        </w:rPr>
        <w:t>,</w:t>
      </w:r>
      <w:r w:rsidR="00E35935" w:rsidRPr="003C634D">
        <w:rPr>
          <w:sz w:val="24"/>
          <w:szCs w:val="24"/>
        </w:rPr>
        <w:t xml:space="preserve"> rather</w:t>
      </w:r>
      <w:r w:rsidR="0068302B">
        <w:rPr>
          <w:sz w:val="24"/>
          <w:szCs w:val="24"/>
        </w:rPr>
        <w:t xml:space="preserve"> </w:t>
      </w:r>
      <w:r w:rsidR="00E35935" w:rsidRPr="003C634D">
        <w:rPr>
          <w:sz w:val="24"/>
          <w:szCs w:val="24"/>
        </w:rPr>
        <w:t xml:space="preserve">than a formalistic or technical one. </w:t>
      </w:r>
      <w:bookmarkStart w:id="40" w:name="0-0-0-7131"/>
      <w:bookmarkEnd w:id="40"/>
    </w:p>
    <w:p w14:paraId="69ECF4B5" w14:textId="5F89C67A" w:rsidR="005B6481" w:rsidRDefault="00D07D58" w:rsidP="00D07D58">
      <w:pPr>
        <w:widowControl/>
        <w:autoSpaceDE/>
        <w:autoSpaceDN/>
        <w:adjustRightInd/>
        <w:spacing w:after="360" w:line="360" w:lineRule="auto"/>
        <w:jc w:val="both"/>
        <w:rPr>
          <w:bCs/>
          <w:sz w:val="24"/>
          <w:szCs w:val="24"/>
        </w:rPr>
      </w:pPr>
      <w:r>
        <w:rPr>
          <w:rFonts w:eastAsia="Times New Roman"/>
          <w:bCs/>
          <w:sz w:val="24"/>
          <w:szCs w:val="24"/>
        </w:rPr>
        <w:t>[38]</w:t>
      </w:r>
      <w:r>
        <w:rPr>
          <w:rFonts w:eastAsia="Times New Roman"/>
          <w:bCs/>
          <w:sz w:val="24"/>
          <w:szCs w:val="24"/>
        </w:rPr>
        <w:tab/>
      </w:r>
      <w:r w:rsidR="000F2AD2" w:rsidRPr="00A82DA8">
        <w:rPr>
          <w:bCs/>
          <w:sz w:val="24"/>
          <w:szCs w:val="24"/>
        </w:rPr>
        <w:t>It</w:t>
      </w:r>
      <w:r w:rsidR="00FA3C00" w:rsidRPr="00A82DA8">
        <w:rPr>
          <w:bCs/>
          <w:sz w:val="24"/>
          <w:szCs w:val="24"/>
        </w:rPr>
        <w:t xml:space="preserve"> </w:t>
      </w:r>
      <w:r w:rsidR="00B26ABC" w:rsidRPr="00A82DA8">
        <w:rPr>
          <w:bCs/>
          <w:sz w:val="24"/>
          <w:szCs w:val="24"/>
        </w:rPr>
        <w:t xml:space="preserve">brooks no debate that </w:t>
      </w:r>
      <w:r w:rsidR="00144C59" w:rsidRPr="00A82DA8">
        <w:rPr>
          <w:bCs/>
          <w:sz w:val="24"/>
          <w:szCs w:val="24"/>
        </w:rPr>
        <w:t>Bae Estates</w:t>
      </w:r>
      <w:r w:rsidR="00904FBA" w:rsidRPr="00A82DA8">
        <w:rPr>
          <w:bCs/>
          <w:sz w:val="24"/>
          <w:szCs w:val="24"/>
        </w:rPr>
        <w:t xml:space="preserve"> has</w:t>
      </w:r>
      <w:r w:rsidR="00A85FAD" w:rsidRPr="00A82DA8">
        <w:rPr>
          <w:bCs/>
          <w:sz w:val="24"/>
          <w:szCs w:val="24"/>
        </w:rPr>
        <w:t xml:space="preserve"> a substantial</w:t>
      </w:r>
      <w:r w:rsidR="00904FBA" w:rsidRPr="00A82DA8">
        <w:rPr>
          <w:bCs/>
          <w:sz w:val="24"/>
          <w:szCs w:val="24"/>
        </w:rPr>
        <w:t xml:space="preserve"> </w:t>
      </w:r>
      <w:r w:rsidR="00904FBA" w:rsidRPr="00A82DA8">
        <w:rPr>
          <w:sz w:val="24"/>
          <w:szCs w:val="24"/>
        </w:rPr>
        <w:t xml:space="preserve">and direct interest in the decision of the trustees, </w:t>
      </w:r>
      <w:r w:rsidR="00391917" w:rsidRPr="00A82DA8">
        <w:rPr>
          <w:sz w:val="24"/>
          <w:szCs w:val="24"/>
        </w:rPr>
        <w:t xml:space="preserve">the </w:t>
      </w:r>
      <w:r w:rsidR="00904FBA" w:rsidRPr="00A82DA8">
        <w:rPr>
          <w:sz w:val="24"/>
          <w:szCs w:val="24"/>
        </w:rPr>
        <w:t>subject-matter of th</w:t>
      </w:r>
      <w:r w:rsidR="00391917" w:rsidRPr="00A82DA8">
        <w:rPr>
          <w:sz w:val="24"/>
          <w:szCs w:val="24"/>
        </w:rPr>
        <w:t>is</w:t>
      </w:r>
      <w:r w:rsidR="00904FBA" w:rsidRPr="00A82DA8">
        <w:rPr>
          <w:sz w:val="24"/>
          <w:szCs w:val="24"/>
        </w:rPr>
        <w:t xml:space="preserve"> litigation, and that such interest is real and current. Bae Estates</w:t>
      </w:r>
      <w:r w:rsidR="00436ACE" w:rsidRPr="00A82DA8">
        <w:rPr>
          <w:sz w:val="24"/>
          <w:szCs w:val="24"/>
        </w:rPr>
        <w:t>,</w:t>
      </w:r>
      <w:r w:rsidR="00904FBA" w:rsidRPr="00A82DA8">
        <w:rPr>
          <w:sz w:val="24"/>
          <w:szCs w:val="24"/>
        </w:rPr>
        <w:t xml:space="preserve"> accordingly</w:t>
      </w:r>
      <w:r w:rsidR="00436ACE" w:rsidRPr="00A82DA8">
        <w:rPr>
          <w:sz w:val="24"/>
          <w:szCs w:val="24"/>
        </w:rPr>
        <w:t>,</w:t>
      </w:r>
      <w:r w:rsidR="00904FBA" w:rsidRPr="00A82DA8">
        <w:rPr>
          <w:sz w:val="24"/>
          <w:szCs w:val="24"/>
        </w:rPr>
        <w:t xml:space="preserve"> </w:t>
      </w:r>
      <w:r w:rsidR="00144C59" w:rsidRPr="00A82DA8">
        <w:rPr>
          <w:bCs/>
          <w:sz w:val="24"/>
          <w:szCs w:val="24"/>
        </w:rPr>
        <w:t>fulfils all of the above requirements</w:t>
      </w:r>
      <w:r w:rsidR="00B26ABC" w:rsidRPr="00A82DA8">
        <w:rPr>
          <w:bCs/>
          <w:sz w:val="24"/>
          <w:szCs w:val="24"/>
        </w:rPr>
        <w:t xml:space="preserve">. </w:t>
      </w:r>
      <w:r w:rsidR="00E35935" w:rsidRPr="00A82DA8">
        <w:rPr>
          <w:sz w:val="24"/>
          <w:szCs w:val="24"/>
        </w:rPr>
        <w:t xml:space="preserve">It was sufficiently </w:t>
      </w:r>
      <w:r w:rsidR="00A85FAD" w:rsidRPr="00A82DA8">
        <w:rPr>
          <w:sz w:val="24"/>
          <w:szCs w:val="24"/>
        </w:rPr>
        <w:t xml:space="preserve">and directly </w:t>
      </w:r>
      <w:r w:rsidR="00E35935" w:rsidRPr="00A82DA8">
        <w:rPr>
          <w:sz w:val="24"/>
          <w:szCs w:val="24"/>
        </w:rPr>
        <w:t>affected in its rights and legal interests by the trustees’ decision</w:t>
      </w:r>
      <w:r w:rsidR="008E1443" w:rsidRPr="00A82DA8">
        <w:rPr>
          <w:sz w:val="24"/>
          <w:szCs w:val="24"/>
        </w:rPr>
        <w:t>.</w:t>
      </w:r>
      <w:r w:rsidR="00E35935" w:rsidRPr="00A82DA8">
        <w:rPr>
          <w:sz w:val="24"/>
          <w:szCs w:val="24"/>
        </w:rPr>
        <w:t xml:space="preserve"> </w:t>
      </w:r>
      <w:r w:rsidR="00FA3C00" w:rsidRPr="00A82DA8">
        <w:rPr>
          <w:sz w:val="24"/>
          <w:szCs w:val="24"/>
        </w:rPr>
        <w:t>Also, s</w:t>
      </w:r>
      <w:r w:rsidR="00FA3C00" w:rsidRPr="00A82DA8">
        <w:rPr>
          <w:bCs/>
          <w:sz w:val="24"/>
          <w:szCs w:val="24"/>
        </w:rPr>
        <w:t>ince the advent of the constitutional order, the issue of locus standi is regulated by s 38 of the Constitution,</w:t>
      </w:r>
      <w:r w:rsidR="00FA3C00" w:rsidRPr="00A82DA8">
        <w:rPr>
          <w:rStyle w:val="FootnoteReference"/>
          <w:bCs/>
          <w:sz w:val="24"/>
          <w:szCs w:val="24"/>
        </w:rPr>
        <w:footnoteReference w:id="17"/>
      </w:r>
      <w:r w:rsidR="00FA3C00" w:rsidRPr="00A82DA8">
        <w:rPr>
          <w:bCs/>
          <w:sz w:val="24"/>
          <w:szCs w:val="24"/>
        </w:rPr>
        <w:t xml:space="preserve"> in terms of which </w:t>
      </w:r>
      <w:r w:rsidR="00FA3C00" w:rsidRPr="00A82DA8">
        <w:rPr>
          <w:bCs/>
          <w:w w:val="105"/>
          <w:sz w:val="24"/>
          <w:szCs w:val="24"/>
        </w:rPr>
        <w:t xml:space="preserve">the class of persons who may approach a court include </w:t>
      </w:r>
      <w:r w:rsidR="00FA3C00" w:rsidRPr="00A82DA8">
        <w:rPr>
          <w:bCs/>
          <w:sz w:val="24"/>
          <w:szCs w:val="24"/>
        </w:rPr>
        <w:t>‘</w:t>
      </w:r>
      <w:r w:rsidR="00FA3C00" w:rsidRPr="00A82DA8">
        <w:rPr>
          <w:bCs/>
          <w:w w:val="105"/>
          <w:sz w:val="24"/>
          <w:szCs w:val="24"/>
        </w:rPr>
        <w:t>anyone acting in their own</w:t>
      </w:r>
      <w:r w:rsidR="00FA3C00" w:rsidRPr="00A82DA8">
        <w:rPr>
          <w:bCs/>
          <w:spacing w:val="-28"/>
          <w:w w:val="105"/>
          <w:sz w:val="24"/>
          <w:szCs w:val="24"/>
        </w:rPr>
        <w:t xml:space="preserve"> </w:t>
      </w:r>
      <w:r w:rsidR="00FA3C00" w:rsidRPr="00A82DA8">
        <w:rPr>
          <w:bCs/>
          <w:w w:val="105"/>
          <w:sz w:val="24"/>
          <w:szCs w:val="24"/>
        </w:rPr>
        <w:t>interest.’</w:t>
      </w:r>
      <w:r w:rsidR="00FA3C00" w:rsidRPr="00A82DA8">
        <w:rPr>
          <w:bCs/>
          <w:sz w:val="24"/>
          <w:szCs w:val="24"/>
        </w:rPr>
        <w:t xml:space="preserve"> </w:t>
      </w:r>
      <w:r w:rsidR="00FA3C00" w:rsidRPr="00A82DA8">
        <w:rPr>
          <w:sz w:val="24"/>
          <w:szCs w:val="24"/>
        </w:rPr>
        <w:t>Thus, a</w:t>
      </w:r>
      <w:r w:rsidR="005F42D3" w:rsidRPr="00A82DA8">
        <w:rPr>
          <w:sz w:val="24"/>
          <w:szCs w:val="24"/>
        </w:rPr>
        <w:t>t</w:t>
      </w:r>
      <w:r w:rsidR="005F42D3" w:rsidRPr="00FA3C00">
        <w:rPr>
          <w:sz w:val="24"/>
          <w:szCs w:val="24"/>
        </w:rPr>
        <w:t xml:space="preserve"> both common law and in terms of the Constitution, Bae Estates </w:t>
      </w:r>
      <w:r w:rsidR="00E35935" w:rsidRPr="00FA3C00">
        <w:rPr>
          <w:sz w:val="24"/>
          <w:szCs w:val="24"/>
        </w:rPr>
        <w:t xml:space="preserve">has thus established the required locus standi to challenge the validity of the decision. </w:t>
      </w:r>
      <w:r w:rsidR="00B21C34" w:rsidRPr="00FA3C00">
        <w:rPr>
          <w:sz w:val="24"/>
          <w:szCs w:val="24"/>
        </w:rPr>
        <w:t>A contrary conclusion</w:t>
      </w:r>
      <w:r w:rsidR="008E1443" w:rsidRPr="00FA3C00">
        <w:rPr>
          <w:sz w:val="24"/>
          <w:szCs w:val="24"/>
        </w:rPr>
        <w:t xml:space="preserve"> would be tantamount to the adoption of a </w:t>
      </w:r>
      <w:r w:rsidR="00E35935" w:rsidRPr="00FA3C00">
        <w:rPr>
          <w:sz w:val="24"/>
          <w:szCs w:val="24"/>
        </w:rPr>
        <w:t xml:space="preserve">‘formalistic or technical’ approach cautioned against in </w:t>
      </w:r>
      <w:r w:rsidR="00E35935" w:rsidRPr="00FA3C00">
        <w:rPr>
          <w:i/>
          <w:iCs/>
          <w:sz w:val="24"/>
          <w:szCs w:val="24"/>
        </w:rPr>
        <w:t>Jacobs</w:t>
      </w:r>
      <w:r w:rsidR="005F42D3" w:rsidRPr="00FA3C00">
        <w:rPr>
          <w:sz w:val="24"/>
          <w:szCs w:val="24"/>
        </w:rPr>
        <w:t xml:space="preserve"> and</w:t>
      </w:r>
      <w:r w:rsidR="00732AF5" w:rsidRPr="00FA3C00">
        <w:rPr>
          <w:sz w:val="24"/>
          <w:szCs w:val="24"/>
        </w:rPr>
        <w:t>,</w:t>
      </w:r>
      <w:r w:rsidR="005F42D3" w:rsidRPr="00FA3C00">
        <w:rPr>
          <w:sz w:val="24"/>
          <w:szCs w:val="24"/>
        </w:rPr>
        <w:t xml:space="preserve"> contrary to s 38 of the Constitution.</w:t>
      </w:r>
      <w:r w:rsidR="00E35935" w:rsidRPr="00FA3C00">
        <w:rPr>
          <w:sz w:val="24"/>
          <w:szCs w:val="24"/>
        </w:rPr>
        <w:t xml:space="preserve"> </w:t>
      </w:r>
      <w:r w:rsidR="00732AF5" w:rsidRPr="00FA3C00">
        <w:rPr>
          <w:bCs/>
          <w:sz w:val="24"/>
          <w:szCs w:val="24"/>
        </w:rPr>
        <w:t xml:space="preserve">It follows </w:t>
      </w:r>
      <w:r w:rsidR="00BE4D73" w:rsidRPr="00FA3C00">
        <w:rPr>
          <w:bCs/>
          <w:sz w:val="24"/>
          <w:szCs w:val="24"/>
        </w:rPr>
        <w:t xml:space="preserve">that </w:t>
      </w:r>
      <w:r w:rsidR="00A53415" w:rsidRPr="00FA3C00">
        <w:rPr>
          <w:bCs/>
          <w:sz w:val="24"/>
          <w:szCs w:val="24"/>
        </w:rPr>
        <w:t xml:space="preserve">the trustees’ contention that Bae Estates lacks </w:t>
      </w:r>
      <w:r w:rsidR="005F42D3" w:rsidRPr="00FA3C00">
        <w:rPr>
          <w:bCs/>
          <w:sz w:val="24"/>
          <w:szCs w:val="24"/>
        </w:rPr>
        <w:t xml:space="preserve">locus </w:t>
      </w:r>
      <w:r w:rsidR="00A53415" w:rsidRPr="00FA3C00">
        <w:rPr>
          <w:bCs/>
          <w:sz w:val="24"/>
          <w:szCs w:val="24"/>
        </w:rPr>
        <w:t>standi</w:t>
      </w:r>
      <w:r w:rsidR="005F42D3" w:rsidRPr="00FA3C00">
        <w:rPr>
          <w:bCs/>
          <w:sz w:val="24"/>
          <w:szCs w:val="24"/>
        </w:rPr>
        <w:t>,</w:t>
      </w:r>
      <w:r w:rsidR="00A53415" w:rsidRPr="00FA3C00">
        <w:rPr>
          <w:bCs/>
          <w:sz w:val="24"/>
          <w:szCs w:val="24"/>
        </w:rPr>
        <w:t xml:space="preserve"> does not </w:t>
      </w:r>
      <w:r w:rsidR="00B21C34" w:rsidRPr="00FA3C00">
        <w:rPr>
          <w:bCs/>
          <w:sz w:val="24"/>
          <w:szCs w:val="24"/>
        </w:rPr>
        <w:t>withstand</w:t>
      </w:r>
      <w:r w:rsidR="00A53415" w:rsidRPr="00FA3C00">
        <w:rPr>
          <w:bCs/>
          <w:sz w:val="24"/>
          <w:szCs w:val="24"/>
        </w:rPr>
        <w:t xml:space="preserve"> scrutiny. </w:t>
      </w:r>
      <w:r w:rsidR="00BE4D73" w:rsidRPr="00FA3C00">
        <w:rPr>
          <w:bCs/>
          <w:sz w:val="24"/>
          <w:szCs w:val="24"/>
        </w:rPr>
        <w:t>Bae Estates has established an enforceable right against the trustees, and thus, the necessary standing to review the trustees’ decision at common law</w:t>
      </w:r>
      <w:r w:rsidR="007B590A" w:rsidRPr="00FA3C00">
        <w:rPr>
          <w:bCs/>
          <w:sz w:val="24"/>
          <w:szCs w:val="24"/>
        </w:rPr>
        <w:t xml:space="preserve">. </w:t>
      </w:r>
    </w:p>
    <w:p w14:paraId="4274C66E" w14:textId="05350EE9" w:rsidR="005B6481" w:rsidRDefault="00D07D58" w:rsidP="00D07D58">
      <w:pPr>
        <w:widowControl/>
        <w:autoSpaceDE/>
        <w:autoSpaceDN/>
        <w:adjustRightInd/>
        <w:spacing w:after="480" w:line="360" w:lineRule="auto"/>
        <w:jc w:val="both"/>
        <w:rPr>
          <w:bCs/>
          <w:sz w:val="24"/>
          <w:szCs w:val="24"/>
        </w:rPr>
      </w:pPr>
      <w:r>
        <w:rPr>
          <w:rFonts w:eastAsia="Times New Roman"/>
          <w:bCs/>
          <w:sz w:val="24"/>
          <w:szCs w:val="24"/>
        </w:rPr>
        <w:t>[39]</w:t>
      </w:r>
      <w:r>
        <w:rPr>
          <w:rFonts w:eastAsia="Times New Roman"/>
          <w:bCs/>
          <w:sz w:val="24"/>
          <w:szCs w:val="24"/>
        </w:rPr>
        <w:tab/>
      </w:r>
      <w:r w:rsidR="00B42965" w:rsidRPr="005B6481">
        <w:rPr>
          <w:bCs/>
          <w:sz w:val="24"/>
          <w:szCs w:val="24"/>
        </w:rPr>
        <w:t xml:space="preserve">Bae Estates’ alleged lack of standing was the only defence proffered by the trustees on the reviewability of their decision under common law. Having </w:t>
      </w:r>
      <w:r w:rsidR="009B09D8" w:rsidRPr="005B6481">
        <w:rPr>
          <w:bCs/>
          <w:sz w:val="24"/>
          <w:szCs w:val="24"/>
        </w:rPr>
        <w:t xml:space="preserve">found no merit in </w:t>
      </w:r>
      <w:r w:rsidR="00B42965" w:rsidRPr="005B6481">
        <w:rPr>
          <w:bCs/>
          <w:sz w:val="24"/>
          <w:szCs w:val="24"/>
        </w:rPr>
        <w:t xml:space="preserve">that point, it remains to decide whether the trustees’ decision is in fact, reviewable </w:t>
      </w:r>
      <w:r w:rsidR="00B42965" w:rsidRPr="00A82DA8">
        <w:rPr>
          <w:bCs/>
          <w:sz w:val="24"/>
          <w:szCs w:val="24"/>
        </w:rPr>
        <w:t>at common law</w:t>
      </w:r>
      <w:r w:rsidR="005B6481" w:rsidRPr="00A82DA8">
        <w:rPr>
          <w:bCs/>
          <w:sz w:val="24"/>
          <w:szCs w:val="24"/>
        </w:rPr>
        <w:t xml:space="preserve">. </w:t>
      </w:r>
      <w:r w:rsidR="00CC1B93" w:rsidRPr="00A82DA8">
        <w:rPr>
          <w:bCs/>
          <w:sz w:val="24"/>
          <w:szCs w:val="24"/>
        </w:rPr>
        <w:t>D</w:t>
      </w:r>
      <w:r w:rsidR="00CC1B93" w:rsidRPr="00A82DA8">
        <w:rPr>
          <w:sz w:val="24"/>
          <w:szCs w:val="24"/>
        </w:rPr>
        <w:t>ecisions</w:t>
      </w:r>
      <w:r w:rsidR="00CC1B93" w:rsidRPr="005B6481">
        <w:rPr>
          <w:sz w:val="24"/>
          <w:szCs w:val="24"/>
        </w:rPr>
        <w:t xml:space="preserve"> of private bodies are not immune from </w:t>
      </w:r>
      <w:r w:rsidR="00732AF5" w:rsidRPr="005B6481">
        <w:rPr>
          <w:sz w:val="24"/>
          <w:szCs w:val="24"/>
        </w:rPr>
        <w:t xml:space="preserve">judicial </w:t>
      </w:r>
      <w:r w:rsidR="00CC1B93" w:rsidRPr="005B6481">
        <w:rPr>
          <w:sz w:val="24"/>
          <w:szCs w:val="24"/>
        </w:rPr>
        <w:lastRenderedPageBreak/>
        <w:t xml:space="preserve">review. </w:t>
      </w:r>
      <w:r w:rsidR="002F0183" w:rsidRPr="005B6481">
        <w:rPr>
          <w:color w:val="242121"/>
          <w:sz w:val="24"/>
          <w:szCs w:val="24"/>
          <w:shd w:val="clear" w:color="auto" w:fill="FFFFFF"/>
        </w:rPr>
        <w:t xml:space="preserve">The principles </w:t>
      </w:r>
      <w:r w:rsidR="009905DD" w:rsidRPr="005B6481">
        <w:rPr>
          <w:color w:val="242121"/>
          <w:sz w:val="24"/>
          <w:szCs w:val="24"/>
          <w:shd w:val="clear" w:color="auto" w:fill="FFFFFF"/>
        </w:rPr>
        <w:t xml:space="preserve">in this regard </w:t>
      </w:r>
      <w:r w:rsidR="002F0183" w:rsidRPr="005B6481">
        <w:rPr>
          <w:color w:val="242121"/>
          <w:sz w:val="24"/>
          <w:szCs w:val="24"/>
          <w:shd w:val="clear" w:color="auto" w:fill="FFFFFF"/>
        </w:rPr>
        <w:t xml:space="preserve">have mostly </w:t>
      </w:r>
      <w:r w:rsidR="009905DD" w:rsidRPr="005B6481">
        <w:rPr>
          <w:color w:val="242121"/>
          <w:sz w:val="24"/>
          <w:szCs w:val="24"/>
          <w:shd w:val="clear" w:color="auto" w:fill="FFFFFF"/>
        </w:rPr>
        <w:t xml:space="preserve">evolved from the </w:t>
      </w:r>
      <w:r w:rsidR="002F0183" w:rsidRPr="005B6481">
        <w:rPr>
          <w:color w:val="242121"/>
          <w:sz w:val="24"/>
          <w:szCs w:val="24"/>
          <w:shd w:val="clear" w:color="auto" w:fill="FFFFFF"/>
        </w:rPr>
        <w:t>so-called ‘Jockey Club’ cases</w:t>
      </w:r>
      <w:r w:rsidR="009905DD" w:rsidRPr="005B6481">
        <w:rPr>
          <w:color w:val="242121"/>
          <w:sz w:val="24"/>
          <w:szCs w:val="24"/>
          <w:shd w:val="clear" w:color="auto" w:fill="FFFFFF"/>
        </w:rPr>
        <w:t>,</w:t>
      </w:r>
      <w:r w:rsidR="002F0183" w:rsidRPr="005B6481">
        <w:rPr>
          <w:color w:val="242121"/>
          <w:sz w:val="24"/>
          <w:szCs w:val="24"/>
          <w:shd w:val="clear" w:color="auto" w:fill="FFFFFF"/>
        </w:rPr>
        <w:t xml:space="preserve"> where voluntary associations</w:t>
      </w:r>
      <w:r w:rsidR="00732AF5" w:rsidRPr="005B6481">
        <w:rPr>
          <w:color w:val="242121"/>
          <w:sz w:val="24"/>
          <w:szCs w:val="24"/>
          <w:shd w:val="clear" w:color="auto" w:fill="FFFFFF"/>
        </w:rPr>
        <w:t xml:space="preserve"> are required </w:t>
      </w:r>
      <w:r w:rsidR="002F0183" w:rsidRPr="005B6481">
        <w:rPr>
          <w:color w:val="242121"/>
          <w:sz w:val="24"/>
          <w:szCs w:val="24"/>
          <w:shd w:val="clear" w:color="auto" w:fill="FFFFFF"/>
        </w:rPr>
        <w:t>to afford their member</w:t>
      </w:r>
      <w:r w:rsidR="00732AF5" w:rsidRPr="005B6481">
        <w:rPr>
          <w:color w:val="242121"/>
          <w:sz w:val="24"/>
          <w:szCs w:val="24"/>
          <w:shd w:val="clear" w:color="auto" w:fill="FFFFFF"/>
        </w:rPr>
        <w:t>s</w:t>
      </w:r>
      <w:r w:rsidR="002F0183" w:rsidRPr="005B6481">
        <w:rPr>
          <w:color w:val="242121"/>
          <w:sz w:val="24"/>
          <w:szCs w:val="24"/>
          <w:shd w:val="clear" w:color="auto" w:fill="FFFFFF"/>
        </w:rPr>
        <w:t xml:space="preserve"> a fair and impartial hearing before their domestic tribunals.</w:t>
      </w:r>
      <w:r w:rsidR="002F0183" w:rsidRPr="009B7B01">
        <w:rPr>
          <w:rStyle w:val="FootnoteReference"/>
          <w:color w:val="242121"/>
          <w:sz w:val="24"/>
          <w:szCs w:val="24"/>
          <w:shd w:val="clear" w:color="auto" w:fill="FFFFFF"/>
        </w:rPr>
        <w:footnoteReference w:id="18"/>
      </w:r>
      <w:r w:rsidR="002F0183" w:rsidRPr="005B6481">
        <w:rPr>
          <w:color w:val="242121"/>
          <w:sz w:val="24"/>
          <w:szCs w:val="24"/>
          <w:shd w:val="clear" w:color="auto" w:fill="FFFFFF"/>
        </w:rPr>
        <w:t xml:space="preserve"> Counsel for the trustees sought to distinguish these</w:t>
      </w:r>
      <w:r w:rsidR="009905DD" w:rsidRPr="005B6481">
        <w:rPr>
          <w:color w:val="242121"/>
          <w:sz w:val="24"/>
          <w:szCs w:val="24"/>
          <w:shd w:val="clear" w:color="auto" w:fill="FFFFFF"/>
        </w:rPr>
        <w:t xml:space="preserve"> </w:t>
      </w:r>
      <w:r w:rsidR="002F0183" w:rsidRPr="005B6481">
        <w:rPr>
          <w:color w:val="242121"/>
          <w:sz w:val="24"/>
          <w:szCs w:val="24"/>
          <w:shd w:val="clear" w:color="auto" w:fill="FFFFFF"/>
        </w:rPr>
        <w:t>case</w:t>
      </w:r>
      <w:r w:rsidR="009905DD" w:rsidRPr="005B6481">
        <w:rPr>
          <w:color w:val="242121"/>
          <w:sz w:val="24"/>
          <w:szCs w:val="24"/>
          <w:shd w:val="clear" w:color="auto" w:fill="FFFFFF"/>
        </w:rPr>
        <w:t>s</w:t>
      </w:r>
      <w:r w:rsidR="002F0183" w:rsidRPr="005B6481">
        <w:rPr>
          <w:color w:val="242121"/>
          <w:sz w:val="24"/>
          <w:szCs w:val="24"/>
          <w:shd w:val="clear" w:color="auto" w:fill="FFFFFF"/>
        </w:rPr>
        <w:t xml:space="preserve"> from the present case on two bases: first, </w:t>
      </w:r>
      <w:r w:rsidR="002F0183" w:rsidRPr="00A82DA8">
        <w:rPr>
          <w:color w:val="242121"/>
          <w:sz w:val="24"/>
          <w:szCs w:val="24"/>
          <w:shd w:val="clear" w:color="auto" w:fill="FFFFFF"/>
        </w:rPr>
        <w:t>t</w:t>
      </w:r>
      <w:r w:rsidR="002F0183" w:rsidRPr="005B6481">
        <w:rPr>
          <w:color w:val="242121"/>
          <w:sz w:val="24"/>
          <w:szCs w:val="24"/>
          <w:shd w:val="clear" w:color="auto" w:fill="FFFFFF"/>
        </w:rPr>
        <w:t xml:space="preserve">hat the trustees did not act in their capacity as a domestic tribunal. Secondly, that as members of such associations, they were persons affected by the finding of a domestic tribunal which was invalid for want of observance of the rules of </w:t>
      </w:r>
      <w:r w:rsidR="00A85FAD" w:rsidRPr="005B6481">
        <w:rPr>
          <w:color w:val="242121"/>
          <w:sz w:val="24"/>
          <w:szCs w:val="24"/>
          <w:shd w:val="clear" w:color="auto" w:fill="FFFFFF"/>
        </w:rPr>
        <w:t xml:space="preserve">natural </w:t>
      </w:r>
      <w:r w:rsidR="002F0183" w:rsidRPr="005B6481">
        <w:rPr>
          <w:color w:val="242121"/>
          <w:sz w:val="24"/>
          <w:szCs w:val="24"/>
          <w:shd w:val="clear" w:color="auto" w:fill="FFFFFF"/>
        </w:rPr>
        <w:t xml:space="preserve">justice. As Bae Estates was not a member of the </w:t>
      </w:r>
      <w:r w:rsidR="006D5477" w:rsidRPr="005B6481">
        <w:rPr>
          <w:color w:val="242121"/>
          <w:sz w:val="24"/>
          <w:szCs w:val="24"/>
          <w:shd w:val="clear" w:color="auto" w:fill="FFFFFF"/>
        </w:rPr>
        <w:t>body corporate,</w:t>
      </w:r>
      <w:r w:rsidR="00391917" w:rsidRPr="005B6481">
        <w:rPr>
          <w:color w:val="242121"/>
          <w:sz w:val="24"/>
          <w:szCs w:val="24"/>
          <w:shd w:val="clear" w:color="auto" w:fill="FFFFFF"/>
        </w:rPr>
        <w:t xml:space="preserve"> so it was submitted,</w:t>
      </w:r>
      <w:r w:rsidR="006D5477" w:rsidRPr="005B6481">
        <w:rPr>
          <w:color w:val="242121"/>
          <w:sz w:val="24"/>
          <w:szCs w:val="24"/>
          <w:shd w:val="clear" w:color="auto" w:fill="FFFFFF"/>
        </w:rPr>
        <w:t xml:space="preserve"> the trustees were not obliged to observe the rules of natural justice. </w:t>
      </w:r>
    </w:p>
    <w:p w14:paraId="14ED3B69" w14:textId="153AA0BC" w:rsidR="00B4178A" w:rsidRPr="005B6481" w:rsidRDefault="00D07D58" w:rsidP="00D07D58">
      <w:pPr>
        <w:widowControl/>
        <w:autoSpaceDE/>
        <w:autoSpaceDN/>
        <w:adjustRightInd/>
        <w:spacing w:after="360" w:line="360" w:lineRule="auto"/>
        <w:jc w:val="both"/>
        <w:rPr>
          <w:bCs/>
          <w:sz w:val="24"/>
          <w:szCs w:val="24"/>
        </w:rPr>
      </w:pPr>
      <w:r w:rsidRPr="005B6481">
        <w:rPr>
          <w:rFonts w:eastAsia="Times New Roman"/>
          <w:bCs/>
          <w:sz w:val="24"/>
          <w:szCs w:val="24"/>
        </w:rPr>
        <w:t>[40]</w:t>
      </w:r>
      <w:r w:rsidRPr="005B6481">
        <w:rPr>
          <w:rFonts w:eastAsia="Times New Roman"/>
          <w:bCs/>
          <w:sz w:val="24"/>
          <w:szCs w:val="24"/>
        </w:rPr>
        <w:tab/>
      </w:r>
      <w:r w:rsidR="006D5477" w:rsidRPr="005B6481">
        <w:rPr>
          <w:bCs/>
          <w:sz w:val="24"/>
          <w:szCs w:val="24"/>
        </w:rPr>
        <w:t xml:space="preserve">In my view, there is no merit </w:t>
      </w:r>
      <w:r w:rsidR="009B37C3" w:rsidRPr="005B6481">
        <w:rPr>
          <w:bCs/>
          <w:sz w:val="24"/>
          <w:szCs w:val="24"/>
        </w:rPr>
        <w:t xml:space="preserve">to </w:t>
      </w:r>
      <w:r w:rsidR="006D5477" w:rsidRPr="005B6481">
        <w:rPr>
          <w:bCs/>
          <w:sz w:val="24"/>
          <w:szCs w:val="24"/>
        </w:rPr>
        <w:t>either of the two propositions. As to the first</w:t>
      </w:r>
      <w:r w:rsidR="0068302B" w:rsidRPr="00A82DA8">
        <w:rPr>
          <w:bCs/>
          <w:sz w:val="24"/>
          <w:szCs w:val="24"/>
        </w:rPr>
        <w:t>,</w:t>
      </w:r>
      <w:r w:rsidR="009905DD" w:rsidRPr="005B6481">
        <w:rPr>
          <w:bCs/>
          <w:sz w:val="24"/>
          <w:szCs w:val="24"/>
        </w:rPr>
        <w:t xml:space="preserve"> </w:t>
      </w:r>
      <w:r w:rsidR="006D5477" w:rsidRPr="005B6481">
        <w:rPr>
          <w:bCs/>
          <w:sz w:val="24"/>
          <w:szCs w:val="24"/>
        </w:rPr>
        <w:t xml:space="preserve">it </w:t>
      </w:r>
      <w:r w:rsidR="000F6912" w:rsidRPr="005B6481">
        <w:rPr>
          <w:bCs/>
          <w:sz w:val="24"/>
          <w:szCs w:val="24"/>
        </w:rPr>
        <w:t xml:space="preserve">is mechanical, and </w:t>
      </w:r>
      <w:r w:rsidR="006D5477" w:rsidRPr="005B6481">
        <w:rPr>
          <w:bCs/>
          <w:sz w:val="24"/>
          <w:szCs w:val="24"/>
        </w:rPr>
        <w:t>amounts to placing form over substance</w:t>
      </w:r>
      <w:r w:rsidR="00AA7937" w:rsidRPr="005B6481">
        <w:rPr>
          <w:bCs/>
          <w:sz w:val="24"/>
          <w:szCs w:val="24"/>
        </w:rPr>
        <w:t>. It is reminiscent of</w:t>
      </w:r>
      <w:r w:rsidR="000F6912" w:rsidRPr="005B6481">
        <w:rPr>
          <w:bCs/>
          <w:sz w:val="24"/>
          <w:szCs w:val="24"/>
        </w:rPr>
        <w:t>, and akin to,</w:t>
      </w:r>
      <w:r w:rsidR="00AA7937" w:rsidRPr="005B6481">
        <w:rPr>
          <w:bCs/>
          <w:sz w:val="24"/>
          <w:szCs w:val="24"/>
        </w:rPr>
        <w:t xml:space="preserve"> the former classification of administrative </w:t>
      </w:r>
      <w:r w:rsidR="000F6912" w:rsidRPr="005B6481">
        <w:rPr>
          <w:bCs/>
          <w:sz w:val="24"/>
          <w:szCs w:val="24"/>
        </w:rPr>
        <w:t>powers and functions</w:t>
      </w:r>
      <w:r w:rsidR="00AA7937" w:rsidRPr="005B6481">
        <w:rPr>
          <w:bCs/>
          <w:sz w:val="24"/>
          <w:szCs w:val="24"/>
        </w:rPr>
        <w:t xml:space="preserve"> as ‘purely administrative’ or ‘quasi- judicial’</w:t>
      </w:r>
      <w:r w:rsidR="000F6912" w:rsidRPr="005B6481">
        <w:rPr>
          <w:bCs/>
          <w:sz w:val="24"/>
          <w:szCs w:val="24"/>
        </w:rPr>
        <w:t>, that was discredited and discarded in our administrative law even pre-constitutional order.</w:t>
      </w:r>
      <w:r w:rsidR="006D5477" w:rsidRPr="005B6481">
        <w:rPr>
          <w:bCs/>
          <w:sz w:val="24"/>
          <w:szCs w:val="24"/>
        </w:rPr>
        <w:t xml:space="preserve"> The identity or form of the decision-maker is </w:t>
      </w:r>
      <w:r w:rsidR="00AA7937" w:rsidRPr="005B6481">
        <w:rPr>
          <w:bCs/>
          <w:sz w:val="24"/>
          <w:szCs w:val="24"/>
        </w:rPr>
        <w:t>immaterial</w:t>
      </w:r>
      <w:r w:rsidR="006D5477" w:rsidRPr="005B6481">
        <w:rPr>
          <w:bCs/>
          <w:sz w:val="24"/>
          <w:szCs w:val="24"/>
        </w:rPr>
        <w:t xml:space="preserve">. What is important is the effect of its decision </w:t>
      </w:r>
      <w:r w:rsidR="00C84496" w:rsidRPr="005B6481">
        <w:rPr>
          <w:bCs/>
          <w:sz w:val="24"/>
          <w:szCs w:val="24"/>
        </w:rPr>
        <w:t xml:space="preserve">and its implications </w:t>
      </w:r>
      <w:r w:rsidR="006D5477" w:rsidRPr="005B6481">
        <w:rPr>
          <w:bCs/>
          <w:sz w:val="24"/>
          <w:szCs w:val="24"/>
        </w:rPr>
        <w:t xml:space="preserve">on </w:t>
      </w:r>
      <w:r w:rsidR="00C84496" w:rsidRPr="005B6481">
        <w:rPr>
          <w:bCs/>
          <w:sz w:val="24"/>
          <w:szCs w:val="24"/>
        </w:rPr>
        <w:t xml:space="preserve">the subject to </w:t>
      </w:r>
      <w:r w:rsidR="006D5477" w:rsidRPr="005B6481">
        <w:rPr>
          <w:bCs/>
          <w:sz w:val="24"/>
          <w:szCs w:val="24"/>
        </w:rPr>
        <w:t xml:space="preserve">whom it is directed. </w:t>
      </w:r>
      <w:r w:rsidR="009905DD" w:rsidRPr="005B6481">
        <w:rPr>
          <w:bCs/>
          <w:sz w:val="24"/>
          <w:szCs w:val="24"/>
        </w:rPr>
        <w:t xml:space="preserve">It is therefore </w:t>
      </w:r>
      <w:r w:rsidR="00AA7937" w:rsidRPr="005B6481">
        <w:rPr>
          <w:bCs/>
          <w:sz w:val="24"/>
          <w:szCs w:val="24"/>
        </w:rPr>
        <w:t xml:space="preserve">irrelevant </w:t>
      </w:r>
      <w:r w:rsidR="009905DD" w:rsidRPr="005B6481">
        <w:rPr>
          <w:bCs/>
          <w:sz w:val="24"/>
          <w:szCs w:val="24"/>
        </w:rPr>
        <w:t xml:space="preserve">whether the body entrusted with the decision is styled </w:t>
      </w:r>
      <w:r w:rsidR="00DC27C6" w:rsidRPr="005B6481">
        <w:rPr>
          <w:bCs/>
          <w:sz w:val="24"/>
          <w:szCs w:val="24"/>
        </w:rPr>
        <w:t>‘tribunal’, ‘committee’, ‘task team’</w:t>
      </w:r>
      <w:r w:rsidR="00AA7937" w:rsidRPr="005B6481">
        <w:rPr>
          <w:bCs/>
          <w:sz w:val="24"/>
          <w:szCs w:val="24"/>
        </w:rPr>
        <w:t>, ‘board of trustees’,</w:t>
      </w:r>
      <w:r w:rsidR="00DC27C6" w:rsidRPr="005B6481">
        <w:rPr>
          <w:bCs/>
          <w:sz w:val="24"/>
          <w:szCs w:val="24"/>
        </w:rPr>
        <w:t xml:space="preserve"> etc. </w:t>
      </w:r>
      <w:r w:rsidR="009905DD" w:rsidRPr="005B6481">
        <w:rPr>
          <w:bCs/>
          <w:sz w:val="24"/>
          <w:szCs w:val="24"/>
        </w:rPr>
        <w:t>As to the secon</w:t>
      </w:r>
      <w:r w:rsidR="009905DD" w:rsidRPr="00A82DA8">
        <w:rPr>
          <w:bCs/>
          <w:sz w:val="24"/>
          <w:szCs w:val="24"/>
        </w:rPr>
        <w:t>d</w:t>
      </w:r>
      <w:r w:rsidR="009905DD" w:rsidRPr="005B6481">
        <w:rPr>
          <w:bCs/>
          <w:sz w:val="24"/>
          <w:szCs w:val="24"/>
        </w:rPr>
        <w:t xml:space="preserve">, it is common cause </w:t>
      </w:r>
      <w:r w:rsidR="009905DD" w:rsidRPr="00A82DA8">
        <w:rPr>
          <w:bCs/>
          <w:sz w:val="24"/>
          <w:szCs w:val="24"/>
        </w:rPr>
        <w:t>t</w:t>
      </w:r>
      <w:r w:rsidR="009905DD" w:rsidRPr="005B6481">
        <w:rPr>
          <w:bCs/>
          <w:sz w:val="24"/>
          <w:szCs w:val="24"/>
        </w:rPr>
        <w:t xml:space="preserve">hat Bae Estates was directly and materially affected by the trustees’ decision. </w:t>
      </w:r>
      <w:r w:rsidR="008C5B06" w:rsidRPr="005B6481">
        <w:rPr>
          <w:bCs/>
          <w:sz w:val="24"/>
          <w:szCs w:val="24"/>
        </w:rPr>
        <w:t xml:space="preserve">There is no </w:t>
      </w:r>
      <w:r w:rsidR="00DC27C6" w:rsidRPr="005B6481">
        <w:rPr>
          <w:bCs/>
          <w:sz w:val="24"/>
          <w:szCs w:val="24"/>
        </w:rPr>
        <w:t>rational and justifiable basis</w:t>
      </w:r>
      <w:r w:rsidR="008C5B06" w:rsidRPr="005B6481">
        <w:rPr>
          <w:bCs/>
          <w:sz w:val="24"/>
          <w:szCs w:val="24"/>
        </w:rPr>
        <w:t>,</w:t>
      </w:r>
      <w:r w:rsidR="00DC27C6" w:rsidRPr="005B6481">
        <w:rPr>
          <w:bCs/>
          <w:sz w:val="24"/>
          <w:szCs w:val="24"/>
        </w:rPr>
        <w:t xml:space="preserve"> why the rules of natural justice should not apply</w:t>
      </w:r>
      <w:r w:rsidR="00732AF5" w:rsidRPr="005B6481">
        <w:rPr>
          <w:bCs/>
          <w:sz w:val="24"/>
          <w:szCs w:val="24"/>
        </w:rPr>
        <w:t xml:space="preserve"> to the trustees’ decision</w:t>
      </w:r>
      <w:r w:rsidR="00DC27C6" w:rsidRPr="005B6481">
        <w:rPr>
          <w:bCs/>
          <w:sz w:val="24"/>
          <w:szCs w:val="24"/>
        </w:rPr>
        <w:t>.</w:t>
      </w:r>
      <w:r w:rsidR="009B37C3" w:rsidRPr="005B6481">
        <w:rPr>
          <w:bCs/>
          <w:sz w:val="24"/>
          <w:szCs w:val="24"/>
        </w:rPr>
        <w:t xml:space="preserve"> This is particularly so in circumstances where Bae Estates had, to the knowledge of the trustees, been freely operating within the scheme for at least a year. </w:t>
      </w:r>
    </w:p>
    <w:p w14:paraId="6C0CEFA0" w14:textId="64D9DE86" w:rsidR="009905DD" w:rsidRPr="006C228E" w:rsidRDefault="00D07D58" w:rsidP="00D07D58">
      <w:pPr>
        <w:widowControl/>
        <w:autoSpaceDE/>
        <w:autoSpaceDN/>
        <w:adjustRightInd/>
        <w:spacing w:after="360" w:line="360" w:lineRule="auto"/>
        <w:jc w:val="both"/>
        <w:rPr>
          <w:bCs/>
          <w:sz w:val="24"/>
          <w:szCs w:val="24"/>
        </w:rPr>
      </w:pPr>
      <w:r w:rsidRPr="006C228E">
        <w:rPr>
          <w:rFonts w:eastAsia="Times New Roman"/>
          <w:bCs/>
          <w:sz w:val="24"/>
          <w:szCs w:val="24"/>
        </w:rPr>
        <w:t>[41]</w:t>
      </w:r>
      <w:r w:rsidRPr="006C228E">
        <w:rPr>
          <w:rFonts w:eastAsia="Times New Roman"/>
          <w:bCs/>
          <w:sz w:val="24"/>
          <w:szCs w:val="24"/>
        </w:rPr>
        <w:tab/>
      </w:r>
      <w:r w:rsidR="009905DD" w:rsidRPr="009B7B01">
        <w:rPr>
          <w:sz w:val="24"/>
          <w:szCs w:val="24"/>
        </w:rPr>
        <w:t>I turn now to consider the grounds on which a decision of a private body</w:t>
      </w:r>
      <w:r w:rsidR="00DC27C6" w:rsidRPr="009B7B01">
        <w:rPr>
          <w:sz w:val="24"/>
          <w:szCs w:val="24"/>
        </w:rPr>
        <w:t xml:space="preserve"> can be subjected to judicial review at common law.</w:t>
      </w:r>
      <w:r w:rsidR="009905DD" w:rsidRPr="009B7B01">
        <w:rPr>
          <w:sz w:val="24"/>
          <w:szCs w:val="24"/>
        </w:rPr>
        <w:t xml:space="preserve"> </w:t>
      </w:r>
      <w:r w:rsidR="00DC27C6" w:rsidRPr="009B7B01">
        <w:rPr>
          <w:sz w:val="24"/>
          <w:szCs w:val="24"/>
        </w:rPr>
        <w:t xml:space="preserve">This would be the case </w:t>
      </w:r>
      <w:r w:rsidR="009905DD" w:rsidRPr="009B7B01">
        <w:rPr>
          <w:bCs/>
          <w:sz w:val="24"/>
          <w:szCs w:val="24"/>
        </w:rPr>
        <w:t xml:space="preserve">where a </w:t>
      </w:r>
      <w:r w:rsidR="00DC27C6" w:rsidRPr="009B7B01">
        <w:rPr>
          <w:bCs/>
          <w:sz w:val="24"/>
          <w:szCs w:val="24"/>
        </w:rPr>
        <w:t xml:space="preserve">decision-maker </w:t>
      </w:r>
      <w:r w:rsidR="009905DD" w:rsidRPr="009B7B01">
        <w:rPr>
          <w:bCs/>
          <w:sz w:val="24"/>
          <w:szCs w:val="24"/>
        </w:rPr>
        <w:t xml:space="preserve">failed to comply with </w:t>
      </w:r>
      <w:r w:rsidR="009905DD" w:rsidRPr="009B7B01">
        <w:rPr>
          <w:color w:val="242121"/>
          <w:sz w:val="24"/>
          <w:szCs w:val="24"/>
          <w:shd w:val="clear" w:color="auto" w:fill="FFFFFF"/>
        </w:rPr>
        <w:t>the elementary principles of justice, such as for example, where the tribunal misconceives the nature and ambit of its powers, or where it acts capriciously or mala fide</w:t>
      </w:r>
      <w:r w:rsidR="009905DD" w:rsidRPr="009B7B01">
        <w:rPr>
          <w:i/>
          <w:iCs/>
          <w:color w:val="242121"/>
          <w:sz w:val="24"/>
          <w:szCs w:val="24"/>
          <w:shd w:val="clear" w:color="auto" w:fill="FFFFFF"/>
        </w:rPr>
        <w:t>, </w:t>
      </w:r>
      <w:r w:rsidR="009905DD" w:rsidRPr="009B7B01">
        <w:rPr>
          <w:color w:val="242121"/>
          <w:sz w:val="24"/>
          <w:szCs w:val="24"/>
          <w:shd w:val="clear" w:color="auto" w:fill="FFFFFF"/>
        </w:rPr>
        <w:t xml:space="preserve">or where </w:t>
      </w:r>
      <w:bookmarkStart w:id="42" w:name="_Hlk84421838"/>
      <w:r w:rsidR="009905DD" w:rsidRPr="009B7B01">
        <w:rPr>
          <w:color w:val="242121"/>
          <w:sz w:val="24"/>
          <w:szCs w:val="24"/>
          <w:shd w:val="clear" w:color="auto" w:fill="FFFFFF"/>
        </w:rPr>
        <w:t xml:space="preserve">its findings in the circumstances are so unfair that </w:t>
      </w:r>
      <w:r w:rsidR="009905DD" w:rsidRPr="009B7B01">
        <w:rPr>
          <w:color w:val="242121"/>
          <w:sz w:val="24"/>
          <w:szCs w:val="24"/>
          <w:shd w:val="clear" w:color="auto" w:fill="FFFFFF"/>
        </w:rPr>
        <w:lastRenderedPageBreak/>
        <w:t>they cannot be explained unless it is presumed that the tribunal acted capriciously or with mala fides</w:t>
      </w:r>
      <w:r w:rsidR="009905DD" w:rsidRPr="009B7B01">
        <w:rPr>
          <w:i/>
          <w:iCs/>
          <w:color w:val="242121"/>
          <w:sz w:val="24"/>
          <w:szCs w:val="24"/>
          <w:shd w:val="clear" w:color="auto" w:fill="FFFFFF"/>
        </w:rPr>
        <w:t>.</w:t>
      </w:r>
      <w:bookmarkEnd w:id="42"/>
      <w:r w:rsidR="009905DD" w:rsidRPr="009B7B01">
        <w:rPr>
          <w:rStyle w:val="FootnoteReference"/>
          <w:color w:val="242121"/>
          <w:sz w:val="24"/>
          <w:szCs w:val="24"/>
          <w:shd w:val="clear" w:color="auto" w:fill="FFFFFF"/>
        </w:rPr>
        <w:footnoteReference w:id="19"/>
      </w:r>
    </w:p>
    <w:p w14:paraId="285B9FF9" w14:textId="559F8C65" w:rsidR="006C228E" w:rsidRPr="00A82DA8" w:rsidRDefault="00D07D58" w:rsidP="00D07D58">
      <w:pPr>
        <w:widowControl/>
        <w:autoSpaceDE/>
        <w:autoSpaceDN/>
        <w:adjustRightInd/>
        <w:spacing w:after="360" w:line="360" w:lineRule="auto"/>
        <w:jc w:val="both"/>
        <w:rPr>
          <w:bCs/>
          <w:szCs w:val="24"/>
        </w:rPr>
      </w:pPr>
      <w:r w:rsidRPr="00A82DA8">
        <w:rPr>
          <w:rFonts w:eastAsia="Times New Roman"/>
          <w:bCs/>
          <w:sz w:val="24"/>
          <w:szCs w:val="24"/>
        </w:rPr>
        <w:t>[42]</w:t>
      </w:r>
      <w:r w:rsidRPr="00A82DA8">
        <w:rPr>
          <w:rFonts w:eastAsia="Times New Roman"/>
          <w:bCs/>
          <w:sz w:val="24"/>
          <w:szCs w:val="24"/>
        </w:rPr>
        <w:tab/>
      </w:r>
      <w:r w:rsidR="006C228E" w:rsidRPr="00A82DA8">
        <w:rPr>
          <w:sz w:val="24"/>
        </w:rPr>
        <w:t xml:space="preserve">In </w:t>
      </w:r>
      <w:bookmarkStart w:id="43" w:name="_Hlk86753036"/>
      <w:r w:rsidR="006C228E" w:rsidRPr="00A82DA8">
        <w:rPr>
          <w:i/>
          <w:sz w:val="24"/>
        </w:rPr>
        <w:t>Johannesburg Consolidated Investment Co v Johannesburg Town Council</w:t>
      </w:r>
      <w:bookmarkEnd w:id="43"/>
      <w:r w:rsidR="00555DFA" w:rsidRPr="00A82DA8">
        <w:rPr>
          <w:iCs/>
          <w:sz w:val="24"/>
        </w:rPr>
        <w:t>,</w:t>
      </w:r>
      <w:r w:rsidR="00555DFA" w:rsidRPr="00A82DA8">
        <w:rPr>
          <w:rStyle w:val="FootnoteReference"/>
          <w:iCs/>
          <w:sz w:val="24"/>
        </w:rPr>
        <w:footnoteReference w:id="20"/>
      </w:r>
      <w:r w:rsidR="006C228E" w:rsidRPr="00A82DA8">
        <w:rPr>
          <w:sz w:val="24"/>
        </w:rPr>
        <w:t xml:space="preserve"> Innes CJ observed that the grounds upon which a review may be brought under common law are ‘somewhat wider’ than those that would justify a review of judicial proceedings. It is well-established that common law review, inter alia, applies also to cases where the decision under review is taken without a hearing having taken place. And</w:t>
      </w:r>
      <w:r w:rsidR="00722A00" w:rsidRPr="00A82DA8">
        <w:rPr>
          <w:sz w:val="24"/>
        </w:rPr>
        <w:t>,</w:t>
      </w:r>
      <w:r w:rsidR="006C228E" w:rsidRPr="00A82DA8">
        <w:rPr>
          <w:sz w:val="24"/>
        </w:rPr>
        <w:t xml:space="preserve"> where the duty or power is created not by statute but consensually as in relation to domestic tribunals.</w:t>
      </w:r>
      <w:r w:rsidR="006C228E" w:rsidRPr="00A82DA8">
        <w:rPr>
          <w:rStyle w:val="FootnoteReference"/>
          <w:rFonts w:cs="Arial"/>
          <w:sz w:val="24"/>
        </w:rPr>
        <w:footnoteReference w:id="21"/>
      </w:r>
    </w:p>
    <w:p w14:paraId="5E14CA9A" w14:textId="77777777" w:rsidR="00FA3C00" w:rsidRDefault="00FA3C00" w:rsidP="00FA3C00">
      <w:pPr>
        <w:pStyle w:val="ListParagraph"/>
        <w:rPr>
          <w:bCs/>
          <w:szCs w:val="24"/>
          <w:highlight w:val="yellow"/>
        </w:rPr>
      </w:pPr>
    </w:p>
    <w:p w14:paraId="5EAD6A28" w14:textId="7E246765" w:rsidR="006C228E" w:rsidRPr="00A82DA8" w:rsidRDefault="00D07D58" w:rsidP="00D07D58">
      <w:pPr>
        <w:widowControl/>
        <w:autoSpaceDE/>
        <w:autoSpaceDN/>
        <w:adjustRightInd/>
        <w:spacing w:after="360" w:line="360" w:lineRule="auto"/>
        <w:jc w:val="both"/>
        <w:rPr>
          <w:bCs/>
          <w:szCs w:val="24"/>
        </w:rPr>
      </w:pPr>
      <w:r w:rsidRPr="00A82DA8">
        <w:rPr>
          <w:rFonts w:eastAsia="Times New Roman"/>
          <w:bCs/>
          <w:sz w:val="24"/>
          <w:szCs w:val="24"/>
        </w:rPr>
        <w:t>[43]</w:t>
      </w:r>
      <w:r w:rsidRPr="00A82DA8">
        <w:rPr>
          <w:rFonts w:eastAsia="Times New Roman"/>
          <w:bCs/>
          <w:sz w:val="24"/>
          <w:szCs w:val="24"/>
        </w:rPr>
        <w:tab/>
      </w:r>
      <w:r w:rsidR="00FA3C00" w:rsidRPr="00A82DA8">
        <w:rPr>
          <w:bCs/>
          <w:sz w:val="24"/>
          <w:szCs w:val="24"/>
        </w:rPr>
        <w:t xml:space="preserve">It is so that ordinarily, Bae Estates does not have a right to operate in the scheme. However, once it was permitted to do so by the trustees, about which there is no dispute, Bae Estates held </w:t>
      </w:r>
      <w:r w:rsidR="00FA3C00" w:rsidRPr="00A82DA8">
        <w:rPr>
          <w:sz w:val="24"/>
          <w:szCs w:val="24"/>
          <w:shd w:val="clear" w:color="auto" w:fill="FFFFFF"/>
        </w:rPr>
        <w:t>a well-founded belief and expectation</w:t>
      </w:r>
      <w:r w:rsidR="00FA3C00" w:rsidRPr="00A82DA8">
        <w:rPr>
          <w:bCs/>
          <w:sz w:val="24"/>
          <w:szCs w:val="24"/>
        </w:rPr>
        <w:t xml:space="preserve"> that </w:t>
      </w:r>
      <w:r w:rsidR="00FA3C00" w:rsidRPr="00A82DA8">
        <w:rPr>
          <w:sz w:val="24"/>
          <w:szCs w:val="24"/>
        </w:rPr>
        <w:t>its continued ability to operate in the scheme and service its clients there, would not be arbitrarily terminated by the trustees.</w:t>
      </w:r>
      <w:r w:rsidR="00FA3C00" w:rsidRPr="00A82DA8">
        <w:rPr>
          <w:sz w:val="24"/>
        </w:rPr>
        <w:t xml:space="preserve"> </w:t>
      </w:r>
      <w:r w:rsidR="000C0A17" w:rsidRPr="00A82DA8">
        <w:rPr>
          <w:sz w:val="24"/>
        </w:rPr>
        <w:t xml:space="preserve">Therefore, </w:t>
      </w:r>
      <w:r w:rsidR="006C228E" w:rsidRPr="00A82DA8">
        <w:rPr>
          <w:sz w:val="24"/>
        </w:rPr>
        <w:t xml:space="preserve">the duty </w:t>
      </w:r>
      <w:r w:rsidR="004C24AD" w:rsidRPr="00A82DA8">
        <w:rPr>
          <w:sz w:val="24"/>
        </w:rPr>
        <w:t xml:space="preserve">on the trustees </w:t>
      </w:r>
      <w:r w:rsidR="006C228E" w:rsidRPr="00A82DA8">
        <w:rPr>
          <w:sz w:val="24"/>
        </w:rPr>
        <w:t xml:space="preserve">to act fairly in accordance with the tenets of natural justice came about consensually when Bae Estates was allowed to practice its occupation or profession </w:t>
      </w:r>
      <w:r w:rsidR="004C24AD" w:rsidRPr="00A82DA8">
        <w:rPr>
          <w:sz w:val="24"/>
        </w:rPr>
        <w:t xml:space="preserve">in the scheme </w:t>
      </w:r>
      <w:r w:rsidR="006C228E" w:rsidRPr="00A82DA8">
        <w:rPr>
          <w:sz w:val="24"/>
        </w:rPr>
        <w:t>for over a year without hindrance. It is common cause that the decision under review was taken without affording Bae Estates a hearing in circumstances where Bae Estates was not responsible for short-term leases</w:t>
      </w:r>
      <w:r w:rsidR="00722A00" w:rsidRPr="00A82DA8">
        <w:rPr>
          <w:sz w:val="24"/>
        </w:rPr>
        <w:t xml:space="preserve"> in the scheme</w:t>
      </w:r>
      <w:r w:rsidR="006C228E" w:rsidRPr="00A82DA8">
        <w:rPr>
          <w:sz w:val="24"/>
        </w:rPr>
        <w:t>.</w:t>
      </w:r>
    </w:p>
    <w:p w14:paraId="3DCE762B" w14:textId="2C02AFF0" w:rsidR="006C228E" w:rsidRPr="00D07D58" w:rsidRDefault="00D07D58" w:rsidP="00D07D58">
      <w:pPr>
        <w:spacing w:line="360" w:lineRule="auto"/>
        <w:jc w:val="both"/>
        <w:rPr>
          <w:sz w:val="24"/>
        </w:rPr>
      </w:pPr>
      <w:r w:rsidRPr="00A82DA8">
        <w:rPr>
          <w:rFonts w:eastAsia="Times New Roman"/>
          <w:sz w:val="24"/>
          <w:szCs w:val="24"/>
        </w:rPr>
        <w:t>[44]</w:t>
      </w:r>
      <w:r w:rsidRPr="00A82DA8">
        <w:rPr>
          <w:rFonts w:eastAsia="Times New Roman"/>
          <w:sz w:val="24"/>
          <w:szCs w:val="24"/>
        </w:rPr>
        <w:tab/>
      </w:r>
      <w:r w:rsidR="00310B7C" w:rsidRPr="00D07D58">
        <w:rPr>
          <w:sz w:val="24"/>
        </w:rPr>
        <w:t>As already stated, i</w:t>
      </w:r>
      <w:r w:rsidR="006C228E" w:rsidRPr="00D07D58">
        <w:rPr>
          <w:sz w:val="24"/>
        </w:rPr>
        <w:t>n this Court the trustees accepted that Bae Estates was not responsible for the short-term letting</w:t>
      </w:r>
      <w:r w:rsidR="00310B7C" w:rsidRPr="00D07D58">
        <w:rPr>
          <w:sz w:val="24"/>
        </w:rPr>
        <w:t xml:space="preserve"> in the scheme</w:t>
      </w:r>
      <w:r w:rsidR="006C228E" w:rsidRPr="00D07D58">
        <w:rPr>
          <w:sz w:val="24"/>
        </w:rPr>
        <w:t>. This notwithstanding, the trustees contended that they acted perfectly within their rights in prohibiting Bae</w:t>
      </w:r>
      <w:r w:rsidR="000C0A17" w:rsidRPr="00D07D58">
        <w:rPr>
          <w:sz w:val="24"/>
        </w:rPr>
        <w:t xml:space="preserve"> </w:t>
      </w:r>
      <w:r w:rsidR="006C228E" w:rsidRPr="00D07D58">
        <w:rPr>
          <w:sz w:val="24"/>
        </w:rPr>
        <w:t xml:space="preserve">Estates from operating </w:t>
      </w:r>
      <w:r w:rsidR="000C0A17" w:rsidRPr="00D07D58">
        <w:rPr>
          <w:sz w:val="24"/>
        </w:rPr>
        <w:t xml:space="preserve">in the scheme </w:t>
      </w:r>
      <w:r w:rsidR="006C228E" w:rsidRPr="00D07D58">
        <w:rPr>
          <w:sz w:val="24"/>
        </w:rPr>
        <w:t xml:space="preserve">despite the fact that Bae Estates was not afforded an opportunity to be heard. The trustees sought to justify their conduct purely on the grounds that Bae Estates was neither an owner nor a member </w:t>
      </w:r>
      <w:r w:rsidR="005D3512" w:rsidRPr="00D07D58">
        <w:rPr>
          <w:sz w:val="24"/>
        </w:rPr>
        <w:t>in the scheme</w:t>
      </w:r>
      <w:r w:rsidR="000C0A17" w:rsidRPr="00D07D58">
        <w:rPr>
          <w:sz w:val="24"/>
        </w:rPr>
        <w:t>,</w:t>
      </w:r>
      <w:r w:rsidR="005D3512" w:rsidRPr="00D07D58">
        <w:rPr>
          <w:sz w:val="24"/>
        </w:rPr>
        <w:t xml:space="preserve"> </w:t>
      </w:r>
      <w:r w:rsidR="006C228E" w:rsidRPr="00D07D58">
        <w:rPr>
          <w:sz w:val="24"/>
        </w:rPr>
        <w:t>in which event they would have been obliged to afford Bae Estates a hearing.</w:t>
      </w:r>
    </w:p>
    <w:p w14:paraId="34983034" w14:textId="77777777" w:rsidR="006C228E" w:rsidRPr="00A82DA8" w:rsidRDefault="006C228E" w:rsidP="006C228E">
      <w:pPr>
        <w:spacing w:line="360" w:lineRule="auto"/>
        <w:jc w:val="both"/>
        <w:rPr>
          <w:sz w:val="24"/>
        </w:rPr>
      </w:pPr>
    </w:p>
    <w:p w14:paraId="4D7E19E6" w14:textId="68176F1A" w:rsidR="006C228E" w:rsidRPr="00A82DA8" w:rsidRDefault="00D07D58" w:rsidP="00D07D58">
      <w:pPr>
        <w:widowControl/>
        <w:autoSpaceDE/>
        <w:autoSpaceDN/>
        <w:adjustRightInd/>
        <w:spacing w:after="360" w:line="360" w:lineRule="auto"/>
        <w:jc w:val="both"/>
        <w:rPr>
          <w:bCs/>
          <w:szCs w:val="24"/>
        </w:rPr>
      </w:pPr>
      <w:r w:rsidRPr="00A82DA8">
        <w:rPr>
          <w:rFonts w:eastAsia="Times New Roman"/>
          <w:bCs/>
          <w:sz w:val="24"/>
          <w:szCs w:val="24"/>
        </w:rPr>
        <w:lastRenderedPageBreak/>
        <w:t>[45]</w:t>
      </w:r>
      <w:r w:rsidRPr="00A82DA8">
        <w:rPr>
          <w:rFonts w:eastAsia="Times New Roman"/>
          <w:bCs/>
          <w:sz w:val="24"/>
          <w:szCs w:val="24"/>
        </w:rPr>
        <w:tab/>
      </w:r>
      <w:r w:rsidR="006C228E" w:rsidRPr="00A82DA8">
        <w:rPr>
          <w:sz w:val="24"/>
        </w:rPr>
        <w:t xml:space="preserve">The contentions advanced by the trustees entirely overlook the fact that before their decision to bar Bae Estates from operating within the scheme the latter had in pursuit of its occupation or profession enjoyed such right for over a year without hindrance. For the trustees to now contend that they were entitled, without rhyme or reason as it turned out, to deny Bae Estates the right to continue servicing its clients </w:t>
      </w:r>
      <w:r w:rsidR="008641FD" w:rsidRPr="00A82DA8">
        <w:rPr>
          <w:sz w:val="24"/>
        </w:rPr>
        <w:t xml:space="preserve">in the scheme </w:t>
      </w:r>
      <w:r w:rsidR="006C228E" w:rsidRPr="00A82DA8">
        <w:rPr>
          <w:sz w:val="24"/>
        </w:rPr>
        <w:t xml:space="preserve">without affording Bae Estates a hearing is manifestly untenable. </w:t>
      </w:r>
    </w:p>
    <w:p w14:paraId="79B472AE" w14:textId="1B1DFA48" w:rsidR="009B7B01" w:rsidRPr="006C228E" w:rsidRDefault="00D07D58" w:rsidP="00D07D58">
      <w:pPr>
        <w:widowControl/>
        <w:autoSpaceDE/>
        <w:autoSpaceDN/>
        <w:adjustRightInd/>
        <w:spacing w:after="360" w:line="360" w:lineRule="auto"/>
        <w:jc w:val="both"/>
        <w:rPr>
          <w:bCs/>
          <w:sz w:val="24"/>
          <w:szCs w:val="24"/>
        </w:rPr>
      </w:pPr>
      <w:r w:rsidRPr="006C228E">
        <w:rPr>
          <w:rFonts w:eastAsia="Times New Roman"/>
          <w:bCs/>
          <w:sz w:val="24"/>
          <w:szCs w:val="24"/>
        </w:rPr>
        <w:t>[46]</w:t>
      </w:r>
      <w:r w:rsidRPr="006C228E">
        <w:rPr>
          <w:rFonts w:eastAsia="Times New Roman"/>
          <w:bCs/>
          <w:sz w:val="24"/>
          <w:szCs w:val="24"/>
        </w:rPr>
        <w:tab/>
      </w:r>
      <w:r w:rsidR="008641FD" w:rsidRPr="00A82DA8">
        <w:rPr>
          <w:bCs/>
          <w:sz w:val="24"/>
          <w:szCs w:val="24"/>
        </w:rPr>
        <w:t>T</w:t>
      </w:r>
      <w:r w:rsidR="00504807" w:rsidRPr="006C228E">
        <w:rPr>
          <w:bCs/>
          <w:sz w:val="24"/>
          <w:szCs w:val="24"/>
        </w:rPr>
        <w:t>he</w:t>
      </w:r>
      <w:r w:rsidR="00DC27C6" w:rsidRPr="006C228E">
        <w:rPr>
          <w:bCs/>
          <w:sz w:val="24"/>
          <w:szCs w:val="24"/>
        </w:rPr>
        <w:t xml:space="preserve"> trustees’</w:t>
      </w:r>
      <w:r w:rsidR="00504807" w:rsidRPr="006C228E">
        <w:rPr>
          <w:bCs/>
          <w:sz w:val="24"/>
          <w:szCs w:val="24"/>
        </w:rPr>
        <w:t xml:space="preserve"> decision </w:t>
      </w:r>
      <w:r w:rsidR="00DC27C6" w:rsidRPr="006C228E">
        <w:rPr>
          <w:bCs/>
          <w:sz w:val="24"/>
          <w:szCs w:val="24"/>
        </w:rPr>
        <w:t xml:space="preserve">is </w:t>
      </w:r>
      <w:r w:rsidR="00504807" w:rsidRPr="006C228E">
        <w:rPr>
          <w:bCs/>
          <w:sz w:val="24"/>
          <w:szCs w:val="24"/>
        </w:rPr>
        <w:t xml:space="preserve">admittedly: (a) </w:t>
      </w:r>
      <w:r w:rsidR="009B09D8" w:rsidRPr="006C228E">
        <w:rPr>
          <w:bCs/>
          <w:sz w:val="24"/>
          <w:szCs w:val="24"/>
        </w:rPr>
        <w:t>procedurally unfair</w:t>
      </w:r>
      <w:r w:rsidR="00C93322" w:rsidRPr="006C228E">
        <w:rPr>
          <w:bCs/>
          <w:sz w:val="24"/>
          <w:szCs w:val="24"/>
        </w:rPr>
        <w:t xml:space="preserve"> and unreasonable</w:t>
      </w:r>
      <w:r w:rsidR="00504807" w:rsidRPr="006C228E">
        <w:rPr>
          <w:bCs/>
          <w:sz w:val="24"/>
          <w:szCs w:val="24"/>
        </w:rPr>
        <w:t xml:space="preserve">; (b) </w:t>
      </w:r>
      <w:r w:rsidR="009B09D8" w:rsidRPr="006C228E">
        <w:rPr>
          <w:bCs/>
          <w:sz w:val="24"/>
          <w:szCs w:val="24"/>
        </w:rPr>
        <w:t>without any justifiable basis</w:t>
      </w:r>
      <w:r w:rsidR="00C93322" w:rsidRPr="006C228E">
        <w:rPr>
          <w:bCs/>
          <w:sz w:val="24"/>
          <w:szCs w:val="24"/>
        </w:rPr>
        <w:t xml:space="preserve"> and thus irrational</w:t>
      </w:r>
      <w:r w:rsidR="00504807" w:rsidRPr="006C228E">
        <w:rPr>
          <w:bCs/>
          <w:sz w:val="24"/>
          <w:szCs w:val="24"/>
        </w:rPr>
        <w:t xml:space="preserve">; (c) </w:t>
      </w:r>
      <w:r w:rsidR="00DC27C6" w:rsidRPr="006C228E">
        <w:rPr>
          <w:bCs/>
          <w:sz w:val="24"/>
          <w:szCs w:val="24"/>
        </w:rPr>
        <w:t xml:space="preserve">in </w:t>
      </w:r>
      <w:r w:rsidR="009B09D8" w:rsidRPr="006C228E">
        <w:rPr>
          <w:bCs/>
          <w:sz w:val="24"/>
          <w:szCs w:val="24"/>
        </w:rPr>
        <w:t>breach</w:t>
      </w:r>
      <w:r w:rsidR="00DC27C6" w:rsidRPr="006C228E">
        <w:rPr>
          <w:bCs/>
          <w:sz w:val="24"/>
          <w:szCs w:val="24"/>
        </w:rPr>
        <w:t xml:space="preserve"> of </w:t>
      </w:r>
      <w:r w:rsidR="009B09D8" w:rsidRPr="006C228E">
        <w:rPr>
          <w:bCs/>
          <w:sz w:val="24"/>
          <w:szCs w:val="24"/>
        </w:rPr>
        <w:t>the principles of natural justice</w:t>
      </w:r>
      <w:r w:rsidR="00504807" w:rsidRPr="006C228E">
        <w:rPr>
          <w:bCs/>
          <w:sz w:val="24"/>
          <w:szCs w:val="24"/>
        </w:rPr>
        <w:t>;</w:t>
      </w:r>
      <w:r w:rsidR="00C93322" w:rsidRPr="006C228E">
        <w:rPr>
          <w:bCs/>
          <w:sz w:val="24"/>
          <w:szCs w:val="24"/>
        </w:rPr>
        <w:t xml:space="preserve"> </w:t>
      </w:r>
      <w:r w:rsidR="002230F5" w:rsidRPr="006C228E">
        <w:rPr>
          <w:bCs/>
          <w:sz w:val="24"/>
          <w:szCs w:val="24"/>
        </w:rPr>
        <w:t>and (</w:t>
      </w:r>
      <w:r w:rsidR="00A778E7" w:rsidRPr="00D01D58">
        <w:rPr>
          <w:bCs/>
          <w:sz w:val="24"/>
          <w:szCs w:val="24"/>
        </w:rPr>
        <w:t>d</w:t>
      </w:r>
      <w:r w:rsidR="002230F5" w:rsidRPr="006C228E">
        <w:rPr>
          <w:bCs/>
          <w:sz w:val="24"/>
          <w:szCs w:val="24"/>
        </w:rPr>
        <w:t xml:space="preserve">) </w:t>
      </w:r>
      <w:r w:rsidR="00391917" w:rsidRPr="006C228E">
        <w:rPr>
          <w:bCs/>
          <w:sz w:val="24"/>
          <w:szCs w:val="24"/>
        </w:rPr>
        <w:t xml:space="preserve">most importantly, </w:t>
      </w:r>
      <w:r w:rsidR="002230F5" w:rsidRPr="006C228E">
        <w:rPr>
          <w:bCs/>
          <w:sz w:val="24"/>
          <w:szCs w:val="24"/>
        </w:rPr>
        <w:t>unjust.</w:t>
      </w:r>
      <w:r w:rsidR="00DC27C6" w:rsidRPr="006C228E">
        <w:rPr>
          <w:bCs/>
          <w:sz w:val="24"/>
          <w:szCs w:val="24"/>
        </w:rPr>
        <w:t xml:space="preserve"> The trustees’ decision is </w:t>
      </w:r>
      <w:r w:rsidR="00DC27C6" w:rsidRPr="006C228E">
        <w:rPr>
          <w:color w:val="242121"/>
          <w:sz w:val="24"/>
          <w:szCs w:val="24"/>
          <w:shd w:val="clear" w:color="auto" w:fill="FFFFFF"/>
        </w:rPr>
        <w:t xml:space="preserve">so unfair that </w:t>
      </w:r>
      <w:r w:rsidR="009737CF" w:rsidRPr="006C228E">
        <w:rPr>
          <w:color w:val="242121"/>
          <w:sz w:val="24"/>
          <w:szCs w:val="24"/>
          <w:shd w:val="clear" w:color="auto" w:fill="FFFFFF"/>
        </w:rPr>
        <w:t>‘</w:t>
      </w:r>
      <w:r w:rsidR="00DC27C6" w:rsidRPr="006C228E">
        <w:rPr>
          <w:color w:val="242121"/>
          <w:sz w:val="24"/>
          <w:szCs w:val="24"/>
          <w:shd w:val="clear" w:color="auto" w:fill="FFFFFF"/>
        </w:rPr>
        <w:t xml:space="preserve">it cannot be explained unless it is presumed that </w:t>
      </w:r>
      <w:r w:rsidR="00DC27C6" w:rsidRPr="00FE5E82">
        <w:rPr>
          <w:color w:val="242121"/>
          <w:sz w:val="24"/>
          <w:szCs w:val="24"/>
          <w:shd w:val="clear" w:color="auto" w:fill="FFFFFF"/>
        </w:rPr>
        <w:t>they</w:t>
      </w:r>
      <w:r w:rsidR="00DC27C6" w:rsidRPr="006C228E">
        <w:rPr>
          <w:color w:val="242121"/>
          <w:sz w:val="24"/>
          <w:szCs w:val="24"/>
          <w:shd w:val="clear" w:color="auto" w:fill="FFFFFF"/>
        </w:rPr>
        <w:t xml:space="preserve"> acted capriciously or with mala fides</w:t>
      </w:r>
      <w:r w:rsidR="002F5544" w:rsidRPr="006C228E">
        <w:rPr>
          <w:color w:val="242121"/>
          <w:sz w:val="24"/>
          <w:szCs w:val="24"/>
          <w:shd w:val="clear" w:color="auto" w:fill="FFFFFF"/>
        </w:rPr>
        <w:t>’</w:t>
      </w:r>
      <w:r w:rsidR="00DC27C6" w:rsidRPr="006C228E">
        <w:rPr>
          <w:i/>
          <w:iCs/>
          <w:color w:val="242121"/>
          <w:sz w:val="24"/>
          <w:szCs w:val="24"/>
          <w:shd w:val="clear" w:color="auto" w:fill="FFFFFF"/>
        </w:rPr>
        <w:t>.</w:t>
      </w:r>
      <w:r w:rsidR="009737CF" w:rsidRPr="006C228E">
        <w:rPr>
          <w:color w:val="242121"/>
          <w:sz w:val="24"/>
          <w:szCs w:val="24"/>
          <w:shd w:val="clear" w:color="auto" w:fill="FFFFFF"/>
        </w:rPr>
        <w:t xml:space="preserve"> This is buttressed by the conduct of one of the trustees, </w:t>
      </w:r>
      <w:r w:rsidR="009737CF" w:rsidRPr="006C228E">
        <w:rPr>
          <w:bCs/>
          <w:sz w:val="24"/>
          <w:szCs w:val="24"/>
        </w:rPr>
        <w:t>Mr Graham Cowburn, who is an estate agent with Dogon Group Pro</w:t>
      </w:r>
      <w:r w:rsidR="009B7B01" w:rsidRPr="006C228E">
        <w:rPr>
          <w:bCs/>
          <w:sz w:val="24"/>
          <w:szCs w:val="24"/>
        </w:rPr>
        <w:t>perties</w:t>
      </w:r>
      <w:r w:rsidR="009737CF" w:rsidRPr="006C228E">
        <w:rPr>
          <w:bCs/>
          <w:sz w:val="24"/>
          <w:szCs w:val="24"/>
        </w:rPr>
        <w:t xml:space="preserve">. His company is </w:t>
      </w:r>
      <w:r w:rsidR="008C5B06" w:rsidRPr="006C228E">
        <w:rPr>
          <w:bCs/>
          <w:sz w:val="24"/>
          <w:szCs w:val="24"/>
        </w:rPr>
        <w:t xml:space="preserve">thus </w:t>
      </w:r>
      <w:r w:rsidR="009737CF" w:rsidRPr="006C228E">
        <w:rPr>
          <w:bCs/>
          <w:sz w:val="24"/>
          <w:szCs w:val="24"/>
        </w:rPr>
        <w:t xml:space="preserve">a direct competitor of Bae Estates. </w:t>
      </w:r>
      <w:r w:rsidR="009737CF" w:rsidRPr="006C228E">
        <w:rPr>
          <w:color w:val="242121"/>
          <w:sz w:val="24"/>
          <w:szCs w:val="24"/>
          <w:shd w:val="clear" w:color="auto" w:fill="FFFFFF"/>
        </w:rPr>
        <w:t xml:space="preserve"> </w:t>
      </w:r>
    </w:p>
    <w:p w14:paraId="1AA06D28" w14:textId="557F9903" w:rsidR="00C93322" w:rsidRDefault="00D07D58" w:rsidP="00D07D58">
      <w:pPr>
        <w:widowControl/>
        <w:autoSpaceDE/>
        <w:autoSpaceDN/>
        <w:adjustRightInd/>
        <w:spacing w:after="360" w:line="360" w:lineRule="auto"/>
        <w:jc w:val="both"/>
        <w:rPr>
          <w:bCs/>
          <w:sz w:val="24"/>
          <w:szCs w:val="24"/>
        </w:rPr>
      </w:pPr>
      <w:r>
        <w:rPr>
          <w:rFonts w:eastAsia="Times New Roman"/>
          <w:bCs/>
          <w:sz w:val="24"/>
          <w:szCs w:val="24"/>
        </w:rPr>
        <w:t>[47]</w:t>
      </w:r>
      <w:r>
        <w:rPr>
          <w:rFonts w:eastAsia="Times New Roman"/>
          <w:bCs/>
          <w:sz w:val="24"/>
          <w:szCs w:val="24"/>
        </w:rPr>
        <w:tab/>
      </w:r>
      <w:r w:rsidR="00504807" w:rsidRPr="009B7B01">
        <w:rPr>
          <w:bCs/>
          <w:sz w:val="24"/>
          <w:szCs w:val="24"/>
        </w:rPr>
        <w:t xml:space="preserve">On 22 May 2019, a day after the decision was taken to prohibit Bae Estates from operating in the scheme, Mr Cowburn addressed an email to the </w:t>
      </w:r>
      <w:r w:rsidR="009737CF" w:rsidRPr="009B7B01">
        <w:rPr>
          <w:bCs/>
          <w:sz w:val="24"/>
          <w:szCs w:val="24"/>
        </w:rPr>
        <w:t xml:space="preserve">property </w:t>
      </w:r>
      <w:r w:rsidR="00504807" w:rsidRPr="009B7B01">
        <w:rPr>
          <w:bCs/>
          <w:sz w:val="24"/>
          <w:szCs w:val="24"/>
        </w:rPr>
        <w:t>owner</w:t>
      </w:r>
      <w:r w:rsidR="009737CF" w:rsidRPr="009B7B01">
        <w:rPr>
          <w:bCs/>
          <w:sz w:val="24"/>
          <w:szCs w:val="24"/>
        </w:rPr>
        <w:t>, in which he suggested to the owner to</w:t>
      </w:r>
      <w:r w:rsidR="00504807" w:rsidRPr="009B7B01">
        <w:rPr>
          <w:bCs/>
          <w:sz w:val="24"/>
          <w:szCs w:val="24"/>
        </w:rPr>
        <w:t xml:space="preserve"> give </w:t>
      </w:r>
      <w:r w:rsidR="009737CF" w:rsidRPr="009B7B01">
        <w:rPr>
          <w:bCs/>
          <w:sz w:val="24"/>
          <w:szCs w:val="24"/>
        </w:rPr>
        <w:t xml:space="preserve">the mandate to find a tenant, to </w:t>
      </w:r>
      <w:r w:rsidR="00504807" w:rsidRPr="009B7B01">
        <w:rPr>
          <w:bCs/>
          <w:sz w:val="24"/>
          <w:szCs w:val="24"/>
        </w:rPr>
        <w:t>his company</w:t>
      </w:r>
      <w:r w:rsidR="009737CF" w:rsidRPr="009B7B01">
        <w:rPr>
          <w:bCs/>
          <w:sz w:val="24"/>
          <w:szCs w:val="24"/>
        </w:rPr>
        <w:t>.</w:t>
      </w:r>
      <w:r w:rsidR="00504807" w:rsidRPr="009B7B01">
        <w:rPr>
          <w:bCs/>
          <w:sz w:val="24"/>
          <w:szCs w:val="24"/>
        </w:rPr>
        <w:t xml:space="preserve"> This is a clear conflict of interest</w:t>
      </w:r>
      <w:r w:rsidR="009737CF" w:rsidRPr="009B7B01">
        <w:rPr>
          <w:bCs/>
          <w:sz w:val="24"/>
          <w:szCs w:val="24"/>
        </w:rPr>
        <w:t>.</w:t>
      </w:r>
      <w:r w:rsidR="00504807" w:rsidRPr="009B7B01">
        <w:rPr>
          <w:bCs/>
          <w:sz w:val="24"/>
          <w:szCs w:val="24"/>
        </w:rPr>
        <w:t xml:space="preserve"> Mr Cowburn</w:t>
      </w:r>
      <w:r w:rsidR="009737CF" w:rsidRPr="009B7B01">
        <w:rPr>
          <w:bCs/>
          <w:sz w:val="24"/>
          <w:szCs w:val="24"/>
        </w:rPr>
        <w:t xml:space="preserve">, having been part of the decision to prohibit Bae Estates from operating in the scheme, immediately </w:t>
      </w:r>
      <w:r w:rsidR="00504807" w:rsidRPr="009B7B01">
        <w:rPr>
          <w:bCs/>
          <w:sz w:val="24"/>
          <w:szCs w:val="24"/>
        </w:rPr>
        <w:t>sought to benefit</w:t>
      </w:r>
      <w:r w:rsidR="009737CF" w:rsidRPr="009B7B01">
        <w:rPr>
          <w:bCs/>
          <w:sz w:val="24"/>
          <w:szCs w:val="24"/>
        </w:rPr>
        <w:t xml:space="preserve"> his company</w:t>
      </w:r>
      <w:r w:rsidR="00504807" w:rsidRPr="009B7B01">
        <w:rPr>
          <w:bCs/>
          <w:sz w:val="24"/>
          <w:szCs w:val="24"/>
        </w:rPr>
        <w:t xml:space="preserve"> from the latter’s ‘banning’</w:t>
      </w:r>
      <w:r w:rsidR="009737CF" w:rsidRPr="009B7B01">
        <w:rPr>
          <w:bCs/>
          <w:sz w:val="24"/>
          <w:szCs w:val="24"/>
        </w:rPr>
        <w:t>.</w:t>
      </w:r>
      <w:r w:rsidR="00C93322" w:rsidRPr="009B7B01">
        <w:rPr>
          <w:b/>
          <w:sz w:val="24"/>
          <w:szCs w:val="24"/>
        </w:rPr>
        <w:t xml:space="preserve"> </w:t>
      </w:r>
      <w:r w:rsidR="00C93322" w:rsidRPr="009B7B01">
        <w:rPr>
          <w:bCs/>
          <w:sz w:val="24"/>
          <w:szCs w:val="24"/>
        </w:rPr>
        <w:t>Earlier, on 17 May 2019, he had enthusiastically agitated for Bae Estates’ prohibition from the scheme with a curt ‘Ban them!’</w:t>
      </w:r>
      <w:r w:rsidR="009F6EBC">
        <w:rPr>
          <w:bCs/>
          <w:sz w:val="24"/>
          <w:szCs w:val="24"/>
        </w:rPr>
        <w:t>.</w:t>
      </w:r>
    </w:p>
    <w:p w14:paraId="17885965" w14:textId="65A06640" w:rsidR="00B05E07" w:rsidRPr="005E209A" w:rsidRDefault="00D07D58" w:rsidP="00D07D58">
      <w:pPr>
        <w:widowControl/>
        <w:autoSpaceDE/>
        <w:autoSpaceDN/>
        <w:adjustRightInd/>
        <w:spacing w:line="360" w:lineRule="auto"/>
        <w:jc w:val="both"/>
        <w:rPr>
          <w:rFonts w:eastAsia="Times New Roman"/>
          <w:sz w:val="24"/>
          <w:szCs w:val="24"/>
        </w:rPr>
      </w:pPr>
      <w:r w:rsidRPr="005E209A">
        <w:rPr>
          <w:rFonts w:eastAsia="Times New Roman"/>
          <w:sz w:val="24"/>
          <w:szCs w:val="24"/>
        </w:rPr>
        <w:t>[48]</w:t>
      </w:r>
      <w:r w:rsidRPr="005E209A">
        <w:rPr>
          <w:rFonts w:eastAsia="Times New Roman"/>
          <w:sz w:val="24"/>
          <w:szCs w:val="24"/>
        </w:rPr>
        <w:tab/>
      </w:r>
      <w:r w:rsidR="00C67DBE" w:rsidRPr="00C2423D">
        <w:rPr>
          <w:sz w:val="24"/>
          <w:szCs w:val="24"/>
        </w:rPr>
        <w:t>Should the trustees’ stance prevail</w:t>
      </w:r>
      <w:r w:rsidR="008C5B06">
        <w:rPr>
          <w:sz w:val="24"/>
          <w:szCs w:val="24"/>
        </w:rPr>
        <w:t xml:space="preserve"> in these circumstances</w:t>
      </w:r>
      <w:r w:rsidR="00C67DBE" w:rsidRPr="00C2423D">
        <w:rPr>
          <w:sz w:val="24"/>
          <w:szCs w:val="24"/>
        </w:rPr>
        <w:t xml:space="preserve">, it would mean that </w:t>
      </w:r>
      <w:r w:rsidR="002230F5" w:rsidRPr="00C2423D">
        <w:rPr>
          <w:sz w:val="24"/>
          <w:szCs w:val="24"/>
        </w:rPr>
        <w:t xml:space="preserve">the </w:t>
      </w:r>
      <w:r w:rsidR="00C67DBE" w:rsidRPr="00C2423D">
        <w:rPr>
          <w:sz w:val="24"/>
          <w:szCs w:val="24"/>
        </w:rPr>
        <w:t>court</w:t>
      </w:r>
      <w:r w:rsidR="002230F5" w:rsidRPr="00C2423D">
        <w:rPr>
          <w:sz w:val="24"/>
          <w:szCs w:val="24"/>
        </w:rPr>
        <w:t xml:space="preserve">’s hands are tied </w:t>
      </w:r>
      <w:r w:rsidR="00B10756" w:rsidRPr="00C2423D">
        <w:rPr>
          <w:sz w:val="24"/>
          <w:szCs w:val="24"/>
        </w:rPr>
        <w:t>in the face of an injustice.</w:t>
      </w:r>
      <w:r w:rsidR="0034786F" w:rsidRPr="00C2423D">
        <w:rPr>
          <w:sz w:val="24"/>
          <w:szCs w:val="24"/>
        </w:rPr>
        <w:t xml:space="preserve"> </w:t>
      </w:r>
      <w:r w:rsidR="002230F5" w:rsidRPr="00C2423D">
        <w:rPr>
          <w:sz w:val="24"/>
          <w:szCs w:val="24"/>
        </w:rPr>
        <w:t xml:space="preserve">As remarked in </w:t>
      </w:r>
      <w:bookmarkStart w:id="44" w:name="_Hlk84298466"/>
      <w:r w:rsidR="00C2423D" w:rsidRPr="005E209A">
        <w:rPr>
          <w:i/>
          <w:iCs/>
          <w:sz w:val="24"/>
          <w:szCs w:val="24"/>
        </w:rPr>
        <w:t>Barkhuizen v Napier</w:t>
      </w:r>
      <w:r w:rsidR="00391917">
        <w:rPr>
          <w:sz w:val="24"/>
          <w:szCs w:val="24"/>
        </w:rPr>
        <w:t>,</w:t>
      </w:r>
      <w:r w:rsidR="00C2423D" w:rsidRPr="005E209A">
        <w:rPr>
          <w:rStyle w:val="FootnoteReference"/>
          <w:rFonts w:cs="Arial"/>
          <w:sz w:val="24"/>
          <w:szCs w:val="24"/>
        </w:rPr>
        <w:footnoteReference w:id="22"/>
      </w:r>
      <w:bookmarkEnd w:id="44"/>
      <w:r w:rsidR="00C2423D">
        <w:rPr>
          <w:sz w:val="24"/>
          <w:szCs w:val="24"/>
        </w:rPr>
        <w:t xml:space="preserve"> </w:t>
      </w:r>
      <w:r w:rsidR="002230F5" w:rsidRPr="005E209A">
        <w:rPr>
          <w:color w:val="242121"/>
          <w:sz w:val="24"/>
          <w:szCs w:val="24"/>
          <w:shd w:val="clear" w:color="auto" w:fill="FFFFFF"/>
        </w:rPr>
        <w:t>the hands of justice can never be tied under our constitutional order.</w:t>
      </w:r>
      <w:r w:rsidR="00C2423D" w:rsidRPr="005E209A">
        <w:rPr>
          <w:color w:val="242121"/>
          <w:sz w:val="24"/>
          <w:szCs w:val="24"/>
          <w:shd w:val="clear" w:color="auto" w:fill="FFFFFF"/>
        </w:rPr>
        <w:t xml:space="preserve"> </w:t>
      </w:r>
      <w:r w:rsidR="0034786F" w:rsidRPr="00C2423D">
        <w:rPr>
          <w:sz w:val="24"/>
          <w:szCs w:val="24"/>
        </w:rPr>
        <w:t>T</w:t>
      </w:r>
      <w:r w:rsidR="00B10756" w:rsidRPr="00C2423D">
        <w:rPr>
          <w:sz w:val="24"/>
          <w:szCs w:val="24"/>
        </w:rPr>
        <w:t xml:space="preserve">hat would give the trustees a license to act with impunity by arbitrarily and whimsically prohibiting estate agents from operating </w:t>
      </w:r>
      <w:r w:rsidR="00137F39" w:rsidRPr="00C2423D">
        <w:rPr>
          <w:sz w:val="24"/>
          <w:szCs w:val="24"/>
        </w:rPr>
        <w:t xml:space="preserve">in the scheme. </w:t>
      </w:r>
      <w:r w:rsidR="00B10756" w:rsidRPr="00C2423D">
        <w:rPr>
          <w:sz w:val="24"/>
          <w:szCs w:val="24"/>
        </w:rPr>
        <w:t xml:space="preserve">Courts must endeavour to </w:t>
      </w:r>
      <w:r w:rsidR="00B10756" w:rsidRPr="00C2423D">
        <w:rPr>
          <w:sz w:val="24"/>
          <w:szCs w:val="24"/>
          <w:lang w:val="en-GB"/>
        </w:rPr>
        <w:t xml:space="preserve">do simple justice between </w:t>
      </w:r>
      <w:r w:rsidR="00B10756" w:rsidRPr="00A84866">
        <w:rPr>
          <w:sz w:val="24"/>
          <w:szCs w:val="24"/>
          <w:lang w:val="en-GB"/>
        </w:rPr>
        <w:t>parties</w:t>
      </w:r>
      <w:r w:rsidR="00137F39" w:rsidRPr="00A84866">
        <w:rPr>
          <w:sz w:val="24"/>
          <w:szCs w:val="24"/>
          <w:lang w:val="en-GB"/>
        </w:rPr>
        <w:t xml:space="preserve">. </w:t>
      </w:r>
      <w:r w:rsidR="00B05E07" w:rsidRPr="00A84866">
        <w:rPr>
          <w:sz w:val="24"/>
          <w:szCs w:val="24"/>
        </w:rPr>
        <w:t>Maripe</w:t>
      </w:r>
      <w:r w:rsidR="00B05E07" w:rsidRPr="00C2423D">
        <w:rPr>
          <w:sz w:val="24"/>
          <w:szCs w:val="24"/>
        </w:rPr>
        <w:t xml:space="preserve"> explains it well:</w:t>
      </w:r>
    </w:p>
    <w:p w14:paraId="64DA4491" w14:textId="77777777" w:rsidR="00C2423D" w:rsidRDefault="00B05E07" w:rsidP="00090D03">
      <w:pPr>
        <w:widowControl/>
        <w:autoSpaceDE/>
        <w:autoSpaceDN/>
        <w:adjustRightInd/>
        <w:spacing w:line="360" w:lineRule="auto"/>
        <w:jc w:val="both"/>
        <w:rPr>
          <w:bCs/>
          <w:sz w:val="24"/>
          <w:szCs w:val="24"/>
        </w:rPr>
      </w:pPr>
      <w:r w:rsidRPr="003C634D">
        <w:rPr>
          <w:bCs/>
        </w:rPr>
        <w:t>‘</w:t>
      </w:r>
      <w:r w:rsidRPr="003C634D">
        <w:t xml:space="preserve">The ends of justice should transcend the boundaries that so often restrain the courts, and it is the courts' responsibility, to rule against abuse of power and dispense justice in deserving </w:t>
      </w:r>
      <w:r w:rsidRPr="003C634D">
        <w:lastRenderedPageBreak/>
        <w:t>cases, and to lay down particular rules whose effect is to promote the exercise of power or discretion in regular fashion. Doing so in relation to decisions of private bodies would not involve a “quantum leap’’, but would rather prevent injustices in demonstrably deserving cases.’</w:t>
      </w:r>
      <w:r w:rsidRPr="003C634D">
        <w:rPr>
          <w:rStyle w:val="FootnoteReference"/>
          <w:rFonts w:cs="Arial"/>
          <w:sz w:val="24"/>
          <w:szCs w:val="24"/>
        </w:rPr>
        <w:footnoteReference w:id="23"/>
      </w:r>
      <w:r w:rsidR="0012494B">
        <w:rPr>
          <w:sz w:val="24"/>
          <w:szCs w:val="24"/>
        </w:rPr>
        <w:t xml:space="preserve"> </w:t>
      </w:r>
      <w:r w:rsidR="00337FFD" w:rsidRPr="00A7718C">
        <w:t>(</w:t>
      </w:r>
      <w:r w:rsidR="009472D1" w:rsidRPr="00A7718C">
        <w:t>F</w:t>
      </w:r>
      <w:r w:rsidR="00337FFD" w:rsidRPr="00A7718C">
        <w:t>ootnote omitted.)</w:t>
      </w:r>
    </w:p>
    <w:p w14:paraId="2A526992" w14:textId="32403E3D" w:rsidR="005669C7" w:rsidRPr="003C634D" w:rsidRDefault="00D07D58" w:rsidP="00D07D58">
      <w:pPr>
        <w:widowControl/>
        <w:autoSpaceDE/>
        <w:autoSpaceDN/>
        <w:adjustRightInd/>
        <w:spacing w:line="360" w:lineRule="auto"/>
        <w:jc w:val="both"/>
        <w:rPr>
          <w:bCs/>
          <w:sz w:val="24"/>
          <w:szCs w:val="24"/>
        </w:rPr>
      </w:pPr>
      <w:r w:rsidRPr="003C634D">
        <w:rPr>
          <w:rFonts w:eastAsia="Times New Roman"/>
          <w:bCs/>
          <w:sz w:val="24"/>
          <w:szCs w:val="24"/>
        </w:rPr>
        <w:t>[49]</w:t>
      </w:r>
      <w:r w:rsidRPr="003C634D">
        <w:rPr>
          <w:rFonts w:eastAsia="Times New Roman"/>
          <w:bCs/>
          <w:sz w:val="24"/>
          <w:szCs w:val="24"/>
        </w:rPr>
        <w:tab/>
      </w:r>
      <w:r w:rsidR="00DE7246" w:rsidRPr="003C634D">
        <w:rPr>
          <w:sz w:val="24"/>
          <w:szCs w:val="24"/>
        </w:rPr>
        <w:t>The facts of this case call to mind the English case of</w:t>
      </w:r>
      <w:r w:rsidR="00DE7246" w:rsidRPr="003C634D">
        <w:rPr>
          <w:i/>
          <w:iCs/>
          <w:sz w:val="24"/>
          <w:szCs w:val="24"/>
        </w:rPr>
        <w:t xml:space="preserve"> Breen v Amalgamated Engineering Union</w:t>
      </w:r>
      <w:r w:rsidR="00DE7246" w:rsidRPr="003C634D">
        <w:rPr>
          <w:sz w:val="24"/>
          <w:szCs w:val="24"/>
        </w:rPr>
        <w:t>.</w:t>
      </w:r>
      <w:r w:rsidR="00DE7246" w:rsidRPr="003C634D">
        <w:rPr>
          <w:rStyle w:val="FootnoteReference"/>
          <w:rFonts w:cs="Arial"/>
          <w:sz w:val="24"/>
          <w:szCs w:val="24"/>
        </w:rPr>
        <w:footnoteReference w:id="24"/>
      </w:r>
      <w:r w:rsidR="00DE7246" w:rsidRPr="003C634D">
        <w:rPr>
          <w:i/>
          <w:iCs/>
          <w:sz w:val="24"/>
          <w:szCs w:val="24"/>
        </w:rPr>
        <w:t xml:space="preserve"> </w:t>
      </w:r>
      <w:r w:rsidR="00DE7246" w:rsidRPr="003C634D">
        <w:rPr>
          <w:sz w:val="24"/>
          <w:szCs w:val="24"/>
        </w:rPr>
        <w:t>The case</w:t>
      </w:r>
      <w:r w:rsidR="00DE7246" w:rsidRPr="003C634D">
        <w:rPr>
          <w:i/>
          <w:iCs/>
          <w:sz w:val="24"/>
          <w:szCs w:val="24"/>
        </w:rPr>
        <w:t xml:space="preserve"> </w:t>
      </w:r>
      <w:r w:rsidR="00DE7246" w:rsidRPr="003C634D">
        <w:rPr>
          <w:sz w:val="24"/>
          <w:szCs w:val="24"/>
        </w:rPr>
        <w:t>concerned an application to review the decision of a committee of a trade union, which admittedly was made in circumstances of utmost bad faith. But the remedy for judicial review was denied because the union was a private body and not the subject of judicial review. The majority acknowledged the injustice, but considered their hands bound. Edmund Davis LJ, writing for the majority, lamented the result in the introductory paragraph of his judgment at 194:</w:t>
      </w:r>
    </w:p>
    <w:p w14:paraId="36A8E02E" w14:textId="77777777" w:rsidR="005669C7" w:rsidRPr="003C634D" w:rsidRDefault="00DE7246" w:rsidP="00327738">
      <w:pPr>
        <w:widowControl/>
        <w:autoSpaceDE/>
        <w:autoSpaceDN/>
        <w:adjustRightInd/>
        <w:spacing w:after="360" w:line="360" w:lineRule="auto"/>
        <w:jc w:val="both"/>
        <w:rPr>
          <w:bCs/>
        </w:rPr>
      </w:pPr>
      <w:r w:rsidRPr="003C634D">
        <w:t>‘I entertain substantial doubts that the judgment I am about to deliver will serve the ends of justice. That is</w:t>
      </w:r>
      <w:r w:rsidR="00354DE3">
        <w:t>,</w:t>
      </w:r>
      <w:r w:rsidRPr="003C634D">
        <w:t xml:space="preserve"> to say the least, a most regrettable situation for any judge, but I see no escape from it. Its effect is to throw away empty-handed from this court an appellant who, on any view, has been grossly abused. It is therefore a judgment which gives me no satisfaction </w:t>
      </w:r>
      <w:r w:rsidRPr="00D564D5">
        <w:t>to deliver.’</w:t>
      </w:r>
    </w:p>
    <w:p w14:paraId="07AD0BE6" w14:textId="2F45F994" w:rsidR="0034716E" w:rsidRPr="006565BC" w:rsidRDefault="00D07D58" w:rsidP="00D07D58">
      <w:pPr>
        <w:widowControl/>
        <w:autoSpaceDE/>
        <w:autoSpaceDN/>
        <w:adjustRightInd/>
        <w:spacing w:after="480" w:line="360" w:lineRule="auto"/>
        <w:jc w:val="both"/>
        <w:rPr>
          <w:bCs/>
          <w:sz w:val="24"/>
          <w:szCs w:val="24"/>
        </w:rPr>
      </w:pPr>
      <w:r w:rsidRPr="006565BC">
        <w:rPr>
          <w:rFonts w:eastAsia="Times New Roman"/>
          <w:bCs/>
          <w:sz w:val="24"/>
          <w:szCs w:val="24"/>
        </w:rPr>
        <w:t>[50]</w:t>
      </w:r>
      <w:r w:rsidRPr="006565BC">
        <w:rPr>
          <w:rFonts w:eastAsia="Times New Roman"/>
          <w:bCs/>
          <w:sz w:val="24"/>
          <w:szCs w:val="24"/>
        </w:rPr>
        <w:tab/>
      </w:r>
      <w:r w:rsidR="00E805CE">
        <w:rPr>
          <w:sz w:val="24"/>
          <w:szCs w:val="24"/>
          <w:lang w:val="en-GB"/>
        </w:rPr>
        <w:t xml:space="preserve">Fortunately, the </w:t>
      </w:r>
      <w:r w:rsidR="009B7B01">
        <w:rPr>
          <w:sz w:val="24"/>
          <w:szCs w:val="24"/>
          <w:lang w:val="en-GB"/>
        </w:rPr>
        <w:t>constraints</w:t>
      </w:r>
      <w:r w:rsidR="00E805CE">
        <w:rPr>
          <w:sz w:val="24"/>
          <w:szCs w:val="24"/>
          <w:lang w:val="en-GB"/>
        </w:rPr>
        <w:t xml:space="preserve"> </w:t>
      </w:r>
      <w:r w:rsidR="009B7B01">
        <w:rPr>
          <w:sz w:val="24"/>
          <w:szCs w:val="24"/>
          <w:lang w:val="en-GB"/>
        </w:rPr>
        <w:t>w</w:t>
      </w:r>
      <w:r w:rsidR="00EE3E14">
        <w:rPr>
          <w:sz w:val="24"/>
          <w:szCs w:val="24"/>
          <w:lang w:val="en-GB"/>
        </w:rPr>
        <w:t>hich inhibited</w:t>
      </w:r>
      <w:r w:rsidR="009B7B01">
        <w:rPr>
          <w:sz w:val="24"/>
          <w:szCs w:val="24"/>
          <w:lang w:val="en-GB"/>
        </w:rPr>
        <w:t xml:space="preserve"> </w:t>
      </w:r>
      <w:r w:rsidR="00E805CE">
        <w:rPr>
          <w:sz w:val="24"/>
          <w:szCs w:val="24"/>
          <w:lang w:val="en-GB"/>
        </w:rPr>
        <w:t>Edmund Davis LJ</w:t>
      </w:r>
      <w:r w:rsidR="009B7B01">
        <w:rPr>
          <w:sz w:val="24"/>
          <w:szCs w:val="24"/>
          <w:lang w:val="en-GB"/>
        </w:rPr>
        <w:t xml:space="preserve"> </w:t>
      </w:r>
      <w:r w:rsidR="00EE3E14">
        <w:rPr>
          <w:sz w:val="24"/>
          <w:szCs w:val="24"/>
          <w:lang w:val="en-GB"/>
        </w:rPr>
        <w:t>from doing justice between the parties, have no place i</w:t>
      </w:r>
      <w:r w:rsidR="00137F39" w:rsidRPr="003C634D">
        <w:rPr>
          <w:sz w:val="24"/>
          <w:szCs w:val="24"/>
          <w:lang w:val="en-GB"/>
        </w:rPr>
        <w:t xml:space="preserve">n </w:t>
      </w:r>
      <w:r w:rsidR="006565BC">
        <w:rPr>
          <w:sz w:val="24"/>
          <w:szCs w:val="24"/>
          <w:lang w:val="en-GB"/>
        </w:rPr>
        <w:t>our law</w:t>
      </w:r>
      <w:r w:rsidR="00831C84">
        <w:rPr>
          <w:sz w:val="24"/>
          <w:szCs w:val="24"/>
          <w:lang w:val="en-GB"/>
        </w:rPr>
        <w:t>.</w:t>
      </w:r>
      <w:r w:rsidR="00137F39" w:rsidRPr="003C634D">
        <w:rPr>
          <w:sz w:val="24"/>
          <w:szCs w:val="24"/>
          <w:lang w:val="en-GB"/>
        </w:rPr>
        <w:t xml:space="preserve"> </w:t>
      </w:r>
      <w:r w:rsidR="00776077">
        <w:rPr>
          <w:sz w:val="24"/>
          <w:szCs w:val="24"/>
          <w:lang w:val="en-GB"/>
        </w:rPr>
        <w:t>In our constitutional order, p</w:t>
      </w:r>
      <w:r w:rsidR="00BB4F2C" w:rsidRPr="003C634D">
        <w:rPr>
          <w:sz w:val="24"/>
          <w:szCs w:val="24"/>
          <w:lang w:val="en-GB"/>
        </w:rPr>
        <w:t xml:space="preserve">rivate </w:t>
      </w:r>
      <w:r w:rsidR="00137F39" w:rsidRPr="003C634D">
        <w:rPr>
          <w:sz w:val="24"/>
          <w:szCs w:val="24"/>
          <w:lang w:val="en-GB"/>
        </w:rPr>
        <w:t>entities</w:t>
      </w:r>
      <w:r w:rsidR="00BB4F2C" w:rsidRPr="003C634D">
        <w:rPr>
          <w:sz w:val="24"/>
          <w:szCs w:val="24"/>
          <w:lang w:val="en-GB"/>
        </w:rPr>
        <w:t xml:space="preserve"> </w:t>
      </w:r>
      <w:r w:rsidR="00034411">
        <w:rPr>
          <w:sz w:val="24"/>
          <w:szCs w:val="24"/>
          <w:lang w:val="en-GB"/>
        </w:rPr>
        <w:t xml:space="preserve">are not </w:t>
      </w:r>
      <w:r w:rsidR="00DE7246" w:rsidRPr="003C634D">
        <w:rPr>
          <w:sz w:val="24"/>
          <w:szCs w:val="24"/>
          <w:lang w:val="en-GB"/>
        </w:rPr>
        <w:t xml:space="preserve">enclaves </w:t>
      </w:r>
      <w:r w:rsidR="00DE7246" w:rsidRPr="003C634D">
        <w:rPr>
          <w:sz w:val="24"/>
          <w:szCs w:val="24"/>
        </w:rPr>
        <w:t>of power</w:t>
      </w:r>
      <w:r w:rsidR="00034411">
        <w:rPr>
          <w:sz w:val="24"/>
          <w:szCs w:val="24"/>
        </w:rPr>
        <w:t>,</w:t>
      </w:r>
      <w:r w:rsidR="00DE7246" w:rsidRPr="003C634D">
        <w:rPr>
          <w:sz w:val="24"/>
          <w:szCs w:val="24"/>
        </w:rPr>
        <w:t xml:space="preserve"> immune from </w:t>
      </w:r>
      <w:r w:rsidR="00034411">
        <w:rPr>
          <w:sz w:val="24"/>
          <w:szCs w:val="24"/>
        </w:rPr>
        <w:t xml:space="preserve">the </w:t>
      </w:r>
      <w:r w:rsidR="00831C84">
        <w:rPr>
          <w:sz w:val="24"/>
          <w:szCs w:val="24"/>
        </w:rPr>
        <w:t xml:space="preserve">obligation to act fairly, lawfully and reasonably. </w:t>
      </w:r>
      <w:r w:rsidR="0034716E" w:rsidRPr="006565BC">
        <w:rPr>
          <w:sz w:val="24"/>
          <w:szCs w:val="24"/>
        </w:rPr>
        <w:t xml:space="preserve">In the present case, it is not necessary to develop the common law, as the high court purported to do. The common law, which now yields to the Constitution and must be viewed </w:t>
      </w:r>
      <w:r w:rsidR="006565BC">
        <w:rPr>
          <w:sz w:val="24"/>
          <w:szCs w:val="24"/>
        </w:rPr>
        <w:t xml:space="preserve">through </w:t>
      </w:r>
      <w:r w:rsidR="0034716E" w:rsidRPr="006565BC">
        <w:rPr>
          <w:sz w:val="24"/>
          <w:szCs w:val="24"/>
        </w:rPr>
        <w:t>the prism thereof, is adequate to meet the ends of justice.</w:t>
      </w:r>
      <w:r w:rsidR="00034411" w:rsidRPr="006565BC">
        <w:rPr>
          <w:sz w:val="24"/>
          <w:szCs w:val="24"/>
        </w:rPr>
        <w:t xml:space="preserve"> </w:t>
      </w:r>
      <w:r w:rsidR="00DE7246" w:rsidRPr="006565BC">
        <w:rPr>
          <w:sz w:val="24"/>
          <w:szCs w:val="24"/>
        </w:rPr>
        <w:t>It follows, in my view, that the trustees’ decision</w:t>
      </w:r>
      <w:r w:rsidR="00B05E07" w:rsidRPr="006565BC">
        <w:rPr>
          <w:sz w:val="24"/>
          <w:szCs w:val="24"/>
        </w:rPr>
        <w:t xml:space="preserve"> is reviewable</w:t>
      </w:r>
      <w:r w:rsidR="00E805CE" w:rsidRPr="006565BC">
        <w:rPr>
          <w:sz w:val="24"/>
          <w:szCs w:val="24"/>
        </w:rPr>
        <w:t xml:space="preserve"> at common law</w:t>
      </w:r>
      <w:r w:rsidR="008C5B06" w:rsidRPr="006565BC">
        <w:rPr>
          <w:sz w:val="24"/>
          <w:szCs w:val="24"/>
        </w:rPr>
        <w:t>.</w:t>
      </w:r>
      <w:r w:rsidR="009B7B01" w:rsidRPr="006565BC">
        <w:rPr>
          <w:sz w:val="24"/>
          <w:szCs w:val="24"/>
        </w:rPr>
        <w:t xml:space="preserve"> </w:t>
      </w:r>
    </w:p>
    <w:p w14:paraId="14AE1919" w14:textId="70ACC672" w:rsidR="008C5B06" w:rsidRPr="0034716E" w:rsidRDefault="00D07D58" w:rsidP="00D07D58">
      <w:pPr>
        <w:widowControl/>
        <w:autoSpaceDE/>
        <w:autoSpaceDN/>
        <w:adjustRightInd/>
        <w:spacing w:after="480" w:line="360" w:lineRule="auto"/>
        <w:jc w:val="both"/>
        <w:rPr>
          <w:bCs/>
          <w:sz w:val="24"/>
          <w:szCs w:val="24"/>
        </w:rPr>
      </w:pPr>
      <w:r w:rsidRPr="0034716E">
        <w:rPr>
          <w:rFonts w:eastAsia="Times New Roman"/>
          <w:bCs/>
          <w:sz w:val="24"/>
          <w:szCs w:val="24"/>
        </w:rPr>
        <w:t>[51]</w:t>
      </w:r>
      <w:r w:rsidRPr="0034716E">
        <w:rPr>
          <w:rFonts w:eastAsia="Times New Roman"/>
          <w:bCs/>
          <w:sz w:val="24"/>
          <w:szCs w:val="24"/>
        </w:rPr>
        <w:tab/>
      </w:r>
      <w:r w:rsidR="008C5B06" w:rsidRPr="0034716E">
        <w:rPr>
          <w:sz w:val="24"/>
          <w:szCs w:val="24"/>
        </w:rPr>
        <w:t>It remains to briefly dispose of a residual argument on behalf of the trustees.</w:t>
      </w:r>
      <w:r w:rsidR="008C5B06" w:rsidRPr="0034716E">
        <w:rPr>
          <w:bCs/>
          <w:sz w:val="24"/>
          <w:szCs w:val="24"/>
        </w:rPr>
        <w:t xml:space="preserve"> It was submitted that there were other remedies available to Bae Estates, such as an interdict, and a claim for damages based on unlawful interference with contractual obligations, or remedies under the </w:t>
      </w:r>
      <w:r w:rsidR="00327738" w:rsidRPr="0034716E">
        <w:rPr>
          <w:bCs/>
          <w:sz w:val="24"/>
          <w:szCs w:val="24"/>
        </w:rPr>
        <w:t>anti-c</w:t>
      </w:r>
      <w:r w:rsidR="008C5B06" w:rsidRPr="0034716E">
        <w:rPr>
          <w:bCs/>
          <w:sz w:val="24"/>
          <w:szCs w:val="24"/>
        </w:rPr>
        <w:t>ompetition</w:t>
      </w:r>
      <w:r w:rsidR="00327738" w:rsidRPr="0034716E">
        <w:rPr>
          <w:bCs/>
          <w:sz w:val="24"/>
          <w:szCs w:val="24"/>
        </w:rPr>
        <w:t xml:space="preserve"> law</w:t>
      </w:r>
      <w:r w:rsidR="008C5B06" w:rsidRPr="0034716E">
        <w:rPr>
          <w:bCs/>
          <w:sz w:val="24"/>
          <w:szCs w:val="24"/>
        </w:rPr>
        <w:t xml:space="preserve">. </w:t>
      </w:r>
      <w:r w:rsidR="007478DA" w:rsidRPr="00D01D58">
        <w:rPr>
          <w:bCs/>
          <w:sz w:val="24"/>
          <w:szCs w:val="24"/>
        </w:rPr>
        <w:t>That may well be so.</w:t>
      </w:r>
      <w:r w:rsidR="007478DA">
        <w:rPr>
          <w:bCs/>
          <w:sz w:val="24"/>
          <w:szCs w:val="24"/>
        </w:rPr>
        <w:t xml:space="preserve"> </w:t>
      </w:r>
      <w:r w:rsidR="007478DA" w:rsidRPr="00D01D58">
        <w:rPr>
          <w:bCs/>
          <w:sz w:val="24"/>
          <w:szCs w:val="24"/>
        </w:rPr>
        <w:t>However, n</w:t>
      </w:r>
      <w:r w:rsidR="008C5B06" w:rsidRPr="00D01D58">
        <w:rPr>
          <w:bCs/>
          <w:sz w:val="24"/>
          <w:szCs w:val="24"/>
        </w:rPr>
        <w:t>one</w:t>
      </w:r>
      <w:r w:rsidR="008C5B06" w:rsidRPr="0034716E">
        <w:rPr>
          <w:bCs/>
          <w:sz w:val="24"/>
          <w:szCs w:val="24"/>
        </w:rPr>
        <w:t xml:space="preserve"> of those </w:t>
      </w:r>
      <w:r w:rsidR="007478DA" w:rsidRPr="00D01D58">
        <w:rPr>
          <w:bCs/>
          <w:sz w:val="24"/>
          <w:szCs w:val="24"/>
        </w:rPr>
        <w:t>remedies</w:t>
      </w:r>
      <w:r w:rsidR="007478DA">
        <w:rPr>
          <w:bCs/>
          <w:sz w:val="24"/>
          <w:szCs w:val="24"/>
        </w:rPr>
        <w:t xml:space="preserve"> </w:t>
      </w:r>
      <w:r w:rsidR="008C5B06" w:rsidRPr="0034716E">
        <w:rPr>
          <w:bCs/>
          <w:sz w:val="24"/>
          <w:szCs w:val="24"/>
        </w:rPr>
        <w:t xml:space="preserve">would adequately redress the effect of a permanent prohibition against Bae Estates to service clients in the scheme. A damages claim, for </w:t>
      </w:r>
      <w:r w:rsidR="008C5B06" w:rsidRPr="0034716E">
        <w:rPr>
          <w:bCs/>
          <w:sz w:val="24"/>
          <w:szCs w:val="24"/>
        </w:rPr>
        <w:lastRenderedPageBreak/>
        <w:t xml:space="preserve">example, </w:t>
      </w:r>
      <w:r w:rsidR="00B21C34" w:rsidRPr="0034716E">
        <w:rPr>
          <w:bCs/>
          <w:sz w:val="24"/>
          <w:szCs w:val="24"/>
        </w:rPr>
        <w:t xml:space="preserve">would </w:t>
      </w:r>
      <w:r w:rsidR="008C5B06" w:rsidRPr="0034716E">
        <w:rPr>
          <w:bCs/>
          <w:sz w:val="24"/>
          <w:szCs w:val="24"/>
        </w:rPr>
        <w:t xml:space="preserve">be retrospective and limited to any clients that Bae Estates might have had at the time of the prohibition. </w:t>
      </w:r>
      <w:r w:rsidR="007478DA" w:rsidRPr="00D01D58">
        <w:rPr>
          <w:bCs/>
          <w:sz w:val="24"/>
          <w:szCs w:val="24"/>
        </w:rPr>
        <w:t>In addition, such a damages claim might prove difficult to quantify.</w:t>
      </w:r>
      <w:r w:rsidR="007478DA">
        <w:rPr>
          <w:bCs/>
          <w:sz w:val="24"/>
          <w:szCs w:val="24"/>
        </w:rPr>
        <w:t xml:space="preserve"> </w:t>
      </w:r>
      <w:r w:rsidR="008C5B06" w:rsidRPr="0034716E">
        <w:rPr>
          <w:bCs/>
          <w:sz w:val="24"/>
          <w:szCs w:val="24"/>
        </w:rPr>
        <w:t xml:space="preserve">For future purposes, however, the permanent prohibition would </w:t>
      </w:r>
      <w:r w:rsidR="007478DA" w:rsidRPr="00D01D58">
        <w:rPr>
          <w:bCs/>
          <w:sz w:val="24"/>
          <w:szCs w:val="24"/>
        </w:rPr>
        <w:t>still</w:t>
      </w:r>
      <w:r w:rsidR="007478DA">
        <w:rPr>
          <w:bCs/>
          <w:sz w:val="24"/>
          <w:szCs w:val="24"/>
        </w:rPr>
        <w:t xml:space="preserve"> </w:t>
      </w:r>
      <w:r w:rsidR="008C5B06" w:rsidRPr="0034716E">
        <w:rPr>
          <w:bCs/>
          <w:sz w:val="24"/>
          <w:szCs w:val="24"/>
        </w:rPr>
        <w:t xml:space="preserve">stand, and Bae Estates would be unable to service </w:t>
      </w:r>
      <w:r w:rsidR="00161AAF" w:rsidRPr="00D01D58">
        <w:rPr>
          <w:bCs/>
          <w:sz w:val="24"/>
          <w:szCs w:val="24"/>
        </w:rPr>
        <w:t>its</w:t>
      </w:r>
      <w:r w:rsidR="00161AAF">
        <w:rPr>
          <w:bCs/>
          <w:sz w:val="24"/>
          <w:szCs w:val="24"/>
        </w:rPr>
        <w:t xml:space="preserve"> </w:t>
      </w:r>
      <w:r w:rsidR="008C5B06" w:rsidRPr="0034716E">
        <w:rPr>
          <w:bCs/>
          <w:sz w:val="24"/>
          <w:szCs w:val="24"/>
        </w:rPr>
        <w:t xml:space="preserve">clients in the scheme. </w:t>
      </w:r>
    </w:p>
    <w:p w14:paraId="7605A3CE" w14:textId="7829A506" w:rsidR="00734188" w:rsidRPr="00A82DA8" w:rsidRDefault="00D07D58" w:rsidP="00D07D58">
      <w:pPr>
        <w:widowControl/>
        <w:autoSpaceDE/>
        <w:autoSpaceDN/>
        <w:adjustRightInd/>
        <w:spacing w:after="240" w:line="360" w:lineRule="auto"/>
        <w:jc w:val="both"/>
        <w:rPr>
          <w:bCs/>
          <w:sz w:val="24"/>
          <w:szCs w:val="24"/>
        </w:rPr>
      </w:pPr>
      <w:r w:rsidRPr="00A82DA8">
        <w:rPr>
          <w:rFonts w:eastAsia="Times New Roman"/>
          <w:bCs/>
          <w:sz w:val="24"/>
          <w:szCs w:val="24"/>
        </w:rPr>
        <w:t>[52]</w:t>
      </w:r>
      <w:r w:rsidRPr="00A82DA8">
        <w:rPr>
          <w:rFonts w:eastAsia="Times New Roman"/>
          <w:bCs/>
          <w:sz w:val="24"/>
          <w:szCs w:val="24"/>
        </w:rPr>
        <w:tab/>
      </w:r>
      <w:r w:rsidR="00B21C34" w:rsidRPr="00A82DA8">
        <w:rPr>
          <w:bCs/>
          <w:sz w:val="24"/>
          <w:szCs w:val="24"/>
        </w:rPr>
        <w:t xml:space="preserve">In all the circumstances </w:t>
      </w:r>
      <w:r w:rsidR="000F6912" w:rsidRPr="00A82DA8">
        <w:rPr>
          <w:bCs/>
          <w:sz w:val="24"/>
          <w:szCs w:val="24"/>
        </w:rPr>
        <w:t xml:space="preserve">I am of the view that </w:t>
      </w:r>
      <w:r w:rsidR="00B21C34" w:rsidRPr="00A82DA8">
        <w:rPr>
          <w:sz w:val="24"/>
          <w:szCs w:val="24"/>
        </w:rPr>
        <w:t>the trustees’ decision</w:t>
      </w:r>
      <w:r w:rsidR="00EE3E14" w:rsidRPr="00A82DA8">
        <w:rPr>
          <w:sz w:val="24"/>
          <w:szCs w:val="24"/>
        </w:rPr>
        <w:t xml:space="preserve"> ought to be reviewed and set aside</w:t>
      </w:r>
      <w:r w:rsidR="00B21C34" w:rsidRPr="00A82DA8">
        <w:rPr>
          <w:sz w:val="24"/>
          <w:szCs w:val="24"/>
        </w:rPr>
        <w:t>.</w:t>
      </w:r>
      <w:r w:rsidR="009B7B01" w:rsidRPr="00A82DA8">
        <w:rPr>
          <w:sz w:val="24"/>
          <w:szCs w:val="24"/>
        </w:rPr>
        <w:t xml:space="preserve"> </w:t>
      </w:r>
      <w:r w:rsidR="00DE7246" w:rsidRPr="00A82DA8">
        <w:rPr>
          <w:sz w:val="24"/>
          <w:szCs w:val="24"/>
        </w:rPr>
        <w:t xml:space="preserve">To hold otherwise would give an imprimatur to an </w:t>
      </w:r>
      <w:r w:rsidR="009B7B01" w:rsidRPr="00A82DA8">
        <w:rPr>
          <w:sz w:val="24"/>
          <w:szCs w:val="24"/>
        </w:rPr>
        <w:t>injustice</w:t>
      </w:r>
      <w:r w:rsidR="00DE7246" w:rsidRPr="00A82DA8">
        <w:rPr>
          <w:sz w:val="24"/>
          <w:szCs w:val="24"/>
        </w:rPr>
        <w:t xml:space="preserve">, </w:t>
      </w:r>
      <w:r w:rsidR="000F6912" w:rsidRPr="00A82DA8">
        <w:rPr>
          <w:sz w:val="24"/>
          <w:szCs w:val="24"/>
        </w:rPr>
        <w:t xml:space="preserve">totally </w:t>
      </w:r>
      <w:r w:rsidR="009B7B01" w:rsidRPr="00A82DA8">
        <w:rPr>
          <w:sz w:val="24"/>
          <w:szCs w:val="24"/>
        </w:rPr>
        <w:t>inimic</w:t>
      </w:r>
      <w:r w:rsidR="00DE7246" w:rsidRPr="00A82DA8">
        <w:rPr>
          <w:sz w:val="24"/>
          <w:szCs w:val="24"/>
        </w:rPr>
        <w:t>a</w:t>
      </w:r>
      <w:r w:rsidR="009B7B01" w:rsidRPr="00A82DA8">
        <w:rPr>
          <w:sz w:val="24"/>
          <w:szCs w:val="24"/>
        </w:rPr>
        <w:t>l to our constitutional</w:t>
      </w:r>
      <w:r w:rsidR="00734188" w:rsidRPr="00A82DA8">
        <w:rPr>
          <w:sz w:val="24"/>
          <w:szCs w:val="24"/>
        </w:rPr>
        <w:t xml:space="preserve"> order and</w:t>
      </w:r>
      <w:r w:rsidR="009B7B01" w:rsidRPr="00A82DA8">
        <w:rPr>
          <w:sz w:val="24"/>
          <w:szCs w:val="24"/>
        </w:rPr>
        <w:t xml:space="preserve"> values.</w:t>
      </w:r>
      <w:r w:rsidR="00DE7246" w:rsidRPr="00A82DA8">
        <w:rPr>
          <w:sz w:val="24"/>
          <w:szCs w:val="24"/>
        </w:rPr>
        <w:t xml:space="preserve"> </w:t>
      </w:r>
      <w:r w:rsidR="00161AAF" w:rsidRPr="00A82DA8">
        <w:rPr>
          <w:sz w:val="24"/>
          <w:szCs w:val="24"/>
        </w:rPr>
        <w:t>Accordingly, the</w:t>
      </w:r>
      <w:r w:rsidR="00734188" w:rsidRPr="00A82DA8">
        <w:rPr>
          <w:sz w:val="24"/>
          <w:szCs w:val="24"/>
        </w:rPr>
        <w:t xml:space="preserve"> appeal cannot succeed.</w:t>
      </w:r>
    </w:p>
    <w:p w14:paraId="5169F9DD" w14:textId="0AFBC7B8" w:rsidR="00734188" w:rsidRPr="00A82DA8" w:rsidRDefault="00D07D58" w:rsidP="00D07D58">
      <w:pPr>
        <w:widowControl/>
        <w:autoSpaceDE/>
        <w:autoSpaceDN/>
        <w:adjustRightInd/>
        <w:spacing w:after="240" w:line="360" w:lineRule="auto"/>
        <w:jc w:val="both"/>
        <w:rPr>
          <w:bCs/>
          <w:sz w:val="24"/>
          <w:szCs w:val="24"/>
        </w:rPr>
      </w:pPr>
      <w:r w:rsidRPr="00A82DA8">
        <w:rPr>
          <w:rFonts w:eastAsia="Times New Roman"/>
          <w:bCs/>
          <w:sz w:val="24"/>
          <w:szCs w:val="24"/>
        </w:rPr>
        <w:t>[53]</w:t>
      </w:r>
      <w:r w:rsidRPr="00A82DA8">
        <w:rPr>
          <w:rFonts w:eastAsia="Times New Roman"/>
          <w:bCs/>
          <w:sz w:val="24"/>
          <w:szCs w:val="24"/>
        </w:rPr>
        <w:tab/>
      </w:r>
      <w:r w:rsidR="00734188" w:rsidRPr="00A82DA8">
        <w:rPr>
          <w:sz w:val="24"/>
          <w:szCs w:val="24"/>
        </w:rPr>
        <w:t xml:space="preserve">I therefore make the following order: </w:t>
      </w:r>
    </w:p>
    <w:p w14:paraId="69A38001" w14:textId="3F9D51C2" w:rsidR="007B51F7" w:rsidRPr="00C55B0D" w:rsidRDefault="00734188" w:rsidP="00734188">
      <w:pPr>
        <w:widowControl/>
        <w:autoSpaceDE/>
        <w:autoSpaceDN/>
        <w:adjustRightInd/>
        <w:spacing w:after="240" w:line="360" w:lineRule="auto"/>
        <w:jc w:val="both"/>
        <w:rPr>
          <w:bCs/>
          <w:sz w:val="24"/>
          <w:szCs w:val="24"/>
        </w:rPr>
      </w:pPr>
      <w:r w:rsidRPr="00A82DA8">
        <w:rPr>
          <w:sz w:val="24"/>
          <w:szCs w:val="24"/>
        </w:rPr>
        <w:t>The appeal</w:t>
      </w:r>
      <w:r w:rsidR="00C55B0D" w:rsidRPr="00A82DA8">
        <w:rPr>
          <w:sz w:val="24"/>
          <w:szCs w:val="24"/>
        </w:rPr>
        <w:t xml:space="preserve"> </w:t>
      </w:r>
      <w:r w:rsidRPr="00A82DA8">
        <w:rPr>
          <w:sz w:val="24"/>
          <w:szCs w:val="24"/>
        </w:rPr>
        <w:t>is dismissed with costs,</w:t>
      </w:r>
      <w:r w:rsidR="00C55B0D" w:rsidRPr="00A82DA8">
        <w:rPr>
          <w:sz w:val="24"/>
          <w:szCs w:val="24"/>
        </w:rPr>
        <w:t xml:space="preserve"> </w:t>
      </w:r>
      <w:r w:rsidRPr="00A82DA8">
        <w:rPr>
          <w:sz w:val="24"/>
          <w:szCs w:val="24"/>
        </w:rPr>
        <w:t>including the costs of two counsel.</w:t>
      </w:r>
      <w:r w:rsidR="00161AAF" w:rsidRPr="00C55B0D">
        <w:rPr>
          <w:sz w:val="24"/>
          <w:szCs w:val="24"/>
        </w:rPr>
        <w:t xml:space="preserve"> </w:t>
      </w:r>
    </w:p>
    <w:p w14:paraId="407295B5" w14:textId="77777777" w:rsidR="005B6481" w:rsidRDefault="005B6481" w:rsidP="005B6481">
      <w:pPr>
        <w:widowControl/>
        <w:autoSpaceDE/>
        <w:autoSpaceDN/>
        <w:adjustRightInd/>
        <w:spacing w:after="240" w:line="360" w:lineRule="auto"/>
        <w:jc w:val="both"/>
        <w:rPr>
          <w:sz w:val="24"/>
          <w:szCs w:val="24"/>
        </w:rPr>
      </w:pPr>
    </w:p>
    <w:p w14:paraId="441E5053" w14:textId="77777777" w:rsidR="005B6481" w:rsidRPr="0045454C" w:rsidRDefault="005B6481" w:rsidP="005B6481">
      <w:pPr>
        <w:widowControl/>
        <w:autoSpaceDE/>
        <w:autoSpaceDN/>
        <w:adjustRightInd/>
        <w:spacing w:after="240" w:line="360" w:lineRule="auto"/>
        <w:jc w:val="both"/>
        <w:rPr>
          <w:bCs/>
          <w:sz w:val="24"/>
          <w:szCs w:val="24"/>
        </w:rPr>
      </w:pPr>
    </w:p>
    <w:p w14:paraId="59FC46CF" w14:textId="77777777" w:rsidR="00AE3CC8" w:rsidRPr="003C634D" w:rsidRDefault="00AE3CC8" w:rsidP="00AE3CC8">
      <w:pPr>
        <w:spacing w:line="360" w:lineRule="auto"/>
        <w:jc w:val="right"/>
        <w:rPr>
          <w:sz w:val="24"/>
          <w:szCs w:val="24"/>
        </w:rPr>
      </w:pPr>
      <w:r w:rsidRPr="003C634D">
        <w:rPr>
          <w:sz w:val="24"/>
          <w:szCs w:val="24"/>
        </w:rPr>
        <w:t>____________________</w:t>
      </w:r>
    </w:p>
    <w:p w14:paraId="3E35580E" w14:textId="77777777" w:rsidR="00AE3CC8" w:rsidRPr="003C634D" w:rsidRDefault="0045454C" w:rsidP="00AE3CC8">
      <w:pPr>
        <w:spacing w:line="276" w:lineRule="auto"/>
        <w:jc w:val="right"/>
        <w:rPr>
          <w:sz w:val="24"/>
          <w:szCs w:val="24"/>
        </w:rPr>
      </w:pPr>
      <w:r w:rsidRPr="003C634D">
        <w:rPr>
          <w:sz w:val="24"/>
          <w:szCs w:val="24"/>
        </w:rPr>
        <w:t>T</w:t>
      </w:r>
      <w:r w:rsidR="00C47E34">
        <w:rPr>
          <w:sz w:val="24"/>
          <w:szCs w:val="24"/>
        </w:rPr>
        <w:t xml:space="preserve"> </w:t>
      </w:r>
      <w:r w:rsidR="00C47E34" w:rsidRPr="00D01D58">
        <w:rPr>
          <w:sz w:val="24"/>
          <w:szCs w:val="24"/>
        </w:rPr>
        <w:t>M</w:t>
      </w:r>
      <w:r w:rsidRPr="003C634D">
        <w:rPr>
          <w:sz w:val="24"/>
          <w:szCs w:val="24"/>
        </w:rPr>
        <w:t xml:space="preserve"> Makgoka</w:t>
      </w:r>
    </w:p>
    <w:p w14:paraId="1F7FD74C" w14:textId="77777777" w:rsidR="00AE3CC8" w:rsidRPr="003C634D" w:rsidRDefault="0045454C" w:rsidP="00AE3CC8">
      <w:pPr>
        <w:spacing w:line="276" w:lineRule="auto"/>
        <w:jc w:val="right"/>
        <w:rPr>
          <w:sz w:val="24"/>
          <w:szCs w:val="24"/>
        </w:rPr>
      </w:pPr>
      <w:r w:rsidRPr="003C634D">
        <w:rPr>
          <w:sz w:val="24"/>
          <w:szCs w:val="24"/>
        </w:rPr>
        <w:t xml:space="preserve">Judge </w:t>
      </w:r>
      <w:r>
        <w:rPr>
          <w:sz w:val="24"/>
          <w:szCs w:val="24"/>
        </w:rPr>
        <w:t>o</w:t>
      </w:r>
      <w:r w:rsidRPr="003C634D">
        <w:rPr>
          <w:sz w:val="24"/>
          <w:szCs w:val="24"/>
        </w:rPr>
        <w:t>f Appeal</w:t>
      </w:r>
    </w:p>
    <w:p w14:paraId="067339A8" w14:textId="77777777" w:rsidR="004233D4" w:rsidRPr="003C634D" w:rsidRDefault="004233D4" w:rsidP="00AE3CC8">
      <w:pPr>
        <w:spacing w:line="276" w:lineRule="auto"/>
        <w:jc w:val="right"/>
        <w:rPr>
          <w:sz w:val="24"/>
          <w:szCs w:val="24"/>
        </w:rPr>
      </w:pPr>
      <w:r w:rsidRPr="003C634D">
        <w:rPr>
          <w:sz w:val="24"/>
          <w:szCs w:val="24"/>
        </w:rPr>
        <w:br w:type="page"/>
      </w:r>
    </w:p>
    <w:p w14:paraId="0D779A9B" w14:textId="77777777" w:rsidR="00AE3CC8" w:rsidRPr="003C634D" w:rsidRDefault="00AE3CC8" w:rsidP="00AE3CC8">
      <w:pPr>
        <w:spacing w:line="360" w:lineRule="auto"/>
        <w:jc w:val="both"/>
        <w:rPr>
          <w:rFonts w:eastAsia="MS Mincho"/>
          <w:sz w:val="24"/>
          <w:szCs w:val="24"/>
        </w:rPr>
      </w:pPr>
      <w:r w:rsidRPr="003C634D">
        <w:rPr>
          <w:rFonts w:eastAsia="MS Mincho"/>
          <w:sz w:val="24"/>
          <w:szCs w:val="24"/>
        </w:rPr>
        <w:lastRenderedPageBreak/>
        <w:t>APPEARANCES</w:t>
      </w:r>
    </w:p>
    <w:p w14:paraId="4072E51B" w14:textId="77777777" w:rsidR="00AE3CC8" w:rsidRPr="003C634D" w:rsidRDefault="00AE3CC8" w:rsidP="00AE3CC8">
      <w:pPr>
        <w:spacing w:line="360" w:lineRule="auto"/>
        <w:ind w:left="2880" w:hanging="2880"/>
        <w:jc w:val="both"/>
        <w:rPr>
          <w:rFonts w:eastAsia="MS Mincho"/>
          <w:sz w:val="24"/>
          <w:szCs w:val="24"/>
        </w:rPr>
      </w:pPr>
      <w:r w:rsidRPr="003C634D">
        <w:rPr>
          <w:rFonts w:eastAsia="MS Mincho"/>
          <w:sz w:val="24"/>
          <w:szCs w:val="24"/>
        </w:rPr>
        <w:t>For Appellant:</w:t>
      </w:r>
      <w:r w:rsidRPr="003C634D">
        <w:rPr>
          <w:rFonts w:eastAsia="MS Mincho"/>
          <w:sz w:val="24"/>
          <w:szCs w:val="24"/>
        </w:rPr>
        <w:tab/>
      </w:r>
      <w:r w:rsidRPr="003C634D">
        <w:rPr>
          <w:sz w:val="24"/>
          <w:szCs w:val="24"/>
        </w:rPr>
        <w:t xml:space="preserve">I Jamie SC (with </w:t>
      </w:r>
      <w:r w:rsidR="00161AAF" w:rsidRPr="00D01D58">
        <w:rPr>
          <w:sz w:val="24"/>
          <w:szCs w:val="24"/>
        </w:rPr>
        <w:t>him</w:t>
      </w:r>
      <w:r w:rsidR="00161AAF">
        <w:rPr>
          <w:sz w:val="24"/>
          <w:szCs w:val="24"/>
        </w:rPr>
        <w:t xml:space="preserve"> </w:t>
      </w:r>
      <w:r w:rsidRPr="003C634D">
        <w:rPr>
          <w:sz w:val="24"/>
          <w:szCs w:val="24"/>
        </w:rPr>
        <w:t>F W Landman)</w:t>
      </w:r>
    </w:p>
    <w:p w14:paraId="12CC0A83" w14:textId="77777777" w:rsidR="00AE3CC8" w:rsidRPr="003C634D" w:rsidRDefault="00AE3CC8" w:rsidP="00AE3CC8">
      <w:pPr>
        <w:spacing w:line="360" w:lineRule="auto"/>
        <w:jc w:val="both"/>
        <w:rPr>
          <w:rFonts w:eastAsia="MS Mincho"/>
          <w:sz w:val="24"/>
          <w:szCs w:val="24"/>
        </w:rPr>
      </w:pPr>
      <w:r w:rsidRPr="003C634D">
        <w:rPr>
          <w:rFonts w:eastAsia="MS Mincho"/>
          <w:sz w:val="24"/>
          <w:szCs w:val="24"/>
        </w:rPr>
        <w:tab/>
      </w:r>
      <w:r w:rsidRPr="003C634D">
        <w:rPr>
          <w:rFonts w:eastAsia="MS Mincho"/>
          <w:sz w:val="24"/>
          <w:szCs w:val="24"/>
        </w:rPr>
        <w:tab/>
      </w:r>
      <w:r w:rsidRPr="003C634D">
        <w:rPr>
          <w:rFonts w:eastAsia="MS Mincho"/>
          <w:sz w:val="24"/>
          <w:szCs w:val="24"/>
        </w:rPr>
        <w:tab/>
      </w:r>
      <w:r w:rsidRPr="003C634D">
        <w:rPr>
          <w:rFonts w:eastAsia="MS Mincho"/>
          <w:sz w:val="24"/>
          <w:szCs w:val="24"/>
        </w:rPr>
        <w:tab/>
        <w:t>Instructed by:</w:t>
      </w:r>
    </w:p>
    <w:p w14:paraId="38BC04EE" w14:textId="77777777" w:rsidR="00AE3CC8" w:rsidRPr="003C634D" w:rsidRDefault="00AE3CC8" w:rsidP="00AE3CC8">
      <w:pPr>
        <w:spacing w:line="360" w:lineRule="auto"/>
        <w:jc w:val="both"/>
        <w:rPr>
          <w:rFonts w:eastAsia="MS Mincho"/>
          <w:sz w:val="24"/>
          <w:szCs w:val="24"/>
        </w:rPr>
      </w:pPr>
      <w:r w:rsidRPr="003C634D">
        <w:rPr>
          <w:rFonts w:eastAsia="MS Mincho"/>
          <w:sz w:val="24"/>
          <w:szCs w:val="24"/>
        </w:rPr>
        <w:tab/>
      </w:r>
      <w:r w:rsidRPr="003C634D">
        <w:rPr>
          <w:rFonts w:eastAsia="MS Mincho"/>
          <w:sz w:val="24"/>
          <w:szCs w:val="24"/>
        </w:rPr>
        <w:tab/>
      </w:r>
      <w:r w:rsidRPr="003C634D">
        <w:rPr>
          <w:rFonts w:eastAsia="MS Mincho"/>
          <w:sz w:val="24"/>
          <w:szCs w:val="24"/>
        </w:rPr>
        <w:tab/>
      </w:r>
      <w:r w:rsidRPr="003C634D">
        <w:rPr>
          <w:rFonts w:eastAsia="MS Mincho"/>
          <w:sz w:val="24"/>
          <w:szCs w:val="24"/>
        </w:rPr>
        <w:tab/>
        <w:t>Marlon Shevelew &amp; Associates, Cape Town</w:t>
      </w:r>
      <w:r w:rsidR="005B6481">
        <w:rPr>
          <w:rFonts w:eastAsia="MS Mincho"/>
          <w:sz w:val="24"/>
          <w:szCs w:val="24"/>
        </w:rPr>
        <w:t>,</w:t>
      </w:r>
      <w:r w:rsidRPr="003C634D">
        <w:rPr>
          <w:rFonts w:eastAsia="MS Mincho"/>
          <w:sz w:val="24"/>
          <w:szCs w:val="24"/>
        </w:rPr>
        <w:t xml:space="preserve"> </w:t>
      </w:r>
    </w:p>
    <w:p w14:paraId="2015E0ED" w14:textId="77777777" w:rsidR="00AE3CC8" w:rsidRPr="003C634D" w:rsidRDefault="00AE3CC8" w:rsidP="00AE3CC8">
      <w:pPr>
        <w:spacing w:line="360" w:lineRule="auto"/>
        <w:ind w:left="2160" w:firstLine="720"/>
        <w:jc w:val="both"/>
        <w:rPr>
          <w:rFonts w:eastAsia="MS Mincho"/>
          <w:sz w:val="24"/>
          <w:szCs w:val="24"/>
        </w:rPr>
      </w:pPr>
      <w:r w:rsidRPr="00327738">
        <w:rPr>
          <w:rFonts w:eastAsia="MS Mincho"/>
          <w:sz w:val="24"/>
          <w:szCs w:val="24"/>
        </w:rPr>
        <w:t>Honey &amp; Partners</w:t>
      </w:r>
      <w:r w:rsidRPr="003C634D">
        <w:rPr>
          <w:rFonts w:eastAsia="MS Mincho"/>
          <w:sz w:val="24"/>
          <w:szCs w:val="24"/>
        </w:rPr>
        <w:t>, Inc., Bloemfontein</w:t>
      </w:r>
      <w:r w:rsidR="005B6481">
        <w:rPr>
          <w:rFonts w:eastAsia="MS Mincho"/>
          <w:sz w:val="24"/>
          <w:szCs w:val="24"/>
        </w:rPr>
        <w:t>.</w:t>
      </w:r>
    </w:p>
    <w:p w14:paraId="02629C00" w14:textId="77777777" w:rsidR="00AE3CC8" w:rsidRPr="003C634D" w:rsidRDefault="00AE3CC8" w:rsidP="00AE3CC8">
      <w:pPr>
        <w:spacing w:line="360" w:lineRule="auto"/>
        <w:jc w:val="both"/>
        <w:rPr>
          <w:rFonts w:eastAsia="MS Mincho"/>
          <w:sz w:val="24"/>
          <w:szCs w:val="24"/>
        </w:rPr>
      </w:pPr>
    </w:p>
    <w:p w14:paraId="1C074C72" w14:textId="77777777" w:rsidR="00AE3CC8" w:rsidRPr="003C634D" w:rsidRDefault="00AE3CC8" w:rsidP="00AE3CC8">
      <w:pPr>
        <w:spacing w:line="360" w:lineRule="auto"/>
        <w:ind w:left="2835" w:hanging="2977"/>
        <w:jc w:val="both"/>
        <w:rPr>
          <w:rFonts w:eastAsia="MS Mincho"/>
          <w:sz w:val="24"/>
          <w:szCs w:val="24"/>
        </w:rPr>
      </w:pPr>
      <w:r w:rsidRPr="003C634D">
        <w:rPr>
          <w:rFonts w:eastAsia="MS Mincho"/>
          <w:sz w:val="24"/>
          <w:szCs w:val="24"/>
        </w:rPr>
        <w:t xml:space="preserve">For </w:t>
      </w:r>
      <w:r w:rsidR="00A7718C">
        <w:rPr>
          <w:rFonts w:eastAsia="MS Mincho"/>
          <w:sz w:val="24"/>
          <w:szCs w:val="24"/>
        </w:rPr>
        <w:t xml:space="preserve">First </w:t>
      </w:r>
      <w:r w:rsidRPr="003C634D">
        <w:rPr>
          <w:rFonts w:eastAsia="MS Mincho"/>
          <w:sz w:val="24"/>
          <w:szCs w:val="24"/>
        </w:rPr>
        <w:t>Respondent:</w:t>
      </w:r>
      <w:r w:rsidRPr="003C634D">
        <w:rPr>
          <w:rFonts w:eastAsia="MS Mincho"/>
          <w:sz w:val="24"/>
          <w:szCs w:val="24"/>
        </w:rPr>
        <w:tab/>
      </w:r>
      <w:r w:rsidRPr="003C634D">
        <w:rPr>
          <w:sz w:val="24"/>
          <w:szCs w:val="24"/>
        </w:rPr>
        <w:t>R F van Rooyen SC (with</w:t>
      </w:r>
      <w:r w:rsidR="00161AAF">
        <w:rPr>
          <w:sz w:val="24"/>
          <w:szCs w:val="24"/>
        </w:rPr>
        <w:t xml:space="preserve"> </w:t>
      </w:r>
      <w:r w:rsidR="00161AAF" w:rsidRPr="00D01D58">
        <w:rPr>
          <w:sz w:val="24"/>
          <w:szCs w:val="24"/>
        </w:rPr>
        <w:t>him</w:t>
      </w:r>
      <w:r w:rsidRPr="003C634D">
        <w:rPr>
          <w:sz w:val="24"/>
          <w:szCs w:val="24"/>
        </w:rPr>
        <w:t xml:space="preserve"> K Felix)</w:t>
      </w:r>
    </w:p>
    <w:p w14:paraId="5F0C7DD7" w14:textId="77777777" w:rsidR="00AE3CC8" w:rsidRPr="003C634D" w:rsidRDefault="00AE3CC8" w:rsidP="00AE3CC8">
      <w:pPr>
        <w:spacing w:line="360" w:lineRule="auto"/>
        <w:jc w:val="both"/>
        <w:rPr>
          <w:rFonts w:eastAsia="MS Mincho"/>
          <w:sz w:val="24"/>
          <w:szCs w:val="24"/>
        </w:rPr>
      </w:pPr>
      <w:r w:rsidRPr="003C634D">
        <w:rPr>
          <w:rFonts w:eastAsia="MS Mincho"/>
          <w:sz w:val="24"/>
          <w:szCs w:val="24"/>
        </w:rPr>
        <w:tab/>
      </w:r>
      <w:r w:rsidRPr="003C634D">
        <w:rPr>
          <w:rFonts w:eastAsia="MS Mincho"/>
          <w:sz w:val="24"/>
          <w:szCs w:val="24"/>
        </w:rPr>
        <w:tab/>
      </w:r>
      <w:r w:rsidRPr="003C634D">
        <w:rPr>
          <w:rFonts w:eastAsia="MS Mincho"/>
          <w:sz w:val="24"/>
          <w:szCs w:val="24"/>
        </w:rPr>
        <w:tab/>
      </w:r>
      <w:r w:rsidRPr="003C634D">
        <w:rPr>
          <w:rFonts w:eastAsia="MS Mincho"/>
          <w:sz w:val="24"/>
          <w:szCs w:val="24"/>
        </w:rPr>
        <w:tab/>
        <w:t>Instructed by:</w:t>
      </w:r>
    </w:p>
    <w:p w14:paraId="7D449C6F" w14:textId="77777777" w:rsidR="00AE3CC8" w:rsidRPr="003C634D" w:rsidRDefault="00AE3CC8" w:rsidP="00AE3CC8">
      <w:pPr>
        <w:spacing w:line="360" w:lineRule="auto"/>
        <w:jc w:val="both"/>
        <w:rPr>
          <w:rFonts w:eastAsia="MS Mincho"/>
          <w:sz w:val="24"/>
          <w:szCs w:val="24"/>
        </w:rPr>
      </w:pPr>
      <w:r w:rsidRPr="003C634D">
        <w:rPr>
          <w:rFonts w:eastAsia="MS Mincho"/>
          <w:sz w:val="24"/>
          <w:szCs w:val="24"/>
        </w:rPr>
        <w:t xml:space="preserve">                                         </w:t>
      </w:r>
      <w:r w:rsidR="00E805CE">
        <w:rPr>
          <w:rFonts w:eastAsia="MS Mincho"/>
          <w:sz w:val="24"/>
          <w:szCs w:val="24"/>
        </w:rPr>
        <w:t xml:space="preserve">  </w:t>
      </w:r>
      <w:r w:rsidRPr="003C634D">
        <w:rPr>
          <w:rFonts w:eastAsia="MS Mincho"/>
          <w:sz w:val="24"/>
          <w:szCs w:val="24"/>
        </w:rPr>
        <w:t>C</w:t>
      </w:r>
      <w:r w:rsidR="00CD7EDC">
        <w:rPr>
          <w:rFonts w:eastAsia="MS Mincho"/>
          <w:sz w:val="24"/>
          <w:szCs w:val="24"/>
        </w:rPr>
        <w:t xml:space="preserve"> </w:t>
      </w:r>
      <w:r w:rsidRPr="003C634D">
        <w:rPr>
          <w:rFonts w:eastAsia="MS Mincho"/>
          <w:sz w:val="24"/>
          <w:szCs w:val="24"/>
        </w:rPr>
        <w:t>&amp;</w:t>
      </w:r>
      <w:r w:rsidR="00CD7EDC">
        <w:rPr>
          <w:rFonts w:eastAsia="MS Mincho"/>
          <w:sz w:val="24"/>
          <w:szCs w:val="24"/>
        </w:rPr>
        <w:t xml:space="preserve"> </w:t>
      </w:r>
      <w:r w:rsidRPr="003C634D">
        <w:rPr>
          <w:rFonts w:eastAsia="MS Mincho"/>
          <w:sz w:val="24"/>
          <w:szCs w:val="24"/>
        </w:rPr>
        <w:t>A Friedlander Attorneys, Cape Town</w:t>
      </w:r>
      <w:r w:rsidR="005B6481">
        <w:rPr>
          <w:rFonts w:eastAsia="MS Mincho"/>
          <w:sz w:val="24"/>
          <w:szCs w:val="24"/>
        </w:rPr>
        <w:t>,</w:t>
      </w:r>
    </w:p>
    <w:p w14:paraId="4C324DC7" w14:textId="77777777" w:rsidR="00AE3CC8" w:rsidRPr="003C634D" w:rsidRDefault="00AE3CC8" w:rsidP="00AE3CC8">
      <w:pPr>
        <w:spacing w:line="360" w:lineRule="auto"/>
        <w:jc w:val="both"/>
        <w:rPr>
          <w:rFonts w:eastAsia="MS Mincho"/>
          <w:sz w:val="24"/>
          <w:szCs w:val="24"/>
        </w:rPr>
      </w:pPr>
      <w:r w:rsidRPr="003C634D">
        <w:rPr>
          <w:rFonts w:eastAsia="MS Mincho"/>
          <w:sz w:val="24"/>
          <w:szCs w:val="24"/>
        </w:rPr>
        <w:tab/>
      </w:r>
      <w:r w:rsidRPr="003C634D">
        <w:rPr>
          <w:rFonts w:eastAsia="MS Mincho"/>
          <w:sz w:val="24"/>
          <w:szCs w:val="24"/>
        </w:rPr>
        <w:tab/>
      </w:r>
      <w:r w:rsidRPr="003C634D">
        <w:rPr>
          <w:rFonts w:eastAsia="MS Mincho"/>
          <w:sz w:val="24"/>
          <w:szCs w:val="24"/>
        </w:rPr>
        <w:tab/>
      </w:r>
      <w:r w:rsidRPr="003C634D">
        <w:rPr>
          <w:rFonts w:eastAsia="MS Mincho"/>
          <w:sz w:val="24"/>
          <w:szCs w:val="24"/>
        </w:rPr>
        <w:tab/>
        <w:t>Symington &amp; De Kok, Bloemfontein</w:t>
      </w:r>
      <w:r w:rsidR="005B6481">
        <w:rPr>
          <w:rFonts w:eastAsia="MS Mincho"/>
          <w:sz w:val="24"/>
          <w:szCs w:val="24"/>
        </w:rPr>
        <w:t>.</w:t>
      </w:r>
    </w:p>
    <w:p w14:paraId="40DEA415" w14:textId="77777777" w:rsidR="00AE3CC8" w:rsidRPr="003C634D" w:rsidRDefault="00AE3CC8" w:rsidP="00AE3CC8">
      <w:pPr>
        <w:spacing w:line="360" w:lineRule="auto"/>
        <w:jc w:val="both"/>
        <w:rPr>
          <w:rFonts w:eastAsia="MS Mincho"/>
          <w:sz w:val="24"/>
          <w:szCs w:val="24"/>
        </w:rPr>
      </w:pPr>
      <w:r w:rsidRPr="003C634D">
        <w:rPr>
          <w:rFonts w:eastAsia="MS Mincho"/>
          <w:sz w:val="24"/>
          <w:szCs w:val="24"/>
        </w:rPr>
        <w:tab/>
      </w:r>
      <w:r w:rsidRPr="003C634D">
        <w:rPr>
          <w:rFonts w:eastAsia="MS Mincho"/>
          <w:sz w:val="24"/>
          <w:szCs w:val="24"/>
        </w:rPr>
        <w:tab/>
      </w:r>
      <w:r w:rsidRPr="003C634D">
        <w:rPr>
          <w:rFonts w:eastAsia="MS Mincho"/>
          <w:sz w:val="24"/>
          <w:szCs w:val="24"/>
        </w:rPr>
        <w:tab/>
      </w:r>
      <w:r w:rsidRPr="003C634D">
        <w:rPr>
          <w:rFonts w:eastAsia="MS Mincho"/>
          <w:sz w:val="24"/>
          <w:szCs w:val="24"/>
        </w:rPr>
        <w:tab/>
      </w:r>
      <w:bookmarkStart w:id="46" w:name="_GoBack"/>
      <w:bookmarkEnd w:id="46"/>
    </w:p>
    <w:p w14:paraId="38499CD6" w14:textId="77777777" w:rsidR="00AE3CC8" w:rsidRPr="003C634D" w:rsidRDefault="00AE3CC8" w:rsidP="00AE3CC8">
      <w:pPr>
        <w:pStyle w:val="BodyText"/>
        <w:kinsoku w:val="0"/>
        <w:overflowPunct w:val="0"/>
        <w:spacing w:before="1" w:line="360" w:lineRule="auto"/>
        <w:jc w:val="both"/>
        <w:rPr>
          <w:b/>
          <w:bCs/>
          <w:sz w:val="24"/>
          <w:szCs w:val="24"/>
        </w:rPr>
      </w:pPr>
    </w:p>
    <w:p w14:paraId="7B128419" w14:textId="77777777" w:rsidR="00AE3CC8" w:rsidRPr="003C634D" w:rsidRDefault="00AE3CC8">
      <w:pPr>
        <w:rPr>
          <w:sz w:val="24"/>
          <w:szCs w:val="24"/>
        </w:rPr>
      </w:pPr>
    </w:p>
    <w:sectPr w:rsidR="00AE3CC8" w:rsidRPr="003C634D" w:rsidSect="00E1090B">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ED6F1" w14:textId="77777777" w:rsidR="00011C78" w:rsidRDefault="00011C78" w:rsidP="00D2487B">
      <w:r>
        <w:separator/>
      </w:r>
    </w:p>
  </w:endnote>
  <w:endnote w:type="continuationSeparator" w:id="0">
    <w:p w14:paraId="719D2B9E" w14:textId="77777777" w:rsidR="00011C78" w:rsidRDefault="00011C78" w:rsidP="00D24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F44D2" w14:textId="77777777" w:rsidR="00011C78" w:rsidRDefault="00011C78" w:rsidP="00D2487B">
      <w:r>
        <w:separator/>
      </w:r>
    </w:p>
  </w:footnote>
  <w:footnote w:type="continuationSeparator" w:id="0">
    <w:p w14:paraId="32003A41" w14:textId="77777777" w:rsidR="00011C78" w:rsidRDefault="00011C78" w:rsidP="00D2487B">
      <w:r>
        <w:continuationSeparator/>
      </w:r>
    </w:p>
  </w:footnote>
  <w:footnote w:id="1">
    <w:p w14:paraId="320AA4C7" w14:textId="77777777" w:rsidR="007A386C" w:rsidRPr="00E1090B" w:rsidRDefault="007A386C" w:rsidP="00B4178A">
      <w:pPr>
        <w:pStyle w:val="FootnoteText"/>
        <w:jc w:val="both"/>
      </w:pPr>
      <w:r w:rsidRPr="00FA10F9">
        <w:rPr>
          <w:rStyle w:val="FootnoteReference"/>
          <w:rFonts w:cs="Arial"/>
        </w:rPr>
        <w:footnoteRef/>
      </w:r>
      <w:r w:rsidRPr="00FA10F9">
        <w:t xml:space="preserve"> </w:t>
      </w:r>
      <w:bookmarkStart w:id="16" w:name="_Hlk83747977"/>
      <w:r w:rsidRPr="00FA10F9">
        <w:rPr>
          <w:bCs/>
          <w:i/>
          <w:iCs/>
        </w:rPr>
        <w:t>Minister of Defence and Military Veterans v Motau and Others</w:t>
      </w:r>
      <w:r w:rsidRPr="00FA10F9">
        <w:rPr>
          <w:bCs/>
        </w:rPr>
        <w:t xml:space="preserve"> 2014 (5) 69 (CC) para 33.</w:t>
      </w:r>
      <w:bookmarkEnd w:id="16"/>
    </w:p>
  </w:footnote>
  <w:footnote w:id="2">
    <w:p w14:paraId="5D604021" w14:textId="77777777" w:rsidR="007A386C" w:rsidRPr="00E1090B" w:rsidRDefault="007A386C" w:rsidP="00B4178A">
      <w:pPr>
        <w:pStyle w:val="Heading2"/>
        <w:shd w:val="clear" w:color="auto" w:fill="FFFFFF"/>
        <w:spacing w:before="0"/>
        <w:jc w:val="both"/>
        <w:rPr>
          <w:rFonts w:ascii="Arial" w:hAnsi="Arial" w:cs="Arial"/>
          <w:color w:val="auto"/>
          <w:sz w:val="20"/>
          <w:szCs w:val="20"/>
        </w:rPr>
      </w:pPr>
      <w:r w:rsidRPr="00FA10F9">
        <w:rPr>
          <w:rFonts w:ascii="Arial" w:hAnsi="Arial" w:cs="Arial"/>
          <w:color w:val="auto"/>
          <w:sz w:val="16"/>
          <w:szCs w:val="16"/>
        </w:rPr>
        <w:footnoteRef/>
      </w:r>
      <w:r w:rsidRPr="00E1090B">
        <w:rPr>
          <w:rFonts w:ascii="Arial" w:hAnsi="Arial" w:cs="Arial"/>
          <w:sz w:val="20"/>
          <w:szCs w:val="20"/>
        </w:rPr>
        <w:t xml:space="preserve"> </w:t>
      </w:r>
      <w:r w:rsidRPr="00E1090B">
        <w:rPr>
          <w:rFonts w:ascii="Arial" w:hAnsi="Arial" w:cs="Arial"/>
          <w:i/>
          <w:iCs/>
          <w:color w:val="auto"/>
          <w:sz w:val="20"/>
          <w:szCs w:val="20"/>
        </w:rPr>
        <w:t xml:space="preserve">Sokhela </w:t>
      </w:r>
      <w:bookmarkStart w:id="22" w:name="_Hlk83765512"/>
      <w:r w:rsidRPr="00E1090B">
        <w:rPr>
          <w:rFonts w:ascii="Arial" w:hAnsi="Arial" w:cs="Arial"/>
          <w:i/>
          <w:iCs/>
          <w:color w:val="auto"/>
          <w:sz w:val="20"/>
          <w:szCs w:val="20"/>
        </w:rPr>
        <w:t xml:space="preserve">and Others v MEC for Agriculture and Environmental Affairs </w:t>
      </w:r>
      <w:bookmarkEnd w:id="22"/>
      <w:r w:rsidRPr="00E1090B">
        <w:rPr>
          <w:rFonts w:ascii="Arial" w:hAnsi="Arial" w:cs="Arial"/>
          <w:i/>
          <w:iCs/>
          <w:color w:val="auto"/>
          <w:sz w:val="20"/>
          <w:szCs w:val="20"/>
        </w:rPr>
        <w:t>(Kwazulu-Natal) and Others</w:t>
      </w:r>
      <w:r w:rsidRPr="00E1090B">
        <w:rPr>
          <w:rFonts w:ascii="Arial" w:hAnsi="Arial" w:cs="Arial"/>
          <w:color w:val="auto"/>
          <w:sz w:val="20"/>
          <w:szCs w:val="20"/>
        </w:rPr>
        <w:t xml:space="preserve"> 2010 (5) SA 574 (KZP) para 61. See also </w:t>
      </w:r>
      <w:r w:rsidRPr="00E1090B">
        <w:rPr>
          <w:rFonts w:ascii="Arial" w:hAnsi="Arial" w:cs="Arial"/>
          <w:i/>
          <w:iCs/>
          <w:color w:val="auto"/>
          <w:sz w:val="20"/>
          <w:szCs w:val="20"/>
        </w:rPr>
        <w:t>Fedsure Life Assurance Ltd and Others v Greater Johannesburg Transitional Metropolitan Council and Others</w:t>
      </w:r>
      <w:r w:rsidRPr="00E1090B">
        <w:rPr>
          <w:rFonts w:ascii="Arial" w:hAnsi="Arial" w:cs="Arial"/>
          <w:color w:val="auto"/>
          <w:sz w:val="20"/>
          <w:szCs w:val="20"/>
        </w:rPr>
        <w:t xml:space="preserve"> 1999 (1) SA 374; 1998 (12) BCLR 1458 para 26.</w:t>
      </w:r>
    </w:p>
  </w:footnote>
  <w:footnote w:id="3">
    <w:p w14:paraId="50892A06" w14:textId="77777777" w:rsidR="007A386C" w:rsidRPr="00E1090B" w:rsidRDefault="007A386C" w:rsidP="00FC7273">
      <w:pPr>
        <w:pStyle w:val="FootnoteText"/>
      </w:pPr>
      <w:r w:rsidRPr="00E1090B">
        <w:rPr>
          <w:rStyle w:val="FootnoteReference"/>
          <w:rFonts w:cs="Arial"/>
        </w:rPr>
        <w:footnoteRef/>
      </w:r>
      <w:r w:rsidRPr="00E1090B">
        <w:t xml:space="preserve"> </w:t>
      </w:r>
      <w:r w:rsidRPr="00E1090B">
        <w:rPr>
          <w:i/>
          <w:iCs/>
        </w:rPr>
        <w:t>Sokhela</w:t>
      </w:r>
      <w:r w:rsidRPr="00E1090B">
        <w:t xml:space="preserve"> para 61.</w:t>
      </w:r>
    </w:p>
  </w:footnote>
  <w:footnote w:id="4">
    <w:p w14:paraId="391E0192" w14:textId="77777777" w:rsidR="007A386C" w:rsidRPr="00E1090B" w:rsidRDefault="007A386C" w:rsidP="00B4178A">
      <w:pPr>
        <w:jc w:val="both"/>
        <w:rPr>
          <w:sz w:val="20"/>
          <w:szCs w:val="20"/>
        </w:rPr>
      </w:pPr>
      <w:r w:rsidRPr="00E1090B">
        <w:rPr>
          <w:rStyle w:val="FootnoteReference"/>
          <w:rFonts w:cs="Arial"/>
          <w:sz w:val="20"/>
          <w:szCs w:val="20"/>
        </w:rPr>
        <w:footnoteRef/>
      </w:r>
      <w:r w:rsidRPr="00E1090B">
        <w:rPr>
          <w:sz w:val="20"/>
          <w:szCs w:val="20"/>
        </w:rPr>
        <w:t xml:space="preserve"> </w:t>
      </w:r>
      <w:r w:rsidRPr="00090D03">
        <w:rPr>
          <w:i/>
          <w:iCs/>
          <w:sz w:val="20"/>
          <w:szCs w:val="20"/>
        </w:rPr>
        <w:t>Chirwa v Transnet Limited and Others</w:t>
      </w:r>
      <w:r w:rsidRPr="00090D03">
        <w:rPr>
          <w:sz w:val="20"/>
          <w:szCs w:val="20"/>
        </w:rPr>
        <w:t xml:space="preserve"> [2007] ZACC 23; 2008 (4) SA 367 (CC); 2008 (3) BCLR 251 (CC)</w:t>
      </w:r>
      <w:r w:rsidRPr="00E1090B">
        <w:rPr>
          <w:sz w:val="20"/>
          <w:szCs w:val="20"/>
        </w:rPr>
        <w:t xml:space="preserve"> para 18</w:t>
      </w:r>
      <w:r>
        <w:rPr>
          <w:sz w:val="20"/>
          <w:szCs w:val="20"/>
        </w:rPr>
        <w:t>3</w:t>
      </w:r>
      <w:r w:rsidRPr="00E1090B">
        <w:rPr>
          <w:sz w:val="20"/>
          <w:szCs w:val="20"/>
        </w:rPr>
        <w:t>.</w:t>
      </w:r>
      <w:r>
        <w:rPr>
          <w:sz w:val="20"/>
          <w:szCs w:val="20"/>
        </w:rPr>
        <w:t xml:space="preserve">PAJA </w:t>
      </w:r>
    </w:p>
  </w:footnote>
  <w:footnote w:id="5">
    <w:p w14:paraId="4F2F0C43" w14:textId="77777777" w:rsidR="007A386C" w:rsidRDefault="007A386C" w:rsidP="00B4178A">
      <w:pPr>
        <w:pStyle w:val="FootnoteText"/>
        <w:jc w:val="both"/>
      </w:pPr>
      <w:r>
        <w:rPr>
          <w:rStyle w:val="FootnoteReference"/>
        </w:rPr>
        <w:footnoteRef/>
      </w:r>
      <w:r>
        <w:t xml:space="preserve"> </w:t>
      </w:r>
      <w:r w:rsidRPr="00FA10F9">
        <w:rPr>
          <w:bCs/>
          <w:i/>
          <w:iCs/>
        </w:rPr>
        <w:t>Mount Edgecombe Country Club Estate Management Association II (RF) NPC v Singh and Others</w:t>
      </w:r>
      <w:r w:rsidRPr="00FA10F9">
        <w:rPr>
          <w:bCs/>
        </w:rPr>
        <w:t xml:space="preserve"> [2019] ZASCA 30; 2019 (4) SA 471 (SCA). The essence of the decision is that, </w:t>
      </w:r>
      <w:r w:rsidRPr="00FA10F9">
        <w:rPr>
          <w:rFonts w:eastAsia="Times New Roman"/>
          <w:bCs/>
        </w:rPr>
        <w:t>as between home owners and a homeowners’ association, conduct rules have a contractual basis, and therefore PAJA does not find application where home owners’ association enforced rules against property owners.</w:t>
      </w:r>
    </w:p>
  </w:footnote>
  <w:footnote w:id="6">
    <w:p w14:paraId="5AF65874" w14:textId="77777777" w:rsidR="007A386C" w:rsidRDefault="007A386C" w:rsidP="00B4178A">
      <w:pPr>
        <w:pStyle w:val="FootnoteText"/>
        <w:jc w:val="both"/>
      </w:pPr>
      <w:r>
        <w:rPr>
          <w:rStyle w:val="FootnoteReference"/>
        </w:rPr>
        <w:footnoteRef/>
      </w:r>
      <w:r>
        <w:t xml:space="preserve"> </w:t>
      </w:r>
      <w:r w:rsidRPr="00E1090B">
        <w:t xml:space="preserve">The expression </w:t>
      </w:r>
      <w:r w:rsidRPr="00E1090B">
        <w:rPr>
          <w:bCs/>
        </w:rPr>
        <w:t xml:space="preserve">‘an empowering provision’ </w:t>
      </w:r>
      <w:r w:rsidRPr="00E1090B">
        <w:t xml:space="preserve">is defined in s 1 of PAJA as </w:t>
      </w:r>
      <w:r w:rsidRPr="00E1090B">
        <w:rPr>
          <w:rFonts w:eastAsia="Times New Roman"/>
        </w:rPr>
        <w:t>‘a law, a rule of common</w:t>
      </w:r>
      <w:r>
        <w:rPr>
          <w:rFonts w:eastAsia="Times New Roman"/>
        </w:rPr>
        <w:t xml:space="preserve"> </w:t>
      </w:r>
      <w:r w:rsidRPr="00E1090B">
        <w:rPr>
          <w:rFonts w:eastAsia="Times New Roman"/>
        </w:rPr>
        <w:t>law, customary law, or an agreement, instrument or other document in terms of which an administrative action was purportedly taken’.</w:t>
      </w:r>
    </w:p>
  </w:footnote>
  <w:footnote w:id="7">
    <w:p w14:paraId="37AC4C7B" w14:textId="77777777" w:rsidR="007A386C" w:rsidRPr="00504A3E" w:rsidRDefault="007A386C" w:rsidP="00E1090B">
      <w:pPr>
        <w:widowControl/>
        <w:autoSpaceDE/>
        <w:autoSpaceDN/>
        <w:adjustRightInd/>
        <w:jc w:val="both"/>
        <w:rPr>
          <w:bCs/>
          <w:sz w:val="20"/>
          <w:szCs w:val="20"/>
        </w:rPr>
      </w:pPr>
      <w:r w:rsidRPr="00E1090B">
        <w:rPr>
          <w:rStyle w:val="FootnoteReference"/>
          <w:rFonts w:cs="Arial"/>
          <w:sz w:val="20"/>
          <w:szCs w:val="20"/>
        </w:rPr>
        <w:footnoteRef/>
      </w:r>
      <w:r w:rsidRPr="00E1090B">
        <w:rPr>
          <w:sz w:val="20"/>
          <w:szCs w:val="20"/>
        </w:rPr>
        <w:t xml:space="preserve"> </w:t>
      </w:r>
      <w:r w:rsidRPr="00E1090B">
        <w:rPr>
          <w:i/>
          <w:iCs/>
          <w:sz w:val="20"/>
          <w:szCs w:val="20"/>
        </w:rPr>
        <w:t>Greys Marine Hout Bay (Pty) Ltd and Others v Minister of Public Works and Others</w:t>
      </w:r>
      <w:r w:rsidRPr="00E1090B">
        <w:rPr>
          <w:sz w:val="20"/>
          <w:szCs w:val="20"/>
        </w:rPr>
        <w:t xml:space="preserve"> [2005] 3 All SA 33 (SCA); 2005 (6) SA 313 (SCA)</w:t>
      </w:r>
      <w:r>
        <w:rPr>
          <w:sz w:val="20"/>
          <w:szCs w:val="20"/>
        </w:rPr>
        <w:t xml:space="preserve"> para 24</w:t>
      </w:r>
      <w:r w:rsidRPr="00E1090B">
        <w:rPr>
          <w:sz w:val="20"/>
          <w:szCs w:val="20"/>
        </w:rPr>
        <w:t>.</w:t>
      </w:r>
    </w:p>
  </w:footnote>
  <w:footnote w:id="8">
    <w:p w14:paraId="67FEEB90" w14:textId="77777777" w:rsidR="007A386C" w:rsidRPr="005E209A" w:rsidRDefault="007A386C" w:rsidP="005E209A">
      <w:pPr>
        <w:pStyle w:val="FootnoteText"/>
        <w:jc w:val="both"/>
      </w:pPr>
      <w:r>
        <w:rPr>
          <w:rStyle w:val="FootnoteReference"/>
        </w:rPr>
        <w:footnoteRef/>
      </w:r>
      <w:r>
        <w:t xml:space="preserve"> </w:t>
      </w:r>
      <w:r w:rsidRPr="005E209A">
        <w:t xml:space="preserve">Compare for example, </w:t>
      </w:r>
      <w:r w:rsidRPr="00E1090B">
        <w:rPr>
          <w:i/>
          <w:iCs/>
        </w:rPr>
        <w:t>Pennington v Friedgood</w:t>
      </w:r>
      <w:r w:rsidRPr="00E1090B">
        <w:t xml:space="preserve"> 2002 (1) SA 251 (C)</w:t>
      </w:r>
      <w:r w:rsidRPr="005E209A">
        <w:t xml:space="preserve"> where it was held that decisions taken at the annual meeting of a medical aid scheme were not exercises of public power. </w:t>
      </w:r>
    </w:p>
    <w:p w14:paraId="399FEE32" w14:textId="77777777" w:rsidR="007A386C" w:rsidRDefault="007A386C">
      <w:pPr>
        <w:pStyle w:val="FootnoteText"/>
      </w:pPr>
    </w:p>
  </w:footnote>
  <w:footnote w:id="9">
    <w:p w14:paraId="4781C9CF" w14:textId="77777777" w:rsidR="007A386C" w:rsidRPr="001176BB" w:rsidRDefault="007A386C" w:rsidP="002F649A">
      <w:pPr>
        <w:widowControl/>
        <w:autoSpaceDE/>
        <w:autoSpaceDN/>
        <w:adjustRightInd/>
        <w:jc w:val="both"/>
        <w:rPr>
          <w:bCs/>
          <w:sz w:val="20"/>
          <w:szCs w:val="20"/>
        </w:rPr>
      </w:pPr>
      <w:r w:rsidRPr="00E1090B">
        <w:rPr>
          <w:rStyle w:val="FootnoteReference"/>
          <w:rFonts w:cs="Arial"/>
          <w:sz w:val="20"/>
          <w:szCs w:val="20"/>
        </w:rPr>
        <w:footnoteRef/>
      </w:r>
      <w:r w:rsidRPr="00E1090B">
        <w:rPr>
          <w:sz w:val="20"/>
          <w:szCs w:val="20"/>
        </w:rPr>
        <w:t xml:space="preserve"> </w:t>
      </w:r>
      <w:r w:rsidRPr="00E1090B">
        <w:rPr>
          <w:i/>
          <w:iCs/>
          <w:sz w:val="20"/>
          <w:szCs w:val="20"/>
        </w:rPr>
        <w:t>Calibre Clinical Consultants (Pty) Ltd and Another v National Bargaining Council for the Road Freight Industry and Another</w:t>
      </w:r>
      <w:r w:rsidRPr="00E1090B">
        <w:rPr>
          <w:sz w:val="20"/>
          <w:szCs w:val="20"/>
        </w:rPr>
        <w:t xml:space="preserve"> [2010] ZASCA 94; 2010 (5) SA 457 (SCA); [2010] 4 All SA 561 (SCA) para 31.</w:t>
      </w:r>
    </w:p>
  </w:footnote>
  <w:footnote w:id="10">
    <w:p w14:paraId="5927D547" w14:textId="77777777" w:rsidR="007A386C" w:rsidRPr="00E1090B" w:rsidRDefault="007A386C" w:rsidP="002F649A">
      <w:pPr>
        <w:pStyle w:val="FootnoteText"/>
        <w:jc w:val="both"/>
      </w:pPr>
      <w:r w:rsidRPr="00E1090B">
        <w:rPr>
          <w:rStyle w:val="FootnoteReference"/>
          <w:rFonts w:cs="Arial"/>
        </w:rPr>
        <w:footnoteRef/>
      </w:r>
      <w:r w:rsidRPr="00E1090B">
        <w:t xml:space="preserve"> </w:t>
      </w:r>
      <w:r w:rsidRPr="00E1090B">
        <w:rPr>
          <w:i/>
          <w:iCs/>
          <w:color w:val="000000"/>
        </w:rPr>
        <w:t>YL (by her litigation friend the Official Solicitor) v Birmingham City Council and Others</w:t>
      </w:r>
      <w:r w:rsidRPr="00E1090B">
        <w:rPr>
          <w:color w:val="000000"/>
        </w:rPr>
        <w:t xml:space="preserve"> [2007] 3 All ER 957 (HL).</w:t>
      </w:r>
      <w:r>
        <w:rPr>
          <w:color w:val="000000"/>
        </w:rPr>
        <w:t xml:space="preserve"> </w:t>
      </w:r>
      <w:r w:rsidRPr="005E209A">
        <w:t>Although the remarks are in the minority judgment, on the point made by Lord Bingham the court was unanimous.</w:t>
      </w:r>
    </w:p>
  </w:footnote>
  <w:footnote w:id="11">
    <w:p w14:paraId="682DDEC8" w14:textId="77777777" w:rsidR="007A386C" w:rsidRPr="00E1090B" w:rsidRDefault="007A386C" w:rsidP="00B4178A">
      <w:pPr>
        <w:pStyle w:val="FootnoteText"/>
        <w:jc w:val="both"/>
      </w:pPr>
      <w:r w:rsidRPr="00E1090B">
        <w:rPr>
          <w:rStyle w:val="FootnoteReference"/>
          <w:rFonts w:cs="Arial"/>
        </w:rPr>
        <w:footnoteRef/>
      </w:r>
      <w:r w:rsidRPr="00E1090B">
        <w:t xml:space="preserve"> Section 4 reads as follows: </w:t>
      </w:r>
    </w:p>
    <w:p w14:paraId="42C87E44" w14:textId="77777777" w:rsidR="007A386C" w:rsidRPr="00E1090B" w:rsidRDefault="007A386C" w:rsidP="00B4178A">
      <w:pPr>
        <w:pStyle w:val="FootnoteText"/>
        <w:jc w:val="both"/>
      </w:pPr>
      <w:r w:rsidRPr="00E1090B">
        <w:t>‘</w:t>
      </w:r>
      <w:r w:rsidRPr="00E1090B">
        <w:rPr>
          <w:b/>
          <w:bCs/>
        </w:rPr>
        <w:t>Powers of bodies corporate</w:t>
      </w:r>
      <w:r w:rsidRPr="00E1090B">
        <w:t xml:space="preserve"> </w:t>
      </w:r>
    </w:p>
    <w:p w14:paraId="20A0C7DA" w14:textId="77777777" w:rsidR="007A386C" w:rsidRPr="00E1090B" w:rsidRDefault="007A386C" w:rsidP="00B4178A">
      <w:pPr>
        <w:pStyle w:val="FootnoteText"/>
        <w:jc w:val="both"/>
      </w:pPr>
      <w:r w:rsidRPr="002F649A">
        <w:rPr>
          <w:bCs/>
        </w:rPr>
        <w:t>4</w:t>
      </w:r>
      <w:r w:rsidRPr="00E1090B">
        <w:t xml:space="preserve">. The body corporate may exercise the powers conferred upon it by or under this Act or the rules, and such powers include the power— </w:t>
      </w:r>
    </w:p>
    <w:p w14:paraId="531FC52B" w14:textId="77777777" w:rsidR="007A386C" w:rsidRPr="00E1090B" w:rsidRDefault="007A386C" w:rsidP="00B4178A">
      <w:pPr>
        <w:pStyle w:val="FootnoteText"/>
        <w:jc w:val="both"/>
      </w:pPr>
      <w:r w:rsidRPr="00A7718C">
        <w:rPr>
          <w:i/>
        </w:rPr>
        <w:t>(a)</w:t>
      </w:r>
      <w:r w:rsidRPr="00E1090B">
        <w:t xml:space="preserve"> to appoint such agents and employees as the body corporate may consider fit; </w:t>
      </w:r>
    </w:p>
    <w:p w14:paraId="04DBEDB3" w14:textId="77777777" w:rsidR="007A386C" w:rsidRPr="00E1090B" w:rsidRDefault="007A386C" w:rsidP="00B4178A">
      <w:pPr>
        <w:pStyle w:val="FootnoteText"/>
        <w:jc w:val="both"/>
      </w:pPr>
      <w:r w:rsidRPr="00A7718C">
        <w:rPr>
          <w:i/>
        </w:rPr>
        <w:t>(b)</w:t>
      </w:r>
      <w:r w:rsidRPr="00E1090B">
        <w:t xml:space="preserve"> when essential for the proper fulfilment of its duties and upon special resolution, to purchase or otherwise acquire, take transfer of, mortgage, sell, give transfer of or hire or let units; </w:t>
      </w:r>
    </w:p>
    <w:p w14:paraId="043A8ECC" w14:textId="77777777" w:rsidR="007A386C" w:rsidRPr="00E1090B" w:rsidRDefault="007A386C" w:rsidP="00B4178A">
      <w:pPr>
        <w:pStyle w:val="FootnoteText"/>
        <w:jc w:val="both"/>
      </w:pPr>
      <w:r w:rsidRPr="00A7718C">
        <w:rPr>
          <w:i/>
        </w:rPr>
        <w:t>(c)</w:t>
      </w:r>
      <w:r w:rsidRPr="00E1090B">
        <w:t xml:space="preserve"> to purchase, hire or otherwise acquire movable property for the use of owners for their enjoyment or protection or in connection with the enjoyment or protection of the common property; </w:t>
      </w:r>
    </w:p>
    <w:p w14:paraId="5584E660" w14:textId="77777777" w:rsidR="007A386C" w:rsidRPr="00E1090B" w:rsidRDefault="007A386C" w:rsidP="00B4178A">
      <w:pPr>
        <w:pStyle w:val="FootnoteText"/>
        <w:jc w:val="both"/>
      </w:pPr>
      <w:r w:rsidRPr="00A7718C">
        <w:rPr>
          <w:i/>
        </w:rPr>
        <w:t>(d)</w:t>
      </w:r>
      <w:r w:rsidRPr="00E1090B">
        <w:t xml:space="preserve"> where practicable, to establish and maintain on the common property suitable lawns, gardens and recreation facilities; </w:t>
      </w:r>
    </w:p>
    <w:p w14:paraId="6686C88A" w14:textId="77777777" w:rsidR="007A386C" w:rsidRPr="00E1090B" w:rsidRDefault="007A386C" w:rsidP="00B4178A">
      <w:pPr>
        <w:pStyle w:val="FootnoteText"/>
        <w:jc w:val="both"/>
      </w:pPr>
      <w:r w:rsidRPr="00A7718C">
        <w:rPr>
          <w:i/>
        </w:rPr>
        <w:t>(e)</w:t>
      </w:r>
      <w:r w:rsidRPr="00E1090B">
        <w:t xml:space="preserve"> upon special resolution, to borrow moneys required by it in the performance of its functions or the exercise of its powers;</w:t>
      </w:r>
    </w:p>
    <w:p w14:paraId="5BC843E7" w14:textId="77777777" w:rsidR="007A386C" w:rsidRDefault="007A386C" w:rsidP="00B4178A">
      <w:pPr>
        <w:pStyle w:val="FootnoteText"/>
        <w:jc w:val="both"/>
      </w:pPr>
      <w:r w:rsidRPr="00A7718C">
        <w:rPr>
          <w:i/>
        </w:rPr>
        <w:t>(f)</w:t>
      </w:r>
      <w:r w:rsidRPr="00E1090B">
        <w:t xml:space="preserve"> to secure the repayment of moneys borrowed by it and the payment of interest thereon, by notarial bond over unpaid contributions whether levied or not, or by mortgaging any property vested in it;</w:t>
      </w:r>
    </w:p>
    <w:p w14:paraId="2CE1D2BB" w14:textId="77777777" w:rsidR="007A386C" w:rsidRPr="00E1090B" w:rsidRDefault="007A386C" w:rsidP="00B4178A">
      <w:pPr>
        <w:pStyle w:val="FootnoteText"/>
        <w:jc w:val="both"/>
      </w:pPr>
      <w:r w:rsidRPr="00E1090B">
        <w:t>(g) to invest any moneys of the fund referred to in section 3(1)</w:t>
      </w:r>
      <w:r w:rsidRPr="00A7718C">
        <w:rPr>
          <w:i/>
        </w:rPr>
        <w:t>(a)</w:t>
      </w:r>
      <w:r w:rsidRPr="00E1090B">
        <w:t xml:space="preserve">; </w:t>
      </w:r>
    </w:p>
    <w:p w14:paraId="6E5E134B" w14:textId="77777777" w:rsidR="007A386C" w:rsidRPr="00E1090B" w:rsidRDefault="007A386C" w:rsidP="00B4178A">
      <w:pPr>
        <w:pStyle w:val="FootnoteText"/>
        <w:jc w:val="both"/>
      </w:pPr>
      <w:r w:rsidRPr="00A7718C">
        <w:rPr>
          <w:i/>
        </w:rPr>
        <w:t>(h)</w:t>
      </w:r>
      <w:r w:rsidRPr="00E1090B">
        <w:t xml:space="preserve"> to enter into an agreement with any owner or occupier of a section for the provision of amenities or services by the body corporate to such section or to the owner or occupier thereof, including, upon special resolution, the right to let a portion of the common property to any such owner or occupier by means of a lease other than a lease contemplated in section 5(1)</w:t>
      </w:r>
      <w:r w:rsidRPr="00A7718C">
        <w:rPr>
          <w:i/>
        </w:rPr>
        <w:t>(a)</w:t>
      </w:r>
      <w:r w:rsidRPr="00E1090B">
        <w:t xml:space="preserve">; </w:t>
      </w:r>
    </w:p>
    <w:p w14:paraId="2A170967" w14:textId="77777777" w:rsidR="007A386C" w:rsidRPr="00E1090B" w:rsidRDefault="007A386C" w:rsidP="00B4178A">
      <w:pPr>
        <w:pStyle w:val="FootnoteText"/>
        <w:jc w:val="both"/>
      </w:pPr>
      <w:r w:rsidRPr="00A7718C">
        <w:rPr>
          <w:i/>
        </w:rPr>
        <w:t>(i)</w:t>
      </w:r>
      <w:r w:rsidRPr="00E1090B">
        <w:t xml:space="preserve"> to do all things reasonably necessary for the enforcement of the rules and for the management and administration of the common property</w:t>
      </w:r>
      <w:r>
        <w:t>.</w:t>
      </w:r>
    </w:p>
  </w:footnote>
  <w:footnote w:id="12">
    <w:p w14:paraId="50D07049" w14:textId="77777777" w:rsidR="007A386C" w:rsidRDefault="007A386C" w:rsidP="00B4178A">
      <w:pPr>
        <w:pStyle w:val="FootnoteText"/>
        <w:jc w:val="both"/>
      </w:pPr>
      <w:r>
        <w:rPr>
          <w:rStyle w:val="FootnoteReference"/>
        </w:rPr>
        <w:footnoteRef/>
      </w:r>
      <w:r>
        <w:t xml:space="preserve"> </w:t>
      </w:r>
      <w:r w:rsidRPr="005E209A">
        <w:t xml:space="preserve">The regulations were promulgated by the Minister on 7 October 2016, the Minister made regulations in terms of the </w:t>
      </w:r>
      <w:r w:rsidRPr="00CB488B">
        <w:t>Sectional Title S</w:t>
      </w:r>
      <w:r>
        <w:t>chemes Management Act 8 of 2011</w:t>
      </w:r>
      <w:r w:rsidRPr="005E209A">
        <w:t>.</w:t>
      </w:r>
    </w:p>
  </w:footnote>
  <w:footnote w:id="13">
    <w:p w14:paraId="67707F60" w14:textId="77777777" w:rsidR="007A386C" w:rsidRPr="00E1090B" w:rsidRDefault="007A386C" w:rsidP="001842E9">
      <w:pPr>
        <w:pStyle w:val="FootnoteText"/>
        <w:jc w:val="both"/>
      </w:pPr>
      <w:r w:rsidRPr="00E1090B">
        <w:rPr>
          <w:rStyle w:val="FootnoteReference"/>
          <w:rFonts w:cs="Arial"/>
        </w:rPr>
        <w:footnoteRef/>
      </w:r>
      <w:r w:rsidRPr="00E1090B">
        <w:t xml:space="preserve"> </w:t>
      </w:r>
      <w:r w:rsidRPr="00E1090B">
        <w:rPr>
          <w:i/>
          <w:iCs/>
          <w:color w:val="242121"/>
          <w:shd w:val="clear" w:color="auto" w:fill="FFFFFF"/>
        </w:rPr>
        <w:t>Alexkor Ltd and Another v The Richtersveld Community and Others</w:t>
      </w:r>
      <w:r w:rsidRPr="00E1090B">
        <w:t> </w:t>
      </w:r>
      <w:hyperlink r:id="rId1" w:tooltip="View LawCiteRecord" w:history="1">
        <w:r w:rsidRPr="00E1090B">
          <w:rPr>
            <w:rStyle w:val="Hyperlink"/>
            <w:color w:val="auto"/>
            <w:u w:val="none"/>
          </w:rPr>
          <w:t>2004 (5) SA 460</w:t>
        </w:r>
      </w:hyperlink>
      <w:r w:rsidRPr="00E1090B">
        <w:t> </w:t>
      </w:r>
      <w:r w:rsidRPr="00E1090B">
        <w:rPr>
          <w:color w:val="242121"/>
          <w:shd w:val="clear" w:color="auto" w:fill="FFFFFF"/>
        </w:rPr>
        <w:t>(CC); </w:t>
      </w:r>
      <w:hyperlink r:id="rId2" w:tooltip="View LawCiteRecord" w:history="1">
        <w:r w:rsidRPr="00E1090B">
          <w:rPr>
            <w:rStyle w:val="Hyperlink"/>
            <w:color w:val="auto"/>
            <w:u w:val="none"/>
          </w:rPr>
          <w:t>2003 (12) BCLR 1301</w:t>
        </w:r>
      </w:hyperlink>
      <w:r w:rsidRPr="00E1090B">
        <w:rPr>
          <w:color w:val="242121"/>
          <w:shd w:val="clear" w:color="auto" w:fill="FFFFFF"/>
        </w:rPr>
        <w:t> (CC) para 44; </w:t>
      </w:r>
      <w:r w:rsidRPr="00E1090B">
        <w:rPr>
          <w:i/>
          <w:iCs/>
          <w:color w:val="242121"/>
          <w:shd w:val="clear" w:color="auto" w:fill="FFFFFF"/>
        </w:rPr>
        <w:t>Cole v Government of the Union of SA</w:t>
      </w:r>
      <w:r w:rsidRPr="00E1090B">
        <w:rPr>
          <w:color w:val="242121"/>
          <w:shd w:val="clear" w:color="auto" w:fill="FFFFFF"/>
        </w:rPr>
        <w:t> </w:t>
      </w:r>
      <w:hyperlink r:id="rId3" w:tooltip="View LawCiteRecord" w:history="1">
        <w:r w:rsidRPr="00E1090B">
          <w:rPr>
            <w:rStyle w:val="Hyperlink"/>
            <w:color w:val="auto"/>
            <w:u w:val="none"/>
          </w:rPr>
          <w:t>1910 AD 263</w:t>
        </w:r>
      </w:hyperlink>
      <w:r w:rsidRPr="00E1090B">
        <w:t> </w:t>
      </w:r>
      <w:r w:rsidRPr="00E1090B">
        <w:rPr>
          <w:color w:val="242121"/>
          <w:shd w:val="clear" w:color="auto" w:fill="FFFFFF"/>
        </w:rPr>
        <w:t>at 273; </w:t>
      </w:r>
      <w:r w:rsidRPr="00E1090B">
        <w:rPr>
          <w:i/>
          <w:iCs/>
          <w:color w:val="242121"/>
          <w:shd w:val="clear" w:color="auto" w:fill="FFFFFF"/>
        </w:rPr>
        <w:t>Paddock Motors (Pty) Ltd v Igesund</w:t>
      </w:r>
      <w:r w:rsidRPr="00E1090B">
        <w:rPr>
          <w:color w:val="242121"/>
          <w:shd w:val="clear" w:color="auto" w:fill="FFFFFF"/>
        </w:rPr>
        <w:t> </w:t>
      </w:r>
      <w:hyperlink r:id="rId4" w:tooltip="View LawCiteRecord" w:history="1">
        <w:r w:rsidRPr="00E1090B">
          <w:rPr>
            <w:rStyle w:val="Hyperlink"/>
            <w:color w:val="auto"/>
            <w:u w:val="none"/>
          </w:rPr>
          <w:t>1976 (3) SA 16</w:t>
        </w:r>
      </w:hyperlink>
      <w:r w:rsidRPr="00E1090B">
        <w:rPr>
          <w:shd w:val="clear" w:color="auto" w:fill="FFFFFF"/>
        </w:rPr>
        <w:t> (A</w:t>
      </w:r>
      <w:r w:rsidRPr="00E1090B">
        <w:rPr>
          <w:color w:val="242121"/>
          <w:shd w:val="clear" w:color="auto" w:fill="FFFFFF"/>
        </w:rPr>
        <w:t>) at 24-5; and </w:t>
      </w:r>
      <w:r w:rsidRPr="00E1090B">
        <w:rPr>
          <w:i/>
          <w:iCs/>
          <w:color w:val="242121"/>
          <w:shd w:val="clear" w:color="auto" w:fill="FFFFFF"/>
        </w:rPr>
        <w:t>Bank of Lisbon and South Africa Ltd v The Master and Others</w:t>
      </w:r>
      <w:r w:rsidRPr="00E1090B">
        <w:rPr>
          <w:color w:val="242121"/>
          <w:shd w:val="clear" w:color="auto" w:fill="FFFFFF"/>
        </w:rPr>
        <w:t> 1987 (1) SA 276 (A) at 290.</w:t>
      </w:r>
    </w:p>
  </w:footnote>
  <w:footnote w:id="14">
    <w:p w14:paraId="61D3846D" w14:textId="77777777" w:rsidR="007A386C" w:rsidRPr="00E1090B" w:rsidRDefault="007A386C" w:rsidP="00E1090B">
      <w:pPr>
        <w:rPr>
          <w:sz w:val="20"/>
          <w:szCs w:val="20"/>
        </w:rPr>
      </w:pPr>
      <w:r w:rsidRPr="00E1090B">
        <w:rPr>
          <w:rStyle w:val="FootnoteReference"/>
          <w:rFonts w:cs="Arial"/>
          <w:sz w:val="20"/>
          <w:szCs w:val="20"/>
        </w:rPr>
        <w:footnoteRef/>
      </w:r>
      <w:r w:rsidRPr="00E1090B">
        <w:rPr>
          <w:sz w:val="20"/>
          <w:szCs w:val="20"/>
        </w:rPr>
        <w:t xml:space="preserve"> </w:t>
      </w:r>
      <w:r w:rsidRPr="00E1090B">
        <w:rPr>
          <w:i/>
          <w:iCs/>
          <w:color w:val="242121"/>
          <w:sz w:val="20"/>
          <w:szCs w:val="20"/>
          <w:shd w:val="clear" w:color="auto" w:fill="FFFFFF"/>
        </w:rPr>
        <w:t>Road Accident Fund v Mothupi </w:t>
      </w:r>
      <w:hyperlink r:id="rId5" w:tooltip="View LawCiteRecord" w:history="1">
        <w:r w:rsidRPr="00E1090B">
          <w:rPr>
            <w:rStyle w:val="Hyperlink"/>
            <w:color w:val="auto"/>
            <w:sz w:val="20"/>
            <w:szCs w:val="20"/>
            <w:u w:val="none"/>
          </w:rPr>
          <w:t>2000 (4) SA 38</w:t>
        </w:r>
      </w:hyperlink>
      <w:r w:rsidRPr="00E1090B">
        <w:rPr>
          <w:color w:val="242121"/>
          <w:sz w:val="20"/>
          <w:szCs w:val="20"/>
          <w:shd w:val="clear" w:color="auto" w:fill="FFFFFF"/>
        </w:rPr>
        <w:t> (SCA);</w:t>
      </w:r>
      <w:r>
        <w:rPr>
          <w:color w:val="242121"/>
          <w:sz w:val="20"/>
          <w:szCs w:val="20"/>
          <w:shd w:val="clear" w:color="auto" w:fill="FFFFFF"/>
        </w:rPr>
        <w:t xml:space="preserve"> </w:t>
      </w:r>
      <w:r w:rsidRPr="00E1090B">
        <w:rPr>
          <w:color w:val="242121"/>
          <w:sz w:val="20"/>
          <w:szCs w:val="20"/>
          <w:shd w:val="clear" w:color="auto" w:fill="FFFFFF"/>
        </w:rPr>
        <w:t xml:space="preserve">[2000] 3 All SA 181 (A) para 30; </w:t>
      </w:r>
      <w:r w:rsidRPr="00E1090B">
        <w:rPr>
          <w:i/>
          <w:iCs/>
          <w:sz w:val="20"/>
          <w:szCs w:val="20"/>
        </w:rPr>
        <w:t>Barkhuizen v Napier</w:t>
      </w:r>
      <w:r w:rsidRPr="00E1090B">
        <w:rPr>
          <w:sz w:val="20"/>
          <w:szCs w:val="20"/>
        </w:rPr>
        <w:t xml:space="preserve"> [2007] ZACC 5; 2007 (5) SA 323 (CC); 2007 (7) BCLR 691 (CC) para 39. </w:t>
      </w:r>
    </w:p>
  </w:footnote>
  <w:footnote w:id="15">
    <w:p w14:paraId="0A8C41C9" w14:textId="77777777" w:rsidR="007A386C" w:rsidRPr="00B4178A" w:rsidRDefault="007A386C" w:rsidP="00B4178A">
      <w:pPr>
        <w:pStyle w:val="FootnoteText"/>
        <w:jc w:val="both"/>
      </w:pPr>
      <w:r w:rsidRPr="00B4178A">
        <w:rPr>
          <w:rStyle w:val="FootnoteReference"/>
          <w:rFonts w:cs="Arial"/>
        </w:rPr>
        <w:footnoteRef/>
      </w:r>
      <w:r w:rsidRPr="00B4178A">
        <w:t xml:space="preserve"> </w:t>
      </w:r>
      <w:r w:rsidRPr="00B4178A">
        <w:rPr>
          <w:color w:val="000000"/>
        </w:rPr>
        <w:t xml:space="preserve">See for example, </w:t>
      </w:r>
      <w:r w:rsidRPr="00B4178A">
        <w:rPr>
          <w:i/>
          <w:iCs/>
          <w:color w:val="000000"/>
        </w:rPr>
        <w:t>Cabinet of the Transitional Government for the Territory of South West Africa </w:t>
      </w:r>
      <w:bookmarkStart w:id="34" w:name="LPHit56"/>
      <w:bookmarkEnd w:id="34"/>
      <w:r w:rsidRPr="00B4178A">
        <w:t>v </w:t>
      </w:r>
      <w:r w:rsidRPr="00B4178A">
        <w:rPr>
          <w:i/>
          <w:iCs/>
          <w:color w:val="000000"/>
        </w:rPr>
        <w:t>Eins</w:t>
      </w:r>
      <w:r w:rsidRPr="00B4178A">
        <w:rPr>
          <w:color w:val="000000"/>
        </w:rPr>
        <w:t> </w:t>
      </w:r>
      <w:r w:rsidRPr="00B4178A">
        <w:t>1988 (3) SA 369 (A) at 389I.</w:t>
      </w:r>
    </w:p>
  </w:footnote>
  <w:footnote w:id="16">
    <w:p w14:paraId="41C47CFC" w14:textId="77777777" w:rsidR="007A386C" w:rsidRPr="00B4178A" w:rsidRDefault="007A386C" w:rsidP="00B4178A">
      <w:pPr>
        <w:pStyle w:val="FootnoteText"/>
        <w:jc w:val="both"/>
        <w:rPr>
          <w:lang w:val="en-GB"/>
        </w:rPr>
      </w:pPr>
      <w:r w:rsidRPr="00B4178A">
        <w:rPr>
          <w:rStyle w:val="FootnoteReference"/>
          <w:rFonts w:cs="Arial"/>
        </w:rPr>
        <w:footnoteRef/>
      </w:r>
      <w:r w:rsidRPr="00B4178A">
        <w:t xml:space="preserve"> </w:t>
      </w:r>
      <w:r w:rsidRPr="00B4178A">
        <w:rPr>
          <w:i/>
          <w:iCs/>
        </w:rPr>
        <w:t>Jacobs</w:t>
      </w:r>
      <w:r w:rsidRPr="00B4178A">
        <w:t> </w:t>
      </w:r>
      <w:r w:rsidR="005917B3" w:rsidRPr="00A7718C">
        <w:rPr>
          <w:i/>
        </w:rPr>
        <w:t>and Another</w:t>
      </w:r>
      <w:r w:rsidR="005917B3">
        <w:t xml:space="preserve"> </w:t>
      </w:r>
      <w:r w:rsidRPr="00B4178A">
        <w:rPr>
          <w:i/>
          <w:iCs/>
        </w:rPr>
        <w:t xml:space="preserve">v Waks </w:t>
      </w:r>
      <w:r w:rsidR="005917B3">
        <w:rPr>
          <w:i/>
          <w:iCs/>
        </w:rPr>
        <w:t xml:space="preserve">and Others </w:t>
      </w:r>
      <w:r w:rsidRPr="00B4178A">
        <w:t>1992 (1) SA 521 (A) at 534A-E.</w:t>
      </w:r>
    </w:p>
  </w:footnote>
  <w:footnote w:id="17">
    <w:p w14:paraId="29FB9588" w14:textId="77777777" w:rsidR="00FA3C00" w:rsidRPr="00B4178A" w:rsidRDefault="00FA3C00" w:rsidP="00FA3C00">
      <w:pPr>
        <w:pStyle w:val="ListParagraph"/>
        <w:spacing w:line="228" w:lineRule="exact"/>
        <w:ind w:left="0" w:right="2198"/>
        <w:jc w:val="both"/>
        <w:rPr>
          <w:sz w:val="20"/>
          <w:szCs w:val="20"/>
        </w:rPr>
      </w:pPr>
      <w:r w:rsidRPr="00B4178A">
        <w:rPr>
          <w:rStyle w:val="FootnoteReference"/>
          <w:sz w:val="20"/>
          <w:szCs w:val="20"/>
        </w:rPr>
        <w:footnoteRef/>
      </w:r>
      <w:r w:rsidRPr="00B4178A">
        <w:rPr>
          <w:sz w:val="20"/>
          <w:szCs w:val="20"/>
        </w:rPr>
        <w:t xml:space="preserve"> </w:t>
      </w:r>
      <w:r w:rsidRPr="00B4178A">
        <w:rPr>
          <w:w w:val="105"/>
          <w:sz w:val="20"/>
          <w:szCs w:val="20"/>
        </w:rPr>
        <w:t>Section 38 of the Constitution states:</w:t>
      </w:r>
    </w:p>
    <w:p w14:paraId="33A44EE9" w14:textId="77777777" w:rsidR="00FA3C00" w:rsidRPr="00B4178A" w:rsidRDefault="00FA3C00" w:rsidP="00FA3C00">
      <w:pPr>
        <w:pStyle w:val="ListParagraph"/>
        <w:spacing w:before="9" w:line="249" w:lineRule="auto"/>
        <w:ind w:left="0" w:right="-188"/>
        <w:jc w:val="both"/>
        <w:rPr>
          <w:bCs/>
          <w:sz w:val="20"/>
          <w:szCs w:val="20"/>
        </w:rPr>
      </w:pPr>
      <w:r w:rsidRPr="00B4178A">
        <w:rPr>
          <w:b/>
          <w:w w:val="105"/>
          <w:sz w:val="20"/>
          <w:szCs w:val="20"/>
        </w:rPr>
        <w:t>‘</w:t>
      </w:r>
      <w:r w:rsidRPr="00B4178A">
        <w:rPr>
          <w:bCs/>
          <w:w w:val="105"/>
          <w:sz w:val="20"/>
          <w:szCs w:val="20"/>
        </w:rPr>
        <w:t xml:space="preserve">Anyone listed in this section has the right to approach a competent court, alleging that a right in the Bill of Rights has been infringed or threatened, and the court may grant appropriate relief, including a declaration of rights. </w:t>
      </w:r>
      <w:bookmarkStart w:id="41" w:name="_Hlk84424473"/>
      <w:r w:rsidRPr="00B4178A">
        <w:rPr>
          <w:bCs/>
          <w:w w:val="105"/>
          <w:sz w:val="20"/>
          <w:szCs w:val="20"/>
        </w:rPr>
        <w:t>The persons who may approach a court are—</w:t>
      </w:r>
    </w:p>
    <w:p w14:paraId="41740594" w14:textId="02AE03AF" w:rsidR="00FA3C00" w:rsidRPr="00D07D58" w:rsidRDefault="00D07D58" w:rsidP="00D07D58">
      <w:pPr>
        <w:tabs>
          <w:tab w:val="left" w:pos="1487"/>
          <w:tab w:val="left" w:pos="1488"/>
        </w:tabs>
        <w:autoSpaceDE/>
        <w:autoSpaceDN/>
        <w:adjustRightInd/>
        <w:spacing w:before="73"/>
        <w:ind w:left="340" w:hanging="360"/>
        <w:jc w:val="both"/>
        <w:rPr>
          <w:bCs/>
          <w:sz w:val="20"/>
          <w:szCs w:val="20"/>
        </w:rPr>
      </w:pPr>
      <w:r w:rsidRPr="00B4178A">
        <w:rPr>
          <w:rFonts w:cs="Times New Roman"/>
          <w:bCs/>
          <w:i/>
          <w:sz w:val="20"/>
          <w:szCs w:val="20"/>
        </w:rPr>
        <w:t>(a)</w:t>
      </w:r>
      <w:r w:rsidRPr="00B4178A">
        <w:rPr>
          <w:rFonts w:cs="Times New Roman"/>
          <w:bCs/>
          <w:i/>
          <w:sz w:val="20"/>
          <w:szCs w:val="20"/>
        </w:rPr>
        <w:tab/>
      </w:r>
      <w:r w:rsidR="00FA3C00" w:rsidRPr="00D07D58">
        <w:rPr>
          <w:bCs/>
          <w:w w:val="105"/>
          <w:sz w:val="20"/>
          <w:szCs w:val="20"/>
        </w:rPr>
        <w:t>anyone acting in their own</w:t>
      </w:r>
      <w:r w:rsidR="00FA3C00" w:rsidRPr="00D07D58">
        <w:rPr>
          <w:bCs/>
          <w:spacing w:val="-28"/>
          <w:w w:val="105"/>
          <w:sz w:val="20"/>
          <w:szCs w:val="20"/>
        </w:rPr>
        <w:t xml:space="preserve"> </w:t>
      </w:r>
      <w:r w:rsidR="00FA3C00" w:rsidRPr="00D07D58">
        <w:rPr>
          <w:bCs/>
          <w:w w:val="105"/>
          <w:sz w:val="20"/>
          <w:szCs w:val="20"/>
        </w:rPr>
        <w:t>interest;</w:t>
      </w:r>
    </w:p>
    <w:bookmarkEnd w:id="41"/>
    <w:p w14:paraId="1B06DCCE" w14:textId="6203CD24" w:rsidR="00FA3C00" w:rsidRPr="00D07D58" w:rsidRDefault="00D07D58" w:rsidP="00D07D58">
      <w:pPr>
        <w:tabs>
          <w:tab w:val="left" w:pos="1487"/>
          <w:tab w:val="left" w:pos="1488"/>
        </w:tabs>
        <w:autoSpaceDE/>
        <w:autoSpaceDN/>
        <w:adjustRightInd/>
        <w:spacing w:before="73"/>
        <w:ind w:left="340" w:hanging="360"/>
        <w:jc w:val="both"/>
        <w:rPr>
          <w:bCs/>
          <w:sz w:val="20"/>
          <w:szCs w:val="20"/>
        </w:rPr>
      </w:pPr>
      <w:r w:rsidRPr="00B4178A">
        <w:rPr>
          <w:rFonts w:cs="Times New Roman"/>
          <w:bCs/>
          <w:i/>
          <w:sz w:val="20"/>
          <w:szCs w:val="20"/>
        </w:rPr>
        <w:t>(b)</w:t>
      </w:r>
      <w:r w:rsidRPr="00B4178A">
        <w:rPr>
          <w:rFonts w:cs="Times New Roman"/>
          <w:bCs/>
          <w:i/>
          <w:sz w:val="20"/>
          <w:szCs w:val="20"/>
        </w:rPr>
        <w:tab/>
      </w:r>
      <w:r w:rsidR="00FA3C00" w:rsidRPr="00D07D58">
        <w:rPr>
          <w:bCs/>
          <w:w w:val="105"/>
          <w:sz w:val="20"/>
          <w:szCs w:val="20"/>
        </w:rPr>
        <w:t>anyone acting on behalf of another person who cannot act in their own name;</w:t>
      </w:r>
    </w:p>
    <w:p w14:paraId="71517CBC" w14:textId="3D0C5D3D" w:rsidR="00FA3C00" w:rsidRPr="00D07D58" w:rsidRDefault="00D07D58" w:rsidP="00D07D58">
      <w:pPr>
        <w:tabs>
          <w:tab w:val="left" w:pos="1487"/>
          <w:tab w:val="left" w:pos="1488"/>
        </w:tabs>
        <w:autoSpaceDE/>
        <w:autoSpaceDN/>
        <w:adjustRightInd/>
        <w:spacing w:before="73"/>
        <w:ind w:left="340" w:hanging="360"/>
        <w:jc w:val="both"/>
        <w:rPr>
          <w:bCs/>
          <w:sz w:val="20"/>
          <w:szCs w:val="20"/>
        </w:rPr>
      </w:pPr>
      <w:r w:rsidRPr="00B4178A">
        <w:rPr>
          <w:rFonts w:cs="Times New Roman"/>
          <w:bCs/>
          <w:i/>
          <w:sz w:val="20"/>
          <w:szCs w:val="20"/>
        </w:rPr>
        <w:t>(c)</w:t>
      </w:r>
      <w:r w:rsidRPr="00B4178A">
        <w:rPr>
          <w:rFonts w:cs="Times New Roman"/>
          <w:bCs/>
          <w:i/>
          <w:sz w:val="20"/>
          <w:szCs w:val="20"/>
        </w:rPr>
        <w:tab/>
      </w:r>
      <w:r w:rsidR="00FA3C00" w:rsidRPr="00D07D58">
        <w:rPr>
          <w:bCs/>
          <w:w w:val="105"/>
          <w:sz w:val="20"/>
          <w:szCs w:val="20"/>
        </w:rPr>
        <w:t>anyone acting as a member of, or in the interest of, a group or class of persons;</w:t>
      </w:r>
    </w:p>
    <w:p w14:paraId="5E2B3773" w14:textId="3EB8ECDA" w:rsidR="00FA3C00" w:rsidRPr="00D07D58" w:rsidRDefault="00D07D58" w:rsidP="00D07D58">
      <w:pPr>
        <w:tabs>
          <w:tab w:val="left" w:pos="1487"/>
          <w:tab w:val="left" w:pos="1488"/>
        </w:tabs>
        <w:autoSpaceDE/>
        <w:autoSpaceDN/>
        <w:adjustRightInd/>
        <w:spacing w:before="73"/>
        <w:ind w:left="340" w:hanging="360"/>
        <w:jc w:val="both"/>
        <w:rPr>
          <w:bCs/>
          <w:sz w:val="20"/>
          <w:szCs w:val="20"/>
        </w:rPr>
      </w:pPr>
      <w:r w:rsidRPr="00B4178A">
        <w:rPr>
          <w:rFonts w:cs="Times New Roman"/>
          <w:bCs/>
          <w:i/>
          <w:sz w:val="20"/>
          <w:szCs w:val="20"/>
        </w:rPr>
        <w:t>(d)</w:t>
      </w:r>
      <w:r w:rsidRPr="00B4178A">
        <w:rPr>
          <w:rFonts w:cs="Times New Roman"/>
          <w:bCs/>
          <w:i/>
          <w:sz w:val="20"/>
          <w:szCs w:val="20"/>
        </w:rPr>
        <w:tab/>
      </w:r>
      <w:r w:rsidR="00FA3C00" w:rsidRPr="00D07D58">
        <w:rPr>
          <w:bCs/>
          <w:w w:val="105"/>
          <w:sz w:val="20"/>
          <w:szCs w:val="20"/>
        </w:rPr>
        <w:t>anyone acting in the public interest;</w:t>
      </w:r>
      <w:r w:rsidR="00FA3C00" w:rsidRPr="00D07D58">
        <w:rPr>
          <w:bCs/>
          <w:spacing w:val="-25"/>
          <w:w w:val="105"/>
          <w:sz w:val="20"/>
          <w:szCs w:val="20"/>
        </w:rPr>
        <w:t xml:space="preserve"> </w:t>
      </w:r>
      <w:r w:rsidR="00FA3C00" w:rsidRPr="00D07D58">
        <w:rPr>
          <w:bCs/>
          <w:w w:val="105"/>
          <w:sz w:val="20"/>
          <w:szCs w:val="20"/>
        </w:rPr>
        <w:t>and</w:t>
      </w:r>
    </w:p>
    <w:p w14:paraId="3AFB1A0F" w14:textId="292B35AA" w:rsidR="00FA3C00" w:rsidRPr="00D07D58" w:rsidRDefault="00D07D58" w:rsidP="00D07D58">
      <w:pPr>
        <w:tabs>
          <w:tab w:val="left" w:pos="1487"/>
          <w:tab w:val="left" w:pos="1488"/>
        </w:tabs>
        <w:autoSpaceDE/>
        <w:autoSpaceDN/>
        <w:adjustRightInd/>
        <w:spacing w:before="73"/>
        <w:ind w:left="340" w:hanging="360"/>
        <w:jc w:val="both"/>
        <w:rPr>
          <w:bCs/>
          <w:sz w:val="20"/>
          <w:szCs w:val="20"/>
        </w:rPr>
      </w:pPr>
      <w:r w:rsidRPr="00B4178A">
        <w:rPr>
          <w:rFonts w:cs="Times New Roman"/>
          <w:bCs/>
          <w:i/>
          <w:sz w:val="20"/>
          <w:szCs w:val="20"/>
        </w:rPr>
        <w:t>(e)</w:t>
      </w:r>
      <w:r w:rsidRPr="00B4178A">
        <w:rPr>
          <w:rFonts w:cs="Times New Roman"/>
          <w:bCs/>
          <w:i/>
          <w:sz w:val="20"/>
          <w:szCs w:val="20"/>
        </w:rPr>
        <w:tab/>
      </w:r>
      <w:r w:rsidR="00FA3C00" w:rsidRPr="00D07D58">
        <w:rPr>
          <w:bCs/>
          <w:w w:val="105"/>
          <w:sz w:val="20"/>
          <w:szCs w:val="20"/>
        </w:rPr>
        <w:t>an</w:t>
      </w:r>
      <w:r w:rsidR="00FA3C00" w:rsidRPr="00D07D58">
        <w:rPr>
          <w:bCs/>
          <w:spacing w:val="-6"/>
          <w:w w:val="105"/>
          <w:sz w:val="20"/>
          <w:szCs w:val="20"/>
        </w:rPr>
        <w:t xml:space="preserve"> </w:t>
      </w:r>
      <w:r w:rsidR="00FA3C00" w:rsidRPr="00D07D58">
        <w:rPr>
          <w:bCs/>
          <w:w w:val="105"/>
          <w:sz w:val="20"/>
          <w:szCs w:val="20"/>
        </w:rPr>
        <w:t>association</w:t>
      </w:r>
      <w:r w:rsidR="00FA3C00" w:rsidRPr="00D07D58">
        <w:rPr>
          <w:bCs/>
          <w:spacing w:val="-6"/>
          <w:w w:val="105"/>
          <w:sz w:val="20"/>
          <w:szCs w:val="20"/>
        </w:rPr>
        <w:t xml:space="preserve"> </w:t>
      </w:r>
      <w:r w:rsidR="00FA3C00" w:rsidRPr="00D07D58">
        <w:rPr>
          <w:bCs/>
          <w:w w:val="105"/>
          <w:sz w:val="20"/>
          <w:szCs w:val="20"/>
        </w:rPr>
        <w:t>acting</w:t>
      </w:r>
      <w:r w:rsidR="00FA3C00" w:rsidRPr="00D07D58">
        <w:rPr>
          <w:bCs/>
          <w:spacing w:val="-6"/>
          <w:w w:val="105"/>
          <w:sz w:val="20"/>
          <w:szCs w:val="20"/>
        </w:rPr>
        <w:t xml:space="preserve"> </w:t>
      </w:r>
      <w:r w:rsidR="00FA3C00" w:rsidRPr="00D07D58">
        <w:rPr>
          <w:bCs/>
          <w:w w:val="105"/>
          <w:sz w:val="20"/>
          <w:szCs w:val="20"/>
        </w:rPr>
        <w:t>in</w:t>
      </w:r>
      <w:r w:rsidR="00FA3C00" w:rsidRPr="00D07D58">
        <w:rPr>
          <w:bCs/>
          <w:spacing w:val="-6"/>
          <w:w w:val="105"/>
          <w:sz w:val="20"/>
          <w:szCs w:val="20"/>
        </w:rPr>
        <w:t xml:space="preserve"> </w:t>
      </w:r>
      <w:r w:rsidR="00FA3C00" w:rsidRPr="00D07D58">
        <w:rPr>
          <w:bCs/>
          <w:w w:val="105"/>
          <w:sz w:val="20"/>
          <w:szCs w:val="20"/>
        </w:rPr>
        <w:t>the</w:t>
      </w:r>
      <w:r w:rsidR="00FA3C00" w:rsidRPr="00D07D58">
        <w:rPr>
          <w:bCs/>
          <w:spacing w:val="-7"/>
          <w:w w:val="105"/>
          <w:sz w:val="20"/>
          <w:szCs w:val="20"/>
        </w:rPr>
        <w:t xml:space="preserve"> </w:t>
      </w:r>
      <w:r w:rsidR="00FA3C00" w:rsidRPr="00D07D58">
        <w:rPr>
          <w:bCs/>
          <w:w w:val="105"/>
          <w:sz w:val="20"/>
          <w:szCs w:val="20"/>
        </w:rPr>
        <w:t>interest</w:t>
      </w:r>
      <w:r w:rsidR="00FA3C00" w:rsidRPr="00D07D58">
        <w:rPr>
          <w:bCs/>
          <w:spacing w:val="-6"/>
          <w:w w:val="105"/>
          <w:sz w:val="20"/>
          <w:szCs w:val="20"/>
        </w:rPr>
        <w:t xml:space="preserve"> </w:t>
      </w:r>
      <w:r w:rsidR="00FA3C00" w:rsidRPr="00D07D58">
        <w:rPr>
          <w:bCs/>
          <w:w w:val="105"/>
          <w:sz w:val="20"/>
          <w:szCs w:val="20"/>
        </w:rPr>
        <w:t>of</w:t>
      </w:r>
      <w:r w:rsidR="00FA3C00" w:rsidRPr="00D07D58">
        <w:rPr>
          <w:bCs/>
          <w:spacing w:val="-6"/>
          <w:w w:val="105"/>
          <w:sz w:val="20"/>
          <w:szCs w:val="20"/>
        </w:rPr>
        <w:t xml:space="preserve"> </w:t>
      </w:r>
      <w:r w:rsidR="00FA3C00" w:rsidRPr="00D07D58">
        <w:rPr>
          <w:bCs/>
          <w:w w:val="105"/>
          <w:sz w:val="20"/>
          <w:szCs w:val="20"/>
        </w:rPr>
        <w:t>its</w:t>
      </w:r>
      <w:r w:rsidR="00FA3C00" w:rsidRPr="00D07D58">
        <w:rPr>
          <w:bCs/>
          <w:spacing w:val="-5"/>
          <w:w w:val="105"/>
          <w:sz w:val="20"/>
          <w:szCs w:val="20"/>
        </w:rPr>
        <w:t xml:space="preserve"> </w:t>
      </w:r>
      <w:r w:rsidR="00FA3C00" w:rsidRPr="00D07D58">
        <w:rPr>
          <w:bCs/>
          <w:w w:val="105"/>
          <w:sz w:val="20"/>
          <w:szCs w:val="20"/>
        </w:rPr>
        <w:t>members.’</w:t>
      </w:r>
    </w:p>
    <w:p w14:paraId="4E237EC6" w14:textId="77777777" w:rsidR="00FA3C00" w:rsidRPr="005F42D3" w:rsidRDefault="00FA3C00" w:rsidP="00FA3C00">
      <w:pPr>
        <w:pStyle w:val="ListParagraph"/>
        <w:spacing w:before="9" w:line="249" w:lineRule="auto"/>
        <w:ind w:left="340" w:right="690"/>
        <w:jc w:val="both"/>
        <w:rPr>
          <w:b/>
          <w:sz w:val="18"/>
        </w:rPr>
      </w:pPr>
    </w:p>
  </w:footnote>
  <w:footnote w:id="18">
    <w:p w14:paraId="42C35D27" w14:textId="77777777" w:rsidR="007A386C" w:rsidRPr="002F0183" w:rsidRDefault="007A386C" w:rsidP="001176BB">
      <w:pPr>
        <w:pStyle w:val="FootnoteText"/>
        <w:jc w:val="both"/>
        <w:rPr>
          <w:lang w:val="en-GB"/>
        </w:rPr>
      </w:pPr>
      <w:r>
        <w:rPr>
          <w:rStyle w:val="FootnoteReference"/>
        </w:rPr>
        <w:footnoteRef/>
      </w:r>
      <w:r>
        <w:t xml:space="preserve"> See for example </w:t>
      </w:r>
      <w:r w:rsidRPr="002F0183">
        <w:rPr>
          <w:i/>
          <w:iCs/>
        </w:rPr>
        <w:t>Turner v Jockey Club of South Africa</w:t>
      </w:r>
      <w:r>
        <w:t xml:space="preserve"> 1974 (3) SA 633 (A).</w:t>
      </w:r>
    </w:p>
  </w:footnote>
  <w:footnote w:id="19">
    <w:p w14:paraId="5BD9783C" w14:textId="77777777" w:rsidR="007A386C" w:rsidRPr="002F0183" w:rsidRDefault="007A386C" w:rsidP="001176BB">
      <w:pPr>
        <w:pStyle w:val="Heading2"/>
        <w:shd w:val="clear" w:color="auto" w:fill="FFFFFF"/>
        <w:spacing w:before="0"/>
        <w:jc w:val="both"/>
        <w:rPr>
          <w:rFonts w:ascii="Arial" w:eastAsia="Times New Roman" w:hAnsi="Arial" w:cs="Arial"/>
          <w:color w:val="64473A"/>
          <w:sz w:val="36"/>
          <w:szCs w:val="36"/>
        </w:rPr>
      </w:pPr>
      <w:r w:rsidRPr="00472126">
        <w:rPr>
          <w:rStyle w:val="FootnoteReference"/>
          <w:rFonts w:ascii="Arial" w:hAnsi="Arial" w:cs="Arial"/>
          <w:color w:val="auto"/>
          <w:sz w:val="20"/>
          <w:szCs w:val="20"/>
        </w:rPr>
        <w:footnoteRef/>
      </w:r>
      <w:r w:rsidRPr="00472126">
        <w:rPr>
          <w:rFonts w:ascii="Arial" w:hAnsi="Arial" w:cs="Arial"/>
          <w:color w:val="auto"/>
          <w:sz w:val="20"/>
          <w:szCs w:val="20"/>
        </w:rPr>
        <w:t xml:space="preserve"> </w:t>
      </w:r>
      <w:r w:rsidRPr="00472126">
        <w:rPr>
          <w:rFonts w:ascii="Arial" w:hAnsi="Arial" w:cs="Arial"/>
          <w:i/>
          <w:iCs/>
          <w:color w:val="auto"/>
          <w:sz w:val="20"/>
          <w:szCs w:val="20"/>
          <w:shd w:val="clear" w:color="auto" w:fill="FFFFFF"/>
        </w:rPr>
        <w:t>South African Railways </w:t>
      </w:r>
      <w:r w:rsidRPr="00472126">
        <w:rPr>
          <w:rFonts w:ascii="Arial" w:hAnsi="Arial" w:cs="Arial"/>
          <w:color w:val="auto"/>
          <w:sz w:val="20"/>
          <w:szCs w:val="20"/>
          <w:shd w:val="clear" w:color="auto" w:fill="FFFFFF"/>
        </w:rPr>
        <w:t>v</w:t>
      </w:r>
      <w:r>
        <w:rPr>
          <w:rFonts w:ascii="Arial" w:hAnsi="Arial" w:cs="Arial"/>
          <w:color w:val="auto"/>
          <w:sz w:val="20"/>
          <w:szCs w:val="20"/>
          <w:shd w:val="clear" w:color="auto" w:fill="FFFFFF"/>
        </w:rPr>
        <w:t xml:space="preserve"> </w:t>
      </w:r>
      <w:r w:rsidRPr="00472126">
        <w:rPr>
          <w:rFonts w:ascii="Arial" w:hAnsi="Arial" w:cs="Arial"/>
          <w:i/>
          <w:iCs/>
          <w:color w:val="auto"/>
          <w:sz w:val="20"/>
          <w:szCs w:val="20"/>
          <w:shd w:val="clear" w:color="auto" w:fill="FFFFFF"/>
        </w:rPr>
        <w:t>Swanepoel</w:t>
      </w:r>
      <w:r>
        <w:rPr>
          <w:rFonts w:ascii="Arial" w:hAnsi="Arial" w:cs="Arial"/>
          <w:i/>
          <w:iCs/>
          <w:color w:val="auto"/>
          <w:sz w:val="20"/>
          <w:szCs w:val="20"/>
          <w:shd w:val="clear" w:color="auto" w:fill="FFFFFF"/>
        </w:rPr>
        <w:t xml:space="preserve"> </w:t>
      </w:r>
      <w:r w:rsidRPr="00CC1B93">
        <w:rPr>
          <w:rFonts w:ascii="Arial" w:hAnsi="Arial" w:cs="Arial"/>
          <w:color w:val="auto"/>
          <w:sz w:val="20"/>
          <w:szCs w:val="20"/>
          <w:shd w:val="clear" w:color="auto" w:fill="FFFFFF"/>
        </w:rPr>
        <w:t>1933 AD</w:t>
      </w:r>
      <w:r>
        <w:rPr>
          <w:rFonts w:ascii="Arial" w:hAnsi="Arial" w:cs="Arial"/>
          <w:color w:val="auto"/>
          <w:sz w:val="20"/>
          <w:szCs w:val="20"/>
          <w:shd w:val="clear" w:color="auto" w:fill="FFFFFF"/>
        </w:rPr>
        <w:t xml:space="preserve"> </w:t>
      </w:r>
      <w:r w:rsidRPr="00CC1B93">
        <w:rPr>
          <w:rFonts w:ascii="Arial" w:hAnsi="Arial" w:cs="Arial"/>
          <w:color w:val="auto"/>
          <w:sz w:val="20"/>
          <w:szCs w:val="20"/>
          <w:shd w:val="clear" w:color="auto" w:fill="FFFFFF"/>
        </w:rPr>
        <w:t xml:space="preserve">370 </w:t>
      </w:r>
      <w:r>
        <w:rPr>
          <w:rFonts w:ascii="Arial" w:hAnsi="Arial" w:cs="Arial"/>
          <w:color w:val="auto"/>
          <w:sz w:val="20"/>
          <w:szCs w:val="20"/>
          <w:shd w:val="clear" w:color="auto" w:fill="FFFFFF"/>
        </w:rPr>
        <w:t xml:space="preserve">at </w:t>
      </w:r>
      <w:r w:rsidRPr="00CC1B93">
        <w:rPr>
          <w:rFonts w:ascii="Arial" w:hAnsi="Arial" w:cs="Arial"/>
          <w:color w:val="auto"/>
          <w:sz w:val="20"/>
          <w:szCs w:val="20"/>
          <w:shd w:val="clear" w:color="auto" w:fill="FFFFFF"/>
        </w:rPr>
        <w:t>378</w:t>
      </w:r>
      <w:r>
        <w:rPr>
          <w:rFonts w:ascii="Arial" w:hAnsi="Arial" w:cs="Arial"/>
          <w:i/>
          <w:iCs/>
          <w:color w:val="auto"/>
          <w:sz w:val="20"/>
          <w:szCs w:val="20"/>
          <w:shd w:val="clear" w:color="auto" w:fill="FFFFFF"/>
        </w:rPr>
        <w:t>;</w:t>
      </w:r>
      <w:r w:rsidRPr="00472126">
        <w:rPr>
          <w:rFonts w:ascii="Arial" w:hAnsi="Arial" w:cs="Arial"/>
          <w:color w:val="auto"/>
          <w:sz w:val="20"/>
          <w:szCs w:val="20"/>
          <w:shd w:val="clear" w:color="auto" w:fill="FFFFFF"/>
        </w:rPr>
        <w:t xml:space="preserve"> </w:t>
      </w:r>
      <w:r w:rsidRPr="00472126">
        <w:rPr>
          <w:rFonts w:ascii="Arial" w:hAnsi="Arial" w:cs="Arial"/>
          <w:i/>
          <w:iCs/>
          <w:color w:val="auto"/>
          <w:sz w:val="20"/>
          <w:szCs w:val="20"/>
        </w:rPr>
        <w:t>Theron</w:t>
      </w:r>
      <w:r w:rsidR="009F6EBC">
        <w:rPr>
          <w:rFonts w:ascii="Arial" w:hAnsi="Arial" w:cs="Arial"/>
          <w:i/>
          <w:iCs/>
          <w:color w:val="auto"/>
          <w:sz w:val="20"/>
          <w:szCs w:val="20"/>
        </w:rPr>
        <w:t xml:space="preserve"> and Others</w:t>
      </w:r>
      <w:r w:rsidRPr="00472126">
        <w:rPr>
          <w:rFonts w:ascii="Arial" w:hAnsi="Arial" w:cs="Arial"/>
          <w:i/>
          <w:iCs/>
          <w:color w:val="auto"/>
          <w:sz w:val="20"/>
          <w:szCs w:val="20"/>
        </w:rPr>
        <w:t xml:space="preserve"> v Ring van Wellington van die NG Sendingkerk </w:t>
      </w:r>
      <w:r w:rsidR="0012494B">
        <w:rPr>
          <w:rFonts w:ascii="Arial" w:hAnsi="Arial" w:cs="Arial"/>
          <w:i/>
          <w:iCs/>
          <w:color w:val="auto"/>
          <w:sz w:val="20"/>
          <w:szCs w:val="20"/>
        </w:rPr>
        <w:t xml:space="preserve">and Others </w:t>
      </w:r>
      <w:r w:rsidRPr="00472126">
        <w:rPr>
          <w:rFonts w:ascii="Arial" w:hAnsi="Arial" w:cs="Arial"/>
          <w:color w:val="auto"/>
          <w:sz w:val="20"/>
          <w:szCs w:val="20"/>
        </w:rPr>
        <w:t>1976 (2) SA 1 (A).</w:t>
      </w:r>
    </w:p>
  </w:footnote>
  <w:footnote w:id="20">
    <w:p w14:paraId="40E6722F" w14:textId="77777777" w:rsidR="00555DFA" w:rsidRPr="00A82DA8" w:rsidRDefault="00555DFA" w:rsidP="001176BB">
      <w:pPr>
        <w:pStyle w:val="FootnoteText"/>
        <w:jc w:val="both"/>
        <w:rPr>
          <w:iCs/>
        </w:rPr>
      </w:pPr>
      <w:r>
        <w:rPr>
          <w:rStyle w:val="FootnoteReference"/>
        </w:rPr>
        <w:footnoteRef/>
      </w:r>
      <w:r>
        <w:t xml:space="preserve"> </w:t>
      </w:r>
      <w:r w:rsidRPr="00A82DA8">
        <w:rPr>
          <w:i/>
        </w:rPr>
        <w:t xml:space="preserve">Johannesburg Consolidated Investment Co v Johannesburg Town Council </w:t>
      </w:r>
      <w:r w:rsidRPr="00A82DA8">
        <w:t>1903 TS 111 at 115.</w:t>
      </w:r>
      <w:r w:rsidRPr="00A82DA8">
        <w:rPr>
          <w:i/>
        </w:rPr>
        <w:t xml:space="preserve"> </w:t>
      </w:r>
    </w:p>
  </w:footnote>
  <w:footnote w:id="21">
    <w:p w14:paraId="63B74D7D" w14:textId="77777777" w:rsidR="006C228E" w:rsidRPr="00C1442D" w:rsidRDefault="006C228E" w:rsidP="001176BB">
      <w:pPr>
        <w:pStyle w:val="FootnoteText"/>
        <w:jc w:val="both"/>
      </w:pPr>
      <w:r w:rsidRPr="00A82DA8">
        <w:rPr>
          <w:rStyle w:val="FootnoteReference"/>
          <w:rFonts w:cs="Arial"/>
        </w:rPr>
        <w:footnoteRef/>
      </w:r>
      <w:r w:rsidRPr="00A82DA8">
        <w:t xml:space="preserve"> </w:t>
      </w:r>
      <w:r w:rsidRPr="00A82DA8">
        <w:rPr>
          <w:i/>
        </w:rPr>
        <w:t xml:space="preserve">Hira and Another v Booysen NO and Another </w:t>
      </w:r>
      <w:r w:rsidRPr="00A82DA8">
        <w:t>1992 (4) SA 69 (A) at 93A-94A.</w:t>
      </w:r>
    </w:p>
  </w:footnote>
  <w:footnote w:id="22">
    <w:p w14:paraId="0A249B24" w14:textId="77777777" w:rsidR="007A386C" w:rsidRDefault="007A386C" w:rsidP="00B4178A">
      <w:pPr>
        <w:pStyle w:val="FootnoteText"/>
        <w:jc w:val="both"/>
      </w:pPr>
      <w:r>
        <w:rPr>
          <w:rStyle w:val="FootnoteReference"/>
        </w:rPr>
        <w:footnoteRef/>
      </w:r>
      <w:r>
        <w:t xml:space="preserve"> </w:t>
      </w:r>
      <w:r w:rsidRPr="005E209A">
        <w:rPr>
          <w:i/>
          <w:iCs/>
        </w:rPr>
        <w:t>Barkhuizen v Napier</w:t>
      </w:r>
      <w:r>
        <w:t xml:space="preserve"> [</w:t>
      </w:r>
      <w:r w:rsidRPr="005E209A">
        <w:t>2007] ZACC 5; 2007 (5) SA 323 (CC); 2007 (7) BCLR 691 (CC) para 73</w:t>
      </w:r>
      <w:r>
        <w:t xml:space="preserve"> in a contractual context</w:t>
      </w:r>
      <w:r w:rsidRPr="005E209A">
        <w:t>.</w:t>
      </w:r>
    </w:p>
  </w:footnote>
  <w:footnote w:id="23">
    <w:p w14:paraId="396068AE" w14:textId="77777777" w:rsidR="007A386C" w:rsidRPr="00E1090B" w:rsidRDefault="007A386C" w:rsidP="00B4178A">
      <w:pPr>
        <w:pStyle w:val="FootnoteText"/>
        <w:jc w:val="both"/>
      </w:pPr>
      <w:r w:rsidRPr="00E1090B">
        <w:rPr>
          <w:rStyle w:val="FootnoteReference"/>
          <w:rFonts w:cs="Arial"/>
        </w:rPr>
        <w:footnoteRef/>
      </w:r>
      <w:r w:rsidRPr="00E1090B">
        <w:t xml:space="preserve"> </w:t>
      </w:r>
      <w:bookmarkStart w:id="45" w:name="_Hlk84174513"/>
      <w:r w:rsidR="00115FC6">
        <w:t xml:space="preserve">B </w:t>
      </w:r>
      <w:r w:rsidRPr="00E1090B">
        <w:t xml:space="preserve">Maripe </w:t>
      </w:r>
      <w:bookmarkEnd w:id="45"/>
      <w:r w:rsidRPr="00E1090B">
        <w:t xml:space="preserve">‘Judicial Review and the Public/Private Body Dichotomy: An Appraisal of Developing Trends’ </w:t>
      </w:r>
      <w:r w:rsidR="00CB1476">
        <w:t xml:space="preserve">(2006) University Botswana Law Journal 23 </w:t>
      </w:r>
      <w:r w:rsidRPr="00E1090B">
        <w:t>at 42.</w:t>
      </w:r>
    </w:p>
  </w:footnote>
  <w:footnote w:id="24">
    <w:p w14:paraId="429CA251" w14:textId="77777777" w:rsidR="007A386C" w:rsidRPr="00E1090B" w:rsidRDefault="007A386C" w:rsidP="00B4178A">
      <w:pPr>
        <w:pStyle w:val="FootnoteText"/>
        <w:jc w:val="both"/>
      </w:pPr>
      <w:r w:rsidRPr="00E1090B">
        <w:rPr>
          <w:rStyle w:val="FootnoteReference"/>
          <w:rFonts w:cs="Arial"/>
        </w:rPr>
        <w:footnoteRef/>
      </w:r>
      <w:r w:rsidRPr="00E1090B">
        <w:t xml:space="preserve"> </w:t>
      </w:r>
      <w:r w:rsidRPr="00E1090B">
        <w:rPr>
          <w:i/>
          <w:iCs/>
        </w:rPr>
        <w:t>Breen v Amalgamated Engineering Union and others</w:t>
      </w:r>
      <w:r w:rsidRPr="00E1090B">
        <w:t xml:space="preserve"> [</w:t>
      </w:r>
      <w:r>
        <w:t>1</w:t>
      </w:r>
      <w:r w:rsidRPr="00E1090B">
        <w:t>971] 2</w:t>
      </w:r>
      <w:r w:rsidR="009A7345">
        <w:t xml:space="preserve"> </w:t>
      </w:r>
      <w:r w:rsidRPr="00E1090B">
        <w:t>QB 175.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206279"/>
      <w:docPartObj>
        <w:docPartGallery w:val="Page Numbers (Top of Page)"/>
        <w:docPartUnique/>
      </w:docPartObj>
    </w:sdtPr>
    <w:sdtEndPr>
      <w:rPr>
        <w:noProof/>
      </w:rPr>
    </w:sdtEndPr>
    <w:sdtContent>
      <w:p w14:paraId="3B3B7D59" w14:textId="13C73053" w:rsidR="007A386C" w:rsidRDefault="007A386C">
        <w:pPr>
          <w:pStyle w:val="Header"/>
          <w:jc w:val="right"/>
        </w:pPr>
        <w:r>
          <w:fldChar w:fldCharType="begin"/>
        </w:r>
        <w:r>
          <w:instrText xml:space="preserve"> PAGE   \* MERGEFORMAT </w:instrText>
        </w:r>
        <w:r>
          <w:fldChar w:fldCharType="separate"/>
        </w:r>
        <w:r w:rsidR="00D07D58">
          <w:rPr>
            <w:noProof/>
          </w:rPr>
          <w:t>20</w:t>
        </w:r>
        <w:r>
          <w:rPr>
            <w:noProof/>
          </w:rPr>
          <w:fldChar w:fldCharType="end"/>
        </w:r>
      </w:p>
    </w:sdtContent>
  </w:sdt>
  <w:p w14:paraId="74449187" w14:textId="77777777" w:rsidR="007A386C" w:rsidRDefault="007A38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BFB"/>
    <w:multiLevelType w:val="hybridMultilevel"/>
    <w:tmpl w:val="86A6F2FC"/>
    <w:lvl w:ilvl="0" w:tplc="D44C154C">
      <w:start w:val="1"/>
      <w:numFmt w:val="decimal"/>
      <w:lvlText w:val="[%1]"/>
      <w:lvlJc w:val="left"/>
      <w:pPr>
        <w:ind w:left="1070" w:hanging="360"/>
      </w:pPr>
      <w:rPr>
        <w:rFonts w:ascii="Times New Roman" w:eastAsia="Times New Roman" w:hAnsi="Times New Roman" w:cs="Times New Roman" w:hint="default"/>
        <w:b w:val="0"/>
        <w:i w:val="0"/>
        <w:sz w:val="26"/>
        <w:szCs w:val="26"/>
      </w:rPr>
    </w:lvl>
    <w:lvl w:ilvl="1" w:tplc="DA90867E">
      <w:start w:val="1"/>
      <w:numFmt w:val="decimal"/>
      <w:lvlText w:val="%2."/>
      <w:lvlJc w:val="left"/>
      <w:pPr>
        <w:ind w:left="1222" w:hanging="360"/>
      </w:pPr>
      <w:rPr>
        <w:rFonts w:cs="Times New Roman"/>
        <w:b w:val="0"/>
      </w:rPr>
    </w:lvl>
    <w:lvl w:ilvl="2" w:tplc="953489D6">
      <w:start w:val="1"/>
      <w:numFmt w:val="decimal"/>
      <w:lvlText w:val="%3."/>
      <w:lvlJc w:val="left"/>
      <w:pPr>
        <w:ind w:left="2122" w:hanging="360"/>
      </w:pPr>
      <w:rPr>
        <w:rFonts w:cs="Times New Roman" w:hint="default"/>
        <w:b w:val="0"/>
      </w:rPr>
    </w:lvl>
    <w:lvl w:ilvl="3" w:tplc="737E177A">
      <w:start w:val="1"/>
      <w:numFmt w:val="lowerLetter"/>
      <w:lvlText w:val="(%4)"/>
      <w:lvlJc w:val="left"/>
      <w:pPr>
        <w:ind w:left="2662" w:hanging="360"/>
      </w:pPr>
      <w:rPr>
        <w:rFonts w:cs="Times New Roman" w:hint="default"/>
        <w:b w:val="0"/>
      </w:rPr>
    </w:lvl>
    <w:lvl w:ilvl="4" w:tplc="EB18A41E">
      <w:start w:val="1"/>
      <w:numFmt w:val="lowerLetter"/>
      <w:lvlText w:val="%5)"/>
      <w:lvlJc w:val="left"/>
      <w:pPr>
        <w:ind w:left="3382" w:hanging="360"/>
      </w:pPr>
      <w:rPr>
        <w:rFonts w:cs="Times New Roman"/>
        <w:b w:val="0"/>
      </w:rPr>
    </w:lvl>
    <w:lvl w:ilvl="5" w:tplc="4A6A5AFE">
      <w:start w:val="1"/>
      <w:numFmt w:val="bullet"/>
      <w:lvlText w:val="-"/>
      <w:lvlJc w:val="left"/>
      <w:pPr>
        <w:ind w:left="4282" w:hanging="360"/>
      </w:pPr>
      <w:rPr>
        <w:rFonts w:ascii="Times New Roman" w:eastAsia="Times New Roman" w:hAnsi="Times New Roman" w:hint="default"/>
        <w:b w:val="0"/>
      </w:rPr>
    </w:lvl>
    <w:lvl w:ilvl="6" w:tplc="AA9463C8">
      <w:start w:val="2"/>
      <w:numFmt w:val="lowerRoman"/>
      <w:lvlText w:val="(%7)"/>
      <w:lvlJc w:val="left"/>
      <w:pPr>
        <w:ind w:left="5182" w:hanging="720"/>
      </w:pPr>
      <w:rPr>
        <w:rFonts w:cs="Times New Roman" w:hint="default"/>
        <w:b w:val="0"/>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 w15:restartNumberingAfterBreak="0">
    <w:nsid w:val="08A13431"/>
    <w:multiLevelType w:val="hybridMultilevel"/>
    <w:tmpl w:val="57408820"/>
    <w:lvl w:ilvl="0" w:tplc="D44C154C">
      <w:start w:val="1"/>
      <w:numFmt w:val="decimal"/>
      <w:lvlText w:val="[%1]"/>
      <w:lvlJc w:val="left"/>
      <w:pPr>
        <w:ind w:left="1070" w:hanging="360"/>
      </w:pPr>
      <w:rPr>
        <w:rFonts w:ascii="Times New Roman" w:eastAsia="Times New Roman" w:hAnsi="Times New Roman" w:cs="Times New Roman" w:hint="default"/>
        <w:b w:val="0"/>
        <w:i w:val="0"/>
        <w:sz w:val="26"/>
        <w:szCs w:val="26"/>
      </w:rPr>
    </w:lvl>
    <w:lvl w:ilvl="1" w:tplc="DA90867E">
      <w:start w:val="1"/>
      <w:numFmt w:val="decimal"/>
      <w:lvlText w:val="%2."/>
      <w:lvlJc w:val="left"/>
      <w:pPr>
        <w:ind w:left="1222" w:hanging="360"/>
      </w:pPr>
      <w:rPr>
        <w:rFonts w:cs="Times New Roman"/>
        <w:b w:val="0"/>
      </w:rPr>
    </w:lvl>
    <w:lvl w:ilvl="2" w:tplc="953489D6">
      <w:start w:val="1"/>
      <w:numFmt w:val="decimal"/>
      <w:lvlText w:val="%3."/>
      <w:lvlJc w:val="left"/>
      <w:pPr>
        <w:ind w:left="2122" w:hanging="360"/>
      </w:pPr>
      <w:rPr>
        <w:rFonts w:cs="Times New Roman" w:hint="default"/>
        <w:b w:val="0"/>
      </w:rPr>
    </w:lvl>
    <w:lvl w:ilvl="3" w:tplc="737E177A">
      <w:start w:val="1"/>
      <w:numFmt w:val="lowerLetter"/>
      <w:lvlText w:val="(%4)"/>
      <w:lvlJc w:val="left"/>
      <w:pPr>
        <w:ind w:left="2662" w:hanging="360"/>
      </w:pPr>
      <w:rPr>
        <w:rFonts w:cs="Times New Roman" w:hint="default"/>
        <w:b w:val="0"/>
      </w:rPr>
    </w:lvl>
    <w:lvl w:ilvl="4" w:tplc="EB18A41E">
      <w:start w:val="1"/>
      <w:numFmt w:val="lowerLetter"/>
      <w:lvlText w:val="%5)"/>
      <w:lvlJc w:val="left"/>
      <w:pPr>
        <w:ind w:left="3382" w:hanging="360"/>
      </w:pPr>
      <w:rPr>
        <w:rFonts w:cs="Times New Roman"/>
        <w:b w:val="0"/>
      </w:rPr>
    </w:lvl>
    <w:lvl w:ilvl="5" w:tplc="4A6A5AFE">
      <w:start w:val="1"/>
      <w:numFmt w:val="bullet"/>
      <w:lvlText w:val="-"/>
      <w:lvlJc w:val="left"/>
      <w:pPr>
        <w:ind w:left="4282" w:hanging="360"/>
      </w:pPr>
      <w:rPr>
        <w:rFonts w:ascii="Times New Roman" w:eastAsia="Times New Roman" w:hAnsi="Times New Roman" w:hint="default"/>
        <w:b w:val="0"/>
      </w:rPr>
    </w:lvl>
    <w:lvl w:ilvl="6" w:tplc="AA9463C8">
      <w:start w:val="2"/>
      <w:numFmt w:val="lowerRoman"/>
      <w:lvlText w:val="(%7)"/>
      <w:lvlJc w:val="left"/>
      <w:pPr>
        <w:ind w:left="5182" w:hanging="720"/>
      </w:pPr>
      <w:rPr>
        <w:rFonts w:cs="Times New Roman" w:hint="default"/>
        <w:b w:val="0"/>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2" w15:restartNumberingAfterBreak="0">
    <w:nsid w:val="095A7A26"/>
    <w:multiLevelType w:val="hybridMultilevel"/>
    <w:tmpl w:val="B9220148"/>
    <w:lvl w:ilvl="0" w:tplc="83E8F9EC">
      <w:start w:val="1"/>
      <w:numFmt w:val="decimal"/>
      <w:pStyle w:val="JUDGMENTNUMBERED"/>
      <w:lvlText w:val="[%1]"/>
      <w:lvlJc w:val="left"/>
      <w:pPr>
        <w:ind w:left="360" w:hanging="360"/>
      </w:pPr>
      <w:rPr>
        <w:rFonts w:ascii="Arial" w:hAnsi="Arial" w:cs="Arial"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1" w:tplc="E72E60BC">
      <w:start w:val="1"/>
      <w:numFmt w:val="decimal"/>
      <w:lvlText w:val="(%2)"/>
      <w:lvlJc w:val="left"/>
      <w:pPr>
        <w:ind w:left="2716" w:hanging="360"/>
      </w:pPr>
      <w:rPr>
        <w:rFonts w:cs="Times New Roman" w:hint="default"/>
      </w:rPr>
    </w:lvl>
    <w:lvl w:ilvl="2" w:tplc="12EA14DC">
      <w:start w:val="1"/>
      <w:numFmt w:val="decimal"/>
      <w:lvlText w:val="%3."/>
      <w:lvlJc w:val="left"/>
      <w:pPr>
        <w:ind w:left="4046" w:hanging="360"/>
      </w:pPr>
      <w:rPr>
        <w:rFonts w:ascii="Times New Roman" w:hAnsi="Times New Roman" w:cs="Times New Roman" w:hint="default"/>
        <w:i w:val="0"/>
        <w:strike w:val="0"/>
        <w:sz w:val="28"/>
        <w:szCs w:val="28"/>
      </w:rPr>
    </w:lvl>
    <w:lvl w:ilvl="3" w:tplc="DCD45254">
      <w:start w:val="1"/>
      <w:numFmt w:val="lowerLetter"/>
      <w:lvlText w:val="(%4)"/>
      <w:lvlJc w:val="left"/>
      <w:pPr>
        <w:ind w:left="3526" w:hanging="720"/>
      </w:pPr>
      <w:rPr>
        <w:rFonts w:ascii="Times New Roman" w:eastAsia="Times New Roman" w:hAnsi="Times New Roman" w:cs="Times New Roman" w:hint="default"/>
      </w:rPr>
    </w:lvl>
    <w:lvl w:ilvl="4" w:tplc="AC666328">
      <w:start w:val="1"/>
      <w:numFmt w:val="lowerLetter"/>
      <w:lvlText w:val="(%5)"/>
      <w:lvlJc w:val="left"/>
      <w:pPr>
        <w:ind w:left="4876" w:hanging="360"/>
      </w:pPr>
      <w:rPr>
        <w:rFonts w:cs="Times New Roman" w:hint="default"/>
      </w:rPr>
    </w:lvl>
    <w:lvl w:ilvl="5" w:tplc="0409001B">
      <w:start w:val="1"/>
      <w:numFmt w:val="lowerRoman"/>
      <w:lvlText w:val="%6."/>
      <w:lvlJc w:val="right"/>
      <w:pPr>
        <w:ind w:left="5596" w:hanging="180"/>
      </w:pPr>
      <w:rPr>
        <w:rFonts w:cs="Times New Roman"/>
      </w:rPr>
    </w:lvl>
    <w:lvl w:ilvl="6" w:tplc="0409000F" w:tentative="1">
      <w:start w:val="1"/>
      <w:numFmt w:val="decimal"/>
      <w:lvlText w:val="%7."/>
      <w:lvlJc w:val="left"/>
      <w:pPr>
        <w:ind w:left="6316" w:hanging="360"/>
      </w:pPr>
      <w:rPr>
        <w:rFonts w:cs="Times New Roman"/>
      </w:rPr>
    </w:lvl>
    <w:lvl w:ilvl="7" w:tplc="04090019" w:tentative="1">
      <w:start w:val="1"/>
      <w:numFmt w:val="lowerLetter"/>
      <w:lvlText w:val="%8."/>
      <w:lvlJc w:val="left"/>
      <w:pPr>
        <w:ind w:left="7036" w:hanging="360"/>
      </w:pPr>
      <w:rPr>
        <w:rFonts w:cs="Times New Roman"/>
      </w:rPr>
    </w:lvl>
    <w:lvl w:ilvl="8" w:tplc="0409001B" w:tentative="1">
      <w:start w:val="1"/>
      <w:numFmt w:val="lowerRoman"/>
      <w:lvlText w:val="%9."/>
      <w:lvlJc w:val="right"/>
      <w:pPr>
        <w:ind w:left="7756" w:hanging="180"/>
      </w:pPr>
      <w:rPr>
        <w:rFonts w:cs="Times New Roman"/>
      </w:rPr>
    </w:lvl>
  </w:abstractNum>
  <w:abstractNum w:abstractNumId="3" w15:restartNumberingAfterBreak="0">
    <w:nsid w:val="0E0E5F88"/>
    <w:multiLevelType w:val="hybridMultilevel"/>
    <w:tmpl w:val="1EC249AC"/>
    <w:lvl w:ilvl="0" w:tplc="67302836">
      <w:start w:val="1"/>
      <w:numFmt w:val="decimal"/>
      <w:lvlText w:val="[%1]"/>
      <w:lvlJc w:val="left"/>
      <w:pPr>
        <w:ind w:left="1070" w:hanging="360"/>
      </w:pPr>
      <w:rPr>
        <w:rFonts w:ascii="Arial" w:eastAsia="Times New Roman" w:hAnsi="Arial" w:cs="Arial" w:hint="default"/>
        <w:b w:val="0"/>
        <w:i w:val="0"/>
        <w:strike w:val="0"/>
        <w:sz w:val="24"/>
        <w:szCs w:val="24"/>
      </w:rPr>
    </w:lvl>
    <w:lvl w:ilvl="1" w:tplc="DA90867E">
      <w:start w:val="1"/>
      <w:numFmt w:val="decimal"/>
      <w:lvlText w:val="%2."/>
      <w:lvlJc w:val="left"/>
      <w:pPr>
        <w:ind w:left="1222" w:hanging="360"/>
      </w:pPr>
      <w:rPr>
        <w:rFonts w:cs="Times New Roman"/>
        <w:b w:val="0"/>
      </w:rPr>
    </w:lvl>
    <w:lvl w:ilvl="2" w:tplc="953489D6">
      <w:start w:val="1"/>
      <w:numFmt w:val="decimal"/>
      <w:lvlText w:val="%3."/>
      <w:lvlJc w:val="left"/>
      <w:pPr>
        <w:ind w:left="2122" w:hanging="360"/>
      </w:pPr>
      <w:rPr>
        <w:rFonts w:cs="Times New Roman" w:hint="default"/>
        <w:b w:val="0"/>
      </w:rPr>
    </w:lvl>
    <w:lvl w:ilvl="3" w:tplc="CC683558">
      <w:start w:val="1"/>
      <w:numFmt w:val="lowerLetter"/>
      <w:lvlText w:val="(%4)"/>
      <w:lvlJc w:val="left"/>
      <w:pPr>
        <w:ind w:left="2662" w:hanging="360"/>
      </w:pPr>
      <w:rPr>
        <w:rFonts w:cs="Times New Roman" w:hint="default"/>
        <w:b w:val="0"/>
        <w:i/>
      </w:rPr>
    </w:lvl>
    <w:lvl w:ilvl="4" w:tplc="EB18A41E">
      <w:start w:val="1"/>
      <w:numFmt w:val="lowerLetter"/>
      <w:lvlText w:val="%5)"/>
      <w:lvlJc w:val="left"/>
      <w:pPr>
        <w:ind w:left="3382" w:hanging="360"/>
      </w:pPr>
      <w:rPr>
        <w:rFonts w:cs="Times New Roman"/>
        <w:b w:val="0"/>
      </w:rPr>
    </w:lvl>
    <w:lvl w:ilvl="5" w:tplc="4A6A5AFE">
      <w:start w:val="1"/>
      <w:numFmt w:val="bullet"/>
      <w:lvlText w:val="-"/>
      <w:lvlJc w:val="left"/>
      <w:pPr>
        <w:ind w:left="4282" w:hanging="360"/>
      </w:pPr>
      <w:rPr>
        <w:rFonts w:ascii="Times New Roman" w:eastAsia="Times New Roman" w:hAnsi="Times New Roman" w:hint="default"/>
        <w:b w:val="0"/>
      </w:rPr>
    </w:lvl>
    <w:lvl w:ilvl="6" w:tplc="71BC983C">
      <w:start w:val="1"/>
      <w:numFmt w:val="lowerRoman"/>
      <w:lvlText w:val="(%7)"/>
      <w:lvlJc w:val="left"/>
      <w:pPr>
        <w:ind w:left="5182" w:hanging="720"/>
      </w:pPr>
      <w:rPr>
        <w:rFonts w:ascii="Arial" w:eastAsiaTheme="minorEastAsia" w:hAnsi="Arial" w:cs="Arial" w:hint="default"/>
        <w:b w:val="0"/>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4" w15:restartNumberingAfterBreak="0">
    <w:nsid w:val="0E494790"/>
    <w:multiLevelType w:val="hybridMultilevel"/>
    <w:tmpl w:val="49C21E90"/>
    <w:lvl w:ilvl="0" w:tplc="1DF6AC4E">
      <w:start w:val="1"/>
      <w:numFmt w:val="decimal"/>
      <w:lvlText w:val="[%1]"/>
      <w:lvlJc w:val="left"/>
      <w:pPr>
        <w:ind w:left="1070" w:hanging="360"/>
      </w:pPr>
      <w:rPr>
        <w:rFonts w:ascii="Times New Roman" w:eastAsia="Times New Roman" w:hAnsi="Times New Roman" w:cs="Times New Roman" w:hint="default"/>
        <w:b w:val="0"/>
        <w:i w:val="0"/>
        <w:strike w:val="0"/>
        <w:sz w:val="26"/>
        <w:szCs w:val="26"/>
      </w:rPr>
    </w:lvl>
    <w:lvl w:ilvl="1" w:tplc="DA90867E">
      <w:start w:val="1"/>
      <w:numFmt w:val="decimal"/>
      <w:lvlText w:val="%2."/>
      <w:lvlJc w:val="left"/>
      <w:pPr>
        <w:ind w:left="1222" w:hanging="360"/>
      </w:pPr>
      <w:rPr>
        <w:rFonts w:cs="Times New Roman"/>
        <w:b w:val="0"/>
      </w:rPr>
    </w:lvl>
    <w:lvl w:ilvl="2" w:tplc="953489D6">
      <w:start w:val="1"/>
      <w:numFmt w:val="decimal"/>
      <w:lvlText w:val="%3."/>
      <w:lvlJc w:val="left"/>
      <w:pPr>
        <w:ind w:left="2122" w:hanging="360"/>
      </w:pPr>
      <w:rPr>
        <w:rFonts w:cs="Times New Roman" w:hint="default"/>
        <w:b w:val="0"/>
      </w:rPr>
    </w:lvl>
    <w:lvl w:ilvl="3" w:tplc="737E177A">
      <w:start w:val="1"/>
      <w:numFmt w:val="lowerLetter"/>
      <w:lvlText w:val="(%4)"/>
      <w:lvlJc w:val="left"/>
      <w:pPr>
        <w:ind w:left="2662" w:hanging="360"/>
      </w:pPr>
      <w:rPr>
        <w:rFonts w:cs="Times New Roman" w:hint="default"/>
        <w:b w:val="0"/>
      </w:rPr>
    </w:lvl>
    <w:lvl w:ilvl="4" w:tplc="EB18A41E">
      <w:start w:val="1"/>
      <w:numFmt w:val="lowerLetter"/>
      <w:lvlText w:val="%5)"/>
      <w:lvlJc w:val="left"/>
      <w:pPr>
        <w:ind w:left="3382" w:hanging="360"/>
      </w:pPr>
      <w:rPr>
        <w:rFonts w:cs="Times New Roman"/>
        <w:b w:val="0"/>
      </w:rPr>
    </w:lvl>
    <w:lvl w:ilvl="5" w:tplc="4A6A5AFE">
      <w:start w:val="1"/>
      <w:numFmt w:val="bullet"/>
      <w:lvlText w:val="-"/>
      <w:lvlJc w:val="left"/>
      <w:pPr>
        <w:ind w:left="4282" w:hanging="360"/>
      </w:pPr>
      <w:rPr>
        <w:rFonts w:ascii="Times New Roman" w:eastAsia="Times New Roman" w:hAnsi="Times New Roman" w:hint="default"/>
        <w:b w:val="0"/>
      </w:rPr>
    </w:lvl>
    <w:lvl w:ilvl="6" w:tplc="FD5A1F3C">
      <w:start w:val="1"/>
      <w:numFmt w:val="lowerRoman"/>
      <w:lvlText w:val="(%7)"/>
      <w:lvlJc w:val="left"/>
      <w:pPr>
        <w:ind w:left="5182" w:hanging="720"/>
      </w:pPr>
      <w:rPr>
        <w:rFonts w:ascii="Times New Roman" w:eastAsiaTheme="minorEastAsia" w:hAnsi="Times New Roman" w:cs="Times New Roman"/>
        <w:b w:val="0"/>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5" w15:restartNumberingAfterBreak="0">
    <w:nsid w:val="12DA5EDA"/>
    <w:multiLevelType w:val="hybridMultilevel"/>
    <w:tmpl w:val="3704F8AE"/>
    <w:lvl w:ilvl="0" w:tplc="D44C154C">
      <w:start w:val="1"/>
      <w:numFmt w:val="decimal"/>
      <w:lvlText w:val="[%1]"/>
      <w:lvlJc w:val="left"/>
      <w:pPr>
        <w:ind w:left="2062" w:hanging="360"/>
      </w:pPr>
      <w:rPr>
        <w:rFonts w:ascii="Times New Roman" w:eastAsia="Times New Roman" w:hAnsi="Times New Roman" w:cs="Times New Roman" w:hint="default"/>
        <w:b w:val="0"/>
        <w:i w:val="0"/>
        <w:sz w:val="26"/>
        <w:szCs w:val="26"/>
      </w:rPr>
    </w:lvl>
    <w:lvl w:ilvl="1" w:tplc="DA90867E">
      <w:start w:val="1"/>
      <w:numFmt w:val="decimal"/>
      <w:lvlText w:val="%2."/>
      <w:lvlJc w:val="left"/>
      <w:pPr>
        <w:ind w:left="1222" w:hanging="360"/>
      </w:pPr>
      <w:rPr>
        <w:rFonts w:cs="Times New Roman"/>
        <w:b w:val="0"/>
      </w:rPr>
    </w:lvl>
    <w:lvl w:ilvl="2" w:tplc="953489D6">
      <w:start w:val="1"/>
      <w:numFmt w:val="decimal"/>
      <w:lvlText w:val="%3."/>
      <w:lvlJc w:val="left"/>
      <w:pPr>
        <w:ind w:left="2122" w:hanging="360"/>
      </w:pPr>
      <w:rPr>
        <w:rFonts w:cs="Times New Roman" w:hint="default"/>
        <w:b w:val="0"/>
      </w:rPr>
    </w:lvl>
    <w:lvl w:ilvl="3" w:tplc="737E177A">
      <w:start w:val="1"/>
      <w:numFmt w:val="lowerLetter"/>
      <w:lvlText w:val="(%4)"/>
      <w:lvlJc w:val="left"/>
      <w:pPr>
        <w:ind w:left="2662" w:hanging="360"/>
      </w:pPr>
      <w:rPr>
        <w:rFonts w:cs="Times New Roman" w:hint="default"/>
        <w:b w:val="0"/>
      </w:rPr>
    </w:lvl>
    <w:lvl w:ilvl="4" w:tplc="EB18A41E">
      <w:start w:val="1"/>
      <w:numFmt w:val="lowerLetter"/>
      <w:lvlText w:val="%5)"/>
      <w:lvlJc w:val="left"/>
      <w:pPr>
        <w:ind w:left="3382" w:hanging="360"/>
      </w:pPr>
      <w:rPr>
        <w:rFonts w:cs="Times New Roman"/>
        <w:b w:val="0"/>
      </w:rPr>
    </w:lvl>
    <w:lvl w:ilvl="5" w:tplc="4A6A5AFE">
      <w:start w:val="1"/>
      <w:numFmt w:val="bullet"/>
      <w:lvlText w:val="-"/>
      <w:lvlJc w:val="left"/>
      <w:pPr>
        <w:ind w:left="4282" w:hanging="360"/>
      </w:pPr>
      <w:rPr>
        <w:rFonts w:ascii="Times New Roman" w:eastAsia="Times New Roman" w:hAnsi="Times New Roman" w:hint="default"/>
        <w:b w:val="0"/>
      </w:rPr>
    </w:lvl>
    <w:lvl w:ilvl="6" w:tplc="AA9463C8">
      <w:start w:val="2"/>
      <w:numFmt w:val="lowerRoman"/>
      <w:lvlText w:val="(%7)"/>
      <w:lvlJc w:val="left"/>
      <w:pPr>
        <w:ind w:left="5182" w:hanging="720"/>
      </w:pPr>
      <w:rPr>
        <w:rFonts w:cs="Times New Roman" w:hint="default"/>
        <w:b w:val="0"/>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6" w15:restartNumberingAfterBreak="0">
    <w:nsid w:val="1B1B0315"/>
    <w:multiLevelType w:val="multilevel"/>
    <w:tmpl w:val="E95E4C72"/>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885497"/>
    <w:multiLevelType w:val="hybridMultilevel"/>
    <w:tmpl w:val="4F5A9156"/>
    <w:lvl w:ilvl="0" w:tplc="D44C154C">
      <w:start w:val="1"/>
      <w:numFmt w:val="decimal"/>
      <w:lvlText w:val="[%1]"/>
      <w:lvlJc w:val="left"/>
      <w:pPr>
        <w:ind w:left="2062" w:hanging="360"/>
      </w:pPr>
      <w:rPr>
        <w:rFonts w:ascii="Times New Roman" w:eastAsia="Times New Roman" w:hAnsi="Times New Roman" w:cs="Times New Roman" w:hint="default"/>
        <w:b w:val="0"/>
        <w:i w:val="0"/>
        <w:sz w:val="26"/>
        <w:szCs w:val="26"/>
      </w:rPr>
    </w:lvl>
    <w:lvl w:ilvl="1" w:tplc="DA90867E">
      <w:start w:val="1"/>
      <w:numFmt w:val="decimal"/>
      <w:lvlText w:val="%2."/>
      <w:lvlJc w:val="left"/>
      <w:pPr>
        <w:ind w:left="1222" w:hanging="360"/>
      </w:pPr>
      <w:rPr>
        <w:rFonts w:cs="Times New Roman"/>
        <w:b w:val="0"/>
      </w:rPr>
    </w:lvl>
    <w:lvl w:ilvl="2" w:tplc="953489D6">
      <w:start w:val="1"/>
      <w:numFmt w:val="decimal"/>
      <w:lvlText w:val="%3."/>
      <w:lvlJc w:val="left"/>
      <w:pPr>
        <w:ind w:left="2122" w:hanging="360"/>
      </w:pPr>
      <w:rPr>
        <w:rFonts w:cs="Times New Roman" w:hint="default"/>
        <w:b w:val="0"/>
      </w:rPr>
    </w:lvl>
    <w:lvl w:ilvl="3" w:tplc="737E177A">
      <w:start w:val="1"/>
      <w:numFmt w:val="lowerLetter"/>
      <w:lvlText w:val="(%4)"/>
      <w:lvlJc w:val="left"/>
      <w:pPr>
        <w:ind w:left="2662" w:hanging="360"/>
      </w:pPr>
      <w:rPr>
        <w:rFonts w:cs="Times New Roman" w:hint="default"/>
        <w:b w:val="0"/>
      </w:rPr>
    </w:lvl>
    <w:lvl w:ilvl="4" w:tplc="EB18A41E">
      <w:start w:val="1"/>
      <w:numFmt w:val="lowerLetter"/>
      <w:lvlText w:val="%5)"/>
      <w:lvlJc w:val="left"/>
      <w:pPr>
        <w:ind w:left="3382" w:hanging="360"/>
      </w:pPr>
      <w:rPr>
        <w:rFonts w:cs="Times New Roman"/>
        <w:b w:val="0"/>
      </w:rPr>
    </w:lvl>
    <w:lvl w:ilvl="5" w:tplc="4A6A5AFE">
      <w:start w:val="1"/>
      <w:numFmt w:val="bullet"/>
      <w:lvlText w:val="-"/>
      <w:lvlJc w:val="left"/>
      <w:pPr>
        <w:ind w:left="4282" w:hanging="360"/>
      </w:pPr>
      <w:rPr>
        <w:rFonts w:ascii="Times New Roman" w:eastAsia="Times New Roman" w:hAnsi="Times New Roman" w:hint="default"/>
        <w:b w:val="0"/>
      </w:rPr>
    </w:lvl>
    <w:lvl w:ilvl="6" w:tplc="AA9463C8">
      <w:start w:val="2"/>
      <w:numFmt w:val="lowerRoman"/>
      <w:lvlText w:val="(%7)"/>
      <w:lvlJc w:val="left"/>
      <w:pPr>
        <w:ind w:left="5182" w:hanging="720"/>
      </w:pPr>
      <w:rPr>
        <w:rFonts w:cs="Times New Roman" w:hint="default"/>
        <w:b w:val="0"/>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8" w15:restartNumberingAfterBreak="0">
    <w:nsid w:val="1CB87B06"/>
    <w:multiLevelType w:val="hybridMultilevel"/>
    <w:tmpl w:val="9AF41BBC"/>
    <w:lvl w:ilvl="0" w:tplc="1DF6AC4E">
      <w:start w:val="1"/>
      <w:numFmt w:val="decimal"/>
      <w:lvlText w:val="[%1]"/>
      <w:lvlJc w:val="left"/>
      <w:pPr>
        <w:ind w:left="1070" w:hanging="360"/>
      </w:pPr>
      <w:rPr>
        <w:rFonts w:ascii="Times New Roman" w:eastAsia="Times New Roman" w:hAnsi="Times New Roman" w:cs="Times New Roman" w:hint="default"/>
        <w:b w:val="0"/>
        <w:i w:val="0"/>
        <w:strike w:val="0"/>
        <w:sz w:val="26"/>
        <w:szCs w:val="26"/>
      </w:rPr>
    </w:lvl>
    <w:lvl w:ilvl="1" w:tplc="DA90867E">
      <w:start w:val="1"/>
      <w:numFmt w:val="decimal"/>
      <w:lvlText w:val="%2."/>
      <w:lvlJc w:val="left"/>
      <w:pPr>
        <w:ind w:left="1222" w:hanging="360"/>
      </w:pPr>
      <w:rPr>
        <w:rFonts w:cs="Times New Roman"/>
        <w:b w:val="0"/>
      </w:rPr>
    </w:lvl>
    <w:lvl w:ilvl="2" w:tplc="953489D6">
      <w:start w:val="1"/>
      <w:numFmt w:val="decimal"/>
      <w:lvlText w:val="%3."/>
      <w:lvlJc w:val="left"/>
      <w:pPr>
        <w:ind w:left="2122" w:hanging="360"/>
      </w:pPr>
      <w:rPr>
        <w:rFonts w:cs="Times New Roman" w:hint="default"/>
        <w:b w:val="0"/>
      </w:rPr>
    </w:lvl>
    <w:lvl w:ilvl="3" w:tplc="737E177A">
      <w:start w:val="1"/>
      <w:numFmt w:val="lowerLetter"/>
      <w:lvlText w:val="(%4)"/>
      <w:lvlJc w:val="left"/>
      <w:pPr>
        <w:ind w:left="2662" w:hanging="360"/>
      </w:pPr>
      <w:rPr>
        <w:rFonts w:cs="Times New Roman" w:hint="default"/>
        <w:b w:val="0"/>
      </w:rPr>
    </w:lvl>
    <w:lvl w:ilvl="4" w:tplc="EB18A41E">
      <w:start w:val="1"/>
      <w:numFmt w:val="lowerLetter"/>
      <w:lvlText w:val="%5)"/>
      <w:lvlJc w:val="left"/>
      <w:pPr>
        <w:ind w:left="3382" w:hanging="360"/>
      </w:pPr>
      <w:rPr>
        <w:rFonts w:cs="Times New Roman"/>
        <w:b w:val="0"/>
      </w:rPr>
    </w:lvl>
    <w:lvl w:ilvl="5" w:tplc="4A6A5AFE">
      <w:start w:val="1"/>
      <w:numFmt w:val="bullet"/>
      <w:lvlText w:val="-"/>
      <w:lvlJc w:val="left"/>
      <w:pPr>
        <w:ind w:left="4282" w:hanging="360"/>
      </w:pPr>
      <w:rPr>
        <w:rFonts w:ascii="Times New Roman" w:eastAsia="Times New Roman" w:hAnsi="Times New Roman" w:hint="default"/>
        <w:b w:val="0"/>
      </w:rPr>
    </w:lvl>
    <w:lvl w:ilvl="6" w:tplc="FD5A1F3C">
      <w:start w:val="1"/>
      <w:numFmt w:val="lowerRoman"/>
      <w:lvlText w:val="(%7)"/>
      <w:lvlJc w:val="left"/>
      <w:pPr>
        <w:ind w:left="5182" w:hanging="720"/>
      </w:pPr>
      <w:rPr>
        <w:rFonts w:ascii="Times New Roman" w:eastAsiaTheme="minorEastAsia" w:hAnsi="Times New Roman" w:cs="Times New Roman"/>
        <w:b w:val="0"/>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9" w15:restartNumberingAfterBreak="0">
    <w:nsid w:val="20C737D9"/>
    <w:multiLevelType w:val="hybridMultilevel"/>
    <w:tmpl w:val="67DCDF8E"/>
    <w:lvl w:ilvl="0" w:tplc="1DF6AC4E">
      <w:start w:val="1"/>
      <w:numFmt w:val="decimal"/>
      <w:lvlText w:val="[%1]"/>
      <w:lvlJc w:val="left"/>
      <w:pPr>
        <w:ind w:left="1070" w:hanging="360"/>
      </w:pPr>
      <w:rPr>
        <w:rFonts w:ascii="Times New Roman" w:eastAsia="Times New Roman" w:hAnsi="Times New Roman" w:cs="Times New Roman" w:hint="default"/>
        <w:b w:val="0"/>
        <w:i w:val="0"/>
        <w:strike w:val="0"/>
        <w:sz w:val="26"/>
        <w:szCs w:val="26"/>
      </w:rPr>
    </w:lvl>
    <w:lvl w:ilvl="1" w:tplc="DA90867E">
      <w:start w:val="1"/>
      <w:numFmt w:val="decimal"/>
      <w:lvlText w:val="%2."/>
      <w:lvlJc w:val="left"/>
      <w:pPr>
        <w:ind w:left="1222" w:hanging="360"/>
      </w:pPr>
      <w:rPr>
        <w:rFonts w:cs="Times New Roman"/>
        <w:b w:val="0"/>
      </w:rPr>
    </w:lvl>
    <w:lvl w:ilvl="2" w:tplc="953489D6">
      <w:start w:val="1"/>
      <w:numFmt w:val="decimal"/>
      <w:lvlText w:val="%3."/>
      <w:lvlJc w:val="left"/>
      <w:pPr>
        <w:ind w:left="2122" w:hanging="360"/>
      </w:pPr>
      <w:rPr>
        <w:rFonts w:cs="Times New Roman" w:hint="default"/>
        <w:b w:val="0"/>
      </w:rPr>
    </w:lvl>
    <w:lvl w:ilvl="3" w:tplc="737E177A">
      <w:start w:val="1"/>
      <w:numFmt w:val="lowerLetter"/>
      <w:lvlText w:val="(%4)"/>
      <w:lvlJc w:val="left"/>
      <w:pPr>
        <w:ind w:left="2662" w:hanging="360"/>
      </w:pPr>
      <w:rPr>
        <w:rFonts w:cs="Times New Roman" w:hint="default"/>
        <w:b w:val="0"/>
      </w:rPr>
    </w:lvl>
    <w:lvl w:ilvl="4" w:tplc="EB18A41E">
      <w:start w:val="1"/>
      <w:numFmt w:val="lowerLetter"/>
      <w:lvlText w:val="%5)"/>
      <w:lvlJc w:val="left"/>
      <w:pPr>
        <w:ind w:left="3382" w:hanging="360"/>
      </w:pPr>
      <w:rPr>
        <w:rFonts w:cs="Times New Roman"/>
        <w:b w:val="0"/>
      </w:rPr>
    </w:lvl>
    <w:lvl w:ilvl="5" w:tplc="4A6A5AFE">
      <w:start w:val="1"/>
      <w:numFmt w:val="bullet"/>
      <w:lvlText w:val="-"/>
      <w:lvlJc w:val="left"/>
      <w:pPr>
        <w:ind w:left="4282" w:hanging="360"/>
      </w:pPr>
      <w:rPr>
        <w:rFonts w:ascii="Times New Roman" w:eastAsia="Times New Roman" w:hAnsi="Times New Roman" w:hint="default"/>
        <w:b w:val="0"/>
      </w:rPr>
    </w:lvl>
    <w:lvl w:ilvl="6" w:tplc="FD5A1F3C">
      <w:start w:val="1"/>
      <w:numFmt w:val="lowerRoman"/>
      <w:lvlText w:val="(%7)"/>
      <w:lvlJc w:val="left"/>
      <w:pPr>
        <w:ind w:left="5182" w:hanging="720"/>
      </w:pPr>
      <w:rPr>
        <w:rFonts w:ascii="Times New Roman" w:eastAsiaTheme="minorEastAsia" w:hAnsi="Times New Roman" w:cs="Times New Roman"/>
        <w:b w:val="0"/>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0" w15:restartNumberingAfterBreak="0">
    <w:nsid w:val="25044774"/>
    <w:multiLevelType w:val="hybridMultilevel"/>
    <w:tmpl w:val="A98A978E"/>
    <w:lvl w:ilvl="0" w:tplc="1DF6AC4E">
      <w:start w:val="1"/>
      <w:numFmt w:val="decimal"/>
      <w:lvlText w:val="[%1]"/>
      <w:lvlJc w:val="left"/>
      <w:pPr>
        <w:ind w:left="1070" w:hanging="360"/>
      </w:pPr>
      <w:rPr>
        <w:rFonts w:ascii="Times New Roman" w:eastAsia="Times New Roman" w:hAnsi="Times New Roman" w:cs="Times New Roman" w:hint="default"/>
        <w:b w:val="0"/>
        <w:i w:val="0"/>
        <w:strike w:val="0"/>
        <w:sz w:val="26"/>
        <w:szCs w:val="26"/>
      </w:rPr>
    </w:lvl>
    <w:lvl w:ilvl="1" w:tplc="DA90867E">
      <w:start w:val="1"/>
      <w:numFmt w:val="decimal"/>
      <w:lvlText w:val="%2."/>
      <w:lvlJc w:val="left"/>
      <w:pPr>
        <w:ind w:left="1222" w:hanging="360"/>
      </w:pPr>
      <w:rPr>
        <w:rFonts w:cs="Times New Roman"/>
        <w:b w:val="0"/>
      </w:rPr>
    </w:lvl>
    <w:lvl w:ilvl="2" w:tplc="953489D6">
      <w:start w:val="1"/>
      <w:numFmt w:val="decimal"/>
      <w:lvlText w:val="%3."/>
      <w:lvlJc w:val="left"/>
      <w:pPr>
        <w:ind w:left="2122" w:hanging="360"/>
      </w:pPr>
      <w:rPr>
        <w:rFonts w:cs="Times New Roman" w:hint="default"/>
        <w:b w:val="0"/>
      </w:rPr>
    </w:lvl>
    <w:lvl w:ilvl="3" w:tplc="737E177A">
      <w:start w:val="1"/>
      <w:numFmt w:val="lowerLetter"/>
      <w:lvlText w:val="(%4)"/>
      <w:lvlJc w:val="left"/>
      <w:pPr>
        <w:ind w:left="2662" w:hanging="360"/>
      </w:pPr>
      <w:rPr>
        <w:rFonts w:cs="Times New Roman" w:hint="default"/>
        <w:b w:val="0"/>
      </w:rPr>
    </w:lvl>
    <w:lvl w:ilvl="4" w:tplc="EB18A41E">
      <w:start w:val="1"/>
      <w:numFmt w:val="lowerLetter"/>
      <w:lvlText w:val="%5)"/>
      <w:lvlJc w:val="left"/>
      <w:pPr>
        <w:ind w:left="3382" w:hanging="360"/>
      </w:pPr>
      <w:rPr>
        <w:rFonts w:cs="Times New Roman"/>
        <w:b w:val="0"/>
      </w:rPr>
    </w:lvl>
    <w:lvl w:ilvl="5" w:tplc="4A6A5AFE">
      <w:start w:val="1"/>
      <w:numFmt w:val="bullet"/>
      <w:lvlText w:val="-"/>
      <w:lvlJc w:val="left"/>
      <w:pPr>
        <w:ind w:left="4282" w:hanging="360"/>
      </w:pPr>
      <w:rPr>
        <w:rFonts w:ascii="Times New Roman" w:eastAsia="Times New Roman" w:hAnsi="Times New Roman" w:hint="default"/>
        <w:b w:val="0"/>
      </w:rPr>
    </w:lvl>
    <w:lvl w:ilvl="6" w:tplc="FD5A1F3C">
      <w:start w:val="1"/>
      <w:numFmt w:val="lowerRoman"/>
      <w:lvlText w:val="(%7)"/>
      <w:lvlJc w:val="left"/>
      <w:pPr>
        <w:ind w:left="5182" w:hanging="720"/>
      </w:pPr>
      <w:rPr>
        <w:rFonts w:ascii="Times New Roman" w:eastAsiaTheme="minorEastAsia" w:hAnsi="Times New Roman" w:cs="Times New Roman"/>
        <w:b w:val="0"/>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1" w15:restartNumberingAfterBreak="0">
    <w:nsid w:val="265D7D8D"/>
    <w:multiLevelType w:val="hybridMultilevel"/>
    <w:tmpl w:val="60C01E8C"/>
    <w:lvl w:ilvl="0" w:tplc="1DF6AC4E">
      <w:start w:val="1"/>
      <w:numFmt w:val="decimal"/>
      <w:lvlText w:val="[%1]"/>
      <w:lvlJc w:val="left"/>
      <w:pPr>
        <w:ind w:left="1070" w:hanging="360"/>
      </w:pPr>
      <w:rPr>
        <w:rFonts w:ascii="Times New Roman" w:eastAsia="Times New Roman" w:hAnsi="Times New Roman" w:cs="Times New Roman" w:hint="default"/>
        <w:b w:val="0"/>
        <w:i w:val="0"/>
        <w:strike w:val="0"/>
        <w:sz w:val="26"/>
        <w:szCs w:val="26"/>
      </w:rPr>
    </w:lvl>
    <w:lvl w:ilvl="1" w:tplc="DA90867E">
      <w:start w:val="1"/>
      <w:numFmt w:val="decimal"/>
      <w:lvlText w:val="%2."/>
      <w:lvlJc w:val="left"/>
      <w:pPr>
        <w:ind w:left="1222" w:hanging="360"/>
      </w:pPr>
      <w:rPr>
        <w:rFonts w:cs="Times New Roman"/>
        <w:b w:val="0"/>
      </w:rPr>
    </w:lvl>
    <w:lvl w:ilvl="2" w:tplc="953489D6">
      <w:start w:val="1"/>
      <w:numFmt w:val="decimal"/>
      <w:lvlText w:val="%3."/>
      <w:lvlJc w:val="left"/>
      <w:pPr>
        <w:ind w:left="2122" w:hanging="360"/>
      </w:pPr>
      <w:rPr>
        <w:rFonts w:cs="Times New Roman" w:hint="default"/>
        <w:b w:val="0"/>
      </w:rPr>
    </w:lvl>
    <w:lvl w:ilvl="3" w:tplc="737E177A">
      <w:start w:val="1"/>
      <w:numFmt w:val="lowerLetter"/>
      <w:lvlText w:val="(%4)"/>
      <w:lvlJc w:val="left"/>
      <w:pPr>
        <w:ind w:left="2662" w:hanging="360"/>
      </w:pPr>
      <w:rPr>
        <w:rFonts w:cs="Times New Roman" w:hint="default"/>
        <w:b w:val="0"/>
      </w:rPr>
    </w:lvl>
    <w:lvl w:ilvl="4" w:tplc="EB18A41E">
      <w:start w:val="1"/>
      <w:numFmt w:val="lowerLetter"/>
      <w:lvlText w:val="%5)"/>
      <w:lvlJc w:val="left"/>
      <w:pPr>
        <w:ind w:left="3382" w:hanging="360"/>
      </w:pPr>
      <w:rPr>
        <w:rFonts w:cs="Times New Roman"/>
        <w:b w:val="0"/>
      </w:rPr>
    </w:lvl>
    <w:lvl w:ilvl="5" w:tplc="4A6A5AFE">
      <w:start w:val="1"/>
      <w:numFmt w:val="bullet"/>
      <w:lvlText w:val="-"/>
      <w:lvlJc w:val="left"/>
      <w:pPr>
        <w:ind w:left="4282" w:hanging="360"/>
      </w:pPr>
      <w:rPr>
        <w:rFonts w:ascii="Times New Roman" w:eastAsia="Times New Roman" w:hAnsi="Times New Roman" w:hint="default"/>
        <w:b w:val="0"/>
      </w:rPr>
    </w:lvl>
    <w:lvl w:ilvl="6" w:tplc="FD5A1F3C">
      <w:start w:val="1"/>
      <w:numFmt w:val="lowerRoman"/>
      <w:lvlText w:val="(%7)"/>
      <w:lvlJc w:val="left"/>
      <w:pPr>
        <w:ind w:left="5182" w:hanging="720"/>
      </w:pPr>
      <w:rPr>
        <w:rFonts w:ascii="Times New Roman" w:eastAsiaTheme="minorEastAsia" w:hAnsi="Times New Roman" w:cs="Times New Roman"/>
        <w:b w:val="0"/>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2" w15:restartNumberingAfterBreak="0">
    <w:nsid w:val="28296631"/>
    <w:multiLevelType w:val="hybridMultilevel"/>
    <w:tmpl w:val="27C4F1C4"/>
    <w:lvl w:ilvl="0" w:tplc="35F6686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15:restartNumberingAfterBreak="0">
    <w:nsid w:val="33D5276E"/>
    <w:multiLevelType w:val="hybridMultilevel"/>
    <w:tmpl w:val="73F62752"/>
    <w:lvl w:ilvl="0" w:tplc="1DF6AC4E">
      <w:start w:val="1"/>
      <w:numFmt w:val="decimal"/>
      <w:lvlText w:val="[%1]"/>
      <w:lvlJc w:val="left"/>
      <w:pPr>
        <w:ind w:left="1070" w:hanging="360"/>
      </w:pPr>
      <w:rPr>
        <w:rFonts w:ascii="Times New Roman" w:eastAsia="Times New Roman" w:hAnsi="Times New Roman" w:cs="Times New Roman" w:hint="default"/>
        <w:b w:val="0"/>
        <w:i w:val="0"/>
        <w:strike w:val="0"/>
        <w:sz w:val="26"/>
        <w:szCs w:val="26"/>
      </w:rPr>
    </w:lvl>
    <w:lvl w:ilvl="1" w:tplc="DA90867E">
      <w:start w:val="1"/>
      <w:numFmt w:val="decimal"/>
      <w:lvlText w:val="%2."/>
      <w:lvlJc w:val="left"/>
      <w:pPr>
        <w:ind w:left="1222" w:hanging="360"/>
      </w:pPr>
      <w:rPr>
        <w:rFonts w:cs="Times New Roman"/>
        <w:b w:val="0"/>
      </w:rPr>
    </w:lvl>
    <w:lvl w:ilvl="2" w:tplc="953489D6">
      <w:start w:val="1"/>
      <w:numFmt w:val="decimal"/>
      <w:lvlText w:val="%3."/>
      <w:lvlJc w:val="left"/>
      <w:pPr>
        <w:ind w:left="2122" w:hanging="360"/>
      </w:pPr>
      <w:rPr>
        <w:rFonts w:cs="Times New Roman" w:hint="default"/>
        <w:b w:val="0"/>
      </w:rPr>
    </w:lvl>
    <w:lvl w:ilvl="3" w:tplc="737E177A">
      <w:start w:val="1"/>
      <w:numFmt w:val="lowerLetter"/>
      <w:lvlText w:val="(%4)"/>
      <w:lvlJc w:val="left"/>
      <w:pPr>
        <w:ind w:left="2662" w:hanging="360"/>
      </w:pPr>
      <w:rPr>
        <w:rFonts w:cs="Times New Roman" w:hint="default"/>
        <w:b w:val="0"/>
      </w:rPr>
    </w:lvl>
    <w:lvl w:ilvl="4" w:tplc="EB18A41E">
      <w:start w:val="1"/>
      <w:numFmt w:val="lowerLetter"/>
      <w:lvlText w:val="%5)"/>
      <w:lvlJc w:val="left"/>
      <w:pPr>
        <w:ind w:left="3382" w:hanging="360"/>
      </w:pPr>
      <w:rPr>
        <w:rFonts w:cs="Times New Roman"/>
        <w:b w:val="0"/>
      </w:rPr>
    </w:lvl>
    <w:lvl w:ilvl="5" w:tplc="4A6A5AFE">
      <w:start w:val="1"/>
      <w:numFmt w:val="bullet"/>
      <w:lvlText w:val="-"/>
      <w:lvlJc w:val="left"/>
      <w:pPr>
        <w:ind w:left="4282" w:hanging="360"/>
      </w:pPr>
      <w:rPr>
        <w:rFonts w:ascii="Times New Roman" w:eastAsia="Times New Roman" w:hAnsi="Times New Roman" w:hint="default"/>
        <w:b w:val="0"/>
      </w:rPr>
    </w:lvl>
    <w:lvl w:ilvl="6" w:tplc="FD5A1F3C">
      <w:start w:val="1"/>
      <w:numFmt w:val="lowerRoman"/>
      <w:lvlText w:val="(%7)"/>
      <w:lvlJc w:val="left"/>
      <w:pPr>
        <w:ind w:left="5182" w:hanging="720"/>
      </w:pPr>
      <w:rPr>
        <w:rFonts w:ascii="Times New Roman" w:eastAsiaTheme="minorEastAsia" w:hAnsi="Times New Roman" w:cs="Times New Roman"/>
        <w:b w:val="0"/>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4" w15:restartNumberingAfterBreak="0">
    <w:nsid w:val="38722DC1"/>
    <w:multiLevelType w:val="hybridMultilevel"/>
    <w:tmpl w:val="B4B4DCDA"/>
    <w:lvl w:ilvl="0" w:tplc="D44C154C">
      <w:start w:val="1"/>
      <w:numFmt w:val="decimal"/>
      <w:lvlText w:val="[%1]"/>
      <w:lvlJc w:val="left"/>
      <w:pPr>
        <w:ind w:left="2062" w:hanging="360"/>
      </w:pPr>
      <w:rPr>
        <w:rFonts w:ascii="Times New Roman" w:eastAsia="Times New Roman" w:hAnsi="Times New Roman" w:cs="Times New Roman" w:hint="default"/>
        <w:b w:val="0"/>
        <w:i w:val="0"/>
        <w:sz w:val="26"/>
        <w:szCs w:val="26"/>
      </w:rPr>
    </w:lvl>
    <w:lvl w:ilvl="1" w:tplc="DA90867E">
      <w:start w:val="1"/>
      <w:numFmt w:val="decimal"/>
      <w:lvlText w:val="%2."/>
      <w:lvlJc w:val="left"/>
      <w:pPr>
        <w:ind w:left="1222" w:hanging="360"/>
      </w:pPr>
      <w:rPr>
        <w:rFonts w:cs="Times New Roman"/>
        <w:b w:val="0"/>
      </w:rPr>
    </w:lvl>
    <w:lvl w:ilvl="2" w:tplc="953489D6">
      <w:start w:val="1"/>
      <w:numFmt w:val="decimal"/>
      <w:lvlText w:val="%3."/>
      <w:lvlJc w:val="left"/>
      <w:pPr>
        <w:ind w:left="2122" w:hanging="360"/>
      </w:pPr>
      <w:rPr>
        <w:rFonts w:cs="Times New Roman" w:hint="default"/>
        <w:b w:val="0"/>
      </w:rPr>
    </w:lvl>
    <w:lvl w:ilvl="3" w:tplc="737E177A">
      <w:start w:val="1"/>
      <w:numFmt w:val="lowerLetter"/>
      <w:lvlText w:val="(%4)"/>
      <w:lvlJc w:val="left"/>
      <w:pPr>
        <w:ind w:left="2662" w:hanging="360"/>
      </w:pPr>
      <w:rPr>
        <w:rFonts w:cs="Times New Roman" w:hint="default"/>
        <w:b w:val="0"/>
      </w:rPr>
    </w:lvl>
    <w:lvl w:ilvl="4" w:tplc="EB18A41E">
      <w:start w:val="1"/>
      <w:numFmt w:val="lowerLetter"/>
      <w:lvlText w:val="%5)"/>
      <w:lvlJc w:val="left"/>
      <w:pPr>
        <w:ind w:left="3382" w:hanging="360"/>
      </w:pPr>
      <w:rPr>
        <w:rFonts w:cs="Times New Roman"/>
        <w:b w:val="0"/>
      </w:rPr>
    </w:lvl>
    <w:lvl w:ilvl="5" w:tplc="4A6A5AFE">
      <w:start w:val="1"/>
      <w:numFmt w:val="bullet"/>
      <w:lvlText w:val="-"/>
      <w:lvlJc w:val="left"/>
      <w:pPr>
        <w:ind w:left="4282" w:hanging="360"/>
      </w:pPr>
      <w:rPr>
        <w:rFonts w:ascii="Times New Roman" w:eastAsia="Times New Roman" w:hAnsi="Times New Roman" w:hint="default"/>
        <w:b w:val="0"/>
      </w:rPr>
    </w:lvl>
    <w:lvl w:ilvl="6" w:tplc="AA9463C8">
      <w:start w:val="2"/>
      <w:numFmt w:val="lowerRoman"/>
      <w:lvlText w:val="(%7)"/>
      <w:lvlJc w:val="left"/>
      <w:pPr>
        <w:ind w:left="5182" w:hanging="720"/>
      </w:pPr>
      <w:rPr>
        <w:rFonts w:cs="Times New Roman" w:hint="default"/>
        <w:b w:val="0"/>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5" w15:restartNumberingAfterBreak="0">
    <w:nsid w:val="3A0E7DA1"/>
    <w:multiLevelType w:val="hybridMultilevel"/>
    <w:tmpl w:val="82F8E77A"/>
    <w:lvl w:ilvl="0" w:tplc="1DF6AC4E">
      <w:start w:val="1"/>
      <w:numFmt w:val="decimal"/>
      <w:lvlText w:val="[%1]"/>
      <w:lvlJc w:val="left"/>
      <w:pPr>
        <w:ind w:left="1070" w:hanging="360"/>
      </w:pPr>
      <w:rPr>
        <w:rFonts w:ascii="Times New Roman" w:eastAsia="Times New Roman" w:hAnsi="Times New Roman" w:cs="Times New Roman" w:hint="default"/>
        <w:b w:val="0"/>
        <w:i w:val="0"/>
        <w:strike w:val="0"/>
        <w:sz w:val="26"/>
        <w:szCs w:val="26"/>
      </w:rPr>
    </w:lvl>
    <w:lvl w:ilvl="1" w:tplc="DA90867E">
      <w:start w:val="1"/>
      <w:numFmt w:val="decimal"/>
      <w:lvlText w:val="%2."/>
      <w:lvlJc w:val="left"/>
      <w:pPr>
        <w:ind w:left="1222" w:hanging="360"/>
      </w:pPr>
      <w:rPr>
        <w:rFonts w:cs="Times New Roman"/>
        <w:b w:val="0"/>
      </w:rPr>
    </w:lvl>
    <w:lvl w:ilvl="2" w:tplc="953489D6">
      <w:start w:val="1"/>
      <w:numFmt w:val="decimal"/>
      <w:lvlText w:val="%3."/>
      <w:lvlJc w:val="left"/>
      <w:pPr>
        <w:ind w:left="2122" w:hanging="360"/>
      </w:pPr>
      <w:rPr>
        <w:rFonts w:cs="Times New Roman" w:hint="default"/>
        <w:b w:val="0"/>
      </w:rPr>
    </w:lvl>
    <w:lvl w:ilvl="3" w:tplc="737E177A">
      <w:start w:val="1"/>
      <w:numFmt w:val="lowerLetter"/>
      <w:lvlText w:val="(%4)"/>
      <w:lvlJc w:val="left"/>
      <w:pPr>
        <w:ind w:left="2662" w:hanging="360"/>
      </w:pPr>
      <w:rPr>
        <w:rFonts w:cs="Times New Roman" w:hint="default"/>
        <w:b w:val="0"/>
      </w:rPr>
    </w:lvl>
    <w:lvl w:ilvl="4" w:tplc="EB18A41E">
      <w:start w:val="1"/>
      <w:numFmt w:val="lowerLetter"/>
      <w:lvlText w:val="%5)"/>
      <w:lvlJc w:val="left"/>
      <w:pPr>
        <w:ind w:left="3382" w:hanging="360"/>
      </w:pPr>
      <w:rPr>
        <w:rFonts w:cs="Times New Roman"/>
        <w:b w:val="0"/>
      </w:rPr>
    </w:lvl>
    <w:lvl w:ilvl="5" w:tplc="4A6A5AFE">
      <w:start w:val="1"/>
      <w:numFmt w:val="bullet"/>
      <w:lvlText w:val="-"/>
      <w:lvlJc w:val="left"/>
      <w:pPr>
        <w:ind w:left="4282" w:hanging="360"/>
      </w:pPr>
      <w:rPr>
        <w:rFonts w:ascii="Times New Roman" w:eastAsia="Times New Roman" w:hAnsi="Times New Roman" w:hint="default"/>
        <w:b w:val="0"/>
      </w:rPr>
    </w:lvl>
    <w:lvl w:ilvl="6" w:tplc="FD5A1F3C">
      <w:start w:val="1"/>
      <w:numFmt w:val="lowerRoman"/>
      <w:lvlText w:val="(%7)"/>
      <w:lvlJc w:val="left"/>
      <w:pPr>
        <w:ind w:left="5182" w:hanging="720"/>
      </w:pPr>
      <w:rPr>
        <w:rFonts w:ascii="Times New Roman" w:eastAsiaTheme="minorEastAsia" w:hAnsi="Times New Roman" w:cs="Times New Roman"/>
        <w:b w:val="0"/>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6" w15:restartNumberingAfterBreak="0">
    <w:nsid w:val="3C4B5577"/>
    <w:multiLevelType w:val="hybridMultilevel"/>
    <w:tmpl w:val="DFCC3DBE"/>
    <w:lvl w:ilvl="0" w:tplc="D44C154C">
      <w:start w:val="1"/>
      <w:numFmt w:val="decimal"/>
      <w:lvlText w:val="[%1]"/>
      <w:lvlJc w:val="left"/>
      <w:pPr>
        <w:ind w:left="1070" w:hanging="360"/>
      </w:pPr>
      <w:rPr>
        <w:rFonts w:ascii="Times New Roman" w:eastAsia="Times New Roman" w:hAnsi="Times New Roman" w:cs="Times New Roman" w:hint="default"/>
        <w:b w:val="0"/>
        <w:i w:val="0"/>
        <w:sz w:val="26"/>
        <w:szCs w:val="26"/>
      </w:rPr>
    </w:lvl>
    <w:lvl w:ilvl="1" w:tplc="DA90867E">
      <w:start w:val="1"/>
      <w:numFmt w:val="decimal"/>
      <w:lvlText w:val="%2."/>
      <w:lvlJc w:val="left"/>
      <w:pPr>
        <w:ind w:left="1222" w:hanging="360"/>
      </w:pPr>
      <w:rPr>
        <w:rFonts w:cs="Times New Roman"/>
        <w:b w:val="0"/>
      </w:rPr>
    </w:lvl>
    <w:lvl w:ilvl="2" w:tplc="953489D6">
      <w:start w:val="1"/>
      <w:numFmt w:val="decimal"/>
      <w:lvlText w:val="%3."/>
      <w:lvlJc w:val="left"/>
      <w:pPr>
        <w:ind w:left="2122" w:hanging="360"/>
      </w:pPr>
      <w:rPr>
        <w:rFonts w:cs="Times New Roman" w:hint="default"/>
        <w:b w:val="0"/>
      </w:rPr>
    </w:lvl>
    <w:lvl w:ilvl="3" w:tplc="737E177A">
      <w:start w:val="1"/>
      <w:numFmt w:val="lowerLetter"/>
      <w:lvlText w:val="(%4)"/>
      <w:lvlJc w:val="left"/>
      <w:pPr>
        <w:ind w:left="2662" w:hanging="360"/>
      </w:pPr>
      <w:rPr>
        <w:rFonts w:cs="Times New Roman" w:hint="default"/>
        <w:b w:val="0"/>
      </w:rPr>
    </w:lvl>
    <w:lvl w:ilvl="4" w:tplc="EB18A41E">
      <w:start w:val="1"/>
      <w:numFmt w:val="lowerLetter"/>
      <w:lvlText w:val="%5)"/>
      <w:lvlJc w:val="left"/>
      <w:pPr>
        <w:ind w:left="3382" w:hanging="360"/>
      </w:pPr>
      <w:rPr>
        <w:rFonts w:cs="Times New Roman"/>
        <w:b w:val="0"/>
      </w:rPr>
    </w:lvl>
    <w:lvl w:ilvl="5" w:tplc="4A6A5AFE">
      <w:start w:val="1"/>
      <w:numFmt w:val="bullet"/>
      <w:lvlText w:val="-"/>
      <w:lvlJc w:val="left"/>
      <w:pPr>
        <w:ind w:left="4282" w:hanging="360"/>
      </w:pPr>
      <w:rPr>
        <w:rFonts w:ascii="Times New Roman" w:eastAsia="Times New Roman" w:hAnsi="Times New Roman" w:hint="default"/>
        <w:b w:val="0"/>
      </w:rPr>
    </w:lvl>
    <w:lvl w:ilvl="6" w:tplc="AA9463C8">
      <w:start w:val="2"/>
      <w:numFmt w:val="lowerRoman"/>
      <w:lvlText w:val="(%7)"/>
      <w:lvlJc w:val="left"/>
      <w:pPr>
        <w:ind w:left="5182" w:hanging="720"/>
      </w:pPr>
      <w:rPr>
        <w:rFonts w:cs="Times New Roman" w:hint="default"/>
        <w:b w:val="0"/>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7" w15:restartNumberingAfterBreak="0">
    <w:nsid w:val="3E783C94"/>
    <w:multiLevelType w:val="hybridMultilevel"/>
    <w:tmpl w:val="27904B14"/>
    <w:lvl w:ilvl="0" w:tplc="1DF6AC4E">
      <w:start w:val="1"/>
      <w:numFmt w:val="decimal"/>
      <w:lvlText w:val="[%1]"/>
      <w:lvlJc w:val="left"/>
      <w:pPr>
        <w:ind w:left="1070" w:hanging="360"/>
      </w:pPr>
      <w:rPr>
        <w:rFonts w:ascii="Times New Roman" w:eastAsia="Times New Roman" w:hAnsi="Times New Roman" w:cs="Times New Roman" w:hint="default"/>
        <w:b w:val="0"/>
        <w:i w:val="0"/>
        <w:strike w:val="0"/>
        <w:sz w:val="26"/>
        <w:szCs w:val="26"/>
      </w:rPr>
    </w:lvl>
    <w:lvl w:ilvl="1" w:tplc="DA90867E">
      <w:start w:val="1"/>
      <w:numFmt w:val="decimal"/>
      <w:lvlText w:val="%2."/>
      <w:lvlJc w:val="left"/>
      <w:pPr>
        <w:ind w:left="1222" w:hanging="360"/>
      </w:pPr>
      <w:rPr>
        <w:rFonts w:cs="Times New Roman"/>
        <w:b w:val="0"/>
      </w:rPr>
    </w:lvl>
    <w:lvl w:ilvl="2" w:tplc="953489D6">
      <w:start w:val="1"/>
      <w:numFmt w:val="decimal"/>
      <w:lvlText w:val="%3."/>
      <w:lvlJc w:val="left"/>
      <w:pPr>
        <w:ind w:left="2122" w:hanging="360"/>
      </w:pPr>
      <w:rPr>
        <w:rFonts w:cs="Times New Roman" w:hint="default"/>
        <w:b w:val="0"/>
      </w:rPr>
    </w:lvl>
    <w:lvl w:ilvl="3" w:tplc="737E177A">
      <w:start w:val="1"/>
      <w:numFmt w:val="lowerLetter"/>
      <w:lvlText w:val="(%4)"/>
      <w:lvlJc w:val="left"/>
      <w:pPr>
        <w:ind w:left="2662" w:hanging="360"/>
      </w:pPr>
      <w:rPr>
        <w:rFonts w:cs="Times New Roman" w:hint="default"/>
        <w:b w:val="0"/>
      </w:rPr>
    </w:lvl>
    <w:lvl w:ilvl="4" w:tplc="EB18A41E">
      <w:start w:val="1"/>
      <w:numFmt w:val="lowerLetter"/>
      <w:lvlText w:val="%5)"/>
      <w:lvlJc w:val="left"/>
      <w:pPr>
        <w:ind w:left="3382" w:hanging="360"/>
      </w:pPr>
      <w:rPr>
        <w:rFonts w:cs="Times New Roman"/>
        <w:b w:val="0"/>
      </w:rPr>
    </w:lvl>
    <w:lvl w:ilvl="5" w:tplc="4A6A5AFE">
      <w:start w:val="1"/>
      <w:numFmt w:val="bullet"/>
      <w:lvlText w:val="-"/>
      <w:lvlJc w:val="left"/>
      <w:pPr>
        <w:ind w:left="4282" w:hanging="360"/>
      </w:pPr>
      <w:rPr>
        <w:rFonts w:ascii="Times New Roman" w:eastAsia="Times New Roman" w:hAnsi="Times New Roman" w:hint="default"/>
        <w:b w:val="0"/>
      </w:rPr>
    </w:lvl>
    <w:lvl w:ilvl="6" w:tplc="FD5A1F3C">
      <w:start w:val="1"/>
      <w:numFmt w:val="lowerRoman"/>
      <w:lvlText w:val="(%7)"/>
      <w:lvlJc w:val="left"/>
      <w:pPr>
        <w:ind w:left="5182" w:hanging="720"/>
      </w:pPr>
      <w:rPr>
        <w:rFonts w:ascii="Times New Roman" w:eastAsiaTheme="minorEastAsia" w:hAnsi="Times New Roman" w:cs="Times New Roman"/>
        <w:b w:val="0"/>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8" w15:restartNumberingAfterBreak="0">
    <w:nsid w:val="463B1A1F"/>
    <w:multiLevelType w:val="hybridMultilevel"/>
    <w:tmpl w:val="120C93B6"/>
    <w:lvl w:ilvl="0" w:tplc="1DF6AC4E">
      <w:start w:val="1"/>
      <w:numFmt w:val="decimal"/>
      <w:lvlText w:val="[%1]"/>
      <w:lvlJc w:val="left"/>
      <w:pPr>
        <w:ind w:left="1070" w:hanging="360"/>
      </w:pPr>
      <w:rPr>
        <w:rFonts w:ascii="Times New Roman" w:eastAsia="Times New Roman" w:hAnsi="Times New Roman" w:cs="Times New Roman" w:hint="default"/>
        <w:b w:val="0"/>
        <w:i w:val="0"/>
        <w:strike w:val="0"/>
        <w:sz w:val="26"/>
        <w:szCs w:val="26"/>
      </w:rPr>
    </w:lvl>
    <w:lvl w:ilvl="1" w:tplc="DA90867E">
      <w:start w:val="1"/>
      <w:numFmt w:val="decimal"/>
      <w:lvlText w:val="%2."/>
      <w:lvlJc w:val="left"/>
      <w:pPr>
        <w:ind w:left="1222" w:hanging="360"/>
      </w:pPr>
      <w:rPr>
        <w:rFonts w:cs="Times New Roman"/>
        <w:b w:val="0"/>
      </w:rPr>
    </w:lvl>
    <w:lvl w:ilvl="2" w:tplc="953489D6">
      <w:start w:val="1"/>
      <w:numFmt w:val="decimal"/>
      <w:lvlText w:val="%3."/>
      <w:lvlJc w:val="left"/>
      <w:pPr>
        <w:ind w:left="2122" w:hanging="360"/>
      </w:pPr>
      <w:rPr>
        <w:rFonts w:cs="Times New Roman" w:hint="default"/>
        <w:b w:val="0"/>
      </w:rPr>
    </w:lvl>
    <w:lvl w:ilvl="3" w:tplc="737E177A">
      <w:start w:val="1"/>
      <w:numFmt w:val="lowerLetter"/>
      <w:lvlText w:val="(%4)"/>
      <w:lvlJc w:val="left"/>
      <w:pPr>
        <w:ind w:left="2662" w:hanging="360"/>
      </w:pPr>
      <w:rPr>
        <w:rFonts w:cs="Times New Roman" w:hint="default"/>
        <w:b w:val="0"/>
      </w:rPr>
    </w:lvl>
    <w:lvl w:ilvl="4" w:tplc="EB18A41E">
      <w:start w:val="1"/>
      <w:numFmt w:val="lowerLetter"/>
      <w:lvlText w:val="%5)"/>
      <w:lvlJc w:val="left"/>
      <w:pPr>
        <w:ind w:left="3382" w:hanging="360"/>
      </w:pPr>
      <w:rPr>
        <w:rFonts w:cs="Times New Roman"/>
        <w:b w:val="0"/>
      </w:rPr>
    </w:lvl>
    <w:lvl w:ilvl="5" w:tplc="4A6A5AFE">
      <w:start w:val="1"/>
      <w:numFmt w:val="bullet"/>
      <w:lvlText w:val="-"/>
      <w:lvlJc w:val="left"/>
      <w:pPr>
        <w:ind w:left="4282" w:hanging="360"/>
      </w:pPr>
      <w:rPr>
        <w:rFonts w:ascii="Times New Roman" w:eastAsia="Times New Roman" w:hAnsi="Times New Roman" w:hint="default"/>
        <w:b w:val="0"/>
      </w:rPr>
    </w:lvl>
    <w:lvl w:ilvl="6" w:tplc="FD5A1F3C">
      <w:start w:val="1"/>
      <w:numFmt w:val="lowerRoman"/>
      <w:lvlText w:val="(%7)"/>
      <w:lvlJc w:val="left"/>
      <w:pPr>
        <w:ind w:left="5182" w:hanging="720"/>
      </w:pPr>
      <w:rPr>
        <w:rFonts w:ascii="Times New Roman" w:eastAsiaTheme="minorEastAsia" w:hAnsi="Times New Roman" w:cs="Times New Roman"/>
        <w:b w:val="0"/>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9" w15:restartNumberingAfterBreak="0">
    <w:nsid w:val="48181095"/>
    <w:multiLevelType w:val="hybridMultilevel"/>
    <w:tmpl w:val="194A7A1E"/>
    <w:lvl w:ilvl="0" w:tplc="D44C154C">
      <w:start w:val="1"/>
      <w:numFmt w:val="decimal"/>
      <w:lvlText w:val="[%1]"/>
      <w:lvlJc w:val="left"/>
      <w:pPr>
        <w:ind w:left="2062" w:hanging="360"/>
      </w:pPr>
      <w:rPr>
        <w:rFonts w:ascii="Times New Roman" w:eastAsia="Times New Roman" w:hAnsi="Times New Roman" w:cs="Times New Roman" w:hint="default"/>
        <w:b w:val="0"/>
        <w:i w:val="0"/>
        <w:sz w:val="26"/>
        <w:szCs w:val="26"/>
      </w:rPr>
    </w:lvl>
    <w:lvl w:ilvl="1" w:tplc="DA90867E">
      <w:start w:val="1"/>
      <w:numFmt w:val="decimal"/>
      <w:lvlText w:val="%2."/>
      <w:lvlJc w:val="left"/>
      <w:pPr>
        <w:ind w:left="1222" w:hanging="360"/>
      </w:pPr>
      <w:rPr>
        <w:rFonts w:cs="Times New Roman"/>
        <w:b w:val="0"/>
      </w:rPr>
    </w:lvl>
    <w:lvl w:ilvl="2" w:tplc="953489D6">
      <w:start w:val="1"/>
      <w:numFmt w:val="decimal"/>
      <w:lvlText w:val="%3."/>
      <w:lvlJc w:val="left"/>
      <w:pPr>
        <w:ind w:left="2122" w:hanging="360"/>
      </w:pPr>
      <w:rPr>
        <w:rFonts w:cs="Times New Roman" w:hint="default"/>
        <w:b w:val="0"/>
      </w:rPr>
    </w:lvl>
    <w:lvl w:ilvl="3" w:tplc="737E177A">
      <w:start w:val="1"/>
      <w:numFmt w:val="lowerLetter"/>
      <w:lvlText w:val="(%4)"/>
      <w:lvlJc w:val="left"/>
      <w:pPr>
        <w:ind w:left="2662" w:hanging="360"/>
      </w:pPr>
      <w:rPr>
        <w:rFonts w:cs="Times New Roman" w:hint="default"/>
        <w:b w:val="0"/>
      </w:rPr>
    </w:lvl>
    <w:lvl w:ilvl="4" w:tplc="EB18A41E">
      <w:start w:val="1"/>
      <w:numFmt w:val="lowerLetter"/>
      <w:lvlText w:val="%5)"/>
      <w:lvlJc w:val="left"/>
      <w:pPr>
        <w:ind w:left="3382" w:hanging="360"/>
      </w:pPr>
      <w:rPr>
        <w:rFonts w:cs="Times New Roman"/>
        <w:b w:val="0"/>
      </w:rPr>
    </w:lvl>
    <w:lvl w:ilvl="5" w:tplc="4A6A5AFE">
      <w:start w:val="1"/>
      <w:numFmt w:val="bullet"/>
      <w:lvlText w:val="-"/>
      <w:lvlJc w:val="left"/>
      <w:pPr>
        <w:ind w:left="4282" w:hanging="360"/>
      </w:pPr>
      <w:rPr>
        <w:rFonts w:ascii="Times New Roman" w:eastAsia="Times New Roman" w:hAnsi="Times New Roman" w:hint="default"/>
        <w:b w:val="0"/>
      </w:rPr>
    </w:lvl>
    <w:lvl w:ilvl="6" w:tplc="AA9463C8">
      <w:start w:val="2"/>
      <w:numFmt w:val="lowerRoman"/>
      <w:lvlText w:val="(%7)"/>
      <w:lvlJc w:val="left"/>
      <w:pPr>
        <w:ind w:left="5182" w:hanging="720"/>
      </w:pPr>
      <w:rPr>
        <w:rFonts w:cs="Times New Roman" w:hint="default"/>
        <w:b w:val="0"/>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20" w15:restartNumberingAfterBreak="0">
    <w:nsid w:val="4CB03CA5"/>
    <w:multiLevelType w:val="hybridMultilevel"/>
    <w:tmpl w:val="BA943BB6"/>
    <w:lvl w:ilvl="0" w:tplc="1DF6AC4E">
      <w:start w:val="1"/>
      <w:numFmt w:val="decimal"/>
      <w:lvlText w:val="[%1]"/>
      <w:lvlJc w:val="left"/>
      <w:pPr>
        <w:ind w:left="1070" w:hanging="360"/>
      </w:pPr>
      <w:rPr>
        <w:rFonts w:ascii="Times New Roman" w:eastAsia="Times New Roman" w:hAnsi="Times New Roman" w:cs="Times New Roman" w:hint="default"/>
        <w:b w:val="0"/>
        <w:i w:val="0"/>
        <w:strike w:val="0"/>
        <w:sz w:val="26"/>
        <w:szCs w:val="26"/>
      </w:rPr>
    </w:lvl>
    <w:lvl w:ilvl="1" w:tplc="DA90867E">
      <w:start w:val="1"/>
      <w:numFmt w:val="decimal"/>
      <w:lvlText w:val="%2."/>
      <w:lvlJc w:val="left"/>
      <w:pPr>
        <w:ind w:left="1222" w:hanging="360"/>
      </w:pPr>
      <w:rPr>
        <w:rFonts w:cs="Times New Roman"/>
        <w:b w:val="0"/>
      </w:rPr>
    </w:lvl>
    <w:lvl w:ilvl="2" w:tplc="953489D6">
      <w:start w:val="1"/>
      <w:numFmt w:val="decimal"/>
      <w:lvlText w:val="%3."/>
      <w:lvlJc w:val="left"/>
      <w:pPr>
        <w:ind w:left="2122" w:hanging="360"/>
      </w:pPr>
      <w:rPr>
        <w:rFonts w:cs="Times New Roman" w:hint="default"/>
        <w:b w:val="0"/>
      </w:rPr>
    </w:lvl>
    <w:lvl w:ilvl="3" w:tplc="737E177A">
      <w:start w:val="1"/>
      <w:numFmt w:val="lowerLetter"/>
      <w:lvlText w:val="(%4)"/>
      <w:lvlJc w:val="left"/>
      <w:pPr>
        <w:ind w:left="2662" w:hanging="360"/>
      </w:pPr>
      <w:rPr>
        <w:rFonts w:cs="Times New Roman" w:hint="default"/>
        <w:b w:val="0"/>
      </w:rPr>
    </w:lvl>
    <w:lvl w:ilvl="4" w:tplc="EB18A41E">
      <w:start w:val="1"/>
      <w:numFmt w:val="lowerLetter"/>
      <w:lvlText w:val="%5)"/>
      <w:lvlJc w:val="left"/>
      <w:pPr>
        <w:ind w:left="3382" w:hanging="360"/>
      </w:pPr>
      <w:rPr>
        <w:rFonts w:cs="Times New Roman"/>
        <w:b w:val="0"/>
      </w:rPr>
    </w:lvl>
    <w:lvl w:ilvl="5" w:tplc="4A6A5AFE">
      <w:start w:val="1"/>
      <w:numFmt w:val="bullet"/>
      <w:lvlText w:val="-"/>
      <w:lvlJc w:val="left"/>
      <w:pPr>
        <w:ind w:left="4282" w:hanging="360"/>
      </w:pPr>
      <w:rPr>
        <w:rFonts w:ascii="Times New Roman" w:eastAsia="Times New Roman" w:hAnsi="Times New Roman" w:hint="default"/>
        <w:b w:val="0"/>
      </w:rPr>
    </w:lvl>
    <w:lvl w:ilvl="6" w:tplc="FD5A1F3C">
      <w:start w:val="1"/>
      <w:numFmt w:val="lowerRoman"/>
      <w:lvlText w:val="(%7)"/>
      <w:lvlJc w:val="left"/>
      <w:pPr>
        <w:ind w:left="5182" w:hanging="720"/>
      </w:pPr>
      <w:rPr>
        <w:rFonts w:ascii="Times New Roman" w:eastAsiaTheme="minorEastAsia" w:hAnsi="Times New Roman" w:cs="Times New Roman"/>
        <w:b w:val="0"/>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21" w15:restartNumberingAfterBreak="0">
    <w:nsid w:val="4CBA426C"/>
    <w:multiLevelType w:val="multilevel"/>
    <w:tmpl w:val="E26E307C"/>
    <w:lvl w:ilvl="0">
      <w:start w:val="1"/>
      <w:numFmt w:val="decimal"/>
      <w:lvlText w:val="%1."/>
      <w:lvlJc w:val="left"/>
      <w:pPr>
        <w:ind w:left="490" w:hanging="340"/>
      </w:pPr>
      <w:rPr>
        <w:rFonts w:ascii="Arial" w:eastAsia="Arial" w:hAnsi="Arial" w:cs="Arial" w:hint="default"/>
        <w:spacing w:val="-1"/>
        <w:w w:val="102"/>
        <w:sz w:val="22"/>
        <w:szCs w:val="22"/>
      </w:rPr>
    </w:lvl>
    <w:lvl w:ilvl="1">
      <w:start w:val="1"/>
      <w:numFmt w:val="decimal"/>
      <w:lvlText w:val="%1.%2."/>
      <w:lvlJc w:val="left"/>
      <w:pPr>
        <w:ind w:left="896" w:hanging="407"/>
      </w:pPr>
      <w:rPr>
        <w:rFonts w:ascii="Arial" w:eastAsia="Arial" w:hAnsi="Arial" w:cs="Arial" w:hint="default"/>
        <w:spacing w:val="-1"/>
        <w:w w:val="102"/>
        <w:sz w:val="22"/>
        <w:szCs w:val="22"/>
      </w:rPr>
    </w:lvl>
    <w:lvl w:ilvl="2">
      <w:start w:val="1"/>
      <w:numFmt w:val="lowerLetter"/>
      <w:lvlText w:val="(%3)"/>
      <w:lvlJc w:val="left"/>
      <w:pPr>
        <w:ind w:left="1486" w:hanging="534"/>
        <w:jc w:val="right"/>
      </w:pPr>
      <w:rPr>
        <w:rFonts w:ascii="Arial" w:eastAsia="Arial" w:hAnsi="Arial" w:cs="Arial" w:hint="default"/>
        <w:b/>
        <w:bCs/>
        <w:spacing w:val="-1"/>
        <w:w w:val="103"/>
        <w:sz w:val="18"/>
        <w:szCs w:val="18"/>
      </w:rPr>
    </w:lvl>
    <w:lvl w:ilvl="3">
      <w:numFmt w:val="bullet"/>
      <w:lvlText w:val="•"/>
      <w:lvlJc w:val="left"/>
      <w:pPr>
        <w:ind w:left="1480" w:hanging="534"/>
      </w:pPr>
      <w:rPr>
        <w:rFonts w:hint="default"/>
      </w:rPr>
    </w:lvl>
    <w:lvl w:ilvl="4">
      <w:numFmt w:val="bullet"/>
      <w:lvlText w:val="•"/>
      <w:lvlJc w:val="left"/>
      <w:pPr>
        <w:ind w:left="2525" w:hanging="534"/>
      </w:pPr>
      <w:rPr>
        <w:rFonts w:hint="default"/>
      </w:rPr>
    </w:lvl>
    <w:lvl w:ilvl="5">
      <w:numFmt w:val="bullet"/>
      <w:lvlText w:val="•"/>
      <w:lvlJc w:val="left"/>
      <w:pPr>
        <w:ind w:left="3571" w:hanging="534"/>
      </w:pPr>
      <w:rPr>
        <w:rFonts w:hint="default"/>
      </w:rPr>
    </w:lvl>
    <w:lvl w:ilvl="6">
      <w:numFmt w:val="bullet"/>
      <w:lvlText w:val="•"/>
      <w:lvlJc w:val="left"/>
      <w:pPr>
        <w:ind w:left="4617" w:hanging="534"/>
      </w:pPr>
      <w:rPr>
        <w:rFonts w:hint="default"/>
      </w:rPr>
    </w:lvl>
    <w:lvl w:ilvl="7">
      <w:numFmt w:val="bullet"/>
      <w:lvlText w:val="•"/>
      <w:lvlJc w:val="left"/>
      <w:pPr>
        <w:ind w:left="5662" w:hanging="534"/>
      </w:pPr>
      <w:rPr>
        <w:rFonts w:hint="default"/>
      </w:rPr>
    </w:lvl>
    <w:lvl w:ilvl="8">
      <w:numFmt w:val="bullet"/>
      <w:lvlText w:val="•"/>
      <w:lvlJc w:val="left"/>
      <w:pPr>
        <w:ind w:left="6708" w:hanging="534"/>
      </w:pPr>
      <w:rPr>
        <w:rFonts w:hint="default"/>
      </w:rPr>
    </w:lvl>
  </w:abstractNum>
  <w:abstractNum w:abstractNumId="22" w15:restartNumberingAfterBreak="0">
    <w:nsid w:val="4F29236C"/>
    <w:multiLevelType w:val="hybridMultilevel"/>
    <w:tmpl w:val="01F2FC70"/>
    <w:lvl w:ilvl="0" w:tplc="1DF6AC4E">
      <w:start w:val="1"/>
      <w:numFmt w:val="decimal"/>
      <w:lvlText w:val="[%1]"/>
      <w:lvlJc w:val="left"/>
      <w:pPr>
        <w:ind w:left="1070" w:hanging="360"/>
      </w:pPr>
      <w:rPr>
        <w:rFonts w:ascii="Times New Roman" w:eastAsia="Times New Roman" w:hAnsi="Times New Roman" w:cs="Times New Roman" w:hint="default"/>
        <w:b w:val="0"/>
        <w:i w:val="0"/>
        <w:strike w:val="0"/>
        <w:sz w:val="26"/>
        <w:szCs w:val="26"/>
      </w:rPr>
    </w:lvl>
    <w:lvl w:ilvl="1" w:tplc="DA90867E">
      <w:start w:val="1"/>
      <w:numFmt w:val="decimal"/>
      <w:lvlText w:val="%2."/>
      <w:lvlJc w:val="left"/>
      <w:pPr>
        <w:ind w:left="1222" w:hanging="360"/>
      </w:pPr>
      <w:rPr>
        <w:rFonts w:cs="Times New Roman"/>
        <w:b w:val="0"/>
      </w:rPr>
    </w:lvl>
    <w:lvl w:ilvl="2" w:tplc="953489D6">
      <w:start w:val="1"/>
      <w:numFmt w:val="decimal"/>
      <w:lvlText w:val="%3."/>
      <w:lvlJc w:val="left"/>
      <w:pPr>
        <w:ind w:left="2122" w:hanging="360"/>
      </w:pPr>
      <w:rPr>
        <w:rFonts w:cs="Times New Roman" w:hint="default"/>
        <w:b w:val="0"/>
      </w:rPr>
    </w:lvl>
    <w:lvl w:ilvl="3" w:tplc="737E177A">
      <w:start w:val="1"/>
      <w:numFmt w:val="lowerLetter"/>
      <w:lvlText w:val="(%4)"/>
      <w:lvlJc w:val="left"/>
      <w:pPr>
        <w:ind w:left="2662" w:hanging="360"/>
      </w:pPr>
      <w:rPr>
        <w:rFonts w:cs="Times New Roman" w:hint="default"/>
        <w:b w:val="0"/>
      </w:rPr>
    </w:lvl>
    <w:lvl w:ilvl="4" w:tplc="EB18A41E">
      <w:start w:val="1"/>
      <w:numFmt w:val="lowerLetter"/>
      <w:lvlText w:val="%5)"/>
      <w:lvlJc w:val="left"/>
      <w:pPr>
        <w:ind w:left="3382" w:hanging="360"/>
      </w:pPr>
      <w:rPr>
        <w:rFonts w:cs="Times New Roman"/>
        <w:b w:val="0"/>
      </w:rPr>
    </w:lvl>
    <w:lvl w:ilvl="5" w:tplc="4A6A5AFE">
      <w:start w:val="1"/>
      <w:numFmt w:val="bullet"/>
      <w:lvlText w:val="-"/>
      <w:lvlJc w:val="left"/>
      <w:pPr>
        <w:ind w:left="4282" w:hanging="360"/>
      </w:pPr>
      <w:rPr>
        <w:rFonts w:ascii="Times New Roman" w:eastAsia="Times New Roman" w:hAnsi="Times New Roman" w:hint="default"/>
        <w:b w:val="0"/>
      </w:rPr>
    </w:lvl>
    <w:lvl w:ilvl="6" w:tplc="FD5A1F3C">
      <w:start w:val="1"/>
      <w:numFmt w:val="lowerRoman"/>
      <w:lvlText w:val="(%7)"/>
      <w:lvlJc w:val="left"/>
      <w:pPr>
        <w:ind w:left="5182" w:hanging="720"/>
      </w:pPr>
      <w:rPr>
        <w:rFonts w:ascii="Times New Roman" w:eastAsiaTheme="minorEastAsia" w:hAnsi="Times New Roman" w:cs="Times New Roman"/>
        <w:b w:val="0"/>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23" w15:restartNumberingAfterBreak="0">
    <w:nsid w:val="53534B8A"/>
    <w:multiLevelType w:val="hybridMultilevel"/>
    <w:tmpl w:val="2B721BB2"/>
    <w:lvl w:ilvl="0" w:tplc="1DF6AC4E">
      <w:start w:val="1"/>
      <w:numFmt w:val="decimal"/>
      <w:lvlText w:val="[%1]"/>
      <w:lvlJc w:val="left"/>
      <w:pPr>
        <w:ind w:left="1070" w:hanging="360"/>
      </w:pPr>
      <w:rPr>
        <w:rFonts w:ascii="Times New Roman" w:eastAsia="Times New Roman" w:hAnsi="Times New Roman" w:cs="Times New Roman" w:hint="default"/>
        <w:b w:val="0"/>
        <w:i w:val="0"/>
        <w:strike w:val="0"/>
        <w:sz w:val="26"/>
        <w:szCs w:val="26"/>
      </w:rPr>
    </w:lvl>
    <w:lvl w:ilvl="1" w:tplc="DA90867E">
      <w:start w:val="1"/>
      <w:numFmt w:val="decimal"/>
      <w:lvlText w:val="%2."/>
      <w:lvlJc w:val="left"/>
      <w:pPr>
        <w:ind w:left="1222" w:hanging="360"/>
      </w:pPr>
      <w:rPr>
        <w:rFonts w:cs="Times New Roman"/>
        <w:b w:val="0"/>
      </w:rPr>
    </w:lvl>
    <w:lvl w:ilvl="2" w:tplc="953489D6">
      <w:start w:val="1"/>
      <w:numFmt w:val="decimal"/>
      <w:lvlText w:val="%3."/>
      <w:lvlJc w:val="left"/>
      <w:pPr>
        <w:ind w:left="2122" w:hanging="360"/>
      </w:pPr>
      <w:rPr>
        <w:rFonts w:cs="Times New Roman" w:hint="default"/>
        <w:b w:val="0"/>
      </w:rPr>
    </w:lvl>
    <w:lvl w:ilvl="3" w:tplc="737E177A">
      <w:start w:val="1"/>
      <w:numFmt w:val="lowerLetter"/>
      <w:lvlText w:val="(%4)"/>
      <w:lvlJc w:val="left"/>
      <w:pPr>
        <w:ind w:left="2662" w:hanging="360"/>
      </w:pPr>
      <w:rPr>
        <w:rFonts w:cs="Times New Roman" w:hint="default"/>
        <w:b w:val="0"/>
      </w:rPr>
    </w:lvl>
    <w:lvl w:ilvl="4" w:tplc="EB18A41E">
      <w:start w:val="1"/>
      <w:numFmt w:val="lowerLetter"/>
      <w:lvlText w:val="%5)"/>
      <w:lvlJc w:val="left"/>
      <w:pPr>
        <w:ind w:left="3382" w:hanging="360"/>
      </w:pPr>
      <w:rPr>
        <w:rFonts w:cs="Times New Roman"/>
        <w:b w:val="0"/>
      </w:rPr>
    </w:lvl>
    <w:lvl w:ilvl="5" w:tplc="4A6A5AFE">
      <w:start w:val="1"/>
      <w:numFmt w:val="bullet"/>
      <w:lvlText w:val="-"/>
      <w:lvlJc w:val="left"/>
      <w:pPr>
        <w:ind w:left="4282" w:hanging="360"/>
      </w:pPr>
      <w:rPr>
        <w:rFonts w:ascii="Times New Roman" w:eastAsia="Times New Roman" w:hAnsi="Times New Roman" w:hint="default"/>
        <w:b w:val="0"/>
      </w:rPr>
    </w:lvl>
    <w:lvl w:ilvl="6" w:tplc="FD5A1F3C">
      <w:start w:val="1"/>
      <w:numFmt w:val="lowerRoman"/>
      <w:lvlText w:val="(%7)"/>
      <w:lvlJc w:val="left"/>
      <w:pPr>
        <w:ind w:left="5182" w:hanging="720"/>
      </w:pPr>
      <w:rPr>
        <w:rFonts w:ascii="Times New Roman" w:eastAsiaTheme="minorEastAsia" w:hAnsi="Times New Roman" w:cs="Times New Roman"/>
        <w:b w:val="0"/>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24" w15:restartNumberingAfterBreak="0">
    <w:nsid w:val="5BBA27C9"/>
    <w:multiLevelType w:val="multilevel"/>
    <w:tmpl w:val="077C7A5C"/>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210E41"/>
    <w:multiLevelType w:val="hybridMultilevel"/>
    <w:tmpl w:val="EC4A8228"/>
    <w:lvl w:ilvl="0" w:tplc="1DF6AC4E">
      <w:start w:val="1"/>
      <w:numFmt w:val="decimal"/>
      <w:lvlText w:val="[%1]"/>
      <w:lvlJc w:val="left"/>
      <w:pPr>
        <w:ind w:left="1070" w:hanging="360"/>
      </w:pPr>
      <w:rPr>
        <w:rFonts w:ascii="Times New Roman" w:eastAsia="Times New Roman" w:hAnsi="Times New Roman" w:cs="Times New Roman" w:hint="default"/>
        <w:b w:val="0"/>
        <w:i w:val="0"/>
        <w:strike w:val="0"/>
        <w:sz w:val="26"/>
        <w:szCs w:val="26"/>
      </w:rPr>
    </w:lvl>
    <w:lvl w:ilvl="1" w:tplc="DA90867E">
      <w:start w:val="1"/>
      <w:numFmt w:val="decimal"/>
      <w:lvlText w:val="%2."/>
      <w:lvlJc w:val="left"/>
      <w:pPr>
        <w:ind w:left="1222" w:hanging="360"/>
      </w:pPr>
      <w:rPr>
        <w:rFonts w:cs="Times New Roman"/>
        <w:b w:val="0"/>
      </w:rPr>
    </w:lvl>
    <w:lvl w:ilvl="2" w:tplc="953489D6">
      <w:start w:val="1"/>
      <w:numFmt w:val="decimal"/>
      <w:lvlText w:val="%3."/>
      <w:lvlJc w:val="left"/>
      <w:pPr>
        <w:ind w:left="2122" w:hanging="360"/>
      </w:pPr>
      <w:rPr>
        <w:rFonts w:cs="Times New Roman" w:hint="default"/>
        <w:b w:val="0"/>
      </w:rPr>
    </w:lvl>
    <w:lvl w:ilvl="3" w:tplc="737E177A">
      <w:start w:val="1"/>
      <w:numFmt w:val="lowerLetter"/>
      <w:lvlText w:val="(%4)"/>
      <w:lvlJc w:val="left"/>
      <w:pPr>
        <w:ind w:left="2662" w:hanging="360"/>
      </w:pPr>
      <w:rPr>
        <w:rFonts w:cs="Times New Roman" w:hint="default"/>
        <w:b w:val="0"/>
      </w:rPr>
    </w:lvl>
    <w:lvl w:ilvl="4" w:tplc="EB18A41E">
      <w:start w:val="1"/>
      <w:numFmt w:val="lowerLetter"/>
      <w:lvlText w:val="%5)"/>
      <w:lvlJc w:val="left"/>
      <w:pPr>
        <w:ind w:left="3382" w:hanging="360"/>
      </w:pPr>
      <w:rPr>
        <w:rFonts w:cs="Times New Roman"/>
        <w:b w:val="0"/>
      </w:rPr>
    </w:lvl>
    <w:lvl w:ilvl="5" w:tplc="4A6A5AFE">
      <w:start w:val="1"/>
      <w:numFmt w:val="bullet"/>
      <w:lvlText w:val="-"/>
      <w:lvlJc w:val="left"/>
      <w:pPr>
        <w:ind w:left="4282" w:hanging="360"/>
      </w:pPr>
      <w:rPr>
        <w:rFonts w:ascii="Times New Roman" w:eastAsia="Times New Roman" w:hAnsi="Times New Roman" w:hint="default"/>
        <w:b w:val="0"/>
      </w:rPr>
    </w:lvl>
    <w:lvl w:ilvl="6" w:tplc="FD5A1F3C">
      <w:start w:val="1"/>
      <w:numFmt w:val="lowerRoman"/>
      <w:lvlText w:val="(%7)"/>
      <w:lvlJc w:val="left"/>
      <w:pPr>
        <w:ind w:left="5182" w:hanging="720"/>
      </w:pPr>
      <w:rPr>
        <w:rFonts w:ascii="Times New Roman" w:eastAsiaTheme="minorEastAsia" w:hAnsi="Times New Roman" w:cs="Times New Roman"/>
        <w:b w:val="0"/>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26" w15:restartNumberingAfterBreak="0">
    <w:nsid w:val="5FCA050D"/>
    <w:multiLevelType w:val="multilevel"/>
    <w:tmpl w:val="D5C47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7A2C15"/>
    <w:multiLevelType w:val="hybridMultilevel"/>
    <w:tmpl w:val="BEE8436E"/>
    <w:lvl w:ilvl="0" w:tplc="1DF6AC4E">
      <w:start w:val="1"/>
      <w:numFmt w:val="decimal"/>
      <w:lvlText w:val="[%1]"/>
      <w:lvlJc w:val="left"/>
      <w:pPr>
        <w:ind w:left="1070" w:hanging="360"/>
      </w:pPr>
      <w:rPr>
        <w:rFonts w:ascii="Times New Roman" w:eastAsia="Times New Roman" w:hAnsi="Times New Roman" w:cs="Times New Roman" w:hint="default"/>
        <w:b w:val="0"/>
        <w:i w:val="0"/>
        <w:strike w:val="0"/>
        <w:sz w:val="26"/>
        <w:szCs w:val="26"/>
      </w:rPr>
    </w:lvl>
    <w:lvl w:ilvl="1" w:tplc="DA90867E">
      <w:start w:val="1"/>
      <w:numFmt w:val="decimal"/>
      <w:lvlText w:val="%2."/>
      <w:lvlJc w:val="left"/>
      <w:pPr>
        <w:ind w:left="1222" w:hanging="360"/>
      </w:pPr>
      <w:rPr>
        <w:rFonts w:cs="Times New Roman"/>
        <w:b w:val="0"/>
      </w:rPr>
    </w:lvl>
    <w:lvl w:ilvl="2" w:tplc="953489D6">
      <w:start w:val="1"/>
      <w:numFmt w:val="decimal"/>
      <w:lvlText w:val="%3."/>
      <w:lvlJc w:val="left"/>
      <w:pPr>
        <w:ind w:left="2122" w:hanging="360"/>
      </w:pPr>
      <w:rPr>
        <w:rFonts w:cs="Times New Roman" w:hint="default"/>
        <w:b w:val="0"/>
      </w:rPr>
    </w:lvl>
    <w:lvl w:ilvl="3" w:tplc="737E177A">
      <w:start w:val="1"/>
      <w:numFmt w:val="lowerLetter"/>
      <w:lvlText w:val="(%4)"/>
      <w:lvlJc w:val="left"/>
      <w:pPr>
        <w:ind w:left="2662" w:hanging="360"/>
      </w:pPr>
      <w:rPr>
        <w:rFonts w:cs="Times New Roman" w:hint="default"/>
        <w:b w:val="0"/>
      </w:rPr>
    </w:lvl>
    <w:lvl w:ilvl="4" w:tplc="EB18A41E">
      <w:start w:val="1"/>
      <w:numFmt w:val="lowerLetter"/>
      <w:lvlText w:val="%5)"/>
      <w:lvlJc w:val="left"/>
      <w:pPr>
        <w:ind w:left="3382" w:hanging="360"/>
      </w:pPr>
      <w:rPr>
        <w:rFonts w:cs="Times New Roman"/>
        <w:b w:val="0"/>
      </w:rPr>
    </w:lvl>
    <w:lvl w:ilvl="5" w:tplc="4A6A5AFE">
      <w:start w:val="1"/>
      <w:numFmt w:val="bullet"/>
      <w:lvlText w:val="-"/>
      <w:lvlJc w:val="left"/>
      <w:pPr>
        <w:ind w:left="4282" w:hanging="360"/>
      </w:pPr>
      <w:rPr>
        <w:rFonts w:ascii="Times New Roman" w:eastAsia="Times New Roman" w:hAnsi="Times New Roman" w:hint="default"/>
        <w:b w:val="0"/>
      </w:rPr>
    </w:lvl>
    <w:lvl w:ilvl="6" w:tplc="FD5A1F3C">
      <w:start w:val="1"/>
      <w:numFmt w:val="lowerRoman"/>
      <w:lvlText w:val="(%7)"/>
      <w:lvlJc w:val="left"/>
      <w:pPr>
        <w:ind w:left="5182" w:hanging="720"/>
      </w:pPr>
      <w:rPr>
        <w:rFonts w:ascii="Times New Roman" w:eastAsiaTheme="minorEastAsia" w:hAnsi="Times New Roman" w:cs="Times New Roman"/>
        <w:b w:val="0"/>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28" w15:restartNumberingAfterBreak="0">
    <w:nsid w:val="70DD0E68"/>
    <w:multiLevelType w:val="hybridMultilevel"/>
    <w:tmpl w:val="6FF477DC"/>
    <w:lvl w:ilvl="0" w:tplc="1DF6AC4E">
      <w:start w:val="1"/>
      <w:numFmt w:val="decimal"/>
      <w:lvlText w:val="[%1]"/>
      <w:lvlJc w:val="left"/>
      <w:pPr>
        <w:ind w:left="1070" w:hanging="360"/>
      </w:pPr>
      <w:rPr>
        <w:rFonts w:ascii="Times New Roman" w:eastAsia="Times New Roman" w:hAnsi="Times New Roman" w:cs="Times New Roman" w:hint="default"/>
        <w:b w:val="0"/>
        <w:i w:val="0"/>
        <w:strike w:val="0"/>
        <w:sz w:val="26"/>
        <w:szCs w:val="26"/>
      </w:rPr>
    </w:lvl>
    <w:lvl w:ilvl="1" w:tplc="DA90867E">
      <w:start w:val="1"/>
      <w:numFmt w:val="decimal"/>
      <w:lvlText w:val="%2."/>
      <w:lvlJc w:val="left"/>
      <w:pPr>
        <w:ind w:left="1222" w:hanging="360"/>
      </w:pPr>
      <w:rPr>
        <w:rFonts w:cs="Times New Roman"/>
        <w:b w:val="0"/>
      </w:rPr>
    </w:lvl>
    <w:lvl w:ilvl="2" w:tplc="953489D6">
      <w:start w:val="1"/>
      <w:numFmt w:val="decimal"/>
      <w:lvlText w:val="%3."/>
      <w:lvlJc w:val="left"/>
      <w:pPr>
        <w:ind w:left="2122" w:hanging="360"/>
      </w:pPr>
      <w:rPr>
        <w:rFonts w:cs="Times New Roman" w:hint="default"/>
        <w:b w:val="0"/>
      </w:rPr>
    </w:lvl>
    <w:lvl w:ilvl="3" w:tplc="737E177A">
      <w:start w:val="1"/>
      <w:numFmt w:val="lowerLetter"/>
      <w:lvlText w:val="(%4)"/>
      <w:lvlJc w:val="left"/>
      <w:pPr>
        <w:ind w:left="2662" w:hanging="360"/>
      </w:pPr>
      <w:rPr>
        <w:rFonts w:cs="Times New Roman" w:hint="default"/>
        <w:b w:val="0"/>
      </w:rPr>
    </w:lvl>
    <w:lvl w:ilvl="4" w:tplc="EB18A41E">
      <w:start w:val="1"/>
      <w:numFmt w:val="lowerLetter"/>
      <w:lvlText w:val="%5)"/>
      <w:lvlJc w:val="left"/>
      <w:pPr>
        <w:ind w:left="3382" w:hanging="360"/>
      </w:pPr>
      <w:rPr>
        <w:rFonts w:cs="Times New Roman"/>
        <w:b w:val="0"/>
      </w:rPr>
    </w:lvl>
    <w:lvl w:ilvl="5" w:tplc="4A6A5AFE">
      <w:start w:val="1"/>
      <w:numFmt w:val="bullet"/>
      <w:lvlText w:val="-"/>
      <w:lvlJc w:val="left"/>
      <w:pPr>
        <w:ind w:left="4282" w:hanging="360"/>
      </w:pPr>
      <w:rPr>
        <w:rFonts w:ascii="Times New Roman" w:eastAsia="Times New Roman" w:hAnsi="Times New Roman" w:hint="default"/>
        <w:b w:val="0"/>
      </w:rPr>
    </w:lvl>
    <w:lvl w:ilvl="6" w:tplc="FD5A1F3C">
      <w:start w:val="1"/>
      <w:numFmt w:val="lowerRoman"/>
      <w:lvlText w:val="(%7)"/>
      <w:lvlJc w:val="left"/>
      <w:pPr>
        <w:ind w:left="5182" w:hanging="720"/>
      </w:pPr>
      <w:rPr>
        <w:rFonts w:ascii="Times New Roman" w:eastAsiaTheme="minorEastAsia" w:hAnsi="Times New Roman" w:cs="Times New Roman"/>
        <w:b w:val="0"/>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29" w15:restartNumberingAfterBreak="0">
    <w:nsid w:val="717F606D"/>
    <w:multiLevelType w:val="hybridMultilevel"/>
    <w:tmpl w:val="AFCEF2E2"/>
    <w:lvl w:ilvl="0" w:tplc="1DF6AC4E">
      <w:start w:val="1"/>
      <w:numFmt w:val="decimal"/>
      <w:lvlText w:val="[%1]"/>
      <w:lvlJc w:val="left"/>
      <w:pPr>
        <w:ind w:left="1070" w:hanging="360"/>
      </w:pPr>
      <w:rPr>
        <w:rFonts w:ascii="Times New Roman" w:eastAsia="Times New Roman" w:hAnsi="Times New Roman" w:cs="Times New Roman" w:hint="default"/>
        <w:b w:val="0"/>
        <w:i w:val="0"/>
        <w:strike w:val="0"/>
        <w:sz w:val="26"/>
        <w:szCs w:val="26"/>
      </w:rPr>
    </w:lvl>
    <w:lvl w:ilvl="1" w:tplc="DA90867E">
      <w:start w:val="1"/>
      <w:numFmt w:val="decimal"/>
      <w:lvlText w:val="%2."/>
      <w:lvlJc w:val="left"/>
      <w:pPr>
        <w:ind w:left="1222" w:hanging="360"/>
      </w:pPr>
      <w:rPr>
        <w:rFonts w:cs="Times New Roman"/>
        <w:b w:val="0"/>
      </w:rPr>
    </w:lvl>
    <w:lvl w:ilvl="2" w:tplc="953489D6">
      <w:start w:val="1"/>
      <w:numFmt w:val="decimal"/>
      <w:lvlText w:val="%3."/>
      <w:lvlJc w:val="left"/>
      <w:pPr>
        <w:ind w:left="2122" w:hanging="360"/>
      </w:pPr>
      <w:rPr>
        <w:rFonts w:cs="Times New Roman" w:hint="default"/>
        <w:b w:val="0"/>
      </w:rPr>
    </w:lvl>
    <w:lvl w:ilvl="3" w:tplc="737E177A">
      <w:start w:val="1"/>
      <w:numFmt w:val="lowerLetter"/>
      <w:lvlText w:val="(%4)"/>
      <w:lvlJc w:val="left"/>
      <w:pPr>
        <w:ind w:left="2662" w:hanging="360"/>
      </w:pPr>
      <w:rPr>
        <w:rFonts w:cs="Times New Roman" w:hint="default"/>
        <w:b w:val="0"/>
      </w:rPr>
    </w:lvl>
    <w:lvl w:ilvl="4" w:tplc="EB18A41E">
      <w:start w:val="1"/>
      <w:numFmt w:val="lowerLetter"/>
      <w:lvlText w:val="%5)"/>
      <w:lvlJc w:val="left"/>
      <w:pPr>
        <w:ind w:left="3382" w:hanging="360"/>
      </w:pPr>
      <w:rPr>
        <w:rFonts w:cs="Times New Roman"/>
        <w:b w:val="0"/>
      </w:rPr>
    </w:lvl>
    <w:lvl w:ilvl="5" w:tplc="4A6A5AFE">
      <w:start w:val="1"/>
      <w:numFmt w:val="bullet"/>
      <w:lvlText w:val="-"/>
      <w:lvlJc w:val="left"/>
      <w:pPr>
        <w:ind w:left="4282" w:hanging="360"/>
      </w:pPr>
      <w:rPr>
        <w:rFonts w:ascii="Times New Roman" w:eastAsia="Times New Roman" w:hAnsi="Times New Roman" w:hint="default"/>
        <w:b w:val="0"/>
      </w:rPr>
    </w:lvl>
    <w:lvl w:ilvl="6" w:tplc="FD5A1F3C">
      <w:start w:val="1"/>
      <w:numFmt w:val="lowerRoman"/>
      <w:lvlText w:val="(%7)"/>
      <w:lvlJc w:val="left"/>
      <w:pPr>
        <w:ind w:left="5182" w:hanging="720"/>
      </w:pPr>
      <w:rPr>
        <w:rFonts w:ascii="Times New Roman" w:eastAsiaTheme="minorEastAsia" w:hAnsi="Times New Roman" w:cs="Times New Roman"/>
        <w:b w:val="0"/>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30" w15:restartNumberingAfterBreak="0">
    <w:nsid w:val="763935BB"/>
    <w:multiLevelType w:val="hybridMultilevel"/>
    <w:tmpl w:val="3FFE7AFE"/>
    <w:lvl w:ilvl="0" w:tplc="1DF6AC4E">
      <w:start w:val="1"/>
      <w:numFmt w:val="decimal"/>
      <w:lvlText w:val="[%1]"/>
      <w:lvlJc w:val="left"/>
      <w:pPr>
        <w:ind w:left="1070" w:hanging="360"/>
      </w:pPr>
      <w:rPr>
        <w:rFonts w:ascii="Times New Roman" w:eastAsia="Times New Roman" w:hAnsi="Times New Roman" w:cs="Times New Roman" w:hint="default"/>
        <w:b w:val="0"/>
        <w:i w:val="0"/>
        <w:strike w:val="0"/>
        <w:sz w:val="26"/>
        <w:szCs w:val="26"/>
      </w:rPr>
    </w:lvl>
    <w:lvl w:ilvl="1" w:tplc="DA90867E">
      <w:start w:val="1"/>
      <w:numFmt w:val="decimal"/>
      <w:lvlText w:val="%2."/>
      <w:lvlJc w:val="left"/>
      <w:pPr>
        <w:ind w:left="1222" w:hanging="360"/>
      </w:pPr>
      <w:rPr>
        <w:rFonts w:cs="Times New Roman"/>
        <w:b w:val="0"/>
      </w:rPr>
    </w:lvl>
    <w:lvl w:ilvl="2" w:tplc="953489D6">
      <w:start w:val="1"/>
      <w:numFmt w:val="decimal"/>
      <w:lvlText w:val="%3."/>
      <w:lvlJc w:val="left"/>
      <w:pPr>
        <w:ind w:left="2122" w:hanging="360"/>
      </w:pPr>
      <w:rPr>
        <w:rFonts w:cs="Times New Roman" w:hint="default"/>
        <w:b w:val="0"/>
      </w:rPr>
    </w:lvl>
    <w:lvl w:ilvl="3" w:tplc="737E177A">
      <w:start w:val="1"/>
      <w:numFmt w:val="lowerLetter"/>
      <w:lvlText w:val="(%4)"/>
      <w:lvlJc w:val="left"/>
      <w:pPr>
        <w:ind w:left="2662" w:hanging="360"/>
      </w:pPr>
      <w:rPr>
        <w:rFonts w:cs="Times New Roman" w:hint="default"/>
        <w:b w:val="0"/>
      </w:rPr>
    </w:lvl>
    <w:lvl w:ilvl="4" w:tplc="EB18A41E">
      <w:start w:val="1"/>
      <w:numFmt w:val="lowerLetter"/>
      <w:lvlText w:val="%5)"/>
      <w:lvlJc w:val="left"/>
      <w:pPr>
        <w:ind w:left="3382" w:hanging="360"/>
      </w:pPr>
      <w:rPr>
        <w:rFonts w:cs="Times New Roman"/>
        <w:b w:val="0"/>
      </w:rPr>
    </w:lvl>
    <w:lvl w:ilvl="5" w:tplc="4A6A5AFE">
      <w:start w:val="1"/>
      <w:numFmt w:val="bullet"/>
      <w:lvlText w:val="-"/>
      <w:lvlJc w:val="left"/>
      <w:pPr>
        <w:ind w:left="4282" w:hanging="360"/>
      </w:pPr>
      <w:rPr>
        <w:rFonts w:ascii="Times New Roman" w:eastAsia="Times New Roman" w:hAnsi="Times New Roman" w:hint="default"/>
        <w:b w:val="0"/>
      </w:rPr>
    </w:lvl>
    <w:lvl w:ilvl="6" w:tplc="FD5A1F3C">
      <w:start w:val="1"/>
      <w:numFmt w:val="lowerRoman"/>
      <w:lvlText w:val="(%7)"/>
      <w:lvlJc w:val="left"/>
      <w:pPr>
        <w:ind w:left="5182" w:hanging="720"/>
      </w:pPr>
      <w:rPr>
        <w:rFonts w:ascii="Times New Roman" w:eastAsiaTheme="minorEastAsia" w:hAnsi="Times New Roman" w:cs="Times New Roman"/>
        <w:b w:val="0"/>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31" w15:restartNumberingAfterBreak="0">
    <w:nsid w:val="794340C1"/>
    <w:multiLevelType w:val="hybridMultilevel"/>
    <w:tmpl w:val="CFBE2568"/>
    <w:lvl w:ilvl="0" w:tplc="1DF6AC4E">
      <w:start w:val="1"/>
      <w:numFmt w:val="decimal"/>
      <w:lvlText w:val="[%1]"/>
      <w:lvlJc w:val="left"/>
      <w:pPr>
        <w:ind w:left="1070" w:hanging="360"/>
      </w:pPr>
      <w:rPr>
        <w:rFonts w:ascii="Times New Roman" w:eastAsia="Times New Roman" w:hAnsi="Times New Roman" w:cs="Times New Roman" w:hint="default"/>
        <w:b w:val="0"/>
        <w:i w:val="0"/>
        <w:strike w:val="0"/>
        <w:sz w:val="26"/>
        <w:szCs w:val="26"/>
      </w:rPr>
    </w:lvl>
    <w:lvl w:ilvl="1" w:tplc="DA90867E">
      <w:start w:val="1"/>
      <w:numFmt w:val="decimal"/>
      <w:lvlText w:val="%2."/>
      <w:lvlJc w:val="left"/>
      <w:pPr>
        <w:ind w:left="1222" w:hanging="360"/>
      </w:pPr>
      <w:rPr>
        <w:rFonts w:cs="Times New Roman"/>
        <w:b w:val="0"/>
      </w:rPr>
    </w:lvl>
    <w:lvl w:ilvl="2" w:tplc="953489D6">
      <w:start w:val="1"/>
      <w:numFmt w:val="decimal"/>
      <w:lvlText w:val="%3."/>
      <w:lvlJc w:val="left"/>
      <w:pPr>
        <w:ind w:left="2122" w:hanging="360"/>
      </w:pPr>
      <w:rPr>
        <w:rFonts w:cs="Times New Roman" w:hint="default"/>
        <w:b w:val="0"/>
      </w:rPr>
    </w:lvl>
    <w:lvl w:ilvl="3" w:tplc="737E177A">
      <w:start w:val="1"/>
      <w:numFmt w:val="lowerLetter"/>
      <w:lvlText w:val="(%4)"/>
      <w:lvlJc w:val="left"/>
      <w:pPr>
        <w:ind w:left="2662" w:hanging="360"/>
      </w:pPr>
      <w:rPr>
        <w:rFonts w:cs="Times New Roman" w:hint="default"/>
        <w:b w:val="0"/>
      </w:rPr>
    </w:lvl>
    <w:lvl w:ilvl="4" w:tplc="EB18A41E">
      <w:start w:val="1"/>
      <w:numFmt w:val="lowerLetter"/>
      <w:lvlText w:val="%5)"/>
      <w:lvlJc w:val="left"/>
      <w:pPr>
        <w:ind w:left="3382" w:hanging="360"/>
      </w:pPr>
      <w:rPr>
        <w:rFonts w:cs="Times New Roman"/>
        <w:b w:val="0"/>
      </w:rPr>
    </w:lvl>
    <w:lvl w:ilvl="5" w:tplc="4A6A5AFE">
      <w:start w:val="1"/>
      <w:numFmt w:val="bullet"/>
      <w:lvlText w:val="-"/>
      <w:lvlJc w:val="left"/>
      <w:pPr>
        <w:ind w:left="4282" w:hanging="360"/>
      </w:pPr>
      <w:rPr>
        <w:rFonts w:ascii="Times New Roman" w:eastAsia="Times New Roman" w:hAnsi="Times New Roman" w:hint="default"/>
        <w:b w:val="0"/>
      </w:rPr>
    </w:lvl>
    <w:lvl w:ilvl="6" w:tplc="FD5A1F3C">
      <w:start w:val="1"/>
      <w:numFmt w:val="lowerRoman"/>
      <w:lvlText w:val="(%7)"/>
      <w:lvlJc w:val="left"/>
      <w:pPr>
        <w:ind w:left="5182" w:hanging="720"/>
      </w:pPr>
      <w:rPr>
        <w:rFonts w:ascii="Times New Roman" w:eastAsiaTheme="minorEastAsia" w:hAnsi="Times New Roman" w:cs="Times New Roman"/>
        <w:b w:val="0"/>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32" w15:restartNumberingAfterBreak="0">
    <w:nsid w:val="7CF2156D"/>
    <w:multiLevelType w:val="hybridMultilevel"/>
    <w:tmpl w:val="1C24EBEA"/>
    <w:lvl w:ilvl="0" w:tplc="1DF6AC4E">
      <w:start w:val="1"/>
      <w:numFmt w:val="decimal"/>
      <w:lvlText w:val="[%1]"/>
      <w:lvlJc w:val="left"/>
      <w:pPr>
        <w:ind w:left="1070" w:hanging="360"/>
      </w:pPr>
      <w:rPr>
        <w:rFonts w:ascii="Times New Roman" w:eastAsia="Times New Roman" w:hAnsi="Times New Roman" w:cs="Times New Roman" w:hint="default"/>
        <w:b w:val="0"/>
        <w:i w:val="0"/>
        <w:strike w:val="0"/>
        <w:sz w:val="26"/>
        <w:szCs w:val="26"/>
      </w:rPr>
    </w:lvl>
    <w:lvl w:ilvl="1" w:tplc="DA90867E">
      <w:start w:val="1"/>
      <w:numFmt w:val="decimal"/>
      <w:lvlText w:val="%2."/>
      <w:lvlJc w:val="left"/>
      <w:pPr>
        <w:ind w:left="1222" w:hanging="360"/>
      </w:pPr>
      <w:rPr>
        <w:rFonts w:cs="Times New Roman"/>
        <w:b w:val="0"/>
      </w:rPr>
    </w:lvl>
    <w:lvl w:ilvl="2" w:tplc="953489D6">
      <w:start w:val="1"/>
      <w:numFmt w:val="decimal"/>
      <w:lvlText w:val="%3."/>
      <w:lvlJc w:val="left"/>
      <w:pPr>
        <w:ind w:left="2122" w:hanging="360"/>
      </w:pPr>
      <w:rPr>
        <w:rFonts w:cs="Times New Roman" w:hint="default"/>
        <w:b w:val="0"/>
      </w:rPr>
    </w:lvl>
    <w:lvl w:ilvl="3" w:tplc="737E177A">
      <w:start w:val="1"/>
      <w:numFmt w:val="lowerLetter"/>
      <w:lvlText w:val="(%4)"/>
      <w:lvlJc w:val="left"/>
      <w:pPr>
        <w:ind w:left="2662" w:hanging="360"/>
      </w:pPr>
      <w:rPr>
        <w:rFonts w:cs="Times New Roman" w:hint="default"/>
        <w:b w:val="0"/>
      </w:rPr>
    </w:lvl>
    <w:lvl w:ilvl="4" w:tplc="EB18A41E">
      <w:start w:val="1"/>
      <w:numFmt w:val="lowerLetter"/>
      <w:lvlText w:val="%5)"/>
      <w:lvlJc w:val="left"/>
      <w:pPr>
        <w:ind w:left="3382" w:hanging="360"/>
      </w:pPr>
      <w:rPr>
        <w:rFonts w:cs="Times New Roman"/>
        <w:b w:val="0"/>
      </w:rPr>
    </w:lvl>
    <w:lvl w:ilvl="5" w:tplc="4A6A5AFE">
      <w:start w:val="1"/>
      <w:numFmt w:val="bullet"/>
      <w:lvlText w:val="-"/>
      <w:lvlJc w:val="left"/>
      <w:pPr>
        <w:ind w:left="4282" w:hanging="360"/>
      </w:pPr>
      <w:rPr>
        <w:rFonts w:ascii="Times New Roman" w:eastAsia="Times New Roman" w:hAnsi="Times New Roman" w:hint="default"/>
        <w:b w:val="0"/>
      </w:rPr>
    </w:lvl>
    <w:lvl w:ilvl="6" w:tplc="FD5A1F3C">
      <w:start w:val="1"/>
      <w:numFmt w:val="lowerRoman"/>
      <w:lvlText w:val="(%7)"/>
      <w:lvlJc w:val="left"/>
      <w:pPr>
        <w:ind w:left="5182" w:hanging="720"/>
      </w:pPr>
      <w:rPr>
        <w:rFonts w:ascii="Times New Roman" w:eastAsiaTheme="minorEastAsia" w:hAnsi="Times New Roman" w:cs="Times New Roman"/>
        <w:b w:val="0"/>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num w:numId="1">
    <w:abstractNumId w:val="2"/>
  </w:num>
  <w:num w:numId="2">
    <w:abstractNumId w:val="12"/>
  </w:num>
  <w:num w:numId="3">
    <w:abstractNumId w:val="3"/>
  </w:num>
  <w:num w:numId="4">
    <w:abstractNumId w:val="6"/>
  </w:num>
  <w:num w:numId="5">
    <w:abstractNumId w:val="26"/>
  </w:num>
  <w:num w:numId="6">
    <w:abstractNumId w:val="19"/>
  </w:num>
  <w:num w:numId="7">
    <w:abstractNumId w:val="14"/>
  </w:num>
  <w:num w:numId="8">
    <w:abstractNumId w:val="5"/>
  </w:num>
  <w:num w:numId="9">
    <w:abstractNumId w:val="7"/>
  </w:num>
  <w:num w:numId="10">
    <w:abstractNumId w:val="1"/>
  </w:num>
  <w:num w:numId="11">
    <w:abstractNumId w:val="16"/>
  </w:num>
  <w:num w:numId="12">
    <w:abstractNumId w:val="0"/>
  </w:num>
  <w:num w:numId="13">
    <w:abstractNumId w:val="27"/>
  </w:num>
  <w:num w:numId="14">
    <w:abstractNumId w:val="4"/>
  </w:num>
  <w:num w:numId="15">
    <w:abstractNumId w:val="15"/>
  </w:num>
  <w:num w:numId="16">
    <w:abstractNumId w:val="8"/>
  </w:num>
  <w:num w:numId="17">
    <w:abstractNumId w:val="9"/>
  </w:num>
  <w:num w:numId="18">
    <w:abstractNumId w:val="18"/>
  </w:num>
  <w:num w:numId="19">
    <w:abstractNumId w:val="28"/>
  </w:num>
  <w:num w:numId="20">
    <w:abstractNumId w:val="11"/>
  </w:num>
  <w:num w:numId="21">
    <w:abstractNumId w:val="29"/>
  </w:num>
  <w:num w:numId="22">
    <w:abstractNumId w:val="20"/>
  </w:num>
  <w:num w:numId="23">
    <w:abstractNumId w:val="22"/>
  </w:num>
  <w:num w:numId="24">
    <w:abstractNumId w:val="30"/>
  </w:num>
  <w:num w:numId="25">
    <w:abstractNumId w:val="31"/>
  </w:num>
  <w:num w:numId="26">
    <w:abstractNumId w:val="23"/>
  </w:num>
  <w:num w:numId="27">
    <w:abstractNumId w:val="17"/>
  </w:num>
  <w:num w:numId="28">
    <w:abstractNumId w:val="32"/>
  </w:num>
  <w:num w:numId="29">
    <w:abstractNumId w:val="13"/>
  </w:num>
  <w:num w:numId="30">
    <w:abstractNumId w:val="25"/>
  </w:num>
  <w:num w:numId="31">
    <w:abstractNumId w:val="10"/>
  </w:num>
  <w:num w:numId="32">
    <w:abstractNumId w:val="2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87B"/>
    <w:rsid w:val="00001189"/>
    <w:rsid w:val="000031FD"/>
    <w:rsid w:val="00003898"/>
    <w:rsid w:val="00011C78"/>
    <w:rsid w:val="00014269"/>
    <w:rsid w:val="000179AD"/>
    <w:rsid w:val="00022557"/>
    <w:rsid w:val="00024070"/>
    <w:rsid w:val="0002787C"/>
    <w:rsid w:val="00030557"/>
    <w:rsid w:val="000314AE"/>
    <w:rsid w:val="000340B1"/>
    <w:rsid w:val="00034411"/>
    <w:rsid w:val="000358A0"/>
    <w:rsid w:val="000422EC"/>
    <w:rsid w:val="000438E9"/>
    <w:rsid w:val="00044A55"/>
    <w:rsid w:val="000471FD"/>
    <w:rsid w:val="00047AC3"/>
    <w:rsid w:val="000562F2"/>
    <w:rsid w:val="00056400"/>
    <w:rsid w:val="000612D7"/>
    <w:rsid w:val="00062AEB"/>
    <w:rsid w:val="000776DC"/>
    <w:rsid w:val="00084139"/>
    <w:rsid w:val="00090D03"/>
    <w:rsid w:val="0009291A"/>
    <w:rsid w:val="00093DF9"/>
    <w:rsid w:val="000A262F"/>
    <w:rsid w:val="000A3F0D"/>
    <w:rsid w:val="000B34E6"/>
    <w:rsid w:val="000B374A"/>
    <w:rsid w:val="000B42EE"/>
    <w:rsid w:val="000C0A17"/>
    <w:rsid w:val="000C5009"/>
    <w:rsid w:val="000C624F"/>
    <w:rsid w:val="000C70E2"/>
    <w:rsid w:val="000D1028"/>
    <w:rsid w:val="000D2215"/>
    <w:rsid w:val="000D45E1"/>
    <w:rsid w:val="000E0CCC"/>
    <w:rsid w:val="000E6F2A"/>
    <w:rsid w:val="000F2AD2"/>
    <w:rsid w:val="000F6912"/>
    <w:rsid w:val="00102DBC"/>
    <w:rsid w:val="00104FF0"/>
    <w:rsid w:val="00111F46"/>
    <w:rsid w:val="00115FC6"/>
    <w:rsid w:val="0011709A"/>
    <w:rsid w:val="001176BB"/>
    <w:rsid w:val="00120848"/>
    <w:rsid w:val="00121E67"/>
    <w:rsid w:val="0012494B"/>
    <w:rsid w:val="001249AC"/>
    <w:rsid w:val="001265D8"/>
    <w:rsid w:val="001271E4"/>
    <w:rsid w:val="00134238"/>
    <w:rsid w:val="00137A77"/>
    <w:rsid w:val="00137F39"/>
    <w:rsid w:val="001405E8"/>
    <w:rsid w:val="00144C59"/>
    <w:rsid w:val="00146FB8"/>
    <w:rsid w:val="0014751A"/>
    <w:rsid w:val="00155C5D"/>
    <w:rsid w:val="00161AAF"/>
    <w:rsid w:val="001632D5"/>
    <w:rsid w:val="00174492"/>
    <w:rsid w:val="00176682"/>
    <w:rsid w:val="00180F77"/>
    <w:rsid w:val="001842E9"/>
    <w:rsid w:val="001907E2"/>
    <w:rsid w:val="00192527"/>
    <w:rsid w:val="00193ECB"/>
    <w:rsid w:val="00195EDB"/>
    <w:rsid w:val="00197405"/>
    <w:rsid w:val="001A3B48"/>
    <w:rsid w:val="001A43FD"/>
    <w:rsid w:val="001B0C01"/>
    <w:rsid w:val="001B2C0A"/>
    <w:rsid w:val="001B63B4"/>
    <w:rsid w:val="001B7A55"/>
    <w:rsid w:val="001C358D"/>
    <w:rsid w:val="001C634E"/>
    <w:rsid w:val="001C6683"/>
    <w:rsid w:val="001D1AC7"/>
    <w:rsid w:val="001D4571"/>
    <w:rsid w:val="001E075A"/>
    <w:rsid w:val="001E3DD2"/>
    <w:rsid w:val="001E5943"/>
    <w:rsid w:val="001F6507"/>
    <w:rsid w:val="002063E2"/>
    <w:rsid w:val="002129C7"/>
    <w:rsid w:val="00216573"/>
    <w:rsid w:val="002230F5"/>
    <w:rsid w:val="00224847"/>
    <w:rsid w:val="00227AE6"/>
    <w:rsid w:val="002378BB"/>
    <w:rsid w:val="00254634"/>
    <w:rsid w:val="00256A5E"/>
    <w:rsid w:val="00256AEB"/>
    <w:rsid w:val="00261290"/>
    <w:rsid w:val="00262394"/>
    <w:rsid w:val="002634C4"/>
    <w:rsid w:val="00264AF7"/>
    <w:rsid w:val="00270174"/>
    <w:rsid w:val="0027462E"/>
    <w:rsid w:val="00276BFC"/>
    <w:rsid w:val="00280C96"/>
    <w:rsid w:val="00284AF6"/>
    <w:rsid w:val="002877CC"/>
    <w:rsid w:val="0029153A"/>
    <w:rsid w:val="00291C09"/>
    <w:rsid w:val="002976F7"/>
    <w:rsid w:val="002A2E83"/>
    <w:rsid w:val="002A7734"/>
    <w:rsid w:val="002B6473"/>
    <w:rsid w:val="002C4B57"/>
    <w:rsid w:val="002C4DB8"/>
    <w:rsid w:val="002D1929"/>
    <w:rsid w:val="002D2E85"/>
    <w:rsid w:val="002D2F20"/>
    <w:rsid w:val="002D2FA6"/>
    <w:rsid w:val="002D51C5"/>
    <w:rsid w:val="002E7F44"/>
    <w:rsid w:val="002F0183"/>
    <w:rsid w:val="002F0FB9"/>
    <w:rsid w:val="002F419E"/>
    <w:rsid w:val="002F5544"/>
    <w:rsid w:val="002F649A"/>
    <w:rsid w:val="0030206D"/>
    <w:rsid w:val="00310323"/>
    <w:rsid w:val="00310B7C"/>
    <w:rsid w:val="00312F6E"/>
    <w:rsid w:val="00314D43"/>
    <w:rsid w:val="003170CB"/>
    <w:rsid w:val="00321C17"/>
    <w:rsid w:val="00321E1D"/>
    <w:rsid w:val="00322594"/>
    <w:rsid w:val="00323A5E"/>
    <w:rsid w:val="00325980"/>
    <w:rsid w:val="003264D9"/>
    <w:rsid w:val="00327738"/>
    <w:rsid w:val="003307BF"/>
    <w:rsid w:val="00331320"/>
    <w:rsid w:val="0033184B"/>
    <w:rsid w:val="00334192"/>
    <w:rsid w:val="00337FFD"/>
    <w:rsid w:val="00341335"/>
    <w:rsid w:val="0034438F"/>
    <w:rsid w:val="00344DEA"/>
    <w:rsid w:val="0034716E"/>
    <w:rsid w:val="0034786F"/>
    <w:rsid w:val="00351CCF"/>
    <w:rsid w:val="00354274"/>
    <w:rsid w:val="00354DE3"/>
    <w:rsid w:val="0035605F"/>
    <w:rsid w:val="00367B28"/>
    <w:rsid w:val="00375634"/>
    <w:rsid w:val="00376BFD"/>
    <w:rsid w:val="0038256F"/>
    <w:rsid w:val="00391917"/>
    <w:rsid w:val="00394F38"/>
    <w:rsid w:val="003A1459"/>
    <w:rsid w:val="003A2284"/>
    <w:rsid w:val="003A2980"/>
    <w:rsid w:val="003A591D"/>
    <w:rsid w:val="003B1EA5"/>
    <w:rsid w:val="003C634D"/>
    <w:rsid w:val="003C746C"/>
    <w:rsid w:val="003D3602"/>
    <w:rsid w:val="003D49D3"/>
    <w:rsid w:val="003D4A90"/>
    <w:rsid w:val="003D752B"/>
    <w:rsid w:val="003E3FF0"/>
    <w:rsid w:val="003E4606"/>
    <w:rsid w:val="003F15F5"/>
    <w:rsid w:val="003F19D5"/>
    <w:rsid w:val="003F7EC9"/>
    <w:rsid w:val="00401EDB"/>
    <w:rsid w:val="004057FB"/>
    <w:rsid w:val="00410276"/>
    <w:rsid w:val="004108E5"/>
    <w:rsid w:val="0041407C"/>
    <w:rsid w:val="004233D4"/>
    <w:rsid w:val="00423912"/>
    <w:rsid w:val="004257B8"/>
    <w:rsid w:val="0042763D"/>
    <w:rsid w:val="00427DAB"/>
    <w:rsid w:val="0043193A"/>
    <w:rsid w:val="00433209"/>
    <w:rsid w:val="00436ACE"/>
    <w:rsid w:val="00436F0D"/>
    <w:rsid w:val="0043789D"/>
    <w:rsid w:val="00442C3B"/>
    <w:rsid w:val="00452005"/>
    <w:rsid w:val="00452A21"/>
    <w:rsid w:val="00452F87"/>
    <w:rsid w:val="0045454C"/>
    <w:rsid w:val="004573DF"/>
    <w:rsid w:val="00470348"/>
    <w:rsid w:val="004711B5"/>
    <w:rsid w:val="0047178C"/>
    <w:rsid w:val="00472126"/>
    <w:rsid w:val="004722C7"/>
    <w:rsid w:val="00474C24"/>
    <w:rsid w:val="00475BC4"/>
    <w:rsid w:val="00481A0A"/>
    <w:rsid w:val="00483657"/>
    <w:rsid w:val="004837E0"/>
    <w:rsid w:val="00490C4D"/>
    <w:rsid w:val="0049206F"/>
    <w:rsid w:val="00494334"/>
    <w:rsid w:val="00494595"/>
    <w:rsid w:val="004A1C9F"/>
    <w:rsid w:val="004A2D48"/>
    <w:rsid w:val="004A39AD"/>
    <w:rsid w:val="004A6C37"/>
    <w:rsid w:val="004B24F6"/>
    <w:rsid w:val="004B4FEC"/>
    <w:rsid w:val="004B798A"/>
    <w:rsid w:val="004C24AD"/>
    <w:rsid w:val="004C2830"/>
    <w:rsid w:val="004C4FB3"/>
    <w:rsid w:val="004C568A"/>
    <w:rsid w:val="004D2701"/>
    <w:rsid w:val="004D39C1"/>
    <w:rsid w:val="004E36FD"/>
    <w:rsid w:val="004F77F4"/>
    <w:rsid w:val="00500DA9"/>
    <w:rsid w:val="00503404"/>
    <w:rsid w:val="005035CF"/>
    <w:rsid w:val="00504807"/>
    <w:rsid w:val="00504A3E"/>
    <w:rsid w:val="00512FAB"/>
    <w:rsid w:val="0051553F"/>
    <w:rsid w:val="00516833"/>
    <w:rsid w:val="00517491"/>
    <w:rsid w:val="00517716"/>
    <w:rsid w:val="00531421"/>
    <w:rsid w:val="00531D8B"/>
    <w:rsid w:val="00543BF9"/>
    <w:rsid w:val="00544062"/>
    <w:rsid w:val="00553799"/>
    <w:rsid w:val="00553804"/>
    <w:rsid w:val="00555DFA"/>
    <w:rsid w:val="00564F9F"/>
    <w:rsid w:val="005669C7"/>
    <w:rsid w:val="00573AD2"/>
    <w:rsid w:val="005814F2"/>
    <w:rsid w:val="00582333"/>
    <w:rsid w:val="0058295F"/>
    <w:rsid w:val="00590E41"/>
    <w:rsid w:val="005917B3"/>
    <w:rsid w:val="00597FEA"/>
    <w:rsid w:val="005A19CF"/>
    <w:rsid w:val="005A62CC"/>
    <w:rsid w:val="005B1DB6"/>
    <w:rsid w:val="005B25A0"/>
    <w:rsid w:val="005B264E"/>
    <w:rsid w:val="005B6481"/>
    <w:rsid w:val="005B76B1"/>
    <w:rsid w:val="005C6B72"/>
    <w:rsid w:val="005D0169"/>
    <w:rsid w:val="005D3512"/>
    <w:rsid w:val="005E209A"/>
    <w:rsid w:val="005E2E06"/>
    <w:rsid w:val="005E4C7D"/>
    <w:rsid w:val="005E4E18"/>
    <w:rsid w:val="005E543C"/>
    <w:rsid w:val="005E5AA2"/>
    <w:rsid w:val="005E7D4F"/>
    <w:rsid w:val="005F064C"/>
    <w:rsid w:val="005F0EB9"/>
    <w:rsid w:val="005F42D3"/>
    <w:rsid w:val="005F49C4"/>
    <w:rsid w:val="005F5D67"/>
    <w:rsid w:val="006016A9"/>
    <w:rsid w:val="006020BC"/>
    <w:rsid w:val="006065C4"/>
    <w:rsid w:val="00610FBF"/>
    <w:rsid w:val="00612904"/>
    <w:rsid w:val="006213A2"/>
    <w:rsid w:val="00624B3A"/>
    <w:rsid w:val="0062756E"/>
    <w:rsid w:val="00631FF6"/>
    <w:rsid w:val="0063285B"/>
    <w:rsid w:val="00632E8A"/>
    <w:rsid w:val="00635571"/>
    <w:rsid w:val="00641F9D"/>
    <w:rsid w:val="00650C67"/>
    <w:rsid w:val="0065129C"/>
    <w:rsid w:val="006565BC"/>
    <w:rsid w:val="00656F77"/>
    <w:rsid w:val="00670B0D"/>
    <w:rsid w:val="00673079"/>
    <w:rsid w:val="00680C07"/>
    <w:rsid w:val="0068302B"/>
    <w:rsid w:val="0068462F"/>
    <w:rsid w:val="006876C5"/>
    <w:rsid w:val="00690553"/>
    <w:rsid w:val="006A02DC"/>
    <w:rsid w:val="006A1422"/>
    <w:rsid w:val="006A1D8C"/>
    <w:rsid w:val="006A4E15"/>
    <w:rsid w:val="006B065C"/>
    <w:rsid w:val="006B0CF3"/>
    <w:rsid w:val="006B1C28"/>
    <w:rsid w:val="006B37F8"/>
    <w:rsid w:val="006B3D1E"/>
    <w:rsid w:val="006B454E"/>
    <w:rsid w:val="006C0317"/>
    <w:rsid w:val="006C228E"/>
    <w:rsid w:val="006C3A83"/>
    <w:rsid w:val="006C7609"/>
    <w:rsid w:val="006D5477"/>
    <w:rsid w:val="006D5BF8"/>
    <w:rsid w:val="006D7A09"/>
    <w:rsid w:val="006E3D75"/>
    <w:rsid w:val="006E636D"/>
    <w:rsid w:val="006E66D9"/>
    <w:rsid w:val="006E723B"/>
    <w:rsid w:val="006F6D16"/>
    <w:rsid w:val="006F79A3"/>
    <w:rsid w:val="0070108D"/>
    <w:rsid w:val="007026BA"/>
    <w:rsid w:val="0071032D"/>
    <w:rsid w:val="00711762"/>
    <w:rsid w:val="00714F73"/>
    <w:rsid w:val="00722A00"/>
    <w:rsid w:val="00725E01"/>
    <w:rsid w:val="00731C12"/>
    <w:rsid w:val="00732AF5"/>
    <w:rsid w:val="00733644"/>
    <w:rsid w:val="00734188"/>
    <w:rsid w:val="00736C9D"/>
    <w:rsid w:val="007377AA"/>
    <w:rsid w:val="00743026"/>
    <w:rsid w:val="00743520"/>
    <w:rsid w:val="007438DD"/>
    <w:rsid w:val="007456F2"/>
    <w:rsid w:val="007478DA"/>
    <w:rsid w:val="007478F8"/>
    <w:rsid w:val="00753650"/>
    <w:rsid w:val="00755555"/>
    <w:rsid w:val="00762B8A"/>
    <w:rsid w:val="00766785"/>
    <w:rsid w:val="00771E30"/>
    <w:rsid w:val="00772190"/>
    <w:rsid w:val="007729AA"/>
    <w:rsid w:val="00776077"/>
    <w:rsid w:val="00781EC6"/>
    <w:rsid w:val="00783548"/>
    <w:rsid w:val="007856D5"/>
    <w:rsid w:val="00797804"/>
    <w:rsid w:val="007A02CD"/>
    <w:rsid w:val="007A386C"/>
    <w:rsid w:val="007B0ECA"/>
    <w:rsid w:val="007B4285"/>
    <w:rsid w:val="007B47F6"/>
    <w:rsid w:val="007B51F7"/>
    <w:rsid w:val="007B587E"/>
    <w:rsid w:val="007B590A"/>
    <w:rsid w:val="007C2CFE"/>
    <w:rsid w:val="007C74FC"/>
    <w:rsid w:val="007D796F"/>
    <w:rsid w:val="007E2D56"/>
    <w:rsid w:val="007E59EC"/>
    <w:rsid w:val="007F017C"/>
    <w:rsid w:val="007F7662"/>
    <w:rsid w:val="00800D93"/>
    <w:rsid w:val="00801A53"/>
    <w:rsid w:val="00812D69"/>
    <w:rsid w:val="00816B17"/>
    <w:rsid w:val="0082012F"/>
    <w:rsid w:val="00830896"/>
    <w:rsid w:val="00831C84"/>
    <w:rsid w:val="00831ECF"/>
    <w:rsid w:val="008328B4"/>
    <w:rsid w:val="008353F6"/>
    <w:rsid w:val="00845D9A"/>
    <w:rsid w:val="008460BD"/>
    <w:rsid w:val="00852854"/>
    <w:rsid w:val="008558A8"/>
    <w:rsid w:val="008641FD"/>
    <w:rsid w:val="008713BD"/>
    <w:rsid w:val="00872512"/>
    <w:rsid w:val="008757BC"/>
    <w:rsid w:val="0088319A"/>
    <w:rsid w:val="008B026A"/>
    <w:rsid w:val="008B5411"/>
    <w:rsid w:val="008B7B61"/>
    <w:rsid w:val="008C1DB7"/>
    <w:rsid w:val="008C278F"/>
    <w:rsid w:val="008C3F51"/>
    <w:rsid w:val="008C4809"/>
    <w:rsid w:val="008C5B06"/>
    <w:rsid w:val="008C7EDE"/>
    <w:rsid w:val="008D00EA"/>
    <w:rsid w:val="008D2D10"/>
    <w:rsid w:val="008D4662"/>
    <w:rsid w:val="008D75CC"/>
    <w:rsid w:val="008E1443"/>
    <w:rsid w:val="008F59FA"/>
    <w:rsid w:val="00903438"/>
    <w:rsid w:val="0090454E"/>
    <w:rsid w:val="00904E84"/>
    <w:rsid w:val="00904F90"/>
    <w:rsid w:val="00904FBA"/>
    <w:rsid w:val="009058AE"/>
    <w:rsid w:val="00906901"/>
    <w:rsid w:val="00913535"/>
    <w:rsid w:val="009147EF"/>
    <w:rsid w:val="00916A1A"/>
    <w:rsid w:val="00917ADB"/>
    <w:rsid w:val="00917E12"/>
    <w:rsid w:val="00921990"/>
    <w:rsid w:val="0092407E"/>
    <w:rsid w:val="00924FCD"/>
    <w:rsid w:val="009250F0"/>
    <w:rsid w:val="0092525F"/>
    <w:rsid w:val="00931D5A"/>
    <w:rsid w:val="0093796E"/>
    <w:rsid w:val="00941D8B"/>
    <w:rsid w:val="00945AC3"/>
    <w:rsid w:val="009472D1"/>
    <w:rsid w:val="00947BA7"/>
    <w:rsid w:val="00947FD5"/>
    <w:rsid w:val="0095136C"/>
    <w:rsid w:val="009522E8"/>
    <w:rsid w:val="00954E41"/>
    <w:rsid w:val="0095675B"/>
    <w:rsid w:val="00960F07"/>
    <w:rsid w:val="009673EC"/>
    <w:rsid w:val="00972CEC"/>
    <w:rsid w:val="009737CF"/>
    <w:rsid w:val="00977C4F"/>
    <w:rsid w:val="009869C9"/>
    <w:rsid w:val="009873DF"/>
    <w:rsid w:val="009905DD"/>
    <w:rsid w:val="00995DB6"/>
    <w:rsid w:val="009A046B"/>
    <w:rsid w:val="009A55DA"/>
    <w:rsid w:val="009A6470"/>
    <w:rsid w:val="009A7345"/>
    <w:rsid w:val="009B09D8"/>
    <w:rsid w:val="009B37C3"/>
    <w:rsid w:val="009B7B01"/>
    <w:rsid w:val="009C3234"/>
    <w:rsid w:val="009C4C4A"/>
    <w:rsid w:val="009D7C8F"/>
    <w:rsid w:val="009E6261"/>
    <w:rsid w:val="009F6EBC"/>
    <w:rsid w:val="009F76AB"/>
    <w:rsid w:val="00A01A51"/>
    <w:rsid w:val="00A06B03"/>
    <w:rsid w:val="00A12C19"/>
    <w:rsid w:val="00A13CB6"/>
    <w:rsid w:val="00A1487E"/>
    <w:rsid w:val="00A26468"/>
    <w:rsid w:val="00A275F4"/>
    <w:rsid w:val="00A4054C"/>
    <w:rsid w:val="00A41140"/>
    <w:rsid w:val="00A41D4A"/>
    <w:rsid w:val="00A4234E"/>
    <w:rsid w:val="00A45141"/>
    <w:rsid w:val="00A45160"/>
    <w:rsid w:val="00A51F8D"/>
    <w:rsid w:val="00A53415"/>
    <w:rsid w:val="00A53DD5"/>
    <w:rsid w:val="00A5656E"/>
    <w:rsid w:val="00A601CE"/>
    <w:rsid w:val="00A61C37"/>
    <w:rsid w:val="00A61E59"/>
    <w:rsid w:val="00A628E5"/>
    <w:rsid w:val="00A62DD0"/>
    <w:rsid w:val="00A64421"/>
    <w:rsid w:val="00A65E5C"/>
    <w:rsid w:val="00A66BED"/>
    <w:rsid w:val="00A718FD"/>
    <w:rsid w:val="00A7718C"/>
    <w:rsid w:val="00A778E7"/>
    <w:rsid w:val="00A82DA8"/>
    <w:rsid w:val="00A84866"/>
    <w:rsid w:val="00A84B29"/>
    <w:rsid w:val="00A85FAD"/>
    <w:rsid w:val="00A8737A"/>
    <w:rsid w:val="00A87FAA"/>
    <w:rsid w:val="00A9006F"/>
    <w:rsid w:val="00A914A6"/>
    <w:rsid w:val="00AA3E62"/>
    <w:rsid w:val="00AA5BC7"/>
    <w:rsid w:val="00AA7937"/>
    <w:rsid w:val="00AA7A90"/>
    <w:rsid w:val="00AB3A8C"/>
    <w:rsid w:val="00AB7EA4"/>
    <w:rsid w:val="00AC0E03"/>
    <w:rsid w:val="00AC1A87"/>
    <w:rsid w:val="00AD107B"/>
    <w:rsid w:val="00AD2439"/>
    <w:rsid w:val="00AD2880"/>
    <w:rsid w:val="00AD2F44"/>
    <w:rsid w:val="00AD38B2"/>
    <w:rsid w:val="00AD755F"/>
    <w:rsid w:val="00AE17BF"/>
    <w:rsid w:val="00AE3CC8"/>
    <w:rsid w:val="00AF0090"/>
    <w:rsid w:val="00AF5587"/>
    <w:rsid w:val="00B05119"/>
    <w:rsid w:val="00B05E07"/>
    <w:rsid w:val="00B10756"/>
    <w:rsid w:val="00B12F5A"/>
    <w:rsid w:val="00B16534"/>
    <w:rsid w:val="00B21C34"/>
    <w:rsid w:val="00B22203"/>
    <w:rsid w:val="00B234E8"/>
    <w:rsid w:val="00B23F0E"/>
    <w:rsid w:val="00B26ABC"/>
    <w:rsid w:val="00B37F20"/>
    <w:rsid w:val="00B40C71"/>
    <w:rsid w:val="00B41168"/>
    <w:rsid w:val="00B4178A"/>
    <w:rsid w:val="00B41980"/>
    <w:rsid w:val="00B42965"/>
    <w:rsid w:val="00B42EEE"/>
    <w:rsid w:val="00B47512"/>
    <w:rsid w:val="00B51023"/>
    <w:rsid w:val="00B526AF"/>
    <w:rsid w:val="00B5286F"/>
    <w:rsid w:val="00B54EB3"/>
    <w:rsid w:val="00B6083D"/>
    <w:rsid w:val="00B6123B"/>
    <w:rsid w:val="00B6191D"/>
    <w:rsid w:val="00B67769"/>
    <w:rsid w:val="00B75100"/>
    <w:rsid w:val="00B77DEA"/>
    <w:rsid w:val="00B80020"/>
    <w:rsid w:val="00BA0CFE"/>
    <w:rsid w:val="00BA20BA"/>
    <w:rsid w:val="00BB03FC"/>
    <w:rsid w:val="00BB4F2C"/>
    <w:rsid w:val="00BC1255"/>
    <w:rsid w:val="00BC25C5"/>
    <w:rsid w:val="00BC2770"/>
    <w:rsid w:val="00BC5143"/>
    <w:rsid w:val="00BC584F"/>
    <w:rsid w:val="00BD2421"/>
    <w:rsid w:val="00BD4C76"/>
    <w:rsid w:val="00BD7529"/>
    <w:rsid w:val="00BE0378"/>
    <w:rsid w:val="00BE0618"/>
    <w:rsid w:val="00BE066F"/>
    <w:rsid w:val="00BE4D73"/>
    <w:rsid w:val="00BE6951"/>
    <w:rsid w:val="00BF0A55"/>
    <w:rsid w:val="00BF3723"/>
    <w:rsid w:val="00BF5E2D"/>
    <w:rsid w:val="00BF7DA8"/>
    <w:rsid w:val="00C21584"/>
    <w:rsid w:val="00C22686"/>
    <w:rsid w:val="00C2423D"/>
    <w:rsid w:val="00C259FD"/>
    <w:rsid w:val="00C32930"/>
    <w:rsid w:val="00C32E23"/>
    <w:rsid w:val="00C47B5E"/>
    <w:rsid w:val="00C47E34"/>
    <w:rsid w:val="00C50A46"/>
    <w:rsid w:val="00C53BB4"/>
    <w:rsid w:val="00C55B0D"/>
    <w:rsid w:val="00C6576B"/>
    <w:rsid w:val="00C67DBE"/>
    <w:rsid w:val="00C706A6"/>
    <w:rsid w:val="00C70E6C"/>
    <w:rsid w:val="00C72622"/>
    <w:rsid w:val="00C815AC"/>
    <w:rsid w:val="00C84496"/>
    <w:rsid w:val="00C84593"/>
    <w:rsid w:val="00C857D4"/>
    <w:rsid w:val="00C93322"/>
    <w:rsid w:val="00C96B1B"/>
    <w:rsid w:val="00CB0405"/>
    <w:rsid w:val="00CB1476"/>
    <w:rsid w:val="00CB272D"/>
    <w:rsid w:val="00CB488B"/>
    <w:rsid w:val="00CB4AFC"/>
    <w:rsid w:val="00CB5074"/>
    <w:rsid w:val="00CC1B93"/>
    <w:rsid w:val="00CD6007"/>
    <w:rsid w:val="00CD7EDC"/>
    <w:rsid w:val="00CE05E3"/>
    <w:rsid w:val="00D0145B"/>
    <w:rsid w:val="00D016A6"/>
    <w:rsid w:val="00D01D58"/>
    <w:rsid w:val="00D043A7"/>
    <w:rsid w:val="00D07D58"/>
    <w:rsid w:val="00D11935"/>
    <w:rsid w:val="00D1422E"/>
    <w:rsid w:val="00D21857"/>
    <w:rsid w:val="00D2487B"/>
    <w:rsid w:val="00D24EBB"/>
    <w:rsid w:val="00D25161"/>
    <w:rsid w:val="00D26817"/>
    <w:rsid w:val="00D32D93"/>
    <w:rsid w:val="00D331D5"/>
    <w:rsid w:val="00D42C51"/>
    <w:rsid w:val="00D445C7"/>
    <w:rsid w:val="00D44A6A"/>
    <w:rsid w:val="00D455A5"/>
    <w:rsid w:val="00D464B4"/>
    <w:rsid w:val="00D47D57"/>
    <w:rsid w:val="00D533F0"/>
    <w:rsid w:val="00D539CC"/>
    <w:rsid w:val="00D564D5"/>
    <w:rsid w:val="00D62836"/>
    <w:rsid w:val="00D6404A"/>
    <w:rsid w:val="00D66EC9"/>
    <w:rsid w:val="00D7150F"/>
    <w:rsid w:val="00D77F5F"/>
    <w:rsid w:val="00D80CC8"/>
    <w:rsid w:val="00D817AA"/>
    <w:rsid w:val="00D82B36"/>
    <w:rsid w:val="00D847F0"/>
    <w:rsid w:val="00D85C7E"/>
    <w:rsid w:val="00D9134A"/>
    <w:rsid w:val="00D92BC7"/>
    <w:rsid w:val="00D94CC4"/>
    <w:rsid w:val="00DA0DDD"/>
    <w:rsid w:val="00DA2878"/>
    <w:rsid w:val="00DB2241"/>
    <w:rsid w:val="00DB3795"/>
    <w:rsid w:val="00DB5426"/>
    <w:rsid w:val="00DB67B5"/>
    <w:rsid w:val="00DC27C6"/>
    <w:rsid w:val="00DD175F"/>
    <w:rsid w:val="00DD2BCD"/>
    <w:rsid w:val="00DD5628"/>
    <w:rsid w:val="00DE05BD"/>
    <w:rsid w:val="00DE0C24"/>
    <w:rsid w:val="00DE2CD5"/>
    <w:rsid w:val="00DE4524"/>
    <w:rsid w:val="00DE4A93"/>
    <w:rsid w:val="00DE583C"/>
    <w:rsid w:val="00DE7246"/>
    <w:rsid w:val="00E03515"/>
    <w:rsid w:val="00E0448C"/>
    <w:rsid w:val="00E05C56"/>
    <w:rsid w:val="00E1090B"/>
    <w:rsid w:val="00E15BA0"/>
    <w:rsid w:val="00E20FBA"/>
    <w:rsid w:val="00E21343"/>
    <w:rsid w:val="00E2744A"/>
    <w:rsid w:val="00E346B5"/>
    <w:rsid w:val="00E35935"/>
    <w:rsid w:val="00E364C9"/>
    <w:rsid w:val="00E46FBD"/>
    <w:rsid w:val="00E507B1"/>
    <w:rsid w:val="00E51096"/>
    <w:rsid w:val="00E528D3"/>
    <w:rsid w:val="00E52DF5"/>
    <w:rsid w:val="00E6056F"/>
    <w:rsid w:val="00E62F5C"/>
    <w:rsid w:val="00E630D6"/>
    <w:rsid w:val="00E805CE"/>
    <w:rsid w:val="00E83729"/>
    <w:rsid w:val="00E910E5"/>
    <w:rsid w:val="00E93FC2"/>
    <w:rsid w:val="00E95C02"/>
    <w:rsid w:val="00EA080B"/>
    <w:rsid w:val="00EA5620"/>
    <w:rsid w:val="00EB0A03"/>
    <w:rsid w:val="00EB1152"/>
    <w:rsid w:val="00EB25F6"/>
    <w:rsid w:val="00EB5781"/>
    <w:rsid w:val="00EC1080"/>
    <w:rsid w:val="00EC2D29"/>
    <w:rsid w:val="00EC4317"/>
    <w:rsid w:val="00EC4B7E"/>
    <w:rsid w:val="00ED30FA"/>
    <w:rsid w:val="00ED735B"/>
    <w:rsid w:val="00ED796F"/>
    <w:rsid w:val="00EE3E14"/>
    <w:rsid w:val="00EE5049"/>
    <w:rsid w:val="00EE746F"/>
    <w:rsid w:val="00EE7F33"/>
    <w:rsid w:val="00EF0BBB"/>
    <w:rsid w:val="00EF177C"/>
    <w:rsid w:val="00EF3436"/>
    <w:rsid w:val="00EF5D40"/>
    <w:rsid w:val="00EF6FC8"/>
    <w:rsid w:val="00F00C40"/>
    <w:rsid w:val="00F07D70"/>
    <w:rsid w:val="00F12161"/>
    <w:rsid w:val="00F128CC"/>
    <w:rsid w:val="00F203BE"/>
    <w:rsid w:val="00F27BF2"/>
    <w:rsid w:val="00F3540F"/>
    <w:rsid w:val="00F41E0E"/>
    <w:rsid w:val="00F420C0"/>
    <w:rsid w:val="00F457E4"/>
    <w:rsid w:val="00F53CF0"/>
    <w:rsid w:val="00F540B9"/>
    <w:rsid w:val="00F5416D"/>
    <w:rsid w:val="00F54917"/>
    <w:rsid w:val="00F54B89"/>
    <w:rsid w:val="00F60A44"/>
    <w:rsid w:val="00F62540"/>
    <w:rsid w:val="00F6283B"/>
    <w:rsid w:val="00F844E7"/>
    <w:rsid w:val="00F846F4"/>
    <w:rsid w:val="00FA10F9"/>
    <w:rsid w:val="00FA3C00"/>
    <w:rsid w:val="00FA426B"/>
    <w:rsid w:val="00FA58CA"/>
    <w:rsid w:val="00FB7C64"/>
    <w:rsid w:val="00FC292C"/>
    <w:rsid w:val="00FC342F"/>
    <w:rsid w:val="00FC42E0"/>
    <w:rsid w:val="00FC5048"/>
    <w:rsid w:val="00FC7273"/>
    <w:rsid w:val="00FC777E"/>
    <w:rsid w:val="00FD0103"/>
    <w:rsid w:val="00FD0FDC"/>
    <w:rsid w:val="00FD19CA"/>
    <w:rsid w:val="00FD28AF"/>
    <w:rsid w:val="00FE0F88"/>
    <w:rsid w:val="00FE5E82"/>
    <w:rsid w:val="00FE6305"/>
    <w:rsid w:val="00FE6DE5"/>
    <w:rsid w:val="00FE716E"/>
    <w:rsid w:val="00FF0081"/>
    <w:rsid w:val="00FF5529"/>
    <w:rsid w:val="00FF6D82"/>
    <w:rsid w:val="00FF770B"/>
    <w:rsid w:val="00FF7C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F9A2A"/>
  <w15:chartTrackingRefBased/>
  <w15:docId w15:val="{512608F3-AE6A-4340-AB9B-33643D60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2487B"/>
    <w:pPr>
      <w:widowControl w:val="0"/>
      <w:autoSpaceDE w:val="0"/>
      <w:autoSpaceDN w:val="0"/>
      <w:adjustRightInd w:val="0"/>
      <w:spacing w:after="0" w:line="240" w:lineRule="auto"/>
    </w:pPr>
    <w:rPr>
      <w:rFonts w:ascii="Arial" w:eastAsiaTheme="minorEastAsia" w:hAnsi="Arial" w:cs="Arial"/>
      <w:lang w:eastAsia="en-ZA"/>
    </w:rPr>
  </w:style>
  <w:style w:type="paragraph" w:styleId="Heading2">
    <w:name w:val="heading 2"/>
    <w:basedOn w:val="Normal"/>
    <w:next w:val="Normal"/>
    <w:link w:val="Heading2Char"/>
    <w:uiPriority w:val="9"/>
    <w:unhideWhenUsed/>
    <w:qFormat/>
    <w:rsid w:val="00FC292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2487B"/>
    <w:rPr>
      <w:sz w:val="25"/>
      <w:szCs w:val="25"/>
    </w:rPr>
  </w:style>
  <w:style w:type="character" w:customStyle="1" w:styleId="BodyTextChar">
    <w:name w:val="Body Text Char"/>
    <w:basedOn w:val="DefaultParagraphFont"/>
    <w:link w:val="BodyText"/>
    <w:uiPriority w:val="99"/>
    <w:rsid w:val="00D2487B"/>
    <w:rPr>
      <w:rFonts w:ascii="Arial" w:eastAsiaTheme="minorEastAsia" w:hAnsi="Arial" w:cs="Arial"/>
      <w:sz w:val="25"/>
      <w:szCs w:val="25"/>
      <w:lang w:eastAsia="en-ZA"/>
    </w:rPr>
  </w:style>
  <w:style w:type="paragraph" w:customStyle="1" w:styleId="JUDGMENTNUMBERED">
    <w:name w:val="JUDGMENT NUMBERED"/>
    <w:basedOn w:val="Normal"/>
    <w:next w:val="Normal"/>
    <w:qFormat/>
    <w:rsid w:val="00D2487B"/>
    <w:pPr>
      <w:widowControl/>
      <w:numPr>
        <w:numId w:val="1"/>
      </w:numPr>
      <w:autoSpaceDE/>
      <w:autoSpaceDN/>
      <w:adjustRightInd/>
      <w:spacing w:line="360" w:lineRule="auto"/>
      <w:ind w:left="3195"/>
      <w:jc w:val="both"/>
    </w:pPr>
    <w:rPr>
      <w:rFonts w:ascii="Times New Roman" w:hAnsi="Times New Roman" w:cs="Times New Roman"/>
      <w:sz w:val="26"/>
      <w:lang w:eastAsia="en-US"/>
    </w:rPr>
  </w:style>
  <w:style w:type="paragraph" w:customStyle="1" w:styleId="MEMONUMBERED">
    <w:name w:val="MEMO NUMBERED"/>
    <w:basedOn w:val="Normal"/>
    <w:link w:val="MEMONUMBEREDChar"/>
    <w:qFormat/>
    <w:rsid w:val="00D2487B"/>
    <w:pPr>
      <w:widowControl/>
      <w:autoSpaceDE/>
      <w:autoSpaceDN/>
      <w:adjustRightInd/>
      <w:spacing w:line="480" w:lineRule="auto"/>
      <w:jc w:val="both"/>
    </w:pPr>
    <w:rPr>
      <w:rFonts w:ascii="Times New Roman" w:hAnsi="Times New Roman" w:cs="Times New Roman"/>
      <w:sz w:val="24"/>
      <w:szCs w:val="24"/>
      <w:lang w:val="en-US"/>
    </w:rPr>
  </w:style>
  <w:style w:type="character" w:customStyle="1" w:styleId="MEMONUMBEREDChar">
    <w:name w:val="MEMO NUMBERED Char"/>
    <w:link w:val="MEMONUMBERED"/>
    <w:locked/>
    <w:rsid w:val="00D2487B"/>
    <w:rPr>
      <w:rFonts w:ascii="Times New Roman" w:eastAsiaTheme="minorEastAsia" w:hAnsi="Times New Roman" w:cs="Times New Roman"/>
      <w:sz w:val="24"/>
      <w:szCs w:val="24"/>
      <w:lang w:val="en-US" w:eastAsia="en-ZA"/>
    </w:rPr>
  </w:style>
  <w:style w:type="paragraph" w:styleId="FootnoteText">
    <w:name w:val="footnote text"/>
    <w:basedOn w:val="Normal"/>
    <w:link w:val="FootnoteTextChar"/>
    <w:uiPriority w:val="99"/>
    <w:unhideWhenUsed/>
    <w:rsid w:val="00D2487B"/>
    <w:rPr>
      <w:sz w:val="20"/>
      <w:szCs w:val="20"/>
    </w:rPr>
  </w:style>
  <w:style w:type="character" w:customStyle="1" w:styleId="FootnoteTextChar">
    <w:name w:val="Footnote Text Char"/>
    <w:basedOn w:val="DefaultParagraphFont"/>
    <w:link w:val="FootnoteText"/>
    <w:uiPriority w:val="99"/>
    <w:rsid w:val="00D2487B"/>
    <w:rPr>
      <w:rFonts w:ascii="Arial" w:eastAsiaTheme="minorEastAsia" w:hAnsi="Arial" w:cs="Arial"/>
      <w:sz w:val="20"/>
      <w:szCs w:val="20"/>
      <w:lang w:eastAsia="en-ZA"/>
    </w:rPr>
  </w:style>
  <w:style w:type="character" w:styleId="FootnoteReference">
    <w:name w:val="footnote reference"/>
    <w:basedOn w:val="DefaultParagraphFont"/>
    <w:uiPriority w:val="99"/>
    <w:unhideWhenUsed/>
    <w:rsid w:val="00D2487B"/>
    <w:rPr>
      <w:rFonts w:cs="Times New Roman"/>
      <w:vertAlign w:val="superscript"/>
    </w:rPr>
  </w:style>
  <w:style w:type="character" w:customStyle="1" w:styleId="Heading2Char">
    <w:name w:val="Heading 2 Char"/>
    <w:basedOn w:val="DefaultParagraphFont"/>
    <w:link w:val="Heading2"/>
    <w:uiPriority w:val="9"/>
    <w:rsid w:val="00FC292C"/>
    <w:rPr>
      <w:rFonts w:asciiTheme="majorHAnsi" w:eastAsiaTheme="majorEastAsia" w:hAnsiTheme="majorHAnsi" w:cstheme="majorBidi"/>
      <w:color w:val="2F5496" w:themeColor="accent1" w:themeShade="BF"/>
      <w:sz w:val="26"/>
      <w:szCs w:val="26"/>
      <w:lang w:eastAsia="en-ZA"/>
    </w:rPr>
  </w:style>
  <w:style w:type="paragraph" w:styleId="NormalWeb">
    <w:name w:val="Normal (Web)"/>
    <w:basedOn w:val="Normal"/>
    <w:uiPriority w:val="99"/>
    <w:unhideWhenUsed/>
    <w:rsid w:val="00852854"/>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1"/>
    <w:qFormat/>
    <w:rsid w:val="002F0FB9"/>
    <w:pPr>
      <w:ind w:left="720"/>
      <w:contextualSpacing/>
    </w:pPr>
  </w:style>
  <w:style w:type="character" w:customStyle="1" w:styleId="mc">
    <w:name w:val="mc"/>
    <w:basedOn w:val="DefaultParagraphFont"/>
    <w:rsid w:val="00EF5D40"/>
  </w:style>
  <w:style w:type="character" w:styleId="Hyperlink">
    <w:name w:val="Hyperlink"/>
    <w:basedOn w:val="DefaultParagraphFont"/>
    <w:uiPriority w:val="99"/>
    <w:unhideWhenUsed/>
    <w:rsid w:val="00531421"/>
    <w:rPr>
      <w:color w:val="0000FF"/>
      <w:u w:val="single"/>
    </w:rPr>
  </w:style>
  <w:style w:type="character" w:customStyle="1" w:styleId="g1">
    <w:name w:val="g1"/>
    <w:basedOn w:val="DefaultParagraphFont"/>
    <w:rsid w:val="00917ADB"/>
  </w:style>
  <w:style w:type="character" w:customStyle="1" w:styleId="FootnoteTextChar1">
    <w:name w:val="Footnote Text Char1"/>
    <w:semiHidden/>
    <w:locked/>
    <w:rsid w:val="00AD107B"/>
    <w:rPr>
      <w:lang w:val="en-US" w:eastAsia="en-US"/>
    </w:rPr>
  </w:style>
  <w:style w:type="paragraph" w:customStyle="1" w:styleId="jugmentnumbered">
    <w:name w:val="jugmentnumbered"/>
    <w:basedOn w:val="Normal"/>
    <w:rsid w:val="005E2E06"/>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quotation">
    <w:name w:val="quotation"/>
    <w:basedOn w:val="Normal"/>
    <w:rsid w:val="005E2E06"/>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4711B5"/>
    <w:pPr>
      <w:spacing w:after="0" w:line="240" w:lineRule="auto"/>
    </w:pPr>
    <w:rPr>
      <w:rFonts w:ascii="Arial" w:eastAsiaTheme="minorEastAsia" w:hAnsi="Arial" w:cs="Arial"/>
      <w:lang w:eastAsia="en-ZA"/>
    </w:rPr>
  </w:style>
  <w:style w:type="paragraph" w:styleId="Header">
    <w:name w:val="header"/>
    <w:basedOn w:val="Normal"/>
    <w:link w:val="HeaderChar"/>
    <w:uiPriority w:val="99"/>
    <w:unhideWhenUsed/>
    <w:rsid w:val="00E1090B"/>
    <w:pPr>
      <w:tabs>
        <w:tab w:val="center" w:pos="4513"/>
        <w:tab w:val="right" w:pos="9026"/>
      </w:tabs>
    </w:pPr>
  </w:style>
  <w:style w:type="character" w:customStyle="1" w:styleId="HeaderChar">
    <w:name w:val="Header Char"/>
    <w:basedOn w:val="DefaultParagraphFont"/>
    <w:link w:val="Header"/>
    <w:uiPriority w:val="99"/>
    <w:rsid w:val="00E1090B"/>
    <w:rPr>
      <w:rFonts w:ascii="Arial" w:eastAsiaTheme="minorEastAsia" w:hAnsi="Arial" w:cs="Arial"/>
      <w:lang w:eastAsia="en-ZA"/>
    </w:rPr>
  </w:style>
  <w:style w:type="paragraph" w:styleId="Footer">
    <w:name w:val="footer"/>
    <w:basedOn w:val="Normal"/>
    <w:link w:val="FooterChar"/>
    <w:uiPriority w:val="99"/>
    <w:unhideWhenUsed/>
    <w:rsid w:val="00E1090B"/>
    <w:pPr>
      <w:tabs>
        <w:tab w:val="center" w:pos="4513"/>
        <w:tab w:val="right" w:pos="9026"/>
      </w:tabs>
    </w:pPr>
  </w:style>
  <w:style w:type="character" w:customStyle="1" w:styleId="FooterChar">
    <w:name w:val="Footer Char"/>
    <w:basedOn w:val="DefaultParagraphFont"/>
    <w:link w:val="Footer"/>
    <w:uiPriority w:val="99"/>
    <w:rsid w:val="00E1090B"/>
    <w:rPr>
      <w:rFonts w:ascii="Arial" w:eastAsiaTheme="minorEastAsia" w:hAnsi="Arial" w:cs="Arial"/>
      <w:lang w:eastAsia="en-ZA"/>
    </w:rPr>
  </w:style>
  <w:style w:type="paragraph" w:customStyle="1" w:styleId="normaltext">
    <w:name w:val="normaltext"/>
    <w:basedOn w:val="Normal"/>
    <w:rsid w:val="007C74FC"/>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arunninghead">
    <w:name w:val="arunninghead"/>
    <w:basedOn w:val="Normal"/>
    <w:rsid w:val="007C74FC"/>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blockquote-x">
    <w:name w:val="blockquote-x"/>
    <w:basedOn w:val="Normal"/>
    <w:rsid w:val="007C74FC"/>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17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78A"/>
    <w:rPr>
      <w:rFonts w:ascii="Segoe UI" w:eastAsiaTheme="minorEastAsia" w:hAnsi="Segoe UI" w:cs="Segoe UI"/>
      <w:sz w:val="18"/>
      <w:szCs w:val="18"/>
      <w:lang w:eastAsia="en-ZA"/>
    </w:rPr>
  </w:style>
  <w:style w:type="character" w:styleId="CommentReference">
    <w:name w:val="annotation reference"/>
    <w:basedOn w:val="DefaultParagraphFont"/>
    <w:uiPriority w:val="99"/>
    <w:semiHidden/>
    <w:unhideWhenUsed/>
    <w:rsid w:val="000A262F"/>
    <w:rPr>
      <w:sz w:val="16"/>
      <w:szCs w:val="16"/>
    </w:rPr>
  </w:style>
  <w:style w:type="paragraph" w:styleId="CommentText">
    <w:name w:val="annotation text"/>
    <w:basedOn w:val="Normal"/>
    <w:link w:val="CommentTextChar"/>
    <w:uiPriority w:val="99"/>
    <w:semiHidden/>
    <w:unhideWhenUsed/>
    <w:rsid w:val="000A262F"/>
    <w:rPr>
      <w:sz w:val="20"/>
      <w:szCs w:val="20"/>
    </w:rPr>
  </w:style>
  <w:style w:type="character" w:customStyle="1" w:styleId="CommentTextChar">
    <w:name w:val="Comment Text Char"/>
    <w:basedOn w:val="DefaultParagraphFont"/>
    <w:link w:val="CommentText"/>
    <w:uiPriority w:val="99"/>
    <w:semiHidden/>
    <w:rsid w:val="000A262F"/>
    <w:rPr>
      <w:rFonts w:ascii="Arial" w:eastAsiaTheme="minorEastAsia" w:hAnsi="Arial" w:cs="Arial"/>
      <w:sz w:val="20"/>
      <w:szCs w:val="20"/>
      <w:lang w:eastAsia="en-ZA"/>
    </w:rPr>
  </w:style>
  <w:style w:type="paragraph" w:styleId="CommentSubject">
    <w:name w:val="annotation subject"/>
    <w:basedOn w:val="CommentText"/>
    <w:next w:val="CommentText"/>
    <w:link w:val="CommentSubjectChar"/>
    <w:uiPriority w:val="99"/>
    <w:semiHidden/>
    <w:unhideWhenUsed/>
    <w:rsid w:val="000A262F"/>
    <w:rPr>
      <w:b/>
      <w:bCs/>
    </w:rPr>
  </w:style>
  <w:style w:type="character" w:customStyle="1" w:styleId="CommentSubjectChar">
    <w:name w:val="Comment Subject Char"/>
    <w:basedOn w:val="CommentTextChar"/>
    <w:link w:val="CommentSubject"/>
    <w:uiPriority w:val="99"/>
    <w:semiHidden/>
    <w:rsid w:val="000A262F"/>
    <w:rPr>
      <w:rFonts w:ascii="Arial" w:eastAsiaTheme="minorEastAsia" w:hAnsi="Arial" w:cs="Arial"/>
      <w:b/>
      <w:bCs/>
      <w:sz w:val="20"/>
      <w:szCs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7193">
      <w:bodyDiv w:val="1"/>
      <w:marLeft w:val="0"/>
      <w:marRight w:val="0"/>
      <w:marTop w:val="0"/>
      <w:marBottom w:val="0"/>
      <w:divBdr>
        <w:top w:val="none" w:sz="0" w:space="0" w:color="auto"/>
        <w:left w:val="none" w:sz="0" w:space="0" w:color="auto"/>
        <w:bottom w:val="none" w:sz="0" w:space="0" w:color="auto"/>
        <w:right w:val="none" w:sz="0" w:space="0" w:color="auto"/>
      </w:divBdr>
      <w:divsChild>
        <w:div w:id="1306156031">
          <w:marLeft w:val="0"/>
          <w:marRight w:val="0"/>
          <w:marTop w:val="120"/>
          <w:marBottom w:val="0"/>
          <w:divBdr>
            <w:top w:val="none" w:sz="0" w:space="0" w:color="auto"/>
            <w:left w:val="none" w:sz="0" w:space="0" w:color="auto"/>
            <w:bottom w:val="none" w:sz="0" w:space="0" w:color="auto"/>
            <w:right w:val="none" w:sz="0" w:space="0" w:color="auto"/>
          </w:divBdr>
        </w:div>
        <w:div w:id="1825930142">
          <w:marLeft w:val="567"/>
          <w:marRight w:val="0"/>
          <w:marTop w:val="120"/>
          <w:marBottom w:val="0"/>
          <w:divBdr>
            <w:top w:val="none" w:sz="0" w:space="0" w:color="auto"/>
            <w:left w:val="none" w:sz="0" w:space="0" w:color="auto"/>
            <w:bottom w:val="none" w:sz="0" w:space="0" w:color="auto"/>
            <w:right w:val="none" w:sz="0" w:space="0" w:color="auto"/>
          </w:divBdr>
        </w:div>
      </w:divsChild>
    </w:div>
    <w:div w:id="70274509">
      <w:bodyDiv w:val="1"/>
      <w:marLeft w:val="0"/>
      <w:marRight w:val="0"/>
      <w:marTop w:val="0"/>
      <w:marBottom w:val="0"/>
      <w:divBdr>
        <w:top w:val="none" w:sz="0" w:space="0" w:color="auto"/>
        <w:left w:val="none" w:sz="0" w:space="0" w:color="auto"/>
        <w:bottom w:val="none" w:sz="0" w:space="0" w:color="auto"/>
        <w:right w:val="none" w:sz="0" w:space="0" w:color="auto"/>
      </w:divBdr>
    </w:div>
    <w:div w:id="146092014">
      <w:bodyDiv w:val="1"/>
      <w:marLeft w:val="0"/>
      <w:marRight w:val="0"/>
      <w:marTop w:val="0"/>
      <w:marBottom w:val="0"/>
      <w:divBdr>
        <w:top w:val="none" w:sz="0" w:space="0" w:color="auto"/>
        <w:left w:val="none" w:sz="0" w:space="0" w:color="auto"/>
        <w:bottom w:val="none" w:sz="0" w:space="0" w:color="auto"/>
        <w:right w:val="none" w:sz="0" w:space="0" w:color="auto"/>
      </w:divBdr>
    </w:div>
    <w:div w:id="148250678">
      <w:bodyDiv w:val="1"/>
      <w:marLeft w:val="0"/>
      <w:marRight w:val="0"/>
      <w:marTop w:val="0"/>
      <w:marBottom w:val="0"/>
      <w:divBdr>
        <w:top w:val="none" w:sz="0" w:space="0" w:color="auto"/>
        <w:left w:val="none" w:sz="0" w:space="0" w:color="auto"/>
        <w:bottom w:val="none" w:sz="0" w:space="0" w:color="auto"/>
        <w:right w:val="none" w:sz="0" w:space="0" w:color="auto"/>
      </w:divBdr>
    </w:div>
    <w:div w:id="158470146">
      <w:bodyDiv w:val="1"/>
      <w:marLeft w:val="0"/>
      <w:marRight w:val="0"/>
      <w:marTop w:val="0"/>
      <w:marBottom w:val="0"/>
      <w:divBdr>
        <w:top w:val="none" w:sz="0" w:space="0" w:color="auto"/>
        <w:left w:val="none" w:sz="0" w:space="0" w:color="auto"/>
        <w:bottom w:val="none" w:sz="0" w:space="0" w:color="auto"/>
        <w:right w:val="none" w:sz="0" w:space="0" w:color="auto"/>
      </w:divBdr>
    </w:div>
    <w:div w:id="287012649">
      <w:bodyDiv w:val="1"/>
      <w:marLeft w:val="0"/>
      <w:marRight w:val="0"/>
      <w:marTop w:val="0"/>
      <w:marBottom w:val="0"/>
      <w:divBdr>
        <w:top w:val="none" w:sz="0" w:space="0" w:color="auto"/>
        <w:left w:val="none" w:sz="0" w:space="0" w:color="auto"/>
        <w:bottom w:val="none" w:sz="0" w:space="0" w:color="auto"/>
        <w:right w:val="none" w:sz="0" w:space="0" w:color="auto"/>
      </w:divBdr>
    </w:div>
    <w:div w:id="394278296">
      <w:bodyDiv w:val="1"/>
      <w:marLeft w:val="0"/>
      <w:marRight w:val="0"/>
      <w:marTop w:val="0"/>
      <w:marBottom w:val="0"/>
      <w:divBdr>
        <w:top w:val="none" w:sz="0" w:space="0" w:color="auto"/>
        <w:left w:val="none" w:sz="0" w:space="0" w:color="auto"/>
        <w:bottom w:val="none" w:sz="0" w:space="0" w:color="auto"/>
        <w:right w:val="none" w:sz="0" w:space="0" w:color="auto"/>
      </w:divBdr>
    </w:div>
    <w:div w:id="442575966">
      <w:bodyDiv w:val="1"/>
      <w:marLeft w:val="0"/>
      <w:marRight w:val="0"/>
      <w:marTop w:val="0"/>
      <w:marBottom w:val="0"/>
      <w:divBdr>
        <w:top w:val="none" w:sz="0" w:space="0" w:color="auto"/>
        <w:left w:val="none" w:sz="0" w:space="0" w:color="auto"/>
        <w:bottom w:val="none" w:sz="0" w:space="0" w:color="auto"/>
        <w:right w:val="none" w:sz="0" w:space="0" w:color="auto"/>
      </w:divBdr>
    </w:div>
    <w:div w:id="450169651">
      <w:bodyDiv w:val="1"/>
      <w:marLeft w:val="0"/>
      <w:marRight w:val="0"/>
      <w:marTop w:val="0"/>
      <w:marBottom w:val="0"/>
      <w:divBdr>
        <w:top w:val="none" w:sz="0" w:space="0" w:color="auto"/>
        <w:left w:val="none" w:sz="0" w:space="0" w:color="auto"/>
        <w:bottom w:val="none" w:sz="0" w:space="0" w:color="auto"/>
        <w:right w:val="none" w:sz="0" w:space="0" w:color="auto"/>
      </w:divBdr>
    </w:div>
    <w:div w:id="613369595">
      <w:bodyDiv w:val="1"/>
      <w:marLeft w:val="0"/>
      <w:marRight w:val="0"/>
      <w:marTop w:val="0"/>
      <w:marBottom w:val="0"/>
      <w:divBdr>
        <w:top w:val="none" w:sz="0" w:space="0" w:color="auto"/>
        <w:left w:val="none" w:sz="0" w:space="0" w:color="auto"/>
        <w:bottom w:val="none" w:sz="0" w:space="0" w:color="auto"/>
        <w:right w:val="none" w:sz="0" w:space="0" w:color="auto"/>
      </w:divBdr>
    </w:div>
    <w:div w:id="682129571">
      <w:bodyDiv w:val="1"/>
      <w:marLeft w:val="0"/>
      <w:marRight w:val="0"/>
      <w:marTop w:val="0"/>
      <w:marBottom w:val="0"/>
      <w:divBdr>
        <w:top w:val="none" w:sz="0" w:space="0" w:color="auto"/>
        <w:left w:val="none" w:sz="0" w:space="0" w:color="auto"/>
        <w:bottom w:val="none" w:sz="0" w:space="0" w:color="auto"/>
        <w:right w:val="none" w:sz="0" w:space="0" w:color="auto"/>
      </w:divBdr>
      <w:divsChild>
        <w:div w:id="685207610">
          <w:marLeft w:val="0"/>
          <w:marRight w:val="0"/>
          <w:marTop w:val="0"/>
          <w:marBottom w:val="0"/>
          <w:divBdr>
            <w:top w:val="none" w:sz="0" w:space="0" w:color="auto"/>
            <w:left w:val="none" w:sz="0" w:space="0" w:color="auto"/>
            <w:bottom w:val="none" w:sz="0" w:space="0" w:color="auto"/>
            <w:right w:val="none" w:sz="0" w:space="0" w:color="auto"/>
          </w:divBdr>
        </w:div>
        <w:div w:id="216401206">
          <w:marLeft w:val="0"/>
          <w:marRight w:val="0"/>
          <w:marTop w:val="240"/>
          <w:marBottom w:val="24"/>
          <w:divBdr>
            <w:top w:val="single" w:sz="8" w:space="2" w:color="808080"/>
            <w:left w:val="none" w:sz="0" w:space="0" w:color="auto"/>
            <w:bottom w:val="none" w:sz="0" w:space="0" w:color="auto"/>
            <w:right w:val="none" w:sz="0" w:space="0" w:color="auto"/>
          </w:divBdr>
        </w:div>
        <w:div w:id="2093769436">
          <w:marLeft w:val="0"/>
          <w:marRight w:val="0"/>
          <w:marTop w:val="0"/>
          <w:marBottom w:val="0"/>
          <w:divBdr>
            <w:top w:val="none" w:sz="0" w:space="0" w:color="auto"/>
            <w:left w:val="none" w:sz="0" w:space="0" w:color="auto"/>
            <w:bottom w:val="none" w:sz="0" w:space="0" w:color="auto"/>
            <w:right w:val="none" w:sz="0" w:space="0" w:color="auto"/>
          </w:divBdr>
        </w:div>
      </w:divsChild>
    </w:div>
    <w:div w:id="752820985">
      <w:bodyDiv w:val="1"/>
      <w:marLeft w:val="0"/>
      <w:marRight w:val="0"/>
      <w:marTop w:val="0"/>
      <w:marBottom w:val="0"/>
      <w:divBdr>
        <w:top w:val="none" w:sz="0" w:space="0" w:color="auto"/>
        <w:left w:val="none" w:sz="0" w:space="0" w:color="auto"/>
        <w:bottom w:val="none" w:sz="0" w:space="0" w:color="auto"/>
        <w:right w:val="none" w:sz="0" w:space="0" w:color="auto"/>
      </w:divBdr>
      <w:divsChild>
        <w:div w:id="668220718">
          <w:marLeft w:val="0"/>
          <w:marRight w:val="0"/>
          <w:marTop w:val="120"/>
          <w:marBottom w:val="0"/>
          <w:divBdr>
            <w:top w:val="none" w:sz="0" w:space="0" w:color="auto"/>
            <w:left w:val="none" w:sz="0" w:space="0" w:color="auto"/>
            <w:bottom w:val="none" w:sz="0" w:space="0" w:color="auto"/>
            <w:right w:val="none" w:sz="0" w:space="0" w:color="auto"/>
          </w:divBdr>
        </w:div>
        <w:div w:id="911961511">
          <w:marLeft w:val="567"/>
          <w:marRight w:val="0"/>
          <w:marTop w:val="120"/>
          <w:marBottom w:val="0"/>
          <w:divBdr>
            <w:top w:val="none" w:sz="0" w:space="0" w:color="auto"/>
            <w:left w:val="none" w:sz="0" w:space="0" w:color="auto"/>
            <w:bottom w:val="none" w:sz="0" w:space="0" w:color="auto"/>
            <w:right w:val="none" w:sz="0" w:space="0" w:color="auto"/>
          </w:divBdr>
        </w:div>
        <w:div w:id="1136291551">
          <w:marLeft w:val="1293"/>
          <w:marRight w:val="0"/>
          <w:marTop w:val="120"/>
          <w:marBottom w:val="0"/>
          <w:divBdr>
            <w:top w:val="none" w:sz="0" w:space="0" w:color="auto"/>
            <w:left w:val="none" w:sz="0" w:space="0" w:color="auto"/>
            <w:bottom w:val="none" w:sz="0" w:space="0" w:color="auto"/>
            <w:right w:val="none" w:sz="0" w:space="0" w:color="auto"/>
          </w:divBdr>
        </w:div>
        <w:div w:id="434132306">
          <w:marLeft w:val="1293"/>
          <w:marRight w:val="0"/>
          <w:marTop w:val="120"/>
          <w:marBottom w:val="0"/>
          <w:divBdr>
            <w:top w:val="none" w:sz="0" w:space="0" w:color="auto"/>
            <w:left w:val="none" w:sz="0" w:space="0" w:color="auto"/>
            <w:bottom w:val="none" w:sz="0" w:space="0" w:color="auto"/>
            <w:right w:val="none" w:sz="0" w:space="0" w:color="auto"/>
          </w:divBdr>
        </w:div>
        <w:div w:id="1202014154">
          <w:marLeft w:val="567"/>
          <w:marRight w:val="0"/>
          <w:marTop w:val="120"/>
          <w:marBottom w:val="0"/>
          <w:divBdr>
            <w:top w:val="none" w:sz="0" w:space="0" w:color="auto"/>
            <w:left w:val="none" w:sz="0" w:space="0" w:color="auto"/>
            <w:bottom w:val="none" w:sz="0" w:space="0" w:color="auto"/>
            <w:right w:val="none" w:sz="0" w:space="0" w:color="auto"/>
          </w:divBdr>
        </w:div>
      </w:divsChild>
    </w:div>
    <w:div w:id="919414454">
      <w:bodyDiv w:val="1"/>
      <w:marLeft w:val="0"/>
      <w:marRight w:val="0"/>
      <w:marTop w:val="0"/>
      <w:marBottom w:val="0"/>
      <w:divBdr>
        <w:top w:val="none" w:sz="0" w:space="0" w:color="auto"/>
        <w:left w:val="none" w:sz="0" w:space="0" w:color="auto"/>
        <w:bottom w:val="none" w:sz="0" w:space="0" w:color="auto"/>
        <w:right w:val="none" w:sz="0" w:space="0" w:color="auto"/>
      </w:divBdr>
      <w:divsChild>
        <w:div w:id="1789355136">
          <w:marLeft w:val="0"/>
          <w:marRight w:val="0"/>
          <w:marTop w:val="120"/>
          <w:marBottom w:val="0"/>
          <w:divBdr>
            <w:top w:val="none" w:sz="0" w:space="0" w:color="auto"/>
            <w:left w:val="none" w:sz="0" w:space="0" w:color="auto"/>
            <w:bottom w:val="none" w:sz="0" w:space="0" w:color="auto"/>
            <w:right w:val="none" w:sz="0" w:space="0" w:color="auto"/>
          </w:divBdr>
        </w:div>
        <w:div w:id="990522223">
          <w:marLeft w:val="567"/>
          <w:marRight w:val="0"/>
          <w:marTop w:val="60"/>
          <w:marBottom w:val="0"/>
          <w:divBdr>
            <w:top w:val="none" w:sz="0" w:space="0" w:color="auto"/>
            <w:left w:val="none" w:sz="0" w:space="0" w:color="auto"/>
            <w:bottom w:val="none" w:sz="0" w:space="0" w:color="auto"/>
            <w:right w:val="none" w:sz="0" w:space="0" w:color="auto"/>
          </w:divBdr>
        </w:div>
        <w:div w:id="1344355398">
          <w:marLeft w:val="567"/>
          <w:marRight w:val="0"/>
          <w:marTop w:val="60"/>
          <w:marBottom w:val="0"/>
          <w:divBdr>
            <w:top w:val="none" w:sz="0" w:space="0" w:color="auto"/>
            <w:left w:val="none" w:sz="0" w:space="0" w:color="auto"/>
            <w:bottom w:val="none" w:sz="0" w:space="0" w:color="auto"/>
            <w:right w:val="none" w:sz="0" w:space="0" w:color="auto"/>
          </w:divBdr>
        </w:div>
        <w:div w:id="1735856576">
          <w:marLeft w:val="567"/>
          <w:marRight w:val="0"/>
          <w:marTop w:val="60"/>
          <w:marBottom w:val="0"/>
          <w:divBdr>
            <w:top w:val="none" w:sz="0" w:space="0" w:color="auto"/>
            <w:left w:val="none" w:sz="0" w:space="0" w:color="auto"/>
            <w:bottom w:val="none" w:sz="0" w:space="0" w:color="auto"/>
            <w:right w:val="none" w:sz="0" w:space="0" w:color="auto"/>
          </w:divBdr>
        </w:div>
        <w:div w:id="313147393">
          <w:marLeft w:val="567"/>
          <w:marRight w:val="0"/>
          <w:marTop w:val="60"/>
          <w:marBottom w:val="0"/>
          <w:divBdr>
            <w:top w:val="none" w:sz="0" w:space="0" w:color="auto"/>
            <w:left w:val="none" w:sz="0" w:space="0" w:color="auto"/>
            <w:bottom w:val="none" w:sz="0" w:space="0" w:color="auto"/>
            <w:right w:val="none" w:sz="0" w:space="0" w:color="auto"/>
          </w:divBdr>
        </w:div>
        <w:div w:id="1933198028">
          <w:marLeft w:val="0"/>
          <w:marRight w:val="0"/>
          <w:marTop w:val="120"/>
          <w:marBottom w:val="0"/>
          <w:divBdr>
            <w:top w:val="none" w:sz="0" w:space="0" w:color="auto"/>
            <w:left w:val="none" w:sz="0" w:space="0" w:color="auto"/>
            <w:bottom w:val="none" w:sz="0" w:space="0" w:color="auto"/>
            <w:right w:val="none" w:sz="0" w:space="0" w:color="auto"/>
          </w:divBdr>
        </w:div>
      </w:divsChild>
    </w:div>
    <w:div w:id="931937876">
      <w:bodyDiv w:val="1"/>
      <w:marLeft w:val="0"/>
      <w:marRight w:val="0"/>
      <w:marTop w:val="0"/>
      <w:marBottom w:val="0"/>
      <w:divBdr>
        <w:top w:val="none" w:sz="0" w:space="0" w:color="auto"/>
        <w:left w:val="none" w:sz="0" w:space="0" w:color="auto"/>
        <w:bottom w:val="none" w:sz="0" w:space="0" w:color="auto"/>
        <w:right w:val="none" w:sz="0" w:space="0" w:color="auto"/>
      </w:divBdr>
    </w:div>
    <w:div w:id="1067723663">
      <w:bodyDiv w:val="1"/>
      <w:marLeft w:val="0"/>
      <w:marRight w:val="0"/>
      <w:marTop w:val="0"/>
      <w:marBottom w:val="0"/>
      <w:divBdr>
        <w:top w:val="none" w:sz="0" w:space="0" w:color="auto"/>
        <w:left w:val="none" w:sz="0" w:space="0" w:color="auto"/>
        <w:bottom w:val="none" w:sz="0" w:space="0" w:color="auto"/>
        <w:right w:val="none" w:sz="0" w:space="0" w:color="auto"/>
      </w:divBdr>
      <w:divsChild>
        <w:div w:id="1901362001">
          <w:marLeft w:val="0"/>
          <w:marRight w:val="0"/>
          <w:marTop w:val="0"/>
          <w:marBottom w:val="0"/>
          <w:divBdr>
            <w:top w:val="none" w:sz="0" w:space="0" w:color="auto"/>
            <w:left w:val="none" w:sz="0" w:space="0" w:color="auto"/>
            <w:bottom w:val="none" w:sz="0" w:space="0" w:color="auto"/>
            <w:right w:val="none" w:sz="0" w:space="0" w:color="auto"/>
          </w:divBdr>
        </w:div>
        <w:div w:id="1845894891">
          <w:marLeft w:val="0"/>
          <w:marRight w:val="0"/>
          <w:marTop w:val="0"/>
          <w:marBottom w:val="0"/>
          <w:divBdr>
            <w:top w:val="none" w:sz="0" w:space="0" w:color="auto"/>
            <w:left w:val="none" w:sz="0" w:space="0" w:color="auto"/>
            <w:bottom w:val="none" w:sz="0" w:space="0" w:color="auto"/>
            <w:right w:val="none" w:sz="0" w:space="0" w:color="auto"/>
          </w:divBdr>
        </w:div>
      </w:divsChild>
    </w:div>
    <w:div w:id="1087922369">
      <w:bodyDiv w:val="1"/>
      <w:marLeft w:val="0"/>
      <w:marRight w:val="0"/>
      <w:marTop w:val="0"/>
      <w:marBottom w:val="0"/>
      <w:divBdr>
        <w:top w:val="none" w:sz="0" w:space="0" w:color="auto"/>
        <w:left w:val="none" w:sz="0" w:space="0" w:color="auto"/>
        <w:bottom w:val="none" w:sz="0" w:space="0" w:color="auto"/>
        <w:right w:val="none" w:sz="0" w:space="0" w:color="auto"/>
      </w:divBdr>
    </w:div>
    <w:div w:id="1088886970">
      <w:bodyDiv w:val="1"/>
      <w:marLeft w:val="0"/>
      <w:marRight w:val="0"/>
      <w:marTop w:val="0"/>
      <w:marBottom w:val="0"/>
      <w:divBdr>
        <w:top w:val="none" w:sz="0" w:space="0" w:color="auto"/>
        <w:left w:val="none" w:sz="0" w:space="0" w:color="auto"/>
        <w:bottom w:val="none" w:sz="0" w:space="0" w:color="auto"/>
        <w:right w:val="none" w:sz="0" w:space="0" w:color="auto"/>
      </w:divBdr>
    </w:div>
    <w:div w:id="1105735215">
      <w:bodyDiv w:val="1"/>
      <w:marLeft w:val="0"/>
      <w:marRight w:val="0"/>
      <w:marTop w:val="0"/>
      <w:marBottom w:val="0"/>
      <w:divBdr>
        <w:top w:val="none" w:sz="0" w:space="0" w:color="auto"/>
        <w:left w:val="none" w:sz="0" w:space="0" w:color="auto"/>
        <w:bottom w:val="none" w:sz="0" w:space="0" w:color="auto"/>
        <w:right w:val="none" w:sz="0" w:space="0" w:color="auto"/>
      </w:divBdr>
    </w:div>
    <w:div w:id="1107507167">
      <w:bodyDiv w:val="1"/>
      <w:marLeft w:val="0"/>
      <w:marRight w:val="0"/>
      <w:marTop w:val="0"/>
      <w:marBottom w:val="0"/>
      <w:divBdr>
        <w:top w:val="none" w:sz="0" w:space="0" w:color="auto"/>
        <w:left w:val="none" w:sz="0" w:space="0" w:color="auto"/>
        <w:bottom w:val="none" w:sz="0" w:space="0" w:color="auto"/>
        <w:right w:val="none" w:sz="0" w:space="0" w:color="auto"/>
      </w:divBdr>
    </w:div>
    <w:div w:id="1132477082">
      <w:bodyDiv w:val="1"/>
      <w:marLeft w:val="0"/>
      <w:marRight w:val="0"/>
      <w:marTop w:val="0"/>
      <w:marBottom w:val="0"/>
      <w:divBdr>
        <w:top w:val="none" w:sz="0" w:space="0" w:color="auto"/>
        <w:left w:val="none" w:sz="0" w:space="0" w:color="auto"/>
        <w:bottom w:val="none" w:sz="0" w:space="0" w:color="auto"/>
        <w:right w:val="none" w:sz="0" w:space="0" w:color="auto"/>
      </w:divBdr>
    </w:div>
    <w:div w:id="1175730764">
      <w:bodyDiv w:val="1"/>
      <w:marLeft w:val="0"/>
      <w:marRight w:val="0"/>
      <w:marTop w:val="0"/>
      <w:marBottom w:val="0"/>
      <w:divBdr>
        <w:top w:val="none" w:sz="0" w:space="0" w:color="auto"/>
        <w:left w:val="none" w:sz="0" w:space="0" w:color="auto"/>
        <w:bottom w:val="none" w:sz="0" w:space="0" w:color="auto"/>
        <w:right w:val="none" w:sz="0" w:space="0" w:color="auto"/>
      </w:divBdr>
      <w:divsChild>
        <w:div w:id="1092701690">
          <w:marLeft w:val="0"/>
          <w:marRight w:val="0"/>
          <w:marTop w:val="120"/>
          <w:marBottom w:val="0"/>
          <w:divBdr>
            <w:top w:val="none" w:sz="0" w:space="0" w:color="auto"/>
            <w:left w:val="none" w:sz="0" w:space="0" w:color="auto"/>
            <w:bottom w:val="none" w:sz="0" w:space="0" w:color="auto"/>
            <w:right w:val="none" w:sz="0" w:space="0" w:color="auto"/>
          </w:divBdr>
        </w:div>
        <w:div w:id="178156233">
          <w:marLeft w:val="0"/>
          <w:marRight w:val="0"/>
          <w:marTop w:val="240"/>
          <w:marBottom w:val="24"/>
          <w:divBdr>
            <w:top w:val="single" w:sz="8" w:space="2" w:color="808080"/>
            <w:left w:val="none" w:sz="0" w:space="0" w:color="auto"/>
            <w:bottom w:val="none" w:sz="0" w:space="0" w:color="auto"/>
            <w:right w:val="none" w:sz="0" w:space="0" w:color="auto"/>
          </w:divBdr>
        </w:div>
        <w:div w:id="1121538473">
          <w:marLeft w:val="0"/>
          <w:marRight w:val="0"/>
          <w:marTop w:val="120"/>
          <w:marBottom w:val="0"/>
          <w:divBdr>
            <w:top w:val="none" w:sz="0" w:space="0" w:color="auto"/>
            <w:left w:val="none" w:sz="0" w:space="0" w:color="auto"/>
            <w:bottom w:val="none" w:sz="0" w:space="0" w:color="auto"/>
            <w:right w:val="none" w:sz="0" w:space="0" w:color="auto"/>
          </w:divBdr>
        </w:div>
        <w:div w:id="1606184480">
          <w:marLeft w:val="0"/>
          <w:marRight w:val="0"/>
          <w:marTop w:val="120"/>
          <w:marBottom w:val="0"/>
          <w:divBdr>
            <w:top w:val="none" w:sz="0" w:space="0" w:color="auto"/>
            <w:left w:val="none" w:sz="0" w:space="0" w:color="auto"/>
            <w:bottom w:val="none" w:sz="0" w:space="0" w:color="auto"/>
            <w:right w:val="none" w:sz="0" w:space="0" w:color="auto"/>
          </w:divBdr>
        </w:div>
        <w:div w:id="1867133042">
          <w:marLeft w:val="0"/>
          <w:marRight w:val="0"/>
          <w:marTop w:val="120"/>
          <w:marBottom w:val="0"/>
          <w:divBdr>
            <w:top w:val="none" w:sz="0" w:space="0" w:color="auto"/>
            <w:left w:val="none" w:sz="0" w:space="0" w:color="auto"/>
            <w:bottom w:val="none" w:sz="0" w:space="0" w:color="auto"/>
            <w:right w:val="none" w:sz="0" w:space="0" w:color="auto"/>
          </w:divBdr>
        </w:div>
        <w:div w:id="327487577">
          <w:marLeft w:val="0"/>
          <w:marRight w:val="0"/>
          <w:marTop w:val="120"/>
          <w:marBottom w:val="0"/>
          <w:divBdr>
            <w:top w:val="none" w:sz="0" w:space="0" w:color="auto"/>
            <w:left w:val="none" w:sz="0" w:space="0" w:color="auto"/>
            <w:bottom w:val="none" w:sz="0" w:space="0" w:color="auto"/>
            <w:right w:val="none" w:sz="0" w:space="0" w:color="auto"/>
          </w:divBdr>
        </w:div>
      </w:divsChild>
    </w:div>
    <w:div w:id="1187719792">
      <w:bodyDiv w:val="1"/>
      <w:marLeft w:val="0"/>
      <w:marRight w:val="0"/>
      <w:marTop w:val="0"/>
      <w:marBottom w:val="0"/>
      <w:divBdr>
        <w:top w:val="none" w:sz="0" w:space="0" w:color="auto"/>
        <w:left w:val="none" w:sz="0" w:space="0" w:color="auto"/>
        <w:bottom w:val="none" w:sz="0" w:space="0" w:color="auto"/>
        <w:right w:val="none" w:sz="0" w:space="0" w:color="auto"/>
      </w:divBdr>
    </w:div>
    <w:div w:id="1273787481">
      <w:bodyDiv w:val="1"/>
      <w:marLeft w:val="0"/>
      <w:marRight w:val="0"/>
      <w:marTop w:val="0"/>
      <w:marBottom w:val="0"/>
      <w:divBdr>
        <w:top w:val="none" w:sz="0" w:space="0" w:color="auto"/>
        <w:left w:val="none" w:sz="0" w:space="0" w:color="auto"/>
        <w:bottom w:val="none" w:sz="0" w:space="0" w:color="auto"/>
        <w:right w:val="none" w:sz="0" w:space="0" w:color="auto"/>
      </w:divBdr>
    </w:div>
    <w:div w:id="1331446791">
      <w:bodyDiv w:val="1"/>
      <w:marLeft w:val="0"/>
      <w:marRight w:val="0"/>
      <w:marTop w:val="0"/>
      <w:marBottom w:val="0"/>
      <w:divBdr>
        <w:top w:val="none" w:sz="0" w:space="0" w:color="auto"/>
        <w:left w:val="none" w:sz="0" w:space="0" w:color="auto"/>
        <w:bottom w:val="none" w:sz="0" w:space="0" w:color="auto"/>
        <w:right w:val="none" w:sz="0" w:space="0" w:color="auto"/>
      </w:divBdr>
    </w:div>
    <w:div w:id="1366055718">
      <w:bodyDiv w:val="1"/>
      <w:marLeft w:val="0"/>
      <w:marRight w:val="0"/>
      <w:marTop w:val="0"/>
      <w:marBottom w:val="0"/>
      <w:divBdr>
        <w:top w:val="none" w:sz="0" w:space="0" w:color="auto"/>
        <w:left w:val="none" w:sz="0" w:space="0" w:color="auto"/>
        <w:bottom w:val="none" w:sz="0" w:space="0" w:color="auto"/>
        <w:right w:val="none" w:sz="0" w:space="0" w:color="auto"/>
      </w:divBdr>
      <w:divsChild>
        <w:div w:id="1108311455">
          <w:marLeft w:val="0"/>
          <w:marRight w:val="0"/>
          <w:marTop w:val="120"/>
          <w:marBottom w:val="0"/>
          <w:divBdr>
            <w:top w:val="none" w:sz="0" w:space="0" w:color="auto"/>
            <w:left w:val="none" w:sz="0" w:space="0" w:color="auto"/>
            <w:bottom w:val="none" w:sz="0" w:space="0" w:color="auto"/>
            <w:right w:val="none" w:sz="0" w:space="0" w:color="auto"/>
          </w:divBdr>
        </w:div>
        <w:div w:id="1682656719">
          <w:marLeft w:val="567"/>
          <w:marRight w:val="0"/>
          <w:marTop w:val="60"/>
          <w:marBottom w:val="0"/>
          <w:divBdr>
            <w:top w:val="none" w:sz="0" w:space="0" w:color="auto"/>
            <w:left w:val="none" w:sz="0" w:space="0" w:color="auto"/>
            <w:bottom w:val="none" w:sz="0" w:space="0" w:color="auto"/>
            <w:right w:val="none" w:sz="0" w:space="0" w:color="auto"/>
          </w:divBdr>
        </w:div>
        <w:div w:id="456031554">
          <w:marLeft w:val="567"/>
          <w:marRight w:val="0"/>
          <w:marTop w:val="60"/>
          <w:marBottom w:val="0"/>
          <w:divBdr>
            <w:top w:val="none" w:sz="0" w:space="0" w:color="auto"/>
            <w:left w:val="none" w:sz="0" w:space="0" w:color="auto"/>
            <w:bottom w:val="none" w:sz="0" w:space="0" w:color="auto"/>
            <w:right w:val="none" w:sz="0" w:space="0" w:color="auto"/>
          </w:divBdr>
        </w:div>
        <w:div w:id="2069759341">
          <w:marLeft w:val="567"/>
          <w:marRight w:val="0"/>
          <w:marTop w:val="60"/>
          <w:marBottom w:val="0"/>
          <w:divBdr>
            <w:top w:val="none" w:sz="0" w:space="0" w:color="auto"/>
            <w:left w:val="none" w:sz="0" w:space="0" w:color="auto"/>
            <w:bottom w:val="none" w:sz="0" w:space="0" w:color="auto"/>
            <w:right w:val="none" w:sz="0" w:space="0" w:color="auto"/>
          </w:divBdr>
        </w:div>
        <w:div w:id="1043595362">
          <w:marLeft w:val="567"/>
          <w:marRight w:val="0"/>
          <w:marTop w:val="60"/>
          <w:marBottom w:val="0"/>
          <w:divBdr>
            <w:top w:val="none" w:sz="0" w:space="0" w:color="auto"/>
            <w:left w:val="none" w:sz="0" w:space="0" w:color="auto"/>
            <w:bottom w:val="none" w:sz="0" w:space="0" w:color="auto"/>
            <w:right w:val="none" w:sz="0" w:space="0" w:color="auto"/>
          </w:divBdr>
        </w:div>
        <w:div w:id="622465010">
          <w:marLeft w:val="0"/>
          <w:marRight w:val="0"/>
          <w:marTop w:val="120"/>
          <w:marBottom w:val="0"/>
          <w:divBdr>
            <w:top w:val="none" w:sz="0" w:space="0" w:color="auto"/>
            <w:left w:val="none" w:sz="0" w:space="0" w:color="auto"/>
            <w:bottom w:val="none" w:sz="0" w:space="0" w:color="auto"/>
            <w:right w:val="none" w:sz="0" w:space="0" w:color="auto"/>
          </w:divBdr>
        </w:div>
      </w:divsChild>
    </w:div>
    <w:div w:id="1376929564">
      <w:bodyDiv w:val="1"/>
      <w:marLeft w:val="0"/>
      <w:marRight w:val="0"/>
      <w:marTop w:val="0"/>
      <w:marBottom w:val="0"/>
      <w:divBdr>
        <w:top w:val="none" w:sz="0" w:space="0" w:color="auto"/>
        <w:left w:val="none" w:sz="0" w:space="0" w:color="auto"/>
        <w:bottom w:val="none" w:sz="0" w:space="0" w:color="auto"/>
        <w:right w:val="none" w:sz="0" w:space="0" w:color="auto"/>
      </w:divBdr>
    </w:div>
    <w:div w:id="1418870600">
      <w:bodyDiv w:val="1"/>
      <w:marLeft w:val="0"/>
      <w:marRight w:val="0"/>
      <w:marTop w:val="0"/>
      <w:marBottom w:val="0"/>
      <w:divBdr>
        <w:top w:val="none" w:sz="0" w:space="0" w:color="auto"/>
        <w:left w:val="none" w:sz="0" w:space="0" w:color="auto"/>
        <w:bottom w:val="none" w:sz="0" w:space="0" w:color="auto"/>
        <w:right w:val="none" w:sz="0" w:space="0" w:color="auto"/>
      </w:divBdr>
    </w:div>
    <w:div w:id="1458598166">
      <w:bodyDiv w:val="1"/>
      <w:marLeft w:val="0"/>
      <w:marRight w:val="0"/>
      <w:marTop w:val="0"/>
      <w:marBottom w:val="0"/>
      <w:divBdr>
        <w:top w:val="none" w:sz="0" w:space="0" w:color="auto"/>
        <w:left w:val="none" w:sz="0" w:space="0" w:color="auto"/>
        <w:bottom w:val="none" w:sz="0" w:space="0" w:color="auto"/>
        <w:right w:val="none" w:sz="0" w:space="0" w:color="auto"/>
      </w:divBdr>
      <w:divsChild>
        <w:div w:id="1067529092">
          <w:marLeft w:val="1134"/>
          <w:marRight w:val="0"/>
          <w:marTop w:val="120"/>
          <w:marBottom w:val="0"/>
          <w:divBdr>
            <w:top w:val="none" w:sz="0" w:space="0" w:color="auto"/>
            <w:left w:val="none" w:sz="0" w:space="0" w:color="auto"/>
            <w:bottom w:val="none" w:sz="0" w:space="0" w:color="auto"/>
            <w:right w:val="none" w:sz="0" w:space="0" w:color="auto"/>
          </w:divBdr>
        </w:div>
        <w:div w:id="1977641763">
          <w:marLeft w:val="1134"/>
          <w:marRight w:val="0"/>
          <w:marTop w:val="120"/>
          <w:marBottom w:val="0"/>
          <w:divBdr>
            <w:top w:val="none" w:sz="0" w:space="0" w:color="auto"/>
            <w:left w:val="none" w:sz="0" w:space="0" w:color="auto"/>
            <w:bottom w:val="none" w:sz="0" w:space="0" w:color="auto"/>
            <w:right w:val="none" w:sz="0" w:space="0" w:color="auto"/>
          </w:divBdr>
        </w:div>
      </w:divsChild>
    </w:div>
    <w:div w:id="1464155059">
      <w:bodyDiv w:val="1"/>
      <w:marLeft w:val="0"/>
      <w:marRight w:val="0"/>
      <w:marTop w:val="0"/>
      <w:marBottom w:val="0"/>
      <w:divBdr>
        <w:top w:val="none" w:sz="0" w:space="0" w:color="auto"/>
        <w:left w:val="none" w:sz="0" w:space="0" w:color="auto"/>
        <w:bottom w:val="none" w:sz="0" w:space="0" w:color="auto"/>
        <w:right w:val="none" w:sz="0" w:space="0" w:color="auto"/>
      </w:divBdr>
    </w:div>
    <w:div w:id="1494028694">
      <w:bodyDiv w:val="1"/>
      <w:marLeft w:val="0"/>
      <w:marRight w:val="0"/>
      <w:marTop w:val="0"/>
      <w:marBottom w:val="0"/>
      <w:divBdr>
        <w:top w:val="none" w:sz="0" w:space="0" w:color="auto"/>
        <w:left w:val="none" w:sz="0" w:space="0" w:color="auto"/>
        <w:bottom w:val="none" w:sz="0" w:space="0" w:color="auto"/>
        <w:right w:val="none" w:sz="0" w:space="0" w:color="auto"/>
      </w:divBdr>
    </w:div>
    <w:div w:id="1534616427">
      <w:bodyDiv w:val="1"/>
      <w:marLeft w:val="0"/>
      <w:marRight w:val="0"/>
      <w:marTop w:val="0"/>
      <w:marBottom w:val="0"/>
      <w:divBdr>
        <w:top w:val="none" w:sz="0" w:space="0" w:color="auto"/>
        <w:left w:val="none" w:sz="0" w:space="0" w:color="auto"/>
        <w:bottom w:val="none" w:sz="0" w:space="0" w:color="auto"/>
        <w:right w:val="none" w:sz="0" w:space="0" w:color="auto"/>
      </w:divBdr>
    </w:div>
    <w:div w:id="1572622739">
      <w:bodyDiv w:val="1"/>
      <w:marLeft w:val="0"/>
      <w:marRight w:val="0"/>
      <w:marTop w:val="0"/>
      <w:marBottom w:val="0"/>
      <w:divBdr>
        <w:top w:val="none" w:sz="0" w:space="0" w:color="auto"/>
        <w:left w:val="none" w:sz="0" w:space="0" w:color="auto"/>
        <w:bottom w:val="none" w:sz="0" w:space="0" w:color="auto"/>
        <w:right w:val="none" w:sz="0" w:space="0" w:color="auto"/>
      </w:divBdr>
    </w:div>
    <w:div w:id="1696803568">
      <w:bodyDiv w:val="1"/>
      <w:marLeft w:val="0"/>
      <w:marRight w:val="0"/>
      <w:marTop w:val="0"/>
      <w:marBottom w:val="0"/>
      <w:divBdr>
        <w:top w:val="none" w:sz="0" w:space="0" w:color="auto"/>
        <w:left w:val="none" w:sz="0" w:space="0" w:color="auto"/>
        <w:bottom w:val="none" w:sz="0" w:space="0" w:color="auto"/>
        <w:right w:val="none" w:sz="0" w:space="0" w:color="auto"/>
      </w:divBdr>
    </w:div>
    <w:div w:id="1848908105">
      <w:bodyDiv w:val="1"/>
      <w:marLeft w:val="0"/>
      <w:marRight w:val="0"/>
      <w:marTop w:val="0"/>
      <w:marBottom w:val="0"/>
      <w:divBdr>
        <w:top w:val="none" w:sz="0" w:space="0" w:color="auto"/>
        <w:left w:val="none" w:sz="0" w:space="0" w:color="auto"/>
        <w:bottom w:val="none" w:sz="0" w:space="0" w:color="auto"/>
        <w:right w:val="none" w:sz="0" w:space="0" w:color="auto"/>
      </w:divBdr>
    </w:div>
    <w:div w:id="1927424796">
      <w:bodyDiv w:val="1"/>
      <w:marLeft w:val="0"/>
      <w:marRight w:val="0"/>
      <w:marTop w:val="0"/>
      <w:marBottom w:val="0"/>
      <w:divBdr>
        <w:top w:val="none" w:sz="0" w:space="0" w:color="auto"/>
        <w:left w:val="none" w:sz="0" w:space="0" w:color="auto"/>
        <w:bottom w:val="none" w:sz="0" w:space="0" w:color="auto"/>
        <w:right w:val="none" w:sz="0" w:space="0" w:color="auto"/>
      </w:divBdr>
      <w:divsChild>
        <w:div w:id="1708333598">
          <w:marLeft w:val="567"/>
          <w:marRight w:val="0"/>
          <w:marTop w:val="120"/>
          <w:marBottom w:val="0"/>
          <w:divBdr>
            <w:top w:val="none" w:sz="0" w:space="0" w:color="auto"/>
            <w:left w:val="none" w:sz="0" w:space="0" w:color="auto"/>
            <w:bottom w:val="none" w:sz="0" w:space="0" w:color="auto"/>
            <w:right w:val="none" w:sz="0" w:space="0" w:color="auto"/>
          </w:divBdr>
        </w:div>
        <w:div w:id="94328938">
          <w:marLeft w:val="567"/>
          <w:marRight w:val="0"/>
          <w:marTop w:val="120"/>
          <w:marBottom w:val="0"/>
          <w:divBdr>
            <w:top w:val="none" w:sz="0" w:space="0" w:color="auto"/>
            <w:left w:val="none" w:sz="0" w:space="0" w:color="auto"/>
            <w:bottom w:val="none" w:sz="0" w:space="0" w:color="auto"/>
            <w:right w:val="none" w:sz="0" w:space="0" w:color="auto"/>
          </w:divBdr>
        </w:div>
        <w:div w:id="222763145">
          <w:marLeft w:val="567"/>
          <w:marRight w:val="0"/>
          <w:marTop w:val="120"/>
          <w:marBottom w:val="0"/>
          <w:divBdr>
            <w:top w:val="none" w:sz="0" w:space="0" w:color="auto"/>
            <w:left w:val="none" w:sz="0" w:space="0" w:color="auto"/>
            <w:bottom w:val="none" w:sz="0" w:space="0" w:color="auto"/>
            <w:right w:val="none" w:sz="0" w:space="0" w:color="auto"/>
          </w:divBdr>
        </w:div>
        <w:div w:id="1297486763">
          <w:marLeft w:val="0"/>
          <w:marRight w:val="0"/>
          <w:marTop w:val="240"/>
          <w:marBottom w:val="24"/>
          <w:divBdr>
            <w:top w:val="single" w:sz="8" w:space="2" w:color="808080"/>
            <w:left w:val="none" w:sz="0" w:space="0" w:color="auto"/>
            <w:bottom w:val="none" w:sz="0" w:space="0" w:color="auto"/>
            <w:right w:val="none" w:sz="0" w:space="0" w:color="auto"/>
          </w:divBdr>
        </w:div>
        <w:div w:id="555287420">
          <w:marLeft w:val="0"/>
          <w:marRight w:val="0"/>
          <w:marTop w:val="120"/>
          <w:marBottom w:val="0"/>
          <w:divBdr>
            <w:top w:val="none" w:sz="0" w:space="0" w:color="auto"/>
            <w:left w:val="none" w:sz="0" w:space="0" w:color="auto"/>
            <w:bottom w:val="none" w:sz="0" w:space="0" w:color="auto"/>
            <w:right w:val="none" w:sz="0" w:space="0" w:color="auto"/>
          </w:divBdr>
        </w:div>
        <w:div w:id="881408884">
          <w:marLeft w:val="567"/>
          <w:marRight w:val="0"/>
          <w:marTop w:val="120"/>
          <w:marBottom w:val="0"/>
          <w:divBdr>
            <w:top w:val="none" w:sz="0" w:space="0" w:color="auto"/>
            <w:left w:val="none" w:sz="0" w:space="0" w:color="auto"/>
            <w:bottom w:val="none" w:sz="0" w:space="0" w:color="auto"/>
            <w:right w:val="none" w:sz="0" w:space="0" w:color="auto"/>
          </w:divBdr>
        </w:div>
      </w:divsChild>
    </w:div>
    <w:div w:id="1973099248">
      <w:bodyDiv w:val="1"/>
      <w:marLeft w:val="0"/>
      <w:marRight w:val="0"/>
      <w:marTop w:val="0"/>
      <w:marBottom w:val="0"/>
      <w:divBdr>
        <w:top w:val="none" w:sz="0" w:space="0" w:color="auto"/>
        <w:left w:val="none" w:sz="0" w:space="0" w:color="auto"/>
        <w:bottom w:val="none" w:sz="0" w:space="0" w:color="auto"/>
        <w:right w:val="none" w:sz="0" w:space="0" w:color="auto"/>
      </w:divBdr>
    </w:div>
    <w:div w:id="2073581028">
      <w:bodyDiv w:val="1"/>
      <w:marLeft w:val="0"/>
      <w:marRight w:val="0"/>
      <w:marTop w:val="0"/>
      <w:marBottom w:val="0"/>
      <w:divBdr>
        <w:top w:val="none" w:sz="0" w:space="0" w:color="auto"/>
        <w:left w:val="none" w:sz="0" w:space="0" w:color="auto"/>
        <w:bottom w:val="none" w:sz="0" w:space="0" w:color="auto"/>
        <w:right w:val="none" w:sz="0" w:space="0" w:color="auto"/>
      </w:divBdr>
    </w:div>
    <w:div w:id="2115322860">
      <w:bodyDiv w:val="1"/>
      <w:marLeft w:val="0"/>
      <w:marRight w:val="0"/>
      <w:marTop w:val="0"/>
      <w:marBottom w:val="0"/>
      <w:divBdr>
        <w:top w:val="none" w:sz="0" w:space="0" w:color="auto"/>
        <w:left w:val="none" w:sz="0" w:space="0" w:color="auto"/>
        <w:bottom w:val="none" w:sz="0" w:space="0" w:color="auto"/>
        <w:right w:val="none" w:sz="0" w:space="0" w:color="auto"/>
      </w:divBdr>
      <w:divsChild>
        <w:div w:id="1675109227">
          <w:marLeft w:val="0"/>
          <w:marRight w:val="0"/>
          <w:marTop w:val="120"/>
          <w:marBottom w:val="0"/>
          <w:divBdr>
            <w:top w:val="none" w:sz="0" w:space="0" w:color="auto"/>
            <w:left w:val="none" w:sz="0" w:space="0" w:color="auto"/>
            <w:bottom w:val="none" w:sz="0" w:space="0" w:color="auto"/>
            <w:right w:val="none" w:sz="0" w:space="0" w:color="auto"/>
          </w:divBdr>
        </w:div>
        <w:div w:id="1116216443">
          <w:marLeft w:val="567"/>
          <w:marRight w:val="0"/>
          <w:marTop w:val="120"/>
          <w:marBottom w:val="0"/>
          <w:divBdr>
            <w:top w:val="none" w:sz="0" w:space="0" w:color="auto"/>
            <w:left w:val="none" w:sz="0" w:space="0" w:color="auto"/>
            <w:bottom w:val="none" w:sz="0" w:space="0" w:color="auto"/>
            <w:right w:val="none" w:sz="0" w:space="0" w:color="auto"/>
          </w:divBdr>
        </w:div>
        <w:div w:id="671033476">
          <w:marLeft w:val="0"/>
          <w:marRight w:val="0"/>
          <w:marTop w:val="120"/>
          <w:marBottom w:val="0"/>
          <w:divBdr>
            <w:top w:val="none" w:sz="0" w:space="0" w:color="auto"/>
            <w:left w:val="none" w:sz="0" w:space="0" w:color="auto"/>
            <w:bottom w:val="none" w:sz="0" w:space="0" w:color="auto"/>
            <w:right w:val="none" w:sz="0" w:space="0" w:color="auto"/>
          </w:divBdr>
        </w:div>
        <w:div w:id="1371422145">
          <w:marLeft w:val="567"/>
          <w:marRight w:val="0"/>
          <w:marTop w:val="120"/>
          <w:marBottom w:val="0"/>
          <w:divBdr>
            <w:top w:val="none" w:sz="0" w:space="0" w:color="auto"/>
            <w:left w:val="none" w:sz="0" w:space="0" w:color="auto"/>
            <w:bottom w:val="none" w:sz="0" w:space="0" w:color="auto"/>
            <w:right w:val="none" w:sz="0" w:space="0" w:color="auto"/>
          </w:divBdr>
        </w:div>
        <w:div w:id="820585579">
          <w:marLeft w:val="0"/>
          <w:marRight w:val="0"/>
          <w:marTop w:val="240"/>
          <w:marBottom w:val="24"/>
          <w:divBdr>
            <w:top w:val="single" w:sz="8" w:space="2" w:color="808080"/>
            <w:left w:val="none" w:sz="0" w:space="0" w:color="auto"/>
            <w:bottom w:val="none" w:sz="0" w:space="0" w:color="auto"/>
            <w:right w:val="none" w:sz="0" w:space="0" w:color="auto"/>
          </w:divBdr>
        </w:div>
        <w:div w:id="758478627">
          <w:marLeft w:val="0"/>
          <w:marRight w:val="0"/>
          <w:marTop w:val="120"/>
          <w:marBottom w:val="0"/>
          <w:divBdr>
            <w:top w:val="none" w:sz="0" w:space="0" w:color="auto"/>
            <w:left w:val="none" w:sz="0" w:space="0" w:color="auto"/>
            <w:bottom w:val="none" w:sz="0" w:space="0" w:color="auto"/>
            <w:right w:val="none" w:sz="0" w:space="0" w:color="auto"/>
          </w:divBdr>
        </w:div>
        <w:div w:id="889416616">
          <w:marLeft w:val="0"/>
          <w:marRight w:val="0"/>
          <w:marTop w:val="120"/>
          <w:marBottom w:val="0"/>
          <w:divBdr>
            <w:top w:val="none" w:sz="0" w:space="0" w:color="auto"/>
            <w:left w:val="none" w:sz="0" w:space="0" w:color="auto"/>
            <w:bottom w:val="none" w:sz="0" w:space="0" w:color="auto"/>
            <w:right w:val="none" w:sz="0" w:space="0" w:color="auto"/>
          </w:divBdr>
        </w:div>
        <w:div w:id="1050499457">
          <w:marLeft w:val="567"/>
          <w:marRight w:val="0"/>
          <w:marTop w:val="120"/>
          <w:marBottom w:val="0"/>
          <w:divBdr>
            <w:top w:val="none" w:sz="0" w:space="0" w:color="auto"/>
            <w:left w:val="none" w:sz="0" w:space="0" w:color="auto"/>
            <w:bottom w:val="none" w:sz="0" w:space="0" w:color="auto"/>
            <w:right w:val="none" w:sz="0" w:space="0" w:color="auto"/>
          </w:divBdr>
        </w:div>
        <w:div w:id="1232960433">
          <w:marLeft w:val="2585"/>
          <w:marRight w:val="0"/>
          <w:marTop w:val="120"/>
          <w:marBottom w:val="0"/>
          <w:divBdr>
            <w:top w:val="none" w:sz="0" w:space="0" w:color="auto"/>
            <w:left w:val="none" w:sz="0" w:space="0" w:color="auto"/>
            <w:bottom w:val="none" w:sz="0" w:space="0" w:color="auto"/>
            <w:right w:val="none" w:sz="0" w:space="0" w:color="auto"/>
          </w:divBdr>
        </w:div>
        <w:div w:id="1764566786">
          <w:marLeft w:val="56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cgi-bin/LawCite?cit=1910%20AD%20263" TargetMode="External"/><Relationship Id="rId2" Type="http://schemas.openxmlformats.org/officeDocument/2006/relationships/hyperlink" Target="http://www.saflii.org/cgi-bin/LawCite?cit=2003%20%2812%29%20BCLR%201301" TargetMode="External"/><Relationship Id="rId1" Type="http://schemas.openxmlformats.org/officeDocument/2006/relationships/hyperlink" Target="http://www.saflii.org/cgi-bin/LawCite?cit=2004%20%285%29%20SA%20460" TargetMode="External"/><Relationship Id="rId5" Type="http://schemas.openxmlformats.org/officeDocument/2006/relationships/hyperlink" Target="http://www.saflii.org/cgi-bin/LawCite?cit=2000%20%284%29%20SA%2038" TargetMode="External"/><Relationship Id="rId4" Type="http://schemas.openxmlformats.org/officeDocument/2006/relationships/hyperlink" Target="http://www.saflii.org/cgi-bin/LawCite?cit=1976%20%283%29%20SA%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80EFD-F639-4938-A250-7CD09BF39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5830</Words>
  <Characters>33232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T Makgoka</dc:creator>
  <cp:keywords/>
  <dc:description/>
  <cp:lastModifiedBy>Mary Bruce</cp:lastModifiedBy>
  <cp:revision>2</cp:revision>
  <cp:lastPrinted>2021-10-06T13:20:00Z</cp:lastPrinted>
  <dcterms:created xsi:type="dcterms:W3CDTF">2021-11-05T13:53:00Z</dcterms:created>
  <dcterms:modified xsi:type="dcterms:W3CDTF">2021-11-05T13:53:00Z</dcterms:modified>
</cp:coreProperties>
</file>