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F56F" w14:textId="77777777" w:rsidR="005E5E8A" w:rsidRPr="00083A3D" w:rsidRDefault="001246FF" w:rsidP="00083A3D">
      <w:pPr>
        <w:pStyle w:val="Pa3"/>
        <w:spacing w:line="360" w:lineRule="auto"/>
        <w:rPr>
          <w:rStyle w:val="A0"/>
          <w:b w:val="0"/>
          <w:sz w:val="24"/>
        </w:rPr>
      </w:pPr>
      <w:bookmarkStart w:id="0" w:name="OLE_LINK1"/>
      <w:bookmarkStart w:id="1" w:name="_GoBack"/>
      <w:bookmarkEnd w:id="1"/>
      <w:r w:rsidRPr="00E63C39">
        <w:rPr>
          <w:noProof/>
          <w:lang w:val="en-ZA" w:eastAsia="en-ZA"/>
        </w:rPr>
        <w:drawing>
          <wp:anchor distT="0" distB="0" distL="114300" distR="114300" simplePos="0" relativeHeight="251657728" behindDoc="0" locked="0" layoutInCell="1" allowOverlap="1" wp14:anchorId="440000FB" wp14:editId="4F327FB7">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14:paraId="5EA7627D" w14:textId="77777777" w:rsidR="005E5E8A" w:rsidRPr="00083A3D" w:rsidRDefault="005E5E8A" w:rsidP="00083A3D">
      <w:pPr>
        <w:pStyle w:val="Pa3"/>
        <w:spacing w:line="360" w:lineRule="auto"/>
        <w:jc w:val="center"/>
        <w:rPr>
          <w:rStyle w:val="A0"/>
          <w:b w:val="0"/>
          <w:sz w:val="24"/>
        </w:rPr>
      </w:pPr>
    </w:p>
    <w:p w14:paraId="567A33F8" w14:textId="77777777" w:rsidR="00E3021E" w:rsidRPr="00E63C39" w:rsidRDefault="00E3021E">
      <w:pPr>
        <w:rPr>
          <w:lang w:val="en-US" w:eastAsia="en-US"/>
        </w:rPr>
      </w:pPr>
    </w:p>
    <w:p w14:paraId="292893C7" w14:textId="77777777" w:rsidR="00E3021E" w:rsidRPr="00D92391" w:rsidRDefault="00E3021E">
      <w:pPr>
        <w:rPr>
          <w:lang w:val="en-US" w:eastAsia="en-US"/>
        </w:rPr>
      </w:pPr>
    </w:p>
    <w:p w14:paraId="14B9F53D" w14:textId="77777777" w:rsidR="001D575E" w:rsidRPr="00A25D4D" w:rsidRDefault="001D575E" w:rsidP="003C025C">
      <w:pPr>
        <w:pStyle w:val="Pa3"/>
        <w:spacing w:line="360" w:lineRule="auto"/>
        <w:jc w:val="center"/>
        <w:rPr>
          <w:b/>
          <w:bCs/>
        </w:rPr>
      </w:pPr>
    </w:p>
    <w:p w14:paraId="3D01E4A0" w14:textId="77777777" w:rsidR="00E3021E" w:rsidRDefault="00E3021E" w:rsidP="00D92391">
      <w:pPr>
        <w:pStyle w:val="Pa3"/>
        <w:spacing w:line="360" w:lineRule="auto"/>
        <w:jc w:val="center"/>
        <w:rPr>
          <w:rStyle w:val="A0"/>
          <w:bCs/>
          <w:sz w:val="24"/>
        </w:rPr>
      </w:pPr>
      <w:r w:rsidRPr="006374C4">
        <w:rPr>
          <w:b/>
          <w:bCs/>
        </w:rPr>
        <w:t>THE SUPREME COURT OF APPEAL OF SOUTH AFRICA</w:t>
      </w:r>
    </w:p>
    <w:p w14:paraId="0CACA233" w14:textId="77777777" w:rsidR="006374C4" w:rsidRPr="003C025C" w:rsidRDefault="006374C4" w:rsidP="003C025C"/>
    <w:p w14:paraId="55D72A5C" w14:textId="77777777" w:rsidR="00E3021E" w:rsidRPr="00E63C39" w:rsidRDefault="00E3021E">
      <w:pPr>
        <w:jc w:val="center"/>
        <w:rPr>
          <w:b/>
          <w:bCs/>
        </w:rPr>
      </w:pPr>
      <w:r w:rsidRPr="006374C4">
        <w:rPr>
          <w:b/>
          <w:bCs/>
        </w:rPr>
        <w:t>JUDGMENT</w:t>
      </w:r>
    </w:p>
    <w:p w14:paraId="3A80EF3A" w14:textId="77777777" w:rsidR="00E3021E" w:rsidRPr="00E63C39" w:rsidRDefault="00E3021E">
      <w:pPr>
        <w:jc w:val="center"/>
        <w:rPr>
          <w:b/>
          <w:bCs/>
          <w:lang w:val="en-US" w:eastAsia="en-US"/>
        </w:rPr>
      </w:pPr>
    </w:p>
    <w:p w14:paraId="7F665BCF" w14:textId="77777777" w:rsidR="00E3021E" w:rsidRPr="00E63C39" w:rsidRDefault="00076BE6">
      <w:pPr>
        <w:jc w:val="right"/>
        <w:rPr>
          <w:b/>
        </w:rPr>
      </w:pPr>
      <w:r w:rsidRPr="009628DD">
        <w:rPr>
          <w:b/>
          <w:lang w:val="en-US" w:eastAsia="en-US"/>
        </w:rPr>
        <w:t>Not Reportable</w:t>
      </w:r>
    </w:p>
    <w:p w14:paraId="14DD08F1" w14:textId="77777777" w:rsidR="00E3021E" w:rsidRPr="00E63C39" w:rsidRDefault="00FA099C">
      <w:pPr>
        <w:jc w:val="right"/>
      </w:pPr>
      <w:r w:rsidRPr="00E63C39">
        <w:t>Case N</w:t>
      </w:r>
      <w:r w:rsidR="005F108F" w:rsidRPr="00E63C39">
        <w:t xml:space="preserve">o: </w:t>
      </w:r>
      <w:r w:rsidR="001D575E" w:rsidRPr="00E63C39">
        <w:t>853/2020</w:t>
      </w:r>
    </w:p>
    <w:p w14:paraId="7EACB906" w14:textId="77777777" w:rsidR="00E3021E" w:rsidRPr="00E63C39" w:rsidRDefault="00E3021E">
      <w:pPr>
        <w:jc w:val="right"/>
      </w:pPr>
    </w:p>
    <w:p w14:paraId="43431337" w14:textId="77777777" w:rsidR="00E3021E" w:rsidRPr="00E63C39" w:rsidRDefault="00E3021E">
      <w:r w:rsidRPr="00E63C39">
        <w:t>In the matter between:</w:t>
      </w:r>
    </w:p>
    <w:p w14:paraId="7F44FE84" w14:textId="77777777" w:rsidR="00E3021E" w:rsidRPr="00E63C39" w:rsidRDefault="00E3021E"/>
    <w:p w14:paraId="14E5107B" w14:textId="77777777" w:rsidR="00E3021E" w:rsidRPr="00E63C39" w:rsidRDefault="001D575E" w:rsidP="00D92391">
      <w:pPr>
        <w:tabs>
          <w:tab w:val="right" w:pos="9360"/>
        </w:tabs>
        <w:rPr>
          <w:b/>
        </w:rPr>
      </w:pPr>
      <w:r w:rsidRPr="00DE7EE3">
        <w:rPr>
          <w:b/>
        </w:rPr>
        <w:t>M</w:t>
      </w:r>
      <w:r w:rsidR="00F82DBA" w:rsidRPr="00E63C39">
        <w:rPr>
          <w:b/>
        </w:rPr>
        <w:t>A</w:t>
      </w:r>
      <w:r w:rsidRPr="00E63C39">
        <w:rPr>
          <w:b/>
        </w:rPr>
        <w:t>SIBULELE RAUTINI</w:t>
      </w:r>
      <w:r w:rsidR="005F108F" w:rsidRPr="00E63C39">
        <w:rPr>
          <w:b/>
        </w:rPr>
        <w:tab/>
      </w:r>
      <w:r w:rsidR="00076BE6" w:rsidRPr="00E63C39">
        <w:rPr>
          <w:b/>
        </w:rPr>
        <w:t xml:space="preserve"> </w:t>
      </w:r>
      <w:r w:rsidR="00BB46B7" w:rsidRPr="00E63C39">
        <w:rPr>
          <w:b/>
        </w:rPr>
        <w:t>APPELLANT</w:t>
      </w:r>
    </w:p>
    <w:p w14:paraId="32B60258" w14:textId="77777777" w:rsidR="00A37BA8" w:rsidRPr="00E63C39" w:rsidRDefault="00A37BA8" w:rsidP="004344FA">
      <w:pPr>
        <w:tabs>
          <w:tab w:val="right" w:pos="9480"/>
        </w:tabs>
        <w:rPr>
          <w:b/>
        </w:rPr>
      </w:pPr>
    </w:p>
    <w:p w14:paraId="0B84C4A3" w14:textId="77777777" w:rsidR="00E3021E" w:rsidRPr="003C025C" w:rsidRDefault="00CC743F" w:rsidP="00E10253">
      <w:r w:rsidRPr="00E63C39">
        <w:t xml:space="preserve">and </w:t>
      </w:r>
    </w:p>
    <w:p w14:paraId="7F784C72" w14:textId="77777777" w:rsidR="00E3021E" w:rsidRPr="00E63C39" w:rsidRDefault="00E3021E" w:rsidP="00A25D4D">
      <w:pPr>
        <w:rPr>
          <w:b/>
          <w:bCs/>
        </w:rPr>
      </w:pPr>
    </w:p>
    <w:p w14:paraId="4519AA33" w14:textId="77777777" w:rsidR="00E3021E" w:rsidRPr="00E63C39" w:rsidRDefault="001D575E">
      <w:pPr>
        <w:tabs>
          <w:tab w:val="left" w:pos="720"/>
          <w:tab w:val="right" w:pos="9360"/>
        </w:tabs>
        <w:jc w:val="left"/>
        <w:rPr>
          <w:b/>
        </w:rPr>
      </w:pPr>
      <w:r w:rsidRPr="00D92391">
        <w:rPr>
          <w:b/>
        </w:rPr>
        <w:t>PASSENGER RAIL AGENCY OF SOUTH AFRICA</w:t>
      </w:r>
      <w:r w:rsidR="00E3021E" w:rsidRPr="00E63C39">
        <w:rPr>
          <w:b/>
        </w:rPr>
        <w:tab/>
      </w:r>
      <w:r w:rsidR="005F108F" w:rsidRPr="00E63C39">
        <w:rPr>
          <w:b/>
        </w:rPr>
        <w:t xml:space="preserve"> </w:t>
      </w:r>
      <w:r w:rsidR="00E3021E" w:rsidRPr="00E63C39">
        <w:rPr>
          <w:b/>
        </w:rPr>
        <w:t>RESPONDENT</w:t>
      </w:r>
    </w:p>
    <w:p w14:paraId="04A338E1" w14:textId="77777777" w:rsidR="00F872EE" w:rsidRPr="00E63C39" w:rsidRDefault="00F872EE">
      <w:pPr>
        <w:tabs>
          <w:tab w:val="left" w:pos="720"/>
          <w:tab w:val="right" w:pos="9498"/>
        </w:tabs>
        <w:rPr>
          <w:b/>
        </w:rPr>
      </w:pPr>
    </w:p>
    <w:p w14:paraId="04C9B4C2" w14:textId="67A70420" w:rsidR="00E3021E" w:rsidRPr="00E63C39" w:rsidRDefault="00E3021E">
      <w:pPr>
        <w:ind w:left="2160" w:hanging="2160"/>
        <w:rPr>
          <w:bCs/>
        </w:rPr>
      </w:pPr>
      <w:r w:rsidRPr="00E63C39">
        <w:rPr>
          <w:b/>
          <w:bCs/>
        </w:rPr>
        <w:t>Neutral citation:</w:t>
      </w:r>
      <w:r w:rsidRPr="00E63C39">
        <w:rPr>
          <w:b/>
          <w:bCs/>
        </w:rPr>
        <w:tab/>
      </w:r>
      <w:bookmarkStart w:id="2" w:name="_Hlk86863190"/>
      <w:r w:rsidR="001D575E" w:rsidRPr="00E63C39">
        <w:rPr>
          <w:bCs/>
          <w:i/>
          <w:iCs/>
        </w:rPr>
        <w:t xml:space="preserve">Rautini </w:t>
      </w:r>
      <w:r w:rsidR="00076BE6" w:rsidRPr="00E63C39">
        <w:rPr>
          <w:bCs/>
          <w:i/>
          <w:iCs/>
        </w:rPr>
        <w:t xml:space="preserve">v </w:t>
      </w:r>
      <w:r w:rsidR="001D575E" w:rsidRPr="00E63C39">
        <w:rPr>
          <w:bCs/>
          <w:i/>
          <w:iCs/>
        </w:rPr>
        <w:t>Passenger Rail Agency of South Africa</w:t>
      </w:r>
      <w:r w:rsidR="00163931" w:rsidRPr="00E63C39">
        <w:rPr>
          <w:bCs/>
          <w:i/>
          <w:iCs/>
        </w:rPr>
        <w:t xml:space="preserve"> </w:t>
      </w:r>
      <w:r w:rsidR="005F108F" w:rsidRPr="00E63C39">
        <w:rPr>
          <w:bCs/>
          <w:iCs/>
        </w:rPr>
        <w:t>(</w:t>
      </w:r>
      <w:r w:rsidR="00340874" w:rsidRPr="00E63C39">
        <w:rPr>
          <w:bCs/>
          <w:iCs/>
        </w:rPr>
        <w:t xml:space="preserve">Case no. </w:t>
      </w:r>
      <w:r w:rsidR="001D575E" w:rsidRPr="00E63C39">
        <w:rPr>
          <w:bCs/>
          <w:iCs/>
        </w:rPr>
        <w:t>853/2020</w:t>
      </w:r>
      <w:r w:rsidR="00F57925" w:rsidRPr="00E63C39">
        <w:rPr>
          <w:bCs/>
          <w:iCs/>
        </w:rPr>
        <w:t>)</w:t>
      </w:r>
      <w:r w:rsidR="00076BE6" w:rsidRPr="00E63C39">
        <w:rPr>
          <w:bCs/>
          <w:iCs/>
        </w:rPr>
        <w:t xml:space="preserve"> </w:t>
      </w:r>
      <w:r w:rsidR="00D36EBD" w:rsidRPr="00E63C39">
        <w:rPr>
          <w:bCs/>
          <w:iCs/>
        </w:rPr>
        <w:t>[20</w:t>
      </w:r>
      <w:r w:rsidR="001D575E" w:rsidRPr="00E63C39">
        <w:rPr>
          <w:bCs/>
          <w:iCs/>
        </w:rPr>
        <w:t>21</w:t>
      </w:r>
      <w:r w:rsidR="00D36EBD" w:rsidRPr="00E63C39">
        <w:rPr>
          <w:bCs/>
          <w:iCs/>
        </w:rPr>
        <w:t xml:space="preserve">] </w:t>
      </w:r>
      <w:r w:rsidR="00076BE6" w:rsidRPr="00E63C39">
        <w:rPr>
          <w:bCs/>
          <w:iCs/>
        </w:rPr>
        <w:t xml:space="preserve">ZASCA </w:t>
      </w:r>
      <w:r w:rsidR="002F7071">
        <w:rPr>
          <w:bCs/>
          <w:iCs/>
        </w:rPr>
        <w:t>158 (</w:t>
      </w:r>
      <w:r w:rsidR="00D152C6">
        <w:rPr>
          <w:bCs/>
          <w:iCs/>
        </w:rPr>
        <w:t>8</w:t>
      </w:r>
      <w:r w:rsidR="00A065B5">
        <w:rPr>
          <w:bCs/>
          <w:iCs/>
        </w:rPr>
        <w:t xml:space="preserve"> </w:t>
      </w:r>
      <w:r w:rsidR="00E759A9">
        <w:rPr>
          <w:bCs/>
          <w:iCs/>
        </w:rPr>
        <w:t xml:space="preserve">November </w:t>
      </w:r>
      <w:r w:rsidR="000B085F" w:rsidRPr="00E63C39">
        <w:rPr>
          <w:bCs/>
          <w:iCs/>
        </w:rPr>
        <w:t>20</w:t>
      </w:r>
      <w:r w:rsidR="001D575E" w:rsidRPr="00E63C39">
        <w:rPr>
          <w:bCs/>
          <w:iCs/>
        </w:rPr>
        <w:t>21</w:t>
      </w:r>
      <w:r w:rsidR="005F108F" w:rsidRPr="00E63C39">
        <w:rPr>
          <w:bCs/>
          <w:iCs/>
        </w:rPr>
        <w:t>)</w:t>
      </w:r>
    </w:p>
    <w:bookmarkEnd w:id="2"/>
    <w:p w14:paraId="49281F9D" w14:textId="77777777" w:rsidR="00E3021E" w:rsidRPr="00E63C39" w:rsidRDefault="00E3021E">
      <w:pPr>
        <w:rPr>
          <w:b/>
          <w:bCs/>
          <w:u w:val="single"/>
        </w:rPr>
      </w:pPr>
    </w:p>
    <w:p w14:paraId="23519929" w14:textId="77777777" w:rsidR="00E3021E" w:rsidRPr="00E63C39" w:rsidRDefault="00E3021E">
      <w:pPr>
        <w:ind w:left="1440" w:hanging="1440"/>
        <w:rPr>
          <w:bCs/>
        </w:rPr>
      </w:pPr>
      <w:r w:rsidRPr="00E63C39">
        <w:rPr>
          <w:b/>
          <w:bCs/>
        </w:rPr>
        <w:t>Coram:</w:t>
      </w:r>
      <w:r w:rsidRPr="00E63C39">
        <w:rPr>
          <w:b/>
          <w:bCs/>
        </w:rPr>
        <w:tab/>
      </w:r>
      <w:r w:rsidR="000B085F" w:rsidRPr="00E63C39">
        <w:rPr>
          <w:b/>
          <w:bCs/>
        </w:rPr>
        <w:tab/>
      </w:r>
      <w:r w:rsidR="001D575E" w:rsidRPr="00E63C39">
        <w:rPr>
          <w:bCs/>
        </w:rPr>
        <w:t>M</w:t>
      </w:r>
      <w:r w:rsidR="00064671" w:rsidRPr="00E63C39">
        <w:rPr>
          <w:bCs/>
        </w:rPr>
        <w:t>BHA</w:t>
      </w:r>
      <w:r w:rsidR="001D575E" w:rsidRPr="00E63C39">
        <w:rPr>
          <w:bCs/>
        </w:rPr>
        <w:t>, C</w:t>
      </w:r>
      <w:r w:rsidR="00064671" w:rsidRPr="00E63C39">
        <w:rPr>
          <w:bCs/>
        </w:rPr>
        <w:t>ARELSE</w:t>
      </w:r>
      <w:r w:rsidR="001D575E" w:rsidRPr="00E63C39">
        <w:rPr>
          <w:bCs/>
        </w:rPr>
        <w:t xml:space="preserve"> </w:t>
      </w:r>
      <w:r w:rsidRPr="00E63C39">
        <w:rPr>
          <w:bCs/>
        </w:rPr>
        <w:t>and</w:t>
      </w:r>
      <w:r w:rsidR="005F108F" w:rsidRPr="00E63C39">
        <w:rPr>
          <w:bCs/>
        </w:rPr>
        <w:t xml:space="preserve"> </w:t>
      </w:r>
      <w:r w:rsidR="001D575E" w:rsidRPr="00E63C39">
        <w:rPr>
          <w:bCs/>
        </w:rPr>
        <w:t>M</w:t>
      </w:r>
      <w:r w:rsidR="00064671" w:rsidRPr="00E63C39">
        <w:rPr>
          <w:bCs/>
        </w:rPr>
        <w:t>OTHLE</w:t>
      </w:r>
      <w:r w:rsidR="001D575E" w:rsidRPr="00E63C39">
        <w:rPr>
          <w:bCs/>
        </w:rPr>
        <w:t xml:space="preserve"> JJA and P</w:t>
      </w:r>
      <w:r w:rsidR="00AA2BB8" w:rsidRPr="00E63C39">
        <w:rPr>
          <w:bCs/>
        </w:rPr>
        <w:t>HATSHO</w:t>
      </w:r>
      <w:r w:rsidR="003C025C">
        <w:rPr>
          <w:bCs/>
        </w:rPr>
        <w:t>A</w:t>
      </w:r>
      <w:r w:rsidR="00AA2BB8" w:rsidRPr="00E63C39">
        <w:rPr>
          <w:bCs/>
        </w:rPr>
        <w:t>NE</w:t>
      </w:r>
      <w:r w:rsidR="001D575E" w:rsidRPr="00E63C39">
        <w:rPr>
          <w:bCs/>
        </w:rPr>
        <w:t xml:space="preserve"> and </w:t>
      </w:r>
      <w:r w:rsidR="00CE7D77">
        <w:rPr>
          <w:bCs/>
        </w:rPr>
        <w:tab/>
      </w:r>
      <w:r w:rsidR="001D575E" w:rsidRPr="00E63C39">
        <w:rPr>
          <w:bCs/>
        </w:rPr>
        <w:t>M</w:t>
      </w:r>
      <w:r w:rsidR="00AA2BB8" w:rsidRPr="00E63C39">
        <w:rPr>
          <w:bCs/>
        </w:rPr>
        <w:t>OLEFE</w:t>
      </w:r>
      <w:r w:rsidR="001D575E" w:rsidRPr="00E63C39">
        <w:rPr>
          <w:bCs/>
        </w:rPr>
        <w:t xml:space="preserve"> AJJA</w:t>
      </w:r>
    </w:p>
    <w:p w14:paraId="0C6D8C8B" w14:textId="77777777" w:rsidR="00E3021E" w:rsidRPr="00E63C39" w:rsidRDefault="00E3021E">
      <w:pPr>
        <w:rPr>
          <w:bCs/>
        </w:rPr>
      </w:pPr>
    </w:p>
    <w:p w14:paraId="61B57162" w14:textId="77777777" w:rsidR="00E3021E" w:rsidRPr="00E63C39" w:rsidRDefault="00E3021E">
      <w:pPr>
        <w:rPr>
          <w:b/>
          <w:bCs/>
        </w:rPr>
      </w:pPr>
      <w:r w:rsidRPr="00E63C39">
        <w:rPr>
          <w:b/>
          <w:bCs/>
        </w:rPr>
        <w:t>Heard:</w:t>
      </w:r>
      <w:r w:rsidRPr="00E63C39">
        <w:rPr>
          <w:b/>
          <w:bCs/>
        </w:rPr>
        <w:tab/>
      </w:r>
      <w:r w:rsidRPr="00E63C39">
        <w:rPr>
          <w:b/>
          <w:bCs/>
        </w:rPr>
        <w:tab/>
      </w:r>
      <w:r w:rsidR="001D575E" w:rsidRPr="00E63C39">
        <w:rPr>
          <w:bCs/>
        </w:rPr>
        <w:t>9 September 2021</w:t>
      </w:r>
    </w:p>
    <w:p w14:paraId="08CBA1FC" w14:textId="77777777" w:rsidR="00E3021E" w:rsidRPr="00E63C39" w:rsidRDefault="00E3021E">
      <w:pPr>
        <w:rPr>
          <w:b/>
          <w:bCs/>
        </w:rPr>
      </w:pPr>
    </w:p>
    <w:p w14:paraId="0711EACF" w14:textId="3BD0D3C1" w:rsidR="001D575E" w:rsidRPr="00E63C39" w:rsidRDefault="00294DE0" w:rsidP="00D92391">
      <w:pPr>
        <w:rPr>
          <w:b/>
          <w:bCs/>
        </w:rPr>
      </w:pPr>
      <w:r w:rsidRPr="00E63C39">
        <w:rPr>
          <w:b/>
          <w:bCs/>
        </w:rPr>
        <w:t>Delivered:</w:t>
      </w:r>
      <w:r w:rsidRPr="00E63C39">
        <w:rPr>
          <w:b/>
          <w:bCs/>
        </w:rPr>
        <w:tab/>
      </w:r>
      <w:r w:rsidRPr="00E63C39">
        <w:rPr>
          <w:b/>
          <w:bCs/>
        </w:rPr>
        <w:tab/>
      </w:r>
      <w:r w:rsidR="001D575E" w:rsidRPr="00E63C39">
        <w:t xml:space="preserve">This judgment was handed down electronically by circulation to the parties’ representatives by email, publication on the Supreme Court of Appeal website </w:t>
      </w:r>
      <w:r w:rsidR="001D575E" w:rsidRPr="00E63C39">
        <w:lastRenderedPageBreak/>
        <w:t xml:space="preserve">and release to SAFLII. The date and time for hand-down is deemed to be </w:t>
      </w:r>
      <w:r w:rsidR="002F7071">
        <w:t>10h00</w:t>
      </w:r>
      <w:r w:rsidR="001D575E" w:rsidRPr="00E63C39">
        <w:t xml:space="preserve"> on </w:t>
      </w:r>
      <w:r w:rsidR="00D152C6">
        <w:t>8</w:t>
      </w:r>
      <w:r w:rsidR="002F7071">
        <w:t xml:space="preserve"> November </w:t>
      </w:r>
      <w:r w:rsidR="001D575E" w:rsidRPr="00E63C39">
        <w:t>2021.</w:t>
      </w:r>
    </w:p>
    <w:p w14:paraId="5569CBC2" w14:textId="77777777" w:rsidR="00E3021E" w:rsidRPr="00E63C39" w:rsidRDefault="00E3021E">
      <w:pPr>
        <w:rPr>
          <w:b/>
          <w:bCs/>
        </w:rPr>
      </w:pPr>
    </w:p>
    <w:p w14:paraId="56BAB308" w14:textId="1A3E45B6" w:rsidR="00B07857" w:rsidRPr="00D27E1F" w:rsidRDefault="00E3021E" w:rsidP="00D92391">
      <w:r w:rsidRPr="000355E3">
        <w:rPr>
          <w:b/>
        </w:rPr>
        <w:t>Summary</w:t>
      </w:r>
      <w:r w:rsidRPr="000355E3">
        <w:t>:</w:t>
      </w:r>
      <w:r w:rsidR="002B7D5F" w:rsidRPr="000355E3">
        <w:tab/>
      </w:r>
      <w:r w:rsidR="00B07857" w:rsidRPr="000355E3">
        <w:t>Law of evidence</w:t>
      </w:r>
      <w:r w:rsidR="001270F1" w:rsidRPr="000355E3">
        <w:t xml:space="preserve"> – </w:t>
      </w:r>
      <w:r w:rsidR="00B07857" w:rsidRPr="000355E3">
        <w:t xml:space="preserve">admissibility – whether discovered documents </w:t>
      </w:r>
      <w:r w:rsidR="001859A6" w:rsidRPr="000355E3">
        <w:t>were correctly admitted into evidence without proof of the contents</w:t>
      </w:r>
      <w:r w:rsidR="00B07857" w:rsidRPr="000355E3">
        <w:t xml:space="preserve"> –</w:t>
      </w:r>
      <w:r w:rsidR="007819A5">
        <w:t xml:space="preserve"> </w:t>
      </w:r>
      <w:r w:rsidR="00B07857" w:rsidRPr="000355E3">
        <w:t xml:space="preserve">whether the </w:t>
      </w:r>
      <w:r w:rsidR="001859A6" w:rsidRPr="000355E3">
        <w:t>full c</w:t>
      </w:r>
      <w:r w:rsidR="00B07857" w:rsidRPr="000355E3">
        <w:t xml:space="preserve">ourt drew </w:t>
      </w:r>
      <w:r w:rsidR="001859A6" w:rsidRPr="000355E3">
        <w:t xml:space="preserve">correct </w:t>
      </w:r>
      <w:r w:rsidR="00B07857" w:rsidRPr="000355E3">
        <w:t xml:space="preserve">inferences from evidence </w:t>
      </w:r>
      <w:r w:rsidR="00AB2C48" w:rsidRPr="000355E3">
        <w:t>tendered</w:t>
      </w:r>
      <w:r w:rsidR="00B07857" w:rsidRPr="00D27E1F">
        <w:t xml:space="preserve"> – whether the appellant was a cr</w:t>
      </w:r>
      <w:r w:rsidR="001859A6" w:rsidRPr="00D27E1F">
        <w:t>edible witness and whether the full c</w:t>
      </w:r>
      <w:r w:rsidR="00B07857" w:rsidRPr="00D27E1F">
        <w:t>ourt was correct in rejecting his version of events</w:t>
      </w:r>
      <w:r w:rsidR="001859A6" w:rsidRPr="00D27E1F">
        <w:t xml:space="preserve"> – appeal upheld with costs</w:t>
      </w:r>
      <w:r w:rsidR="00B07857" w:rsidRPr="00D27E1F">
        <w:t xml:space="preserve">. </w:t>
      </w:r>
    </w:p>
    <w:p w14:paraId="537326C7" w14:textId="77777777" w:rsidR="0049291A" w:rsidRPr="00D27E1F" w:rsidRDefault="0049291A">
      <w:pPr>
        <w:rPr>
          <w:b/>
        </w:rPr>
      </w:pPr>
      <w:r w:rsidRPr="00D27E1F">
        <w:rPr>
          <w:b/>
        </w:rPr>
        <w:t>__________________________________________________________________</w:t>
      </w:r>
      <w:r w:rsidR="00C41864" w:rsidRPr="00D27E1F">
        <w:rPr>
          <w:b/>
        </w:rPr>
        <w:softHyphen/>
      </w:r>
      <w:r w:rsidR="00C41864" w:rsidRPr="00D27E1F">
        <w:rPr>
          <w:b/>
        </w:rPr>
        <w:softHyphen/>
        <w:t>____</w:t>
      </w:r>
    </w:p>
    <w:p w14:paraId="03A37737" w14:textId="77777777" w:rsidR="0049291A" w:rsidRPr="00D27E1F" w:rsidRDefault="0049291A">
      <w:pPr>
        <w:jc w:val="center"/>
        <w:rPr>
          <w:b/>
        </w:rPr>
      </w:pPr>
    </w:p>
    <w:p w14:paraId="31212111" w14:textId="77777777" w:rsidR="0049291A" w:rsidRPr="00D27E1F" w:rsidRDefault="0049291A">
      <w:pPr>
        <w:jc w:val="center"/>
        <w:rPr>
          <w:b/>
          <w:bCs/>
        </w:rPr>
      </w:pPr>
      <w:r w:rsidRPr="00D27E1F">
        <w:rPr>
          <w:b/>
          <w:bCs/>
        </w:rPr>
        <w:t>ORDER</w:t>
      </w:r>
    </w:p>
    <w:p w14:paraId="5EFE69D5" w14:textId="77777777" w:rsidR="00E3021E" w:rsidRPr="00D27E1F" w:rsidRDefault="0049291A">
      <w:r w:rsidRPr="00D27E1F">
        <w:rPr>
          <w:b/>
        </w:rPr>
        <w:t>__________________________________________________________________</w:t>
      </w:r>
      <w:r w:rsidR="00C41864" w:rsidRPr="00D27E1F">
        <w:rPr>
          <w:b/>
        </w:rPr>
        <w:t>____</w:t>
      </w:r>
    </w:p>
    <w:p w14:paraId="612EF65B" w14:textId="77777777" w:rsidR="00DB1F4D" w:rsidRPr="00D27E1F" w:rsidRDefault="00DB1F4D" w:rsidP="00D92391">
      <w:pPr>
        <w:rPr>
          <w:b/>
          <w:bCs/>
        </w:rPr>
      </w:pPr>
    </w:p>
    <w:p w14:paraId="61ADE310" w14:textId="77777777" w:rsidR="002B7D5F" w:rsidRPr="00D27E1F" w:rsidRDefault="00DB1F4D" w:rsidP="004344FA">
      <w:pPr>
        <w:spacing w:after="240"/>
        <w:rPr>
          <w:bCs/>
        </w:rPr>
      </w:pPr>
      <w:r w:rsidRPr="00D27E1F">
        <w:rPr>
          <w:b/>
          <w:bCs/>
        </w:rPr>
        <w:t>On appeal from:</w:t>
      </w:r>
      <w:r w:rsidR="002A688D" w:rsidRPr="00D27E1F">
        <w:rPr>
          <w:b/>
          <w:bCs/>
        </w:rPr>
        <w:t xml:space="preserve"> </w:t>
      </w:r>
      <w:r w:rsidR="001D575E" w:rsidRPr="00D27E1F">
        <w:rPr>
          <w:bCs/>
        </w:rPr>
        <w:t xml:space="preserve">Western Cape </w:t>
      </w:r>
      <w:r w:rsidR="002A688D" w:rsidRPr="00D27E1F">
        <w:rPr>
          <w:bCs/>
        </w:rPr>
        <w:t>Division</w:t>
      </w:r>
      <w:r w:rsidR="005F370D" w:rsidRPr="00D27E1F">
        <w:rPr>
          <w:bCs/>
        </w:rPr>
        <w:t xml:space="preserve"> of the High Court, </w:t>
      </w:r>
      <w:r w:rsidR="001D575E" w:rsidRPr="00D27E1F">
        <w:rPr>
          <w:bCs/>
        </w:rPr>
        <w:t xml:space="preserve">Cape Town </w:t>
      </w:r>
      <w:r w:rsidR="005F370D" w:rsidRPr="00D27E1F">
        <w:rPr>
          <w:bCs/>
        </w:rPr>
        <w:t>(</w:t>
      </w:r>
      <w:r w:rsidR="001D575E" w:rsidRPr="00D27E1F">
        <w:rPr>
          <w:bCs/>
        </w:rPr>
        <w:t>Desai, Mabindla-Boqwana and Savage JJ</w:t>
      </w:r>
      <w:r w:rsidR="002A688D" w:rsidRPr="00D27E1F">
        <w:rPr>
          <w:bCs/>
        </w:rPr>
        <w:t xml:space="preserve"> sitting as </w:t>
      </w:r>
      <w:r w:rsidR="001859A6" w:rsidRPr="00D27E1F">
        <w:rPr>
          <w:bCs/>
        </w:rPr>
        <w:t xml:space="preserve">a </w:t>
      </w:r>
      <w:r w:rsidR="002A688D" w:rsidRPr="00D27E1F">
        <w:rPr>
          <w:bCs/>
        </w:rPr>
        <w:t xml:space="preserve">court of </w:t>
      </w:r>
      <w:r w:rsidR="001D575E" w:rsidRPr="00D27E1F">
        <w:rPr>
          <w:bCs/>
        </w:rPr>
        <w:t>appeal</w:t>
      </w:r>
      <w:r w:rsidR="005F370D" w:rsidRPr="00D27E1F">
        <w:rPr>
          <w:bCs/>
        </w:rPr>
        <w:t>)</w:t>
      </w:r>
      <w:r w:rsidR="0021630E" w:rsidRPr="00D27E1F">
        <w:rPr>
          <w:bCs/>
        </w:rPr>
        <w:t>:</w:t>
      </w:r>
    </w:p>
    <w:p w14:paraId="66ECCD21" w14:textId="77777777" w:rsidR="002B7D5F" w:rsidRPr="00D27E1F" w:rsidRDefault="00A3360D" w:rsidP="00A25D4D">
      <w:pPr>
        <w:pStyle w:val="ListParagraph"/>
        <w:numPr>
          <w:ilvl w:val="0"/>
          <w:numId w:val="13"/>
        </w:numPr>
        <w:tabs>
          <w:tab w:val="left" w:pos="284"/>
          <w:tab w:val="left" w:pos="1134"/>
        </w:tabs>
        <w:spacing w:after="240"/>
        <w:ind w:left="0" w:firstLine="0"/>
        <w:rPr>
          <w:lang w:val="en-ZA"/>
        </w:rPr>
      </w:pPr>
      <w:r w:rsidRPr="00D27E1F">
        <w:rPr>
          <w:lang w:val="en-ZA"/>
        </w:rPr>
        <w:t xml:space="preserve">The appeal is </w:t>
      </w:r>
      <w:r w:rsidR="00FC38A8" w:rsidRPr="00D27E1F">
        <w:rPr>
          <w:lang w:val="en-ZA"/>
        </w:rPr>
        <w:t>upheld</w:t>
      </w:r>
      <w:r w:rsidRPr="00D27E1F">
        <w:rPr>
          <w:lang w:val="en-ZA"/>
        </w:rPr>
        <w:t xml:space="preserve"> with </w:t>
      </w:r>
      <w:r w:rsidRPr="00C73C46">
        <w:rPr>
          <w:lang w:val="en-ZA"/>
        </w:rPr>
        <w:t>costs</w:t>
      </w:r>
      <w:r w:rsidR="005B2651" w:rsidRPr="00C73C46">
        <w:rPr>
          <w:lang w:val="en-ZA"/>
        </w:rPr>
        <w:t xml:space="preserve"> including those of two counsel where so employed.</w:t>
      </w:r>
    </w:p>
    <w:p w14:paraId="25864F8B" w14:textId="77777777" w:rsidR="00A3360D" w:rsidRPr="00D27E1F" w:rsidRDefault="00A3360D">
      <w:pPr>
        <w:pStyle w:val="ListParagraph"/>
        <w:numPr>
          <w:ilvl w:val="0"/>
          <w:numId w:val="13"/>
        </w:numPr>
        <w:tabs>
          <w:tab w:val="left" w:pos="284"/>
          <w:tab w:val="left" w:pos="1134"/>
        </w:tabs>
        <w:ind w:hanging="720"/>
      </w:pPr>
      <w:r w:rsidRPr="00D27E1F">
        <w:t xml:space="preserve">The order of the </w:t>
      </w:r>
      <w:r w:rsidR="001859A6" w:rsidRPr="00D27E1F">
        <w:t>full c</w:t>
      </w:r>
      <w:r w:rsidR="00FC38A8" w:rsidRPr="00D27E1F">
        <w:t xml:space="preserve">ourt </w:t>
      </w:r>
      <w:r w:rsidRPr="00D27E1F">
        <w:t>is set aside and replaced with the following order:</w:t>
      </w:r>
    </w:p>
    <w:p w14:paraId="2CA65832" w14:textId="28BB8ED3" w:rsidR="00A3360D" w:rsidRPr="00D27E1F" w:rsidRDefault="007819A5">
      <w:pPr>
        <w:tabs>
          <w:tab w:val="left" w:pos="284"/>
          <w:tab w:val="left" w:pos="1134"/>
        </w:tabs>
      </w:pPr>
      <w:r>
        <w:tab/>
      </w:r>
      <w:r w:rsidR="00A3360D" w:rsidRPr="00C73C46">
        <w:t xml:space="preserve">‘The </w:t>
      </w:r>
      <w:r w:rsidR="006D384A" w:rsidRPr="00C73C46">
        <w:t>appeal is dismissed with costs</w:t>
      </w:r>
      <w:r w:rsidR="00A3360D" w:rsidRPr="00D27E1F">
        <w:t>.’</w:t>
      </w:r>
    </w:p>
    <w:p w14:paraId="049241B2" w14:textId="77777777" w:rsidR="00E3021E" w:rsidRPr="00D27E1F" w:rsidRDefault="00DB1F4D">
      <w:pPr>
        <w:jc w:val="center"/>
      </w:pPr>
      <w:r w:rsidRPr="00D27E1F">
        <w:rPr>
          <w:b/>
        </w:rPr>
        <w:t>__</w:t>
      </w:r>
      <w:r w:rsidR="00E3021E" w:rsidRPr="00D27E1F">
        <w:rPr>
          <w:b/>
        </w:rPr>
        <w:t>___________________________________________________________________</w:t>
      </w:r>
      <w:r w:rsidR="00E86255" w:rsidRPr="00D27E1F">
        <w:rPr>
          <w:b/>
        </w:rPr>
        <w:t>_</w:t>
      </w:r>
    </w:p>
    <w:p w14:paraId="79EF00BC" w14:textId="77777777" w:rsidR="00E3021E" w:rsidRPr="00D27E1F" w:rsidRDefault="00E3021E">
      <w:pPr>
        <w:jc w:val="center"/>
        <w:rPr>
          <w:b/>
          <w:bCs/>
        </w:rPr>
      </w:pPr>
    </w:p>
    <w:p w14:paraId="60FC198A" w14:textId="77777777" w:rsidR="00E3021E" w:rsidRPr="00D27E1F" w:rsidRDefault="00E3021E">
      <w:pPr>
        <w:jc w:val="center"/>
        <w:rPr>
          <w:b/>
          <w:bCs/>
        </w:rPr>
      </w:pPr>
      <w:r w:rsidRPr="00D27E1F">
        <w:rPr>
          <w:b/>
          <w:bCs/>
        </w:rPr>
        <w:t>JUDGMENT</w:t>
      </w:r>
    </w:p>
    <w:p w14:paraId="426CBD0B" w14:textId="77777777" w:rsidR="00E3021E" w:rsidRPr="00D27E1F" w:rsidRDefault="00E3021E">
      <w:pPr>
        <w:jc w:val="center"/>
      </w:pPr>
      <w:r w:rsidRPr="00D27E1F">
        <w:rPr>
          <w:b/>
        </w:rPr>
        <w:t>_</w:t>
      </w:r>
      <w:r w:rsidR="00DB1F4D" w:rsidRPr="00D27E1F">
        <w:rPr>
          <w:b/>
        </w:rPr>
        <w:t>__</w:t>
      </w:r>
      <w:r w:rsidRPr="00D27E1F">
        <w:rPr>
          <w:b/>
        </w:rPr>
        <w:t>___________________________________________________________________</w:t>
      </w:r>
    </w:p>
    <w:p w14:paraId="609D16C7" w14:textId="77777777" w:rsidR="00E3021E" w:rsidRPr="00D27E1F" w:rsidRDefault="00E3021E" w:rsidP="00D92391"/>
    <w:p w14:paraId="057FAA96" w14:textId="77777777" w:rsidR="00E3021E" w:rsidRPr="00D27E1F" w:rsidRDefault="00A3360D" w:rsidP="004344FA">
      <w:pPr>
        <w:spacing w:after="240"/>
        <w:rPr>
          <w:b/>
        </w:rPr>
      </w:pPr>
      <w:r w:rsidRPr="00D27E1F">
        <w:rPr>
          <w:b/>
        </w:rPr>
        <w:t>Molefe A</w:t>
      </w:r>
      <w:r w:rsidR="00E86255" w:rsidRPr="00D27E1F">
        <w:rPr>
          <w:b/>
        </w:rPr>
        <w:t>JA</w:t>
      </w:r>
      <w:r w:rsidR="00E3021E" w:rsidRPr="00D27E1F">
        <w:rPr>
          <w:b/>
        </w:rPr>
        <w:t xml:space="preserve"> (</w:t>
      </w:r>
      <w:r w:rsidR="00C73C46">
        <w:rPr>
          <w:b/>
        </w:rPr>
        <w:t>Mbha, Car</w:t>
      </w:r>
      <w:r w:rsidR="00E10C39">
        <w:rPr>
          <w:b/>
        </w:rPr>
        <w:t xml:space="preserve">else and </w:t>
      </w:r>
      <w:r w:rsidR="00C73C46">
        <w:rPr>
          <w:b/>
        </w:rPr>
        <w:t>Mothle JJA and Phatshoane AJA</w:t>
      </w:r>
      <w:r w:rsidR="00370345" w:rsidRPr="00D27E1F">
        <w:rPr>
          <w:b/>
        </w:rPr>
        <w:t xml:space="preserve"> </w:t>
      </w:r>
      <w:r w:rsidR="00E3021E" w:rsidRPr="00D27E1F">
        <w:rPr>
          <w:b/>
          <w:bCs/>
        </w:rPr>
        <w:t>concurring</w:t>
      </w:r>
      <w:r w:rsidR="00E3021E" w:rsidRPr="00D27E1F">
        <w:rPr>
          <w:b/>
        </w:rPr>
        <w:t>):</w:t>
      </w:r>
    </w:p>
    <w:p w14:paraId="0DBFEB40" w14:textId="5D74BA59" w:rsidR="00A8119A" w:rsidRPr="0064715F" w:rsidRDefault="00433466" w:rsidP="00A25D4D">
      <w:r w:rsidRPr="00D27E1F">
        <w:t>[</w:t>
      </w:r>
      <w:r w:rsidR="00796DFE" w:rsidRPr="00D27E1F">
        <w:t>1</w:t>
      </w:r>
      <w:r w:rsidR="00FA37B5" w:rsidRPr="00D27E1F">
        <w:t>]</w:t>
      </w:r>
      <w:r w:rsidR="00796DFE" w:rsidRPr="00D27E1F">
        <w:tab/>
      </w:r>
      <w:r w:rsidR="00A3360D" w:rsidRPr="00D27E1F">
        <w:t xml:space="preserve">This </w:t>
      </w:r>
      <w:r w:rsidR="00A3360D" w:rsidRPr="0064715F">
        <w:t>appeal</w:t>
      </w:r>
      <w:r w:rsidR="00AB2C48" w:rsidRPr="0064715F">
        <w:t xml:space="preserve"> is</w:t>
      </w:r>
      <w:r w:rsidR="00A3360D" w:rsidRPr="0064715F">
        <w:t xml:space="preserve"> against the judgment and order of </w:t>
      </w:r>
      <w:r w:rsidR="001859A6" w:rsidRPr="0064715F">
        <w:t xml:space="preserve">the full court of </w:t>
      </w:r>
      <w:r w:rsidR="00A3360D" w:rsidRPr="0064715F">
        <w:t>the Western Cape Division of the High Court, Cape Town</w:t>
      </w:r>
      <w:r w:rsidR="007819A5">
        <w:t xml:space="preserve"> (the full court)</w:t>
      </w:r>
      <w:r w:rsidR="00A3360D" w:rsidRPr="00C73C46">
        <w:t xml:space="preserve">, </w:t>
      </w:r>
      <w:r w:rsidR="0064715F" w:rsidRPr="00C73C46">
        <w:t>s</w:t>
      </w:r>
      <w:r w:rsidR="00A3360D" w:rsidRPr="00C73C46">
        <w:t>itting as a court of appeal</w:t>
      </w:r>
      <w:r w:rsidR="00F352EC">
        <w:t xml:space="preserve">, </w:t>
      </w:r>
      <w:r w:rsidR="0064715F" w:rsidRPr="0064715F">
        <w:t>handed down on 8 July 2020. T</w:t>
      </w:r>
      <w:r w:rsidR="00A3360D" w:rsidRPr="0064715F">
        <w:t xml:space="preserve">he appeal is with </w:t>
      </w:r>
      <w:r w:rsidR="001859A6" w:rsidRPr="0064715F">
        <w:t>special leave from this Court.</w:t>
      </w:r>
      <w:r w:rsidR="00A3360D" w:rsidRPr="0064715F">
        <w:t xml:space="preserve"> </w:t>
      </w:r>
    </w:p>
    <w:p w14:paraId="16B0B6EA" w14:textId="77777777" w:rsidR="00A3360D" w:rsidRPr="0064715F" w:rsidRDefault="00A3360D" w:rsidP="00A25D4D"/>
    <w:p w14:paraId="1465FF7C" w14:textId="77777777" w:rsidR="001825C1" w:rsidRDefault="00A3360D">
      <w:r w:rsidRPr="0064715F">
        <w:t>[2]</w:t>
      </w:r>
      <w:r w:rsidRPr="0064715F">
        <w:tab/>
      </w:r>
      <w:bookmarkStart w:id="3" w:name="_Hlk86863298"/>
      <w:r w:rsidRPr="0064715F">
        <w:t>The appellant claimed damages against the respondent for injuries sustained during an incident</w:t>
      </w:r>
      <w:r w:rsidR="00250B45" w:rsidRPr="00250B45">
        <w:t xml:space="preserve"> </w:t>
      </w:r>
      <w:r w:rsidR="00250B45" w:rsidRPr="00F352EC">
        <w:t xml:space="preserve">on 19 November 2011. </w:t>
      </w:r>
      <w:bookmarkEnd w:id="3"/>
      <w:r w:rsidR="001825C1" w:rsidRPr="00F352EC">
        <w:t>At the time of</w:t>
      </w:r>
      <w:r w:rsidR="00250B45" w:rsidRPr="00F352EC">
        <w:t xml:space="preserve"> the incident,</w:t>
      </w:r>
      <w:r w:rsidR="00250B45">
        <w:t xml:space="preserve"> the appellant was</w:t>
      </w:r>
      <w:r w:rsidR="008327D6" w:rsidRPr="0064715F">
        <w:t xml:space="preserve"> a </w:t>
      </w:r>
      <w:r w:rsidR="008327D6" w:rsidRPr="0064715F">
        <w:lastRenderedPageBreak/>
        <w:t>passenger in a train operated by the respondent. The incident</w:t>
      </w:r>
      <w:r w:rsidRPr="0064715F">
        <w:t xml:space="preserve"> occurred on a railway line between</w:t>
      </w:r>
      <w:r w:rsidR="00AB2C48" w:rsidRPr="0064715F">
        <w:t xml:space="preserve"> the</w:t>
      </w:r>
      <w:r w:rsidRPr="0064715F">
        <w:t xml:space="preserve"> Du Toit and Lynedoch </w:t>
      </w:r>
      <w:r w:rsidR="00012564" w:rsidRPr="0064715F">
        <w:t xml:space="preserve">train </w:t>
      </w:r>
      <w:r w:rsidR="000E1134" w:rsidRPr="0064715F">
        <w:t>stations in</w:t>
      </w:r>
      <w:r w:rsidRPr="0064715F">
        <w:t xml:space="preserve"> Cape Town.</w:t>
      </w:r>
    </w:p>
    <w:p w14:paraId="2806EEAC" w14:textId="62052830" w:rsidR="001825C1" w:rsidRDefault="001825C1"/>
    <w:p w14:paraId="2CFEFFEC" w14:textId="0AA97908" w:rsidR="00AA7E96" w:rsidRPr="00D27E1F" w:rsidRDefault="001825C1">
      <w:r>
        <w:t>[</w:t>
      </w:r>
      <w:r w:rsidRPr="00F352EC">
        <w:t>3]</w:t>
      </w:r>
      <w:r w:rsidR="00461056">
        <w:tab/>
      </w:r>
      <w:r w:rsidR="00250B45" w:rsidRPr="00F352EC">
        <w:t>At the commencement of the trial, t</w:t>
      </w:r>
      <w:r w:rsidR="00A3360D" w:rsidRPr="00F352EC">
        <w:t>he merits and quantum were separated</w:t>
      </w:r>
      <w:r w:rsidR="008327D6" w:rsidRPr="00F352EC">
        <w:t xml:space="preserve"> in terms of Uniform Court Rule 33(4).</w:t>
      </w:r>
      <w:r w:rsidR="00A3360D" w:rsidRPr="00F352EC">
        <w:t xml:space="preserve"> </w:t>
      </w:r>
      <w:r w:rsidR="00AA7E96" w:rsidRPr="00F352EC">
        <w:t>The trial court</w:t>
      </w:r>
      <w:r w:rsidR="0019442A" w:rsidRPr="00F352EC">
        <w:t>, per</w:t>
      </w:r>
      <w:r w:rsidR="00AA7E96" w:rsidRPr="00F352EC">
        <w:t xml:space="preserve"> </w:t>
      </w:r>
      <w:r w:rsidR="00F24F44" w:rsidRPr="00F352EC">
        <w:t>Mc</w:t>
      </w:r>
      <w:r w:rsidR="00AA7E96" w:rsidRPr="00F352EC">
        <w:t>Cu</w:t>
      </w:r>
      <w:r w:rsidR="00B07857" w:rsidRPr="00F352EC">
        <w:t>r</w:t>
      </w:r>
      <w:r w:rsidR="00AA7E96" w:rsidRPr="00F352EC">
        <w:t>die AJ</w:t>
      </w:r>
      <w:r w:rsidR="0019442A" w:rsidRPr="00F352EC">
        <w:t>,</w:t>
      </w:r>
      <w:r w:rsidR="00AA7E96" w:rsidRPr="00F352EC">
        <w:t xml:space="preserve"> gave judgment in the appellant’s favour on the merits and found the respondent liable for all </w:t>
      </w:r>
      <w:r w:rsidR="008327D6" w:rsidRPr="00F352EC">
        <w:t xml:space="preserve">proven or agreed </w:t>
      </w:r>
      <w:r w:rsidR="00AA7E96" w:rsidRPr="00F352EC">
        <w:t xml:space="preserve">damages suffered by the appellant. </w:t>
      </w:r>
      <w:r w:rsidRPr="00F352EC">
        <w:t>This Court granted leave to appeal</w:t>
      </w:r>
      <w:r w:rsidR="00AA7E96" w:rsidRPr="00F352EC">
        <w:t xml:space="preserve"> to the </w:t>
      </w:r>
      <w:r w:rsidR="008327D6" w:rsidRPr="00F352EC">
        <w:t>full c</w:t>
      </w:r>
      <w:r w:rsidR="00AA7E96" w:rsidRPr="00F352EC">
        <w:t>ourt</w:t>
      </w:r>
      <w:r w:rsidRPr="00F352EC">
        <w:t>,</w:t>
      </w:r>
      <w:r w:rsidR="00AA7E96" w:rsidRPr="00F352EC">
        <w:t xml:space="preserve"> </w:t>
      </w:r>
      <w:r w:rsidRPr="00F352EC">
        <w:t>which</w:t>
      </w:r>
      <w:r w:rsidR="00AA7E96" w:rsidRPr="00F352EC">
        <w:t xml:space="preserve"> upheld the appeal</w:t>
      </w:r>
      <w:r w:rsidRPr="00F352EC">
        <w:t xml:space="preserve"> </w:t>
      </w:r>
      <w:r w:rsidR="00AA7E96" w:rsidRPr="00F352EC">
        <w:t>and dismissed the appellant’s claim.</w:t>
      </w:r>
      <w:r w:rsidRPr="00F352EC">
        <w:t xml:space="preserve"> The </w:t>
      </w:r>
      <w:r w:rsidR="00407C61" w:rsidRPr="00F352EC">
        <w:t>a</w:t>
      </w:r>
      <w:r w:rsidRPr="00F352EC">
        <w:t>ppellant then turned to this Court to appeal the full court</w:t>
      </w:r>
      <w:r w:rsidR="009628DD">
        <w:t xml:space="preserve">’s </w:t>
      </w:r>
      <w:r w:rsidRPr="00F352EC">
        <w:t>decision.</w:t>
      </w:r>
      <w:r w:rsidR="00AA7E96" w:rsidRPr="00D27E1F">
        <w:t xml:space="preserve"> </w:t>
      </w:r>
    </w:p>
    <w:p w14:paraId="4DACC67E" w14:textId="77777777" w:rsidR="00AA7E96" w:rsidRPr="00D27E1F" w:rsidRDefault="00AA7E96"/>
    <w:p w14:paraId="7847ADBB" w14:textId="0255402A" w:rsidR="00D2597A" w:rsidRDefault="00AA7E96" w:rsidP="00D2597A">
      <w:r w:rsidRPr="00D27E1F">
        <w:t>[</w:t>
      </w:r>
      <w:r w:rsidR="003929DC">
        <w:t>4</w:t>
      </w:r>
      <w:r w:rsidRPr="00D27E1F">
        <w:t>]</w:t>
      </w:r>
      <w:r w:rsidRPr="00D27E1F">
        <w:tab/>
        <w:t xml:space="preserve">The appellant </w:t>
      </w:r>
      <w:r w:rsidRPr="0064715F">
        <w:t xml:space="preserve">was </w:t>
      </w:r>
      <w:r w:rsidR="00646C73" w:rsidRPr="0064715F">
        <w:t>a single</w:t>
      </w:r>
      <w:r w:rsidRPr="0064715F">
        <w:t xml:space="preserve"> witness </w:t>
      </w:r>
      <w:r w:rsidR="00F61601">
        <w:t xml:space="preserve">and the only witness to give evidence </w:t>
      </w:r>
      <w:r w:rsidR="008327D6" w:rsidRPr="0064715F">
        <w:t>on</w:t>
      </w:r>
      <w:r w:rsidRPr="0064715F">
        <w:t xml:space="preserve"> how the incident occurred. He was a gardener at Spier Wine Estate. </w:t>
      </w:r>
      <w:bookmarkStart w:id="4" w:name="_Hlk86863334"/>
      <w:r w:rsidRPr="0064715F">
        <w:t>On the morning of 19 November 2011</w:t>
      </w:r>
      <w:r w:rsidR="0064715F" w:rsidRPr="0064715F">
        <w:t>, h</w:t>
      </w:r>
      <w:r w:rsidRPr="0064715F">
        <w:t>e</w:t>
      </w:r>
      <w:r w:rsidR="00F24F44" w:rsidRPr="0064715F">
        <w:t xml:space="preserve"> boarded the train at Du Toit station and was</w:t>
      </w:r>
      <w:r w:rsidRPr="0064715F">
        <w:t xml:space="preserve"> on his way to work</w:t>
      </w:r>
      <w:r w:rsidR="00F24F44" w:rsidRPr="00F352EC">
        <w:t xml:space="preserve">. </w:t>
      </w:r>
      <w:r w:rsidRPr="00F352EC">
        <w:t>He</w:t>
      </w:r>
      <w:r w:rsidR="00D2597A" w:rsidRPr="00F352EC">
        <w:t xml:space="preserve"> testified that he</w:t>
      </w:r>
      <w:r w:rsidRPr="00F352EC">
        <w:t xml:space="preserve"> usually </w:t>
      </w:r>
      <w:r w:rsidR="00646C73" w:rsidRPr="00F352EC">
        <w:t>disembark</w:t>
      </w:r>
      <w:r w:rsidR="0064715F" w:rsidRPr="00F352EC">
        <w:t>ed</w:t>
      </w:r>
      <w:r w:rsidR="000355E3" w:rsidRPr="00F352EC">
        <w:t xml:space="preserve"> </w:t>
      </w:r>
      <w:r w:rsidRPr="00F352EC">
        <w:t>the train at Lynedoch station and would walk back to Spier Wine Estate</w:t>
      </w:r>
      <w:r w:rsidR="00D2597A" w:rsidRPr="00F352EC">
        <w:t>.</w:t>
      </w:r>
      <w:r w:rsidRPr="00F352EC">
        <w:t xml:space="preserve"> </w:t>
      </w:r>
      <w:r w:rsidR="004C527E" w:rsidRPr="00F352EC">
        <w:t>I</w:t>
      </w:r>
      <w:r w:rsidR="00A4319F" w:rsidRPr="00F352EC">
        <w:t xml:space="preserve">t is common cause that </w:t>
      </w:r>
      <w:r w:rsidR="00EC37DE" w:rsidRPr="00F352EC">
        <w:t>S</w:t>
      </w:r>
      <w:r w:rsidR="00A4319F" w:rsidRPr="00F352EC">
        <w:t xml:space="preserve">pier station is </w:t>
      </w:r>
      <w:r w:rsidR="00EC37DE" w:rsidRPr="00F352EC">
        <w:t xml:space="preserve">used for private </w:t>
      </w:r>
      <w:r w:rsidR="00A4319F" w:rsidRPr="00F352EC">
        <w:t>Spier event</w:t>
      </w:r>
      <w:r w:rsidR="00EC37DE" w:rsidRPr="00F352EC">
        <w:t>s</w:t>
      </w:r>
      <w:r w:rsidR="00D2597A" w:rsidRPr="00F352EC">
        <w:t xml:space="preserve"> as scheduled trains never stopped there</w:t>
      </w:r>
      <w:r w:rsidR="00A4319F" w:rsidRPr="00F352EC">
        <w:t>.</w:t>
      </w:r>
      <w:r w:rsidRPr="00F352EC">
        <w:t xml:space="preserve"> </w:t>
      </w:r>
      <w:r w:rsidR="00D2597A" w:rsidRPr="00F352EC">
        <w:t>The appellant’s evidence is that the doors of the train were open</w:t>
      </w:r>
      <w:r w:rsidR="00D2597A" w:rsidRPr="00D27E1F">
        <w:t xml:space="preserve"> when the train left Du Toit station</w:t>
      </w:r>
      <w:r w:rsidR="009628DD">
        <w:t xml:space="preserve"> </w:t>
      </w:r>
      <w:r w:rsidR="00D2597A" w:rsidRPr="00D27E1F">
        <w:t>and remained open throughout the journey.</w:t>
      </w:r>
    </w:p>
    <w:bookmarkEnd w:id="4"/>
    <w:p w14:paraId="70E0D697" w14:textId="1B8B40AF" w:rsidR="00D2597A" w:rsidRPr="00D27E1F" w:rsidRDefault="00D2597A" w:rsidP="00D2597A"/>
    <w:p w14:paraId="7C956234" w14:textId="483D409C" w:rsidR="00AA7E96" w:rsidRPr="00D27E1F" w:rsidRDefault="00D2597A">
      <w:r>
        <w:t>[</w:t>
      </w:r>
      <w:r w:rsidR="003929DC">
        <w:t>5</w:t>
      </w:r>
      <w:r>
        <w:t>]</w:t>
      </w:r>
      <w:r w:rsidR="00F352EC">
        <w:tab/>
      </w:r>
      <w:bookmarkStart w:id="5" w:name="_Hlk86863445"/>
      <w:r w:rsidR="00AA7E96" w:rsidRPr="00F352EC">
        <w:t>Just before Lynedoch station</w:t>
      </w:r>
      <w:r w:rsidR="009F6C60" w:rsidRPr="00F352EC">
        <w:t>,</w:t>
      </w:r>
      <w:r w:rsidRPr="00F352EC">
        <w:t xml:space="preserve"> a gang of three men appeared and threatened the passengers with a knife and a gun, demanding their cell phones.</w:t>
      </w:r>
      <w:r w:rsidR="00AA7E96" w:rsidRPr="00F352EC">
        <w:t xml:space="preserve"> </w:t>
      </w:r>
      <w:r w:rsidRPr="00F352EC">
        <w:t xml:space="preserve">In a scuffle with one of them, </w:t>
      </w:r>
      <w:r w:rsidR="000A13B4">
        <w:t>the appellant</w:t>
      </w:r>
      <w:r w:rsidR="00AA7E96" w:rsidRPr="00F352EC">
        <w:t xml:space="preserve"> was thrown out of the moving t</w:t>
      </w:r>
      <w:r w:rsidR="00831F07" w:rsidRPr="00F352EC">
        <w:t>rain.</w:t>
      </w:r>
      <w:r w:rsidR="00AA7E96" w:rsidRPr="00F352EC">
        <w:t xml:space="preserve"> </w:t>
      </w:r>
      <w:r w:rsidR="002C4988" w:rsidRPr="00F352EC">
        <w:t>The appellant does not remember where he fell</w:t>
      </w:r>
      <w:r w:rsidR="00831F07" w:rsidRPr="00F352EC">
        <w:t>. Other evidence</w:t>
      </w:r>
      <w:r w:rsidR="00831F07">
        <w:t xml:space="preserve"> indicates that</w:t>
      </w:r>
      <w:r w:rsidR="002C4988" w:rsidRPr="00D27E1F">
        <w:t xml:space="preserve"> he was</w:t>
      </w:r>
      <w:r w:rsidR="00831F07">
        <w:t xml:space="preserve"> later</w:t>
      </w:r>
      <w:r w:rsidR="002C4988" w:rsidRPr="00D27E1F">
        <w:t xml:space="preserve"> found o</w:t>
      </w:r>
      <w:r w:rsidR="00831F07">
        <w:t>n the platform at Spier station.</w:t>
      </w:r>
      <w:r w:rsidR="002C4988" w:rsidRPr="00D27E1F">
        <w:t xml:space="preserve"> </w:t>
      </w:r>
      <w:r w:rsidR="00831F07">
        <w:t xml:space="preserve">He was </w:t>
      </w:r>
      <w:r w:rsidR="002C4988" w:rsidRPr="00D27E1F">
        <w:t xml:space="preserve">seriously injured and was taken to Stellenbosch hospital in an ambulance. </w:t>
      </w:r>
      <w:r w:rsidR="00626216" w:rsidRPr="00D27E1F">
        <w:t>He</w:t>
      </w:r>
      <w:r w:rsidR="002C4988" w:rsidRPr="00D27E1F">
        <w:t xml:space="preserve"> regained consciousness</w:t>
      </w:r>
      <w:r w:rsidR="00626216" w:rsidRPr="00D27E1F">
        <w:t xml:space="preserve"> </w:t>
      </w:r>
      <w:r w:rsidR="002C4988" w:rsidRPr="00D27E1F">
        <w:t>at</w:t>
      </w:r>
      <w:r w:rsidR="00626216" w:rsidRPr="00D27E1F">
        <w:t xml:space="preserve"> the</w:t>
      </w:r>
      <w:r w:rsidR="002C4988" w:rsidRPr="00D27E1F">
        <w:t xml:space="preserve"> Paarl General Hospital.</w:t>
      </w:r>
    </w:p>
    <w:bookmarkEnd w:id="5"/>
    <w:p w14:paraId="09E54EC5" w14:textId="77777777" w:rsidR="002C4988" w:rsidRPr="00D27E1F" w:rsidRDefault="002C4988"/>
    <w:p w14:paraId="3D0B8201" w14:textId="70E472A4" w:rsidR="002C4988" w:rsidRDefault="002C4988">
      <w:r w:rsidRPr="00D27E1F">
        <w:t>[</w:t>
      </w:r>
      <w:r w:rsidR="003929DC">
        <w:t>6</w:t>
      </w:r>
      <w:r w:rsidRPr="00D27E1F">
        <w:t>]</w:t>
      </w:r>
      <w:r w:rsidRPr="00D27E1F">
        <w:tab/>
        <w:t xml:space="preserve">The respondent called witnesses whose testimony </w:t>
      </w:r>
      <w:r w:rsidR="0064715F">
        <w:t xml:space="preserve">did not </w:t>
      </w:r>
      <w:r w:rsidR="00F61601">
        <w:t xml:space="preserve">shed any light </w:t>
      </w:r>
      <w:r w:rsidR="0064715F">
        <w:t>on</w:t>
      </w:r>
      <w:r w:rsidR="000355E3">
        <w:t xml:space="preserve"> how</w:t>
      </w:r>
      <w:r w:rsidR="0064715F">
        <w:t xml:space="preserve"> </w:t>
      </w:r>
      <w:r w:rsidRPr="00D27E1F">
        <w:t>the incident</w:t>
      </w:r>
      <w:r w:rsidR="00626216" w:rsidRPr="00D27E1F">
        <w:t xml:space="preserve"> concerned</w:t>
      </w:r>
      <w:r w:rsidRPr="00D27E1F">
        <w:t xml:space="preserve"> occurred. </w:t>
      </w:r>
      <w:r w:rsidR="00626216" w:rsidRPr="00D27E1F">
        <w:t>Importantly, a</w:t>
      </w:r>
      <w:r w:rsidRPr="00D27E1F">
        <w:t xml:space="preserve">s regards the cause of the </w:t>
      </w:r>
      <w:r w:rsidR="00626216" w:rsidRPr="00D27E1F">
        <w:t>appellant falling out of the train</w:t>
      </w:r>
      <w:r w:rsidRPr="00D27E1F">
        <w:t xml:space="preserve">, the respondent failed to lead the evidence of the Metrorail </w:t>
      </w:r>
      <w:r w:rsidR="0064715F" w:rsidRPr="00D27E1F">
        <w:t>s</w:t>
      </w:r>
      <w:r w:rsidRPr="00D27E1F">
        <w:t xml:space="preserve">ecurity guard at Lynedoch station who reported the </w:t>
      </w:r>
      <w:r w:rsidR="00B07857" w:rsidRPr="00D27E1F">
        <w:t>incident</w:t>
      </w:r>
      <w:r w:rsidRPr="00F352EC">
        <w:t xml:space="preserve">. </w:t>
      </w:r>
      <w:r w:rsidR="00831F07" w:rsidRPr="00F352EC">
        <w:t xml:space="preserve">The evidence </w:t>
      </w:r>
      <w:r w:rsidR="009628DD">
        <w:t>of</w:t>
      </w:r>
      <w:r w:rsidR="00831F07" w:rsidRPr="00F352EC">
        <w:t xml:space="preserve"> this witness might</w:t>
      </w:r>
      <w:r w:rsidR="00F24F44" w:rsidRPr="00F352EC">
        <w:t xml:space="preserve"> </w:t>
      </w:r>
      <w:r w:rsidRPr="00F352EC">
        <w:t>have</w:t>
      </w:r>
      <w:r w:rsidRPr="000355E3">
        <w:t xml:space="preserve"> been able to </w:t>
      </w:r>
      <w:r w:rsidR="00F24F44" w:rsidRPr="000355E3">
        <w:t xml:space="preserve">give an account </w:t>
      </w:r>
      <w:r w:rsidR="0064715F" w:rsidRPr="000355E3">
        <w:t xml:space="preserve">on </w:t>
      </w:r>
      <w:r w:rsidRPr="000355E3">
        <w:t>how and where the appellant fell from the train.</w:t>
      </w:r>
    </w:p>
    <w:p w14:paraId="7D87412B" w14:textId="77777777" w:rsidR="000355E3" w:rsidRPr="00D27E1F" w:rsidRDefault="000355E3"/>
    <w:p w14:paraId="48DC0289" w14:textId="269FD832" w:rsidR="00151E52" w:rsidRPr="00D27E1F" w:rsidRDefault="002C4988" w:rsidP="009E2367">
      <w:r w:rsidRPr="00D27E1F">
        <w:t>[</w:t>
      </w:r>
      <w:r w:rsidR="00F352EC">
        <w:t>7</w:t>
      </w:r>
      <w:r w:rsidRPr="00D27E1F">
        <w:t>]</w:t>
      </w:r>
      <w:r w:rsidRPr="00D27E1F">
        <w:tab/>
      </w:r>
      <w:r w:rsidR="00626216" w:rsidRPr="00D27E1F">
        <w:t>The full c</w:t>
      </w:r>
      <w:r w:rsidRPr="00D27E1F">
        <w:t xml:space="preserve">ourt rejected the appellant’s </w:t>
      </w:r>
      <w:r w:rsidRPr="0064715F">
        <w:t xml:space="preserve">version </w:t>
      </w:r>
      <w:r w:rsidR="00F24F44" w:rsidRPr="0064715F">
        <w:t>about how</w:t>
      </w:r>
      <w:r w:rsidRPr="0064715F">
        <w:t xml:space="preserve"> the </w:t>
      </w:r>
      <w:r w:rsidR="00B07857" w:rsidRPr="0064715F">
        <w:t>incident</w:t>
      </w:r>
      <w:r w:rsidR="00F24F44" w:rsidRPr="0064715F">
        <w:t xml:space="preserve"> occurred</w:t>
      </w:r>
      <w:r w:rsidR="00CF75AE">
        <w:t xml:space="preserve"> and </w:t>
      </w:r>
      <w:r w:rsidR="00CF75AE" w:rsidRPr="00F352EC">
        <w:t>found</w:t>
      </w:r>
      <w:r w:rsidRPr="00F352EC">
        <w:t xml:space="preserve"> that his version was inconsistent with the version contained in </w:t>
      </w:r>
      <w:r w:rsidR="00626216" w:rsidRPr="00F352EC">
        <w:t>discovered documents</w:t>
      </w:r>
      <w:r w:rsidR="00A4783F" w:rsidRPr="00F352EC">
        <w:t>,</w:t>
      </w:r>
      <w:r w:rsidR="00626216" w:rsidRPr="00F352EC">
        <w:t xml:space="preserve"> in particular </w:t>
      </w:r>
      <w:r w:rsidRPr="00F352EC">
        <w:t xml:space="preserve">the medical </w:t>
      </w:r>
      <w:r w:rsidR="00B07857" w:rsidRPr="00F352EC">
        <w:t>and the ambulance report</w:t>
      </w:r>
      <w:r w:rsidR="00D7160F" w:rsidRPr="00F352EC">
        <w:t>s</w:t>
      </w:r>
      <w:r w:rsidRPr="00F352EC">
        <w:t>.</w:t>
      </w:r>
      <w:r w:rsidR="00F24F44" w:rsidRPr="00F352EC">
        <w:t xml:space="preserve"> According to the</w:t>
      </w:r>
      <w:r w:rsidRPr="00F352EC">
        <w:t xml:space="preserve"> ambulance report</w:t>
      </w:r>
      <w:r w:rsidR="006915A7" w:rsidRPr="00F352EC">
        <w:t>,</w:t>
      </w:r>
      <w:r w:rsidRPr="00F352EC">
        <w:t xml:space="preserve"> the incident </w:t>
      </w:r>
      <w:r w:rsidR="00D7160F" w:rsidRPr="00F352EC">
        <w:t>occurred at</w:t>
      </w:r>
      <w:r w:rsidRPr="00F352EC">
        <w:t xml:space="preserve"> ‘Spier station Lynedoch station</w:t>
      </w:r>
      <w:r w:rsidR="0064715F" w:rsidRPr="00F352EC">
        <w:t>’</w:t>
      </w:r>
      <w:r w:rsidR="00CF75AE" w:rsidRPr="00F352EC">
        <w:t>. It also states that a</w:t>
      </w:r>
      <w:r w:rsidRPr="00F352EC">
        <w:t xml:space="preserve"> ‘</w:t>
      </w:r>
      <w:r w:rsidR="00BD5880">
        <w:t>[</w:t>
      </w:r>
      <w:r w:rsidRPr="00F352EC">
        <w:t>m</w:t>
      </w:r>
      <w:r w:rsidR="00BD5880">
        <w:t>]</w:t>
      </w:r>
      <w:r w:rsidRPr="00F352EC">
        <w:t>ale patient fell from the moving train</w:t>
      </w:r>
      <w:r w:rsidR="00B07857" w:rsidRPr="00F352EC">
        <w:t>.’</w:t>
      </w:r>
      <w:r w:rsidRPr="00F352EC">
        <w:t xml:space="preserve"> </w:t>
      </w:r>
      <w:r w:rsidR="00151E52" w:rsidRPr="00F352EC">
        <w:t>The medical report</w:t>
      </w:r>
      <w:r w:rsidR="0080560F" w:rsidRPr="00F352EC">
        <w:t xml:space="preserve"> however,</w:t>
      </w:r>
      <w:r w:rsidR="00151E52" w:rsidRPr="00F352EC">
        <w:t xml:space="preserve"> recorded that according to </w:t>
      </w:r>
      <w:r w:rsidR="00F61601">
        <w:t>an</w:t>
      </w:r>
      <w:r w:rsidR="00890AE0">
        <w:t xml:space="preserve"> </w:t>
      </w:r>
      <w:r w:rsidR="00151E52" w:rsidRPr="00F352EC">
        <w:t xml:space="preserve">ambulance officer he was thrown out </w:t>
      </w:r>
      <w:r w:rsidR="000E1134" w:rsidRPr="00F352EC">
        <w:t xml:space="preserve">of </w:t>
      </w:r>
      <w:r w:rsidR="008B239C">
        <w:t xml:space="preserve">train </w:t>
      </w:r>
      <w:r w:rsidR="00151E52" w:rsidRPr="00F352EC">
        <w:t>or jumped.</w:t>
      </w:r>
      <w:r w:rsidR="0080560F" w:rsidRPr="00F352EC">
        <w:t xml:space="preserve"> Despite the clear disparity between these two documents,</w:t>
      </w:r>
      <w:r w:rsidR="00D7160F" w:rsidRPr="00F352EC">
        <w:t xml:space="preserve"> the f</w:t>
      </w:r>
      <w:r w:rsidR="00151E52" w:rsidRPr="00F352EC">
        <w:t>ull</w:t>
      </w:r>
      <w:r w:rsidR="00D7160F" w:rsidRPr="00F352EC">
        <w:t xml:space="preserve"> c</w:t>
      </w:r>
      <w:r w:rsidR="0080560F" w:rsidRPr="00F352EC">
        <w:t>ourt found</w:t>
      </w:r>
      <w:r w:rsidR="00151E52" w:rsidRPr="00F352EC">
        <w:t xml:space="preserve"> that the appellant’s version </w:t>
      </w:r>
      <w:r w:rsidR="0080560F" w:rsidRPr="00F352EC">
        <w:t>ought to be rejected</w:t>
      </w:r>
      <w:r w:rsidR="00151E52" w:rsidRPr="00F352EC">
        <w:t xml:space="preserve"> </w:t>
      </w:r>
      <w:r w:rsidR="0080560F" w:rsidRPr="00F352EC">
        <w:t>on the basis</w:t>
      </w:r>
      <w:r w:rsidR="00D7160F" w:rsidRPr="00F352EC">
        <w:t xml:space="preserve"> that</w:t>
      </w:r>
      <w:r w:rsidR="00151E52" w:rsidRPr="00F352EC">
        <w:t xml:space="preserve"> the conte</w:t>
      </w:r>
      <w:r w:rsidR="0080560F" w:rsidRPr="00F352EC">
        <w:t>nts of the discovered documents,</w:t>
      </w:r>
      <w:r w:rsidR="00151E52" w:rsidRPr="00F352EC">
        <w:t xml:space="preserve"> more particularly the notes contained in the medical reco</w:t>
      </w:r>
      <w:r w:rsidR="00D7160F" w:rsidRPr="00F352EC">
        <w:t xml:space="preserve">rds discovered by </w:t>
      </w:r>
      <w:r w:rsidR="00C60E21" w:rsidRPr="00F352EC">
        <w:t>the appellant, were credible,</w:t>
      </w:r>
      <w:r w:rsidR="00D7160F" w:rsidRPr="00F352EC">
        <w:t xml:space="preserve"> </w:t>
      </w:r>
      <w:r w:rsidR="00D543C8" w:rsidRPr="00F352EC">
        <w:t>acceptable</w:t>
      </w:r>
      <w:r w:rsidR="00D543C8" w:rsidRPr="0064715F">
        <w:t xml:space="preserve"> and accordingly admissible.</w:t>
      </w:r>
      <w:r w:rsidR="00D543C8">
        <w:t xml:space="preserve"> </w:t>
      </w:r>
    </w:p>
    <w:p w14:paraId="3B5A1B9C" w14:textId="77777777" w:rsidR="00151E52" w:rsidRPr="00D27E1F" w:rsidRDefault="00151E52"/>
    <w:p w14:paraId="0AE20159" w14:textId="77777777" w:rsidR="00151E52" w:rsidRPr="00D27E1F" w:rsidRDefault="00151E52">
      <w:r w:rsidRPr="00D27E1F">
        <w:rPr>
          <w:b/>
        </w:rPr>
        <w:t>Admissibility of hearsay evidence</w:t>
      </w:r>
      <w:r w:rsidRPr="00D27E1F">
        <w:t xml:space="preserve"> </w:t>
      </w:r>
    </w:p>
    <w:p w14:paraId="1B5A665C" w14:textId="77777777" w:rsidR="002C4988" w:rsidRPr="00D27E1F" w:rsidRDefault="00151E52">
      <w:r w:rsidRPr="00D27E1F">
        <w:t>[</w:t>
      </w:r>
      <w:r w:rsidR="00F352EC">
        <w:t>8</w:t>
      </w:r>
      <w:r w:rsidRPr="00D27E1F">
        <w:t>]</w:t>
      </w:r>
      <w:r w:rsidRPr="00D27E1F">
        <w:tab/>
      </w:r>
      <w:r w:rsidRPr="0064715F">
        <w:t>Th</w:t>
      </w:r>
      <w:r w:rsidR="009628DD">
        <w:t>is</w:t>
      </w:r>
      <w:r w:rsidRPr="0064715F">
        <w:t xml:space="preserve"> appeal raises </w:t>
      </w:r>
      <w:r w:rsidR="00D543C8" w:rsidRPr="0064715F">
        <w:t xml:space="preserve">the </w:t>
      </w:r>
      <w:r w:rsidRPr="0064715F">
        <w:t xml:space="preserve">important issue regarding the admissibility </w:t>
      </w:r>
      <w:r w:rsidR="00D543C8" w:rsidRPr="0064715F">
        <w:t xml:space="preserve">of </w:t>
      </w:r>
      <w:r w:rsidRPr="0064715F">
        <w:t>the contents of discovered documents</w:t>
      </w:r>
      <w:r w:rsidR="00C60E21">
        <w:t>,</w:t>
      </w:r>
      <w:r w:rsidRPr="0064715F">
        <w:t xml:space="preserve"> </w:t>
      </w:r>
      <w:r w:rsidR="00D543C8" w:rsidRPr="0064715F">
        <w:t>without the author having to testify about the correctness of the content</w:t>
      </w:r>
      <w:r w:rsidR="009628DD">
        <w:t>s</w:t>
      </w:r>
      <w:r w:rsidR="00D543C8" w:rsidRPr="0064715F">
        <w:t xml:space="preserve"> </w:t>
      </w:r>
      <w:r w:rsidR="00D543C8" w:rsidRPr="00F352EC">
        <w:t>thereof.</w:t>
      </w:r>
      <w:r w:rsidR="006915A7" w:rsidRPr="00F352EC">
        <w:t xml:space="preserve"> </w:t>
      </w:r>
      <w:bookmarkStart w:id="6" w:name="_Hlk86863659"/>
      <w:r w:rsidR="006915A7" w:rsidRPr="00F352EC">
        <w:t>Counsel</w:t>
      </w:r>
      <w:r w:rsidRPr="00F352EC">
        <w:t xml:space="preserve"> </w:t>
      </w:r>
      <w:r w:rsidRPr="0064715F">
        <w:t>for the appellant argued that the medical records could not be relied on as they constituted hearsay evidence</w:t>
      </w:r>
      <w:r w:rsidR="007C5163" w:rsidRPr="0064715F">
        <w:t>.</w:t>
      </w:r>
      <w:r w:rsidR="00A4319F" w:rsidRPr="0064715F">
        <w:rPr>
          <w:rStyle w:val="FootnoteReference"/>
        </w:rPr>
        <w:footnoteReference w:id="1"/>
      </w:r>
      <w:r w:rsidRPr="0064715F">
        <w:t xml:space="preserve"> </w:t>
      </w:r>
      <w:r w:rsidR="00D7160F" w:rsidRPr="0064715F">
        <w:t>The f</w:t>
      </w:r>
      <w:r w:rsidR="00BE5DD1" w:rsidRPr="0064715F">
        <w:t xml:space="preserve">ull </w:t>
      </w:r>
      <w:r w:rsidR="00D7160F" w:rsidRPr="00F352EC">
        <w:t>c</w:t>
      </w:r>
      <w:r w:rsidR="00542BD6" w:rsidRPr="00F352EC">
        <w:t>ourt</w:t>
      </w:r>
      <w:r w:rsidR="006915A7" w:rsidRPr="00F352EC">
        <w:t xml:space="preserve"> however</w:t>
      </w:r>
      <w:r w:rsidR="00542BD6" w:rsidRPr="00F352EC">
        <w:t xml:space="preserve"> attached</w:t>
      </w:r>
      <w:r w:rsidRPr="00F352EC">
        <w:t xml:space="preserve"> considerable weight to t</w:t>
      </w:r>
      <w:r w:rsidR="00EF517E" w:rsidRPr="00F352EC">
        <w:t xml:space="preserve">hem on the basis that </w:t>
      </w:r>
      <w:r w:rsidR="00C60E21" w:rsidRPr="00F352EC">
        <w:t>the appellant, who in fact discovered them, never disputed their veracity</w:t>
      </w:r>
      <w:r w:rsidR="00613C53" w:rsidRPr="00F352EC">
        <w:t>.</w:t>
      </w:r>
      <w:r w:rsidRPr="00F352EC">
        <w:t xml:space="preserve"> </w:t>
      </w:r>
      <w:r w:rsidR="00CD38B7" w:rsidRPr="00F352EC">
        <w:t xml:space="preserve">It then concluded that </w:t>
      </w:r>
      <w:r w:rsidRPr="00F352EC">
        <w:t>the appellant</w:t>
      </w:r>
      <w:r w:rsidR="00997E84" w:rsidRPr="00F352EC">
        <w:t xml:space="preserve"> in fact </w:t>
      </w:r>
      <w:r w:rsidR="00933132" w:rsidRPr="00F352EC">
        <w:t xml:space="preserve">supported </w:t>
      </w:r>
      <w:r w:rsidR="00933132" w:rsidRPr="0064715F">
        <w:t>the respondent’s version</w:t>
      </w:r>
      <w:r w:rsidR="00933132" w:rsidRPr="00D27E1F">
        <w:t xml:space="preserve"> of events</w:t>
      </w:r>
      <w:bookmarkEnd w:id="6"/>
      <w:r w:rsidR="00933132" w:rsidRPr="00D27E1F">
        <w:t xml:space="preserve">. </w:t>
      </w:r>
    </w:p>
    <w:p w14:paraId="7615A5A5" w14:textId="77777777" w:rsidR="005435E2" w:rsidRPr="00D27E1F" w:rsidRDefault="005435E2"/>
    <w:p w14:paraId="5C161480" w14:textId="71B947B8" w:rsidR="00933132" w:rsidRPr="00890AE0" w:rsidRDefault="00933132" w:rsidP="004344FA">
      <w:pPr>
        <w:rPr>
          <w:sz w:val="22"/>
          <w:szCs w:val="22"/>
          <w:highlight w:val="yellow"/>
        </w:rPr>
      </w:pPr>
      <w:r w:rsidRPr="00D27E1F">
        <w:t>[</w:t>
      </w:r>
      <w:r w:rsidR="00F352EC">
        <w:t>9</w:t>
      </w:r>
      <w:r w:rsidRPr="00D27E1F">
        <w:t>]</w:t>
      </w:r>
      <w:r w:rsidRPr="00D27E1F">
        <w:tab/>
      </w:r>
      <w:r w:rsidR="00A4319F" w:rsidRPr="00D27E1F">
        <w:t>Section 3(1) of the Law of Evidence Amendment Act 45 of</w:t>
      </w:r>
      <w:r w:rsidR="008F4B5D" w:rsidRPr="00D27E1F">
        <w:t xml:space="preserve"> 1988</w:t>
      </w:r>
      <w:r w:rsidR="00A4319F" w:rsidRPr="00D27E1F">
        <w:t xml:space="preserve"> </w:t>
      </w:r>
      <w:r w:rsidR="000E45B0">
        <w:t xml:space="preserve">(the Law of Evidence Amendment Act) </w:t>
      </w:r>
      <w:r w:rsidR="00A4319F" w:rsidRPr="00D27E1F">
        <w:t xml:space="preserve">reads </w:t>
      </w:r>
      <w:r w:rsidR="008F4B5D" w:rsidRPr="00D27E1F">
        <w:t xml:space="preserve">as </w:t>
      </w:r>
      <w:r w:rsidR="00A4319F" w:rsidRPr="00D27E1F">
        <w:t>follows:</w:t>
      </w:r>
    </w:p>
    <w:p w14:paraId="561D5A59" w14:textId="3C6158B1" w:rsidR="00933132" w:rsidRPr="00D27E1F" w:rsidRDefault="00F02177" w:rsidP="007164B5">
      <w:pPr>
        <w:rPr>
          <w:sz w:val="22"/>
          <w:szCs w:val="22"/>
        </w:rPr>
      </w:pPr>
      <w:r w:rsidRPr="00517894">
        <w:rPr>
          <w:sz w:val="22"/>
          <w:szCs w:val="22"/>
        </w:rPr>
        <w:t>‘</w:t>
      </w:r>
      <w:r w:rsidR="00933132" w:rsidRPr="0087700A">
        <w:rPr>
          <w:sz w:val="22"/>
          <w:szCs w:val="22"/>
        </w:rPr>
        <w:t>(1) Subject to the provisions</w:t>
      </w:r>
      <w:r w:rsidR="00933132" w:rsidRPr="00D27E1F">
        <w:rPr>
          <w:sz w:val="22"/>
          <w:szCs w:val="22"/>
        </w:rPr>
        <w:t xml:space="preserve"> of any other law, hearsay evidence shall not be admitted as evidence at criminal or civil proceedings</w:t>
      </w:r>
      <w:r w:rsidR="00CE1389">
        <w:rPr>
          <w:sz w:val="22"/>
          <w:szCs w:val="22"/>
        </w:rPr>
        <w:t>,</w:t>
      </w:r>
      <w:r w:rsidR="00933132" w:rsidRPr="00D27E1F">
        <w:rPr>
          <w:sz w:val="22"/>
          <w:szCs w:val="22"/>
        </w:rPr>
        <w:t xml:space="preserve"> unless</w:t>
      </w:r>
      <w:r w:rsidR="00CE1389">
        <w:rPr>
          <w:sz w:val="22"/>
          <w:szCs w:val="22"/>
        </w:rPr>
        <w:t xml:space="preserve"> </w:t>
      </w:r>
      <w:r w:rsidR="00933132" w:rsidRPr="00D27E1F">
        <w:rPr>
          <w:sz w:val="22"/>
          <w:szCs w:val="22"/>
        </w:rPr>
        <w:t xml:space="preserve">– </w:t>
      </w:r>
    </w:p>
    <w:p w14:paraId="3F1FFF18" w14:textId="77777777" w:rsidR="006D5C21" w:rsidRPr="00D27E1F" w:rsidRDefault="00933132">
      <w:pPr>
        <w:rPr>
          <w:sz w:val="22"/>
          <w:szCs w:val="22"/>
        </w:rPr>
      </w:pPr>
      <w:r w:rsidRPr="00890AE0">
        <w:rPr>
          <w:i/>
          <w:iCs/>
          <w:sz w:val="22"/>
          <w:szCs w:val="22"/>
        </w:rPr>
        <w:t>(</w:t>
      </w:r>
      <w:r w:rsidRPr="0087700A">
        <w:rPr>
          <w:i/>
          <w:iCs/>
          <w:sz w:val="22"/>
          <w:szCs w:val="22"/>
        </w:rPr>
        <w:t>a</w:t>
      </w:r>
      <w:r w:rsidRPr="00890AE0">
        <w:rPr>
          <w:i/>
          <w:iCs/>
          <w:sz w:val="22"/>
          <w:szCs w:val="22"/>
        </w:rPr>
        <w:t>)</w:t>
      </w:r>
      <w:r w:rsidRPr="00D27E1F">
        <w:rPr>
          <w:sz w:val="22"/>
          <w:szCs w:val="22"/>
        </w:rPr>
        <w:t xml:space="preserve"> each party against whom the evidence is to</w:t>
      </w:r>
      <w:r w:rsidR="00B07857" w:rsidRPr="00D27E1F">
        <w:rPr>
          <w:sz w:val="22"/>
          <w:szCs w:val="22"/>
        </w:rPr>
        <w:t xml:space="preserve"> be</w:t>
      </w:r>
      <w:r w:rsidRPr="00D27E1F">
        <w:rPr>
          <w:sz w:val="22"/>
          <w:szCs w:val="22"/>
        </w:rPr>
        <w:t xml:space="preserve"> adduced agre</w:t>
      </w:r>
      <w:r w:rsidR="006D5C21" w:rsidRPr="00D27E1F">
        <w:rPr>
          <w:sz w:val="22"/>
          <w:szCs w:val="22"/>
        </w:rPr>
        <w:t>e</w:t>
      </w:r>
      <w:r w:rsidRPr="00D27E1F">
        <w:rPr>
          <w:sz w:val="22"/>
          <w:szCs w:val="22"/>
        </w:rPr>
        <w:t>s</w:t>
      </w:r>
      <w:r w:rsidR="006D5C21" w:rsidRPr="00D27E1F">
        <w:rPr>
          <w:sz w:val="22"/>
          <w:szCs w:val="22"/>
        </w:rPr>
        <w:t xml:space="preserve"> to the admission thereof as evidence at such proceedings; </w:t>
      </w:r>
    </w:p>
    <w:p w14:paraId="498A11BC" w14:textId="77777777" w:rsidR="006D5C21" w:rsidRPr="00D27E1F" w:rsidRDefault="006D5C21" w:rsidP="003C025C">
      <w:pPr>
        <w:tabs>
          <w:tab w:val="left" w:pos="142"/>
        </w:tabs>
        <w:rPr>
          <w:sz w:val="22"/>
          <w:szCs w:val="22"/>
        </w:rPr>
      </w:pPr>
      <w:r w:rsidRPr="00890AE0">
        <w:rPr>
          <w:i/>
          <w:iCs/>
          <w:sz w:val="22"/>
          <w:szCs w:val="22"/>
        </w:rPr>
        <w:lastRenderedPageBreak/>
        <w:t>(</w:t>
      </w:r>
      <w:r w:rsidRPr="0087700A">
        <w:rPr>
          <w:i/>
          <w:iCs/>
          <w:sz w:val="22"/>
          <w:szCs w:val="22"/>
        </w:rPr>
        <w:t>b</w:t>
      </w:r>
      <w:r w:rsidRPr="00890AE0">
        <w:rPr>
          <w:i/>
          <w:iCs/>
          <w:sz w:val="22"/>
          <w:szCs w:val="22"/>
        </w:rPr>
        <w:t>)</w:t>
      </w:r>
      <w:r w:rsidR="00041BF0" w:rsidRPr="00D27E1F">
        <w:rPr>
          <w:sz w:val="22"/>
          <w:szCs w:val="22"/>
        </w:rPr>
        <w:t xml:space="preserve"> </w:t>
      </w:r>
      <w:r w:rsidRPr="00D27E1F">
        <w:rPr>
          <w:sz w:val="22"/>
          <w:szCs w:val="22"/>
        </w:rPr>
        <w:t xml:space="preserve">the person upon whose credibility the probative value of such evidence </w:t>
      </w:r>
      <w:r w:rsidR="003C025C" w:rsidRPr="00D27E1F">
        <w:rPr>
          <w:sz w:val="22"/>
          <w:szCs w:val="22"/>
        </w:rPr>
        <w:t>depends, himself</w:t>
      </w:r>
      <w:r w:rsidRPr="00D27E1F">
        <w:rPr>
          <w:sz w:val="22"/>
          <w:szCs w:val="22"/>
        </w:rPr>
        <w:t xml:space="preserve"> testifies at such proceedings; or</w:t>
      </w:r>
    </w:p>
    <w:p w14:paraId="50D74737" w14:textId="6C014372" w:rsidR="006D5C21" w:rsidRPr="00D27E1F" w:rsidRDefault="006D5C21">
      <w:pPr>
        <w:rPr>
          <w:sz w:val="22"/>
          <w:szCs w:val="22"/>
        </w:rPr>
      </w:pPr>
      <w:r w:rsidRPr="00890AE0">
        <w:rPr>
          <w:i/>
          <w:iCs/>
          <w:sz w:val="22"/>
          <w:szCs w:val="22"/>
        </w:rPr>
        <w:t>(</w:t>
      </w:r>
      <w:r w:rsidRPr="0087700A">
        <w:rPr>
          <w:i/>
          <w:iCs/>
          <w:sz w:val="22"/>
          <w:szCs w:val="22"/>
        </w:rPr>
        <w:t>c</w:t>
      </w:r>
      <w:r w:rsidRPr="00890AE0">
        <w:rPr>
          <w:i/>
          <w:iCs/>
          <w:sz w:val="22"/>
          <w:szCs w:val="22"/>
        </w:rPr>
        <w:t>)</w:t>
      </w:r>
      <w:r w:rsidRPr="00D27E1F">
        <w:rPr>
          <w:sz w:val="22"/>
          <w:szCs w:val="22"/>
        </w:rPr>
        <w:t xml:space="preserve"> the court</w:t>
      </w:r>
      <w:r w:rsidR="00CE1389">
        <w:rPr>
          <w:sz w:val="22"/>
          <w:szCs w:val="22"/>
        </w:rPr>
        <w:t>,</w:t>
      </w:r>
      <w:r w:rsidRPr="00D27E1F">
        <w:rPr>
          <w:sz w:val="22"/>
          <w:szCs w:val="22"/>
        </w:rPr>
        <w:t xml:space="preserve"> having regard to –</w:t>
      </w:r>
      <w:r w:rsidR="00CE1389">
        <w:rPr>
          <w:sz w:val="22"/>
          <w:szCs w:val="22"/>
        </w:rPr>
        <w:t xml:space="preserve"> </w:t>
      </w:r>
    </w:p>
    <w:p w14:paraId="6DD3F4BA" w14:textId="05035F4A" w:rsidR="006D5C21" w:rsidRPr="00D27E1F" w:rsidRDefault="00CE1389" w:rsidP="003C025C">
      <w:pPr>
        <w:tabs>
          <w:tab w:val="left" w:pos="0"/>
        </w:tabs>
        <w:rPr>
          <w:sz w:val="22"/>
          <w:szCs w:val="22"/>
        </w:rPr>
      </w:pPr>
      <w:r>
        <w:rPr>
          <w:sz w:val="22"/>
          <w:szCs w:val="22"/>
        </w:rPr>
        <w:tab/>
      </w:r>
      <w:r w:rsidR="006D5C21" w:rsidRPr="00D27E1F">
        <w:rPr>
          <w:sz w:val="22"/>
          <w:szCs w:val="22"/>
        </w:rPr>
        <w:t xml:space="preserve">(i) the nature </w:t>
      </w:r>
      <w:r w:rsidR="00B07857" w:rsidRPr="00D27E1F">
        <w:rPr>
          <w:sz w:val="22"/>
          <w:szCs w:val="22"/>
        </w:rPr>
        <w:t>o</w:t>
      </w:r>
      <w:r w:rsidR="006D5C21" w:rsidRPr="00D27E1F">
        <w:rPr>
          <w:sz w:val="22"/>
          <w:szCs w:val="22"/>
        </w:rPr>
        <w:t>f the proceedings;</w:t>
      </w:r>
    </w:p>
    <w:p w14:paraId="7760650D" w14:textId="77777777" w:rsidR="006D5C21" w:rsidRPr="00D27E1F" w:rsidRDefault="006D5C21" w:rsidP="00890AE0">
      <w:pPr>
        <w:ind w:firstLine="720"/>
        <w:rPr>
          <w:sz w:val="22"/>
          <w:szCs w:val="22"/>
        </w:rPr>
      </w:pPr>
      <w:r w:rsidRPr="00D27E1F">
        <w:rPr>
          <w:sz w:val="22"/>
          <w:szCs w:val="22"/>
        </w:rPr>
        <w:t xml:space="preserve">(ii) the nature of </w:t>
      </w:r>
      <w:r w:rsidR="00B07857" w:rsidRPr="00D27E1F">
        <w:rPr>
          <w:sz w:val="22"/>
          <w:szCs w:val="22"/>
        </w:rPr>
        <w:t xml:space="preserve">the </w:t>
      </w:r>
      <w:r w:rsidRPr="00D27E1F">
        <w:rPr>
          <w:sz w:val="22"/>
          <w:szCs w:val="22"/>
        </w:rPr>
        <w:t>evidence;</w:t>
      </w:r>
    </w:p>
    <w:p w14:paraId="481189B3" w14:textId="77777777" w:rsidR="006D5C21" w:rsidRPr="00D27E1F" w:rsidRDefault="006D5C21" w:rsidP="00890AE0">
      <w:pPr>
        <w:ind w:firstLine="720"/>
        <w:rPr>
          <w:sz w:val="22"/>
          <w:szCs w:val="22"/>
        </w:rPr>
      </w:pPr>
      <w:r w:rsidRPr="00D27E1F">
        <w:rPr>
          <w:sz w:val="22"/>
          <w:szCs w:val="22"/>
        </w:rPr>
        <w:t>(iii) the purpose for which the evidence is tendered;</w:t>
      </w:r>
    </w:p>
    <w:p w14:paraId="63DC7A1B" w14:textId="77777777" w:rsidR="006D5C21" w:rsidRPr="00D27E1F" w:rsidRDefault="006D5C21" w:rsidP="00890AE0">
      <w:pPr>
        <w:ind w:firstLine="720"/>
        <w:rPr>
          <w:sz w:val="22"/>
          <w:szCs w:val="22"/>
        </w:rPr>
      </w:pPr>
      <w:r w:rsidRPr="00D27E1F">
        <w:rPr>
          <w:sz w:val="22"/>
          <w:szCs w:val="22"/>
        </w:rPr>
        <w:t>(iv) the probative value of the evidence;</w:t>
      </w:r>
    </w:p>
    <w:p w14:paraId="1C455519" w14:textId="078551F2" w:rsidR="006D5C21" w:rsidRPr="00D27E1F" w:rsidRDefault="006D5C21" w:rsidP="00890AE0">
      <w:pPr>
        <w:ind w:left="720"/>
        <w:rPr>
          <w:sz w:val="22"/>
          <w:szCs w:val="22"/>
        </w:rPr>
      </w:pPr>
      <w:r w:rsidRPr="00D27E1F">
        <w:rPr>
          <w:sz w:val="22"/>
          <w:szCs w:val="22"/>
        </w:rPr>
        <w:t>(v) the reason why the evidence is not given by the person upon whose credibility the probative value of such evidence depends;</w:t>
      </w:r>
    </w:p>
    <w:p w14:paraId="2ADE5A27" w14:textId="77777777" w:rsidR="006D5C21" w:rsidRPr="00D27E1F" w:rsidRDefault="006D5C21" w:rsidP="00890AE0">
      <w:pPr>
        <w:ind w:firstLine="720"/>
        <w:rPr>
          <w:sz w:val="22"/>
          <w:szCs w:val="22"/>
        </w:rPr>
      </w:pPr>
      <w:r w:rsidRPr="00D27E1F">
        <w:rPr>
          <w:sz w:val="22"/>
          <w:szCs w:val="22"/>
        </w:rPr>
        <w:t>(vi) any prejudice to a party which the admission of such evidence might entail;</w:t>
      </w:r>
      <w:r w:rsidR="003C025C" w:rsidRPr="00D27E1F">
        <w:rPr>
          <w:sz w:val="22"/>
          <w:szCs w:val="22"/>
        </w:rPr>
        <w:t xml:space="preserve"> </w:t>
      </w:r>
      <w:r w:rsidRPr="00D27E1F">
        <w:rPr>
          <w:sz w:val="22"/>
          <w:szCs w:val="22"/>
        </w:rPr>
        <w:t>and</w:t>
      </w:r>
    </w:p>
    <w:p w14:paraId="482A781A" w14:textId="77777777" w:rsidR="00CE1389" w:rsidRDefault="006D5C21" w:rsidP="00CE1389">
      <w:pPr>
        <w:ind w:left="720"/>
        <w:rPr>
          <w:sz w:val="22"/>
          <w:szCs w:val="22"/>
        </w:rPr>
      </w:pPr>
      <w:r w:rsidRPr="00D27E1F">
        <w:rPr>
          <w:sz w:val="22"/>
          <w:szCs w:val="22"/>
        </w:rPr>
        <w:t xml:space="preserve">(vii) any other factor which should in the opinion of the court be taken into account, </w:t>
      </w:r>
    </w:p>
    <w:p w14:paraId="2F355B3E" w14:textId="6D6B4B09" w:rsidR="006D5C21" w:rsidRPr="00D27E1F" w:rsidRDefault="006D5C21" w:rsidP="0087700A">
      <w:pPr>
        <w:rPr>
          <w:sz w:val="22"/>
          <w:szCs w:val="22"/>
        </w:rPr>
      </w:pPr>
      <w:r w:rsidRPr="00D27E1F">
        <w:rPr>
          <w:sz w:val="22"/>
          <w:szCs w:val="22"/>
        </w:rPr>
        <w:t xml:space="preserve">is of the opinion that such evidence should be </w:t>
      </w:r>
      <w:r w:rsidR="00764661" w:rsidRPr="00D27E1F">
        <w:rPr>
          <w:sz w:val="22"/>
          <w:szCs w:val="22"/>
        </w:rPr>
        <w:t>admitted</w:t>
      </w:r>
      <w:r w:rsidRPr="00D27E1F">
        <w:rPr>
          <w:sz w:val="22"/>
          <w:szCs w:val="22"/>
        </w:rPr>
        <w:t xml:space="preserve"> in the interest of justice.’</w:t>
      </w:r>
    </w:p>
    <w:p w14:paraId="2CFA2188" w14:textId="77777777" w:rsidR="00764661" w:rsidRPr="00D27E1F" w:rsidRDefault="00764661"/>
    <w:p w14:paraId="12E5273D" w14:textId="20A56930" w:rsidR="00764661" w:rsidRPr="00D27E1F" w:rsidRDefault="00764661" w:rsidP="00D574C6">
      <w:r w:rsidRPr="00D27E1F">
        <w:t>[</w:t>
      </w:r>
      <w:r w:rsidR="003929DC">
        <w:t>10</w:t>
      </w:r>
      <w:r w:rsidRPr="00D27E1F">
        <w:t>]</w:t>
      </w:r>
      <w:r w:rsidRPr="00D27E1F">
        <w:tab/>
      </w:r>
      <w:r w:rsidRPr="00091CDA">
        <w:t xml:space="preserve">The record indicates that the appellant’s counsel in his opening </w:t>
      </w:r>
      <w:r w:rsidR="00997E84" w:rsidRPr="00091CDA">
        <w:t xml:space="preserve">address at the trial expressly stated </w:t>
      </w:r>
      <w:r w:rsidRPr="00091CDA">
        <w:t xml:space="preserve">that the discovered documents are what they purport to be, but that the </w:t>
      </w:r>
      <w:r w:rsidR="008476CF" w:rsidRPr="00091CDA">
        <w:t xml:space="preserve">correctness </w:t>
      </w:r>
      <w:r w:rsidR="00CD38B7" w:rsidRPr="00091CDA">
        <w:t>of the contents was</w:t>
      </w:r>
      <w:r w:rsidRPr="00091CDA">
        <w:t xml:space="preserve"> not admitted</w:t>
      </w:r>
      <w:r w:rsidR="00613C53" w:rsidRPr="00F352EC">
        <w:t>.</w:t>
      </w:r>
      <w:r w:rsidR="00C60E21" w:rsidRPr="00F352EC">
        <w:t xml:space="preserve"> </w:t>
      </w:r>
      <w:r w:rsidR="009628DD">
        <w:t xml:space="preserve">This was confirmed by the </w:t>
      </w:r>
      <w:r w:rsidR="00C60E21" w:rsidRPr="00F352EC">
        <w:t>respondent’s counsel in this Court</w:t>
      </w:r>
      <w:r w:rsidR="009628DD">
        <w:t>.</w:t>
      </w:r>
      <w:r w:rsidR="00C60E21" w:rsidRPr="00F352EC">
        <w:t xml:space="preserve"> </w:t>
      </w:r>
      <w:r w:rsidR="004A0100" w:rsidRPr="00F352EC">
        <w:t>In</w:t>
      </w:r>
      <w:r w:rsidR="00613C53" w:rsidRPr="00F352EC">
        <w:t xml:space="preserve"> </w:t>
      </w:r>
      <w:r w:rsidR="00997E84" w:rsidRPr="00F352EC">
        <w:t>his</w:t>
      </w:r>
      <w:r w:rsidRPr="00F352EC">
        <w:t xml:space="preserve"> heads of </w:t>
      </w:r>
      <w:r w:rsidR="009628DD">
        <w:t>argument</w:t>
      </w:r>
      <w:r w:rsidR="00C60E21" w:rsidRPr="00F352EC">
        <w:t>,</w:t>
      </w:r>
      <w:r w:rsidRPr="00F352EC">
        <w:t xml:space="preserve"> </w:t>
      </w:r>
      <w:r w:rsidR="009628DD">
        <w:t>the respondent’s counsel</w:t>
      </w:r>
      <w:r w:rsidR="0064715F" w:rsidRPr="00F352EC">
        <w:t xml:space="preserve"> </w:t>
      </w:r>
      <w:r w:rsidRPr="00F352EC">
        <w:t>confirmed that the documents were expressly admitted as evidence</w:t>
      </w:r>
      <w:r w:rsidR="009E4058" w:rsidRPr="00F352EC">
        <w:t>,</w:t>
      </w:r>
      <w:r w:rsidR="00D12F23" w:rsidRPr="00F352EC">
        <w:t xml:space="preserve"> although the content</w:t>
      </w:r>
      <w:r w:rsidRPr="00F352EC">
        <w:t xml:space="preserve"> would remain hearsay evidence in the sense that the authors would</w:t>
      </w:r>
      <w:r w:rsidR="004A0100" w:rsidRPr="00F352EC">
        <w:t xml:space="preserve"> not have to be called. Furthermore</w:t>
      </w:r>
      <w:r w:rsidR="00D12F23" w:rsidRPr="00F352EC">
        <w:t>, to</w:t>
      </w:r>
      <w:r w:rsidRPr="00F352EC">
        <w:t xml:space="preserve"> call the authors as witnesses was ‘unnecessary </w:t>
      </w:r>
      <w:r w:rsidR="004A0100" w:rsidRPr="00F352EC">
        <w:t>in view of</w:t>
      </w:r>
      <w:r w:rsidRPr="00F352EC">
        <w:t xml:space="preserve"> the agre</w:t>
      </w:r>
      <w:r w:rsidRPr="00D27E1F">
        <w:t>ement between the parties and would have been a waste of the court’s time’</w:t>
      </w:r>
      <w:r w:rsidR="008B239C">
        <w:t>.</w:t>
      </w:r>
    </w:p>
    <w:p w14:paraId="7C1F17EA" w14:textId="77777777" w:rsidR="00764661" w:rsidRPr="00D27E1F" w:rsidRDefault="00764661"/>
    <w:p w14:paraId="4FE55428" w14:textId="04C119BA" w:rsidR="00764661" w:rsidRPr="00D27E1F" w:rsidRDefault="00764661">
      <w:r w:rsidRPr="00D27E1F">
        <w:t>[1</w:t>
      </w:r>
      <w:r w:rsidR="003929DC">
        <w:t>1</w:t>
      </w:r>
      <w:r w:rsidRPr="00D27E1F">
        <w:t>]</w:t>
      </w:r>
      <w:r w:rsidRPr="00D27E1F">
        <w:tab/>
      </w:r>
      <w:bookmarkStart w:id="7" w:name="_Hlk86863764"/>
      <w:r w:rsidRPr="00F61601">
        <w:t>The contents of the hospital records and medical notes constituted hearsay evidence,</w:t>
      </w:r>
      <w:r w:rsidRPr="00890AE0">
        <w:t xml:space="preserve"> and it is trite that hearsay evidence is </w:t>
      </w:r>
      <w:r w:rsidRPr="00890AE0">
        <w:rPr>
          <w:iCs/>
        </w:rPr>
        <w:t>prima facie</w:t>
      </w:r>
      <w:r w:rsidRPr="00890AE0">
        <w:t xml:space="preserve"> inadmissible.</w:t>
      </w:r>
      <w:r w:rsidR="00DD7AD7" w:rsidRPr="00F61601">
        <w:rPr>
          <w:rStyle w:val="FootnoteReference"/>
        </w:rPr>
        <w:footnoteReference w:id="2"/>
      </w:r>
      <w:r w:rsidRPr="00F61601">
        <w:t xml:space="preserve"> The discovery thereof by the appellant in terms of the rules of court does not make </w:t>
      </w:r>
      <w:r w:rsidR="003370E5" w:rsidRPr="00890AE0">
        <w:t>them</w:t>
      </w:r>
      <w:r w:rsidR="00640271" w:rsidRPr="00890AE0">
        <w:t xml:space="preserve"> </w:t>
      </w:r>
      <w:r w:rsidR="003370E5" w:rsidRPr="00890AE0">
        <w:t>admissible as</w:t>
      </w:r>
      <w:r w:rsidRPr="00890AE0">
        <w:t xml:space="preserve"> evidence against the appellant</w:t>
      </w:r>
      <w:r w:rsidR="008B239C" w:rsidRPr="00890AE0">
        <w:t xml:space="preserve">, </w:t>
      </w:r>
      <w:r w:rsidRPr="00890AE0">
        <w:t xml:space="preserve">unless </w:t>
      </w:r>
      <w:r w:rsidR="00640271" w:rsidRPr="00890AE0">
        <w:t xml:space="preserve">the documents </w:t>
      </w:r>
      <w:r w:rsidRPr="00890AE0">
        <w:t xml:space="preserve">could be admitted </w:t>
      </w:r>
      <w:r w:rsidR="00833524" w:rsidRPr="00890AE0">
        <w:t xml:space="preserve">under one or other </w:t>
      </w:r>
      <w:r w:rsidR="00CD38B7" w:rsidRPr="00890AE0">
        <w:t xml:space="preserve">of the </w:t>
      </w:r>
      <w:r w:rsidR="00833524" w:rsidRPr="00890AE0">
        <w:t xml:space="preserve">common law exceptions to </w:t>
      </w:r>
      <w:r w:rsidR="00CD38B7" w:rsidRPr="00890AE0">
        <w:t>the hearsay rule</w:t>
      </w:r>
      <w:r w:rsidR="00833524" w:rsidRPr="00890AE0">
        <w:t>.</w:t>
      </w:r>
      <w:r w:rsidRPr="00D27E1F">
        <w:t xml:space="preserve"> </w:t>
      </w:r>
      <w:bookmarkEnd w:id="7"/>
    </w:p>
    <w:p w14:paraId="2BDA6EF4" w14:textId="77777777" w:rsidR="00833524" w:rsidRPr="00D27E1F" w:rsidRDefault="00833524"/>
    <w:p w14:paraId="75DF5A1C" w14:textId="1A65B713" w:rsidR="00833524" w:rsidRPr="00D27E1F" w:rsidRDefault="00833524">
      <w:r w:rsidRPr="00D27E1F">
        <w:t>[1</w:t>
      </w:r>
      <w:r w:rsidR="003929DC">
        <w:t>2</w:t>
      </w:r>
      <w:r w:rsidRPr="00D27E1F">
        <w:t>]</w:t>
      </w:r>
      <w:r w:rsidRPr="00D27E1F">
        <w:tab/>
        <w:t xml:space="preserve">It is common cause that </w:t>
      </w:r>
      <w:r w:rsidR="00E8241F" w:rsidRPr="00D27E1F">
        <w:t>the respondent’s counsel made no application</w:t>
      </w:r>
      <w:r w:rsidRPr="00D27E1F">
        <w:t xml:space="preserve"> for any </w:t>
      </w:r>
      <w:r w:rsidR="00CD38B7" w:rsidRPr="00D27E1F">
        <w:t xml:space="preserve">of the </w:t>
      </w:r>
      <w:r w:rsidRPr="00D27E1F">
        <w:t xml:space="preserve">hearsay evidence to be admitted in terms of s 3 of the </w:t>
      </w:r>
      <w:r w:rsidRPr="0087700A">
        <w:t xml:space="preserve">Law of Evidence Amendment </w:t>
      </w:r>
      <w:r w:rsidRPr="0087700A">
        <w:lastRenderedPageBreak/>
        <w:t>Act.</w:t>
      </w:r>
      <w:r w:rsidRPr="00D27E1F">
        <w:t xml:space="preserve"> In the circumstances, the </w:t>
      </w:r>
      <w:r w:rsidR="00CD38B7" w:rsidRPr="00D27E1F">
        <w:t xml:space="preserve">full </w:t>
      </w:r>
      <w:r w:rsidR="00CD38B7" w:rsidRPr="00F352EC">
        <w:t>c</w:t>
      </w:r>
      <w:r w:rsidR="007D6515" w:rsidRPr="00F352EC">
        <w:t>ourt’s finding</w:t>
      </w:r>
      <w:r w:rsidRPr="00F352EC">
        <w:t xml:space="preserve"> that</w:t>
      </w:r>
      <w:r w:rsidRPr="00D27E1F">
        <w:t xml:space="preserve"> material differences e</w:t>
      </w:r>
      <w:r w:rsidRPr="00091CDA">
        <w:t>xist</w:t>
      </w:r>
      <w:r w:rsidR="00045B2D" w:rsidRPr="00091CDA">
        <w:t>ed</w:t>
      </w:r>
      <w:r w:rsidRPr="00091CDA">
        <w:t xml:space="preserve"> between the appellant’s version and the medical records regarding where he fell from the train, the cause of his fall and his first lucid recollection after the fall</w:t>
      </w:r>
      <w:r w:rsidR="00D12F23">
        <w:t>,</w:t>
      </w:r>
      <w:r w:rsidRPr="00091CDA">
        <w:t xml:space="preserve"> </w:t>
      </w:r>
      <w:r w:rsidR="003370E5" w:rsidRPr="00F352EC">
        <w:t>was</w:t>
      </w:r>
      <w:r w:rsidR="00997E84" w:rsidRPr="00F352EC">
        <w:t xml:space="preserve"> </w:t>
      </w:r>
      <w:r w:rsidR="00447E58" w:rsidRPr="00091CDA">
        <w:t>erroneous</w:t>
      </w:r>
      <w:r w:rsidR="0012324B" w:rsidRPr="00091CDA">
        <w:t xml:space="preserve">. The </w:t>
      </w:r>
      <w:r w:rsidR="00CD38B7" w:rsidRPr="00091CDA">
        <w:t xml:space="preserve">full </w:t>
      </w:r>
      <w:r w:rsidR="0012324B" w:rsidRPr="00091CDA">
        <w:t>court’s reliance on hearsay evidence in that regard amounts to</w:t>
      </w:r>
      <w:r w:rsidR="00640271" w:rsidRPr="00091CDA">
        <w:t xml:space="preserve"> a</w:t>
      </w:r>
      <w:r w:rsidR="00F61601">
        <w:t xml:space="preserve"> material</w:t>
      </w:r>
      <w:r w:rsidR="0012324B" w:rsidRPr="00091CDA">
        <w:t xml:space="preserve"> </w:t>
      </w:r>
      <w:r w:rsidR="00447E58" w:rsidRPr="00091CDA">
        <w:t>misdirection that</w:t>
      </w:r>
      <w:r w:rsidR="00A4646F" w:rsidRPr="00091CDA">
        <w:t xml:space="preserve"> vitiates its ultimate finding on the outcome of the </w:t>
      </w:r>
      <w:r w:rsidR="00447E58" w:rsidRPr="00091CDA">
        <w:t>appeal that</w:t>
      </w:r>
      <w:r w:rsidR="00A4646F" w:rsidRPr="00091CDA">
        <w:t xml:space="preserve"> was before it.</w:t>
      </w:r>
      <w:r w:rsidR="0012324B" w:rsidRPr="00D27E1F">
        <w:t xml:space="preserve"> </w:t>
      </w:r>
    </w:p>
    <w:p w14:paraId="1490CB5A" w14:textId="77777777" w:rsidR="00CD38B7" w:rsidRPr="00D27E1F" w:rsidRDefault="00CD38B7"/>
    <w:p w14:paraId="11D5F3D2" w14:textId="77777777" w:rsidR="0012324B" w:rsidRPr="00D27E1F" w:rsidRDefault="0012324B">
      <w:r w:rsidRPr="00D27E1F">
        <w:t>[</w:t>
      </w:r>
      <w:r w:rsidRPr="00091CDA">
        <w:t>1</w:t>
      </w:r>
      <w:r w:rsidR="00F352EC">
        <w:t>3</w:t>
      </w:r>
      <w:r w:rsidRPr="00091CDA">
        <w:t>]</w:t>
      </w:r>
      <w:r w:rsidRPr="00091CDA">
        <w:tab/>
      </w:r>
      <w:r w:rsidR="00A4646F" w:rsidRPr="00091CDA">
        <w:t>In any event</w:t>
      </w:r>
      <w:r w:rsidRPr="00091CDA">
        <w:t xml:space="preserve">, of </w:t>
      </w:r>
      <w:r w:rsidR="00A4646F" w:rsidRPr="00091CDA">
        <w:t>all the</w:t>
      </w:r>
      <w:r w:rsidRPr="00091CDA">
        <w:t xml:space="preserve"> reports </w:t>
      </w:r>
      <w:r w:rsidR="00A4646F" w:rsidRPr="00091CDA">
        <w:t>relied upon</w:t>
      </w:r>
      <w:r w:rsidRPr="00091CDA">
        <w:t xml:space="preserve"> by </w:t>
      </w:r>
      <w:r w:rsidR="00045B2D" w:rsidRPr="00091CDA">
        <w:t>the respondent</w:t>
      </w:r>
      <w:r w:rsidR="00997E84" w:rsidRPr="00091CDA">
        <w:t>,</w:t>
      </w:r>
      <w:r w:rsidR="00045B2D" w:rsidRPr="00091CDA">
        <w:t xml:space="preserve"> </w:t>
      </w:r>
      <w:r w:rsidRPr="00091CDA">
        <w:t xml:space="preserve">only one report </w:t>
      </w:r>
      <w:r w:rsidR="00997E84" w:rsidRPr="00091CDA">
        <w:t xml:space="preserve">mentioned </w:t>
      </w:r>
      <w:r w:rsidRPr="00091CDA">
        <w:t xml:space="preserve">the word ‘jumped.’ The remainder of the reports </w:t>
      </w:r>
      <w:r w:rsidR="00997E84" w:rsidRPr="00091CDA">
        <w:t xml:space="preserve">mentioned the word </w:t>
      </w:r>
      <w:r w:rsidRPr="00091CDA">
        <w:t>‘fell’</w:t>
      </w:r>
      <w:r w:rsidRPr="00D27E1F">
        <w:t>.</w:t>
      </w:r>
    </w:p>
    <w:p w14:paraId="57F774A3" w14:textId="77777777" w:rsidR="005435E2" w:rsidRPr="00D27E1F" w:rsidRDefault="005435E2"/>
    <w:p w14:paraId="4B4277A4" w14:textId="77777777" w:rsidR="0012324B" w:rsidRPr="00D27E1F" w:rsidRDefault="0012324B">
      <w:pPr>
        <w:rPr>
          <w:b/>
        </w:rPr>
      </w:pPr>
      <w:r w:rsidRPr="00D27E1F">
        <w:rPr>
          <w:b/>
        </w:rPr>
        <w:t>Failure to cross-examine the appellant</w:t>
      </w:r>
    </w:p>
    <w:p w14:paraId="4FF4B408" w14:textId="7F04AC63" w:rsidR="000D7270" w:rsidRPr="00091CDA" w:rsidRDefault="000D7270">
      <w:r w:rsidRPr="00D27E1F">
        <w:t>[1</w:t>
      </w:r>
      <w:r w:rsidR="00F352EC">
        <w:t>4</w:t>
      </w:r>
      <w:r w:rsidRPr="00D27E1F">
        <w:t>]</w:t>
      </w:r>
      <w:r w:rsidRPr="00D27E1F">
        <w:tab/>
      </w:r>
      <w:r w:rsidR="00997E84" w:rsidRPr="00091CDA">
        <w:t>The facts of this case</w:t>
      </w:r>
      <w:r w:rsidRPr="00091CDA">
        <w:t xml:space="preserve"> fall squarely </w:t>
      </w:r>
      <w:r w:rsidR="00997E84" w:rsidRPr="00091CDA">
        <w:t>within</w:t>
      </w:r>
      <w:r w:rsidR="00F00962" w:rsidRPr="00091CDA">
        <w:t xml:space="preserve"> </w:t>
      </w:r>
      <w:r w:rsidR="00997E84" w:rsidRPr="00091CDA">
        <w:t>those</w:t>
      </w:r>
      <w:r w:rsidR="00F00962" w:rsidRPr="00091CDA">
        <w:t xml:space="preserve"> </w:t>
      </w:r>
      <w:r w:rsidR="00F00962" w:rsidRPr="00E759A9">
        <w:t>in</w:t>
      </w:r>
      <w:r w:rsidRPr="00E759A9">
        <w:t xml:space="preserve"> </w:t>
      </w:r>
      <w:r w:rsidRPr="00E759A9">
        <w:rPr>
          <w:i/>
        </w:rPr>
        <w:t>President of the Republic of South Africa vs South African Rugby Football Union (SARFU)</w:t>
      </w:r>
      <w:r w:rsidR="00F00962" w:rsidRPr="00E759A9">
        <w:rPr>
          <w:i/>
        </w:rPr>
        <w:t xml:space="preserve">, </w:t>
      </w:r>
      <w:r w:rsidR="00091CDA" w:rsidRPr="00E759A9">
        <w:t>w</w:t>
      </w:r>
      <w:r w:rsidR="00F00962" w:rsidRPr="00E759A9">
        <w:t>here</w:t>
      </w:r>
      <w:r w:rsidRPr="00091CDA">
        <w:t xml:space="preserve"> </w:t>
      </w:r>
      <w:r w:rsidR="00F00962" w:rsidRPr="00091CDA">
        <w:t>t</w:t>
      </w:r>
      <w:r w:rsidR="009E275B">
        <w:t xml:space="preserve">he Constitutional Court </w:t>
      </w:r>
      <w:r w:rsidR="009E275B" w:rsidRPr="00F352EC">
        <w:t>held as follows:</w:t>
      </w:r>
      <w:r w:rsidRPr="00F352EC">
        <w:t xml:space="preserve"> </w:t>
      </w:r>
    </w:p>
    <w:p w14:paraId="79AB6E7F" w14:textId="3E1CE420" w:rsidR="000D7270" w:rsidRPr="00091CDA" w:rsidRDefault="000D7270">
      <w:pPr>
        <w:rPr>
          <w:sz w:val="22"/>
          <w:szCs w:val="22"/>
        </w:rPr>
      </w:pPr>
      <w:r w:rsidRPr="00091CDA">
        <w:rPr>
          <w:sz w:val="22"/>
          <w:szCs w:val="22"/>
        </w:rPr>
        <w:t>‘The institution of cross-examination not only constitutes a right, it als</w:t>
      </w:r>
      <w:r w:rsidR="00C93316" w:rsidRPr="00091CDA">
        <w:rPr>
          <w:sz w:val="22"/>
          <w:szCs w:val="22"/>
        </w:rPr>
        <w:t xml:space="preserve">o imposes certain obligations. </w:t>
      </w:r>
      <w:r w:rsidRPr="00091CDA">
        <w:rPr>
          <w:sz w:val="22"/>
          <w:szCs w:val="22"/>
        </w:rPr>
        <w:t>As</w:t>
      </w:r>
      <w:r w:rsidR="00DD7AD7" w:rsidRPr="00091CDA">
        <w:rPr>
          <w:sz w:val="22"/>
          <w:szCs w:val="22"/>
        </w:rPr>
        <w:t xml:space="preserve"> a general rule</w:t>
      </w:r>
      <w:r w:rsidR="00D12F23">
        <w:rPr>
          <w:sz w:val="22"/>
          <w:szCs w:val="22"/>
        </w:rPr>
        <w:t>,</w:t>
      </w:r>
      <w:r w:rsidR="00DD7AD7" w:rsidRPr="00091CDA">
        <w:rPr>
          <w:sz w:val="22"/>
          <w:szCs w:val="22"/>
        </w:rPr>
        <w:t xml:space="preserve"> it is essential</w:t>
      </w:r>
      <w:r w:rsidRPr="00091CDA">
        <w:rPr>
          <w:sz w:val="22"/>
          <w:szCs w:val="22"/>
        </w:rPr>
        <w:t xml:space="preserve"> when it is intended to suggest that a witness is not speaking the truth on a particular point, to direct the witness’s attention to the fact by questions put in cross-examination showing that the imputation is intended to be made and to afford the witness an opportunity, while still in the witness box, of giving any explanation open to the witness and of defending his or her character. If a point in dispute is left unchallenged in cross-examination, the party calling the witness is entitled to assume that the unchallenged witness’s testimony is accepted as correct. This rule was enunciated by the House of Lords in </w:t>
      </w:r>
      <w:r w:rsidRPr="00091CDA">
        <w:rPr>
          <w:i/>
          <w:iCs/>
          <w:sz w:val="22"/>
          <w:szCs w:val="22"/>
        </w:rPr>
        <w:t>Browne v Dunn</w:t>
      </w:r>
      <w:r w:rsidRPr="00091CDA">
        <w:rPr>
          <w:sz w:val="22"/>
          <w:szCs w:val="22"/>
        </w:rPr>
        <w:t xml:space="preserve"> and has been adopted and consistently followed by our courts.’</w:t>
      </w:r>
      <w:r w:rsidR="0087700A">
        <w:rPr>
          <w:rStyle w:val="FootnoteReference"/>
          <w:sz w:val="22"/>
          <w:szCs w:val="22"/>
        </w:rPr>
        <w:footnoteReference w:id="3"/>
      </w:r>
    </w:p>
    <w:p w14:paraId="40BAE4F0" w14:textId="77777777" w:rsidR="000D7270" w:rsidRPr="00091CDA" w:rsidRDefault="000D7270"/>
    <w:p w14:paraId="5CEDAD1E" w14:textId="71565E87" w:rsidR="00671136" w:rsidRPr="00D27E1F" w:rsidRDefault="000D7270" w:rsidP="002D2CF0">
      <w:r w:rsidRPr="00091CDA">
        <w:t>[1</w:t>
      </w:r>
      <w:r w:rsidR="00F352EC">
        <w:t>5</w:t>
      </w:r>
      <w:r w:rsidRPr="00091CDA">
        <w:t>]</w:t>
      </w:r>
      <w:r w:rsidR="00671136" w:rsidRPr="00091CDA">
        <w:tab/>
      </w:r>
      <w:r w:rsidRPr="00091CDA">
        <w:t xml:space="preserve">The reason for this </w:t>
      </w:r>
      <w:r w:rsidR="00A4646F" w:rsidRPr="00091CDA">
        <w:t xml:space="preserve">rule </w:t>
      </w:r>
      <w:r w:rsidRPr="00091CDA">
        <w:t>is clear</w:t>
      </w:r>
      <w:r w:rsidR="00A4646F" w:rsidRPr="00091CDA">
        <w:t xml:space="preserve">. As was stated </w:t>
      </w:r>
      <w:r w:rsidRPr="00091CDA">
        <w:t xml:space="preserve">in </w:t>
      </w:r>
      <w:r w:rsidRPr="00091CDA">
        <w:rPr>
          <w:i/>
        </w:rPr>
        <w:t>S v Boesak</w:t>
      </w:r>
      <w:r w:rsidRPr="00091CDA">
        <w:rPr>
          <w:rStyle w:val="FootnoteReference"/>
          <w:i/>
        </w:rPr>
        <w:footnoteReference w:id="4"/>
      </w:r>
      <w:r w:rsidRPr="00091CDA">
        <w:t xml:space="preserve"> the rule</w:t>
      </w:r>
      <w:r w:rsidR="009628DD">
        <w:t>,</w:t>
      </w:r>
      <w:r w:rsidRPr="00091CDA">
        <w:t xml:space="preserve"> which is pa</w:t>
      </w:r>
      <w:r w:rsidR="00C93316" w:rsidRPr="00091CDA">
        <w:t xml:space="preserve">rt of the practice of </w:t>
      </w:r>
      <w:r w:rsidR="00A4646F" w:rsidRPr="00091CDA">
        <w:t>our</w:t>
      </w:r>
      <w:r w:rsidR="00C93316" w:rsidRPr="00091CDA">
        <w:t xml:space="preserve"> court</w:t>
      </w:r>
      <w:r w:rsidRPr="00091CDA">
        <w:t>s</w:t>
      </w:r>
      <w:r w:rsidR="009628DD">
        <w:t>,</w:t>
      </w:r>
      <w:r w:rsidRPr="00091CDA">
        <w:t xml:space="preserve"> is followed to ensure that trials are </w:t>
      </w:r>
      <w:r w:rsidR="00A4646F" w:rsidRPr="00091CDA">
        <w:t>conduct</w:t>
      </w:r>
      <w:r w:rsidRPr="00091CDA">
        <w:t>ed fairly</w:t>
      </w:r>
      <w:r w:rsidR="008E73CD" w:rsidRPr="00091CDA">
        <w:t>,</w:t>
      </w:r>
      <w:r w:rsidR="00A4646F" w:rsidRPr="00091CDA">
        <w:t xml:space="preserve"> and a</w:t>
      </w:r>
      <w:r w:rsidRPr="00091CDA">
        <w:t xml:space="preserve"> witness </w:t>
      </w:r>
      <w:r w:rsidR="00A4646F" w:rsidRPr="00091CDA">
        <w:t>i</w:t>
      </w:r>
      <w:r w:rsidRPr="00091CDA">
        <w:t>s</w:t>
      </w:r>
      <w:r w:rsidR="00A4646F" w:rsidRPr="00091CDA">
        <w:t xml:space="preserve"> afforded</w:t>
      </w:r>
      <w:r w:rsidRPr="00091CDA">
        <w:t xml:space="preserve"> the opportunity to answer challenges to </w:t>
      </w:r>
      <w:r w:rsidR="00A4646F" w:rsidRPr="00091CDA">
        <w:t>his</w:t>
      </w:r>
      <w:r w:rsidR="00EF517E" w:rsidRPr="00091CDA">
        <w:t xml:space="preserve"> </w:t>
      </w:r>
      <w:r w:rsidR="00F00962" w:rsidRPr="00091CDA">
        <w:t xml:space="preserve">or </w:t>
      </w:r>
      <w:r w:rsidR="00A4646F" w:rsidRPr="00091CDA">
        <w:t>her</w:t>
      </w:r>
      <w:r w:rsidRPr="00091CDA">
        <w:t xml:space="preserve"> evidence and </w:t>
      </w:r>
      <w:r w:rsidR="00A4646F" w:rsidRPr="00091CDA">
        <w:t xml:space="preserve">is </w:t>
      </w:r>
      <w:r w:rsidRPr="00091CDA">
        <w:t xml:space="preserve">not ambushed. </w:t>
      </w:r>
      <w:r w:rsidR="00671136" w:rsidRPr="00091CDA">
        <w:t xml:space="preserve">The appellant in </w:t>
      </w:r>
      <w:r w:rsidR="00671136" w:rsidRPr="00091CDA">
        <w:rPr>
          <w:i/>
        </w:rPr>
        <w:t xml:space="preserve">casu </w:t>
      </w:r>
      <w:r w:rsidR="00671136" w:rsidRPr="00091CDA">
        <w:t>gave his version of events under oath. The</w:t>
      </w:r>
      <w:r w:rsidR="00671136" w:rsidRPr="00D27E1F">
        <w:t xml:space="preserve"> </w:t>
      </w:r>
      <w:r w:rsidR="00671136" w:rsidRPr="00D27E1F">
        <w:lastRenderedPageBreak/>
        <w:t xml:space="preserve">respondent adduced no direct evidence to contradict the appellant’s version. The trial court accepted the appellant’s evidence and </w:t>
      </w:r>
      <w:r w:rsidR="00A4646F" w:rsidRPr="00D27E1F">
        <w:t xml:space="preserve">his </w:t>
      </w:r>
      <w:r w:rsidR="00671136" w:rsidRPr="00D27E1F">
        <w:t>version of events.</w:t>
      </w:r>
    </w:p>
    <w:p w14:paraId="25174140" w14:textId="77777777" w:rsidR="00671136" w:rsidRPr="00D27E1F" w:rsidRDefault="00671136" w:rsidP="00A25D4D"/>
    <w:p w14:paraId="082EF691" w14:textId="197557F5" w:rsidR="00671136" w:rsidRPr="00091CDA" w:rsidRDefault="00671136" w:rsidP="00633DCC">
      <w:r w:rsidRPr="00D27E1F">
        <w:t>[1</w:t>
      </w:r>
      <w:r w:rsidR="003929DC">
        <w:t>6</w:t>
      </w:r>
      <w:r w:rsidRPr="00D27E1F">
        <w:t>]</w:t>
      </w:r>
      <w:r w:rsidRPr="00D27E1F">
        <w:tab/>
        <w:t>The only w</w:t>
      </w:r>
      <w:r w:rsidR="00A4646F" w:rsidRPr="00D27E1F">
        <w:t>itness called by the respondent</w:t>
      </w:r>
      <w:r w:rsidRPr="00D27E1F">
        <w:t xml:space="preserve"> </w:t>
      </w:r>
      <w:r w:rsidR="00633DCC" w:rsidRPr="00D27E1F">
        <w:t>concerning</w:t>
      </w:r>
      <w:r w:rsidRPr="00D27E1F">
        <w:t xml:space="preserve"> the contents of the hospital note</w:t>
      </w:r>
      <w:r w:rsidR="00C93316" w:rsidRPr="00D27E1F">
        <w:t>s</w:t>
      </w:r>
      <w:r w:rsidRPr="00D27E1F">
        <w:t xml:space="preserve"> was Dr Herman Visagie, a fa</w:t>
      </w:r>
      <w:r w:rsidR="00C93316" w:rsidRPr="00D27E1F">
        <w:t>mily</w:t>
      </w:r>
      <w:r w:rsidRPr="00D27E1F">
        <w:t xml:space="preserve"> physician employed at Stellenbosch </w:t>
      </w:r>
      <w:r w:rsidR="00885D7F">
        <w:t>H</w:t>
      </w:r>
      <w:r w:rsidRPr="00D27E1F">
        <w:t>ospital. He conceded that he cou</w:t>
      </w:r>
      <w:r w:rsidR="00A4646F" w:rsidRPr="00D27E1F">
        <w:t xml:space="preserve">ld not recall the appellant or </w:t>
      </w:r>
      <w:r w:rsidR="004E4A0D" w:rsidRPr="00F352EC">
        <w:t>whether he in fact spoke</w:t>
      </w:r>
      <w:r w:rsidRPr="00F352EC">
        <w:t xml:space="preserve"> to </w:t>
      </w:r>
      <w:r w:rsidRPr="00D27E1F">
        <w:t>him</w:t>
      </w:r>
      <w:r w:rsidR="00A4646F" w:rsidRPr="00D27E1F">
        <w:t xml:space="preserve"> after his admission at the hospital</w:t>
      </w:r>
      <w:r w:rsidRPr="00D27E1F">
        <w:t xml:space="preserve">. He also could not </w:t>
      </w:r>
      <w:r w:rsidR="00A4646F" w:rsidRPr="00D27E1F">
        <w:t>say whether</w:t>
      </w:r>
      <w:r w:rsidRPr="00D27E1F">
        <w:t xml:space="preserve"> the appellant had provided him </w:t>
      </w:r>
      <w:r w:rsidRPr="00091CDA">
        <w:t xml:space="preserve">with information regarding the nature of the </w:t>
      </w:r>
      <w:r w:rsidR="00C93316" w:rsidRPr="00091CDA">
        <w:t>incident</w:t>
      </w:r>
      <w:r w:rsidRPr="00091CDA">
        <w:t xml:space="preserve">. </w:t>
      </w:r>
    </w:p>
    <w:p w14:paraId="0CB5C2A4" w14:textId="77777777" w:rsidR="00671136" w:rsidRPr="00091CDA" w:rsidRDefault="00671136"/>
    <w:p w14:paraId="33F8B644" w14:textId="77777777" w:rsidR="00671136" w:rsidRPr="00091CDA" w:rsidRDefault="00671136">
      <w:r w:rsidRPr="00091CDA">
        <w:t>[1</w:t>
      </w:r>
      <w:r w:rsidR="003929DC">
        <w:t>7</w:t>
      </w:r>
      <w:r w:rsidRPr="00091CDA">
        <w:t>]</w:t>
      </w:r>
      <w:r w:rsidRPr="00091CDA">
        <w:tab/>
      </w:r>
      <w:bookmarkStart w:id="8" w:name="_Hlk86863966"/>
      <w:r w:rsidRPr="00091CDA">
        <w:t xml:space="preserve">The </w:t>
      </w:r>
      <w:r w:rsidR="00A4646F" w:rsidRPr="00091CDA">
        <w:t>full c</w:t>
      </w:r>
      <w:r w:rsidRPr="00091CDA">
        <w:t xml:space="preserve">ourt </w:t>
      </w:r>
      <w:r w:rsidR="00A4646F" w:rsidRPr="00091CDA">
        <w:t>considered as relevant the fact that</w:t>
      </w:r>
      <w:r w:rsidR="00E40FB9" w:rsidRPr="00091CDA">
        <w:t xml:space="preserve"> an </w:t>
      </w:r>
      <w:r w:rsidR="00A4646F" w:rsidRPr="00091CDA">
        <w:t>incident</w:t>
      </w:r>
      <w:r w:rsidR="00E40FB9" w:rsidRPr="00091CDA">
        <w:t xml:space="preserve"> as serious as that of robbery and attempted murder </w:t>
      </w:r>
      <w:r w:rsidR="00F00962" w:rsidRPr="00091CDA">
        <w:t xml:space="preserve">on a train </w:t>
      </w:r>
      <w:r w:rsidR="00E40FB9" w:rsidRPr="00091CDA">
        <w:t>was not reported to the police</w:t>
      </w:r>
      <w:r w:rsidR="00EF517E" w:rsidRPr="00091CDA">
        <w:t xml:space="preserve"> </w:t>
      </w:r>
      <w:r w:rsidR="00F00962" w:rsidRPr="00091CDA">
        <w:t xml:space="preserve">or the respondent, </w:t>
      </w:r>
      <w:r w:rsidR="00A4646F" w:rsidRPr="00091CDA">
        <w:t xml:space="preserve">and that it </w:t>
      </w:r>
      <w:r w:rsidR="00E40FB9" w:rsidRPr="00091CDA">
        <w:t>only came to light a year later when the appellant lodged a claim</w:t>
      </w:r>
      <w:r w:rsidR="004E4A0D">
        <w:t xml:space="preserve"> with the respondent. </w:t>
      </w:r>
      <w:r w:rsidR="004E4A0D" w:rsidRPr="00F352EC">
        <w:t>The</w:t>
      </w:r>
      <w:r w:rsidR="00640271" w:rsidRPr="00F352EC">
        <w:t xml:space="preserve"> </w:t>
      </w:r>
      <w:r w:rsidR="00630ABC" w:rsidRPr="00F352EC">
        <w:t xml:space="preserve">full </w:t>
      </w:r>
      <w:r w:rsidR="00630ABC" w:rsidRPr="00091CDA">
        <w:t xml:space="preserve">court then drew the </w:t>
      </w:r>
      <w:r w:rsidR="00EF517E" w:rsidRPr="00091CDA">
        <w:t xml:space="preserve">inference </w:t>
      </w:r>
      <w:r w:rsidRPr="00091CDA">
        <w:t>that the appellant’s version of events was a recent fabrication.</w:t>
      </w:r>
    </w:p>
    <w:bookmarkEnd w:id="8"/>
    <w:p w14:paraId="67751A61" w14:textId="77777777" w:rsidR="00671136" w:rsidRPr="00091CDA" w:rsidRDefault="00671136"/>
    <w:p w14:paraId="1281E69D" w14:textId="45BC0FAB" w:rsidR="00671136" w:rsidRPr="00091CDA" w:rsidRDefault="00671136" w:rsidP="001B3B0B">
      <w:r w:rsidRPr="00091CDA">
        <w:t>[1</w:t>
      </w:r>
      <w:r w:rsidR="003929DC">
        <w:t>8</w:t>
      </w:r>
      <w:r w:rsidRPr="00091CDA">
        <w:t>]</w:t>
      </w:r>
      <w:r w:rsidRPr="00091CDA">
        <w:tab/>
      </w:r>
      <w:bookmarkStart w:id="9" w:name="_Hlk86864057"/>
      <w:r w:rsidR="00A83186" w:rsidRPr="00091CDA">
        <w:t>It is important to note that the appellant was never cross-examined on what he had told the medical personnel at</w:t>
      </w:r>
      <w:r w:rsidR="009628DD">
        <w:t xml:space="preserve"> the</w:t>
      </w:r>
      <w:r w:rsidR="00A83186" w:rsidRPr="00091CDA">
        <w:t xml:space="preserve"> Stellenbosch, Tygerb</w:t>
      </w:r>
      <w:r w:rsidR="0018313A" w:rsidRPr="00091CDA">
        <w:t>e</w:t>
      </w:r>
      <w:r w:rsidR="00A83186" w:rsidRPr="00091CDA">
        <w:t xml:space="preserve">rg and Paarl </w:t>
      </w:r>
      <w:r w:rsidR="009628DD" w:rsidRPr="00091CDA">
        <w:t>h</w:t>
      </w:r>
      <w:r w:rsidR="00A83186" w:rsidRPr="00091CDA">
        <w:t>ospitals, the ambulance personnel, PRASA and</w:t>
      </w:r>
      <w:r w:rsidR="00ED4FC3">
        <w:t xml:space="preserve"> </w:t>
      </w:r>
      <w:r w:rsidR="00ED4FC3" w:rsidRPr="00F352EC">
        <w:t>the</w:t>
      </w:r>
      <w:r w:rsidR="00A83186" w:rsidRPr="00F352EC">
        <w:t xml:space="preserve"> Stellenbosch Justice Centre regarding the cause of the fall</w:t>
      </w:r>
      <w:r w:rsidR="00ED4FC3" w:rsidRPr="00F352EC">
        <w:t>. Neither</w:t>
      </w:r>
      <w:r w:rsidR="00A83186" w:rsidRPr="00F352EC">
        <w:t xml:space="preserve"> was he cross-examined about when he had first related to anyone that </w:t>
      </w:r>
      <w:r w:rsidR="00D12F23" w:rsidRPr="00F352EC">
        <w:t>assailants</w:t>
      </w:r>
      <w:r w:rsidR="009628DD">
        <w:t xml:space="preserve"> had</w:t>
      </w:r>
      <w:r w:rsidR="00D12F23" w:rsidRPr="00F352EC">
        <w:t xml:space="preserve"> pushed him from the train</w:t>
      </w:r>
      <w:r w:rsidR="00A83186" w:rsidRPr="00F352EC">
        <w:t>. If the respondent</w:t>
      </w:r>
      <w:r w:rsidR="00F00962" w:rsidRPr="00F352EC">
        <w:t xml:space="preserve"> had</w:t>
      </w:r>
      <w:r w:rsidR="00A83186" w:rsidRPr="00F352EC">
        <w:t xml:space="preserve"> wanted to suggest that the appellant’s version</w:t>
      </w:r>
      <w:r w:rsidR="000A13B4">
        <w:t>,</w:t>
      </w:r>
      <w:r w:rsidR="00A83186" w:rsidRPr="00F352EC">
        <w:t xml:space="preserve"> that he was pushed</w:t>
      </w:r>
      <w:r w:rsidR="00391D93" w:rsidRPr="00F352EC">
        <w:t xml:space="preserve"> from the train</w:t>
      </w:r>
      <w:r w:rsidR="000A13B4">
        <w:t>,</w:t>
      </w:r>
      <w:r w:rsidR="00A83186" w:rsidRPr="00F352EC">
        <w:t xml:space="preserve"> was </w:t>
      </w:r>
      <w:r w:rsidR="00800B0F" w:rsidRPr="00F352EC">
        <w:t xml:space="preserve">a </w:t>
      </w:r>
      <w:r w:rsidR="00A83186" w:rsidRPr="00F352EC">
        <w:t xml:space="preserve">recent fabrication, it should have explored </w:t>
      </w:r>
      <w:r w:rsidR="00630ABC" w:rsidRPr="00F352EC">
        <w:t>this aspect with</w:t>
      </w:r>
      <w:r w:rsidR="00A83186" w:rsidRPr="00F352EC">
        <w:t xml:space="preserve"> the app</w:t>
      </w:r>
      <w:r w:rsidR="00C93316" w:rsidRPr="00F352EC">
        <w:t xml:space="preserve">ellant. In </w:t>
      </w:r>
      <w:r w:rsidR="00C93316" w:rsidRPr="00091CDA">
        <w:t>the absence of cross-</w:t>
      </w:r>
      <w:r w:rsidR="00A83186" w:rsidRPr="00091CDA">
        <w:t xml:space="preserve">examination of the appellant on </w:t>
      </w:r>
      <w:r w:rsidR="00630ABC" w:rsidRPr="00091CDA">
        <w:t>this aspect</w:t>
      </w:r>
      <w:r w:rsidR="00F00962" w:rsidRPr="00091CDA">
        <w:t>,</w:t>
      </w:r>
      <w:r w:rsidR="00630ABC" w:rsidRPr="00091CDA">
        <w:t xml:space="preserve"> </w:t>
      </w:r>
      <w:r w:rsidR="00A83186" w:rsidRPr="00091CDA">
        <w:t xml:space="preserve">the </w:t>
      </w:r>
      <w:r w:rsidR="00630ABC" w:rsidRPr="00091CDA">
        <w:t>full c</w:t>
      </w:r>
      <w:r w:rsidR="00A83186" w:rsidRPr="00091CDA">
        <w:t xml:space="preserve">ourt </w:t>
      </w:r>
      <w:r w:rsidR="00630ABC" w:rsidRPr="00091CDA">
        <w:t>committed a</w:t>
      </w:r>
      <w:r w:rsidR="00640271" w:rsidRPr="00091CDA">
        <w:t xml:space="preserve"> material</w:t>
      </w:r>
      <w:r w:rsidR="00630ABC" w:rsidRPr="00091CDA">
        <w:t xml:space="preserve"> misdirection </w:t>
      </w:r>
      <w:r w:rsidR="008E01BF" w:rsidRPr="00091CDA">
        <w:t>when it</w:t>
      </w:r>
      <w:r w:rsidR="007777F2" w:rsidRPr="00091CDA">
        <w:t xml:space="preserve"> found that his version </w:t>
      </w:r>
      <w:r w:rsidR="00A83186" w:rsidRPr="00091CDA">
        <w:t xml:space="preserve">only </w:t>
      </w:r>
      <w:r w:rsidR="00F00962" w:rsidRPr="00091CDA">
        <w:t>became known</w:t>
      </w:r>
      <w:r w:rsidR="00A83186" w:rsidRPr="00091CDA">
        <w:t xml:space="preserve"> a year later</w:t>
      </w:r>
      <w:bookmarkEnd w:id="9"/>
      <w:r w:rsidR="00A83186" w:rsidRPr="00091CDA">
        <w:t xml:space="preserve">. There was simply no evidence to support such a finding. </w:t>
      </w:r>
    </w:p>
    <w:p w14:paraId="1C78D3AD" w14:textId="77777777" w:rsidR="00640271" w:rsidRPr="00091CDA" w:rsidRDefault="00640271" w:rsidP="001B3B0B"/>
    <w:p w14:paraId="625D67FE" w14:textId="6B60E726" w:rsidR="00A83186" w:rsidRPr="00F352EC" w:rsidRDefault="00A83186">
      <w:r w:rsidRPr="00091CDA">
        <w:t>[</w:t>
      </w:r>
      <w:r w:rsidR="00EC37DE" w:rsidRPr="00091CDA">
        <w:t>1</w:t>
      </w:r>
      <w:r w:rsidR="003929DC">
        <w:t>9</w:t>
      </w:r>
      <w:r w:rsidRPr="00091CDA">
        <w:t>]</w:t>
      </w:r>
      <w:r w:rsidRPr="00091CDA">
        <w:tab/>
        <w:t xml:space="preserve">The appellant’s evidence </w:t>
      </w:r>
      <w:r w:rsidR="00C93316" w:rsidRPr="00091CDA">
        <w:t>was</w:t>
      </w:r>
      <w:r w:rsidR="007777F2" w:rsidRPr="00091CDA">
        <w:t xml:space="preserve"> </w:t>
      </w:r>
      <w:r w:rsidRPr="00091CDA">
        <w:t xml:space="preserve">that he was late for work that morning and that the train did </w:t>
      </w:r>
      <w:r w:rsidR="008E01BF" w:rsidRPr="00091CDA">
        <w:t>not stop at Spier station. The full c</w:t>
      </w:r>
      <w:r w:rsidRPr="00091CDA">
        <w:t xml:space="preserve">ourt </w:t>
      </w:r>
      <w:r w:rsidR="009628DD">
        <w:t xml:space="preserve">then </w:t>
      </w:r>
      <w:r w:rsidR="00F00962" w:rsidRPr="00091CDA">
        <w:t>found</w:t>
      </w:r>
      <w:r w:rsidRPr="00091CDA">
        <w:t xml:space="preserve"> that the inference sought to be drawn by the </w:t>
      </w:r>
      <w:r w:rsidR="00B206DF">
        <w:t>[</w:t>
      </w:r>
      <w:r w:rsidRPr="00091CDA">
        <w:t>respondent</w:t>
      </w:r>
      <w:r w:rsidR="00B206DF">
        <w:t>]</w:t>
      </w:r>
      <w:r w:rsidRPr="00091CDA">
        <w:t xml:space="preserve"> was that the </w:t>
      </w:r>
      <w:r w:rsidR="00B206DF">
        <w:t>[</w:t>
      </w:r>
      <w:r w:rsidRPr="00091CDA">
        <w:t>appellant</w:t>
      </w:r>
      <w:r w:rsidR="00B206DF">
        <w:t>] was late for work and</w:t>
      </w:r>
      <w:r w:rsidRPr="00091CDA">
        <w:t xml:space="preserve"> probably jumped out of the moving train a</w:t>
      </w:r>
      <w:r w:rsidR="008F4B5D" w:rsidRPr="00091CDA">
        <w:t>t</w:t>
      </w:r>
      <w:r w:rsidRPr="00091CDA">
        <w:t xml:space="preserve"> </w:t>
      </w:r>
      <w:r w:rsidR="00B206DF">
        <w:t xml:space="preserve">the </w:t>
      </w:r>
      <w:r w:rsidRPr="00091CDA">
        <w:t xml:space="preserve">Spier station </w:t>
      </w:r>
      <w:r w:rsidR="00B206DF">
        <w:t>which was why the records indicated that the incident occurred at that station</w:t>
      </w:r>
      <w:r w:rsidR="00885D7F">
        <w:t>.</w:t>
      </w:r>
      <w:r w:rsidR="007777F2" w:rsidRPr="00091CDA">
        <w:t xml:space="preserve"> </w:t>
      </w:r>
      <w:r w:rsidR="00F00962" w:rsidRPr="00091CDA">
        <w:t xml:space="preserve">However, the </w:t>
      </w:r>
      <w:r w:rsidR="00391D93">
        <w:t xml:space="preserve">appellant </w:t>
      </w:r>
      <w:r w:rsidR="00391D93" w:rsidRPr="00F352EC">
        <w:t>was never</w:t>
      </w:r>
      <w:r w:rsidR="00D3318E" w:rsidRPr="00F352EC">
        <w:t xml:space="preserve"> afforded</w:t>
      </w:r>
      <w:r w:rsidR="00EC37DE" w:rsidRPr="00F352EC">
        <w:t xml:space="preserve"> </w:t>
      </w:r>
      <w:r w:rsidR="00D3318E" w:rsidRPr="00F352EC">
        <w:t xml:space="preserve">the </w:t>
      </w:r>
      <w:r w:rsidR="00EC37DE" w:rsidRPr="00F352EC">
        <w:lastRenderedPageBreak/>
        <w:t>opportuni</w:t>
      </w:r>
      <w:r w:rsidR="008F4B5D" w:rsidRPr="00F352EC">
        <w:t xml:space="preserve">ty to respond to the </w:t>
      </w:r>
      <w:r w:rsidR="00083A3D" w:rsidRPr="00F352EC">
        <w:t xml:space="preserve">respondents’ hypothesis </w:t>
      </w:r>
      <w:r w:rsidR="007777F2" w:rsidRPr="00F352EC">
        <w:t>that because he was late for work</w:t>
      </w:r>
      <w:r w:rsidR="00971CB1" w:rsidRPr="00F352EC">
        <w:t>,</w:t>
      </w:r>
      <w:r w:rsidR="00B206DF">
        <w:t xml:space="preserve"> </w:t>
      </w:r>
      <w:r w:rsidR="007777F2" w:rsidRPr="00F352EC">
        <w:t xml:space="preserve">therefore </w:t>
      </w:r>
      <w:r w:rsidR="00B206DF">
        <w:t xml:space="preserve">he </w:t>
      </w:r>
      <w:r w:rsidR="007777F2" w:rsidRPr="00F352EC">
        <w:t>jumped out of a moving train at Spier station</w:t>
      </w:r>
      <w:r w:rsidR="004C527E" w:rsidRPr="00F352EC">
        <w:t xml:space="preserve">. </w:t>
      </w:r>
    </w:p>
    <w:p w14:paraId="346B5470" w14:textId="77777777" w:rsidR="008B05B8" w:rsidRPr="00F352EC" w:rsidRDefault="008B05B8"/>
    <w:p w14:paraId="14932C60" w14:textId="77777777" w:rsidR="008B05B8" w:rsidRPr="00D27E1F" w:rsidRDefault="008B05B8">
      <w:r w:rsidRPr="00F352EC">
        <w:t>[</w:t>
      </w:r>
      <w:r w:rsidR="003929DC" w:rsidRPr="00F352EC">
        <w:t>20</w:t>
      </w:r>
      <w:r w:rsidRPr="00F352EC">
        <w:t>]</w:t>
      </w:r>
      <w:r w:rsidRPr="00F352EC">
        <w:tab/>
        <w:t xml:space="preserve">The </w:t>
      </w:r>
      <w:r w:rsidR="008E01BF" w:rsidRPr="00F352EC">
        <w:t xml:space="preserve">respondent </w:t>
      </w:r>
      <w:r w:rsidRPr="00F352EC">
        <w:t>s</w:t>
      </w:r>
      <w:r w:rsidR="008E01BF" w:rsidRPr="00F352EC">
        <w:t>ubmitted</w:t>
      </w:r>
      <w:r w:rsidRPr="00F352EC">
        <w:t xml:space="preserve"> that when the appellant went into the witness box</w:t>
      </w:r>
      <w:r w:rsidR="00D7194B" w:rsidRPr="00F352EC">
        <w:t>,</w:t>
      </w:r>
      <w:r w:rsidRPr="00F352EC">
        <w:t xml:space="preserve"> he </w:t>
      </w:r>
      <w:r w:rsidR="008F4B5D" w:rsidRPr="00F352EC">
        <w:t>knew exactly what evidence was already</w:t>
      </w:r>
      <w:r w:rsidRPr="00F352EC">
        <w:t xml:space="preserve"> placed before the court, and</w:t>
      </w:r>
      <w:r w:rsidR="0081405D" w:rsidRPr="00F352EC">
        <w:t xml:space="preserve"> that</w:t>
      </w:r>
      <w:r w:rsidRPr="00F352EC">
        <w:t xml:space="preserve"> he had every opportunity ‘to deny the challenge, to call corroborative evidence, to qualify the evidence given by the witness or others and to explain contradictions on which reliance is to</w:t>
      </w:r>
      <w:r w:rsidR="0081405D" w:rsidRPr="00F352EC">
        <w:t xml:space="preserve"> be</w:t>
      </w:r>
      <w:r w:rsidRPr="00F352EC">
        <w:t xml:space="preserve"> </w:t>
      </w:r>
      <w:r w:rsidRPr="00091CDA">
        <w:t>placed.’ This argument ha</w:t>
      </w:r>
      <w:r w:rsidR="008F4B5D" w:rsidRPr="00091CDA">
        <w:t>s</w:t>
      </w:r>
      <w:r w:rsidRPr="00091CDA">
        <w:t xml:space="preserve"> no merit. Prior notice was not given to the appellant that </w:t>
      </w:r>
      <w:r w:rsidR="00F00962" w:rsidRPr="00091CDA">
        <w:t>the respondent intended to use the documentary evidence to impeach his credibility.</w:t>
      </w:r>
    </w:p>
    <w:p w14:paraId="6D1A10A0" w14:textId="77777777" w:rsidR="00C93316" w:rsidRPr="00D27E1F" w:rsidRDefault="00C93316"/>
    <w:p w14:paraId="1BFCBB58" w14:textId="6C2C968A" w:rsidR="009F3D9F" w:rsidRPr="0087700A" w:rsidRDefault="008B05B8">
      <w:r w:rsidRPr="00091CDA">
        <w:t>[2</w:t>
      </w:r>
      <w:r w:rsidR="003929DC">
        <w:t>1</w:t>
      </w:r>
      <w:r w:rsidRPr="00091CDA">
        <w:t>]</w:t>
      </w:r>
      <w:r w:rsidRPr="00091CDA">
        <w:tab/>
        <w:t xml:space="preserve">The first difficulty facing the respondent is that </w:t>
      </w:r>
      <w:r w:rsidR="00581FA4" w:rsidRPr="00091CDA">
        <w:t xml:space="preserve">it </w:t>
      </w:r>
      <w:r w:rsidR="00986C1A" w:rsidRPr="00091CDA">
        <w:t xml:space="preserve">never pleaded the </w:t>
      </w:r>
      <w:r w:rsidR="00581FA4" w:rsidRPr="00091CDA">
        <w:t xml:space="preserve">issues </w:t>
      </w:r>
      <w:r w:rsidR="00447E58" w:rsidRPr="00091CDA">
        <w:t>raised above</w:t>
      </w:r>
      <w:r w:rsidR="00091CDA" w:rsidRPr="00091CDA">
        <w:t>. I</w:t>
      </w:r>
      <w:r w:rsidRPr="00091CDA">
        <w:t>t</w:t>
      </w:r>
      <w:r w:rsidR="00AD32C7" w:rsidRPr="00091CDA">
        <w:t xml:space="preserve"> is also significant that it did not </w:t>
      </w:r>
      <w:r w:rsidR="007B08F5" w:rsidRPr="00091CDA">
        <w:t>plead that</w:t>
      </w:r>
      <w:r w:rsidRPr="00091CDA">
        <w:t xml:space="preserve"> the appellant had deliberately jumped from the train at Spier station. This Court in </w:t>
      </w:r>
      <w:r w:rsidRPr="0087700A">
        <w:rPr>
          <w:i/>
        </w:rPr>
        <w:t>Minister of Safety and Security v Slabber</w:t>
      </w:r>
      <w:r w:rsidR="004C527E" w:rsidRPr="0087700A">
        <w:rPr>
          <w:i/>
        </w:rPr>
        <w:t>t</w:t>
      </w:r>
      <w:r w:rsidRPr="0087700A">
        <w:t xml:space="preserve"> held as follow</w:t>
      </w:r>
      <w:r w:rsidR="00C46595">
        <w:t>s</w:t>
      </w:r>
      <w:r w:rsidRPr="0087700A">
        <w:t>:</w:t>
      </w:r>
    </w:p>
    <w:p w14:paraId="49ABE421" w14:textId="2C09F33B" w:rsidR="008B05B8" w:rsidRPr="00D27E1F" w:rsidRDefault="009F3D9F">
      <w:pPr>
        <w:rPr>
          <w:sz w:val="22"/>
          <w:szCs w:val="22"/>
        </w:rPr>
      </w:pPr>
      <w:r w:rsidRPr="0087700A">
        <w:rPr>
          <w:sz w:val="22"/>
          <w:szCs w:val="22"/>
        </w:rPr>
        <w:t>‘A party has a duty to allege in the pleadings the material facts upon which it relies. It is impermissible for a</w:t>
      </w:r>
      <w:r w:rsidR="00964244" w:rsidRPr="00517894">
        <w:rPr>
          <w:sz w:val="22"/>
          <w:szCs w:val="22"/>
        </w:rPr>
        <w:t xml:space="preserve"> plaintiff</w:t>
      </w:r>
      <w:r w:rsidRPr="0087700A">
        <w:rPr>
          <w:sz w:val="22"/>
          <w:szCs w:val="22"/>
        </w:rPr>
        <w:t xml:space="preserve"> to plead a particular case and seek to establish a </w:t>
      </w:r>
      <w:r w:rsidR="004C527E" w:rsidRPr="0087700A">
        <w:rPr>
          <w:sz w:val="22"/>
          <w:szCs w:val="22"/>
        </w:rPr>
        <w:t xml:space="preserve">different </w:t>
      </w:r>
      <w:r w:rsidRPr="0087700A">
        <w:rPr>
          <w:sz w:val="22"/>
          <w:szCs w:val="22"/>
        </w:rPr>
        <w:t xml:space="preserve">case at </w:t>
      </w:r>
      <w:r w:rsidR="00964244" w:rsidRPr="00517894">
        <w:rPr>
          <w:sz w:val="22"/>
          <w:szCs w:val="22"/>
        </w:rPr>
        <w:t>the</w:t>
      </w:r>
      <w:r w:rsidRPr="0087700A">
        <w:rPr>
          <w:sz w:val="22"/>
          <w:szCs w:val="22"/>
        </w:rPr>
        <w:t xml:space="preserve"> trial</w:t>
      </w:r>
      <w:r w:rsidR="004C527E" w:rsidRPr="0087700A">
        <w:rPr>
          <w:sz w:val="22"/>
          <w:szCs w:val="22"/>
        </w:rPr>
        <w:t xml:space="preserve">. It is equally not permissible for the trial </w:t>
      </w:r>
      <w:r w:rsidR="007D52C9" w:rsidRPr="0087700A">
        <w:rPr>
          <w:sz w:val="22"/>
          <w:szCs w:val="22"/>
        </w:rPr>
        <w:t>court to have recourse to issues falling outside the pleadings when deciding a case.</w:t>
      </w:r>
      <w:r w:rsidR="008F7E21" w:rsidRPr="0087700A">
        <w:rPr>
          <w:sz w:val="22"/>
          <w:szCs w:val="22"/>
        </w:rPr>
        <w:t>’</w:t>
      </w:r>
      <w:r w:rsidR="00964244" w:rsidRPr="00517894">
        <w:rPr>
          <w:rStyle w:val="FootnoteReference"/>
          <w:sz w:val="22"/>
          <w:szCs w:val="22"/>
        </w:rPr>
        <w:footnoteReference w:id="5"/>
      </w:r>
    </w:p>
    <w:p w14:paraId="625B9290" w14:textId="77777777" w:rsidR="007D52C9" w:rsidRPr="00D27E1F" w:rsidRDefault="007D52C9"/>
    <w:p w14:paraId="6E129093" w14:textId="77777777" w:rsidR="007D52C9" w:rsidRPr="00D27E1F" w:rsidRDefault="007D52C9">
      <w:r w:rsidRPr="00091CDA">
        <w:t>[2</w:t>
      </w:r>
      <w:r w:rsidR="003929DC">
        <w:t>2</w:t>
      </w:r>
      <w:r w:rsidRPr="00091CDA">
        <w:t>]</w:t>
      </w:r>
      <w:r w:rsidRPr="00091CDA">
        <w:tab/>
        <w:t>The second difficulty facing the respondent is that during cross-examination, it never put to the appellant that he had deliberately jumped from the train because he was late</w:t>
      </w:r>
      <w:r w:rsidR="004C527E" w:rsidRPr="00091CDA">
        <w:t xml:space="preserve"> for work.</w:t>
      </w:r>
      <w:r w:rsidR="00AD32C7" w:rsidRPr="00091CDA">
        <w:t xml:space="preserve"> Instead, </w:t>
      </w:r>
      <w:r w:rsidR="00524ACF" w:rsidRPr="00091CDA">
        <w:t xml:space="preserve">it was put to the appellant that the Stellenbosch hospital records </w:t>
      </w:r>
      <w:r w:rsidR="00C70CBF" w:rsidRPr="00091CDA">
        <w:t xml:space="preserve">showed </w:t>
      </w:r>
      <w:r w:rsidR="00EE790A" w:rsidRPr="00091CDA">
        <w:t>that</w:t>
      </w:r>
      <w:r w:rsidR="000765CD" w:rsidRPr="00091CDA">
        <w:t>,</w:t>
      </w:r>
      <w:r w:rsidR="00524ACF" w:rsidRPr="00091CDA">
        <w:t xml:space="preserve"> he was ‘thrown out, fell or jumped’ from the train. The appellant remained </w:t>
      </w:r>
      <w:r w:rsidR="00524ACF" w:rsidRPr="00F352EC">
        <w:t xml:space="preserve">adamant that </w:t>
      </w:r>
      <w:r w:rsidR="007B08F5" w:rsidRPr="00F352EC">
        <w:t>armed robbers threw him out of the train</w:t>
      </w:r>
      <w:r w:rsidR="00524ACF" w:rsidRPr="00F352EC">
        <w:t>. In</w:t>
      </w:r>
      <w:r w:rsidR="00524ACF" w:rsidRPr="00091CDA">
        <w:t xml:space="preserve"> any event</w:t>
      </w:r>
      <w:r w:rsidR="00A02D78" w:rsidRPr="00091CDA">
        <w:t>,</w:t>
      </w:r>
      <w:r w:rsidR="00524ACF" w:rsidRPr="00091CDA">
        <w:t xml:space="preserve"> the ambivalence of this notation supports either version.</w:t>
      </w:r>
    </w:p>
    <w:p w14:paraId="594157AE" w14:textId="77777777" w:rsidR="00462D88" w:rsidRPr="00D27E1F" w:rsidRDefault="00462D88"/>
    <w:p w14:paraId="3ACD86DA" w14:textId="62D74E36" w:rsidR="00524ACF" w:rsidRPr="00091CDA" w:rsidRDefault="00524ACF">
      <w:pPr>
        <w:rPr>
          <w:i/>
        </w:rPr>
      </w:pPr>
      <w:r w:rsidRPr="00D27E1F">
        <w:t>[</w:t>
      </w:r>
      <w:r w:rsidR="00EC37DE" w:rsidRPr="00D27E1F">
        <w:t>2</w:t>
      </w:r>
      <w:r w:rsidR="00D606E2">
        <w:t>3</w:t>
      </w:r>
      <w:r w:rsidRPr="00D27E1F">
        <w:t>]</w:t>
      </w:r>
      <w:r w:rsidR="00F50F0A">
        <w:tab/>
      </w:r>
      <w:r w:rsidRPr="00D27E1F">
        <w:t xml:space="preserve">The Constitutional Court in </w:t>
      </w:r>
      <w:r w:rsidRPr="00D27E1F">
        <w:rPr>
          <w:i/>
        </w:rPr>
        <w:t>SARFU</w:t>
      </w:r>
      <w:r w:rsidRPr="00D27E1F">
        <w:t xml:space="preserve"> emphasised the importance of </w:t>
      </w:r>
      <w:r w:rsidR="00875B11" w:rsidRPr="00D27E1F">
        <w:t xml:space="preserve">expressly and </w:t>
      </w:r>
      <w:r w:rsidR="00875B11" w:rsidRPr="00091CDA">
        <w:t>adequate</w:t>
      </w:r>
      <w:r w:rsidR="004C527E" w:rsidRPr="00091CDA">
        <w:t xml:space="preserve">ly putting </w:t>
      </w:r>
      <w:r w:rsidR="000355E3">
        <w:t xml:space="preserve">a </w:t>
      </w:r>
      <w:r w:rsidRPr="00091CDA">
        <w:t>version to the other party in cross-examination</w:t>
      </w:r>
      <w:r w:rsidR="00461429" w:rsidRPr="00091CDA">
        <w:t xml:space="preserve"> </w:t>
      </w:r>
      <w:r w:rsidR="00D5604E">
        <w:t>as follows</w:t>
      </w:r>
      <w:r w:rsidR="00461429" w:rsidRPr="00091CDA">
        <w:t>:</w:t>
      </w:r>
      <w:r w:rsidRPr="00091CDA">
        <w:rPr>
          <w:i/>
        </w:rPr>
        <w:t xml:space="preserve"> </w:t>
      </w:r>
    </w:p>
    <w:p w14:paraId="79BB2E76" w14:textId="04C973B2" w:rsidR="00524ACF" w:rsidRPr="00091CDA" w:rsidRDefault="00524ACF" w:rsidP="00461429">
      <w:pPr>
        <w:rPr>
          <w:i/>
          <w:sz w:val="22"/>
          <w:szCs w:val="22"/>
        </w:rPr>
      </w:pPr>
      <w:r w:rsidRPr="0087700A">
        <w:rPr>
          <w:sz w:val="22"/>
          <w:szCs w:val="22"/>
        </w:rPr>
        <w:lastRenderedPageBreak/>
        <w:t xml:space="preserve">‘The precise nature of the imputation should be made clear to the witness so that it can be met and destroyed, particularly where the imputation relies upon inferences to be drawn from other evidence in the proceedings. It should be made clear not only that the evidence </w:t>
      </w:r>
      <w:r w:rsidRPr="00964244">
        <w:rPr>
          <w:i/>
          <w:sz w:val="22"/>
          <w:szCs w:val="22"/>
        </w:rPr>
        <w:t>is</w:t>
      </w:r>
      <w:r w:rsidRPr="00964244">
        <w:rPr>
          <w:sz w:val="22"/>
          <w:szCs w:val="22"/>
        </w:rPr>
        <w:t xml:space="preserve"> to be challenged but also </w:t>
      </w:r>
      <w:r w:rsidRPr="00964244">
        <w:rPr>
          <w:i/>
          <w:sz w:val="22"/>
          <w:szCs w:val="22"/>
        </w:rPr>
        <w:t>how</w:t>
      </w:r>
      <w:r w:rsidRPr="00964244">
        <w:rPr>
          <w:sz w:val="22"/>
          <w:szCs w:val="22"/>
        </w:rPr>
        <w:t xml:space="preserve"> it is to be challenged.’</w:t>
      </w:r>
      <w:r w:rsidR="009614C0">
        <w:rPr>
          <w:rStyle w:val="FootnoteReference"/>
          <w:sz w:val="22"/>
          <w:szCs w:val="22"/>
        </w:rPr>
        <w:footnoteReference w:id="6"/>
      </w:r>
    </w:p>
    <w:p w14:paraId="1CF259D5" w14:textId="77777777" w:rsidR="00E74360" w:rsidRPr="00091CDA" w:rsidRDefault="00524ACF" w:rsidP="00A25D4D">
      <w:r w:rsidRPr="00091CDA">
        <w:t>It must be emphasised that the failure to put a version even where it should not have been put</w:t>
      </w:r>
      <w:r w:rsidR="00E74360" w:rsidRPr="00091CDA">
        <w:t>, does not necessarily warrant an inference that the witness’s version is a recent fabrication. This would be unfair to the witness and may lea</w:t>
      </w:r>
      <w:r w:rsidR="008E01BF" w:rsidRPr="00091CDA">
        <w:t>d to an incorrect finding. The full c</w:t>
      </w:r>
      <w:r w:rsidR="00E74360" w:rsidRPr="00091CDA">
        <w:t xml:space="preserve">ourt relied heavily on inferences drawn from </w:t>
      </w:r>
      <w:r w:rsidR="00755FAF" w:rsidRPr="00091CDA">
        <w:t>in</w:t>
      </w:r>
      <w:r w:rsidR="00E74360" w:rsidRPr="00091CDA">
        <w:t>admissible hearsay evidence a</w:t>
      </w:r>
      <w:r w:rsidR="00877E9B" w:rsidRPr="00091CDA">
        <w:t>nd evidence that</w:t>
      </w:r>
      <w:r w:rsidR="00E74360" w:rsidRPr="00091CDA">
        <w:t xml:space="preserve"> was not substantiated or proven. </w:t>
      </w:r>
    </w:p>
    <w:p w14:paraId="186D08B0" w14:textId="77777777" w:rsidR="00E74360" w:rsidRPr="00091CDA" w:rsidRDefault="00E74360"/>
    <w:p w14:paraId="29F30648" w14:textId="77777777" w:rsidR="00E74360" w:rsidRPr="00D27E1F" w:rsidRDefault="00E74360" w:rsidP="00DB515B">
      <w:r w:rsidRPr="00091CDA">
        <w:t>[2</w:t>
      </w:r>
      <w:r w:rsidR="00D606E2">
        <w:t>4</w:t>
      </w:r>
      <w:r w:rsidRPr="00091CDA">
        <w:t>]</w:t>
      </w:r>
      <w:r w:rsidRPr="00091CDA">
        <w:tab/>
        <w:t xml:space="preserve">The general rule regarding the drawing </w:t>
      </w:r>
      <w:r w:rsidRPr="00F352EC">
        <w:t>of inference</w:t>
      </w:r>
      <w:r w:rsidR="006E06DD" w:rsidRPr="00F352EC">
        <w:t>s</w:t>
      </w:r>
      <w:r w:rsidRPr="00F352EC">
        <w:t xml:space="preserve"> is</w:t>
      </w:r>
      <w:r w:rsidR="006E06DD" w:rsidRPr="00F352EC">
        <w:t xml:space="preserve"> clear. A</w:t>
      </w:r>
      <w:r w:rsidRPr="00F352EC">
        <w:t xml:space="preserve"> </w:t>
      </w:r>
      <w:r w:rsidRPr="00091CDA">
        <w:t>court may only draw inference</w:t>
      </w:r>
      <w:r w:rsidR="000206E7" w:rsidRPr="00091CDA">
        <w:t>s</w:t>
      </w:r>
      <w:r w:rsidRPr="00091CDA">
        <w:t xml:space="preserve"> that are consistent with all the proven facts</w:t>
      </w:r>
      <w:r w:rsidR="00D606E2">
        <w:t>,</w:t>
      </w:r>
      <w:r w:rsidRPr="00091CDA">
        <w:t xml:space="preserve"> and where one or more inferences are possible, it must satisfy itself</w:t>
      </w:r>
      <w:r w:rsidR="00BE075D" w:rsidRPr="00091CDA">
        <w:t xml:space="preserve"> that the inference </w:t>
      </w:r>
      <w:r w:rsidR="008E01BF" w:rsidRPr="00091CDA">
        <w:t>sought to</w:t>
      </w:r>
      <w:r w:rsidR="008E01BF" w:rsidRPr="00D27E1F">
        <w:t xml:space="preserve"> be drawn</w:t>
      </w:r>
      <w:r w:rsidR="00BE075D" w:rsidRPr="00D27E1F">
        <w:t xml:space="preserve"> is the most probable inference.</w:t>
      </w:r>
      <w:r w:rsidR="00BE075D" w:rsidRPr="00D27E1F">
        <w:rPr>
          <w:rStyle w:val="FootnoteReference"/>
        </w:rPr>
        <w:footnoteReference w:id="7"/>
      </w:r>
    </w:p>
    <w:p w14:paraId="6B44B06D" w14:textId="77777777" w:rsidR="00E74360" w:rsidRPr="00D27E1F" w:rsidRDefault="00E74360" w:rsidP="00A25D4D"/>
    <w:p w14:paraId="45312F3F" w14:textId="662224EC" w:rsidR="00E74360" w:rsidRDefault="00E74360">
      <w:r w:rsidRPr="00D27E1F">
        <w:t>[2</w:t>
      </w:r>
      <w:r w:rsidR="00F352EC">
        <w:t>5</w:t>
      </w:r>
      <w:r w:rsidRPr="00D27E1F">
        <w:t>]</w:t>
      </w:r>
      <w:r w:rsidRPr="00D27E1F">
        <w:tab/>
        <w:t>It is common cause between the parties that the carriage doors were open throughout the j</w:t>
      </w:r>
      <w:r w:rsidR="00952B18">
        <w:t xml:space="preserve">ourney since </w:t>
      </w:r>
      <w:r w:rsidR="00952B18" w:rsidRPr="00F352EC">
        <w:t>it was an established fact</w:t>
      </w:r>
      <w:r w:rsidRPr="00F352EC">
        <w:t xml:space="preserve"> that the appellant fell from the train through the open doors of the carriage. </w:t>
      </w:r>
      <w:r w:rsidR="00A012A3">
        <w:t xml:space="preserve">In </w:t>
      </w:r>
      <w:r w:rsidR="00A012A3" w:rsidRPr="008F7E21">
        <w:rPr>
          <w:i/>
        </w:rPr>
        <w:t>Mashongwa v P</w:t>
      </w:r>
      <w:r w:rsidR="009614C0">
        <w:rPr>
          <w:i/>
        </w:rPr>
        <w:t>RASA</w:t>
      </w:r>
      <w:r w:rsidR="00A012A3">
        <w:t>, t</w:t>
      </w:r>
      <w:r w:rsidRPr="00F352EC">
        <w:t xml:space="preserve">he Constitutional Court held that this </w:t>
      </w:r>
      <w:r w:rsidR="00755FAF" w:rsidRPr="00F352EC">
        <w:t>constitute</w:t>
      </w:r>
      <w:r w:rsidR="00A012A3">
        <w:t>d</w:t>
      </w:r>
      <w:r w:rsidR="00755FAF" w:rsidRPr="00F352EC">
        <w:t xml:space="preserve"> negligence on the part of </w:t>
      </w:r>
      <w:r w:rsidR="00A012A3">
        <w:t>PRASA</w:t>
      </w:r>
      <w:r w:rsidR="005435E2" w:rsidRPr="00F352EC">
        <w:t xml:space="preserve">, </w:t>
      </w:r>
      <w:r w:rsidR="008E01BF" w:rsidRPr="00F352EC">
        <w:t>and</w:t>
      </w:r>
      <w:r w:rsidRPr="00F352EC">
        <w:t xml:space="preserve"> that PRASA</w:t>
      </w:r>
      <w:r w:rsidR="008E01BF" w:rsidRPr="00F352EC">
        <w:t>’s</w:t>
      </w:r>
      <w:r w:rsidRPr="00F352EC">
        <w:t xml:space="preserve"> failure to keep the doors closed while the train was in </w:t>
      </w:r>
      <w:r w:rsidR="007B08F5" w:rsidRPr="00F352EC">
        <w:t>motion, attracted</w:t>
      </w:r>
      <w:r w:rsidRPr="00F352EC">
        <w:t xml:space="preserve"> liability.</w:t>
      </w:r>
      <w:r w:rsidRPr="00F352EC">
        <w:rPr>
          <w:rStyle w:val="FootnoteReference"/>
        </w:rPr>
        <w:footnoteReference w:id="8"/>
      </w:r>
      <w:r w:rsidRPr="00F352EC">
        <w:t xml:space="preserve"> </w:t>
      </w:r>
      <w:r w:rsidR="008F4B5D" w:rsidRPr="00F352EC">
        <w:t>In essence</w:t>
      </w:r>
      <w:r w:rsidR="00FD7B77" w:rsidRPr="00F352EC">
        <w:t>,</w:t>
      </w:r>
      <w:r w:rsidR="008E636E" w:rsidRPr="00F352EC">
        <w:t xml:space="preserve"> the appellant</w:t>
      </w:r>
      <w:r w:rsidR="008F4B5D" w:rsidRPr="00F352EC">
        <w:t xml:space="preserve"> would</w:t>
      </w:r>
      <w:r w:rsidR="008E636E" w:rsidRPr="00F352EC">
        <w:t xml:space="preserve"> not have suffered injuries in the manner he did </w:t>
      </w:r>
      <w:r w:rsidR="008F4B5D" w:rsidRPr="00F352EC">
        <w:t>if the carriage door</w:t>
      </w:r>
      <w:r w:rsidR="008E01BF" w:rsidRPr="00F352EC">
        <w:t>s were</w:t>
      </w:r>
      <w:r w:rsidR="008F4B5D" w:rsidRPr="00D27E1F">
        <w:t xml:space="preserve"> </w:t>
      </w:r>
      <w:r w:rsidR="00A012A3">
        <w:t xml:space="preserve">closed </w:t>
      </w:r>
      <w:r w:rsidR="008F4B5D" w:rsidRPr="00D27E1F">
        <w:t>while the train was in motion.</w:t>
      </w:r>
    </w:p>
    <w:p w14:paraId="0AEE623A" w14:textId="77777777" w:rsidR="00EE790A" w:rsidRPr="00D27E1F" w:rsidRDefault="00EE790A"/>
    <w:p w14:paraId="763AF27B" w14:textId="46EF6619" w:rsidR="00E74360" w:rsidRPr="00D27E1F" w:rsidRDefault="00E74360">
      <w:r w:rsidRPr="00D27E1F">
        <w:t>[2</w:t>
      </w:r>
      <w:r w:rsidR="00F352EC">
        <w:t>6</w:t>
      </w:r>
      <w:r w:rsidRPr="00D27E1F">
        <w:t>]</w:t>
      </w:r>
      <w:r w:rsidRPr="00D27E1F">
        <w:tab/>
        <w:t>In the result, I make the following order</w:t>
      </w:r>
      <w:r w:rsidR="00A012A3">
        <w:t>:</w:t>
      </w:r>
    </w:p>
    <w:p w14:paraId="4E75475A" w14:textId="692CAA4A" w:rsidR="00E74360" w:rsidRPr="00A012A3" w:rsidRDefault="00A012A3" w:rsidP="00517894">
      <w:pPr>
        <w:tabs>
          <w:tab w:val="left" w:pos="426"/>
          <w:tab w:val="left" w:pos="720"/>
        </w:tabs>
        <w:rPr>
          <w:lang w:val="en-ZA"/>
        </w:rPr>
      </w:pPr>
      <w:r>
        <w:rPr>
          <w:lang w:val="en-ZA"/>
        </w:rPr>
        <w:t>1</w:t>
      </w:r>
      <w:r>
        <w:rPr>
          <w:lang w:val="en-ZA"/>
        </w:rPr>
        <w:tab/>
      </w:r>
      <w:r>
        <w:rPr>
          <w:lang w:val="en-ZA"/>
        </w:rPr>
        <w:tab/>
      </w:r>
      <w:r w:rsidR="00E74360" w:rsidRPr="00A012A3">
        <w:rPr>
          <w:lang w:val="en-ZA"/>
        </w:rPr>
        <w:t>The appeal is</w:t>
      </w:r>
      <w:r w:rsidR="00487A12" w:rsidRPr="00A012A3">
        <w:rPr>
          <w:lang w:val="en-ZA"/>
        </w:rPr>
        <w:t xml:space="preserve"> upheld </w:t>
      </w:r>
      <w:r w:rsidR="00E74360" w:rsidRPr="00A012A3">
        <w:rPr>
          <w:lang w:val="en-ZA"/>
        </w:rPr>
        <w:t xml:space="preserve">with </w:t>
      </w:r>
      <w:r w:rsidR="00FC6D74" w:rsidRPr="00A012A3">
        <w:rPr>
          <w:lang w:val="en-ZA"/>
        </w:rPr>
        <w:t>costs including those of two counsel where so employe</w:t>
      </w:r>
      <w:r w:rsidR="00FE05E5" w:rsidRPr="00A012A3">
        <w:rPr>
          <w:lang w:val="en-ZA"/>
        </w:rPr>
        <w:t>d.</w:t>
      </w:r>
    </w:p>
    <w:p w14:paraId="043F2C7A" w14:textId="77777777" w:rsidR="00743A88" w:rsidRPr="00D27E1F" w:rsidRDefault="00743A88">
      <w:pPr>
        <w:pStyle w:val="ListParagraph"/>
        <w:tabs>
          <w:tab w:val="left" w:pos="709"/>
          <w:tab w:val="left" w:pos="1134"/>
        </w:tabs>
        <w:ind w:left="0"/>
      </w:pPr>
      <w:r w:rsidRPr="00D27E1F">
        <w:t>2</w:t>
      </w:r>
      <w:r w:rsidRPr="00D27E1F">
        <w:tab/>
      </w:r>
      <w:r w:rsidR="00E74360" w:rsidRPr="00D27E1F">
        <w:t>The order of the full court is set aside and replaced with the following order:</w:t>
      </w:r>
    </w:p>
    <w:p w14:paraId="069A0390" w14:textId="3378B74E" w:rsidR="00E74360" w:rsidRPr="00F352EC" w:rsidRDefault="00A012A3">
      <w:pPr>
        <w:pStyle w:val="ListParagraph"/>
        <w:tabs>
          <w:tab w:val="left" w:pos="709"/>
          <w:tab w:val="left" w:pos="1134"/>
        </w:tabs>
        <w:ind w:left="0"/>
      </w:pPr>
      <w:r>
        <w:tab/>
      </w:r>
      <w:r w:rsidR="005435E2" w:rsidRPr="00F352EC">
        <w:t>‘</w:t>
      </w:r>
      <w:r w:rsidR="00E74360" w:rsidRPr="00F352EC">
        <w:t xml:space="preserve">The appeal is dismissed </w:t>
      </w:r>
      <w:r w:rsidR="00FE05E5" w:rsidRPr="00F352EC">
        <w:t>with costs’.</w:t>
      </w:r>
    </w:p>
    <w:p w14:paraId="5D876A7A" w14:textId="7B6C7EF1" w:rsidR="00E74360" w:rsidRDefault="00E74360"/>
    <w:p w14:paraId="0C4EDF1C" w14:textId="77777777" w:rsidR="00A012A3" w:rsidRPr="00D27E1F" w:rsidRDefault="00A012A3"/>
    <w:p w14:paraId="2F0CA8E2" w14:textId="77777777" w:rsidR="00947573" w:rsidRPr="00D27E1F" w:rsidRDefault="00433466" w:rsidP="00083A3D">
      <w:pPr>
        <w:jc w:val="right"/>
        <w:rPr>
          <w:lang w:eastAsia="en-ZA"/>
        </w:rPr>
      </w:pPr>
      <w:r w:rsidRPr="00D27E1F">
        <w:rPr>
          <w:lang w:eastAsia="en-ZA"/>
        </w:rPr>
        <w:t>_</w:t>
      </w:r>
      <w:r w:rsidR="00947573" w:rsidRPr="00D27E1F">
        <w:rPr>
          <w:lang w:eastAsia="en-ZA"/>
        </w:rPr>
        <w:t>________________</w:t>
      </w:r>
    </w:p>
    <w:p w14:paraId="13B7A26C" w14:textId="77777777" w:rsidR="00947573" w:rsidRPr="00D27E1F" w:rsidRDefault="00BE075D" w:rsidP="00083A3D">
      <w:pPr>
        <w:jc w:val="right"/>
        <w:rPr>
          <w:lang w:eastAsia="en-ZA"/>
        </w:rPr>
      </w:pPr>
      <w:r w:rsidRPr="00D27E1F">
        <w:rPr>
          <w:lang w:eastAsia="en-ZA"/>
        </w:rPr>
        <w:t>D S M</w:t>
      </w:r>
      <w:r w:rsidR="00C50360" w:rsidRPr="00D27E1F">
        <w:rPr>
          <w:lang w:eastAsia="en-ZA"/>
        </w:rPr>
        <w:t>OLEFE</w:t>
      </w:r>
    </w:p>
    <w:p w14:paraId="06DEC52E" w14:textId="77777777" w:rsidR="008827D3" w:rsidRPr="00D27E1F" w:rsidRDefault="00BE075D" w:rsidP="00083A3D">
      <w:pPr>
        <w:jc w:val="right"/>
        <w:rPr>
          <w:lang w:eastAsia="en-ZA"/>
        </w:rPr>
      </w:pPr>
      <w:r w:rsidRPr="00D27E1F">
        <w:rPr>
          <w:lang w:eastAsia="en-ZA"/>
        </w:rPr>
        <w:t>A</w:t>
      </w:r>
      <w:r w:rsidR="00C50360" w:rsidRPr="00D27E1F">
        <w:rPr>
          <w:lang w:eastAsia="en-ZA"/>
        </w:rPr>
        <w:t>CTING JUDGE OF APPEAL</w:t>
      </w:r>
    </w:p>
    <w:p w14:paraId="2B3F352D" w14:textId="77777777" w:rsidR="008E01BF" w:rsidRPr="00D27E1F" w:rsidRDefault="008E01BF">
      <w:pPr>
        <w:rPr>
          <w:lang w:eastAsia="en-ZA"/>
        </w:rPr>
      </w:pPr>
      <w:r w:rsidRPr="00D27E1F">
        <w:rPr>
          <w:lang w:eastAsia="en-ZA"/>
        </w:rPr>
        <w:br w:type="page"/>
      </w:r>
    </w:p>
    <w:p w14:paraId="32E7D36B" w14:textId="718DD795" w:rsidR="008827D3" w:rsidRPr="00D27E1F" w:rsidRDefault="008827D3">
      <w:r w:rsidRPr="00D27E1F">
        <w:lastRenderedPageBreak/>
        <w:t>APPEARANCES</w:t>
      </w:r>
    </w:p>
    <w:p w14:paraId="02A68212" w14:textId="77777777" w:rsidR="008827D3" w:rsidRPr="00D27E1F" w:rsidRDefault="008827D3">
      <w:pPr>
        <w:tabs>
          <w:tab w:val="left" w:pos="0"/>
          <w:tab w:val="left" w:pos="720"/>
          <w:tab w:val="left" w:pos="1440"/>
          <w:tab w:val="left" w:pos="2160"/>
        </w:tabs>
      </w:pPr>
    </w:p>
    <w:p w14:paraId="48D8A9FB" w14:textId="12BD24B8" w:rsidR="008827D3" w:rsidRPr="00D27E1F" w:rsidRDefault="008827D3" w:rsidP="00D92391">
      <w:pPr>
        <w:tabs>
          <w:tab w:val="left" w:pos="0"/>
          <w:tab w:val="left" w:pos="720"/>
          <w:tab w:val="left" w:pos="1440"/>
          <w:tab w:val="left" w:pos="2160"/>
        </w:tabs>
      </w:pPr>
      <w:r w:rsidRPr="00D27E1F">
        <w:t xml:space="preserve">For </w:t>
      </w:r>
      <w:r w:rsidR="002B5250" w:rsidRPr="00D27E1F">
        <w:t>a</w:t>
      </w:r>
      <w:r w:rsidRPr="00D27E1F">
        <w:t>ppellant</w:t>
      </w:r>
      <w:r w:rsidR="00AF5250" w:rsidRPr="00D27E1F">
        <w:t>:</w:t>
      </w:r>
      <w:r w:rsidR="00AF5250" w:rsidRPr="00D27E1F">
        <w:tab/>
      </w:r>
      <w:r w:rsidR="00AF5250" w:rsidRPr="00D27E1F">
        <w:tab/>
      </w:r>
      <w:r w:rsidR="00AF5250" w:rsidRPr="00D27E1F">
        <w:tab/>
      </w:r>
      <w:r w:rsidR="00A012A3">
        <w:tab/>
      </w:r>
      <w:r w:rsidR="00BE075D" w:rsidRPr="00D27E1F">
        <w:t>J</w:t>
      </w:r>
      <w:r w:rsidR="00B91C56" w:rsidRPr="00D27E1F">
        <w:t xml:space="preserve"> </w:t>
      </w:r>
      <w:r w:rsidR="00BE075D" w:rsidRPr="00D27E1F">
        <w:t xml:space="preserve">H Roux SC </w:t>
      </w:r>
      <w:r w:rsidR="00A012A3">
        <w:t>an</w:t>
      </w:r>
      <w:r w:rsidR="00420086">
        <w:t>d</w:t>
      </w:r>
      <w:r w:rsidR="00BE075D" w:rsidRPr="00D27E1F">
        <w:t xml:space="preserve"> </w:t>
      </w:r>
      <w:r w:rsidR="00EF79E1" w:rsidRPr="00D27E1F">
        <w:t xml:space="preserve">A </w:t>
      </w:r>
      <w:r w:rsidR="00E759A9">
        <w:t xml:space="preserve">J </w:t>
      </w:r>
      <w:r w:rsidR="00EF79E1" w:rsidRPr="00D27E1F">
        <w:t xml:space="preserve">du </w:t>
      </w:r>
      <w:r w:rsidR="00BE075D" w:rsidRPr="00D27E1F">
        <w:t>Toit</w:t>
      </w:r>
    </w:p>
    <w:p w14:paraId="3AFDD9ED" w14:textId="3ADF170F" w:rsidR="008827D3" w:rsidRPr="00D27E1F" w:rsidRDefault="008827D3" w:rsidP="004344FA">
      <w:pPr>
        <w:tabs>
          <w:tab w:val="left" w:pos="0"/>
          <w:tab w:val="left" w:pos="720"/>
          <w:tab w:val="left" w:pos="1440"/>
          <w:tab w:val="left" w:pos="2160"/>
        </w:tabs>
      </w:pPr>
      <w:r w:rsidRPr="00D27E1F">
        <w:t>Instructed by:</w:t>
      </w:r>
      <w:r w:rsidRPr="00D27E1F">
        <w:tab/>
      </w:r>
      <w:r w:rsidRPr="00D27E1F">
        <w:tab/>
      </w:r>
      <w:r w:rsidRPr="00D27E1F">
        <w:tab/>
      </w:r>
      <w:r w:rsidR="00A012A3">
        <w:tab/>
      </w:r>
      <w:r w:rsidR="00BE075D" w:rsidRPr="00721277">
        <w:t>DSC Attorneys</w:t>
      </w:r>
      <w:r w:rsidRPr="00721277">
        <w:t>,</w:t>
      </w:r>
      <w:r w:rsidR="00E56768" w:rsidRPr="00721277">
        <w:t xml:space="preserve"> </w:t>
      </w:r>
      <w:r w:rsidR="00BE075D" w:rsidRPr="00721277">
        <w:t>Cape Town</w:t>
      </w:r>
    </w:p>
    <w:p w14:paraId="379E3E7A" w14:textId="1B8473B1" w:rsidR="008827D3" w:rsidRPr="00D27E1F" w:rsidRDefault="008827D3" w:rsidP="009473B1">
      <w:pPr>
        <w:tabs>
          <w:tab w:val="left" w:pos="0"/>
          <w:tab w:val="left" w:pos="720"/>
          <w:tab w:val="left" w:pos="1440"/>
          <w:tab w:val="left" w:pos="2160"/>
        </w:tabs>
      </w:pPr>
      <w:r w:rsidRPr="00D27E1F">
        <w:tab/>
      </w:r>
      <w:r w:rsidRPr="00D27E1F">
        <w:tab/>
      </w:r>
      <w:r w:rsidRPr="00D27E1F">
        <w:tab/>
      </w:r>
      <w:r w:rsidRPr="00D27E1F">
        <w:tab/>
      </w:r>
      <w:r w:rsidRPr="00D27E1F">
        <w:tab/>
      </w:r>
      <w:r w:rsidR="00A012A3">
        <w:tab/>
      </w:r>
      <w:r w:rsidR="00BE075D" w:rsidRPr="00D27E1F">
        <w:t>Rosendorff</w:t>
      </w:r>
      <w:r w:rsidR="00914A0F" w:rsidRPr="00D27E1F">
        <w:t xml:space="preserve"> Reitz</w:t>
      </w:r>
      <w:r w:rsidR="00602D2C" w:rsidRPr="00D27E1F">
        <w:t xml:space="preserve"> Barry</w:t>
      </w:r>
      <w:r w:rsidRPr="00D27E1F">
        <w:t>, Bloemfontein</w:t>
      </w:r>
    </w:p>
    <w:p w14:paraId="4CCF9EF1" w14:textId="77777777" w:rsidR="008827D3" w:rsidRPr="00D27E1F" w:rsidRDefault="008827D3" w:rsidP="00CA600F">
      <w:pPr>
        <w:tabs>
          <w:tab w:val="left" w:pos="0"/>
          <w:tab w:val="left" w:pos="720"/>
          <w:tab w:val="left" w:pos="1440"/>
          <w:tab w:val="left" w:pos="2160"/>
        </w:tabs>
      </w:pPr>
    </w:p>
    <w:p w14:paraId="54116E79" w14:textId="43570D97" w:rsidR="008827D3" w:rsidRPr="00D27E1F" w:rsidRDefault="003E29C8">
      <w:pPr>
        <w:tabs>
          <w:tab w:val="left" w:pos="0"/>
          <w:tab w:val="left" w:pos="720"/>
          <w:tab w:val="left" w:pos="1440"/>
          <w:tab w:val="left" w:pos="2160"/>
        </w:tabs>
      </w:pPr>
      <w:r w:rsidRPr="00D27E1F">
        <w:t xml:space="preserve">For </w:t>
      </w:r>
      <w:r w:rsidR="00FD28B6" w:rsidRPr="00D27E1F">
        <w:t>r</w:t>
      </w:r>
      <w:r w:rsidRPr="00D27E1F">
        <w:t>espondent</w:t>
      </w:r>
      <w:r w:rsidR="008827D3" w:rsidRPr="00D27E1F">
        <w:t>:</w:t>
      </w:r>
      <w:r w:rsidR="008827D3" w:rsidRPr="00D27E1F">
        <w:tab/>
      </w:r>
      <w:r w:rsidR="000D06F5" w:rsidRPr="00D27E1F">
        <w:tab/>
      </w:r>
      <w:r w:rsidR="00EE1EFB" w:rsidRPr="00D27E1F">
        <w:tab/>
      </w:r>
      <w:r w:rsidR="00A012A3">
        <w:tab/>
      </w:r>
      <w:r w:rsidR="008F4B5D" w:rsidRPr="00D27E1F">
        <w:t>T</w:t>
      </w:r>
      <w:r w:rsidR="009562CD" w:rsidRPr="00D27E1F">
        <w:t xml:space="preserve"> D</w:t>
      </w:r>
      <w:r w:rsidR="008F4B5D" w:rsidRPr="00D27E1F">
        <w:t xml:space="preserve"> Pot</w:t>
      </w:r>
      <w:r w:rsidR="00BE075D" w:rsidRPr="00D27E1F">
        <w:t>gieter SC</w:t>
      </w:r>
    </w:p>
    <w:p w14:paraId="3BC7F984" w14:textId="7DB12DD9" w:rsidR="008827D3" w:rsidRPr="00D27E1F" w:rsidRDefault="008827D3">
      <w:pPr>
        <w:tabs>
          <w:tab w:val="left" w:pos="0"/>
          <w:tab w:val="left" w:pos="720"/>
          <w:tab w:val="left" w:pos="1440"/>
          <w:tab w:val="left" w:pos="2160"/>
        </w:tabs>
      </w:pPr>
      <w:r w:rsidRPr="00D27E1F">
        <w:t>Instructed by:</w:t>
      </w:r>
      <w:r w:rsidRPr="00D27E1F">
        <w:tab/>
      </w:r>
      <w:r w:rsidRPr="00D27E1F">
        <w:tab/>
      </w:r>
      <w:r w:rsidRPr="00D27E1F">
        <w:tab/>
      </w:r>
      <w:r w:rsidR="00A012A3">
        <w:tab/>
      </w:r>
      <w:r w:rsidR="00BE075D" w:rsidRPr="00D27E1F">
        <w:t>Werkmans Attorneys</w:t>
      </w:r>
      <w:r w:rsidRPr="00D27E1F">
        <w:t xml:space="preserve">, </w:t>
      </w:r>
      <w:r w:rsidR="00BE075D" w:rsidRPr="00D27E1F">
        <w:t>Cape Town</w:t>
      </w:r>
    </w:p>
    <w:p w14:paraId="01BC0377" w14:textId="3BC229B5" w:rsidR="008827D3" w:rsidRPr="00E63C39" w:rsidRDefault="00A012A3">
      <w:pPr>
        <w:tabs>
          <w:tab w:val="left" w:pos="0"/>
          <w:tab w:val="left" w:pos="720"/>
          <w:tab w:val="left" w:pos="1440"/>
          <w:tab w:val="left" w:pos="2160"/>
        </w:tabs>
        <w:ind w:left="3600"/>
      </w:pPr>
      <w:r>
        <w:tab/>
      </w:r>
      <w:r w:rsidR="00BE075D" w:rsidRPr="00D27E1F">
        <w:t>Lovious Block</w:t>
      </w:r>
      <w:r w:rsidR="00577175" w:rsidRPr="00D27E1F">
        <w:t xml:space="preserve"> I</w:t>
      </w:r>
      <w:r w:rsidR="009614C0">
        <w:t>nc</w:t>
      </w:r>
      <w:r w:rsidR="007F31C9" w:rsidRPr="00D27E1F">
        <w:t>,</w:t>
      </w:r>
      <w:r w:rsidR="008827D3" w:rsidRPr="00D27E1F">
        <w:t xml:space="preserve"> Bloemfontein</w:t>
      </w:r>
      <w:r w:rsidR="009614C0">
        <w:t>.</w:t>
      </w:r>
    </w:p>
    <w:p w14:paraId="24DD9CC9" w14:textId="77777777" w:rsidR="008827D3" w:rsidRPr="00E63C39" w:rsidRDefault="008827D3">
      <w:pPr>
        <w:rPr>
          <w:b/>
          <w:bCs/>
        </w:rPr>
      </w:pPr>
    </w:p>
    <w:p w14:paraId="64D49978" w14:textId="77777777" w:rsidR="00F322A0" w:rsidRPr="00E63C39" w:rsidRDefault="00F322A0" w:rsidP="00D92391">
      <w:pPr>
        <w:tabs>
          <w:tab w:val="left" w:pos="0"/>
          <w:tab w:val="left" w:pos="720"/>
          <w:tab w:val="left" w:pos="1440"/>
          <w:tab w:val="left" w:pos="2160"/>
        </w:tabs>
      </w:pPr>
    </w:p>
    <w:p w14:paraId="4B108841" w14:textId="77777777" w:rsidR="00F322A0" w:rsidRPr="00E63C39" w:rsidRDefault="00F322A0" w:rsidP="004344FA">
      <w:pPr>
        <w:tabs>
          <w:tab w:val="left" w:pos="0"/>
          <w:tab w:val="left" w:pos="720"/>
          <w:tab w:val="left" w:pos="1440"/>
          <w:tab w:val="left" w:pos="2160"/>
        </w:tabs>
      </w:pPr>
    </w:p>
    <w:p w14:paraId="54480286" w14:textId="77777777" w:rsidR="00F322A0" w:rsidRPr="00E63C39" w:rsidRDefault="00F322A0" w:rsidP="009473B1">
      <w:pPr>
        <w:tabs>
          <w:tab w:val="left" w:pos="0"/>
          <w:tab w:val="left" w:pos="720"/>
          <w:tab w:val="left" w:pos="1440"/>
          <w:tab w:val="left" w:pos="2160"/>
        </w:tabs>
      </w:pPr>
    </w:p>
    <w:p w14:paraId="6995B182" w14:textId="77777777" w:rsidR="00F322A0" w:rsidRPr="00E63C39" w:rsidRDefault="00F322A0" w:rsidP="00CA600F">
      <w:pPr>
        <w:tabs>
          <w:tab w:val="left" w:pos="0"/>
          <w:tab w:val="left" w:pos="720"/>
          <w:tab w:val="left" w:pos="1440"/>
          <w:tab w:val="left" w:pos="2160"/>
        </w:tabs>
      </w:pPr>
    </w:p>
    <w:p w14:paraId="2EC7B878" w14:textId="77777777" w:rsidR="00F322A0" w:rsidRPr="00083A3D" w:rsidRDefault="00F322A0" w:rsidP="00E10253">
      <w:pPr>
        <w:tabs>
          <w:tab w:val="left" w:pos="0"/>
          <w:tab w:val="left" w:pos="720"/>
          <w:tab w:val="left" w:pos="1440"/>
          <w:tab w:val="left" w:pos="2160"/>
        </w:tabs>
      </w:pPr>
    </w:p>
    <w:p w14:paraId="3EFCB12E" w14:textId="77777777" w:rsidR="00F322A0" w:rsidRPr="00083A3D" w:rsidRDefault="00F322A0">
      <w:pPr>
        <w:tabs>
          <w:tab w:val="left" w:pos="0"/>
          <w:tab w:val="left" w:pos="720"/>
          <w:tab w:val="left" w:pos="1440"/>
          <w:tab w:val="left" w:pos="2160"/>
        </w:tabs>
      </w:pPr>
    </w:p>
    <w:p w14:paraId="7F260687" w14:textId="77777777" w:rsidR="00F322A0" w:rsidRPr="00083A3D" w:rsidRDefault="00F322A0">
      <w:pPr>
        <w:tabs>
          <w:tab w:val="left" w:pos="0"/>
          <w:tab w:val="left" w:pos="720"/>
          <w:tab w:val="left" w:pos="1440"/>
          <w:tab w:val="left" w:pos="2160"/>
        </w:tabs>
      </w:pPr>
    </w:p>
    <w:bookmarkEnd w:id="0"/>
    <w:p w14:paraId="70D55A8F" w14:textId="77777777" w:rsidR="005E5E8A" w:rsidRPr="003C025C" w:rsidRDefault="005E5E8A">
      <w:pPr>
        <w:rPr>
          <w:lang w:val="en-US" w:eastAsia="en-US"/>
        </w:rPr>
      </w:pPr>
    </w:p>
    <w:sectPr w:rsidR="005E5E8A" w:rsidRPr="003C025C" w:rsidSect="009D7292">
      <w:headerReference w:type="default" r:id="rId9"/>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D6BCB" w16cex:dateUtc="2021-11-03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E0F92" w16cid:durableId="252D6B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672D" w14:textId="77777777" w:rsidR="0019284C" w:rsidRDefault="0019284C" w:rsidP="008B1580">
      <w:r>
        <w:separator/>
      </w:r>
    </w:p>
  </w:endnote>
  <w:endnote w:type="continuationSeparator" w:id="0">
    <w:p w14:paraId="37BD80C3" w14:textId="77777777" w:rsidR="0019284C" w:rsidRDefault="0019284C"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48CD" w14:textId="77777777" w:rsidR="0019284C" w:rsidRDefault="0019284C" w:rsidP="008B1580">
      <w:r>
        <w:separator/>
      </w:r>
    </w:p>
  </w:footnote>
  <w:footnote w:type="continuationSeparator" w:id="0">
    <w:p w14:paraId="69F61F81" w14:textId="77777777" w:rsidR="0019284C" w:rsidRDefault="0019284C" w:rsidP="008B1580">
      <w:r>
        <w:continuationSeparator/>
      </w:r>
    </w:p>
  </w:footnote>
  <w:footnote w:id="1">
    <w:p w14:paraId="305F4CF9" w14:textId="034F16ED" w:rsidR="00A4319F" w:rsidRPr="00A4319F" w:rsidRDefault="00A4319F">
      <w:pPr>
        <w:pStyle w:val="FootnoteText"/>
        <w:rPr>
          <w:lang w:val="en-ZA"/>
        </w:rPr>
      </w:pPr>
      <w:r>
        <w:rPr>
          <w:rStyle w:val="FootnoteReference"/>
        </w:rPr>
        <w:footnoteRef/>
      </w:r>
      <w:r>
        <w:t xml:space="preserve"> </w:t>
      </w:r>
      <w:r w:rsidR="00E759A9">
        <w:t xml:space="preserve">According to </w:t>
      </w:r>
      <w:r w:rsidR="00452B3D">
        <w:t>s</w:t>
      </w:r>
      <w:r w:rsidR="00E01A5E" w:rsidRPr="00E01A5E">
        <w:t xml:space="preserve"> 3(4) of the Law of Evidence Amendment Act</w:t>
      </w:r>
      <w:r w:rsidR="008B239C">
        <w:t xml:space="preserve"> </w:t>
      </w:r>
      <w:r w:rsidR="00E01A5E" w:rsidRPr="00E01A5E">
        <w:t xml:space="preserve">45 of 1988 </w:t>
      </w:r>
      <w:r w:rsidR="00944B42">
        <w:rPr>
          <w:lang w:val="en-ZA"/>
        </w:rPr>
        <w:t>h</w:t>
      </w:r>
      <w:r w:rsidR="00EC37DE">
        <w:rPr>
          <w:lang w:val="en-ZA"/>
        </w:rPr>
        <w:t xml:space="preserve">earsay </w:t>
      </w:r>
      <w:r w:rsidR="00EC37DE" w:rsidRPr="00CC723D">
        <w:rPr>
          <w:lang w:val="en-ZA"/>
        </w:rPr>
        <w:t xml:space="preserve">evidence </w:t>
      </w:r>
      <w:r w:rsidR="00E759A9">
        <w:rPr>
          <w:lang w:val="en-ZA"/>
        </w:rPr>
        <w:t>‘</w:t>
      </w:r>
      <w:r w:rsidR="00EC37DE" w:rsidRPr="00CC723D">
        <w:rPr>
          <w:lang w:val="en-ZA"/>
        </w:rPr>
        <w:t>means evidence</w:t>
      </w:r>
      <w:r w:rsidR="00F02177">
        <w:rPr>
          <w:lang w:val="en-ZA"/>
        </w:rPr>
        <w:t>,</w:t>
      </w:r>
      <w:r w:rsidR="00EC37DE" w:rsidRPr="00CC723D">
        <w:rPr>
          <w:lang w:val="en-ZA"/>
        </w:rPr>
        <w:t xml:space="preserve"> whether oral or in writing, the probative value of which depends upon the credibility of any person other than the person giving such evidence</w:t>
      </w:r>
      <w:r w:rsidR="00F02177">
        <w:rPr>
          <w:lang w:val="en-ZA"/>
        </w:rPr>
        <w:t>’</w:t>
      </w:r>
      <w:r w:rsidR="00EC37DE">
        <w:rPr>
          <w:lang w:val="en-ZA"/>
        </w:rPr>
        <w:t>.</w:t>
      </w:r>
    </w:p>
  </w:footnote>
  <w:footnote w:id="2">
    <w:p w14:paraId="5318B703" w14:textId="00A6EAC2" w:rsidR="00DD7AD7" w:rsidRPr="00DD7AD7" w:rsidRDefault="00DD7AD7">
      <w:pPr>
        <w:pStyle w:val="FootnoteText"/>
        <w:rPr>
          <w:lang w:val="en-ZA"/>
        </w:rPr>
      </w:pPr>
      <w:r>
        <w:rPr>
          <w:rStyle w:val="FootnoteReference"/>
        </w:rPr>
        <w:footnoteRef/>
      </w:r>
      <w:r>
        <w:t xml:space="preserve"> </w:t>
      </w:r>
      <w:r w:rsidR="00934D3E">
        <w:t xml:space="preserve">See </w:t>
      </w:r>
      <w:r w:rsidR="00EC37DE" w:rsidRPr="00C93316">
        <w:rPr>
          <w:i/>
        </w:rPr>
        <w:t>Zungu NO v Minister of Safety and Security</w:t>
      </w:r>
      <w:r w:rsidR="00EC37DE">
        <w:t xml:space="preserve"> 2003</w:t>
      </w:r>
      <w:r w:rsidR="000E45B0">
        <w:t xml:space="preserve"> </w:t>
      </w:r>
      <w:r w:rsidR="00EC37DE">
        <w:t>(4) SA 87 (D</w:t>
      </w:r>
      <w:r w:rsidR="000E45B0">
        <w:t xml:space="preserve">) </w:t>
      </w:r>
      <w:r w:rsidR="00EC37DE">
        <w:t>at 90D</w:t>
      </w:r>
      <w:r w:rsidR="00EE1EFB">
        <w:t>.</w:t>
      </w:r>
    </w:p>
  </w:footnote>
  <w:footnote w:id="3">
    <w:p w14:paraId="756882FA" w14:textId="14103C8D" w:rsidR="0087700A" w:rsidRPr="00517894" w:rsidRDefault="0087700A">
      <w:pPr>
        <w:pStyle w:val="FootnoteText"/>
        <w:rPr>
          <w:lang w:val="en-ZA"/>
        </w:rPr>
      </w:pPr>
      <w:r>
        <w:rPr>
          <w:rStyle w:val="FootnoteReference"/>
        </w:rPr>
        <w:footnoteRef/>
      </w:r>
      <w:r>
        <w:t xml:space="preserve"> </w:t>
      </w:r>
      <w:r w:rsidRPr="00083A3D">
        <w:rPr>
          <w:i/>
          <w:iCs/>
          <w:lang w:val="en-ZA"/>
        </w:rPr>
        <w:t>President of the Republic of South Africa and Others v South African Rugby Football Union and Others</w:t>
      </w:r>
      <w:r w:rsidRPr="00DA2EEA">
        <w:rPr>
          <w:lang w:val="en-ZA"/>
        </w:rPr>
        <w:t xml:space="preserve"> 2000 (1) SA 1; 1999 (10) BCLR 1059 </w:t>
      </w:r>
      <w:r>
        <w:rPr>
          <w:lang w:val="en-ZA"/>
        </w:rPr>
        <w:t>para 61.</w:t>
      </w:r>
    </w:p>
  </w:footnote>
  <w:footnote w:id="4">
    <w:p w14:paraId="6D45F8D9" w14:textId="6DC8F3EF" w:rsidR="00A83186" w:rsidRPr="000D7270" w:rsidRDefault="00A83186">
      <w:pPr>
        <w:pStyle w:val="FootnoteText"/>
        <w:rPr>
          <w:lang w:val="en-ZA"/>
        </w:rPr>
      </w:pPr>
      <w:r>
        <w:rPr>
          <w:rStyle w:val="FootnoteReference"/>
        </w:rPr>
        <w:footnoteRef/>
      </w:r>
      <w:r w:rsidR="00B35806" w:rsidRPr="00B35806">
        <w:t xml:space="preserve"> </w:t>
      </w:r>
      <w:r w:rsidR="00B35806" w:rsidRPr="00083A3D">
        <w:rPr>
          <w:i/>
          <w:iCs/>
          <w:lang w:val="en-ZA"/>
        </w:rPr>
        <w:t>S v Boesak</w:t>
      </w:r>
      <w:r w:rsidR="00B35806" w:rsidRPr="00B35806">
        <w:rPr>
          <w:lang w:val="en-ZA"/>
        </w:rPr>
        <w:t xml:space="preserve"> 2001 (1) BCLR 36 (CC); 2001 (1) SA 912 (CC) para 26</w:t>
      </w:r>
      <w:r w:rsidR="00EE1EFB">
        <w:rPr>
          <w:lang w:val="en-ZA"/>
        </w:rPr>
        <w:t>.</w:t>
      </w:r>
    </w:p>
  </w:footnote>
  <w:footnote w:id="5">
    <w:p w14:paraId="1E6F3331" w14:textId="5B2DA3CF" w:rsidR="00964244" w:rsidRPr="00517894" w:rsidRDefault="00964244">
      <w:pPr>
        <w:pStyle w:val="FootnoteText"/>
        <w:rPr>
          <w:lang w:val="en-ZA"/>
        </w:rPr>
      </w:pPr>
      <w:r>
        <w:rPr>
          <w:rStyle w:val="FootnoteReference"/>
        </w:rPr>
        <w:footnoteRef/>
      </w:r>
      <w:r>
        <w:t xml:space="preserve"> </w:t>
      </w:r>
      <w:r w:rsidRPr="00964244">
        <w:rPr>
          <w:i/>
          <w:iCs/>
          <w:lang w:val="en-ZA"/>
        </w:rPr>
        <w:t>Minister of Safety and Security v Slabbert</w:t>
      </w:r>
      <w:r w:rsidRPr="00964244">
        <w:rPr>
          <w:lang w:val="en-ZA"/>
        </w:rPr>
        <w:t xml:space="preserve"> [2009] ZASCA 163; [2010] 2 All SA 474 (SCA) para 11.</w:t>
      </w:r>
    </w:p>
  </w:footnote>
  <w:footnote w:id="6">
    <w:p w14:paraId="3F683647" w14:textId="2FF04AE6" w:rsidR="009614C0" w:rsidRPr="00517894" w:rsidRDefault="009614C0">
      <w:pPr>
        <w:pStyle w:val="FootnoteText"/>
        <w:rPr>
          <w:lang w:val="en-ZA"/>
        </w:rPr>
      </w:pPr>
      <w:r>
        <w:rPr>
          <w:rStyle w:val="FootnoteReference"/>
        </w:rPr>
        <w:footnoteRef/>
      </w:r>
      <w:r>
        <w:t xml:space="preserve"> </w:t>
      </w:r>
      <w:r w:rsidRPr="00083A3D">
        <w:rPr>
          <w:i/>
          <w:iCs/>
          <w:lang w:val="en-ZA"/>
        </w:rPr>
        <w:t>President of the Republic of South Africa and Others v South African Rugby Football Union and Others</w:t>
      </w:r>
      <w:r w:rsidRPr="00DA2EEA">
        <w:rPr>
          <w:lang w:val="en-ZA"/>
        </w:rPr>
        <w:t xml:space="preserve"> 2000 (1) SA 1</w:t>
      </w:r>
      <w:r>
        <w:rPr>
          <w:lang w:val="en-ZA"/>
        </w:rPr>
        <w:t xml:space="preserve"> (CC)</w:t>
      </w:r>
      <w:r w:rsidRPr="00DA2EEA">
        <w:rPr>
          <w:lang w:val="en-ZA"/>
        </w:rPr>
        <w:t>; 1999 (10) BCLR 1059</w:t>
      </w:r>
      <w:r w:rsidRPr="006B12C6">
        <w:rPr>
          <w:lang w:val="en-ZA"/>
        </w:rPr>
        <w:t xml:space="preserve"> </w:t>
      </w:r>
      <w:r>
        <w:rPr>
          <w:lang w:val="en-ZA"/>
        </w:rPr>
        <w:t xml:space="preserve">(CC) </w:t>
      </w:r>
      <w:r w:rsidRPr="006B12C6">
        <w:rPr>
          <w:lang w:val="en-ZA"/>
        </w:rPr>
        <w:t>para 63</w:t>
      </w:r>
      <w:r w:rsidRPr="006B12C6">
        <w:rPr>
          <w:i/>
          <w:lang w:val="en-ZA"/>
        </w:rPr>
        <w:t>.</w:t>
      </w:r>
    </w:p>
  </w:footnote>
  <w:footnote w:id="7">
    <w:p w14:paraId="4D5F5236" w14:textId="160915C6" w:rsidR="00BE075D" w:rsidRPr="00BE075D" w:rsidRDefault="00BE075D">
      <w:pPr>
        <w:pStyle w:val="FootnoteText"/>
        <w:rPr>
          <w:lang w:val="en-ZA"/>
        </w:rPr>
      </w:pPr>
      <w:r w:rsidRPr="006B12C6">
        <w:rPr>
          <w:rStyle w:val="FootnoteReference"/>
          <w:i/>
        </w:rPr>
        <w:footnoteRef/>
      </w:r>
      <w:r w:rsidRPr="006B12C6">
        <w:rPr>
          <w:i/>
        </w:rPr>
        <w:t xml:space="preserve"> </w:t>
      </w:r>
      <w:r w:rsidR="006835F9" w:rsidRPr="00083A3D">
        <w:rPr>
          <w:i/>
          <w:iCs/>
        </w:rPr>
        <w:t>AA Onderlinge Assuransie</w:t>
      </w:r>
      <w:r w:rsidR="009614C0">
        <w:rPr>
          <w:i/>
          <w:iCs/>
        </w:rPr>
        <w:t>-</w:t>
      </w:r>
      <w:r w:rsidR="006835F9" w:rsidRPr="00083A3D">
        <w:rPr>
          <w:i/>
          <w:iCs/>
        </w:rPr>
        <w:t>Assosiasie Bpk v De Beer</w:t>
      </w:r>
      <w:r w:rsidR="006835F9" w:rsidRPr="00083A3D">
        <w:t xml:space="preserve"> 1982 (2) SA 603 (A)</w:t>
      </w:r>
      <w:r w:rsidR="00EE1EFB" w:rsidRPr="00083A3D">
        <w:t>.</w:t>
      </w:r>
    </w:p>
  </w:footnote>
  <w:footnote w:id="8">
    <w:p w14:paraId="5CE1C040" w14:textId="0F623484" w:rsidR="00E74360" w:rsidRPr="00E74360" w:rsidRDefault="00E74360">
      <w:pPr>
        <w:pStyle w:val="FootnoteText"/>
        <w:rPr>
          <w:lang w:val="en-ZA"/>
        </w:rPr>
      </w:pPr>
      <w:r>
        <w:rPr>
          <w:rStyle w:val="FootnoteReference"/>
        </w:rPr>
        <w:footnoteRef/>
      </w:r>
      <w:r>
        <w:t xml:space="preserve"> </w:t>
      </w:r>
      <w:r w:rsidR="00755FAF" w:rsidRPr="008F7E21">
        <w:rPr>
          <w:i/>
        </w:rPr>
        <w:t>Mashongwa vs P</w:t>
      </w:r>
      <w:r w:rsidR="009614C0">
        <w:rPr>
          <w:i/>
        </w:rPr>
        <w:t>RA</w:t>
      </w:r>
      <w:r w:rsidR="00755FAF" w:rsidRPr="008F7E21">
        <w:rPr>
          <w:i/>
        </w:rPr>
        <w:t>SA</w:t>
      </w:r>
      <w:r w:rsidR="0042774E" w:rsidRPr="0042774E">
        <w:t xml:space="preserve"> [2015] ZACC 36; 2016 (2) BCLR 204 (CC); 2016 (3) SA 528 (CC) para 69.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13A5" w14:textId="249E1DB4" w:rsidR="00A83186" w:rsidRDefault="00A83186" w:rsidP="002D3CE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585BA3">
      <w:rPr>
        <w:noProof/>
      </w:rPr>
      <w:t>11</w:t>
    </w:r>
    <w:r>
      <w:rPr>
        <w:noProof/>
      </w:rPr>
      <w:fldChar w:fldCharType="end"/>
    </w:r>
  </w:p>
  <w:p w14:paraId="7B717349" w14:textId="30E27E97" w:rsidR="00A83186" w:rsidRDefault="00A831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65"/>
    <w:multiLevelType w:val="hybridMultilevel"/>
    <w:tmpl w:val="0E5AD8E8"/>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5636B6"/>
    <w:multiLevelType w:val="hybridMultilevel"/>
    <w:tmpl w:val="EA32024E"/>
    <w:lvl w:ilvl="0" w:tplc="3F22872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D4637C"/>
    <w:multiLevelType w:val="hybridMultilevel"/>
    <w:tmpl w:val="598A6B64"/>
    <w:lvl w:ilvl="0" w:tplc="611CECA6">
      <w:start w:val="1"/>
      <w:numFmt w:val="lowerLetter"/>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25D04389"/>
    <w:multiLevelType w:val="hybridMultilevel"/>
    <w:tmpl w:val="1B6A16D2"/>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60114"/>
    <w:multiLevelType w:val="hybridMultilevel"/>
    <w:tmpl w:val="E5FEC8CC"/>
    <w:lvl w:ilvl="0" w:tplc="54B40C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60524"/>
    <w:multiLevelType w:val="hybridMultilevel"/>
    <w:tmpl w:val="0E5AD8E8"/>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14"/>
    <w:lvlOverride w:ilvl="0">
      <w:startOverride w:val="12"/>
    </w:lvlOverride>
  </w:num>
  <w:num w:numId="4">
    <w:abstractNumId w:val="7"/>
  </w:num>
  <w:num w:numId="5">
    <w:abstractNumId w:val="8"/>
  </w:num>
  <w:num w:numId="6">
    <w:abstractNumId w:val="2"/>
  </w:num>
  <w:num w:numId="7">
    <w:abstractNumId w:val="9"/>
  </w:num>
  <w:num w:numId="8">
    <w:abstractNumId w:val="1"/>
  </w:num>
  <w:num w:numId="9">
    <w:abstractNumId w:val="11"/>
  </w:num>
  <w:num w:numId="10">
    <w:abstractNumId w:val="13"/>
  </w:num>
  <w:num w:numId="11">
    <w:abstractNumId w:val="10"/>
  </w:num>
  <w:num w:numId="12">
    <w:abstractNumId w:val="3"/>
  </w:num>
  <w:num w:numId="13">
    <w:abstractNumId w:val="0"/>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MzQzM7cwNjEyNrJU0lEKTi0uzszPAykwqQUA4PYd7SwAAAA="/>
  </w:docVars>
  <w:rsids>
    <w:rsidRoot w:val="008B1580"/>
    <w:rsid w:val="00001262"/>
    <w:rsid w:val="00004490"/>
    <w:rsid w:val="00007F20"/>
    <w:rsid w:val="00010A25"/>
    <w:rsid w:val="00012564"/>
    <w:rsid w:val="00013521"/>
    <w:rsid w:val="0001555E"/>
    <w:rsid w:val="00015D4B"/>
    <w:rsid w:val="000206E7"/>
    <w:rsid w:val="00020CC7"/>
    <w:rsid w:val="00021C55"/>
    <w:rsid w:val="00021CBA"/>
    <w:rsid w:val="00023097"/>
    <w:rsid w:val="000231FE"/>
    <w:rsid w:val="00023C3F"/>
    <w:rsid w:val="00023CD4"/>
    <w:rsid w:val="00024ADF"/>
    <w:rsid w:val="00024F76"/>
    <w:rsid w:val="00025EC2"/>
    <w:rsid w:val="000265B8"/>
    <w:rsid w:val="00031DAB"/>
    <w:rsid w:val="00032717"/>
    <w:rsid w:val="00033501"/>
    <w:rsid w:val="0003447C"/>
    <w:rsid w:val="00034BB4"/>
    <w:rsid w:val="00034E38"/>
    <w:rsid w:val="000355E3"/>
    <w:rsid w:val="0003561F"/>
    <w:rsid w:val="000359D0"/>
    <w:rsid w:val="000362C6"/>
    <w:rsid w:val="000376E8"/>
    <w:rsid w:val="00041BF0"/>
    <w:rsid w:val="00042543"/>
    <w:rsid w:val="00045422"/>
    <w:rsid w:val="0004570A"/>
    <w:rsid w:val="00045B2D"/>
    <w:rsid w:val="00045B86"/>
    <w:rsid w:val="0005272D"/>
    <w:rsid w:val="000527C5"/>
    <w:rsid w:val="00052F48"/>
    <w:rsid w:val="00053087"/>
    <w:rsid w:val="00053328"/>
    <w:rsid w:val="00053DDE"/>
    <w:rsid w:val="000555AD"/>
    <w:rsid w:val="000564D4"/>
    <w:rsid w:val="00057D48"/>
    <w:rsid w:val="00060B81"/>
    <w:rsid w:val="00060DB1"/>
    <w:rsid w:val="00062652"/>
    <w:rsid w:val="00064671"/>
    <w:rsid w:val="00064741"/>
    <w:rsid w:val="00064F83"/>
    <w:rsid w:val="000665C8"/>
    <w:rsid w:val="0006693E"/>
    <w:rsid w:val="00067529"/>
    <w:rsid w:val="00067E4F"/>
    <w:rsid w:val="000705AE"/>
    <w:rsid w:val="0007075B"/>
    <w:rsid w:val="00070C43"/>
    <w:rsid w:val="00070F40"/>
    <w:rsid w:val="00071EFF"/>
    <w:rsid w:val="0007359D"/>
    <w:rsid w:val="00073B48"/>
    <w:rsid w:val="00074949"/>
    <w:rsid w:val="00074BDA"/>
    <w:rsid w:val="0007588B"/>
    <w:rsid w:val="000765CD"/>
    <w:rsid w:val="00076A07"/>
    <w:rsid w:val="00076BE6"/>
    <w:rsid w:val="000808BF"/>
    <w:rsid w:val="00081772"/>
    <w:rsid w:val="00081A5E"/>
    <w:rsid w:val="0008254F"/>
    <w:rsid w:val="000826BA"/>
    <w:rsid w:val="00083A3D"/>
    <w:rsid w:val="00084256"/>
    <w:rsid w:val="00085979"/>
    <w:rsid w:val="00090914"/>
    <w:rsid w:val="00090921"/>
    <w:rsid w:val="00091CDA"/>
    <w:rsid w:val="00091F96"/>
    <w:rsid w:val="0009236E"/>
    <w:rsid w:val="00092EB3"/>
    <w:rsid w:val="00094F90"/>
    <w:rsid w:val="00096A39"/>
    <w:rsid w:val="000974D8"/>
    <w:rsid w:val="0009783E"/>
    <w:rsid w:val="000A11D8"/>
    <w:rsid w:val="000A1357"/>
    <w:rsid w:val="000A13B4"/>
    <w:rsid w:val="000A1683"/>
    <w:rsid w:val="000A35D4"/>
    <w:rsid w:val="000A4850"/>
    <w:rsid w:val="000A5143"/>
    <w:rsid w:val="000A5194"/>
    <w:rsid w:val="000A5197"/>
    <w:rsid w:val="000A5715"/>
    <w:rsid w:val="000A5B84"/>
    <w:rsid w:val="000A6AA2"/>
    <w:rsid w:val="000A6D45"/>
    <w:rsid w:val="000A7DDA"/>
    <w:rsid w:val="000B036F"/>
    <w:rsid w:val="000B085F"/>
    <w:rsid w:val="000B08E4"/>
    <w:rsid w:val="000B0DAB"/>
    <w:rsid w:val="000B103F"/>
    <w:rsid w:val="000B16AD"/>
    <w:rsid w:val="000B1898"/>
    <w:rsid w:val="000B3331"/>
    <w:rsid w:val="000B3A83"/>
    <w:rsid w:val="000B47AA"/>
    <w:rsid w:val="000C0A30"/>
    <w:rsid w:val="000C21F5"/>
    <w:rsid w:val="000C3B90"/>
    <w:rsid w:val="000C66C0"/>
    <w:rsid w:val="000C6C56"/>
    <w:rsid w:val="000C6ED8"/>
    <w:rsid w:val="000D06F5"/>
    <w:rsid w:val="000D07EB"/>
    <w:rsid w:val="000D1924"/>
    <w:rsid w:val="000D294E"/>
    <w:rsid w:val="000D5CC5"/>
    <w:rsid w:val="000D7030"/>
    <w:rsid w:val="000D7270"/>
    <w:rsid w:val="000D767A"/>
    <w:rsid w:val="000E061F"/>
    <w:rsid w:val="000E0DDA"/>
    <w:rsid w:val="000E1134"/>
    <w:rsid w:val="000E2282"/>
    <w:rsid w:val="000E2361"/>
    <w:rsid w:val="000E45B0"/>
    <w:rsid w:val="000E46A5"/>
    <w:rsid w:val="000E48CB"/>
    <w:rsid w:val="000E5EDD"/>
    <w:rsid w:val="000E6BED"/>
    <w:rsid w:val="000E790D"/>
    <w:rsid w:val="000F33E7"/>
    <w:rsid w:val="000F4C7B"/>
    <w:rsid w:val="000F4FC4"/>
    <w:rsid w:val="000F51EB"/>
    <w:rsid w:val="000F53D3"/>
    <w:rsid w:val="000F573A"/>
    <w:rsid w:val="000F5786"/>
    <w:rsid w:val="000F7375"/>
    <w:rsid w:val="001002D0"/>
    <w:rsid w:val="00101CB6"/>
    <w:rsid w:val="00102A92"/>
    <w:rsid w:val="00102BD7"/>
    <w:rsid w:val="00102CFD"/>
    <w:rsid w:val="00102E7A"/>
    <w:rsid w:val="0010304F"/>
    <w:rsid w:val="00103B8B"/>
    <w:rsid w:val="00105E52"/>
    <w:rsid w:val="00107ECF"/>
    <w:rsid w:val="00110143"/>
    <w:rsid w:val="001113D7"/>
    <w:rsid w:val="00113DBF"/>
    <w:rsid w:val="00114DF5"/>
    <w:rsid w:val="00116076"/>
    <w:rsid w:val="00116D37"/>
    <w:rsid w:val="001171F4"/>
    <w:rsid w:val="0011740A"/>
    <w:rsid w:val="00117A2A"/>
    <w:rsid w:val="00120E2B"/>
    <w:rsid w:val="0012171A"/>
    <w:rsid w:val="001217DA"/>
    <w:rsid w:val="00121F6E"/>
    <w:rsid w:val="0012324B"/>
    <w:rsid w:val="001235E2"/>
    <w:rsid w:val="00124590"/>
    <w:rsid w:val="001246FF"/>
    <w:rsid w:val="00124CD8"/>
    <w:rsid w:val="00125807"/>
    <w:rsid w:val="00125AAF"/>
    <w:rsid w:val="00126996"/>
    <w:rsid w:val="001270F1"/>
    <w:rsid w:val="00127152"/>
    <w:rsid w:val="00127387"/>
    <w:rsid w:val="00130C2C"/>
    <w:rsid w:val="0013207E"/>
    <w:rsid w:val="001328EE"/>
    <w:rsid w:val="00134EF5"/>
    <w:rsid w:val="00136D06"/>
    <w:rsid w:val="00142DEA"/>
    <w:rsid w:val="00143001"/>
    <w:rsid w:val="00143131"/>
    <w:rsid w:val="001453A2"/>
    <w:rsid w:val="0014704D"/>
    <w:rsid w:val="00147677"/>
    <w:rsid w:val="00150368"/>
    <w:rsid w:val="00151DAA"/>
    <w:rsid w:val="00151E52"/>
    <w:rsid w:val="00154907"/>
    <w:rsid w:val="00156093"/>
    <w:rsid w:val="00161E18"/>
    <w:rsid w:val="001634C6"/>
    <w:rsid w:val="00163931"/>
    <w:rsid w:val="00164944"/>
    <w:rsid w:val="00166497"/>
    <w:rsid w:val="001666B2"/>
    <w:rsid w:val="00167827"/>
    <w:rsid w:val="0017047E"/>
    <w:rsid w:val="00170C02"/>
    <w:rsid w:val="00172072"/>
    <w:rsid w:val="001726F1"/>
    <w:rsid w:val="0017291C"/>
    <w:rsid w:val="00173874"/>
    <w:rsid w:val="00174EE8"/>
    <w:rsid w:val="00176B33"/>
    <w:rsid w:val="00180983"/>
    <w:rsid w:val="001825C1"/>
    <w:rsid w:val="0018313A"/>
    <w:rsid w:val="00184728"/>
    <w:rsid w:val="00185972"/>
    <w:rsid w:val="001859A6"/>
    <w:rsid w:val="001861B8"/>
    <w:rsid w:val="00186ABF"/>
    <w:rsid w:val="00190B0C"/>
    <w:rsid w:val="00192709"/>
    <w:rsid w:val="0019284C"/>
    <w:rsid w:val="001943E3"/>
    <w:rsid w:val="0019442A"/>
    <w:rsid w:val="00195D17"/>
    <w:rsid w:val="00196209"/>
    <w:rsid w:val="0019621F"/>
    <w:rsid w:val="00197051"/>
    <w:rsid w:val="001A072E"/>
    <w:rsid w:val="001A0A6A"/>
    <w:rsid w:val="001A0A70"/>
    <w:rsid w:val="001A1BEE"/>
    <w:rsid w:val="001A3DAD"/>
    <w:rsid w:val="001A4D36"/>
    <w:rsid w:val="001A5B07"/>
    <w:rsid w:val="001A5F3A"/>
    <w:rsid w:val="001A7651"/>
    <w:rsid w:val="001B1BEF"/>
    <w:rsid w:val="001B2E73"/>
    <w:rsid w:val="001B3079"/>
    <w:rsid w:val="001B32E0"/>
    <w:rsid w:val="001B3B0B"/>
    <w:rsid w:val="001B48AA"/>
    <w:rsid w:val="001B5685"/>
    <w:rsid w:val="001B5AA8"/>
    <w:rsid w:val="001B7741"/>
    <w:rsid w:val="001C0156"/>
    <w:rsid w:val="001C09BF"/>
    <w:rsid w:val="001C0F00"/>
    <w:rsid w:val="001C1500"/>
    <w:rsid w:val="001C285B"/>
    <w:rsid w:val="001C2DB9"/>
    <w:rsid w:val="001C3EFE"/>
    <w:rsid w:val="001C4918"/>
    <w:rsid w:val="001C6A1E"/>
    <w:rsid w:val="001C6F44"/>
    <w:rsid w:val="001C709D"/>
    <w:rsid w:val="001C7B52"/>
    <w:rsid w:val="001D0B4B"/>
    <w:rsid w:val="001D0CE7"/>
    <w:rsid w:val="001D10F6"/>
    <w:rsid w:val="001D1552"/>
    <w:rsid w:val="001D1684"/>
    <w:rsid w:val="001D1D41"/>
    <w:rsid w:val="001D1E26"/>
    <w:rsid w:val="001D2D6A"/>
    <w:rsid w:val="001D3975"/>
    <w:rsid w:val="001D3B0E"/>
    <w:rsid w:val="001D575E"/>
    <w:rsid w:val="001D725E"/>
    <w:rsid w:val="001D7A1C"/>
    <w:rsid w:val="001D7BF3"/>
    <w:rsid w:val="001D7DD0"/>
    <w:rsid w:val="001E2249"/>
    <w:rsid w:val="001E406B"/>
    <w:rsid w:val="001E4831"/>
    <w:rsid w:val="001E5D72"/>
    <w:rsid w:val="001E66A9"/>
    <w:rsid w:val="001E66DC"/>
    <w:rsid w:val="001E7E92"/>
    <w:rsid w:val="001F0BDF"/>
    <w:rsid w:val="001F2030"/>
    <w:rsid w:val="001F2DAD"/>
    <w:rsid w:val="001F385E"/>
    <w:rsid w:val="001F4E35"/>
    <w:rsid w:val="001F4F7C"/>
    <w:rsid w:val="001F513F"/>
    <w:rsid w:val="001F6764"/>
    <w:rsid w:val="00200DCE"/>
    <w:rsid w:val="0020195B"/>
    <w:rsid w:val="00203BC0"/>
    <w:rsid w:val="00204E63"/>
    <w:rsid w:val="0020630F"/>
    <w:rsid w:val="002066D2"/>
    <w:rsid w:val="00206A15"/>
    <w:rsid w:val="00210584"/>
    <w:rsid w:val="00211562"/>
    <w:rsid w:val="00211D77"/>
    <w:rsid w:val="00215767"/>
    <w:rsid w:val="00215C85"/>
    <w:rsid w:val="0021630E"/>
    <w:rsid w:val="0021796C"/>
    <w:rsid w:val="002205D1"/>
    <w:rsid w:val="00221520"/>
    <w:rsid w:val="00222E33"/>
    <w:rsid w:val="0022422F"/>
    <w:rsid w:val="00224840"/>
    <w:rsid w:val="00224AB9"/>
    <w:rsid w:val="00224F9A"/>
    <w:rsid w:val="002256FC"/>
    <w:rsid w:val="00225A84"/>
    <w:rsid w:val="00226451"/>
    <w:rsid w:val="0022713F"/>
    <w:rsid w:val="00227532"/>
    <w:rsid w:val="00230E57"/>
    <w:rsid w:val="00231777"/>
    <w:rsid w:val="002324F3"/>
    <w:rsid w:val="00237343"/>
    <w:rsid w:val="00240699"/>
    <w:rsid w:val="002417DE"/>
    <w:rsid w:val="002422F0"/>
    <w:rsid w:val="00243865"/>
    <w:rsid w:val="00244582"/>
    <w:rsid w:val="00244F82"/>
    <w:rsid w:val="00245A40"/>
    <w:rsid w:val="00246A76"/>
    <w:rsid w:val="002509B3"/>
    <w:rsid w:val="00250B45"/>
    <w:rsid w:val="00252065"/>
    <w:rsid w:val="002539BD"/>
    <w:rsid w:val="00253BB3"/>
    <w:rsid w:val="00253C77"/>
    <w:rsid w:val="00255C36"/>
    <w:rsid w:val="00255DC1"/>
    <w:rsid w:val="00256FDE"/>
    <w:rsid w:val="00262186"/>
    <w:rsid w:val="00262C02"/>
    <w:rsid w:val="00262EB5"/>
    <w:rsid w:val="002647C4"/>
    <w:rsid w:val="0026680D"/>
    <w:rsid w:val="00271DE4"/>
    <w:rsid w:val="0027231E"/>
    <w:rsid w:val="00272FD5"/>
    <w:rsid w:val="0027332E"/>
    <w:rsid w:val="00275DBB"/>
    <w:rsid w:val="002767AA"/>
    <w:rsid w:val="00276A29"/>
    <w:rsid w:val="00276E1E"/>
    <w:rsid w:val="00277553"/>
    <w:rsid w:val="0027761B"/>
    <w:rsid w:val="0027774B"/>
    <w:rsid w:val="002802FD"/>
    <w:rsid w:val="00282365"/>
    <w:rsid w:val="00282C04"/>
    <w:rsid w:val="00284827"/>
    <w:rsid w:val="00285D7D"/>
    <w:rsid w:val="00286095"/>
    <w:rsid w:val="00287FAE"/>
    <w:rsid w:val="00290F98"/>
    <w:rsid w:val="00290FF9"/>
    <w:rsid w:val="00291489"/>
    <w:rsid w:val="00294DE0"/>
    <w:rsid w:val="00295285"/>
    <w:rsid w:val="00295687"/>
    <w:rsid w:val="002A0AA0"/>
    <w:rsid w:val="002A152C"/>
    <w:rsid w:val="002A1981"/>
    <w:rsid w:val="002A22EB"/>
    <w:rsid w:val="002A32D2"/>
    <w:rsid w:val="002A3E57"/>
    <w:rsid w:val="002A5D3B"/>
    <w:rsid w:val="002A5FB5"/>
    <w:rsid w:val="002A688D"/>
    <w:rsid w:val="002A7B50"/>
    <w:rsid w:val="002B0F19"/>
    <w:rsid w:val="002B11E5"/>
    <w:rsid w:val="002B3E41"/>
    <w:rsid w:val="002B439B"/>
    <w:rsid w:val="002B4D16"/>
    <w:rsid w:val="002B5250"/>
    <w:rsid w:val="002B65C2"/>
    <w:rsid w:val="002B7D5F"/>
    <w:rsid w:val="002B7DDB"/>
    <w:rsid w:val="002C0308"/>
    <w:rsid w:val="002C144B"/>
    <w:rsid w:val="002C1D95"/>
    <w:rsid w:val="002C2201"/>
    <w:rsid w:val="002C406B"/>
    <w:rsid w:val="002C4988"/>
    <w:rsid w:val="002C51E8"/>
    <w:rsid w:val="002C5C1A"/>
    <w:rsid w:val="002C6183"/>
    <w:rsid w:val="002C67F9"/>
    <w:rsid w:val="002C77C4"/>
    <w:rsid w:val="002C7FD5"/>
    <w:rsid w:val="002D0B8D"/>
    <w:rsid w:val="002D26B6"/>
    <w:rsid w:val="002D2CF0"/>
    <w:rsid w:val="002D3CEF"/>
    <w:rsid w:val="002D3EB0"/>
    <w:rsid w:val="002D4370"/>
    <w:rsid w:val="002D5473"/>
    <w:rsid w:val="002D695B"/>
    <w:rsid w:val="002E203F"/>
    <w:rsid w:val="002E2F48"/>
    <w:rsid w:val="002E38B4"/>
    <w:rsid w:val="002E57CD"/>
    <w:rsid w:val="002E7190"/>
    <w:rsid w:val="002E7339"/>
    <w:rsid w:val="002E7A5A"/>
    <w:rsid w:val="002F081A"/>
    <w:rsid w:val="002F0995"/>
    <w:rsid w:val="002F1525"/>
    <w:rsid w:val="002F19B4"/>
    <w:rsid w:val="002F1D62"/>
    <w:rsid w:val="002F277C"/>
    <w:rsid w:val="002F2B21"/>
    <w:rsid w:val="002F3B15"/>
    <w:rsid w:val="002F440D"/>
    <w:rsid w:val="002F7071"/>
    <w:rsid w:val="002F7096"/>
    <w:rsid w:val="002F710F"/>
    <w:rsid w:val="002F7479"/>
    <w:rsid w:val="0030013D"/>
    <w:rsid w:val="00300353"/>
    <w:rsid w:val="003003D5"/>
    <w:rsid w:val="00300787"/>
    <w:rsid w:val="00300D07"/>
    <w:rsid w:val="0030104E"/>
    <w:rsid w:val="003025A5"/>
    <w:rsid w:val="00302959"/>
    <w:rsid w:val="003031B0"/>
    <w:rsid w:val="003044F3"/>
    <w:rsid w:val="003047B7"/>
    <w:rsid w:val="00304F1E"/>
    <w:rsid w:val="003058F5"/>
    <w:rsid w:val="00305FBA"/>
    <w:rsid w:val="0031007F"/>
    <w:rsid w:val="00311E42"/>
    <w:rsid w:val="00312058"/>
    <w:rsid w:val="00312790"/>
    <w:rsid w:val="00312F8F"/>
    <w:rsid w:val="00313E52"/>
    <w:rsid w:val="003148AB"/>
    <w:rsid w:val="00315CE4"/>
    <w:rsid w:val="0031729E"/>
    <w:rsid w:val="00317348"/>
    <w:rsid w:val="00321A71"/>
    <w:rsid w:val="003226F9"/>
    <w:rsid w:val="0032368A"/>
    <w:rsid w:val="00324478"/>
    <w:rsid w:val="00325D19"/>
    <w:rsid w:val="003262D3"/>
    <w:rsid w:val="0032677B"/>
    <w:rsid w:val="00330F85"/>
    <w:rsid w:val="00331089"/>
    <w:rsid w:val="003311AE"/>
    <w:rsid w:val="0033299D"/>
    <w:rsid w:val="00332A09"/>
    <w:rsid w:val="0033473C"/>
    <w:rsid w:val="00337037"/>
    <w:rsid w:val="003370E5"/>
    <w:rsid w:val="00337DA1"/>
    <w:rsid w:val="00337FA3"/>
    <w:rsid w:val="00340874"/>
    <w:rsid w:val="00340B29"/>
    <w:rsid w:val="00340EC7"/>
    <w:rsid w:val="00342721"/>
    <w:rsid w:val="00343243"/>
    <w:rsid w:val="00343F06"/>
    <w:rsid w:val="00344135"/>
    <w:rsid w:val="00345921"/>
    <w:rsid w:val="0034746E"/>
    <w:rsid w:val="00347CBF"/>
    <w:rsid w:val="00351AA6"/>
    <w:rsid w:val="00354D0B"/>
    <w:rsid w:val="003554FC"/>
    <w:rsid w:val="0035562B"/>
    <w:rsid w:val="00356DDC"/>
    <w:rsid w:val="003614E7"/>
    <w:rsid w:val="0036277A"/>
    <w:rsid w:val="00363B9D"/>
    <w:rsid w:val="00364639"/>
    <w:rsid w:val="00366386"/>
    <w:rsid w:val="00366C72"/>
    <w:rsid w:val="00366F18"/>
    <w:rsid w:val="0036794C"/>
    <w:rsid w:val="00370345"/>
    <w:rsid w:val="00372FED"/>
    <w:rsid w:val="00374C6F"/>
    <w:rsid w:val="0037506C"/>
    <w:rsid w:val="003757D2"/>
    <w:rsid w:val="00376298"/>
    <w:rsid w:val="003775B0"/>
    <w:rsid w:val="003831C3"/>
    <w:rsid w:val="00383A5E"/>
    <w:rsid w:val="0038448F"/>
    <w:rsid w:val="00384AB0"/>
    <w:rsid w:val="00385DA3"/>
    <w:rsid w:val="00391D93"/>
    <w:rsid w:val="003929DC"/>
    <w:rsid w:val="003932AA"/>
    <w:rsid w:val="00393370"/>
    <w:rsid w:val="00393A4B"/>
    <w:rsid w:val="003956FC"/>
    <w:rsid w:val="003A1BA5"/>
    <w:rsid w:val="003A2850"/>
    <w:rsid w:val="003A3060"/>
    <w:rsid w:val="003A6521"/>
    <w:rsid w:val="003A6A0C"/>
    <w:rsid w:val="003A769D"/>
    <w:rsid w:val="003A7CE1"/>
    <w:rsid w:val="003B1DDC"/>
    <w:rsid w:val="003B5267"/>
    <w:rsid w:val="003B66BD"/>
    <w:rsid w:val="003B6C36"/>
    <w:rsid w:val="003C025C"/>
    <w:rsid w:val="003C057A"/>
    <w:rsid w:val="003C2327"/>
    <w:rsid w:val="003C2AF8"/>
    <w:rsid w:val="003C2EC2"/>
    <w:rsid w:val="003C3312"/>
    <w:rsid w:val="003C4931"/>
    <w:rsid w:val="003C4E05"/>
    <w:rsid w:val="003C52BE"/>
    <w:rsid w:val="003C589E"/>
    <w:rsid w:val="003C5F80"/>
    <w:rsid w:val="003C6231"/>
    <w:rsid w:val="003C6873"/>
    <w:rsid w:val="003C6B7C"/>
    <w:rsid w:val="003C7839"/>
    <w:rsid w:val="003D05C5"/>
    <w:rsid w:val="003D1468"/>
    <w:rsid w:val="003D2548"/>
    <w:rsid w:val="003D2C47"/>
    <w:rsid w:val="003D3CDF"/>
    <w:rsid w:val="003D4CF5"/>
    <w:rsid w:val="003E0C6C"/>
    <w:rsid w:val="003E1A02"/>
    <w:rsid w:val="003E2031"/>
    <w:rsid w:val="003E23DD"/>
    <w:rsid w:val="003E29C8"/>
    <w:rsid w:val="003E4B82"/>
    <w:rsid w:val="003E5184"/>
    <w:rsid w:val="003E5536"/>
    <w:rsid w:val="003E6B01"/>
    <w:rsid w:val="003E736A"/>
    <w:rsid w:val="003F124E"/>
    <w:rsid w:val="003F22DD"/>
    <w:rsid w:val="003F2E90"/>
    <w:rsid w:val="003F37AC"/>
    <w:rsid w:val="003F4977"/>
    <w:rsid w:val="003F5519"/>
    <w:rsid w:val="003F610A"/>
    <w:rsid w:val="003F67E9"/>
    <w:rsid w:val="003F7E94"/>
    <w:rsid w:val="003F7E99"/>
    <w:rsid w:val="00400AFC"/>
    <w:rsid w:val="004014A9"/>
    <w:rsid w:val="0040168E"/>
    <w:rsid w:val="00401C27"/>
    <w:rsid w:val="0040487D"/>
    <w:rsid w:val="00405F25"/>
    <w:rsid w:val="00407C61"/>
    <w:rsid w:val="00410A14"/>
    <w:rsid w:val="00414539"/>
    <w:rsid w:val="004148A2"/>
    <w:rsid w:val="0041668E"/>
    <w:rsid w:val="00416786"/>
    <w:rsid w:val="00416A66"/>
    <w:rsid w:val="00420086"/>
    <w:rsid w:val="004204F8"/>
    <w:rsid w:val="0042163B"/>
    <w:rsid w:val="004216C6"/>
    <w:rsid w:val="00422CFF"/>
    <w:rsid w:val="00423E62"/>
    <w:rsid w:val="00426D2F"/>
    <w:rsid w:val="00426DEA"/>
    <w:rsid w:val="0042774E"/>
    <w:rsid w:val="004304A0"/>
    <w:rsid w:val="00430D60"/>
    <w:rsid w:val="00431321"/>
    <w:rsid w:val="004314F2"/>
    <w:rsid w:val="00431B58"/>
    <w:rsid w:val="0043342F"/>
    <w:rsid w:val="00433466"/>
    <w:rsid w:val="004344FA"/>
    <w:rsid w:val="00434984"/>
    <w:rsid w:val="004368C0"/>
    <w:rsid w:val="00436B1F"/>
    <w:rsid w:val="004405BB"/>
    <w:rsid w:val="00440613"/>
    <w:rsid w:val="00442888"/>
    <w:rsid w:val="00443762"/>
    <w:rsid w:val="00443DB8"/>
    <w:rsid w:val="004444AD"/>
    <w:rsid w:val="00445FCD"/>
    <w:rsid w:val="0044647F"/>
    <w:rsid w:val="004464A5"/>
    <w:rsid w:val="00447E58"/>
    <w:rsid w:val="00450B48"/>
    <w:rsid w:val="0045181C"/>
    <w:rsid w:val="00452B3D"/>
    <w:rsid w:val="004533E1"/>
    <w:rsid w:val="00453AB2"/>
    <w:rsid w:val="00453DFB"/>
    <w:rsid w:val="004566AA"/>
    <w:rsid w:val="00457AA5"/>
    <w:rsid w:val="00461056"/>
    <w:rsid w:val="00461429"/>
    <w:rsid w:val="00461B69"/>
    <w:rsid w:val="00462B4C"/>
    <w:rsid w:val="00462D88"/>
    <w:rsid w:val="004656E1"/>
    <w:rsid w:val="00466F8B"/>
    <w:rsid w:val="00467089"/>
    <w:rsid w:val="004672F0"/>
    <w:rsid w:val="0046740E"/>
    <w:rsid w:val="00470C37"/>
    <w:rsid w:val="004726A6"/>
    <w:rsid w:val="00472A3C"/>
    <w:rsid w:val="004748AB"/>
    <w:rsid w:val="004767E7"/>
    <w:rsid w:val="00476EBE"/>
    <w:rsid w:val="00480D73"/>
    <w:rsid w:val="00480FC7"/>
    <w:rsid w:val="0048339A"/>
    <w:rsid w:val="004848EE"/>
    <w:rsid w:val="00487A12"/>
    <w:rsid w:val="00487B88"/>
    <w:rsid w:val="00487FE9"/>
    <w:rsid w:val="00490183"/>
    <w:rsid w:val="00490325"/>
    <w:rsid w:val="00490C1F"/>
    <w:rsid w:val="0049291A"/>
    <w:rsid w:val="00493E24"/>
    <w:rsid w:val="00493FE8"/>
    <w:rsid w:val="00495BD3"/>
    <w:rsid w:val="00496016"/>
    <w:rsid w:val="004969CF"/>
    <w:rsid w:val="0049720C"/>
    <w:rsid w:val="00497BBB"/>
    <w:rsid w:val="004A0100"/>
    <w:rsid w:val="004A0533"/>
    <w:rsid w:val="004A1AE9"/>
    <w:rsid w:val="004A2813"/>
    <w:rsid w:val="004A3D0A"/>
    <w:rsid w:val="004A435F"/>
    <w:rsid w:val="004A43FB"/>
    <w:rsid w:val="004A4DA8"/>
    <w:rsid w:val="004A5DD5"/>
    <w:rsid w:val="004A6974"/>
    <w:rsid w:val="004A69BF"/>
    <w:rsid w:val="004A6DB2"/>
    <w:rsid w:val="004A774F"/>
    <w:rsid w:val="004B0933"/>
    <w:rsid w:val="004B1A84"/>
    <w:rsid w:val="004B1CF8"/>
    <w:rsid w:val="004B2863"/>
    <w:rsid w:val="004B2A0E"/>
    <w:rsid w:val="004B3BDC"/>
    <w:rsid w:val="004B6E30"/>
    <w:rsid w:val="004C017E"/>
    <w:rsid w:val="004C0BB6"/>
    <w:rsid w:val="004C1041"/>
    <w:rsid w:val="004C169E"/>
    <w:rsid w:val="004C1906"/>
    <w:rsid w:val="004C24D0"/>
    <w:rsid w:val="004C51F4"/>
    <w:rsid w:val="004C527E"/>
    <w:rsid w:val="004C5BC0"/>
    <w:rsid w:val="004C75FC"/>
    <w:rsid w:val="004D1638"/>
    <w:rsid w:val="004D18FD"/>
    <w:rsid w:val="004D299F"/>
    <w:rsid w:val="004D3454"/>
    <w:rsid w:val="004D4149"/>
    <w:rsid w:val="004D47D0"/>
    <w:rsid w:val="004E1223"/>
    <w:rsid w:val="004E12E7"/>
    <w:rsid w:val="004E142C"/>
    <w:rsid w:val="004E2E8D"/>
    <w:rsid w:val="004E352A"/>
    <w:rsid w:val="004E399C"/>
    <w:rsid w:val="004E4146"/>
    <w:rsid w:val="004E4A0D"/>
    <w:rsid w:val="004E4BF0"/>
    <w:rsid w:val="004E4DBB"/>
    <w:rsid w:val="004E5A16"/>
    <w:rsid w:val="004E65E7"/>
    <w:rsid w:val="004E7EF4"/>
    <w:rsid w:val="004F2320"/>
    <w:rsid w:val="004F293C"/>
    <w:rsid w:val="004F43AE"/>
    <w:rsid w:val="004F4498"/>
    <w:rsid w:val="004F5DAB"/>
    <w:rsid w:val="004F6D6A"/>
    <w:rsid w:val="00501469"/>
    <w:rsid w:val="0050158B"/>
    <w:rsid w:val="00503328"/>
    <w:rsid w:val="005033BD"/>
    <w:rsid w:val="00505ED6"/>
    <w:rsid w:val="00506A89"/>
    <w:rsid w:val="00507646"/>
    <w:rsid w:val="00507A84"/>
    <w:rsid w:val="00511A54"/>
    <w:rsid w:val="00511C5B"/>
    <w:rsid w:val="00512EA1"/>
    <w:rsid w:val="0051385E"/>
    <w:rsid w:val="00513ABC"/>
    <w:rsid w:val="00514FBA"/>
    <w:rsid w:val="00515961"/>
    <w:rsid w:val="00515CE0"/>
    <w:rsid w:val="005161D6"/>
    <w:rsid w:val="005174B4"/>
    <w:rsid w:val="00517894"/>
    <w:rsid w:val="00517966"/>
    <w:rsid w:val="00517A18"/>
    <w:rsid w:val="00517B04"/>
    <w:rsid w:val="0052417B"/>
    <w:rsid w:val="00524ACF"/>
    <w:rsid w:val="00524F94"/>
    <w:rsid w:val="00525221"/>
    <w:rsid w:val="005253FB"/>
    <w:rsid w:val="00525C61"/>
    <w:rsid w:val="00525E5B"/>
    <w:rsid w:val="00526082"/>
    <w:rsid w:val="005303AE"/>
    <w:rsid w:val="0053112E"/>
    <w:rsid w:val="0053226F"/>
    <w:rsid w:val="00532A55"/>
    <w:rsid w:val="005330C0"/>
    <w:rsid w:val="005334BF"/>
    <w:rsid w:val="00534A70"/>
    <w:rsid w:val="00534ADA"/>
    <w:rsid w:val="00535B9F"/>
    <w:rsid w:val="00535D36"/>
    <w:rsid w:val="00536686"/>
    <w:rsid w:val="005370ED"/>
    <w:rsid w:val="00537C5C"/>
    <w:rsid w:val="00537E43"/>
    <w:rsid w:val="00541976"/>
    <w:rsid w:val="00541AB5"/>
    <w:rsid w:val="00541D4C"/>
    <w:rsid w:val="0054212E"/>
    <w:rsid w:val="00542BD6"/>
    <w:rsid w:val="005435E2"/>
    <w:rsid w:val="00544701"/>
    <w:rsid w:val="00545B18"/>
    <w:rsid w:val="00545C91"/>
    <w:rsid w:val="005465A4"/>
    <w:rsid w:val="0054783B"/>
    <w:rsid w:val="00547ED5"/>
    <w:rsid w:val="00550EA3"/>
    <w:rsid w:val="0055166A"/>
    <w:rsid w:val="00551734"/>
    <w:rsid w:val="005527CB"/>
    <w:rsid w:val="005534D0"/>
    <w:rsid w:val="005537E5"/>
    <w:rsid w:val="00553D48"/>
    <w:rsid w:val="00554415"/>
    <w:rsid w:val="005546AC"/>
    <w:rsid w:val="00555FF9"/>
    <w:rsid w:val="005576D3"/>
    <w:rsid w:val="00557769"/>
    <w:rsid w:val="00560CAF"/>
    <w:rsid w:val="00561782"/>
    <w:rsid w:val="00561E83"/>
    <w:rsid w:val="005622B2"/>
    <w:rsid w:val="005635DE"/>
    <w:rsid w:val="00564347"/>
    <w:rsid w:val="00564A3A"/>
    <w:rsid w:val="0056644F"/>
    <w:rsid w:val="00570166"/>
    <w:rsid w:val="005707A0"/>
    <w:rsid w:val="00570B7C"/>
    <w:rsid w:val="00570C44"/>
    <w:rsid w:val="00570F9F"/>
    <w:rsid w:val="005716B0"/>
    <w:rsid w:val="005728E0"/>
    <w:rsid w:val="00572F0F"/>
    <w:rsid w:val="005735C1"/>
    <w:rsid w:val="005741DB"/>
    <w:rsid w:val="00577175"/>
    <w:rsid w:val="005779DF"/>
    <w:rsid w:val="00580301"/>
    <w:rsid w:val="00581394"/>
    <w:rsid w:val="00581FA4"/>
    <w:rsid w:val="00583C04"/>
    <w:rsid w:val="00583E56"/>
    <w:rsid w:val="0058416D"/>
    <w:rsid w:val="00584F6A"/>
    <w:rsid w:val="00585891"/>
    <w:rsid w:val="00585BA3"/>
    <w:rsid w:val="00586953"/>
    <w:rsid w:val="00587D61"/>
    <w:rsid w:val="005936D3"/>
    <w:rsid w:val="00595AA6"/>
    <w:rsid w:val="0059614C"/>
    <w:rsid w:val="005970EF"/>
    <w:rsid w:val="00597B41"/>
    <w:rsid w:val="005A1325"/>
    <w:rsid w:val="005A371B"/>
    <w:rsid w:val="005A3D14"/>
    <w:rsid w:val="005A4B8D"/>
    <w:rsid w:val="005A4DCE"/>
    <w:rsid w:val="005A5F06"/>
    <w:rsid w:val="005A737C"/>
    <w:rsid w:val="005B030C"/>
    <w:rsid w:val="005B09AE"/>
    <w:rsid w:val="005B176A"/>
    <w:rsid w:val="005B25E7"/>
    <w:rsid w:val="005B2651"/>
    <w:rsid w:val="005B2779"/>
    <w:rsid w:val="005B3300"/>
    <w:rsid w:val="005B38D3"/>
    <w:rsid w:val="005B43ED"/>
    <w:rsid w:val="005B5F77"/>
    <w:rsid w:val="005C04F5"/>
    <w:rsid w:val="005C0FE1"/>
    <w:rsid w:val="005C187A"/>
    <w:rsid w:val="005C18E4"/>
    <w:rsid w:val="005C55CC"/>
    <w:rsid w:val="005C676C"/>
    <w:rsid w:val="005C6FEA"/>
    <w:rsid w:val="005C73C6"/>
    <w:rsid w:val="005C77DA"/>
    <w:rsid w:val="005D01C6"/>
    <w:rsid w:val="005D04A7"/>
    <w:rsid w:val="005D0924"/>
    <w:rsid w:val="005D11F9"/>
    <w:rsid w:val="005D2596"/>
    <w:rsid w:val="005D2674"/>
    <w:rsid w:val="005D4CF7"/>
    <w:rsid w:val="005D5608"/>
    <w:rsid w:val="005D622B"/>
    <w:rsid w:val="005D71E6"/>
    <w:rsid w:val="005D74DD"/>
    <w:rsid w:val="005E0EB6"/>
    <w:rsid w:val="005E111E"/>
    <w:rsid w:val="005E206D"/>
    <w:rsid w:val="005E2EA7"/>
    <w:rsid w:val="005E3D91"/>
    <w:rsid w:val="005E4B25"/>
    <w:rsid w:val="005E5320"/>
    <w:rsid w:val="005E550C"/>
    <w:rsid w:val="005E59A2"/>
    <w:rsid w:val="005E5E8A"/>
    <w:rsid w:val="005F05D8"/>
    <w:rsid w:val="005F108F"/>
    <w:rsid w:val="005F25DC"/>
    <w:rsid w:val="005F2D5D"/>
    <w:rsid w:val="005F370D"/>
    <w:rsid w:val="005F3A61"/>
    <w:rsid w:val="005F425F"/>
    <w:rsid w:val="005F4BCA"/>
    <w:rsid w:val="005F503C"/>
    <w:rsid w:val="005F7951"/>
    <w:rsid w:val="00600941"/>
    <w:rsid w:val="0060133E"/>
    <w:rsid w:val="006013B7"/>
    <w:rsid w:val="00601413"/>
    <w:rsid w:val="006029BC"/>
    <w:rsid w:val="00602C7B"/>
    <w:rsid w:val="00602D2C"/>
    <w:rsid w:val="0060306F"/>
    <w:rsid w:val="00603E86"/>
    <w:rsid w:val="00606349"/>
    <w:rsid w:val="00606713"/>
    <w:rsid w:val="00606833"/>
    <w:rsid w:val="00607993"/>
    <w:rsid w:val="006102EF"/>
    <w:rsid w:val="00610E0D"/>
    <w:rsid w:val="00611004"/>
    <w:rsid w:val="0061161C"/>
    <w:rsid w:val="00611C74"/>
    <w:rsid w:val="00611CD1"/>
    <w:rsid w:val="0061208B"/>
    <w:rsid w:val="00612C9D"/>
    <w:rsid w:val="00613C53"/>
    <w:rsid w:val="006161AE"/>
    <w:rsid w:val="00616B27"/>
    <w:rsid w:val="00620375"/>
    <w:rsid w:val="00620ABC"/>
    <w:rsid w:val="00621D4C"/>
    <w:rsid w:val="0062209A"/>
    <w:rsid w:val="0062298A"/>
    <w:rsid w:val="0062399F"/>
    <w:rsid w:val="0062449D"/>
    <w:rsid w:val="0062453A"/>
    <w:rsid w:val="00625000"/>
    <w:rsid w:val="006255FF"/>
    <w:rsid w:val="00626216"/>
    <w:rsid w:val="00630102"/>
    <w:rsid w:val="006303A9"/>
    <w:rsid w:val="0063050E"/>
    <w:rsid w:val="00630ABC"/>
    <w:rsid w:val="00630E81"/>
    <w:rsid w:val="00631270"/>
    <w:rsid w:val="006312A9"/>
    <w:rsid w:val="00633189"/>
    <w:rsid w:val="00633DCC"/>
    <w:rsid w:val="0063412C"/>
    <w:rsid w:val="00634B5E"/>
    <w:rsid w:val="006356EF"/>
    <w:rsid w:val="00636C49"/>
    <w:rsid w:val="006374C4"/>
    <w:rsid w:val="00640271"/>
    <w:rsid w:val="0064041A"/>
    <w:rsid w:val="006458D8"/>
    <w:rsid w:val="00646C73"/>
    <w:rsid w:val="0064715F"/>
    <w:rsid w:val="006471BC"/>
    <w:rsid w:val="0065083A"/>
    <w:rsid w:val="00650B9D"/>
    <w:rsid w:val="00651CDE"/>
    <w:rsid w:val="00652790"/>
    <w:rsid w:val="00654397"/>
    <w:rsid w:val="006565A5"/>
    <w:rsid w:val="006566E6"/>
    <w:rsid w:val="006568CA"/>
    <w:rsid w:val="00657FD8"/>
    <w:rsid w:val="0066078A"/>
    <w:rsid w:val="00664174"/>
    <w:rsid w:val="00664E3C"/>
    <w:rsid w:val="0066638D"/>
    <w:rsid w:val="00666734"/>
    <w:rsid w:val="00667EFD"/>
    <w:rsid w:val="00671136"/>
    <w:rsid w:val="0067193C"/>
    <w:rsid w:val="00672E0C"/>
    <w:rsid w:val="00673B8D"/>
    <w:rsid w:val="00675544"/>
    <w:rsid w:val="00676712"/>
    <w:rsid w:val="00676789"/>
    <w:rsid w:val="006801D6"/>
    <w:rsid w:val="0068263D"/>
    <w:rsid w:val="00682675"/>
    <w:rsid w:val="006835F9"/>
    <w:rsid w:val="00683AFC"/>
    <w:rsid w:val="00684C86"/>
    <w:rsid w:val="00685C08"/>
    <w:rsid w:val="00685EC8"/>
    <w:rsid w:val="006866E8"/>
    <w:rsid w:val="00686DB7"/>
    <w:rsid w:val="00686E38"/>
    <w:rsid w:val="00687035"/>
    <w:rsid w:val="00690FF5"/>
    <w:rsid w:val="0069110A"/>
    <w:rsid w:val="006915A7"/>
    <w:rsid w:val="00691696"/>
    <w:rsid w:val="0069220C"/>
    <w:rsid w:val="00692CE8"/>
    <w:rsid w:val="00694FFC"/>
    <w:rsid w:val="006A040A"/>
    <w:rsid w:val="006A065B"/>
    <w:rsid w:val="006A0BC8"/>
    <w:rsid w:val="006A0EEA"/>
    <w:rsid w:val="006A224C"/>
    <w:rsid w:val="006A39F0"/>
    <w:rsid w:val="006A45E2"/>
    <w:rsid w:val="006A6D08"/>
    <w:rsid w:val="006A6FA3"/>
    <w:rsid w:val="006A729F"/>
    <w:rsid w:val="006B010C"/>
    <w:rsid w:val="006B12C6"/>
    <w:rsid w:val="006B1393"/>
    <w:rsid w:val="006B31BF"/>
    <w:rsid w:val="006B6E28"/>
    <w:rsid w:val="006C1B86"/>
    <w:rsid w:val="006C1C7C"/>
    <w:rsid w:val="006C2019"/>
    <w:rsid w:val="006C33A6"/>
    <w:rsid w:val="006C394A"/>
    <w:rsid w:val="006C4491"/>
    <w:rsid w:val="006C5AB6"/>
    <w:rsid w:val="006C5D91"/>
    <w:rsid w:val="006C628F"/>
    <w:rsid w:val="006C7818"/>
    <w:rsid w:val="006C7DA0"/>
    <w:rsid w:val="006C7DF0"/>
    <w:rsid w:val="006D03F4"/>
    <w:rsid w:val="006D384A"/>
    <w:rsid w:val="006D42E6"/>
    <w:rsid w:val="006D45F8"/>
    <w:rsid w:val="006D55FB"/>
    <w:rsid w:val="006D58E9"/>
    <w:rsid w:val="006D5C21"/>
    <w:rsid w:val="006D6EC8"/>
    <w:rsid w:val="006D6FD6"/>
    <w:rsid w:val="006D7309"/>
    <w:rsid w:val="006D7720"/>
    <w:rsid w:val="006D7CE3"/>
    <w:rsid w:val="006D7D28"/>
    <w:rsid w:val="006E06DD"/>
    <w:rsid w:val="006E0E2B"/>
    <w:rsid w:val="006E23B9"/>
    <w:rsid w:val="006E39F6"/>
    <w:rsid w:val="006E3C13"/>
    <w:rsid w:val="006E5087"/>
    <w:rsid w:val="006E605D"/>
    <w:rsid w:val="006E720D"/>
    <w:rsid w:val="006E72E0"/>
    <w:rsid w:val="006E7625"/>
    <w:rsid w:val="006E7893"/>
    <w:rsid w:val="006E7CF6"/>
    <w:rsid w:val="006E7EEB"/>
    <w:rsid w:val="006F0064"/>
    <w:rsid w:val="006F0225"/>
    <w:rsid w:val="006F1B0D"/>
    <w:rsid w:val="006F350E"/>
    <w:rsid w:val="006F5015"/>
    <w:rsid w:val="006F5F4F"/>
    <w:rsid w:val="006F6538"/>
    <w:rsid w:val="006F6A8A"/>
    <w:rsid w:val="0070191B"/>
    <w:rsid w:val="00701ABB"/>
    <w:rsid w:val="00703B5C"/>
    <w:rsid w:val="007118D0"/>
    <w:rsid w:val="00712849"/>
    <w:rsid w:val="00715326"/>
    <w:rsid w:val="00715BA6"/>
    <w:rsid w:val="007160A1"/>
    <w:rsid w:val="0071615A"/>
    <w:rsid w:val="007164B5"/>
    <w:rsid w:val="00716B4E"/>
    <w:rsid w:val="007176D4"/>
    <w:rsid w:val="007204D0"/>
    <w:rsid w:val="00720732"/>
    <w:rsid w:val="007207C8"/>
    <w:rsid w:val="00720894"/>
    <w:rsid w:val="00721277"/>
    <w:rsid w:val="007218EE"/>
    <w:rsid w:val="00721AFD"/>
    <w:rsid w:val="00721D04"/>
    <w:rsid w:val="00721D82"/>
    <w:rsid w:val="00722035"/>
    <w:rsid w:val="00724046"/>
    <w:rsid w:val="0072501D"/>
    <w:rsid w:val="007272BD"/>
    <w:rsid w:val="00727A5B"/>
    <w:rsid w:val="007300B0"/>
    <w:rsid w:val="00730724"/>
    <w:rsid w:val="00731B68"/>
    <w:rsid w:val="00731DBC"/>
    <w:rsid w:val="00734941"/>
    <w:rsid w:val="007359EB"/>
    <w:rsid w:val="00735DAA"/>
    <w:rsid w:val="0073693F"/>
    <w:rsid w:val="00736997"/>
    <w:rsid w:val="00737557"/>
    <w:rsid w:val="007415B5"/>
    <w:rsid w:val="0074192F"/>
    <w:rsid w:val="00741F27"/>
    <w:rsid w:val="007425F7"/>
    <w:rsid w:val="00743A88"/>
    <w:rsid w:val="0074408B"/>
    <w:rsid w:val="007449FF"/>
    <w:rsid w:val="00745DAC"/>
    <w:rsid w:val="00747D43"/>
    <w:rsid w:val="00747FE3"/>
    <w:rsid w:val="007509CD"/>
    <w:rsid w:val="007516CA"/>
    <w:rsid w:val="007534EE"/>
    <w:rsid w:val="00755CEC"/>
    <w:rsid w:val="00755F06"/>
    <w:rsid w:val="00755FAF"/>
    <w:rsid w:val="00756BEB"/>
    <w:rsid w:val="00757969"/>
    <w:rsid w:val="00757CD6"/>
    <w:rsid w:val="00760669"/>
    <w:rsid w:val="00762072"/>
    <w:rsid w:val="00763718"/>
    <w:rsid w:val="00764591"/>
    <w:rsid w:val="00764661"/>
    <w:rsid w:val="007659BF"/>
    <w:rsid w:val="00765F09"/>
    <w:rsid w:val="007665C1"/>
    <w:rsid w:val="00767FB8"/>
    <w:rsid w:val="00772532"/>
    <w:rsid w:val="007729EC"/>
    <w:rsid w:val="0077487D"/>
    <w:rsid w:val="007777F2"/>
    <w:rsid w:val="007819A5"/>
    <w:rsid w:val="00781FEF"/>
    <w:rsid w:val="00782BC3"/>
    <w:rsid w:val="00782E03"/>
    <w:rsid w:val="00783AE4"/>
    <w:rsid w:val="00787FAF"/>
    <w:rsid w:val="00790CC2"/>
    <w:rsid w:val="007921E9"/>
    <w:rsid w:val="00793C50"/>
    <w:rsid w:val="00796DFE"/>
    <w:rsid w:val="00797E0D"/>
    <w:rsid w:val="007A044A"/>
    <w:rsid w:val="007A05F9"/>
    <w:rsid w:val="007A1307"/>
    <w:rsid w:val="007A329F"/>
    <w:rsid w:val="007A40E0"/>
    <w:rsid w:val="007A4605"/>
    <w:rsid w:val="007A4EEF"/>
    <w:rsid w:val="007A7033"/>
    <w:rsid w:val="007A7759"/>
    <w:rsid w:val="007B08F5"/>
    <w:rsid w:val="007B1C1B"/>
    <w:rsid w:val="007B1E77"/>
    <w:rsid w:val="007B2A2E"/>
    <w:rsid w:val="007B4F9D"/>
    <w:rsid w:val="007B54F7"/>
    <w:rsid w:val="007B7430"/>
    <w:rsid w:val="007B758B"/>
    <w:rsid w:val="007C17BB"/>
    <w:rsid w:val="007C1C26"/>
    <w:rsid w:val="007C2F95"/>
    <w:rsid w:val="007C3539"/>
    <w:rsid w:val="007C5163"/>
    <w:rsid w:val="007C52E5"/>
    <w:rsid w:val="007C5EDF"/>
    <w:rsid w:val="007C7600"/>
    <w:rsid w:val="007C7C08"/>
    <w:rsid w:val="007D0748"/>
    <w:rsid w:val="007D2110"/>
    <w:rsid w:val="007D3388"/>
    <w:rsid w:val="007D4EB0"/>
    <w:rsid w:val="007D52C9"/>
    <w:rsid w:val="007D5BA6"/>
    <w:rsid w:val="007D6515"/>
    <w:rsid w:val="007D725A"/>
    <w:rsid w:val="007D7B38"/>
    <w:rsid w:val="007E009B"/>
    <w:rsid w:val="007E1BC1"/>
    <w:rsid w:val="007E1C9F"/>
    <w:rsid w:val="007E1F0B"/>
    <w:rsid w:val="007E24C8"/>
    <w:rsid w:val="007E4AC8"/>
    <w:rsid w:val="007E4B8D"/>
    <w:rsid w:val="007E4BCF"/>
    <w:rsid w:val="007E5702"/>
    <w:rsid w:val="007E5F8E"/>
    <w:rsid w:val="007E6559"/>
    <w:rsid w:val="007F0630"/>
    <w:rsid w:val="007F1318"/>
    <w:rsid w:val="007F2168"/>
    <w:rsid w:val="007F297E"/>
    <w:rsid w:val="007F31C9"/>
    <w:rsid w:val="007F4F81"/>
    <w:rsid w:val="007F558F"/>
    <w:rsid w:val="007F6661"/>
    <w:rsid w:val="007F68CF"/>
    <w:rsid w:val="007F6BF3"/>
    <w:rsid w:val="007F71C5"/>
    <w:rsid w:val="007F79D7"/>
    <w:rsid w:val="007F7D76"/>
    <w:rsid w:val="008005D9"/>
    <w:rsid w:val="00800B0F"/>
    <w:rsid w:val="0080175C"/>
    <w:rsid w:val="0080245E"/>
    <w:rsid w:val="00803892"/>
    <w:rsid w:val="0080560F"/>
    <w:rsid w:val="00805F12"/>
    <w:rsid w:val="00807478"/>
    <w:rsid w:val="00810649"/>
    <w:rsid w:val="0081405D"/>
    <w:rsid w:val="008144AF"/>
    <w:rsid w:val="008144F4"/>
    <w:rsid w:val="008145DE"/>
    <w:rsid w:val="0081650E"/>
    <w:rsid w:val="00820F98"/>
    <w:rsid w:val="008217C8"/>
    <w:rsid w:val="0082181C"/>
    <w:rsid w:val="00822351"/>
    <w:rsid w:val="0082256D"/>
    <w:rsid w:val="008231DC"/>
    <w:rsid w:val="008232B7"/>
    <w:rsid w:val="00823850"/>
    <w:rsid w:val="00827682"/>
    <w:rsid w:val="008305DF"/>
    <w:rsid w:val="00830909"/>
    <w:rsid w:val="00831772"/>
    <w:rsid w:val="00831F07"/>
    <w:rsid w:val="008327D6"/>
    <w:rsid w:val="00832FBB"/>
    <w:rsid w:val="008334B8"/>
    <w:rsid w:val="00833524"/>
    <w:rsid w:val="0083419A"/>
    <w:rsid w:val="00834326"/>
    <w:rsid w:val="00834BA0"/>
    <w:rsid w:val="008359A4"/>
    <w:rsid w:val="0083605F"/>
    <w:rsid w:val="0083667D"/>
    <w:rsid w:val="00836F86"/>
    <w:rsid w:val="008372D7"/>
    <w:rsid w:val="008374BC"/>
    <w:rsid w:val="00837C28"/>
    <w:rsid w:val="00841895"/>
    <w:rsid w:val="00843296"/>
    <w:rsid w:val="008443F8"/>
    <w:rsid w:val="008453DA"/>
    <w:rsid w:val="00845E13"/>
    <w:rsid w:val="008476BB"/>
    <w:rsid w:val="008476CF"/>
    <w:rsid w:val="00851031"/>
    <w:rsid w:val="00852176"/>
    <w:rsid w:val="008525C3"/>
    <w:rsid w:val="00852668"/>
    <w:rsid w:val="008536A1"/>
    <w:rsid w:val="00853A96"/>
    <w:rsid w:val="00853DB0"/>
    <w:rsid w:val="008544BC"/>
    <w:rsid w:val="00855D31"/>
    <w:rsid w:val="008578D0"/>
    <w:rsid w:val="00860EE7"/>
    <w:rsid w:val="00861A36"/>
    <w:rsid w:val="00861BD6"/>
    <w:rsid w:val="008628E0"/>
    <w:rsid w:val="00862A79"/>
    <w:rsid w:val="00862F78"/>
    <w:rsid w:val="00863132"/>
    <w:rsid w:val="00863612"/>
    <w:rsid w:val="00865396"/>
    <w:rsid w:val="00865B6E"/>
    <w:rsid w:val="00867831"/>
    <w:rsid w:val="008702C8"/>
    <w:rsid w:val="00872511"/>
    <w:rsid w:val="0087385A"/>
    <w:rsid w:val="008742D7"/>
    <w:rsid w:val="00875B11"/>
    <w:rsid w:val="00876903"/>
    <w:rsid w:val="0087700A"/>
    <w:rsid w:val="00877161"/>
    <w:rsid w:val="00877E9B"/>
    <w:rsid w:val="00880452"/>
    <w:rsid w:val="008827D3"/>
    <w:rsid w:val="0088297E"/>
    <w:rsid w:val="008843DC"/>
    <w:rsid w:val="00884B5B"/>
    <w:rsid w:val="00885D7F"/>
    <w:rsid w:val="00886445"/>
    <w:rsid w:val="0088768E"/>
    <w:rsid w:val="00887B7D"/>
    <w:rsid w:val="0089008A"/>
    <w:rsid w:val="00890AE0"/>
    <w:rsid w:val="00890F11"/>
    <w:rsid w:val="00890FC1"/>
    <w:rsid w:val="00891610"/>
    <w:rsid w:val="00895462"/>
    <w:rsid w:val="00895ADC"/>
    <w:rsid w:val="00895AFF"/>
    <w:rsid w:val="008960A8"/>
    <w:rsid w:val="00896E2D"/>
    <w:rsid w:val="008971C0"/>
    <w:rsid w:val="00897C1D"/>
    <w:rsid w:val="008A16AF"/>
    <w:rsid w:val="008A1E16"/>
    <w:rsid w:val="008A20E4"/>
    <w:rsid w:val="008A2601"/>
    <w:rsid w:val="008A261E"/>
    <w:rsid w:val="008A2A28"/>
    <w:rsid w:val="008A4F57"/>
    <w:rsid w:val="008A53EA"/>
    <w:rsid w:val="008A6083"/>
    <w:rsid w:val="008A72AC"/>
    <w:rsid w:val="008A765E"/>
    <w:rsid w:val="008B05B8"/>
    <w:rsid w:val="008B1580"/>
    <w:rsid w:val="008B239C"/>
    <w:rsid w:val="008B2743"/>
    <w:rsid w:val="008B4A4A"/>
    <w:rsid w:val="008B5371"/>
    <w:rsid w:val="008B5C5F"/>
    <w:rsid w:val="008B768D"/>
    <w:rsid w:val="008C1949"/>
    <w:rsid w:val="008C25A1"/>
    <w:rsid w:val="008C2D04"/>
    <w:rsid w:val="008C2E6E"/>
    <w:rsid w:val="008C49F5"/>
    <w:rsid w:val="008C5856"/>
    <w:rsid w:val="008C5CEC"/>
    <w:rsid w:val="008C6112"/>
    <w:rsid w:val="008C6A2E"/>
    <w:rsid w:val="008C778B"/>
    <w:rsid w:val="008C7BE3"/>
    <w:rsid w:val="008D1718"/>
    <w:rsid w:val="008D1E8D"/>
    <w:rsid w:val="008D33C1"/>
    <w:rsid w:val="008D3BDA"/>
    <w:rsid w:val="008D4C2E"/>
    <w:rsid w:val="008D4F23"/>
    <w:rsid w:val="008D56B6"/>
    <w:rsid w:val="008D6707"/>
    <w:rsid w:val="008D7874"/>
    <w:rsid w:val="008E01BF"/>
    <w:rsid w:val="008E05B7"/>
    <w:rsid w:val="008E0678"/>
    <w:rsid w:val="008E0A9D"/>
    <w:rsid w:val="008E0F40"/>
    <w:rsid w:val="008E1E6F"/>
    <w:rsid w:val="008E2F59"/>
    <w:rsid w:val="008E4A1C"/>
    <w:rsid w:val="008E5B8E"/>
    <w:rsid w:val="008E5EEE"/>
    <w:rsid w:val="008E636E"/>
    <w:rsid w:val="008E65FD"/>
    <w:rsid w:val="008E6DF9"/>
    <w:rsid w:val="008E73CD"/>
    <w:rsid w:val="008E7A6D"/>
    <w:rsid w:val="008F0648"/>
    <w:rsid w:val="008F08D2"/>
    <w:rsid w:val="008F09F2"/>
    <w:rsid w:val="008F16FF"/>
    <w:rsid w:val="008F30A8"/>
    <w:rsid w:val="008F30AC"/>
    <w:rsid w:val="008F4B5D"/>
    <w:rsid w:val="008F76F0"/>
    <w:rsid w:val="008F7E15"/>
    <w:rsid w:val="008F7E21"/>
    <w:rsid w:val="00901354"/>
    <w:rsid w:val="00903568"/>
    <w:rsid w:val="009039DD"/>
    <w:rsid w:val="00903B21"/>
    <w:rsid w:val="00905C85"/>
    <w:rsid w:val="00906890"/>
    <w:rsid w:val="00911467"/>
    <w:rsid w:val="009123D2"/>
    <w:rsid w:val="00912637"/>
    <w:rsid w:val="00914035"/>
    <w:rsid w:val="00914A0F"/>
    <w:rsid w:val="0091610E"/>
    <w:rsid w:val="00916FA2"/>
    <w:rsid w:val="00920515"/>
    <w:rsid w:val="00922E9F"/>
    <w:rsid w:val="009233C9"/>
    <w:rsid w:val="009237F1"/>
    <w:rsid w:val="00925194"/>
    <w:rsid w:val="009259A0"/>
    <w:rsid w:val="009278CE"/>
    <w:rsid w:val="00927B23"/>
    <w:rsid w:val="00927C5E"/>
    <w:rsid w:val="00927DF3"/>
    <w:rsid w:val="00930DF5"/>
    <w:rsid w:val="00933132"/>
    <w:rsid w:val="00933789"/>
    <w:rsid w:val="0093378A"/>
    <w:rsid w:val="00934D3E"/>
    <w:rsid w:val="00935029"/>
    <w:rsid w:val="00935F2E"/>
    <w:rsid w:val="0093673F"/>
    <w:rsid w:val="00936B8C"/>
    <w:rsid w:val="00936B9C"/>
    <w:rsid w:val="009400DD"/>
    <w:rsid w:val="00940A0E"/>
    <w:rsid w:val="0094248E"/>
    <w:rsid w:val="00942DFE"/>
    <w:rsid w:val="00943C79"/>
    <w:rsid w:val="00943E47"/>
    <w:rsid w:val="00943FEF"/>
    <w:rsid w:val="00944B42"/>
    <w:rsid w:val="009473B1"/>
    <w:rsid w:val="0094746D"/>
    <w:rsid w:val="00947573"/>
    <w:rsid w:val="00947F85"/>
    <w:rsid w:val="00950EC3"/>
    <w:rsid w:val="0095181E"/>
    <w:rsid w:val="00951FE4"/>
    <w:rsid w:val="00952002"/>
    <w:rsid w:val="009525EF"/>
    <w:rsid w:val="00952B18"/>
    <w:rsid w:val="00954795"/>
    <w:rsid w:val="00955C60"/>
    <w:rsid w:val="009562CD"/>
    <w:rsid w:val="009564EF"/>
    <w:rsid w:val="00956601"/>
    <w:rsid w:val="009566CD"/>
    <w:rsid w:val="009614C0"/>
    <w:rsid w:val="00961A8D"/>
    <w:rsid w:val="009628DD"/>
    <w:rsid w:val="00962B86"/>
    <w:rsid w:val="00962F57"/>
    <w:rsid w:val="00963009"/>
    <w:rsid w:val="00964244"/>
    <w:rsid w:val="00964FD2"/>
    <w:rsid w:val="009705B0"/>
    <w:rsid w:val="00971382"/>
    <w:rsid w:val="00971CB1"/>
    <w:rsid w:val="0097218A"/>
    <w:rsid w:val="00975C89"/>
    <w:rsid w:val="00977F69"/>
    <w:rsid w:val="009807A8"/>
    <w:rsid w:val="0098284B"/>
    <w:rsid w:val="009829A9"/>
    <w:rsid w:val="00982AFE"/>
    <w:rsid w:val="009831EB"/>
    <w:rsid w:val="00983EEA"/>
    <w:rsid w:val="0098402C"/>
    <w:rsid w:val="009865B9"/>
    <w:rsid w:val="00986C1A"/>
    <w:rsid w:val="00986D2B"/>
    <w:rsid w:val="00987466"/>
    <w:rsid w:val="00991B82"/>
    <w:rsid w:val="00991D52"/>
    <w:rsid w:val="00991F11"/>
    <w:rsid w:val="0099202C"/>
    <w:rsid w:val="00992C1D"/>
    <w:rsid w:val="0099338B"/>
    <w:rsid w:val="009943D9"/>
    <w:rsid w:val="009969EF"/>
    <w:rsid w:val="00997E84"/>
    <w:rsid w:val="009A0B7D"/>
    <w:rsid w:val="009A2F84"/>
    <w:rsid w:val="009A31B7"/>
    <w:rsid w:val="009A3DEE"/>
    <w:rsid w:val="009A3F5E"/>
    <w:rsid w:val="009A49EF"/>
    <w:rsid w:val="009A65E1"/>
    <w:rsid w:val="009A7B3D"/>
    <w:rsid w:val="009B2256"/>
    <w:rsid w:val="009B2CE0"/>
    <w:rsid w:val="009B4522"/>
    <w:rsid w:val="009B4535"/>
    <w:rsid w:val="009B4A1C"/>
    <w:rsid w:val="009B5A9E"/>
    <w:rsid w:val="009B64BB"/>
    <w:rsid w:val="009B6CC4"/>
    <w:rsid w:val="009C2751"/>
    <w:rsid w:val="009C2C9D"/>
    <w:rsid w:val="009C2D95"/>
    <w:rsid w:val="009C43EC"/>
    <w:rsid w:val="009C4891"/>
    <w:rsid w:val="009C4FC2"/>
    <w:rsid w:val="009C5618"/>
    <w:rsid w:val="009C7122"/>
    <w:rsid w:val="009C7CC7"/>
    <w:rsid w:val="009D0824"/>
    <w:rsid w:val="009D235A"/>
    <w:rsid w:val="009D3246"/>
    <w:rsid w:val="009D3FE1"/>
    <w:rsid w:val="009D4B45"/>
    <w:rsid w:val="009D7292"/>
    <w:rsid w:val="009D7ADE"/>
    <w:rsid w:val="009E121F"/>
    <w:rsid w:val="009E1333"/>
    <w:rsid w:val="009E17EE"/>
    <w:rsid w:val="009E2200"/>
    <w:rsid w:val="009E222B"/>
    <w:rsid w:val="009E2367"/>
    <w:rsid w:val="009E275B"/>
    <w:rsid w:val="009E2D7C"/>
    <w:rsid w:val="009E4058"/>
    <w:rsid w:val="009E630B"/>
    <w:rsid w:val="009E741D"/>
    <w:rsid w:val="009E7696"/>
    <w:rsid w:val="009F09FC"/>
    <w:rsid w:val="009F0A92"/>
    <w:rsid w:val="009F2412"/>
    <w:rsid w:val="009F384B"/>
    <w:rsid w:val="009F38DE"/>
    <w:rsid w:val="009F3D9F"/>
    <w:rsid w:val="009F41D7"/>
    <w:rsid w:val="009F42AB"/>
    <w:rsid w:val="009F4732"/>
    <w:rsid w:val="009F50CC"/>
    <w:rsid w:val="009F6AC0"/>
    <w:rsid w:val="009F6C60"/>
    <w:rsid w:val="009F7217"/>
    <w:rsid w:val="00A010F1"/>
    <w:rsid w:val="00A012A3"/>
    <w:rsid w:val="00A015AF"/>
    <w:rsid w:val="00A02D78"/>
    <w:rsid w:val="00A044EF"/>
    <w:rsid w:val="00A047FA"/>
    <w:rsid w:val="00A0632D"/>
    <w:rsid w:val="00A065B5"/>
    <w:rsid w:val="00A07BED"/>
    <w:rsid w:val="00A10425"/>
    <w:rsid w:val="00A14AAB"/>
    <w:rsid w:val="00A150B8"/>
    <w:rsid w:val="00A1656E"/>
    <w:rsid w:val="00A16909"/>
    <w:rsid w:val="00A17428"/>
    <w:rsid w:val="00A20943"/>
    <w:rsid w:val="00A21B30"/>
    <w:rsid w:val="00A22432"/>
    <w:rsid w:val="00A228DB"/>
    <w:rsid w:val="00A23EE0"/>
    <w:rsid w:val="00A240E1"/>
    <w:rsid w:val="00A25D4D"/>
    <w:rsid w:val="00A26374"/>
    <w:rsid w:val="00A27231"/>
    <w:rsid w:val="00A2728E"/>
    <w:rsid w:val="00A277BA"/>
    <w:rsid w:val="00A27A22"/>
    <w:rsid w:val="00A27E90"/>
    <w:rsid w:val="00A30484"/>
    <w:rsid w:val="00A30EEC"/>
    <w:rsid w:val="00A31DCC"/>
    <w:rsid w:val="00A328D4"/>
    <w:rsid w:val="00A3360D"/>
    <w:rsid w:val="00A339FF"/>
    <w:rsid w:val="00A33EA6"/>
    <w:rsid w:val="00A34E7A"/>
    <w:rsid w:val="00A35E74"/>
    <w:rsid w:val="00A36389"/>
    <w:rsid w:val="00A36582"/>
    <w:rsid w:val="00A36F0A"/>
    <w:rsid w:val="00A37276"/>
    <w:rsid w:val="00A37BA8"/>
    <w:rsid w:val="00A40138"/>
    <w:rsid w:val="00A42903"/>
    <w:rsid w:val="00A4319F"/>
    <w:rsid w:val="00A43D25"/>
    <w:rsid w:val="00A444AB"/>
    <w:rsid w:val="00A45236"/>
    <w:rsid w:val="00A4646F"/>
    <w:rsid w:val="00A46A6D"/>
    <w:rsid w:val="00A46DA7"/>
    <w:rsid w:val="00A4783F"/>
    <w:rsid w:val="00A501A3"/>
    <w:rsid w:val="00A51515"/>
    <w:rsid w:val="00A51A8B"/>
    <w:rsid w:val="00A51AF2"/>
    <w:rsid w:val="00A52A3A"/>
    <w:rsid w:val="00A52CD9"/>
    <w:rsid w:val="00A52ED5"/>
    <w:rsid w:val="00A53495"/>
    <w:rsid w:val="00A53882"/>
    <w:rsid w:val="00A57AB8"/>
    <w:rsid w:val="00A611A6"/>
    <w:rsid w:val="00A6205F"/>
    <w:rsid w:val="00A621D9"/>
    <w:rsid w:val="00A631AF"/>
    <w:rsid w:val="00A63BA5"/>
    <w:rsid w:val="00A63E62"/>
    <w:rsid w:val="00A649F3"/>
    <w:rsid w:val="00A64BC1"/>
    <w:rsid w:val="00A64BC4"/>
    <w:rsid w:val="00A660C7"/>
    <w:rsid w:val="00A660E6"/>
    <w:rsid w:val="00A66574"/>
    <w:rsid w:val="00A66EBE"/>
    <w:rsid w:val="00A6757D"/>
    <w:rsid w:val="00A73478"/>
    <w:rsid w:val="00A7350A"/>
    <w:rsid w:val="00A7358D"/>
    <w:rsid w:val="00A74E38"/>
    <w:rsid w:val="00A8119A"/>
    <w:rsid w:val="00A820A7"/>
    <w:rsid w:val="00A8286C"/>
    <w:rsid w:val="00A82AB6"/>
    <w:rsid w:val="00A83186"/>
    <w:rsid w:val="00A85B8F"/>
    <w:rsid w:val="00A917E5"/>
    <w:rsid w:val="00A94C2B"/>
    <w:rsid w:val="00A9543C"/>
    <w:rsid w:val="00AA04F7"/>
    <w:rsid w:val="00AA2BB8"/>
    <w:rsid w:val="00AA56D9"/>
    <w:rsid w:val="00AA5B1C"/>
    <w:rsid w:val="00AA61B8"/>
    <w:rsid w:val="00AA6858"/>
    <w:rsid w:val="00AA6FDA"/>
    <w:rsid w:val="00AA753B"/>
    <w:rsid w:val="00AA7E96"/>
    <w:rsid w:val="00AB07DD"/>
    <w:rsid w:val="00AB0AAE"/>
    <w:rsid w:val="00AB2192"/>
    <w:rsid w:val="00AB2291"/>
    <w:rsid w:val="00AB26E9"/>
    <w:rsid w:val="00AB2C48"/>
    <w:rsid w:val="00AB3320"/>
    <w:rsid w:val="00AB39C4"/>
    <w:rsid w:val="00AB47D3"/>
    <w:rsid w:val="00AB4CB4"/>
    <w:rsid w:val="00AB5478"/>
    <w:rsid w:val="00AB7B55"/>
    <w:rsid w:val="00AC0C79"/>
    <w:rsid w:val="00AC3959"/>
    <w:rsid w:val="00AC3CE6"/>
    <w:rsid w:val="00AC6F25"/>
    <w:rsid w:val="00AD1078"/>
    <w:rsid w:val="00AD12BF"/>
    <w:rsid w:val="00AD1E46"/>
    <w:rsid w:val="00AD32C7"/>
    <w:rsid w:val="00AD391B"/>
    <w:rsid w:val="00AD7B97"/>
    <w:rsid w:val="00AD7DAA"/>
    <w:rsid w:val="00AE023F"/>
    <w:rsid w:val="00AE056D"/>
    <w:rsid w:val="00AE06CB"/>
    <w:rsid w:val="00AE0B45"/>
    <w:rsid w:val="00AE0E5D"/>
    <w:rsid w:val="00AE3748"/>
    <w:rsid w:val="00AE4656"/>
    <w:rsid w:val="00AE6C5A"/>
    <w:rsid w:val="00AE703D"/>
    <w:rsid w:val="00AE797F"/>
    <w:rsid w:val="00AF0C67"/>
    <w:rsid w:val="00AF1565"/>
    <w:rsid w:val="00AF339D"/>
    <w:rsid w:val="00AF3736"/>
    <w:rsid w:val="00AF3823"/>
    <w:rsid w:val="00AF505E"/>
    <w:rsid w:val="00AF5250"/>
    <w:rsid w:val="00AF6014"/>
    <w:rsid w:val="00AF6117"/>
    <w:rsid w:val="00AF613F"/>
    <w:rsid w:val="00AF6303"/>
    <w:rsid w:val="00B0153F"/>
    <w:rsid w:val="00B0161B"/>
    <w:rsid w:val="00B0293B"/>
    <w:rsid w:val="00B064C0"/>
    <w:rsid w:val="00B064D4"/>
    <w:rsid w:val="00B0671B"/>
    <w:rsid w:val="00B0768C"/>
    <w:rsid w:val="00B07857"/>
    <w:rsid w:val="00B12572"/>
    <w:rsid w:val="00B145AD"/>
    <w:rsid w:val="00B1505E"/>
    <w:rsid w:val="00B15066"/>
    <w:rsid w:val="00B1720D"/>
    <w:rsid w:val="00B17F03"/>
    <w:rsid w:val="00B206DF"/>
    <w:rsid w:val="00B21382"/>
    <w:rsid w:val="00B21E44"/>
    <w:rsid w:val="00B224B1"/>
    <w:rsid w:val="00B23A66"/>
    <w:rsid w:val="00B24066"/>
    <w:rsid w:val="00B2463C"/>
    <w:rsid w:val="00B24742"/>
    <w:rsid w:val="00B24AE2"/>
    <w:rsid w:val="00B254A3"/>
    <w:rsid w:val="00B26647"/>
    <w:rsid w:val="00B27B3C"/>
    <w:rsid w:val="00B30304"/>
    <w:rsid w:val="00B3067C"/>
    <w:rsid w:val="00B30C53"/>
    <w:rsid w:val="00B3140E"/>
    <w:rsid w:val="00B315C1"/>
    <w:rsid w:val="00B33857"/>
    <w:rsid w:val="00B33890"/>
    <w:rsid w:val="00B35806"/>
    <w:rsid w:val="00B36E61"/>
    <w:rsid w:val="00B40811"/>
    <w:rsid w:val="00B41347"/>
    <w:rsid w:val="00B4156D"/>
    <w:rsid w:val="00B42285"/>
    <w:rsid w:val="00B44602"/>
    <w:rsid w:val="00B447A2"/>
    <w:rsid w:val="00B44FFC"/>
    <w:rsid w:val="00B45EAF"/>
    <w:rsid w:val="00B47F8D"/>
    <w:rsid w:val="00B50943"/>
    <w:rsid w:val="00B548BE"/>
    <w:rsid w:val="00B5493F"/>
    <w:rsid w:val="00B55036"/>
    <w:rsid w:val="00B5792A"/>
    <w:rsid w:val="00B650BC"/>
    <w:rsid w:val="00B661CC"/>
    <w:rsid w:val="00B6624B"/>
    <w:rsid w:val="00B667A2"/>
    <w:rsid w:val="00B66942"/>
    <w:rsid w:val="00B66E51"/>
    <w:rsid w:val="00B67B76"/>
    <w:rsid w:val="00B70953"/>
    <w:rsid w:val="00B7167D"/>
    <w:rsid w:val="00B7167E"/>
    <w:rsid w:val="00B71844"/>
    <w:rsid w:val="00B71EDE"/>
    <w:rsid w:val="00B72958"/>
    <w:rsid w:val="00B76072"/>
    <w:rsid w:val="00B77A6D"/>
    <w:rsid w:val="00B77B4C"/>
    <w:rsid w:val="00B801A0"/>
    <w:rsid w:val="00B814FF"/>
    <w:rsid w:val="00B84F73"/>
    <w:rsid w:val="00B85CEE"/>
    <w:rsid w:val="00B866B8"/>
    <w:rsid w:val="00B90B37"/>
    <w:rsid w:val="00B918C1"/>
    <w:rsid w:val="00B91AF3"/>
    <w:rsid w:val="00B91C56"/>
    <w:rsid w:val="00B92585"/>
    <w:rsid w:val="00B92705"/>
    <w:rsid w:val="00B92BDD"/>
    <w:rsid w:val="00B93FFC"/>
    <w:rsid w:val="00B95970"/>
    <w:rsid w:val="00B95F0A"/>
    <w:rsid w:val="00BA25BB"/>
    <w:rsid w:val="00BA25EE"/>
    <w:rsid w:val="00BA392F"/>
    <w:rsid w:val="00BA4443"/>
    <w:rsid w:val="00BA5179"/>
    <w:rsid w:val="00BA69F8"/>
    <w:rsid w:val="00BB0FC3"/>
    <w:rsid w:val="00BB21EC"/>
    <w:rsid w:val="00BB24D0"/>
    <w:rsid w:val="00BB2DF4"/>
    <w:rsid w:val="00BB46B7"/>
    <w:rsid w:val="00BB5A8A"/>
    <w:rsid w:val="00BC029F"/>
    <w:rsid w:val="00BC2C2E"/>
    <w:rsid w:val="00BC731F"/>
    <w:rsid w:val="00BD1134"/>
    <w:rsid w:val="00BD2338"/>
    <w:rsid w:val="00BD3A0A"/>
    <w:rsid w:val="00BD3BF9"/>
    <w:rsid w:val="00BD414D"/>
    <w:rsid w:val="00BD4B16"/>
    <w:rsid w:val="00BD5880"/>
    <w:rsid w:val="00BD7CE9"/>
    <w:rsid w:val="00BE075D"/>
    <w:rsid w:val="00BE07D8"/>
    <w:rsid w:val="00BE1AE8"/>
    <w:rsid w:val="00BE209A"/>
    <w:rsid w:val="00BE48F9"/>
    <w:rsid w:val="00BE495C"/>
    <w:rsid w:val="00BE5314"/>
    <w:rsid w:val="00BE5DD1"/>
    <w:rsid w:val="00BE743E"/>
    <w:rsid w:val="00BF0CFC"/>
    <w:rsid w:val="00BF1070"/>
    <w:rsid w:val="00BF1716"/>
    <w:rsid w:val="00BF1AC1"/>
    <w:rsid w:val="00BF1D22"/>
    <w:rsid w:val="00BF341C"/>
    <w:rsid w:val="00BF51E2"/>
    <w:rsid w:val="00BF579E"/>
    <w:rsid w:val="00BF6789"/>
    <w:rsid w:val="00BF7EFF"/>
    <w:rsid w:val="00C00469"/>
    <w:rsid w:val="00C00A0B"/>
    <w:rsid w:val="00C0107C"/>
    <w:rsid w:val="00C01255"/>
    <w:rsid w:val="00C01966"/>
    <w:rsid w:val="00C01A4D"/>
    <w:rsid w:val="00C0261B"/>
    <w:rsid w:val="00C02AD0"/>
    <w:rsid w:val="00C04233"/>
    <w:rsid w:val="00C04F94"/>
    <w:rsid w:val="00C05E0F"/>
    <w:rsid w:val="00C07456"/>
    <w:rsid w:val="00C0768C"/>
    <w:rsid w:val="00C10C64"/>
    <w:rsid w:val="00C119EB"/>
    <w:rsid w:val="00C1382C"/>
    <w:rsid w:val="00C140A2"/>
    <w:rsid w:val="00C155B3"/>
    <w:rsid w:val="00C15A21"/>
    <w:rsid w:val="00C15D10"/>
    <w:rsid w:val="00C1615C"/>
    <w:rsid w:val="00C16415"/>
    <w:rsid w:val="00C203D3"/>
    <w:rsid w:val="00C21296"/>
    <w:rsid w:val="00C21300"/>
    <w:rsid w:val="00C215F3"/>
    <w:rsid w:val="00C21898"/>
    <w:rsid w:val="00C22E68"/>
    <w:rsid w:val="00C22FC8"/>
    <w:rsid w:val="00C2303F"/>
    <w:rsid w:val="00C2543F"/>
    <w:rsid w:val="00C26EF4"/>
    <w:rsid w:val="00C27435"/>
    <w:rsid w:val="00C30042"/>
    <w:rsid w:val="00C3057F"/>
    <w:rsid w:val="00C30D72"/>
    <w:rsid w:val="00C31F05"/>
    <w:rsid w:val="00C326AE"/>
    <w:rsid w:val="00C32A50"/>
    <w:rsid w:val="00C334AD"/>
    <w:rsid w:val="00C356E3"/>
    <w:rsid w:val="00C35BD4"/>
    <w:rsid w:val="00C37C1B"/>
    <w:rsid w:val="00C41864"/>
    <w:rsid w:val="00C42913"/>
    <w:rsid w:val="00C43088"/>
    <w:rsid w:val="00C43913"/>
    <w:rsid w:val="00C44CE1"/>
    <w:rsid w:val="00C46077"/>
    <w:rsid w:val="00C46595"/>
    <w:rsid w:val="00C4735B"/>
    <w:rsid w:val="00C47C6B"/>
    <w:rsid w:val="00C50083"/>
    <w:rsid w:val="00C50360"/>
    <w:rsid w:val="00C50D3F"/>
    <w:rsid w:val="00C52074"/>
    <w:rsid w:val="00C60E21"/>
    <w:rsid w:val="00C64F61"/>
    <w:rsid w:val="00C6502B"/>
    <w:rsid w:val="00C70CBF"/>
    <w:rsid w:val="00C71688"/>
    <w:rsid w:val="00C71A8F"/>
    <w:rsid w:val="00C73C46"/>
    <w:rsid w:val="00C75354"/>
    <w:rsid w:val="00C755AB"/>
    <w:rsid w:val="00C76885"/>
    <w:rsid w:val="00C76897"/>
    <w:rsid w:val="00C76E29"/>
    <w:rsid w:val="00C806F4"/>
    <w:rsid w:val="00C81990"/>
    <w:rsid w:val="00C828CD"/>
    <w:rsid w:val="00C82EC2"/>
    <w:rsid w:val="00C857B3"/>
    <w:rsid w:val="00C86D39"/>
    <w:rsid w:val="00C906C2"/>
    <w:rsid w:val="00C90A45"/>
    <w:rsid w:val="00C91802"/>
    <w:rsid w:val="00C91828"/>
    <w:rsid w:val="00C928D7"/>
    <w:rsid w:val="00C93316"/>
    <w:rsid w:val="00C93508"/>
    <w:rsid w:val="00C95528"/>
    <w:rsid w:val="00C95E50"/>
    <w:rsid w:val="00C97C39"/>
    <w:rsid w:val="00CA0BC8"/>
    <w:rsid w:val="00CA4F4F"/>
    <w:rsid w:val="00CA527D"/>
    <w:rsid w:val="00CA5D8E"/>
    <w:rsid w:val="00CA600F"/>
    <w:rsid w:val="00CA6201"/>
    <w:rsid w:val="00CB08C4"/>
    <w:rsid w:val="00CB5B5B"/>
    <w:rsid w:val="00CB7D41"/>
    <w:rsid w:val="00CB7E71"/>
    <w:rsid w:val="00CC03DD"/>
    <w:rsid w:val="00CC093F"/>
    <w:rsid w:val="00CC10EF"/>
    <w:rsid w:val="00CC3DC1"/>
    <w:rsid w:val="00CC41E0"/>
    <w:rsid w:val="00CC4933"/>
    <w:rsid w:val="00CC5917"/>
    <w:rsid w:val="00CC699C"/>
    <w:rsid w:val="00CC6CE5"/>
    <w:rsid w:val="00CC723D"/>
    <w:rsid w:val="00CC7253"/>
    <w:rsid w:val="00CC73D3"/>
    <w:rsid w:val="00CC743F"/>
    <w:rsid w:val="00CD0CBE"/>
    <w:rsid w:val="00CD1D66"/>
    <w:rsid w:val="00CD2B60"/>
    <w:rsid w:val="00CD31CD"/>
    <w:rsid w:val="00CD38B7"/>
    <w:rsid w:val="00CD3DB3"/>
    <w:rsid w:val="00CD73B0"/>
    <w:rsid w:val="00CE009D"/>
    <w:rsid w:val="00CE1389"/>
    <w:rsid w:val="00CE20E3"/>
    <w:rsid w:val="00CE4AF4"/>
    <w:rsid w:val="00CE603E"/>
    <w:rsid w:val="00CE7D77"/>
    <w:rsid w:val="00CF0426"/>
    <w:rsid w:val="00CF0D21"/>
    <w:rsid w:val="00CF1A76"/>
    <w:rsid w:val="00CF24AF"/>
    <w:rsid w:val="00CF2CA5"/>
    <w:rsid w:val="00CF2FC5"/>
    <w:rsid w:val="00CF6C15"/>
    <w:rsid w:val="00CF75AE"/>
    <w:rsid w:val="00CF7789"/>
    <w:rsid w:val="00D006B2"/>
    <w:rsid w:val="00D01467"/>
    <w:rsid w:val="00D034A5"/>
    <w:rsid w:val="00D03EFD"/>
    <w:rsid w:val="00D058F1"/>
    <w:rsid w:val="00D07AE2"/>
    <w:rsid w:val="00D12F23"/>
    <w:rsid w:val="00D1346F"/>
    <w:rsid w:val="00D13CA4"/>
    <w:rsid w:val="00D13D5C"/>
    <w:rsid w:val="00D152C6"/>
    <w:rsid w:val="00D16F0D"/>
    <w:rsid w:val="00D17062"/>
    <w:rsid w:val="00D17C93"/>
    <w:rsid w:val="00D21246"/>
    <w:rsid w:val="00D22517"/>
    <w:rsid w:val="00D2340A"/>
    <w:rsid w:val="00D245E6"/>
    <w:rsid w:val="00D25472"/>
    <w:rsid w:val="00D2597A"/>
    <w:rsid w:val="00D25E69"/>
    <w:rsid w:val="00D27E1F"/>
    <w:rsid w:val="00D314F5"/>
    <w:rsid w:val="00D32DB4"/>
    <w:rsid w:val="00D3318E"/>
    <w:rsid w:val="00D34799"/>
    <w:rsid w:val="00D36A4B"/>
    <w:rsid w:val="00D36EBD"/>
    <w:rsid w:val="00D4088E"/>
    <w:rsid w:val="00D41983"/>
    <w:rsid w:val="00D4272C"/>
    <w:rsid w:val="00D4312C"/>
    <w:rsid w:val="00D43848"/>
    <w:rsid w:val="00D4576F"/>
    <w:rsid w:val="00D45DB7"/>
    <w:rsid w:val="00D46DE8"/>
    <w:rsid w:val="00D501B0"/>
    <w:rsid w:val="00D52570"/>
    <w:rsid w:val="00D53507"/>
    <w:rsid w:val="00D53C09"/>
    <w:rsid w:val="00D54026"/>
    <w:rsid w:val="00D543C8"/>
    <w:rsid w:val="00D5479D"/>
    <w:rsid w:val="00D55438"/>
    <w:rsid w:val="00D556A3"/>
    <w:rsid w:val="00D5604E"/>
    <w:rsid w:val="00D572E1"/>
    <w:rsid w:val="00D5738B"/>
    <w:rsid w:val="00D574C6"/>
    <w:rsid w:val="00D606E2"/>
    <w:rsid w:val="00D60DB9"/>
    <w:rsid w:val="00D621B3"/>
    <w:rsid w:val="00D625E0"/>
    <w:rsid w:val="00D63712"/>
    <w:rsid w:val="00D65D33"/>
    <w:rsid w:val="00D66B35"/>
    <w:rsid w:val="00D66DD0"/>
    <w:rsid w:val="00D672D2"/>
    <w:rsid w:val="00D7160F"/>
    <w:rsid w:val="00D7194B"/>
    <w:rsid w:val="00D72B52"/>
    <w:rsid w:val="00D7386D"/>
    <w:rsid w:val="00D74A16"/>
    <w:rsid w:val="00D75A4E"/>
    <w:rsid w:val="00D77503"/>
    <w:rsid w:val="00D77AD8"/>
    <w:rsid w:val="00D77D62"/>
    <w:rsid w:val="00D80823"/>
    <w:rsid w:val="00D80B4A"/>
    <w:rsid w:val="00D80F13"/>
    <w:rsid w:val="00D82308"/>
    <w:rsid w:val="00D82710"/>
    <w:rsid w:val="00D8399B"/>
    <w:rsid w:val="00D84049"/>
    <w:rsid w:val="00D844B9"/>
    <w:rsid w:val="00D84D7B"/>
    <w:rsid w:val="00D92391"/>
    <w:rsid w:val="00D9292E"/>
    <w:rsid w:val="00D92EB8"/>
    <w:rsid w:val="00D94736"/>
    <w:rsid w:val="00D96DF7"/>
    <w:rsid w:val="00D9712C"/>
    <w:rsid w:val="00DA06D0"/>
    <w:rsid w:val="00DA1F0F"/>
    <w:rsid w:val="00DA2067"/>
    <w:rsid w:val="00DA2A47"/>
    <w:rsid w:val="00DA2EEA"/>
    <w:rsid w:val="00DA3641"/>
    <w:rsid w:val="00DA3C0E"/>
    <w:rsid w:val="00DA46B6"/>
    <w:rsid w:val="00DA47E8"/>
    <w:rsid w:val="00DA4CE1"/>
    <w:rsid w:val="00DA4E0A"/>
    <w:rsid w:val="00DA4E12"/>
    <w:rsid w:val="00DA52F7"/>
    <w:rsid w:val="00DA5C46"/>
    <w:rsid w:val="00DA72CC"/>
    <w:rsid w:val="00DB1C3B"/>
    <w:rsid w:val="00DB1F4D"/>
    <w:rsid w:val="00DB3FFC"/>
    <w:rsid w:val="00DB444D"/>
    <w:rsid w:val="00DB515B"/>
    <w:rsid w:val="00DB5805"/>
    <w:rsid w:val="00DB5BAB"/>
    <w:rsid w:val="00DC30F9"/>
    <w:rsid w:val="00DC4F02"/>
    <w:rsid w:val="00DC606C"/>
    <w:rsid w:val="00DC65C4"/>
    <w:rsid w:val="00DD0A6D"/>
    <w:rsid w:val="00DD3382"/>
    <w:rsid w:val="00DD3FD5"/>
    <w:rsid w:val="00DD531E"/>
    <w:rsid w:val="00DD57CF"/>
    <w:rsid w:val="00DD5A72"/>
    <w:rsid w:val="00DD7AD7"/>
    <w:rsid w:val="00DE15B4"/>
    <w:rsid w:val="00DE1D26"/>
    <w:rsid w:val="00DE57F8"/>
    <w:rsid w:val="00DE58C5"/>
    <w:rsid w:val="00DE68BB"/>
    <w:rsid w:val="00DE7EE3"/>
    <w:rsid w:val="00DF1FE9"/>
    <w:rsid w:val="00DF29C8"/>
    <w:rsid w:val="00DF3976"/>
    <w:rsid w:val="00DF531A"/>
    <w:rsid w:val="00DF5901"/>
    <w:rsid w:val="00DF5CF9"/>
    <w:rsid w:val="00DF607F"/>
    <w:rsid w:val="00DF67A9"/>
    <w:rsid w:val="00DF75EE"/>
    <w:rsid w:val="00DF7747"/>
    <w:rsid w:val="00DF7F3B"/>
    <w:rsid w:val="00E0041D"/>
    <w:rsid w:val="00E00455"/>
    <w:rsid w:val="00E00729"/>
    <w:rsid w:val="00E00B26"/>
    <w:rsid w:val="00E0112D"/>
    <w:rsid w:val="00E01A5E"/>
    <w:rsid w:val="00E03B6C"/>
    <w:rsid w:val="00E03EF0"/>
    <w:rsid w:val="00E0454E"/>
    <w:rsid w:val="00E04DA2"/>
    <w:rsid w:val="00E10253"/>
    <w:rsid w:val="00E10C39"/>
    <w:rsid w:val="00E10E99"/>
    <w:rsid w:val="00E1105A"/>
    <w:rsid w:val="00E11534"/>
    <w:rsid w:val="00E13166"/>
    <w:rsid w:val="00E13EDE"/>
    <w:rsid w:val="00E14FA2"/>
    <w:rsid w:val="00E150E6"/>
    <w:rsid w:val="00E151FB"/>
    <w:rsid w:val="00E153D4"/>
    <w:rsid w:val="00E16A5A"/>
    <w:rsid w:val="00E20089"/>
    <w:rsid w:val="00E20620"/>
    <w:rsid w:val="00E20A4B"/>
    <w:rsid w:val="00E2255C"/>
    <w:rsid w:val="00E22708"/>
    <w:rsid w:val="00E22CE8"/>
    <w:rsid w:val="00E23A52"/>
    <w:rsid w:val="00E25ABA"/>
    <w:rsid w:val="00E26ADA"/>
    <w:rsid w:val="00E27713"/>
    <w:rsid w:val="00E27EB0"/>
    <w:rsid w:val="00E3021E"/>
    <w:rsid w:val="00E32187"/>
    <w:rsid w:val="00E331A5"/>
    <w:rsid w:val="00E34424"/>
    <w:rsid w:val="00E35D97"/>
    <w:rsid w:val="00E36F4B"/>
    <w:rsid w:val="00E370CE"/>
    <w:rsid w:val="00E40579"/>
    <w:rsid w:val="00E40740"/>
    <w:rsid w:val="00E40FB9"/>
    <w:rsid w:val="00E4102D"/>
    <w:rsid w:val="00E418C0"/>
    <w:rsid w:val="00E41B0A"/>
    <w:rsid w:val="00E43345"/>
    <w:rsid w:val="00E43BEA"/>
    <w:rsid w:val="00E44010"/>
    <w:rsid w:val="00E4454A"/>
    <w:rsid w:val="00E449B7"/>
    <w:rsid w:val="00E4764A"/>
    <w:rsid w:val="00E500B8"/>
    <w:rsid w:val="00E52088"/>
    <w:rsid w:val="00E562AE"/>
    <w:rsid w:val="00E56768"/>
    <w:rsid w:val="00E56812"/>
    <w:rsid w:val="00E570D8"/>
    <w:rsid w:val="00E5738B"/>
    <w:rsid w:val="00E6009D"/>
    <w:rsid w:val="00E601E0"/>
    <w:rsid w:val="00E63C39"/>
    <w:rsid w:val="00E6453C"/>
    <w:rsid w:val="00E67722"/>
    <w:rsid w:val="00E67B29"/>
    <w:rsid w:val="00E72176"/>
    <w:rsid w:val="00E72C66"/>
    <w:rsid w:val="00E73812"/>
    <w:rsid w:val="00E74360"/>
    <w:rsid w:val="00E759A9"/>
    <w:rsid w:val="00E759EB"/>
    <w:rsid w:val="00E7675B"/>
    <w:rsid w:val="00E76D18"/>
    <w:rsid w:val="00E771DF"/>
    <w:rsid w:val="00E8241F"/>
    <w:rsid w:val="00E827F9"/>
    <w:rsid w:val="00E82BEB"/>
    <w:rsid w:val="00E83DD2"/>
    <w:rsid w:val="00E86255"/>
    <w:rsid w:val="00E90783"/>
    <w:rsid w:val="00E9106B"/>
    <w:rsid w:val="00E91D35"/>
    <w:rsid w:val="00E92A14"/>
    <w:rsid w:val="00E93217"/>
    <w:rsid w:val="00E93F5B"/>
    <w:rsid w:val="00E94E1A"/>
    <w:rsid w:val="00E968A3"/>
    <w:rsid w:val="00E97878"/>
    <w:rsid w:val="00EA0221"/>
    <w:rsid w:val="00EA0251"/>
    <w:rsid w:val="00EA5602"/>
    <w:rsid w:val="00EA575B"/>
    <w:rsid w:val="00EB0C10"/>
    <w:rsid w:val="00EB142D"/>
    <w:rsid w:val="00EB5AD5"/>
    <w:rsid w:val="00EB6414"/>
    <w:rsid w:val="00EB6881"/>
    <w:rsid w:val="00EB7712"/>
    <w:rsid w:val="00EB7ADD"/>
    <w:rsid w:val="00EB7FED"/>
    <w:rsid w:val="00EC030E"/>
    <w:rsid w:val="00EC187A"/>
    <w:rsid w:val="00EC250E"/>
    <w:rsid w:val="00EC2B4F"/>
    <w:rsid w:val="00EC37DE"/>
    <w:rsid w:val="00EC4B00"/>
    <w:rsid w:val="00EC6317"/>
    <w:rsid w:val="00EC6D71"/>
    <w:rsid w:val="00EC7E3C"/>
    <w:rsid w:val="00ED0400"/>
    <w:rsid w:val="00ED0D3E"/>
    <w:rsid w:val="00ED0EB4"/>
    <w:rsid w:val="00ED2069"/>
    <w:rsid w:val="00ED2558"/>
    <w:rsid w:val="00ED26E9"/>
    <w:rsid w:val="00ED30CE"/>
    <w:rsid w:val="00ED355C"/>
    <w:rsid w:val="00ED375B"/>
    <w:rsid w:val="00ED41ED"/>
    <w:rsid w:val="00ED4FC3"/>
    <w:rsid w:val="00ED52BE"/>
    <w:rsid w:val="00ED5F4B"/>
    <w:rsid w:val="00ED6E86"/>
    <w:rsid w:val="00ED7DC2"/>
    <w:rsid w:val="00EE0E95"/>
    <w:rsid w:val="00EE0EE4"/>
    <w:rsid w:val="00EE1EFB"/>
    <w:rsid w:val="00EE2B97"/>
    <w:rsid w:val="00EE46F8"/>
    <w:rsid w:val="00EE4DD7"/>
    <w:rsid w:val="00EE790A"/>
    <w:rsid w:val="00EF00B4"/>
    <w:rsid w:val="00EF0E76"/>
    <w:rsid w:val="00EF2C13"/>
    <w:rsid w:val="00EF3234"/>
    <w:rsid w:val="00EF3CF6"/>
    <w:rsid w:val="00EF4193"/>
    <w:rsid w:val="00EF453F"/>
    <w:rsid w:val="00EF517E"/>
    <w:rsid w:val="00EF5204"/>
    <w:rsid w:val="00EF7063"/>
    <w:rsid w:val="00EF79E1"/>
    <w:rsid w:val="00F00139"/>
    <w:rsid w:val="00F002A8"/>
    <w:rsid w:val="00F00962"/>
    <w:rsid w:val="00F01070"/>
    <w:rsid w:val="00F02177"/>
    <w:rsid w:val="00F0270E"/>
    <w:rsid w:val="00F0305B"/>
    <w:rsid w:val="00F03726"/>
    <w:rsid w:val="00F03EBF"/>
    <w:rsid w:val="00F04089"/>
    <w:rsid w:val="00F04335"/>
    <w:rsid w:val="00F047E6"/>
    <w:rsid w:val="00F04EF6"/>
    <w:rsid w:val="00F05772"/>
    <w:rsid w:val="00F05E0A"/>
    <w:rsid w:val="00F05EA7"/>
    <w:rsid w:val="00F06488"/>
    <w:rsid w:val="00F07881"/>
    <w:rsid w:val="00F13616"/>
    <w:rsid w:val="00F14077"/>
    <w:rsid w:val="00F145A8"/>
    <w:rsid w:val="00F14790"/>
    <w:rsid w:val="00F14BA1"/>
    <w:rsid w:val="00F17E69"/>
    <w:rsid w:val="00F20674"/>
    <w:rsid w:val="00F20F4B"/>
    <w:rsid w:val="00F2270C"/>
    <w:rsid w:val="00F23ACD"/>
    <w:rsid w:val="00F24132"/>
    <w:rsid w:val="00F24F44"/>
    <w:rsid w:val="00F253A7"/>
    <w:rsid w:val="00F264D9"/>
    <w:rsid w:val="00F26B95"/>
    <w:rsid w:val="00F26C24"/>
    <w:rsid w:val="00F27CD8"/>
    <w:rsid w:val="00F308BF"/>
    <w:rsid w:val="00F30CB5"/>
    <w:rsid w:val="00F31576"/>
    <w:rsid w:val="00F31AED"/>
    <w:rsid w:val="00F322A0"/>
    <w:rsid w:val="00F3235D"/>
    <w:rsid w:val="00F350C2"/>
    <w:rsid w:val="00F352EC"/>
    <w:rsid w:val="00F37F15"/>
    <w:rsid w:val="00F40018"/>
    <w:rsid w:val="00F41538"/>
    <w:rsid w:val="00F4174B"/>
    <w:rsid w:val="00F42545"/>
    <w:rsid w:val="00F429F4"/>
    <w:rsid w:val="00F43717"/>
    <w:rsid w:val="00F447F3"/>
    <w:rsid w:val="00F44C98"/>
    <w:rsid w:val="00F45E6E"/>
    <w:rsid w:val="00F4619C"/>
    <w:rsid w:val="00F46464"/>
    <w:rsid w:val="00F50653"/>
    <w:rsid w:val="00F5095A"/>
    <w:rsid w:val="00F50BBD"/>
    <w:rsid w:val="00F50F0A"/>
    <w:rsid w:val="00F51154"/>
    <w:rsid w:val="00F52EEC"/>
    <w:rsid w:val="00F5350A"/>
    <w:rsid w:val="00F53752"/>
    <w:rsid w:val="00F5414B"/>
    <w:rsid w:val="00F56BBC"/>
    <w:rsid w:val="00F57925"/>
    <w:rsid w:val="00F61601"/>
    <w:rsid w:val="00F61968"/>
    <w:rsid w:val="00F61CE8"/>
    <w:rsid w:val="00F62BBE"/>
    <w:rsid w:val="00F648FC"/>
    <w:rsid w:val="00F6537E"/>
    <w:rsid w:val="00F665BD"/>
    <w:rsid w:val="00F668CE"/>
    <w:rsid w:val="00F66B2E"/>
    <w:rsid w:val="00F66F00"/>
    <w:rsid w:val="00F67EAA"/>
    <w:rsid w:val="00F71679"/>
    <w:rsid w:val="00F71CFD"/>
    <w:rsid w:val="00F731AF"/>
    <w:rsid w:val="00F74276"/>
    <w:rsid w:val="00F74436"/>
    <w:rsid w:val="00F745A4"/>
    <w:rsid w:val="00F7639E"/>
    <w:rsid w:val="00F80340"/>
    <w:rsid w:val="00F822E2"/>
    <w:rsid w:val="00F82DBA"/>
    <w:rsid w:val="00F8470D"/>
    <w:rsid w:val="00F84806"/>
    <w:rsid w:val="00F85AB2"/>
    <w:rsid w:val="00F85DE2"/>
    <w:rsid w:val="00F872EE"/>
    <w:rsid w:val="00F873C8"/>
    <w:rsid w:val="00F87B39"/>
    <w:rsid w:val="00F91335"/>
    <w:rsid w:val="00F9335B"/>
    <w:rsid w:val="00F935DB"/>
    <w:rsid w:val="00F936C0"/>
    <w:rsid w:val="00F947E5"/>
    <w:rsid w:val="00F95039"/>
    <w:rsid w:val="00FA099C"/>
    <w:rsid w:val="00FA1821"/>
    <w:rsid w:val="00FA2EB3"/>
    <w:rsid w:val="00FA37B5"/>
    <w:rsid w:val="00FA49FF"/>
    <w:rsid w:val="00FA4F06"/>
    <w:rsid w:val="00FA5248"/>
    <w:rsid w:val="00FA5A4B"/>
    <w:rsid w:val="00FA5DDF"/>
    <w:rsid w:val="00FA6DBB"/>
    <w:rsid w:val="00FA7F66"/>
    <w:rsid w:val="00FB2C5C"/>
    <w:rsid w:val="00FB2E98"/>
    <w:rsid w:val="00FB3456"/>
    <w:rsid w:val="00FB46C6"/>
    <w:rsid w:val="00FB552E"/>
    <w:rsid w:val="00FB5BC6"/>
    <w:rsid w:val="00FB5C02"/>
    <w:rsid w:val="00FB65E5"/>
    <w:rsid w:val="00FB6A1C"/>
    <w:rsid w:val="00FC0B2C"/>
    <w:rsid w:val="00FC0D4B"/>
    <w:rsid w:val="00FC112D"/>
    <w:rsid w:val="00FC1E90"/>
    <w:rsid w:val="00FC38A8"/>
    <w:rsid w:val="00FC593C"/>
    <w:rsid w:val="00FC6255"/>
    <w:rsid w:val="00FC6D74"/>
    <w:rsid w:val="00FC7896"/>
    <w:rsid w:val="00FD0116"/>
    <w:rsid w:val="00FD034A"/>
    <w:rsid w:val="00FD0C15"/>
    <w:rsid w:val="00FD13AD"/>
    <w:rsid w:val="00FD1E38"/>
    <w:rsid w:val="00FD2159"/>
    <w:rsid w:val="00FD28B6"/>
    <w:rsid w:val="00FD5403"/>
    <w:rsid w:val="00FD5815"/>
    <w:rsid w:val="00FD6266"/>
    <w:rsid w:val="00FD7B77"/>
    <w:rsid w:val="00FE04BA"/>
    <w:rsid w:val="00FE05E5"/>
    <w:rsid w:val="00FE1F2C"/>
    <w:rsid w:val="00FE2F15"/>
    <w:rsid w:val="00FE31E4"/>
    <w:rsid w:val="00FE3832"/>
    <w:rsid w:val="00FE38BE"/>
    <w:rsid w:val="00FE500C"/>
    <w:rsid w:val="00FE6835"/>
    <w:rsid w:val="00FE6DD5"/>
    <w:rsid w:val="00FE707F"/>
    <w:rsid w:val="00FE7B3A"/>
    <w:rsid w:val="00FE7D31"/>
    <w:rsid w:val="00FF0BA6"/>
    <w:rsid w:val="00FF0CF6"/>
    <w:rsid w:val="00FF1074"/>
    <w:rsid w:val="00FF2565"/>
    <w:rsid w:val="00FF275C"/>
    <w:rsid w:val="00FF3870"/>
    <w:rsid w:val="00FF3D18"/>
    <w:rsid w:val="00FF527F"/>
    <w:rsid w:val="00FF6C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59DD"/>
  <w15:docId w15:val="{3C2322FA-DA92-4D3A-A6CD-54DAD193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80"/>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semiHidden/>
    <w:unhideWhenUsed/>
    <w:rsid w:val="008B1580"/>
    <w:rPr>
      <w:rFonts w:cs="Times New Roman"/>
      <w:sz w:val="20"/>
      <w:szCs w:val="20"/>
    </w:rPr>
  </w:style>
  <w:style w:type="character" w:customStyle="1" w:styleId="FootnoteTextChar">
    <w:name w:val="Footnote Text Char"/>
    <w:link w:val="FootnoteText"/>
    <w:uiPriority w:val="99"/>
    <w:semiHidden/>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semiHidden/>
    <w:unhideWhenUsed/>
    <w:rsid w:val="00200DCE"/>
    <w:rPr>
      <w:sz w:val="20"/>
      <w:szCs w:val="20"/>
    </w:rPr>
  </w:style>
  <w:style w:type="character" w:customStyle="1" w:styleId="CommentTextChar">
    <w:name w:val="Comment Text Char"/>
    <w:link w:val="CommentText"/>
    <w:uiPriority w:val="99"/>
    <w:semiHidden/>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925F-C4FF-4437-8CD2-DDBFBE3E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Mbha HM - Judge</dc:creator>
  <cp:lastModifiedBy>Mary Bruce</cp:lastModifiedBy>
  <cp:revision>2</cp:revision>
  <cp:lastPrinted>2021-11-04T14:18:00Z</cp:lastPrinted>
  <dcterms:created xsi:type="dcterms:W3CDTF">2021-11-08T10:12:00Z</dcterms:created>
  <dcterms:modified xsi:type="dcterms:W3CDTF">2021-11-08T10:12:00Z</dcterms:modified>
</cp:coreProperties>
</file>