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A25F0" w14:textId="77777777" w:rsidR="006B594C" w:rsidRPr="006B594C" w:rsidRDefault="006B594C" w:rsidP="006B594C">
      <w:pPr>
        <w:jc w:val="center"/>
        <w:rPr>
          <w:b/>
          <w:bCs/>
          <w:sz w:val="28"/>
          <w:szCs w:val="28"/>
        </w:rPr>
      </w:pPr>
      <w:bookmarkStart w:id="0" w:name="_GoBack"/>
      <w:bookmarkEnd w:id="0"/>
    </w:p>
    <w:p w14:paraId="5DEE3882" w14:textId="77777777" w:rsidR="006B594C" w:rsidRPr="006B594C" w:rsidRDefault="006B594C" w:rsidP="006B594C">
      <w:pPr>
        <w:jc w:val="center"/>
        <w:rPr>
          <w:b/>
          <w:bCs/>
          <w:sz w:val="28"/>
          <w:szCs w:val="28"/>
        </w:rPr>
      </w:pPr>
    </w:p>
    <w:p w14:paraId="16FAC8A4" w14:textId="77777777" w:rsidR="006B594C" w:rsidRPr="006B594C" w:rsidRDefault="006B594C" w:rsidP="006B594C">
      <w:pPr>
        <w:jc w:val="center"/>
        <w:rPr>
          <w:b/>
          <w:bCs/>
          <w:sz w:val="28"/>
          <w:szCs w:val="28"/>
        </w:rPr>
      </w:pPr>
      <w:r w:rsidRPr="006B594C">
        <w:rPr>
          <w:noProof/>
          <w:lang w:eastAsia="en-ZA"/>
        </w:rPr>
        <w:drawing>
          <wp:anchor distT="0" distB="0" distL="114300" distR="114300" simplePos="0" relativeHeight="251659264" behindDoc="0" locked="0" layoutInCell="1" allowOverlap="1" wp14:anchorId="60E1BA11" wp14:editId="1EAA5BA2">
            <wp:simplePos x="0" y="0"/>
            <wp:positionH relativeFrom="page">
              <wp:align>center</wp:align>
            </wp:positionH>
            <wp:positionV relativeFrom="paragraph">
              <wp:posOffset>-683895</wp:posOffset>
            </wp:positionV>
            <wp:extent cx="799200" cy="914400"/>
            <wp:effectExtent l="0" t="0" r="127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pic:spPr>
                </pic:pic>
              </a:graphicData>
            </a:graphic>
            <wp14:sizeRelH relativeFrom="page">
              <wp14:pctWidth>0</wp14:pctWidth>
            </wp14:sizeRelH>
            <wp14:sizeRelV relativeFrom="page">
              <wp14:pctHeight>0</wp14:pctHeight>
            </wp14:sizeRelV>
          </wp:anchor>
        </w:drawing>
      </w:r>
    </w:p>
    <w:p w14:paraId="6C5333FC" w14:textId="77777777" w:rsidR="006B594C" w:rsidRPr="006B594C" w:rsidRDefault="006B594C" w:rsidP="000C5BB5">
      <w:pPr>
        <w:spacing w:after="0" w:line="360" w:lineRule="auto"/>
        <w:jc w:val="center"/>
        <w:rPr>
          <w:rFonts w:ascii="Arial" w:hAnsi="Arial" w:cs="Arial"/>
          <w:b/>
          <w:bCs/>
          <w:sz w:val="24"/>
          <w:szCs w:val="24"/>
        </w:rPr>
      </w:pPr>
      <w:r w:rsidRPr="006B594C">
        <w:rPr>
          <w:rFonts w:ascii="Arial" w:hAnsi="Arial" w:cs="Arial"/>
          <w:b/>
          <w:bCs/>
          <w:sz w:val="24"/>
          <w:szCs w:val="24"/>
        </w:rPr>
        <w:t>THE SUPREME COURT OF APPEAL OF SOUTH AFRICA</w:t>
      </w:r>
    </w:p>
    <w:p w14:paraId="4EFE2F8D" w14:textId="77777777" w:rsidR="006B594C" w:rsidRPr="006B594C" w:rsidRDefault="006B594C" w:rsidP="000C5BB5">
      <w:pPr>
        <w:keepNext/>
        <w:spacing w:after="0" w:line="360" w:lineRule="auto"/>
        <w:jc w:val="center"/>
        <w:outlineLvl w:val="2"/>
        <w:rPr>
          <w:rFonts w:ascii="Arial" w:eastAsia="Times New Roman" w:hAnsi="Arial" w:cs="Arial"/>
          <w:b/>
          <w:iCs/>
          <w:sz w:val="24"/>
          <w:szCs w:val="24"/>
          <w:lang w:val="en-GB"/>
        </w:rPr>
      </w:pPr>
      <w:r w:rsidRPr="006B594C">
        <w:rPr>
          <w:rFonts w:ascii="Arial" w:eastAsia="Times New Roman" w:hAnsi="Arial" w:cs="Arial"/>
          <w:b/>
          <w:iCs/>
          <w:sz w:val="24"/>
          <w:szCs w:val="24"/>
          <w:lang w:val="en-GB"/>
        </w:rPr>
        <w:t>JUDGMENT</w:t>
      </w:r>
    </w:p>
    <w:p w14:paraId="0873085F" w14:textId="1792CF3C" w:rsidR="006B594C" w:rsidRPr="006B594C" w:rsidRDefault="006B594C" w:rsidP="000C5BB5">
      <w:pPr>
        <w:spacing w:after="0" w:line="360" w:lineRule="auto"/>
        <w:jc w:val="center"/>
        <w:rPr>
          <w:rFonts w:ascii="Arial" w:hAnsi="Arial" w:cs="Arial"/>
          <w:b/>
          <w:bCs/>
          <w:sz w:val="24"/>
          <w:szCs w:val="24"/>
        </w:rPr>
      </w:pPr>
      <w:r w:rsidRPr="006B594C">
        <w:rPr>
          <w:rFonts w:ascii="Arial" w:hAnsi="Arial" w:cs="Arial"/>
          <w:sz w:val="24"/>
          <w:szCs w:val="24"/>
        </w:rPr>
        <w:tab/>
      </w:r>
    </w:p>
    <w:p w14:paraId="4014D750" w14:textId="77777777" w:rsidR="006B594C" w:rsidRPr="006B594C" w:rsidRDefault="006B594C" w:rsidP="000C5BB5">
      <w:pPr>
        <w:spacing w:after="0" w:line="360" w:lineRule="auto"/>
        <w:jc w:val="right"/>
        <w:rPr>
          <w:rFonts w:ascii="Arial" w:hAnsi="Arial" w:cs="Arial"/>
          <w:b/>
          <w:sz w:val="24"/>
          <w:szCs w:val="24"/>
        </w:rPr>
      </w:pPr>
      <w:r w:rsidRPr="006B594C">
        <w:rPr>
          <w:rFonts w:ascii="Arial" w:hAnsi="Arial" w:cs="Arial"/>
          <w:b/>
          <w:sz w:val="24"/>
          <w:szCs w:val="24"/>
        </w:rPr>
        <w:t>Reportable</w:t>
      </w:r>
    </w:p>
    <w:p w14:paraId="3FF13281" w14:textId="012DF72C" w:rsidR="002B18B6" w:rsidRPr="006B594C" w:rsidRDefault="006B594C" w:rsidP="00FC0200">
      <w:pPr>
        <w:spacing w:after="0" w:line="360" w:lineRule="auto"/>
        <w:jc w:val="right"/>
        <w:rPr>
          <w:rFonts w:ascii="Arial" w:hAnsi="Arial" w:cs="Arial"/>
          <w:sz w:val="24"/>
          <w:szCs w:val="24"/>
        </w:rPr>
      </w:pPr>
      <w:r w:rsidRPr="006B594C">
        <w:rPr>
          <w:rFonts w:ascii="Arial" w:hAnsi="Arial" w:cs="Arial"/>
          <w:sz w:val="24"/>
          <w:szCs w:val="24"/>
        </w:rPr>
        <w:t>Case no</w:t>
      </w:r>
      <w:r w:rsidR="000C5BB5">
        <w:rPr>
          <w:rFonts w:ascii="Arial" w:hAnsi="Arial" w:cs="Arial"/>
          <w:sz w:val="24"/>
          <w:szCs w:val="24"/>
        </w:rPr>
        <w:t>s</w:t>
      </w:r>
      <w:r w:rsidRPr="006B594C">
        <w:rPr>
          <w:rFonts w:ascii="Arial" w:hAnsi="Arial" w:cs="Arial"/>
          <w:sz w:val="24"/>
          <w:szCs w:val="24"/>
        </w:rPr>
        <w:t xml:space="preserve">: </w:t>
      </w:r>
      <w:r w:rsidR="002B18B6">
        <w:rPr>
          <w:rFonts w:ascii="Arial" w:hAnsi="Arial" w:cs="Arial"/>
          <w:sz w:val="24"/>
          <w:szCs w:val="24"/>
        </w:rPr>
        <w:t>353/2020</w:t>
      </w:r>
      <w:r w:rsidR="000C5BB5">
        <w:rPr>
          <w:rFonts w:ascii="Arial" w:hAnsi="Arial" w:cs="Arial"/>
          <w:sz w:val="24"/>
          <w:szCs w:val="24"/>
        </w:rPr>
        <w:t xml:space="preserve"> </w:t>
      </w:r>
      <w:r w:rsidR="00FC0200">
        <w:rPr>
          <w:rFonts w:ascii="Arial" w:hAnsi="Arial" w:cs="Arial"/>
          <w:sz w:val="24"/>
          <w:szCs w:val="24"/>
        </w:rPr>
        <w:t xml:space="preserve">and </w:t>
      </w:r>
      <w:r w:rsidR="002B18B6">
        <w:rPr>
          <w:rFonts w:ascii="Arial" w:hAnsi="Arial" w:cs="Arial"/>
          <w:sz w:val="24"/>
          <w:szCs w:val="24"/>
        </w:rPr>
        <w:t>354/2020</w:t>
      </w:r>
    </w:p>
    <w:p w14:paraId="232B49B8" w14:textId="77777777" w:rsidR="006B594C" w:rsidRPr="006B594C" w:rsidRDefault="006B594C" w:rsidP="006B594C">
      <w:pPr>
        <w:spacing w:line="360" w:lineRule="auto"/>
        <w:rPr>
          <w:rFonts w:ascii="Arial" w:hAnsi="Arial" w:cs="Arial"/>
          <w:sz w:val="24"/>
          <w:szCs w:val="24"/>
        </w:rPr>
      </w:pPr>
    </w:p>
    <w:p w14:paraId="4EB7DCED" w14:textId="77777777" w:rsidR="006B594C" w:rsidRPr="006B594C" w:rsidRDefault="006B594C" w:rsidP="008E7D1C">
      <w:pPr>
        <w:spacing w:line="360" w:lineRule="auto"/>
        <w:rPr>
          <w:rFonts w:ascii="Arial" w:hAnsi="Arial" w:cs="Arial"/>
          <w:sz w:val="24"/>
          <w:szCs w:val="24"/>
        </w:rPr>
      </w:pPr>
      <w:r w:rsidRPr="006B594C">
        <w:rPr>
          <w:rFonts w:ascii="Arial" w:hAnsi="Arial" w:cs="Arial"/>
          <w:sz w:val="24"/>
          <w:szCs w:val="24"/>
        </w:rPr>
        <w:t>In the matter between:</w:t>
      </w:r>
    </w:p>
    <w:p w14:paraId="7EA35C11" w14:textId="77777777" w:rsidR="006B594C" w:rsidRPr="006B594C" w:rsidRDefault="002B18B6" w:rsidP="008E7D1C">
      <w:pPr>
        <w:spacing w:line="360" w:lineRule="auto"/>
        <w:rPr>
          <w:rFonts w:ascii="Arial" w:hAnsi="Arial" w:cs="Arial"/>
          <w:b/>
          <w:sz w:val="24"/>
          <w:szCs w:val="24"/>
        </w:rPr>
      </w:pPr>
      <w:r>
        <w:rPr>
          <w:rFonts w:ascii="Arial" w:hAnsi="Arial" w:cs="Arial"/>
          <w:b/>
          <w:bCs/>
          <w:sz w:val="24"/>
          <w:szCs w:val="24"/>
        </w:rPr>
        <w:t>THE NATIONAL PROSECUTING AUTHORITY</w:t>
      </w:r>
      <w:r w:rsidR="006B594C" w:rsidRPr="006B594C">
        <w:rPr>
          <w:rFonts w:ascii="Arial" w:hAnsi="Arial" w:cs="Arial"/>
          <w:b/>
          <w:bCs/>
          <w:sz w:val="24"/>
          <w:szCs w:val="24"/>
        </w:rPr>
        <w:tab/>
      </w:r>
      <w:r w:rsidR="006B594C" w:rsidRPr="006B594C">
        <w:rPr>
          <w:rFonts w:ascii="Arial" w:hAnsi="Arial" w:cs="Arial"/>
          <w:b/>
          <w:bCs/>
          <w:sz w:val="24"/>
          <w:szCs w:val="24"/>
        </w:rPr>
        <w:tab/>
        <w:t xml:space="preserve">     </w:t>
      </w:r>
      <w:r w:rsidR="00424608">
        <w:rPr>
          <w:rFonts w:ascii="Arial" w:hAnsi="Arial" w:cs="Arial"/>
          <w:b/>
          <w:bCs/>
          <w:sz w:val="24"/>
          <w:szCs w:val="24"/>
        </w:rPr>
        <w:t xml:space="preserve">     </w:t>
      </w:r>
      <w:r w:rsidR="00424608">
        <w:rPr>
          <w:rFonts w:ascii="Arial" w:hAnsi="Arial" w:cs="Arial"/>
          <w:b/>
          <w:bCs/>
          <w:sz w:val="24"/>
          <w:szCs w:val="24"/>
        </w:rPr>
        <w:tab/>
        <w:t xml:space="preserve">     </w:t>
      </w:r>
      <w:r w:rsidR="006B594C" w:rsidRPr="006B594C">
        <w:rPr>
          <w:rFonts w:ascii="Arial" w:hAnsi="Arial" w:cs="Arial"/>
          <w:b/>
          <w:sz w:val="24"/>
          <w:szCs w:val="24"/>
        </w:rPr>
        <w:t>APPELLANT</w:t>
      </w:r>
    </w:p>
    <w:p w14:paraId="5C0FEE90" w14:textId="77777777" w:rsidR="006B594C" w:rsidRPr="006B594C" w:rsidRDefault="006B594C" w:rsidP="008E7D1C">
      <w:pPr>
        <w:spacing w:line="360" w:lineRule="auto"/>
        <w:rPr>
          <w:rFonts w:ascii="Arial" w:hAnsi="Arial" w:cs="Arial"/>
          <w:sz w:val="24"/>
          <w:szCs w:val="24"/>
        </w:rPr>
      </w:pPr>
      <w:r w:rsidRPr="006B594C">
        <w:rPr>
          <w:rFonts w:ascii="Arial" w:hAnsi="Arial" w:cs="Arial"/>
          <w:sz w:val="24"/>
          <w:szCs w:val="24"/>
        </w:rPr>
        <w:t>and</w:t>
      </w:r>
    </w:p>
    <w:p w14:paraId="6A3FE3D9" w14:textId="77777777" w:rsidR="00F851F3" w:rsidRDefault="00F851F3" w:rsidP="008E7D1C">
      <w:pPr>
        <w:spacing w:line="360" w:lineRule="auto"/>
        <w:rPr>
          <w:rFonts w:ascii="Arial" w:hAnsi="Arial" w:cs="Arial"/>
          <w:b/>
          <w:sz w:val="24"/>
          <w:szCs w:val="24"/>
        </w:rPr>
      </w:pPr>
      <w:r w:rsidRPr="00F851F3">
        <w:rPr>
          <w:rFonts w:ascii="Arial" w:hAnsi="Arial" w:cs="Arial"/>
          <w:b/>
          <w:sz w:val="24"/>
          <w:szCs w:val="24"/>
        </w:rPr>
        <w:t>PUBLIC SERVANTS ASSOCIATION</w:t>
      </w:r>
      <w:r w:rsidR="002B18B6">
        <w:rPr>
          <w:rFonts w:ascii="Arial" w:hAnsi="Arial" w:cs="Arial"/>
          <w:b/>
          <w:sz w:val="24"/>
          <w:szCs w:val="24"/>
        </w:rPr>
        <w:t xml:space="preserve"> obo </w:t>
      </w:r>
    </w:p>
    <w:p w14:paraId="3014FE5C" w14:textId="6DA68C88" w:rsidR="006B594C" w:rsidRPr="006B594C" w:rsidRDefault="002B18B6" w:rsidP="00341132">
      <w:pPr>
        <w:spacing w:line="360" w:lineRule="auto"/>
        <w:rPr>
          <w:rFonts w:ascii="Arial" w:hAnsi="Arial" w:cs="Arial"/>
          <w:b/>
          <w:sz w:val="24"/>
          <w:szCs w:val="24"/>
        </w:rPr>
      </w:pPr>
      <w:r>
        <w:rPr>
          <w:rFonts w:ascii="Arial" w:hAnsi="Arial" w:cs="Arial"/>
          <w:b/>
          <w:sz w:val="24"/>
          <w:szCs w:val="24"/>
        </w:rPr>
        <w:t>MEINTJIES &amp; 55 OTHERS</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B594C" w:rsidRPr="006B594C">
        <w:rPr>
          <w:rFonts w:ascii="Arial" w:hAnsi="Arial" w:cs="Arial"/>
          <w:b/>
          <w:sz w:val="24"/>
          <w:szCs w:val="24"/>
        </w:rPr>
        <w:tab/>
      </w:r>
      <w:r w:rsidR="00424608">
        <w:rPr>
          <w:rFonts w:ascii="Arial" w:hAnsi="Arial" w:cs="Arial"/>
          <w:b/>
          <w:sz w:val="24"/>
          <w:szCs w:val="24"/>
        </w:rPr>
        <w:t xml:space="preserve"> </w:t>
      </w:r>
      <w:r w:rsidR="006B594C" w:rsidRPr="006B594C">
        <w:rPr>
          <w:rFonts w:ascii="Arial" w:hAnsi="Arial" w:cs="Arial"/>
          <w:b/>
          <w:sz w:val="24"/>
          <w:szCs w:val="24"/>
        </w:rPr>
        <w:t xml:space="preserve"> </w:t>
      </w:r>
      <w:r w:rsidR="00F851F3">
        <w:rPr>
          <w:rFonts w:ascii="Arial" w:hAnsi="Arial" w:cs="Arial"/>
          <w:b/>
          <w:sz w:val="24"/>
          <w:szCs w:val="24"/>
        </w:rPr>
        <w:tab/>
      </w:r>
      <w:r w:rsidR="00341132">
        <w:rPr>
          <w:rFonts w:ascii="Arial" w:hAnsi="Arial" w:cs="Arial"/>
          <w:b/>
          <w:sz w:val="24"/>
          <w:szCs w:val="24"/>
        </w:rPr>
        <w:t xml:space="preserve"> </w:t>
      </w:r>
      <w:r w:rsidR="006B594C" w:rsidRPr="006B594C">
        <w:rPr>
          <w:rFonts w:ascii="Arial" w:hAnsi="Arial" w:cs="Arial"/>
          <w:b/>
          <w:sz w:val="24"/>
          <w:szCs w:val="24"/>
        </w:rPr>
        <w:t>FIRST RESPONDENT</w:t>
      </w:r>
    </w:p>
    <w:p w14:paraId="306ED2EF" w14:textId="77777777" w:rsidR="00424608" w:rsidRDefault="00424608" w:rsidP="008E7D1C">
      <w:pPr>
        <w:spacing w:line="360" w:lineRule="auto"/>
        <w:rPr>
          <w:rFonts w:ascii="Arial" w:hAnsi="Arial" w:cs="Arial"/>
          <w:b/>
          <w:sz w:val="24"/>
          <w:szCs w:val="24"/>
        </w:rPr>
      </w:pPr>
      <w:r>
        <w:rPr>
          <w:rFonts w:ascii="Arial" w:hAnsi="Arial" w:cs="Arial"/>
          <w:b/>
          <w:sz w:val="24"/>
          <w:szCs w:val="24"/>
        </w:rPr>
        <w:t xml:space="preserve">MINISTER OF JUSTICE AND CORRECTIONAL </w:t>
      </w:r>
    </w:p>
    <w:p w14:paraId="269EE78D" w14:textId="60C393DB" w:rsidR="006B594C" w:rsidRDefault="00424608" w:rsidP="008E7D1C">
      <w:pPr>
        <w:spacing w:line="360" w:lineRule="auto"/>
        <w:rPr>
          <w:rFonts w:ascii="Arial" w:hAnsi="Arial" w:cs="Arial"/>
          <w:b/>
          <w:sz w:val="24"/>
          <w:szCs w:val="24"/>
        </w:rPr>
      </w:pPr>
      <w:r>
        <w:rPr>
          <w:rFonts w:ascii="Arial" w:hAnsi="Arial" w:cs="Arial"/>
          <w:b/>
          <w:sz w:val="24"/>
          <w:szCs w:val="24"/>
        </w:rPr>
        <w:t>SERVCES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6B594C" w:rsidRPr="006B594C">
        <w:rPr>
          <w:rFonts w:ascii="Arial" w:hAnsi="Arial" w:cs="Arial"/>
          <w:b/>
          <w:sz w:val="24"/>
          <w:szCs w:val="24"/>
        </w:rPr>
        <w:t>SECOND RESPONDENT</w:t>
      </w:r>
    </w:p>
    <w:p w14:paraId="5946B467" w14:textId="2F090DB9" w:rsidR="00FC0200" w:rsidRDefault="00424608" w:rsidP="008E7D1C">
      <w:pPr>
        <w:spacing w:line="360" w:lineRule="auto"/>
        <w:rPr>
          <w:rFonts w:ascii="Arial" w:hAnsi="Arial" w:cs="Arial"/>
          <w:b/>
          <w:sz w:val="24"/>
          <w:szCs w:val="24"/>
        </w:rPr>
      </w:pPr>
      <w:r w:rsidRPr="00424608">
        <w:rPr>
          <w:rFonts w:ascii="Arial" w:hAnsi="Arial" w:cs="Arial"/>
          <w:b/>
          <w:sz w:val="24"/>
          <w:szCs w:val="24"/>
        </w:rPr>
        <w:t>DIRECTOR-GENERAL</w:t>
      </w:r>
      <w:r w:rsidR="00FE2FB0">
        <w:rPr>
          <w:rFonts w:ascii="Arial" w:hAnsi="Arial" w:cs="Arial"/>
          <w:b/>
          <w:sz w:val="24"/>
          <w:szCs w:val="24"/>
        </w:rPr>
        <w:t>:</w:t>
      </w:r>
      <w:r w:rsidRPr="00424608">
        <w:rPr>
          <w:rFonts w:ascii="Arial" w:hAnsi="Arial" w:cs="Arial"/>
          <w:b/>
          <w:sz w:val="24"/>
          <w:szCs w:val="24"/>
        </w:rPr>
        <w:t xml:space="preserve"> DEPARTMENT OF JUSTICE </w:t>
      </w:r>
    </w:p>
    <w:p w14:paraId="7DF7C57B" w14:textId="37CC18B9" w:rsidR="00424608" w:rsidRDefault="00424608" w:rsidP="008E7D1C">
      <w:pPr>
        <w:spacing w:line="360" w:lineRule="auto"/>
        <w:rPr>
          <w:rFonts w:ascii="Arial" w:hAnsi="Arial" w:cs="Arial"/>
          <w:b/>
          <w:sz w:val="24"/>
          <w:szCs w:val="24"/>
        </w:rPr>
      </w:pPr>
      <w:r w:rsidRPr="00424608">
        <w:rPr>
          <w:rFonts w:ascii="Arial" w:hAnsi="Arial" w:cs="Arial"/>
          <w:b/>
          <w:sz w:val="24"/>
          <w:szCs w:val="24"/>
        </w:rPr>
        <w:t>AND</w:t>
      </w:r>
      <w:r w:rsidR="00FC0200">
        <w:rPr>
          <w:rFonts w:ascii="Arial" w:hAnsi="Arial" w:cs="Arial"/>
          <w:b/>
          <w:sz w:val="24"/>
          <w:szCs w:val="24"/>
        </w:rPr>
        <w:t xml:space="preserve"> </w:t>
      </w:r>
      <w:r w:rsidRPr="00424608">
        <w:rPr>
          <w:rFonts w:ascii="Arial" w:hAnsi="Arial" w:cs="Arial"/>
          <w:b/>
          <w:sz w:val="24"/>
          <w:szCs w:val="24"/>
        </w:rPr>
        <w:t>CONSTITUTIONAL DEVELOPMENT</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41132">
        <w:rPr>
          <w:rFonts w:ascii="Arial" w:hAnsi="Arial" w:cs="Arial"/>
          <w:b/>
          <w:sz w:val="24"/>
          <w:szCs w:val="24"/>
        </w:rPr>
        <w:t xml:space="preserve"> </w:t>
      </w:r>
      <w:r w:rsidRPr="00424608">
        <w:rPr>
          <w:rFonts w:ascii="Arial" w:hAnsi="Arial" w:cs="Arial"/>
          <w:b/>
          <w:sz w:val="24"/>
          <w:szCs w:val="24"/>
        </w:rPr>
        <w:t>THIRD RESPONDENT</w:t>
      </w:r>
      <w:r>
        <w:rPr>
          <w:rFonts w:ascii="Arial" w:hAnsi="Arial" w:cs="Arial"/>
          <w:b/>
          <w:sz w:val="24"/>
          <w:szCs w:val="24"/>
        </w:rPr>
        <w:tab/>
      </w:r>
      <w:r>
        <w:rPr>
          <w:rFonts w:ascii="Arial" w:hAnsi="Arial" w:cs="Arial"/>
          <w:b/>
          <w:sz w:val="24"/>
          <w:szCs w:val="24"/>
        </w:rPr>
        <w:tab/>
      </w:r>
    </w:p>
    <w:p w14:paraId="255FFF70" w14:textId="77777777" w:rsidR="002B18B6" w:rsidRDefault="002B18B6" w:rsidP="008E7D1C">
      <w:pPr>
        <w:spacing w:after="0" w:line="360" w:lineRule="auto"/>
        <w:rPr>
          <w:rFonts w:ascii="Arial" w:hAnsi="Arial" w:cs="Arial"/>
          <w:b/>
          <w:sz w:val="24"/>
          <w:szCs w:val="24"/>
        </w:rPr>
      </w:pPr>
      <w:r>
        <w:rPr>
          <w:rFonts w:ascii="Arial" w:hAnsi="Arial" w:cs="Arial"/>
          <w:b/>
          <w:sz w:val="24"/>
          <w:szCs w:val="24"/>
        </w:rPr>
        <w:t>MINISTER OF PUBLIC SERVICE</w:t>
      </w:r>
    </w:p>
    <w:p w14:paraId="6ED739FC" w14:textId="504ABB2E" w:rsidR="002B18B6" w:rsidRDefault="002B18B6" w:rsidP="008E7D1C">
      <w:pPr>
        <w:spacing w:line="360" w:lineRule="auto"/>
        <w:rPr>
          <w:rFonts w:ascii="Arial" w:hAnsi="Arial" w:cs="Arial"/>
          <w:b/>
          <w:sz w:val="24"/>
          <w:szCs w:val="24"/>
        </w:rPr>
      </w:pPr>
      <w:r>
        <w:rPr>
          <w:rFonts w:ascii="Arial" w:hAnsi="Arial" w:cs="Arial"/>
          <w:b/>
          <w:sz w:val="24"/>
          <w:szCs w:val="24"/>
        </w:rPr>
        <w:t>AND ADMINISTRATION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341132">
        <w:rPr>
          <w:rFonts w:ascii="Arial" w:hAnsi="Arial" w:cs="Arial"/>
          <w:b/>
          <w:sz w:val="24"/>
          <w:szCs w:val="24"/>
        </w:rPr>
        <w:t xml:space="preserve"> </w:t>
      </w:r>
      <w:r w:rsidR="00424608" w:rsidRPr="00424608">
        <w:rPr>
          <w:rFonts w:ascii="Arial" w:hAnsi="Arial" w:cs="Arial"/>
          <w:b/>
          <w:sz w:val="24"/>
          <w:szCs w:val="24"/>
        </w:rPr>
        <w:t>FOURTH RESPONDENT</w:t>
      </w:r>
    </w:p>
    <w:p w14:paraId="51D871A1" w14:textId="0E11A90D" w:rsidR="002B18B6" w:rsidRDefault="002B18B6" w:rsidP="008E7D1C">
      <w:pPr>
        <w:spacing w:line="360" w:lineRule="auto"/>
        <w:rPr>
          <w:rFonts w:ascii="Arial" w:hAnsi="Arial" w:cs="Arial"/>
          <w:b/>
          <w:sz w:val="24"/>
          <w:szCs w:val="24"/>
        </w:rPr>
      </w:pPr>
      <w:r>
        <w:rPr>
          <w:rFonts w:ascii="Arial" w:hAnsi="Arial" w:cs="Arial"/>
          <w:b/>
          <w:sz w:val="24"/>
          <w:szCs w:val="24"/>
        </w:rPr>
        <w:t>MINISTER OF FINANCE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424608">
        <w:rPr>
          <w:rFonts w:ascii="Arial" w:hAnsi="Arial" w:cs="Arial"/>
          <w:b/>
          <w:sz w:val="24"/>
          <w:szCs w:val="24"/>
        </w:rPr>
        <w:t xml:space="preserve">     FIFTH RESPONDENT</w:t>
      </w:r>
    </w:p>
    <w:p w14:paraId="778C1BB4" w14:textId="554ECE51" w:rsidR="002B18B6" w:rsidRPr="006B594C" w:rsidRDefault="002B18B6" w:rsidP="008E7D1C">
      <w:pPr>
        <w:spacing w:line="360" w:lineRule="auto"/>
        <w:rPr>
          <w:rFonts w:ascii="Arial" w:hAnsi="Arial" w:cs="Arial"/>
          <w:b/>
          <w:sz w:val="24"/>
          <w:szCs w:val="24"/>
        </w:rPr>
      </w:pPr>
      <w:r>
        <w:rPr>
          <w:rFonts w:ascii="Arial" w:hAnsi="Arial" w:cs="Arial"/>
          <w:b/>
          <w:sz w:val="24"/>
          <w:szCs w:val="24"/>
        </w:rPr>
        <w:t>GOVERNMENT EMPLOYEES PENSION FUND</w:t>
      </w:r>
      <w:r>
        <w:rPr>
          <w:rFonts w:ascii="Arial" w:hAnsi="Arial" w:cs="Arial"/>
          <w:b/>
          <w:sz w:val="24"/>
          <w:szCs w:val="24"/>
        </w:rPr>
        <w:tab/>
      </w:r>
      <w:r>
        <w:rPr>
          <w:rFonts w:ascii="Arial" w:hAnsi="Arial" w:cs="Arial"/>
          <w:b/>
          <w:sz w:val="24"/>
          <w:szCs w:val="24"/>
        </w:rPr>
        <w:tab/>
        <w:t xml:space="preserve"> </w:t>
      </w:r>
      <w:r w:rsidR="00424608">
        <w:rPr>
          <w:rFonts w:ascii="Arial" w:hAnsi="Arial" w:cs="Arial"/>
          <w:b/>
          <w:sz w:val="24"/>
          <w:szCs w:val="24"/>
        </w:rPr>
        <w:t>S</w:t>
      </w:r>
      <w:r>
        <w:rPr>
          <w:rFonts w:ascii="Arial" w:hAnsi="Arial" w:cs="Arial"/>
          <w:b/>
          <w:sz w:val="24"/>
          <w:szCs w:val="24"/>
        </w:rPr>
        <w:t>I</w:t>
      </w:r>
      <w:r w:rsidR="00424608">
        <w:rPr>
          <w:rFonts w:ascii="Arial" w:hAnsi="Arial" w:cs="Arial"/>
          <w:b/>
          <w:sz w:val="24"/>
          <w:szCs w:val="24"/>
        </w:rPr>
        <w:t>X</w:t>
      </w:r>
      <w:r>
        <w:rPr>
          <w:rFonts w:ascii="Arial" w:hAnsi="Arial" w:cs="Arial"/>
          <w:b/>
          <w:sz w:val="24"/>
          <w:szCs w:val="24"/>
        </w:rPr>
        <w:t>TH RESPONDENT</w:t>
      </w:r>
    </w:p>
    <w:p w14:paraId="550FD003" w14:textId="08EDC3F0" w:rsidR="006B594C" w:rsidRDefault="002B18B6" w:rsidP="00341132">
      <w:pPr>
        <w:spacing w:after="0" w:line="360" w:lineRule="auto"/>
        <w:rPr>
          <w:rFonts w:ascii="Arial" w:hAnsi="Arial" w:cs="Arial"/>
          <w:sz w:val="24"/>
          <w:szCs w:val="24"/>
        </w:rPr>
      </w:pPr>
      <w:r>
        <w:rPr>
          <w:rFonts w:ascii="Arial" w:hAnsi="Arial" w:cs="Arial"/>
          <w:sz w:val="24"/>
          <w:szCs w:val="24"/>
        </w:rPr>
        <w:t>A</w:t>
      </w:r>
      <w:r w:rsidR="00AF3CA3">
        <w:rPr>
          <w:rFonts w:ascii="Arial" w:hAnsi="Arial" w:cs="Arial"/>
          <w:sz w:val="24"/>
          <w:szCs w:val="24"/>
        </w:rPr>
        <w:t>ND</w:t>
      </w:r>
    </w:p>
    <w:p w14:paraId="5AABD43C" w14:textId="77777777" w:rsidR="002B18B6" w:rsidRDefault="002B18B6" w:rsidP="008E7D1C">
      <w:pPr>
        <w:spacing w:line="360" w:lineRule="auto"/>
        <w:rPr>
          <w:rFonts w:ascii="Arial" w:hAnsi="Arial" w:cs="Arial"/>
          <w:b/>
          <w:bCs/>
          <w:sz w:val="24"/>
          <w:szCs w:val="24"/>
        </w:rPr>
      </w:pPr>
      <w:r>
        <w:rPr>
          <w:rFonts w:ascii="Arial" w:hAnsi="Arial" w:cs="Arial"/>
          <w:b/>
          <w:bCs/>
          <w:sz w:val="24"/>
          <w:szCs w:val="24"/>
        </w:rPr>
        <w:t>THE MINISTER OF JU</w:t>
      </w:r>
      <w:r w:rsidR="00EA160E">
        <w:rPr>
          <w:rFonts w:ascii="Arial" w:hAnsi="Arial" w:cs="Arial"/>
          <w:b/>
          <w:bCs/>
          <w:sz w:val="24"/>
          <w:szCs w:val="24"/>
        </w:rPr>
        <w:t>S</w:t>
      </w:r>
      <w:r>
        <w:rPr>
          <w:rFonts w:ascii="Arial" w:hAnsi="Arial" w:cs="Arial"/>
          <w:b/>
          <w:bCs/>
          <w:sz w:val="24"/>
          <w:szCs w:val="24"/>
        </w:rPr>
        <w:t>TICE AND CORRECTIONAL</w:t>
      </w:r>
    </w:p>
    <w:p w14:paraId="0CF9F723" w14:textId="77777777" w:rsidR="002B18B6" w:rsidRDefault="002B18B6" w:rsidP="008E7D1C">
      <w:pPr>
        <w:spacing w:line="360" w:lineRule="auto"/>
        <w:rPr>
          <w:rFonts w:ascii="Arial" w:hAnsi="Arial" w:cs="Arial"/>
          <w:b/>
          <w:sz w:val="24"/>
          <w:szCs w:val="24"/>
        </w:rPr>
      </w:pPr>
      <w:r>
        <w:rPr>
          <w:rFonts w:ascii="Arial" w:hAnsi="Arial" w:cs="Arial"/>
          <w:b/>
          <w:bCs/>
          <w:sz w:val="24"/>
          <w:szCs w:val="24"/>
        </w:rPr>
        <w:t>SERVICES</w:t>
      </w:r>
      <w:r w:rsidR="00424608">
        <w:rPr>
          <w:rFonts w:ascii="Arial" w:hAnsi="Arial" w:cs="Arial"/>
          <w:b/>
          <w:bCs/>
          <w:sz w:val="24"/>
          <w:szCs w:val="24"/>
        </w:rPr>
        <w:tab/>
      </w:r>
      <w:r w:rsidR="00424608">
        <w:rPr>
          <w:rFonts w:ascii="Arial" w:hAnsi="Arial" w:cs="Arial"/>
          <w:b/>
          <w:bCs/>
          <w:sz w:val="24"/>
          <w:szCs w:val="24"/>
        </w:rPr>
        <w:tab/>
      </w:r>
      <w:r w:rsidR="00424608">
        <w:rPr>
          <w:rFonts w:ascii="Arial" w:hAnsi="Arial" w:cs="Arial"/>
          <w:b/>
          <w:bCs/>
          <w:sz w:val="24"/>
          <w:szCs w:val="24"/>
        </w:rPr>
        <w:tab/>
      </w:r>
      <w:r w:rsidR="00424608">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6B594C">
        <w:rPr>
          <w:rFonts w:ascii="Arial" w:hAnsi="Arial" w:cs="Arial"/>
          <w:b/>
          <w:bCs/>
          <w:sz w:val="24"/>
          <w:szCs w:val="24"/>
        </w:rPr>
        <w:tab/>
      </w:r>
      <w:r w:rsidRPr="006B594C">
        <w:rPr>
          <w:rFonts w:ascii="Arial" w:hAnsi="Arial" w:cs="Arial"/>
          <w:b/>
          <w:bCs/>
          <w:sz w:val="24"/>
          <w:szCs w:val="24"/>
        </w:rPr>
        <w:tab/>
        <w:t xml:space="preserve">     FIRST </w:t>
      </w:r>
      <w:r w:rsidRPr="006B594C">
        <w:rPr>
          <w:rFonts w:ascii="Arial" w:hAnsi="Arial" w:cs="Arial"/>
          <w:b/>
          <w:sz w:val="24"/>
          <w:szCs w:val="24"/>
        </w:rPr>
        <w:t>APPELLANT</w:t>
      </w:r>
    </w:p>
    <w:p w14:paraId="196FF8CB" w14:textId="0BFF9B5E" w:rsidR="00FC0200" w:rsidRDefault="00424608" w:rsidP="008E7D1C">
      <w:pPr>
        <w:spacing w:line="360" w:lineRule="auto"/>
        <w:rPr>
          <w:rFonts w:ascii="Arial" w:hAnsi="Arial" w:cs="Arial"/>
          <w:b/>
          <w:bCs/>
          <w:sz w:val="24"/>
          <w:szCs w:val="24"/>
        </w:rPr>
      </w:pPr>
      <w:r>
        <w:rPr>
          <w:rFonts w:ascii="Arial" w:hAnsi="Arial" w:cs="Arial"/>
          <w:b/>
          <w:bCs/>
          <w:sz w:val="24"/>
          <w:szCs w:val="24"/>
        </w:rPr>
        <w:t>DIRECTOR-GENERAL</w:t>
      </w:r>
      <w:r w:rsidR="00341132">
        <w:rPr>
          <w:rFonts w:ascii="Arial" w:hAnsi="Arial" w:cs="Arial"/>
          <w:b/>
          <w:bCs/>
          <w:sz w:val="24"/>
          <w:szCs w:val="24"/>
        </w:rPr>
        <w:t>:</w:t>
      </w:r>
      <w:r>
        <w:rPr>
          <w:rFonts w:ascii="Arial" w:hAnsi="Arial" w:cs="Arial"/>
          <w:b/>
          <w:bCs/>
          <w:sz w:val="24"/>
          <w:szCs w:val="24"/>
        </w:rPr>
        <w:t xml:space="preserve"> DEPARTMENT OF JUSTICE </w:t>
      </w:r>
    </w:p>
    <w:p w14:paraId="21B824BB" w14:textId="21B2DACA" w:rsidR="00424608" w:rsidRPr="006B594C" w:rsidRDefault="00424608" w:rsidP="008E7D1C">
      <w:pPr>
        <w:spacing w:line="360" w:lineRule="auto"/>
        <w:rPr>
          <w:rFonts w:ascii="Arial" w:hAnsi="Arial" w:cs="Arial"/>
          <w:b/>
          <w:sz w:val="24"/>
          <w:szCs w:val="24"/>
        </w:rPr>
      </w:pPr>
      <w:r>
        <w:rPr>
          <w:rFonts w:ascii="Arial" w:hAnsi="Arial" w:cs="Arial"/>
          <w:b/>
          <w:bCs/>
          <w:sz w:val="24"/>
          <w:szCs w:val="24"/>
        </w:rPr>
        <w:lastRenderedPageBreak/>
        <w:t>AND</w:t>
      </w:r>
      <w:r w:rsidR="00FC0200">
        <w:rPr>
          <w:rFonts w:ascii="Arial" w:hAnsi="Arial" w:cs="Arial"/>
          <w:b/>
          <w:bCs/>
          <w:sz w:val="24"/>
          <w:szCs w:val="24"/>
        </w:rPr>
        <w:t xml:space="preserve"> </w:t>
      </w:r>
      <w:r>
        <w:rPr>
          <w:rFonts w:ascii="Arial" w:hAnsi="Arial" w:cs="Arial"/>
          <w:b/>
          <w:bCs/>
          <w:sz w:val="24"/>
          <w:szCs w:val="24"/>
        </w:rPr>
        <w:t>CONSTITUTIONAL DEVELOPMENT</w:t>
      </w:r>
      <w:r w:rsidR="008E7D1C">
        <w:rPr>
          <w:rFonts w:ascii="Arial" w:hAnsi="Arial" w:cs="Arial"/>
          <w:b/>
          <w:bCs/>
          <w:sz w:val="24"/>
          <w:szCs w:val="24"/>
        </w:rPr>
        <w:t xml:space="preserve">                            </w:t>
      </w:r>
      <w:r>
        <w:rPr>
          <w:rFonts w:ascii="Arial" w:hAnsi="Arial" w:cs="Arial"/>
          <w:b/>
          <w:bCs/>
          <w:sz w:val="24"/>
          <w:szCs w:val="24"/>
        </w:rPr>
        <w:t>SECOND APPELLANT</w:t>
      </w:r>
    </w:p>
    <w:p w14:paraId="3065D833" w14:textId="77777777" w:rsidR="002B18B6" w:rsidRPr="006B594C" w:rsidRDefault="002B18B6" w:rsidP="008E7D1C">
      <w:pPr>
        <w:spacing w:line="360" w:lineRule="auto"/>
        <w:rPr>
          <w:rFonts w:ascii="Arial" w:hAnsi="Arial" w:cs="Arial"/>
          <w:sz w:val="24"/>
          <w:szCs w:val="24"/>
        </w:rPr>
      </w:pPr>
      <w:r w:rsidRPr="006B594C">
        <w:rPr>
          <w:rFonts w:ascii="Arial" w:hAnsi="Arial" w:cs="Arial"/>
          <w:sz w:val="24"/>
          <w:szCs w:val="24"/>
        </w:rPr>
        <w:t>and</w:t>
      </w:r>
    </w:p>
    <w:p w14:paraId="4E23F431" w14:textId="77777777" w:rsidR="00F851F3" w:rsidRDefault="00F851F3" w:rsidP="008E7D1C">
      <w:pPr>
        <w:spacing w:line="360" w:lineRule="auto"/>
        <w:rPr>
          <w:rFonts w:ascii="Arial" w:hAnsi="Arial" w:cs="Arial"/>
          <w:b/>
          <w:sz w:val="24"/>
          <w:szCs w:val="24"/>
        </w:rPr>
      </w:pPr>
      <w:r>
        <w:rPr>
          <w:rFonts w:ascii="Arial" w:hAnsi="Arial" w:cs="Arial"/>
          <w:b/>
          <w:sz w:val="24"/>
          <w:szCs w:val="24"/>
        </w:rPr>
        <w:t>PUBLIC SERVANTS ASSOCIATION obo</w:t>
      </w:r>
    </w:p>
    <w:p w14:paraId="545BE992" w14:textId="00FBD389" w:rsidR="002B18B6" w:rsidRPr="006B594C" w:rsidRDefault="002B18B6" w:rsidP="008E7D1C">
      <w:pPr>
        <w:spacing w:line="360" w:lineRule="auto"/>
        <w:rPr>
          <w:rFonts w:ascii="Arial" w:hAnsi="Arial" w:cs="Arial"/>
          <w:b/>
          <w:sz w:val="24"/>
          <w:szCs w:val="24"/>
        </w:rPr>
      </w:pPr>
      <w:r>
        <w:rPr>
          <w:rFonts w:ascii="Arial" w:hAnsi="Arial" w:cs="Arial"/>
          <w:b/>
          <w:sz w:val="24"/>
          <w:szCs w:val="24"/>
        </w:rPr>
        <w:t>MEINTJIES &amp; 55 OTHERS</w:t>
      </w:r>
      <w:r w:rsidR="00F851F3">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6B594C">
        <w:rPr>
          <w:rFonts w:ascii="Arial" w:hAnsi="Arial" w:cs="Arial"/>
          <w:b/>
          <w:sz w:val="24"/>
          <w:szCs w:val="24"/>
        </w:rPr>
        <w:t xml:space="preserve"> </w:t>
      </w:r>
      <w:r w:rsidR="00F851F3">
        <w:rPr>
          <w:rFonts w:ascii="Arial" w:hAnsi="Arial" w:cs="Arial"/>
          <w:b/>
          <w:sz w:val="24"/>
          <w:szCs w:val="24"/>
        </w:rPr>
        <w:t xml:space="preserve"> </w:t>
      </w:r>
      <w:r w:rsidR="00341132">
        <w:rPr>
          <w:rFonts w:ascii="Arial" w:hAnsi="Arial" w:cs="Arial"/>
          <w:b/>
          <w:sz w:val="24"/>
          <w:szCs w:val="24"/>
        </w:rPr>
        <w:t xml:space="preserve">          </w:t>
      </w:r>
      <w:r w:rsidRPr="006B594C">
        <w:rPr>
          <w:rFonts w:ascii="Arial" w:hAnsi="Arial" w:cs="Arial"/>
          <w:b/>
          <w:sz w:val="24"/>
          <w:szCs w:val="24"/>
        </w:rPr>
        <w:t>FIRST RESPONDENT</w:t>
      </w:r>
    </w:p>
    <w:p w14:paraId="651C63D9" w14:textId="77777777" w:rsidR="002B18B6" w:rsidRDefault="002B18B6" w:rsidP="008E7D1C">
      <w:pPr>
        <w:spacing w:line="360" w:lineRule="auto"/>
        <w:rPr>
          <w:rFonts w:ascii="Arial" w:hAnsi="Arial" w:cs="Arial"/>
          <w:b/>
          <w:sz w:val="24"/>
          <w:szCs w:val="24"/>
        </w:rPr>
      </w:pPr>
      <w:r>
        <w:rPr>
          <w:rFonts w:ascii="Arial" w:hAnsi="Arial" w:cs="Arial"/>
          <w:b/>
          <w:sz w:val="24"/>
          <w:szCs w:val="24"/>
        </w:rPr>
        <w:t>MINISTER OF PUBLIC SERVICE</w:t>
      </w:r>
    </w:p>
    <w:p w14:paraId="0D2F658F" w14:textId="77777777" w:rsidR="002B18B6" w:rsidRDefault="002B18B6" w:rsidP="008E7D1C">
      <w:pPr>
        <w:spacing w:line="360" w:lineRule="auto"/>
        <w:rPr>
          <w:rFonts w:ascii="Arial" w:hAnsi="Arial" w:cs="Arial"/>
          <w:b/>
          <w:sz w:val="24"/>
          <w:szCs w:val="24"/>
        </w:rPr>
      </w:pPr>
      <w:r>
        <w:rPr>
          <w:rFonts w:ascii="Arial" w:hAnsi="Arial" w:cs="Arial"/>
          <w:b/>
          <w:sz w:val="24"/>
          <w:szCs w:val="24"/>
        </w:rPr>
        <w:t>AND ADMINISTRATION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424608">
        <w:rPr>
          <w:rFonts w:ascii="Arial" w:hAnsi="Arial" w:cs="Arial"/>
          <w:b/>
          <w:sz w:val="24"/>
          <w:szCs w:val="24"/>
        </w:rPr>
        <w:t xml:space="preserve"> SECON</w:t>
      </w:r>
      <w:r>
        <w:rPr>
          <w:rFonts w:ascii="Arial" w:hAnsi="Arial" w:cs="Arial"/>
          <w:b/>
          <w:sz w:val="24"/>
          <w:szCs w:val="24"/>
        </w:rPr>
        <w:t>D RESPONDENT</w:t>
      </w:r>
    </w:p>
    <w:p w14:paraId="6E57DDBD" w14:textId="7DE5FF79" w:rsidR="005D3450" w:rsidRDefault="005D3450" w:rsidP="008E7D1C">
      <w:pPr>
        <w:spacing w:line="360" w:lineRule="auto"/>
        <w:rPr>
          <w:rFonts w:ascii="Arial" w:hAnsi="Arial" w:cs="Arial"/>
          <w:b/>
          <w:sz w:val="24"/>
          <w:szCs w:val="24"/>
        </w:rPr>
      </w:pPr>
      <w:r>
        <w:rPr>
          <w:rFonts w:ascii="Arial" w:hAnsi="Arial" w:cs="Arial"/>
          <w:b/>
          <w:sz w:val="24"/>
          <w:szCs w:val="24"/>
        </w:rPr>
        <w:t>NATIONAL PROSECUTING AUTHORITY</w:t>
      </w:r>
      <w:r w:rsidRPr="006B594C">
        <w:rPr>
          <w:rFonts w:ascii="Arial" w:hAnsi="Arial" w:cs="Arial"/>
          <w:b/>
          <w:sz w:val="24"/>
          <w:szCs w:val="24"/>
        </w:rPr>
        <w:tab/>
      </w:r>
      <w:r w:rsidRPr="006B594C">
        <w:rPr>
          <w:rFonts w:ascii="Arial" w:hAnsi="Arial" w:cs="Arial"/>
          <w:b/>
          <w:sz w:val="24"/>
          <w:szCs w:val="24"/>
        </w:rPr>
        <w:tab/>
        <w:t xml:space="preserve">       </w:t>
      </w:r>
      <w:r>
        <w:rPr>
          <w:rFonts w:ascii="Arial" w:hAnsi="Arial" w:cs="Arial"/>
          <w:b/>
          <w:sz w:val="24"/>
          <w:szCs w:val="24"/>
        </w:rPr>
        <w:t xml:space="preserve">    THIR</w:t>
      </w:r>
      <w:r w:rsidRPr="006B594C">
        <w:rPr>
          <w:rFonts w:ascii="Arial" w:hAnsi="Arial" w:cs="Arial"/>
          <w:b/>
          <w:sz w:val="24"/>
          <w:szCs w:val="24"/>
        </w:rPr>
        <w:t>D RESPONDENT</w:t>
      </w:r>
    </w:p>
    <w:p w14:paraId="3BE27DBE" w14:textId="29CB04E4" w:rsidR="002B18B6" w:rsidRDefault="002B18B6" w:rsidP="008E7D1C">
      <w:pPr>
        <w:spacing w:line="360" w:lineRule="auto"/>
        <w:rPr>
          <w:rFonts w:ascii="Arial" w:hAnsi="Arial" w:cs="Arial"/>
          <w:b/>
          <w:sz w:val="24"/>
          <w:szCs w:val="24"/>
        </w:rPr>
      </w:pPr>
      <w:r>
        <w:rPr>
          <w:rFonts w:ascii="Arial" w:hAnsi="Arial" w:cs="Arial"/>
          <w:b/>
          <w:sz w:val="24"/>
          <w:szCs w:val="24"/>
        </w:rPr>
        <w:t>MINISTER OF FINANCE</w:t>
      </w:r>
      <w:r w:rsidR="00341132">
        <w:rPr>
          <w:rFonts w:ascii="Arial" w:hAnsi="Arial" w:cs="Arial"/>
          <w:b/>
          <w:sz w:val="24"/>
          <w:szCs w:val="24"/>
        </w:rPr>
        <w:tab/>
      </w:r>
      <w:r w:rsidR="00341132">
        <w:rPr>
          <w:rFonts w:ascii="Arial" w:hAnsi="Arial" w:cs="Arial"/>
          <w:b/>
          <w:sz w:val="24"/>
          <w:szCs w:val="24"/>
        </w:rPr>
        <w:tab/>
      </w:r>
      <w:r w:rsidR="00341132">
        <w:rPr>
          <w:rFonts w:ascii="Arial" w:hAnsi="Arial" w:cs="Arial"/>
          <w:b/>
          <w:sz w:val="24"/>
          <w:szCs w:val="24"/>
        </w:rPr>
        <w:tab/>
      </w:r>
      <w:r w:rsidR="00341132">
        <w:rPr>
          <w:rFonts w:ascii="Arial" w:hAnsi="Arial" w:cs="Arial"/>
          <w:b/>
          <w:sz w:val="24"/>
          <w:szCs w:val="24"/>
        </w:rPr>
        <w:tab/>
      </w:r>
      <w:r w:rsidR="00341132">
        <w:rPr>
          <w:rFonts w:ascii="Arial" w:hAnsi="Arial" w:cs="Arial"/>
          <w:b/>
          <w:sz w:val="24"/>
          <w:szCs w:val="24"/>
        </w:rPr>
        <w:tab/>
        <w:t xml:space="preserve">      </w:t>
      </w:r>
      <w:r w:rsidR="005D3450">
        <w:rPr>
          <w:rFonts w:ascii="Arial" w:hAnsi="Arial" w:cs="Arial"/>
          <w:b/>
          <w:sz w:val="24"/>
          <w:szCs w:val="24"/>
        </w:rPr>
        <w:t xml:space="preserve"> </w:t>
      </w:r>
      <w:r>
        <w:rPr>
          <w:rFonts w:ascii="Arial" w:hAnsi="Arial" w:cs="Arial"/>
          <w:b/>
          <w:sz w:val="24"/>
          <w:szCs w:val="24"/>
        </w:rPr>
        <w:t>FOURTH RESPONDENT</w:t>
      </w:r>
    </w:p>
    <w:p w14:paraId="7AFEB305" w14:textId="77777777" w:rsidR="002B18B6" w:rsidRDefault="002B18B6" w:rsidP="00341132">
      <w:pPr>
        <w:spacing w:after="0" w:line="360" w:lineRule="auto"/>
        <w:rPr>
          <w:rFonts w:ascii="Arial" w:hAnsi="Arial" w:cs="Arial"/>
          <w:b/>
          <w:sz w:val="24"/>
          <w:szCs w:val="24"/>
        </w:rPr>
      </w:pPr>
      <w:r>
        <w:rPr>
          <w:rFonts w:ascii="Arial" w:hAnsi="Arial" w:cs="Arial"/>
          <w:b/>
          <w:sz w:val="24"/>
          <w:szCs w:val="24"/>
        </w:rPr>
        <w:t>GOVERNMENT EMPLOYEES PENSION FUND</w:t>
      </w:r>
      <w:r>
        <w:rPr>
          <w:rFonts w:ascii="Arial" w:hAnsi="Arial" w:cs="Arial"/>
          <w:b/>
          <w:sz w:val="24"/>
          <w:szCs w:val="24"/>
        </w:rPr>
        <w:tab/>
      </w:r>
      <w:r>
        <w:rPr>
          <w:rFonts w:ascii="Arial" w:hAnsi="Arial" w:cs="Arial"/>
          <w:b/>
          <w:sz w:val="24"/>
          <w:szCs w:val="24"/>
        </w:rPr>
        <w:tab/>
        <w:t xml:space="preserve"> FIFTH RESPONDENT</w:t>
      </w:r>
    </w:p>
    <w:p w14:paraId="1826AE38" w14:textId="77777777" w:rsidR="00424608" w:rsidRDefault="00424608" w:rsidP="002B18B6">
      <w:pPr>
        <w:spacing w:after="0" w:line="360" w:lineRule="auto"/>
        <w:rPr>
          <w:rFonts w:ascii="Arial" w:hAnsi="Arial" w:cs="Arial"/>
          <w:sz w:val="24"/>
          <w:szCs w:val="24"/>
        </w:rPr>
      </w:pPr>
    </w:p>
    <w:p w14:paraId="3B3955B8" w14:textId="20FD97F4" w:rsidR="005D3450" w:rsidRPr="00BC3E98" w:rsidRDefault="006B594C" w:rsidP="00BC3E98">
      <w:pPr>
        <w:autoSpaceDE w:val="0"/>
        <w:autoSpaceDN w:val="0"/>
        <w:adjustRightInd w:val="0"/>
        <w:spacing w:after="0" w:line="240" w:lineRule="auto"/>
        <w:ind w:left="2160" w:hanging="2160"/>
        <w:jc w:val="both"/>
        <w:rPr>
          <w:rFonts w:ascii="Arial" w:hAnsi="Arial" w:cs="Arial"/>
          <w:bCs/>
          <w:sz w:val="24"/>
          <w:szCs w:val="24"/>
        </w:rPr>
      </w:pPr>
      <w:r w:rsidRPr="006B594C">
        <w:rPr>
          <w:rFonts w:ascii="Arial" w:hAnsi="Arial" w:cs="Arial"/>
          <w:b/>
          <w:bCs/>
          <w:sz w:val="24"/>
          <w:szCs w:val="24"/>
        </w:rPr>
        <w:t>Neutral citation:</w:t>
      </w:r>
      <w:r w:rsidRPr="006B594C">
        <w:rPr>
          <w:rFonts w:ascii="Arial" w:hAnsi="Arial" w:cs="Arial"/>
          <w:bCs/>
          <w:sz w:val="24"/>
          <w:szCs w:val="24"/>
        </w:rPr>
        <w:tab/>
      </w:r>
      <w:r w:rsidR="00BC3E98" w:rsidRPr="00BC3E98">
        <w:rPr>
          <w:rFonts w:ascii="Arial" w:hAnsi="Arial" w:cs="Arial"/>
          <w:bCs/>
          <w:i/>
          <w:sz w:val="24"/>
          <w:szCs w:val="24"/>
        </w:rPr>
        <w:t xml:space="preserve">The National Prosecuting Authority v PSA obo Meintjies and 55 others and Others </w:t>
      </w:r>
      <w:r w:rsidR="00BC3E98" w:rsidRPr="00BC3E98">
        <w:rPr>
          <w:rFonts w:ascii="Arial" w:hAnsi="Arial" w:cs="Arial"/>
          <w:bCs/>
          <w:sz w:val="24"/>
          <w:szCs w:val="24"/>
        </w:rPr>
        <w:t>(Case no: 353/2020)</w:t>
      </w:r>
      <w:r w:rsidR="00BC3E98" w:rsidRPr="00BC3E98">
        <w:rPr>
          <w:rFonts w:ascii="Arial" w:hAnsi="Arial" w:cs="Arial"/>
          <w:bCs/>
          <w:i/>
          <w:sz w:val="24"/>
          <w:szCs w:val="24"/>
        </w:rPr>
        <w:t xml:space="preserve"> </w:t>
      </w:r>
      <w:r w:rsidR="00BC3E98" w:rsidRPr="00BC3E98">
        <w:rPr>
          <w:rFonts w:ascii="Arial" w:hAnsi="Arial" w:cs="Arial"/>
          <w:bCs/>
          <w:sz w:val="24"/>
          <w:szCs w:val="24"/>
        </w:rPr>
        <w:t>and</w:t>
      </w:r>
      <w:r w:rsidR="00BC3E98" w:rsidRPr="00BC3E98">
        <w:rPr>
          <w:rFonts w:ascii="Arial" w:hAnsi="Arial" w:cs="Arial"/>
          <w:bCs/>
          <w:i/>
          <w:sz w:val="24"/>
          <w:szCs w:val="24"/>
        </w:rPr>
        <w:t xml:space="preserve"> The Minister of Justice and Correctional Services and Director-General: DoJCD v PSA obo Meintjies and 55 others and Others </w:t>
      </w:r>
      <w:r w:rsidR="00BC3E98" w:rsidRPr="00BC3E98">
        <w:rPr>
          <w:rFonts w:ascii="Arial" w:hAnsi="Arial" w:cs="Arial"/>
          <w:bCs/>
          <w:sz w:val="24"/>
          <w:szCs w:val="24"/>
        </w:rPr>
        <w:t>(Case no: 354/2020) [2021] ZASCA 160 (SCA) (17 November 2021)</w:t>
      </w:r>
    </w:p>
    <w:p w14:paraId="6475A077" w14:textId="77777777" w:rsidR="00BC3E98" w:rsidRPr="006B594C" w:rsidRDefault="00BC3E98" w:rsidP="00BC3E98">
      <w:pPr>
        <w:autoSpaceDE w:val="0"/>
        <w:autoSpaceDN w:val="0"/>
        <w:adjustRightInd w:val="0"/>
        <w:spacing w:after="0" w:line="240" w:lineRule="auto"/>
        <w:ind w:left="2160" w:hanging="2160"/>
        <w:jc w:val="both"/>
        <w:rPr>
          <w:rFonts w:ascii="Arial" w:hAnsi="Arial" w:cs="Arial"/>
          <w:sz w:val="24"/>
          <w:szCs w:val="24"/>
        </w:rPr>
      </w:pPr>
    </w:p>
    <w:p w14:paraId="219A3E79" w14:textId="1CD8D462" w:rsidR="006B594C" w:rsidRPr="006B594C" w:rsidRDefault="006B594C" w:rsidP="006B594C">
      <w:pPr>
        <w:spacing w:line="360" w:lineRule="auto"/>
        <w:ind w:left="2160" w:hanging="2160"/>
        <w:rPr>
          <w:rFonts w:ascii="Arial" w:hAnsi="Arial" w:cs="Arial"/>
          <w:sz w:val="24"/>
          <w:szCs w:val="24"/>
        </w:rPr>
      </w:pPr>
      <w:r w:rsidRPr="006B594C">
        <w:rPr>
          <w:rFonts w:ascii="Arial" w:hAnsi="Arial" w:cs="Arial"/>
          <w:b/>
          <w:bCs/>
          <w:sz w:val="24"/>
          <w:szCs w:val="24"/>
        </w:rPr>
        <w:t>Coram:</w:t>
      </w:r>
      <w:r w:rsidR="005F191F">
        <w:rPr>
          <w:rFonts w:ascii="Arial" w:hAnsi="Arial" w:cs="Arial"/>
          <w:sz w:val="24"/>
          <w:szCs w:val="24"/>
        </w:rPr>
        <w:tab/>
      </w:r>
      <w:r>
        <w:rPr>
          <w:rFonts w:ascii="Arial" w:hAnsi="Arial" w:cs="Arial"/>
          <w:sz w:val="24"/>
          <w:szCs w:val="24"/>
        </w:rPr>
        <w:t>SALDULKER</w:t>
      </w:r>
      <w:r w:rsidRPr="006B594C">
        <w:rPr>
          <w:rFonts w:ascii="Arial" w:hAnsi="Arial" w:cs="Arial"/>
          <w:sz w:val="24"/>
          <w:szCs w:val="24"/>
        </w:rPr>
        <w:t xml:space="preserve">, </w:t>
      </w:r>
      <w:r>
        <w:rPr>
          <w:rFonts w:ascii="Arial" w:hAnsi="Arial" w:cs="Arial"/>
          <w:sz w:val="24"/>
          <w:szCs w:val="24"/>
        </w:rPr>
        <w:t xml:space="preserve">VAN DER MERWE, </w:t>
      </w:r>
      <w:r w:rsidRPr="006B594C">
        <w:rPr>
          <w:rFonts w:ascii="Arial" w:hAnsi="Arial" w:cs="Arial"/>
          <w:sz w:val="24"/>
          <w:szCs w:val="24"/>
        </w:rPr>
        <w:t>MOLEMELA, M</w:t>
      </w:r>
      <w:r>
        <w:rPr>
          <w:rFonts w:ascii="Arial" w:hAnsi="Arial" w:cs="Arial"/>
          <w:sz w:val="24"/>
          <w:szCs w:val="24"/>
        </w:rPr>
        <w:t>OKGO</w:t>
      </w:r>
      <w:r w:rsidR="002B18B6">
        <w:rPr>
          <w:rFonts w:ascii="Arial" w:hAnsi="Arial" w:cs="Arial"/>
          <w:sz w:val="24"/>
          <w:szCs w:val="24"/>
        </w:rPr>
        <w:t>HLOA</w:t>
      </w:r>
      <w:r w:rsidRPr="006B594C">
        <w:rPr>
          <w:rFonts w:ascii="Arial" w:hAnsi="Arial" w:cs="Arial"/>
          <w:sz w:val="24"/>
          <w:szCs w:val="24"/>
        </w:rPr>
        <w:t xml:space="preserve"> </w:t>
      </w:r>
      <w:r w:rsidR="002B18B6">
        <w:rPr>
          <w:rFonts w:ascii="Arial" w:hAnsi="Arial" w:cs="Arial"/>
          <w:sz w:val="24"/>
          <w:szCs w:val="24"/>
        </w:rPr>
        <w:t xml:space="preserve">and HUGHES </w:t>
      </w:r>
      <w:r w:rsidRPr="006B594C">
        <w:rPr>
          <w:rFonts w:ascii="Arial" w:hAnsi="Arial" w:cs="Arial"/>
          <w:sz w:val="24"/>
          <w:szCs w:val="24"/>
        </w:rPr>
        <w:t>JJA</w:t>
      </w:r>
    </w:p>
    <w:p w14:paraId="355B7E80" w14:textId="5A09466F" w:rsidR="006B594C" w:rsidRPr="006B594C" w:rsidRDefault="006B594C" w:rsidP="006B594C">
      <w:pPr>
        <w:spacing w:line="360" w:lineRule="auto"/>
        <w:rPr>
          <w:rFonts w:ascii="Arial" w:hAnsi="Arial" w:cs="Arial"/>
          <w:sz w:val="24"/>
          <w:szCs w:val="24"/>
        </w:rPr>
      </w:pPr>
      <w:r w:rsidRPr="006B594C">
        <w:rPr>
          <w:rFonts w:ascii="Arial" w:hAnsi="Arial" w:cs="Arial"/>
          <w:b/>
          <w:bCs/>
          <w:sz w:val="24"/>
          <w:szCs w:val="24"/>
        </w:rPr>
        <w:t>Heard</w:t>
      </w:r>
      <w:r w:rsidRPr="006B594C">
        <w:rPr>
          <w:rFonts w:ascii="Arial" w:hAnsi="Arial" w:cs="Arial"/>
          <w:sz w:val="24"/>
          <w:szCs w:val="24"/>
        </w:rPr>
        <w:t>:</w:t>
      </w:r>
      <w:r w:rsidRPr="006B594C">
        <w:rPr>
          <w:rFonts w:ascii="Arial" w:hAnsi="Arial" w:cs="Arial"/>
          <w:sz w:val="24"/>
          <w:szCs w:val="24"/>
        </w:rPr>
        <w:tab/>
      </w:r>
      <w:r w:rsidR="005F191F">
        <w:rPr>
          <w:rFonts w:ascii="Arial" w:hAnsi="Arial" w:cs="Arial"/>
          <w:sz w:val="24"/>
          <w:szCs w:val="24"/>
        </w:rPr>
        <w:tab/>
      </w:r>
      <w:r>
        <w:rPr>
          <w:rFonts w:ascii="Arial" w:hAnsi="Arial" w:cs="Arial"/>
          <w:sz w:val="24"/>
          <w:szCs w:val="24"/>
        </w:rPr>
        <w:t>23</w:t>
      </w:r>
      <w:r w:rsidRPr="006B594C">
        <w:rPr>
          <w:rFonts w:ascii="Arial" w:hAnsi="Arial" w:cs="Arial"/>
          <w:sz w:val="24"/>
          <w:szCs w:val="24"/>
        </w:rPr>
        <w:t xml:space="preserve"> </w:t>
      </w:r>
      <w:r>
        <w:rPr>
          <w:rFonts w:ascii="Arial" w:hAnsi="Arial" w:cs="Arial"/>
          <w:sz w:val="24"/>
          <w:szCs w:val="24"/>
        </w:rPr>
        <w:t>August</w:t>
      </w:r>
      <w:r w:rsidRPr="006B594C">
        <w:rPr>
          <w:rFonts w:ascii="Arial" w:hAnsi="Arial" w:cs="Arial"/>
          <w:sz w:val="24"/>
          <w:szCs w:val="24"/>
        </w:rPr>
        <w:t xml:space="preserve"> 2021</w:t>
      </w:r>
    </w:p>
    <w:p w14:paraId="289ADEDC" w14:textId="57DB6DCA" w:rsidR="006B594C" w:rsidRPr="00F76C78" w:rsidRDefault="006B594C" w:rsidP="00B354D9">
      <w:pPr>
        <w:spacing w:line="360" w:lineRule="auto"/>
        <w:ind w:left="1440" w:hanging="1440"/>
        <w:jc w:val="both"/>
        <w:rPr>
          <w:rFonts w:ascii="Arial" w:hAnsi="Arial" w:cs="Arial"/>
          <w:sz w:val="24"/>
          <w:szCs w:val="24"/>
        </w:rPr>
      </w:pPr>
      <w:r w:rsidRPr="006B594C">
        <w:rPr>
          <w:rFonts w:ascii="Arial" w:hAnsi="Arial" w:cs="Arial"/>
          <w:b/>
          <w:bCs/>
          <w:sz w:val="24"/>
          <w:szCs w:val="24"/>
        </w:rPr>
        <w:t>Delivered</w:t>
      </w:r>
      <w:r w:rsidRPr="006B594C">
        <w:rPr>
          <w:rFonts w:ascii="Arial" w:hAnsi="Arial" w:cs="Arial"/>
          <w:sz w:val="24"/>
          <w:szCs w:val="24"/>
        </w:rPr>
        <w:t>:</w:t>
      </w:r>
      <w:r w:rsidRPr="006B594C">
        <w:rPr>
          <w:rFonts w:ascii="Arial" w:hAnsi="Arial" w:cs="Arial"/>
          <w:sz w:val="24"/>
          <w:szCs w:val="24"/>
        </w:rPr>
        <w:tab/>
        <w:t xml:space="preserve">This judgment was handed down electronically by circulation to the parties’ legal representatives by email, publication on the Supreme Court of Appeal website and release to SAFLII. The date and time for hand-down is deemed to be </w:t>
      </w:r>
      <w:r w:rsidR="00BC3E98">
        <w:rPr>
          <w:rFonts w:ascii="Arial" w:hAnsi="Arial" w:cs="Arial"/>
          <w:sz w:val="24"/>
          <w:szCs w:val="24"/>
        </w:rPr>
        <w:t>14</w:t>
      </w:r>
      <w:r w:rsidR="00FC0200">
        <w:rPr>
          <w:rFonts w:ascii="Arial" w:hAnsi="Arial" w:cs="Arial"/>
          <w:sz w:val="24"/>
          <w:szCs w:val="24"/>
        </w:rPr>
        <w:t>h</w:t>
      </w:r>
      <w:r w:rsidR="00BC3E98">
        <w:rPr>
          <w:rFonts w:ascii="Arial" w:hAnsi="Arial" w:cs="Arial"/>
          <w:sz w:val="24"/>
          <w:szCs w:val="24"/>
        </w:rPr>
        <w:t>30</w:t>
      </w:r>
      <w:r w:rsidR="00FC0200">
        <w:rPr>
          <w:rFonts w:ascii="Arial" w:hAnsi="Arial" w:cs="Arial"/>
          <w:sz w:val="24"/>
          <w:szCs w:val="24"/>
        </w:rPr>
        <w:t xml:space="preserve"> </w:t>
      </w:r>
      <w:r>
        <w:rPr>
          <w:rFonts w:ascii="Arial" w:hAnsi="Arial" w:cs="Arial"/>
          <w:sz w:val="24"/>
          <w:szCs w:val="24"/>
        </w:rPr>
        <w:t xml:space="preserve">on </w:t>
      </w:r>
      <w:r w:rsidR="00BC3E98">
        <w:rPr>
          <w:rFonts w:ascii="Arial" w:hAnsi="Arial" w:cs="Arial"/>
          <w:sz w:val="24"/>
          <w:szCs w:val="24"/>
        </w:rPr>
        <w:t>17 November</w:t>
      </w:r>
      <w:r w:rsidRPr="006B594C">
        <w:rPr>
          <w:rFonts w:ascii="Arial" w:hAnsi="Arial" w:cs="Arial"/>
          <w:sz w:val="24"/>
          <w:szCs w:val="24"/>
        </w:rPr>
        <w:t xml:space="preserve"> 2021.</w:t>
      </w:r>
    </w:p>
    <w:p w14:paraId="3FFA7657" w14:textId="6BFCB78B" w:rsidR="00944B58" w:rsidRDefault="006B594C" w:rsidP="004D3F7F">
      <w:pPr>
        <w:spacing w:after="0" w:line="360" w:lineRule="auto"/>
        <w:jc w:val="both"/>
        <w:rPr>
          <w:rFonts w:ascii="Arial" w:hAnsi="Arial" w:cs="Arial"/>
          <w:bCs/>
          <w:sz w:val="24"/>
          <w:szCs w:val="24"/>
        </w:rPr>
      </w:pPr>
      <w:r w:rsidRPr="006B594C">
        <w:rPr>
          <w:rFonts w:ascii="Arial" w:hAnsi="Arial" w:cs="Arial"/>
          <w:b/>
          <w:bCs/>
          <w:sz w:val="24"/>
          <w:szCs w:val="24"/>
        </w:rPr>
        <w:t xml:space="preserve">Summary: </w:t>
      </w:r>
      <w:r w:rsidR="004D3F7F">
        <w:rPr>
          <w:rFonts w:ascii="Arial" w:hAnsi="Arial" w:cs="Arial"/>
          <w:b/>
          <w:bCs/>
          <w:sz w:val="24"/>
          <w:szCs w:val="24"/>
        </w:rPr>
        <w:tab/>
      </w:r>
      <w:r w:rsidR="004D3F7F" w:rsidRPr="004D3F7F">
        <w:rPr>
          <w:rFonts w:ascii="Arial" w:hAnsi="Arial" w:cs="Arial"/>
          <w:bCs/>
          <w:sz w:val="24"/>
          <w:szCs w:val="24"/>
        </w:rPr>
        <w:t>Court – jurisdiction of High Court in employment-related matter – proper analysis of applicant’s pleadings (notice of motion and founding affidavit) required to ascertain legal basis of claim – legal basis of applicant’s claim unfair labour practice – not justiciable in High Court – it should have struck matter from roll for want of jurisdiction.</w:t>
      </w:r>
    </w:p>
    <w:p w14:paraId="591A48F4" w14:textId="0779C216" w:rsidR="00D02B6C" w:rsidRDefault="00D02B6C" w:rsidP="004D3F7F">
      <w:pPr>
        <w:spacing w:after="0" w:line="360" w:lineRule="auto"/>
        <w:jc w:val="both"/>
        <w:rPr>
          <w:rFonts w:ascii="Arial" w:hAnsi="Arial" w:cs="Arial"/>
          <w:bCs/>
          <w:sz w:val="24"/>
          <w:szCs w:val="24"/>
        </w:rPr>
      </w:pPr>
    </w:p>
    <w:p w14:paraId="65176E14" w14:textId="77777777" w:rsidR="00D02B6C" w:rsidRDefault="00D02B6C" w:rsidP="004D3F7F">
      <w:pPr>
        <w:spacing w:after="0" w:line="360" w:lineRule="auto"/>
        <w:jc w:val="both"/>
        <w:rPr>
          <w:rFonts w:ascii="Arial" w:hAnsi="Arial" w:cs="Arial"/>
          <w:bCs/>
          <w:sz w:val="24"/>
          <w:szCs w:val="24"/>
        </w:rPr>
      </w:pPr>
    </w:p>
    <w:p w14:paraId="34FB587F" w14:textId="7FE517D5" w:rsidR="00944B58" w:rsidRDefault="00944B58" w:rsidP="006B594C">
      <w:pPr>
        <w:spacing w:line="360" w:lineRule="auto"/>
        <w:jc w:val="both"/>
        <w:rPr>
          <w:rFonts w:ascii="Arial" w:hAnsi="Arial" w:cs="Arial"/>
          <w:bCs/>
          <w:sz w:val="24"/>
          <w:szCs w:val="24"/>
        </w:rPr>
      </w:pPr>
    </w:p>
    <w:p w14:paraId="09796EFC" w14:textId="4364782D" w:rsidR="006B594C" w:rsidRPr="00944B58" w:rsidRDefault="006B594C" w:rsidP="006B594C">
      <w:pPr>
        <w:spacing w:line="360" w:lineRule="auto"/>
        <w:rPr>
          <w:rFonts w:ascii="Arial" w:hAnsi="Arial" w:cs="Arial"/>
          <w:b/>
          <w:sz w:val="24"/>
          <w:szCs w:val="24"/>
        </w:rPr>
      </w:pPr>
      <w:r w:rsidRPr="00944B58">
        <w:rPr>
          <w:rFonts w:ascii="Arial" w:hAnsi="Arial" w:cs="Arial"/>
          <w:b/>
          <w:noProof/>
          <w:sz w:val="24"/>
          <w:szCs w:val="24"/>
          <w:lang w:eastAsia="en-ZA"/>
        </w:rPr>
        <w:lastRenderedPageBreak/>
        <mc:AlternateContent>
          <mc:Choice Requires="wps">
            <w:drawing>
              <wp:anchor distT="0" distB="0" distL="114300" distR="114300" simplePos="0" relativeHeight="251660288" behindDoc="0" locked="0" layoutInCell="1" allowOverlap="1" wp14:anchorId="3A9AD1FB" wp14:editId="38AF97EF">
                <wp:simplePos x="0" y="0"/>
                <wp:positionH relativeFrom="column">
                  <wp:posOffset>0</wp:posOffset>
                </wp:positionH>
                <wp:positionV relativeFrom="paragraph">
                  <wp:posOffset>114300</wp:posOffset>
                </wp:positionV>
                <wp:extent cx="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B9931C6"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cL/e6/wEAAAwEAAAOAAAAAAAAAAAAAAAAAC4C&#10;AABkcnMvZTJvRG9jLnhtbFBLAQItABQABgAIAAAAIQBUInSH1wAAAAMBAAAPAAAAAAAAAAAAAAAA&#10;AFkEAABkcnMvZG93bnJldi54bWxQSwUGAAAAAAQABADzAAAAXQUAAAAA&#10;">
                <o:lock v:ext="edit" shapetype="f"/>
              </v:line>
            </w:pict>
          </mc:Fallback>
        </mc:AlternateContent>
      </w:r>
      <w:r w:rsidR="00944B58" w:rsidRPr="00944B58">
        <w:rPr>
          <w:rFonts w:ascii="Arial" w:hAnsi="Arial" w:cs="Arial"/>
          <w:b/>
          <w:noProof/>
          <w:sz w:val="24"/>
          <w:szCs w:val="24"/>
          <w:lang w:eastAsia="en-ZA"/>
        </w:rPr>
        <w:t>___________________________________________________________________</w:t>
      </w:r>
    </w:p>
    <w:p w14:paraId="12A36E60" w14:textId="77777777" w:rsidR="006B594C" w:rsidRPr="006B594C" w:rsidRDefault="006B594C" w:rsidP="006B594C">
      <w:pPr>
        <w:keepNext/>
        <w:spacing w:after="0" w:line="360" w:lineRule="auto"/>
        <w:jc w:val="center"/>
        <w:outlineLvl w:val="2"/>
        <w:rPr>
          <w:rFonts w:ascii="Arial" w:eastAsia="Times New Roman" w:hAnsi="Arial" w:cs="Arial"/>
          <w:b/>
          <w:iCs/>
          <w:sz w:val="24"/>
          <w:szCs w:val="24"/>
          <w:lang w:val="en-GB"/>
        </w:rPr>
      </w:pPr>
      <w:r w:rsidRPr="006B594C">
        <w:rPr>
          <w:rFonts w:ascii="Arial" w:eastAsia="Times New Roman" w:hAnsi="Arial" w:cs="Arial"/>
          <w:b/>
          <w:iCs/>
          <w:sz w:val="24"/>
          <w:szCs w:val="24"/>
          <w:lang w:val="en-GB"/>
        </w:rPr>
        <w:t>ORDER</w:t>
      </w:r>
    </w:p>
    <w:p w14:paraId="22CE0E87" w14:textId="6BEDE8C1" w:rsidR="006B594C" w:rsidRPr="006B594C" w:rsidRDefault="00944B58" w:rsidP="006B594C">
      <w:pPr>
        <w:spacing w:line="360" w:lineRule="auto"/>
        <w:rPr>
          <w:rFonts w:ascii="Arial" w:hAnsi="Arial" w:cs="Arial"/>
          <w:b/>
          <w:bCs/>
          <w:sz w:val="24"/>
          <w:szCs w:val="24"/>
        </w:rPr>
      </w:pPr>
      <w:r>
        <w:rPr>
          <w:rFonts w:ascii="Arial" w:hAnsi="Arial" w:cs="Arial"/>
          <w:b/>
          <w:bCs/>
          <w:sz w:val="24"/>
          <w:szCs w:val="24"/>
        </w:rPr>
        <w:t>___________________________________________________________________</w:t>
      </w:r>
    </w:p>
    <w:p w14:paraId="5610069E" w14:textId="355296E2" w:rsidR="006B594C" w:rsidRPr="006B594C" w:rsidRDefault="006B594C" w:rsidP="006B594C">
      <w:pPr>
        <w:spacing w:line="360" w:lineRule="auto"/>
        <w:jc w:val="both"/>
        <w:rPr>
          <w:rFonts w:ascii="Arial" w:hAnsi="Arial" w:cs="Arial"/>
          <w:bCs/>
          <w:sz w:val="24"/>
          <w:szCs w:val="24"/>
        </w:rPr>
      </w:pPr>
      <w:r w:rsidRPr="006B594C">
        <w:rPr>
          <w:rFonts w:ascii="Arial" w:hAnsi="Arial" w:cs="Arial"/>
          <w:b/>
          <w:bCs/>
          <w:sz w:val="24"/>
          <w:szCs w:val="24"/>
        </w:rPr>
        <w:t xml:space="preserve">On appeal from: </w:t>
      </w:r>
      <w:r>
        <w:rPr>
          <w:rFonts w:ascii="Arial" w:hAnsi="Arial" w:cs="Arial"/>
          <w:sz w:val="24"/>
          <w:szCs w:val="24"/>
        </w:rPr>
        <w:t>Gauteng</w:t>
      </w:r>
      <w:r w:rsidRPr="006B594C">
        <w:rPr>
          <w:rFonts w:ascii="Arial" w:hAnsi="Arial" w:cs="Arial"/>
          <w:sz w:val="24"/>
          <w:szCs w:val="24"/>
        </w:rPr>
        <w:t xml:space="preserve"> Division of the</w:t>
      </w:r>
      <w:r w:rsidRPr="006B594C">
        <w:rPr>
          <w:rFonts w:ascii="Arial" w:hAnsi="Arial" w:cs="Arial"/>
          <w:b/>
          <w:bCs/>
          <w:sz w:val="24"/>
          <w:szCs w:val="24"/>
        </w:rPr>
        <w:t xml:space="preserve"> </w:t>
      </w:r>
      <w:r w:rsidRPr="006B594C">
        <w:rPr>
          <w:rFonts w:ascii="Arial" w:hAnsi="Arial" w:cs="Arial"/>
          <w:bCs/>
          <w:sz w:val="24"/>
          <w:szCs w:val="24"/>
        </w:rPr>
        <w:t xml:space="preserve">High Court, </w:t>
      </w:r>
      <w:r>
        <w:rPr>
          <w:rFonts w:ascii="Arial" w:hAnsi="Arial" w:cs="Arial"/>
          <w:bCs/>
          <w:sz w:val="24"/>
          <w:szCs w:val="24"/>
        </w:rPr>
        <w:t>Pretoria</w:t>
      </w:r>
      <w:r w:rsidRPr="006B594C">
        <w:rPr>
          <w:rFonts w:ascii="Arial" w:hAnsi="Arial" w:cs="Arial"/>
          <w:bCs/>
          <w:sz w:val="24"/>
          <w:szCs w:val="24"/>
        </w:rPr>
        <w:t xml:space="preserve"> </w:t>
      </w:r>
      <w:r w:rsidR="005D3450" w:rsidRPr="006B594C">
        <w:rPr>
          <w:rFonts w:ascii="Arial" w:hAnsi="Arial" w:cs="Arial"/>
          <w:bCs/>
          <w:sz w:val="24"/>
          <w:szCs w:val="24"/>
        </w:rPr>
        <w:t>(</w:t>
      </w:r>
      <w:r w:rsidR="00AE0D05">
        <w:rPr>
          <w:rFonts w:ascii="Arial" w:hAnsi="Arial" w:cs="Arial"/>
          <w:bCs/>
          <w:sz w:val="24"/>
          <w:szCs w:val="24"/>
        </w:rPr>
        <w:t xml:space="preserve">Van </w:t>
      </w:r>
      <w:r w:rsidR="00FE2FB0" w:rsidRPr="008E7D1C">
        <w:rPr>
          <w:rFonts w:ascii="Arial" w:hAnsi="Arial" w:cs="Arial"/>
          <w:bCs/>
          <w:sz w:val="24"/>
          <w:szCs w:val="24"/>
        </w:rPr>
        <w:t>d</w:t>
      </w:r>
      <w:r w:rsidR="00AE0D05" w:rsidRPr="008E7D1C">
        <w:rPr>
          <w:rFonts w:ascii="Arial" w:hAnsi="Arial" w:cs="Arial"/>
          <w:bCs/>
          <w:sz w:val="24"/>
          <w:szCs w:val="24"/>
        </w:rPr>
        <w:t>er</w:t>
      </w:r>
      <w:r w:rsidR="00AE0D05">
        <w:rPr>
          <w:rFonts w:ascii="Arial" w:hAnsi="Arial" w:cs="Arial"/>
          <w:bCs/>
          <w:sz w:val="24"/>
          <w:szCs w:val="24"/>
        </w:rPr>
        <w:t xml:space="preserve"> Westhuizen</w:t>
      </w:r>
      <w:r>
        <w:rPr>
          <w:rFonts w:ascii="Arial" w:hAnsi="Arial" w:cs="Arial"/>
          <w:bCs/>
          <w:sz w:val="24"/>
          <w:szCs w:val="24"/>
        </w:rPr>
        <w:t xml:space="preserve"> </w:t>
      </w:r>
      <w:r w:rsidRPr="006B594C">
        <w:rPr>
          <w:rFonts w:ascii="Arial" w:hAnsi="Arial" w:cs="Arial"/>
          <w:bCs/>
          <w:sz w:val="24"/>
          <w:szCs w:val="24"/>
        </w:rPr>
        <w:t>J sitting as court of first instance):</w:t>
      </w:r>
    </w:p>
    <w:p w14:paraId="0D13BB89" w14:textId="77777777" w:rsidR="005F0338" w:rsidRPr="008E7D1C" w:rsidRDefault="005F0338" w:rsidP="005F0338">
      <w:pPr>
        <w:spacing w:after="0" w:line="360" w:lineRule="auto"/>
        <w:ind w:left="720" w:hanging="720"/>
        <w:jc w:val="both"/>
        <w:rPr>
          <w:rFonts w:ascii="Arial" w:hAnsi="Arial" w:cs="Arial"/>
          <w:bCs/>
          <w:sz w:val="24"/>
          <w:szCs w:val="24"/>
        </w:rPr>
      </w:pPr>
      <w:r w:rsidRPr="008E7D1C">
        <w:rPr>
          <w:rFonts w:ascii="Arial" w:hAnsi="Arial" w:cs="Arial"/>
          <w:bCs/>
          <w:sz w:val="24"/>
          <w:szCs w:val="24"/>
        </w:rPr>
        <w:t xml:space="preserve">1 </w:t>
      </w:r>
      <w:r w:rsidRPr="008E7D1C">
        <w:rPr>
          <w:rFonts w:ascii="Arial" w:hAnsi="Arial" w:cs="Arial"/>
          <w:bCs/>
          <w:sz w:val="24"/>
          <w:szCs w:val="24"/>
        </w:rPr>
        <w:tab/>
        <w:t>The appeal is upheld with costs, including the costs of two counsel where so employed.</w:t>
      </w:r>
    </w:p>
    <w:p w14:paraId="490E2899" w14:textId="77777777" w:rsidR="005F0338" w:rsidRPr="008E7D1C" w:rsidRDefault="005F0338" w:rsidP="005F0338">
      <w:pPr>
        <w:spacing w:after="0" w:line="360" w:lineRule="auto"/>
        <w:jc w:val="both"/>
        <w:rPr>
          <w:rFonts w:ascii="Arial" w:hAnsi="Arial" w:cs="Arial"/>
          <w:bCs/>
          <w:sz w:val="24"/>
          <w:szCs w:val="24"/>
        </w:rPr>
      </w:pPr>
      <w:r w:rsidRPr="008E7D1C">
        <w:rPr>
          <w:rFonts w:ascii="Arial" w:hAnsi="Arial" w:cs="Arial"/>
          <w:bCs/>
          <w:sz w:val="24"/>
          <w:szCs w:val="24"/>
        </w:rPr>
        <w:t>2</w:t>
      </w:r>
      <w:r w:rsidRPr="008E7D1C">
        <w:rPr>
          <w:rFonts w:ascii="Arial" w:hAnsi="Arial" w:cs="Arial"/>
          <w:bCs/>
          <w:sz w:val="24"/>
          <w:szCs w:val="24"/>
        </w:rPr>
        <w:tab/>
        <w:t>The order of the high court is set aside and replaced with the following:</w:t>
      </w:r>
    </w:p>
    <w:p w14:paraId="6D1821BE" w14:textId="77777777" w:rsidR="005F0338" w:rsidRDefault="005F0338" w:rsidP="008E7D1C">
      <w:pPr>
        <w:spacing w:after="0" w:line="360" w:lineRule="auto"/>
        <w:ind w:left="720"/>
        <w:jc w:val="both"/>
        <w:rPr>
          <w:rFonts w:ascii="Arial" w:hAnsi="Arial" w:cs="Arial"/>
          <w:bCs/>
          <w:sz w:val="24"/>
          <w:szCs w:val="24"/>
        </w:rPr>
      </w:pPr>
      <w:r w:rsidRPr="008E7D1C">
        <w:rPr>
          <w:rFonts w:ascii="Arial" w:hAnsi="Arial" w:cs="Arial"/>
          <w:bCs/>
          <w:sz w:val="24"/>
          <w:szCs w:val="24"/>
        </w:rPr>
        <w:t>‘The application is struck from the roll with costs, including the costs of two counsel where so employed.’</w:t>
      </w:r>
    </w:p>
    <w:p w14:paraId="3A6CB074" w14:textId="51D3625E" w:rsidR="006B594C" w:rsidRPr="00944B58" w:rsidRDefault="006B594C" w:rsidP="00B354D9">
      <w:pPr>
        <w:spacing w:after="0" w:line="360" w:lineRule="auto"/>
        <w:jc w:val="both"/>
        <w:rPr>
          <w:rFonts w:ascii="Arial" w:hAnsi="Arial" w:cs="Arial"/>
          <w:b/>
          <w:sz w:val="24"/>
          <w:szCs w:val="24"/>
        </w:rPr>
      </w:pPr>
      <w:r w:rsidRPr="00944B58">
        <w:rPr>
          <w:rFonts w:ascii="Arial" w:hAnsi="Arial" w:cs="Arial"/>
          <w:b/>
          <w:sz w:val="24"/>
          <w:szCs w:val="24"/>
        </w:rPr>
        <w:t>_____________________________________________________________</w:t>
      </w:r>
      <w:r w:rsidR="00944B58" w:rsidRPr="00944B58">
        <w:rPr>
          <w:rFonts w:ascii="Arial" w:hAnsi="Arial" w:cs="Arial"/>
          <w:b/>
          <w:sz w:val="24"/>
          <w:szCs w:val="24"/>
        </w:rPr>
        <w:t>______</w:t>
      </w:r>
    </w:p>
    <w:p w14:paraId="76BA25AF" w14:textId="77777777" w:rsidR="006B594C" w:rsidRPr="006B594C" w:rsidRDefault="006B594C" w:rsidP="00B354D9">
      <w:pPr>
        <w:spacing w:before="240" w:after="0" w:line="360" w:lineRule="auto"/>
        <w:ind w:left="2880" w:firstLine="720"/>
        <w:jc w:val="both"/>
        <w:rPr>
          <w:rFonts w:ascii="Arial" w:hAnsi="Arial" w:cs="Arial"/>
          <w:b/>
          <w:sz w:val="24"/>
          <w:szCs w:val="24"/>
        </w:rPr>
      </w:pPr>
      <w:r w:rsidRPr="006B594C">
        <w:rPr>
          <w:rFonts w:ascii="Arial" w:hAnsi="Arial" w:cs="Arial"/>
          <w:b/>
          <w:sz w:val="24"/>
          <w:szCs w:val="24"/>
        </w:rPr>
        <w:t>JUDGMENT</w:t>
      </w:r>
    </w:p>
    <w:p w14:paraId="5E4498B8" w14:textId="4B4B2A91" w:rsidR="006B594C" w:rsidRPr="00944B58" w:rsidRDefault="006B594C" w:rsidP="006B594C">
      <w:pPr>
        <w:spacing w:line="360" w:lineRule="auto"/>
        <w:jc w:val="both"/>
        <w:rPr>
          <w:rFonts w:ascii="Arial" w:hAnsi="Arial" w:cs="Arial"/>
          <w:b/>
          <w:sz w:val="24"/>
          <w:szCs w:val="24"/>
        </w:rPr>
      </w:pPr>
      <w:r w:rsidRPr="00944B58">
        <w:rPr>
          <w:rFonts w:ascii="Arial" w:hAnsi="Arial" w:cs="Arial"/>
          <w:b/>
          <w:sz w:val="24"/>
          <w:szCs w:val="24"/>
        </w:rPr>
        <w:t>_______________________________________________________________</w:t>
      </w:r>
      <w:r w:rsidR="00944B58" w:rsidRPr="00944B58">
        <w:rPr>
          <w:rFonts w:ascii="Arial" w:hAnsi="Arial" w:cs="Arial"/>
          <w:b/>
          <w:sz w:val="24"/>
          <w:szCs w:val="24"/>
        </w:rPr>
        <w:t>____</w:t>
      </w:r>
    </w:p>
    <w:p w14:paraId="08A3A549" w14:textId="674CEBB9" w:rsidR="006B594C" w:rsidRDefault="00DF33E2" w:rsidP="00B354D9">
      <w:pPr>
        <w:spacing w:after="0" w:line="360" w:lineRule="auto"/>
        <w:jc w:val="both"/>
        <w:rPr>
          <w:rFonts w:ascii="Arial" w:hAnsi="Arial" w:cs="Arial"/>
          <w:b/>
          <w:bCs/>
          <w:sz w:val="24"/>
          <w:szCs w:val="24"/>
        </w:rPr>
      </w:pPr>
      <w:r>
        <w:rPr>
          <w:rFonts w:ascii="Arial" w:hAnsi="Arial" w:cs="Arial"/>
          <w:b/>
          <w:bCs/>
          <w:sz w:val="24"/>
          <w:szCs w:val="24"/>
        </w:rPr>
        <w:t>Molemela JA</w:t>
      </w:r>
    </w:p>
    <w:p w14:paraId="0CFC0D66" w14:textId="77777777" w:rsidR="00FC0200" w:rsidRDefault="00FC0200" w:rsidP="00B354D9">
      <w:pPr>
        <w:spacing w:after="0" w:line="360" w:lineRule="auto"/>
        <w:jc w:val="both"/>
        <w:rPr>
          <w:rFonts w:ascii="Arial" w:hAnsi="Arial" w:cs="Arial"/>
          <w:b/>
          <w:bCs/>
          <w:sz w:val="24"/>
          <w:szCs w:val="24"/>
        </w:rPr>
      </w:pPr>
    </w:p>
    <w:p w14:paraId="09089E37" w14:textId="77777777" w:rsidR="005D3450" w:rsidRDefault="006B594C" w:rsidP="00B354D9">
      <w:pPr>
        <w:spacing w:after="0" w:line="360" w:lineRule="auto"/>
        <w:jc w:val="both"/>
        <w:rPr>
          <w:rFonts w:ascii="Arial" w:hAnsi="Arial" w:cs="Arial"/>
          <w:b/>
          <w:bCs/>
          <w:sz w:val="24"/>
          <w:szCs w:val="24"/>
        </w:rPr>
      </w:pPr>
      <w:r w:rsidRPr="001F220F">
        <w:rPr>
          <w:rFonts w:ascii="Arial" w:hAnsi="Arial" w:cs="Arial"/>
          <w:b/>
          <w:bCs/>
          <w:sz w:val="24"/>
          <w:szCs w:val="24"/>
        </w:rPr>
        <w:t>Introduction</w:t>
      </w:r>
    </w:p>
    <w:p w14:paraId="56058299" w14:textId="1395710C" w:rsidR="00FC0200" w:rsidRDefault="00C7046D" w:rsidP="00FC0200">
      <w:pPr>
        <w:pStyle w:val="ListParagraph"/>
        <w:numPr>
          <w:ilvl w:val="0"/>
          <w:numId w:val="1"/>
        </w:numPr>
        <w:spacing w:line="360" w:lineRule="auto"/>
        <w:ind w:left="0" w:firstLine="0"/>
        <w:jc w:val="both"/>
        <w:rPr>
          <w:rFonts w:ascii="Arial" w:hAnsi="Arial" w:cs="Arial"/>
          <w:bCs/>
          <w:sz w:val="24"/>
          <w:szCs w:val="24"/>
        </w:rPr>
      </w:pPr>
      <w:r w:rsidRPr="00DE725C">
        <w:rPr>
          <w:rFonts w:ascii="Arial" w:hAnsi="Arial" w:cs="Arial"/>
          <w:bCs/>
          <w:sz w:val="24"/>
          <w:szCs w:val="24"/>
        </w:rPr>
        <w:t xml:space="preserve">Central </w:t>
      </w:r>
      <w:r w:rsidR="003B436A" w:rsidRPr="00DE725C">
        <w:rPr>
          <w:rFonts w:ascii="Arial" w:hAnsi="Arial" w:cs="Arial"/>
          <w:bCs/>
          <w:sz w:val="24"/>
          <w:szCs w:val="24"/>
        </w:rPr>
        <w:t>to</w:t>
      </w:r>
      <w:r w:rsidRPr="00DE725C">
        <w:rPr>
          <w:rFonts w:ascii="Arial" w:hAnsi="Arial" w:cs="Arial"/>
          <w:bCs/>
          <w:sz w:val="24"/>
          <w:szCs w:val="24"/>
        </w:rPr>
        <w:t xml:space="preserve"> this appeal is whether </w:t>
      </w:r>
      <w:r w:rsidR="00184190" w:rsidRPr="00DE725C">
        <w:rPr>
          <w:rFonts w:ascii="Arial" w:hAnsi="Arial" w:cs="Arial"/>
          <w:bCs/>
          <w:sz w:val="24"/>
          <w:szCs w:val="24"/>
        </w:rPr>
        <w:t>t</w:t>
      </w:r>
      <w:r w:rsidR="00274D0F" w:rsidRPr="00DE725C">
        <w:rPr>
          <w:rFonts w:ascii="Arial" w:hAnsi="Arial" w:cs="Arial"/>
          <w:bCs/>
          <w:sz w:val="24"/>
          <w:szCs w:val="24"/>
        </w:rPr>
        <w:t xml:space="preserve">he </w:t>
      </w:r>
      <w:r w:rsidR="003B20D7" w:rsidRPr="00DE725C">
        <w:rPr>
          <w:rFonts w:ascii="Arial" w:hAnsi="Arial" w:cs="Arial"/>
          <w:bCs/>
          <w:sz w:val="24"/>
          <w:szCs w:val="24"/>
        </w:rPr>
        <w:t xml:space="preserve">Occupational Specific Dispensation </w:t>
      </w:r>
      <w:r w:rsidR="005974D7" w:rsidRPr="00DE725C">
        <w:rPr>
          <w:rFonts w:ascii="Arial" w:hAnsi="Arial" w:cs="Arial"/>
          <w:bCs/>
          <w:sz w:val="24"/>
          <w:szCs w:val="24"/>
        </w:rPr>
        <w:t xml:space="preserve">(OSD) </w:t>
      </w:r>
      <w:r w:rsidR="00866902" w:rsidRPr="00DE725C">
        <w:rPr>
          <w:rFonts w:ascii="Arial" w:hAnsi="Arial" w:cs="Arial"/>
          <w:bCs/>
          <w:sz w:val="24"/>
          <w:szCs w:val="24"/>
        </w:rPr>
        <w:t xml:space="preserve">structure of remuneration </w:t>
      </w:r>
      <w:r w:rsidR="002F0A05" w:rsidRPr="00DE725C">
        <w:rPr>
          <w:rFonts w:ascii="Arial" w:hAnsi="Arial" w:cs="Arial"/>
          <w:bCs/>
          <w:sz w:val="24"/>
          <w:szCs w:val="24"/>
        </w:rPr>
        <w:t>was</w:t>
      </w:r>
      <w:r w:rsidR="00866902" w:rsidRPr="00DE725C">
        <w:rPr>
          <w:rFonts w:ascii="Arial" w:hAnsi="Arial" w:cs="Arial"/>
          <w:bCs/>
          <w:sz w:val="24"/>
          <w:szCs w:val="24"/>
        </w:rPr>
        <w:t xml:space="preserve">, </w:t>
      </w:r>
      <w:r w:rsidR="00B009BE" w:rsidRPr="00DE725C">
        <w:rPr>
          <w:rFonts w:ascii="Arial" w:hAnsi="Arial" w:cs="Arial"/>
          <w:bCs/>
          <w:sz w:val="24"/>
          <w:szCs w:val="24"/>
        </w:rPr>
        <w:t xml:space="preserve">as contended for by the </w:t>
      </w:r>
      <w:r w:rsidR="00A06161" w:rsidRPr="00DE725C">
        <w:rPr>
          <w:rFonts w:ascii="Arial" w:hAnsi="Arial" w:cs="Arial"/>
          <w:bCs/>
          <w:sz w:val="24"/>
          <w:szCs w:val="24"/>
        </w:rPr>
        <w:t xml:space="preserve">first </w:t>
      </w:r>
      <w:r w:rsidR="00B009BE" w:rsidRPr="00DE725C">
        <w:rPr>
          <w:rFonts w:ascii="Arial" w:hAnsi="Arial" w:cs="Arial"/>
          <w:bCs/>
          <w:sz w:val="24"/>
          <w:szCs w:val="24"/>
        </w:rPr>
        <w:t>respondent</w:t>
      </w:r>
      <w:r w:rsidR="006862D6" w:rsidRPr="00DE725C">
        <w:rPr>
          <w:rFonts w:ascii="Arial" w:hAnsi="Arial" w:cs="Arial"/>
          <w:bCs/>
          <w:sz w:val="24"/>
          <w:szCs w:val="24"/>
        </w:rPr>
        <w:t>,</w:t>
      </w:r>
      <w:r w:rsidR="002F0A05" w:rsidRPr="00DE725C">
        <w:rPr>
          <w:rFonts w:ascii="Arial" w:hAnsi="Arial" w:cs="Arial"/>
          <w:bCs/>
          <w:sz w:val="24"/>
          <w:szCs w:val="24"/>
        </w:rPr>
        <w:t xml:space="preserve"> </w:t>
      </w:r>
      <w:r w:rsidR="00BF4E51" w:rsidRPr="00DE725C">
        <w:rPr>
          <w:rFonts w:ascii="Arial" w:hAnsi="Arial" w:cs="Arial"/>
          <w:bCs/>
          <w:sz w:val="24"/>
          <w:szCs w:val="24"/>
        </w:rPr>
        <w:t>introduced to the National Prosecuting Authority</w:t>
      </w:r>
      <w:r w:rsidR="000802FC" w:rsidRPr="00DE725C">
        <w:rPr>
          <w:rFonts w:ascii="Arial" w:hAnsi="Arial" w:cs="Arial"/>
          <w:bCs/>
          <w:sz w:val="24"/>
          <w:szCs w:val="24"/>
        </w:rPr>
        <w:t xml:space="preserve"> (NPA)</w:t>
      </w:r>
      <w:r w:rsidR="00BF4E51" w:rsidRPr="00DE725C">
        <w:rPr>
          <w:rFonts w:ascii="Arial" w:hAnsi="Arial" w:cs="Arial"/>
          <w:bCs/>
          <w:sz w:val="24"/>
          <w:szCs w:val="24"/>
        </w:rPr>
        <w:t xml:space="preserve"> and </w:t>
      </w:r>
      <w:r w:rsidR="002F0A05" w:rsidRPr="00DE725C">
        <w:rPr>
          <w:rFonts w:ascii="Arial" w:hAnsi="Arial" w:cs="Arial"/>
          <w:bCs/>
          <w:sz w:val="24"/>
          <w:szCs w:val="24"/>
        </w:rPr>
        <w:t xml:space="preserve">made applicable to </w:t>
      </w:r>
      <w:r w:rsidR="009601E1" w:rsidRPr="00DE725C">
        <w:rPr>
          <w:rFonts w:ascii="Arial" w:hAnsi="Arial" w:cs="Arial"/>
          <w:bCs/>
          <w:sz w:val="24"/>
          <w:szCs w:val="24"/>
        </w:rPr>
        <w:t xml:space="preserve">the posts held by </w:t>
      </w:r>
      <w:r w:rsidR="00307F0A" w:rsidRPr="00DE725C">
        <w:rPr>
          <w:rFonts w:ascii="Arial" w:hAnsi="Arial" w:cs="Arial"/>
          <w:bCs/>
          <w:sz w:val="24"/>
          <w:szCs w:val="24"/>
        </w:rPr>
        <w:t xml:space="preserve">the </w:t>
      </w:r>
      <w:r w:rsidR="009601E1" w:rsidRPr="00DE725C">
        <w:rPr>
          <w:rFonts w:ascii="Arial" w:hAnsi="Arial" w:cs="Arial"/>
          <w:bCs/>
          <w:sz w:val="24"/>
          <w:szCs w:val="24"/>
        </w:rPr>
        <w:t>Deputy Directors of Public Prosecution</w:t>
      </w:r>
      <w:r w:rsidR="00307F0A" w:rsidRPr="00DE725C">
        <w:rPr>
          <w:rFonts w:ascii="Arial" w:hAnsi="Arial" w:cs="Arial"/>
          <w:bCs/>
          <w:sz w:val="24"/>
          <w:szCs w:val="24"/>
        </w:rPr>
        <w:t xml:space="preserve"> </w:t>
      </w:r>
      <w:r w:rsidR="001B1124" w:rsidRPr="00DE725C">
        <w:rPr>
          <w:rFonts w:ascii="Arial" w:hAnsi="Arial" w:cs="Arial"/>
          <w:bCs/>
          <w:sz w:val="24"/>
          <w:szCs w:val="24"/>
        </w:rPr>
        <w:t xml:space="preserve">(DDPPs) </w:t>
      </w:r>
      <w:r w:rsidR="00307F0A" w:rsidRPr="00DE725C">
        <w:rPr>
          <w:rFonts w:ascii="Arial" w:hAnsi="Arial" w:cs="Arial"/>
          <w:bCs/>
          <w:sz w:val="24"/>
          <w:szCs w:val="24"/>
        </w:rPr>
        <w:t xml:space="preserve">and </w:t>
      </w:r>
      <w:r w:rsidR="00664DC8" w:rsidRPr="00DE725C">
        <w:rPr>
          <w:rFonts w:ascii="Arial" w:hAnsi="Arial" w:cs="Arial"/>
          <w:bCs/>
          <w:sz w:val="24"/>
          <w:szCs w:val="24"/>
        </w:rPr>
        <w:t>Chief Prosecutors</w:t>
      </w:r>
      <w:r w:rsidR="00EB5F12" w:rsidRPr="00DE725C">
        <w:rPr>
          <w:rFonts w:ascii="Arial" w:hAnsi="Arial" w:cs="Arial"/>
          <w:bCs/>
          <w:sz w:val="24"/>
          <w:szCs w:val="24"/>
        </w:rPr>
        <w:t xml:space="preserve"> (CPs)</w:t>
      </w:r>
      <w:r w:rsidR="00104F45" w:rsidRPr="00DE725C">
        <w:rPr>
          <w:rFonts w:ascii="Arial" w:hAnsi="Arial" w:cs="Arial"/>
          <w:bCs/>
          <w:sz w:val="24"/>
          <w:szCs w:val="24"/>
        </w:rPr>
        <w:t>.</w:t>
      </w:r>
      <w:r w:rsidR="00F20C17">
        <w:rPr>
          <w:rStyle w:val="FootnoteReference"/>
          <w:rFonts w:ascii="Arial" w:hAnsi="Arial" w:cs="Arial"/>
          <w:bCs/>
          <w:sz w:val="24"/>
          <w:szCs w:val="24"/>
        </w:rPr>
        <w:footnoteReference w:id="1"/>
      </w:r>
      <w:r w:rsidR="003B436A" w:rsidRPr="00DE725C">
        <w:rPr>
          <w:rFonts w:ascii="Arial" w:hAnsi="Arial" w:cs="Arial"/>
          <w:bCs/>
          <w:sz w:val="24"/>
          <w:szCs w:val="24"/>
        </w:rPr>
        <w:t xml:space="preserve"> </w:t>
      </w:r>
      <w:r w:rsidR="008E7D1C">
        <w:rPr>
          <w:rFonts w:ascii="Arial" w:hAnsi="Arial" w:cs="Arial"/>
          <w:bCs/>
          <w:sz w:val="24"/>
          <w:szCs w:val="24"/>
        </w:rPr>
        <w:t xml:space="preserve">   </w:t>
      </w:r>
      <w:r w:rsidR="00DE725C" w:rsidRPr="00DE725C">
        <w:rPr>
          <w:rFonts w:ascii="Arial" w:hAnsi="Arial" w:cs="Arial"/>
          <w:bCs/>
          <w:sz w:val="24"/>
          <w:szCs w:val="24"/>
        </w:rPr>
        <w:t xml:space="preserve">A dispute regarding this aspect </w:t>
      </w:r>
      <w:r w:rsidR="00DE725C">
        <w:rPr>
          <w:rFonts w:ascii="Arial" w:hAnsi="Arial" w:cs="Arial"/>
          <w:bCs/>
          <w:sz w:val="24"/>
          <w:szCs w:val="24"/>
        </w:rPr>
        <w:t>resul</w:t>
      </w:r>
      <w:r w:rsidR="00847779" w:rsidRPr="00DE725C">
        <w:rPr>
          <w:rFonts w:ascii="Arial" w:hAnsi="Arial" w:cs="Arial"/>
          <w:bCs/>
          <w:sz w:val="24"/>
          <w:szCs w:val="24"/>
        </w:rPr>
        <w:t xml:space="preserve">ted in the </w:t>
      </w:r>
      <w:r w:rsidR="00F223D0" w:rsidRPr="00DE725C">
        <w:rPr>
          <w:rFonts w:ascii="Arial" w:hAnsi="Arial" w:cs="Arial"/>
          <w:bCs/>
          <w:sz w:val="24"/>
          <w:szCs w:val="24"/>
        </w:rPr>
        <w:t>Public Servants Association (PSA), a trade union</w:t>
      </w:r>
      <w:r w:rsidR="00DD24CD" w:rsidRPr="00DE725C">
        <w:rPr>
          <w:rFonts w:ascii="Arial" w:hAnsi="Arial" w:cs="Arial"/>
          <w:bCs/>
          <w:sz w:val="24"/>
          <w:szCs w:val="24"/>
        </w:rPr>
        <w:t xml:space="preserve">, launching </w:t>
      </w:r>
      <w:r w:rsidR="00121D16" w:rsidRPr="00DE725C">
        <w:rPr>
          <w:rFonts w:ascii="Arial" w:hAnsi="Arial" w:cs="Arial"/>
          <w:bCs/>
          <w:sz w:val="24"/>
          <w:szCs w:val="24"/>
        </w:rPr>
        <w:t xml:space="preserve">an application </w:t>
      </w:r>
      <w:r w:rsidR="00700F7F" w:rsidRPr="00DE725C">
        <w:rPr>
          <w:rFonts w:ascii="Arial" w:hAnsi="Arial" w:cs="Arial"/>
          <w:bCs/>
          <w:sz w:val="24"/>
          <w:szCs w:val="24"/>
        </w:rPr>
        <w:t>on behalf of 56 DDPPs and CP</w:t>
      </w:r>
      <w:r w:rsidR="00DD24CD" w:rsidRPr="00DE725C">
        <w:rPr>
          <w:rFonts w:ascii="Arial" w:hAnsi="Arial" w:cs="Arial"/>
          <w:bCs/>
          <w:sz w:val="24"/>
          <w:szCs w:val="24"/>
        </w:rPr>
        <w:t xml:space="preserve">s </w:t>
      </w:r>
      <w:r w:rsidR="00972006" w:rsidRPr="00DE725C">
        <w:rPr>
          <w:rFonts w:ascii="Arial" w:hAnsi="Arial" w:cs="Arial"/>
          <w:bCs/>
          <w:sz w:val="24"/>
          <w:szCs w:val="24"/>
        </w:rPr>
        <w:t xml:space="preserve">at the </w:t>
      </w:r>
      <w:r w:rsidR="00AF3FFC" w:rsidRPr="00DE725C">
        <w:rPr>
          <w:rFonts w:ascii="Arial" w:hAnsi="Arial" w:cs="Arial"/>
          <w:bCs/>
          <w:sz w:val="24"/>
          <w:szCs w:val="24"/>
        </w:rPr>
        <w:t xml:space="preserve">Gauteng </w:t>
      </w:r>
      <w:r w:rsidR="005D3450" w:rsidRPr="00DE725C">
        <w:rPr>
          <w:rFonts w:ascii="Arial" w:hAnsi="Arial" w:cs="Arial"/>
          <w:bCs/>
          <w:sz w:val="24"/>
          <w:szCs w:val="24"/>
        </w:rPr>
        <w:t>Division of the High Court, Pretoria (the high court)</w:t>
      </w:r>
      <w:r w:rsidR="00847779" w:rsidRPr="00DE725C">
        <w:rPr>
          <w:rFonts w:ascii="Arial" w:hAnsi="Arial" w:cs="Arial"/>
          <w:bCs/>
          <w:sz w:val="24"/>
          <w:szCs w:val="24"/>
        </w:rPr>
        <w:t>.</w:t>
      </w:r>
      <w:r w:rsidR="000F035A" w:rsidRPr="00DE725C">
        <w:rPr>
          <w:rFonts w:ascii="Arial" w:hAnsi="Arial" w:cs="Arial"/>
          <w:bCs/>
          <w:sz w:val="24"/>
          <w:szCs w:val="24"/>
        </w:rPr>
        <w:t xml:space="preserve"> </w:t>
      </w:r>
      <w:r w:rsidR="00F0560D" w:rsidRPr="00DE725C">
        <w:rPr>
          <w:rFonts w:ascii="Arial" w:hAnsi="Arial" w:cs="Arial"/>
          <w:bCs/>
          <w:sz w:val="24"/>
          <w:szCs w:val="24"/>
        </w:rPr>
        <w:t xml:space="preserve">The NPA was cited as the first respondent; the Minister of Justice and Correctional Services as the second respondent; </w:t>
      </w:r>
      <w:r w:rsidR="00222CEE">
        <w:rPr>
          <w:rFonts w:ascii="Arial" w:hAnsi="Arial" w:cs="Arial"/>
          <w:bCs/>
          <w:sz w:val="24"/>
          <w:szCs w:val="24"/>
        </w:rPr>
        <w:t xml:space="preserve">the </w:t>
      </w:r>
      <w:r w:rsidR="00F0560D" w:rsidRPr="00DE725C">
        <w:rPr>
          <w:rFonts w:ascii="Arial" w:hAnsi="Arial" w:cs="Arial"/>
          <w:bCs/>
          <w:sz w:val="24"/>
          <w:szCs w:val="24"/>
        </w:rPr>
        <w:t>Minister of Public Service and Administration</w:t>
      </w:r>
      <w:r w:rsidR="00222CEE">
        <w:rPr>
          <w:rFonts w:ascii="Arial" w:hAnsi="Arial" w:cs="Arial"/>
          <w:bCs/>
          <w:sz w:val="24"/>
          <w:szCs w:val="24"/>
        </w:rPr>
        <w:t xml:space="preserve"> </w:t>
      </w:r>
      <w:r w:rsidR="00BB587F">
        <w:rPr>
          <w:rFonts w:ascii="Arial" w:hAnsi="Arial" w:cs="Arial"/>
          <w:bCs/>
          <w:sz w:val="24"/>
          <w:szCs w:val="24"/>
        </w:rPr>
        <w:t xml:space="preserve">as </w:t>
      </w:r>
      <w:r w:rsidR="00222CEE" w:rsidRPr="00DE725C">
        <w:rPr>
          <w:rFonts w:ascii="Arial" w:hAnsi="Arial" w:cs="Arial"/>
          <w:bCs/>
          <w:sz w:val="24"/>
          <w:szCs w:val="24"/>
        </w:rPr>
        <w:t>the third respondent</w:t>
      </w:r>
      <w:r w:rsidR="00AF44F9">
        <w:rPr>
          <w:rFonts w:ascii="Arial" w:hAnsi="Arial" w:cs="Arial"/>
          <w:bCs/>
          <w:sz w:val="24"/>
          <w:szCs w:val="24"/>
        </w:rPr>
        <w:t xml:space="preserve">; </w:t>
      </w:r>
      <w:r w:rsidR="00AF44F9" w:rsidRPr="00DE725C">
        <w:rPr>
          <w:rFonts w:ascii="Arial" w:hAnsi="Arial" w:cs="Arial"/>
          <w:bCs/>
          <w:sz w:val="24"/>
          <w:szCs w:val="24"/>
        </w:rPr>
        <w:t>the</w:t>
      </w:r>
      <w:r w:rsidR="00F0560D" w:rsidRPr="00DE725C">
        <w:rPr>
          <w:rFonts w:ascii="Arial" w:hAnsi="Arial" w:cs="Arial"/>
          <w:bCs/>
          <w:sz w:val="24"/>
          <w:szCs w:val="24"/>
        </w:rPr>
        <w:t xml:space="preserve"> Minister of Finance as the fourth respondent; the Government Employee</w:t>
      </w:r>
      <w:r w:rsidR="00713E63">
        <w:rPr>
          <w:rFonts w:ascii="Arial" w:hAnsi="Arial" w:cs="Arial"/>
          <w:bCs/>
          <w:sz w:val="24"/>
          <w:szCs w:val="24"/>
        </w:rPr>
        <w:t>s</w:t>
      </w:r>
      <w:r w:rsidR="00F0560D" w:rsidRPr="00DE725C">
        <w:rPr>
          <w:rFonts w:ascii="Arial" w:hAnsi="Arial" w:cs="Arial"/>
          <w:bCs/>
          <w:sz w:val="24"/>
          <w:szCs w:val="24"/>
        </w:rPr>
        <w:t xml:space="preserve"> Pension Fund, a pension fund scheme for government employees</w:t>
      </w:r>
      <w:r w:rsidR="00BB587F">
        <w:rPr>
          <w:rFonts w:ascii="Arial" w:hAnsi="Arial" w:cs="Arial"/>
          <w:bCs/>
          <w:sz w:val="24"/>
          <w:szCs w:val="24"/>
        </w:rPr>
        <w:t>,</w:t>
      </w:r>
      <w:r w:rsidR="00F0560D" w:rsidRPr="00DE725C">
        <w:rPr>
          <w:rFonts w:ascii="Arial" w:hAnsi="Arial" w:cs="Arial"/>
          <w:bCs/>
          <w:sz w:val="24"/>
          <w:szCs w:val="24"/>
        </w:rPr>
        <w:t xml:space="preserve"> as the fifth </w:t>
      </w:r>
      <w:r w:rsidR="00F0560D" w:rsidRPr="008728AD">
        <w:rPr>
          <w:rFonts w:ascii="Arial" w:hAnsi="Arial" w:cs="Arial"/>
          <w:bCs/>
          <w:sz w:val="24"/>
          <w:szCs w:val="24"/>
        </w:rPr>
        <w:t>responde</w:t>
      </w:r>
      <w:r w:rsidR="00F0560D" w:rsidRPr="008E7D1C">
        <w:rPr>
          <w:rFonts w:ascii="Arial" w:hAnsi="Arial" w:cs="Arial"/>
          <w:bCs/>
          <w:sz w:val="24"/>
          <w:szCs w:val="24"/>
        </w:rPr>
        <w:t>nt</w:t>
      </w:r>
      <w:r w:rsidR="008728AD" w:rsidRPr="008E7D1C">
        <w:rPr>
          <w:rFonts w:ascii="Arial" w:hAnsi="Arial" w:cs="Arial"/>
          <w:bCs/>
          <w:sz w:val="24"/>
          <w:szCs w:val="24"/>
        </w:rPr>
        <w:t>;</w:t>
      </w:r>
      <w:r w:rsidR="00F0560D" w:rsidRPr="008E7D1C">
        <w:rPr>
          <w:rFonts w:ascii="Arial" w:hAnsi="Arial" w:cs="Arial"/>
          <w:bCs/>
          <w:sz w:val="24"/>
          <w:szCs w:val="24"/>
        </w:rPr>
        <w:t xml:space="preserve"> and</w:t>
      </w:r>
      <w:r w:rsidR="00F0560D" w:rsidRPr="00DE725C">
        <w:rPr>
          <w:rFonts w:ascii="Arial" w:hAnsi="Arial" w:cs="Arial"/>
          <w:bCs/>
          <w:sz w:val="24"/>
          <w:szCs w:val="24"/>
        </w:rPr>
        <w:t xml:space="preserve"> the Directo</w:t>
      </w:r>
      <w:r w:rsidR="00C53BA9" w:rsidRPr="00DE725C">
        <w:rPr>
          <w:rFonts w:ascii="Arial" w:hAnsi="Arial" w:cs="Arial"/>
          <w:bCs/>
          <w:sz w:val="24"/>
          <w:szCs w:val="24"/>
        </w:rPr>
        <w:t>r-</w:t>
      </w:r>
      <w:r w:rsidR="00F0560D" w:rsidRPr="00DE725C">
        <w:rPr>
          <w:rFonts w:ascii="Arial" w:hAnsi="Arial" w:cs="Arial"/>
          <w:bCs/>
          <w:sz w:val="24"/>
          <w:szCs w:val="24"/>
        </w:rPr>
        <w:t xml:space="preserve">General of the Department of Justice and Constitutional Development </w:t>
      </w:r>
      <w:r w:rsidR="00C53BA9" w:rsidRPr="00DE725C">
        <w:rPr>
          <w:rFonts w:ascii="Arial" w:hAnsi="Arial" w:cs="Arial"/>
          <w:bCs/>
          <w:sz w:val="24"/>
          <w:szCs w:val="24"/>
        </w:rPr>
        <w:t xml:space="preserve">(Director-General) </w:t>
      </w:r>
      <w:r w:rsidR="0096310A">
        <w:rPr>
          <w:rFonts w:ascii="Arial" w:hAnsi="Arial" w:cs="Arial"/>
          <w:bCs/>
          <w:sz w:val="24"/>
          <w:szCs w:val="24"/>
        </w:rPr>
        <w:t xml:space="preserve">as the sixth respondent. </w:t>
      </w:r>
      <w:r w:rsidR="00431FA9" w:rsidRPr="00DE725C">
        <w:rPr>
          <w:rFonts w:ascii="Arial" w:hAnsi="Arial" w:cs="Arial"/>
          <w:bCs/>
          <w:sz w:val="24"/>
          <w:szCs w:val="24"/>
        </w:rPr>
        <w:t xml:space="preserve">Only the NPA, </w:t>
      </w:r>
      <w:r w:rsidR="00891309" w:rsidRPr="008E7D1C">
        <w:rPr>
          <w:rFonts w:ascii="Arial" w:hAnsi="Arial" w:cs="Arial"/>
          <w:bCs/>
          <w:sz w:val="24"/>
          <w:szCs w:val="24"/>
        </w:rPr>
        <w:t>the</w:t>
      </w:r>
      <w:r w:rsidR="00891309">
        <w:rPr>
          <w:rFonts w:ascii="Arial" w:hAnsi="Arial" w:cs="Arial"/>
          <w:bCs/>
          <w:sz w:val="24"/>
          <w:szCs w:val="24"/>
        </w:rPr>
        <w:t xml:space="preserve"> </w:t>
      </w:r>
      <w:r w:rsidR="00431FA9" w:rsidRPr="00DE725C">
        <w:rPr>
          <w:rFonts w:ascii="Arial" w:hAnsi="Arial" w:cs="Arial"/>
          <w:bCs/>
          <w:sz w:val="24"/>
          <w:szCs w:val="24"/>
        </w:rPr>
        <w:t xml:space="preserve">Minister </w:t>
      </w:r>
      <w:r w:rsidR="000065C5" w:rsidRPr="00DE725C">
        <w:rPr>
          <w:rFonts w:ascii="Arial" w:hAnsi="Arial" w:cs="Arial"/>
          <w:bCs/>
          <w:sz w:val="24"/>
          <w:szCs w:val="24"/>
        </w:rPr>
        <w:t xml:space="preserve">of Justice and </w:t>
      </w:r>
      <w:r w:rsidR="000065C5" w:rsidRPr="00DE725C">
        <w:rPr>
          <w:rFonts w:ascii="Arial" w:hAnsi="Arial" w:cs="Arial"/>
          <w:bCs/>
          <w:sz w:val="24"/>
          <w:szCs w:val="24"/>
        </w:rPr>
        <w:lastRenderedPageBreak/>
        <w:t xml:space="preserve">Correctional Services (the Minister) </w:t>
      </w:r>
      <w:r w:rsidR="00431FA9" w:rsidRPr="00DE725C">
        <w:rPr>
          <w:rFonts w:ascii="Arial" w:hAnsi="Arial" w:cs="Arial"/>
          <w:bCs/>
          <w:sz w:val="24"/>
          <w:szCs w:val="24"/>
        </w:rPr>
        <w:t>and the Director</w:t>
      </w:r>
      <w:r w:rsidR="005523D6" w:rsidRPr="00DE725C">
        <w:rPr>
          <w:rFonts w:ascii="Arial" w:hAnsi="Arial" w:cs="Arial"/>
          <w:bCs/>
          <w:sz w:val="24"/>
          <w:szCs w:val="24"/>
        </w:rPr>
        <w:t>-General opposed the application.</w:t>
      </w:r>
      <w:r w:rsidR="00F0560D" w:rsidRPr="00DE725C">
        <w:rPr>
          <w:rFonts w:ascii="Arial" w:hAnsi="Arial" w:cs="Arial"/>
          <w:bCs/>
          <w:sz w:val="24"/>
          <w:szCs w:val="24"/>
        </w:rPr>
        <w:t xml:space="preserve"> </w:t>
      </w:r>
      <w:r w:rsidR="004D2209" w:rsidRPr="00DE725C">
        <w:rPr>
          <w:rFonts w:ascii="Arial" w:hAnsi="Arial" w:cs="Arial"/>
          <w:bCs/>
          <w:sz w:val="24"/>
          <w:szCs w:val="24"/>
        </w:rPr>
        <w:t>The application served before van der Westhuizen J.</w:t>
      </w:r>
    </w:p>
    <w:p w14:paraId="49A11704" w14:textId="77777777" w:rsidR="00C33F8E" w:rsidRPr="00D02B6C" w:rsidRDefault="00C33F8E" w:rsidP="00C33F8E">
      <w:pPr>
        <w:pStyle w:val="ListParagraph"/>
        <w:spacing w:after="0" w:line="360" w:lineRule="auto"/>
        <w:ind w:left="0"/>
        <w:jc w:val="both"/>
        <w:rPr>
          <w:rFonts w:ascii="Arial" w:hAnsi="Arial" w:cs="Arial"/>
          <w:bCs/>
        </w:rPr>
      </w:pPr>
    </w:p>
    <w:p w14:paraId="36842FAA" w14:textId="2C58EAD7" w:rsidR="007D150F" w:rsidRPr="007D150F" w:rsidRDefault="004D2209" w:rsidP="00B354D9">
      <w:pPr>
        <w:spacing w:after="0" w:line="360" w:lineRule="auto"/>
        <w:jc w:val="both"/>
        <w:rPr>
          <w:rFonts w:ascii="Arial" w:hAnsi="Arial" w:cs="Arial"/>
          <w:b/>
          <w:sz w:val="24"/>
          <w:szCs w:val="24"/>
        </w:rPr>
      </w:pPr>
      <w:r>
        <w:rPr>
          <w:rFonts w:ascii="Arial" w:hAnsi="Arial" w:cs="Arial"/>
          <w:b/>
          <w:sz w:val="24"/>
          <w:szCs w:val="24"/>
        </w:rPr>
        <w:t>Background facts</w:t>
      </w:r>
    </w:p>
    <w:p w14:paraId="6A5118E0" w14:textId="70B31C1B" w:rsidR="00716BB2" w:rsidRDefault="00220BB7" w:rsidP="00B354D9">
      <w:pPr>
        <w:pStyle w:val="ListParagraph"/>
        <w:numPr>
          <w:ilvl w:val="0"/>
          <w:numId w:val="1"/>
        </w:numPr>
        <w:spacing w:after="0" w:line="360" w:lineRule="auto"/>
        <w:ind w:left="0" w:firstLine="0"/>
        <w:jc w:val="both"/>
        <w:rPr>
          <w:rFonts w:ascii="Arial" w:hAnsi="Arial" w:cs="Arial"/>
          <w:bCs/>
          <w:sz w:val="24"/>
          <w:szCs w:val="24"/>
        </w:rPr>
      </w:pPr>
      <w:r>
        <w:rPr>
          <w:rFonts w:ascii="Arial" w:hAnsi="Arial" w:cs="Arial"/>
          <w:bCs/>
          <w:sz w:val="24"/>
          <w:szCs w:val="24"/>
        </w:rPr>
        <w:t xml:space="preserve"> </w:t>
      </w:r>
      <w:r w:rsidR="007D150F" w:rsidRPr="00D95CEF">
        <w:rPr>
          <w:rFonts w:ascii="Arial" w:hAnsi="Arial" w:cs="Arial"/>
          <w:bCs/>
          <w:sz w:val="24"/>
          <w:szCs w:val="24"/>
        </w:rPr>
        <w:t>It is common cause that negotiations on wage and other collective bargaining issues had taken place at the Public Service Co-ordinating Bargaining Council (PSCBC)</w:t>
      </w:r>
      <w:r w:rsidR="00937479">
        <w:rPr>
          <w:rFonts w:ascii="Arial" w:hAnsi="Arial" w:cs="Arial"/>
          <w:bCs/>
          <w:sz w:val="24"/>
          <w:szCs w:val="24"/>
        </w:rPr>
        <w:t xml:space="preserve"> in 2007. These negotiations </w:t>
      </w:r>
      <w:r w:rsidR="004F318A" w:rsidRPr="00D95CEF">
        <w:rPr>
          <w:rFonts w:ascii="Arial" w:hAnsi="Arial" w:cs="Arial"/>
          <w:bCs/>
          <w:sz w:val="24"/>
          <w:szCs w:val="24"/>
        </w:rPr>
        <w:t>culminat</w:t>
      </w:r>
      <w:r w:rsidR="00937479">
        <w:rPr>
          <w:rFonts w:ascii="Arial" w:hAnsi="Arial" w:cs="Arial"/>
          <w:bCs/>
          <w:sz w:val="24"/>
          <w:szCs w:val="24"/>
        </w:rPr>
        <w:t>ed</w:t>
      </w:r>
      <w:r w:rsidR="004F318A" w:rsidRPr="00D95CEF">
        <w:rPr>
          <w:rFonts w:ascii="Arial" w:hAnsi="Arial" w:cs="Arial"/>
          <w:bCs/>
          <w:sz w:val="24"/>
          <w:szCs w:val="24"/>
        </w:rPr>
        <w:t xml:space="preserve"> in several c</w:t>
      </w:r>
      <w:r w:rsidR="006C6258" w:rsidRPr="00D95CEF">
        <w:rPr>
          <w:rFonts w:ascii="Arial" w:hAnsi="Arial" w:cs="Arial"/>
          <w:bCs/>
          <w:sz w:val="24"/>
          <w:szCs w:val="24"/>
        </w:rPr>
        <w:t>ol</w:t>
      </w:r>
      <w:r w:rsidR="007D150F" w:rsidRPr="00D95CEF">
        <w:rPr>
          <w:rFonts w:ascii="Arial" w:hAnsi="Arial" w:cs="Arial"/>
          <w:bCs/>
          <w:sz w:val="24"/>
          <w:szCs w:val="24"/>
        </w:rPr>
        <w:t>lective agreement</w:t>
      </w:r>
      <w:r w:rsidR="006C6258" w:rsidRPr="00D95CEF">
        <w:rPr>
          <w:rFonts w:ascii="Arial" w:hAnsi="Arial" w:cs="Arial"/>
          <w:bCs/>
          <w:sz w:val="24"/>
          <w:szCs w:val="24"/>
        </w:rPr>
        <w:t>s</w:t>
      </w:r>
      <w:r w:rsidR="007D150F" w:rsidRPr="00D95CEF">
        <w:rPr>
          <w:rFonts w:ascii="Arial" w:hAnsi="Arial" w:cs="Arial"/>
          <w:bCs/>
          <w:sz w:val="24"/>
          <w:szCs w:val="24"/>
        </w:rPr>
        <w:t xml:space="preserve"> </w:t>
      </w:r>
      <w:r w:rsidR="004F318A" w:rsidRPr="00D95CEF">
        <w:rPr>
          <w:rFonts w:ascii="Arial" w:hAnsi="Arial" w:cs="Arial"/>
          <w:bCs/>
          <w:sz w:val="24"/>
          <w:szCs w:val="24"/>
        </w:rPr>
        <w:t xml:space="preserve">being </w:t>
      </w:r>
      <w:r w:rsidR="007D150F" w:rsidRPr="00D95CEF">
        <w:rPr>
          <w:rFonts w:ascii="Arial" w:hAnsi="Arial" w:cs="Arial"/>
          <w:bCs/>
          <w:sz w:val="24"/>
          <w:szCs w:val="24"/>
        </w:rPr>
        <w:t>concluded</w:t>
      </w:r>
      <w:r w:rsidR="004F318A" w:rsidRPr="00D95CEF">
        <w:rPr>
          <w:rFonts w:ascii="Arial" w:hAnsi="Arial" w:cs="Arial"/>
          <w:bCs/>
          <w:sz w:val="24"/>
          <w:szCs w:val="24"/>
        </w:rPr>
        <w:t xml:space="preserve">. </w:t>
      </w:r>
      <w:r w:rsidR="00D57BD8">
        <w:rPr>
          <w:rFonts w:ascii="Arial" w:hAnsi="Arial" w:cs="Arial"/>
          <w:bCs/>
          <w:sz w:val="24"/>
          <w:szCs w:val="24"/>
        </w:rPr>
        <w:t>Since t</w:t>
      </w:r>
      <w:r w:rsidR="0044435A" w:rsidRPr="00042F62">
        <w:rPr>
          <w:rFonts w:ascii="Arial" w:hAnsi="Arial" w:cs="Arial"/>
          <w:bCs/>
          <w:sz w:val="24"/>
          <w:szCs w:val="24"/>
        </w:rPr>
        <w:t>he PSA alleges that t</w:t>
      </w:r>
      <w:r w:rsidR="0044435A">
        <w:rPr>
          <w:rFonts w:ascii="Arial" w:hAnsi="Arial" w:cs="Arial"/>
          <w:bCs/>
          <w:sz w:val="24"/>
          <w:szCs w:val="24"/>
        </w:rPr>
        <w:t xml:space="preserve">hose collective agreements are the </w:t>
      </w:r>
      <w:r w:rsidR="0044435A" w:rsidRPr="00042F62">
        <w:rPr>
          <w:rFonts w:ascii="Arial" w:hAnsi="Arial" w:cs="Arial"/>
          <w:bCs/>
          <w:sz w:val="24"/>
          <w:szCs w:val="24"/>
        </w:rPr>
        <w:t>genesis of th</w:t>
      </w:r>
      <w:r w:rsidR="0044435A">
        <w:rPr>
          <w:rFonts w:ascii="Arial" w:hAnsi="Arial" w:cs="Arial"/>
          <w:bCs/>
          <w:sz w:val="24"/>
          <w:szCs w:val="24"/>
        </w:rPr>
        <w:t>is</w:t>
      </w:r>
      <w:r w:rsidR="0044435A" w:rsidRPr="00042F62">
        <w:rPr>
          <w:rFonts w:ascii="Arial" w:hAnsi="Arial" w:cs="Arial"/>
          <w:bCs/>
          <w:sz w:val="24"/>
          <w:szCs w:val="24"/>
        </w:rPr>
        <w:t xml:space="preserve"> dispute</w:t>
      </w:r>
      <w:r w:rsidR="00B83DC7">
        <w:rPr>
          <w:rFonts w:ascii="Arial" w:hAnsi="Arial" w:cs="Arial"/>
          <w:bCs/>
          <w:sz w:val="24"/>
          <w:szCs w:val="24"/>
        </w:rPr>
        <w:t xml:space="preserve"> and that </w:t>
      </w:r>
      <w:r w:rsidR="0044435A">
        <w:rPr>
          <w:rFonts w:ascii="Arial" w:hAnsi="Arial" w:cs="Arial"/>
          <w:bCs/>
          <w:sz w:val="24"/>
          <w:szCs w:val="24"/>
        </w:rPr>
        <w:t>t</w:t>
      </w:r>
      <w:r w:rsidR="0044435A" w:rsidRPr="00042F62">
        <w:rPr>
          <w:rFonts w:ascii="Arial" w:hAnsi="Arial" w:cs="Arial"/>
          <w:bCs/>
          <w:sz w:val="24"/>
          <w:szCs w:val="24"/>
        </w:rPr>
        <w:t>he erstwhile National Director of Public Prosecutions, Mr Nxasana, (NDPP) approv</w:t>
      </w:r>
      <w:r w:rsidR="0044435A">
        <w:rPr>
          <w:rFonts w:ascii="Arial" w:hAnsi="Arial" w:cs="Arial"/>
          <w:bCs/>
          <w:sz w:val="24"/>
          <w:szCs w:val="24"/>
        </w:rPr>
        <w:t xml:space="preserve">ed </w:t>
      </w:r>
      <w:r w:rsidR="0044435A" w:rsidRPr="00042F62">
        <w:rPr>
          <w:rFonts w:ascii="Arial" w:hAnsi="Arial" w:cs="Arial"/>
          <w:bCs/>
          <w:sz w:val="24"/>
          <w:szCs w:val="24"/>
        </w:rPr>
        <w:t xml:space="preserve">the </w:t>
      </w:r>
      <w:r w:rsidR="0044435A">
        <w:rPr>
          <w:rFonts w:ascii="Arial" w:hAnsi="Arial" w:cs="Arial"/>
          <w:bCs/>
          <w:sz w:val="24"/>
          <w:szCs w:val="24"/>
        </w:rPr>
        <w:t xml:space="preserve">translation of the OSD salary structure to the </w:t>
      </w:r>
      <w:r w:rsidR="0044435A" w:rsidRPr="00042F62">
        <w:rPr>
          <w:rFonts w:ascii="Arial" w:hAnsi="Arial" w:cs="Arial"/>
          <w:bCs/>
          <w:sz w:val="24"/>
          <w:szCs w:val="24"/>
        </w:rPr>
        <w:t xml:space="preserve">DDPPs and </w:t>
      </w:r>
      <w:r w:rsidR="0044435A" w:rsidRPr="008E7D1C">
        <w:rPr>
          <w:rFonts w:ascii="Arial" w:hAnsi="Arial" w:cs="Arial"/>
          <w:bCs/>
          <w:sz w:val="24"/>
          <w:szCs w:val="24"/>
        </w:rPr>
        <w:t>CPs</w:t>
      </w:r>
      <w:r w:rsidR="00B83DC7" w:rsidRPr="008E7D1C">
        <w:rPr>
          <w:rFonts w:ascii="Arial" w:hAnsi="Arial" w:cs="Arial"/>
          <w:bCs/>
          <w:sz w:val="24"/>
          <w:szCs w:val="24"/>
        </w:rPr>
        <w:t xml:space="preserve">. It </w:t>
      </w:r>
      <w:r w:rsidR="0044435A" w:rsidRPr="008E7D1C">
        <w:rPr>
          <w:rFonts w:ascii="Arial" w:hAnsi="Arial" w:cs="Arial"/>
          <w:bCs/>
          <w:sz w:val="24"/>
          <w:szCs w:val="24"/>
        </w:rPr>
        <w:t>is</w:t>
      </w:r>
      <w:r w:rsidR="0044435A">
        <w:rPr>
          <w:rFonts w:ascii="Arial" w:hAnsi="Arial" w:cs="Arial"/>
          <w:bCs/>
          <w:sz w:val="24"/>
          <w:szCs w:val="24"/>
        </w:rPr>
        <w:t xml:space="preserve"> </w:t>
      </w:r>
      <w:r w:rsidR="00B83DC7">
        <w:rPr>
          <w:rFonts w:ascii="Arial" w:hAnsi="Arial" w:cs="Arial"/>
          <w:bCs/>
          <w:sz w:val="24"/>
          <w:szCs w:val="24"/>
        </w:rPr>
        <w:t xml:space="preserve">therefore </w:t>
      </w:r>
      <w:r w:rsidR="0044435A">
        <w:rPr>
          <w:rFonts w:ascii="Arial" w:hAnsi="Arial" w:cs="Arial"/>
          <w:bCs/>
          <w:sz w:val="24"/>
          <w:szCs w:val="24"/>
        </w:rPr>
        <w:t xml:space="preserve">necessary to </w:t>
      </w:r>
      <w:r w:rsidR="00716BB2">
        <w:rPr>
          <w:rFonts w:ascii="Arial" w:hAnsi="Arial" w:cs="Arial"/>
          <w:bCs/>
          <w:sz w:val="24"/>
          <w:szCs w:val="24"/>
        </w:rPr>
        <w:t xml:space="preserve">give a brief overview of what those collective agreements entailed. </w:t>
      </w:r>
    </w:p>
    <w:p w14:paraId="0DBFDF2B" w14:textId="0BB643BB" w:rsidR="0044435A" w:rsidRPr="00D02B6C" w:rsidRDefault="0044435A" w:rsidP="00716BB2">
      <w:pPr>
        <w:pStyle w:val="ListParagraph"/>
        <w:spacing w:line="360" w:lineRule="auto"/>
        <w:ind w:left="0"/>
        <w:jc w:val="both"/>
        <w:rPr>
          <w:rFonts w:ascii="Arial" w:hAnsi="Arial" w:cs="Arial"/>
          <w:bCs/>
        </w:rPr>
      </w:pPr>
      <w:r w:rsidRPr="00042F62">
        <w:rPr>
          <w:rFonts w:ascii="Arial" w:hAnsi="Arial" w:cs="Arial"/>
          <w:bCs/>
          <w:sz w:val="24"/>
          <w:szCs w:val="24"/>
        </w:rPr>
        <w:t xml:space="preserve"> </w:t>
      </w:r>
    </w:p>
    <w:p w14:paraId="3065B87B" w14:textId="3613DCF6" w:rsidR="00E631B8" w:rsidRDefault="00DA4B48" w:rsidP="001527F9">
      <w:pPr>
        <w:pStyle w:val="ListParagraph"/>
        <w:numPr>
          <w:ilvl w:val="0"/>
          <w:numId w:val="1"/>
        </w:numPr>
        <w:spacing w:line="360" w:lineRule="auto"/>
        <w:ind w:left="0" w:firstLine="0"/>
        <w:jc w:val="both"/>
        <w:rPr>
          <w:rFonts w:ascii="Arial" w:hAnsi="Arial" w:cs="Arial"/>
          <w:bCs/>
          <w:sz w:val="24"/>
          <w:szCs w:val="24"/>
        </w:rPr>
      </w:pPr>
      <w:r>
        <w:rPr>
          <w:rFonts w:ascii="Arial" w:hAnsi="Arial" w:cs="Arial"/>
          <w:bCs/>
          <w:sz w:val="24"/>
          <w:szCs w:val="24"/>
        </w:rPr>
        <w:t xml:space="preserve">In terms of </w:t>
      </w:r>
      <w:r w:rsidR="007D150F" w:rsidRPr="00D95CEF">
        <w:rPr>
          <w:rFonts w:ascii="Arial" w:hAnsi="Arial" w:cs="Arial"/>
          <w:bCs/>
          <w:sz w:val="24"/>
          <w:szCs w:val="24"/>
        </w:rPr>
        <w:t>PSCBC Resolution 1 of 2007</w:t>
      </w:r>
      <w:r w:rsidR="00CB12F3">
        <w:rPr>
          <w:rFonts w:ascii="Arial" w:hAnsi="Arial" w:cs="Arial"/>
          <w:bCs/>
          <w:sz w:val="24"/>
          <w:szCs w:val="24"/>
        </w:rPr>
        <w:t xml:space="preserve">, </w:t>
      </w:r>
      <w:r w:rsidR="00D11FAB">
        <w:rPr>
          <w:rFonts w:ascii="Arial" w:hAnsi="Arial" w:cs="Arial"/>
          <w:bCs/>
          <w:sz w:val="24"/>
          <w:szCs w:val="24"/>
        </w:rPr>
        <w:t xml:space="preserve">the </w:t>
      </w:r>
      <w:r w:rsidR="00CB12F3">
        <w:rPr>
          <w:rFonts w:ascii="Arial" w:hAnsi="Arial" w:cs="Arial"/>
          <w:bCs/>
          <w:sz w:val="24"/>
          <w:szCs w:val="24"/>
        </w:rPr>
        <w:t>OSD salary structure was to be implemented to</w:t>
      </w:r>
      <w:r>
        <w:rPr>
          <w:rFonts w:ascii="Arial" w:hAnsi="Arial" w:cs="Arial"/>
          <w:bCs/>
          <w:sz w:val="24"/>
          <w:szCs w:val="24"/>
        </w:rPr>
        <w:t xml:space="preserve"> </w:t>
      </w:r>
      <w:r w:rsidR="00CB12F3">
        <w:rPr>
          <w:rFonts w:ascii="Arial" w:hAnsi="Arial" w:cs="Arial"/>
          <w:bCs/>
          <w:sz w:val="24"/>
          <w:szCs w:val="24"/>
        </w:rPr>
        <w:t xml:space="preserve">employees in the legal profession within the justice cluster with effect from 1 July 2007. </w:t>
      </w:r>
      <w:r w:rsidR="00466793" w:rsidRPr="00D95CEF">
        <w:rPr>
          <w:rFonts w:ascii="Arial" w:hAnsi="Arial" w:cs="Arial"/>
          <w:bCs/>
          <w:sz w:val="24"/>
          <w:szCs w:val="24"/>
        </w:rPr>
        <w:t xml:space="preserve">In terms of that </w:t>
      </w:r>
      <w:r w:rsidR="007D150F" w:rsidRPr="00D95CEF">
        <w:rPr>
          <w:rFonts w:ascii="Arial" w:hAnsi="Arial" w:cs="Arial"/>
          <w:bCs/>
          <w:sz w:val="24"/>
          <w:szCs w:val="24"/>
        </w:rPr>
        <w:t>Resolution</w:t>
      </w:r>
      <w:r w:rsidR="00D13BD9" w:rsidRPr="00D95CEF">
        <w:rPr>
          <w:rFonts w:ascii="Arial" w:hAnsi="Arial" w:cs="Arial"/>
          <w:bCs/>
          <w:sz w:val="24"/>
          <w:szCs w:val="24"/>
        </w:rPr>
        <w:t xml:space="preserve">, </w:t>
      </w:r>
      <w:r w:rsidR="007D150F" w:rsidRPr="00D95CEF">
        <w:rPr>
          <w:rFonts w:ascii="Arial" w:hAnsi="Arial" w:cs="Arial"/>
          <w:bCs/>
          <w:sz w:val="24"/>
          <w:szCs w:val="24"/>
        </w:rPr>
        <w:t>the translation measures for the movement to the new structure would be dealt with at the relevant sectoral bargaining council.</w:t>
      </w:r>
      <w:r w:rsidR="00C32902" w:rsidRPr="00D95CEF">
        <w:rPr>
          <w:rFonts w:ascii="Arial" w:hAnsi="Arial" w:cs="Arial"/>
          <w:bCs/>
          <w:sz w:val="24"/>
          <w:szCs w:val="24"/>
        </w:rPr>
        <w:t xml:space="preserve"> </w:t>
      </w:r>
    </w:p>
    <w:p w14:paraId="33108935" w14:textId="77777777" w:rsidR="00C33F8E" w:rsidRPr="00D02B6C" w:rsidRDefault="00C33F8E" w:rsidP="00B354D9">
      <w:pPr>
        <w:pStyle w:val="ListParagraph"/>
        <w:spacing w:line="360" w:lineRule="auto"/>
        <w:ind w:left="0"/>
        <w:jc w:val="both"/>
        <w:rPr>
          <w:rFonts w:ascii="Arial" w:hAnsi="Arial" w:cs="Arial"/>
          <w:bCs/>
        </w:rPr>
      </w:pPr>
    </w:p>
    <w:p w14:paraId="60C74FD2" w14:textId="2934343F" w:rsidR="008F79BB" w:rsidRDefault="00C24804" w:rsidP="008F79BB">
      <w:pPr>
        <w:pStyle w:val="ListParagraph"/>
        <w:numPr>
          <w:ilvl w:val="0"/>
          <w:numId w:val="1"/>
        </w:numPr>
        <w:spacing w:line="360" w:lineRule="auto"/>
        <w:ind w:left="0" w:firstLine="0"/>
        <w:jc w:val="both"/>
        <w:rPr>
          <w:rFonts w:ascii="Arial" w:hAnsi="Arial" w:cs="Arial"/>
          <w:bCs/>
          <w:sz w:val="24"/>
          <w:szCs w:val="24"/>
        </w:rPr>
      </w:pPr>
      <w:r w:rsidRPr="00D95CEF">
        <w:rPr>
          <w:rFonts w:ascii="Arial" w:hAnsi="Arial" w:cs="Arial"/>
          <w:bCs/>
          <w:sz w:val="24"/>
          <w:szCs w:val="24"/>
        </w:rPr>
        <w:t xml:space="preserve">In compliance with </w:t>
      </w:r>
      <w:r w:rsidR="00D11FAB">
        <w:rPr>
          <w:rFonts w:ascii="Arial" w:hAnsi="Arial" w:cs="Arial"/>
          <w:bCs/>
          <w:sz w:val="24"/>
          <w:szCs w:val="24"/>
        </w:rPr>
        <w:t xml:space="preserve">PSCBC </w:t>
      </w:r>
      <w:r w:rsidRPr="00D95CEF">
        <w:rPr>
          <w:rFonts w:ascii="Arial" w:hAnsi="Arial" w:cs="Arial"/>
          <w:bCs/>
          <w:sz w:val="24"/>
          <w:szCs w:val="24"/>
        </w:rPr>
        <w:t xml:space="preserve">Resolution 1 of 2007, </w:t>
      </w:r>
      <w:r w:rsidR="007D150F" w:rsidRPr="00D95CEF">
        <w:rPr>
          <w:rFonts w:ascii="Arial" w:hAnsi="Arial" w:cs="Arial"/>
          <w:bCs/>
          <w:sz w:val="24"/>
          <w:szCs w:val="24"/>
        </w:rPr>
        <w:t xml:space="preserve">during or about </w:t>
      </w:r>
      <w:r w:rsidR="00991FF7">
        <w:rPr>
          <w:rFonts w:ascii="Arial" w:hAnsi="Arial" w:cs="Arial"/>
          <w:bCs/>
          <w:sz w:val="24"/>
          <w:szCs w:val="24"/>
        </w:rPr>
        <w:t xml:space="preserve">                             </w:t>
      </w:r>
      <w:r w:rsidR="007D150F" w:rsidRPr="00D95CEF">
        <w:rPr>
          <w:rFonts w:ascii="Arial" w:hAnsi="Arial" w:cs="Arial"/>
          <w:bCs/>
          <w:sz w:val="24"/>
          <w:szCs w:val="24"/>
        </w:rPr>
        <w:t>7 February 2008, the General Public Service Sector Bargaining Council (GPSSBC)</w:t>
      </w:r>
      <w:r w:rsidR="001527F9" w:rsidRPr="00D95CEF">
        <w:rPr>
          <w:rFonts w:ascii="Arial" w:hAnsi="Arial" w:cs="Arial"/>
          <w:bCs/>
          <w:sz w:val="24"/>
          <w:szCs w:val="24"/>
        </w:rPr>
        <w:t xml:space="preserve"> </w:t>
      </w:r>
      <w:r w:rsidR="007D150F" w:rsidRPr="00D95CEF">
        <w:rPr>
          <w:rFonts w:ascii="Arial" w:hAnsi="Arial" w:cs="Arial"/>
          <w:bCs/>
          <w:sz w:val="24"/>
          <w:szCs w:val="24"/>
        </w:rPr>
        <w:t>negotiated and concluded a collective agreement</w:t>
      </w:r>
      <w:r w:rsidR="005807CD">
        <w:rPr>
          <w:rFonts w:ascii="Arial" w:hAnsi="Arial" w:cs="Arial"/>
          <w:bCs/>
          <w:sz w:val="24"/>
          <w:szCs w:val="24"/>
        </w:rPr>
        <w:t xml:space="preserve"> </w:t>
      </w:r>
      <w:r w:rsidR="00DF0489">
        <w:rPr>
          <w:rFonts w:ascii="Arial" w:hAnsi="Arial" w:cs="Arial"/>
          <w:bCs/>
          <w:sz w:val="24"/>
          <w:szCs w:val="24"/>
        </w:rPr>
        <w:t>between the State as employer and various trade unions representing government employees</w:t>
      </w:r>
      <w:r w:rsidR="00942FA5">
        <w:rPr>
          <w:rFonts w:ascii="Arial" w:hAnsi="Arial" w:cs="Arial"/>
          <w:bCs/>
          <w:sz w:val="24"/>
          <w:szCs w:val="24"/>
        </w:rPr>
        <w:t>,</w:t>
      </w:r>
      <w:r w:rsidR="00DF0489">
        <w:rPr>
          <w:rFonts w:ascii="Arial" w:hAnsi="Arial" w:cs="Arial"/>
          <w:bCs/>
          <w:sz w:val="24"/>
          <w:szCs w:val="24"/>
        </w:rPr>
        <w:t xml:space="preserve"> regarding </w:t>
      </w:r>
      <w:r w:rsidR="005807CD">
        <w:rPr>
          <w:rFonts w:ascii="Arial" w:hAnsi="Arial" w:cs="Arial"/>
          <w:bCs/>
          <w:sz w:val="24"/>
          <w:szCs w:val="24"/>
        </w:rPr>
        <w:t xml:space="preserve">the </w:t>
      </w:r>
      <w:r w:rsidR="00432A15">
        <w:rPr>
          <w:rFonts w:ascii="Arial" w:hAnsi="Arial" w:cs="Arial"/>
          <w:bCs/>
          <w:sz w:val="24"/>
          <w:szCs w:val="24"/>
        </w:rPr>
        <w:t xml:space="preserve">implementation of </w:t>
      </w:r>
      <w:r w:rsidR="0072779C" w:rsidRPr="008E7D1C">
        <w:rPr>
          <w:rFonts w:ascii="Arial" w:hAnsi="Arial" w:cs="Arial"/>
          <w:bCs/>
          <w:sz w:val="24"/>
          <w:szCs w:val="24"/>
        </w:rPr>
        <w:t>the</w:t>
      </w:r>
      <w:r w:rsidR="0072779C">
        <w:rPr>
          <w:rFonts w:ascii="Arial" w:hAnsi="Arial" w:cs="Arial"/>
          <w:bCs/>
          <w:sz w:val="24"/>
          <w:szCs w:val="24"/>
        </w:rPr>
        <w:t xml:space="preserve"> </w:t>
      </w:r>
      <w:r w:rsidR="00432A15">
        <w:rPr>
          <w:rFonts w:ascii="Arial" w:hAnsi="Arial" w:cs="Arial"/>
          <w:bCs/>
          <w:sz w:val="24"/>
          <w:szCs w:val="24"/>
        </w:rPr>
        <w:t xml:space="preserve">OSD for legally qualified categories of employees. </w:t>
      </w:r>
      <w:r w:rsidR="00D02B6C">
        <w:rPr>
          <w:rFonts w:ascii="Arial" w:hAnsi="Arial" w:cs="Arial"/>
          <w:bCs/>
          <w:sz w:val="24"/>
          <w:szCs w:val="24"/>
        </w:rPr>
        <w:t xml:space="preserve">                     </w:t>
      </w:r>
      <w:r w:rsidR="006047D9" w:rsidRPr="00D95CEF">
        <w:rPr>
          <w:rFonts w:ascii="Arial" w:hAnsi="Arial" w:cs="Arial"/>
          <w:bCs/>
          <w:sz w:val="24"/>
          <w:szCs w:val="24"/>
        </w:rPr>
        <w:t xml:space="preserve">This </w:t>
      </w:r>
      <w:r w:rsidR="002820BF">
        <w:rPr>
          <w:rFonts w:ascii="Arial" w:hAnsi="Arial" w:cs="Arial"/>
          <w:bCs/>
          <w:sz w:val="24"/>
          <w:szCs w:val="24"/>
        </w:rPr>
        <w:t xml:space="preserve">agreement </w:t>
      </w:r>
      <w:r w:rsidR="00942FA5">
        <w:rPr>
          <w:rFonts w:ascii="Arial" w:hAnsi="Arial" w:cs="Arial"/>
          <w:bCs/>
          <w:sz w:val="24"/>
          <w:szCs w:val="24"/>
        </w:rPr>
        <w:t xml:space="preserve">is commonly referred to as </w:t>
      </w:r>
      <w:r w:rsidR="00B64992" w:rsidRPr="00D95CEF">
        <w:rPr>
          <w:rFonts w:ascii="Arial" w:hAnsi="Arial" w:cs="Arial"/>
          <w:bCs/>
          <w:sz w:val="24"/>
          <w:szCs w:val="24"/>
        </w:rPr>
        <w:t xml:space="preserve">GPSSBC </w:t>
      </w:r>
      <w:r w:rsidR="00404E9B" w:rsidRPr="00D95CEF">
        <w:rPr>
          <w:rFonts w:ascii="Arial" w:hAnsi="Arial" w:cs="Arial"/>
          <w:bCs/>
          <w:sz w:val="24"/>
          <w:szCs w:val="24"/>
        </w:rPr>
        <w:t xml:space="preserve">Resolution 1 of 2008. </w:t>
      </w:r>
      <w:r w:rsidR="004D4A2F">
        <w:rPr>
          <w:rFonts w:ascii="Arial" w:hAnsi="Arial" w:cs="Arial"/>
          <w:bCs/>
          <w:sz w:val="24"/>
          <w:szCs w:val="24"/>
        </w:rPr>
        <w:t xml:space="preserve">Its stated objective was to introduce </w:t>
      </w:r>
      <w:r w:rsidR="008823FE">
        <w:rPr>
          <w:rFonts w:ascii="Arial" w:hAnsi="Arial" w:cs="Arial"/>
          <w:bCs/>
          <w:sz w:val="24"/>
          <w:szCs w:val="24"/>
        </w:rPr>
        <w:t xml:space="preserve">the </w:t>
      </w:r>
      <w:r w:rsidR="00E32351">
        <w:rPr>
          <w:rFonts w:ascii="Arial" w:hAnsi="Arial" w:cs="Arial"/>
          <w:bCs/>
          <w:sz w:val="24"/>
          <w:szCs w:val="24"/>
        </w:rPr>
        <w:t xml:space="preserve">OSD salary structure </w:t>
      </w:r>
      <w:r w:rsidR="00D566E0">
        <w:rPr>
          <w:rFonts w:ascii="Arial" w:hAnsi="Arial" w:cs="Arial"/>
          <w:bCs/>
          <w:sz w:val="24"/>
          <w:szCs w:val="24"/>
        </w:rPr>
        <w:t xml:space="preserve">for legally qualified professionals </w:t>
      </w:r>
      <w:r w:rsidR="000A3462">
        <w:rPr>
          <w:rFonts w:ascii="Arial" w:hAnsi="Arial" w:cs="Arial"/>
          <w:bCs/>
          <w:sz w:val="24"/>
          <w:szCs w:val="24"/>
        </w:rPr>
        <w:t>falling within the occupational categories of State Attorney, Family Advocate, State Law Advisor, Legal Administration Officer</w:t>
      </w:r>
      <w:r w:rsidR="008F79BB">
        <w:rPr>
          <w:rFonts w:ascii="Arial" w:hAnsi="Arial" w:cs="Arial"/>
          <w:bCs/>
          <w:sz w:val="24"/>
          <w:szCs w:val="24"/>
        </w:rPr>
        <w:t>, Master, Registrar, Maintenance Officer and Estate Controller.</w:t>
      </w:r>
      <w:r w:rsidR="00C54DD1">
        <w:rPr>
          <w:rFonts w:ascii="Arial" w:hAnsi="Arial" w:cs="Arial"/>
          <w:bCs/>
          <w:sz w:val="24"/>
          <w:szCs w:val="24"/>
        </w:rPr>
        <w:t xml:space="preserve"> </w:t>
      </w:r>
      <w:r w:rsidR="00BA1D8D">
        <w:rPr>
          <w:rFonts w:ascii="Arial" w:hAnsi="Arial" w:cs="Arial"/>
          <w:bCs/>
          <w:sz w:val="24"/>
          <w:szCs w:val="24"/>
        </w:rPr>
        <w:t xml:space="preserve">According to the PSA, GPSSBC </w:t>
      </w:r>
      <w:r w:rsidR="0072779C" w:rsidRPr="008E7D1C">
        <w:rPr>
          <w:rFonts w:ascii="Arial" w:hAnsi="Arial" w:cs="Arial"/>
          <w:bCs/>
          <w:sz w:val="24"/>
          <w:szCs w:val="24"/>
        </w:rPr>
        <w:t>Resolution</w:t>
      </w:r>
      <w:r w:rsidR="0072779C" w:rsidRPr="00D95CEF">
        <w:rPr>
          <w:rFonts w:ascii="Arial" w:hAnsi="Arial" w:cs="Arial"/>
          <w:bCs/>
          <w:sz w:val="24"/>
          <w:szCs w:val="24"/>
        </w:rPr>
        <w:t xml:space="preserve"> </w:t>
      </w:r>
      <w:r w:rsidR="00BA1D8D">
        <w:rPr>
          <w:rFonts w:ascii="Arial" w:hAnsi="Arial" w:cs="Arial"/>
          <w:bCs/>
          <w:sz w:val="24"/>
          <w:szCs w:val="24"/>
        </w:rPr>
        <w:t xml:space="preserve">1 of 2008 was meant for civil servants of certain categories who were legally qualified and rendered in-house legal services. </w:t>
      </w:r>
    </w:p>
    <w:p w14:paraId="63964E04" w14:textId="77777777" w:rsidR="00BD0DCF" w:rsidRPr="00D02B6C" w:rsidRDefault="00BD0DCF" w:rsidP="00BD0DCF">
      <w:pPr>
        <w:pStyle w:val="ListParagraph"/>
        <w:spacing w:line="360" w:lineRule="auto"/>
        <w:ind w:left="0"/>
        <w:jc w:val="both"/>
        <w:rPr>
          <w:rFonts w:ascii="Arial" w:hAnsi="Arial" w:cs="Arial"/>
          <w:bCs/>
        </w:rPr>
      </w:pPr>
    </w:p>
    <w:p w14:paraId="7A9923F8" w14:textId="2D9A650C" w:rsidR="007D150F" w:rsidRPr="00F928CF" w:rsidRDefault="007D150F" w:rsidP="00B354D9">
      <w:pPr>
        <w:pStyle w:val="ListParagraph"/>
        <w:numPr>
          <w:ilvl w:val="0"/>
          <w:numId w:val="1"/>
        </w:numPr>
        <w:spacing w:after="0" w:line="360" w:lineRule="auto"/>
        <w:ind w:left="0" w:firstLine="0"/>
        <w:jc w:val="both"/>
        <w:rPr>
          <w:rFonts w:ascii="Arial" w:hAnsi="Arial" w:cs="Arial"/>
          <w:bCs/>
          <w:sz w:val="24"/>
          <w:szCs w:val="24"/>
        </w:rPr>
      </w:pPr>
      <w:r w:rsidRPr="00F928CF">
        <w:rPr>
          <w:rFonts w:ascii="Arial" w:hAnsi="Arial" w:cs="Arial"/>
          <w:bCs/>
          <w:sz w:val="24"/>
          <w:szCs w:val="24"/>
        </w:rPr>
        <w:t xml:space="preserve">The OSD </w:t>
      </w:r>
      <w:r w:rsidR="00E3090A">
        <w:rPr>
          <w:rFonts w:ascii="Arial" w:hAnsi="Arial" w:cs="Arial"/>
          <w:bCs/>
          <w:sz w:val="24"/>
          <w:szCs w:val="24"/>
        </w:rPr>
        <w:t xml:space="preserve">provided for in </w:t>
      </w:r>
      <w:r w:rsidR="00027B35" w:rsidRPr="008E7D1C">
        <w:rPr>
          <w:rFonts w:ascii="Arial" w:hAnsi="Arial" w:cs="Arial"/>
          <w:bCs/>
          <w:sz w:val="24"/>
          <w:szCs w:val="24"/>
        </w:rPr>
        <w:t>GPSSBC</w:t>
      </w:r>
      <w:r w:rsidR="00027B35">
        <w:rPr>
          <w:rFonts w:ascii="Arial" w:hAnsi="Arial" w:cs="Arial"/>
          <w:bCs/>
          <w:sz w:val="24"/>
          <w:szCs w:val="24"/>
        </w:rPr>
        <w:t xml:space="preserve"> </w:t>
      </w:r>
      <w:r w:rsidR="00E3090A">
        <w:rPr>
          <w:rFonts w:ascii="Arial" w:hAnsi="Arial" w:cs="Arial"/>
          <w:bCs/>
          <w:sz w:val="24"/>
          <w:szCs w:val="24"/>
        </w:rPr>
        <w:t xml:space="preserve">Resolution 1 of 2008 </w:t>
      </w:r>
      <w:r w:rsidRPr="00F928CF">
        <w:rPr>
          <w:rFonts w:ascii="Arial" w:hAnsi="Arial" w:cs="Arial"/>
          <w:bCs/>
          <w:sz w:val="24"/>
          <w:szCs w:val="24"/>
        </w:rPr>
        <w:t xml:space="preserve">not only created a unique remuneration structure, but also </w:t>
      </w:r>
      <w:r w:rsidR="00FC0824">
        <w:rPr>
          <w:rFonts w:ascii="Arial" w:hAnsi="Arial" w:cs="Arial"/>
          <w:bCs/>
          <w:sz w:val="24"/>
          <w:szCs w:val="24"/>
        </w:rPr>
        <w:t xml:space="preserve">introduced </w:t>
      </w:r>
      <w:r w:rsidR="00971A6A">
        <w:rPr>
          <w:rFonts w:ascii="Arial" w:hAnsi="Arial" w:cs="Arial"/>
          <w:bCs/>
          <w:sz w:val="24"/>
          <w:szCs w:val="24"/>
        </w:rPr>
        <w:t xml:space="preserve">different </w:t>
      </w:r>
      <w:r w:rsidRPr="00F928CF">
        <w:rPr>
          <w:rFonts w:ascii="Arial" w:hAnsi="Arial" w:cs="Arial"/>
          <w:bCs/>
          <w:sz w:val="24"/>
          <w:szCs w:val="24"/>
        </w:rPr>
        <w:t xml:space="preserve">career streams. </w:t>
      </w:r>
      <w:r w:rsidR="00FC0824">
        <w:rPr>
          <w:rFonts w:ascii="Arial" w:hAnsi="Arial" w:cs="Arial"/>
          <w:bCs/>
          <w:sz w:val="24"/>
          <w:szCs w:val="24"/>
        </w:rPr>
        <w:t>I</w:t>
      </w:r>
      <w:r w:rsidR="00971A6A">
        <w:rPr>
          <w:rFonts w:ascii="Arial" w:hAnsi="Arial" w:cs="Arial"/>
          <w:bCs/>
          <w:sz w:val="24"/>
          <w:szCs w:val="24"/>
        </w:rPr>
        <w:t xml:space="preserve">n order </w:t>
      </w:r>
      <w:r w:rsidR="00971A6A">
        <w:rPr>
          <w:rFonts w:ascii="Arial" w:hAnsi="Arial" w:cs="Arial"/>
          <w:bCs/>
          <w:sz w:val="24"/>
          <w:szCs w:val="24"/>
        </w:rPr>
        <w:lastRenderedPageBreak/>
        <w:t xml:space="preserve">to enhance career pathing, it introduced </w:t>
      </w:r>
      <w:r w:rsidR="00971912">
        <w:rPr>
          <w:rFonts w:ascii="Arial" w:hAnsi="Arial" w:cs="Arial"/>
          <w:bCs/>
          <w:sz w:val="24"/>
          <w:szCs w:val="24"/>
        </w:rPr>
        <w:t>the following</w:t>
      </w:r>
      <w:r w:rsidR="00971A6A">
        <w:rPr>
          <w:rFonts w:ascii="Arial" w:hAnsi="Arial" w:cs="Arial"/>
          <w:bCs/>
          <w:sz w:val="24"/>
          <w:szCs w:val="24"/>
        </w:rPr>
        <w:t xml:space="preserve"> work streams</w:t>
      </w:r>
      <w:r w:rsidR="0051767F">
        <w:rPr>
          <w:rFonts w:ascii="Arial" w:hAnsi="Arial" w:cs="Arial"/>
          <w:bCs/>
          <w:sz w:val="24"/>
          <w:szCs w:val="24"/>
        </w:rPr>
        <w:t xml:space="preserve">: </w:t>
      </w:r>
      <w:r w:rsidR="00971912">
        <w:rPr>
          <w:rFonts w:ascii="Arial" w:hAnsi="Arial" w:cs="Arial"/>
          <w:bCs/>
          <w:sz w:val="24"/>
          <w:szCs w:val="24"/>
        </w:rPr>
        <w:t xml:space="preserve">training </w:t>
      </w:r>
      <w:r w:rsidR="00971912" w:rsidRPr="00F928CF">
        <w:rPr>
          <w:rFonts w:ascii="Arial" w:hAnsi="Arial" w:cs="Arial"/>
          <w:bCs/>
          <w:sz w:val="24"/>
          <w:szCs w:val="24"/>
        </w:rPr>
        <w:t xml:space="preserve">(LP1 to LP2); </w:t>
      </w:r>
      <w:r w:rsidR="0051767F">
        <w:rPr>
          <w:rFonts w:ascii="Arial" w:hAnsi="Arial" w:cs="Arial"/>
          <w:bCs/>
          <w:sz w:val="24"/>
          <w:szCs w:val="24"/>
        </w:rPr>
        <w:t>entry level production</w:t>
      </w:r>
      <w:r w:rsidR="000A5865">
        <w:rPr>
          <w:rFonts w:ascii="Arial" w:hAnsi="Arial" w:cs="Arial"/>
          <w:bCs/>
          <w:sz w:val="24"/>
          <w:szCs w:val="24"/>
        </w:rPr>
        <w:t xml:space="preserve"> </w:t>
      </w:r>
      <w:r w:rsidR="000A5865" w:rsidRPr="00F928CF">
        <w:rPr>
          <w:rFonts w:ascii="Arial" w:hAnsi="Arial" w:cs="Arial"/>
          <w:bCs/>
          <w:sz w:val="24"/>
          <w:szCs w:val="24"/>
        </w:rPr>
        <w:t>(LP3 to LP8; EC1 to EC4 and MR1 to MR5</w:t>
      </w:r>
      <w:r w:rsidR="00AF44F9">
        <w:rPr>
          <w:rFonts w:ascii="Arial" w:hAnsi="Arial" w:cs="Arial"/>
          <w:bCs/>
          <w:sz w:val="24"/>
          <w:szCs w:val="24"/>
        </w:rPr>
        <w:t>)</w:t>
      </w:r>
      <w:r w:rsidR="0051767F">
        <w:rPr>
          <w:rFonts w:ascii="Arial" w:hAnsi="Arial" w:cs="Arial"/>
          <w:bCs/>
          <w:sz w:val="24"/>
          <w:szCs w:val="24"/>
        </w:rPr>
        <w:t>; advanced production level</w:t>
      </w:r>
      <w:r w:rsidR="005F57D5">
        <w:rPr>
          <w:rFonts w:ascii="Arial" w:hAnsi="Arial" w:cs="Arial"/>
          <w:bCs/>
          <w:sz w:val="24"/>
          <w:szCs w:val="24"/>
        </w:rPr>
        <w:t xml:space="preserve"> </w:t>
      </w:r>
      <w:r w:rsidR="005F57D5" w:rsidRPr="00F928CF">
        <w:rPr>
          <w:rFonts w:ascii="Arial" w:hAnsi="Arial" w:cs="Arial"/>
          <w:bCs/>
          <w:sz w:val="24"/>
          <w:szCs w:val="24"/>
        </w:rPr>
        <w:t>(LP5 to LP9)</w:t>
      </w:r>
      <w:r w:rsidR="0051767F">
        <w:rPr>
          <w:rFonts w:ascii="Arial" w:hAnsi="Arial" w:cs="Arial"/>
          <w:bCs/>
          <w:sz w:val="24"/>
          <w:szCs w:val="24"/>
        </w:rPr>
        <w:t xml:space="preserve">; specialist level </w:t>
      </w:r>
      <w:r w:rsidR="005F57D5">
        <w:rPr>
          <w:rFonts w:ascii="Arial" w:hAnsi="Arial" w:cs="Arial"/>
          <w:bCs/>
          <w:sz w:val="24"/>
          <w:szCs w:val="24"/>
        </w:rPr>
        <w:t>(</w:t>
      </w:r>
      <w:r w:rsidR="00A553AD">
        <w:rPr>
          <w:rFonts w:ascii="Arial" w:hAnsi="Arial" w:cs="Arial"/>
          <w:bCs/>
          <w:sz w:val="24"/>
          <w:szCs w:val="24"/>
        </w:rPr>
        <w:t>LP10)</w:t>
      </w:r>
      <w:r w:rsidR="00027B35" w:rsidRPr="008E7D1C">
        <w:rPr>
          <w:rFonts w:ascii="Arial" w:hAnsi="Arial" w:cs="Arial"/>
          <w:bCs/>
          <w:sz w:val="24"/>
          <w:szCs w:val="24"/>
        </w:rPr>
        <w:t>;</w:t>
      </w:r>
      <w:r w:rsidR="00A553AD" w:rsidRPr="008E7D1C">
        <w:rPr>
          <w:rFonts w:ascii="Arial" w:hAnsi="Arial" w:cs="Arial"/>
          <w:bCs/>
          <w:sz w:val="24"/>
          <w:szCs w:val="24"/>
        </w:rPr>
        <w:t xml:space="preserve"> </w:t>
      </w:r>
      <w:r w:rsidR="0051767F" w:rsidRPr="008E7D1C">
        <w:rPr>
          <w:rFonts w:ascii="Arial" w:hAnsi="Arial" w:cs="Arial"/>
          <w:bCs/>
          <w:sz w:val="24"/>
          <w:szCs w:val="24"/>
        </w:rPr>
        <w:t>and</w:t>
      </w:r>
      <w:r w:rsidR="0051767F">
        <w:rPr>
          <w:rFonts w:ascii="Arial" w:hAnsi="Arial" w:cs="Arial"/>
          <w:bCs/>
          <w:sz w:val="24"/>
          <w:szCs w:val="24"/>
        </w:rPr>
        <w:t xml:space="preserve"> supervisory level</w:t>
      </w:r>
      <w:r w:rsidR="00A553AD">
        <w:rPr>
          <w:rFonts w:ascii="Arial" w:hAnsi="Arial" w:cs="Arial"/>
          <w:bCs/>
          <w:sz w:val="24"/>
          <w:szCs w:val="24"/>
        </w:rPr>
        <w:t xml:space="preserve"> (MR</w:t>
      </w:r>
      <w:r w:rsidR="005F57D5">
        <w:rPr>
          <w:rFonts w:ascii="Arial" w:hAnsi="Arial" w:cs="Arial"/>
          <w:bCs/>
          <w:sz w:val="24"/>
          <w:szCs w:val="24"/>
        </w:rPr>
        <w:t>8)</w:t>
      </w:r>
      <w:r w:rsidR="0051767F">
        <w:rPr>
          <w:rFonts w:ascii="Arial" w:hAnsi="Arial" w:cs="Arial"/>
          <w:bCs/>
          <w:sz w:val="24"/>
          <w:szCs w:val="24"/>
        </w:rPr>
        <w:t xml:space="preserve">. </w:t>
      </w:r>
      <w:r w:rsidR="00D02B6C">
        <w:rPr>
          <w:rFonts w:ascii="Arial" w:hAnsi="Arial" w:cs="Arial"/>
          <w:bCs/>
          <w:sz w:val="24"/>
          <w:szCs w:val="24"/>
        </w:rPr>
        <w:t xml:space="preserve">     </w:t>
      </w:r>
      <w:r w:rsidR="001E2B2D">
        <w:rPr>
          <w:rFonts w:ascii="Arial" w:hAnsi="Arial" w:cs="Arial"/>
          <w:bCs/>
          <w:sz w:val="24"/>
          <w:szCs w:val="24"/>
        </w:rPr>
        <w:t xml:space="preserve">It was </w:t>
      </w:r>
      <w:r w:rsidR="00C66CAF">
        <w:rPr>
          <w:rFonts w:ascii="Arial" w:hAnsi="Arial" w:cs="Arial"/>
          <w:bCs/>
          <w:sz w:val="24"/>
          <w:szCs w:val="24"/>
        </w:rPr>
        <w:t xml:space="preserve">made </w:t>
      </w:r>
      <w:r w:rsidR="001E2B2D">
        <w:rPr>
          <w:rFonts w:ascii="Arial" w:hAnsi="Arial" w:cs="Arial"/>
          <w:bCs/>
          <w:sz w:val="24"/>
          <w:szCs w:val="24"/>
        </w:rPr>
        <w:t>clear t</w:t>
      </w:r>
      <w:r w:rsidR="00C66CAF">
        <w:rPr>
          <w:rFonts w:ascii="Arial" w:hAnsi="Arial" w:cs="Arial"/>
          <w:bCs/>
          <w:sz w:val="24"/>
          <w:szCs w:val="24"/>
        </w:rPr>
        <w:t xml:space="preserve">hat in relation to the production specialist stream, </w:t>
      </w:r>
      <w:r w:rsidR="00390DC3">
        <w:rPr>
          <w:rFonts w:ascii="Arial" w:hAnsi="Arial" w:cs="Arial"/>
          <w:bCs/>
          <w:sz w:val="24"/>
          <w:szCs w:val="24"/>
        </w:rPr>
        <w:t xml:space="preserve">the number of posts created would be subject to norms </w:t>
      </w:r>
      <w:r w:rsidR="00420121">
        <w:rPr>
          <w:rFonts w:ascii="Arial" w:hAnsi="Arial" w:cs="Arial"/>
          <w:bCs/>
          <w:sz w:val="24"/>
          <w:szCs w:val="24"/>
        </w:rPr>
        <w:t xml:space="preserve">to be determined by the Departments. </w:t>
      </w:r>
      <w:r w:rsidR="00AF44F9">
        <w:rPr>
          <w:rFonts w:ascii="Arial" w:hAnsi="Arial" w:cs="Arial"/>
          <w:bCs/>
          <w:sz w:val="24"/>
          <w:szCs w:val="24"/>
        </w:rPr>
        <w:t xml:space="preserve">GPSSBC </w:t>
      </w:r>
      <w:r w:rsidRPr="00F928CF">
        <w:rPr>
          <w:rFonts w:ascii="Arial" w:hAnsi="Arial" w:cs="Arial"/>
          <w:bCs/>
          <w:sz w:val="24"/>
          <w:szCs w:val="24"/>
        </w:rPr>
        <w:t xml:space="preserve">Resolution 1 of 2008 </w:t>
      </w:r>
      <w:r w:rsidR="0004013C">
        <w:rPr>
          <w:rFonts w:ascii="Arial" w:hAnsi="Arial" w:cs="Arial"/>
          <w:bCs/>
          <w:sz w:val="24"/>
          <w:szCs w:val="24"/>
        </w:rPr>
        <w:t xml:space="preserve">further </w:t>
      </w:r>
      <w:r w:rsidRPr="00F928CF">
        <w:rPr>
          <w:rFonts w:ascii="Arial" w:hAnsi="Arial" w:cs="Arial"/>
          <w:bCs/>
          <w:sz w:val="24"/>
          <w:szCs w:val="24"/>
        </w:rPr>
        <w:t>stipulate</w:t>
      </w:r>
      <w:r w:rsidR="0004013C">
        <w:rPr>
          <w:rFonts w:ascii="Arial" w:hAnsi="Arial" w:cs="Arial"/>
          <w:bCs/>
          <w:sz w:val="24"/>
          <w:szCs w:val="24"/>
        </w:rPr>
        <w:t>d</w:t>
      </w:r>
      <w:r w:rsidRPr="00F928CF">
        <w:rPr>
          <w:rFonts w:ascii="Arial" w:hAnsi="Arial" w:cs="Arial"/>
          <w:bCs/>
          <w:sz w:val="24"/>
          <w:szCs w:val="24"/>
        </w:rPr>
        <w:t xml:space="preserve"> that a dispute resolution mechanism in terms of which any dispute about the interpretation or application of that collective agreement was to be referred to the Bargaining Council</w:t>
      </w:r>
      <w:r>
        <w:rPr>
          <w:rStyle w:val="FootnoteReference"/>
          <w:rFonts w:ascii="Arial" w:hAnsi="Arial" w:cs="Arial"/>
          <w:bCs/>
          <w:sz w:val="24"/>
          <w:szCs w:val="24"/>
        </w:rPr>
        <w:footnoteReference w:id="2"/>
      </w:r>
      <w:r w:rsidRPr="00F928CF">
        <w:rPr>
          <w:rFonts w:ascii="Arial" w:hAnsi="Arial" w:cs="Arial"/>
          <w:bCs/>
          <w:sz w:val="24"/>
          <w:szCs w:val="24"/>
        </w:rPr>
        <w:t xml:space="preserve"> for resolution.</w:t>
      </w:r>
    </w:p>
    <w:p w14:paraId="6005E62A" w14:textId="77777777" w:rsidR="007D150F" w:rsidRPr="00D02B6C" w:rsidRDefault="007D150F" w:rsidP="00B354D9">
      <w:pPr>
        <w:pStyle w:val="ListParagraph"/>
        <w:spacing w:after="0"/>
        <w:rPr>
          <w:rFonts w:ascii="Arial" w:hAnsi="Arial" w:cs="Arial"/>
          <w:bCs/>
        </w:rPr>
      </w:pPr>
    </w:p>
    <w:p w14:paraId="60DBCF5B" w14:textId="23F9A57B" w:rsidR="00B7099F" w:rsidRPr="006E3F15" w:rsidRDefault="009E57A8" w:rsidP="008E7D1C">
      <w:pPr>
        <w:pStyle w:val="ListParagraph"/>
        <w:numPr>
          <w:ilvl w:val="0"/>
          <w:numId w:val="1"/>
        </w:numPr>
        <w:spacing w:after="0" w:line="360" w:lineRule="auto"/>
        <w:ind w:left="0" w:firstLine="0"/>
        <w:jc w:val="both"/>
        <w:rPr>
          <w:rFonts w:ascii="Arial" w:hAnsi="Arial" w:cs="Arial"/>
          <w:bCs/>
          <w:sz w:val="24"/>
          <w:szCs w:val="24"/>
        </w:rPr>
      </w:pPr>
      <w:r>
        <w:rPr>
          <w:rFonts w:ascii="Arial" w:hAnsi="Arial" w:cs="Arial"/>
          <w:bCs/>
          <w:sz w:val="24"/>
          <w:szCs w:val="24"/>
        </w:rPr>
        <w:t>O</w:t>
      </w:r>
      <w:r w:rsidR="00145E63" w:rsidRPr="00955FC6">
        <w:rPr>
          <w:rFonts w:ascii="Arial" w:hAnsi="Arial" w:cs="Arial"/>
          <w:bCs/>
          <w:sz w:val="24"/>
          <w:szCs w:val="24"/>
        </w:rPr>
        <w:t xml:space="preserve">n </w:t>
      </w:r>
      <w:r w:rsidR="008A6D19" w:rsidRPr="00955FC6">
        <w:rPr>
          <w:rFonts w:ascii="Arial" w:hAnsi="Arial" w:cs="Arial"/>
          <w:bCs/>
          <w:sz w:val="24"/>
          <w:szCs w:val="24"/>
        </w:rPr>
        <w:t xml:space="preserve">14 February </w:t>
      </w:r>
      <w:r w:rsidR="00145E63" w:rsidRPr="00955FC6">
        <w:rPr>
          <w:rFonts w:ascii="Arial" w:hAnsi="Arial" w:cs="Arial"/>
          <w:bCs/>
          <w:sz w:val="24"/>
          <w:szCs w:val="24"/>
        </w:rPr>
        <w:t>2008, the Minister</w:t>
      </w:r>
      <w:r w:rsidR="00631607">
        <w:rPr>
          <w:rFonts w:ascii="Arial" w:hAnsi="Arial" w:cs="Arial"/>
          <w:bCs/>
          <w:sz w:val="24"/>
          <w:szCs w:val="24"/>
        </w:rPr>
        <w:t xml:space="preserve">, </w:t>
      </w:r>
      <w:r w:rsidR="00631607" w:rsidRPr="00955FC6">
        <w:rPr>
          <w:rFonts w:ascii="Arial" w:hAnsi="Arial" w:cs="Arial"/>
          <w:bCs/>
          <w:sz w:val="24"/>
          <w:szCs w:val="24"/>
        </w:rPr>
        <w:t xml:space="preserve">in contemplation of s 18(1) of the </w:t>
      </w:r>
      <w:r w:rsidR="006E3F15" w:rsidRPr="008E7D1C">
        <w:rPr>
          <w:rFonts w:ascii="Arial" w:hAnsi="Arial" w:cs="Arial"/>
          <w:bCs/>
          <w:sz w:val="24"/>
          <w:szCs w:val="24"/>
        </w:rPr>
        <w:t>National</w:t>
      </w:r>
      <w:r w:rsidR="006E3F15" w:rsidRPr="008E7D1C">
        <w:rPr>
          <w:rFonts w:ascii="Arial" w:hAnsi="Arial" w:cs="Arial"/>
          <w:bCs/>
          <w:sz w:val="24"/>
          <w:szCs w:val="24"/>
          <w:highlight w:val="red"/>
        </w:rPr>
        <w:t xml:space="preserve"> </w:t>
      </w:r>
      <w:r w:rsidR="006E3F15" w:rsidRPr="008E7D1C">
        <w:rPr>
          <w:rFonts w:ascii="Arial" w:hAnsi="Arial" w:cs="Arial"/>
          <w:bCs/>
          <w:sz w:val="24"/>
          <w:szCs w:val="24"/>
        </w:rPr>
        <w:t>Prosecuting Authority Act 32 of 1998</w:t>
      </w:r>
      <w:r w:rsidR="006E3F15" w:rsidRPr="006E3F15">
        <w:rPr>
          <w:rFonts w:ascii="Arial" w:hAnsi="Arial" w:cs="Arial"/>
          <w:bCs/>
          <w:sz w:val="24"/>
          <w:szCs w:val="24"/>
        </w:rPr>
        <w:t xml:space="preserve"> (</w:t>
      </w:r>
      <w:r w:rsidR="00631607" w:rsidRPr="006E3F15">
        <w:rPr>
          <w:rFonts w:ascii="Arial" w:hAnsi="Arial" w:cs="Arial"/>
          <w:bCs/>
          <w:sz w:val="24"/>
          <w:szCs w:val="24"/>
        </w:rPr>
        <w:t>NPA Act</w:t>
      </w:r>
      <w:r w:rsidR="006E3F15" w:rsidRPr="006E3F15">
        <w:rPr>
          <w:rFonts w:ascii="Arial" w:hAnsi="Arial" w:cs="Arial"/>
          <w:bCs/>
          <w:sz w:val="24"/>
          <w:szCs w:val="24"/>
        </w:rPr>
        <w:t>)</w:t>
      </w:r>
      <w:r w:rsidR="00631607" w:rsidRPr="006E3F15">
        <w:rPr>
          <w:rFonts w:ascii="Arial" w:hAnsi="Arial" w:cs="Arial"/>
          <w:bCs/>
          <w:sz w:val="24"/>
          <w:szCs w:val="24"/>
        </w:rPr>
        <w:t>,</w:t>
      </w:r>
      <w:r w:rsidR="00145E63" w:rsidRPr="006E3F15">
        <w:rPr>
          <w:rFonts w:ascii="Arial" w:hAnsi="Arial" w:cs="Arial"/>
          <w:bCs/>
          <w:sz w:val="24"/>
          <w:szCs w:val="24"/>
        </w:rPr>
        <w:t xml:space="preserve"> issued a determination pertaining to the </w:t>
      </w:r>
      <w:r w:rsidR="00A34C16" w:rsidRPr="006E3F15">
        <w:rPr>
          <w:rFonts w:ascii="Arial" w:hAnsi="Arial" w:cs="Arial"/>
          <w:bCs/>
          <w:sz w:val="24"/>
          <w:szCs w:val="24"/>
        </w:rPr>
        <w:t xml:space="preserve">revised </w:t>
      </w:r>
      <w:r w:rsidR="00145E63" w:rsidRPr="006E3F15">
        <w:rPr>
          <w:rFonts w:ascii="Arial" w:hAnsi="Arial" w:cs="Arial"/>
          <w:bCs/>
          <w:sz w:val="24"/>
          <w:szCs w:val="24"/>
        </w:rPr>
        <w:t>salaries</w:t>
      </w:r>
      <w:r w:rsidR="008A6D19" w:rsidRPr="006E3F15">
        <w:rPr>
          <w:rFonts w:ascii="Arial" w:hAnsi="Arial" w:cs="Arial"/>
          <w:bCs/>
          <w:sz w:val="24"/>
          <w:szCs w:val="24"/>
        </w:rPr>
        <w:t xml:space="preserve"> </w:t>
      </w:r>
      <w:r w:rsidR="00A34C16" w:rsidRPr="006E3F15">
        <w:rPr>
          <w:rFonts w:ascii="Arial" w:hAnsi="Arial" w:cs="Arial"/>
          <w:bCs/>
          <w:sz w:val="24"/>
          <w:szCs w:val="24"/>
        </w:rPr>
        <w:t>f</w:t>
      </w:r>
      <w:r w:rsidR="008A6D19" w:rsidRPr="006E3F15">
        <w:rPr>
          <w:rFonts w:ascii="Arial" w:hAnsi="Arial" w:cs="Arial"/>
          <w:bCs/>
          <w:sz w:val="24"/>
          <w:szCs w:val="24"/>
        </w:rPr>
        <w:t>o</w:t>
      </w:r>
      <w:r w:rsidR="00A34C16" w:rsidRPr="006E3F15">
        <w:rPr>
          <w:rFonts w:ascii="Arial" w:hAnsi="Arial" w:cs="Arial"/>
          <w:bCs/>
          <w:sz w:val="24"/>
          <w:szCs w:val="24"/>
        </w:rPr>
        <w:t>r DDPP</w:t>
      </w:r>
      <w:r w:rsidR="00ED2F39" w:rsidRPr="008E7D1C">
        <w:rPr>
          <w:rFonts w:ascii="Arial" w:hAnsi="Arial" w:cs="Arial"/>
          <w:bCs/>
          <w:sz w:val="24"/>
          <w:szCs w:val="24"/>
        </w:rPr>
        <w:t>s</w:t>
      </w:r>
      <w:r w:rsidR="00A34C16" w:rsidRPr="006E3F15">
        <w:rPr>
          <w:rFonts w:ascii="Arial" w:hAnsi="Arial" w:cs="Arial"/>
          <w:bCs/>
          <w:sz w:val="24"/>
          <w:szCs w:val="24"/>
        </w:rPr>
        <w:t xml:space="preserve">, CPs and </w:t>
      </w:r>
      <w:r w:rsidR="00FA4B9A" w:rsidRPr="006E3F15">
        <w:rPr>
          <w:rFonts w:ascii="Arial" w:hAnsi="Arial" w:cs="Arial"/>
          <w:bCs/>
          <w:sz w:val="24"/>
          <w:szCs w:val="24"/>
        </w:rPr>
        <w:t>Chief Specialist Investigators.</w:t>
      </w:r>
      <w:r w:rsidR="00FA4B9A">
        <w:rPr>
          <w:rStyle w:val="FootnoteReference"/>
          <w:rFonts w:ascii="Arial" w:hAnsi="Arial" w:cs="Arial"/>
          <w:bCs/>
          <w:sz w:val="24"/>
          <w:szCs w:val="24"/>
        </w:rPr>
        <w:footnoteReference w:id="3"/>
      </w:r>
      <w:r w:rsidR="00FA4B9A" w:rsidRPr="006E3F15">
        <w:rPr>
          <w:rFonts w:ascii="Arial" w:hAnsi="Arial" w:cs="Arial"/>
          <w:bCs/>
          <w:sz w:val="24"/>
          <w:szCs w:val="24"/>
        </w:rPr>
        <w:t xml:space="preserve"> </w:t>
      </w:r>
      <w:r w:rsidR="001A1439" w:rsidRPr="006E3F15">
        <w:rPr>
          <w:rFonts w:ascii="Arial" w:hAnsi="Arial" w:cs="Arial"/>
          <w:bCs/>
          <w:sz w:val="24"/>
          <w:szCs w:val="24"/>
        </w:rPr>
        <w:t xml:space="preserve">No mention of </w:t>
      </w:r>
      <w:r w:rsidR="00ED2F39" w:rsidRPr="008E7D1C">
        <w:rPr>
          <w:rFonts w:ascii="Arial" w:hAnsi="Arial" w:cs="Arial"/>
          <w:bCs/>
          <w:sz w:val="24"/>
          <w:szCs w:val="24"/>
        </w:rPr>
        <w:t>the</w:t>
      </w:r>
      <w:r w:rsidR="00ED2F39">
        <w:rPr>
          <w:rFonts w:ascii="Arial" w:hAnsi="Arial" w:cs="Arial"/>
          <w:bCs/>
          <w:sz w:val="24"/>
          <w:szCs w:val="24"/>
        </w:rPr>
        <w:t xml:space="preserve"> </w:t>
      </w:r>
      <w:r w:rsidR="001A1439" w:rsidRPr="006E3F15">
        <w:rPr>
          <w:rFonts w:ascii="Arial" w:hAnsi="Arial" w:cs="Arial"/>
          <w:bCs/>
          <w:sz w:val="24"/>
          <w:szCs w:val="24"/>
        </w:rPr>
        <w:t>OSD was made in that determination</w:t>
      </w:r>
      <w:r w:rsidR="00631607" w:rsidRPr="006E3F15">
        <w:rPr>
          <w:rFonts w:ascii="Arial" w:hAnsi="Arial" w:cs="Arial"/>
          <w:bCs/>
          <w:sz w:val="24"/>
          <w:szCs w:val="24"/>
        </w:rPr>
        <w:t xml:space="preserve">. </w:t>
      </w:r>
      <w:r w:rsidR="00955FC6" w:rsidRPr="006E3F15">
        <w:rPr>
          <w:rFonts w:ascii="Arial" w:hAnsi="Arial" w:cs="Arial"/>
          <w:bCs/>
          <w:sz w:val="24"/>
          <w:szCs w:val="24"/>
        </w:rPr>
        <w:t>It is common cause that the DDPPs are appointed in terms of s 15 of the NPA Act</w:t>
      </w:r>
      <w:r w:rsidR="001A1439" w:rsidRPr="006E3F15">
        <w:rPr>
          <w:rFonts w:ascii="Arial" w:hAnsi="Arial" w:cs="Arial"/>
          <w:bCs/>
          <w:sz w:val="24"/>
          <w:szCs w:val="24"/>
        </w:rPr>
        <w:t xml:space="preserve"> and t</w:t>
      </w:r>
      <w:r w:rsidR="00955FC6" w:rsidRPr="006E3F15">
        <w:rPr>
          <w:rFonts w:ascii="Arial" w:hAnsi="Arial" w:cs="Arial"/>
          <w:bCs/>
          <w:sz w:val="24"/>
          <w:szCs w:val="24"/>
        </w:rPr>
        <w:t>hat t</w:t>
      </w:r>
      <w:r w:rsidR="00955FC6" w:rsidRPr="006E3F15">
        <w:rPr>
          <w:rFonts w:ascii="Arial" w:hAnsi="Arial" w:cs="Arial"/>
          <w:sz w:val="24"/>
          <w:szCs w:val="24"/>
        </w:rPr>
        <w:t xml:space="preserve">he NPA Act does not specifically deal with the appointment of CPs and Chief Specialist Investigators. </w:t>
      </w:r>
      <w:r w:rsidR="000224ED" w:rsidRPr="006E3F15">
        <w:rPr>
          <w:rFonts w:ascii="Arial" w:hAnsi="Arial" w:cs="Arial"/>
          <w:bCs/>
          <w:sz w:val="24"/>
          <w:szCs w:val="24"/>
        </w:rPr>
        <w:t>Section 18(1) provides</w:t>
      </w:r>
      <w:r w:rsidR="002137B7" w:rsidRPr="006E3F15">
        <w:rPr>
          <w:rFonts w:ascii="Arial" w:hAnsi="Arial" w:cs="Arial"/>
          <w:bCs/>
          <w:sz w:val="24"/>
          <w:szCs w:val="24"/>
        </w:rPr>
        <w:t xml:space="preserve"> that the DDPPs and prosecutors shall be paid a salary in accordance with the scale determined, from time to time by notice in the government gazette, by the Minister, after consultation with the NDPP and the Minister for Public Service and Administration, with the concurrence of the Minister of Finance. Section 18(2) </w:t>
      </w:r>
      <w:r w:rsidR="00E677F4" w:rsidRPr="006E3F15">
        <w:rPr>
          <w:rFonts w:ascii="Arial" w:hAnsi="Arial" w:cs="Arial"/>
          <w:bCs/>
          <w:sz w:val="24"/>
          <w:szCs w:val="24"/>
        </w:rPr>
        <w:t xml:space="preserve">of the same Act </w:t>
      </w:r>
      <w:r w:rsidR="00BE14B8" w:rsidRPr="006E3F15">
        <w:rPr>
          <w:rFonts w:ascii="Arial" w:hAnsi="Arial" w:cs="Arial"/>
          <w:bCs/>
          <w:sz w:val="24"/>
          <w:szCs w:val="24"/>
        </w:rPr>
        <w:t xml:space="preserve">stipulates that </w:t>
      </w:r>
      <w:r w:rsidR="005F0ADE" w:rsidRPr="006E3F15">
        <w:rPr>
          <w:rFonts w:ascii="Arial" w:hAnsi="Arial" w:cs="Arial"/>
          <w:bCs/>
          <w:sz w:val="24"/>
          <w:szCs w:val="24"/>
        </w:rPr>
        <w:t>‘</w:t>
      </w:r>
      <w:r w:rsidR="002137B7" w:rsidRPr="006E3F15">
        <w:rPr>
          <w:rFonts w:ascii="Arial" w:hAnsi="Arial" w:cs="Arial"/>
          <w:bCs/>
          <w:sz w:val="24"/>
          <w:szCs w:val="24"/>
        </w:rPr>
        <w:t xml:space="preserve">different categories of salaries and salary scales may be determined in respect of different categories of </w:t>
      </w:r>
      <w:r w:rsidR="005F0ADE" w:rsidRPr="006E3F15">
        <w:rPr>
          <w:rFonts w:ascii="Arial" w:hAnsi="Arial" w:cs="Arial"/>
          <w:bCs/>
          <w:sz w:val="24"/>
          <w:szCs w:val="24"/>
        </w:rPr>
        <w:t>[</w:t>
      </w:r>
      <w:r w:rsidR="002137B7" w:rsidRPr="006E3F15">
        <w:rPr>
          <w:rFonts w:ascii="Arial" w:hAnsi="Arial" w:cs="Arial"/>
          <w:bCs/>
          <w:sz w:val="24"/>
          <w:szCs w:val="24"/>
        </w:rPr>
        <w:t>DDPPs</w:t>
      </w:r>
      <w:r w:rsidR="005F0ADE" w:rsidRPr="006E3F15">
        <w:rPr>
          <w:rFonts w:ascii="Arial" w:hAnsi="Arial" w:cs="Arial"/>
          <w:bCs/>
          <w:sz w:val="24"/>
          <w:szCs w:val="24"/>
        </w:rPr>
        <w:t>]</w:t>
      </w:r>
      <w:r w:rsidR="002137B7" w:rsidRPr="006E3F15">
        <w:rPr>
          <w:rFonts w:ascii="Arial" w:hAnsi="Arial" w:cs="Arial"/>
          <w:bCs/>
          <w:sz w:val="24"/>
          <w:szCs w:val="24"/>
        </w:rPr>
        <w:t xml:space="preserve"> and prosecutors</w:t>
      </w:r>
      <w:r w:rsidR="00AF44F9" w:rsidRPr="006E3F15">
        <w:rPr>
          <w:rFonts w:ascii="Arial" w:hAnsi="Arial" w:cs="Arial"/>
          <w:bCs/>
          <w:sz w:val="24"/>
          <w:szCs w:val="24"/>
        </w:rPr>
        <w:t>’</w:t>
      </w:r>
      <w:r w:rsidR="002137B7" w:rsidRPr="006E3F15">
        <w:rPr>
          <w:rFonts w:ascii="Arial" w:hAnsi="Arial" w:cs="Arial"/>
          <w:bCs/>
          <w:sz w:val="24"/>
          <w:szCs w:val="24"/>
        </w:rPr>
        <w:t xml:space="preserve">. </w:t>
      </w:r>
    </w:p>
    <w:p w14:paraId="2DEA9A1E" w14:textId="77777777" w:rsidR="00631607" w:rsidRPr="00D02B6C" w:rsidRDefault="00631607" w:rsidP="00B354D9">
      <w:pPr>
        <w:pStyle w:val="ListParagraph"/>
        <w:spacing w:after="0" w:line="360" w:lineRule="auto"/>
        <w:ind w:left="0"/>
        <w:jc w:val="both"/>
        <w:rPr>
          <w:rFonts w:ascii="Arial" w:hAnsi="Arial" w:cs="Arial"/>
          <w:bCs/>
        </w:rPr>
      </w:pPr>
    </w:p>
    <w:p w14:paraId="255C7071" w14:textId="7384B283" w:rsidR="007D150F" w:rsidRPr="00F76C78" w:rsidRDefault="00605553" w:rsidP="00D02B6C">
      <w:pPr>
        <w:pStyle w:val="ListParagraph"/>
        <w:numPr>
          <w:ilvl w:val="0"/>
          <w:numId w:val="1"/>
        </w:numPr>
        <w:spacing w:after="0" w:line="360" w:lineRule="auto"/>
        <w:ind w:left="0" w:firstLine="0"/>
        <w:jc w:val="both"/>
        <w:rPr>
          <w:rFonts w:ascii="Arial" w:hAnsi="Arial" w:cs="Arial"/>
          <w:bCs/>
          <w:sz w:val="24"/>
          <w:szCs w:val="24"/>
        </w:rPr>
      </w:pPr>
      <w:r w:rsidRPr="00B56C11">
        <w:rPr>
          <w:rFonts w:ascii="Arial" w:hAnsi="Arial" w:cs="Arial"/>
          <w:bCs/>
          <w:sz w:val="24"/>
          <w:szCs w:val="24"/>
        </w:rPr>
        <w:t>O</w:t>
      </w:r>
      <w:r w:rsidR="00D0394F" w:rsidRPr="00B56C11">
        <w:rPr>
          <w:rFonts w:ascii="Arial" w:hAnsi="Arial" w:cs="Arial"/>
          <w:bCs/>
          <w:sz w:val="24"/>
          <w:szCs w:val="24"/>
        </w:rPr>
        <w:t>n 7 October 2008, the Minister</w:t>
      </w:r>
      <w:r w:rsidR="00A32E12" w:rsidRPr="00B56C11">
        <w:rPr>
          <w:rFonts w:ascii="Arial" w:hAnsi="Arial" w:cs="Arial"/>
          <w:bCs/>
          <w:sz w:val="24"/>
          <w:szCs w:val="24"/>
        </w:rPr>
        <w:t xml:space="preserve">, </w:t>
      </w:r>
      <w:r w:rsidR="00980EE4">
        <w:rPr>
          <w:rFonts w:ascii="Arial" w:hAnsi="Arial" w:cs="Arial"/>
          <w:bCs/>
          <w:sz w:val="24"/>
          <w:szCs w:val="24"/>
        </w:rPr>
        <w:t xml:space="preserve">acting in terms </w:t>
      </w:r>
      <w:r w:rsidR="00A32E12" w:rsidRPr="00B56C11">
        <w:rPr>
          <w:rFonts w:ascii="Arial" w:hAnsi="Arial" w:cs="Arial"/>
          <w:bCs/>
          <w:sz w:val="24"/>
          <w:szCs w:val="24"/>
        </w:rPr>
        <w:t xml:space="preserve">of </w:t>
      </w:r>
      <w:r w:rsidR="003876DD" w:rsidRPr="00B56C11">
        <w:rPr>
          <w:rFonts w:ascii="Arial" w:hAnsi="Arial" w:cs="Arial"/>
          <w:bCs/>
          <w:sz w:val="24"/>
          <w:szCs w:val="24"/>
        </w:rPr>
        <w:t>s</w:t>
      </w:r>
      <w:r w:rsidR="00A32E12" w:rsidRPr="00B56C11">
        <w:rPr>
          <w:rFonts w:ascii="Arial" w:hAnsi="Arial" w:cs="Arial"/>
          <w:bCs/>
          <w:sz w:val="24"/>
          <w:szCs w:val="24"/>
        </w:rPr>
        <w:t xml:space="preserve"> 18(1) of the </w:t>
      </w:r>
      <w:r w:rsidR="00AE4923" w:rsidRPr="00B56C11">
        <w:rPr>
          <w:rFonts w:ascii="Arial" w:hAnsi="Arial" w:cs="Arial"/>
          <w:bCs/>
          <w:sz w:val="24"/>
          <w:szCs w:val="24"/>
        </w:rPr>
        <w:t>NPA Act,</w:t>
      </w:r>
      <w:r w:rsidR="00D0394F" w:rsidRPr="00B56C11">
        <w:rPr>
          <w:rFonts w:ascii="Arial" w:hAnsi="Arial" w:cs="Arial"/>
          <w:bCs/>
          <w:sz w:val="24"/>
          <w:szCs w:val="24"/>
        </w:rPr>
        <w:t xml:space="preserve"> determined a first phase translation </w:t>
      </w:r>
      <w:r w:rsidR="004B1166" w:rsidRPr="00B56C11">
        <w:rPr>
          <w:rFonts w:ascii="Arial" w:hAnsi="Arial" w:cs="Arial"/>
          <w:bCs/>
          <w:sz w:val="24"/>
          <w:szCs w:val="24"/>
        </w:rPr>
        <w:t xml:space="preserve">(on the same basis as provided for </w:t>
      </w:r>
      <w:r w:rsidR="00A57BC4" w:rsidRPr="00B56C11">
        <w:rPr>
          <w:rFonts w:ascii="Arial" w:hAnsi="Arial" w:cs="Arial"/>
          <w:bCs/>
          <w:sz w:val="24"/>
          <w:szCs w:val="24"/>
        </w:rPr>
        <w:t xml:space="preserve">in </w:t>
      </w:r>
      <w:r w:rsidR="004B1166" w:rsidRPr="00B56C11">
        <w:rPr>
          <w:rFonts w:ascii="Arial" w:hAnsi="Arial" w:cs="Arial"/>
          <w:bCs/>
          <w:sz w:val="24"/>
          <w:szCs w:val="24"/>
        </w:rPr>
        <w:t xml:space="preserve">the OSD </w:t>
      </w:r>
      <w:r w:rsidR="00224AB7" w:rsidRPr="00B56C11">
        <w:rPr>
          <w:rFonts w:ascii="Arial" w:hAnsi="Arial" w:cs="Arial"/>
          <w:bCs/>
          <w:sz w:val="24"/>
          <w:szCs w:val="24"/>
        </w:rPr>
        <w:t xml:space="preserve">for legally qualified professionals as per GPSSBC Resolution 1 of 2008) </w:t>
      </w:r>
      <w:r w:rsidR="00221634" w:rsidRPr="00B56C11">
        <w:rPr>
          <w:rFonts w:ascii="Arial" w:hAnsi="Arial" w:cs="Arial"/>
          <w:bCs/>
          <w:sz w:val="24"/>
          <w:szCs w:val="24"/>
        </w:rPr>
        <w:t xml:space="preserve">and </w:t>
      </w:r>
      <w:r w:rsidR="00A57BC4" w:rsidRPr="00B56C11">
        <w:rPr>
          <w:rFonts w:ascii="Arial" w:hAnsi="Arial" w:cs="Arial"/>
          <w:bCs/>
          <w:sz w:val="24"/>
          <w:szCs w:val="24"/>
        </w:rPr>
        <w:t>setting out new salary ranges</w:t>
      </w:r>
      <w:r w:rsidR="00221634" w:rsidRPr="00B56C11">
        <w:rPr>
          <w:rFonts w:ascii="Arial" w:hAnsi="Arial" w:cs="Arial"/>
          <w:bCs/>
          <w:sz w:val="24"/>
          <w:szCs w:val="24"/>
        </w:rPr>
        <w:t xml:space="preserve"> for prosecutors</w:t>
      </w:r>
      <w:r w:rsidR="004B5054" w:rsidRPr="00B56C11">
        <w:rPr>
          <w:rFonts w:ascii="Arial" w:hAnsi="Arial" w:cs="Arial"/>
          <w:bCs/>
          <w:sz w:val="24"/>
          <w:szCs w:val="24"/>
        </w:rPr>
        <w:t xml:space="preserve"> with effect from 1 July 2007</w:t>
      </w:r>
      <w:r w:rsidR="00221634" w:rsidRPr="00B56C11">
        <w:rPr>
          <w:rFonts w:ascii="Arial" w:hAnsi="Arial" w:cs="Arial"/>
          <w:bCs/>
          <w:sz w:val="24"/>
          <w:szCs w:val="24"/>
        </w:rPr>
        <w:t>.</w:t>
      </w:r>
      <w:r w:rsidR="00221634">
        <w:rPr>
          <w:rStyle w:val="FootnoteReference"/>
          <w:rFonts w:ascii="Arial" w:hAnsi="Arial" w:cs="Arial"/>
          <w:bCs/>
          <w:sz w:val="24"/>
          <w:szCs w:val="24"/>
        </w:rPr>
        <w:footnoteReference w:id="4"/>
      </w:r>
      <w:r w:rsidR="00221634" w:rsidRPr="00B56C11">
        <w:rPr>
          <w:rFonts w:ascii="Arial" w:hAnsi="Arial" w:cs="Arial"/>
          <w:bCs/>
          <w:sz w:val="24"/>
          <w:szCs w:val="24"/>
        </w:rPr>
        <w:t xml:space="preserve"> </w:t>
      </w:r>
      <w:r w:rsidR="00A32E12" w:rsidRPr="00B56C11">
        <w:rPr>
          <w:rFonts w:ascii="Arial" w:hAnsi="Arial" w:cs="Arial"/>
          <w:bCs/>
          <w:sz w:val="24"/>
          <w:szCs w:val="24"/>
        </w:rPr>
        <w:t>O</w:t>
      </w:r>
      <w:r w:rsidR="000C10F9" w:rsidRPr="00B56C11">
        <w:rPr>
          <w:rFonts w:ascii="Arial" w:hAnsi="Arial" w:cs="Arial"/>
          <w:bCs/>
          <w:sz w:val="24"/>
          <w:szCs w:val="24"/>
        </w:rPr>
        <w:t>n 2 December 2010</w:t>
      </w:r>
      <w:r w:rsidR="003B6490" w:rsidRPr="00B56C11">
        <w:rPr>
          <w:rFonts w:ascii="Arial" w:hAnsi="Arial" w:cs="Arial"/>
          <w:bCs/>
          <w:sz w:val="24"/>
          <w:szCs w:val="24"/>
        </w:rPr>
        <w:t>,</w:t>
      </w:r>
      <w:r w:rsidR="000C10F9" w:rsidRPr="00B56C11">
        <w:rPr>
          <w:rFonts w:ascii="Arial" w:hAnsi="Arial" w:cs="Arial"/>
          <w:bCs/>
          <w:sz w:val="24"/>
          <w:szCs w:val="24"/>
        </w:rPr>
        <w:t xml:space="preserve"> the Minister, within the contemplation of </w:t>
      </w:r>
      <w:r w:rsidR="00AE4923" w:rsidRPr="00B56C11">
        <w:rPr>
          <w:rFonts w:ascii="Arial" w:hAnsi="Arial" w:cs="Arial"/>
          <w:bCs/>
          <w:sz w:val="24"/>
          <w:szCs w:val="24"/>
        </w:rPr>
        <w:t>the same provision</w:t>
      </w:r>
      <w:r w:rsidR="007733EF" w:rsidRPr="00B56C11">
        <w:rPr>
          <w:rFonts w:ascii="Arial" w:hAnsi="Arial" w:cs="Arial"/>
          <w:bCs/>
          <w:sz w:val="24"/>
          <w:szCs w:val="24"/>
        </w:rPr>
        <w:t>,</w:t>
      </w:r>
      <w:r w:rsidR="00AE4923" w:rsidRPr="00B56C11">
        <w:rPr>
          <w:rFonts w:ascii="Arial" w:hAnsi="Arial" w:cs="Arial"/>
          <w:bCs/>
          <w:sz w:val="24"/>
          <w:szCs w:val="24"/>
        </w:rPr>
        <w:t xml:space="preserve"> </w:t>
      </w:r>
      <w:r w:rsidR="00B81D2E" w:rsidRPr="00B56C11">
        <w:rPr>
          <w:rFonts w:ascii="Arial" w:hAnsi="Arial" w:cs="Arial"/>
          <w:bCs/>
          <w:sz w:val="24"/>
          <w:szCs w:val="24"/>
        </w:rPr>
        <w:t xml:space="preserve">published a </w:t>
      </w:r>
      <w:r w:rsidR="00E93F5A">
        <w:rPr>
          <w:rFonts w:ascii="Arial" w:hAnsi="Arial" w:cs="Arial"/>
          <w:bCs/>
          <w:sz w:val="24"/>
          <w:szCs w:val="24"/>
        </w:rPr>
        <w:t xml:space="preserve">determination (the 2010 Determination) </w:t>
      </w:r>
      <w:r w:rsidR="0019787F">
        <w:rPr>
          <w:rFonts w:ascii="Arial" w:hAnsi="Arial" w:cs="Arial"/>
          <w:bCs/>
          <w:sz w:val="24"/>
          <w:szCs w:val="24"/>
        </w:rPr>
        <w:t xml:space="preserve">in terms of which he </w:t>
      </w:r>
      <w:r w:rsidR="004D631E">
        <w:rPr>
          <w:rFonts w:ascii="Arial" w:hAnsi="Arial" w:cs="Arial"/>
          <w:bCs/>
          <w:sz w:val="24"/>
          <w:szCs w:val="24"/>
        </w:rPr>
        <w:t xml:space="preserve">announced that </w:t>
      </w:r>
      <w:r w:rsidR="0063307A" w:rsidRPr="00B56C11">
        <w:rPr>
          <w:rFonts w:ascii="Arial" w:hAnsi="Arial" w:cs="Arial"/>
          <w:bCs/>
          <w:sz w:val="24"/>
          <w:szCs w:val="24"/>
        </w:rPr>
        <w:t>a second stage translation had been negotiated</w:t>
      </w:r>
      <w:r w:rsidR="00AA139D" w:rsidRPr="00B56C11">
        <w:rPr>
          <w:rFonts w:ascii="Arial" w:hAnsi="Arial" w:cs="Arial"/>
          <w:bCs/>
          <w:sz w:val="24"/>
          <w:szCs w:val="24"/>
        </w:rPr>
        <w:t xml:space="preserve"> and that </w:t>
      </w:r>
      <w:r w:rsidR="00CC46BA" w:rsidRPr="00B56C11">
        <w:rPr>
          <w:rFonts w:ascii="Arial" w:hAnsi="Arial" w:cs="Arial"/>
          <w:bCs/>
          <w:sz w:val="24"/>
          <w:szCs w:val="24"/>
        </w:rPr>
        <w:t xml:space="preserve">the determination of </w:t>
      </w:r>
      <w:r w:rsidR="00ED2F39" w:rsidRPr="008E7D1C">
        <w:rPr>
          <w:rFonts w:ascii="Arial" w:hAnsi="Arial" w:cs="Arial"/>
          <w:bCs/>
          <w:sz w:val="24"/>
          <w:szCs w:val="24"/>
        </w:rPr>
        <w:t>the</w:t>
      </w:r>
      <w:r w:rsidR="00ED2F39">
        <w:rPr>
          <w:rFonts w:ascii="Arial" w:hAnsi="Arial" w:cs="Arial"/>
          <w:bCs/>
          <w:sz w:val="24"/>
          <w:szCs w:val="24"/>
        </w:rPr>
        <w:t xml:space="preserve"> </w:t>
      </w:r>
      <w:r w:rsidR="00CC46BA" w:rsidRPr="00B56C11">
        <w:rPr>
          <w:rFonts w:ascii="Arial" w:hAnsi="Arial" w:cs="Arial"/>
          <w:bCs/>
          <w:sz w:val="24"/>
          <w:szCs w:val="24"/>
        </w:rPr>
        <w:t xml:space="preserve">OSD and </w:t>
      </w:r>
      <w:r w:rsidR="00212A3E" w:rsidRPr="00B56C11">
        <w:rPr>
          <w:rFonts w:ascii="Arial" w:hAnsi="Arial" w:cs="Arial"/>
          <w:bCs/>
          <w:sz w:val="24"/>
          <w:szCs w:val="24"/>
        </w:rPr>
        <w:t xml:space="preserve">second </w:t>
      </w:r>
      <w:r w:rsidR="00212A3E" w:rsidRPr="00B56C11">
        <w:rPr>
          <w:rFonts w:ascii="Arial" w:hAnsi="Arial" w:cs="Arial"/>
          <w:bCs/>
          <w:sz w:val="24"/>
          <w:szCs w:val="24"/>
        </w:rPr>
        <w:lastRenderedPageBreak/>
        <w:t>phase translation for prosecutors</w:t>
      </w:r>
      <w:r w:rsidR="0044694B" w:rsidRPr="00B56C11">
        <w:rPr>
          <w:rFonts w:ascii="Arial" w:hAnsi="Arial" w:cs="Arial"/>
          <w:bCs/>
          <w:sz w:val="24"/>
          <w:szCs w:val="24"/>
        </w:rPr>
        <w:t xml:space="preserve"> </w:t>
      </w:r>
      <w:r w:rsidR="00AA139D" w:rsidRPr="00B56C11">
        <w:rPr>
          <w:rFonts w:ascii="Arial" w:hAnsi="Arial" w:cs="Arial"/>
          <w:bCs/>
          <w:sz w:val="24"/>
          <w:szCs w:val="24"/>
        </w:rPr>
        <w:t xml:space="preserve">was </w:t>
      </w:r>
      <w:r w:rsidR="0044694B" w:rsidRPr="00B56C11">
        <w:rPr>
          <w:rFonts w:ascii="Arial" w:hAnsi="Arial" w:cs="Arial"/>
          <w:bCs/>
          <w:sz w:val="24"/>
          <w:szCs w:val="24"/>
        </w:rPr>
        <w:t xml:space="preserve">in line with the OSD </w:t>
      </w:r>
      <w:r w:rsidR="00FA7CB5" w:rsidRPr="00B56C11">
        <w:rPr>
          <w:rFonts w:ascii="Arial" w:hAnsi="Arial" w:cs="Arial"/>
          <w:bCs/>
          <w:sz w:val="24"/>
          <w:szCs w:val="24"/>
        </w:rPr>
        <w:t xml:space="preserve">determined in GPSSBC </w:t>
      </w:r>
      <w:r w:rsidR="005E6703" w:rsidRPr="00B56C11">
        <w:rPr>
          <w:rFonts w:ascii="Arial" w:hAnsi="Arial" w:cs="Arial"/>
          <w:bCs/>
          <w:sz w:val="24"/>
          <w:szCs w:val="24"/>
        </w:rPr>
        <w:t xml:space="preserve">Resolution </w:t>
      </w:r>
      <w:r w:rsidR="00FA7CB5" w:rsidRPr="00B56C11">
        <w:rPr>
          <w:rFonts w:ascii="Arial" w:hAnsi="Arial" w:cs="Arial"/>
          <w:bCs/>
          <w:sz w:val="24"/>
          <w:szCs w:val="24"/>
        </w:rPr>
        <w:t>1 of 2008</w:t>
      </w:r>
      <w:r w:rsidR="00025A30" w:rsidRPr="00B56C11">
        <w:rPr>
          <w:rFonts w:ascii="Arial" w:hAnsi="Arial" w:cs="Arial"/>
          <w:bCs/>
          <w:sz w:val="24"/>
          <w:szCs w:val="24"/>
        </w:rPr>
        <w:t>.</w:t>
      </w:r>
      <w:r w:rsidR="00A841BE">
        <w:rPr>
          <w:rStyle w:val="FootnoteReference"/>
          <w:rFonts w:ascii="Arial" w:hAnsi="Arial" w:cs="Arial"/>
          <w:bCs/>
          <w:sz w:val="24"/>
          <w:szCs w:val="24"/>
        </w:rPr>
        <w:footnoteReference w:id="5"/>
      </w:r>
      <w:r w:rsidR="00306F10" w:rsidRPr="00B56C11">
        <w:rPr>
          <w:rFonts w:ascii="Arial" w:hAnsi="Arial" w:cs="Arial"/>
          <w:bCs/>
          <w:sz w:val="24"/>
          <w:szCs w:val="24"/>
        </w:rPr>
        <w:t xml:space="preserve"> </w:t>
      </w:r>
      <w:r w:rsidR="00060497" w:rsidRPr="00B56C11">
        <w:rPr>
          <w:rFonts w:ascii="Arial" w:hAnsi="Arial" w:cs="Arial"/>
          <w:bCs/>
          <w:sz w:val="24"/>
          <w:szCs w:val="24"/>
        </w:rPr>
        <w:t xml:space="preserve">The 2010 Determination, as published in the government gazette, was couched as follows: </w:t>
      </w:r>
    </w:p>
    <w:p w14:paraId="3FAE67D8" w14:textId="4C65D87D" w:rsidR="00C6002A" w:rsidRPr="001704CD" w:rsidRDefault="00CE5ECA" w:rsidP="00C6002A">
      <w:pPr>
        <w:rPr>
          <w:rFonts w:ascii="Arial" w:hAnsi="Arial" w:cs="Arial"/>
          <w:bCs/>
        </w:rPr>
      </w:pPr>
      <w:r w:rsidRPr="001704CD">
        <w:rPr>
          <w:rFonts w:ascii="Arial" w:hAnsi="Arial" w:cs="Arial"/>
          <w:bCs/>
        </w:rPr>
        <w:t>‘DETERMINATION OF SALARIES OF PROSECUTORS UNDER SECTION 18(1) OF THE NATIONAL PROSECUTING ACT, 1998</w:t>
      </w:r>
    </w:p>
    <w:p w14:paraId="65BA85DD" w14:textId="61D6AF32" w:rsidR="00C6002A" w:rsidRPr="001704CD" w:rsidRDefault="00CE5ECA" w:rsidP="00C6002A">
      <w:pPr>
        <w:pStyle w:val="ListParagraph"/>
        <w:spacing w:line="360" w:lineRule="auto"/>
        <w:ind w:left="0"/>
        <w:jc w:val="both"/>
        <w:rPr>
          <w:rFonts w:ascii="Arial" w:hAnsi="Arial" w:cs="Arial"/>
          <w:bCs/>
        </w:rPr>
      </w:pPr>
      <w:r w:rsidRPr="001704CD">
        <w:rPr>
          <w:rFonts w:ascii="Arial" w:hAnsi="Arial" w:cs="Arial"/>
          <w:bCs/>
        </w:rPr>
        <w:t xml:space="preserve">WHEREAS the former Minister for Justice and Constitutional Development, as per </w:t>
      </w:r>
      <w:r w:rsidR="00744FAD" w:rsidRPr="001704CD">
        <w:rPr>
          <w:rFonts w:ascii="Arial" w:hAnsi="Arial" w:cs="Arial"/>
          <w:bCs/>
        </w:rPr>
        <w:t>Government Notice No 1088 published in Government Gazette No 31486 of 7 October 2008, determined as the first phase translation</w:t>
      </w:r>
      <w:r w:rsidR="005C59BA" w:rsidRPr="001704CD">
        <w:rPr>
          <w:rFonts w:ascii="Arial" w:hAnsi="Arial" w:cs="Arial"/>
          <w:bCs/>
        </w:rPr>
        <w:t xml:space="preserve">, </w:t>
      </w:r>
      <w:r w:rsidR="005C59BA" w:rsidRPr="00833486">
        <w:rPr>
          <w:rFonts w:ascii="Arial" w:hAnsi="Arial" w:cs="Arial"/>
          <w:bCs/>
          <w:i/>
          <w:iCs/>
        </w:rPr>
        <w:t>on the same basis as provided for</w:t>
      </w:r>
      <w:r w:rsidR="005C59BA" w:rsidRPr="001704CD">
        <w:rPr>
          <w:rFonts w:ascii="Arial" w:hAnsi="Arial" w:cs="Arial"/>
          <w:bCs/>
        </w:rPr>
        <w:t xml:space="preserve"> in the Occupation Specific Determination for legally qualified professionals as per GPSSBC Resolution 1 of 2008 and pending a final determination, </w:t>
      </w:r>
      <w:r w:rsidR="005C59BA" w:rsidRPr="00F736EA">
        <w:rPr>
          <w:rFonts w:ascii="Arial" w:hAnsi="Arial" w:cs="Arial"/>
          <w:bCs/>
        </w:rPr>
        <w:t xml:space="preserve">new salaries </w:t>
      </w:r>
      <w:r w:rsidR="002B0BBD" w:rsidRPr="00F736EA">
        <w:rPr>
          <w:rFonts w:ascii="Arial" w:hAnsi="Arial" w:cs="Arial"/>
          <w:bCs/>
        </w:rPr>
        <w:t>for prosecutors</w:t>
      </w:r>
      <w:r w:rsidR="002B0BBD" w:rsidRPr="001704CD">
        <w:rPr>
          <w:rFonts w:ascii="Arial" w:hAnsi="Arial" w:cs="Arial"/>
          <w:bCs/>
        </w:rPr>
        <w:t xml:space="preserve"> with effect from 1 July 2007;</w:t>
      </w:r>
    </w:p>
    <w:p w14:paraId="040BFBF1" w14:textId="6050B95E" w:rsidR="002B0BBD" w:rsidRPr="001704CD" w:rsidRDefault="002B0BBD" w:rsidP="00C6002A">
      <w:pPr>
        <w:pStyle w:val="ListParagraph"/>
        <w:spacing w:line="360" w:lineRule="auto"/>
        <w:ind w:left="0"/>
        <w:jc w:val="both"/>
        <w:rPr>
          <w:rFonts w:ascii="Arial" w:hAnsi="Arial" w:cs="Arial"/>
          <w:bCs/>
        </w:rPr>
      </w:pPr>
      <w:r w:rsidRPr="001704CD">
        <w:rPr>
          <w:rFonts w:ascii="Arial" w:hAnsi="Arial" w:cs="Arial"/>
          <w:bCs/>
        </w:rPr>
        <w:t xml:space="preserve">AND WHEREAS </w:t>
      </w:r>
      <w:r w:rsidRPr="00C61883">
        <w:rPr>
          <w:rFonts w:ascii="Arial" w:hAnsi="Arial" w:cs="Arial"/>
          <w:bCs/>
        </w:rPr>
        <w:t xml:space="preserve">a second phase translation and determination has been negotiated </w:t>
      </w:r>
      <w:r w:rsidRPr="001704CD">
        <w:rPr>
          <w:rFonts w:ascii="Arial" w:hAnsi="Arial" w:cs="Arial"/>
          <w:bCs/>
        </w:rPr>
        <w:t xml:space="preserve">with the Department of Public Service and </w:t>
      </w:r>
      <w:r w:rsidR="00A22678" w:rsidRPr="001704CD">
        <w:rPr>
          <w:rFonts w:ascii="Arial" w:hAnsi="Arial" w:cs="Arial"/>
          <w:bCs/>
        </w:rPr>
        <w:t xml:space="preserve">Administration </w:t>
      </w:r>
      <w:r w:rsidR="00A22678" w:rsidRPr="00833486">
        <w:rPr>
          <w:rFonts w:ascii="Arial" w:hAnsi="Arial" w:cs="Arial"/>
          <w:bCs/>
          <w:i/>
          <w:iCs/>
        </w:rPr>
        <w:t>in line with</w:t>
      </w:r>
      <w:r w:rsidR="00A22678" w:rsidRPr="001704CD">
        <w:rPr>
          <w:rFonts w:ascii="Arial" w:hAnsi="Arial" w:cs="Arial"/>
          <w:bCs/>
        </w:rPr>
        <w:t xml:space="preserve"> abovementioned Occupation Specific Dispensation;</w:t>
      </w:r>
    </w:p>
    <w:p w14:paraId="251FD792" w14:textId="08CD65A3" w:rsidR="00AC0592" w:rsidRPr="00E90866" w:rsidRDefault="00A22678" w:rsidP="00AC0592">
      <w:pPr>
        <w:pStyle w:val="ListParagraph"/>
        <w:spacing w:line="360" w:lineRule="auto"/>
        <w:ind w:left="0"/>
        <w:jc w:val="both"/>
        <w:rPr>
          <w:rFonts w:ascii="Arial" w:hAnsi="Arial" w:cs="Arial"/>
          <w:bCs/>
          <w:sz w:val="24"/>
          <w:szCs w:val="24"/>
        </w:rPr>
      </w:pPr>
      <w:r w:rsidRPr="001704CD">
        <w:rPr>
          <w:rFonts w:ascii="Arial" w:hAnsi="Arial" w:cs="Arial"/>
          <w:bCs/>
        </w:rPr>
        <w:t xml:space="preserve">NOW THEREFORE, I, Jeffrey Thamsanqa Radebe, Minister </w:t>
      </w:r>
      <w:r w:rsidR="00AC0592" w:rsidRPr="001704CD">
        <w:rPr>
          <w:rFonts w:ascii="Arial" w:hAnsi="Arial" w:cs="Arial"/>
          <w:bCs/>
        </w:rPr>
        <w:t>for Justice and Constitutional Development, acting under section 18(1) of the National Prosecuting Authority Act, 1998 (Act No. 32 of 1998)</w:t>
      </w:r>
      <w:r w:rsidR="00583B27" w:rsidRPr="001704CD">
        <w:rPr>
          <w:rFonts w:ascii="Arial" w:hAnsi="Arial" w:cs="Arial"/>
          <w:bCs/>
        </w:rPr>
        <w:t xml:space="preserve">, and </w:t>
      </w:r>
      <w:r w:rsidR="00583B27" w:rsidRPr="004F002B">
        <w:rPr>
          <w:rFonts w:ascii="Arial" w:hAnsi="Arial" w:cs="Arial"/>
          <w:bCs/>
        </w:rPr>
        <w:t>after consultation with the National Director of Public Prosecutions and the Minister f</w:t>
      </w:r>
      <w:r w:rsidR="00D757B4" w:rsidRPr="004F002B">
        <w:rPr>
          <w:rFonts w:ascii="Arial" w:hAnsi="Arial" w:cs="Arial"/>
          <w:bCs/>
        </w:rPr>
        <w:t>or the Public Service and Administration, and with the concurrence of the Minister of Finance</w:t>
      </w:r>
      <w:r w:rsidR="003566CB" w:rsidRPr="004F002B">
        <w:rPr>
          <w:rFonts w:ascii="Arial" w:hAnsi="Arial" w:cs="Arial"/>
          <w:bCs/>
        </w:rPr>
        <w:t>, hereby determine an Occupation Specific Dispensation and second phase</w:t>
      </w:r>
      <w:r w:rsidR="001704CD" w:rsidRPr="004F002B">
        <w:rPr>
          <w:rFonts w:ascii="Arial" w:hAnsi="Arial" w:cs="Arial"/>
          <w:bCs/>
        </w:rPr>
        <w:t xml:space="preserve"> translation for prosecutors as per Schedule, with effect from 1 July 2007</w:t>
      </w:r>
      <w:r w:rsidR="001704CD" w:rsidRPr="001704CD">
        <w:rPr>
          <w:rFonts w:ascii="Arial" w:hAnsi="Arial" w:cs="Arial"/>
          <w:bCs/>
        </w:rPr>
        <w:t>.</w:t>
      </w:r>
      <w:r w:rsidR="001704CD" w:rsidRPr="008E7D1C">
        <w:rPr>
          <w:rFonts w:ascii="Arial" w:hAnsi="Arial" w:cs="Arial"/>
          <w:bCs/>
        </w:rPr>
        <w:t>’</w:t>
      </w:r>
      <w:r w:rsidR="00583B27" w:rsidRPr="008E7D1C">
        <w:rPr>
          <w:rFonts w:ascii="Arial" w:hAnsi="Arial" w:cs="Arial"/>
          <w:bCs/>
        </w:rPr>
        <w:t xml:space="preserve"> </w:t>
      </w:r>
      <w:r w:rsidR="00E90866" w:rsidRPr="008E7D1C">
        <w:rPr>
          <w:rFonts w:ascii="Arial" w:hAnsi="Arial" w:cs="Arial"/>
          <w:bCs/>
        </w:rPr>
        <w:t>(</w:t>
      </w:r>
      <w:r w:rsidR="00515027" w:rsidRPr="008E7D1C">
        <w:rPr>
          <w:rFonts w:ascii="Arial" w:hAnsi="Arial" w:cs="Arial"/>
          <w:bCs/>
        </w:rPr>
        <w:t>My</w:t>
      </w:r>
      <w:r w:rsidR="00E90866" w:rsidRPr="008E7D1C">
        <w:rPr>
          <w:rFonts w:ascii="Arial" w:hAnsi="Arial" w:cs="Arial"/>
          <w:bCs/>
        </w:rPr>
        <w:t xml:space="preserve"> emphasis.)</w:t>
      </w:r>
    </w:p>
    <w:p w14:paraId="13E44596" w14:textId="519DBC7A" w:rsidR="00A22678" w:rsidRPr="00D02B6C" w:rsidRDefault="00A22678" w:rsidP="00C6002A">
      <w:pPr>
        <w:pStyle w:val="ListParagraph"/>
        <w:spacing w:line="360" w:lineRule="auto"/>
        <w:ind w:left="0"/>
        <w:jc w:val="both"/>
        <w:rPr>
          <w:rFonts w:ascii="Arial" w:hAnsi="Arial" w:cs="Arial"/>
          <w:bCs/>
        </w:rPr>
      </w:pPr>
    </w:p>
    <w:p w14:paraId="53BFC0ED" w14:textId="67B32B06" w:rsidR="002C0747" w:rsidRDefault="00625DC8" w:rsidP="004E4891">
      <w:pPr>
        <w:pStyle w:val="ListParagraph"/>
        <w:numPr>
          <w:ilvl w:val="0"/>
          <w:numId w:val="1"/>
        </w:numPr>
        <w:spacing w:after="0" w:line="360" w:lineRule="auto"/>
        <w:ind w:left="0" w:firstLine="0"/>
        <w:jc w:val="both"/>
        <w:rPr>
          <w:rFonts w:ascii="Arial" w:hAnsi="Arial" w:cs="Arial"/>
          <w:bCs/>
          <w:sz w:val="24"/>
          <w:szCs w:val="24"/>
        </w:rPr>
      </w:pPr>
      <w:r w:rsidRPr="007E72C2">
        <w:rPr>
          <w:rFonts w:ascii="Arial" w:hAnsi="Arial" w:cs="Arial"/>
          <w:bCs/>
          <w:sz w:val="24"/>
          <w:szCs w:val="24"/>
        </w:rPr>
        <w:t xml:space="preserve">The </w:t>
      </w:r>
      <w:r w:rsidR="0062354C" w:rsidRPr="007E72C2">
        <w:rPr>
          <w:rFonts w:ascii="Arial" w:hAnsi="Arial" w:cs="Arial"/>
          <w:bCs/>
          <w:sz w:val="24"/>
          <w:szCs w:val="24"/>
        </w:rPr>
        <w:t xml:space="preserve">Schedule attached to </w:t>
      </w:r>
      <w:r w:rsidR="00CB2AE1" w:rsidRPr="007E72C2">
        <w:rPr>
          <w:rFonts w:ascii="Arial" w:hAnsi="Arial" w:cs="Arial"/>
          <w:bCs/>
          <w:sz w:val="24"/>
          <w:szCs w:val="24"/>
        </w:rPr>
        <w:t>the 2010 Determination</w:t>
      </w:r>
      <w:r w:rsidRPr="007E72C2">
        <w:rPr>
          <w:rFonts w:ascii="Arial" w:hAnsi="Arial" w:cs="Arial"/>
          <w:bCs/>
          <w:sz w:val="24"/>
          <w:szCs w:val="24"/>
        </w:rPr>
        <w:t xml:space="preserve"> </w:t>
      </w:r>
      <w:r w:rsidR="00414A2E" w:rsidRPr="007E72C2">
        <w:rPr>
          <w:rFonts w:ascii="Arial" w:hAnsi="Arial" w:cs="Arial"/>
          <w:bCs/>
          <w:sz w:val="24"/>
          <w:szCs w:val="24"/>
        </w:rPr>
        <w:t xml:space="preserve">(the Schedule) </w:t>
      </w:r>
      <w:r w:rsidR="00B87EA5" w:rsidRPr="007E72C2">
        <w:rPr>
          <w:rFonts w:ascii="Arial" w:hAnsi="Arial" w:cs="Arial"/>
          <w:bCs/>
          <w:sz w:val="24"/>
          <w:szCs w:val="24"/>
        </w:rPr>
        <w:t xml:space="preserve">stipulated that the objective of that determination was to provide </w:t>
      </w:r>
      <w:r w:rsidR="00033555" w:rsidRPr="007E72C2">
        <w:rPr>
          <w:rFonts w:ascii="Arial" w:hAnsi="Arial" w:cs="Arial"/>
          <w:bCs/>
          <w:sz w:val="24"/>
          <w:szCs w:val="24"/>
        </w:rPr>
        <w:t>for a unique remuneration structure</w:t>
      </w:r>
      <w:r w:rsidR="00772165" w:rsidRPr="007E72C2">
        <w:rPr>
          <w:rFonts w:ascii="Arial" w:hAnsi="Arial" w:cs="Arial"/>
          <w:bCs/>
          <w:sz w:val="24"/>
          <w:szCs w:val="24"/>
        </w:rPr>
        <w:t xml:space="preserve"> and to </w:t>
      </w:r>
      <w:r w:rsidR="00CB2AE1" w:rsidRPr="007E72C2">
        <w:rPr>
          <w:rFonts w:ascii="Arial" w:hAnsi="Arial" w:cs="Arial"/>
          <w:bCs/>
          <w:sz w:val="24"/>
          <w:szCs w:val="24"/>
        </w:rPr>
        <w:t xml:space="preserve">introduce </w:t>
      </w:r>
      <w:r w:rsidR="00ED2F39" w:rsidRPr="008E7D1C">
        <w:rPr>
          <w:rFonts w:ascii="Arial" w:hAnsi="Arial" w:cs="Arial"/>
          <w:bCs/>
          <w:sz w:val="24"/>
          <w:szCs w:val="24"/>
        </w:rPr>
        <w:t>the</w:t>
      </w:r>
      <w:r w:rsidR="00ED2F39">
        <w:rPr>
          <w:rFonts w:ascii="Arial" w:hAnsi="Arial" w:cs="Arial"/>
          <w:bCs/>
          <w:sz w:val="24"/>
          <w:szCs w:val="24"/>
        </w:rPr>
        <w:t xml:space="preserve"> </w:t>
      </w:r>
      <w:r w:rsidR="00CB2AE1" w:rsidRPr="007E72C2">
        <w:rPr>
          <w:rFonts w:ascii="Arial" w:hAnsi="Arial" w:cs="Arial"/>
          <w:bCs/>
          <w:sz w:val="24"/>
          <w:szCs w:val="24"/>
        </w:rPr>
        <w:t xml:space="preserve">OSD and career progression system </w:t>
      </w:r>
      <w:r w:rsidR="007D2960" w:rsidRPr="007E72C2">
        <w:rPr>
          <w:rFonts w:ascii="Arial" w:hAnsi="Arial" w:cs="Arial"/>
          <w:bCs/>
          <w:sz w:val="24"/>
          <w:szCs w:val="24"/>
        </w:rPr>
        <w:t>for legally qualified professionals</w:t>
      </w:r>
      <w:r w:rsidR="00496238" w:rsidRPr="007E72C2">
        <w:rPr>
          <w:rFonts w:ascii="Arial" w:hAnsi="Arial" w:cs="Arial"/>
          <w:bCs/>
          <w:sz w:val="24"/>
          <w:szCs w:val="24"/>
        </w:rPr>
        <w:t xml:space="preserve"> </w:t>
      </w:r>
      <w:r w:rsidR="00772165" w:rsidRPr="007E72C2">
        <w:rPr>
          <w:rFonts w:ascii="Arial" w:hAnsi="Arial" w:cs="Arial"/>
          <w:bCs/>
          <w:sz w:val="24"/>
          <w:szCs w:val="24"/>
        </w:rPr>
        <w:t>‘</w:t>
      </w:r>
      <w:r w:rsidR="00496238" w:rsidRPr="007E72C2">
        <w:rPr>
          <w:rFonts w:ascii="Arial" w:hAnsi="Arial" w:cs="Arial"/>
          <w:bCs/>
          <w:sz w:val="24"/>
          <w:szCs w:val="24"/>
        </w:rPr>
        <w:t>as defined in this determination’</w:t>
      </w:r>
      <w:r w:rsidR="004078D5" w:rsidRPr="007E72C2">
        <w:rPr>
          <w:rFonts w:ascii="Arial" w:hAnsi="Arial" w:cs="Arial"/>
          <w:bCs/>
          <w:sz w:val="24"/>
          <w:szCs w:val="24"/>
        </w:rPr>
        <w:t>. I</w:t>
      </w:r>
      <w:r w:rsidR="003F5DA3" w:rsidRPr="007E72C2">
        <w:rPr>
          <w:rFonts w:ascii="Arial" w:hAnsi="Arial" w:cs="Arial"/>
          <w:bCs/>
          <w:sz w:val="24"/>
          <w:szCs w:val="24"/>
        </w:rPr>
        <w:t xml:space="preserve">t identified </w:t>
      </w:r>
      <w:r w:rsidR="00E30A4D" w:rsidRPr="007E72C2">
        <w:rPr>
          <w:rFonts w:ascii="Arial" w:hAnsi="Arial" w:cs="Arial"/>
          <w:bCs/>
          <w:sz w:val="24"/>
          <w:szCs w:val="24"/>
        </w:rPr>
        <w:t>the desire to p</w:t>
      </w:r>
      <w:r w:rsidR="00496238" w:rsidRPr="007E72C2">
        <w:rPr>
          <w:rFonts w:ascii="Arial" w:hAnsi="Arial" w:cs="Arial"/>
          <w:bCs/>
          <w:sz w:val="24"/>
          <w:szCs w:val="24"/>
        </w:rPr>
        <w:t>rovi</w:t>
      </w:r>
      <w:r w:rsidR="00E30A4D" w:rsidRPr="007E72C2">
        <w:rPr>
          <w:rFonts w:ascii="Arial" w:hAnsi="Arial" w:cs="Arial"/>
          <w:bCs/>
          <w:sz w:val="24"/>
          <w:szCs w:val="24"/>
        </w:rPr>
        <w:t xml:space="preserve">de </w:t>
      </w:r>
      <w:r w:rsidR="00496238" w:rsidRPr="007E72C2">
        <w:rPr>
          <w:rFonts w:ascii="Arial" w:hAnsi="Arial" w:cs="Arial"/>
          <w:bCs/>
          <w:sz w:val="24"/>
          <w:szCs w:val="24"/>
        </w:rPr>
        <w:t>for career-pathing opportunities based on competencies, experience and performanc</w:t>
      </w:r>
      <w:r w:rsidR="00755FF3" w:rsidRPr="007E72C2">
        <w:rPr>
          <w:rFonts w:ascii="Arial" w:hAnsi="Arial" w:cs="Arial"/>
          <w:bCs/>
          <w:sz w:val="24"/>
          <w:szCs w:val="24"/>
        </w:rPr>
        <w:t>e as well as ‘the creation of a specialist dispensation’</w:t>
      </w:r>
      <w:r w:rsidR="003F5DA3" w:rsidRPr="007E72C2">
        <w:rPr>
          <w:rFonts w:ascii="Arial" w:hAnsi="Arial" w:cs="Arial"/>
          <w:bCs/>
          <w:sz w:val="24"/>
          <w:szCs w:val="24"/>
        </w:rPr>
        <w:t xml:space="preserve"> as some of the objectives of that determination</w:t>
      </w:r>
      <w:r w:rsidR="00755FF3" w:rsidRPr="007E72C2">
        <w:rPr>
          <w:rFonts w:ascii="Arial" w:hAnsi="Arial" w:cs="Arial"/>
          <w:bCs/>
          <w:sz w:val="24"/>
          <w:szCs w:val="24"/>
        </w:rPr>
        <w:t>.</w:t>
      </w:r>
      <w:r w:rsidR="00AC5EC7" w:rsidRPr="007E72C2">
        <w:rPr>
          <w:rFonts w:ascii="Arial" w:hAnsi="Arial" w:cs="Arial"/>
          <w:bCs/>
          <w:sz w:val="24"/>
          <w:szCs w:val="24"/>
        </w:rPr>
        <w:t xml:space="preserve"> Under the caption ‘scope’, it was stated that ‘this determination</w:t>
      </w:r>
      <w:r w:rsidR="00075154" w:rsidRPr="007E72C2">
        <w:rPr>
          <w:rFonts w:ascii="Arial" w:hAnsi="Arial" w:cs="Arial"/>
          <w:bCs/>
          <w:sz w:val="24"/>
          <w:szCs w:val="24"/>
        </w:rPr>
        <w:t xml:space="preserve"> applies to qualified legal professionals in terms of section 16</w:t>
      </w:r>
      <w:r w:rsidR="00171AE7">
        <w:rPr>
          <w:rStyle w:val="FootnoteReference"/>
          <w:rFonts w:ascii="Arial" w:hAnsi="Arial" w:cs="Arial"/>
          <w:bCs/>
          <w:sz w:val="24"/>
          <w:szCs w:val="24"/>
        </w:rPr>
        <w:footnoteReference w:id="6"/>
      </w:r>
      <w:r w:rsidR="00075154" w:rsidRPr="007E72C2">
        <w:rPr>
          <w:rFonts w:ascii="Arial" w:hAnsi="Arial" w:cs="Arial"/>
          <w:bCs/>
          <w:sz w:val="24"/>
          <w:szCs w:val="24"/>
        </w:rPr>
        <w:t xml:space="preserve"> of the NPA Act’.</w:t>
      </w:r>
    </w:p>
    <w:p w14:paraId="22BA5B94" w14:textId="77777777" w:rsidR="007E72C2" w:rsidRPr="00D02B6C" w:rsidRDefault="007E72C2" w:rsidP="004E4891">
      <w:pPr>
        <w:pStyle w:val="ListParagraph"/>
        <w:spacing w:after="0" w:line="360" w:lineRule="auto"/>
        <w:ind w:left="0"/>
        <w:jc w:val="both"/>
        <w:rPr>
          <w:rFonts w:ascii="Arial" w:hAnsi="Arial" w:cs="Arial"/>
          <w:bCs/>
        </w:rPr>
      </w:pPr>
    </w:p>
    <w:p w14:paraId="6A456E2A" w14:textId="15F4D2A8" w:rsidR="00073896" w:rsidRDefault="00053417" w:rsidP="004E4891">
      <w:pPr>
        <w:pStyle w:val="ListParagraph"/>
        <w:numPr>
          <w:ilvl w:val="0"/>
          <w:numId w:val="1"/>
        </w:numPr>
        <w:spacing w:after="0" w:line="360" w:lineRule="auto"/>
        <w:ind w:left="0" w:firstLine="0"/>
        <w:jc w:val="both"/>
        <w:rPr>
          <w:rFonts w:ascii="Arial" w:hAnsi="Arial" w:cs="Arial"/>
          <w:bCs/>
          <w:sz w:val="24"/>
          <w:szCs w:val="24"/>
        </w:rPr>
      </w:pPr>
      <w:r w:rsidRPr="00073896">
        <w:rPr>
          <w:rFonts w:ascii="Arial" w:hAnsi="Arial" w:cs="Arial"/>
          <w:bCs/>
          <w:sz w:val="24"/>
          <w:szCs w:val="24"/>
        </w:rPr>
        <w:t xml:space="preserve">The PSA contended that its members were entitled to specific performance in respect of the collective agreements concluded in the bargaining councils. It asserted </w:t>
      </w:r>
      <w:r w:rsidRPr="00073896">
        <w:rPr>
          <w:rFonts w:ascii="Arial" w:hAnsi="Arial" w:cs="Arial"/>
          <w:bCs/>
          <w:sz w:val="24"/>
          <w:szCs w:val="24"/>
        </w:rPr>
        <w:lastRenderedPageBreak/>
        <w:t>that the failure by the NPA to implement the collective agreements and the 2010 Determination constituted an unfair labour practice.</w:t>
      </w:r>
      <w:r w:rsidR="00C529B2" w:rsidRPr="00073896">
        <w:rPr>
          <w:rFonts w:ascii="Arial" w:hAnsi="Arial" w:cs="Arial"/>
          <w:bCs/>
          <w:sz w:val="24"/>
          <w:szCs w:val="24"/>
        </w:rPr>
        <w:t xml:space="preserve"> In addition to th</w:t>
      </w:r>
      <w:r w:rsidR="00AF3039">
        <w:rPr>
          <w:rFonts w:ascii="Arial" w:hAnsi="Arial" w:cs="Arial"/>
          <w:bCs/>
          <w:sz w:val="24"/>
          <w:szCs w:val="24"/>
        </w:rPr>
        <w:t xml:space="preserve">ose assertions, </w:t>
      </w:r>
      <w:r w:rsidRPr="00073896">
        <w:rPr>
          <w:rFonts w:ascii="Arial" w:hAnsi="Arial" w:cs="Arial"/>
          <w:bCs/>
          <w:sz w:val="24"/>
          <w:szCs w:val="24"/>
        </w:rPr>
        <w:t>t</w:t>
      </w:r>
      <w:r w:rsidR="00795FFB" w:rsidRPr="00073896">
        <w:rPr>
          <w:rFonts w:ascii="Arial" w:hAnsi="Arial" w:cs="Arial"/>
          <w:bCs/>
          <w:sz w:val="24"/>
          <w:szCs w:val="24"/>
        </w:rPr>
        <w:t xml:space="preserve">he </w:t>
      </w:r>
      <w:r w:rsidR="00156EBF" w:rsidRPr="00073896">
        <w:rPr>
          <w:rFonts w:ascii="Arial" w:hAnsi="Arial" w:cs="Arial"/>
          <w:bCs/>
          <w:sz w:val="24"/>
          <w:szCs w:val="24"/>
        </w:rPr>
        <w:t>PSA</w:t>
      </w:r>
      <w:r w:rsidR="007F1B2D" w:rsidRPr="00073896">
        <w:rPr>
          <w:rFonts w:ascii="Arial" w:hAnsi="Arial" w:cs="Arial"/>
          <w:bCs/>
          <w:sz w:val="24"/>
          <w:szCs w:val="24"/>
        </w:rPr>
        <w:t xml:space="preserve"> contended that, </w:t>
      </w:r>
      <w:r w:rsidR="00156EBF" w:rsidRPr="00073896">
        <w:rPr>
          <w:rFonts w:ascii="Arial" w:hAnsi="Arial" w:cs="Arial"/>
          <w:bCs/>
          <w:sz w:val="24"/>
          <w:szCs w:val="24"/>
        </w:rPr>
        <w:t xml:space="preserve">following the publication of the 2010 Determination, various meetings were held and </w:t>
      </w:r>
      <w:r w:rsidR="00F32D0D" w:rsidRPr="00073896">
        <w:rPr>
          <w:rFonts w:ascii="Arial" w:hAnsi="Arial" w:cs="Arial"/>
          <w:bCs/>
          <w:sz w:val="24"/>
          <w:szCs w:val="24"/>
        </w:rPr>
        <w:t>correspondence exchanged</w:t>
      </w:r>
      <w:r w:rsidR="009E155F" w:rsidRPr="00073896">
        <w:rPr>
          <w:rFonts w:ascii="Arial" w:hAnsi="Arial" w:cs="Arial"/>
          <w:bCs/>
          <w:sz w:val="24"/>
          <w:szCs w:val="24"/>
        </w:rPr>
        <w:t xml:space="preserve"> </w:t>
      </w:r>
      <w:r w:rsidR="007D6BF1" w:rsidRPr="00073896">
        <w:rPr>
          <w:rFonts w:ascii="Arial" w:hAnsi="Arial" w:cs="Arial"/>
          <w:bCs/>
          <w:sz w:val="24"/>
          <w:szCs w:val="24"/>
        </w:rPr>
        <w:t xml:space="preserve">with a view to finalising the translation of the DDPPs and CPs to the </w:t>
      </w:r>
      <w:r w:rsidR="00F542D5" w:rsidRPr="00073896">
        <w:rPr>
          <w:rFonts w:ascii="Arial" w:hAnsi="Arial" w:cs="Arial"/>
          <w:bCs/>
          <w:sz w:val="24"/>
          <w:szCs w:val="24"/>
        </w:rPr>
        <w:t xml:space="preserve">OSD remuneration structure. According to the PSA, </w:t>
      </w:r>
      <w:r w:rsidR="009E155F" w:rsidRPr="00073896">
        <w:rPr>
          <w:rFonts w:ascii="Arial" w:hAnsi="Arial" w:cs="Arial"/>
          <w:bCs/>
          <w:sz w:val="24"/>
          <w:szCs w:val="24"/>
        </w:rPr>
        <w:t xml:space="preserve">these engagements culminated in </w:t>
      </w:r>
      <w:r w:rsidR="007D150F" w:rsidRPr="00073896">
        <w:rPr>
          <w:rFonts w:ascii="Arial" w:hAnsi="Arial" w:cs="Arial"/>
          <w:bCs/>
          <w:sz w:val="24"/>
          <w:szCs w:val="24"/>
        </w:rPr>
        <w:t>the NDPP</w:t>
      </w:r>
      <w:r w:rsidR="009E155F" w:rsidRPr="00073896">
        <w:rPr>
          <w:rFonts w:ascii="Arial" w:hAnsi="Arial" w:cs="Arial"/>
          <w:bCs/>
          <w:sz w:val="24"/>
          <w:szCs w:val="24"/>
        </w:rPr>
        <w:t>, on 29 July 2014, a</w:t>
      </w:r>
      <w:r w:rsidR="007D150F" w:rsidRPr="00073896">
        <w:rPr>
          <w:rFonts w:ascii="Arial" w:hAnsi="Arial" w:cs="Arial"/>
          <w:bCs/>
          <w:sz w:val="24"/>
          <w:szCs w:val="24"/>
        </w:rPr>
        <w:t>pprov</w:t>
      </w:r>
      <w:r w:rsidR="009E155F" w:rsidRPr="00073896">
        <w:rPr>
          <w:rFonts w:ascii="Arial" w:hAnsi="Arial" w:cs="Arial"/>
          <w:bCs/>
          <w:sz w:val="24"/>
          <w:szCs w:val="24"/>
        </w:rPr>
        <w:t>ing</w:t>
      </w:r>
      <w:r w:rsidR="007D150F" w:rsidRPr="00073896">
        <w:rPr>
          <w:rFonts w:ascii="Arial" w:hAnsi="Arial" w:cs="Arial"/>
          <w:bCs/>
          <w:sz w:val="24"/>
          <w:szCs w:val="24"/>
        </w:rPr>
        <w:t xml:space="preserve"> the </w:t>
      </w:r>
      <w:r w:rsidR="00F32D0D" w:rsidRPr="00073896">
        <w:rPr>
          <w:rFonts w:ascii="Arial" w:hAnsi="Arial" w:cs="Arial"/>
          <w:bCs/>
          <w:sz w:val="24"/>
          <w:szCs w:val="24"/>
        </w:rPr>
        <w:t xml:space="preserve">recommendations </w:t>
      </w:r>
      <w:r w:rsidR="009E155F" w:rsidRPr="00073896">
        <w:rPr>
          <w:rFonts w:ascii="Arial" w:hAnsi="Arial" w:cs="Arial"/>
          <w:bCs/>
          <w:sz w:val="24"/>
          <w:szCs w:val="24"/>
        </w:rPr>
        <w:t xml:space="preserve">made </w:t>
      </w:r>
      <w:r w:rsidR="007F757E" w:rsidRPr="00073896">
        <w:rPr>
          <w:rFonts w:ascii="Arial" w:hAnsi="Arial" w:cs="Arial"/>
          <w:bCs/>
          <w:sz w:val="24"/>
          <w:szCs w:val="24"/>
        </w:rPr>
        <w:t>by</w:t>
      </w:r>
      <w:r w:rsidR="009E155F" w:rsidRPr="00073896">
        <w:rPr>
          <w:rFonts w:ascii="Arial" w:hAnsi="Arial" w:cs="Arial"/>
          <w:bCs/>
          <w:sz w:val="24"/>
          <w:szCs w:val="24"/>
        </w:rPr>
        <w:t xml:space="preserve"> </w:t>
      </w:r>
      <w:r w:rsidR="00F32D0D" w:rsidRPr="00073896">
        <w:rPr>
          <w:rFonts w:ascii="Arial" w:hAnsi="Arial" w:cs="Arial"/>
          <w:bCs/>
          <w:sz w:val="24"/>
          <w:szCs w:val="24"/>
        </w:rPr>
        <w:t>the NPA’s C</w:t>
      </w:r>
      <w:r w:rsidR="00D81E54" w:rsidRPr="00073896">
        <w:rPr>
          <w:rFonts w:ascii="Arial" w:hAnsi="Arial" w:cs="Arial"/>
          <w:bCs/>
          <w:sz w:val="24"/>
          <w:szCs w:val="24"/>
        </w:rPr>
        <w:t>hief Director</w:t>
      </w:r>
      <w:r w:rsidR="00466C95">
        <w:rPr>
          <w:rFonts w:ascii="Arial" w:hAnsi="Arial" w:cs="Arial"/>
          <w:bCs/>
          <w:sz w:val="24"/>
          <w:szCs w:val="24"/>
        </w:rPr>
        <w:t>: Human Resources</w:t>
      </w:r>
      <w:r w:rsidR="00CB2C14">
        <w:rPr>
          <w:rFonts w:ascii="Arial" w:hAnsi="Arial" w:cs="Arial"/>
          <w:bCs/>
          <w:sz w:val="24"/>
          <w:szCs w:val="24"/>
        </w:rPr>
        <w:t xml:space="preserve"> and Development </w:t>
      </w:r>
      <w:r w:rsidR="00466C95">
        <w:rPr>
          <w:rFonts w:ascii="Arial" w:hAnsi="Arial" w:cs="Arial"/>
          <w:bCs/>
          <w:sz w:val="24"/>
          <w:szCs w:val="24"/>
        </w:rPr>
        <w:t>(Chief Director</w:t>
      </w:r>
      <w:r w:rsidR="002C5A5E">
        <w:rPr>
          <w:rFonts w:ascii="Arial" w:hAnsi="Arial" w:cs="Arial"/>
          <w:bCs/>
          <w:sz w:val="24"/>
          <w:szCs w:val="24"/>
        </w:rPr>
        <w:t>)</w:t>
      </w:r>
      <w:r w:rsidR="00AF3039">
        <w:rPr>
          <w:rFonts w:ascii="Arial" w:hAnsi="Arial" w:cs="Arial"/>
          <w:bCs/>
          <w:sz w:val="24"/>
          <w:szCs w:val="24"/>
        </w:rPr>
        <w:t>,</w:t>
      </w:r>
      <w:r w:rsidR="00D81E54" w:rsidRPr="00073896">
        <w:rPr>
          <w:rFonts w:ascii="Arial" w:hAnsi="Arial" w:cs="Arial"/>
          <w:bCs/>
          <w:sz w:val="24"/>
          <w:szCs w:val="24"/>
        </w:rPr>
        <w:t xml:space="preserve"> </w:t>
      </w:r>
      <w:r w:rsidR="00621032">
        <w:rPr>
          <w:rFonts w:ascii="Arial" w:hAnsi="Arial" w:cs="Arial"/>
          <w:bCs/>
          <w:sz w:val="24"/>
          <w:szCs w:val="24"/>
        </w:rPr>
        <w:t xml:space="preserve">in his memorandum dated 18 July 2014, </w:t>
      </w:r>
      <w:r w:rsidR="00F32D0D" w:rsidRPr="00073896">
        <w:rPr>
          <w:rFonts w:ascii="Arial" w:hAnsi="Arial" w:cs="Arial"/>
          <w:bCs/>
          <w:sz w:val="24"/>
          <w:szCs w:val="24"/>
        </w:rPr>
        <w:t>regarding</w:t>
      </w:r>
      <w:r w:rsidR="004802A9" w:rsidRPr="00073896">
        <w:rPr>
          <w:rFonts w:ascii="Arial" w:hAnsi="Arial" w:cs="Arial"/>
          <w:bCs/>
          <w:sz w:val="24"/>
          <w:szCs w:val="24"/>
        </w:rPr>
        <w:t xml:space="preserve"> the</w:t>
      </w:r>
      <w:r w:rsidR="00F32D0D" w:rsidRPr="00073896">
        <w:rPr>
          <w:rFonts w:ascii="Arial" w:hAnsi="Arial" w:cs="Arial"/>
          <w:bCs/>
          <w:sz w:val="24"/>
          <w:szCs w:val="24"/>
        </w:rPr>
        <w:t xml:space="preserve"> </w:t>
      </w:r>
      <w:r w:rsidR="007D150F" w:rsidRPr="00073896">
        <w:rPr>
          <w:rFonts w:ascii="Arial" w:hAnsi="Arial" w:cs="Arial"/>
          <w:bCs/>
          <w:sz w:val="24"/>
          <w:szCs w:val="24"/>
        </w:rPr>
        <w:t xml:space="preserve">implementation of OSD </w:t>
      </w:r>
      <w:r w:rsidR="004802A9" w:rsidRPr="00073896">
        <w:rPr>
          <w:rFonts w:ascii="Arial" w:hAnsi="Arial" w:cs="Arial"/>
          <w:bCs/>
          <w:sz w:val="24"/>
          <w:szCs w:val="24"/>
        </w:rPr>
        <w:t xml:space="preserve">structure </w:t>
      </w:r>
      <w:r w:rsidR="007D150F" w:rsidRPr="00073896">
        <w:rPr>
          <w:rFonts w:ascii="Arial" w:hAnsi="Arial" w:cs="Arial"/>
          <w:bCs/>
          <w:sz w:val="24"/>
          <w:szCs w:val="24"/>
        </w:rPr>
        <w:t xml:space="preserve">in respect of NPA employees employed at salary levels 13 and 14. </w:t>
      </w:r>
    </w:p>
    <w:p w14:paraId="04A02777" w14:textId="77777777" w:rsidR="00073896" w:rsidRPr="00D02B6C" w:rsidRDefault="00073896" w:rsidP="004E4891">
      <w:pPr>
        <w:pStyle w:val="ListParagraph"/>
        <w:spacing w:after="0"/>
        <w:rPr>
          <w:rFonts w:ascii="Arial" w:hAnsi="Arial" w:cs="Arial"/>
          <w:bCs/>
        </w:rPr>
      </w:pPr>
    </w:p>
    <w:p w14:paraId="06388ACF" w14:textId="42FC1B68" w:rsidR="00E56988" w:rsidRPr="00073896" w:rsidRDefault="00842202" w:rsidP="004E4891">
      <w:pPr>
        <w:pStyle w:val="ListParagraph"/>
        <w:numPr>
          <w:ilvl w:val="0"/>
          <w:numId w:val="1"/>
        </w:numPr>
        <w:spacing w:after="0" w:line="360" w:lineRule="auto"/>
        <w:ind w:left="0" w:firstLine="0"/>
        <w:jc w:val="both"/>
        <w:rPr>
          <w:rFonts w:ascii="Arial" w:hAnsi="Arial" w:cs="Arial"/>
          <w:bCs/>
          <w:sz w:val="24"/>
          <w:szCs w:val="24"/>
        </w:rPr>
      </w:pPr>
      <w:r w:rsidRPr="00073896">
        <w:rPr>
          <w:rFonts w:ascii="Arial" w:hAnsi="Arial" w:cs="Arial"/>
          <w:bCs/>
          <w:sz w:val="24"/>
          <w:szCs w:val="24"/>
        </w:rPr>
        <w:t>The PSA averred that the NDPP</w:t>
      </w:r>
      <w:r w:rsidR="00097C81">
        <w:rPr>
          <w:rFonts w:ascii="Arial" w:hAnsi="Arial" w:cs="Arial"/>
          <w:bCs/>
          <w:sz w:val="24"/>
          <w:szCs w:val="24"/>
        </w:rPr>
        <w:t>’s</w:t>
      </w:r>
      <w:r w:rsidRPr="00073896">
        <w:rPr>
          <w:rFonts w:ascii="Arial" w:hAnsi="Arial" w:cs="Arial"/>
          <w:bCs/>
          <w:sz w:val="24"/>
          <w:szCs w:val="24"/>
        </w:rPr>
        <w:t xml:space="preserve"> approval </w:t>
      </w:r>
      <w:r w:rsidR="00097C81">
        <w:rPr>
          <w:rFonts w:ascii="Arial" w:hAnsi="Arial" w:cs="Arial"/>
          <w:bCs/>
          <w:sz w:val="24"/>
          <w:szCs w:val="24"/>
        </w:rPr>
        <w:t xml:space="preserve">evidenced </w:t>
      </w:r>
      <w:r w:rsidRPr="00073896">
        <w:rPr>
          <w:rFonts w:ascii="Arial" w:hAnsi="Arial" w:cs="Arial"/>
          <w:bCs/>
          <w:sz w:val="24"/>
          <w:szCs w:val="24"/>
        </w:rPr>
        <w:t>an intention to bring the 5</w:t>
      </w:r>
      <w:r w:rsidR="009C57D7">
        <w:rPr>
          <w:rFonts w:ascii="Arial" w:hAnsi="Arial" w:cs="Arial"/>
          <w:bCs/>
          <w:sz w:val="24"/>
          <w:szCs w:val="24"/>
        </w:rPr>
        <w:t>6</w:t>
      </w:r>
      <w:r w:rsidRPr="00073896">
        <w:rPr>
          <w:rFonts w:ascii="Arial" w:hAnsi="Arial" w:cs="Arial"/>
          <w:bCs/>
          <w:sz w:val="24"/>
          <w:szCs w:val="24"/>
        </w:rPr>
        <w:t xml:space="preserve"> DDPPs and CPs represented by the PSA within the ambit of Resolution 1 of 2008, and that insofar as the individual employees consented to being translated, that resolution became applicable to them. </w:t>
      </w:r>
      <w:r w:rsidR="00F756C8">
        <w:rPr>
          <w:rFonts w:ascii="Arial" w:hAnsi="Arial" w:cs="Arial"/>
          <w:bCs/>
          <w:sz w:val="24"/>
          <w:szCs w:val="24"/>
        </w:rPr>
        <w:t xml:space="preserve">Having taken the stance that </w:t>
      </w:r>
      <w:r w:rsidR="00C16891" w:rsidRPr="00073896">
        <w:rPr>
          <w:rFonts w:ascii="Arial" w:hAnsi="Arial" w:cs="Arial"/>
          <w:bCs/>
          <w:sz w:val="24"/>
          <w:szCs w:val="24"/>
        </w:rPr>
        <w:t xml:space="preserve">the </w:t>
      </w:r>
      <w:r w:rsidR="00F6290A" w:rsidRPr="00073896">
        <w:rPr>
          <w:rFonts w:ascii="Arial" w:hAnsi="Arial" w:cs="Arial"/>
          <w:bCs/>
          <w:sz w:val="24"/>
          <w:szCs w:val="24"/>
        </w:rPr>
        <w:t>NDPP’s approval was binding</w:t>
      </w:r>
      <w:r w:rsidR="000E475E" w:rsidRPr="00073896">
        <w:rPr>
          <w:rFonts w:ascii="Arial" w:hAnsi="Arial" w:cs="Arial"/>
          <w:bCs/>
          <w:sz w:val="24"/>
          <w:szCs w:val="24"/>
        </w:rPr>
        <w:t xml:space="preserve"> on the NPA</w:t>
      </w:r>
      <w:r w:rsidR="00F756C8">
        <w:rPr>
          <w:rFonts w:ascii="Arial" w:hAnsi="Arial" w:cs="Arial"/>
          <w:bCs/>
          <w:sz w:val="24"/>
          <w:szCs w:val="24"/>
        </w:rPr>
        <w:t xml:space="preserve">, the </w:t>
      </w:r>
      <w:r w:rsidR="00C16891" w:rsidRPr="00073896">
        <w:rPr>
          <w:rFonts w:ascii="Arial" w:hAnsi="Arial" w:cs="Arial"/>
          <w:bCs/>
          <w:sz w:val="24"/>
          <w:szCs w:val="24"/>
        </w:rPr>
        <w:t xml:space="preserve">PSA </w:t>
      </w:r>
      <w:r w:rsidR="00F756C8">
        <w:rPr>
          <w:rFonts w:ascii="Arial" w:hAnsi="Arial" w:cs="Arial"/>
          <w:bCs/>
          <w:sz w:val="24"/>
          <w:szCs w:val="24"/>
        </w:rPr>
        <w:t>i</w:t>
      </w:r>
      <w:r w:rsidR="006A0190" w:rsidRPr="00073896">
        <w:rPr>
          <w:rFonts w:ascii="Arial" w:hAnsi="Arial" w:cs="Arial"/>
          <w:bCs/>
          <w:sz w:val="24"/>
          <w:szCs w:val="24"/>
        </w:rPr>
        <w:t xml:space="preserve">nter alia, </w:t>
      </w:r>
      <w:r w:rsidR="004F5B1A" w:rsidRPr="00073896">
        <w:rPr>
          <w:rFonts w:ascii="Arial" w:hAnsi="Arial" w:cs="Arial"/>
          <w:bCs/>
          <w:sz w:val="24"/>
          <w:szCs w:val="24"/>
        </w:rPr>
        <w:t>s</w:t>
      </w:r>
      <w:r w:rsidR="00F756C8">
        <w:rPr>
          <w:rFonts w:ascii="Arial" w:hAnsi="Arial" w:cs="Arial"/>
          <w:bCs/>
          <w:sz w:val="24"/>
          <w:szCs w:val="24"/>
        </w:rPr>
        <w:t xml:space="preserve">ought </w:t>
      </w:r>
      <w:r w:rsidR="005E2C70" w:rsidRPr="00073896">
        <w:rPr>
          <w:rFonts w:ascii="Arial" w:hAnsi="Arial" w:cs="Arial"/>
          <w:bCs/>
          <w:sz w:val="24"/>
          <w:szCs w:val="24"/>
        </w:rPr>
        <w:t xml:space="preserve">an order declaring the NDPP’s approval </w:t>
      </w:r>
      <w:r w:rsidR="009C2E56" w:rsidRPr="00073896">
        <w:rPr>
          <w:rFonts w:ascii="Arial" w:hAnsi="Arial" w:cs="Arial"/>
          <w:bCs/>
          <w:sz w:val="24"/>
          <w:szCs w:val="24"/>
        </w:rPr>
        <w:t>lawful</w:t>
      </w:r>
      <w:r w:rsidR="00B25172">
        <w:rPr>
          <w:rFonts w:ascii="Arial" w:hAnsi="Arial" w:cs="Arial"/>
          <w:bCs/>
          <w:sz w:val="24"/>
          <w:szCs w:val="24"/>
        </w:rPr>
        <w:t xml:space="preserve"> </w:t>
      </w:r>
      <w:r w:rsidR="009C2E56" w:rsidRPr="00073896">
        <w:rPr>
          <w:rFonts w:ascii="Arial" w:hAnsi="Arial" w:cs="Arial"/>
          <w:bCs/>
          <w:sz w:val="24"/>
          <w:szCs w:val="24"/>
        </w:rPr>
        <w:t xml:space="preserve">and enforceable. </w:t>
      </w:r>
      <w:r w:rsidR="00DB26CB" w:rsidRPr="00073896">
        <w:rPr>
          <w:rFonts w:ascii="Arial" w:hAnsi="Arial" w:cs="Arial"/>
          <w:bCs/>
          <w:sz w:val="24"/>
          <w:szCs w:val="24"/>
        </w:rPr>
        <w:t xml:space="preserve">In addition to </w:t>
      </w:r>
      <w:r w:rsidR="00C529B2" w:rsidRPr="00073896">
        <w:rPr>
          <w:rFonts w:ascii="Arial" w:hAnsi="Arial" w:cs="Arial"/>
          <w:bCs/>
          <w:sz w:val="24"/>
          <w:szCs w:val="24"/>
        </w:rPr>
        <w:t xml:space="preserve">relying on </w:t>
      </w:r>
      <w:r w:rsidR="00DB26CB" w:rsidRPr="00073896">
        <w:rPr>
          <w:rFonts w:ascii="Arial" w:hAnsi="Arial" w:cs="Arial"/>
          <w:bCs/>
          <w:sz w:val="24"/>
          <w:szCs w:val="24"/>
        </w:rPr>
        <w:t>the NDPP’s approval, t</w:t>
      </w:r>
      <w:r w:rsidR="00640947" w:rsidRPr="00073896">
        <w:rPr>
          <w:rFonts w:ascii="Arial" w:hAnsi="Arial" w:cs="Arial"/>
          <w:bCs/>
          <w:sz w:val="24"/>
          <w:szCs w:val="24"/>
        </w:rPr>
        <w:t>he PSA also placed reliance on a memorandum from the C</w:t>
      </w:r>
      <w:r w:rsidR="00020788" w:rsidRPr="00073896">
        <w:rPr>
          <w:rFonts w:ascii="Arial" w:hAnsi="Arial" w:cs="Arial"/>
          <w:bCs/>
          <w:sz w:val="24"/>
          <w:szCs w:val="24"/>
        </w:rPr>
        <w:t xml:space="preserve">hief </w:t>
      </w:r>
      <w:r w:rsidR="00640947" w:rsidRPr="00073896">
        <w:rPr>
          <w:rFonts w:ascii="Arial" w:hAnsi="Arial" w:cs="Arial"/>
          <w:bCs/>
          <w:sz w:val="24"/>
          <w:szCs w:val="24"/>
        </w:rPr>
        <w:t>E</w:t>
      </w:r>
      <w:r w:rsidR="00020788" w:rsidRPr="00073896">
        <w:rPr>
          <w:rFonts w:ascii="Arial" w:hAnsi="Arial" w:cs="Arial"/>
          <w:bCs/>
          <w:sz w:val="24"/>
          <w:szCs w:val="24"/>
        </w:rPr>
        <w:t xml:space="preserve">xecutive </w:t>
      </w:r>
      <w:r w:rsidR="00640947" w:rsidRPr="00073896">
        <w:rPr>
          <w:rFonts w:ascii="Arial" w:hAnsi="Arial" w:cs="Arial"/>
          <w:bCs/>
          <w:sz w:val="24"/>
          <w:szCs w:val="24"/>
        </w:rPr>
        <w:t>O</w:t>
      </w:r>
      <w:r w:rsidR="00020788" w:rsidRPr="00073896">
        <w:rPr>
          <w:rFonts w:ascii="Arial" w:hAnsi="Arial" w:cs="Arial"/>
          <w:bCs/>
          <w:sz w:val="24"/>
          <w:szCs w:val="24"/>
        </w:rPr>
        <w:t>fficer</w:t>
      </w:r>
      <w:r w:rsidR="00640947" w:rsidRPr="00073896">
        <w:rPr>
          <w:rFonts w:ascii="Arial" w:hAnsi="Arial" w:cs="Arial"/>
          <w:bCs/>
          <w:sz w:val="24"/>
          <w:szCs w:val="24"/>
        </w:rPr>
        <w:t xml:space="preserve"> of the NPA</w:t>
      </w:r>
      <w:r w:rsidR="00C56213" w:rsidRPr="00073896">
        <w:rPr>
          <w:rFonts w:ascii="Arial" w:hAnsi="Arial" w:cs="Arial"/>
          <w:bCs/>
          <w:sz w:val="24"/>
          <w:szCs w:val="24"/>
        </w:rPr>
        <w:t xml:space="preserve">, </w:t>
      </w:r>
      <w:r w:rsidR="00FA2935">
        <w:rPr>
          <w:rFonts w:ascii="Arial" w:hAnsi="Arial" w:cs="Arial"/>
          <w:bCs/>
          <w:sz w:val="24"/>
          <w:szCs w:val="24"/>
        </w:rPr>
        <w:t>Ms</w:t>
      </w:r>
      <w:r w:rsidR="00C56213" w:rsidRPr="00073896">
        <w:rPr>
          <w:rFonts w:ascii="Arial" w:hAnsi="Arial" w:cs="Arial"/>
          <w:bCs/>
          <w:sz w:val="24"/>
          <w:szCs w:val="24"/>
        </w:rPr>
        <w:t xml:space="preserve"> Karen van Rensburg (the CEO)</w:t>
      </w:r>
      <w:r w:rsidR="00640947" w:rsidRPr="00073896">
        <w:rPr>
          <w:rFonts w:ascii="Arial" w:hAnsi="Arial" w:cs="Arial"/>
          <w:bCs/>
          <w:sz w:val="24"/>
          <w:szCs w:val="24"/>
        </w:rPr>
        <w:t xml:space="preserve"> dated 24 November 2014, in terms of which the DDPP’s were </w:t>
      </w:r>
      <w:r w:rsidR="00C27623">
        <w:rPr>
          <w:rFonts w:ascii="Arial" w:hAnsi="Arial" w:cs="Arial"/>
          <w:bCs/>
          <w:sz w:val="24"/>
          <w:szCs w:val="24"/>
        </w:rPr>
        <w:t xml:space="preserve">inter alia </w:t>
      </w:r>
      <w:r w:rsidR="00640947" w:rsidRPr="00073896">
        <w:rPr>
          <w:rFonts w:ascii="Arial" w:hAnsi="Arial" w:cs="Arial"/>
          <w:bCs/>
          <w:sz w:val="24"/>
          <w:szCs w:val="24"/>
        </w:rPr>
        <w:t xml:space="preserve">informed that the proposed implementation date for migration to LP10 </w:t>
      </w:r>
      <w:r w:rsidR="00020788" w:rsidRPr="00073896">
        <w:rPr>
          <w:rFonts w:ascii="Arial" w:hAnsi="Arial" w:cs="Arial"/>
          <w:bCs/>
          <w:sz w:val="24"/>
          <w:szCs w:val="24"/>
        </w:rPr>
        <w:t xml:space="preserve">in the NPA </w:t>
      </w:r>
      <w:r w:rsidR="00640947" w:rsidRPr="00073896">
        <w:rPr>
          <w:rFonts w:ascii="Arial" w:hAnsi="Arial" w:cs="Arial"/>
          <w:bCs/>
          <w:sz w:val="24"/>
          <w:szCs w:val="24"/>
        </w:rPr>
        <w:t xml:space="preserve">was 1 April 2015. </w:t>
      </w:r>
    </w:p>
    <w:p w14:paraId="48E9C45B" w14:textId="77777777" w:rsidR="0094750B" w:rsidRPr="00D02B6C" w:rsidRDefault="0094750B" w:rsidP="004E4891">
      <w:pPr>
        <w:pStyle w:val="ListParagraph"/>
        <w:spacing w:after="0" w:line="360" w:lineRule="auto"/>
        <w:ind w:left="0"/>
        <w:jc w:val="both"/>
        <w:rPr>
          <w:rFonts w:ascii="Arial" w:hAnsi="Arial" w:cs="Arial"/>
          <w:bCs/>
        </w:rPr>
      </w:pPr>
    </w:p>
    <w:p w14:paraId="41EE9C61" w14:textId="72583C1B" w:rsidR="001F61DB" w:rsidRDefault="00821D6B" w:rsidP="00307EF7">
      <w:pPr>
        <w:pStyle w:val="ListParagraph"/>
        <w:numPr>
          <w:ilvl w:val="0"/>
          <w:numId w:val="1"/>
        </w:numPr>
        <w:spacing w:line="360" w:lineRule="auto"/>
        <w:ind w:left="0" w:firstLine="0"/>
        <w:jc w:val="both"/>
        <w:rPr>
          <w:rFonts w:ascii="Arial" w:hAnsi="Arial" w:cs="Arial"/>
          <w:bCs/>
          <w:sz w:val="24"/>
          <w:szCs w:val="24"/>
        </w:rPr>
      </w:pPr>
      <w:r>
        <w:rPr>
          <w:rFonts w:ascii="Arial" w:hAnsi="Arial" w:cs="Arial"/>
          <w:bCs/>
          <w:sz w:val="24"/>
          <w:szCs w:val="24"/>
        </w:rPr>
        <w:t>During the hearing of the application at the high c</w:t>
      </w:r>
      <w:r w:rsidR="002764EA">
        <w:rPr>
          <w:rFonts w:ascii="Arial" w:hAnsi="Arial" w:cs="Arial"/>
          <w:bCs/>
          <w:sz w:val="24"/>
          <w:szCs w:val="24"/>
        </w:rPr>
        <w:t>ourt, t</w:t>
      </w:r>
      <w:r>
        <w:rPr>
          <w:rFonts w:ascii="Arial" w:hAnsi="Arial" w:cs="Arial"/>
          <w:bCs/>
          <w:sz w:val="24"/>
          <w:szCs w:val="24"/>
        </w:rPr>
        <w:t xml:space="preserve">he appellants contended that the </w:t>
      </w:r>
      <w:r w:rsidR="003F1D55">
        <w:rPr>
          <w:rFonts w:ascii="Arial" w:hAnsi="Arial" w:cs="Arial"/>
          <w:bCs/>
          <w:sz w:val="24"/>
          <w:szCs w:val="24"/>
        </w:rPr>
        <w:t xml:space="preserve">high court did not have the jurisdiction to adjudicate the matter because </w:t>
      </w:r>
      <w:r w:rsidR="0050490C">
        <w:rPr>
          <w:rFonts w:ascii="Arial" w:hAnsi="Arial" w:cs="Arial"/>
          <w:bCs/>
          <w:sz w:val="24"/>
          <w:szCs w:val="24"/>
        </w:rPr>
        <w:t xml:space="preserve">the </w:t>
      </w:r>
      <w:r>
        <w:rPr>
          <w:rFonts w:ascii="Arial" w:hAnsi="Arial" w:cs="Arial"/>
          <w:bCs/>
          <w:sz w:val="24"/>
          <w:szCs w:val="24"/>
        </w:rPr>
        <w:t>PSA’s application was a quintessential labour dispute which was to be processed through the mandatory dispute resolution procedures set out in the Labour Relations Act 66 of 1995 (LRA). The</w:t>
      </w:r>
      <w:r w:rsidR="003F1D55">
        <w:rPr>
          <w:rFonts w:ascii="Arial" w:hAnsi="Arial" w:cs="Arial"/>
          <w:bCs/>
          <w:sz w:val="24"/>
          <w:szCs w:val="24"/>
        </w:rPr>
        <w:t xml:space="preserve"> appellants </w:t>
      </w:r>
      <w:r w:rsidR="0050490C">
        <w:rPr>
          <w:rFonts w:ascii="Arial" w:hAnsi="Arial" w:cs="Arial"/>
          <w:bCs/>
          <w:sz w:val="24"/>
          <w:szCs w:val="24"/>
        </w:rPr>
        <w:t xml:space="preserve">also </w:t>
      </w:r>
      <w:r w:rsidR="003F1D55">
        <w:rPr>
          <w:rFonts w:ascii="Arial" w:hAnsi="Arial" w:cs="Arial"/>
          <w:bCs/>
          <w:sz w:val="24"/>
          <w:szCs w:val="24"/>
        </w:rPr>
        <w:t>contended that</w:t>
      </w:r>
      <w:r>
        <w:rPr>
          <w:rFonts w:ascii="Arial" w:hAnsi="Arial" w:cs="Arial"/>
          <w:bCs/>
          <w:sz w:val="24"/>
          <w:szCs w:val="24"/>
        </w:rPr>
        <w:t xml:space="preserve"> </w:t>
      </w:r>
      <w:r w:rsidR="002764EA">
        <w:rPr>
          <w:rFonts w:ascii="Arial" w:hAnsi="Arial" w:cs="Arial"/>
          <w:bCs/>
          <w:sz w:val="24"/>
          <w:szCs w:val="24"/>
        </w:rPr>
        <w:t xml:space="preserve">the high court </w:t>
      </w:r>
      <w:r w:rsidR="0050490C">
        <w:rPr>
          <w:rFonts w:ascii="Arial" w:hAnsi="Arial" w:cs="Arial"/>
          <w:bCs/>
          <w:sz w:val="24"/>
          <w:szCs w:val="24"/>
        </w:rPr>
        <w:t xml:space="preserve">could </w:t>
      </w:r>
      <w:r>
        <w:rPr>
          <w:rFonts w:ascii="Arial" w:hAnsi="Arial" w:cs="Arial"/>
          <w:bCs/>
          <w:sz w:val="24"/>
          <w:szCs w:val="24"/>
        </w:rPr>
        <w:t xml:space="preserve">not exercise jurisdiction over the dispute within the contemplation of s 77(3) of the </w:t>
      </w:r>
      <w:r w:rsidR="00017F77">
        <w:rPr>
          <w:rFonts w:ascii="Arial" w:hAnsi="Arial" w:cs="Arial"/>
          <w:bCs/>
          <w:sz w:val="24"/>
          <w:szCs w:val="24"/>
        </w:rPr>
        <w:t>Basic Conditions of Employment Act 75 of 1997 (</w:t>
      </w:r>
      <w:r>
        <w:rPr>
          <w:rFonts w:ascii="Arial" w:hAnsi="Arial" w:cs="Arial"/>
          <w:bCs/>
          <w:sz w:val="24"/>
          <w:szCs w:val="24"/>
        </w:rPr>
        <w:t>BCEA</w:t>
      </w:r>
      <w:r w:rsidR="00017F77">
        <w:rPr>
          <w:rFonts w:ascii="Arial" w:hAnsi="Arial" w:cs="Arial"/>
          <w:bCs/>
          <w:sz w:val="24"/>
          <w:szCs w:val="24"/>
        </w:rPr>
        <w:t>)</w:t>
      </w:r>
      <w:r w:rsidR="00F06C2B">
        <w:rPr>
          <w:rFonts w:ascii="Arial" w:hAnsi="Arial" w:cs="Arial"/>
          <w:bCs/>
          <w:sz w:val="24"/>
          <w:szCs w:val="24"/>
        </w:rPr>
        <w:t xml:space="preserve"> because the </w:t>
      </w:r>
      <w:r>
        <w:rPr>
          <w:rFonts w:ascii="Arial" w:hAnsi="Arial" w:cs="Arial"/>
          <w:bCs/>
          <w:sz w:val="24"/>
          <w:szCs w:val="24"/>
        </w:rPr>
        <w:t xml:space="preserve">various collective agreements </w:t>
      </w:r>
      <w:r w:rsidR="00F06C2B">
        <w:rPr>
          <w:rFonts w:ascii="Arial" w:hAnsi="Arial" w:cs="Arial"/>
          <w:bCs/>
          <w:sz w:val="24"/>
          <w:szCs w:val="24"/>
        </w:rPr>
        <w:t xml:space="preserve">relied upon by the PSA were </w:t>
      </w:r>
      <w:r>
        <w:rPr>
          <w:rFonts w:ascii="Arial" w:hAnsi="Arial" w:cs="Arial"/>
          <w:bCs/>
          <w:sz w:val="24"/>
          <w:szCs w:val="24"/>
        </w:rPr>
        <w:t>inapplicable to them</w:t>
      </w:r>
      <w:r w:rsidR="00F06C2B">
        <w:rPr>
          <w:rFonts w:ascii="Arial" w:hAnsi="Arial" w:cs="Arial"/>
          <w:bCs/>
          <w:sz w:val="24"/>
          <w:szCs w:val="24"/>
        </w:rPr>
        <w:t xml:space="preserve">. </w:t>
      </w:r>
    </w:p>
    <w:p w14:paraId="79F20D20" w14:textId="77777777" w:rsidR="001F61DB" w:rsidRPr="00D02B6C" w:rsidRDefault="001F61DB" w:rsidP="001F61DB">
      <w:pPr>
        <w:pStyle w:val="ListParagraph"/>
        <w:rPr>
          <w:rFonts w:ascii="Arial" w:hAnsi="Arial" w:cs="Arial"/>
          <w:bCs/>
        </w:rPr>
      </w:pPr>
    </w:p>
    <w:p w14:paraId="4BE6CDC8" w14:textId="1ED3E60C" w:rsidR="000E1DF8" w:rsidRDefault="00CB5FD1" w:rsidP="004E4891">
      <w:pPr>
        <w:pStyle w:val="ListParagraph"/>
        <w:numPr>
          <w:ilvl w:val="0"/>
          <w:numId w:val="1"/>
        </w:numPr>
        <w:spacing w:after="0" w:line="360" w:lineRule="auto"/>
        <w:ind w:left="0" w:firstLine="0"/>
        <w:jc w:val="both"/>
        <w:rPr>
          <w:rFonts w:ascii="Arial" w:hAnsi="Arial" w:cs="Arial"/>
          <w:bCs/>
          <w:sz w:val="24"/>
          <w:szCs w:val="24"/>
        </w:rPr>
      </w:pPr>
      <w:r>
        <w:rPr>
          <w:rFonts w:ascii="Arial" w:hAnsi="Arial" w:cs="Arial"/>
          <w:bCs/>
          <w:sz w:val="24"/>
          <w:szCs w:val="24"/>
        </w:rPr>
        <w:t xml:space="preserve">In dealing with the point </w:t>
      </w:r>
      <w:r w:rsidRPr="002D0EA2">
        <w:rPr>
          <w:rFonts w:ascii="Arial" w:hAnsi="Arial" w:cs="Arial"/>
          <w:bCs/>
          <w:i/>
          <w:sz w:val="24"/>
          <w:szCs w:val="24"/>
        </w:rPr>
        <w:t>in limine</w:t>
      </w:r>
      <w:r>
        <w:rPr>
          <w:rFonts w:ascii="Arial" w:hAnsi="Arial" w:cs="Arial"/>
          <w:bCs/>
          <w:sz w:val="24"/>
          <w:szCs w:val="24"/>
        </w:rPr>
        <w:t xml:space="preserve"> </w:t>
      </w:r>
      <w:r w:rsidR="00100CBC">
        <w:rPr>
          <w:rFonts w:ascii="Arial" w:hAnsi="Arial" w:cs="Arial"/>
          <w:bCs/>
          <w:sz w:val="24"/>
          <w:szCs w:val="24"/>
        </w:rPr>
        <w:t xml:space="preserve">raised in </w:t>
      </w:r>
      <w:r>
        <w:rPr>
          <w:rFonts w:ascii="Arial" w:hAnsi="Arial" w:cs="Arial"/>
          <w:bCs/>
          <w:sz w:val="24"/>
          <w:szCs w:val="24"/>
        </w:rPr>
        <w:t>relati</w:t>
      </w:r>
      <w:r w:rsidR="00100CBC">
        <w:rPr>
          <w:rFonts w:ascii="Arial" w:hAnsi="Arial" w:cs="Arial"/>
          <w:bCs/>
          <w:sz w:val="24"/>
          <w:szCs w:val="24"/>
        </w:rPr>
        <w:t xml:space="preserve">on to </w:t>
      </w:r>
      <w:r>
        <w:rPr>
          <w:rFonts w:ascii="Arial" w:hAnsi="Arial" w:cs="Arial"/>
          <w:bCs/>
          <w:sz w:val="24"/>
          <w:szCs w:val="24"/>
        </w:rPr>
        <w:t>jurisdiction, t</w:t>
      </w:r>
      <w:r w:rsidR="0034352C" w:rsidRPr="00922D92">
        <w:rPr>
          <w:rFonts w:ascii="Arial" w:hAnsi="Arial" w:cs="Arial"/>
          <w:bCs/>
          <w:sz w:val="24"/>
          <w:szCs w:val="24"/>
        </w:rPr>
        <w:t>he high court</w:t>
      </w:r>
      <w:r>
        <w:rPr>
          <w:rFonts w:ascii="Arial" w:hAnsi="Arial" w:cs="Arial"/>
          <w:bCs/>
          <w:sz w:val="24"/>
          <w:szCs w:val="24"/>
        </w:rPr>
        <w:t xml:space="preserve"> took into </w:t>
      </w:r>
      <w:r w:rsidR="00100CBC">
        <w:rPr>
          <w:rFonts w:ascii="Arial" w:hAnsi="Arial" w:cs="Arial"/>
          <w:bCs/>
          <w:sz w:val="24"/>
          <w:szCs w:val="24"/>
        </w:rPr>
        <w:t xml:space="preserve">account that </w:t>
      </w:r>
      <w:r w:rsidR="005925BC">
        <w:rPr>
          <w:rFonts w:ascii="Arial" w:hAnsi="Arial" w:cs="Arial"/>
          <w:bCs/>
          <w:sz w:val="24"/>
          <w:szCs w:val="24"/>
        </w:rPr>
        <w:t xml:space="preserve">the </w:t>
      </w:r>
      <w:r w:rsidR="0034352C">
        <w:rPr>
          <w:rFonts w:ascii="Arial" w:hAnsi="Arial" w:cs="Arial"/>
          <w:bCs/>
          <w:sz w:val="24"/>
          <w:szCs w:val="24"/>
        </w:rPr>
        <w:t xml:space="preserve">PSA not </w:t>
      </w:r>
      <w:r w:rsidR="00173461">
        <w:rPr>
          <w:rFonts w:ascii="Arial" w:hAnsi="Arial" w:cs="Arial"/>
          <w:bCs/>
          <w:sz w:val="24"/>
          <w:szCs w:val="24"/>
        </w:rPr>
        <w:t xml:space="preserve">only </w:t>
      </w:r>
      <w:r w:rsidR="0034352C">
        <w:rPr>
          <w:rFonts w:ascii="Arial" w:hAnsi="Arial" w:cs="Arial"/>
          <w:bCs/>
          <w:sz w:val="24"/>
          <w:szCs w:val="24"/>
        </w:rPr>
        <w:t>sought compliance with collective agreements but</w:t>
      </w:r>
      <w:r w:rsidR="001145B4">
        <w:rPr>
          <w:rFonts w:ascii="Arial" w:hAnsi="Arial" w:cs="Arial"/>
          <w:bCs/>
          <w:sz w:val="24"/>
          <w:szCs w:val="24"/>
        </w:rPr>
        <w:t>, in addition,</w:t>
      </w:r>
      <w:r w:rsidR="0034352C">
        <w:rPr>
          <w:rFonts w:ascii="Arial" w:hAnsi="Arial" w:cs="Arial"/>
          <w:bCs/>
          <w:sz w:val="24"/>
          <w:szCs w:val="24"/>
        </w:rPr>
        <w:t xml:space="preserve"> also sought compliance with the 2010 Determination issued by the </w:t>
      </w:r>
      <w:r w:rsidR="0034352C">
        <w:rPr>
          <w:rFonts w:ascii="Arial" w:hAnsi="Arial" w:cs="Arial"/>
          <w:bCs/>
          <w:sz w:val="24"/>
          <w:szCs w:val="24"/>
        </w:rPr>
        <w:lastRenderedPageBreak/>
        <w:t>Minister</w:t>
      </w:r>
      <w:r w:rsidR="00DA48FC">
        <w:rPr>
          <w:rFonts w:ascii="Arial" w:hAnsi="Arial" w:cs="Arial"/>
          <w:bCs/>
          <w:sz w:val="24"/>
          <w:szCs w:val="24"/>
        </w:rPr>
        <w:t>, the</w:t>
      </w:r>
      <w:r w:rsidR="00DB634F">
        <w:rPr>
          <w:rFonts w:ascii="Arial" w:hAnsi="Arial" w:cs="Arial"/>
          <w:bCs/>
          <w:sz w:val="24"/>
          <w:szCs w:val="24"/>
        </w:rPr>
        <w:t xml:space="preserve"> NDPP’s approval </w:t>
      </w:r>
      <w:r w:rsidR="00200FAC">
        <w:rPr>
          <w:rFonts w:ascii="Arial" w:hAnsi="Arial" w:cs="Arial"/>
          <w:bCs/>
          <w:sz w:val="24"/>
          <w:szCs w:val="24"/>
        </w:rPr>
        <w:t xml:space="preserve">(regarding the implementation of the OSD) </w:t>
      </w:r>
      <w:r w:rsidR="00DB634F">
        <w:rPr>
          <w:rFonts w:ascii="Arial" w:hAnsi="Arial" w:cs="Arial"/>
          <w:bCs/>
          <w:sz w:val="24"/>
          <w:szCs w:val="24"/>
        </w:rPr>
        <w:t xml:space="preserve">and the </w:t>
      </w:r>
      <w:r w:rsidR="00173461">
        <w:rPr>
          <w:rFonts w:ascii="Arial" w:hAnsi="Arial" w:cs="Arial"/>
          <w:bCs/>
          <w:sz w:val="24"/>
          <w:szCs w:val="24"/>
        </w:rPr>
        <w:t xml:space="preserve">memorandum compiled by the </w:t>
      </w:r>
      <w:r w:rsidR="00DB634F">
        <w:rPr>
          <w:rFonts w:ascii="Arial" w:hAnsi="Arial" w:cs="Arial"/>
          <w:bCs/>
          <w:sz w:val="24"/>
          <w:szCs w:val="24"/>
        </w:rPr>
        <w:t>CEO</w:t>
      </w:r>
      <w:r w:rsidR="00173461">
        <w:rPr>
          <w:rFonts w:ascii="Arial" w:hAnsi="Arial" w:cs="Arial"/>
          <w:bCs/>
          <w:sz w:val="24"/>
          <w:szCs w:val="24"/>
        </w:rPr>
        <w:t xml:space="preserve"> dated 24 November 2014.</w:t>
      </w:r>
      <w:r w:rsidR="00041E34">
        <w:rPr>
          <w:rStyle w:val="FootnoteReference"/>
          <w:rFonts w:ascii="Arial" w:hAnsi="Arial" w:cs="Arial"/>
          <w:bCs/>
          <w:sz w:val="24"/>
          <w:szCs w:val="24"/>
        </w:rPr>
        <w:footnoteReference w:id="7"/>
      </w:r>
      <w:r w:rsidR="0034352C">
        <w:rPr>
          <w:rFonts w:ascii="Arial" w:hAnsi="Arial" w:cs="Arial"/>
          <w:bCs/>
          <w:sz w:val="24"/>
          <w:szCs w:val="24"/>
        </w:rPr>
        <w:t xml:space="preserve"> </w:t>
      </w:r>
      <w:r w:rsidR="00D900DA">
        <w:rPr>
          <w:rFonts w:ascii="Arial" w:hAnsi="Arial" w:cs="Arial"/>
          <w:bCs/>
          <w:sz w:val="24"/>
          <w:szCs w:val="24"/>
        </w:rPr>
        <w:t xml:space="preserve">It accepted that </w:t>
      </w:r>
      <w:r w:rsidR="00EC6726">
        <w:rPr>
          <w:rFonts w:ascii="Arial" w:hAnsi="Arial" w:cs="Arial"/>
          <w:bCs/>
          <w:sz w:val="24"/>
          <w:szCs w:val="24"/>
        </w:rPr>
        <w:t xml:space="preserve">the </w:t>
      </w:r>
      <w:r w:rsidR="00B2695C">
        <w:rPr>
          <w:rFonts w:ascii="Arial" w:hAnsi="Arial" w:cs="Arial"/>
          <w:bCs/>
          <w:sz w:val="24"/>
          <w:szCs w:val="24"/>
        </w:rPr>
        <w:t>PSA</w:t>
      </w:r>
      <w:r w:rsidR="00D900DA">
        <w:rPr>
          <w:rFonts w:ascii="Arial" w:hAnsi="Arial" w:cs="Arial"/>
          <w:bCs/>
          <w:sz w:val="24"/>
          <w:szCs w:val="24"/>
        </w:rPr>
        <w:t xml:space="preserve">’s prayer for </w:t>
      </w:r>
      <w:r w:rsidR="00B2695C">
        <w:rPr>
          <w:rFonts w:ascii="Arial" w:hAnsi="Arial" w:cs="Arial"/>
          <w:bCs/>
          <w:sz w:val="24"/>
          <w:szCs w:val="24"/>
        </w:rPr>
        <w:t xml:space="preserve">specific performance </w:t>
      </w:r>
      <w:r w:rsidR="00D900DA">
        <w:rPr>
          <w:rFonts w:ascii="Arial" w:hAnsi="Arial" w:cs="Arial"/>
          <w:bCs/>
          <w:sz w:val="24"/>
          <w:szCs w:val="24"/>
        </w:rPr>
        <w:t>was premised on</w:t>
      </w:r>
      <w:r w:rsidR="000F5A71">
        <w:rPr>
          <w:rFonts w:ascii="Arial" w:hAnsi="Arial" w:cs="Arial"/>
          <w:bCs/>
          <w:sz w:val="24"/>
          <w:szCs w:val="24"/>
        </w:rPr>
        <w:t xml:space="preserve"> s 77(</w:t>
      </w:r>
      <w:r w:rsidR="008D5D41">
        <w:rPr>
          <w:rFonts w:ascii="Arial" w:hAnsi="Arial" w:cs="Arial"/>
          <w:bCs/>
          <w:sz w:val="24"/>
          <w:szCs w:val="24"/>
        </w:rPr>
        <w:t>3</w:t>
      </w:r>
      <w:r w:rsidR="000F5A71">
        <w:rPr>
          <w:rFonts w:ascii="Arial" w:hAnsi="Arial" w:cs="Arial"/>
          <w:bCs/>
          <w:sz w:val="24"/>
          <w:szCs w:val="24"/>
        </w:rPr>
        <w:t>) of the</w:t>
      </w:r>
      <w:r w:rsidR="007F50F6">
        <w:rPr>
          <w:rFonts w:ascii="Arial" w:hAnsi="Arial" w:cs="Arial"/>
          <w:bCs/>
          <w:sz w:val="24"/>
          <w:szCs w:val="24"/>
        </w:rPr>
        <w:t xml:space="preserve"> BCEA</w:t>
      </w:r>
      <w:r w:rsidR="000F5A71">
        <w:rPr>
          <w:rFonts w:ascii="Arial" w:hAnsi="Arial" w:cs="Arial"/>
          <w:bCs/>
          <w:sz w:val="24"/>
          <w:szCs w:val="24"/>
        </w:rPr>
        <w:t xml:space="preserve">, which grants concurrent jurisdiction to both the Labour Court and the </w:t>
      </w:r>
      <w:r w:rsidR="000940D4" w:rsidRPr="00062501">
        <w:rPr>
          <w:rFonts w:ascii="Arial" w:hAnsi="Arial" w:cs="Arial"/>
          <w:bCs/>
          <w:sz w:val="24"/>
          <w:szCs w:val="24"/>
        </w:rPr>
        <w:t>H</w:t>
      </w:r>
      <w:r w:rsidR="00FA2E42" w:rsidRPr="00062501">
        <w:rPr>
          <w:rFonts w:ascii="Arial" w:hAnsi="Arial" w:cs="Arial"/>
          <w:bCs/>
          <w:sz w:val="24"/>
          <w:szCs w:val="24"/>
        </w:rPr>
        <w:t xml:space="preserve">igh </w:t>
      </w:r>
      <w:r w:rsidR="000940D4" w:rsidRPr="00F57A84">
        <w:rPr>
          <w:rFonts w:ascii="Arial" w:hAnsi="Arial" w:cs="Arial"/>
          <w:bCs/>
          <w:sz w:val="24"/>
          <w:szCs w:val="24"/>
        </w:rPr>
        <w:t>C</w:t>
      </w:r>
      <w:r w:rsidR="00FA2E42" w:rsidRPr="00062501">
        <w:rPr>
          <w:rFonts w:ascii="Arial" w:hAnsi="Arial" w:cs="Arial"/>
          <w:bCs/>
          <w:sz w:val="24"/>
          <w:szCs w:val="24"/>
        </w:rPr>
        <w:t>ourt</w:t>
      </w:r>
      <w:r w:rsidR="00FA2E42">
        <w:rPr>
          <w:rFonts w:ascii="Arial" w:hAnsi="Arial" w:cs="Arial"/>
          <w:bCs/>
          <w:sz w:val="24"/>
          <w:szCs w:val="24"/>
        </w:rPr>
        <w:t xml:space="preserve"> </w:t>
      </w:r>
      <w:r w:rsidR="008D5D41">
        <w:rPr>
          <w:rFonts w:ascii="Arial" w:hAnsi="Arial" w:cs="Arial"/>
          <w:bCs/>
          <w:sz w:val="24"/>
          <w:szCs w:val="24"/>
        </w:rPr>
        <w:t>in relation to any matter concerning a contract of employment</w:t>
      </w:r>
      <w:r w:rsidR="006D1B24">
        <w:rPr>
          <w:rFonts w:ascii="Arial" w:hAnsi="Arial" w:cs="Arial"/>
          <w:bCs/>
          <w:sz w:val="24"/>
          <w:szCs w:val="24"/>
        </w:rPr>
        <w:t>.</w:t>
      </w:r>
      <w:r w:rsidR="00F43B91">
        <w:rPr>
          <w:rFonts w:ascii="Arial" w:hAnsi="Arial" w:cs="Arial"/>
          <w:bCs/>
          <w:sz w:val="24"/>
          <w:szCs w:val="24"/>
        </w:rPr>
        <w:t xml:space="preserve"> The high court </w:t>
      </w:r>
      <w:r w:rsidR="003E0BDA">
        <w:rPr>
          <w:rFonts w:ascii="Arial" w:hAnsi="Arial" w:cs="Arial"/>
          <w:bCs/>
          <w:sz w:val="24"/>
          <w:szCs w:val="24"/>
        </w:rPr>
        <w:t>t</w:t>
      </w:r>
      <w:r w:rsidR="00F43B91">
        <w:rPr>
          <w:rFonts w:ascii="Arial" w:hAnsi="Arial" w:cs="Arial"/>
          <w:bCs/>
          <w:sz w:val="24"/>
          <w:szCs w:val="24"/>
        </w:rPr>
        <w:t xml:space="preserve">herefore </w:t>
      </w:r>
      <w:r w:rsidR="00F43B91" w:rsidRPr="00922D92">
        <w:rPr>
          <w:rFonts w:ascii="Arial" w:hAnsi="Arial" w:cs="Arial"/>
          <w:bCs/>
          <w:sz w:val="24"/>
          <w:szCs w:val="24"/>
        </w:rPr>
        <w:t>considered itself to have the jurisdiction to adjudicate the application</w:t>
      </w:r>
      <w:r w:rsidR="00442456">
        <w:rPr>
          <w:rFonts w:ascii="Arial" w:hAnsi="Arial" w:cs="Arial"/>
          <w:bCs/>
          <w:sz w:val="24"/>
          <w:szCs w:val="24"/>
        </w:rPr>
        <w:t xml:space="preserve"> and </w:t>
      </w:r>
      <w:r w:rsidR="003E0BDA">
        <w:rPr>
          <w:rFonts w:ascii="Arial" w:hAnsi="Arial" w:cs="Arial"/>
          <w:bCs/>
          <w:sz w:val="24"/>
          <w:szCs w:val="24"/>
        </w:rPr>
        <w:t xml:space="preserve">dismissed </w:t>
      </w:r>
      <w:r w:rsidR="00F43B91">
        <w:rPr>
          <w:rFonts w:ascii="Arial" w:hAnsi="Arial" w:cs="Arial"/>
          <w:bCs/>
          <w:sz w:val="24"/>
          <w:szCs w:val="24"/>
        </w:rPr>
        <w:t xml:space="preserve">the point </w:t>
      </w:r>
      <w:r w:rsidR="00F43B91" w:rsidRPr="004E4891">
        <w:rPr>
          <w:rFonts w:ascii="Arial" w:hAnsi="Arial" w:cs="Arial"/>
          <w:bCs/>
          <w:i/>
          <w:sz w:val="24"/>
          <w:szCs w:val="24"/>
        </w:rPr>
        <w:t>in limine</w:t>
      </w:r>
      <w:r w:rsidR="00442456">
        <w:rPr>
          <w:rFonts w:ascii="Arial" w:hAnsi="Arial" w:cs="Arial"/>
          <w:bCs/>
          <w:sz w:val="24"/>
          <w:szCs w:val="24"/>
        </w:rPr>
        <w:t xml:space="preserve">. It also dismissed the points </w:t>
      </w:r>
      <w:r w:rsidR="00442456" w:rsidRPr="002D0EA2">
        <w:rPr>
          <w:rFonts w:ascii="Arial" w:hAnsi="Arial" w:cs="Arial"/>
          <w:bCs/>
          <w:i/>
          <w:sz w:val="24"/>
          <w:szCs w:val="24"/>
        </w:rPr>
        <w:t>in limine</w:t>
      </w:r>
      <w:r w:rsidR="00442456">
        <w:rPr>
          <w:rFonts w:ascii="Arial" w:hAnsi="Arial" w:cs="Arial"/>
          <w:bCs/>
          <w:sz w:val="24"/>
          <w:szCs w:val="24"/>
        </w:rPr>
        <w:t xml:space="preserve"> raised in relation to </w:t>
      </w:r>
      <w:r w:rsidR="00442456" w:rsidRPr="00CE331B">
        <w:rPr>
          <w:rFonts w:ascii="Arial" w:hAnsi="Arial" w:cs="Arial"/>
          <w:bCs/>
          <w:i/>
          <w:iCs/>
          <w:sz w:val="24"/>
          <w:szCs w:val="24"/>
        </w:rPr>
        <w:t>lis pendens</w:t>
      </w:r>
      <w:r w:rsidR="00442456">
        <w:rPr>
          <w:rFonts w:ascii="Arial" w:hAnsi="Arial" w:cs="Arial"/>
          <w:bCs/>
          <w:sz w:val="24"/>
          <w:szCs w:val="24"/>
        </w:rPr>
        <w:t xml:space="preserve"> and </w:t>
      </w:r>
      <w:r w:rsidR="00AC76C0">
        <w:rPr>
          <w:rFonts w:ascii="Arial" w:hAnsi="Arial" w:cs="Arial"/>
          <w:bCs/>
          <w:sz w:val="24"/>
          <w:szCs w:val="24"/>
        </w:rPr>
        <w:t xml:space="preserve">prescription. </w:t>
      </w:r>
      <w:r w:rsidR="001A2C9F">
        <w:rPr>
          <w:rFonts w:ascii="Arial" w:hAnsi="Arial" w:cs="Arial"/>
          <w:bCs/>
          <w:sz w:val="24"/>
          <w:szCs w:val="24"/>
        </w:rPr>
        <w:t>T</w:t>
      </w:r>
      <w:r w:rsidR="00AC76C0">
        <w:rPr>
          <w:rFonts w:ascii="Arial" w:hAnsi="Arial" w:cs="Arial"/>
          <w:bCs/>
          <w:sz w:val="24"/>
          <w:szCs w:val="24"/>
        </w:rPr>
        <w:t xml:space="preserve">hese </w:t>
      </w:r>
      <w:r w:rsidR="00D520E3">
        <w:rPr>
          <w:rFonts w:ascii="Arial" w:hAnsi="Arial" w:cs="Arial"/>
          <w:bCs/>
          <w:sz w:val="24"/>
          <w:szCs w:val="24"/>
        </w:rPr>
        <w:t xml:space="preserve">are </w:t>
      </w:r>
      <w:r w:rsidR="00BF164D">
        <w:rPr>
          <w:rFonts w:ascii="Arial" w:hAnsi="Arial" w:cs="Arial"/>
          <w:bCs/>
          <w:sz w:val="24"/>
          <w:szCs w:val="24"/>
        </w:rPr>
        <w:t xml:space="preserve">aspects </w:t>
      </w:r>
      <w:r w:rsidR="00D520E3">
        <w:rPr>
          <w:rFonts w:ascii="Arial" w:hAnsi="Arial" w:cs="Arial"/>
          <w:bCs/>
          <w:sz w:val="24"/>
          <w:szCs w:val="24"/>
        </w:rPr>
        <w:t xml:space="preserve">that </w:t>
      </w:r>
      <w:r w:rsidR="00AC76C0">
        <w:rPr>
          <w:rFonts w:ascii="Arial" w:hAnsi="Arial" w:cs="Arial"/>
          <w:bCs/>
          <w:sz w:val="24"/>
          <w:szCs w:val="24"/>
        </w:rPr>
        <w:t xml:space="preserve">will be dealt with </w:t>
      </w:r>
      <w:r w:rsidR="00D520E3">
        <w:rPr>
          <w:rFonts w:ascii="Arial" w:hAnsi="Arial" w:cs="Arial"/>
          <w:bCs/>
          <w:sz w:val="24"/>
          <w:szCs w:val="24"/>
        </w:rPr>
        <w:t>at the end of this judgment.</w:t>
      </w:r>
    </w:p>
    <w:p w14:paraId="7DDA0313" w14:textId="77777777" w:rsidR="00BE3FCD" w:rsidRPr="00633EC5" w:rsidRDefault="00BE3FCD" w:rsidP="004E4891">
      <w:pPr>
        <w:spacing w:after="0"/>
        <w:rPr>
          <w:rFonts w:ascii="Arial" w:hAnsi="Arial" w:cs="Arial"/>
          <w:bCs/>
          <w:sz w:val="24"/>
          <w:szCs w:val="24"/>
        </w:rPr>
      </w:pPr>
    </w:p>
    <w:p w14:paraId="74EE09A1" w14:textId="7BD9F0E5" w:rsidR="000E1DF8" w:rsidRDefault="001F0397" w:rsidP="004E4891">
      <w:pPr>
        <w:pStyle w:val="ListParagraph"/>
        <w:numPr>
          <w:ilvl w:val="0"/>
          <w:numId w:val="1"/>
        </w:numPr>
        <w:spacing w:after="0" w:line="360" w:lineRule="auto"/>
        <w:ind w:left="0" w:firstLine="0"/>
        <w:jc w:val="both"/>
        <w:rPr>
          <w:rFonts w:ascii="Arial" w:hAnsi="Arial" w:cs="Arial"/>
          <w:bCs/>
          <w:sz w:val="24"/>
          <w:szCs w:val="24"/>
        </w:rPr>
      </w:pPr>
      <w:r>
        <w:rPr>
          <w:rFonts w:ascii="Arial" w:hAnsi="Arial" w:cs="Arial"/>
          <w:bCs/>
          <w:sz w:val="24"/>
          <w:szCs w:val="24"/>
        </w:rPr>
        <w:t>The</w:t>
      </w:r>
      <w:r w:rsidR="003C4C3C" w:rsidRPr="009754C8">
        <w:rPr>
          <w:rFonts w:ascii="Arial" w:hAnsi="Arial" w:cs="Arial"/>
          <w:bCs/>
          <w:sz w:val="24"/>
          <w:szCs w:val="24"/>
        </w:rPr>
        <w:t xml:space="preserve"> reasoning of the high court regarding the merits of the application</w:t>
      </w:r>
      <w:r>
        <w:rPr>
          <w:rFonts w:ascii="Arial" w:hAnsi="Arial" w:cs="Arial"/>
          <w:bCs/>
          <w:sz w:val="24"/>
          <w:szCs w:val="24"/>
        </w:rPr>
        <w:t xml:space="preserve">, properly construed, </w:t>
      </w:r>
      <w:r w:rsidR="003C4C3C" w:rsidRPr="009754C8">
        <w:rPr>
          <w:rFonts w:ascii="Arial" w:hAnsi="Arial" w:cs="Arial"/>
          <w:bCs/>
          <w:sz w:val="24"/>
          <w:szCs w:val="24"/>
        </w:rPr>
        <w:t xml:space="preserve">was that inasmuch as </w:t>
      </w:r>
      <w:r w:rsidR="00F534AB" w:rsidRPr="009754C8">
        <w:rPr>
          <w:rFonts w:ascii="Arial" w:hAnsi="Arial" w:cs="Arial"/>
          <w:bCs/>
          <w:sz w:val="24"/>
          <w:szCs w:val="24"/>
        </w:rPr>
        <w:t xml:space="preserve">s 18(2) of the </w:t>
      </w:r>
      <w:r w:rsidR="00A6405C" w:rsidRPr="009754C8">
        <w:rPr>
          <w:rFonts w:ascii="Arial" w:hAnsi="Arial" w:cs="Arial"/>
          <w:bCs/>
          <w:sz w:val="24"/>
          <w:szCs w:val="24"/>
        </w:rPr>
        <w:t>NPA Act</w:t>
      </w:r>
      <w:r w:rsidR="00F534AB" w:rsidRPr="009754C8">
        <w:rPr>
          <w:rFonts w:ascii="Arial" w:hAnsi="Arial" w:cs="Arial"/>
          <w:bCs/>
          <w:sz w:val="24"/>
          <w:szCs w:val="24"/>
        </w:rPr>
        <w:t xml:space="preserve"> </w:t>
      </w:r>
      <w:r w:rsidR="009E451E" w:rsidRPr="009754C8">
        <w:rPr>
          <w:rFonts w:ascii="Arial" w:hAnsi="Arial" w:cs="Arial"/>
          <w:bCs/>
          <w:sz w:val="24"/>
          <w:szCs w:val="24"/>
        </w:rPr>
        <w:t xml:space="preserve">recognises </w:t>
      </w:r>
      <w:r w:rsidR="009507A4" w:rsidRPr="009754C8">
        <w:rPr>
          <w:rFonts w:ascii="Arial" w:hAnsi="Arial" w:cs="Arial"/>
          <w:bCs/>
          <w:sz w:val="24"/>
          <w:szCs w:val="24"/>
        </w:rPr>
        <w:t>that</w:t>
      </w:r>
      <w:r w:rsidR="00A6405C" w:rsidRPr="009754C8">
        <w:rPr>
          <w:rFonts w:ascii="Arial" w:hAnsi="Arial" w:cs="Arial"/>
          <w:bCs/>
          <w:sz w:val="24"/>
          <w:szCs w:val="24"/>
        </w:rPr>
        <w:t xml:space="preserve"> different categories of salaries</w:t>
      </w:r>
      <w:r w:rsidR="008F54EA" w:rsidRPr="009754C8">
        <w:rPr>
          <w:rFonts w:ascii="Arial" w:hAnsi="Arial" w:cs="Arial"/>
          <w:bCs/>
          <w:sz w:val="24"/>
          <w:szCs w:val="24"/>
        </w:rPr>
        <w:t xml:space="preserve"> and salary scales may be determined for different categories of </w:t>
      </w:r>
      <w:r w:rsidR="000A12D9" w:rsidRPr="009754C8">
        <w:rPr>
          <w:rFonts w:ascii="Arial" w:hAnsi="Arial" w:cs="Arial"/>
          <w:bCs/>
          <w:sz w:val="24"/>
          <w:szCs w:val="24"/>
        </w:rPr>
        <w:t xml:space="preserve">DDPPs and prosecutors, </w:t>
      </w:r>
      <w:r w:rsidR="009507A4" w:rsidRPr="009754C8">
        <w:rPr>
          <w:rFonts w:ascii="Arial" w:hAnsi="Arial" w:cs="Arial"/>
          <w:bCs/>
          <w:sz w:val="24"/>
          <w:szCs w:val="24"/>
        </w:rPr>
        <w:t>that provision do</w:t>
      </w:r>
      <w:r w:rsidR="00A6405C" w:rsidRPr="009754C8">
        <w:rPr>
          <w:rFonts w:ascii="Arial" w:hAnsi="Arial" w:cs="Arial"/>
          <w:bCs/>
          <w:sz w:val="24"/>
          <w:szCs w:val="24"/>
        </w:rPr>
        <w:t xml:space="preserve">es not </w:t>
      </w:r>
      <w:r w:rsidR="00073B6C" w:rsidRPr="009754C8">
        <w:rPr>
          <w:rFonts w:ascii="Arial" w:hAnsi="Arial" w:cs="Arial"/>
          <w:bCs/>
          <w:sz w:val="24"/>
          <w:szCs w:val="24"/>
        </w:rPr>
        <w:t xml:space="preserve">make any distinction in relation to </w:t>
      </w:r>
      <w:r w:rsidR="00A6405C" w:rsidRPr="009754C8">
        <w:rPr>
          <w:rFonts w:ascii="Arial" w:hAnsi="Arial" w:cs="Arial"/>
          <w:bCs/>
          <w:sz w:val="24"/>
          <w:szCs w:val="24"/>
        </w:rPr>
        <w:t xml:space="preserve">the </w:t>
      </w:r>
      <w:r w:rsidR="003254A0">
        <w:rPr>
          <w:rFonts w:ascii="Arial" w:hAnsi="Arial" w:cs="Arial"/>
          <w:bCs/>
          <w:sz w:val="24"/>
          <w:szCs w:val="24"/>
        </w:rPr>
        <w:t xml:space="preserve">particular </w:t>
      </w:r>
      <w:r w:rsidR="00A6405C" w:rsidRPr="009754C8">
        <w:rPr>
          <w:rFonts w:ascii="Arial" w:hAnsi="Arial" w:cs="Arial"/>
          <w:bCs/>
          <w:sz w:val="24"/>
          <w:szCs w:val="24"/>
        </w:rPr>
        <w:t>structure of remuneration.</w:t>
      </w:r>
      <w:r w:rsidR="00274E8C" w:rsidRPr="009754C8">
        <w:rPr>
          <w:rFonts w:ascii="Arial" w:hAnsi="Arial" w:cs="Arial"/>
          <w:bCs/>
          <w:sz w:val="24"/>
          <w:szCs w:val="24"/>
        </w:rPr>
        <w:t xml:space="preserve"> Th</w:t>
      </w:r>
      <w:r w:rsidR="004B2196">
        <w:rPr>
          <w:rFonts w:ascii="Arial" w:hAnsi="Arial" w:cs="Arial"/>
          <w:bCs/>
          <w:sz w:val="24"/>
          <w:szCs w:val="24"/>
        </w:rPr>
        <w:t>us, th</w:t>
      </w:r>
      <w:r w:rsidR="00274E8C" w:rsidRPr="009754C8">
        <w:rPr>
          <w:rFonts w:ascii="Arial" w:hAnsi="Arial" w:cs="Arial"/>
          <w:bCs/>
          <w:sz w:val="24"/>
          <w:szCs w:val="24"/>
        </w:rPr>
        <w:t>e</w:t>
      </w:r>
      <w:r w:rsidR="00A07E81" w:rsidRPr="009754C8">
        <w:rPr>
          <w:rFonts w:ascii="Arial" w:hAnsi="Arial" w:cs="Arial"/>
          <w:bCs/>
          <w:sz w:val="24"/>
          <w:szCs w:val="24"/>
        </w:rPr>
        <w:t xml:space="preserve">re was </w:t>
      </w:r>
      <w:r w:rsidR="00FD664A" w:rsidRPr="009754C8">
        <w:rPr>
          <w:rFonts w:ascii="Arial" w:hAnsi="Arial" w:cs="Arial"/>
          <w:bCs/>
          <w:sz w:val="24"/>
          <w:szCs w:val="24"/>
        </w:rPr>
        <w:t xml:space="preserve">no bar </w:t>
      </w:r>
      <w:r w:rsidR="004B2196">
        <w:rPr>
          <w:rFonts w:ascii="Arial" w:hAnsi="Arial" w:cs="Arial"/>
          <w:bCs/>
          <w:sz w:val="24"/>
          <w:szCs w:val="24"/>
        </w:rPr>
        <w:t>preclud</w:t>
      </w:r>
      <w:r w:rsidR="003254A0">
        <w:rPr>
          <w:rFonts w:ascii="Arial" w:hAnsi="Arial" w:cs="Arial"/>
          <w:bCs/>
          <w:sz w:val="24"/>
          <w:szCs w:val="24"/>
        </w:rPr>
        <w:t>ing</w:t>
      </w:r>
      <w:r w:rsidR="004B2196">
        <w:rPr>
          <w:rFonts w:ascii="Arial" w:hAnsi="Arial" w:cs="Arial"/>
          <w:bCs/>
          <w:sz w:val="24"/>
          <w:szCs w:val="24"/>
        </w:rPr>
        <w:t xml:space="preserve"> </w:t>
      </w:r>
      <w:r w:rsidR="0052550E">
        <w:rPr>
          <w:rFonts w:ascii="Arial" w:hAnsi="Arial" w:cs="Arial"/>
          <w:bCs/>
          <w:sz w:val="24"/>
          <w:szCs w:val="24"/>
        </w:rPr>
        <w:t xml:space="preserve">the translation of the </w:t>
      </w:r>
      <w:r w:rsidR="00274E8C" w:rsidRPr="009754C8">
        <w:rPr>
          <w:rFonts w:ascii="Arial" w:hAnsi="Arial" w:cs="Arial"/>
          <w:bCs/>
          <w:sz w:val="24"/>
          <w:szCs w:val="24"/>
        </w:rPr>
        <w:t xml:space="preserve">DDPPs and CPs </w:t>
      </w:r>
      <w:r w:rsidR="00971201" w:rsidRPr="009754C8">
        <w:rPr>
          <w:rFonts w:ascii="Arial" w:hAnsi="Arial" w:cs="Arial"/>
          <w:bCs/>
          <w:sz w:val="24"/>
          <w:szCs w:val="24"/>
        </w:rPr>
        <w:t xml:space="preserve">to the OSD </w:t>
      </w:r>
      <w:r w:rsidR="00A07E81" w:rsidRPr="009754C8">
        <w:rPr>
          <w:rFonts w:ascii="Arial" w:hAnsi="Arial" w:cs="Arial"/>
          <w:bCs/>
          <w:sz w:val="24"/>
          <w:szCs w:val="24"/>
        </w:rPr>
        <w:t>structure</w:t>
      </w:r>
      <w:r w:rsidR="00971201" w:rsidRPr="009754C8">
        <w:rPr>
          <w:rFonts w:ascii="Arial" w:hAnsi="Arial" w:cs="Arial"/>
          <w:bCs/>
          <w:sz w:val="24"/>
          <w:szCs w:val="24"/>
        </w:rPr>
        <w:t xml:space="preserve">. </w:t>
      </w:r>
      <w:r w:rsidR="00651C9F">
        <w:rPr>
          <w:rFonts w:ascii="Arial" w:hAnsi="Arial" w:cs="Arial"/>
          <w:bCs/>
          <w:sz w:val="24"/>
          <w:szCs w:val="24"/>
        </w:rPr>
        <w:t xml:space="preserve">The high court found </w:t>
      </w:r>
      <w:r w:rsidR="001425A7" w:rsidRPr="009754C8">
        <w:rPr>
          <w:rFonts w:ascii="Arial" w:hAnsi="Arial" w:cs="Arial"/>
          <w:bCs/>
          <w:sz w:val="24"/>
          <w:szCs w:val="24"/>
        </w:rPr>
        <w:t xml:space="preserve">that </w:t>
      </w:r>
      <w:r w:rsidR="00F10181" w:rsidRPr="009754C8">
        <w:rPr>
          <w:rFonts w:ascii="Arial" w:hAnsi="Arial" w:cs="Arial"/>
          <w:bCs/>
          <w:sz w:val="24"/>
          <w:szCs w:val="24"/>
        </w:rPr>
        <w:t xml:space="preserve">on </w:t>
      </w:r>
      <w:r w:rsidR="00DE6475" w:rsidRPr="009754C8">
        <w:rPr>
          <w:rFonts w:ascii="Arial" w:hAnsi="Arial" w:cs="Arial"/>
          <w:bCs/>
          <w:sz w:val="24"/>
          <w:szCs w:val="24"/>
        </w:rPr>
        <w:t>a purposive interpretation of the 2010 Determination</w:t>
      </w:r>
      <w:r w:rsidR="00F10181" w:rsidRPr="009754C8">
        <w:rPr>
          <w:rFonts w:ascii="Arial" w:hAnsi="Arial" w:cs="Arial"/>
          <w:bCs/>
          <w:sz w:val="24"/>
          <w:szCs w:val="24"/>
        </w:rPr>
        <w:t>,</w:t>
      </w:r>
      <w:r w:rsidR="00DE6475" w:rsidRPr="009754C8">
        <w:rPr>
          <w:rFonts w:ascii="Arial" w:hAnsi="Arial" w:cs="Arial"/>
          <w:bCs/>
          <w:sz w:val="24"/>
          <w:szCs w:val="24"/>
        </w:rPr>
        <w:t xml:space="preserve"> </w:t>
      </w:r>
      <w:r w:rsidR="001425A7" w:rsidRPr="009754C8">
        <w:rPr>
          <w:rFonts w:ascii="Arial" w:hAnsi="Arial" w:cs="Arial"/>
          <w:bCs/>
          <w:sz w:val="24"/>
          <w:szCs w:val="24"/>
        </w:rPr>
        <w:t>there was nothing un</w:t>
      </w:r>
      <w:r w:rsidR="001056BF">
        <w:rPr>
          <w:rFonts w:ascii="Arial" w:hAnsi="Arial" w:cs="Arial"/>
          <w:bCs/>
          <w:sz w:val="24"/>
          <w:szCs w:val="24"/>
        </w:rPr>
        <w:t>lawful about</w:t>
      </w:r>
      <w:r w:rsidR="00F10181" w:rsidRPr="009754C8">
        <w:rPr>
          <w:rFonts w:ascii="Arial" w:hAnsi="Arial" w:cs="Arial"/>
          <w:bCs/>
          <w:sz w:val="24"/>
          <w:szCs w:val="24"/>
        </w:rPr>
        <w:t xml:space="preserve"> </w:t>
      </w:r>
      <w:r w:rsidR="001425A7" w:rsidRPr="009754C8">
        <w:rPr>
          <w:rFonts w:ascii="Arial" w:hAnsi="Arial" w:cs="Arial"/>
          <w:bCs/>
          <w:sz w:val="24"/>
          <w:szCs w:val="24"/>
        </w:rPr>
        <w:t xml:space="preserve">the NDPP approving a recommendation that suggested that the DDPPs and CPs be translated to </w:t>
      </w:r>
      <w:r w:rsidR="00DE6475" w:rsidRPr="009754C8">
        <w:rPr>
          <w:rFonts w:ascii="Arial" w:hAnsi="Arial" w:cs="Arial"/>
          <w:bCs/>
          <w:sz w:val="24"/>
          <w:szCs w:val="24"/>
        </w:rPr>
        <w:t xml:space="preserve">the OSD salary structure. </w:t>
      </w:r>
      <w:r w:rsidR="0059273B">
        <w:rPr>
          <w:rFonts w:ascii="Arial" w:hAnsi="Arial" w:cs="Arial"/>
          <w:bCs/>
          <w:sz w:val="24"/>
          <w:szCs w:val="24"/>
        </w:rPr>
        <w:t xml:space="preserve">It </w:t>
      </w:r>
      <w:r w:rsidR="00641F13">
        <w:rPr>
          <w:rFonts w:ascii="Arial" w:hAnsi="Arial" w:cs="Arial"/>
          <w:bCs/>
          <w:sz w:val="24"/>
          <w:szCs w:val="24"/>
        </w:rPr>
        <w:t xml:space="preserve">also </w:t>
      </w:r>
      <w:r w:rsidR="00A6405C" w:rsidRPr="009754C8">
        <w:rPr>
          <w:rFonts w:ascii="Arial" w:hAnsi="Arial" w:cs="Arial"/>
          <w:bCs/>
          <w:sz w:val="24"/>
          <w:szCs w:val="24"/>
        </w:rPr>
        <w:t>found that the DDPPs and CPs had</w:t>
      </w:r>
      <w:r w:rsidR="00242031" w:rsidRPr="009754C8">
        <w:rPr>
          <w:rFonts w:ascii="Arial" w:hAnsi="Arial" w:cs="Arial"/>
          <w:bCs/>
          <w:sz w:val="24"/>
          <w:szCs w:val="24"/>
        </w:rPr>
        <w:t xml:space="preserve">, in line with the NDPP’s approval, </w:t>
      </w:r>
      <w:r w:rsidR="00A6405C" w:rsidRPr="009754C8">
        <w:rPr>
          <w:rFonts w:ascii="Arial" w:hAnsi="Arial" w:cs="Arial"/>
          <w:bCs/>
          <w:sz w:val="24"/>
          <w:szCs w:val="24"/>
        </w:rPr>
        <w:t xml:space="preserve">completed </w:t>
      </w:r>
      <w:r w:rsidR="00242031" w:rsidRPr="009754C8">
        <w:rPr>
          <w:rFonts w:ascii="Arial" w:hAnsi="Arial" w:cs="Arial"/>
          <w:bCs/>
          <w:sz w:val="24"/>
          <w:szCs w:val="24"/>
        </w:rPr>
        <w:t xml:space="preserve">and signed </w:t>
      </w:r>
      <w:r w:rsidR="00A6405C" w:rsidRPr="009754C8">
        <w:rPr>
          <w:rFonts w:ascii="Arial" w:hAnsi="Arial" w:cs="Arial"/>
          <w:bCs/>
          <w:sz w:val="24"/>
          <w:szCs w:val="24"/>
        </w:rPr>
        <w:t xml:space="preserve">the </w:t>
      </w:r>
      <w:r w:rsidR="00883054">
        <w:rPr>
          <w:rFonts w:ascii="Arial" w:hAnsi="Arial" w:cs="Arial"/>
          <w:bCs/>
          <w:sz w:val="24"/>
          <w:szCs w:val="24"/>
        </w:rPr>
        <w:t xml:space="preserve">relevant </w:t>
      </w:r>
      <w:r w:rsidR="00A6405C" w:rsidRPr="009754C8">
        <w:rPr>
          <w:rFonts w:ascii="Arial" w:hAnsi="Arial" w:cs="Arial"/>
          <w:bCs/>
          <w:sz w:val="24"/>
          <w:szCs w:val="24"/>
        </w:rPr>
        <w:t xml:space="preserve">documents, thus indicating their </w:t>
      </w:r>
      <w:r w:rsidR="00242031" w:rsidRPr="009754C8">
        <w:rPr>
          <w:rFonts w:ascii="Arial" w:hAnsi="Arial" w:cs="Arial"/>
          <w:bCs/>
          <w:sz w:val="24"/>
          <w:szCs w:val="24"/>
        </w:rPr>
        <w:t>consent</w:t>
      </w:r>
      <w:r w:rsidR="00A6405C" w:rsidRPr="009754C8">
        <w:rPr>
          <w:rFonts w:ascii="Arial" w:hAnsi="Arial" w:cs="Arial"/>
          <w:bCs/>
          <w:sz w:val="24"/>
          <w:szCs w:val="24"/>
        </w:rPr>
        <w:t xml:space="preserve"> to </w:t>
      </w:r>
      <w:r w:rsidR="00883054">
        <w:rPr>
          <w:rFonts w:ascii="Arial" w:hAnsi="Arial" w:cs="Arial"/>
          <w:bCs/>
          <w:sz w:val="24"/>
          <w:szCs w:val="24"/>
        </w:rPr>
        <w:t xml:space="preserve">translate </w:t>
      </w:r>
      <w:r w:rsidR="00A6405C" w:rsidRPr="009754C8">
        <w:rPr>
          <w:rFonts w:ascii="Arial" w:hAnsi="Arial" w:cs="Arial"/>
          <w:bCs/>
          <w:sz w:val="24"/>
          <w:szCs w:val="24"/>
        </w:rPr>
        <w:t xml:space="preserve">from </w:t>
      </w:r>
      <w:r w:rsidR="00865955">
        <w:rPr>
          <w:rFonts w:ascii="Arial" w:hAnsi="Arial" w:cs="Arial"/>
          <w:bCs/>
          <w:sz w:val="24"/>
          <w:szCs w:val="24"/>
        </w:rPr>
        <w:t xml:space="preserve">the salary </w:t>
      </w:r>
      <w:r w:rsidR="00EF26F3">
        <w:rPr>
          <w:rFonts w:ascii="Arial" w:hAnsi="Arial" w:cs="Arial"/>
          <w:bCs/>
          <w:sz w:val="24"/>
          <w:szCs w:val="24"/>
        </w:rPr>
        <w:t xml:space="preserve">structure </w:t>
      </w:r>
      <w:r w:rsidR="00865955">
        <w:rPr>
          <w:rFonts w:ascii="Arial" w:hAnsi="Arial" w:cs="Arial"/>
          <w:bCs/>
          <w:sz w:val="24"/>
          <w:szCs w:val="24"/>
        </w:rPr>
        <w:t xml:space="preserve">known as Senior Management Service </w:t>
      </w:r>
      <w:r w:rsidR="00EF26F3">
        <w:rPr>
          <w:rFonts w:ascii="Arial" w:hAnsi="Arial" w:cs="Arial"/>
          <w:bCs/>
          <w:sz w:val="24"/>
          <w:szCs w:val="24"/>
        </w:rPr>
        <w:t xml:space="preserve">dispensation </w:t>
      </w:r>
      <w:r w:rsidR="00865955">
        <w:rPr>
          <w:rFonts w:ascii="Arial" w:hAnsi="Arial" w:cs="Arial"/>
          <w:bCs/>
          <w:sz w:val="24"/>
          <w:szCs w:val="24"/>
        </w:rPr>
        <w:t>(S</w:t>
      </w:r>
      <w:r w:rsidR="00A6405C" w:rsidRPr="009754C8">
        <w:rPr>
          <w:rFonts w:ascii="Arial" w:hAnsi="Arial" w:cs="Arial"/>
          <w:bCs/>
          <w:sz w:val="24"/>
          <w:szCs w:val="24"/>
        </w:rPr>
        <w:t>MS</w:t>
      </w:r>
      <w:r w:rsidR="00865955">
        <w:rPr>
          <w:rFonts w:ascii="Arial" w:hAnsi="Arial" w:cs="Arial"/>
          <w:bCs/>
          <w:sz w:val="24"/>
          <w:szCs w:val="24"/>
        </w:rPr>
        <w:t>)</w:t>
      </w:r>
      <w:r w:rsidR="00A6405C" w:rsidRPr="009754C8">
        <w:rPr>
          <w:rFonts w:ascii="Arial" w:hAnsi="Arial" w:cs="Arial"/>
          <w:bCs/>
          <w:sz w:val="24"/>
          <w:szCs w:val="24"/>
        </w:rPr>
        <w:t xml:space="preserve"> to </w:t>
      </w:r>
      <w:r w:rsidR="0080276D" w:rsidRPr="00062501">
        <w:rPr>
          <w:rFonts w:ascii="Arial" w:hAnsi="Arial" w:cs="Arial"/>
          <w:bCs/>
          <w:sz w:val="24"/>
          <w:szCs w:val="24"/>
        </w:rPr>
        <w:t>the</w:t>
      </w:r>
      <w:r w:rsidR="0080276D">
        <w:rPr>
          <w:rFonts w:ascii="Arial" w:hAnsi="Arial" w:cs="Arial"/>
          <w:bCs/>
          <w:sz w:val="24"/>
          <w:szCs w:val="24"/>
        </w:rPr>
        <w:t xml:space="preserve"> </w:t>
      </w:r>
      <w:r w:rsidR="00A6405C" w:rsidRPr="009754C8">
        <w:rPr>
          <w:rFonts w:ascii="Arial" w:hAnsi="Arial" w:cs="Arial"/>
          <w:bCs/>
          <w:sz w:val="24"/>
          <w:szCs w:val="24"/>
        </w:rPr>
        <w:t>OSD</w:t>
      </w:r>
      <w:r w:rsidR="00242031" w:rsidRPr="009754C8">
        <w:rPr>
          <w:rFonts w:ascii="Arial" w:hAnsi="Arial" w:cs="Arial"/>
          <w:bCs/>
          <w:sz w:val="24"/>
          <w:szCs w:val="24"/>
        </w:rPr>
        <w:t xml:space="preserve">. </w:t>
      </w:r>
      <w:r w:rsidR="00025D11" w:rsidRPr="009754C8">
        <w:rPr>
          <w:rFonts w:ascii="Arial" w:hAnsi="Arial" w:cs="Arial"/>
          <w:bCs/>
          <w:sz w:val="24"/>
          <w:szCs w:val="24"/>
        </w:rPr>
        <w:t xml:space="preserve">It </w:t>
      </w:r>
      <w:r w:rsidR="00BD2E61" w:rsidRPr="009754C8">
        <w:rPr>
          <w:rFonts w:ascii="Arial" w:hAnsi="Arial" w:cs="Arial"/>
          <w:bCs/>
          <w:sz w:val="24"/>
          <w:szCs w:val="24"/>
        </w:rPr>
        <w:t xml:space="preserve">accordingly </w:t>
      </w:r>
      <w:r w:rsidR="00641F13">
        <w:rPr>
          <w:rFonts w:ascii="Arial" w:hAnsi="Arial" w:cs="Arial"/>
          <w:bCs/>
          <w:sz w:val="24"/>
          <w:szCs w:val="24"/>
        </w:rPr>
        <w:t xml:space="preserve">held </w:t>
      </w:r>
      <w:r w:rsidR="00BD2E61" w:rsidRPr="009754C8">
        <w:rPr>
          <w:rFonts w:ascii="Arial" w:hAnsi="Arial" w:cs="Arial"/>
          <w:bCs/>
          <w:sz w:val="24"/>
          <w:szCs w:val="24"/>
        </w:rPr>
        <w:t xml:space="preserve">that </w:t>
      </w:r>
      <w:r w:rsidR="00025D11" w:rsidRPr="009754C8">
        <w:rPr>
          <w:rFonts w:ascii="Arial" w:hAnsi="Arial" w:cs="Arial"/>
          <w:bCs/>
          <w:sz w:val="24"/>
          <w:szCs w:val="24"/>
        </w:rPr>
        <w:t xml:space="preserve">the </w:t>
      </w:r>
      <w:r w:rsidR="00307EF7" w:rsidRPr="009754C8">
        <w:rPr>
          <w:rFonts w:ascii="Arial" w:hAnsi="Arial" w:cs="Arial"/>
          <w:bCs/>
          <w:sz w:val="24"/>
          <w:szCs w:val="24"/>
        </w:rPr>
        <w:t xml:space="preserve">PSA was entitled to the relief of specific </w:t>
      </w:r>
      <w:r w:rsidR="00307EF7" w:rsidRPr="00256A9F">
        <w:rPr>
          <w:rFonts w:ascii="Arial" w:hAnsi="Arial" w:cs="Arial"/>
          <w:bCs/>
          <w:sz w:val="24"/>
          <w:szCs w:val="24"/>
        </w:rPr>
        <w:t>performance</w:t>
      </w:r>
      <w:r w:rsidR="00B85465" w:rsidRPr="00256A9F">
        <w:rPr>
          <w:rFonts w:ascii="Arial" w:hAnsi="Arial" w:cs="Arial"/>
          <w:bCs/>
          <w:sz w:val="24"/>
          <w:szCs w:val="24"/>
        </w:rPr>
        <w:t xml:space="preserve"> relating to the implementation of the 2010</w:t>
      </w:r>
      <w:r w:rsidR="0080276D">
        <w:rPr>
          <w:rFonts w:ascii="Arial" w:hAnsi="Arial" w:cs="Arial"/>
          <w:bCs/>
          <w:sz w:val="24"/>
          <w:szCs w:val="24"/>
        </w:rPr>
        <w:t xml:space="preserve"> </w:t>
      </w:r>
      <w:r w:rsidR="0080276D" w:rsidRPr="00062501">
        <w:rPr>
          <w:rFonts w:ascii="Arial" w:hAnsi="Arial" w:cs="Arial"/>
          <w:bCs/>
          <w:sz w:val="24"/>
          <w:szCs w:val="24"/>
        </w:rPr>
        <w:t>Determination</w:t>
      </w:r>
      <w:r w:rsidR="00C26EC4" w:rsidRPr="00256A9F">
        <w:rPr>
          <w:rFonts w:ascii="Arial" w:hAnsi="Arial" w:cs="Arial"/>
          <w:bCs/>
          <w:sz w:val="24"/>
          <w:szCs w:val="24"/>
        </w:rPr>
        <w:t>, as approved</w:t>
      </w:r>
      <w:r w:rsidR="00C26EC4" w:rsidRPr="009754C8">
        <w:rPr>
          <w:rFonts w:ascii="Arial" w:hAnsi="Arial" w:cs="Arial"/>
          <w:bCs/>
          <w:sz w:val="24"/>
          <w:szCs w:val="24"/>
        </w:rPr>
        <w:t xml:space="preserve"> by the NDPP on behalf of the NPA on 29 July 2014</w:t>
      </w:r>
      <w:r w:rsidR="00B85465">
        <w:rPr>
          <w:rFonts w:ascii="Arial" w:hAnsi="Arial" w:cs="Arial"/>
          <w:bCs/>
          <w:sz w:val="24"/>
          <w:szCs w:val="24"/>
        </w:rPr>
        <w:t xml:space="preserve">. </w:t>
      </w:r>
      <w:r w:rsidR="00125363" w:rsidRPr="009754C8">
        <w:rPr>
          <w:rFonts w:ascii="Arial" w:hAnsi="Arial" w:cs="Arial"/>
          <w:bCs/>
          <w:sz w:val="24"/>
          <w:szCs w:val="24"/>
        </w:rPr>
        <w:t xml:space="preserve">The high court </w:t>
      </w:r>
      <w:r w:rsidR="00DF6203" w:rsidRPr="009754C8">
        <w:rPr>
          <w:rFonts w:ascii="Arial" w:hAnsi="Arial" w:cs="Arial"/>
          <w:bCs/>
          <w:sz w:val="24"/>
          <w:szCs w:val="24"/>
        </w:rPr>
        <w:t xml:space="preserve">declared that </w:t>
      </w:r>
      <w:r w:rsidR="00E302F7" w:rsidRPr="009754C8">
        <w:rPr>
          <w:rFonts w:ascii="Arial" w:hAnsi="Arial" w:cs="Arial"/>
          <w:bCs/>
          <w:sz w:val="24"/>
          <w:szCs w:val="24"/>
        </w:rPr>
        <w:t>t</w:t>
      </w:r>
      <w:r w:rsidR="00A23166" w:rsidRPr="009754C8">
        <w:rPr>
          <w:rFonts w:ascii="Arial" w:hAnsi="Arial" w:cs="Arial"/>
          <w:bCs/>
          <w:sz w:val="24"/>
          <w:szCs w:val="24"/>
        </w:rPr>
        <w:t xml:space="preserve">he </w:t>
      </w:r>
      <w:r w:rsidR="00DF6203" w:rsidRPr="009754C8">
        <w:rPr>
          <w:rFonts w:ascii="Arial" w:hAnsi="Arial" w:cs="Arial"/>
          <w:bCs/>
          <w:sz w:val="24"/>
          <w:szCs w:val="24"/>
        </w:rPr>
        <w:t>NDPP</w:t>
      </w:r>
      <w:r w:rsidR="00E302F7" w:rsidRPr="009754C8">
        <w:rPr>
          <w:rFonts w:ascii="Arial" w:hAnsi="Arial" w:cs="Arial"/>
          <w:bCs/>
          <w:sz w:val="24"/>
          <w:szCs w:val="24"/>
        </w:rPr>
        <w:t>’s approval</w:t>
      </w:r>
      <w:r w:rsidR="002E4ACE" w:rsidRPr="009754C8">
        <w:rPr>
          <w:rFonts w:ascii="Arial" w:hAnsi="Arial" w:cs="Arial"/>
          <w:bCs/>
          <w:sz w:val="24"/>
          <w:szCs w:val="24"/>
        </w:rPr>
        <w:t xml:space="preserve"> regarding the implementation of OSD </w:t>
      </w:r>
      <w:r w:rsidR="00FB59AE" w:rsidRPr="009754C8">
        <w:rPr>
          <w:rFonts w:ascii="Arial" w:hAnsi="Arial" w:cs="Arial"/>
          <w:bCs/>
          <w:sz w:val="24"/>
          <w:szCs w:val="24"/>
        </w:rPr>
        <w:t>was ‘lawful and enforceable</w:t>
      </w:r>
      <w:r w:rsidR="00C0050A" w:rsidRPr="009754C8">
        <w:rPr>
          <w:rFonts w:ascii="Arial" w:hAnsi="Arial" w:cs="Arial"/>
          <w:bCs/>
          <w:sz w:val="24"/>
          <w:szCs w:val="24"/>
        </w:rPr>
        <w:t>’</w:t>
      </w:r>
      <w:r w:rsidR="00FB59AE" w:rsidRPr="009754C8">
        <w:rPr>
          <w:rFonts w:ascii="Arial" w:hAnsi="Arial" w:cs="Arial"/>
          <w:bCs/>
          <w:sz w:val="24"/>
          <w:szCs w:val="24"/>
        </w:rPr>
        <w:t xml:space="preserve"> and</w:t>
      </w:r>
      <w:r w:rsidR="00DF6203" w:rsidRPr="009754C8">
        <w:rPr>
          <w:rFonts w:ascii="Arial" w:hAnsi="Arial" w:cs="Arial"/>
          <w:bCs/>
          <w:sz w:val="24"/>
          <w:szCs w:val="24"/>
        </w:rPr>
        <w:t xml:space="preserve"> </w:t>
      </w:r>
      <w:r w:rsidR="00E302F7" w:rsidRPr="009754C8">
        <w:rPr>
          <w:rFonts w:ascii="Arial" w:hAnsi="Arial" w:cs="Arial"/>
          <w:bCs/>
          <w:sz w:val="24"/>
          <w:szCs w:val="24"/>
        </w:rPr>
        <w:t>had to</w:t>
      </w:r>
      <w:r w:rsidR="00C0050A" w:rsidRPr="009754C8">
        <w:rPr>
          <w:rFonts w:ascii="Arial" w:hAnsi="Arial" w:cs="Arial"/>
          <w:bCs/>
          <w:sz w:val="24"/>
          <w:szCs w:val="24"/>
        </w:rPr>
        <w:t xml:space="preserve"> </w:t>
      </w:r>
      <w:r w:rsidR="00FB59AE" w:rsidRPr="009754C8">
        <w:rPr>
          <w:rFonts w:ascii="Arial" w:hAnsi="Arial" w:cs="Arial"/>
          <w:bCs/>
          <w:sz w:val="24"/>
          <w:szCs w:val="24"/>
        </w:rPr>
        <w:t>be complied with.</w:t>
      </w:r>
      <w:r w:rsidR="00DF4099" w:rsidRPr="009754C8">
        <w:rPr>
          <w:rFonts w:ascii="Arial" w:hAnsi="Arial" w:cs="Arial"/>
          <w:bCs/>
          <w:sz w:val="24"/>
          <w:szCs w:val="24"/>
        </w:rPr>
        <w:t xml:space="preserve"> </w:t>
      </w:r>
    </w:p>
    <w:p w14:paraId="34C5D69C" w14:textId="77777777" w:rsidR="00546BEA" w:rsidRPr="00D02B6C" w:rsidRDefault="00546BEA" w:rsidP="004E4891">
      <w:pPr>
        <w:pStyle w:val="ListParagraph"/>
        <w:spacing w:after="0" w:line="360" w:lineRule="auto"/>
        <w:ind w:left="0"/>
        <w:jc w:val="both"/>
        <w:rPr>
          <w:rFonts w:ascii="Arial" w:hAnsi="Arial" w:cs="Arial"/>
          <w:bCs/>
        </w:rPr>
      </w:pPr>
    </w:p>
    <w:p w14:paraId="0F6802C2" w14:textId="4C611747" w:rsidR="00A4397E" w:rsidRDefault="000C2969" w:rsidP="004E4891">
      <w:pPr>
        <w:spacing w:after="0" w:line="360" w:lineRule="auto"/>
        <w:jc w:val="both"/>
        <w:rPr>
          <w:rFonts w:ascii="Arial" w:hAnsi="Arial" w:cs="Arial"/>
          <w:bCs/>
          <w:sz w:val="24"/>
          <w:szCs w:val="24"/>
        </w:rPr>
      </w:pPr>
      <w:r>
        <w:rPr>
          <w:rFonts w:ascii="Arial" w:hAnsi="Arial" w:cs="Arial"/>
          <w:bCs/>
          <w:sz w:val="24"/>
          <w:szCs w:val="24"/>
        </w:rPr>
        <w:t>[1</w:t>
      </w:r>
      <w:r w:rsidR="00126415">
        <w:rPr>
          <w:rFonts w:ascii="Arial" w:hAnsi="Arial" w:cs="Arial"/>
          <w:bCs/>
          <w:sz w:val="24"/>
          <w:szCs w:val="24"/>
        </w:rPr>
        <w:t>4</w:t>
      </w:r>
      <w:r>
        <w:rPr>
          <w:rFonts w:ascii="Arial" w:hAnsi="Arial" w:cs="Arial"/>
          <w:bCs/>
          <w:sz w:val="24"/>
          <w:szCs w:val="24"/>
        </w:rPr>
        <w:t>]</w:t>
      </w:r>
      <w:r>
        <w:rPr>
          <w:rFonts w:ascii="Arial" w:hAnsi="Arial" w:cs="Arial"/>
          <w:bCs/>
          <w:sz w:val="24"/>
          <w:szCs w:val="24"/>
        </w:rPr>
        <w:tab/>
      </w:r>
      <w:r w:rsidR="00DF4099" w:rsidRPr="000C2969">
        <w:rPr>
          <w:rFonts w:ascii="Arial" w:hAnsi="Arial" w:cs="Arial"/>
          <w:bCs/>
          <w:sz w:val="24"/>
          <w:szCs w:val="24"/>
        </w:rPr>
        <w:t>Dissatisfied with the order</w:t>
      </w:r>
      <w:r w:rsidR="00FB59AE" w:rsidRPr="000C2969">
        <w:rPr>
          <w:rFonts w:ascii="Arial" w:hAnsi="Arial" w:cs="Arial"/>
          <w:bCs/>
          <w:sz w:val="24"/>
          <w:szCs w:val="24"/>
        </w:rPr>
        <w:t>s</w:t>
      </w:r>
      <w:r w:rsidR="00DF4099" w:rsidRPr="000C2969">
        <w:rPr>
          <w:rFonts w:ascii="Arial" w:hAnsi="Arial" w:cs="Arial"/>
          <w:bCs/>
          <w:sz w:val="24"/>
          <w:szCs w:val="24"/>
        </w:rPr>
        <w:t xml:space="preserve"> granted by the high court, the </w:t>
      </w:r>
      <w:r w:rsidR="001100F7" w:rsidRPr="000C2969">
        <w:rPr>
          <w:rFonts w:ascii="Arial" w:hAnsi="Arial" w:cs="Arial"/>
          <w:bCs/>
          <w:sz w:val="24"/>
          <w:szCs w:val="24"/>
        </w:rPr>
        <w:t xml:space="preserve">NPA, the Minister and </w:t>
      </w:r>
      <w:r w:rsidR="00FE735E" w:rsidRPr="000C2969">
        <w:rPr>
          <w:rFonts w:ascii="Arial" w:hAnsi="Arial" w:cs="Arial"/>
          <w:bCs/>
          <w:sz w:val="24"/>
          <w:szCs w:val="24"/>
        </w:rPr>
        <w:t xml:space="preserve">the Director-General </w:t>
      </w:r>
      <w:r w:rsidR="009B4C70">
        <w:rPr>
          <w:rFonts w:ascii="Arial" w:hAnsi="Arial" w:cs="Arial"/>
          <w:bCs/>
          <w:sz w:val="24"/>
          <w:szCs w:val="24"/>
        </w:rPr>
        <w:t xml:space="preserve">sought the high court’s </w:t>
      </w:r>
      <w:r w:rsidR="00DC22B3">
        <w:rPr>
          <w:rFonts w:ascii="Arial" w:hAnsi="Arial" w:cs="Arial"/>
          <w:bCs/>
          <w:sz w:val="24"/>
          <w:szCs w:val="24"/>
        </w:rPr>
        <w:t xml:space="preserve">leave to appeal its judgment </w:t>
      </w:r>
      <w:r w:rsidR="00DF4099" w:rsidRPr="000C2969">
        <w:rPr>
          <w:rFonts w:ascii="Arial" w:hAnsi="Arial" w:cs="Arial"/>
          <w:bCs/>
          <w:sz w:val="24"/>
          <w:szCs w:val="24"/>
        </w:rPr>
        <w:t xml:space="preserve">but were unsuccessful. </w:t>
      </w:r>
      <w:r w:rsidR="00FF2D45" w:rsidRPr="000C2969">
        <w:rPr>
          <w:rFonts w:ascii="Arial" w:hAnsi="Arial" w:cs="Arial"/>
          <w:bCs/>
          <w:sz w:val="24"/>
          <w:szCs w:val="24"/>
        </w:rPr>
        <w:t xml:space="preserve">The </w:t>
      </w:r>
      <w:r w:rsidR="00586669" w:rsidRPr="000C2969">
        <w:rPr>
          <w:rFonts w:ascii="Arial" w:hAnsi="Arial" w:cs="Arial"/>
          <w:bCs/>
          <w:sz w:val="24"/>
          <w:szCs w:val="24"/>
        </w:rPr>
        <w:t xml:space="preserve">same parties </w:t>
      </w:r>
      <w:r w:rsidR="0050732E" w:rsidRPr="000C2969">
        <w:rPr>
          <w:rFonts w:ascii="Arial" w:hAnsi="Arial" w:cs="Arial"/>
          <w:bCs/>
          <w:sz w:val="24"/>
          <w:szCs w:val="24"/>
        </w:rPr>
        <w:t xml:space="preserve">then lodged two separate applications </w:t>
      </w:r>
      <w:r w:rsidR="000A3433" w:rsidRPr="000C2969">
        <w:rPr>
          <w:rFonts w:ascii="Arial" w:hAnsi="Arial" w:cs="Arial"/>
          <w:bCs/>
          <w:sz w:val="24"/>
          <w:szCs w:val="24"/>
        </w:rPr>
        <w:t>(with the NPA</w:t>
      </w:r>
      <w:r w:rsidR="00E62DD6" w:rsidRPr="000C2969">
        <w:rPr>
          <w:rFonts w:ascii="Arial" w:hAnsi="Arial" w:cs="Arial"/>
          <w:bCs/>
          <w:sz w:val="24"/>
          <w:szCs w:val="24"/>
        </w:rPr>
        <w:t xml:space="preserve"> being an applicant in one application and the Minister and the Director-General being the applicants in the other</w:t>
      </w:r>
      <w:r w:rsidR="00613BC2" w:rsidRPr="000C2969">
        <w:rPr>
          <w:rFonts w:ascii="Arial" w:hAnsi="Arial" w:cs="Arial"/>
          <w:bCs/>
          <w:sz w:val="24"/>
          <w:szCs w:val="24"/>
        </w:rPr>
        <w:t>),</w:t>
      </w:r>
      <w:r w:rsidR="00E62DD6" w:rsidRPr="000C2969">
        <w:rPr>
          <w:rFonts w:ascii="Arial" w:hAnsi="Arial" w:cs="Arial"/>
          <w:bCs/>
          <w:sz w:val="24"/>
          <w:szCs w:val="24"/>
        </w:rPr>
        <w:t xml:space="preserve"> </w:t>
      </w:r>
      <w:r w:rsidR="0050732E" w:rsidRPr="000C2969">
        <w:rPr>
          <w:rFonts w:ascii="Arial" w:hAnsi="Arial" w:cs="Arial"/>
          <w:bCs/>
          <w:sz w:val="24"/>
          <w:szCs w:val="24"/>
        </w:rPr>
        <w:t xml:space="preserve">petitioning this Court to grant </w:t>
      </w:r>
      <w:r w:rsidR="00E57CA4" w:rsidRPr="000C2969">
        <w:rPr>
          <w:rFonts w:ascii="Arial" w:hAnsi="Arial" w:cs="Arial"/>
          <w:bCs/>
          <w:sz w:val="24"/>
          <w:szCs w:val="24"/>
        </w:rPr>
        <w:t xml:space="preserve">them </w:t>
      </w:r>
      <w:r w:rsidR="0050732E" w:rsidRPr="000C2969">
        <w:rPr>
          <w:rFonts w:ascii="Arial" w:hAnsi="Arial" w:cs="Arial"/>
          <w:bCs/>
          <w:sz w:val="24"/>
          <w:szCs w:val="24"/>
        </w:rPr>
        <w:t xml:space="preserve">leave </w:t>
      </w:r>
      <w:r w:rsidR="004431CB" w:rsidRPr="000C2969">
        <w:rPr>
          <w:rFonts w:ascii="Arial" w:hAnsi="Arial" w:cs="Arial"/>
          <w:bCs/>
          <w:sz w:val="24"/>
          <w:szCs w:val="24"/>
        </w:rPr>
        <w:t>to appeal</w:t>
      </w:r>
      <w:r w:rsidR="00D7516B">
        <w:rPr>
          <w:rFonts w:ascii="Arial" w:hAnsi="Arial" w:cs="Arial"/>
          <w:bCs/>
          <w:sz w:val="24"/>
          <w:szCs w:val="24"/>
        </w:rPr>
        <w:t xml:space="preserve"> the high court’s judgment</w:t>
      </w:r>
      <w:r w:rsidR="004431CB" w:rsidRPr="000C2969">
        <w:rPr>
          <w:rFonts w:ascii="Arial" w:hAnsi="Arial" w:cs="Arial"/>
          <w:bCs/>
          <w:sz w:val="24"/>
          <w:szCs w:val="24"/>
        </w:rPr>
        <w:t xml:space="preserve">. </w:t>
      </w:r>
      <w:r w:rsidR="009A2C07">
        <w:rPr>
          <w:rFonts w:ascii="Arial" w:hAnsi="Arial" w:cs="Arial"/>
          <w:bCs/>
          <w:sz w:val="24"/>
          <w:szCs w:val="24"/>
        </w:rPr>
        <w:t xml:space="preserve">Having considered the two applications, </w:t>
      </w:r>
      <w:r w:rsidR="009804C8">
        <w:rPr>
          <w:rFonts w:ascii="Arial" w:hAnsi="Arial" w:cs="Arial"/>
          <w:bCs/>
          <w:sz w:val="24"/>
          <w:szCs w:val="24"/>
        </w:rPr>
        <w:t xml:space="preserve">this Court, </w:t>
      </w:r>
      <w:r w:rsidR="009A2C07">
        <w:rPr>
          <w:rFonts w:ascii="Arial" w:hAnsi="Arial" w:cs="Arial"/>
          <w:bCs/>
          <w:sz w:val="24"/>
          <w:szCs w:val="24"/>
        </w:rPr>
        <w:t>f</w:t>
      </w:r>
      <w:r w:rsidR="00471AC7" w:rsidRPr="000C2969">
        <w:rPr>
          <w:rFonts w:ascii="Arial" w:hAnsi="Arial" w:cs="Arial"/>
          <w:bCs/>
          <w:sz w:val="24"/>
          <w:szCs w:val="24"/>
        </w:rPr>
        <w:t xml:space="preserve">or the sake </w:t>
      </w:r>
      <w:r w:rsidR="00471AC7" w:rsidRPr="000C2969">
        <w:rPr>
          <w:rFonts w:ascii="Arial" w:hAnsi="Arial" w:cs="Arial"/>
          <w:bCs/>
          <w:sz w:val="24"/>
          <w:szCs w:val="24"/>
        </w:rPr>
        <w:lastRenderedPageBreak/>
        <w:t xml:space="preserve">of convenience, </w:t>
      </w:r>
      <w:r w:rsidR="004431CB" w:rsidRPr="000C2969">
        <w:rPr>
          <w:rFonts w:ascii="Arial" w:hAnsi="Arial" w:cs="Arial"/>
          <w:bCs/>
          <w:sz w:val="24"/>
          <w:szCs w:val="24"/>
        </w:rPr>
        <w:t xml:space="preserve">issued </w:t>
      </w:r>
      <w:r w:rsidR="000A3433" w:rsidRPr="000C2969">
        <w:rPr>
          <w:rFonts w:ascii="Arial" w:hAnsi="Arial" w:cs="Arial"/>
          <w:bCs/>
          <w:sz w:val="24"/>
          <w:szCs w:val="24"/>
        </w:rPr>
        <w:t xml:space="preserve">one order in </w:t>
      </w:r>
      <w:r w:rsidR="00613BC2" w:rsidRPr="000C2969">
        <w:rPr>
          <w:rFonts w:ascii="Arial" w:hAnsi="Arial" w:cs="Arial"/>
          <w:bCs/>
          <w:sz w:val="24"/>
          <w:szCs w:val="24"/>
        </w:rPr>
        <w:t>terms of which all the applicants</w:t>
      </w:r>
      <w:r w:rsidR="00D91F33">
        <w:rPr>
          <w:rFonts w:ascii="Arial" w:hAnsi="Arial" w:cs="Arial"/>
          <w:bCs/>
          <w:sz w:val="24"/>
          <w:szCs w:val="24"/>
        </w:rPr>
        <w:t xml:space="preserve"> (</w:t>
      </w:r>
      <w:r w:rsidR="0041601B" w:rsidRPr="000C2969">
        <w:rPr>
          <w:rFonts w:ascii="Arial" w:hAnsi="Arial" w:cs="Arial"/>
          <w:bCs/>
          <w:sz w:val="24"/>
          <w:szCs w:val="24"/>
        </w:rPr>
        <w:t>hereafter jointly referred to as the appellants</w:t>
      </w:r>
      <w:r w:rsidR="00D91F33">
        <w:rPr>
          <w:rFonts w:ascii="Arial" w:hAnsi="Arial" w:cs="Arial"/>
          <w:bCs/>
          <w:sz w:val="24"/>
          <w:szCs w:val="24"/>
        </w:rPr>
        <w:t>)</w:t>
      </w:r>
      <w:r w:rsidR="00613BC2" w:rsidRPr="000C2969">
        <w:rPr>
          <w:rFonts w:ascii="Arial" w:hAnsi="Arial" w:cs="Arial"/>
          <w:bCs/>
          <w:sz w:val="24"/>
          <w:szCs w:val="24"/>
        </w:rPr>
        <w:t xml:space="preserve"> were granted leave to </w:t>
      </w:r>
      <w:r w:rsidR="00471AC7" w:rsidRPr="000C2969">
        <w:rPr>
          <w:rFonts w:ascii="Arial" w:hAnsi="Arial" w:cs="Arial"/>
          <w:bCs/>
          <w:sz w:val="24"/>
          <w:szCs w:val="24"/>
        </w:rPr>
        <w:t>appeal to this Court against the order of the high court.</w:t>
      </w:r>
      <w:r w:rsidR="00FF2D45" w:rsidRPr="000C2969">
        <w:rPr>
          <w:rFonts w:ascii="Arial" w:hAnsi="Arial" w:cs="Arial"/>
          <w:bCs/>
          <w:sz w:val="24"/>
          <w:szCs w:val="24"/>
        </w:rPr>
        <w:t xml:space="preserve"> </w:t>
      </w:r>
      <w:r w:rsidR="00034DA6" w:rsidRPr="000C2969">
        <w:rPr>
          <w:rFonts w:ascii="Arial" w:hAnsi="Arial" w:cs="Arial"/>
          <w:bCs/>
          <w:sz w:val="24"/>
          <w:szCs w:val="24"/>
        </w:rPr>
        <w:t>Although there are in essence two appeals</w:t>
      </w:r>
      <w:r w:rsidR="007163BD" w:rsidRPr="000C2969">
        <w:rPr>
          <w:rFonts w:ascii="Arial" w:hAnsi="Arial" w:cs="Arial"/>
          <w:bCs/>
          <w:sz w:val="24"/>
          <w:szCs w:val="24"/>
        </w:rPr>
        <w:t xml:space="preserve"> before us</w:t>
      </w:r>
      <w:r w:rsidR="00034DA6" w:rsidRPr="000C2969">
        <w:rPr>
          <w:rFonts w:ascii="Arial" w:hAnsi="Arial" w:cs="Arial"/>
          <w:bCs/>
          <w:sz w:val="24"/>
          <w:szCs w:val="24"/>
        </w:rPr>
        <w:t>, these were dealt with simultaneously</w:t>
      </w:r>
      <w:r w:rsidR="007163BD" w:rsidRPr="000C2969">
        <w:rPr>
          <w:rFonts w:ascii="Arial" w:hAnsi="Arial" w:cs="Arial"/>
          <w:bCs/>
          <w:sz w:val="24"/>
          <w:szCs w:val="24"/>
        </w:rPr>
        <w:t>.</w:t>
      </w:r>
    </w:p>
    <w:p w14:paraId="24C6FD02" w14:textId="77777777" w:rsidR="00546BEA" w:rsidRPr="00D02B6C" w:rsidRDefault="00546BEA" w:rsidP="004E4891">
      <w:pPr>
        <w:spacing w:after="0" w:line="360" w:lineRule="auto"/>
        <w:jc w:val="both"/>
        <w:rPr>
          <w:rFonts w:ascii="Arial" w:hAnsi="Arial" w:cs="Arial"/>
          <w:bCs/>
        </w:rPr>
      </w:pPr>
    </w:p>
    <w:p w14:paraId="685E35FF" w14:textId="258AF1D4" w:rsidR="00307EF7" w:rsidRPr="00A4397E" w:rsidRDefault="00087111" w:rsidP="004E4891">
      <w:pPr>
        <w:spacing w:after="0" w:line="360" w:lineRule="auto"/>
        <w:jc w:val="both"/>
        <w:rPr>
          <w:rFonts w:ascii="Arial" w:hAnsi="Arial" w:cs="Arial"/>
          <w:b/>
          <w:sz w:val="24"/>
          <w:szCs w:val="24"/>
        </w:rPr>
      </w:pPr>
      <w:r>
        <w:rPr>
          <w:rFonts w:ascii="Arial" w:hAnsi="Arial" w:cs="Arial"/>
          <w:b/>
          <w:sz w:val="24"/>
          <w:szCs w:val="24"/>
        </w:rPr>
        <w:t>Did the high court have jurisdiction to adjudicate the application?</w:t>
      </w:r>
      <w:r w:rsidR="00307EF7" w:rsidRPr="00A4397E">
        <w:rPr>
          <w:rFonts w:ascii="Arial" w:hAnsi="Arial" w:cs="Arial"/>
          <w:b/>
          <w:sz w:val="24"/>
          <w:szCs w:val="24"/>
        </w:rPr>
        <w:t xml:space="preserve"> </w:t>
      </w:r>
    </w:p>
    <w:p w14:paraId="6C94BB95" w14:textId="1339ACF6" w:rsidR="00CB5044" w:rsidRDefault="00125E20" w:rsidP="004E4891">
      <w:pPr>
        <w:spacing w:after="0" w:line="360" w:lineRule="auto"/>
        <w:jc w:val="both"/>
        <w:rPr>
          <w:rFonts w:ascii="Arial" w:hAnsi="Arial" w:cs="Arial"/>
          <w:bCs/>
          <w:sz w:val="24"/>
          <w:szCs w:val="24"/>
        </w:rPr>
      </w:pPr>
      <w:r>
        <w:rPr>
          <w:rFonts w:ascii="Arial" w:hAnsi="Arial" w:cs="Arial"/>
          <w:bCs/>
          <w:sz w:val="24"/>
          <w:szCs w:val="24"/>
        </w:rPr>
        <w:t>[</w:t>
      </w:r>
      <w:r w:rsidR="00126415">
        <w:rPr>
          <w:rFonts w:ascii="Arial" w:hAnsi="Arial" w:cs="Arial"/>
          <w:bCs/>
          <w:sz w:val="24"/>
          <w:szCs w:val="24"/>
        </w:rPr>
        <w:t>15</w:t>
      </w:r>
      <w:r>
        <w:rPr>
          <w:rFonts w:ascii="Arial" w:hAnsi="Arial" w:cs="Arial"/>
          <w:bCs/>
          <w:sz w:val="24"/>
          <w:szCs w:val="24"/>
        </w:rPr>
        <w:t>]</w:t>
      </w:r>
      <w:r>
        <w:rPr>
          <w:rFonts w:ascii="Arial" w:hAnsi="Arial" w:cs="Arial"/>
          <w:bCs/>
          <w:sz w:val="24"/>
          <w:szCs w:val="24"/>
        </w:rPr>
        <w:tab/>
      </w:r>
      <w:r w:rsidR="00CD4039">
        <w:rPr>
          <w:rFonts w:ascii="Arial" w:hAnsi="Arial" w:cs="Arial"/>
          <w:bCs/>
          <w:sz w:val="24"/>
          <w:szCs w:val="24"/>
        </w:rPr>
        <w:t>It is trite tha</w:t>
      </w:r>
      <w:r w:rsidR="00062501">
        <w:rPr>
          <w:rFonts w:ascii="Arial" w:hAnsi="Arial" w:cs="Arial"/>
          <w:bCs/>
          <w:sz w:val="24"/>
          <w:szCs w:val="24"/>
        </w:rPr>
        <w:t xml:space="preserve">t both the </w:t>
      </w:r>
      <w:r w:rsidR="00CD4039">
        <w:rPr>
          <w:rFonts w:ascii="Arial" w:hAnsi="Arial" w:cs="Arial"/>
          <w:bCs/>
          <w:sz w:val="24"/>
          <w:szCs w:val="24"/>
        </w:rPr>
        <w:t>LRA and the BCEA grant the Labour Court exclusive jurisdiction in respect of certain matters. Moreover, some disputes must be finally resolved through arbitration.</w:t>
      </w:r>
      <w:r w:rsidR="00CD4039">
        <w:rPr>
          <w:rStyle w:val="FootnoteReference"/>
          <w:rFonts w:ascii="Arial" w:hAnsi="Arial" w:cs="Arial"/>
          <w:bCs/>
          <w:sz w:val="24"/>
          <w:szCs w:val="24"/>
        </w:rPr>
        <w:footnoteReference w:id="8"/>
      </w:r>
      <w:r w:rsidR="00CD4039">
        <w:rPr>
          <w:rFonts w:ascii="Arial" w:hAnsi="Arial" w:cs="Arial"/>
          <w:bCs/>
          <w:sz w:val="24"/>
          <w:szCs w:val="24"/>
        </w:rPr>
        <w:t xml:space="preserve"> However, the High Court’s jurisdiction is not ousted by s 157(1) of the LRA merely because a dispute falls within the overall sphere of employment relations. This is because in terms of s 157(2) of that Act, </w:t>
      </w:r>
      <w:r w:rsidR="00CD4039" w:rsidRPr="00081662">
        <w:rPr>
          <w:rFonts w:ascii="Arial" w:hAnsi="Arial" w:cs="Arial"/>
          <w:bCs/>
          <w:sz w:val="24"/>
          <w:szCs w:val="24"/>
        </w:rPr>
        <w:t>the High Court and the Labour Court share concurrent jurisdiction</w:t>
      </w:r>
      <w:r w:rsidR="00CD4039">
        <w:rPr>
          <w:rFonts w:ascii="Arial" w:hAnsi="Arial" w:cs="Arial"/>
          <w:bCs/>
          <w:sz w:val="24"/>
          <w:szCs w:val="24"/>
        </w:rPr>
        <w:t xml:space="preserve"> in respect of employment-related disputes over which the Labour Court does not have exclusive jurisdiction.</w:t>
      </w:r>
      <w:r w:rsidR="00CD4039">
        <w:rPr>
          <w:rStyle w:val="FootnoteReference"/>
          <w:rFonts w:ascii="Arial" w:hAnsi="Arial" w:cs="Arial"/>
          <w:bCs/>
          <w:sz w:val="24"/>
          <w:szCs w:val="24"/>
        </w:rPr>
        <w:footnoteReference w:id="9"/>
      </w:r>
      <w:r w:rsidR="00713E63">
        <w:rPr>
          <w:rFonts w:ascii="Arial" w:hAnsi="Arial" w:cs="Arial"/>
          <w:bCs/>
          <w:sz w:val="24"/>
          <w:szCs w:val="24"/>
        </w:rPr>
        <w:t xml:space="preserve"> Similarly, s 77(3) of the BCEA</w:t>
      </w:r>
      <w:r w:rsidR="00CD4039">
        <w:rPr>
          <w:rFonts w:ascii="Arial" w:hAnsi="Arial" w:cs="Arial"/>
          <w:bCs/>
          <w:sz w:val="24"/>
          <w:szCs w:val="24"/>
        </w:rPr>
        <w:t>, grants the Labour Court and High Court concurrent jurisdiction</w:t>
      </w:r>
      <w:r w:rsidR="00FB17A8">
        <w:rPr>
          <w:rFonts w:ascii="Arial" w:hAnsi="Arial" w:cs="Arial"/>
          <w:bCs/>
          <w:sz w:val="24"/>
          <w:szCs w:val="24"/>
        </w:rPr>
        <w:t xml:space="preserve"> in respect of </w:t>
      </w:r>
      <w:r w:rsidR="00B539F6">
        <w:rPr>
          <w:rFonts w:ascii="Arial" w:hAnsi="Arial" w:cs="Arial"/>
          <w:bCs/>
          <w:sz w:val="24"/>
          <w:szCs w:val="24"/>
        </w:rPr>
        <w:t>any matter concerning a contract of employment</w:t>
      </w:r>
      <w:r w:rsidR="008500E7">
        <w:rPr>
          <w:rFonts w:ascii="Arial" w:hAnsi="Arial" w:cs="Arial"/>
          <w:bCs/>
          <w:sz w:val="24"/>
          <w:szCs w:val="24"/>
        </w:rPr>
        <w:t xml:space="preserve"> </w:t>
      </w:r>
      <w:r w:rsidR="000F2D27">
        <w:rPr>
          <w:rFonts w:ascii="Arial" w:hAnsi="Arial" w:cs="Arial"/>
          <w:bCs/>
          <w:sz w:val="24"/>
          <w:szCs w:val="24"/>
        </w:rPr>
        <w:t>irrespective of whether any basic condition of employment</w:t>
      </w:r>
      <w:r w:rsidR="008500E7">
        <w:rPr>
          <w:rFonts w:ascii="Arial" w:hAnsi="Arial" w:cs="Arial"/>
          <w:bCs/>
          <w:sz w:val="24"/>
          <w:szCs w:val="24"/>
        </w:rPr>
        <w:t xml:space="preserve"> constitutes a term of that contract</w:t>
      </w:r>
      <w:r w:rsidR="00CD4039">
        <w:rPr>
          <w:rFonts w:ascii="Arial" w:hAnsi="Arial" w:cs="Arial"/>
          <w:bCs/>
          <w:sz w:val="24"/>
          <w:szCs w:val="24"/>
        </w:rPr>
        <w:t>.</w:t>
      </w:r>
    </w:p>
    <w:p w14:paraId="67D133B2" w14:textId="77777777" w:rsidR="00FA2E42" w:rsidRPr="00D02B6C" w:rsidRDefault="00FA2E42" w:rsidP="004E4891">
      <w:pPr>
        <w:spacing w:after="0" w:line="360" w:lineRule="auto"/>
        <w:jc w:val="both"/>
        <w:rPr>
          <w:rFonts w:ascii="Arial" w:hAnsi="Arial" w:cs="Arial"/>
          <w:bCs/>
        </w:rPr>
      </w:pPr>
    </w:p>
    <w:p w14:paraId="1D05FCE0" w14:textId="7001AABE" w:rsidR="00546BEA" w:rsidRDefault="00CB5044" w:rsidP="00F76C78">
      <w:pPr>
        <w:spacing w:after="0" w:line="360" w:lineRule="auto"/>
        <w:jc w:val="both"/>
        <w:rPr>
          <w:rFonts w:ascii="Arial" w:hAnsi="Arial" w:cs="Arial"/>
          <w:bCs/>
          <w:sz w:val="24"/>
          <w:szCs w:val="24"/>
        </w:rPr>
      </w:pPr>
      <w:r>
        <w:rPr>
          <w:rFonts w:ascii="Arial" w:hAnsi="Arial" w:cs="Arial"/>
          <w:bCs/>
          <w:sz w:val="24"/>
          <w:szCs w:val="24"/>
        </w:rPr>
        <w:t>[</w:t>
      </w:r>
      <w:r w:rsidR="00126415">
        <w:rPr>
          <w:rFonts w:ascii="Arial" w:hAnsi="Arial" w:cs="Arial"/>
          <w:bCs/>
          <w:sz w:val="24"/>
          <w:szCs w:val="24"/>
        </w:rPr>
        <w:t>16</w:t>
      </w:r>
      <w:r>
        <w:rPr>
          <w:rFonts w:ascii="Arial" w:hAnsi="Arial" w:cs="Arial"/>
          <w:bCs/>
          <w:sz w:val="24"/>
          <w:szCs w:val="24"/>
        </w:rPr>
        <w:t>]</w:t>
      </w:r>
      <w:r>
        <w:rPr>
          <w:rFonts w:ascii="Arial" w:hAnsi="Arial" w:cs="Arial"/>
          <w:bCs/>
          <w:sz w:val="24"/>
          <w:szCs w:val="24"/>
        </w:rPr>
        <w:tab/>
      </w:r>
      <w:r w:rsidR="00125E20">
        <w:rPr>
          <w:rFonts w:ascii="Arial" w:hAnsi="Arial" w:cs="Arial"/>
          <w:bCs/>
          <w:sz w:val="24"/>
          <w:szCs w:val="24"/>
        </w:rPr>
        <w:t>T</w:t>
      </w:r>
      <w:r w:rsidR="00125E20" w:rsidRPr="00125E20">
        <w:rPr>
          <w:rFonts w:ascii="Arial" w:hAnsi="Arial" w:cs="Arial"/>
          <w:bCs/>
          <w:sz w:val="24"/>
          <w:szCs w:val="24"/>
        </w:rPr>
        <w:t xml:space="preserve">he </w:t>
      </w:r>
      <w:r w:rsidR="00125E20">
        <w:rPr>
          <w:rFonts w:ascii="Arial" w:hAnsi="Arial" w:cs="Arial"/>
          <w:bCs/>
          <w:sz w:val="24"/>
          <w:szCs w:val="24"/>
        </w:rPr>
        <w:t xml:space="preserve">fundamental </w:t>
      </w:r>
      <w:r w:rsidR="00125E20" w:rsidRPr="00125E20">
        <w:rPr>
          <w:rFonts w:ascii="Arial" w:hAnsi="Arial" w:cs="Arial"/>
          <w:bCs/>
          <w:sz w:val="24"/>
          <w:szCs w:val="24"/>
        </w:rPr>
        <w:t>question is whether the high court and the Labour Court enjoyed concurrent jurisdiction over the</w:t>
      </w:r>
      <w:r w:rsidR="008F4EC7">
        <w:rPr>
          <w:rFonts w:ascii="Arial" w:hAnsi="Arial" w:cs="Arial"/>
          <w:bCs/>
          <w:sz w:val="24"/>
          <w:szCs w:val="24"/>
        </w:rPr>
        <w:t xml:space="preserve"> </w:t>
      </w:r>
      <w:r>
        <w:rPr>
          <w:rFonts w:ascii="Arial" w:hAnsi="Arial" w:cs="Arial"/>
          <w:bCs/>
          <w:sz w:val="24"/>
          <w:szCs w:val="24"/>
        </w:rPr>
        <w:t>causes of action relied upon by the PSA in its application.</w:t>
      </w:r>
      <w:r w:rsidR="009F21D9">
        <w:rPr>
          <w:rFonts w:ascii="Arial" w:hAnsi="Arial" w:cs="Arial"/>
          <w:bCs/>
          <w:sz w:val="24"/>
          <w:szCs w:val="24"/>
        </w:rPr>
        <w:t xml:space="preserve"> </w:t>
      </w:r>
      <w:r w:rsidR="00A57B3C" w:rsidRPr="004907C9">
        <w:rPr>
          <w:rFonts w:ascii="Arial" w:hAnsi="Arial" w:cs="Arial"/>
          <w:bCs/>
          <w:sz w:val="24"/>
          <w:szCs w:val="24"/>
        </w:rPr>
        <w:t>A plethora of judgments have held that jurisdiction is determined on the basis of the pleadings and not the substantive merits of the case.</w:t>
      </w:r>
      <w:r w:rsidR="00A57B3C" w:rsidRPr="004907C9">
        <w:rPr>
          <w:rStyle w:val="FootnoteReference"/>
          <w:rFonts w:ascii="Arial" w:hAnsi="Arial" w:cs="Arial"/>
          <w:bCs/>
          <w:sz w:val="24"/>
          <w:szCs w:val="24"/>
        </w:rPr>
        <w:footnoteReference w:id="10"/>
      </w:r>
      <w:r w:rsidR="00A57B3C" w:rsidRPr="004907C9">
        <w:rPr>
          <w:rFonts w:ascii="Arial" w:hAnsi="Arial" w:cs="Arial"/>
          <w:bCs/>
          <w:sz w:val="24"/>
          <w:szCs w:val="24"/>
        </w:rPr>
        <w:t xml:space="preserve"> </w:t>
      </w:r>
      <w:r w:rsidR="00885713" w:rsidRPr="004907C9">
        <w:rPr>
          <w:rFonts w:ascii="Arial" w:hAnsi="Arial" w:cs="Arial"/>
          <w:bCs/>
          <w:sz w:val="24"/>
          <w:szCs w:val="24"/>
        </w:rPr>
        <w:t>This Court in</w:t>
      </w:r>
      <w:r w:rsidR="00F22EEC" w:rsidRPr="004907C9">
        <w:rPr>
          <w:rFonts w:ascii="Arial" w:hAnsi="Arial" w:cs="Arial"/>
          <w:bCs/>
          <w:sz w:val="24"/>
          <w:szCs w:val="24"/>
        </w:rPr>
        <w:t xml:space="preserve"> </w:t>
      </w:r>
      <w:r w:rsidR="00F22EEC" w:rsidRPr="004907C9">
        <w:rPr>
          <w:rFonts w:ascii="Arial" w:hAnsi="Arial" w:cs="Arial"/>
          <w:bCs/>
          <w:i/>
          <w:iCs/>
          <w:sz w:val="24"/>
          <w:szCs w:val="24"/>
        </w:rPr>
        <w:t>Lewarne v Focem International (Pty) Ltd</w:t>
      </w:r>
      <w:r w:rsidR="000940D4" w:rsidRPr="00062501">
        <w:rPr>
          <w:rFonts w:ascii="Arial" w:hAnsi="Arial" w:cs="Arial"/>
          <w:bCs/>
          <w:iCs/>
          <w:sz w:val="24"/>
          <w:szCs w:val="24"/>
        </w:rPr>
        <w:t>,</w:t>
      </w:r>
      <w:r w:rsidR="00F22EEC" w:rsidRPr="00062501">
        <w:rPr>
          <w:rStyle w:val="FootnoteReference"/>
          <w:rFonts w:ascii="Arial" w:hAnsi="Arial" w:cs="Arial"/>
          <w:bCs/>
          <w:sz w:val="24"/>
          <w:szCs w:val="24"/>
        </w:rPr>
        <w:footnoteReference w:id="11"/>
      </w:r>
      <w:r w:rsidR="00F22EEC" w:rsidRPr="000940D4">
        <w:rPr>
          <w:rFonts w:ascii="Arial" w:hAnsi="Arial" w:cs="Arial"/>
          <w:bCs/>
          <w:sz w:val="24"/>
          <w:szCs w:val="24"/>
        </w:rPr>
        <w:t xml:space="preserve"> </w:t>
      </w:r>
      <w:r w:rsidR="00F22EEC" w:rsidRPr="004907C9">
        <w:rPr>
          <w:rFonts w:ascii="Arial" w:hAnsi="Arial" w:cs="Arial"/>
          <w:bCs/>
          <w:sz w:val="24"/>
          <w:szCs w:val="24"/>
        </w:rPr>
        <w:t xml:space="preserve">held </w:t>
      </w:r>
      <w:r w:rsidR="00A0652D" w:rsidRPr="004907C9">
        <w:rPr>
          <w:rFonts w:ascii="Arial" w:hAnsi="Arial" w:cs="Arial"/>
          <w:bCs/>
          <w:sz w:val="24"/>
          <w:szCs w:val="24"/>
        </w:rPr>
        <w:t>that when a court’s jurisdiction is challenged</w:t>
      </w:r>
      <w:r w:rsidR="00374387" w:rsidRPr="004907C9">
        <w:rPr>
          <w:rFonts w:ascii="Arial" w:hAnsi="Arial" w:cs="Arial"/>
          <w:bCs/>
          <w:sz w:val="24"/>
          <w:szCs w:val="24"/>
        </w:rPr>
        <w:t>, the court should base its conclusion on the applicant’s pleadings,</w:t>
      </w:r>
      <w:r w:rsidR="00374387">
        <w:rPr>
          <w:rFonts w:ascii="Arial" w:hAnsi="Arial" w:cs="Arial"/>
          <w:bCs/>
          <w:sz w:val="24"/>
          <w:szCs w:val="24"/>
        </w:rPr>
        <w:t xml:space="preserve"> as they contain the legal basis of the claim under which the applicant had chose</w:t>
      </w:r>
      <w:r w:rsidR="00B94621">
        <w:rPr>
          <w:rFonts w:ascii="Arial" w:hAnsi="Arial" w:cs="Arial"/>
          <w:bCs/>
          <w:sz w:val="24"/>
          <w:szCs w:val="24"/>
        </w:rPr>
        <w:t>n</w:t>
      </w:r>
      <w:r w:rsidR="00374387">
        <w:rPr>
          <w:rFonts w:ascii="Arial" w:hAnsi="Arial" w:cs="Arial"/>
          <w:bCs/>
          <w:sz w:val="24"/>
          <w:szCs w:val="24"/>
        </w:rPr>
        <w:t xml:space="preserve"> to invoke </w:t>
      </w:r>
      <w:r w:rsidR="00B94621">
        <w:rPr>
          <w:rFonts w:ascii="Arial" w:hAnsi="Arial" w:cs="Arial"/>
          <w:bCs/>
          <w:sz w:val="24"/>
          <w:szCs w:val="24"/>
        </w:rPr>
        <w:t>the court’s competence. I</w:t>
      </w:r>
      <w:r w:rsidR="00F22EEC">
        <w:rPr>
          <w:rFonts w:ascii="Arial" w:hAnsi="Arial" w:cs="Arial"/>
          <w:bCs/>
          <w:sz w:val="24"/>
          <w:szCs w:val="24"/>
        </w:rPr>
        <w:t>n</w:t>
      </w:r>
      <w:r w:rsidR="00885713">
        <w:rPr>
          <w:rFonts w:ascii="Arial" w:hAnsi="Arial" w:cs="Arial"/>
          <w:bCs/>
          <w:sz w:val="24"/>
          <w:szCs w:val="24"/>
        </w:rPr>
        <w:t xml:space="preserve"> </w:t>
      </w:r>
      <w:r w:rsidR="00885713" w:rsidRPr="00322B50">
        <w:rPr>
          <w:rFonts w:ascii="Arial" w:hAnsi="Arial" w:cs="Arial"/>
          <w:bCs/>
          <w:i/>
          <w:iCs/>
          <w:sz w:val="24"/>
          <w:szCs w:val="24"/>
        </w:rPr>
        <w:t>Boxer Superstores Mthatha and Another v Mbenya</w:t>
      </w:r>
      <w:r w:rsidR="000940D4" w:rsidRPr="00062501">
        <w:rPr>
          <w:rFonts w:ascii="Arial" w:hAnsi="Arial" w:cs="Arial"/>
          <w:bCs/>
          <w:i/>
          <w:iCs/>
          <w:sz w:val="24"/>
          <w:szCs w:val="24"/>
        </w:rPr>
        <w:t>I</w:t>
      </w:r>
      <w:r w:rsidR="000940D4" w:rsidRPr="00062501">
        <w:rPr>
          <w:rFonts w:ascii="Arial" w:hAnsi="Arial" w:cs="Arial"/>
          <w:bCs/>
          <w:iCs/>
          <w:sz w:val="24"/>
          <w:szCs w:val="24"/>
        </w:rPr>
        <w:t>,</w:t>
      </w:r>
      <w:r w:rsidR="00322B50" w:rsidRPr="00062501">
        <w:rPr>
          <w:rStyle w:val="FootnoteReference"/>
          <w:rFonts w:ascii="Arial" w:hAnsi="Arial" w:cs="Arial"/>
          <w:bCs/>
          <w:iCs/>
          <w:sz w:val="24"/>
          <w:szCs w:val="24"/>
        </w:rPr>
        <w:footnoteReference w:id="12"/>
      </w:r>
      <w:r w:rsidR="00885713">
        <w:rPr>
          <w:rFonts w:ascii="Arial" w:hAnsi="Arial" w:cs="Arial"/>
          <w:bCs/>
          <w:sz w:val="24"/>
          <w:szCs w:val="24"/>
        </w:rPr>
        <w:t xml:space="preserve"> </w:t>
      </w:r>
      <w:r w:rsidR="00F22EEC">
        <w:rPr>
          <w:rFonts w:ascii="Arial" w:hAnsi="Arial" w:cs="Arial"/>
          <w:bCs/>
          <w:sz w:val="24"/>
          <w:szCs w:val="24"/>
        </w:rPr>
        <w:t xml:space="preserve">this Court </w:t>
      </w:r>
      <w:r w:rsidR="00885713">
        <w:rPr>
          <w:rFonts w:ascii="Arial" w:hAnsi="Arial" w:cs="Arial"/>
          <w:bCs/>
          <w:sz w:val="24"/>
          <w:szCs w:val="24"/>
        </w:rPr>
        <w:t xml:space="preserve">held that </w:t>
      </w:r>
      <w:r w:rsidR="00B9356E">
        <w:rPr>
          <w:rFonts w:ascii="Arial" w:hAnsi="Arial" w:cs="Arial"/>
          <w:bCs/>
          <w:sz w:val="24"/>
          <w:szCs w:val="24"/>
        </w:rPr>
        <w:t xml:space="preserve">‘the high court has </w:t>
      </w:r>
      <w:r w:rsidR="00322B50">
        <w:rPr>
          <w:rFonts w:ascii="Arial" w:hAnsi="Arial" w:cs="Arial"/>
          <w:bCs/>
          <w:sz w:val="24"/>
          <w:szCs w:val="24"/>
        </w:rPr>
        <w:t>j</w:t>
      </w:r>
      <w:r w:rsidR="00B9356E">
        <w:rPr>
          <w:rFonts w:ascii="Arial" w:hAnsi="Arial" w:cs="Arial"/>
          <w:bCs/>
          <w:sz w:val="24"/>
          <w:szCs w:val="24"/>
        </w:rPr>
        <w:t xml:space="preserve">urisdiction even </w:t>
      </w:r>
      <w:r w:rsidR="00EA62F2">
        <w:rPr>
          <w:rFonts w:ascii="Arial" w:hAnsi="Arial" w:cs="Arial"/>
          <w:bCs/>
          <w:sz w:val="24"/>
          <w:szCs w:val="24"/>
        </w:rPr>
        <w:t>i</w:t>
      </w:r>
      <w:r w:rsidR="00B9356E">
        <w:rPr>
          <w:rFonts w:ascii="Arial" w:hAnsi="Arial" w:cs="Arial"/>
          <w:bCs/>
          <w:sz w:val="24"/>
          <w:szCs w:val="24"/>
        </w:rPr>
        <w:t>f the claim could also have been formulated as an unfair labour practice</w:t>
      </w:r>
      <w:r w:rsidR="00F83002">
        <w:rPr>
          <w:rFonts w:ascii="Arial" w:hAnsi="Arial" w:cs="Arial"/>
          <w:bCs/>
          <w:sz w:val="24"/>
          <w:szCs w:val="24"/>
        </w:rPr>
        <w:t>’</w:t>
      </w:r>
      <w:r w:rsidR="00B9356E">
        <w:rPr>
          <w:rFonts w:ascii="Arial" w:hAnsi="Arial" w:cs="Arial"/>
          <w:bCs/>
          <w:sz w:val="24"/>
          <w:szCs w:val="24"/>
        </w:rPr>
        <w:t>.</w:t>
      </w:r>
    </w:p>
    <w:p w14:paraId="12D8A11A" w14:textId="0929315E" w:rsidR="00546BEA" w:rsidRDefault="009F21D9" w:rsidP="00F76C78">
      <w:pPr>
        <w:spacing w:after="0" w:line="360" w:lineRule="auto"/>
        <w:jc w:val="both"/>
        <w:rPr>
          <w:rFonts w:ascii="Arial" w:hAnsi="Arial" w:cs="Arial"/>
          <w:bCs/>
          <w:sz w:val="24"/>
          <w:szCs w:val="24"/>
        </w:rPr>
      </w:pPr>
      <w:r>
        <w:rPr>
          <w:rFonts w:ascii="Arial" w:hAnsi="Arial" w:cs="Arial"/>
          <w:bCs/>
          <w:sz w:val="24"/>
          <w:szCs w:val="24"/>
        </w:rPr>
        <w:lastRenderedPageBreak/>
        <w:t>[</w:t>
      </w:r>
      <w:r w:rsidR="00126415">
        <w:rPr>
          <w:rFonts w:ascii="Arial" w:hAnsi="Arial" w:cs="Arial"/>
          <w:bCs/>
          <w:sz w:val="24"/>
          <w:szCs w:val="24"/>
        </w:rPr>
        <w:t>17</w:t>
      </w:r>
      <w:r>
        <w:rPr>
          <w:rFonts w:ascii="Arial" w:hAnsi="Arial" w:cs="Arial"/>
          <w:bCs/>
          <w:sz w:val="24"/>
          <w:szCs w:val="24"/>
        </w:rPr>
        <w:t>]</w:t>
      </w:r>
      <w:r>
        <w:rPr>
          <w:rFonts w:ascii="Arial" w:hAnsi="Arial" w:cs="Arial"/>
          <w:bCs/>
          <w:sz w:val="24"/>
          <w:szCs w:val="24"/>
        </w:rPr>
        <w:tab/>
      </w:r>
      <w:r w:rsidR="008B07F3" w:rsidRPr="001F7CDE">
        <w:rPr>
          <w:rFonts w:ascii="Arial" w:hAnsi="Arial" w:cs="Arial"/>
          <w:bCs/>
          <w:sz w:val="24"/>
          <w:szCs w:val="24"/>
        </w:rPr>
        <w:t xml:space="preserve">The approach </w:t>
      </w:r>
      <w:r w:rsidR="00EC5DF6" w:rsidRPr="001F7CDE">
        <w:rPr>
          <w:rFonts w:ascii="Arial" w:hAnsi="Arial" w:cs="Arial"/>
          <w:bCs/>
          <w:sz w:val="24"/>
          <w:szCs w:val="24"/>
        </w:rPr>
        <w:t xml:space="preserve">recently </w:t>
      </w:r>
      <w:r w:rsidR="008B07F3" w:rsidRPr="001F7CDE">
        <w:rPr>
          <w:rFonts w:ascii="Arial" w:hAnsi="Arial" w:cs="Arial"/>
          <w:bCs/>
          <w:sz w:val="24"/>
          <w:szCs w:val="24"/>
        </w:rPr>
        <w:t xml:space="preserve">laid down </w:t>
      </w:r>
      <w:r w:rsidR="00EC5DF6" w:rsidRPr="001F7CDE">
        <w:rPr>
          <w:rFonts w:ascii="Arial" w:hAnsi="Arial" w:cs="Arial"/>
          <w:bCs/>
          <w:sz w:val="24"/>
          <w:szCs w:val="24"/>
        </w:rPr>
        <w:t xml:space="preserve">by the </w:t>
      </w:r>
      <w:r w:rsidR="00237CFA" w:rsidRPr="001F7CDE">
        <w:rPr>
          <w:rFonts w:ascii="Arial" w:hAnsi="Arial" w:cs="Arial"/>
          <w:bCs/>
          <w:sz w:val="24"/>
          <w:szCs w:val="24"/>
        </w:rPr>
        <w:t xml:space="preserve">Constitutional Court in </w:t>
      </w:r>
      <w:r w:rsidR="00237CFA" w:rsidRPr="001F7CDE">
        <w:rPr>
          <w:rFonts w:ascii="Arial" w:hAnsi="Arial" w:cs="Arial"/>
          <w:bCs/>
          <w:i/>
          <w:iCs/>
          <w:sz w:val="24"/>
          <w:szCs w:val="24"/>
        </w:rPr>
        <w:t>Baloyi v Public Protector</w:t>
      </w:r>
      <w:r w:rsidR="00D9315A" w:rsidRPr="00E96E3C">
        <w:rPr>
          <w:rStyle w:val="FootnoteReference"/>
          <w:rFonts w:ascii="Arial" w:hAnsi="Arial" w:cs="Arial"/>
          <w:bCs/>
          <w:sz w:val="24"/>
          <w:szCs w:val="24"/>
        </w:rPr>
        <w:footnoteReference w:id="13"/>
      </w:r>
      <w:r w:rsidR="00237CFA" w:rsidRPr="001F7CDE">
        <w:rPr>
          <w:rFonts w:ascii="Arial" w:hAnsi="Arial" w:cs="Arial"/>
          <w:bCs/>
          <w:sz w:val="24"/>
          <w:szCs w:val="24"/>
        </w:rPr>
        <w:t xml:space="preserve"> </w:t>
      </w:r>
      <w:r w:rsidR="00E96E3C" w:rsidRPr="001F7CDE">
        <w:rPr>
          <w:rFonts w:ascii="Arial" w:hAnsi="Arial" w:cs="Arial"/>
          <w:bCs/>
          <w:sz w:val="24"/>
          <w:szCs w:val="24"/>
        </w:rPr>
        <w:t>(</w:t>
      </w:r>
      <w:r w:rsidR="00E96E3C" w:rsidRPr="001F7CDE">
        <w:rPr>
          <w:rFonts w:ascii="Arial" w:hAnsi="Arial" w:cs="Arial"/>
          <w:bCs/>
          <w:i/>
          <w:iCs/>
          <w:sz w:val="24"/>
          <w:szCs w:val="24"/>
        </w:rPr>
        <w:t>Baloyi</w:t>
      </w:r>
      <w:r w:rsidR="00E96E3C" w:rsidRPr="001F7CDE">
        <w:rPr>
          <w:rFonts w:ascii="Arial" w:hAnsi="Arial" w:cs="Arial"/>
          <w:bCs/>
          <w:sz w:val="24"/>
          <w:szCs w:val="24"/>
        </w:rPr>
        <w:t>)</w:t>
      </w:r>
      <w:r w:rsidR="00E96E3C" w:rsidRPr="001F7CDE">
        <w:rPr>
          <w:rFonts w:ascii="Arial" w:hAnsi="Arial" w:cs="Arial"/>
          <w:bCs/>
          <w:i/>
          <w:iCs/>
          <w:sz w:val="24"/>
          <w:szCs w:val="24"/>
        </w:rPr>
        <w:t xml:space="preserve"> </w:t>
      </w:r>
      <w:r w:rsidR="00237CFA" w:rsidRPr="001F7CDE">
        <w:rPr>
          <w:rFonts w:ascii="Arial" w:hAnsi="Arial" w:cs="Arial"/>
          <w:bCs/>
          <w:sz w:val="24"/>
          <w:szCs w:val="24"/>
        </w:rPr>
        <w:t>is instructive</w:t>
      </w:r>
      <w:r w:rsidR="00C134EA" w:rsidRPr="001F7CDE">
        <w:rPr>
          <w:rFonts w:ascii="Arial" w:hAnsi="Arial" w:cs="Arial"/>
          <w:bCs/>
          <w:sz w:val="24"/>
          <w:szCs w:val="24"/>
        </w:rPr>
        <w:t xml:space="preserve"> in relation to this appeal. </w:t>
      </w:r>
      <w:r w:rsidR="00EC5DF6" w:rsidRPr="001F7CDE">
        <w:rPr>
          <w:rFonts w:ascii="Arial" w:hAnsi="Arial" w:cs="Arial"/>
          <w:bCs/>
          <w:sz w:val="24"/>
          <w:szCs w:val="24"/>
        </w:rPr>
        <w:t xml:space="preserve">That </w:t>
      </w:r>
      <w:r w:rsidR="000940D4" w:rsidRPr="00062501">
        <w:rPr>
          <w:rFonts w:ascii="Arial" w:hAnsi="Arial" w:cs="Arial"/>
          <w:bCs/>
          <w:sz w:val="24"/>
          <w:szCs w:val="24"/>
        </w:rPr>
        <w:t>C</w:t>
      </w:r>
      <w:r w:rsidR="00EC5DF6" w:rsidRPr="00062501">
        <w:rPr>
          <w:rFonts w:ascii="Arial" w:hAnsi="Arial" w:cs="Arial"/>
          <w:bCs/>
          <w:sz w:val="24"/>
          <w:szCs w:val="24"/>
        </w:rPr>
        <w:t>ourt</w:t>
      </w:r>
      <w:r w:rsidR="00EC5DF6" w:rsidRPr="001F7CDE">
        <w:rPr>
          <w:rFonts w:ascii="Arial" w:hAnsi="Arial" w:cs="Arial"/>
          <w:bCs/>
          <w:sz w:val="24"/>
          <w:szCs w:val="24"/>
        </w:rPr>
        <w:t xml:space="preserve"> </w:t>
      </w:r>
      <w:r w:rsidR="00386016" w:rsidRPr="001F7CDE">
        <w:rPr>
          <w:rFonts w:ascii="Arial" w:hAnsi="Arial" w:cs="Arial"/>
          <w:bCs/>
          <w:sz w:val="24"/>
          <w:szCs w:val="24"/>
        </w:rPr>
        <w:t>reaffirmed</w:t>
      </w:r>
      <w:r w:rsidR="00237CFA" w:rsidRPr="001F7CDE">
        <w:rPr>
          <w:rFonts w:ascii="Arial" w:hAnsi="Arial" w:cs="Arial"/>
          <w:bCs/>
          <w:sz w:val="24"/>
          <w:szCs w:val="24"/>
        </w:rPr>
        <w:t xml:space="preserve"> that an assessment of jurisdiction must be based on an applicant’s pleadings, as opposed to the substantive merits of the case</w:t>
      </w:r>
      <w:r w:rsidR="00671D84" w:rsidRPr="001F7CDE">
        <w:rPr>
          <w:rFonts w:ascii="Arial" w:hAnsi="Arial" w:cs="Arial"/>
          <w:bCs/>
          <w:sz w:val="24"/>
          <w:szCs w:val="24"/>
        </w:rPr>
        <w:t>.</w:t>
      </w:r>
      <w:r w:rsidR="00237CFA">
        <w:rPr>
          <w:rStyle w:val="FootnoteReference"/>
          <w:rFonts w:ascii="Arial" w:hAnsi="Arial" w:cs="Arial"/>
          <w:bCs/>
          <w:sz w:val="24"/>
          <w:szCs w:val="24"/>
        </w:rPr>
        <w:footnoteReference w:id="14"/>
      </w:r>
      <w:r w:rsidR="00671D84" w:rsidRPr="001F7CDE">
        <w:rPr>
          <w:rFonts w:ascii="Arial" w:hAnsi="Arial" w:cs="Arial"/>
          <w:bCs/>
          <w:sz w:val="24"/>
          <w:szCs w:val="24"/>
        </w:rPr>
        <w:t xml:space="preserve"> </w:t>
      </w:r>
      <w:r w:rsidR="0085057E">
        <w:rPr>
          <w:rFonts w:ascii="Arial" w:hAnsi="Arial" w:cs="Arial"/>
          <w:bCs/>
          <w:sz w:val="24"/>
          <w:szCs w:val="24"/>
        </w:rPr>
        <w:t>It</w:t>
      </w:r>
      <w:r w:rsidR="00671D84" w:rsidRPr="001F7CDE">
        <w:rPr>
          <w:rFonts w:ascii="Arial" w:hAnsi="Arial" w:cs="Arial"/>
          <w:bCs/>
          <w:sz w:val="24"/>
          <w:szCs w:val="24"/>
        </w:rPr>
        <w:t xml:space="preserve"> </w:t>
      </w:r>
      <w:r w:rsidR="003A5E2A" w:rsidRPr="001F7CDE">
        <w:rPr>
          <w:rFonts w:ascii="Arial" w:hAnsi="Arial" w:cs="Arial"/>
          <w:bCs/>
          <w:sz w:val="24"/>
          <w:szCs w:val="24"/>
        </w:rPr>
        <w:t xml:space="preserve">also </w:t>
      </w:r>
      <w:r w:rsidR="00671D84" w:rsidRPr="001F7CDE">
        <w:rPr>
          <w:rFonts w:ascii="Arial" w:hAnsi="Arial" w:cs="Arial"/>
          <w:bCs/>
          <w:sz w:val="24"/>
          <w:szCs w:val="24"/>
        </w:rPr>
        <w:t>observed that ‘the same set of facts may give rise to several different causes of action</w:t>
      </w:r>
      <w:r w:rsidR="00823B3B" w:rsidRPr="001F7CDE">
        <w:rPr>
          <w:rFonts w:ascii="Arial" w:hAnsi="Arial" w:cs="Arial"/>
          <w:bCs/>
          <w:sz w:val="24"/>
          <w:szCs w:val="24"/>
        </w:rPr>
        <w:t>’</w:t>
      </w:r>
      <w:r w:rsidR="00671D84" w:rsidRPr="001F7CDE">
        <w:rPr>
          <w:rFonts w:ascii="Arial" w:hAnsi="Arial" w:cs="Arial"/>
          <w:bCs/>
          <w:sz w:val="24"/>
          <w:szCs w:val="24"/>
        </w:rPr>
        <w:t>.</w:t>
      </w:r>
      <w:r w:rsidR="00671D84">
        <w:rPr>
          <w:rStyle w:val="FootnoteReference"/>
          <w:rFonts w:ascii="Arial" w:hAnsi="Arial" w:cs="Arial"/>
          <w:bCs/>
          <w:sz w:val="24"/>
          <w:szCs w:val="24"/>
        </w:rPr>
        <w:footnoteReference w:id="15"/>
      </w:r>
      <w:r w:rsidR="00671D84" w:rsidRPr="001F7CDE">
        <w:rPr>
          <w:rFonts w:ascii="Arial" w:hAnsi="Arial" w:cs="Arial"/>
          <w:bCs/>
          <w:sz w:val="24"/>
          <w:szCs w:val="24"/>
        </w:rPr>
        <w:t xml:space="preserve"> </w:t>
      </w:r>
      <w:r w:rsidR="00823B3B" w:rsidRPr="001F7CDE">
        <w:rPr>
          <w:rFonts w:ascii="Arial" w:hAnsi="Arial" w:cs="Arial"/>
          <w:bCs/>
          <w:sz w:val="24"/>
          <w:szCs w:val="24"/>
        </w:rPr>
        <w:t>Where other potential causes of action exist, the employee is not confined to only one.</w:t>
      </w:r>
      <w:r w:rsidR="00823B3B">
        <w:rPr>
          <w:rStyle w:val="FootnoteReference"/>
          <w:rFonts w:ascii="Arial" w:hAnsi="Arial" w:cs="Arial"/>
          <w:bCs/>
          <w:sz w:val="24"/>
          <w:szCs w:val="24"/>
        </w:rPr>
        <w:footnoteReference w:id="16"/>
      </w:r>
      <w:r w:rsidR="00823B3B" w:rsidRPr="001F7CDE">
        <w:rPr>
          <w:rFonts w:ascii="Arial" w:hAnsi="Arial" w:cs="Arial"/>
          <w:bCs/>
          <w:sz w:val="24"/>
          <w:szCs w:val="24"/>
        </w:rPr>
        <w:t xml:space="preserve"> </w:t>
      </w:r>
      <w:r w:rsidR="009E153F" w:rsidRPr="001F7CDE">
        <w:rPr>
          <w:rFonts w:ascii="Arial" w:hAnsi="Arial" w:cs="Arial"/>
          <w:bCs/>
          <w:sz w:val="24"/>
          <w:szCs w:val="24"/>
        </w:rPr>
        <w:t xml:space="preserve">The Constitutional Court </w:t>
      </w:r>
      <w:r w:rsidR="00C91CBE" w:rsidRPr="001F7CDE">
        <w:rPr>
          <w:rFonts w:ascii="Arial" w:hAnsi="Arial" w:cs="Arial"/>
          <w:bCs/>
          <w:sz w:val="24"/>
          <w:szCs w:val="24"/>
        </w:rPr>
        <w:t xml:space="preserve">also observed that the mere potential for a cause of action, like an unfair dismissal claim, does not obligate a litigant to frame her claim as one of unfair dismissal and to approach the </w:t>
      </w:r>
      <w:r w:rsidR="000940D4" w:rsidRPr="00062501">
        <w:rPr>
          <w:rFonts w:ascii="Arial" w:hAnsi="Arial" w:cs="Arial"/>
          <w:bCs/>
          <w:sz w:val="24"/>
          <w:szCs w:val="24"/>
        </w:rPr>
        <w:t>L</w:t>
      </w:r>
      <w:r w:rsidR="00C91CBE" w:rsidRPr="00062501">
        <w:rPr>
          <w:rFonts w:ascii="Arial" w:hAnsi="Arial" w:cs="Arial"/>
          <w:bCs/>
          <w:sz w:val="24"/>
          <w:szCs w:val="24"/>
        </w:rPr>
        <w:t xml:space="preserve">abour </w:t>
      </w:r>
      <w:r w:rsidR="000940D4" w:rsidRPr="00062501">
        <w:rPr>
          <w:rFonts w:ascii="Arial" w:hAnsi="Arial" w:cs="Arial"/>
          <w:bCs/>
          <w:sz w:val="24"/>
          <w:szCs w:val="24"/>
        </w:rPr>
        <w:t>C</w:t>
      </w:r>
      <w:r w:rsidR="00C91CBE" w:rsidRPr="00062501">
        <w:rPr>
          <w:rFonts w:ascii="Arial" w:hAnsi="Arial" w:cs="Arial"/>
          <w:bCs/>
          <w:sz w:val="24"/>
          <w:szCs w:val="24"/>
        </w:rPr>
        <w:t>ourt</w:t>
      </w:r>
      <w:r w:rsidR="00C91CBE" w:rsidRPr="001F7CDE">
        <w:rPr>
          <w:rFonts w:ascii="Arial" w:hAnsi="Arial" w:cs="Arial"/>
          <w:bCs/>
          <w:sz w:val="24"/>
          <w:szCs w:val="24"/>
        </w:rPr>
        <w:t xml:space="preserve"> notwithstanding that other potential causes of action exist.</w:t>
      </w:r>
      <w:r w:rsidR="00C91CBE">
        <w:rPr>
          <w:rStyle w:val="FootnoteReference"/>
          <w:rFonts w:ascii="Arial" w:hAnsi="Arial" w:cs="Arial"/>
          <w:bCs/>
          <w:sz w:val="24"/>
          <w:szCs w:val="24"/>
        </w:rPr>
        <w:footnoteReference w:id="17"/>
      </w:r>
      <w:r w:rsidR="00C91CBE" w:rsidRPr="001F7CDE">
        <w:rPr>
          <w:rFonts w:ascii="Arial" w:hAnsi="Arial" w:cs="Arial"/>
          <w:bCs/>
          <w:sz w:val="24"/>
          <w:szCs w:val="24"/>
        </w:rPr>
        <w:t xml:space="preserve"> It also </w:t>
      </w:r>
      <w:r w:rsidR="00894E9A" w:rsidRPr="007B6567">
        <w:rPr>
          <w:rFonts w:ascii="Arial" w:hAnsi="Arial" w:cs="Arial"/>
          <w:bCs/>
          <w:sz w:val="24"/>
          <w:szCs w:val="24"/>
        </w:rPr>
        <w:t>pointed out</w:t>
      </w:r>
      <w:r w:rsidR="00894E9A">
        <w:rPr>
          <w:rFonts w:ascii="Arial" w:hAnsi="Arial" w:cs="Arial"/>
          <w:bCs/>
          <w:sz w:val="24"/>
          <w:szCs w:val="24"/>
        </w:rPr>
        <w:t xml:space="preserve"> </w:t>
      </w:r>
      <w:r w:rsidR="00C91CBE" w:rsidRPr="001F7CDE">
        <w:rPr>
          <w:rFonts w:ascii="Arial" w:hAnsi="Arial" w:cs="Arial"/>
          <w:bCs/>
          <w:sz w:val="24"/>
          <w:szCs w:val="24"/>
        </w:rPr>
        <w:t>that the fact that a cause of action is limited to certain fora must not be interpreted as obliging an applicant only to pursue that cause of action.</w:t>
      </w:r>
      <w:r w:rsidR="00C91CBE">
        <w:rPr>
          <w:rStyle w:val="FootnoteReference"/>
          <w:rFonts w:ascii="Arial" w:hAnsi="Arial" w:cs="Arial"/>
          <w:bCs/>
          <w:sz w:val="24"/>
          <w:szCs w:val="24"/>
        </w:rPr>
        <w:footnoteReference w:id="18"/>
      </w:r>
    </w:p>
    <w:p w14:paraId="5A054CCF" w14:textId="70E176D1" w:rsidR="003A5E2A" w:rsidRPr="00D02B6C" w:rsidRDefault="003A5E2A" w:rsidP="001F7CDE">
      <w:pPr>
        <w:spacing w:line="360" w:lineRule="auto"/>
        <w:jc w:val="both"/>
        <w:rPr>
          <w:rFonts w:ascii="Arial" w:hAnsi="Arial" w:cs="Arial"/>
          <w:bCs/>
          <w:sz w:val="16"/>
          <w:szCs w:val="16"/>
        </w:rPr>
      </w:pPr>
    </w:p>
    <w:p w14:paraId="2BFFE839" w14:textId="73A63309" w:rsidR="003E4324" w:rsidRDefault="005F5798" w:rsidP="00F76C78">
      <w:pPr>
        <w:spacing w:after="0" w:line="360" w:lineRule="auto"/>
        <w:jc w:val="both"/>
        <w:rPr>
          <w:rFonts w:ascii="Arial" w:hAnsi="Arial" w:cs="Arial"/>
          <w:bCs/>
          <w:sz w:val="24"/>
          <w:szCs w:val="24"/>
        </w:rPr>
      </w:pPr>
      <w:r>
        <w:rPr>
          <w:rFonts w:ascii="Arial" w:hAnsi="Arial" w:cs="Arial"/>
          <w:bCs/>
          <w:sz w:val="24"/>
          <w:szCs w:val="24"/>
        </w:rPr>
        <w:t>[</w:t>
      </w:r>
      <w:r w:rsidR="003003B3">
        <w:rPr>
          <w:rFonts w:ascii="Arial" w:hAnsi="Arial" w:cs="Arial"/>
          <w:bCs/>
          <w:sz w:val="24"/>
          <w:szCs w:val="24"/>
        </w:rPr>
        <w:t>18</w:t>
      </w:r>
      <w:r w:rsidR="001F7CDE" w:rsidRPr="005F5798">
        <w:rPr>
          <w:rFonts w:ascii="Arial" w:hAnsi="Arial" w:cs="Arial"/>
          <w:bCs/>
          <w:sz w:val="24"/>
          <w:szCs w:val="24"/>
        </w:rPr>
        <w:t>]</w:t>
      </w:r>
      <w:r w:rsidR="001F7CDE" w:rsidRPr="005F5798">
        <w:rPr>
          <w:rFonts w:ascii="Arial" w:hAnsi="Arial" w:cs="Arial"/>
          <w:bCs/>
          <w:sz w:val="24"/>
          <w:szCs w:val="24"/>
        </w:rPr>
        <w:tab/>
      </w:r>
      <w:r w:rsidR="00C91CBE" w:rsidRPr="005F5798">
        <w:rPr>
          <w:rFonts w:ascii="Arial" w:hAnsi="Arial" w:cs="Arial"/>
          <w:bCs/>
          <w:sz w:val="24"/>
          <w:szCs w:val="24"/>
        </w:rPr>
        <w:t>With all those principles in mind, I now consider whether the PSA’s pleaded case elicited a cause of action that is justiciable in the high court</w:t>
      </w:r>
      <w:r w:rsidR="00E470DD" w:rsidRPr="005F5798">
        <w:rPr>
          <w:rFonts w:ascii="Arial" w:hAnsi="Arial" w:cs="Arial"/>
          <w:bCs/>
          <w:sz w:val="24"/>
          <w:szCs w:val="24"/>
        </w:rPr>
        <w:t xml:space="preserve">. </w:t>
      </w:r>
      <w:r w:rsidR="006D7673" w:rsidRPr="005F5798">
        <w:rPr>
          <w:rFonts w:ascii="Arial" w:hAnsi="Arial" w:cs="Arial"/>
          <w:bCs/>
          <w:sz w:val="24"/>
          <w:szCs w:val="24"/>
        </w:rPr>
        <w:t xml:space="preserve">The </w:t>
      </w:r>
      <w:r w:rsidR="00C91CBE" w:rsidRPr="005F5798">
        <w:rPr>
          <w:rFonts w:ascii="Arial" w:hAnsi="Arial" w:cs="Arial"/>
          <w:bCs/>
          <w:sz w:val="24"/>
          <w:szCs w:val="24"/>
        </w:rPr>
        <w:t xml:space="preserve">question is whether PSA’s pleadings as gleaned from the notice of motion and the founding affidavit in its entirety, revealed a claim requiring the high court to determine a matter concerning a contract of employment as envisaged in the BCEA. </w:t>
      </w:r>
      <w:r w:rsidR="003E4324">
        <w:rPr>
          <w:rFonts w:ascii="Arial" w:hAnsi="Arial" w:cs="Arial"/>
          <w:bCs/>
          <w:sz w:val="24"/>
          <w:szCs w:val="24"/>
        </w:rPr>
        <w:t>For a proper perspective, it is necessary to preface a discussion on jurisdiction by sketching out the relief which the PSA sought at the high court. The prayers were set out as follows in the Notice of Motion:</w:t>
      </w:r>
    </w:p>
    <w:p w14:paraId="137CAC19" w14:textId="77777777" w:rsidR="003E4324" w:rsidRDefault="003E4324" w:rsidP="003E4324">
      <w:pPr>
        <w:pStyle w:val="ListParagraph"/>
        <w:spacing w:line="360" w:lineRule="auto"/>
        <w:ind w:hanging="720"/>
        <w:jc w:val="both"/>
        <w:rPr>
          <w:rFonts w:ascii="Arial" w:hAnsi="Arial" w:cs="Arial"/>
          <w:bCs/>
        </w:rPr>
      </w:pPr>
      <w:r>
        <w:rPr>
          <w:rFonts w:ascii="Arial" w:hAnsi="Arial" w:cs="Arial"/>
          <w:bCs/>
        </w:rPr>
        <w:t>‘1.</w:t>
      </w:r>
      <w:r>
        <w:rPr>
          <w:rFonts w:ascii="Arial" w:hAnsi="Arial" w:cs="Arial"/>
          <w:bCs/>
        </w:rPr>
        <w:tab/>
        <w:t>The [NPA] to comply with the collective agreement dated 5 July 2007 being PSCBC</w:t>
      </w:r>
      <w:r>
        <w:rPr>
          <w:rStyle w:val="FootnoteReference"/>
          <w:rFonts w:ascii="Arial" w:hAnsi="Arial" w:cs="Arial"/>
          <w:bCs/>
        </w:rPr>
        <w:footnoteReference w:id="19"/>
      </w:r>
      <w:r>
        <w:rPr>
          <w:rFonts w:ascii="Arial" w:hAnsi="Arial" w:cs="Arial"/>
          <w:bCs/>
        </w:rPr>
        <w:t xml:space="preserve"> Resolution 1 of 2007;</w:t>
      </w:r>
    </w:p>
    <w:p w14:paraId="30E3094F" w14:textId="77777777" w:rsidR="003E4324" w:rsidRDefault="003E4324" w:rsidP="003E4324">
      <w:pPr>
        <w:pStyle w:val="ListParagraph"/>
        <w:spacing w:line="360" w:lineRule="auto"/>
        <w:ind w:hanging="720"/>
        <w:jc w:val="both"/>
        <w:rPr>
          <w:rFonts w:ascii="Arial" w:hAnsi="Arial" w:cs="Arial"/>
          <w:bCs/>
        </w:rPr>
      </w:pPr>
      <w:r>
        <w:rPr>
          <w:rFonts w:ascii="Arial" w:hAnsi="Arial" w:cs="Arial"/>
          <w:bCs/>
        </w:rPr>
        <w:t>2.</w:t>
      </w:r>
      <w:r>
        <w:rPr>
          <w:rFonts w:ascii="Arial" w:hAnsi="Arial" w:cs="Arial"/>
          <w:bCs/>
        </w:rPr>
        <w:tab/>
        <w:t>The [NPA] to comply with the collective agreement dated 7 February 2008 being GPSSBC Resolution 1 of 2008;</w:t>
      </w:r>
    </w:p>
    <w:p w14:paraId="10E8E774" w14:textId="77777777" w:rsidR="003E4324" w:rsidRDefault="003E4324" w:rsidP="003E4324">
      <w:pPr>
        <w:pStyle w:val="ListParagraph"/>
        <w:spacing w:line="360" w:lineRule="auto"/>
        <w:ind w:hanging="720"/>
        <w:jc w:val="both"/>
        <w:rPr>
          <w:rFonts w:ascii="Arial" w:hAnsi="Arial" w:cs="Arial"/>
          <w:bCs/>
        </w:rPr>
      </w:pPr>
      <w:r>
        <w:rPr>
          <w:rFonts w:ascii="Arial" w:hAnsi="Arial" w:cs="Arial"/>
          <w:bCs/>
        </w:rPr>
        <w:t>3.</w:t>
      </w:r>
      <w:r>
        <w:rPr>
          <w:rFonts w:ascii="Arial" w:hAnsi="Arial" w:cs="Arial"/>
          <w:bCs/>
        </w:rPr>
        <w:tab/>
        <w:t>The [NPA] to comply with the government notice dated 2 December 2010 issued and published by the Second Respondent acting in accordance with s 18(1) of the Act;</w:t>
      </w:r>
    </w:p>
    <w:p w14:paraId="5204191E" w14:textId="77777777" w:rsidR="003E4324" w:rsidRDefault="003E4324" w:rsidP="003E4324">
      <w:pPr>
        <w:pStyle w:val="ListParagraph"/>
        <w:spacing w:line="360" w:lineRule="auto"/>
        <w:ind w:hanging="720"/>
        <w:jc w:val="both"/>
        <w:rPr>
          <w:rFonts w:ascii="Arial" w:hAnsi="Arial" w:cs="Arial"/>
          <w:bCs/>
        </w:rPr>
      </w:pPr>
      <w:r>
        <w:rPr>
          <w:rFonts w:ascii="Arial" w:hAnsi="Arial" w:cs="Arial"/>
          <w:bCs/>
        </w:rPr>
        <w:t>DECLARING</w:t>
      </w:r>
    </w:p>
    <w:p w14:paraId="024474C9" w14:textId="77777777" w:rsidR="003E4324" w:rsidRDefault="003E4324" w:rsidP="003E4324">
      <w:pPr>
        <w:pStyle w:val="ListParagraph"/>
        <w:spacing w:line="360" w:lineRule="auto"/>
        <w:ind w:hanging="720"/>
        <w:jc w:val="both"/>
        <w:rPr>
          <w:rFonts w:ascii="Arial" w:hAnsi="Arial" w:cs="Arial"/>
          <w:bCs/>
        </w:rPr>
      </w:pPr>
      <w:r>
        <w:rPr>
          <w:rFonts w:ascii="Arial" w:hAnsi="Arial" w:cs="Arial"/>
          <w:bCs/>
        </w:rPr>
        <w:t>[4]</w:t>
      </w:r>
      <w:r>
        <w:rPr>
          <w:rFonts w:ascii="Arial" w:hAnsi="Arial" w:cs="Arial"/>
          <w:bCs/>
        </w:rPr>
        <w:tab/>
      </w:r>
      <w:r w:rsidRPr="00FB4819">
        <w:rPr>
          <w:rFonts w:ascii="Arial" w:hAnsi="Arial" w:cs="Arial"/>
          <w:bCs/>
        </w:rPr>
        <w:t>That the</w:t>
      </w:r>
      <w:r>
        <w:rPr>
          <w:rFonts w:ascii="Arial" w:hAnsi="Arial" w:cs="Arial"/>
          <w:bCs/>
        </w:rPr>
        <w:t xml:space="preserve"> NDPP’s approval regarding the implementation of the OSD dated 29 July 2014 was lawful and enforceable and must be complied with; and</w:t>
      </w:r>
    </w:p>
    <w:p w14:paraId="1740F12E" w14:textId="4A92E668" w:rsidR="003E4324" w:rsidRDefault="003E4324" w:rsidP="003E4324">
      <w:pPr>
        <w:pStyle w:val="ListParagraph"/>
        <w:spacing w:line="360" w:lineRule="auto"/>
        <w:ind w:hanging="720"/>
        <w:jc w:val="both"/>
        <w:rPr>
          <w:rFonts w:ascii="Arial" w:hAnsi="Arial" w:cs="Arial"/>
          <w:bCs/>
        </w:rPr>
      </w:pPr>
      <w:r>
        <w:rPr>
          <w:rFonts w:ascii="Arial" w:hAnsi="Arial" w:cs="Arial"/>
          <w:bCs/>
        </w:rPr>
        <w:lastRenderedPageBreak/>
        <w:t>[5]</w:t>
      </w:r>
      <w:r>
        <w:rPr>
          <w:rFonts w:ascii="Arial" w:hAnsi="Arial" w:cs="Arial"/>
          <w:bCs/>
        </w:rPr>
        <w:tab/>
        <w:t xml:space="preserve">That the memorandum dated 24 November 2014 from the Chief Executive Officer of the First Respondent, </w:t>
      </w:r>
      <w:r w:rsidR="00FA2935">
        <w:rPr>
          <w:rFonts w:ascii="Arial" w:hAnsi="Arial" w:cs="Arial"/>
          <w:bCs/>
        </w:rPr>
        <w:t>Ms</w:t>
      </w:r>
      <w:r>
        <w:rPr>
          <w:rFonts w:ascii="Arial" w:hAnsi="Arial" w:cs="Arial"/>
          <w:bCs/>
        </w:rPr>
        <w:t xml:space="preserve"> Karen van Rensburg regarding the “proposal on the implementation of the LP 1P in the NPA” is lawful, enforceable and created reasonable legitimate expectation and must be complied with.</w:t>
      </w:r>
    </w:p>
    <w:p w14:paraId="317120FF" w14:textId="77777777" w:rsidR="003E4324" w:rsidRDefault="003E4324" w:rsidP="003E4324">
      <w:pPr>
        <w:pStyle w:val="ListParagraph"/>
        <w:spacing w:line="360" w:lineRule="auto"/>
        <w:ind w:hanging="720"/>
        <w:jc w:val="both"/>
        <w:rPr>
          <w:rFonts w:ascii="Arial" w:hAnsi="Arial" w:cs="Arial"/>
          <w:bCs/>
        </w:rPr>
      </w:pPr>
      <w:r>
        <w:rPr>
          <w:rFonts w:ascii="Arial" w:hAnsi="Arial" w:cs="Arial"/>
          <w:bCs/>
        </w:rPr>
        <w:t>[6]</w:t>
      </w:r>
      <w:r>
        <w:rPr>
          <w:rFonts w:ascii="Arial" w:hAnsi="Arial" w:cs="Arial"/>
          <w:bCs/>
        </w:rPr>
        <w:tab/>
        <w:t>Ordering the [NPA] to pay the costs of this application;</w:t>
      </w:r>
    </w:p>
    <w:p w14:paraId="5C0B925A" w14:textId="77777777" w:rsidR="003E4324" w:rsidRDefault="003E4324" w:rsidP="00B354D9">
      <w:pPr>
        <w:pStyle w:val="ListParagraph"/>
        <w:spacing w:after="0" w:line="360" w:lineRule="auto"/>
        <w:ind w:hanging="720"/>
        <w:jc w:val="both"/>
        <w:rPr>
          <w:rFonts w:ascii="Arial" w:hAnsi="Arial" w:cs="Arial"/>
          <w:bCs/>
        </w:rPr>
      </w:pPr>
      <w:r>
        <w:rPr>
          <w:rFonts w:ascii="Arial" w:hAnsi="Arial" w:cs="Arial"/>
          <w:bCs/>
        </w:rPr>
        <w:t>[7]</w:t>
      </w:r>
      <w:r>
        <w:rPr>
          <w:rFonts w:ascii="Arial" w:hAnsi="Arial" w:cs="Arial"/>
          <w:bCs/>
        </w:rPr>
        <w:tab/>
        <w:t>Granting the Applicant further and/or alternative relief.’</w:t>
      </w:r>
    </w:p>
    <w:p w14:paraId="42FA7DFB" w14:textId="77777777" w:rsidR="003E4324" w:rsidRPr="00FB4819" w:rsidRDefault="003E4324" w:rsidP="00B354D9">
      <w:pPr>
        <w:pStyle w:val="ListParagraph"/>
        <w:spacing w:after="0" w:line="360" w:lineRule="auto"/>
        <w:ind w:hanging="720"/>
        <w:jc w:val="both"/>
        <w:rPr>
          <w:rFonts w:ascii="Arial" w:hAnsi="Arial" w:cs="Arial"/>
          <w:bCs/>
        </w:rPr>
      </w:pPr>
      <w:r>
        <w:rPr>
          <w:rFonts w:ascii="Arial" w:hAnsi="Arial" w:cs="Arial"/>
          <w:bCs/>
        </w:rPr>
        <w:t xml:space="preserve"> </w:t>
      </w:r>
    </w:p>
    <w:p w14:paraId="1068A4B6" w14:textId="577CC131" w:rsidR="002A524B" w:rsidRDefault="003E4324" w:rsidP="00F76C78">
      <w:pPr>
        <w:pStyle w:val="ListParagraph"/>
        <w:spacing w:after="0" w:line="360" w:lineRule="auto"/>
        <w:ind w:left="0"/>
        <w:jc w:val="both"/>
        <w:rPr>
          <w:rFonts w:ascii="Arial" w:hAnsi="Arial" w:cs="Arial"/>
          <w:bCs/>
          <w:sz w:val="24"/>
          <w:szCs w:val="24"/>
        </w:rPr>
      </w:pPr>
      <w:r>
        <w:rPr>
          <w:rFonts w:ascii="Arial" w:hAnsi="Arial" w:cs="Arial"/>
          <w:bCs/>
          <w:sz w:val="24"/>
          <w:szCs w:val="24"/>
        </w:rPr>
        <w:t>[1</w:t>
      </w:r>
      <w:r w:rsidR="003003B3">
        <w:rPr>
          <w:rFonts w:ascii="Arial" w:hAnsi="Arial" w:cs="Arial"/>
          <w:bCs/>
          <w:sz w:val="24"/>
          <w:szCs w:val="24"/>
        </w:rPr>
        <w:t>9</w:t>
      </w:r>
      <w:r>
        <w:rPr>
          <w:rFonts w:ascii="Arial" w:hAnsi="Arial" w:cs="Arial"/>
          <w:bCs/>
          <w:sz w:val="24"/>
          <w:szCs w:val="24"/>
        </w:rPr>
        <w:t>]</w:t>
      </w:r>
      <w:r>
        <w:rPr>
          <w:rFonts w:ascii="Arial" w:hAnsi="Arial" w:cs="Arial"/>
          <w:bCs/>
          <w:sz w:val="24"/>
          <w:szCs w:val="24"/>
        </w:rPr>
        <w:tab/>
      </w:r>
      <w:r w:rsidR="00C06D21">
        <w:rPr>
          <w:rFonts w:ascii="Arial" w:hAnsi="Arial" w:cs="Arial"/>
          <w:bCs/>
          <w:sz w:val="24"/>
          <w:szCs w:val="24"/>
        </w:rPr>
        <w:t xml:space="preserve">It is clear from the Notice of Motion </w:t>
      </w:r>
      <w:r w:rsidR="00BC26AE" w:rsidRPr="005F5798">
        <w:rPr>
          <w:rFonts w:ascii="Arial" w:hAnsi="Arial" w:cs="Arial"/>
          <w:bCs/>
          <w:sz w:val="24"/>
          <w:szCs w:val="24"/>
        </w:rPr>
        <w:t xml:space="preserve">that the PSA founded </w:t>
      </w:r>
      <w:r w:rsidR="009E17C3">
        <w:rPr>
          <w:rFonts w:ascii="Arial" w:hAnsi="Arial" w:cs="Arial"/>
          <w:bCs/>
          <w:sz w:val="24"/>
          <w:szCs w:val="24"/>
        </w:rPr>
        <w:t xml:space="preserve">its </w:t>
      </w:r>
      <w:r w:rsidR="00BC26AE" w:rsidRPr="005F5798">
        <w:rPr>
          <w:rFonts w:ascii="Arial" w:hAnsi="Arial" w:cs="Arial"/>
          <w:bCs/>
          <w:sz w:val="24"/>
          <w:szCs w:val="24"/>
        </w:rPr>
        <w:t xml:space="preserve">case on a range of causes of action. </w:t>
      </w:r>
      <w:r w:rsidR="00424E8D">
        <w:rPr>
          <w:rFonts w:ascii="Arial" w:hAnsi="Arial" w:cs="Arial"/>
          <w:bCs/>
          <w:sz w:val="24"/>
          <w:szCs w:val="24"/>
        </w:rPr>
        <w:t>T</w:t>
      </w:r>
      <w:r w:rsidR="0043157E" w:rsidRPr="005F5798">
        <w:rPr>
          <w:rFonts w:ascii="Arial" w:hAnsi="Arial" w:cs="Arial"/>
          <w:bCs/>
          <w:sz w:val="24"/>
          <w:szCs w:val="24"/>
        </w:rPr>
        <w:t>he first two prayers were for the enforcement of the 2007 and 2008 collective agreements</w:t>
      </w:r>
      <w:r w:rsidR="00424E8D">
        <w:rPr>
          <w:rFonts w:ascii="Arial" w:hAnsi="Arial" w:cs="Arial"/>
          <w:bCs/>
          <w:sz w:val="24"/>
          <w:szCs w:val="24"/>
        </w:rPr>
        <w:t>.</w:t>
      </w:r>
      <w:r w:rsidR="002252DC">
        <w:rPr>
          <w:rFonts w:ascii="Arial" w:hAnsi="Arial" w:cs="Arial"/>
          <w:bCs/>
          <w:sz w:val="24"/>
          <w:szCs w:val="24"/>
        </w:rPr>
        <w:t xml:space="preserve"> </w:t>
      </w:r>
      <w:r w:rsidR="005D43C8" w:rsidRPr="00C06CC7">
        <w:rPr>
          <w:rFonts w:ascii="Arial" w:hAnsi="Arial" w:cs="Arial"/>
          <w:bCs/>
          <w:sz w:val="24"/>
          <w:szCs w:val="24"/>
        </w:rPr>
        <w:t xml:space="preserve">It is of significance that in terms of s 18 of the NPA Act, the remuneration of DDPPs and prosecutors is to be determined only in terms of that Act. </w:t>
      </w:r>
      <w:r w:rsidR="005D43C8">
        <w:rPr>
          <w:rFonts w:ascii="Arial" w:hAnsi="Arial" w:cs="Arial"/>
          <w:bCs/>
          <w:sz w:val="24"/>
          <w:szCs w:val="24"/>
        </w:rPr>
        <w:t>In that sense, their remuneration is not collectively bargained. T</w:t>
      </w:r>
      <w:r w:rsidR="005D43C8" w:rsidRPr="00C06CC7">
        <w:rPr>
          <w:rFonts w:ascii="Arial" w:hAnsi="Arial" w:cs="Arial"/>
          <w:bCs/>
          <w:sz w:val="24"/>
          <w:szCs w:val="24"/>
        </w:rPr>
        <w:t xml:space="preserve">he PSA </w:t>
      </w:r>
      <w:r w:rsidR="00894E9A" w:rsidRPr="005F191F">
        <w:rPr>
          <w:rFonts w:ascii="Arial" w:hAnsi="Arial" w:cs="Arial"/>
          <w:bCs/>
          <w:sz w:val="24"/>
          <w:szCs w:val="24"/>
        </w:rPr>
        <w:t>emphasised</w:t>
      </w:r>
      <w:r w:rsidR="005D43C8" w:rsidRPr="00C06CC7">
        <w:rPr>
          <w:rFonts w:ascii="Arial" w:hAnsi="Arial" w:cs="Arial"/>
          <w:bCs/>
          <w:sz w:val="24"/>
          <w:szCs w:val="24"/>
        </w:rPr>
        <w:t xml:space="preserve"> that even though the genesis of the dispute was </w:t>
      </w:r>
      <w:r w:rsidR="00910C3A" w:rsidRPr="00062501">
        <w:rPr>
          <w:rFonts w:ascii="Arial" w:hAnsi="Arial" w:cs="Arial"/>
          <w:bCs/>
          <w:sz w:val="24"/>
          <w:szCs w:val="24"/>
        </w:rPr>
        <w:t>GPSSBC</w:t>
      </w:r>
      <w:r w:rsidR="00910C3A" w:rsidRPr="00C06CC7">
        <w:rPr>
          <w:rFonts w:ascii="Arial" w:hAnsi="Arial" w:cs="Arial"/>
          <w:bCs/>
          <w:sz w:val="24"/>
          <w:szCs w:val="24"/>
        </w:rPr>
        <w:t xml:space="preserve"> </w:t>
      </w:r>
      <w:r w:rsidR="005D43C8" w:rsidRPr="00C06CC7">
        <w:rPr>
          <w:rFonts w:ascii="Arial" w:hAnsi="Arial" w:cs="Arial"/>
          <w:bCs/>
          <w:sz w:val="24"/>
          <w:szCs w:val="24"/>
        </w:rPr>
        <w:t>Resolution 1 of 2008, the dispute was not about the interpretation or application of that collective agreement. Rather, its reliance on the 2008 resolution was premised on the NDPP having approved that the new scheme (</w:t>
      </w:r>
      <w:r w:rsidR="00910C3A" w:rsidRPr="00062501">
        <w:rPr>
          <w:rFonts w:ascii="Arial" w:hAnsi="Arial" w:cs="Arial"/>
          <w:bCs/>
          <w:sz w:val="24"/>
          <w:szCs w:val="24"/>
        </w:rPr>
        <w:t>the</w:t>
      </w:r>
      <w:r w:rsidR="00910C3A">
        <w:rPr>
          <w:rFonts w:ascii="Arial" w:hAnsi="Arial" w:cs="Arial"/>
          <w:bCs/>
          <w:sz w:val="24"/>
          <w:szCs w:val="24"/>
        </w:rPr>
        <w:t xml:space="preserve"> </w:t>
      </w:r>
      <w:r w:rsidR="005D43C8" w:rsidRPr="00C06CC7">
        <w:rPr>
          <w:rFonts w:ascii="Arial" w:hAnsi="Arial" w:cs="Arial"/>
          <w:bCs/>
          <w:sz w:val="24"/>
          <w:szCs w:val="24"/>
        </w:rPr>
        <w:t xml:space="preserve">OSD) mentioned in the 2008 </w:t>
      </w:r>
      <w:r w:rsidR="00910C3A" w:rsidRPr="00062501">
        <w:rPr>
          <w:rFonts w:ascii="Arial" w:hAnsi="Arial" w:cs="Arial"/>
          <w:bCs/>
          <w:sz w:val="24"/>
          <w:szCs w:val="24"/>
        </w:rPr>
        <w:t>r</w:t>
      </w:r>
      <w:r w:rsidR="005D43C8" w:rsidRPr="00062501">
        <w:rPr>
          <w:rFonts w:ascii="Arial" w:hAnsi="Arial" w:cs="Arial"/>
          <w:bCs/>
          <w:sz w:val="24"/>
          <w:szCs w:val="24"/>
        </w:rPr>
        <w:t>es</w:t>
      </w:r>
      <w:r w:rsidR="005D43C8" w:rsidRPr="00C06CC7">
        <w:rPr>
          <w:rFonts w:ascii="Arial" w:hAnsi="Arial" w:cs="Arial"/>
          <w:bCs/>
          <w:sz w:val="24"/>
          <w:szCs w:val="24"/>
        </w:rPr>
        <w:t xml:space="preserve">olution, which was reaffirmed in the 2010 Determination, be </w:t>
      </w:r>
      <w:r w:rsidR="005D43C8">
        <w:rPr>
          <w:rFonts w:ascii="Arial" w:hAnsi="Arial" w:cs="Arial"/>
          <w:bCs/>
          <w:sz w:val="24"/>
          <w:szCs w:val="24"/>
        </w:rPr>
        <w:t xml:space="preserve">made </w:t>
      </w:r>
      <w:r w:rsidR="005D43C8" w:rsidRPr="00C06CC7">
        <w:rPr>
          <w:rFonts w:ascii="Arial" w:hAnsi="Arial" w:cs="Arial"/>
          <w:bCs/>
          <w:sz w:val="24"/>
          <w:szCs w:val="24"/>
        </w:rPr>
        <w:t xml:space="preserve">applicable to the DDPPs and CPs. </w:t>
      </w:r>
      <w:r w:rsidR="002252DC">
        <w:rPr>
          <w:rFonts w:ascii="Arial" w:hAnsi="Arial" w:cs="Arial"/>
          <w:bCs/>
          <w:sz w:val="24"/>
          <w:szCs w:val="24"/>
        </w:rPr>
        <w:t xml:space="preserve">It is of significance that </w:t>
      </w:r>
      <w:r w:rsidR="0043157E" w:rsidRPr="005F5798">
        <w:rPr>
          <w:rFonts w:ascii="Arial" w:hAnsi="Arial" w:cs="Arial"/>
          <w:bCs/>
          <w:sz w:val="24"/>
          <w:szCs w:val="24"/>
        </w:rPr>
        <w:t xml:space="preserve">the high court did not grant </w:t>
      </w:r>
      <w:r w:rsidR="00167F94">
        <w:rPr>
          <w:rFonts w:ascii="Arial" w:hAnsi="Arial" w:cs="Arial"/>
          <w:bCs/>
          <w:sz w:val="24"/>
          <w:szCs w:val="24"/>
        </w:rPr>
        <w:t xml:space="preserve">prayers 1 and 2 (ie </w:t>
      </w:r>
      <w:r w:rsidR="0043157E" w:rsidRPr="005F5798">
        <w:rPr>
          <w:rFonts w:ascii="Arial" w:hAnsi="Arial" w:cs="Arial"/>
          <w:bCs/>
          <w:sz w:val="24"/>
          <w:szCs w:val="24"/>
        </w:rPr>
        <w:t>th</w:t>
      </w:r>
      <w:r w:rsidR="00167F94">
        <w:rPr>
          <w:rFonts w:ascii="Arial" w:hAnsi="Arial" w:cs="Arial"/>
          <w:bCs/>
          <w:sz w:val="24"/>
          <w:szCs w:val="24"/>
        </w:rPr>
        <w:t xml:space="preserve">e relief pertaining to the collective agreements). </w:t>
      </w:r>
      <w:r w:rsidR="002252DC">
        <w:rPr>
          <w:rFonts w:ascii="Arial" w:hAnsi="Arial" w:cs="Arial"/>
          <w:bCs/>
          <w:sz w:val="24"/>
          <w:szCs w:val="24"/>
        </w:rPr>
        <w:t>As there is no cross-appeal, there is no need for those</w:t>
      </w:r>
      <w:r w:rsidR="0070324C">
        <w:rPr>
          <w:rFonts w:ascii="Arial" w:hAnsi="Arial" w:cs="Arial"/>
          <w:bCs/>
          <w:sz w:val="24"/>
          <w:szCs w:val="24"/>
        </w:rPr>
        <w:t xml:space="preserve"> two prayers to detain us </w:t>
      </w:r>
      <w:r w:rsidR="00167F94">
        <w:rPr>
          <w:rFonts w:ascii="Arial" w:hAnsi="Arial" w:cs="Arial"/>
          <w:bCs/>
          <w:sz w:val="24"/>
          <w:szCs w:val="24"/>
        </w:rPr>
        <w:t xml:space="preserve">any further </w:t>
      </w:r>
      <w:r w:rsidR="0070324C">
        <w:rPr>
          <w:rFonts w:ascii="Arial" w:hAnsi="Arial" w:cs="Arial"/>
          <w:bCs/>
          <w:sz w:val="24"/>
          <w:szCs w:val="24"/>
        </w:rPr>
        <w:t>in this appeal.</w:t>
      </w:r>
    </w:p>
    <w:p w14:paraId="333F8FE1" w14:textId="2A3C7930" w:rsidR="0043157E" w:rsidRPr="00D02B6C" w:rsidRDefault="0043157E" w:rsidP="0023599B">
      <w:pPr>
        <w:pStyle w:val="ListParagraph"/>
        <w:spacing w:line="360" w:lineRule="auto"/>
        <w:ind w:left="0"/>
        <w:jc w:val="both"/>
        <w:rPr>
          <w:rFonts w:ascii="Arial" w:hAnsi="Arial" w:cs="Arial"/>
          <w:bCs/>
        </w:rPr>
      </w:pPr>
    </w:p>
    <w:p w14:paraId="6501873A" w14:textId="0004D5D9" w:rsidR="002A524B" w:rsidRDefault="000C2969" w:rsidP="00F83002">
      <w:pPr>
        <w:pStyle w:val="ListParagraph"/>
        <w:spacing w:after="0" w:line="360" w:lineRule="auto"/>
        <w:ind w:left="0"/>
        <w:jc w:val="both"/>
        <w:rPr>
          <w:rFonts w:ascii="Arial" w:hAnsi="Arial" w:cs="Arial"/>
          <w:bCs/>
          <w:sz w:val="24"/>
          <w:szCs w:val="24"/>
        </w:rPr>
      </w:pPr>
      <w:r>
        <w:rPr>
          <w:rFonts w:ascii="Arial" w:hAnsi="Arial" w:cs="Arial"/>
          <w:bCs/>
          <w:sz w:val="24"/>
          <w:szCs w:val="24"/>
        </w:rPr>
        <w:t>[2</w:t>
      </w:r>
      <w:r w:rsidR="004E699F">
        <w:rPr>
          <w:rFonts w:ascii="Arial" w:hAnsi="Arial" w:cs="Arial"/>
          <w:bCs/>
          <w:sz w:val="24"/>
          <w:szCs w:val="24"/>
        </w:rPr>
        <w:t>0</w:t>
      </w:r>
      <w:r>
        <w:rPr>
          <w:rFonts w:ascii="Arial" w:hAnsi="Arial" w:cs="Arial"/>
          <w:bCs/>
          <w:sz w:val="24"/>
          <w:szCs w:val="24"/>
        </w:rPr>
        <w:t>]</w:t>
      </w:r>
      <w:r>
        <w:rPr>
          <w:rFonts w:ascii="Arial" w:hAnsi="Arial" w:cs="Arial"/>
          <w:bCs/>
          <w:sz w:val="24"/>
          <w:szCs w:val="24"/>
        </w:rPr>
        <w:tab/>
      </w:r>
      <w:r w:rsidR="00A549B9" w:rsidRPr="005F5798">
        <w:rPr>
          <w:rFonts w:ascii="Arial" w:hAnsi="Arial" w:cs="Arial"/>
          <w:bCs/>
          <w:sz w:val="24"/>
          <w:szCs w:val="24"/>
        </w:rPr>
        <w:t xml:space="preserve">On the authority of </w:t>
      </w:r>
      <w:r w:rsidR="00A549B9" w:rsidRPr="005F5798">
        <w:rPr>
          <w:rFonts w:ascii="Arial" w:hAnsi="Arial" w:cs="Arial"/>
          <w:bCs/>
          <w:i/>
          <w:iCs/>
          <w:sz w:val="24"/>
          <w:szCs w:val="24"/>
        </w:rPr>
        <w:t>Baloyi</w:t>
      </w:r>
      <w:r w:rsidR="00A549B9" w:rsidRPr="005F5798">
        <w:rPr>
          <w:rFonts w:ascii="Arial" w:hAnsi="Arial" w:cs="Arial"/>
          <w:bCs/>
          <w:sz w:val="24"/>
          <w:szCs w:val="24"/>
        </w:rPr>
        <w:t xml:space="preserve">, </w:t>
      </w:r>
      <w:r w:rsidR="00A549B9">
        <w:rPr>
          <w:rFonts w:ascii="Arial" w:hAnsi="Arial" w:cs="Arial"/>
          <w:bCs/>
          <w:sz w:val="24"/>
          <w:szCs w:val="24"/>
        </w:rPr>
        <w:t xml:space="preserve">it </w:t>
      </w:r>
      <w:r w:rsidR="00A549B9" w:rsidRPr="005F5798">
        <w:rPr>
          <w:rFonts w:ascii="Arial" w:hAnsi="Arial" w:cs="Arial"/>
          <w:bCs/>
          <w:sz w:val="24"/>
          <w:szCs w:val="24"/>
        </w:rPr>
        <w:t>is permissible</w:t>
      </w:r>
      <w:r w:rsidR="00A549B9">
        <w:rPr>
          <w:rFonts w:ascii="Arial" w:hAnsi="Arial" w:cs="Arial"/>
          <w:bCs/>
          <w:sz w:val="24"/>
          <w:szCs w:val="24"/>
        </w:rPr>
        <w:t xml:space="preserve"> for a party to rely on more than one c</w:t>
      </w:r>
      <w:r w:rsidR="00946877">
        <w:rPr>
          <w:rFonts w:ascii="Arial" w:hAnsi="Arial" w:cs="Arial"/>
          <w:bCs/>
          <w:sz w:val="24"/>
          <w:szCs w:val="24"/>
        </w:rPr>
        <w:t>ause</w:t>
      </w:r>
      <w:r w:rsidR="00A549B9">
        <w:rPr>
          <w:rFonts w:ascii="Arial" w:hAnsi="Arial" w:cs="Arial"/>
          <w:bCs/>
          <w:sz w:val="24"/>
          <w:szCs w:val="24"/>
        </w:rPr>
        <w:t xml:space="preserve"> of action</w:t>
      </w:r>
      <w:r w:rsidR="00A549B9" w:rsidRPr="005F5798">
        <w:rPr>
          <w:rFonts w:ascii="Arial" w:hAnsi="Arial" w:cs="Arial"/>
          <w:bCs/>
          <w:sz w:val="24"/>
          <w:szCs w:val="24"/>
        </w:rPr>
        <w:t>.</w:t>
      </w:r>
      <w:r w:rsidR="00A549B9">
        <w:rPr>
          <w:rStyle w:val="FootnoteReference"/>
          <w:rFonts w:ascii="Arial" w:hAnsi="Arial" w:cs="Arial"/>
          <w:bCs/>
          <w:sz w:val="24"/>
          <w:szCs w:val="24"/>
        </w:rPr>
        <w:footnoteReference w:id="20"/>
      </w:r>
      <w:r w:rsidR="00A549B9" w:rsidRPr="005F5798">
        <w:rPr>
          <w:rFonts w:ascii="Arial" w:hAnsi="Arial" w:cs="Arial"/>
          <w:bCs/>
          <w:sz w:val="24"/>
          <w:szCs w:val="24"/>
        </w:rPr>
        <w:t xml:space="preserve"> </w:t>
      </w:r>
      <w:r w:rsidR="00750A15" w:rsidRPr="001F7CDE">
        <w:rPr>
          <w:rFonts w:ascii="Arial" w:hAnsi="Arial" w:cs="Arial"/>
          <w:bCs/>
          <w:sz w:val="24"/>
          <w:szCs w:val="24"/>
        </w:rPr>
        <w:t xml:space="preserve">It is </w:t>
      </w:r>
      <w:r w:rsidR="00750A15">
        <w:rPr>
          <w:rFonts w:ascii="Arial" w:hAnsi="Arial" w:cs="Arial"/>
          <w:bCs/>
          <w:sz w:val="24"/>
          <w:szCs w:val="24"/>
        </w:rPr>
        <w:t xml:space="preserve">therefore </w:t>
      </w:r>
      <w:r w:rsidR="00750A15" w:rsidRPr="001F7CDE">
        <w:rPr>
          <w:rFonts w:ascii="Arial" w:hAnsi="Arial" w:cs="Arial"/>
          <w:bCs/>
          <w:sz w:val="24"/>
          <w:szCs w:val="24"/>
        </w:rPr>
        <w:t xml:space="preserve">noteworthy that </w:t>
      </w:r>
      <w:r w:rsidR="00750A15">
        <w:rPr>
          <w:rFonts w:ascii="Arial" w:hAnsi="Arial" w:cs="Arial"/>
          <w:bCs/>
          <w:sz w:val="24"/>
          <w:szCs w:val="24"/>
        </w:rPr>
        <w:t xml:space="preserve">in addition to seeking enforcement of collective agreements, the </w:t>
      </w:r>
      <w:r w:rsidR="00750A15" w:rsidRPr="001F7CDE">
        <w:rPr>
          <w:rFonts w:ascii="Arial" w:hAnsi="Arial" w:cs="Arial"/>
          <w:bCs/>
          <w:sz w:val="24"/>
          <w:szCs w:val="24"/>
        </w:rPr>
        <w:t xml:space="preserve">PSA </w:t>
      </w:r>
      <w:r w:rsidR="00750A15">
        <w:rPr>
          <w:rFonts w:ascii="Arial" w:hAnsi="Arial" w:cs="Arial"/>
          <w:bCs/>
          <w:sz w:val="24"/>
          <w:szCs w:val="24"/>
        </w:rPr>
        <w:t xml:space="preserve">also </w:t>
      </w:r>
      <w:r w:rsidR="00750A15" w:rsidRPr="001F7CDE">
        <w:rPr>
          <w:rFonts w:ascii="Arial" w:hAnsi="Arial" w:cs="Arial"/>
          <w:bCs/>
          <w:sz w:val="24"/>
          <w:szCs w:val="24"/>
        </w:rPr>
        <w:t xml:space="preserve">located its dispute as a contractual claim within </w:t>
      </w:r>
      <w:r w:rsidR="00750A15" w:rsidRPr="00255FA9">
        <w:rPr>
          <w:rFonts w:ascii="Arial" w:hAnsi="Arial" w:cs="Arial"/>
          <w:bCs/>
          <w:sz w:val="24"/>
          <w:szCs w:val="24"/>
        </w:rPr>
        <w:t>the contemplation of s 77(3) of the BCEA</w:t>
      </w:r>
      <w:r w:rsidR="0017344B">
        <w:rPr>
          <w:rFonts w:ascii="Arial" w:hAnsi="Arial" w:cs="Arial"/>
          <w:bCs/>
          <w:sz w:val="24"/>
          <w:szCs w:val="24"/>
        </w:rPr>
        <w:t xml:space="preserve">. </w:t>
      </w:r>
      <w:r w:rsidR="004E699F">
        <w:rPr>
          <w:rFonts w:ascii="Arial" w:hAnsi="Arial" w:cs="Arial"/>
          <w:sz w:val="24"/>
          <w:szCs w:val="24"/>
        </w:rPr>
        <w:t xml:space="preserve">The PSA </w:t>
      </w:r>
      <w:r w:rsidR="00750A15">
        <w:rPr>
          <w:rFonts w:ascii="Arial" w:hAnsi="Arial" w:cs="Arial"/>
          <w:bCs/>
          <w:sz w:val="24"/>
          <w:szCs w:val="24"/>
        </w:rPr>
        <w:t>also sought an order declaring the NDPP’s approva</w:t>
      </w:r>
      <w:r w:rsidR="00750A15" w:rsidRPr="00062501">
        <w:rPr>
          <w:rFonts w:ascii="Arial" w:hAnsi="Arial" w:cs="Arial"/>
          <w:bCs/>
          <w:sz w:val="24"/>
          <w:szCs w:val="24"/>
        </w:rPr>
        <w:t>l,</w:t>
      </w:r>
      <w:r w:rsidR="00750A15">
        <w:rPr>
          <w:rFonts w:ascii="Arial" w:hAnsi="Arial" w:cs="Arial"/>
          <w:bCs/>
          <w:sz w:val="24"/>
          <w:szCs w:val="24"/>
        </w:rPr>
        <w:t xml:space="preserve"> lawful and enforceable. </w:t>
      </w:r>
      <w:r w:rsidR="000621B3">
        <w:rPr>
          <w:rFonts w:ascii="Arial" w:hAnsi="Arial" w:cs="Arial"/>
          <w:bCs/>
          <w:sz w:val="24"/>
          <w:szCs w:val="24"/>
        </w:rPr>
        <w:t xml:space="preserve">In order to </w:t>
      </w:r>
      <w:r w:rsidR="002D5313">
        <w:rPr>
          <w:rFonts w:ascii="Arial" w:hAnsi="Arial" w:cs="Arial"/>
          <w:bCs/>
          <w:sz w:val="24"/>
          <w:szCs w:val="24"/>
        </w:rPr>
        <w:t>determine whether any averments were made to support the relief sought, i</w:t>
      </w:r>
      <w:r w:rsidR="00E94AB6">
        <w:rPr>
          <w:rFonts w:ascii="Arial" w:hAnsi="Arial" w:cs="Arial"/>
          <w:bCs/>
          <w:sz w:val="24"/>
          <w:szCs w:val="24"/>
        </w:rPr>
        <w:t xml:space="preserve">t is important to consider </w:t>
      </w:r>
      <w:r w:rsidR="00E94AB6" w:rsidRPr="00220EA8">
        <w:rPr>
          <w:rFonts w:ascii="Arial" w:hAnsi="Arial" w:cs="Arial"/>
          <w:bCs/>
          <w:sz w:val="24"/>
          <w:szCs w:val="24"/>
        </w:rPr>
        <w:t xml:space="preserve">the </w:t>
      </w:r>
      <w:r w:rsidR="00545C18">
        <w:rPr>
          <w:rFonts w:ascii="Arial" w:hAnsi="Arial" w:cs="Arial"/>
          <w:bCs/>
          <w:sz w:val="24"/>
          <w:szCs w:val="24"/>
        </w:rPr>
        <w:t xml:space="preserve">Notice of Motion and the </w:t>
      </w:r>
      <w:r w:rsidR="00E94AB6" w:rsidRPr="00220EA8">
        <w:rPr>
          <w:rFonts w:ascii="Arial" w:hAnsi="Arial" w:cs="Arial"/>
          <w:bCs/>
          <w:sz w:val="24"/>
          <w:szCs w:val="24"/>
        </w:rPr>
        <w:t>founding affidavit</w:t>
      </w:r>
      <w:r w:rsidR="00545C18">
        <w:rPr>
          <w:rFonts w:ascii="Arial" w:hAnsi="Arial" w:cs="Arial"/>
          <w:bCs/>
          <w:sz w:val="24"/>
          <w:szCs w:val="24"/>
        </w:rPr>
        <w:t>.</w:t>
      </w:r>
    </w:p>
    <w:p w14:paraId="58732DED" w14:textId="6D01E91F" w:rsidR="00E94AB6" w:rsidRPr="00D02B6C" w:rsidRDefault="00E94AB6" w:rsidP="00B354D9">
      <w:pPr>
        <w:pStyle w:val="ListParagraph"/>
        <w:spacing w:after="0" w:line="360" w:lineRule="auto"/>
        <w:ind w:left="0"/>
        <w:jc w:val="both"/>
        <w:rPr>
          <w:rFonts w:ascii="Arial" w:hAnsi="Arial" w:cs="Arial"/>
          <w:bCs/>
        </w:rPr>
      </w:pPr>
    </w:p>
    <w:p w14:paraId="50760E1D" w14:textId="6CFC4BFF" w:rsidR="002A524B" w:rsidRDefault="00607922" w:rsidP="00F83002">
      <w:pPr>
        <w:spacing w:after="0" w:line="360" w:lineRule="auto"/>
        <w:jc w:val="both"/>
        <w:rPr>
          <w:rFonts w:ascii="Arial" w:hAnsi="Arial" w:cs="Arial"/>
          <w:bCs/>
          <w:sz w:val="24"/>
          <w:szCs w:val="24"/>
        </w:rPr>
      </w:pPr>
      <w:r>
        <w:rPr>
          <w:rFonts w:ascii="Arial" w:hAnsi="Arial" w:cs="Arial"/>
          <w:bCs/>
          <w:sz w:val="24"/>
          <w:szCs w:val="24"/>
        </w:rPr>
        <w:t>[</w:t>
      </w:r>
      <w:r w:rsidR="004E699F">
        <w:rPr>
          <w:rFonts w:ascii="Arial" w:hAnsi="Arial" w:cs="Arial"/>
          <w:bCs/>
          <w:sz w:val="24"/>
          <w:szCs w:val="24"/>
        </w:rPr>
        <w:t>21</w:t>
      </w:r>
      <w:r>
        <w:rPr>
          <w:rFonts w:ascii="Arial" w:hAnsi="Arial" w:cs="Arial"/>
          <w:bCs/>
          <w:sz w:val="24"/>
          <w:szCs w:val="24"/>
        </w:rPr>
        <w:t>]</w:t>
      </w:r>
      <w:r>
        <w:rPr>
          <w:rFonts w:ascii="Arial" w:hAnsi="Arial" w:cs="Arial"/>
          <w:bCs/>
          <w:sz w:val="24"/>
          <w:szCs w:val="24"/>
        </w:rPr>
        <w:tab/>
      </w:r>
      <w:r w:rsidR="00AF6178" w:rsidRPr="001F7CDE">
        <w:rPr>
          <w:rFonts w:ascii="Arial" w:hAnsi="Arial" w:cs="Arial"/>
          <w:bCs/>
          <w:sz w:val="24"/>
          <w:szCs w:val="24"/>
        </w:rPr>
        <w:t xml:space="preserve">As I understand the PSA’s </w:t>
      </w:r>
      <w:r w:rsidR="00910C3A" w:rsidRPr="00062501">
        <w:rPr>
          <w:rFonts w:ascii="Arial" w:hAnsi="Arial" w:cs="Arial"/>
          <w:bCs/>
          <w:sz w:val="24"/>
          <w:szCs w:val="24"/>
        </w:rPr>
        <w:t>f</w:t>
      </w:r>
      <w:r w:rsidR="00AF6178" w:rsidRPr="00062501">
        <w:rPr>
          <w:rFonts w:ascii="Arial" w:hAnsi="Arial" w:cs="Arial"/>
          <w:bCs/>
          <w:sz w:val="24"/>
          <w:szCs w:val="24"/>
        </w:rPr>
        <w:t xml:space="preserve">ounding </w:t>
      </w:r>
      <w:r w:rsidR="00910C3A" w:rsidRPr="00062501">
        <w:rPr>
          <w:rFonts w:ascii="Arial" w:hAnsi="Arial" w:cs="Arial"/>
          <w:bCs/>
          <w:sz w:val="24"/>
          <w:szCs w:val="24"/>
        </w:rPr>
        <w:t>a</w:t>
      </w:r>
      <w:r w:rsidR="00AF6178" w:rsidRPr="00062501">
        <w:rPr>
          <w:rFonts w:ascii="Arial" w:hAnsi="Arial" w:cs="Arial"/>
          <w:bCs/>
          <w:sz w:val="24"/>
          <w:szCs w:val="24"/>
        </w:rPr>
        <w:t>ffidavit,</w:t>
      </w:r>
      <w:r w:rsidR="00AF6178" w:rsidRPr="001F7CDE">
        <w:rPr>
          <w:rFonts w:ascii="Arial" w:hAnsi="Arial" w:cs="Arial"/>
          <w:bCs/>
          <w:sz w:val="24"/>
          <w:szCs w:val="24"/>
        </w:rPr>
        <w:t xml:space="preserve"> the contractual basis for the specific performance relief it is seeking is </w:t>
      </w:r>
      <w:r w:rsidR="002A4A0B">
        <w:rPr>
          <w:rFonts w:ascii="Arial" w:hAnsi="Arial" w:cs="Arial"/>
          <w:bCs/>
          <w:sz w:val="24"/>
          <w:szCs w:val="24"/>
        </w:rPr>
        <w:t>hinged on the 2010 Determination as well as the c</w:t>
      </w:r>
      <w:r w:rsidR="0007092E">
        <w:rPr>
          <w:rFonts w:ascii="Arial" w:hAnsi="Arial" w:cs="Arial"/>
          <w:bCs/>
          <w:sz w:val="24"/>
          <w:szCs w:val="24"/>
        </w:rPr>
        <w:t xml:space="preserve">onsultation that preceded it. The PSA avers that, </w:t>
      </w:r>
      <w:r w:rsidR="00AE029D" w:rsidRPr="001F7CDE">
        <w:rPr>
          <w:rFonts w:ascii="Arial" w:hAnsi="Arial" w:cs="Arial"/>
          <w:bCs/>
          <w:sz w:val="24"/>
          <w:szCs w:val="24"/>
        </w:rPr>
        <w:t xml:space="preserve">pursuant to the Minister’s </w:t>
      </w:r>
      <w:r w:rsidR="00AE029D" w:rsidRPr="001F7CDE">
        <w:rPr>
          <w:rFonts w:ascii="Arial" w:hAnsi="Arial" w:cs="Arial"/>
          <w:bCs/>
          <w:sz w:val="24"/>
          <w:szCs w:val="24"/>
        </w:rPr>
        <w:lastRenderedPageBreak/>
        <w:t xml:space="preserve">2010 Determination, </w:t>
      </w:r>
      <w:r w:rsidR="00B53B4A" w:rsidRPr="001F7CDE">
        <w:rPr>
          <w:rFonts w:ascii="Arial" w:hAnsi="Arial" w:cs="Arial"/>
          <w:bCs/>
          <w:sz w:val="24"/>
          <w:szCs w:val="24"/>
        </w:rPr>
        <w:t xml:space="preserve">several engagements took place, culminating in the NDPP approving </w:t>
      </w:r>
      <w:r w:rsidR="00D15BF3" w:rsidRPr="001F7CDE">
        <w:rPr>
          <w:rFonts w:ascii="Arial" w:hAnsi="Arial" w:cs="Arial"/>
          <w:bCs/>
          <w:sz w:val="24"/>
          <w:szCs w:val="24"/>
        </w:rPr>
        <w:t xml:space="preserve">the recommendation of the </w:t>
      </w:r>
      <w:r w:rsidR="005E3F6D">
        <w:rPr>
          <w:rFonts w:ascii="Arial" w:hAnsi="Arial" w:cs="Arial"/>
          <w:bCs/>
          <w:sz w:val="24"/>
          <w:szCs w:val="24"/>
        </w:rPr>
        <w:t>C</w:t>
      </w:r>
      <w:r w:rsidR="00ED6ED0">
        <w:rPr>
          <w:rFonts w:ascii="Arial" w:hAnsi="Arial" w:cs="Arial"/>
          <w:bCs/>
          <w:sz w:val="24"/>
          <w:szCs w:val="24"/>
        </w:rPr>
        <w:t>hief Director</w:t>
      </w:r>
      <w:r w:rsidR="0073296A">
        <w:rPr>
          <w:rFonts w:ascii="Arial" w:hAnsi="Arial" w:cs="Arial"/>
          <w:bCs/>
          <w:sz w:val="24"/>
          <w:szCs w:val="24"/>
        </w:rPr>
        <w:t xml:space="preserve">, </w:t>
      </w:r>
      <w:r w:rsidR="00D15BF3" w:rsidRPr="001F7CDE">
        <w:rPr>
          <w:rFonts w:ascii="Arial" w:hAnsi="Arial" w:cs="Arial"/>
          <w:bCs/>
          <w:sz w:val="24"/>
          <w:szCs w:val="24"/>
        </w:rPr>
        <w:t xml:space="preserve">which essentially </w:t>
      </w:r>
      <w:r w:rsidR="001B7CA9" w:rsidRPr="001F7CDE">
        <w:rPr>
          <w:rFonts w:ascii="Arial" w:hAnsi="Arial" w:cs="Arial"/>
          <w:bCs/>
          <w:sz w:val="24"/>
          <w:szCs w:val="24"/>
        </w:rPr>
        <w:t>suggested the steps that needed to be followed in order for the DDPPs and CPs to be translated to OSD</w:t>
      </w:r>
      <w:r w:rsidR="0007092E">
        <w:rPr>
          <w:rFonts w:ascii="Arial" w:hAnsi="Arial" w:cs="Arial"/>
          <w:bCs/>
          <w:sz w:val="24"/>
          <w:szCs w:val="24"/>
        </w:rPr>
        <w:t xml:space="preserve">. </w:t>
      </w:r>
      <w:r w:rsidR="009254DC">
        <w:rPr>
          <w:rFonts w:ascii="Arial" w:hAnsi="Arial" w:cs="Arial"/>
          <w:bCs/>
          <w:sz w:val="24"/>
          <w:szCs w:val="24"/>
        </w:rPr>
        <w:t>According to the PSA, t</w:t>
      </w:r>
      <w:r w:rsidR="008D5B92">
        <w:rPr>
          <w:rFonts w:ascii="Arial" w:hAnsi="Arial" w:cs="Arial"/>
          <w:bCs/>
          <w:sz w:val="24"/>
          <w:szCs w:val="24"/>
        </w:rPr>
        <w:t xml:space="preserve">he NDPP agreed that </w:t>
      </w:r>
      <w:r w:rsidR="00910C3A" w:rsidRPr="00062501">
        <w:rPr>
          <w:rFonts w:ascii="Arial" w:hAnsi="Arial" w:cs="Arial"/>
          <w:bCs/>
          <w:sz w:val="24"/>
          <w:szCs w:val="24"/>
        </w:rPr>
        <w:t>the</w:t>
      </w:r>
      <w:r w:rsidR="00910C3A">
        <w:rPr>
          <w:rFonts w:ascii="Arial" w:hAnsi="Arial" w:cs="Arial"/>
          <w:bCs/>
          <w:sz w:val="24"/>
          <w:szCs w:val="24"/>
        </w:rPr>
        <w:t xml:space="preserve"> </w:t>
      </w:r>
      <w:r w:rsidR="008D5B92">
        <w:rPr>
          <w:rFonts w:ascii="Arial" w:hAnsi="Arial" w:cs="Arial"/>
          <w:bCs/>
          <w:sz w:val="24"/>
          <w:szCs w:val="24"/>
        </w:rPr>
        <w:t>OSD would be implemented to the DDPP</w:t>
      </w:r>
      <w:r w:rsidR="00DB1141">
        <w:rPr>
          <w:rFonts w:ascii="Arial" w:hAnsi="Arial" w:cs="Arial"/>
          <w:bCs/>
          <w:sz w:val="24"/>
          <w:szCs w:val="24"/>
        </w:rPr>
        <w:t>s</w:t>
      </w:r>
      <w:r w:rsidR="008D5B92">
        <w:rPr>
          <w:rFonts w:ascii="Arial" w:hAnsi="Arial" w:cs="Arial"/>
          <w:bCs/>
          <w:sz w:val="24"/>
          <w:szCs w:val="24"/>
        </w:rPr>
        <w:t xml:space="preserve"> and CPs</w:t>
      </w:r>
      <w:r w:rsidR="00DB1141">
        <w:rPr>
          <w:rFonts w:ascii="Arial" w:hAnsi="Arial" w:cs="Arial"/>
          <w:bCs/>
          <w:sz w:val="24"/>
          <w:szCs w:val="24"/>
        </w:rPr>
        <w:t xml:space="preserve"> who consented to the migration from SMS to </w:t>
      </w:r>
      <w:r w:rsidR="00B80CD1" w:rsidRPr="00062501">
        <w:rPr>
          <w:rFonts w:ascii="Arial" w:hAnsi="Arial" w:cs="Arial"/>
          <w:bCs/>
          <w:sz w:val="24"/>
          <w:szCs w:val="24"/>
        </w:rPr>
        <w:t>the</w:t>
      </w:r>
      <w:r w:rsidR="00B80CD1">
        <w:rPr>
          <w:rFonts w:ascii="Arial" w:hAnsi="Arial" w:cs="Arial"/>
          <w:bCs/>
          <w:sz w:val="24"/>
          <w:szCs w:val="24"/>
        </w:rPr>
        <w:t xml:space="preserve"> </w:t>
      </w:r>
      <w:r w:rsidR="00DB1141">
        <w:rPr>
          <w:rFonts w:ascii="Arial" w:hAnsi="Arial" w:cs="Arial"/>
          <w:bCs/>
          <w:sz w:val="24"/>
          <w:szCs w:val="24"/>
        </w:rPr>
        <w:t>OSD</w:t>
      </w:r>
      <w:r w:rsidR="006D15D9">
        <w:rPr>
          <w:rFonts w:ascii="Arial" w:hAnsi="Arial" w:cs="Arial"/>
          <w:bCs/>
          <w:sz w:val="24"/>
          <w:szCs w:val="24"/>
        </w:rPr>
        <w:t>.</w:t>
      </w:r>
    </w:p>
    <w:p w14:paraId="6511469D" w14:textId="7D593D6C" w:rsidR="00A34473" w:rsidRDefault="00A34473" w:rsidP="00B354D9">
      <w:pPr>
        <w:spacing w:after="0" w:line="360" w:lineRule="auto"/>
        <w:jc w:val="both"/>
        <w:rPr>
          <w:rFonts w:ascii="Arial" w:hAnsi="Arial" w:cs="Arial"/>
          <w:bCs/>
          <w:sz w:val="24"/>
          <w:szCs w:val="24"/>
        </w:rPr>
      </w:pPr>
    </w:p>
    <w:p w14:paraId="4E315C80" w14:textId="33BEFB7B" w:rsidR="004C7BFA" w:rsidRDefault="00A34473" w:rsidP="00F76C78">
      <w:pPr>
        <w:pStyle w:val="ListParagraph"/>
        <w:spacing w:after="0" w:line="360" w:lineRule="auto"/>
        <w:ind w:left="0"/>
        <w:jc w:val="both"/>
        <w:rPr>
          <w:rFonts w:ascii="Arial" w:hAnsi="Arial" w:cs="Arial"/>
          <w:bCs/>
          <w:sz w:val="24"/>
          <w:szCs w:val="24"/>
        </w:rPr>
      </w:pPr>
      <w:r>
        <w:rPr>
          <w:rFonts w:ascii="Arial" w:hAnsi="Arial" w:cs="Arial"/>
          <w:bCs/>
          <w:sz w:val="24"/>
          <w:szCs w:val="24"/>
        </w:rPr>
        <w:t>[2</w:t>
      </w:r>
      <w:r w:rsidR="005F5798">
        <w:rPr>
          <w:rFonts w:ascii="Arial" w:hAnsi="Arial" w:cs="Arial"/>
          <w:bCs/>
          <w:sz w:val="24"/>
          <w:szCs w:val="24"/>
        </w:rPr>
        <w:t>2</w:t>
      </w:r>
      <w:r>
        <w:rPr>
          <w:rFonts w:ascii="Arial" w:hAnsi="Arial" w:cs="Arial"/>
          <w:bCs/>
          <w:sz w:val="24"/>
          <w:szCs w:val="24"/>
        </w:rPr>
        <w:t>]</w:t>
      </w:r>
      <w:r>
        <w:rPr>
          <w:rFonts w:ascii="Arial" w:hAnsi="Arial" w:cs="Arial"/>
          <w:bCs/>
          <w:sz w:val="24"/>
          <w:szCs w:val="24"/>
        </w:rPr>
        <w:tab/>
      </w:r>
      <w:r w:rsidR="00B404BB" w:rsidRPr="001F7CDE">
        <w:rPr>
          <w:rFonts w:ascii="Arial" w:hAnsi="Arial" w:cs="Arial"/>
          <w:bCs/>
          <w:sz w:val="24"/>
          <w:szCs w:val="24"/>
        </w:rPr>
        <w:t xml:space="preserve">The PSA </w:t>
      </w:r>
      <w:r w:rsidR="00540153" w:rsidRPr="001F7CDE">
        <w:rPr>
          <w:rFonts w:ascii="Arial" w:hAnsi="Arial" w:cs="Arial"/>
          <w:bCs/>
          <w:sz w:val="24"/>
          <w:szCs w:val="24"/>
        </w:rPr>
        <w:t xml:space="preserve">averred </w:t>
      </w:r>
      <w:r w:rsidR="00B404BB" w:rsidRPr="001F7CDE">
        <w:rPr>
          <w:rFonts w:ascii="Arial" w:hAnsi="Arial" w:cs="Arial"/>
          <w:bCs/>
          <w:sz w:val="24"/>
          <w:szCs w:val="24"/>
        </w:rPr>
        <w:t xml:space="preserve">that </w:t>
      </w:r>
      <w:r w:rsidR="000E67B0" w:rsidRPr="001F7CDE">
        <w:rPr>
          <w:rFonts w:ascii="Arial" w:hAnsi="Arial" w:cs="Arial"/>
          <w:bCs/>
          <w:sz w:val="24"/>
          <w:szCs w:val="24"/>
        </w:rPr>
        <w:t xml:space="preserve">the translation </w:t>
      </w:r>
      <w:r w:rsidR="00C9577C" w:rsidRPr="001F7CDE">
        <w:rPr>
          <w:rFonts w:ascii="Arial" w:hAnsi="Arial" w:cs="Arial"/>
          <w:bCs/>
          <w:sz w:val="24"/>
          <w:szCs w:val="24"/>
        </w:rPr>
        <w:t xml:space="preserve">of the </w:t>
      </w:r>
      <w:r w:rsidR="007A4DE4" w:rsidRPr="001F7CDE">
        <w:rPr>
          <w:rFonts w:ascii="Arial" w:hAnsi="Arial" w:cs="Arial"/>
          <w:bCs/>
          <w:sz w:val="24"/>
          <w:szCs w:val="24"/>
        </w:rPr>
        <w:t xml:space="preserve">DDPPs and CPs had </w:t>
      </w:r>
      <w:r w:rsidR="00C9577C" w:rsidRPr="001F7CDE">
        <w:rPr>
          <w:rFonts w:ascii="Arial" w:hAnsi="Arial" w:cs="Arial"/>
          <w:bCs/>
          <w:sz w:val="24"/>
          <w:szCs w:val="24"/>
        </w:rPr>
        <w:t>in effect taken place because the employees in question had</w:t>
      </w:r>
      <w:r w:rsidR="00151DE1" w:rsidRPr="001F7CDE">
        <w:rPr>
          <w:rFonts w:ascii="Arial" w:hAnsi="Arial" w:cs="Arial"/>
          <w:bCs/>
          <w:sz w:val="24"/>
          <w:szCs w:val="24"/>
        </w:rPr>
        <w:t xml:space="preserve">, through their signature of </w:t>
      </w:r>
      <w:r w:rsidR="00464D47">
        <w:rPr>
          <w:rFonts w:ascii="Arial" w:hAnsi="Arial" w:cs="Arial"/>
          <w:bCs/>
          <w:sz w:val="24"/>
          <w:szCs w:val="24"/>
        </w:rPr>
        <w:t>performance agreements</w:t>
      </w:r>
      <w:r w:rsidR="006D15D9">
        <w:rPr>
          <w:rFonts w:ascii="Arial" w:hAnsi="Arial" w:cs="Arial"/>
          <w:bCs/>
          <w:sz w:val="24"/>
          <w:szCs w:val="24"/>
        </w:rPr>
        <w:t xml:space="preserve"> </w:t>
      </w:r>
      <w:r w:rsidR="00697680">
        <w:rPr>
          <w:rFonts w:ascii="Arial" w:hAnsi="Arial" w:cs="Arial"/>
          <w:bCs/>
          <w:sz w:val="24"/>
          <w:szCs w:val="24"/>
        </w:rPr>
        <w:t xml:space="preserve">which were </w:t>
      </w:r>
      <w:r w:rsidR="006D15D9">
        <w:rPr>
          <w:rFonts w:ascii="Arial" w:hAnsi="Arial" w:cs="Arial"/>
          <w:bCs/>
          <w:sz w:val="24"/>
          <w:szCs w:val="24"/>
        </w:rPr>
        <w:t>premised on the translation to the OSD band level LP10</w:t>
      </w:r>
      <w:r w:rsidR="004B6E4C">
        <w:rPr>
          <w:rFonts w:ascii="Arial" w:hAnsi="Arial" w:cs="Arial"/>
          <w:bCs/>
          <w:sz w:val="24"/>
          <w:szCs w:val="24"/>
        </w:rPr>
        <w:t xml:space="preserve">, </w:t>
      </w:r>
      <w:r w:rsidR="007A4DE4" w:rsidRPr="001F7CDE">
        <w:rPr>
          <w:rFonts w:ascii="Arial" w:hAnsi="Arial" w:cs="Arial"/>
          <w:bCs/>
          <w:sz w:val="24"/>
          <w:szCs w:val="24"/>
        </w:rPr>
        <w:t>indicat</w:t>
      </w:r>
      <w:r w:rsidR="00151DE1" w:rsidRPr="001F7CDE">
        <w:rPr>
          <w:rFonts w:ascii="Arial" w:hAnsi="Arial" w:cs="Arial"/>
          <w:bCs/>
          <w:sz w:val="24"/>
          <w:szCs w:val="24"/>
        </w:rPr>
        <w:t>ed</w:t>
      </w:r>
      <w:r w:rsidR="007A4DE4" w:rsidRPr="001F7CDE">
        <w:rPr>
          <w:rFonts w:ascii="Arial" w:hAnsi="Arial" w:cs="Arial"/>
          <w:bCs/>
          <w:sz w:val="24"/>
          <w:szCs w:val="24"/>
        </w:rPr>
        <w:t xml:space="preserve"> their acceptance to migrate from SMS to </w:t>
      </w:r>
      <w:r w:rsidR="00B80CD1" w:rsidRPr="00062501">
        <w:rPr>
          <w:rFonts w:ascii="Arial" w:hAnsi="Arial" w:cs="Arial"/>
          <w:bCs/>
          <w:sz w:val="24"/>
          <w:szCs w:val="24"/>
        </w:rPr>
        <w:t>the</w:t>
      </w:r>
      <w:r w:rsidR="00B80CD1">
        <w:rPr>
          <w:rFonts w:ascii="Arial" w:hAnsi="Arial" w:cs="Arial"/>
          <w:bCs/>
          <w:sz w:val="24"/>
          <w:szCs w:val="24"/>
        </w:rPr>
        <w:t xml:space="preserve"> </w:t>
      </w:r>
      <w:r w:rsidR="007A4DE4" w:rsidRPr="001F7CDE">
        <w:rPr>
          <w:rFonts w:ascii="Arial" w:hAnsi="Arial" w:cs="Arial"/>
          <w:bCs/>
          <w:sz w:val="24"/>
          <w:szCs w:val="24"/>
        </w:rPr>
        <w:t xml:space="preserve">OSD. </w:t>
      </w:r>
      <w:r w:rsidR="00B404BB" w:rsidRPr="001F7CDE">
        <w:rPr>
          <w:rFonts w:ascii="Arial" w:hAnsi="Arial" w:cs="Arial"/>
          <w:bCs/>
          <w:sz w:val="24"/>
          <w:szCs w:val="24"/>
        </w:rPr>
        <w:t xml:space="preserve">This, it was contended, is </w:t>
      </w:r>
      <w:r w:rsidR="000E67B0" w:rsidRPr="001F7CDE">
        <w:rPr>
          <w:rFonts w:ascii="Arial" w:hAnsi="Arial" w:cs="Arial"/>
          <w:bCs/>
          <w:sz w:val="24"/>
          <w:szCs w:val="24"/>
        </w:rPr>
        <w:t>what br</w:t>
      </w:r>
      <w:r w:rsidR="00B404BB" w:rsidRPr="001F7CDE">
        <w:rPr>
          <w:rFonts w:ascii="Arial" w:hAnsi="Arial" w:cs="Arial"/>
          <w:bCs/>
          <w:sz w:val="24"/>
          <w:szCs w:val="24"/>
        </w:rPr>
        <w:t xml:space="preserve">ought </w:t>
      </w:r>
      <w:r w:rsidR="000E67B0" w:rsidRPr="001F7CDE">
        <w:rPr>
          <w:rFonts w:ascii="Arial" w:hAnsi="Arial" w:cs="Arial"/>
          <w:bCs/>
          <w:sz w:val="24"/>
          <w:szCs w:val="24"/>
        </w:rPr>
        <w:t>the dispute within contractual claims as envisaged in s 77(3) of the BCEA.</w:t>
      </w:r>
      <w:r>
        <w:rPr>
          <w:rFonts w:ascii="Arial" w:hAnsi="Arial" w:cs="Arial"/>
          <w:bCs/>
          <w:sz w:val="24"/>
          <w:szCs w:val="24"/>
        </w:rPr>
        <w:t xml:space="preserve"> </w:t>
      </w:r>
      <w:r w:rsidR="005610D2">
        <w:rPr>
          <w:rFonts w:ascii="Arial" w:hAnsi="Arial" w:cs="Arial"/>
          <w:bCs/>
          <w:sz w:val="24"/>
          <w:szCs w:val="24"/>
        </w:rPr>
        <w:t>As mentioned before, t</w:t>
      </w:r>
      <w:r w:rsidR="00761642">
        <w:rPr>
          <w:rFonts w:ascii="Arial" w:hAnsi="Arial" w:cs="Arial"/>
          <w:bCs/>
          <w:sz w:val="24"/>
          <w:szCs w:val="24"/>
        </w:rPr>
        <w:t>hat provision grants the</w:t>
      </w:r>
      <w:r w:rsidR="00761642" w:rsidRPr="00255FA9">
        <w:rPr>
          <w:rFonts w:ascii="Arial" w:hAnsi="Arial" w:cs="Arial"/>
          <w:bCs/>
          <w:sz w:val="24"/>
          <w:szCs w:val="24"/>
        </w:rPr>
        <w:t xml:space="preserve"> </w:t>
      </w:r>
      <w:r w:rsidR="00761642" w:rsidRPr="00255FA9">
        <w:rPr>
          <w:rFonts w:ascii="Arial" w:hAnsi="Arial" w:cs="Arial"/>
          <w:sz w:val="24"/>
          <w:szCs w:val="24"/>
        </w:rPr>
        <w:t xml:space="preserve">Labour Court concurrent jurisdiction with the civil courts to hear and determine any matter concerning a contract of employment, </w:t>
      </w:r>
      <w:r w:rsidR="00761642">
        <w:rPr>
          <w:rFonts w:ascii="Arial" w:hAnsi="Arial" w:cs="Arial"/>
          <w:sz w:val="24"/>
          <w:szCs w:val="24"/>
        </w:rPr>
        <w:t xml:space="preserve">regardless </w:t>
      </w:r>
      <w:r w:rsidR="00761642" w:rsidRPr="00255FA9">
        <w:rPr>
          <w:rFonts w:ascii="Arial" w:hAnsi="Arial" w:cs="Arial"/>
          <w:sz w:val="24"/>
          <w:szCs w:val="24"/>
        </w:rPr>
        <w:t>of whether any basic condition of employment constitutes a term of that contract.</w:t>
      </w:r>
      <w:r w:rsidR="00761642">
        <w:rPr>
          <w:rFonts w:ascii="Arial" w:hAnsi="Arial" w:cs="Arial"/>
          <w:sz w:val="24"/>
          <w:szCs w:val="24"/>
        </w:rPr>
        <w:t xml:space="preserve"> </w:t>
      </w:r>
      <w:r w:rsidR="00080336">
        <w:rPr>
          <w:rFonts w:ascii="Arial" w:hAnsi="Arial" w:cs="Arial"/>
          <w:bCs/>
          <w:sz w:val="24"/>
          <w:szCs w:val="24"/>
        </w:rPr>
        <w:t xml:space="preserve">The </w:t>
      </w:r>
      <w:r w:rsidR="00F00E01">
        <w:rPr>
          <w:rFonts w:ascii="Arial" w:hAnsi="Arial" w:cs="Arial"/>
          <w:bCs/>
          <w:sz w:val="24"/>
          <w:szCs w:val="24"/>
        </w:rPr>
        <w:t xml:space="preserve">prayers in the Notice of Motion speak for themselves. </w:t>
      </w:r>
      <w:r w:rsidR="005610D2">
        <w:rPr>
          <w:rFonts w:ascii="Arial" w:hAnsi="Arial" w:cs="Arial"/>
          <w:bCs/>
          <w:sz w:val="24"/>
          <w:szCs w:val="24"/>
        </w:rPr>
        <w:t xml:space="preserve">To my mind, </w:t>
      </w:r>
      <w:r w:rsidR="002C3014">
        <w:rPr>
          <w:rFonts w:ascii="Arial" w:hAnsi="Arial" w:cs="Arial"/>
          <w:bCs/>
          <w:sz w:val="24"/>
          <w:szCs w:val="24"/>
        </w:rPr>
        <w:t xml:space="preserve">prayer F is not at odds with the </w:t>
      </w:r>
      <w:r w:rsidR="00897EEA">
        <w:rPr>
          <w:rFonts w:ascii="Arial" w:hAnsi="Arial" w:cs="Arial"/>
          <w:bCs/>
          <w:sz w:val="24"/>
          <w:szCs w:val="24"/>
        </w:rPr>
        <w:t xml:space="preserve">assertion of a </w:t>
      </w:r>
      <w:r w:rsidR="00F00E01">
        <w:rPr>
          <w:rFonts w:ascii="Arial" w:hAnsi="Arial" w:cs="Arial"/>
          <w:bCs/>
          <w:sz w:val="24"/>
          <w:szCs w:val="24"/>
        </w:rPr>
        <w:t xml:space="preserve">contractual </w:t>
      </w:r>
      <w:r w:rsidR="00897EEA">
        <w:rPr>
          <w:rFonts w:ascii="Arial" w:hAnsi="Arial" w:cs="Arial"/>
          <w:bCs/>
          <w:sz w:val="24"/>
          <w:szCs w:val="24"/>
        </w:rPr>
        <w:t>obligation</w:t>
      </w:r>
      <w:r w:rsidR="005E6F90">
        <w:rPr>
          <w:rFonts w:ascii="Arial" w:hAnsi="Arial" w:cs="Arial"/>
          <w:bCs/>
          <w:sz w:val="24"/>
          <w:szCs w:val="24"/>
        </w:rPr>
        <w:t xml:space="preserve"> and thus</w:t>
      </w:r>
      <w:r w:rsidR="00897EEA">
        <w:rPr>
          <w:rFonts w:ascii="Arial" w:hAnsi="Arial" w:cs="Arial"/>
          <w:bCs/>
          <w:sz w:val="24"/>
          <w:szCs w:val="24"/>
        </w:rPr>
        <w:t xml:space="preserve"> falls within the ambit of </w:t>
      </w:r>
      <w:r w:rsidR="005E6F90">
        <w:rPr>
          <w:rFonts w:ascii="Arial" w:hAnsi="Arial" w:cs="Arial"/>
          <w:bCs/>
          <w:sz w:val="24"/>
          <w:szCs w:val="24"/>
        </w:rPr>
        <w:t xml:space="preserve">s 77(3). </w:t>
      </w:r>
      <w:r w:rsidR="005610D2">
        <w:rPr>
          <w:rFonts w:ascii="Arial" w:hAnsi="Arial" w:cs="Arial"/>
          <w:bCs/>
          <w:sz w:val="24"/>
          <w:szCs w:val="24"/>
        </w:rPr>
        <w:t xml:space="preserve">The </w:t>
      </w:r>
      <w:r w:rsidR="006A6AD3">
        <w:rPr>
          <w:rFonts w:ascii="Arial" w:hAnsi="Arial" w:cs="Arial"/>
          <w:bCs/>
          <w:sz w:val="24"/>
          <w:szCs w:val="24"/>
        </w:rPr>
        <w:t xml:space="preserve">contractual </w:t>
      </w:r>
      <w:r w:rsidR="00636171">
        <w:rPr>
          <w:rFonts w:ascii="Arial" w:hAnsi="Arial" w:cs="Arial"/>
          <w:bCs/>
          <w:sz w:val="24"/>
          <w:szCs w:val="24"/>
        </w:rPr>
        <w:t xml:space="preserve">nature of the </w:t>
      </w:r>
      <w:r w:rsidR="006A6AD3">
        <w:rPr>
          <w:rFonts w:ascii="Arial" w:hAnsi="Arial" w:cs="Arial"/>
          <w:bCs/>
          <w:sz w:val="24"/>
          <w:szCs w:val="24"/>
        </w:rPr>
        <w:t xml:space="preserve">claim </w:t>
      </w:r>
      <w:r w:rsidR="005610D2" w:rsidRPr="00220EA8">
        <w:rPr>
          <w:rFonts w:ascii="Arial" w:hAnsi="Arial" w:cs="Arial"/>
          <w:bCs/>
          <w:sz w:val="24"/>
          <w:szCs w:val="24"/>
        </w:rPr>
        <w:t xml:space="preserve">can </w:t>
      </w:r>
      <w:r w:rsidR="005E6F90">
        <w:rPr>
          <w:rFonts w:ascii="Arial" w:hAnsi="Arial" w:cs="Arial"/>
          <w:bCs/>
          <w:sz w:val="24"/>
          <w:szCs w:val="24"/>
        </w:rPr>
        <w:t xml:space="preserve">also </w:t>
      </w:r>
      <w:r w:rsidR="005610D2" w:rsidRPr="00220EA8">
        <w:rPr>
          <w:rFonts w:ascii="Arial" w:hAnsi="Arial" w:cs="Arial"/>
          <w:bCs/>
          <w:sz w:val="24"/>
          <w:szCs w:val="24"/>
        </w:rPr>
        <w:t xml:space="preserve">be gleaned from various averments </w:t>
      </w:r>
      <w:r w:rsidR="005610D2">
        <w:rPr>
          <w:rFonts w:ascii="Arial" w:hAnsi="Arial" w:cs="Arial"/>
          <w:bCs/>
          <w:sz w:val="24"/>
          <w:szCs w:val="24"/>
        </w:rPr>
        <w:t xml:space="preserve">made by its deponent </w:t>
      </w:r>
      <w:r w:rsidR="005610D2" w:rsidRPr="00220EA8">
        <w:rPr>
          <w:rFonts w:ascii="Arial" w:hAnsi="Arial" w:cs="Arial"/>
          <w:bCs/>
          <w:sz w:val="24"/>
          <w:szCs w:val="24"/>
        </w:rPr>
        <w:t>in the founding affidavit.</w:t>
      </w:r>
      <w:r w:rsidR="00636171">
        <w:rPr>
          <w:rFonts w:ascii="Arial" w:hAnsi="Arial" w:cs="Arial"/>
          <w:bCs/>
          <w:sz w:val="24"/>
          <w:szCs w:val="24"/>
        </w:rPr>
        <w:t xml:space="preserve"> </w:t>
      </w:r>
      <w:r w:rsidR="008132A9">
        <w:rPr>
          <w:rFonts w:ascii="Arial" w:hAnsi="Arial" w:cs="Arial"/>
          <w:bCs/>
          <w:sz w:val="24"/>
          <w:szCs w:val="24"/>
        </w:rPr>
        <w:t>In paragraph18</w:t>
      </w:r>
      <w:r w:rsidR="006D0EED">
        <w:rPr>
          <w:rFonts w:ascii="Arial" w:hAnsi="Arial" w:cs="Arial"/>
          <w:bCs/>
          <w:sz w:val="24"/>
          <w:szCs w:val="24"/>
        </w:rPr>
        <w:t xml:space="preserve"> </w:t>
      </w:r>
      <w:r w:rsidR="00636171">
        <w:rPr>
          <w:rFonts w:ascii="Arial" w:hAnsi="Arial" w:cs="Arial"/>
          <w:bCs/>
          <w:sz w:val="24"/>
          <w:szCs w:val="24"/>
        </w:rPr>
        <w:t>of the found</w:t>
      </w:r>
      <w:r w:rsidR="006D0EED">
        <w:rPr>
          <w:rFonts w:ascii="Arial" w:hAnsi="Arial" w:cs="Arial"/>
          <w:bCs/>
          <w:sz w:val="24"/>
          <w:szCs w:val="24"/>
        </w:rPr>
        <w:t>ing</w:t>
      </w:r>
      <w:r w:rsidR="00636171">
        <w:rPr>
          <w:rFonts w:ascii="Arial" w:hAnsi="Arial" w:cs="Arial"/>
          <w:bCs/>
          <w:sz w:val="24"/>
          <w:szCs w:val="24"/>
        </w:rPr>
        <w:t xml:space="preserve"> affidavit, </w:t>
      </w:r>
      <w:r w:rsidR="006D0EED">
        <w:rPr>
          <w:rFonts w:ascii="Arial" w:hAnsi="Arial" w:cs="Arial"/>
          <w:bCs/>
          <w:sz w:val="24"/>
          <w:szCs w:val="24"/>
        </w:rPr>
        <w:t xml:space="preserve">which sets out the purpose of the application, it is inter alia stated that </w:t>
      </w:r>
      <w:r w:rsidR="00F535AB">
        <w:rPr>
          <w:rFonts w:ascii="Arial" w:hAnsi="Arial" w:cs="Arial"/>
          <w:bCs/>
          <w:sz w:val="24"/>
          <w:szCs w:val="24"/>
        </w:rPr>
        <w:t xml:space="preserve">‘the principal purpose of this application is to seek specific performance </w:t>
      </w:r>
      <w:r w:rsidR="00E2647F">
        <w:rPr>
          <w:rFonts w:ascii="Arial" w:hAnsi="Arial" w:cs="Arial"/>
          <w:bCs/>
          <w:sz w:val="24"/>
          <w:szCs w:val="24"/>
        </w:rPr>
        <w:t xml:space="preserve">and to compel the [NPA] to comply with </w:t>
      </w:r>
      <w:r w:rsidR="00F83002">
        <w:rPr>
          <w:rFonts w:ascii="Arial" w:hAnsi="Arial" w:cs="Arial"/>
          <w:bCs/>
          <w:sz w:val="24"/>
          <w:szCs w:val="24"/>
        </w:rPr>
        <w:t xml:space="preserve">. . . </w:t>
      </w:r>
      <w:r w:rsidR="00E2647F">
        <w:rPr>
          <w:rFonts w:ascii="Arial" w:hAnsi="Arial" w:cs="Arial"/>
          <w:bCs/>
          <w:sz w:val="24"/>
          <w:szCs w:val="24"/>
        </w:rPr>
        <w:t xml:space="preserve">the NDPP’s approval regarding the implementation of OSD dated </w:t>
      </w:r>
      <w:r w:rsidR="00302A72">
        <w:rPr>
          <w:rFonts w:ascii="Arial" w:hAnsi="Arial" w:cs="Arial"/>
          <w:bCs/>
          <w:sz w:val="24"/>
          <w:szCs w:val="24"/>
        </w:rPr>
        <w:t xml:space="preserve">29 July 2014 </w:t>
      </w:r>
      <w:r w:rsidR="00F83002">
        <w:rPr>
          <w:rFonts w:ascii="Arial" w:hAnsi="Arial" w:cs="Arial"/>
          <w:bCs/>
          <w:sz w:val="24"/>
          <w:szCs w:val="24"/>
        </w:rPr>
        <w:t xml:space="preserve">. . . </w:t>
      </w:r>
      <w:r w:rsidR="00302A72">
        <w:rPr>
          <w:rFonts w:ascii="Arial" w:hAnsi="Arial" w:cs="Arial"/>
          <w:bCs/>
          <w:sz w:val="24"/>
          <w:szCs w:val="24"/>
        </w:rPr>
        <w:t xml:space="preserve">and the memorandum dated 24 November 2014 from the Chief Executive Officer </w:t>
      </w:r>
      <w:r w:rsidR="00F83002">
        <w:rPr>
          <w:rFonts w:ascii="Arial" w:hAnsi="Arial" w:cs="Arial"/>
          <w:bCs/>
          <w:sz w:val="24"/>
          <w:szCs w:val="24"/>
        </w:rPr>
        <w:t>. . .</w:t>
      </w:r>
      <w:r w:rsidR="00C13E49">
        <w:rPr>
          <w:rFonts w:ascii="Arial" w:hAnsi="Arial" w:cs="Arial"/>
          <w:bCs/>
          <w:sz w:val="24"/>
          <w:szCs w:val="24"/>
        </w:rPr>
        <w:t>’.</w:t>
      </w:r>
    </w:p>
    <w:p w14:paraId="5EDD485B" w14:textId="77777777" w:rsidR="008F0BEA" w:rsidRDefault="008F0BEA" w:rsidP="00636171">
      <w:pPr>
        <w:pStyle w:val="ListParagraph"/>
        <w:spacing w:line="360" w:lineRule="auto"/>
        <w:ind w:left="0"/>
        <w:jc w:val="both"/>
        <w:rPr>
          <w:rFonts w:ascii="Arial" w:hAnsi="Arial" w:cs="Arial"/>
          <w:bCs/>
          <w:sz w:val="24"/>
          <w:szCs w:val="24"/>
        </w:rPr>
      </w:pPr>
    </w:p>
    <w:p w14:paraId="3D0AAE13" w14:textId="4ACC0686" w:rsidR="00B02B0E" w:rsidRDefault="004C7BFA" w:rsidP="00F76C78">
      <w:pPr>
        <w:pStyle w:val="ListParagraph"/>
        <w:spacing w:after="0" w:line="360" w:lineRule="auto"/>
        <w:ind w:left="0"/>
        <w:jc w:val="both"/>
        <w:rPr>
          <w:rFonts w:ascii="Arial" w:hAnsi="Arial" w:cs="Arial"/>
          <w:bCs/>
          <w:sz w:val="24"/>
          <w:szCs w:val="24"/>
        </w:rPr>
      </w:pPr>
      <w:r>
        <w:rPr>
          <w:rFonts w:ascii="Arial" w:hAnsi="Arial" w:cs="Arial"/>
          <w:bCs/>
          <w:sz w:val="24"/>
          <w:szCs w:val="24"/>
        </w:rPr>
        <w:t>[</w:t>
      </w:r>
      <w:r w:rsidR="008F0BEA">
        <w:rPr>
          <w:rFonts w:ascii="Arial" w:hAnsi="Arial" w:cs="Arial"/>
          <w:bCs/>
          <w:sz w:val="24"/>
          <w:szCs w:val="24"/>
        </w:rPr>
        <w:t>23</w:t>
      </w:r>
      <w:r>
        <w:rPr>
          <w:rFonts w:ascii="Arial" w:hAnsi="Arial" w:cs="Arial"/>
          <w:bCs/>
          <w:sz w:val="24"/>
          <w:szCs w:val="24"/>
        </w:rPr>
        <w:t>]</w:t>
      </w:r>
      <w:r>
        <w:rPr>
          <w:rFonts w:ascii="Arial" w:hAnsi="Arial" w:cs="Arial"/>
          <w:bCs/>
          <w:sz w:val="24"/>
          <w:szCs w:val="24"/>
        </w:rPr>
        <w:tab/>
      </w:r>
      <w:r w:rsidR="00DD6628">
        <w:rPr>
          <w:rFonts w:ascii="Arial" w:hAnsi="Arial" w:cs="Arial"/>
          <w:bCs/>
          <w:sz w:val="24"/>
          <w:szCs w:val="24"/>
        </w:rPr>
        <w:t xml:space="preserve">At para 45 the deponent </w:t>
      </w:r>
      <w:r w:rsidR="00765172">
        <w:rPr>
          <w:rFonts w:ascii="Arial" w:hAnsi="Arial" w:cs="Arial"/>
          <w:bCs/>
          <w:sz w:val="24"/>
          <w:szCs w:val="24"/>
        </w:rPr>
        <w:t>assert</w:t>
      </w:r>
      <w:r w:rsidR="005E6F90">
        <w:rPr>
          <w:rFonts w:ascii="Arial" w:hAnsi="Arial" w:cs="Arial"/>
          <w:bCs/>
          <w:sz w:val="24"/>
          <w:szCs w:val="24"/>
        </w:rPr>
        <w:t>ed</w:t>
      </w:r>
      <w:r w:rsidR="00765172">
        <w:rPr>
          <w:rFonts w:ascii="Arial" w:hAnsi="Arial" w:cs="Arial"/>
          <w:bCs/>
          <w:sz w:val="24"/>
          <w:szCs w:val="24"/>
        </w:rPr>
        <w:t xml:space="preserve"> that </w:t>
      </w:r>
      <w:r w:rsidR="00D26818">
        <w:rPr>
          <w:rFonts w:ascii="Arial" w:hAnsi="Arial" w:cs="Arial"/>
          <w:bCs/>
          <w:sz w:val="24"/>
          <w:szCs w:val="24"/>
        </w:rPr>
        <w:t xml:space="preserve">she had, on the instructions of the </w:t>
      </w:r>
      <w:r w:rsidR="00765172">
        <w:rPr>
          <w:rFonts w:ascii="Arial" w:hAnsi="Arial" w:cs="Arial"/>
          <w:bCs/>
          <w:sz w:val="24"/>
          <w:szCs w:val="24"/>
        </w:rPr>
        <w:t>NPA</w:t>
      </w:r>
      <w:r w:rsidR="00D26818">
        <w:rPr>
          <w:rFonts w:ascii="Arial" w:hAnsi="Arial" w:cs="Arial"/>
          <w:bCs/>
          <w:sz w:val="24"/>
          <w:szCs w:val="24"/>
        </w:rPr>
        <w:t xml:space="preserve">, by inter alia </w:t>
      </w:r>
      <w:r w:rsidR="00F511CB">
        <w:rPr>
          <w:rFonts w:ascii="Arial" w:hAnsi="Arial" w:cs="Arial"/>
          <w:bCs/>
          <w:sz w:val="24"/>
          <w:szCs w:val="24"/>
        </w:rPr>
        <w:t xml:space="preserve">‘completion of a choice to translate, which I did choose by signing a performance agreement’. </w:t>
      </w:r>
      <w:r w:rsidR="002F2526">
        <w:rPr>
          <w:rFonts w:ascii="Arial" w:hAnsi="Arial" w:cs="Arial"/>
          <w:bCs/>
          <w:sz w:val="24"/>
          <w:szCs w:val="24"/>
        </w:rPr>
        <w:t>She also averred that her colleagues had also completed documentation</w:t>
      </w:r>
      <w:r>
        <w:rPr>
          <w:rFonts w:ascii="Arial" w:hAnsi="Arial" w:cs="Arial"/>
          <w:bCs/>
          <w:sz w:val="24"/>
          <w:szCs w:val="24"/>
        </w:rPr>
        <w:t xml:space="preserve"> exercising the same choices as she did. </w:t>
      </w:r>
      <w:r w:rsidR="00812C7B">
        <w:rPr>
          <w:rFonts w:ascii="Arial" w:hAnsi="Arial" w:cs="Arial"/>
          <w:bCs/>
          <w:sz w:val="24"/>
          <w:szCs w:val="24"/>
        </w:rPr>
        <w:t>I am satisfied that the averments made in</w:t>
      </w:r>
      <w:r w:rsidR="00B02B0E">
        <w:rPr>
          <w:rFonts w:ascii="Arial" w:hAnsi="Arial" w:cs="Arial"/>
          <w:bCs/>
          <w:sz w:val="24"/>
          <w:szCs w:val="24"/>
        </w:rPr>
        <w:t xml:space="preserve"> the pleadings in</w:t>
      </w:r>
      <w:r w:rsidR="00812C7B">
        <w:rPr>
          <w:rFonts w:ascii="Arial" w:hAnsi="Arial" w:cs="Arial"/>
          <w:bCs/>
          <w:sz w:val="24"/>
          <w:szCs w:val="24"/>
        </w:rPr>
        <w:t xml:space="preserve"> relation to the order of specific performance </w:t>
      </w:r>
      <w:r w:rsidR="00977FB0">
        <w:rPr>
          <w:rFonts w:ascii="Arial" w:hAnsi="Arial" w:cs="Arial"/>
          <w:bCs/>
          <w:sz w:val="24"/>
          <w:szCs w:val="24"/>
        </w:rPr>
        <w:t xml:space="preserve">and the declaratory order in relation to the NDPP’s approval </w:t>
      </w:r>
      <w:r w:rsidR="00697680">
        <w:rPr>
          <w:rFonts w:ascii="Arial" w:hAnsi="Arial" w:cs="Arial"/>
          <w:bCs/>
          <w:sz w:val="24"/>
          <w:szCs w:val="24"/>
        </w:rPr>
        <w:t xml:space="preserve">sufficed to </w:t>
      </w:r>
      <w:r w:rsidR="00CC2CB4">
        <w:rPr>
          <w:rFonts w:ascii="Arial" w:hAnsi="Arial" w:cs="Arial"/>
          <w:bCs/>
          <w:sz w:val="24"/>
          <w:szCs w:val="24"/>
        </w:rPr>
        <w:t>bring the matter within the jurisdiction of the high court.</w:t>
      </w:r>
    </w:p>
    <w:p w14:paraId="75804D30" w14:textId="77777777" w:rsidR="008F0BEA" w:rsidRDefault="008F0BEA" w:rsidP="00636171">
      <w:pPr>
        <w:pStyle w:val="ListParagraph"/>
        <w:spacing w:line="360" w:lineRule="auto"/>
        <w:ind w:left="0"/>
        <w:jc w:val="both"/>
        <w:rPr>
          <w:rFonts w:ascii="Arial" w:hAnsi="Arial" w:cs="Arial"/>
          <w:bCs/>
          <w:sz w:val="24"/>
          <w:szCs w:val="24"/>
        </w:rPr>
      </w:pPr>
    </w:p>
    <w:p w14:paraId="59D55F5E" w14:textId="6B15F260" w:rsidR="00880C36" w:rsidRPr="001F7CDE" w:rsidRDefault="00B02B0E" w:rsidP="00F76C78">
      <w:pPr>
        <w:pStyle w:val="ListParagraph"/>
        <w:spacing w:after="0" w:line="360" w:lineRule="auto"/>
        <w:ind w:left="0"/>
        <w:jc w:val="both"/>
        <w:rPr>
          <w:rFonts w:ascii="Arial" w:hAnsi="Arial" w:cs="Arial"/>
          <w:bCs/>
          <w:sz w:val="24"/>
          <w:szCs w:val="24"/>
        </w:rPr>
      </w:pPr>
      <w:r>
        <w:rPr>
          <w:rFonts w:ascii="Arial" w:hAnsi="Arial" w:cs="Arial"/>
          <w:bCs/>
          <w:sz w:val="24"/>
          <w:szCs w:val="24"/>
        </w:rPr>
        <w:t>[</w:t>
      </w:r>
      <w:r w:rsidR="008F0BEA">
        <w:rPr>
          <w:rFonts w:ascii="Arial" w:hAnsi="Arial" w:cs="Arial"/>
          <w:bCs/>
          <w:sz w:val="24"/>
          <w:szCs w:val="24"/>
        </w:rPr>
        <w:t>24</w:t>
      </w:r>
      <w:r>
        <w:rPr>
          <w:rFonts w:ascii="Arial" w:hAnsi="Arial" w:cs="Arial"/>
          <w:bCs/>
          <w:sz w:val="24"/>
          <w:szCs w:val="24"/>
        </w:rPr>
        <w:t>]</w:t>
      </w:r>
      <w:r>
        <w:rPr>
          <w:rFonts w:ascii="Arial" w:hAnsi="Arial" w:cs="Arial"/>
          <w:bCs/>
          <w:sz w:val="24"/>
          <w:szCs w:val="24"/>
        </w:rPr>
        <w:tab/>
      </w:r>
      <w:r w:rsidR="00937F32">
        <w:rPr>
          <w:rFonts w:ascii="Arial" w:hAnsi="Arial" w:cs="Arial"/>
          <w:bCs/>
          <w:sz w:val="24"/>
          <w:szCs w:val="24"/>
        </w:rPr>
        <w:t>T</w:t>
      </w:r>
      <w:r w:rsidR="00BC540D" w:rsidRPr="00C06CC7">
        <w:rPr>
          <w:rFonts w:ascii="Arial" w:hAnsi="Arial" w:cs="Arial"/>
          <w:bCs/>
          <w:sz w:val="24"/>
          <w:szCs w:val="24"/>
        </w:rPr>
        <w:t xml:space="preserve">he existence of the agreement to translate the DDPPs and CPs represented by the PSA is an issue that speaks to prospects of success on the merits and not </w:t>
      </w:r>
      <w:r w:rsidR="00BC540D" w:rsidRPr="00C06CC7">
        <w:rPr>
          <w:rFonts w:ascii="Arial" w:hAnsi="Arial" w:cs="Arial"/>
          <w:bCs/>
          <w:sz w:val="24"/>
          <w:szCs w:val="24"/>
        </w:rPr>
        <w:lastRenderedPageBreak/>
        <w:t xml:space="preserve">jurisdiction. </w:t>
      </w:r>
      <w:r w:rsidR="00BC540D">
        <w:rPr>
          <w:rFonts w:ascii="Arial" w:hAnsi="Arial" w:cs="Arial"/>
          <w:bCs/>
          <w:sz w:val="24"/>
          <w:szCs w:val="24"/>
        </w:rPr>
        <w:t xml:space="preserve">Similarly, </w:t>
      </w:r>
      <w:r w:rsidR="00252AD5">
        <w:rPr>
          <w:rFonts w:ascii="Arial" w:hAnsi="Arial" w:cs="Arial"/>
          <w:bCs/>
          <w:sz w:val="24"/>
          <w:szCs w:val="24"/>
        </w:rPr>
        <w:t xml:space="preserve">a consideration as </w:t>
      </w:r>
      <w:r w:rsidR="00A630C4">
        <w:rPr>
          <w:rFonts w:ascii="Arial" w:hAnsi="Arial" w:cs="Arial"/>
          <w:bCs/>
          <w:sz w:val="24"/>
          <w:szCs w:val="24"/>
        </w:rPr>
        <w:t xml:space="preserve">to whether the PSA had succeeded in </w:t>
      </w:r>
      <w:r w:rsidR="00A630C4" w:rsidRPr="00252AD5">
        <w:rPr>
          <w:rFonts w:ascii="Arial" w:hAnsi="Arial" w:cs="Arial"/>
          <w:bCs/>
          <w:sz w:val="24"/>
          <w:szCs w:val="24"/>
        </w:rPr>
        <w:t>proving</w:t>
      </w:r>
      <w:r w:rsidR="00A630C4">
        <w:rPr>
          <w:rFonts w:ascii="Arial" w:hAnsi="Arial" w:cs="Arial"/>
          <w:bCs/>
          <w:sz w:val="24"/>
          <w:szCs w:val="24"/>
        </w:rPr>
        <w:t xml:space="preserve"> </w:t>
      </w:r>
      <w:r w:rsidR="001018D1">
        <w:rPr>
          <w:rFonts w:ascii="Arial" w:hAnsi="Arial" w:cs="Arial"/>
          <w:bCs/>
          <w:sz w:val="24"/>
          <w:szCs w:val="24"/>
        </w:rPr>
        <w:t xml:space="preserve">the existence of the agreement by attaching </w:t>
      </w:r>
      <w:r w:rsidR="00252AD5">
        <w:rPr>
          <w:rFonts w:ascii="Arial" w:hAnsi="Arial" w:cs="Arial"/>
          <w:bCs/>
          <w:sz w:val="24"/>
          <w:szCs w:val="24"/>
        </w:rPr>
        <w:t>the relevant contracts in substantiation of its allegations</w:t>
      </w:r>
      <w:r w:rsidR="00221DB1">
        <w:rPr>
          <w:rFonts w:ascii="Arial" w:hAnsi="Arial" w:cs="Arial"/>
          <w:bCs/>
          <w:sz w:val="24"/>
          <w:szCs w:val="24"/>
        </w:rPr>
        <w:t>,</w:t>
      </w:r>
      <w:r w:rsidR="00252AD5">
        <w:rPr>
          <w:rFonts w:ascii="Arial" w:hAnsi="Arial" w:cs="Arial"/>
          <w:bCs/>
          <w:sz w:val="24"/>
          <w:szCs w:val="24"/>
        </w:rPr>
        <w:t xml:space="preserve"> </w:t>
      </w:r>
      <w:r w:rsidR="00A630C4">
        <w:rPr>
          <w:rFonts w:ascii="Arial" w:hAnsi="Arial" w:cs="Arial"/>
          <w:bCs/>
          <w:sz w:val="24"/>
          <w:szCs w:val="24"/>
        </w:rPr>
        <w:t xml:space="preserve">is an aspect that speaks to the merits and not to jurisdiction. </w:t>
      </w:r>
      <w:r w:rsidR="00945934">
        <w:rPr>
          <w:rFonts w:ascii="Arial" w:hAnsi="Arial" w:cs="Arial"/>
          <w:bCs/>
          <w:sz w:val="24"/>
          <w:szCs w:val="24"/>
        </w:rPr>
        <w:t xml:space="preserve">That this is so is </w:t>
      </w:r>
      <w:r w:rsidR="00154AD5" w:rsidRPr="007B6567">
        <w:rPr>
          <w:rFonts w:ascii="Arial" w:hAnsi="Arial" w:cs="Arial"/>
          <w:bCs/>
          <w:sz w:val="24"/>
          <w:szCs w:val="24"/>
        </w:rPr>
        <w:t>plain</w:t>
      </w:r>
      <w:r w:rsidR="00945934">
        <w:rPr>
          <w:rFonts w:ascii="Arial" w:hAnsi="Arial" w:cs="Arial"/>
          <w:bCs/>
          <w:sz w:val="24"/>
          <w:szCs w:val="24"/>
        </w:rPr>
        <w:t xml:space="preserve"> from the </w:t>
      </w:r>
      <w:r w:rsidR="0067523C">
        <w:rPr>
          <w:rFonts w:ascii="Arial" w:hAnsi="Arial" w:cs="Arial"/>
          <w:bCs/>
          <w:sz w:val="24"/>
          <w:szCs w:val="24"/>
        </w:rPr>
        <w:t xml:space="preserve">instructive approach set out in </w:t>
      </w:r>
      <w:r w:rsidR="0067523C" w:rsidRPr="00945934">
        <w:rPr>
          <w:rFonts w:ascii="Arial" w:hAnsi="Arial" w:cs="Arial"/>
          <w:bCs/>
          <w:i/>
          <w:iCs/>
          <w:sz w:val="24"/>
          <w:szCs w:val="24"/>
        </w:rPr>
        <w:t>Baloyi</w:t>
      </w:r>
      <w:r w:rsidR="0067523C">
        <w:rPr>
          <w:rFonts w:ascii="Arial" w:hAnsi="Arial" w:cs="Arial"/>
          <w:bCs/>
          <w:sz w:val="24"/>
          <w:szCs w:val="24"/>
        </w:rPr>
        <w:t xml:space="preserve">, where the </w:t>
      </w:r>
      <w:r w:rsidR="006F7748" w:rsidRPr="00062501">
        <w:rPr>
          <w:rFonts w:ascii="Arial" w:hAnsi="Arial" w:cs="Arial"/>
          <w:bCs/>
          <w:sz w:val="24"/>
          <w:szCs w:val="24"/>
        </w:rPr>
        <w:t>Constitutional Court</w:t>
      </w:r>
      <w:r w:rsidR="006F7748">
        <w:rPr>
          <w:rFonts w:ascii="Arial" w:hAnsi="Arial" w:cs="Arial"/>
          <w:bCs/>
          <w:sz w:val="24"/>
          <w:szCs w:val="24"/>
        </w:rPr>
        <w:t xml:space="preserve"> </w:t>
      </w:r>
      <w:r w:rsidR="008B1CBA">
        <w:rPr>
          <w:rFonts w:ascii="Arial" w:hAnsi="Arial" w:cs="Arial"/>
          <w:bCs/>
          <w:sz w:val="24"/>
          <w:szCs w:val="24"/>
        </w:rPr>
        <w:t xml:space="preserve">aptly stated as follows: </w:t>
      </w:r>
    </w:p>
    <w:p w14:paraId="4563D40D" w14:textId="7375152D" w:rsidR="001F7CDE" w:rsidRDefault="00880C36" w:rsidP="00F76C78">
      <w:pPr>
        <w:pStyle w:val="ListParagraph"/>
        <w:spacing w:after="0" w:line="360" w:lineRule="auto"/>
        <w:ind w:left="0"/>
        <w:jc w:val="both"/>
        <w:rPr>
          <w:rFonts w:ascii="Arial" w:hAnsi="Arial" w:cs="Arial"/>
          <w:bCs/>
          <w:sz w:val="24"/>
          <w:szCs w:val="24"/>
        </w:rPr>
      </w:pPr>
      <w:r>
        <w:rPr>
          <w:rFonts w:ascii="Arial" w:hAnsi="Arial" w:cs="Arial"/>
          <w:bCs/>
          <w:sz w:val="24"/>
          <w:szCs w:val="24"/>
        </w:rPr>
        <w:t>‘</w:t>
      </w:r>
      <w:r w:rsidRPr="002C4A16">
        <w:rPr>
          <w:rFonts w:ascii="Arial" w:hAnsi="Arial" w:cs="Arial"/>
          <w:bCs/>
        </w:rPr>
        <w:t>When assessing whether its jurisdiction is engaged, a court might be of the view that a litigant should have pursued a different cause of action, or that she would have had a better chance of success had she done so. However, these views are irrelevant to the courts</w:t>
      </w:r>
      <w:r w:rsidR="00ED367C">
        <w:rPr>
          <w:rFonts w:ascii="Arial" w:hAnsi="Arial" w:cs="Arial"/>
          <w:bCs/>
        </w:rPr>
        <w:t>’</w:t>
      </w:r>
      <w:r w:rsidRPr="002C4A16">
        <w:rPr>
          <w:rFonts w:ascii="Arial" w:hAnsi="Arial" w:cs="Arial"/>
          <w:bCs/>
        </w:rPr>
        <w:t xml:space="preserve"> competence to hear the matter</w:t>
      </w:r>
      <w:r>
        <w:rPr>
          <w:rFonts w:ascii="Arial" w:hAnsi="Arial" w:cs="Arial"/>
          <w:bCs/>
          <w:sz w:val="24"/>
          <w:szCs w:val="24"/>
        </w:rPr>
        <w:t>.’</w:t>
      </w:r>
      <w:r>
        <w:rPr>
          <w:rStyle w:val="FootnoteReference"/>
          <w:rFonts w:ascii="Arial" w:hAnsi="Arial" w:cs="Arial"/>
          <w:bCs/>
          <w:sz w:val="24"/>
          <w:szCs w:val="24"/>
        </w:rPr>
        <w:footnoteReference w:id="21"/>
      </w:r>
    </w:p>
    <w:p w14:paraId="619EEBF7" w14:textId="1052EDA3" w:rsidR="00485FEB" w:rsidRPr="00990D80" w:rsidRDefault="00111504" w:rsidP="001F7CDE">
      <w:pPr>
        <w:pStyle w:val="ListParagraph"/>
        <w:spacing w:line="360" w:lineRule="auto"/>
        <w:ind w:left="0"/>
        <w:jc w:val="both"/>
        <w:rPr>
          <w:rFonts w:ascii="Arial" w:hAnsi="Arial" w:cs="Arial"/>
          <w:bCs/>
          <w:sz w:val="24"/>
          <w:szCs w:val="24"/>
        </w:rPr>
      </w:pPr>
      <w:r w:rsidRPr="00220EA8">
        <w:rPr>
          <w:rFonts w:ascii="Arial" w:hAnsi="Arial" w:cs="Arial"/>
          <w:bCs/>
          <w:sz w:val="24"/>
          <w:szCs w:val="24"/>
        </w:rPr>
        <w:t xml:space="preserve"> </w:t>
      </w:r>
    </w:p>
    <w:p w14:paraId="3E4F262E" w14:textId="7F653C29" w:rsidR="00C02371" w:rsidRPr="00C06CC7" w:rsidRDefault="001F7CDE" w:rsidP="00F76C78">
      <w:pPr>
        <w:pStyle w:val="ListParagraph"/>
        <w:spacing w:after="0" w:line="360" w:lineRule="auto"/>
        <w:ind w:left="0"/>
        <w:jc w:val="both"/>
        <w:rPr>
          <w:rFonts w:ascii="Arial" w:hAnsi="Arial" w:cs="Arial"/>
          <w:bCs/>
          <w:sz w:val="24"/>
          <w:szCs w:val="24"/>
        </w:rPr>
      </w:pPr>
      <w:r>
        <w:rPr>
          <w:rFonts w:ascii="Arial" w:hAnsi="Arial" w:cs="Arial"/>
          <w:bCs/>
          <w:sz w:val="24"/>
          <w:szCs w:val="24"/>
        </w:rPr>
        <w:t>[2</w:t>
      </w:r>
      <w:r w:rsidR="008F0BEA">
        <w:rPr>
          <w:rFonts w:ascii="Arial" w:hAnsi="Arial" w:cs="Arial"/>
          <w:bCs/>
          <w:sz w:val="24"/>
          <w:szCs w:val="24"/>
        </w:rPr>
        <w:t>5</w:t>
      </w:r>
      <w:r>
        <w:rPr>
          <w:rFonts w:ascii="Arial" w:hAnsi="Arial" w:cs="Arial"/>
          <w:bCs/>
          <w:sz w:val="24"/>
          <w:szCs w:val="24"/>
        </w:rPr>
        <w:t>]</w:t>
      </w:r>
      <w:r>
        <w:rPr>
          <w:rFonts w:ascii="Arial" w:hAnsi="Arial" w:cs="Arial"/>
          <w:bCs/>
          <w:sz w:val="24"/>
          <w:szCs w:val="24"/>
        </w:rPr>
        <w:tab/>
      </w:r>
      <w:r w:rsidR="00E16105" w:rsidRPr="00C06CC7">
        <w:rPr>
          <w:rFonts w:ascii="Arial" w:hAnsi="Arial" w:cs="Arial"/>
          <w:bCs/>
          <w:sz w:val="24"/>
          <w:szCs w:val="24"/>
        </w:rPr>
        <w:t xml:space="preserve">Being mindful of the warning sounded by the Constitutional Court </w:t>
      </w:r>
      <w:r w:rsidR="002830E3" w:rsidRPr="00C06CC7">
        <w:rPr>
          <w:rFonts w:ascii="Arial" w:hAnsi="Arial" w:cs="Arial"/>
          <w:bCs/>
          <w:sz w:val="24"/>
          <w:szCs w:val="24"/>
        </w:rPr>
        <w:t>(</w:t>
      </w:r>
      <w:r w:rsidR="00E16105" w:rsidRPr="00C06CC7">
        <w:rPr>
          <w:rFonts w:ascii="Arial" w:hAnsi="Arial" w:cs="Arial"/>
          <w:bCs/>
          <w:sz w:val="24"/>
          <w:szCs w:val="24"/>
        </w:rPr>
        <w:t xml:space="preserve">in </w:t>
      </w:r>
      <w:r w:rsidR="00E16105" w:rsidRPr="00C06CC7">
        <w:rPr>
          <w:rFonts w:ascii="Arial" w:hAnsi="Arial" w:cs="Arial"/>
          <w:bCs/>
          <w:i/>
          <w:iCs/>
          <w:sz w:val="24"/>
          <w:szCs w:val="24"/>
        </w:rPr>
        <w:t>Baloyi</w:t>
      </w:r>
      <w:r w:rsidR="00E16105" w:rsidRPr="00C06CC7">
        <w:rPr>
          <w:rFonts w:ascii="Arial" w:hAnsi="Arial" w:cs="Arial"/>
          <w:bCs/>
          <w:sz w:val="24"/>
          <w:szCs w:val="24"/>
        </w:rPr>
        <w:t xml:space="preserve">) against the conflation of the determination of a court’s jurisdiction with prospects </w:t>
      </w:r>
      <w:r w:rsidR="00E14412">
        <w:rPr>
          <w:rFonts w:ascii="Arial" w:hAnsi="Arial" w:cs="Arial"/>
          <w:bCs/>
          <w:sz w:val="24"/>
          <w:szCs w:val="24"/>
        </w:rPr>
        <w:t>o</w:t>
      </w:r>
      <w:r w:rsidR="00E16105" w:rsidRPr="00C06CC7">
        <w:rPr>
          <w:rFonts w:ascii="Arial" w:hAnsi="Arial" w:cs="Arial"/>
          <w:bCs/>
          <w:sz w:val="24"/>
          <w:szCs w:val="24"/>
        </w:rPr>
        <w:t>f success, I am of the view that the pleaded case as elicited in the PSA’s averments mentioned in the foregoing paragraphs, sufficiently clothed the high court with jurisdiction</w:t>
      </w:r>
      <w:r w:rsidR="00A73BAD" w:rsidRPr="00C06CC7">
        <w:rPr>
          <w:rFonts w:ascii="Arial" w:hAnsi="Arial" w:cs="Arial"/>
          <w:bCs/>
          <w:sz w:val="24"/>
          <w:szCs w:val="24"/>
        </w:rPr>
        <w:t xml:space="preserve"> in relation </w:t>
      </w:r>
      <w:r w:rsidR="00922749" w:rsidRPr="00C06CC7">
        <w:rPr>
          <w:rFonts w:ascii="Arial" w:hAnsi="Arial" w:cs="Arial"/>
          <w:bCs/>
          <w:sz w:val="24"/>
          <w:szCs w:val="24"/>
        </w:rPr>
        <w:t xml:space="preserve">to </w:t>
      </w:r>
      <w:r w:rsidR="002950B8" w:rsidRPr="00C06CC7">
        <w:rPr>
          <w:rFonts w:ascii="Arial" w:hAnsi="Arial" w:cs="Arial"/>
          <w:bCs/>
          <w:sz w:val="24"/>
          <w:szCs w:val="24"/>
        </w:rPr>
        <w:t xml:space="preserve">compliance with the 2010 Determination and </w:t>
      </w:r>
      <w:r w:rsidR="00922749" w:rsidRPr="00C06CC7">
        <w:rPr>
          <w:rFonts w:ascii="Arial" w:hAnsi="Arial" w:cs="Arial"/>
          <w:bCs/>
          <w:sz w:val="24"/>
          <w:szCs w:val="24"/>
        </w:rPr>
        <w:t xml:space="preserve">the NDPP’s </w:t>
      </w:r>
      <w:r w:rsidR="00A86234" w:rsidRPr="00C06CC7">
        <w:rPr>
          <w:rFonts w:ascii="Arial" w:hAnsi="Arial" w:cs="Arial"/>
          <w:bCs/>
          <w:sz w:val="24"/>
          <w:szCs w:val="24"/>
        </w:rPr>
        <w:t>approval dated 29</w:t>
      </w:r>
      <w:r w:rsidR="00C02371">
        <w:rPr>
          <w:rFonts w:ascii="Arial" w:hAnsi="Arial" w:cs="Arial"/>
          <w:bCs/>
          <w:sz w:val="24"/>
          <w:szCs w:val="24"/>
        </w:rPr>
        <w:t xml:space="preserve"> </w:t>
      </w:r>
      <w:r w:rsidR="00A86234" w:rsidRPr="00C06CC7">
        <w:rPr>
          <w:rFonts w:ascii="Arial" w:hAnsi="Arial" w:cs="Arial"/>
          <w:bCs/>
          <w:sz w:val="24"/>
          <w:szCs w:val="24"/>
        </w:rPr>
        <w:t xml:space="preserve">July 2014. </w:t>
      </w:r>
      <w:r w:rsidR="00C02371" w:rsidRPr="00C06CC7">
        <w:rPr>
          <w:rFonts w:ascii="Arial" w:hAnsi="Arial" w:cs="Arial"/>
          <w:bCs/>
          <w:sz w:val="24"/>
          <w:szCs w:val="24"/>
        </w:rPr>
        <w:t xml:space="preserve">The point </w:t>
      </w:r>
      <w:r w:rsidR="00C02371" w:rsidRPr="002D0EA2">
        <w:rPr>
          <w:rFonts w:ascii="Arial" w:hAnsi="Arial" w:cs="Arial"/>
          <w:bCs/>
          <w:i/>
          <w:sz w:val="24"/>
          <w:szCs w:val="24"/>
        </w:rPr>
        <w:t>in limine</w:t>
      </w:r>
      <w:r w:rsidR="00C02371" w:rsidRPr="00C06CC7">
        <w:rPr>
          <w:rFonts w:ascii="Arial" w:hAnsi="Arial" w:cs="Arial"/>
          <w:bCs/>
          <w:sz w:val="24"/>
          <w:szCs w:val="24"/>
        </w:rPr>
        <w:t xml:space="preserve"> relating to jurisdiction was rightly dismissed. I turn now to the merits of the pleaded causes of action.</w:t>
      </w:r>
    </w:p>
    <w:p w14:paraId="76543E45" w14:textId="7D7886C7" w:rsidR="00C06CC7" w:rsidRDefault="00C06CC7" w:rsidP="001F7CDE">
      <w:pPr>
        <w:pStyle w:val="ListParagraph"/>
        <w:spacing w:line="360" w:lineRule="auto"/>
        <w:ind w:left="0"/>
        <w:jc w:val="both"/>
        <w:rPr>
          <w:rFonts w:ascii="Arial" w:hAnsi="Arial" w:cs="Arial"/>
          <w:bCs/>
          <w:sz w:val="24"/>
          <w:szCs w:val="24"/>
        </w:rPr>
      </w:pPr>
    </w:p>
    <w:p w14:paraId="56D13BF7" w14:textId="557A61D1" w:rsidR="006618E6" w:rsidRPr="006618E6" w:rsidRDefault="006618E6" w:rsidP="00C556DF">
      <w:pPr>
        <w:pStyle w:val="ListParagraph"/>
        <w:spacing w:line="360" w:lineRule="auto"/>
        <w:ind w:left="0"/>
        <w:jc w:val="both"/>
        <w:rPr>
          <w:rFonts w:ascii="Arial" w:hAnsi="Arial" w:cs="Arial"/>
          <w:b/>
          <w:sz w:val="24"/>
          <w:szCs w:val="24"/>
        </w:rPr>
      </w:pPr>
      <w:r w:rsidRPr="006618E6">
        <w:rPr>
          <w:rFonts w:ascii="Arial" w:hAnsi="Arial" w:cs="Arial"/>
          <w:b/>
          <w:sz w:val="24"/>
          <w:szCs w:val="24"/>
        </w:rPr>
        <w:t>Analysis of the merits</w:t>
      </w:r>
    </w:p>
    <w:p w14:paraId="409DAA44" w14:textId="7EAF9334" w:rsidR="00125877" w:rsidRDefault="009B422E" w:rsidP="00F83002">
      <w:pPr>
        <w:pStyle w:val="ListParagraph"/>
        <w:spacing w:after="0" w:line="360" w:lineRule="auto"/>
        <w:ind w:left="0"/>
        <w:jc w:val="both"/>
        <w:rPr>
          <w:rFonts w:ascii="Arial" w:hAnsi="Arial" w:cs="Arial"/>
          <w:bCs/>
          <w:sz w:val="24"/>
          <w:szCs w:val="24"/>
        </w:rPr>
      </w:pPr>
      <w:r>
        <w:rPr>
          <w:rFonts w:ascii="Arial" w:hAnsi="Arial" w:cs="Arial"/>
          <w:bCs/>
          <w:sz w:val="24"/>
          <w:szCs w:val="24"/>
        </w:rPr>
        <w:t>[2</w:t>
      </w:r>
      <w:r w:rsidR="008F0BEA">
        <w:rPr>
          <w:rFonts w:ascii="Arial" w:hAnsi="Arial" w:cs="Arial"/>
          <w:bCs/>
          <w:sz w:val="24"/>
          <w:szCs w:val="24"/>
        </w:rPr>
        <w:t>6</w:t>
      </w:r>
      <w:r>
        <w:rPr>
          <w:rFonts w:ascii="Arial" w:hAnsi="Arial" w:cs="Arial"/>
          <w:bCs/>
          <w:sz w:val="24"/>
          <w:szCs w:val="24"/>
        </w:rPr>
        <w:t>]</w:t>
      </w:r>
      <w:r>
        <w:rPr>
          <w:rFonts w:ascii="Arial" w:hAnsi="Arial" w:cs="Arial"/>
          <w:bCs/>
          <w:sz w:val="24"/>
          <w:szCs w:val="24"/>
        </w:rPr>
        <w:tab/>
      </w:r>
      <w:r w:rsidR="00920CA0" w:rsidRPr="00FF33CC">
        <w:rPr>
          <w:rFonts w:ascii="Arial" w:hAnsi="Arial" w:cs="Arial"/>
          <w:bCs/>
          <w:sz w:val="24"/>
          <w:szCs w:val="24"/>
        </w:rPr>
        <w:t xml:space="preserve">As stated before, the PSA’s relief of specific performance </w:t>
      </w:r>
      <w:r w:rsidR="00920CA0" w:rsidRPr="00062501">
        <w:rPr>
          <w:rFonts w:ascii="Arial" w:hAnsi="Arial" w:cs="Arial"/>
          <w:bCs/>
          <w:sz w:val="24"/>
          <w:szCs w:val="24"/>
        </w:rPr>
        <w:t>inter alia</w:t>
      </w:r>
      <w:r w:rsidR="00920CA0" w:rsidRPr="00FF33CC">
        <w:rPr>
          <w:rFonts w:ascii="Arial" w:hAnsi="Arial" w:cs="Arial"/>
          <w:bCs/>
          <w:sz w:val="24"/>
          <w:szCs w:val="24"/>
        </w:rPr>
        <w:t xml:space="preserve"> sought to compel compliance with the provisions of the NDPP’s approval of the OSD scheme pursuant to the 2010 Determination.</w:t>
      </w:r>
      <w:r w:rsidR="00920CA0">
        <w:rPr>
          <w:rFonts w:ascii="Arial" w:hAnsi="Arial" w:cs="Arial"/>
          <w:bCs/>
          <w:sz w:val="24"/>
          <w:szCs w:val="24"/>
        </w:rPr>
        <w:t xml:space="preserve"> </w:t>
      </w:r>
      <w:r w:rsidR="002D4971">
        <w:rPr>
          <w:rFonts w:ascii="Arial" w:hAnsi="Arial" w:cs="Arial"/>
          <w:bCs/>
          <w:sz w:val="24"/>
          <w:szCs w:val="24"/>
        </w:rPr>
        <w:t xml:space="preserve">The 2010 </w:t>
      </w:r>
      <w:r w:rsidR="00FF10DA">
        <w:rPr>
          <w:rFonts w:ascii="Arial" w:hAnsi="Arial" w:cs="Arial"/>
          <w:bCs/>
          <w:sz w:val="24"/>
          <w:szCs w:val="24"/>
        </w:rPr>
        <w:t xml:space="preserve">Determination </w:t>
      </w:r>
      <w:r w:rsidR="002D4971">
        <w:rPr>
          <w:rFonts w:ascii="Arial" w:hAnsi="Arial" w:cs="Arial"/>
          <w:bCs/>
          <w:sz w:val="24"/>
          <w:szCs w:val="24"/>
        </w:rPr>
        <w:t>should therefore not be considered in isolation</w:t>
      </w:r>
      <w:r w:rsidR="00A35E99">
        <w:rPr>
          <w:rFonts w:ascii="Arial" w:hAnsi="Arial" w:cs="Arial"/>
          <w:bCs/>
          <w:sz w:val="24"/>
          <w:szCs w:val="24"/>
        </w:rPr>
        <w:t xml:space="preserve">; due regard must be paid to the NDPP’s approval </w:t>
      </w:r>
      <w:r w:rsidR="008D0627">
        <w:rPr>
          <w:rFonts w:ascii="Arial" w:hAnsi="Arial" w:cs="Arial"/>
          <w:bCs/>
          <w:sz w:val="24"/>
          <w:szCs w:val="24"/>
        </w:rPr>
        <w:t>and other documents issued pursuant thereto</w:t>
      </w:r>
      <w:r w:rsidR="002D4971">
        <w:rPr>
          <w:rFonts w:ascii="Arial" w:hAnsi="Arial" w:cs="Arial"/>
          <w:bCs/>
          <w:sz w:val="24"/>
          <w:szCs w:val="24"/>
        </w:rPr>
        <w:t xml:space="preserve">. </w:t>
      </w:r>
      <w:r w:rsidR="00125877">
        <w:rPr>
          <w:rFonts w:ascii="Arial" w:hAnsi="Arial" w:cs="Arial"/>
          <w:bCs/>
          <w:sz w:val="24"/>
          <w:szCs w:val="24"/>
        </w:rPr>
        <w:t>These include letters and minutes of meetings.</w:t>
      </w:r>
    </w:p>
    <w:p w14:paraId="589607A8" w14:textId="77777777" w:rsidR="00125877" w:rsidRDefault="00125877" w:rsidP="00B354D9">
      <w:pPr>
        <w:pStyle w:val="ListParagraph"/>
        <w:spacing w:after="0" w:line="360" w:lineRule="auto"/>
        <w:ind w:left="0"/>
        <w:jc w:val="both"/>
        <w:rPr>
          <w:rFonts w:ascii="Arial" w:hAnsi="Arial" w:cs="Arial"/>
          <w:bCs/>
          <w:sz w:val="24"/>
          <w:szCs w:val="24"/>
        </w:rPr>
      </w:pPr>
    </w:p>
    <w:p w14:paraId="0A5F830C" w14:textId="25CABF93" w:rsidR="00384717" w:rsidRDefault="00125877" w:rsidP="00F83002">
      <w:pPr>
        <w:pStyle w:val="ListParagraph"/>
        <w:spacing w:after="0" w:line="360" w:lineRule="auto"/>
        <w:ind w:left="0"/>
        <w:jc w:val="both"/>
        <w:rPr>
          <w:rFonts w:ascii="Arial" w:hAnsi="Arial" w:cs="Arial"/>
          <w:bCs/>
          <w:sz w:val="24"/>
          <w:szCs w:val="24"/>
        </w:rPr>
      </w:pPr>
      <w:r>
        <w:rPr>
          <w:rFonts w:ascii="Arial" w:hAnsi="Arial" w:cs="Arial"/>
          <w:bCs/>
          <w:sz w:val="24"/>
          <w:szCs w:val="24"/>
        </w:rPr>
        <w:t>[</w:t>
      </w:r>
      <w:r w:rsidR="004E699F">
        <w:rPr>
          <w:rFonts w:ascii="Arial" w:hAnsi="Arial" w:cs="Arial"/>
          <w:bCs/>
          <w:sz w:val="24"/>
          <w:szCs w:val="24"/>
        </w:rPr>
        <w:t>2</w:t>
      </w:r>
      <w:r w:rsidR="008F0BEA">
        <w:rPr>
          <w:rFonts w:ascii="Arial" w:hAnsi="Arial" w:cs="Arial"/>
          <w:bCs/>
          <w:sz w:val="24"/>
          <w:szCs w:val="24"/>
        </w:rPr>
        <w:t>7</w:t>
      </w:r>
      <w:r>
        <w:rPr>
          <w:rFonts w:ascii="Arial" w:hAnsi="Arial" w:cs="Arial"/>
          <w:bCs/>
          <w:sz w:val="24"/>
          <w:szCs w:val="24"/>
        </w:rPr>
        <w:t>]</w:t>
      </w:r>
      <w:r>
        <w:rPr>
          <w:rFonts w:ascii="Arial" w:hAnsi="Arial" w:cs="Arial"/>
          <w:bCs/>
          <w:sz w:val="24"/>
          <w:szCs w:val="24"/>
        </w:rPr>
        <w:tab/>
      </w:r>
      <w:r w:rsidR="00600F3C">
        <w:rPr>
          <w:rFonts w:ascii="Arial" w:hAnsi="Arial" w:cs="Arial"/>
          <w:bCs/>
          <w:sz w:val="24"/>
          <w:szCs w:val="24"/>
        </w:rPr>
        <w:t xml:space="preserve">The appellants </w:t>
      </w:r>
      <w:r w:rsidR="008618CD">
        <w:rPr>
          <w:rFonts w:ascii="Arial" w:hAnsi="Arial" w:cs="Arial"/>
          <w:bCs/>
          <w:sz w:val="24"/>
          <w:szCs w:val="24"/>
        </w:rPr>
        <w:t xml:space="preserve">contended that </w:t>
      </w:r>
      <w:r w:rsidR="00A46BAF" w:rsidRPr="00FF33CC">
        <w:rPr>
          <w:rFonts w:ascii="Arial" w:hAnsi="Arial" w:cs="Arial"/>
          <w:bCs/>
          <w:sz w:val="24"/>
          <w:szCs w:val="24"/>
        </w:rPr>
        <w:t xml:space="preserve">the </w:t>
      </w:r>
      <w:r w:rsidR="00CB0866">
        <w:rPr>
          <w:rFonts w:ascii="Arial" w:hAnsi="Arial" w:cs="Arial"/>
          <w:bCs/>
          <w:sz w:val="24"/>
          <w:szCs w:val="24"/>
        </w:rPr>
        <w:t xml:space="preserve">NDPP did not have any </w:t>
      </w:r>
      <w:r w:rsidR="00995433">
        <w:rPr>
          <w:rFonts w:ascii="Arial" w:hAnsi="Arial" w:cs="Arial"/>
          <w:bCs/>
          <w:sz w:val="24"/>
          <w:szCs w:val="24"/>
        </w:rPr>
        <w:t xml:space="preserve">say over the salaries of DDPPs and CPs because the </w:t>
      </w:r>
      <w:r w:rsidR="00A46BAF" w:rsidRPr="00FF33CC">
        <w:rPr>
          <w:rFonts w:ascii="Arial" w:hAnsi="Arial" w:cs="Arial"/>
          <w:bCs/>
          <w:sz w:val="24"/>
          <w:szCs w:val="24"/>
        </w:rPr>
        <w:t>clear provisions of s 18</w:t>
      </w:r>
      <w:r w:rsidR="0067026D">
        <w:rPr>
          <w:rFonts w:ascii="Arial" w:hAnsi="Arial" w:cs="Arial"/>
          <w:bCs/>
          <w:sz w:val="24"/>
          <w:szCs w:val="24"/>
        </w:rPr>
        <w:t>(1)</w:t>
      </w:r>
      <w:r w:rsidR="00A46BAF" w:rsidRPr="00FF33CC">
        <w:rPr>
          <w:rFonts w:ascii="Arial" w:hAnsi="Arial" w:cs="Arial"/>
          <w:bCs/>
          <w:sz w:val="24"/>
          <w:szCs w:val="24"/>
        </w:rPr>
        <w:t xml:space="preserve"> of the NPA Act clothe the authority to determine the salaries of DDPPs and prosecutors only on the Minister</w:t>
      </w:r>
      <w:r w:rsidR="002C77E5" w:rsidRPr="00FF33CC">
        <w:rPr>
          <w:rFonts w:ascii="Arial" w:hAnsi="Arial" w:cs="Arial"/>
          <w:bCs/>
          <w:sz w:val="24"/>
          <w:szCs w:val="24"/>
        </w:rPr>
        <w:t xml:space="preserve">. </w:t>
      </w:r>
      <w:r w:rsidR="00A46BAF" w:rsidRPr="00FF33CC">
        <w:rPr>
          <w:rFonts w:ascii="Arial" w:hAnsi="Arial" w:cs="Arial"/>
          <w:bCs/>
          <w:sz w:val="24"/>
          <w:szCs w:val="24"/>
        </w:rPr>
        <w:t>The</w:t>
      </w:r>
      <w:r>
        <w:rPr>
          <w:rFonts w:ascii="Arial" w:hAnsi="Arial" w:cs="Arial"/>
          <w:bCs/>
          <w:sz w:val="24"/>
          <w:szCs w:val="24"/>
        </w:rPr>
        <w:t xml:space="preserve">y </w:t>
      </w:r>
      <w:r w:rsidR="007D72DC">
        <w:rPr>
          <w:rFonts w:ascii="Arial" w:hAnsi="Arial" w:cs="Arial"/>
          <w:bCs/>
          <w:sz w:val="24"/>
          <w:szCs w:val="24"/>
        </w:rPr>
        <w:t>further contended that the ‘production specialist’ post was never created in the NPA because of a lack of funding</w:t>
      </w:r>
      <w:r>
        <w:rPr>
          <w:rFonts w:ascii="Arial" w:hAnsi="Arial" w:cs="Arial"/>
          <w:bCs/>
          <w:sz w:val="24"/>
          <w:szCs w:val="24"/>
        </w:rPr>
        <w:t xml:space="preserve">. </w:t>
      </w:r>
      <w:r w:rsidR="007567F2">
        <w:rPr>
          <w:rFonts w:ascii="Arial" w:hAnsi="Arial" w:cs="Arial"/>
          <w:bCs/>
          <w:sz w:val="24"/>
          <w:szCs w:val="24"/>
        </w:rPr>
        <w:t>The</w:t>
      </w:r>
      <w:r>
        <w:rPr>
          <w:rFonts w:ascii="Arial" w:hAnsi="Arial" w:cs="Arial"/>
          <w:bCs/>
          <w:sz w:val="24"/>
          <w:szCs w:val="24"/>
        </w:rPr>
        <w:t xml:space="preserve"> appellants </w:t>
      </w:r>
      <w:r w:rsidR="00CA149F" w:rsidRPr="00FF33CC">
        <w:rPr>
          <w:rFonts w:ascii="Arial" w:hAnsi="Arial" w:cs="Arial"/>
          <w:bCs/>
          <w:sz w:val="24"/>
          <w:szCs w:val="24"/>
        </w:rPr>
        <w:t xml:space="preserve">stressed that </w:t>
      </w:r>
      <w:r w:rsidR="00A46BAF" w:rsidRPr="00FF33CC">
        <w:rPr>
          <w:rFonts w:ascii="Arial" w:hAnsi="Arial" w:cs="Arial"/>
          <w:bCs/>
          <w:sz w:val="24"/>
          <w:szCs w:val="24"/>
        </w:rPr>
        <w:t>the NDPP</w:t>
      </w:r>
      <w:r w:rsidR="003C50DA" w:rsidRPr="00FF33CC">
        <w:rPr>
          <w:rFonts w:ascii="Arial" w:hAnsi="Arial" w:cs="Arial"/>
          <w:bCs/>
          <w:sz w:val="24"/>
          <w:szCs w:val="24"/>
        </w:rPr>
        <w:t xml:space="preserve">’s </w:t>
      </w:r>
      <w:r w:rsidR="00A46BAF" w:rsidRPr="00FF33CC">
        <w:rPr>
          <w:rFonts w:ascii="Arial" w:hAnsi="Arial" w:cs="Arial"/>
          <w:bCs/>
          <w:sz w:val="24"/>
          <w:szCs w:val="24"/>
        </w:rPr>
        <w:t xml:space="preserve">endorsement of the LP10 translation </w:t>
      </w:r>
      <w:r w:rsidR="00154F5F" w:rsidRPr="00FF33CC">
        <w:rPr>
          <w:rFonts w:ascii="Arial" w:hAnsi="Arial" w:cs="Arial"/>
          <w:bCs/>
          <w:sz w:val="24"/>
          <w:szCs w:val="24"/>
        </w:rPr>
        <w:t xml:space="preserve">in respect of the DDPPs and CPs </w:t>
      </w:r>
      <w:r w:rsidR="00A46BAF" w:rsidRPr="00FF33CC">
        <w:rPr>
          <w:rFonts w:ascii="Arial" w:hAnsi="Arial" w:cs="Arial"/>
          <w:bCs/>
          <w:sz w:val="24"/>
          <w:szCs w:val="24"/>
        </w:rPr>
        <w:t xml:space="preserve">could not have granted him the right to exercise a power expressly granted by legislation to the </w:t>
      </w:r>
      <w:r w:rsidR="00A46BAF" w:rsidRPr="00FF33CC">
        <w:rPr>
          <w:rFonts w:ascii="Arial" w:hAnsi="Arial" w:cs="Arial"/>
          <w:bCs/>
          <w:sz w:val="24"/>
          <w:szCs w:val="24"/>
        </w:rPr>
        <w:lastRenderedPageBreak/>
        <w:t>Minister.</w:t>
      </w:r>
      <w:r w:rsidR="00FF33CC" w:rsidRPr="00FF33CC">
        <w:rPr>
          <w:rFonts w:ascii="Arial" w:hAnsi="Arial" w:cs="Arial"/>
          <w:bCs/>
          <w:sz w:val="24"/>
          <w:szCs w:val="24"/>
        </w:rPr>
        <w:t xml:space="preserve"> </w:t>
      </w:r>
      <w:r w:rsidR="00630C8C">
        <w:rPr>
          <w:rFonts w:ascii="Arial" w:hAnsi="Arial" w:cs="Arial"/>
          <w:bCs/>
          <w:sz w:val="24"/>
          <w:szCs w:val="24"/>
        </w:rPr>
        <w:t xml:space="preserve">At best, the NDPP’s approval and the </w:t>
      </w:r>
      <w:r w:rsidR="002251AF">
        <w:rPr>
          <w:rFonts w:ascii="Arial" w:hAnsi="Arial" w:cs="Arial"/>
          <w:bCs/>
          <w:sz w:val="24"/>
          <w:szCs w:val="24"/>
        </w:rPr>
        <w:t>C</w:t>
      </w:r>
      <w:r w:rsidR="00DD72C7">
        <w:rPr>
          <w:rFonts w:ascii="Arial" w:hAnsi="Arial" w:cs="Arial"/>
          <w:bCs/>
          <w:sz w:val="24"/>
          <w:szCs w:val="24"/>
        </w:rPr>
        <w:t>EO</w:t>
      </w:r>
      <w:r w:rsidR="002251AF">
        <w:rPr>
          <w:rFonts w:ascii="Arial" w:hAnsi="Arial" w:cs="Arial"/>
          <w:bCs/>
          <w:sz w:val="24"/>
          <w:szCs w:val="24"/>
        </w:rPr>
        <w:t xml:space="preserve">’s </w:t>
      </w:r>
      <w:r w:rsidR="00630C8C">
        <w:rPr>
          <w:rFonts w:ascii="Arial" w:hAnsi="Arial" w:cs="Arial"/>
          <w:bCs/>
          <w:sz w:val="24"/>
          <w:szCs w:val="24"/>
        </w:rPr>
        <w:t xml:space="preserve">memorandum dated </w:t>
      </w:r>
      <w:r w:rsidR="00D02B6C">
        <w:rPr>
          <w:rFonts w:ascii="Arial" w:hAnsi="Arial" w:cs="Arial"/>
          <w:bCs/>
          <w:sz w:val="24"/>
          <w:szCs w:val="24"/>
        </w:rPr>
        <w:t xml:space="preserve">                    </w:t>
      </w:r>
      <w:r w:rsidR="00630C8C">
        <w:rPr>
          <w:rFonts w:ascii="Arial" w:hAnsi="Arial" w:cs="Arial"/>
          <w:bCs/>
          <w:sz w:val="24"/>
          <w:szCs w:val="24"/>
        </w:rPr>
        <w:t xml:space="preserve">24 November 2014 was the first level of a government procedure which requires the approval of the NDPP to be placed before the Director-General and ultimately before the Minister </w:t>
      </w:r>
      <w:r w:rsidR="00630C8C" w:rsidRPr="00FF33CC">
        <w:rPr>
          <w:rFonts w:ascii="Arial" w:hAnsi="Arial" w:cs="Arial"/>
          <w:bCs/>
          <w:sz w:val="24"/>
          <w:szCs w:val="24"/>
        </w:rPr>
        <w:t xml:space="preserve">as part of the consultation process, so </w:t>
      </w:r>
      <w:r w:rsidR="00630C8C">
        <w:rPr>
          <w:rFonts w:ascii="Arial" w:hAnsi="Arial" w:cs="Arial"/>
          <w:bCs/>
          <w:sz w:val="24"/>
          <w:szCs w:val="24"/>
        </w:rPr>
        <w:t>the contention went.</w:t>
      </w:r>
    </w:p>
    <w:p w14:paraId="5DABA064" w14:textId="77777777" w:rsidR="006A3F6F" w:rsidRDefault="006A3F6F" w:rsidP="00B354D9">
      <w:pPr>
        <w:pStyle w:val="ListParagraph"/>
        <w:spacing w:after="0" w:line="360" w:lineRule="auto"/>
        <w:ind w:left="0"/>
        <w:jc w:val="both"/>
        <w:rPr>
          <w:rFonts w:ascii="Arial" w:hAnsi="Arial" w:cs="Arial"/>
          <w:bCs/>
          <w:sz w:val="24"/>
          <w:szCs w:val="24"/>
        </w:rPr>
      </w:pPr>
    </w:p>
    <w:p w14:paraId="3B0DD6EE" w14:textId="59654928" w:rsidR="009F0717" w:rsidRDefault="009B422E" w:rsidP="00F76C78">
      <w:pPr>
        <w:pStyle w:val="ListParagraph"/>
        <w:spacing w:after="0" w:line="360" w:lineRule="auto"/>
        <w:ind w:left="0"/>
        <w:jc w:val="both"/>
        <w:rPr>
          <w:rFonts w:ascii="Arial" w:hAnsi="Arial" w:cs="Arial"/>
          <w:bCs/>
          <w:sz w:val="24"/>
          <w:szCs w:val="24"/>
        </w:rPr>
      </w:pPr>
      <w:r>
        <w:rPr>
          <w:rFonts w:ascii="Arial" w:hAnsi="Arial" w:cs="Arial"/>
          <w:bCs/>
          <w:sz w:val="24"/>
          <w:szCs w:val="24"/>
        </w:rPr>
        <w:t>[</w:t>
      </w:r>
      <w:r w:rsidR="005F5798">
        <w:rPr>
          <w:rFonts w:ascii="Arial" w:hAnsi="Arial" w:cs="Arial"/>
          <w:bCs/>
          <w:sz w:val="24"/>
          <w:szCs w:val="24"/>
        </w:rPr>
        <w:t>2</w:t>
      </w:r>
      <w:r w:rsidR="008F0BEA">
        <w:rPr>
          <w:rFonts w:ascii="Arial" w:hAnsi="Arial" w:cs="Arial"/>
          <w:bCs/>
          <w:sz w:val="24"/>
          <w:szCs w:val="24"/>
        </w:rPr>
        <w:t>8</w:t>
      </w:r>
      <w:r>
        <w:rPr>
          <w:rFonts w:ascii="Arial" w:hAnsi="Arial" w:cs="Arial"/>
          <w:bCs/>
          <w:sz w:val="24"/>
          <w:szCs w:val="24"/>
        </w:rPr>
        <w:t>]</w:t>
      </w:r>
      <w:r>
        <w:rPr>
          <w:rFonts w:ascii="Arial" w:hAnsi="Arial" w:cs="Arial"/>
          <w:bCs/>
          <w:sz w:val="24"/>
          <w:szCs w:val="24"/>
        </w:rPr>
        <w:tab/>
      </w:r>
      <w:r w:rsidR="0009591E">
        <w:rPr>
          <w:rFonts w:ascii="Arial" w:hAnsi="Arial" w:cs="Arial"/>
          <w:bCs/>
          <w:sz w:val="24"/>
          <w:szCs w:val="24"/>
        </w:rPr>
        <w:t xml:space="preserve">I am mindful of the fact that s 18(2) of the NPA Act allows </w:t>
      </w:r>
      <w:r w:rsidR="0057606E">
        <w:rPr>
          <w:rFonts w:ascii="Arial" w:hAnsi="Arial" w:cs="Arial"/>
          <w:bCs/>
          <w:sz w:val="24"/>
          <w:szCs w:val="24"/>
        </w:rPr>
        <w:t xml:space="preserve">for </w:t>
      </w:r>
      <w:r w:rsidR="0009591E" w:rsidRPr="00B56C11">
        <w:rPr>
          <w:rFonts w:ascii="Arial" w:hAnsi="Arial" w:cs="Arial"/>
          <w:bCs/>
          <w:sz w:val="24"/>
          <w:szCs w:val="24"/>
        </w:rPr>
        <w:t xml:space="preserve">different categories of salaries and salary scales </w:t>
      </w:r>
      <w:r w:rsidR="0057606E">
        <w:rPr>
          <w:rFonts w:ascii="Arial" w:hAnsi="Arial" w:cs="Arial"/>
          <w:bCs/>
          <w:sz w:val="24"/>
          <w:szCs w:val="24"/>
        </w:rPr>
        <w:t xml:space="preserve">to </w:t>
      </w:r>
      <w:r w:rsidR="0009591E" w:rsidRPr="00B56C11">
        <w:rPr>
          <w:rFonts w:ascii="Arial" w:hAnsi="Arial" w:cs="Arial"/>
          <w:bCs/>
          <w:sz w:val="24"/>
          <w:szCs w:val="24"/>
        </w:rPr>
        <w:t xml:space="preserve">be determined in respect of different categories of </w:t>
      </w:r>
      <w:r w:rsidR="0057606E">
        <w:rPr>
          <w:rFonts w:ascii="Arial" w:hAnsi="Arial" w:cs="Arial"/>
          <w:bCs/>
          <w:sz w:val="24"/>
          <w:szCs w:val="24"/>
        </w:rPr>
        <w:t xml:space="preserve">DDPPs and prosecutors. </w:t>
      </w:r>
      <w:r w:rsidR="00843624">
        <w:rPr>
          <w:rFonts w:ascii="Arial" w:hAnsi="Arial" w:cs="Arial"/>
          <w:bCs/>
          <w:sz w:val="24"/>
          <w:szCs w:val="24"/>
        </w:rPr>
        <w:t xml:space="preserve">While noting that </w:t>
      </w:r>
      <w:r w:rsidR="00843624" w:rsidRPr="007A5232">
        <w:rPr>
          <w:rFonts w:ascii="Arial" w:hAnsi="Arial" w:cs="Arial"/>
          <w:bCs/>
          <w:sz w:val="24"/>
          <w:szCs w:val="24"/>
        </w:rPr>
        <w:t xml:space="preserve">the salary levels of the DDPPs and CPs were not included among the various categories of salary-levels </w:t>
      </w:r>
      <w:r w:rsidR="00843624">
        <w:rPr>
          <w:rFonts w:ascii="Arial" w:hAnsi="Arial" w:cs="Arial"/>
          <w:bCs/>
          <w:sz w:val="24"/>
          <w:szCs w:val="24"/>
        </w:rPr>
        <w:t xml:space="preserve">mentioned in Annexure </w:t>
      </w:r>
      <w:r w:rsidR="00173D0F">
        <w:rPr>
          <w:rFonts w:ascii="Arial" w:hAnsi="Arial" w:cs="Arial"/>
          <w:bCs/>
          <w:sz w:val="24"/>
          <w:szCs w:val="24"/>
        </w:rPr>
        <w:t xml:space="preserve">C </w:t>
      </w:r>
      <w:r w:rsidR="00B305A2">
        <w:rPr>
          <w:rFonts w:ascii="Arial" w:hAnsi="Arial" w:cs="Arial"/>
          <w:bCs/>
          <w:sz w:val="24"/>
          <w:szCs w:val="24"/>
        </w:rPr>
        <w:t xml:space="preserve">of the 2010 Determination, </w:t>
      </w:r>
      <w:r w:rsidR="00843624">
        <w:rPr>
          <w:rFonts w:ascii="Arial" w:hAnsi="Arial" w:cs="Arial"/>
          <w:bCs/>
          <w:sz w:val="24"/>
          <w:szCs w:val="24"/>
        </w:rPr>
        <w:t xml:space="preserve">I am unable to agree with any </w:t>
      </w:r>
      <w:r w:rsidR="000A3E5A">
        <w:rPr>
          <w:rFonts w:ascii="Arial" w:hAnsi="Arial" w:cs="Arial"/>
          <w:bCs/>
          <w:sz w:val="24"/>
          <w:szCs w:val="24"/>
        </w:rPr>
        <w:t>submission</w:t>
      </w:r>
      <w:r w:rsidR="005C7A55">
        <w:rPr>
          <w:rFonts w:ascii="Arial" w:hAnsi="Arial" w:cs="Arial"/>
          <w:bCs/>
          <w:sz w:val="24"/>
          <w:szCs w:val="24"/>
        </w:rPr>
        <w:t xml:space="preserve"> </w:t>
      </w:r>
      <w:r w:rsidR="00843624">
        <w:rPr>
          <w:rFonts w:ascii="Arial" w:hAnsi="Arial" w:cs="Arial"/>
          <w:bCs/>
          <w:sz w:val="24"/>
          <w:szCs w:val="24"/>
        </w:rPr>
        <w:t>that suggests</w:t>
      </w:r>
      <w:r w:rsidR="005C7A55">
        <w:rPr>
          <w:rFonts w:ascii="Arial" w:hAnsi="Arial" w:cs="Arial"/>
          <w:bCs/>
          <w:sz w:val="24"/>
          <w:szCs w:val="24"/>
        </w:rPr>
        <w:t>,</w:t>
      </w:r>
      <w:r w:rsidR="00843624">
        <w:rPr>
          <w:rFonts w:ascii="Arial" w:hAnsi="Arial" w:cs="Arial"/>
          <w:bCs/>
          <w:sz w:val="24"/>
          <w:szCs w:val="24"/>
        </w:rPr>
        <w:t xml:space="preserve"> as a general pr</w:t>
      </w:r>
      <w:r w:rsidR="000A3E5A">
        <w:rPr>
          <w:rFonts w:ascii="Arial" w:hAnsi="Arial" w:cs="Arial"/>
          <w:bCs/>
          <w:sz w:val="24"/>
          <w:szCs w:val="24"/>
        </w:rPr>
        <w:t>oposition</w:t>
      </w:r>
      <w:r w:rsidR="00843624">
        <w:rPr>
          <w:rFonts w:ascii="Arial" w:hAnsi="Arial" w:cs="Arial"/>
          <w:bCs/>
          <w:sz w:val="24"/>
          <w:szCs w:val="24"/>
        </w:rPr>
        <w:t xml:space="preserve">, that </w:t>
      </w:r>
      <w:r w:rsidR="00026404" w:rsidRPr="00062501">
        <w:rPr>
          <w:rFonts w:ascii="Arial" w:hAnsi="Arial" w:cs="Arial"/>
          <w:bCs/>
          <w:sz w:val="24"/>
          <w:szCs w:val="24"/>
        </w:rPr>
        <w:t>the</w:t>
      </w:r>
      <w:r w:rsidR="00026404">
        <w:rPr>
          <w:rFonts w:ascii="Arial" w:hAnsi="Arial" w:cs="Arial"/>
          <w:bCs/>
          <w:sz w:val="24"/>
          <w:szCs w:val="24"/>
        </w:rPr>
        <w:t xml:space="preserve"> </w:t>
      </w:r>
      <w:r w:rsidR="00843624">
        <w:rPr>
          <w:rFonts w:ascii="Arial" w:hAnsi="Arial" w:cs="Arial"/>
          <w:bCs/>
          <w:sz w:val="24"/>
          <w:szCs w:val="24"/>
        </w:rPr>
        <w:t>OSD was not envisaged for DDPPs.</w:t>
      </w:r>
      <w:r w:rsidR="00D716A6">
        <w:rPr>
          <w:rFonts w:ascii="Arial" w:hAnsi="Arial" w:cs="Arial"/>
          <w:bCs/>
          <w:sz w:val="24"/>
          <w:szCs w:val="24"/>
        </w:rPr>
        <w:t xml:space="preserve"> </w:t>
      </w:r>
      <w:r w:rsidR="00D02B6C">
        <w:rPr>
          <w:rFonts w:ascii="Arial" w:hAnsi="Arial" w:cs="Arial"/>
          <w:bCs/>
          <w:sz w:val="24"/>
          <w:szCs w:val="24"/>
        </w:rPr>
        <w:t xml:space="preserve">           </w:t>
      </w:r>
      <w:r w:rsidR="005A6A17">
        <w:rPr>
          <w:rFonts w:ascii="Arial" w:hAnsi="Arial" w:cs="Arial"/>
          <w:bCs/>
          <w:sz w:val="24"/>
          <w:szCs w:val="24"/>
        </w:rPr>
        <w:t xml:space="preserve">A purposive reading of the 2010 Determination in its entirety certainly does not support </w:t>
      </w:r>
      <w:r w:rsidR="00AD0244">
        <w:rPr>
          <w:rFonts w:ascii="Arial" w:hAnsi="Arial" w:cs="Arial"/>
          <w:bCs/>
          <w:sz w:val="24"/>
          <w:szCs w:val="24"/>
        </w:rPr>
        <w:t>that conclusion. I</w:t>
      </w:r>
      <w:r w:rsidR="00E5501A">
        <w:rPr>
          <w:rFonts w:ascii="Arial" w:hAnsi="Arial" w:cs="Arial"/>
          <w:bCs/>
          <w:sz w:val="24"/>
          <w:szCs w:val="24"/>
        </w:rPr>
        <w:t>t bears noting that in the preamble of the 2010 Determination, the Minister acknowledged that the determination was preceded by consultations with the NDPP and the Minister of Public Service and Administration</w:t>
      </w:r>
      <w:r w:rsidR="00D924E4">
        <w:rPr>
          <w:rFonts w:ascii="Arial" w:hAnsi="Arial" w:cs="Arial"/>
          <w:bCs/>
          <w:sz w:val="24"/>
          <w:szCs w:val="24"/>
        </w:rPr>
        <w:t>.</w:t>
      </w:r>
      <w:r w:rsidR="00955CCA" w:rsidRPr="00FF33CC">
        <w:rPr>
          <w:rFonts w:ascii="Arial" w:hAnsi="Arial" w:cs="Arial"/>
          <w:bCs/>
          <w:sz w:val="24"/>
          <w:szCs w:val="24"/>
        </w:rPr>
        <w:t xml:space="preserve"> </w:t>
      </w:r>
      <w:r w:rsidR="00BD42A1">
        <w:rPr>
          <w:rFonts w:ascii="Arial" w:hAnsi="Arial" w:cs="Arial"/>
          <w:bCs/>
          <w:sz w:val="24"/>
          <w:szCs w:val="24"/>
        </w:rPr>
        <w:t xml:space="preserve">The occurrence of such consultations is attested to by </w:t>
      </w:r>
      <w:r w:rsidR="005B11DC">
        <w:rPr>
          <w:rFonts w:ascii="Arial" w:hAnsi="Arial" w:cs="Arial"/>
          <w:bCs/>
          <w:sz w:val="24"/>
          <w:szCs w:val="24"/>
        </w:rPr>
        <w:t xml:space="preserve">a memorandum issued by </w:t>
      </w:r>
      <w:r w:rsidR="0011791D">
        <w:rPr>
          <w:rFonts w:ascii="Arial" w:hAnsi="Arial" w:cs="Arial"/>
          <w:bCs/>
          <w:sz w:val="24"/>
          <w:szCs w:val="24"/>
        </w:rPr>
        <w:t xml:space="preserve">the </w:t>
      </w:r>
      <w:r w:rsidR="00955CCA">
        <w:rPr>
          <w:rFonts w:ascii="Arial" w:hAnsi="Arial" w:cs="Arial"/>
          <w:bCs/>
          <w:sz w:val="24"/>
          <w:szCs w:val="24"/>
        </w:rPr>
        <w:t>Director-Gener</w:t>
      </w:r>
      <w:r w:rsidR="00EF5D82">
        <w:rPr>
          <w:rFonts w:ascii="Arial" w:hAnsi="Arial" w:cs="Arial"/>
          <w:bCs/>
          <w:sz w:val="24"/>
          <w:szCs w:val="24"/>
        </w:rPr>
        <w:t>al</w:t>
      </w:r>
      <w:r w:rsidR="0011791D">
        <w:rPr>
          <w:rFonts w:ascii="Arial" w:hAnsi="Arial" w:cs="Arial"/>
          <w:bCs/>
          <w:sz w:val="24"/>
          <w:szCs w:val="24"/>
        </w:rPr>
        <w:t xml:space="preserve">, dated 13 August 2009, </w:t>
      </w:r>
      <w:r w:rsidR="00955CCA">
        <w:rPr>
          <w:rFonts w:ascii="Arial" w:hAnsi="Arial" w:cs="Arial"/>
          <w:bCs/>
          <w:sz w:val="24"/>
          <w:szCs w:val="24"/>
        </w:rPr>
        <w:t xml:space="preserve">in terms of which it was stated that ‘all qualifying legally qualified employees employed on salary levels 13 and 14 </w:t>
      </w:r>
      <w:r w:rsidR="005703F4">
        <w:rPr>
          <w:rFonts w:ascii="Arial" w:hAnsi="Arial" w:cs="Arial"/>
          <w:bCs/>
          <w:sz w:val="24"/>
          <w:szCs w:val="24"/>
        </w:rPr>
        <w:t>must</w:t>
      </w:r>
      <w:r w:rsidR="00955CCA">
        <w:rPr>
          <w:rFonts w:ascii="Arial" w:hAnsi="Arial" w:cs="Arial"/>
          <w:bCs/>
          <w:sz w:val="24"/>
          <w:szCs w:val="24"/>
        </w:rPr>
        <w:t xml:space="preserve"> translate to OSD</w:t>
      </w:r>
      <w:r w:rsidR="00D924E4">
        <w:rPr>
          <w:rFonts w:ascii="Arial" w:hAnsi="Arial" w:cs="Arial"/>
          <w:bCs/>
          <w:sz w:val="24"/>
          <w:szCs w:val="24"/>
        </w:rPr>
        <w:t>’</w:t>
      </w:r>
      <w:r w:rsidR="00955CCA">
        <w:rPr>
          <w:rFonts w:ascii="Arial" w:hAnsi="Arial" w:cs="Arial"/>
          <w:bCs/>
          <w:sz w:val="24"/>
          <w:szCs w:val="24"/>
        </w:rPr>
        <w:t>.</w:t>
      </w:r>
      <w:r w:rsidR="005703F4">
        <w:rPr>
          <w:rFonts w:ascii="Arial" w:hAnsi="Arial" w:cs="Arial"/>
          <w:bCs/>
          <w:sz w:val="24"/>
          <w:szCs w:val="24"/>
        </w:rPr>
        <w:t xml:space="preserve"> </w:t>
      </w:r>
      <w:r w:rsidR="009F0717">
        <w:rPr>
          <w:rFonts w:ascii="Arial" w:hAnsi="Arial" w:cs="Arial"/>
          <w:bCs/>
          <w:sz w:val="24"/>
          <w:szCs w:val="24"/>
        </w:rPr>
        <w:t xml:space="preserve">It is common cause that the DDPPs and CPs </w:t>
      </w:r>
      <w:r w:rsidR="009F0AB4">
        <w:rPr>
          <w:rFonts w:ascii="Arial" w:hAnsi="Arial" w:cs="Arial"/>
          <w:bCs/>
          <w:sz w:val="24"/>
          <w:szCs w:val="24"/>
        </w:rPr>
        <w:t xml:space="preserve">were at </w:t>
      </w:r>
      <w:r w:rsidR="009F0717">
        <w:rPr>
          <w:rFonts w:ascii="Arial" w:hAnsi="Arial" w:cs="Arial"/>
          <w:bCs/>
          <w:sz w:val="24"/>
          <w:szCs w:val="24"/>
        </w:rPr>
        <w:t>salary level</w:t>
      </w:r>
      <w:r w:rsidR="009F0AB4">
        <w:rPr>
          <w:rFonts w:ascii="Arial" w:hAnsi="Arial" w:cs="Arial"/>
          <w:bCs/>
          <w:sz w:val="24"/>
          <w:szCs w:val="24"/>
        </w:rPr>
        <w:t xml:space="preserve"> 14.</w:t>
      </w:r>
    </w:p>
    <w:p w14:paraId="3D47F029" w14:textId="77777777" w:rsidR="004E699F" w:rsidRDefault="004E699F" w:rsidP="00843624">
      <w:pPr>
        <w:pStyle w:val="ListParagraph"/>
        <w:spacing w:line="360" w:lineRule="auto"/>
        <w:ind w:left="0"/>
        <w:jc w:val="both"/>
        <w:rPr>
          <w:rFonts w:ascii="Arial" w:hAnsi="Arial" w:cs="Arial"/>
          <w:bCs/>
          <w:sz w:val="24"/>
          <w:szCs w:val="24"/>
        </w:rPr>
      </w:pPr>
    </w:p>
    <w:p w14:paraId="35F67437" w14:textId="70E19982" w:rsidR="00843624" w:rsidRDefault="00B6488B" w:rsidP="00F76C78">
      <w:pPr>
        <w:pStyle w:val="ListParagraph"/>
        <w:spacing w:after="0" w:line="360" w:lineRule="auto"/>
        <w:ind w:left="0"/>
        <w:jc w:val="both"/>
        <w:rPr>
          <w:rFonts w:ascii="Arial" w:hAnsi="Arial" w:cs="Arial"/>
          <w:bCs/>
          <w:sz w:val="24"/>
          <w:szCs w:val="24"/>
        </w:rPr>
      </w:pPr>
      <w:r>
        <w:rPr>
          <w:rFonts w:ascii="Arial" w:hAnsi="Arial" w:cs="Arial"/>
          <w:bCs/>
          <w:sz w:val="24"/>
          <w:szCs w:val="24"/>
        </w:rPr>
        <w:t>[</w:t>
      </w:r>
      <w:r w:rsidR="004E699F">
        <w:rPr>
          <w:rFonts w:ascii="Arial" w:hAnsi="Arial" w:cs="Arial"/>
          <w:bCs/>
          <w:sz w:val="24"/>
          <w:szCs w:val="24"/>
        </w:rPr>
        <w:t>2</w:t>
      </w:r>
      <w:r w:rsidR="008F0BEA">
        <w:rPr>
          <w:rFonts w:ascii="Arial" w:hAnsi="Arial" w:cs="Arial"/>
          <w:bCs/>
          <w:sz w:val="24"/>
          <w:szCs w:val="24"/>
        </w:rPr>
        <w:t>9</w:t>
      </w:r>
      <w:r>
        <w:rPr>
          <w:rFonts w:ascii="Arial" w:hAnsi="Arial" w:cs="Arial"/>
          <w:bCs/>
          <w:sz w:val="24"/>
          <w:szCs w:val="24"/>
        </w:rPr>
        <w:t>]</w:t>
      </w:r>
      <w:r>
        <w:rPr>
          <w:rFonts w:ascii="Arial" w:hAnsi="Arial" w:cs="Arial"/>
          <w:bCs/>
          <w:sz w:val="24"/>
          <w:szCs w:val="24"/>
        </w:rPr>
        <w:tab/>
      </w:r>
      <w:r w:rsidR="000E6341">
        <w:rPr>
          <w:rFonts w:ascii="Arial" w:hAnsi="Arial" w:cs="Arial"/>
          <w:bCs/>
          <w:sz w:val="24"/>
          <w:szCs w:val="24"/>
        </w:rPr>
        <w:t>A</w:t>
      </w:r>
      <w:r w:rsidR="00DE45FE">
        <w:rPr>
          <w:rFonts w:ascii="Arial" w:hAnsi="Arial" w:cs="Arial"/>
          <w:bCs/>
          <w:sz w:val="24"/>
          <w:szCs w:val="24"/>
        </w:rPr>
        <w:t xml:space="preserve">lthough the DDPPs and CPs are not mentioned in </w:t>
      </w:r>
      <w:r w:rsidR="00484B7D">
        <w:rPr>
          <w:rFonts w:ascii="Arial" w:hAnsi="Arial" w:cs="Arial"/>
          <w:bCs/>
          <w:sz w:val="24"/>
          <w:szCs w:val="24"/>
        </w:rPr>
        <w:t xml:space="preserve">the categories of prosecutors listed in </w:t>
      </w:r>
      <w:r w:rsidR="008B0667">
        <w:rPr>
          <w:rFonts w:ascii="Arial" w:hAnsi="Arial" w:cs="Arial"/>
          <w:bCs/>
          <w:sz w:val="24"/>
          <w:szCs w:val="24"/>
        </w:rPr>
        <w:t xml:space="preserve">the </w:t>
      </w:r>
      <w:r w:rsidR="00821E7D">
        <w:rPr>
          <w:rFonts w:ascii="Arial" w:hAnsi="Arial" w:cs="Arial"/>
          <w:bCs/>
          <w:sz w:val="24"/>
          <w:szCs w:val="24"/>
        </w:rPr>
        <w:t xml:space="preserve">translation key for </w:t>
      </w:r>
      <w:r w:rsidR="008B0667">
        <w:rPr>
          <w:rFonts w:ascii="Arial" w:hAnsi="Arial" w:cs="Arial"/>
          <w:bCs/>
          <w:sz w:val="24"/>
          <w:szCs w:val="24"/>
        </w:rPr>
        <w:t xml:space="preserve">the </w:t>
      </w:r>
      <w:r w:rsidR="00DF15AA">
        <w:rPr>
          <w:rFonts w:ascii="Arial" w:hAnsi="Arial" w:cs="Arial"/>
          <w:bCs/>
          <w:sz w:val="24"/>
          <w:szCs w:val="24"/>
        </w:rPr>
        <w:t xml:space="preserve">first and </w:t>
      </w:r>
      <w:r w:rsidR="008B0667">
        <w:rPr>
          <w:rFonts w:ascii="Arial" w:hAnsi="Arial" w:cs="Arial"/>
          <w:bCs/>
          <w:sz w:val="24"/>
          <w:szCs w:val="24"/>
        </w:rPr>
        <w:t xml:space="preserve">second phase translation </w:t>
      </w:r>
      <w:r w:rsidR="00821E7D">
        <w:rPr>
          <w:rFonts w:ascii="Arial" w:hAnsi="Arial" w:cs="Arial"/>
          <w:bCs/>
          <w:sz w:val="24"/>
          <w:szCs w:val="24"/>
        </w:rPr>
        <w:t>(Annexur</w:t>
      </w:r>
      <w:r w:rsidR="00821E7D" w:rsidRPr="002D0EA2">
        <w:rPr>
          <w:rFonts w:ascii="Arial" w:hAnsi="Arial" w:cs="Arial"/>
          <w:bCs/>
          <w:sz w:val="24"/>
          <w:szCs w:val="24"/>
        </w:rPr>
        <w:t>e</w:t>
      </w:r>
      <w:r w:rsidR="00026404" w:rsidRPr="002D0EA2">
        <w:rPr>
          <w:rFonts w:ascii="Arial" w:hAnsi="Arial" w:cs="Arial"/>
          <w:bCs/>
          <w:sz w:val="24"/>
          <w:szCs w:val="24"/>
        </w:rPr>
        <w:t>s</w:t>
      </w:r>
      <w:r w:rsidR="00821E7D">
        <w:rPr>
          <w:rFonts w:ascii="Arial" w:hAnsi="Arial" w:cs="Arial"/>
          <w:bCs/>
          <w:sz w:val="24"/>
          <w:szCs w:val="24"/>
        </w:rPr>
        <w:t xml:space="preserve"> </w:t>
      </w:r>
      <w:r w:rsidR="00DF15AA">
        <w:rPr>
          <w:rFonts w:ascii="Arial" w:hAnsi="Arial" w:cs="Arial"/>
          <w:bCs/>
          <w:sz w:val="24"/>
          <w:szCs w:val="24"/>
        </w:rPr>
        <w:t xml:space="preserve">B and </w:t>
      </w:r>
      <w:r w:rsidR="00821E7D">
        <w:rPr>
          <w:rFonts w:ascii="Arial" w:hAnsi="Arial" w:cs="Arial"/>
          <w:bCs/>
          <w:sz w:val="24"/>
          <w:szCs w:val="24"/>
        </w:rPr>
        <w:t xml:space="preserve">C to the </w:t>
      </w:r>
      <w:r w:rsidR="00DE45FE">
        <w:rPr>
          <w:rFonts w:ascii="Arial" w:hAnsi="Arial" w:cs="Arial"/>
          <w:bCs/>
          <w:sz w:val="24"/>
          <w:szCs w:val="24"/>
        </w:rPr>
        <w:t>2010 Determination</w:t>
      </w:r>
      <w:r w:rsidR="00821E7D">
        <w:rPr>
          <w:rFonts w:ascii="Arial" w:hAnsi="Arial" w:cs="Arial"/>
          <w:bCs/>
          <w:sz w:val="24"/>
          <w:szCs w:val="24"/>
        </w:rPr>
        <w:t>)</w:t>
      </w:r>
      <w:r w:rsidR="00DE45FE">
        <w:rPr>
          <w:rFonts w:ascii="Arial" w:hAnsi="Arial" w:cs="Arial"/>
          <w:bCs/>
          <w:sz w:val="24"/>
          <w:szCs w:val="24"/>
        </w:rPr>
        <w:t xml:space="preserve">, this does not detract from the fact that </w:t>
      </w:r>
      <w:r w:rsidR="005454D2">
        <w:rPr>
          <w:rFonts w:ascii="Arial" w:hAnsi="Arial" w:cs="Arial"/>
          <w:bCs/>
          <w:sz w:val="24"/>
          <w:szCs w:val="24"/>
        </w:rPr>
        <w:t xml:space="preserve">the </w:t>
      </w:r>
      <w:r w:rsidR="009215B7">
        <w:rPr>
          <w:rFonts w:ascii="Arial" w:hAnsi="Arial" w:cs="Arial"/>
          <w:bCs/>
          <w:sz w:val="24"/>
          <w:szCs w:val="24"/>
        </w:rPr>
        <w:t xml:space="preserve">Schedule to the </w:t>
      </w:r>
      <w:r w:rsidR="005454D2">
        <w:rPr>
          <w:rFonts w:ascii="Arial" w:hAnsi="Arial" w:cs="Arial"/>
          <w:bCs/>
          <w:sz w:val="24"/>
          <w:szCs w:val="24"/>
        </w:rPr>
        <w:t xml:space="preserve">2010 Determination </w:t>
      </w:r>
      <w:r w:rsidR="007D7D8B">
        <w:rPr>
          <w:rFonts w:ascii="Arial" w:hAnsi="Arial" w:cs="Arial"/>
          <w:bCs/>
          <w:sz w:val="24"/>
          <w:szCs w:val="24"/>
        </w:rPr>
        <w:t xml:space="preserve">introduced </w:t>
      </w:r>
      <w:r w:rsidR="005454D2">
        <w:rPr>
          <w:rFonts w:ascii="Arial" w:hAnsi="Arial" w:cs="Arial"/>
          <w:bCs/>
          <w:sz w:val="24"/>
          <w:szCs w:val="24"/>
        </w:rPr>
        <w:t>a work-stream referred to as ‘</w:t>
      </w:r>
      <w:r w:rsidR="0073468C">
        <w:rPr>
          <w:rFonts w:ascii="Arial" w:hAnsi="Arial" w:cs="Arial"/>
          <w:bCs/>
          <w:sz w:val="24"/>
          <w:szCs w:val="24"/>
        </w:rPr>
        <w:t>production</w:t>
      </w:r>
      <w:r w:rsidR="005454D2">
        <w:rPr>
          <w:rFonts w:ascii="Arial" w:hAnsi="Arial" w:cs="Arial"/>
          <w:bCs/>
          <w:sz w:val="24"/>
          <w:szCs w:val="24"/>
        </w:rPr>
        <w:t xml:space="preserve"> specialist’</w:t>
      </w:r>
      <w:r w:rsidR="009215B7">
        <w:rPr>
          <w:rFonts w:ascii="Arial" w:hAnsi="Arial" w:cs="Arial"/>
          <w:bCs/>
          <w:sz w:val="24"/>
          <w:szCs w:val="24"/>
        </w:rPr>
        <w:t xml:space="preserve">. </w:t>
      </w:r>
      <w:r w:rsidR="00251F14">
        <w:rPr>
          <w:rFonts w:ascii="Arial" w:hAnsi="Arial" w:cs="Arial"/>
          <w:bCs/>
          <w:sz w:val="24"/>
          <w:szCs w:val="24"/>
        </w:rPr>
        <w:t xml:space="preserve">Moreover, </w:t>
      </w:r>
      <w:r w:rsidR="0013087C">
        <w:rPr>
          <w:rFonts w:ascii="Arial" w:hAnsi="Arial" w:cs="Arial"/>
          <w:bCs/>
          <w:sz w:val="24"/>
          <w:szCs w:val="24"/>
        </w:rPr>
        <w:t xml:space="preserve">in </w:t>
      </w:r>
      <w:r w:rsidR="009E48E5" w:rsidRPr="00A540EA">
        <w:rPr>
          <w:rFonts w:ascii="Arial" w:hAnsi="Arial" w:cs="Arial"/>
          <w:bCs/>
          <w:sz w:val="24"/>
          <w:szCs w:val="24"/>
        </w:rPr>
        <w:t>Annexure A</w:t>
      </w:r>
      <w:r w:rsidR="00DE7AA5">
        <w:rPr>
          <w:rFonts w:ascii="Arial" w:hAnsi="Arial" w:cs="Arial"/>
          <w:bCs/>
          <w:sz w:val="24"/>
          <w:szCs w:val="24"/>
        </w:rPr>
        <w:t xml:space="preserve"> to that Schedule</w:t>
      </w:r>
      <w:r w:rsidR="0013087C">
        <w:rPr>
          <w:rFonts w:ascii="Arial" w:hAnsi="Arial" w:cs="Arial"/>
          <w:bCs/>
          <w:sz w:val="24"/>
          <w:szCs w:val="24"/>
        </w:rPr>
        <w:t xml:space="preserve">, </w:t>
      </w:r>
      <w:r w:rsidR="0073468C">
        <w:rPr>
          <w:rFonts w:ascii="Arial" w:hAnsi="Arial" w:cs="Arial"/>
          <w:bCs/>
          <w:sz w:val="24"/>
          <w:szCs w:val="24"/>
        </w:rPr>
        <w:t>the job titl</w:t>
      </w:r>
      <w:r w:rsidR="0073468C" w:rsidRPr="002D0EA2">
        <w:rPr>
          <w:rFonts w:ascii="Arial" w:hAnsi="Arial" w:cs="Arial"/>
          <w:bCs/>
          <w:sz w:val="24"/>
          <w:szCs w:val="24"/>
        </w:rPr>
        <w:t>e</w:t>
      </w:r>
      <w:r w:rsidR="00026404" w:rsidRPr="002D0EA2">
        <w:rPr>
          <w:rFonts w:ascii="Arial" w:hAnsi="Arial" w:cs="Arial"/>
          <w:bCs/>
          <w:sz w:val="24"/>
          <w:szCs w:val="24"/>
        </w:rPr>
        <w:t>s</w:t>
      </w:r>
      <w:r w:rsidR="0073468C">
        <w:rPr>
          <w:rFonts w:ascii="Arial" w:hAnsi="Arial" w:cs="Arial"/>
          <w:bCs/>
          <w:sz w:val="24"/>
          <w:szCs w:val="24"/>
        </w:rPr>
        <w:t xml:space="preserve"> of </w:t>
      </w:r>
      <w:r w:rsidR="009E48E5" w:rsidRPr="00A540EA">
        <w:rPr>
          <w:rFonts w:ascii="Arial" w:hAnsi="Arial" w:cs="Arial"/>
          <w:bCs/>
          <w:sz w:val="24"/>
          <w:szCs w:val="24"/>
        </w:rPr>
        <w:t xml:space="preserve">‘litigation specialist’ and ‘Deputy Director of Public Prosecutions (Production)’ </w:t>
      </w:r>
      <w:r w:rsidR="0013087C">
        <w:rPr>
          <w:rFonts w:ascii="Arial" w:hAnsi="Arial" w:cs="Arial"/>
          <w:bCs/>
          <w:sz w:val="24"/>
          <w:szCs w:val="24"/>
        </w:rPr>
        <w:t xml:space="preserve">are listed under </w:t>
      </w:r>
      <w:r w:rsidR="009E48E5" w:rsidRPr="00A540EA">
        <w:rPr>
          <w:rFonts w:ascii="Arial" w:hAnsi="Arial" w:cs="Arial"/>
          <w:bCs/>
          <w:sz w:val="24"/>
          <w:szCs w:val="24"/>
        </w:rPr>
        <w:t xml:space="preserve">the LP10 </w:t>
      </w:r>
      <w:r w:rsidR="00026404" w:rsidRPr="002D0EA2">
        <w:rPr>
          <w:rFonts w:ascii="Arial" w:hAnsi="Arial" w:cs="Arial"/>
          <w:bCs/>
          <w:sz w:val="24"/>
          <w:szCs w:val="24"/>
        </w:rPr>
        <w:t>b</w:t>
      </w:r>
      <w:r w:rsidR="009E48E5" w:rsidRPr="002D0EA2">
        <w:rPr>
          <w:rFonts w:ascii="Arial" w:hAnsi="Arial" w:cs="Arial"/>
          <w:bCs/>
          <w:sz w:val="24"/>
          <w:szCs w:val="24"/>
        </w:rPr>
        <w:t>a</w:t>
      </w:r>
      <w:r w:rsidR="009E48E5" w:rsidRPr="00A540EA">
        <w:rPr>
          <w:rFonts w:ascii="Arial" w:hAnsi="Arial" w:cs="Arial"/>
          <w:bCs/>
          <w:sz w:val="24"/>
          <w:szCs w:val="24"/>
        </w:rPr>
        <w:t xml:space="preserve">nd. </w:t>
      </w:r>
      <w:r w:rsidR="003D4409">
        <w:rPr>
          <w:rFonts w:ascii="Arial" w:hAnsi="Arial" w:cs="Arial"/>
          <w:bCs/>
          <w:sz w:val="24"/>
          <w:szCs w:val="24"/>
        </w:rPr>
        <w:t>P</w:t>
      </w:r>
      <w:r w:rsidR="003D4409" w:rsidRPr="00E81C8E">
        <w:rPr>
          <w:rFonts w:ascii="Arial" w:hAnsi="Arial" w:cs="Arial"/>
          <w:bCs/>
          <w:sz w:val="24"/>
          <w:szCs w:val="24"/>
        </w:rPr>
        <w:t>aragraph 4.2 of th</w:t>
      </w:r>
      <w:r w:rsidR="009215B7">
        <w:rPr>
          <w:rFonts w:ascii="Arial" w:hAnsi="Arial" w:cs="Arial"/>
          <w:bCs/>
          <w:sz w:val="24"/>
          <w:szCs w:val="24"/>
        </w:rPr>
        <w:t>at</w:t>
      </w:r>
      <w:r w:rsidR="003D4409" w:rsidRPr="00E81C8E">
        <w:rPr>
          <w:rFonts w:ascii="Arial" w:hAnsi="Arial" w:cs="Arial"/>
          <w:bCs/>
          <w:sz w:val="24"/>
          <w:szCs w:val="24"/>
        </w:rPr>
        <w:t xml:space="preserve"> Schedule </w:t>
      </w:r>
      <w:r w:rsidR="00AF59D9">
        <w:rPr>
          <w:rFonts w:ascii="Arial" w:hAnsi="Arial" w:cs="Arial"/>
          <w:bCs/>
          <w:sz w:val="24"/>
          <w:szCs w:val="24"/>
        </w:rPr>
        <w:t xml:space="preserve">spells out </w:t>
      </w:r>
      <w:r w:rsidR="003D4409" w:rsidRPr="00E81C8E">
        <w:rPr>
          <w:rFonts w:ascii="Arial" w:hAnsi="Arial" w:cs="Arial"/>
          <w:bCs/>
          <w:sz w:val="24"/>
          <w:szCs w:val="24"/>
        </w:rPr>
        <w:t>that the production specialist stream was created to assist the NPA to recruit and retain specialists in the legal profession who</w:t>
      </w:r>
      <w:r w:rsidR="003D4409">
        <w:rPr>
          <w:rFonts w:ascii="Arial" w:hAnsi="Arial" w:cs="Arial"/>
          <w:bCs/>
          <w:sz w:val="24"/>
          <w:szCs w:val="24"/>
        </w:rPr>
        <w:t xml:space="preserve">se </w:t>
      </w:r>
      <w:r w:rsidR="003D4409" w:rsidRPr="00E81C8E">
        <w:rPr>
          <w:rFonts w:ascii="Arial" w:hAnsi="Arial" w:cs="Arial"/>
          <w:bCs/>
          <w:sz w:val="24"/>
          <w:szCs w:val="24"/>
        </w:rPr>
        <w:t>posts require active involvement in court work.</w:t>
      </w:r>
      <w:r w:rsidR="003D4409">
        <w:rPr>
          <w:rFonts w:ascii="Arial" w:hAnsi="Arial" w:cs="Arial"/>
          <w:bCs/>
          <w:sz w:val="24"/>
          <w:szCs w:val="24"/>
        </w:rPr>
        <w:t xml:space="preserve"> </w:t>
      </w:r>
      <w:r w:rsidR="00253376">
        <w:rPr>
          <w:rFonts w:ascii="Arial" w:hAnsi="Arial" w:cs="Arial"/>
          <w:bCs/>
          <w:sz w:val="24"/>
          <w:szCs w:val="24"/>
        </w:rPr>
        <w:t>The suggestion, in the NDPP’s approval</w:t>
      </w:r>
      <w:r w:rsidR="00C253B7">
        <w:rPr>
          <w:rFonts w:ascii="Arial" w:hAnsi="Arial" w:cs="Arial"/>
          <w:bCs/>
          <w:sz w:val="24"/>
          <w:szCs w:val="24"/>
        </w:rPr>
        <w:t>,</w:t>
      </w:r>
      <w:r w:rsidR="00253376">
        <w:rPr>
          <w:rFonts w:ascii="Arial" w:hAnsi="Arial" w:cs="Arial"/>
          <w:bCs/>
          <w:sz w:val="24"/>
          <w:szCs w:val="24"/>
        </w:rPr>
        <w:t xml:space="preserve"> </w:t>
      </w:r>
      <w:r w:rsidR="00C253B7">
        <w:rPr>
          <w:rFonts w:ascii="Arial" w:hAnsi="Arial" w:cs="Arial"/>
          <w:bCs/>
          <w:sz w:val="24"/>
          <w:szCs w:val="24"/>
        </w:rPr>
        <w:t xml:space="preserve">about DDPPs and CPs qualifying for approval if they, inter alia, </w:t>
      </w:r>
      <w:r w:rsidR="00283CA7">
        <w:rPr>
          <w:rFonts w:ascii="Arial" w:hAnsi="Arial" w:cs="Arial"/>
          <w:bCs/>
          <w:sz w:val="24"/>
          <w:szCs w:val="24"/>
        </w:rPr>
        <w:t xml:space="preserve">performed </w:t>
      </w:r>
      <w:r w:rsidR="00577E68">
        <w:rPr>
          <w:rFonts w:ascii="Arial" w:hAnsi="Arial" w:cs="Arial"/>
          <w:bCs/>
          <w:sz w:val="24"/>
          <w:szCs w:val="24"/>
        </w:rPr>
        <w:t xml:space="preserve">not less than </w:t>
      </w:r>
      <w:r w:rsidR="00283CA7">
        <w:rPr>
          <w:rFonts w:ascii="Arial" w:hAnsi="Arial" w:cs="Arial"/>
          <w:bCs/>
          <w:sz w:val="24"/>
          <w:szCs w:val="24"/>
        </w:rPr>
        <w:t>80</w:t>
      </w:r>
      <w:r w:rsidR="00BF45B4">
        <w:rPr>
          <w:rFonts w:ascii="Arial" w:hAnsi="Arial" w:cs="Arial"/>
          <w:bCs/>
          <w:sz w:val="24"/>
          <w:szCs w:val="24"/>
        </w:rPr>
        <w:t>%</w:t>
      </w:r>
      <w:r w:rsidR="00577E68">
        <w:rPr>
          <w:rFonts w:ascii="Arial" w:hAnsi="Arial" w:cs="Arial"/>
          <w:bCs/>
          <w:sz w:val="24"/>
          <w:szCs w:val="24"/>
        </w:rPr>
        <w:t xml:space="preserve"> of court</w:t>
      </w:r>
      <w:r w:rsidR="005F70F1">
        <w:rPr>
          <w:rFonts w:ascii="Arial" w:hAnsi="Arial" w:cs="Arial"/>
          <w:bCs/>
          <w:sz w:val="24"/>
          <w:szCs w:val="24"/>
        </w:rPr>
        <w:t>-</w:t>
      </w:r>
      <w:r w:rsidR="00577E68">
        <w:rPr>
          <w:rFonts w:ascii="Arial" w:hAnsi="Arial" w:cs="Arial"/>
          <w:bCs/>
          <w:sz w:val="24"/>
          <w:szCs w:val="24"/>
        </w:rPr>
        <w:t>related work</w:t>
      </w:r>
      <w:r w:rsidR="005F70F1">
        <w:rPr>
          <w:rFonts w:ascii="Arial" w:hAnsi="Arial" w:cs="Arial"/>
          <w:bCs/>
          <w:sz w:val="24"/>
          <w:szCs w:val="24"/>
        </w:rPr>
        <w:t xml:space="preserve"> must be seen against that background. </w:t>
      </w:r>
    </w:p>
    <w:p w14:paraId="56438319" w14:textId="77777777" w:rsidR="00326EBD" w:rsidRDefault="00326EBD" w:rsidP="00A02D7A">
      <w:pPr>
        <w:pStyle w:val="ListParagraph"/>
        <w:spacing w:line="360" w:lineRule="auto"/>
        <w:ind w:left="0"/>
        <w:jc w:val="both"/>
        <w:rPr>
          <w:rFonts w:ascii="Arial" w:hAnsi="Arial" w:cs="Arial"/>
          <w:bCs/>
          <w:sz w:val="24"/>
          <w:szCs w:val="24"/>
        </w:rPr>
      </w:pPr>
    </w:p>
    <w:p w14:paraId="5C85C6E4" w14:textId="6F366FBE" w:rsidR="005E3EC3" w:rsidRDefault="00D95A13" w:rsidP="009A3320">
      <w:pPr>
        <w:pStyle w:val="ListParagraph"/>
        <w:spacing w:after="0" w:line="360" w:lineRule="auto"/>
        <w:ind w:left="0"/>
        <w:jc w:val="both"/>
        <w:rPr>
          <w:rFonts w:ascii="Arial" w:hAnsi="Arial" w:cs="Arial"/>
          <w:bCs/>
          <w:sz w:val="24"/>
          <w:szCs w:val="24"/>
        </w:rPr>
      </w:pPr>
      <w:r>
        <w:rPr>
          <w:rFonts w:ascii="Arial" w:hAnsi="Arial" w:cs="Arial"/>
          <w:bCs/>
          <w:sz w:val="24"/>
          <w:szCs w:val="24"/>
        </w:rPr>
        <w:lastRenderedPageBreak/>
        <w:t>[</w:t>
      </w:r>
      <w:r w:rsidR="008F0BEA">
        <w:rPr>
          <w:rFonts w:ascii="Arial" w:hAnsi="Arial" w:cs="Arial"/>
          <w:bCs/>
          <w:sz w:val="24"/>
          <w:szCs w:val="24"/>
        </w:rPr>
        <w:t>30</w:t>
      </w:r>
      <w:r>
        <w:rPr>
          <w:rFonts w:ascii="Arial" w:hAnsi="Arial" w:cs="Arial"/>
          <w:bCs/>
          <w:sz w:val="24"/>
          <w:szCs w:val="24"/>
        </w:rPr>
        <w:t>]</w:t>
      </w:r>
      <w:r>
        <w:rPr>
          <w:rFonts w:ascii="Arial" w:hAnsi="Arial" w:cs="Arial"/>
          <w:bCs/>
          <w:sz w:val="24"/>
          <w:szCs w:val="24"/>
        </w:rPr>
        <w:tab/>
      </w:r>
      <w:r w:rsidR="006118DA">
        <w:rPr>
          <w:rFonts w:ascii="Arial" w:hAnsi="Arial" w:cs="Arial"/>
          <w:bCs/>
          <w:sz w:val="24"/>
          <w:szCs w:val="24"/>
        </w:rPr>
        <w:t xml:space="preserve">It is noteworthy that </w:t>
      </w:r>
      <w:r w:rsidR="000C3369">
        <w:rPr>
          <w:rFonts w:ascii="Arial" w:hAnsi="Arial" w:cs="Arial"/>
          <w:bCs/>
          <w:sz w:val="24"/>
          <w:szCs w:val="24"/>
        </w:rPr>
        <w:t xml:space="preserve">GPSSBC Resolution 1 of 2008 </w:t>
      </w:r>
      <w:r w:rsidR="0026467C" w:rsidRPr="00FF33CC">
        <w:rPr>
          <w:rFonts w:ascii="Arial" w:hAnsi="Arial" w:cs="Arial"/>
          <w:bCs/>
          <w:sz w:val="24"/>
          <w:szCs w:val="24"/>
        </w:rPr>
        <w:t xml:space="preserve">granted the </w:t>
      </w:r>
      <w:r w:rsidR="000C3369">
        <w:rPr>
          <w:rFonts w:ascii="Arial" w:hAnsi="Arial" w:cs="Arial"/>
          <w:bCs/>
          <w:sz w:val="24"/>
          <w:szCs w:val="24"/>
        </w:rPr>
        <w:t>Departments</w:t>
      </w:r>
      <w:r w:rsidR="0026467C">
        <w:rPr>
          <w:rFonts w:ascii="Arial" w:hAnsi="Arial" w:cs="Arial"/>
          <w:bCs/>
          <w:sz w:val="24"/>
          <w:szCs w:val="24"/>
        </w:rPr>
        <w:t xml:space="preserve"> </w:t>
      </w:r>
      <w:r w:rsidR="005430BC" w:rsidRPr="00FF33CC">
        <w:rPr>
          <w:rFonts w:ascii="Arial" w:hAnsi="Arial" w:cs="Arial"/>
          <w:bCs/>
          <w:sz w:val="24"/>
          <w:szCs w:val="24"/>
        </w:rPr>
        <w:t>t</w:t>
      </w:r>
      <w:r w:rsidR="0081472E" w:rsidRPr="00FF33CC">
        <w:rPr>
          <w:rFonts w:ascii="Arial" w:hAnsi="Arial" w:cs="Arial"/>
          <w:bCs/>
          <w:sz w:val="24"/>
          <w:szCs w:val="24"/>
        </w:rPr>
        <w:t>he</w:t>
      </w:r>
      <w:r w:rsidR="005430BC" w:rsidRPr="00FF33CC">
        <w:rPr>
          <w:rFonts w:ascii="Arial" w:hAnsi="Arial" w:cs="Arial"/>
          <w:bCs/>
          <w:sz w:val="24"/>
          <w:szCs w:val="24"/>
        </w:rPr>
        <w:t xml:space="preserve"> </w:t>
      </w:r>
      <w:r w:rsidR="0081472E" w:rsidRPr="00FF33CC">
        <w:rPr>
          <w:rFonts w:ascii="Arial" w:hAnsi="Arial" w:cs="Arial"/>
          <w:bCs/>
          <w:sz w:val="24"/>
          <w:szCs w:val="24"/>
        </w:rPr>
        <w:t xml:space="preserve">latitude to deal with the </w:t>
      </w:r>
      <w:r w:rsidR="00AB0916" w:rsidRPr="00FF33CC">
        <w:rPr>
          <w:rFonts w:ascii="Arial" w:hAnsi="Arial" w:cs="Arial"/>
          <w:bCs/>
          <w:sz w:val="24"/>
          <w:szCs w:val="24"/>
        </w:rPr>
        <w:t xml:space="preserve">number of posts created in the </w:t>
      </w:r>
      <w:r w:rsidR="00B328E0" w:rsidRPr="00FF33CC">
        <w:rPr>
          <w:rFonts w:ascii="Arial" w:hAnsi="Arial" w:cs="Arial"/>
          <w:bCs/>
          <w:sz w:val="24"/>
          <w:szCs w:val="24"/>
        </w:rPr>
        <w:t xml:space="preserve">litigation </w:t>
      </w:r>
      <w:r w:rsidR="0081472E" w:rsidRPr="00FF33CC">
        <w:rPr>
          <w:rFonts w:ascii="Arial" w:hAnsi="Arial" w:cs="Arial"/>
          <w:bCs/>
          <w:sz w:val="24"/>
          <w:szCs w:val="24"/>
        </w:rPr>
        <w:t xml:space="preserve">specialist stream </w:t>
      </w:r>
      <w:r w:rsidR="00953223" w:rsidRPr="00FF33CC">
        <w:rPr>
          <w:rFonts w:ascii="Arial" w:hAnsi="Arial" w:cs="Arial"/>
          <w:bCs/>
          <w:sz w:val="24"/>
          <w:szCs w:val="24"/>
        </w:rPr>
        <w:t xml:space="preserve">subject to </w:t>
      </w:r>
      <w:r w:rsidR="0026467C">
        <w:rPr>
          <w:rFonts w:ascii="Arial" w:hAnsi="Arial" w:cs="Arial"/>
          <w:bCs/>
          <w:sz w:val="24"/>
          <w:szCs w:val="24"/>
        </w:rPr>
        <w:t xml:space="preserve">their </w:t>
      </w:r>
      <w:r w:rsidR="00953223" w:rsidRPr="00FF33CC">
        <w:rPr>
          <w:rFonts w:ascii="Arial" w:hAnsi="Arial" w:cs="Arial"/>
          <w:bCs/>
          <w:sz w:val="24"/>
          <w:szCs w:val="24"/>
        </w:rPr>
        <w:t xml:space="preserve">own </w:t>
      </w:r>
      <w:r w:rsidR="00953223" w:rsidRPr="00CD335D">
        <w:rPr>
          <w:rFonts w:ascii="Arial" w:hAnsi="Arial" w:cs="Arial"/>
          <w:bCs/>
          <w:sz w:val="24"/>
          <w:szCs w:val="24"/>
        </w:rPr>
        <w:t>norms.</w:t>
      </w:r>
      <w:r w:rsidR="0026467C" w:rsidRPr="00CD335D">
        <w:rPr>
          <w:rFonts w:ascii="Arial" w:hAnsi="Arial" w:cs="Arial"/>
          <w:bCs/>
          <w:sz w:val="24"/>
          <w:szCs w:val="24"/>
        </w:rPr>
        <w:t xml:space="preserve"> </w:t>
      </w:r>
      <w:r w:rsidR="00163FAA" w:rsidRPr="00CD335D">
        <w:rPr>
          <w:rFonts w:ascii="Arial" w:hAnsi="Arial" w:cs="Arial"/>
          <w:bCs/>
          <w:sz w:val="24"/>
          <w:szCs w:val="24"/>
        </w:rPr>
        <w:t>Similarly, t</w:t>
      </w:r>
      <w:r w:rsidR="0026467C" w:rsidRPr="00CD335D">
        <w:rPr>
          <w:rFonts w:ascii="Arial" w:hAnsi="Arial" w:cs="Arial"/>
          <w:bCs/>
          <w:sz w:val="24"/>
          <w:szCs w:val="24"/>
        </w:rPr>
        <w:t xml:space="preserve">he 2010 Determination granted the </w:t>
      </w:r>
      <w:r w:rsidR="00B871B6" w:rsidRPr="00CD335D">
        <w:rPr>
          <w:rFonts w:ascii="Arial" w:hAnsi="Arial" w:cs="Arial"/>
          <w:bCs/>
          <w:sz w:val="24"/>
          <w:szCs w:val="24"/>
        </w:rPr>
        <w:t xml:space="preserve">NPA the </w:t>
      </w:r>
      <w:r w:rsidR="0026467C" w:rsidRPr="00CD335D">
        <w:rPr>
          <w:rFonts w:ascii="Arial" w:hAnsi="Arial" w:cs="Arial"/>
          <w:bCs/>
          <w:sz w:val="24"/>
          <w:szCs w:val="24"/>
        </w:rPr>
        <w:t>latitude</w:t>
      </w:r>
      <w:r w:rsidR="00297CAC" w:rsidRPr="00CD335D">
        <w:rPr>
          <w:rFonts w:ascii="Arial" w:hAnsi="Arial" w:cs="Arial"/>
          <w:bCs/>
          <w:sz w:val="24"/>
          <w:szCs w:val="24"/>
        </w:rPr>
        <w:t xml:space="preserve"> to </w:t>
      </w:r>
      <w:r w:rsidR="00D4656E">
        <w:rPr>
          <w:rFonts w:ascii="Arial" w:hAnsi="Arial" w:cs="Arial"/>
          <w:bCs/>
          <w:sz w:val="24"/>
          <w:szCs w:val="24"/>
        </w:rPr>
        <w:t xml:space="preserve">establish its own norms regarding </w:t>
      </w:r>
      <w:r w:rsidR="00297CAC" w:rsidRPr="00CD335D">
        <w:rPr>
          <w:rFonts w:ascii="Arial" w:hAnsi="Arial" w:cs="Arial"/>
          <w:bCs/>
          <w:sz w:val="24"/>
          <w:szCs w:val="24"/>
        </w:rPr>
        <w:t>the litigation specialist stream</w:t>
      </w:r>
      <w:r w:rsidR="00B821B4" w:rsidRPr="00CD335D">
        <w:rPr>
          <w:rFonts w:ascii="Arial" w:hAnsi="Arial" w:cs="Arial"/>
          <w:bCs/>
          <w:sz w:val="24"/>
          <w:szCs w:val="24"/>
        </w:rPr>
        <w:t xml:space="preserve">. </w:t>
      </w:r>
      <w:r w:rsidR="00D21EC6" w:rsidRPr="00CD335D">
        <w:rPr>
          <w:rFonts w:ascii="Arial" w:hAnsi="Arial" w:cs="Arial"/>
          <w:bCs/>
          <w:sz w:val="24"/>
          <w:szCs w:val="24"/>
        </w:rPr>
        <w:t xml:space="preserve">From my point of view, the </w:t>
      </w:r>
      <w:r w:rsidR="00FC3AF8" w:rsidRPr="00CD335D">
        <w:rPr>
          <w:rFonts w:ascii="Arial" w:hAnsi="Arial" w:cs="Arial"/>
          <w:bCs/>
          <w:sz w:val="24"/>
          <w:szCs w:val="24"/>
        </w:rPr>
        <w:t xml:space="preserve">series of engagements </w:t>
      </w:r>
      <w:r w:rsidR="00753629" w:rsidRPr="00CD335D">
        <w:rPr>
          <w:rFonts w:ascii="Arial" w:hAnsi="Arial" w:cs="Arial"/>
          <w:bCs/>
          <w:sz w:val="24"/>
          <w:szCs w:val="24"/>
        </w:rPr>
        <w:t xml:space="preserve">with the DDPPs and CPs regarding </w:t>
      </w:r>
      <w:r w:rsidR="00191AB0" w:rsidRPr="002D0EA2">
        <w:rPr>
          <w:rFonts w:ascii="Arial" w:hAnsi="Arial" w:cs="Arial"/>
          <w:bCs/>
          <w:sz w:val="24"/>
          <w:szCs w:val="24"/>
        </w:rPr>
        <w:t>the</w:t>
      </w:r>
      <w:r w:rsidR="00191AB0">
        <w:rPr>
          <w:rFonts w:ascii="Arial" w:hAnsi="Arial" w:cs="Arial"/>
          <w:bCs/>
          <w:sz w:val="24"/>
          <w:szCs w:val="24"/>
        </w:rPr>
        <w:t xml:space="preserve"> </w:t>
      </w:r>
      <w:r w:rsidR="00753629" w:rsidRPr="00CD335D">
        <w:rPr>
          <w:rFonts w:ascii="Arial" w:hAnsi="Arial" w:cs="Arial"/>
          <w:bCs/>
          <w:sz w:val="24"/>
          <w:szCs w:val="24"/>
        </w:rPr>
        <w:t xml:space="preserve">OSD </w:t>
      </w:r>
      <w:r w:rsidR="00FC3AF8" w:rsidRPr="00CD335D">
        <w:rPr>
          <w:rFonts w:ascii="Arial" w:hAnsi="Arial" w:cs="Arial"/>
          <w:bCs/>
          <w:sz w:val="24"/>
          <w:szCs w:val="24"/>
        </w:rPr>
        <w:t>follow</w:t>
      </w:r>
      <w:r w:rsidR="00DD1C62">
        <w:rPr>
          <w:rFonts w:ascii="Arial" w:hAnsi="Arial" w:cs="Arial"/>
          <w:bCs/>
          <w:sz w:val="24"/>
          <w:szCs w:val="24"/>
        </w:rPr>
        <w:t xml:space="preserve">ing </w:t>
      </w:r>
      <w:r w:rsidR="00A34B26" w:rsidRPr="00CD335D">
        <w:rPr>
          <w:rFonts w:ascii="Arial" w:hAnsi="Arial" w:cs="Arial"/>
          <w:bCs/>
          <w:sz w:val="24"/>
          <w:szCs w:val="24"/>
        </w:rPr>
        <w:t>the publishing of the 2010 Determination</w:t>
      </w:r>
      <w:r w:rsidR="00D21EC6" w:rsidRPr="00CD335D">
        <w:rPr>
          <w:rFonts w:ascii="Arial" w:hAnsi="Arial" w:cs="Arial"/>
          <w:bCs/>
          <w:sz w:val="24"/>
          <w:szCs w:val="24"/>
        </w:rPr>
        <w:t>,</w:t>
      </w:r>
      <w:r w:rsidR="00A34B26" w:rsidRPr="00CD335D">
        <w:rPr>
          <w:rFonts w:ascii="Arial" w:hAnsi="Arial" w:cs="Arial"/>
          <w:bCs/>
          <w:sz w:val="24"/>
          <w:szCs w:val="24"/>
        </w:rPr>
        <w:t xml:space="preserve"> </w:t>
      </w:r>
      <w:r w:rsidR="00FC5EC1" w:rsidRPr="00CD335D">
        <w:rPr>
          <w:rFonts w:ascii="Arial" w:hAnsi="Arial" w:cs="Arial"/>
          <w:bCs/>
          <w:sz w:val="24"/>
          <w:szCs w:val="24"/>
        </w:rPr>
        <w:t>the</w:t>
      </w:r>
      <w:r w:rsidR="00953223" w:rsidRPr="00CD335D">
        <w:rPr>
          <w:rFonts w:ascii="Arial" w:hAnsi="Arial" w:cs="Arial"/>
          <w:bCs/>
          <w:sz w:val="24"/>
          <w:szCs w:val="24"/>
        </w:rPr>
        <w:t xml:space="preserve"> Chief Director</w:t>
      </w:r>
      <w:r w:rsidR="00AF7E11" w:rsidRPr="00CD335D">
        <w:rPr>
          <w:rFonts w:ascii="Arial" w:hAnsi="Arial" w:cs="Arial"/>
          <w:bCs/>
          <w:sz w:val="24"/>
          <w:szCs w:val="24"/>
        </w:rPr>
        <w:t>’s</w:t>
      </w:r>
      <w:r w:rsidR="002A3453" w:rsidRPr="00CD335D">
        <w:rPr>
          <w:rFonts w:ascii="Arial" w:hAnsi="Arial" w:cs="Arial"/>
          <w:bCs/>
          <w:sz w:val="24"/>
          <w:szCs w:val="24"/>
        </w:rPr>
        <w:t xml:space="preserve"> </w:t>
      </w:r>
      <w:r w:rsidR="00953223" w:rsidRPr="00CD335D">
        <w:rPr>
          <w:rFonts w:ascii="Arial" w:hAnsi="Arial" w:cs="Arial"/>
          <w:bCs/>
          <w:sz w:val="24"/>
          <w:szCs w:val="24"/>
        </w:rPr>
        <w:t xml:space="preserve">recommendations </w:t>
      </w:r>
      <w:r w:rsidR="002A3453" w:rsidRPr="00CD335D">
        <w:rPr>
          <w:rFonts w:ascii="Arial" w:hAnsi="Arial" w:cs="Arial"/>
          <w:bCs/>
          <w:sz w:val="24"/>
          <w:szCs w:val="24"/>
        </w:rPr>
        <w:t xml:space="preserve">which were duly </w:t>
      </w:r>
      <w:r w:rsidR="00953223" w:rsidRPr="00CD335D">
        <w:rPr>
          <w:rFonts w:ascii="Arial" w:hAnsi="Arial" w:cs="Arial"/>
          <w:bCs/>
          <w:sz w:val="24"/>
          <w:szCs w:val="24"/>
        </w:rPr>
        <w:t>approv</w:t>
      </w:r>
      <w:r w:rsidR="002A3453" w:rsidRPr="00CD335D">
        <w:rPr>
          <w:rFonts w:ascii="Arial" w:hAnsi="Arial" w:cs="Arial"/>
          <w:bCs/>
          <w:sz w:val="24"/>
          <w:szCs w:val="24"/>
        </w:rPr>
        <w:t xml:space="preserve">ed </w:t>
      </w:r>
      <w:r w:rsidR="00953223" w:rsidRPr="00CD335D">
        <w:rPr>
          <w:rFonts w:ascii="Arial" w:hAnsi="Arial" w:cs="Arial"/>
          <w:bCs/>
          <w:sz w:val="24"/>
          <w:szCs w:val="24"/>
        </w:rPr>
        <w:t>by the NDPP on 29 July 2014</w:t>
      </w:r>
      <w:r w:rsidR="004074E2">
        <w:rPr>
          <w:rFonts w:ascii="Arial" w:hAnsi="Arial" w:cs="Arial"/>
          <w:bCs/>
          <w:sz w:val="24"/>
          <w:szCs w:val="24"/>
        </w:rPr>
        <w:t>,</w:t>
      </w:r>
      <w:r w:rsidR="00AF7E11" w:rsidRPr="00CD335D">
        <w:rPr>
          <w:rFonts w:ascii="Arial" w:hAnsi="Arial" w:cs="Arial"/>
          <w:bCs/>
          <w:sz w:val="24"/>
          <w:szCs w:val="24"/>
        </w:rPr>
        <w:t xml:space="preserve"> </w:t>
      </w:r>
      <w:r w:rsidR="00DD1C62">
        <w:rPr>
          <w:rFonts w:ascii="Arial" w:hAnsi="Arial" w:cs="Arial"/>
          <w:bCs/>
          <w:sz w:val="24"/>
          <w:szCs w:val="24"/>
        </w:rPr>
        <w:t xml:space="preserve">are all </w:t>
      </w:r>
      <w:r w:rsidR="004415F2" w:rsidRPr="00CD335D">
        <w:rPr>
          <w:rFonts w:ascii="Arial" w:hAnsi="Arial" w:cs="Arial"/>
          <w:bCs/>
          <w:sz w:val="24"/>
          <w:szCs w:val="24"/>
        </w:rPr>
        <w:t>co</w:t>
      </w:r>
      <w:r w:rsidR="004074E2">
        <w:rPr>
          <w:rFonts w:ascii="Arial" w:hAnsi="Arial" w:cs="Arial"/>
          <w:bCs/>
          <w:sz w:val="24"/>
          <w:szCs w:val="24"/>
        </w:rPr>
        <w:t xml:space="preserve">nsistent </w:t>
      </w:r>
      <w:r w:rsidR="004415F2" w:rsidRPr="00CD335D">
        <w:rPr>
          <w:rFonts w:ascii="Arial" w:hAnsi="Arial" w:cs="Arial"/>
          <w:bCs/>
          <w:sz w:val="24"/>
          <w:szCs w:val="24"/>
        </w:rPr>
        <w:t xml:space="preserve">with </w:t>
      </w:r>
      <w:r w:rsidR="00AF7E11" w:rsidRPr="00CD335D">
        <w:rPr>
          <w:rFonts w:ascii="Arial" w:hAnsi="Arial" w:cs="Arial"/>
          <w:bCs/>
          <w:sz w:val="24"/>
          <w:szCs w:val="24"/>
        </w:rPr>
        <w:t xml:space="preserve">the exercise </w:t>
      </w:r>
      <w:r w:rsidR="00BC1E0D" w:rsidRPr="00CD335D">
        <w:rPr>
          <w:rFonts w:ascii="Arial" w:hAnsi="Arial" w:cs="Arial"/>
          <w:bCs/>
          <w:sz w:val="24"/>
          <w:szCs w:val="24"/>
        </w:rPr>
        <w:t xml:space="preserve">of </w:t>
      </w:r>
      <w:r w:rsidR="00441D7A" w:rsidRPr="00CD335D">
        <w:rPr>
          <w:rFonts w:ascii="Arial" w:hAnsi="Arial" w:cs="Arial"/>
          <w:bCs/>
          <w:sz w:val="24"/>
          <w:szCs w:val="24"/>
        </w:rPr>
        <w:t xml:space="preserve">determining </w:t>
      </w:r>
      <w:r w:rsidR="003E7BF7" w:rsidRPr="00CD335D">
        <w:rPr>
          <w:rFonts w:ascii="Arial" w:hAnsi="Arial" w:cs="Arial"/>
          <w:bCs/>
          <w:sz w:val="24"/>
          <w:szCs w:val="24"/>
        </w:rPr>
        <w:t xml:space="preserve">how the litigation specialist stream could be aligned to the NPA norms. </w:t>
      </w:r>
      <w:r w:rsidR="00AF55C3" w:rsidRPr="00CD335D">
        <w:rPr>
          <w:rFonts w:ascii="Arial" w:hAnsi="Arial" w:cs="Arial"/>
          <w:bCs/>
          <w:sz w:val="24"/>
          <w:szCs w:val="24"/>
        </w:rPr>
        <w:t xml:space="preserve">The NDPP’s endorsement of </w:t>
      </w:r>
      <w:r w:rsidR="00191AB0" w:rsidRPr="002D0EA2">
        <w:rPr>
          <w:rFonts w:ascii="Arial" w:hAnsi="Arial" w:cs="Arial"/>
          <w:bCs/>
          <w:sz w:val="24"/>
          <w:szCs w:val="24"/>
        </w:rPr>
        <w:t>the</w:t>
      </w:r>
      <w:r w:rsidR="00191AB0">
        <w:rPr>
          <w:rFonts w:ascii="Arial" w:hAnsi="Arial" w:cs="Arial"/>
          <w:bCs/>
          <w:sz w:val="24"/>
          <w:szCs w:val="24"/>
        </w:rPr>
        <w:t xml:space="preserve"> </w:t>
      </w:r>
      <w:r w:rsidR="00AF55C3" w:rsidRPr="00CD335D">
        <w:rPr>
          <w:rFonts w:ascii="Arial" w:hAnsi="Arial" w:cs="Arial"/>
          <w:bCs/>
          <w:sz w:val="24"/>
          <w:szCs w:val="24"/>
        </w:rPr>
        <w:t xml:space="preserve">OSD must be seen in that light. </w:t>
      </w:r>
      <w:r w:rsidR="00441D7A" w:rsidRPr="00CD335D">
        <w:rPr>
          <w:rFonts w:ascii="Arial" w:hAnsi="Arial" w:cs="Arial"/>
          <w:bCs/>
          <w:sz w:val="24"/>
          <w:szCs w:val="24"/>
        </w:rPr>
        <w:t xml:space="preserve">For that reason, </w:t>
      </w:r>
      <w:r w:rsidR="001A1CE4" w:rsidRPr="00CD335D">
        <w:rPr>
          <w:rFonts w:ascii="Arial" w:hAnsi="Arial" w:cs="Arial"/>
          <w:bCs/>
          <w:sz w:val="24"/>
          <w:szCs w:val="24"/>
        </w:rPr>
        <w:t>I am unable to agree with the appellants’ contention that the NDPP’s approval was unlawful.</w:t>
      </w:r>
    </w:p>
    <w:p w14:paraId="2879821F" w14:textId="77777777" w:rsidR="005E3EC3" w:rsidRDefault="005E3EC3" w:rsidP="006B2CB9">
      <w:pPr>
        <w:pStyle w:val="ListParagraph"/>
        <w:spacing w:line="360" w:lineRule="auto"/>
        <w:ind w:left="0"/>
        <w:jc w:val="both"/>
        <w:rPr>
          <w:rFonts w:ascii="Arial" w:hAnsi="Arial" w:cs="Arial"/>
          <w:bCs/>
          <w:sz w:val="24"/>
          <w:szCs w:val="24"/>
        </w:rPr>
      </w:pPr>
    </w:p>
    <w:p w14:paraId="438A6200" w14:textId="31A87893" w:rsidR="00FF10DA" w:rsidRDefault="005E3EC3" w:rsidP="006B2CB9">
      <w:pPr>
        <w:pStyle w:val="ListParagraph"/>
        <w:spacing w:line="360" w:lineRule="auto"/>
        <w:ind w:left="0"/>
        <w:jc w:val="both"/>
        <w:rPr>
          <w:rFonts w:ascii="Arial" w:hAnsi="Arial" w:cs="Arial"/>
          <w:bCs/>
          <w:sz w:val="24"/>
          <w:szCs w:val="24"/>
        </w:rPr>
      </w:pPr>
      <w:r>
        <w:rPr>
          <w:rFonts w:ascii="Arial" w:hAnsi="Arial" w:cs="Arial"/>
          <w:bCs/>
          <w:sz w:val="24"/>
          <w:szCs w:val="24"/>
        </w:rPr>
        <w:t>[3</w:t>
      </w:r>
      <w:r w:rsidR="008F0BEA">
        <w:rPr>
          <w:rFonts w:ascii="Arial" w:hAnsi="Arial" w:cs="Arial"/>
          <w:bCs/>
          <w:sz w:val="24"/>
          <w:szCs w:val="24"/>
        </w:rPr>
        <w:t>1</w:t>
      </w:r>
      <w:r>
        <w:rPr>
          <w:rFonts w:ascii="Arial" w:hAnsi="Arial" w:cs="Arial"/>
          <w:bCs/>
          <w:sz w:val="24"/>
          <w:szCs w:val="24"/>
        </w:rPr>
        <w:t>]</w:t>
      </w:r>
      <w:r>
        <w:rPr>
          <w:rFonts w:ascii="Arial" w:hAnsi="Arial" w:cs="Arial"/>
          <w:bCs/>
          <w:sz w:val="24"/>
          <w:szCs w:val="24"/>
        </w:rPr>
        <w:tab/>
      </w:r>
      <w:r w:rsidR="00336CE7">
        <w:rPr>
          <w:rFonts w:ascii="Arial" w:hAnsi="Arial" w:cs="Arial"/>
          <w:bCs/>
          <w:sz w:val="24"/>
          <w:szCs w:val="24"/>
        </w:rPr>
        <w:t xml:space="preserve">As regards </w:t>
      </w:r>
      <w:r>
        <w:rPr>
          <w:rFonts w:ascii="Arial" w:hAnsi="Arial" w:cs="Arial"/>
          <w:bCs/>
          <w:sz w:val="24"/>
          <w:szCs w:val="24"/>
        </w:rPr>
        <w:t xml:space="preserve">the </w:t>
      </w:r>
      <w:r w:rsidR="00336CE7">
        <w:rPr>
          <w:rFonts w:ascii="Arial" w:hAnsi="Arial" w:cs="Arial"/>
          <w:bCs/>
          <w:sz w:val="24"/>
          <w:szCs w:val="24"/>
        </w:rPr>
        <w:t>enforceability</w:t>
      </w:r>
      <w:r>
        <w:rPr>
          <w:rFonts w:ascii="Arial" w:hAnsi="Arial" w:cs="Arial"/>
          <w:bCs/>
          <w:sz w:val="24"/>
          <w:szCs w:val="24"/>
        </w:rPr>
        <w:t xml:space="preserve"> of the NDPP’s approval</w:t>
      </w:r>
      <w:r w:rsidR="00336CE7">
        <w:rPr>
          <w:rFonts w:ascii="Arial" w:hAnsi="Arial" w:cs="Arial"/>
          <w:bCs/>
          <w:sz w:val="24"/>
          <w:szCs w:val="24"/>
        </w:rPr>
        <w:t xml:space="preserve">, </w:t>
      </w:r>
      <w:r w:rsidR="00061B61">
        <w:rPr>
          <w:rFonts w:ascii="Arial" w:hAnsi="Arial" w:cs="Arial"/>
          <w:bCs/>
          <w:sz w:val="24"/>
          <w:szCs w:val="24"/>
        </w:rPr>
        <w:t xml:space="preserve">I agree with </w:t>
      </w:r>
      <w:r w:rsidR="00D26436">
        <w:rPr>
          <w:rFonts w:ascii="Arial" w:hAnsi="Arial" w:cs="Arial"/>
          <w:bCs/>
          <w:sz w:val="24"/>
          <w:szCs w:val="24"/>
        </w:rPr>
        <w:t xml:space="preserve">the appellants’ contention that the NDPP’s endorsement of the translation to </w:t>
      </w:r>
      <w:r w:rsidR="00191AB0" w:rsidRPr="002D0EA2">
        <w:rPr>
          <w:rFonts w:ascii="Arial" w:hAnsi="Arial" w:cs="Arial"/>
          <w:bCs/>
          <w:sz w:val="24"/>
          <w:szCs w:val="24"/>
        </w:rPr>
        <w:t>the</w:t>
      </w:r>
      <w:r w:rsidR="00191AB0">
        <w:rPr>
          <w:rFonts w:ascii="Arial" w:hAnsi="Arial" w:cs="Arial"/>
          <w:bCs/>
          <w:sz w:val="24"/>
          <w:szCs w:val="24"/>
        </w:rPr>
        <w:t xml:space="preserve"> </w:t>
      </w:r>
      <w:r w:rsidR="00D26436">
        <w:rPr>
          <w:rFonts w:ascii="Arial" w:hAnsi="Arial" w:cs="Arial"/>
          <w:bCs/>
          <w:sz w:val="24"/>
          <w:szCs w:val="24"/>
        </w:rPr>
        <w:t xml:space="preserve">OSD could not be elevated to </w:t>
      </w:r>
      <w:r w:rsidR="009165E0">
        <w:rPr>
          <w:rFonts w:ascii="Arial" w:hAnsi="Arial" w:cs="Arial"/>
          <w:bCs/>
          <w:sz w:val="24"/>
          <w:szCs w:val="24"/>
        </w:rPr>
        <w:t xml:space="preserve">a binding </w:t>
      </w:r>
      <w:r w:rsidR="009165E0" w:rsidRPr="004907C9">
        <w:rPr>
          <w:rFonts w:ascii="Arial" w:hAnsi="Arial" w:cs="Arial"/>
          <w:bCs/>
          <w:sz w:val="24"/>
          <w:szCs w:val="24"/>
        </w:rPr>
        <w:t xml:space="preserve">decision </w:t>
      </w:r>
      <w:r w:rsidR="0016678B" w:rsidRPr="004907C9">
        <w:rPr>
          <w:rFonts w:ascii="Arial" w:hAnsi="Arial" w:cs="Arial"/>
          <w:bCs/>
          <w:sz w:val="24"/>
          <w:szCs w:val="24"/>
        </w:rPr>
        <w:t xml:space="preserve">that could finally determine </w:t>
      </w:r>
      <w:r w:rsidR="002F5FD0" w:rsidRPr="004907C9">
        <w:rPr>
          <w:rFonts w:ascii="Arial" w:hAnsi="Arial" w:cs="Arial"/>
          <w:bCs/>
          <w:sz w:val="24"/>
          <w:szCs w:val="24"/>
        </w:rPr>
        <w:t xml:space="preserve">the salaries of the DDPPs and </w:t>
      </w:r>
      <w:r w:rsidR="00C8032E" w:rsidRPr="004907C9">
        <w:rPr>
          <w:rFonts w:ascii="Arial" w:hAnsi="Arial" w:cs="Arial"/>
          <w:bCs/>
          <w:sz w:val="24"/>
          <w:szCs w:val="24"/>
        </w:rPr>
        <w:t>CPs</w:t>
      </w:r>
      <w:r w:rsidR="00061B61" w:rsidRPr="004907C9">
        <w:rPr>
          <w:rFonts w:ascii="Arial" w:hAnsi="Arial" w:cs="Arial"/>
          <w:bCs/>
          <w:sz w:val="24"/>
          <w:szCs w:val="24"/>
        </w:rPr>
        <w:t xml:space="preserve">. That this is so </w:t>
      </w:r>
      <w:r w:rsidR="00C8032E" w:rsidRPr="004907C9">
        <w:rPr>
          <w:rFonts w:ascii="Arial" w:hAnsi="Arial" w:cs="Arial"/>
          <w:bCs/>
          <w:sz w:val="24"/>
          <w:szCs w:val="24"/>
        </w:rPr>
        <w:t xml:space="preserve">is </w:t>
      </w:r>
      <w:r w:rsidR="007322E0" w:rsidRPr="007B6567">
        <w:rPr>
          <w:rFonts w:ascii="Arial" w:hAnsi="Arial" w:cs="Arial"/>
          <w:bCs/>
          <w:sz w:val="24"/>
          <w:szCs w:val="24"/>
        </w:rPr>
        <w:t>manifest</w:t>
      </w:r>
      <w:r w:rsidR="00336CE7" w:rsidRPr="004907C9">
        <w:rPr>
          <w:rFonts w:ascii="Arial" w:hAnsi="Arial" w:cs="Arial"/>
          <w:bCs/>
          <w:sz w:val="24"/>
          <w:szCs w:val="24"/>
        </w:rPr>
        <w:t xml:space="preserve"> from the </w:t>
      </w:r>
      <w:r w:rsidR="00C8032E" w:rsidRPr="004907C9">
        <w:rPr>
          <w:rFonts w:ascii="Arial" w:hAnsi="Arial" w:cs="Arial"/>
          <w:bCs/>
          <w:sz w:val="24"/>
          <w:szCs w:val="24"/>
        </w:rPr>
        <w:t>clear provisions</w:t>
      </w:r>
      <w:r w:rsidR="00C8032E">
        <w:rPr>
          <w:rFonts w:ascii="Arial" w:hAnsi="Arial" w:cs="Arial"/>
          <w:bCs/>
          <w:sz w:val="24"/>
          <w:szCs w:val="24"/>
        </w:rPr>
        <w:t xml:space="preserve"> of s 18(1) of the NPA Act, which </w:t>
      </w:r>
      <w:r w:rsidR="001239D5">
        <w:rPr>
          <w:rFonts w:ascii="Arial" w:hAnsi="Arial" w:cs="Arial"/>
          <w:bCs/>
          <w:sz w:val="24"/>
          <w:szCs w:val="24"/>
        </w:rPr>
        <w:t xml:space="preserve">not only </w:t>
      </w:r>
      <w:r w:rsidR="00336CE7">
        <w:rPr>
          <w:rFonts w:ascii="Arial" w:hAnsi="Arial" w:cs="Arial"/>
          <w:bCs/>
          <w:sz w:val="24"/>
          <w:szCs w:val="24"/>
        </w:rPr>
        <w:t xml:space="preserve">requires </w:t>
      </w:r>
      <w:r w:rsidR="0045082A">
        <w:rPr>
          <w:rFonts w:ascii="Arial" w:hAnsi="Arial" w:cs="Arial"/>
          <w:bCs/>
          <w:sz w:val="24"/>
          <w:szCs w:val="24"/>
        </w:rPr>
        <w:t xml:space="preserve">the Minister’s determination to be in </w:t>
      </w:r>
      <w:r w:rsidR="0045082A" w:rsidRPr="00D82114">
        <w:rPr>
          <w:rFonts w:ascii="Arial" w:hAnsi="Arial" w:cs="Arial"/>
          <w:bCs/>
          <w:sz w:val="24"/>
          <w:szCs w:val="24"/>
        </w:rPr>
        <w:t>consultation with the N</w:t>
      </w:r>
      <w:r w:rsidR="001239D5" w:rsidRPr="00D82114">
        <w:rPr>
          <w:rFonts w:ascii="Arial" w:hAnsi="Arial" w:cs="Arial"/>
          <w:bCs/>
          <w:sz w:val="24"/>
          <w:szCs w:val="24"/>
        </w:rPr>
        <w:t>DPP</w:t>
      </w:r>
      <w:r w:rsidR="0045082A" w:rsidRPr="00D82114">
        <w:rPr>
          <w:rFonts w:ascii="Arial" w:hAnsi="Arial" w:cs="Arial"/>
          <w:bCs/>
          <w:sz w:val="24"/>
          <w:szCs w:val="24"/>
        </w:rPr>
        <w:t xml:space="preserve"> </w:t>
      </w:r>
      <w:r w:rsidR="001239D5" w:rsidRPr="00D82114">
        <w:rPr>
          <w:rFonts w:ascii="Arial" w:hAnsi="Arial" w:cs="Arial"/>
          <w:bCs/>
          <w:sz w:val="24"/>
          <w:szCs w:val="24"/>
        </w:rPr>
        <w:t xml:space="preserve">but also requires the concurrence of the Minister of Finance. </w:t>
      </w:r>
      <w:r w:rsidR="00272343" w:rsidRPr="00D82114">
        <w:rPr>
          <w:rFonts w:ascii="Arial" w:hAnsi="Arial" w:cs="Arial"/>
          <w:bCs/>
          <w:sz w:val="24"/>
          <w:szCs w:val="24"/>
        </w:rPr>
        <w:t>Since the NDPP was not authorised to determine the salaries of the DDPPs and CPs, i</w:t>
      </w:r>
      <w:r w:rsidR="00AB683C" w:rsidRPr="00D82114">
        <w:rPr>
          <w:rFonts w:ascii="Arial" w:hAnsi="Arial" w:cs="Arial"/>
          <w:bCs/>
          <w:sz w:val="24"/>
          <w:szCs w:val="24"/>
        </w:rPr>
        <w:t xml:space="preserve">t follows that the PSA’s assertion that the NDPP’s approval </w:t>
      </w:r>
      <w:r w:rsidR="00A5621B" w:rsidRPr="00D82114">
        <w:rPr>
          <w:rFonts w:ascii="Arial" w:hAnsi="Arial" w:cs="Arial"/>
          <w:bCs/>
          <w:sz w:val="24"/>
          <w:szCs w:val="24"/>
        </w:rPr>
        <w:t>created a legitimate expectation</w:t>
      </w:r>
      <w:r w:rsidR="00A5621B">
        <w:rPr>
          <w:rFonts w:ascii="Arial" w:hAnsi="Arial" w:cs="Arial"/>
          <w:bCs/>
          <w:sz w:val="24"/>
          <w:szCs w:val="24"/>
        </w:rPr>
        <w:t xml:space="preserve"> that </w:t>
      </w:r>
      <w:r w:rsidR="00AB683C">
        <w:rPr>
          <w:rFonts w:ascii="Arial" w:hAnsi="Arial" w:cs="Arial"/>
          <w:bCs/>
          <w:sz w:val="24"/>
          <w:szCs w:val="24"/>
        </w:rPr>
        <w:t xml:space="preserve">its aggrieved members </w:t>
      </w:r>
      <w:r w:rsidR="00A5621B">
        <w:rPr>
          <w:rFonts w:ascii="Arial" w:hAnsi="Arial" w:cs="Arial"/>
          <w:bCs/>
          <w:sz w:val="24"/>
          <w:szCs w:val="24"/>
        </w:rPr>
        <w:t xml:space="preserve">were entitled to </w:t>
      </w:r>
      <w:r w:rsidR="0098440F">
        <w:rPr>
          <w:rFonts w:ascii="Arial" w:hAnsi="Arial" w:cs="Arial"/>
          <w:bCs/>
          <w:sz w:val="24"/>
          <w:szCs w:val="24"/>
        </w:rPr>
        <w:t xml:space="preserve">be translated to </w:t>
      </w:r>
      <w:r w:rsidR="00AB683C">
        <w:rPr>
          <w:rFonts w:ascii="Arial" w:hAnsi="Arial" w:cs="Arial"/>
          <w:bCs/>
          <w:sz w:val="24"/>
          <w:szCs w:val="24"/>
        </w:rPr>
        <w:t>OSD</w:t>
      </w:r>
      <w:r w:rsidR="00DA3053">
        <w:rPr>
          <w:rFonts w:ascii="Arial" w:hAnsi="Arial" w:cs="Arial"/>
          <w:bCs/>
          <w:sz w:val="24"/>
          <w:szCs w:val="24"/>
        </w:rPr>
        <w:t>, was misplaced.</w:t>
      </w:r>
      <w:r w:rsidR="005625DD">
        <w:rPr>
          <w:rStyle w:val="FootnoteReference"/>
          <w:rFonts w:ascii="Arial" w:hAnsi="Arial" w:cs="Arial"/>
          <w:bCs/>
          <w:sz w:val="24"/>
          <w:szCs w:val="24"/>
        </w:rPr>
        <w:footnoteReference w:id="22"/>
      </w:r>
      <w:r w:rsidR="00AB683C">
        <w:rPr>
          <w:rFonts w:ascii="Arial" w:hAnsi="Arial" w:cs="Arial"/>
          <w:bCs/>
          <w:sz w:val="24"/>
          <w:szCs w:val="24"/>
        </w:rPr>
        <w:t xml:space="preserve"> </w:t>
      </w:r>
      <w:r w:rsidR="00C724F2">
        <w:rPr>
          <w:rFonts w:ascii="Arial" w:hAnsi="Arial" w:cs="Arial"/>
          <w:bCs/>
          <w:sz w:val="24"/>
          <w:szCs w:val="24"/>
        </w:rPr>
        <w:t xml:space="preserve">This finding, however, is not dispositive of the </w:t>
      </w:r>
      <w:r w:rsidR="00DA3053">
        <w:rPr>
          <w:rFonts w:ascii="Arial" w:hAnsi="Arial" w:cs="Arial"/>
          <w:bCs/>
          <w:sz w:val="24"/>
          <w:szCs w:val="24"/>
        </w:rPr>
        <w:t xml:space="preserve">appeal. </w:t>
      </w:r>
    </w:p>
    <w:p w14:paraId="2670F85E" w14:textId="05D052BE" w:rsidR="00061B61" w:rsidRDefault="00061B61" w:rsidP="006B2CB9">
      <w:pPr>
        <w:pStyle w:val="ListParagraph"/>
        <w:spacing w:line="360" w:lineRule="auto"/>
        <w:ind w:left="0"/>
        <w:jc w:val="both"/>
        <w:rPr>
          <w:rFonts w:ascii="Arial" w:hAnsi="Arial" w:cs="Arial"/>
          <w:bCs/>
          <w:sz w:val="24"/>
          <w:szCs w:val="24"/>
        </w:rPr>
      </w:pPr>
    </w:p>
    <w:p w14:paraId="2FC5A6AE" w14:textId="7FBF66BB" w:rsidR="00172A71" w:rsidRDefault="00061B61" w:rsidP="009A3320">
      <w:pPr>
        <w:spacing w:after="0" w:line="360" w:lineRule="auto"/>
        <w:jc w:val="both"/>
        <w:rPr>
          <w:rFonts w:ascii="Arial" w:hAnsi="Arial" w:cs="Arial"/>
          <w:bCs/>
          <w:sz w:val="24"/>
          <w:szCs w:val="24"/>
        </w:rPr>
      </w:pPr>
      <w:r>
        <w:rPr>
          <w:rFonts w:ascii="Arial" w:hAnsi="Arial" w:cs="Arial"/>
          <w:bCs/>
          <w:sz w:val="24"/>
          <w:szCs w:val="24"/>
        </w:rPr>
        <w:t>[</w:t>
      </w:r>
      <w:r w:rsidR="005F5798">
        <w:rPr>
          <w:rFonts w:ascii="Arial" w:hAnsi="Arial" w:cs="Arial"/>
          <w:bCs/>
          <w:sz w:val="24"/>
          <w:szCs w:val="24"/>
        </w:rPr>
        <w:t>3</w:t>
      </w:r>
      <w:r w:rsidR="008F0BEA">
        <w:rPr>
          <w:rFonts w:ascii="Arial" w:hAnsi="Arial" w:cs="Arial"/>
          <w:bCs/>
          <w:sz w:val="24"/>
          <w:szCs w:val="24"/>
        </w:rPr>
        <w:t>2</w:t>
      </w:r>
      <w:r>
        <w:rPr>
          <w:rFonts w:ascii="Arial" w:hAnsi="Arial" w:cs="Arial"/>
          <w:bCs/>
          <w:sz w:val="24"/>
          <w:szCs w:val="24"/>
        </w:rPr>
        <w:t>]</w:t>
      </w:r>
      <w:r>
        <w:rPr>
          <w:rFonts w:ascii="Arial" w:hAnsi="Arial" w:cs="Arial"/>
          <w:bCs/>
          <w:sz w:val="24"/>
          <w:szCs w:val="24"/>
        </w:rPr>
        <w:tab/>
      </w:r>
      <w:r w:rsidR="00C724F2" w:rsidRPr="00D82114">
        <w:rPr>
          <w:rFonts w:ascii="Arial" w:hAnsi="Arial" w:cs="Arial"/>
          <w:bCs/>
          <w:sz w:val="24"/>
          <w:szCs w:val="24"/>
        </w:rPr>
        <w:t>A</w:t>
      </w:r>
      <w:r w:rsidR="00830DE7" w:rsidRPr="00D82114">
        <w:rPr>
          <w:rFonts w:ascii="Arial" w:hAnsi="Arial" w:cs="Arial"/>
          <w:bCs/>
          <w:sz w:val="24"/>
          <w:szCs w:val="24"/>
        </w:rPr>
        <w:t>n</w:t>
      </w:r>
      <w:r w:rsidR="006B6A13" w:rsidRPr="00D82114">
        <w:rPr>
          <w:rFonts w:ascii="Arial" w:hAnsi="Arial" w:cs="Arial"/>
          <w:bCs/>
          <w:sz w:val="24"/>
          <w:szCs w:val="24"/>
        </w:rPr>
        <w:t>other</w:t>
      </w:r>
      <w:r w:rsidR="00830DE7" w:rsidRPr="00D82114">
        <w:rPr>
          <w:rFonts w:ascii="Arial" w:hAnsi="Arial" w:cs="Arial"/>
          <w:bCs/>
          <w:sz w:val="24"/>
          <w:szCs w:val="24"/>
        </w:rPr>
        <w:t xml:space="preserve"> important consideration </w:t>
      </w:r>
      <w:r w:rsidR="0090252F" w:rsidRPr="00D82114">
        <w:rPr>
          <w:rFonts w:ascii="Arial" w:hAnsi="Arial" w:cs="Arial"/>
          <w:bCs/>
          <w:sz w:val="24"/>
          <w:szCs w:val="24"/>
        </w:rPr>
        <w:t xml:space="preserve">which </w:t>
      </w:r>
      <w:r w:rsidR="0075025E" w:rsidRPr="00D82114">
        <w:rPr>
          <w:rFonts w:ascii="Arial" w:hAnsi="Arial" w:cs="Arial"/>
          <w:bCs/>
          <w:sz w:val="24"/>
          <w:szCs w:val="24"/>
        </w:rPr>
        <w:t xml:space="preserve">was debated with counsel during the hearing is </w:t>
      </w:r>
      <w:r w:rsidR="0090252F" w:rsidRPr="00D82114">
        <w:rPr>
          <w:rFonts w:ascii="Arial" w:hAnsi="Arial" w:cs="Arial"/>
          <w:bCs/>
          <w:sz w:val="24"/>
          <w:szCs w:val="24"/>
        </w:rPr>
        <w:t xml:space="preserve">as </w:t>
      </w:r>
      <w:r w:rsidR="0075025E" w:rsidRPr="00D82114">
        <w:rPr>
          <w:rFonts w:ascii="Arial" w:hAnsi="Arial" w:cs="Arial"/>
          <w:bCs/>
          <w:sz w:val="24"/>
          <w:szCs w:val="24"/>
        </w:rPr>
        <w:t>regard</w:t>
      </w:r>
      <w:r w:rsidR="0090252F" w:rsidRPr="00D82114">
        <w:rPr>
          <w:rFonts w:ascii="Arial" w:hAnsi="Arial" w:cs="Arial"/>
          <w:bCs/>
          <w:sz w:val="24"/>
          <w:szCs w:val="24"/>
        </w:rPr>
        <w:t xml:space="preserve">s the assertion that the DDPPs and CPs </w:t>
      </w:r>
      <w:r w:rsidR="00CF3CCC" w:rsidRPr="00D82114">
        <w:rPr>
          <w:rFonts w:ascii="Arial" w:hAnsi="Arial" w:cs="Arial"/>
          <w:bCs/>
          <w:sz w:val="24"/>
          <w:szCs w:val="24"/>
        </w:rPr>
        <w:t xml:space="preserve">evidenced their consent to the implementation of </w:t>
      </w:r>
      <w:r w:rsidR="008537A7" w:rsidRPr="002D0EA2">
        <w:rPr>
          <w:rFonts w:ascii="Arial" w:hAnsi="Arial" w:cs="Arial"/>
          <w:bCs/>
          <w:sz w:val="24"/>
          <w:szCs w:val="24"/>
        </w:rPr>
        <w:t>the</w:t>
      </w:r>
      <w:r w:rsidR="008537A7">
        <w:rPr>
          <w:rFonts w:ascii="Arial" w:hAnsi="Arial" w:cs="Arial"/>
          <w:bCs/>
          <w:sz w:val="24"/>
          <w:szCs w:val="24"/>
        </w:rPr>
        <w:t xml:space="preserve"> </w:t>
      </w:r>
      <w:r w:rsidR="00CF3CCC" w:rsidRPr="00D82114">
        <w:rPr>
          <w:rFonts w:ascii="Arial" w:hAnsi="Arial" w:cs="Arial"/>
          <w:bCs/>
          <w:sz w:val="24"/>
          <w:szCs w:val="24"/>
        </w:rPr>
        <w:t xml:space="preserve">OSD by signing performance agreements. </w:t>
      </w:r>
      <w:r w:rsidR="00172A71" w:rsidRPr="00D82114">
        <w:rPr>
          <w:rFonts w:ascii="Arial" w:hAnsi="Arial" w:cs="Arial"/>
          <w:bCs/>
          <w:sz w:val="24"/>
          <w:szCs w:val="24"/>
        </w:rPr>
        <w:t>For the reasons that follow, I am of the view that the PSA’s claim on the implementation</w:t>
      </w:r>
      <w:r w:rsidR="00172A71" w:rsidRPr="007A5232">
        <w:rPr>
          <w:rFonts w:ascii="Arial" w:hAnsi="Arial" w:cs="Arial"/>
          <w:bCs/>
          <w:sz w:val="24"/>
          <w:szCs w:val="24"/>
        </w:rPr>
        <w:t xml:space="preserve"> of any agreement premised on the NDPP’s approval fell to be dismissed</w:t>
      </w:r>
      <w:r w:rsidR="00172A71">
        <w:rPr>
          <w:rFonts w:ascii="Arial" w:hAnsi="Arial" w:cs="Arial"/>
          <w:bCs/>
          <w:sz w:val="24"/>
          <w:szCs w:val="24"/>
        </w:rPr>
        <w:t>.</w:t>
      </w:r>
    </w:p>
    <w:p w14:paraId="5769818C" w14:textId="77777777" w:rsidR="00FF10DA" w:rsidRDefault="00FF10DA" w:rsidP="00B354D9">
      <w:pPr>
        <w:spacing w:after="0" w:line="360" w:lineRule="auto"/>
        <w:jc w:val="both"/>
        <w:rPr>
          <w:rFonts w:ascii="Arial" w:hAnsi="Arial" w:cs="Arial"/>
          <w:bCs/>
          <w:sz w:val="24"/>
          <w:szCs w:val="24"/>
        </w:rPr>
      </w:pPr>
    </w:p>
    <w:p w14:paraId="4544206D" w14:textId="777EED87" w:rsidR="00FF10DA" w:rsidRDefault="0025212B" w:rsidP="009A3320">
      <w:pPr>
        <w:spacing w:after="0" w:line="360" w:lineRule="auto"/>
        <w:jc w:val="both"/>
        <w:rPr>
          <w:rFonts w:ascii="Arial" w:hAnsi="Arial" w:cs="Arial"/>
          <w:bCs/>
          <w:sz w:val="24"/>
          <w:szCs w:val="24"/>
        </w:rPr>
      </w:pPr>
      <w:r>
        <w:rPr>
          <w:rFonts w:ascii="Arial" w:hAnsi="Arial" w:cs="Arial"/>
          <w:bCs/>
          <w:sz w:val="24"/>
          <w:szCs w:val="24"/>
        </w:rPr>
        <w:t>[3</w:t>
      </w:r>
      <w:r w:rsidR="008F0BEA">
        <w:rPr>
          <w:rFonts w:ascii="Arial" w:hAnsi="Arial" w:cs="Arial"/>
          <w:bCs/>
          <w:sz w:val="24"/>
          <w:szCs w:val="24"/>
        </w:rPr>
        <w:t>3</w:t>
      </w:r>
      <w:r>
        <w:rPr>
          <w:rFonts w:ascii="Arial" w:hAnsi="Arial" w:cs="Arial"/>
          <w:bCs/>
          <w:sz w:val="24"/>
          <w:szCs w:val="24"/>
        </w:rPr>
        <w:t>]</w:t>
      </w:r>
      <w:r>
        <w:rPr>
          <w:rFonts w:ascii="Arial" w:hAnsi="Arial" w:cs="Arial"/>
          <w:bCs/>
          <w:sz w:val="24"/>
          <w:szCs w:val="24"/>
        </w:rPr>
        <w:tab/>
      </w:r>
      <w:r w:rsidR="00A16210">
        <w:rPr>
          <w:rFonts w:ascii="Arial" w:hAnsi="Arial" w:cs="Arial"/>
          <w:bCs/>
          <w:sz w:val="24"/>
          <w:szCs w:val="24"/>
        </w:rPr>
        <w:t xml:space="preserve">It is clear that </w:t>
      </w:r>
      <w:r w:rsidR="001862D8">
        <w:rPr>
          <w:rFonts w:ascii="Arial" w:hAnsi="Arial" w:cs="Arial"/>
          <w:bCs/>
          <w:sz w:val="24"/>
          <w:szCs w:val="24"/>
        </w:rPr>
        <w:t>t</w:t>
      </w:r>
      <w:r w:rsidR="002B2F73" w:rsidRPr="007A5232">
        <w:rPr>
          <w:rFonts w:ascii="Arial" w:hAnsi="Arial" w:cs="Arial"/>
          <w:bCs/>
          <w:sz w:val="24"/>
          <w:szCs w:val="24"/>
        </w:rPr>
        <w:t xml:space="preserve">he NDPP’s approval of the Chief Director’s recommendations was not without conditions. It suggested that (i) the Deputy Directors of Public </w:t>
      </w:r>
      <w:r w:rsidR="002B2F73" w:rsidRPr="007A5232">
        <w:rPr>
          <w:rFonts w:ascii="Arial" w:hAnsi="Arial" w:cs="Arial"/>
          <w:bCs/>
          <w:sz w:val="24"/>
          <w:szCs w:val="24"/>
        </w:rPr>
        <w:lastRenderedPageBreak/>
        <w:t>Prosecution (DDPPs) on salary level 13 and 14 were to be regarded as production specialist on the basis that they performed not less than 80</w:t>
      </w:r>
      <w:r w:rsidR="00F83002">
        <w:rPr>
          <w:rFonts w:ascii="Arial" w:hAnsi="Arial" w:cs="Arial"/>
          <w:bCs/>
          <w:sz w:val="24"/>
          <w:szCs w:val="24"/>
        </w:rPr>
        <w:t xml:space="preserve"> percent</w:t>
      </w:r>
      <w:r w:rsidR="00F83002" w:rsidRPr="007A5232">
        <w:rPr>
          <w:rFonts w:ascii="Arial" w:hAnsi="Arial" w:cs="Arial"/>
          <w:bCs/>
          <w:sz w:val="24"/>
          <w:szCs w:val="24"/>
        </w:rPr>
        <w:t xml:space="preserve"> </w:t>
      </w:r>
      <w:r w:rsidR="002B2F73" w:rsidRPr="007A5232">
        <w:rPr>
          <w:rFonts w:ascii="Arial" w:hAnsi="Arial" w:cs="Arial"/>
          <w:bCs/>
          <w:sz w:val="24"/>
          <w:szCs w:val="24"/>
        </w:rPr>
        <w:t xml:space="preserve">production work; and, (ii) the qualifying DDPPs on level 13 and 14 were to be migrated out of the Senior Management Service (SMS) salary dispensation to the OSD on salary level LP10, should they consent. The NDPP clearly envisaged that the individual employees would have to consent to the translation. Similarly, the CEO’s memorandum dated 24 November 2014, addressed to </w:t>
      </w:r>
      <w:r w:rsidR="00D837C4">
        <w:rPr>
          <w:rFonts w:ascii="Arial" w:hAnsi="Arial" w:cs="Arial"/>
          <w:bCs/>
          <w:sz w:val="24"/>
          <w:szCs w:val="24"/>
        </w:rPr>
        <w:t xml:space="preserve">all Deputy National Directors and copied to </w:t>
      </w:r>
      <w:r w:rsidR="002B2F73" w:rsidRPr="007A5232">
        <w:rPr>
          <w:rFonts w:ascii="Arial" w:hAnsi="Arial" w:cs="Arial"/>
          <w:bCs/>
          <w:sz w:val="24"/>
          <w:szCs w:val="24"/>
        </w:rPr>
        <w:t xml:space="preserve">the NDPP, also made it clear that the DDPPs </w:t>
      </w:r>
      <w:r w:rsidR="00C37D49">
        <w:rPr>
          <w:rFonts w:ascii="Arial" w:hAnsi="Arial" w:cs="Arial"/>
          <w:bCs/>
          <w:sz w:val="24"/>
          <w:szCs w:val="24"/>
        </w:rPr>
        <w:t xml:space="preserve">and CPs </w:t>
      </w:r>
      <w:r w:rsidR="002B2F73" w:rsidRPr="007A5232">
        <w:rPr>
          <w:rFonts w:ascii="Arial" w:hAnsi="Arial" w:cs="Arial"/>
          <w:bCs/>
          <w:sz w:val="24"/>
          <w:szCs w:val="24"/>
        </w:rPr>
        <w:t>would be ‘required to relinquish their positions as members of the SMS dispensation and be classified as production units as opposed to management echelon’</w:t>
      </w:r>
      <w:r w:rsidR="00FF10DA">
        <w:rPr>
          <w:rFonts w:ascii="Arial" w:hAnsi="Arial" w:cs="Arial"/>
          <w:bCs/>
          <w:sz w:val="24"/>
          <w:szCs w:val="24"/>
        </w:rPr>
        <w:t>.</w:t>
      </w:r>
    </w:p>
    <w:p w14:paraId="4F18CA62" w14:textId="20CB7D45" w:rsidR="002B2F73" w:rsidRPr="00E433CC" w:rsidRDefault="002B2F73" w:rsidP="003805AB">
      <w:pPr>
        <w:spacing w:after="0" w:line="360" w:lineRule="auto"/>
        <w:jc w:val="both"/>
        <w:rPr>
          <w:rFonts w:ascii="Arial" w:hAnsi="Arial" w:cs="Arial"/>
          <w:bCs/>
          <w:sz w:val="24"/>
          <w:szCs w:val="24"/>
        </w:rPr>
      </w:pPr>
    </w:p>
    <w:p w14:paraId="65FDBC01" w14:textId="5EEE07D3" w:rsidR="008138A3" w:rsidRDefault="0055030E" w:rsidP="009A3320">
      <w:pPr>
        <w:pStyle w:val="ListParagraph"/>
        <w:spacing w:after="0" w:line="360" w:lineRule="auto"/>
        <w:ind w:left="0"/>
        <w:jc w:val="both"/>
        <w:rPr>
          <w:rFonts w:ascii="Arial" w:hAnsi="Arial" w:cs="Arial"/>
          <w:bCs/>
          <w:sz w:val="24"/>
          <w:szCs w:val="24"/>
        </w:rPr>
      </w:pPr>
      <w:r>
        <w:rPr>
          <w:rFonts w:ascii="Arial" w:hAnsi="Arial" w:cs="Arial"/>
          <w:bCs/>
          <w:sz w:val="24"/>
          <w:szCs w:val="24"/>
        </w:rPr>
        <w:t>[3</w:t>
      </w:r>
      <w:r w:rsidR="008F0BEA">
        <w:rPr>
          <w:rFonts w:ascii="Arial" w:hAnsi="Arial" w:cs="Arial"/>
          <w:bCs/>
          <w:sz w:val="24"/>
          <w:szCs w:val="24"/>
        </w:rPr>
        <w:t>4</w:t>
      </w:r>
      <w:r>
        <w:rPr>
          <w:rFonts w:ascii="Arial" w:hAnsi="Arial" w:cs="Arial"/>
          <w:bCs/>
          <w:sz w:val="24"/>
          <w:szCs w:val="24"/>
        </w:rPr>
        <w:t>]</w:t>
      </w:r>
      <w:r>
        <w:rPr>
          <w:rFonts w:ascii="Arial" w:hAnsi="Arial" w:cs="Arial"/>
          <w:bCs/>
          <w:sz w:val="24"/>
          <w:szCs w:val="24"/>
        </w:rPr>
        <w:tab/>
      </w:r>
      <w:r w:rsidR="001E6C86">
        <w:rPr>
          <w:rFonts w:ascii="Arial" w:hAnsi="Arial" w:cs="Arial"/>
          <w:bCs/>
          <w:sz w:val="24"/>
          <w:szCs w:val="24"/>
        </w:rPr>
        <w:t>As mentioned before, e</w:t>
      </w:r>
      <w:r w:rsidR="00396DB8">
        <w:rPr>
          <w:rFonts w:ascii="Arial" w:hAnsi="Arial" w:cs="Arial"/>
          <w:bCs/>
          <w:sz w:val="24"/>
          <w:szCs w:val="24"/>
        </w:rPr>
        <w:t>ven on t</w:t>
      </w:r>
      <w:r w:rsidR="00BA7029" w:rsidRPr="004239B1">
        <w:rPr>
          <w:rFonts w:ascii="Arial" w:hAnsi="Arial" w:cs="Arial"/>
          <w:bCs/>
          <w:sz w:val="24"/>
          <w:szCs w:val="24"/>
        </w:rPr>
        <w:t xml:space="preserve">he PSA’s own </w:t>
      </w:r>
      <w:r w:rsidR="00396DB8">
        <w:rPr>
          <w:rFonts w:ascii="Arial" w:hAnsi="Arial" w:cs="Arial"/>
          <w:bCs/>
          <w:sz w:val="24"/>
          <w:szCs w:val="24"/>
        </w:rPr>
        <w:t>account of events</w:t>
      </w:r>
      <w:r w:rsidR="00BA7029" w:rsidRPr="004239B1">
        <w:rPr>
          <w:rFonts w:ascii="Arial" w:hAnsi="Arial" w:cs="Arial"/>
          <w:bCs/>
          <w:sz w:val="24"/>
          <w:szCs w:val="24"/>
        </w:rPr>
        <w:t xml:space="preserve">, the NDPP envisaged that the respective DDPPs and CPs would have to consent to the translation. </w:t>
      </w:r>
      <w:r w:rsidR="002C1AD3" w:rsidRPr="004239B1">
        <w:rPr>
          <w:rFonts w:ascii="Arial" w:hAnsi="Arial" w:cs="Arial"/>
          <w:bCs/>
          <w:sz w:val="24"/>
          <w:szCs w:val="24"/>
        </w:rPr>
        <w:t>It is of significance that the PSA in its replying affidavit state</w:t>
      </w:r>
      <w:r w:rsidR="002C1AD3">
        <w:rPr>
          <w:rFonts w:ascii="Arial" w:hAnsi="Arial" w:cs="Arial"/>
          <w:bCs/>
          <w:sz w:val="24"/>
          <w:szCs w:val="24"/>
        </w:rPr>
        <w:t>d</w:t>
      </w:r>
      <w:r w:rsidR="002C1AD3" w:rsidRPr="004239B1">
        <w:rPr>
          <w:rFonts w:ascii="Arial" w:hAnsi="Arial" w:cs="Arial"/>
          <w:bCs/>
          <w:sz w:val="24"/>
          <w:szCs w:val="24"/>
        </w:rPr>
        <w:t xml:space="preserve">: ‘consent to translate to OSD was a prerequisite. </w:t>
      </w:r>
      <w:r w:rsidR="00F667B6" w:rsidRPr="004239B1">
        <w:rPr>
          <w:rFonts w:ascii="Arial" w:hAnsi="Arial" w:cs="Arial"/>
          <w:bCs/>
          <w:sz w:val="24"/>
          <w:szCs w:val="24"/>
        </w:rPr>
        <w:t>Therefore, non-consenting [DDPPs and CPs] were not translated to OSD</w:t>
      </w:r>
      <w:r w:rsidR="00F83002">
        <w:rPr>
          <w:rFonts w:ascii="Arial" w:hAnsi="Arial" w:cs="Arial"/>
          <w:bCs/>
          <w:sz w:val="24"/>
          <w:szCs w:val="24"/>
        </w:rPr>
        <w:t>’.</w:t>
      </w:r>
      <w:r w:rsidR="00F667B6" w:rsidRPr="004239B1">
        <w:rPr>
          <w:rFonts w:ascii="Arial" w:hAnsi="Arial" w:cs="Arial"/>
          <w:bCs/>
          <w:sz w:val="24"/>
          <w:szCs w:val="24"/>
        </w:rPr>
        <w:t xml:space="preserve"> </w:t>
      </w:r>
      <w:r w:rsidR="00473B7A">
        <w:rPr>
          <w:rFonts w:ascii="Arial" w:hAnsi="Arial" w:cs="Arial"/>
          <w:bCs/>
          <w:sz w:val="24"/>
          <w:szCs w:val="24"/>
        </w:rPr>
        <w:t>Th</w:t>
      </w:r>
      <w:r w:rsidR="001E1CAA">
        <w:rPr>
          <w:rFonts w:ascii="Arial" w:hAnsi="Arial" w:cs="Arial"/>
          <w:bCs/>
          <w:sz w:val="24"/>
          <w:szCs w:val="24"/>
        </w:rPr>
        <w:t xml:space="preserve">e </w:t>
      </w:r>
      <w:r w:rsidR="00131DE6" w:rsidRPr="004239B1">
        <w:rPr>
          <w:rFonts w:ascii="Arial" w:hAnsi="Arial" w:cs="Arial"/>
          <w:bCs/>
          <w:sz w:val="24"/>
          <w:szCs w:val="24"/>
        </w:rPr>
        <w:t>recommendation</w:t>
      </w:r>
      <w:r w:rsidR="001E1CAA">
        <w:rPr>
          <w:rFonts w:ascii="Arial" w:hAnsi="Arial" w:cs="Arial"/>
          <w:bCs/>
          <w:sz w:val="24"/>
          <w:szCs w:val="24"/>
        </w:rPr>
        <w:t>s</w:t>
      </w:r>
      <w:r w:rsidR="00131DE6" w:rsidRPr="004239B1">
        <w:rPr>
          <w:rFonts w:ascii="Arial" w:hAnsi="Arial" w:cs="Arial"/>
          <w:bCs/>
          <w:sz w:val="24"/>
          <w:szCs w:val="24"/>
        </w:rPr>
        <w:t xml:space="preserve"> in the </w:t>
      </w:r>
      <w:r w:rsidR="00131DE6">
        <w:rPr>
          <w:rFonts w:ascii="Arial" w:hAnsi="Arial" w:cs="Arial"/>
          <w:bCs/>
          <w:sz w:val="24"/>
          <w:szCs w:val="24"/>
        </w:rPr>
        <w:t>Chief Director’s</w:t>
      </w:r>
      <w:r w:rsidR="00131DE6" w:rsidRPr="004239B1">
        <w:rPr>
          <w:rFonts w:ascii="Arial" w:hAnsi="Arial" w:cs="Arial"/>
          <w:bCs/>
          <w:sz w:val="24"/>
          <w:szCs w:val="24"/>
        </w:rPr>
        <w:t xml:space="preserve"> letter</w:t>
      </w:r>
      <w:r w:rsidR="001E1CAA">
        <w:rPr>
          <w:rFonts w:ascii="Arial" w:hAnsi="Arial" w:cs="Arial"/>
          <w:bCs/>
          <w:sz w:val="24"/>
          <w:szCs w:val="24"/>
        </w:rPr>
        <w:t xml:space="preserve"> clearly</w:t>
      </w:r>
      <w:r w:rsidR="00131DE6" w:rsidRPr="004239B1">
        <w:rPr>
          <w:rFonts w:ascii="Arial" w:hAnsi="Arial" w:cs="Arial"/>
          <w:bCs/>
          <w:sz w:val="24"/>
          <w:szCs w:val="24"/>
        </w:rPr>
        <w:t xml:space="preserve"> stipulat</w:t>
      </w:r>
      <w:r w:rsidR="001E1CAA">
        <w:rPr>
          <w:rFonts w:ascii="Arial" w:hAnsi="Arial" w:cs="Arial"/>
          <w:bCs/>
          <w:sz w:val="24"/>
          <w:szCs w:val="24"/>
        </w:rPr>
        <w:t>ed</w:t>
      </w:r>
      <w:r w:rsidR="00131DE6" w:rsidRPr="004239B1">
        <w:rPr>
          <w:rFonts w:ascii="Arial" w:hAnsi="Arial" w:cs="Arial"/>
          <w:bCs/>
          <w:sz w:val="24"/>
          <w:szCs w:val="24"/>
        </w:rPr>
        <w:t xml:space="preserve"> that the dispensation be migrated to those DDPP’s who consented to the translation.</w:t>
      </w:r>
      <w:r w:rsidR="00131DE6">
        <w:rPr>
          <w:rFonts w:ascii="Arial" w:hAnsi="Arial" w:cs="Arial"/>
          <w:bCs/>
          <w:sz w:val="24"/>
          <w:szCs w:val="24"/>
        </w:rPr>
        <w:t xml:space="preserve"> In that same letter </w:t>
      </w:r>
      <w:r w:rsidR="00A92E94">
        <w:rPr>
          <w:rFonts w:ascii="Arial" w:hAnsi="Arial" w:cs="Arial"/>
          <w:bCs/>
          <w:sz w:val="24"/>
          <w:szCs w:val="24"/>
        </w:rPr>
        <w:t xml:space="preserve">(dated 18 July 2014) </w:t>
      </w:r>
      <w:r w:rsidR="003E598D">
        <w:rPr>
          <w:rFonts w:ascii="Arial" w:hAnsi="Arial" w:cs="Arial"/>
          <w:bCs/>
          <w:sz w:val="24"/>
          <w:szCs w:val="24"/>
        </w:rPr>
        <w:t xml:space="preserve">the </w:t>
      </w:r>
      <w:r w:rsidR="00B51CA2" w:rsidRPr="007A5232">
        <w:rPr>
          <w:rFonts w:ascii="Arial" w:hAnsi="Arial" w:cs="Arial"/>
          <w:bCs/>
          <w:sz w:val="24"/>
          <w:szCs w:val="24"/>
        </w:rPr>
        <w:t xml:space="preserve">Chief Director </w:t>
      </w:r>
      <w:r w:rsidR="00B10069">
        <w:rPr>
          <w:rFonts w:ascii="Arial" w:hAnsi="Arial" w:cs="Arial"/>
          <w:bCs/>
          <w:sz w:val="24"/>
          <w:szCs w:val="24"/>
        </w:rPr>
        <w:t xml:space="preserve">observed that </w:t>
      </w:r>
      <w:r w:rsidR="00B51CA2" w:rsidRPr="007A5232">
        <w:rPr>
          <w:rFonts w:ascii="Arial" w:hAnsi="Arial" w:cs="Arial"/>
          <w:bCs/>
          <w:sz w:val="24"/>
          <w:szCs w:val="24"/>
        </w:rPr>
        <w:t>‘the implementation of OS</w:t>
      </w:r>
      <w:r w:rsidR="00AA1838">
        <w:rPr>
          <w:rFonts w:ascii="Arial" w:hAnsi="Arial" w:cs="Arial"/>
          <w:bCs/>
          <w:sz w:val="24"/>
          <w:szCs w:val="24"/>
        </w:rPr>
        <w:t xml:space="preserve">D is not automatic </w:t>
      </w:r>
      <w:r w:rsidR="003A1295">
        <w:rPr>
          <w:rFonts w:ascii="Arial" w:hAnsi="Arial" w:cs="Arial"/>
          <w:bCs/>
          <w:sz w:val="24"/>
          <w:szCs w:val="24"/>
        </w:rPr>
        <w:t xml:space="preserve">and </w:t>
      </w:r>
      <w:r w:rsidR="00B51CA2" w:rsidRPr="007A5232">
        <w:rPr>
          <w:rFonts w:ascii="Arial" w:hAnsi="Arial" w:cs="Arial"/>
          <w:bCs/>
          <w:sz w:val="24"/>
          <w:szCs w:val="24"/>
        </w:rPr>
        <w:t>requires a formal process being undertaken’.</w:t>
      </w:r>
    </w:p>
    <w:p w14:paraId="5827E959" w14:textId="77777777" w:rsidR="00FF10DA" w:rsidRDefault="00FF10DA" w:rsidP="006B2CB9">
      <w:pPr>
        <w:pStyle w:val="ListParagraph"/>
        <w:spacing w:line="360" w:lineRule="auto"/>
        <w:ind w:left="0"/>
        <w:jc w:val="both"/>
        <w:rPr>
          <w:rFonts w:ascii="Arial" w:hAnsi="Arial" w:cs="Arial"/>
          <w:bCs/>
          <w:sz w:val="24"/>
          <w:szCs w:val="24"/>
        </w:rPr>
      </w:pPr>
    </w:p>
    <w:p w14:paraId="6B794C67" w14:textId="1ABACAEE" w:rsidR="00B51CA2" w:rsidRDefault="008138A3" w:rsidP="009A3320">
      <w:pPr>
        <w:pStyle w:val="ListParagraph"/>
        <w:spacing w:after="0" w:line="360" w:lineRule="auto"/>
        <w:ind w:left="0"/>
        <w:jc w:val="both"/>
        <w:rPr>
          <w:rFonts w:ascii="Arial" w:hAnsi="Arial" w:cs="Arial"/>
          <w:bCs/>
          <w:sz w:val="24"/>
          <w:szCs w:val="24"/>
        </w:rPr>
      </w:pPr>
      <w:r>
        <w:rPr>
          <w:rFonts w:ascii="Arial" w:hAnsi="Arial" w:cs="Arial"/>
          <w:bCs/>
          <w:sz w:val="24"/>
          <w:szCs w:val="24"/>
        </w:rPr>
        <w:t>[3</w:t>
      </w:r>
      <w:r w:rsidR="008F0BEA">
        <w:rPr>
          <w:rFonts w:ascii="Arial" w:hAnsi="Arial" w:cs="Arial"/>
          <w:bCs/>
          <w:sz w:val="24"/>
          <w:szCs w:val="24"/>
        </w:rPr>
        <w:t>5</w:t>
      </w:r>
      <w:r>
        <w:rPr>
          <w:rFonts w:ascii="Arial" w:hAnsi="Arial" w:cs="Arial"/>
          <w:bCs/>
          <w:sz w:val="24"/>
          <w:szCs w:val="24"/>
        </w:rPr>
        <w:t>]</w:t>
      </w:r>
      <w:r>
        <w:rPr>
          <w:rFonts w:ascii="Arial" w:hAnsi="Arial" w:cs="Arial"/>
          <w:bCs/>
          <w:sz w:val="24"/>
          <w:szCs w:val="24"/>
        </w:rPr>
        <w:tab/>
      </w:r>
      <w:r w:rsidR="00B51CA2" w:rsidRPr="007A5232">
        <w:rPr>
          <w:rFonts w:ascii="Arial" w:hAnsi="Arial" w:cs="Arial"/>
          <w:bCs/>
          <w:sz w:val="24"/>
          <w:szCs w:val="24"/>
        </w:rPr>
        <w:t xml:space="preserve">The Chief Director’s understanding can be accepted as correct because in Annexure C to the 2010 Determination, which dealt with the second phase of the translation process, the salary levels of the DDPPs and CPs were not included among the various categories of salary-levels listed in that document. </w:t>
      </w:r>
      <w:r w:rsidR="00175D9F">
        <w:rPr>
          <w:rFonts w:ascii="Arial" w:hAnsi="Arial" w:cs="Arial"/>
          <w:bCs/>
          <w:sz w:val="24"/>
          <w:szCs w:val="24"/>
        </w:rPr>
        <w:t xml:space="preserve">It is also worth noting that in her memorandum dated 24 November 2014, the CEO </w:t>
      </w:r>
      <w:r w:rsidR="00613E81" w:rsidRPr="007B6567">
        <w:rPr>
          <w:rFonts w:ascii="Arial" w:hAnsi="Arial" w:cs="Arial"/>
          <w:bCs/>
          <w:sz w:val="24"/>
          <w:szCs w:val="24"/>
        </w:rPr>
        <w:t>remarked</w:t>
      </w:r>
      <w:r w:rsidR="00175D9F">
        <w:rPr>
          <w:rFonts w:ascii="Arial" w:hAnsi="Arial" w:cs="Arial"/>
          <w:bCs/>
          <w:sz w:val="24"/>
          <w:szCs w:val="24"/>
        </w:rPr>
        <w:t xml:space="preserve">: </w:t>
      </w:r>
      <w:r>
        <w:rPr>
          <w:rFonts w:ascii="Arial" w:hAnsi="Arial" w:cs="Arial"/>
          <w:bCs/>
          <w:sz w:val="24"/>
          <w:szCs w:val="24"/>
        </w:rPr>
        <w:t>‘</w:t>
      </w:r>
      <w:r w:rsidR="00175D9F">
        <w:rPr>
          <w:rFonts w:ascii="Arial" w:hAnsi="Arial" w:cs="Arial"/>
          <w:bCs/>
          <w:sz w:val="24"/>
          <w:szCs w:val="24"/>
        </w:rPr>
        <w:t xml:space="preserve">Since the approval of the OSD, the NPA has </w:t>
      </w:r>
      <w:r w:rsidR="00ED660E">
        <w:rPr>
          <w:rFonts w:ascii="Arial" w:hAnsi="Arial" w:cs="Arial"/>
          <w:bCs/>
          <w:sz w:val="24"/>
          <w:szCs w:val="24"/>
        </w:rPr>
        <w:t>been grappling with the implementation issues around implementation of LP10. Various approaches and models have been discussed and up to this point</w:t>
      </w:r>
      <w:r w:rsidR="009B67FF">
        <w:rPr>
          <w:rFonts w:ascii="Arial" w:hAnsi="Arial" w:cs="Arial"/>
          <w:bCs/>
          <w:sz w:val="24"/>
          <w:szCs w:val="24"/>
        </w:rPr>
        <w:t>, no formal approval was granted for the implementation of LP10’</w:t>
      </w:r>
      <w:r w:rsidR="00FF10DA">
        <w:rPr>
          <w:rFonts w:ascii="Arial" w:hAnsi="Arial" w:cs="Arial"/>
          <w:bCs/>
          <w:sz w:val="24"/>
          <w:szCs w:val="24"/>
        </w:rPr>
        <w:t>.</w:t>
      </w:r>
    </w:p>
    <w:p w14:paraId="03AC3E0D" w14:textId="77777777" w:rsidR="009A3320" w:rsidRDefault="009A3320" w:rsidP="009A3320">
      <w:pPr>
        <w:pStyle w:val="ListParagraph"/>
        <w:spacing w:after="0" w:line="360" w:lineRule="auto"/>
        <w:ind w:left="0"/>
        <w:jc w:val="both"/>
        <w:rPr>
          <w:rFonts w:ascii="Arial" w:hAnsi="Arial" w:cs="Arial"/>
          <w:bCs/>
          <w:sz w:val="24"/>
          <w:szCs w:val="24"/>
        </w:rPr>
      </w:pPr>
    </w:p>
    <w:p w14:paraId="5C49CD93" w14:textId="7085B83A" w:rsidR="00FF10DA" w:rsidRDefault="00B51CA2" w:rsidP="003805AB">
      <w:pPr>
        <w:spacing w:after="0" w:line="360" w:lineRule="auto"/>
        <w:jc w:val="both"/>
        <w:rPr>
          <w:rFonts w:ascii="Arial" w:hAnsi="Arial" w:cs="Arial"/>
          <w:bCs/>
          <w:sz w:val="24"/>
          <w:szCs w:val="24"/>
        </w:rPr>
      </w:pPr>
      <w:r>
        <w:rPr>
          <w:rFonts w:ascii="Arial" w:hAnsi="Arial" w:cs="Arial"/>
          <w:bCs/>
          <w:sz w:val="24"/>
          <w:szCs w:val="24"/>
        </w:rPr>
        <w:t>[</w:t>
      </w:r>
      <w:r w:rsidR="005F5798">
        <w:rPr>
          <w:rFonts w:ascii="Arial" w:hAnsi="Arial" w:cs="Arial"/>
          <w:bCs/>
          <w:sz w:val="24"/>
          <w:szCs w:val="24"/>
        </w:rPr>
        <w:t>3</w:t>
      </w:r>
      <w:r w:rsidR="008F0BEA">
        <w:rPr>
          <w:rFonts w:ascii="Arial" w:hAnsi="Arial" w:cs="Arial"/>
          <w:bCs/>
          <w:sz w:val="24"/>
          <w:szCs w:val="24"/>
        </w:rPr>
        <w:t>6</w:t>
      </w:r>
      <w:r>
        <w:rPr>
          <w:rFonts w:ascii="Arial" w:hAnsi="Arial" w:cs="Arial"/>
          <w:bCs/>
          <w:sz w:val="24"/>
          <w:szCs w:val="24"/>
        </w:rPr>
        <w:t>]</w:t>
      </w:r>
      <w:r>
        <w:rPr>
          <w:rFonts w:ascii="Arial" w:hAnsi="Arial" w:cs="Arial"/>
          <w:bCs/>
          <w:sz w:val="24"/>
          <w:szCs w:val="24"/>
        </w:rPr>
        <w:tab/>
      </w:r>
      <w:r w:rsidR="00EE0C4E">
        <w:rPr>
          <w:rFonts w:ascii="Arial" w:hAnsi="Arial" w:cs="Arial"/>
          <w:bCs/>
          <w:sz w:val="24"/>
          <w:szCs w:val="24"/>
        </w:rPr>
        <w:t>T</w:t>
      </w:r>
      <w:r w:rsidRPr="00E81C8E">
        <w:rPr>
          <w:rFonts w:ascii="Arial" w:hAnsi="Arial" w:cs="Arial"/>
          <w:bCs/>
          <w:sz w:val="24"/>
          <w:szCs w:val="24"/>
        </w:rPr>
        <w:t>he minutes of the meeting</w:t>
      </w:r>
      <w:r w:rsidR="005F5C85">
        <w:rPr>
          <w:rFonts w:ascii="Arial" w:hAnsi="Arial" w:cs="Arial"/>
          <w:bCs/>
          <w:sz w:val="24"/>
          <w:szCs w:val="24"/>
        </w:rPr>
        <w:t>s</w:t>
      </w:r>
      <w:r w:rsidRPr="00E81C8E">
        <w:rPr>
          <w:rFonts w:ascii="Arial" w:hAnsi="Arial" w:cs="Arial"/>
          <w:bCs/>
          <w:sz w:val="24"/>
          <w:szCs w:val="24"/>
        </w:rPr>
        <w:t xml:space="preserve"> held </w:t>
      </w:r>
      <w:r w:rsidR="0059166B">
        <w:rPr>
          <w:rFonts w:ascii="Arial" w:hAnsi="Arial" w:cs="Arial"/>
          <w:bCs/>
          <w:sz w:val="24"/>
          <w:szCs w:val="24"/>
        </w:rPr>
        <w:t xml:space="preserve">after the issuance of the CEO’s memorandum </w:t>
      </w:r>
      <w:r w:rsidR="009B67FF">
        <w:rPr>
          <w:rFonts w:ascii="Arial" w:hAnsi="Arial" w:cs="Arial"/>
          <w:bCs/>
          <w:sz w:val="24"/>
          <w:szCs w:val="24"/>
        </w:rPr>
        <w:t xml:space="preserve">are also of significance. </w:t>
      </w:r>
      <w:r w:rsidR="005F5C85">
        <w:rPr>
          <w:rFonts w:ascii="Arial" w:hAnsi="Arial" w:cs="Arial"/>
          <w:bCs/>
          <w:sz w:val="24"/>
          <w:szCs w:val="24"/>
        </w:rPr>
        <w:t xml:space="preserve">In the minutes dated </w:t>
      </w:r>
      <w:r w:rsidRPr="00E81C8E">
        <w:rPr>
          <w:rFonts w:ascii="Arial" w:hAnsi="Arial" w:cs="Arial"/>
          <w:bCs/>
          <w:sz w:val="24"/>
          <w:szCs w:val="24"/>
        </w:rPr>
        <w:t>25 May 2015</w:t>
      </w:r>
      <w:r w:rsidR="005F5C85">
        <w:rPr>
          <w:rFonts w:ascii="Arial" w:hAnsi="Arial" w:cs="Arial"/>
          <w:bCs/>
          <w:sz w:val="24"/>
          <w:szCs w:val="24"/>
        </w:rPr>
        <w:t>, it is</w:t>
      </w:r>
      <w:r w:rsidRPr="00E81C8E">
        <w:rPr>
          <w:rFonts w:ascii="Arial" w:hAnsi="Arial" w:cs="Arial"/>
          <w:bCs/>
          <w:sz w:val="24"/>
          <w:szCs w:val="24"/>
        </w:rPr>
        <w:t xml:space="preserve"> recorded that ‘there are requirements that have to be met at individual level. We cannot say that everyone </w:t>
      </w:r>
      <w:r w:rsidRPr="00E81C8E">
        <w:rPr>
          <w:rFonts w:ascii="Arial" w:hAnsi="Arial" w:cs="Arial"/>
          <w:bCs/>
          <w:sz w:val="24"/>
          <w:szCs w:val="24"/>
        </w:rPr>
        <w:lastRenderedPageBreak/>
        <w:t xml:space="preserve">who is currently on level 13 and 14 automatically </w:t>
      </w:r>
      <w:r w:rsidR="00D461F7">
        <w:rPr>
          <w:rFonts w:ascii="Arial" w:hAnsi="Arial" w:cs="Arial"/>
          <w:bCs/>
          <w:sz w:val="24"/>
          <w:szCs w:val="24"/>
        </w:rPr>
        <w:t>[qualifies]</w:t>
      </w:r>
      <w:r w:rsidRPr="00E81C8E">
        <w:rPr>
          <w:rFonts w:ascii="Arial" w:hAnsi="Arial" w:cs="Arial"/>
          <w:bCs/>
          <w:sz w:val="24"/>
          <w:szCs w:val="24"/>
        </w:rPr>
        <w:t xml:space="preserve"> because that will include people that do not necessarily do the work and don’t want to do the work of a specialist litigator’</w:t>
      </w:r>
      <w:r w:rsidR="00FF10DA">
        <w:rPr>
          <w:rFonts w:ascii="Arial" w:hAnsi="Arial" w:cs="Arial"/>
          <w:bCs/>
          <w:sz w:val="24"/>
          <w:szCs w:val="24"/>
        </w:rPr>
        <w:t>.</w:t>
      </w:r>
      <w:r w:rsidRPr="00E81C8E">
        <w:rPr>
          <w:rFonts w:ascii="Arial" w:hAnsi="Arial" w:cs="Arial"/>
          <w:bCs/>
          <w:sz w:val="24"/>
          <w:szCs w:val="24"/>
        </w:rPr>
        <w:t xml:space="preserve"> </w:t>
      </w:r>
      <w:r w:rsidR="005B5574">
        <w:rPr>
          <w:rFonts w:ascii="Arial" w:hAnsi="Arial" w:cs="Arial"/>
          <w:bCs/>
          <w:sz w:val="24"/>
          <w:szCs w:val="24"/>
        </w:rPr>
        <w:t xml:space="preserve">The importance of the consent of the respective DDPPs and CPs is </w:t>
      </w:r>
      <w:r w:rsidR="00DB4340" w:rsidRPr="007B6567">
        <w:rPr>
          <w:rFonts w:ascii="Arial" w:hAnsi="Arial" w:cs="Arial"/>
          <w:bCs/>
          <w:sz w:val="24"/>
          <w:szCs w:val="24"/>
        </w:rPr>
        <w:t>recognisable</w:t>
      </w:r>
      <w:r w:rsidR="00DB4340">
        <w:rPr>
          <w:rFonts w:ascii="Arial" w:hAnsi="Arial" w:cs="Arial"/>
          <w:bCs/>
          <w:sz w:val="24"/>
          <w:szCs w:val="24"/>
        </w:rPr>
        <w:t xml:space="preserve"> </w:t>
      </w:r>
      <w:r w:rsidR="005B5574">
        <w:rPr>
          <w:rFonts w:ascii="Arial" w:hAnsi="Arial" w:cs="Arial"/>
          <w:bCs/>
          <w:sz w:val="24"/>
          <w:szCs w:val="24"/>
        </w:rPr>
        <w:t xml:space="preserve">from this statement. </w:t>
      </w:r>
      <w:r w:rsidRPr="00E81C8E">
        <w:rPr>
          <w:rFonts w:ascii="Arial" w:hAnsi="Arial" w:cs="Arial"/>
          <w:bCs/>
          <w:sz w:val="24"/>
          <w:szCs w:val="24"/>
        </w:rPr>
        <w:t xml:space="preserve">Similarly, the minutes of the meeting held with the CPs on 4 June 2015 recorded that ‘our commitment is such that all people who </w:t>
      </w:r>
      <w:r>
        <w:rPr>
          <w:rFonts w:ascii="Arial" w:hAnsi="Arial" w:cs="Arial"/>
          <w:bCs/>
          <w:sz w:val="24"/>
          <w:szCs w:val="24"/>
        </w:rPr>
        <w:t xml:space="preserve">are </w:t>
      </w:r>
      <w:r w:rsidRPr="00E81C8E">
        <w:rPr>
          <w:rFonts w:ascii="Arial" w:hAnsi="Arial" w:cs="Arial"/>
          <w:bCs/>
          <w:sz w:val="24"/>
          <w:szCs w:val="24"/>
        </w:rPr>
        <w:t>currently on salary levels 13 &amp; 14, which includes you (Chief Prosecutors) who meet the requirements can translate to LP10 if they exercise that option, having looked at the implication as individuals’.</w:t>
      </w:r>
    </w:p>
    <w:p w14:paraId="4F8B0D19" w14:textId="66EBFDD9" w:rsidR="00B51CA2" w:rsidRDefault="00B51CA2" w:rsidP="003805AB">
      <w:pPr>
        <w:spacing w:after="0" w:line="360" w:lineRule="auto"/>
        <w:jc w:val="both"/>
        <w:rPr>
          <w:rFonts w:ascii="Arial" w:hAnsi="Arial" w:cs="Arial"/>
          <w:bCs/>
          <w:sz w:val="24"/>
          <w:szCs w:val="24"/>
        </w:rPr>
      </w:pPr>
    </w:p>
    <w:p w14:paraId="652F46EB" w14:textId="2A187D6B" w:rsidR="007152DE" w:rsidRDefault="00B51CA2" w:rsidP="00F83002">
      <w:pPr>
        <w:spacing w:after="0" w:line="360" w:lineRule="auto"/>
        <w:jc w:val="both"/>
        <w:rPr>
          <w:rFonts w:ascii="Arial" w:hAnsi="Arial" w:cs="Arial"/>
          <w:bCs/>
          <w:sz w:val="24"/>
          <w:szCs w:val="24"/>
        </w:rPr>
      </w:pPr>
      <w:r>
        <w:rPr>
          <w:rFonts w:ascii="Arial" w:hAnsi="Arial" w:cs="Arial"/>
          <w:bCs/>
          <w:sz w:val="24"/>
          <w:szCs w:val="24"/>
        </w:rPr>
        <w:t>[</w:t>
      </w:r>
      <w:r w:rsidR="00697878">
        <w:rPr>
          <w:rFonts w:ascii="Arial" w:hAnsi="Arial" w:cs="Arial"/>
          <w:bCs/>
          <w:sz w:val="24"/>
          <w:szCs w:val="24"/>
        </w:rPr>
        <w:t>3</w:t>
      </w:r>
      <w:r w:rsidR="008F0BEA">
        <w:rPr>
          <w:rFonts w:ascii="Arial" w:hAnsi="Arial" w:cs="Arial"/>
          <w:bCs/>
          <w:sz w:val="24"/>
          <w:szCs w:val="24"/>
        </w:rPr>
        <w:t>7</w:t>
      </w:r>
      <w:r>
        <w:rPr>
          <w:rFonts w:ascii="Arial" w:hAnsi="Arial" w:cs="Arial"/>
          <w:bCs/>
          <w:sz w:val="24"/>
          <w:szCs w:val="24"/>
        </w:rPr>
        <w:t>]</w:t>
      </w:r>
      <w:r>
        <w:rPr>
          <w:rFonts w:ascii="Arial" w:hAnsi="Arial" w:cs="Arial"/>
          <w:bCs/>
          <w:sz w:val="24"/>
          <w:szCs w:val="24"/>
        </w:rPr>
        <w:tab/>
      </w:r>
      <w:r w:rsidR="00E7131C" w:rsidRPr="003E2D0E">
        <w:rPr>
          <w:rFonts w:ascii="Arial" w:hAnsi="Arial" w:cs="Arial"/>
          <w:bCs/>
          <w:sz w:val="24"/>
          <w:szCs w:val="24"/>
        </w:rPr>
        <w:t xml:space="preserve">Although the PSA averred in various paragraphs of the founding affidavit that the DDPPs and CPs </w:t>
      </w:r>
      <w:r w:rsidR="00E7131C">
        <w:rPr>
          <w:rFonts w:ascii="Arial" w:hAnsi="Arial" w:cs="Arial"/>
          <w:bCs/>
          <w:sz w:val="24"/>
          <w:szCs w:val="24"/>
        </w:rPr>
        <w:t xml:space="preserve">had </w:t>
      </w:r>
      <w:r w:rsidR="00E7131C" w:rsidRPr="004239B1">
        <w:rPr>
          <w:rFonts w:ascii="Arial" w:hAnsi="Arial" w:cs="Arial"/>
          <w:bCs/>
          <w:sz w:val="24"/>
          <w:szCs w:val="24"/>
        </w:rPr>
        <w:t>consented to be translated from SMS level to LP10</w:t>
      </w:r>
      <w:r w:rsidR="006E13C1">
        <w:rPr>
          <w:rFonts w:ascii="Arial" w:hAnsi="Arial" w:cs="Arial"/>
          <w:bCs/>
          <w:sz w:val="24"/>
          <w:szCs w:val="24"/>
        </w:rPr>
        <w:t xml:space="preserve"> and that </w:t>
      </w:r>
      <w:r w:rsidR="008874CF">
        <w:rPr>
          <w:rFonts w:ascii="Arial" w:hAnsi="Arial" w:cs="Arial"/>
          <w:bCs/>
          <w:sz w:val="24"/>
          <w:szCs w:val="24"/>
        </w:rPr>
        <w:t>the</w:t>
      </w:r>
      <w:r w:rsidR="002B2122">
        <w:rPr>
          <w:rFonts w:ascii="Arial" w:hAnsi="Arial" w:cs="Arial"/>
          <w:bCs/>
          <w:sz w:val="24"/>
          <w:szCs w:val="24"/>
        </w:rPr>
        <w:t>ir</w:t>
      </w:r>
      <w:r w:rsidR="008874CF">
        <w:rPr>
          <w:rFonts w:ascii="Arial" w:hAnsi="Arial" w:cs="Arial"/>
          <w:bCs/>
          <w:sz w:val="24"/>
          <w:szCs w:val="24"/>
        </w:rPr>
        <w:t xml:space="preserve"> consent is self-evident from the performance agreements, the difficulty for the PSA is that </w:t>
      </w:r>
      <w:r w:rsidR="00A440D9">
        <w:rPr>
          <w:rFonts w:ascii="Arial" w:hAnsi="Arial" w:cs="Arial"/>
          <w:bCs/>
          <w:sz w:val="24"/>
          <w:szCs w:val="24"/>
        </w:rPr>
        <w:t xml:space="preserve">no performance </w:t>
      </w:r>
      <w:r w:rsidR="008874CF">
        <w:rPr>
          <w:rFonts w:ascii="Arial" w:hAnsi="Arial" w:cs="Arial"/>
          <w:bCs/>
          <w:sz w:val="24"/>
          <w:szCs w:val="24"/>
        </w:rPr>
        <w:t xml:space="preserve">agreement </w:t>
      </w:r>
      <w:r w:rsidR="00C11D44">
        <w:rPr>
          <w:rFonts w:ascii="Arial" w:hAnsi="Arial" w:cs="Arial"/>
          <w:bCs/>
          <w:sz w:val="24"/>
          <w:szCs w:val="24"/>
        </w:rPr>
        <w:t xml:space="preserve">attests to this. The specimen performance agreement handed in during </w:t>
      </w:r>
      <w:r w:rsidR="007152DE">
        <w:rPr>
          <w:rFonts w:ascii="Arial" w:hAnsi="Arial" w:cs="Arial"/>
          <w:bCs/>
          <w:sz w:val="24"/>
          <w:szCs w:val="24"/>
        </w:rPr>
        <w:t xml:space="preserve">oral submissions at </w:t>
      </w:r>
      <w:r w:rsidR="00C11D44">
        <w:rPr>
          <w:rFonts w:ascii="Arial" w:hAnsi="Arial" w:cs="Arial"/>
          <w:bCs/>
          <w:sz w:val="24"/>
          <w:szCs w:val="24"/>
        </w:rPr>
        <w:t xml:space="preserve">the high court </w:t>
      </w:r>
      <w:r w:rsidR="008874CF">
        <w:rPr>
          <w:rFonts w:ascii="Arial" w:hAnsi="Arial" w:cs="Arial"/>
          <w:bCs/>
          <w:sz w:val="24"/>
          <w:szCs w:val="24"/>
        </w:rPr>
        <w:t>make</w:t>
      </w:r>
      <w:r w:rsidR="00385A5A">
        <w:rPr>
          <w:rFonts w:ascii="Arial" w:hAnsi="Arial" w:cs="Arial"/>
          <w:bCs/>
          <w:sz w:val="24"/>
          <w:szCs w:val="24"/>
        </w:rPr>
        <w:t>s</w:t>
      </w:r>
      <w:r w:rsidR="008874CF">
        <w:rPr>
          <w:rFonts w:ascii="Arial" w:hAnsi="Arial" w:cs="Arial"/>
          <w:bCs/>
          <w:sz w:val="24"/>
          <w:szCs w:val="24"/>
        </w:rPr>
        <w:t xml:space="preserve"> no allusion to a consent to translation.</w:t>
      </w:r>
      <w:r w:rsidR="00385A5A">
        <w:rPr>
          <w:rFonts w:ascii="Arial" w:hAnsi="Arial" w:cs="Arial"/>
          <w:bCs/>
          <w:sz w:val="24"/>
          <w:szCs w:val="24"/>
        </w:rPr>
        <w:t xml:space="preserve"> </w:t>
      </w:r>
      <w:r w:rsidR="00D33659">
        <w:rPr>
          <w:rFonts w:ascii="Arial" w:hAnsi="Arial" w:cs="Arial"/>
          <w:bCs/>
          <w:sz w:val="24"/>
          <w:szCs w:val="24"/>
        </w:rPr>
        <w:t xml:space="preserve">Insofar as the specimen performance contract does not reflect consent as envisaged in the NDPP’s approval, </w:t>
      </w:r>
      <w:r w:rsidR="00B61BD3">
        <w:rPr>
          <w:rFonts w:ascii="Arial" w:hAnsi="Arial" w:cs="Arial"/>
          <w:bCs/>
          <w:sz w:val="24"/>
          <w:szCs w:val="24"/>
        </w:rPr>
        <w:t>t</w:t>
      </w:r>
      <w:r w:rsidR="007152DE" w:rsidRPr="007A5232">
        <w:rPr>
          <w:rFonts w:ascii="Arial" w:hAnsi="Arial" w:cs="Arial"/>
          <w:bCs/>
          <w:sz w:val="24"/>
          <w:szCs w:val="24"/>
        </w:rPr>
        <w:t xml:space="preserve">he upshot of this is that </w:t>
      </w:r>
      <w:r w:rsidR="007152DE">
        <w:rPr>
          <w:rFonts w:ascii="Arial" w:hAnsi="Arial" w:cs="Arial"/>
          <w:bCs/>
          <w:sz w:val="24"/>
          <w:szCs w:val="24"/>
        </w:rPr>
        <w:t xml:space="preserve">the consent of the DDPPs and CPs remains an unsubstantiated term of the </w:t>
      </w:r>
      <w:r w:rsidR="00105551">
        <w:rPr>
          <w:rFonts w:ascii="Arial" w:hAnsi="Arial" w:cs="Arial"/>
          <w:bCs/>
          <w:sz w:val="24"/>
          <w:szCs w:val="24"/>
        </w:rPr>
        <w:t xml:space="preserve">very </w:t>
      </w:r>
      <w:r w:rsidR="007152DE">
        <w:rPr>
          <w:rFonts w:ascii="Arial" w:hAnsi="Arial" w:cs="Arial"/>
          <w:bCs/>
          <w:sz w:val="24"/>
          <w:szCs w:val="24"/>
        </w:rPr>
        <w:t xml:space="preserve">agreement the PSA is </w:t>
      </w:r>
      <w:r w:rsidR="003879A8">
        <w:rPr>
          <w:rFonts w:ascii="Arial" w:hAnsi="Arial" w:cs="Arial"/>
          <w:bCs/>
          <w:sz w:val="24"/>
          <w:szCs w:val="24"/>
        </w:rPr>
        <w:t>seeking</w:t>
      </w:r>
      <w:r w:rsidR="007152DE">
        <w:rPr>
          <w:rFonts w:ascii="Arial" w:hAnsi="Arial" w:cs="Arial"/>
          <w:bCs/>
          <w:sz w:val="24"/>
          <w:szCs w:val="24"/>
        </w:rPr>
        <w:t xml:space="preserve"> to enforce. </w:t>
      </w:r>
      <w:r w:rsidR="00904A32">
        <w:rPr>
          <w:rFonts w:ascii="Arial" w:hAnsi="Arial" w:cs="Arial"/>
          <w:bCs/>
          <w:sz w:val="24"/>
          <w:szCs w:val="24"/>
        </w:rPr>
        <w:t>On that basis alone, the</w:t>
      </w:r>
      <w:r w:rsidR="003879A8">
        <w:rPr>
          <w:rFonts w:ascii="Arial" w:hAnsi="Arial" w:cs="Arial"/>
          <w:bCs/>
          <w:sz w:val="24"/>
          <w:szCs w:val="24"/>
        </w:rPr>
        <w:t xml:space="preserve"> PSA </w:t>
      </w:r>
      <w:r w:rsidR="00904A32">
        <w:rPr>
          <w:rFonts w:ascii="Arial" w:hAnsi="Arial" w:cs="Arial"/>
          <w:bCs/>
          <w:sz w:val="24"/>
          <w:szCs w:val="24"/>
        </w:rPr>
        <w:t>ha</w:t>
      </w:r>
      <w:r w:rsidR="003879A8">
        <w:rPr>
          <w:rFonts w:ascii="Arial" w:hAnsi="Arial" w:cs="Arial"/>
          <w:bCs/>
          <w:sz w:val="24"/>
          <w:szCs w:val="24"/>
        </w:rPr>
        <w:t xml:space="preserve">s </w:t>
      </w:r>
      <w:r w:rsidR="00904A32">
        <w:rPr>
          <w:rFonts w:ascii="Arial" w:hAnsi="Arial" w:cs="Arial"/>
          <w:bCs/>
          <w:sz w:val="24"/>
          <w:szCs w:val="24"/>
        </w:rPr>
        <w:t xml:space="preserve">not shown an entitlement </w:t>
      </w:r>
      <w:r w:rsidR="003879A8">
        <w:rPr>
          <w:rFonts w:ascii="Arial" w:hAnsi="Arial" w:cs="Arial"/>
          <w:bCs/>
          <w:sz w:val="24"/>
          <w:szCs w:val="24"/>
        </w:rPr>
        <w:t xml:space="preserve">which </w:t>
      </w:r>
      <w:r w:rsidR="00A95C45">
        <w:rPr>
          <w:rFonts w:ascii="Arial" w:hAnsi="Arial" w:cs="Arial"/>
          <w:bCs/>
          <w:sz w:val="24"/>
          <w:szCs w:val="24"/>
        </w:rPr>
        <w:t>the high court could enforce as a contractual obligation.</w:t>
      </w:r>
    </w:p>
    <w:p w14:paraId="09618EFA" w14:textId="77777777" w:rsidR="00FF10DA" w:rsidRDefault="00FF10DA" w:rsidP="003805AB">
      <w:pPr>
        <w:spacing w:after="0" w:line="360" w:lineRule="auto"/>
        <w:jc w:val="both"/>
        <w:rPr>
          <w:rFonts w:ascii="Arial" w:hAnsi="Arial" w:cs="Arial"/>
          <w:bCs/>
          <w:sz w:val="24"/>
          <w:szCs w:val="24"/>
        </w:rPr>
      </w:pPr>
    </w:p>
    <w:p w14:paraId="6539BE38" w14:textId="157598C9" w:rsidR="00B937A4" w:rsidRPr="003E2D0E" w:rsidRDefault="007152DE" w:rsidP="009A3320">
      <w:pPr>
        <w:spacing w:after="0" w:line="360" w:lineRule="auto"/>
        <w:jc w:val="both"/>
        <w:rPr>
          <w:rFonts w:ascii="Arial" w:hAnsi="Arial" w:cs="Arial"/>
          <w:bCs/>
          <w:sz w:val="24"/>
          <w:szCs w:val="24"/>
        </w:rPr>
      </w:pPr>
      <w:r>
        <w:rPr>
          <w:rFonts w:ascii="Arial" w:hAnsi="Arial" w:cs="Arial"/>
          <w:bCs/>
          <w:sz w:val="24"/>
          <w:szCs w:val="24"/>
        </w:rPr>
        <w:t>[3</w:t>
      </w:r>
      <w:r w:rsidR="008F0BEA">
        <w:rPr>
          <w:rFonts w:ascii="Arial" w:hAnsi="Arial" w:cs="Arial"/>
          <w:bCs/>
          <w:sz w:val="24"/>
          <w:szCs w:val="24"/>
        </w:rPr>
        <w:t>8</w:t>
      </w:r>
      <w:r>
        <w:rPr>
          <w:rFonts w:ascii="Arial" w:hAnsi="Arial" w:cs="Arial"/>
          <w:bCs/>
          <w:sz w:val="24"/>
          <w:szCs w:val="24"/>
        </w:rPr>
        <w:t>]</w:t>
      </w:r>
      <w:r>
        <w:rPr>
          <w:rFonts w:ascii="Arial" w:hAnsi="Arial" w:cs="Arial"/>
          <w:bCs/>
          <w:sz w:val="24"/>
          <w:szCs w:val="24"/>
        </w:rPr>
        <w:tab/>
      </w:r>
      <w:r w:rsidR="009F44D6">
        <w:rPr>
          <w:rFonts w:ascii="Arial" w:hAnsi="Arial" w:cs="Arial"/>
          <w:bCs/>
          <w:sz w:val="24"/>
          <w:szCs w:val="24"/>
        </w:rPr>
        <w:t xml:space="preserve">With specific reference to </w:t>
      </w:r>
      <w:r w:rsidR="00427B1F">
        <w:rPr>
          <w:rFonts w:ascii="Arial" w:hAnsi="Arial" w:cs="Arial"/>
          <w:bCs/>
          <w:sz w:val="24"/>
          <w:szCs w:val="24"/>
        </w:rPr>
        <w:t>the deponent to the founding affidavit (</w:t>
      </w:r>
      <w:r w:rsidR="00FA2935">
        <w:rPr>
          <w:rFonts w:ascii="Arial" w:hAnsi="Arial" w:cs="Arial"/>
          <w:bCs/>
          <w:sz w:val="24"/>
          <w:szCs w:val="24"/>
        </w:rPr>
        <w:t>Ms</w:t>
      </w:r>
      <w:r w:rsidR="00427B1F">
        <w:rPr>
          <w:rFonts w:ascii="Arial" w:hAnsi="Arial" w:cs="Arial"/>
          <w:bCs/>
          <w:sz w:val="24"/>
          <w:szCs w:val="24"/>
        </w:rPr>
        <w:t xml:space="preserve"> Meintjies), </w:t>
      </w:r>
      <w:r w:rsidR="009F44D6">
        <w:rPr>
          <w:rFonts w:ascii="Arial" w:hAnsi="Arial" w:cs="Arial"/>
          <w:bCs/>
          <w:sz w:val="24"/>
          <w:szCs w:val="24"/>
        </w:rPr>
        <w:t>it is noteworthy that</w:t>
      </w:r>
      <w:r w:rsidR="00DA10C0">
        <w:rPr>
          <w:rFonts w:ascii="Arial" w:hAnsi="Arial" w:cs="Arial"/>
          <w:bCs/>
          <w:sz w:val="24"/>
          <w:szCs w:val="24"/>
        </w:rPr>
        <w:t>, having averred that she had consented to the translation in accordance with the NDPP’s approval,</w:t>
      </w:r>
      <w:r w:rsidR="00B937A4">
        <w:rPr>
          <w:rFonts w:ascii="Arial" w:hAnsi="Arial" w:cs="Arial"/>
          <w:bCs/>
          <w:sz w:val="24"/>
          <w:szCs w:val="24"/>
        </w:rPr>
        <w:t xml:space="preserve"> i</w:t>
      </w:r>
      <w:r w:rsidR="00B937A4" w:rsidRPr="003E2D0E">
        <w:rPr>
          <w:rFonts w:ascii="Arial" w:hAnsi="Arial" w:cs="Arial"/>
          <w:bCs/>
          <w:sz w:val="24"/>
          <w:szCs w:val="24"/>
        </w:rPr>
        <w:t xml:space="preserve">n Annexure A1 dated 3 March 2015, which was attached to </w:t>
      </w:r>
      <w:r w:rsidR="00B937A4">
        <w:rPr>
          <w:rFonts w:ascii="Arial" w:hAnsi="Arial" w:cs="Arial"/>
          <w:bCs/>
          <w:sz w:val="24"/>
          <w:szCs w:val="24"/>
        </w:rPr>
        <w:t xml:space="preserve">her </w:t>
      </w:r>
      <w:r w:rsidR="00B937A4" w:rsidRPr="003E2D0E">
        <w:rPr>
          <w:rFonts w:ascii="Arial" w:hAnsi="Arial" w:cs="Arial"/>
          <w:bCs/>
          <w:sz w:val="24"/>
          <w:szCs w:val="24"/>
        </w:rPr>
        <w:t xml:space="preserve">performance agreement for the 1 April 2016-31 March 2016 cycle, </w:t>
      </w:r>
      <w:r w:rsidR="006A41FD">
        <w:rPr>
          <w:rFonts w:ascii="Arial" w:hAnsi="Arial" w:cs="Arial"/>
          <w:bCs/>
          <w:sz w:val="24"/>
          <w:szCs w:val="24"/>
        </w:rPr>
        <w:t xml:space="preserve">she </w:t>
      </w:r>
      <w:r w:rsidR="00B937A4">
        <w:rPr>
          <w:rFonts w:ascii="Arial" w:hAnsi="Arial" w:cs="Arial"/>
          <w:bCs/>
          <w:sz w:val="24"/>
          <w:szCs w:val="24"/>
        </w:rPr>
        <w:t xml:space="preserve">stated the following: </w:t>
      </w:r>
    </w:p>
    <w:p w14:paraId="4D22D87C" w14:textId="70AAC98B" w:rsidR="00FF6555" w:rsidRPr="003805AB" w:rsidRDefault="00FF6555" w:rsidP="009A3320">
      <w:pPr>
        <w:spacing w:after="0" w:line="360" w:lineRule="auto"/>
        <w:jc w:val="both"/>
        <w:rPr>
          <w:rFonts w:ascii="Arial" w:hAnsi="Arial" w:cs="Arial"/>
          <w:bCs/>
        </w:rPr>
      </w:pPr>
      <w:r w:rsidRPr="00FF6555">
        <w:rPr>
          <w:rFonts w:ascii="Arial" w:hAnsi="Arial" w:cs="Arial"/>
          <w:bCs/>
          <w:sz w:val="24"/>
          <w:szCs w:val="24"/>
        </w:rPr>
        <w:t>‘</w:t>
      </w:r>
      <w:r w:rsidRPr="00FF6555">
        <w:rPr>
          <w:rFonts w:ascii="Arial" w:hAnsi="Arial" w:cs="Arial"/>
          <w:bCs/>
        </w:rPr>
        <w:t xml:space="preserve">My signing of this document is </w:t>
      </w:r>
      <w:r w:rsidRPr="00CB49A3">
        <w:rPr>
          <w:rFonts w:ascii="Arial" w:hAnsi="Arial" w:cs="Arial"/>
          <w:bCs/>
          <w:i/>
          <w:iCs/>
        </w:rPr>
        <w:t>not</w:t>
      </w:r>
      <w:r w:rsidRPr="00FF6555">
        <w:rPr>
          <w:rFonts w:ascii="Arial" w:hAnsi="Arial" w:cs="Arial"/>
          <w:bCs/>
        </w:rPr>
        <w:t xml:space="preserve"> to be understood as acceptance of the </w:t>
      </w:r>
      <w:r w:rsidRPr="00351D0C">
        <w:rPr>
          <w:rFonts w:ascii="Arial" w:hAnsi="Arial" w:cs="Arial"/>
          <w:bCs/>
          <w:i/>
          <w:iCs/>
        </w:rPr>
        <w:t>manner or date of the translation</w:t>
      </w:r>
      <w:r w:rsidRPr="00FF6555">
        <w:rPr>
          <w:rFonts w:ascii="Arial" w:hAnsi="Arial" w:cs="Arial"/>
          <w:bCs/>
        </w:rPr>
        <w:t xml:space="preserve"> as proposed by the CEO in a letter dated 24 November 2014 addressed to Deputy National Directors. It is categorically stated that the contents of this letter only came to my attention on 2 March 2015 per an email forwarded by the DPP, Mr Mzinyathi. Attached to the email of 2 March 2015 was a letter by the CEO dated 27 February 2015 addressed to all NDPP, DPP, RH and Special Directors in which reference is made to the letter of 24 November 2014 with the said letter attached thereto. The manner and date of the translation </w:t>
      </w:r>
      <w:r w:rsidRPr="00CF79EA">
        <w:rPr>
          <w:rFonts w:ascii="Arial" w:hAnsi="Arial" w:cs="Arial"/>
          <w:bCs/>
          <w:i/>
        </w:rPr>
        <w:t>should be</w:t>
      </w:r>
      <w:r w:rsidRPr="00FF6555">
        <w:rPr>
          <w:rFonts w:ascii="Arial" w:hAnsi="Arial" w:cs="Arial"/>
          <w:bCs/>
        </w:rPr>
        <w:t xml:space="preserve"> in line with the relevant instruments and </w:t>
      </w:r>
      <w:r w:rsidR="00AE0D05">
        <w:rPr>
          <w:rFonts w:ascii="Arial" w:hAnsi="Arial" w:cs="Arial"/>
          <w:bCs/>
        </w:rPr>
        <w:t>prescripts governing OSD and LP</w:t>
      </w:r>
      <w:r w:rsidRPr="00FF6555">
        <w:rPr>
          <w:rFonts w:ascii="Arial" w:hAnsi="Arial" w:cs="Arial"/>
          <w:bCs/>
        </w:rPr>
        <w:t>10 translations</w:t>
      </w:r>
      <w:r w:rsidRPr="00FF6555">
        <w:rPr>
          <w:rFonts w:ascii="Arial" w:hAnsi="Arial" w:cs="Arial"/>
          <w:bCs/>
          <w:sz w:val="24"/>
          <w:szCs w:val="24"/>
        </w:rPr>
        <w:t>.</w:t>
      </w:r>
      <w:r w:rsidR="00FF10DA">
        <w:rPr>
          <w:rFonts w:ascii="Arial" w:hAnsi="Arial" w:cs="Arial"/>
          <w:bCs/>
          <w:sz w:val="24"/>
          <w:szCs w:val="24"/>
        </w:rPr>
        <w:t>’</w:t>
      </w:r>
      <w:r w:rsidRPr="00FF6555">
        <w:rPr>
          <w:rFonts w:ascii="Arial" w:hAnsi="Arial" w:cs="Arial"/>
          <w:bCs/>
          <w:sz w:val="24"/>
          <w:szCs w:val="24"/>
        </w:rPr>
        <w:t xml:space="preserve"> </w:t>
      </w:r>
      <w:r w:rsidRPr="003805AB">
        <w:rPr>
          <w:rFonts w:ascii="Arial" w:hAnsi="Arial" w:cs="Arial"/>
          <w:bCs/>
        </w:rPr>
        <w:t>(</w:t>
      </w:r>
      <w:r w:rsidR="00F83002">
        <w:rPr>
          <w:rFonts w:ascii="Arial" w:hAnsi="Arial" w:cs="Arial"/>
          <w:bCs/>
        </w:rPr>
        <w:t>My</w:t>
      </w:r>
      <w:r w:rsidR="00F83002" w:rsidRPr="003805AB">
        <w:rPr>
          <w:rFonts w:ascii="Arial" w:hAnsi="Arial" w:cs="Arial"/>
          <w:bCs/>
        </w:rPr>
        <w:t xml:space="preserve"> </w:t>
      </w:r>
      <w:r w:rsidRPr="003805AB">
        <w:rPr>
          <w:rFonts w:ascii="Arial" w:hAnsi="Arial" w:cs="Arial"/>
          <w:bCs/>
        </w:rPr>
        <w:t>emphasis.)</w:t>
      </w:r>
    </w:p>
    <w:p w14:paraId="027793E0" w14:textId="1DA67A5D" w:rsidR="0074254F" w:rsidRDefault="00FF6555" w:rsidP="00F83002">
      <w:pPr>
        <w:spacing w:after="0" w:line="360" w:lineRule="auto"/>
        <w:jc w:val="both"/>
        <w:rPr>
          <w:rFonts w:ascii="Arial" w:hAnsi="Arial" w:cs="Arial"/>
          <w:bCs/>
          <w:sz w:val="24"/>
          <w:szCs w:val="24"/>
        </w:rPr>
      </w:pPr>
      <w:r w:rsidRPr="00FF6555">
        <w:rPr>
          <w:rFonts w:ascii="Arial" w:hAnsi="Arial" w:cs="Arial"/>
          <w:bCs/>
          <w:sz w:val="24"/>
          <w:szCs w:val="24"/>
        </w:rPr>
        <w:lastRenderedPageBreak/>
        <w:t>Th</w:t>
      </w:r>
      <w:r w:rsidR="00474739">
        <w:rPr>
          <w:rFonts w:ascii="Arial" w:hAnsi="Arial" w:cs="Arial"/>
          <w:bCs/>
          <w:sz w:val="24"/>
          <w:szCs w:val="24"/>
        </w:rPr>
        <w:t xml:space="preserve">e passage quoted above </w:t>
      </w:r>
      <w:r w:rsidRPr="00FF6555">
        <w:rPr>
          <w:rFonts w:ascii="Arial" w:hAnsi="Arial" w:cs="Arial"/>
          <w:bCs/>
          <w:sz w:val="24"/>
          <w:szCs w:val="24"/>
        </w:rPr>
        <w:t xml:space="preserve">is a clear indication that </w:t>
      </w:r>
      <w:r w:rsidR="006D423B">
        <w:rPr>
          <w:rFonts w:ascii="Arial" w:hAnsi="Arial" w:cs="Arial"/>
          <w:bCs/>
          <w:sz w:val="24"/>
          <w:szCs w:val="24"/>
        </w:rPr>
        <w:t xml:space="preserve">her </w:t>
      </w:r>
      <w:r w:rsidRPr="00FF6555">
        <w:rPr>
          <w:rFonts w:ascii="Arial" w:hAnsi="Arial" w:cs="Arial"/>
          <w:bCs/>
          <w:sz w:val="24"/>
          <w:szCs w:val="24"/>
        </w:rPr>
        <w:t>mere signature of the performance agreement could not, without more, have evidenced a consent to be translated, as contended for by the PSA</w:t>
      </w:r>
      <w:r w:rsidR="000A4043">
        <w:rPr>
          <w:rFonts w:ascii="Arial" w:hAnsi="Arial" w:cs="Arial"/>
          <w:bCs/>
          <w:sz w:val="24"/>
          <w:szCs w:val="24"/>
        </w:rPr>
        <w:t>.</w:t>
      </w:r>
      <w:r w:rsidR="002C2EDE">
        <w:rPr>
          <w:rFonts w:ascii="Arial" w:hAnsi="Arial" w:cs="Arial"/>
          <w:bCs/>
          <w:sz w:val="24"/>
          <w:szCs w:val="24"/>
        </w:rPr>
        <w:t xml:space="preserve"> </w:t>
      </w:r>
      <w:r w:rsidR="006A41FD">
        <w:rPr>
          <w:rFonts w:ascii="Arial" w:hAnsi="Arial" w:cs="Arial"/>
          <w:bCs/>
          <w:sz w:val="24"/>
          <w:szCs w:val="24"/>
        </w:rPr>
        <w:t>In my view, t</w:t>
      </w:r>
      <w:r w:rsidR="00E93EC0">
        <w:rPr>
          <w:rFonts w:ascii="Arial" w:hAnsi="Arial" w:cs="Arial"/>
          <w:bCs/>
          <w:sz w:val="24"/>
          <w:szCs w:val="24"/>
        </w:rPr>
        <w:t xml:space="preserve">here is insufficient information to </w:t>
      </w:r>
      <w:r w:rsidR="001E6C86">
        <w:rPr>
          <w:rFonts w:ascii="Arial" w:hAnsi="Arial" w:cs="Arial"/>
          <w:bCs/>
          <w:sz w:val="24"/>
          <w:szCs w:val="24"/>
        </w:rPr>
        <w:t xml:space="preserve">substantiate her alleged </w:t>
      </w:r>
      <w:r w:rsidR="00E93EC0">
        <w:rPr>
          <w:rFonts w:ascii="Arial" w:hAnsi="Arial" w:cs="Arial"/>
          <w:bCs/>
          <w:sz w:val="24"/>
          <w:szCs w:val="24"/>
        </w:rPr>
        <w:t xml:space="preserve">compliance with the requirements set out in the NDPP’s </w:t>
      </w:r>
      <w:r w:rsidR="00105551">
        <w:rPr>
          <w:rFonts w:ascii="Arial" w:hAnsi="Arial" w:cs="Arial"/>
          <w:bCs/>
          <w:sz w:val="24"/>
          <w:szCs w:val="24"/>
        </w:rPr>
        <w:t>approval</w:t>
      </w:r>
      <w:r w:rsidR="006A41FD">
        <w:rPr>
          <w:rFonts w:ascii="Arial" w:hAnsi="Arial" w:cs="Arial"/>
          <w:bCs/>
          <w:sz w:val="24"/>
          <w:szCs w:val="24"/>
        </w:rPr>
        <w:t>, which were</w:t>
      </w:r>
      <w:r w:rsidR="00E93EC0">
        <w:rPr>
          <w:rFonts w:ascii="Arial" w:hAnsi="Arial" w:cs="Arial"/>
          <w:bCs/>
          <w:sz w:val="24"/>
          <w:szCs w:val="24"/>
        </w:rPr>
        <w:t xml:space="preserve"> </w:t>
      </w:r>
      <w:r w:rsidR="00105551">
        <w:rPr>
          <w:rFonts w:ascii="Arial" w:hAnsi="Arial" w:cs="Arial"/>
          <w:bCs/>
          <w:sz w:val="24"/>
          <w:szCs w:val="24"/>
        </w:rPr>
        <w:t xml:space="preserve">subsequently </w:t>
      </w:r>
      <w:r w:rsidR="00E93EC0">
        <w:rPr>
          <w:rFonts w:ascii="Arial" w:hAnsi="Arial" w:cs="Arial"/>
          <w:bCs/>
          <w:sz w:val="24"/>
          <w:szCs w:val="24"/>
        </w:rPr>
        <w:t>elucidated</w:t>
      </w:r>
      <w:r w:rsidR="009C0DAD">
        <w:rPr>
          <w:rFonts w:ascii="Arial" w:hAnsi="Arial" w:cs="Arial"/>
          <w:bCs/>
          <w:sz w:val="24"/>
          <w:szCs w:val="24"/>
        </w:rPr>
        <w:t xml:space="preserve"> in the CEO’s letter.</w:t>
      </w:r>
    </w:p>
    <w:p w14:paraId="389936B5" w14:textId="77777777" w:rsidR="00FF10DA" w:rsidRDefault="00FF10DA" w:rsidP="00781E45">
      <w:pPr>
        <w:spacing w:after="0" w:line="360" w:lineRule="auto"/>
        <w:jc w:val="both"/>
        <w:rPr>
          <w:rFonts w:ascii="Arial" w:hAnsi="Arial" w:cs="Arial"/>
          <w:bCs/>
          <w:sz w:val="24"/>
          <w:szCs w:val="24"/>
        </w:rPr>
      </w:pPr>
    </w:p>
    <w:p w14:paraId="08DD2CAD" w14:textId="2C6C11F2" w:rsidR="00062847" w:rsidRDefault="000B3DC4" w:rsidP="009A3320">
      <w:pPr>
        <w:pStyle w:val="ListParagraph"/>
        <w:spacing w:after="0" w:line="360" w:lineRule="auto"/>
        <w:ind w:left="0"/>
        <w:jc w:val="both"/>
        <w:rPr>
          <w:rFonts w:ascii="Arial" w:hAnsi="Arial" w:cs="Arial"/>
          <w:bCs/>
          <w:sz w:val="24"/>
          <w:szCs w:val="24"/>
        </w:rPr>
      </w:pPr>
      <w:r>
        <w:rPr>
          <w:rFonts w:ascii="Arial" w:hAnsi="Arial" w:cs="Arial"/>
          <w:bCs/>
          <w:sz w:val="24"/>
          <w:szCs w:val="24"/>
        </w:rPr>
        <w:t>[3</w:t>
      </w:r>
      <w:r w:rsidR="008F0BEA">
        <w:rPr>
          <w:rFonts w:ascii="Arial" w:hAnsi="Arial" w:cs="Arial"/>
          <w:bCs/>
          <w:sz w:val="24"/>
          <w:szCs w:val="24"/>
        </w:rPr>
        <w:t>9</w:t>
      </w:r>
      <w:r>
        <w:rPr>
          <w:rFonts w:ascii="Arial" w:hAnsi="Arial" w:cs="Arial"/>
          <w:bCs/>
          <w:sz w:val="24"/>
          <w:szCs w:val="24"/>
        </w:rPr>
        <w:t>]</w:t>
      </w:r>
      <w:r>
        <w:rPr>
          <w:rFonts w:ascii="Arial" w:hAnsi="Arial" w:cs="Arial"/>
          <w:bCs/>
          <w:sz w:val="24"/>
          <w:szCs w:val="24"/>
        </w:rPr>
        <w:tab/>
      </w:r>
      <w:r w:rsidR="00062847">
        <w:rPr>
          <w:rFonts w:ascii="Arial" w:hAnsi="Arial" w:cs="Arial"/>
          <w:bCs/>
          <w:sz w:val="24"/>
          <w:szCs w:val="24"/>
        </w:rPr>
        <w:t xml:space="preserve">Quite apart from the fact that some of the correspondence from the NPA shows that certain requirements had to be met prior to the LP10 band being applicable to DDPPs and CPs, it is clear from various documents annexed to the PSA’s papers, including the minutes of the meetings alluded to earlier in the judgment, that there was also no unanimity on the implementation date. </w:t>
      </w:r>
      <w:r w:rsidR="0063677C">
        <w:rPr>
          <w:rFonts w:ascii="Arial" w:hAnsi="Arial" w:cs="Arial"/>
          <w:bCs/>
          <w:sz w:val="24"/>
          <w:szCs w:val="24"/>
        </w:rPr>
        <w:t>The following a</w:t>
      </w:r>
      <w:r w:rsidR="00D819F5">
        <w:rPr>
          <w:rFonts w:ascii="Arial" w:hAnsi="Arial" w:cs="Arial"/>
          <w:bCs/>
          <w:sz w:val="24"/>
          <w:szCs w:val="24"/>
        </w:rPr>
        <w:t xml:space="preserve">ssertion </w:t>
      </w:r>
      <w:r w:rsidR="0063677C">
        <w:rPr>
          <w:rFonts w:ascii="Arial" w:hAnsi="Arial" w:cs="Arial"/>
          <w:bCs/>
          <w:sz w:val="24"/>
          <w:szCs w:val="24"/>
        </w:rPr>
        <w:t xml:space="preserve">by </w:t>
      </w:r>
      <w:r w:rsidR="00142985">
        <w:rPr>
          <w:rFonts w:ascii="Arial" w:hAnsi="Arial" w:cs="Arial"/>
          <w:bCs/>
          <w:sz w:val="24"/>
          <w:szCs w:val="24"/>
        </w:rPr>
        <w:t>Ms</w:t>
      </w:r>
      <w:r w:rsidR="00D819F5">
        <w:rPr>
          <w:rFonts w:ascii="Arial" w:hAnsi="Arial" w:cs="Arial"/>
          <w:bCs/>
          <w:sz w:val="24"/>
          <w:szCs w:val="24"/>
        </w:rPr>
        <w:t xml:space="preserve"> Meintjies </w:t>
      </w:r>
      <w:r w:rsidR="0063677C">
        <w:rPr>
          <w:rFonts w:ascii="Arial" w:hAnsi="Arial" w:cs="Arial"/>
          <w:bCs/>
          <w:sz w:val="24"/>
          <w:szCs w:val="24"/>
        </w:rPr>
        <w:t>is striking:</w:t>
      </w:r>
      <w:r w:rsidR="0051121B">
        <w:rPr>
          <w:rFonts w:ascii="Arial" w:hAnsi="Arial" w:cs="Arial"/>
          <w:bCs/>
          <w:sz w:val="24"/>
          <w:szCs w:val="24"/>
        </w:rPr>
        <w:t xml:space="preserve"> </w:t>
      </w:r>
    </w:p>
    <w:p w14:paraId="28079A74" w14:textId="7BB1E473" w:rsidR="00062847" w:rsidRPr="003805AB" w:rsidRDefault="00062847" w:rsidP="003805AB">
      <w:pPr>
        <w:pStyle w:val="ListParagraph"/>
        <w:spacing w:after="0" w:line="360" w:lineRule="auto"/>
        <w:ind w:left="0"/>
        <w:jc w:val="both"/>
        <w:rPr>
          <w:rFonts w:ascii="Arial" w:hAnsi="Arial" w:cs="Arial"/>
          <w:bCs/>
        </w:rPr>
      </w:pPr>
      <w:r>
        <w:rPr>
          <w:rFonts w:ascii="Arial" w:hAnsi="Arial" w:cs="Arial"/>
          <w:bCs/>
          <w:sz w:val="24"/>
          <w:szCs w:val="24"/>
        </w:rPr>
        <w:t>‘</w:t>
      </w:r>
      <w:r w:rsidRPr="00D50DF1">
        <w:rPr>
          <w:rFonts w:ascii="Arial" w:hAnsi="Arial" w:cs="Arial"/>
          <w:bCs/>
        </w:rPr>
        <w:t xml:space="preserve">It is important to note that the implementation date communicated in the meeting of 25 May 2015 and on the memorandum dated 24 November 2014 is </w:t>
      </w:r>
      <w:r w:rsidRPr="0063591C">
        <w:rPr>
          <w:rFonts w:ascii="Arial" w:hAnsi="Arial" w:cs="Arial"/>
          <w:bCs/>
          <w:i/>
          <w:iCs/>
        </w:rPr>
        <w:t xml:space="preserve">not </w:t>
      </w:r>
      <w:r w:rsidRPr="00D50DF1">
        <w:rPr>
          <w:rFonts w:ascii="Arial" w:hAnsi="Arial" w:cs="Arial"/>
          <w:bCs/>
        </w:rPr>
        <w:t xml:space="preserve">the same date that was agreed upon at the bargaining council. It is neither the date the </w:t>
      </w:r>
      <w:r>
        <w:rPr>
          <w:rFonts w:ascii="Arial" w:hAnsi="Arial" w:cs="Arial"/>
          <w:bCs/>
        </w:rPr>
        <w:t xml:space="preserve">[Minister of Justice] </w:t>
      </w:r>
      <w:r w:rsidRPr="00D50DF1">
        <w:rPr>
          <w:rFonts w:ascii="Arial" w:hAnsi="Arial" w:cs="Arial"/>
          <w:bCs/>
        </w:rPr>
        <w:t xml:space="preserve">endorsed nor the date communicated by the </w:t>
      </w:r>
      <w:r>
        <w:rPr>
          <w:rFonts w:ascii="Arial" w:hAnsi="Arial" w:cs="Arial"/>
          <w:bCs/>
        </w:rPr>
        <w:t xml:space="preserve">[Minister of Public Service and Administration] </w:t>
      </w:r>
      <w:r w:rsidRPr="00D50DF1">
        <w:rPr>
          <w:rFonts w:ascii="Arial" w:hAnsi="Arial" w:cs="Arial"/>
          <w:bCs/>
        </w:rPr>
        <w:t>in their respective determinations. The comm</w:t>
      </w:r>
      <w:r>
        <w:rPr>
          <w:rFonts w:ascii="Arial" w:hAnsi="Arial" w:cs="Arial"/>
          <w:bCs/>
        </w:rPr>
        <w:t>o</w:t>
      </w:r>
      <w:r w:rsidRPr="00D50DF1">
        <w:rPr>
          <w:rFonts w:ascii="Arial" w:hAnsi="Arial" w:cs="Arial"/>
          <w:bCs/>
        </w:rPr>
        <w:t xml:space="preserve">n implementation date </w:t>
      </w:r>
      <w:r w:rsidRPr="002F56C9">
        <w:rPr>
          <w:rFonts w:ascii="Arial" w:hAnsi="Arial" w:cs="Arial"/>
          <w:bCs/>
          <w:i/>
          <w:iCs/>
        </w:rPr>
        <w:t>agreed upon</w:t>
      </w:r>
      <w:r w:rsidRPr="00D50DF1">
        <w:rPr>
          <w:rFonts w:ascii="Arial" w:hAnsi="Arial" w:cs="Arial"/>
          <w:bCs/>
        </w:rPr>
        <w:t xml:space="preserve"> and duly communicated by the bargaining councils,</w:t>
      </w:r>
      <w:r>
        <w:rPr>
          <w:rFonts w:ascii="Arial" w:hAnsi="Arial" w:cs="Arial"/>
          <w:bCs/>
        </w:rPr>
        <w:t xml:space="preserve"> [the Minister of Justice] and [the Minister of Public Service and Administration] </w:t>
      </w:r>
      <w:r w:rsidRPr="00D50DF1">
        <w:rPr>
          <w:rFonts w:ascii="Arial" w:hAnsi="Arial" w:cs="Arial"/>
          <w:bCs/>
        </w:rPr>
        <w:t>for the purpose</w:t>
      </w:r>
      <w:r>
        <w:rPr>
          <w:rFonts w:ascii="Arial" w:hAnsi="Arial" w:cs="Arial"/>
          <w:bCs/>
        </w:rPr>
        <w:t>s</w:t>
      </w:r>
      <w:r w:rsidRPr="00D50DF1">
        <w:rPr>
          <w:rFonts w:ascii="Arial" w:hAnsi="Arial" w:cs="Arial"/>
          <w:bCs/>
        </w:rPr>
        <w:t xml:space="preserve"> of OSD is 7 July 2007 and not 1 April 2015</w:t>
      </w:r>
      <w:r>
        <w:rPr>
          <w:rFonts w:ascii="Arial" w:hAnsi="Arial" w:cs="Arial"/>
          <w:bCs/>
        </w:rPr>
        <w:t>.</w:t>
      </w:r>
      <w:r w:rsidR="00FF10DA">
        <w:rPr>
          <w:rFonts w:ascii="Arial" w:hAnsi="Arial" w:cs="Arial"/>
          <w:bCs/>
        </w:rPr>
        <w:t>’</w:t>
      </w:r>
      <w:r>
        <w:rPr>
          <w:rFonts w:ascii="Arial" w:hAnsi="Arial" w:cs="Arial"/>
          <w:bCs/>
        </w:rPr>
        <w:t xml:space="preserve"> </w:t>
      </w:r>
      <w:r w:rsidRPr="003805AB">
        <w:rPr>
          <w:rFonts w:ascii="Arial" w:hAnsi="Arial" w:cs="Arial"/>
          <w:bCs/>
        </w:rPr>
        <w:t>(</w:t>
      </w:r>
      <w:r w:rsidR="00F83002" w:rsidRPr="003805AB">
        <w:rPr>
          <w:rFonts w:ascii="Arial" w:hAnsi="Arial" w:cs="Arial"/>
          <w:bCs/>
        </w:rPr>
        <w:t xml:space="preserve">My </w:t>
      </w:r>
      <w:r w:rsidRPr="003805AB">
        <w:rPr>
          <w:rFonts w:ascii="Arial" w:hAnsi="Arial" w:cs="Arial"/>
          <w:bCs/>
        </w:rPr>
        <w:t>emphasis.)</w:t>
      </w:r>
    </w:p>
    <w:p w14:paraId="046ACB28" w14:textId="77777777" w:rsidR="007152DE" w:rsidRDefault="007152DE" w:rsidP="003805AB">
      <w:pPr>
        <w:pStyle w:val="ListParagraph"/>
        <w:spacing w:after="0" w:line="360" w:lineRule="auto"/>
        <w:ind w:left="0"/>
        <w:jc w:val="both"/>
        <w:rPr>
          <w:rFonts w:ascii="Arial" w:hAnsi="Arial" w:cs="Arial"/>
          <w:bCs/>
          <w:sz w:val="24"/>
          <w:szCs w:val="24"/>
        </w:rPr>
      </w:pPr>
    </w:p>
    <w:p w14:paraId="64BD301B" w14:textId="66B4FBA3" w:rsidR="00CD1079" w:rsidRDefault="00062847" w:rsidP="00F83002">
      <w:pPr>
        <w:pStyle w:val="ListParagraph"/>
        <w:spacing w:after="0" w:line="360" w:lineRule="auto"/>
        <w:ind w:left="0"/>
        <w:jc w:val="both"/>
        <w:rPr>
          <w:rFonts w:ascii="Arial" w:hAnsi="Arial" w:cs="Arial"/>
          <w:bCs/>
          <w:sz w:val="24"/>
          <w:szCs w:val="24"/>
        </w:rPr>
      </w:pPr>
      <w:r>
        <w:rPr>
          <w:rFonts w:ascii="Arial" w:hAnsi="Arial" w:cs="Arial"/>
          <w:bCs/>
          <w:sz w:val="24"/>
          <w:szCs w:val="24"/>
        </w:rPr>
        <w:t>[</w:t>
      </w:r>
      <w:r w:rsidR="008F0BEA">
        <w:rPr>
          <w:rFonts w:ascii="Arial" w:hAnsi="Arial" w:cs="Arial"/>
          <w:bCs/>
          <w:sz w:val="24"/>
          <w:szCs w:val="24"/>
        </w:rPr>
        <w:t>40</w:t>
      </w:r>
      <w:r>
        <w:rPr>
          <w:rFonts w:ascii="Arial" w:hAnsi="Arial" w:cs="Arial"/>
          <w:bCs/>
          <w:sz w:val="24"/>
          <w:szCs w:val="24"/>
        </w:rPr>
        <w:t>]</w:t>
      </w:r>
      <w:r>
        <w:rPr>
          <w:rFonts w:ascii="Arial" w:hAnsi="Arial" w:cs="Arial"/>
          <w:bCs/>
          <w:sz w:val="24"/>
          <w:szCs w:val="24"/>
        </w:rPr>
        <w:tab/>
        <w:t xml:space="preserve">It is clear from the afore-mentioned passage that </w:t>
      </w:r>
      <w:r w:rsidRPr="003E2D0E">
        <w:rPr>
          <w:rFonts w:ascii="Arial" w:hAnsi="Arial" w:cs="Arial"/>
          <w:bCs/>
          <w:sz w:val="24"/>
          <w:szCs w:val="24"/>
        </w:rPr>
        <w:t xml:space="preserve">even after the NDPP’s approval of the Chief Director’s recommendation in July 2014, there was still no </w:t>
      </w:r>
      <w:r w:rsidR="00355546">
        <w:rPr>
          <w:rFonts w:ascii="Arial" w:hAnsi="Arial" w:cs="Arial"/>
          <w:bCs/>
          <w:sz w:val="24"/>
          <w:szCs w:val="24"/>
        </w:rPr>
        <w:t>finali</w:t>
      </w:r>
      <w:r w:rsidRPr="003E2D0E">
        <w:rPr>
          <w:rFonts w:ascii="Arial" w:hAnsi="Arial" w:cs="Arial"/>
          <w:bCs/>
          <w:sz w:val="24"/>
          <w:szCs w:val="24"/>
        </w:rPr>
        <w:t xml:space="preserve">ty regarding the agreed upon date for the implementation of </w:t>
      </w:r>
      <w:r w:rsidR="00515027" w:rsidRPr="002D0EA2">
        <w:rPr>
          <w:rFonts w:ascii="Arial" w:hAnsi="Arial" w:cs="Arial"/>
          <w:bCs/>
          <w:sz w:val="24"/>
          <w:szCs w:val="24"/>
        </w:rPr>
        <w:t>the</w:t>
      </w:r>
      <w:r w:rsidR="00515027">
        <w:rPr>
          <w:rFonts w:ascii="Arial" w:hAnsi="Arial" w:cs="Arial"/>
          <w:bCs/>
          <w:sz w:val="24"/>
          <w:szCs w:val="24"/>
        </w:rPr>
        <w:t xml:space="preserve"> </w:t>
      </w:r>
      <w:r w:rsidRPr="003E2D0E">
        <w:rPr>
          <w:rFonts w:ascii="Arial" w:hAnsi="Arial" w:cs="Arial"/>
          <w:bCs/>
          <w:sz w:val="24"/>
          <w:szCs w:val="24"/>
        </w:rPr>
        <w:t>OSD to the DDPPs and CPs.</w:t>
      </w:r>
      <w:r>
        <w:rPr>
          <w:rFonts w:ascii="Arial" w:hAnsi="Arial" w:cs="Arial"/>
          <w:bCs/>
          <w:sz w:val="24"/>
          <w:szCs w:val="24"/>
        </w:rPr>
        <w:t xml:space="preserve"> </w:t>
      </w:r>
      <w:r w:rsidR="00120009">
        <w:rPr>
          <w:rFonts w:ascii="Arial" w:hAnsi="Arial" w:cs="Arial"/>
          <w:bCs/>
          <w:sz w:val="24"/>
          <w:szCs w:val="24"/>
        </w:rPr>
        <w:t>The CEO stated that ‘the implementation date cannot be earlier than the 1</w:t>
      </w:r>
      <w:r w:rsidR="00120009" w:rsidRPr="00120009">
        <w:rPr>
          <w:rFonts w:ascii="Arial" w:hAnsi="Arial" w:cs="Arial"/>
          <w:bCs/>
          <w:sz w:val="24"/>
          <w:szCs w:val="24"/>
          <w:vertAlign w:val="superscript"/>
        </w:rPr>
        <w:t>st</w:t>
      </w:r>
      <w:r w:rsidR="00120009">
        <w:rPr>
          <w:rFonts w:ascii="Arial" w:hAnsi="Arial" w:cs="Arial"/>
          <w:bCs/>
          <w:sz w:val="24"/>
          <w:szCs w:val="24"/>
        </w:rPr>
        <w:t xml:space="preserve"> of September 2014 as the approval </w:t>
      </w:r>
      <w:r w:rsidR="00E76DCF">
        <w:rPr>
          <w:rFonts w:ascii="Arial" w:hAnsi="Arial" w:cs="Arial"/>
          <w:bCs/>
          <w:sz w:val="24"/>
          <w:szCs w:val="24"/>
        </w:rPr>
        <w:t>was obtained on the 29</w:t>
      </w:r>
      <w:r w:rsidR="00E76DCF" w:rsidRPr="00E76DCF">
        <w:rPr>
          <w:rFonts w:ascii="Arial" w:hAnsi="Arial" w:cs="Arial"/>
          <w:bCs/>
          <w:sz w:val="24"/>
          <w:szCs w:val="24"/>
          <w:vertAlign w:val="superscript"/>
        </w:rPr>
        <w:t>th</w:t>
      </w:r>
      <w:r w:rsidR="00E76DCF">
        <w:rPr>
          <w:rFonts w:ascii="Arial" w:hAnsi="Arial" w:cs="Arial"/>
          <w:bCs/>
          <w:sz w:val="24"/>
          <w:szCs w:val="24"/>
        </w:rPr>
        <w:t xml:space="preserve"> of July 2014’. </w:t>
      </w:r>
      <w:r w:rsidR="00142985">
        <w:rPr>
          <w:rFonts w:ascii="Arial" w:hAnsi="Arial" w:cs="Arial"/>
          <w:bCs/>
          <w:sz w:val="24"/>
          <w:szCs w:val="24"/>
        </w:rPr>
        <w:t>Ms</w:t>
      </w:r>
      <w:r>
        <w:rPr>
          <w:rFonts w:ascii="Arial" w:hAnsi="Arial" w:cs="Arial"/>
          <w:bCs/>
          <w:sz w:val="24"/>
          <w:szCs w:val="24"/>
        </w:rPr>
        <w:t xml:space="preserve"> Meintjies’ </w:t>
      </w:r>
      <w:r w:rsidRPr="003E2D0E">
        <w:rPr>
          <w:rFonts w:ascii="Arial" w:hAnsi="Arial" w:cs="Arial"/>
          <w:bCs/>
          <w:sz w:val="24"/>
          <w:szCs w:val="24"/>
        </w:rPr>
        <w:t>disavow</w:t>
      </w:r>
      <w:r>
        <w:rPr>
          <w:rFonts w:ascii="Arial" w:hAnsi="Arial" w:cs="Arial"/>
          <w:bCs/>
          <w:sz w:val="24"/>
          <w:szCs w:val="24"/>
        </w:rPr>
        <w:t xml:space="preserve">al of </w:t>
      </w:r>
      <w:r w:rsidRPr="003E2D0E">
        <w:rPr>
          <w:rFonts w:ascii="Arial" w:hAnsi="Arial" w:cs="Arial"/>
          <w:bCs/>
          <w:sz w:val="24"/>
          <w:szCs w:val="24"/>
        </w:rPr>
        <w:t xml:space="preserve">the dates mentioned in the CEO’s memorandum does not assist the PSA in any way, </w:t>
      </w:r>
      <w:r>
        <w:rPr>
          <w:rFonts w:ascii="Arial" w:hAnsi="Arial" w:cs="Arial"/>
          <w:bCs/>
          <w:sz w:val="24"/>
          <w:szCs w:val="24"/>
        </w:rPr>
        <w:t xml:space="preserve">seeing that she, in para </w:t>
      </w:r>
      <w:r w:rsidRPr="003E2D0E">
        <w:rPr>
          <w:rFonts w:ascii="Arial" w:hAnsi="Arial" w:cs="Arial"/>
          <w:bCs/>
          <w:sz w:val="24"/>
          <w:szCs w:val="24"/>
        </w:rPr>
        <w:t xml:space="preserve">18.1.5 of </w:t>
      </w:r>
      <w:r>
        <w:rPr>
          <w:rFonts w:ascii="Arial" w:hAnsi="Arial" w:cs="Arial"/>
          <w:bCs/>
          <w:sz w:val="24"/>
          <w:szCs w:val="24"/>
        </w:rPr>
        <w:t xml:space="preserve">her </w:t>
      </w:r>
      <w:r w:rsidRPr="003E2D0E">
        <w:rPr>
          <w:rFonts w:ascii="Arial" w:hAnsi="Arial" w:cs="Arial"/>
          <w:bCs/>
          <w:sz w:val="24"/>
          <w:szCs w:val="24"/>
        </w:rPr>
        <w:t>founding affidavit</w:t>
      </w:r>
      <w:r>
        <w:rPr>
          <w:rFonts w:ascii="Arial" w:hAnsi="Arial" w:cs="Arial"/>
          <w:bCs/>
          <w:sz w:val="24"/>
          <w:szCs w:val="24"/>
        </w:rPr>
        <w:t xml:space="preserve">, </w:t>
      </w:r>
      <w:r w:rsidRPr="003E2D0E">
        <w:rPr>
          <w:rFonts w:ascii="Arial" w:hAnsi="Arial" w:cs="Arial"/>
          <w:bCs/>
          <w:sz w:val="24"/>
          <w:szCs w:val="24"/>
        </w:rPr>
        <w:t xml:space="preserve">also sought compliance with that specific memorandum. </w:t>
      </w:r>
      <w:r w:rsidR="00CD1079">
        <w:rPr>
          <w:rFonts w:ascii="Arial" w:hAnsi="Arial" w:cs="Arial"/>
          <w:bCs/>
          <w:sz w:val="24"/>
          <w:szCs w:val="24"/>
        </w:rPr>
        <w:t>On the papers as they currently stand, the PSA’s averment that ‘the common implementation date agreed upon’ was 7 July 2007, cannot be correct.</w:t>
      </w:r>
    </w:p>
    <w:p w14:paraId="7E1BE89F" w14:textId="0FB81719" w:rsidR="008876CE" w:rsidRDefault="008876CE" w:rsidP="003805AB">
      <w:pPr>
        <w:pStyle w:val="ListParagraph"/>
        <w:spacing w:after="0" w:line="360" w:lineRule="auto"/>
        <w:ind w:left="0"/>
        <w:jc w:val="both"/>
        <w:rPr>
          <w:rFonts w:ascii="Arial" w:hAnsi="Arial" w:cs="Arial"/>
          <w:bCs/>
          <w:sz w:val="24"/>
          <w:szCs w:val="24"/>
        </w:rPr>
      </w:pPr>
    </w:p>
    <w:p w14:paraId="01A2E855" w14:textId="243A48EC" w:rsidR="008876CE" w:rsidRPr="003E2D0E" w:rsidRDefault="008876CE" w:rsidP="00F83002">
      <w:pPr>
        <w:pStyle w:val="ListParagraph"/>
        <w:spacing w:after="0" w:line="360" w:lineRule="auto"/>
        <w:ind w:left="0"/>
        <w:jc w:val="both"/>
        <w:rPr>
          <w:rFonts w:ascii="Arial" w:hAnsi="Arial" w:cs="Arial"/>
          <w:bCs/>
          <w:sz w:val="24"/>
          <w:szCs w:val="24"/>
        </w:rPr>
      </w:pPr>
      <w:r>
        <w:rPr>
          <w:rFonts w:ascii="Arial" w:hAnsi="Arial" w:cs="Arial"/>
          <w:bCs/>
          <w:sz w:val="24"/>
          <w:szCs w:val="24"/>
        </w:rPr>
        <w:t>[4</w:t>
      </w:r>
      <w:r w:rsidR="008F0BEA">
        <w:rPr>
          <w:rFonts w:ascii="Arial" w:hAnsi="Arial" w:cs="Arial"/>
          <w:bCs/>
          <w:sz w:val="24"/>
          <w:szCs w:val="24"/>
        </w:rPr>
        <w:t>1</w:t>
      </w:r>
      <w:r>
        <w:rPr>
          <w:rFonts w:ascii="Arial" w:hAnsi="Arial" w:cs="Arial"/>
          <w:bCs/>
          <w:sz w:val="24"/>
          <w:szCs w:val="24"/>
        </w:rPr>
        <w:t>]</w:t>
      </w:r>
      <w:r>
        <w:rPr>
          <w:rFonts w:ascii="Arial" w:hAnsi="Arial" w:cs="Arial"/>
          <w:bCs/>
          <w:sz w:val="24"/>
          <w:szCs w:val="24"/>
        </w:rPr>
        <w:tab/>
      </w:r>
      <w:r w:rsidR="001C429A">
        <w:rPr>
          <w:rFonts w:ascii="Arial" w:hAnsi="Arial" w:cs="Arial"/>
          <w:bCs/>
          <w:sz w:val="24"/>
          <w:szCs w:val="24"/>
        </w:rPr>
        <w:t>As stated before, t</w:t>
      </w:r>
      <w:r w:rsidR="004E51C1">
        <w:rPr>
          <w:rFonts w:ascii="Arial" w:hAnsi="Arial" w:cs="Arial"/>
          <w:bCs/>
          <w:sz w:val="24"/>
          <w:szCs w:val="24"/>
        </w:rPr>
        <w:t xml:space="preserve">he appellants contended that the production specialist post was never created in the NPA </w:t>
      </w:r>
      <w:r w:rsidR="001C429A">
        <w:rPr>
          <w:rFonts w:ascii="Arial" w:hAnsi="Arial" w:cs="Arial"/>
          <w:bCs/>
          <w:sz w:val="24"/>
          <w:szCs w:val="24"/>
        </w:rPr>
        <w:t xml:space="preserve">because of a lack of funding. </w:t>
      </w:r>
      <w:r w:rsidRPr="000B3DC4">
        <w:rPr>
          <w:rFonts w:ascii="Arial" w:hAnsi="Arial" w:cs="Arial"/>
          <w:bCs/>
          <w:sz w:val="24"/>
          <w:szCs w:val="24"/>
        </w:rPr>
        <w:t xml:space="preserve">It is quite telling that in their Request for Arbitration, the PSA described the dispute as being about ‘whether </w:t>
      </w:r>
      <w:r w:rsidRPr="000B3DC4">
        <w:rPr>
          <w:rFonts w:ascii="Arial" w:hAnsi="Arial" w:cs="Arial"/>
          <w:bCs/>
          <w:sz w:val="24"/>
          <w:szCs w:val="24"/>
        </w:rPr>
        <w:lastRenderedPageBreak/>
        <w:t xml:space="preserve">an agreement was reached to the effect that DDPP on salary level 13 &amp; 14 would be regarded as being production specialists and that qualifying DDPPs at level 13 &amp; 14 will be migrated out of SMS dispensation to OSD on salary level LP10’. </w:t>
      </w:r>
      <w:r>
        <w:rPr>
          <w:rFonts w:ascii="Arial" w:hAnsi="Arial" w:cs="Arial"/>
          <w:bCs/>
          <w:sz w:val="24"/>
          <w:szCs w:val="24"/>
        </w:rPr>
        <w:t xml:space="preserve">Clearly, there had been no consensus on this aspect. </w:t>
      </w:r>
    </w:p>
    <w:p w14:paraId="245AE3E3" w14:textId="61B7ACF7" w:rsidR="008876CE" w:rsidRDefault="008876CE" w:rsidP="003805AB">
      <w:pPr>
        <w:pStyle w:val="ListParagraph"/>
        <w:spacing w:after="0" w:line="360" w:lineRule="auto"/>
        <w:ind w:left="0"/>
        <w:jc w:val="both"/>
        <w:rPr>
          <w:rFonts w:ascii="Arial" w:hAnsi="Arial" w:cs="Arial"/>
          <w:bCs/>
          <w:sz w:val="24"/>
          <w:szCs w:val="24"/>
        </w:rPr>
      </w:pPr>
    </w:p>
    <w:p w14:paraId="02F1D4B6" w14:textId="4B3C8EDF" w:rsidR="00CA7EF2" w:rsidRPr="00A440D9" w:rsidRDefault="009C0DAD" w:rsidP="00F83002">
      <w:pPr>
        <w:pStyle w:val="ListParagraph"/>
        <w:spacing w:after="0" w:line="360" w:lineRule="auto"/>
        <w:ind w:left="0"/>
        <w:jc w:val="both"/>
        <w:rPr>
          <w:rFonts w:ascii="Arial" w:hAnsi="Arial" w:cs="Arial"/>
          <w:bCs/>
          <w:sz w:val="24"/>
          <w:szCs w:val="24"/>
        </w:rPr>
      </w:pPr>
      <w:r>
        <w:rPr>
          <w:rFonts w:ascii="Arial" w:hAnsi="Arial" w:cs="Arial"/>
          <w:bCs/>
          <w:sz w:val="24"/>
          <w:szCs w:val="24"/>
        </w:rPr>
        <w:t>[</w:t>
      </w:r>
      <w:r w:rsidR="007152DE">
        <w:rPr>
          <w:rFonts w:ascii="Arial" w:hAnsi="Arial" w:cs="Arial"/>
          <w:bCs/>
          <w:sz w:val="24"/>
          <w:szCs w:val="24"/>
        </w:rPr>
        <w:t>4</w:t>
      </w:r>
      <w:r w:rsidR="008F0BEA">
        <w:rPr>
          <w:rFonts w:ascii="Arial" w:hAnsi="Arial" w:cs="Arial"/>
          <w:bCs/>
          <w:sz w:val="24"/>
          <w:szCs w:val="24"/>
        </w:rPr>
        <w:t>2</w:t>
      </w:r>
      <w:r>
        <w:rPr>
          <w:rFonts w:ascii="Arial" w:hAnsi="Arial" w:cs="Arial"/>
          <w:bCs/>
          <w:sz w:val="24"/>
          <w:szCs w:val="24"/>
        </w:rPr>
        <w:t>]</w:t>
      </w:r>
      <w:r>
        <w:rPr>
          <w:rFonts w:ascii="Arial" w:hAnsi="Arial" w:cs="Arial"/>
          <w:bCs/>
          <w:sz w:val="24"/>
          <w:szCs w:val="24"/>
        </w:rPr>
        <w:tab/>
        <w:t xml:space="preserve">I am therefore of the view that </w:t>
      </w:r>
      <w:r w:rsidR="0034124A">
        <w:rPr>
          <w:rFonts w:ascii="Arial" w:hAnsi="Arial" w:cs="Arial"/>
          <w:bCs/>
          <w:sz w:val="24"/>
          <w:szCs w:val="24"/>
        </w:rPr>
        <w:t xml:space="preserve">even on the PSA’s own version of events, </w:t>
      </w:r>
      <w:r>
        <w:rPr>
          <w:rFonts w:ascii="Arial" w:hAnsi="Arial" w:cs="Arial"/>
          <w:bCs/>
          <w:sz w:val="24"/>
          <w:szCs w:val="24"/>
        </w:rPr>
        <w:t>none of the d</w:t>
      </w:r>
      <w:r w:rsidR="00455699">
        <w:rPr>
          <w:rFonts w:ascii="Arial" w:hAnsi="Arial" w:cs="Arial"/>
          <w:bCs/>
          <w:sz w:val="24"/>
          <w:szCs w:val="24"/>
        </w:rPr>
        <w:t>o</w:t>
      </w:r>
      <w:r>
        <w:rPr>
          <w:rFonts w:ascii="Arial" w:hAnsi="Arial" w:cs="Arial"/>
          <w:bCs/>
          <w:sz w:val="24"/>
          <w:szCs w:val="24"/>
        </w:rPr>
        <w:t xml:space="preserve">cuments furnished </w:t>
      </w:r>
      <w:r w:rsidR="0034124A">
        <w:rPr>
          <w:rFonts w:ascii="Arial" w:hAnsi="Arial" w:cs="Arial"/>
          <w:bCs/>
          <w:sz w:val="24"/>
          <w:szCs w:val="24"/>
        </w:rPr>
        <w:t xml:space="preserve">in the application </w:t>
      </w:r>
      <w:r>
        <w:rPr>
          <w:rFonts w:ascii="Arial" w:hAnsi="Arial" w:cs="Arial"/>
          <w:bCs/>
          <w:sz w:val="24"/>
          <w:szCs w:val="24"/>
        </w:rPr>
        <w:t xml:space="preserve">point to a consensus on the manner of implementation of </w:t>
      </w:r>
      <w:r w:rsidR="00515027" w:rsidRPr="002D0EA2">
        <w:rPr>
          <w:rFonts w:ascii="Arial" w:hAnsi="Arial" w:cs="Arial"/>
          <w:bCs/>
          <w:sz w:val="24"/>
          <w:szCs w:val="24"/>
        </w:rPr>
        <w:t>the</w:t>
      </w:r>
      <w:r w:rsidR="00515027">
        <w:rPr>
          <w:rFonts w:ascii="Arial" w:hAnsi="Arial" w:cs="Arial"/>
          <w:bCs/>
          <w:sz w:val="24"/>
          <w:szCs w:val="24"/>
        </w:rPr>
        <w:t xml:space="preserve"> </w:t>
      </w:r>
      <w:r>
        <w:rPr>
          <w:rFonts w:ascii="Arial" w:hAnsi="Arial" w:cs="Arial"/>
          <w:bCs/>
          <w:sz w:val="24"/>
          <w:szCs w:val="24"/>
        </w:rPr>
        <w:t xml:space="preserve">OSD for the DDPPs and CPs. </w:t>
      </w:r>
      <w:r w:rsidR="00FD3C98">
        <w:rPr>
          <w:rFonts w:ascii="Arial" w:hAnsi="Arial" w:cs="Arial"/>
          <w:bCs/>
          <w:sz w:val="24"/>
          <w:szCs w:val="24"/>
        </w:rPr>
        <w:t xml:space="preserve">This means that the PSA failed to prove the existence of the agreement it sought to rely on. Its claim on the implementation of any agreement premised on the NDPP’s approval </w:t>
      </w:r>
      <w:r w:rsidR="002C2AA7">
        <w:rPr>
          <w:rFonts w:ascii="Arial" w:hAnsi="Arial" w:cs="Arial"/>
          <w:bCs/>
          <w:sz w:val="24"/>
          <w:szCs w:val="24"/>
        </w:rPr>
        <w:t xml:space="preserve">therefore </w:t>
      </w:r>
      <w:r w:rsidR="00FD3C98">
        <w:rPr>
          <w:rFonts w:ascii="Arial" w:hAnsi="Arial" w:cs="Arial"/>
          <w:bCs/>
          <w:sz w:val="24"/>
          <w:szCs w:val="24"/>
        </w:rPr>
        <w:t>f</w:t>
      </w:r>
      <w:r w:rsidR="002C2AA7">
        <w:rPr>
          <w:rFonts w:ascii="Arial" w:hAnsi="Arial" w:cs="Arial"/>
          <w:bCs/>
          <w:sz w:val="24"/>
          <w:szCs w:val="24"/>
        </w:rPr>
        <w:t xml:space="preserve">ell </w:t>
      </w:r>
      <w:r w:rsidR="00FD3C98">
        <w:rPr>
          <w:rFonts w:ascii="Arial" w:hAnsi="Arial" w:cs="Arial"/>
          <w:bCs/>
          <w:sz w:val="24"/>
          <w:szCs w:val="24"/>
        </w:rPr>
        <w:t>to be dismissed.</w:t>
      </w:r>
    </w:p>
    <w:p w14:paraId="55098308" w14:textId="77777777" w:rsidR="005D774A" w:rsidRDefault="005D774A" w:rsidP="003805AB">
      <w:pPr>
        <w:pStyle w:val="ListParagraph"/>
        <w:spacing w:after="0" w:line="360" w:lineRule="auto"/>
        <w:ind w:left="0"/>
        <w:jc w:val="both"/>
        <w:rPr>
          <w:rFonts w:ascii="Arial" w:hAnsi="Arial" w:cs="Arial"/>
          <w:bCs/>
          <w:sz w:val="24"/>
          <w:szCs w:val="24"/>
        </w:rPr>
      </w:pPr>
    </w:p>
    <w:p w14:paraId="20A4ADA0" w14:textId="36137ED3" w:rsidR="008A250D" w:rsidRDefault="008A250D" w:rsidP="00DE30EE">
      <w:pPr>
        <w:pStyle w:val="ListParagraph"/>
        <w:spacing w:after="0" w:line="360" w:lineRule="auto"/>
        <w:ind w:left="0"/>
        <w:jc w:val="both"/>
        <w:rPr>
          <w:rFonts w:ascii="Arial" w:hAnsi="Arial" w:cs="Arial"/>
          <w:bCs/>
          <w:sz w:val="24"/>
          <w:szCs w:val="24"/>
        </w:rPr>
      </w:pPr>
      <w:r>
        <w:rPr>
          <w:rFonts w:ascii="Arial" w:hAnsi="Arial" w:cs="Arial"/>
          <w:bCs/>
          <w:sz w:val="24"/>
          <w:szCs w:val="24"/>
        </w:rPr>
        <w:t>[</w:t>
      </w:r>
      <w:r w:rsidR="00317ABD">
        <w:rPr>
          <w:rFonts w:ascii="Arial" w:hAnsi="Arial" w:cs="Arial"/>
          <w:bCs/>
          <w:sz w:val="24"/>
          <w:szCs w:val="24"/>
        </w:rPr>
        <w:t>4</w:t>
      </w:r>
      <w:r w:rsidR="008F0BEA">
        <w:rPr>
          <w:rFonts w:ascii="Arial" w:hAnsi="Arial" w:cs="Arial"/>
          <w:bCs/>
          <w:sz w:val="24"/>
          <w:szCs w:val="24"/>
        </w:rPr>
        <w:t>3</w:t>
      </w:r>
      <w:r>
        <w:rPr>
          <w:rFonts w:ascii="Arial" w:hAnsi="Arial" w:cs="Arial"/>
          <w:bCs/>
          <w:sz w:val="24"/>
          <w:szCs w:val="24"/>
        </w:rPr>
        <w:t>]</w:t>
      </w:r>
      <w:r>
        <w:rPr>
          <w:rFonts w:ascii="Arial" w:hAnsi="Arial" w:cs="Arial"/>
          <w:bCs/>
          <w:sz w:val="24"/>
          <w:szCs w:val="24"/>
        </w:rPr>
        <w:tab/>
      </w:r>
      <w:r w:rsidR="00F670D9">
        <w:rPr>
          <w:rFonts w:ascii="Arial" w:hAnsi="Arial" w:cs="Arial"/>
          <w:bCs/>
          <w:sz w:val="24"/>
          <w:szCs w:val="24"/>
        </w:rPr>
        <w:t xml:space="preserve">With the benefit of the analysis </w:t>
      </w:r>
      <w:r w:rsidR="00626E54">
        <w:rPr>
          <w:rFonts w:ascii="Arial" w:hAnsi="Arial" w:cs="Arial"/>
          <w:bCs/>
          <w:sz w:val="24"/>
          <w:szCs w:val="24"/>
        </w:rPr>
        <w:t>in the foregoing paragraphs</w:t>
      </w:r>
      <w:r w:rsidR="00F670D9">
        <w:rPr>
          <w:rFonts w:ascii="Arial" w:hAnsi="Arial" w:cs="Arial"/>
          <w:bCs/>
          <w:sz w:val="24"/>
          <w:szCs w:val="24"/>
        </w:rPr>
        <w:t xml:space="preserve">, it is now </w:t>
      </w:r>
      <w:r w:rsidR="007A6FE6">
        <w:rPr>
          <w:rFonts w:ascii="Arial" w:hAnsi="Arial" w:cs="Arial"/>
          <w:bCs/>
          <w:sz w:val="24"/>
          <w:szCs w:val="24"/>
        </w:rPr>
        <w:t>opportune to deal with the poin</w:t>
      </w:r>
      <w:r w:rsidR="00E507EE">
        <w:rPr>
          <w:rFonts w:ascii="Arial" w:hAnsi="Arial" w:cs="Arial"/>
          <w:bCs/>
          <w:sz w:val="24"/>
          <w:szCs w:val="24"/>
        </w:rPr>
        <w:t>ts</w:t>
      </w:r>
      <w:r w:rsidR="00E507EE" w:rsidRPr="003805AB">
        <w:rPr>
          <w:rFonts w:ascii="Arial" w:hAnsi="Arial" w:cs="Arial"/>
          <w:bCs/>
          <w:i/>
          <w:sz w:val="24"/>
          <w:szCs w:val="24"/>
        </w:rPr>
        <w:t xml:space="preserve"> in limine </w:t>
      </w:r>
      <w:r w:rsidR="00E507EE">
        <w:rPr>
          <w:rFonts w:ascii="Arial" w:hAnsi="Arial" w:cs="Arial"/>
          <w:bCs/>
          <w:sz w:val="24"/>
          <w:szCs w:val="24"/>
        </w:rPr>
        <w:t xml:space="preserve">raised in relation to </w:t>
      </w:r>
      <w:r w:rsidR="004F631E" w:rsidRPr="004F631E">
        <w:rPr>
          <w:rFonts w:ascii="Arial" w:hAnsi="Arial" w:cs="Arial"/>
          <w:bCs/>
          <w:i/>
          <w:iCs/>
          <w:sz w:val="24"/>
          <w:szCs w:val="24"/>
        </w:rPr>
        <w:t>lis pendens</w:t>
      </w:r>
      <w:r w:rsidR="004F631E">
        <w:rPr>
          <w:rFonts w:ascii="Arial" w:hAnsi="Arial" w:cs="Arial"/>
          <w:bCs/>
          <w:sz w:val="24"/>
          <w:szCs w:val="24"/>
        </w:rPr>
        <w:t xml:space="preserve"> </w:t>
      </w:r>
      <w:r w:rsidR="00E507EE">
        <w:rPr>
          <w:rFonts w:ascii="Arial" w:hAnsi="Arial" w:cs="Arial"/>
          <w:bCs/>
          <w:sz w:val="24"/>
          <w:szCs w:val="24"/>
        </w:rPr>
        <w:t>and prescription. I</w:t>
      </w:r>
      <w:r w:rsidR="006B3EB6">
        <w:rPr>
          <w:rFonts w:ascii="Arial" w:hAnsi="Arial" w:cs="Arial"/>
          <w:bCs/>
          <w:sz w:val="24"/>
          <w:szCs w:val="24"/>
        </w:rPr>
        <w:t xml:space="preserve">t is trite that </w:t>
      </w:r>
      <w:r w:rsidR="00116514">
        <w:rPr>
          <w:rFonts w:ascii="Arial" w:hAnsi="Arial" w:cs="Arial"/>
          <w:bCs/>
          <w:sz w:val="24"/>
          <w:szCs w:val="24"/>
        </w:rPr>
        <w:t xml:space="preserve">a party wishing to raise </w:t>
      </w:r>
      <w:r w:rsidR="00116514" w:rsidRPr="00EF32EA">
        <w:rPr>
          <w:rFonts w:ascii="Arial" w:hAnsi="Arial" w:cs="Arial"/>
          <w:bCs/>
          <w:i/>
          <w:iCs/>
          <w:sz w:val="24"/>
          <w:szCs w:val="24"/>
        </w:rPr>
        <w:t>lis pendens</w:t>
      </w:r>
      <w:r w:rsidR="00116514">
        <w:rPr>
          <w:rFonts w:ascii="Arial" w:hAnsi="Arial" w:cs="Arial"/>
          <w:bCs/>
          <w:sz w:val="24"/>
          <w:szCs w:val="24"/>
        </w:rPr>
        <w:t xml:space="preserve"> bears the onus of proving that there is a pending litigation between the same parties or their proxies, </w:t>
      </w:r>
      <w:r w:rsidR="00110F70">
        <w:rPr>
          <w:rFonts w:ascii="Arial" w:hAnsi="Arial" w:cs="Arial"/>
          <w:bCs/>
          <w:sz w:val="24"/>
          <w:szCs w:val="24"/>
        </w:rPr>
        <w:t xml:space="preserve">in circumstances where </w:t>
      </w:r>
      <w:r w:rsidR="00A5670C">
        <w:rPr>
          <w:rFonts w:ascii="Arial" w:hAnsi="Arial" w:cs="Arial"/>
          <w:bCs/>
          <w:sz w:val="24"/>
          <w:szCs w:val="24"/>
        </w:rPr>
        <w:t>the causes of act</w:t>
      </w:r>
      <w:r w:rsidR="00DE30EE">
        <w:rPr>
          <w:rFonts w:ascii="Arial" w:hAnsi="Arial" w:cs="Arial"/>
          <w:bCs/>
          <w:sz w:val="24"/>
          <w:szCs w:val="24"/>
        </w:rPr>
        <w:t>ion are substantially the same.</w:t>
      </w:r>
    </w:p>
    <w:p w14:paraId="1CA1D9DB" w14:textId="77777777" w:rsidR="00B6488B" w:rsidRDefault="00B6488B" w:rsidP="008A250D">
      <w:pPr>
        <w:pStyle w:val="ListParagraph"/>
        <w:spacing w:line="360" w:lineRule="auto"/>
        <w:ind w:left="0"/>
        <w:jc w:val="both"/>
        <w:rPr>
          <w:rFonts w:ascii="Arial" w:hAnsi="Arial" w:cs="Arial"/>
          <w:bCs/>
          <w:sz w:val="24"/>
          <w:szCs w:val="24"/>
        </w:rPr>
      </w:pPr>
    </w:p>
    <w:p w14:paraId="26CE6FC6" w14:textId="2E7E9D85" w:rsidR="00456DA9" w:rsidRDefault="008A250D" w:rsidP="00DE30EE">
      <w:pPr>
        <w:pStyle w:val="ListParagraph"/>
        <w:spacing w:after="0" w:line="360" w:lineRule="auto"/>
        <w:ind w:left="0"/>
        <w:jc w:val="both"/>
        <w:rPr>
          <w:rFonts w:ascii="Arial" w:hAnsi="Arial" w:cs="Arial"/>
          <w:bCs/>
          <w:sz w:val="24"/>
          <w:szCs w:val="24"/>
        </w:rPr>
      </w:pPr>
      <w:r>
        <w:rPr>
          <w:rFonts w:ascii="Arial" w:hAnsi="Arial" w:cs="Arial"/>
          <w:bCs/>
          <w:sz w:val="24"/>
          <w:szCs w:val="24"/>
        </w:rPr>
        <w:t>[</w:t>
      </w:r>
      <w:r w:rsidR="00317ABD">
        <w:rPr>
          <w:rFonts w:ascii="Arial" w:hAnsi="Arial" w:cs="Arial"/>
          <w:bCs/>
          <w:sz w:val="24"/>
          <w:szCs w:val="24"/>
        </w:rPr>
        <w:t>4</w:t>
      </w:r>
      <w:r w:rsidR="008F0BEA">
        <w:rPr>
          <w:rFonts w:ascii="Arial" w:hAnsi="Arial" w:cs="Arial"/>
          <w:bCs/>
          <w:sz w:val="24"/>
          <w:szCs w:val="24"/>
        </w:rPr>
        <w:t>4</w:t>
      </w:r>
      <w:r>
        <w:rPr>
          <w:rFonts w:ascii="Arial" w:hAnsi="Arial" w:cs="Arial"/>
          <w:bCs/>
          <w:sz w:val="24"/>
          <w:szCs w:val="24"/>
        </w:rPr>
        <w:t>]</w:t>
      </w:r>
      <w:r>
        <w:rPr>
          <w:rFonts w:ascii="Arial" w:hAnsi="Arial" w:cs="Arial"/>
          <w:bCs/>
          <w:sz w:val="24"/>
          <w:szCs w:val="24"/>
        </w:rPr>
        <w:tab/>
      </w:r>
      <w:r w:rsidR="00623F73" w:rsidRPr="002D0EA2">
        <w:rPr>
          <w:rFonts w:ascii="Arial" w:hAnsi="Arial" w:cs="Arial"/>
          <w:bCs/>
          <w:sz w:val="24"/>
          <w:szCs w:val="24"/>
        </w:rPr>
        <w:t>In the referral form submitted by Ms Meintjies to the Bargaining Council</w:t>
      </w:r>
      <w:r w:rsidR="00CC39B0" w:rsidRPr="002D0EA2">
        <w:rPr>
          <w:rFonts w:ascii="Arial" w:hAnsi="Arial" w:cs="Arial"/>
          <w:bCs/>
          <w:sz w:val="24"/>
          <w:szCs w:val="24"/>
        </w:rPr>
        <w:t xml:space="preserve">, under the heading “Nature of the Dispute”, her dispute </w:t>
      </w:r>
      <w:r w:rsidR="00623F73" w:rsidRPr="002D0EA2">
        <w:rPr>
          <w:rFonts w:ascii="Arial" w:hAnsi="Arial" w:cs="Arial"/>
          <w:bCs/>
          <w:sz w:val="24"/>
          <w:szCs w:val="24"/>
        </w:rPr>
        <w:t>was described as</w:t>
      </w:r>
      <w:r w:rsidR="00CC39B0" w:rsidRPr="002D0EA2">
        <w:rPr>
          <w:rFonts w:ascii="Arial" w:hAnsi="Arial" w:cs="Arial"/>
          <w:bCs/>
          <w:sz w:val="24"/>
          <w:szCs w:val="24"/>
        </w:rPr>
        <w:t xml:space="preserve"> an unfair labour practice pertaining to promotion.</w:t>
      </w:r>
      <w:r w:rsidR="00623F73">
        <w:rPr>
          <w:rFonts w:ascii="Arial" w:hAnsi="Arial" w:cs="Arial"/>
          <w:bCs/>
          <w:sz w:val="24"/>
          <w:szCs w:val="24"/>
        </w:rPr>
        <w:t xml:space="preserve"> </w:t>
      </w:r>
      <w:r w:rsidR="001F61DB">
        <w:rPr>
          <w:rFonts w:ascii="Arial" w:hAnsi="Arial" w:cs="Arial"/>
          <w:bCs/>
          <w:sz w:val="24"/>
          <w:szCs w:val="24"/>
        </w:rPr>
        <w:t xml:space="preserve">Given the fact that </w:t>
      </w:r>
      <w:r w:rsidR="00456B6C">
        <w:rPr>
          <w:rFonts w:ascii="Arial" w:hAnsi="Arial" w:cs="Arial"/>
          <w:bCs/>
          <w:sz w:val="24"/>
          <w:szCs w:val="24"/>
        </w:rPr>
        <w:t>a</w:t>
      </w:r>
      <w:r w:rsidR="00B924E6">
        <w:rPr>
          <w:rFonts w:ascii="Arial" w:hAnsi="Arial" w:cs="Arial"/>
          <w:bCs/>
          <w:sz w:val="24"/>
          <w:szCs w:val="24"/>
        </w:rPr>
        <w:t xml:space="preserve"> litigant is not </w:t>
      </w:r>
      <w:r w:rsidR="00CD5A09">
        <w:rPr>
          <w:rFonts w:ascii="Arial" w:hAnsi="Arial" w:cs="Arial"/>
          <w:bCs/>
          <w:sz w:val="24"/>
          <w:szCs w:val="24"/>
        </w:rPr>
        <w:t xml:space="preserve">obliged </w:t>
      </w:r>
      <w:r w:rsidR="00B924E6">
        <w:rPr>
          <w:rFonts w:ascii="Arial" w:hAnsi="Arial" w:cs="Arial"/>
          <w:bCs/>
          <w:sz w:val="24"/>
          <w:szCs w:val="24"/>
        </w:rPr>
        <w:t xml:space="preserve">to </w:t>
      </w:r>
      <w:r w:rsidR="00837D1C">
        <w:rPr>
          <w:rFonts w:ascii="Arial" w:hAnsi="Arial" w:cs="Arial"/>
          <w:bCs/>
          <w:sz w:val="24"/>
          <w:szCs w:val="24"/>
        </w:rPr>
        <w:t xml:space="preserve">rely </w:t>
      </w:r>
      <w:r w:rsidR="00CD5A09">
        <w:rPr>
          <w:rFonts w:ascii="Arial" w:hAnsi="Arial" w:cs="Arial"/>
          <w:bCs/>
          <w:sz w:val="24"/>
          <w:szCs w:val="24"/>
        </w:rPr>
        <w:t xml:space="preserve">exclusively </w:t>
      </w:r>
      <w:r w:rsidR="00B924E6">
        <w:rPr>
          <w:rFonts w:ascii="Arial" w:hAnsi="Arial" w:cs="Arial"/>
          <w:bCs/>
          <w:sz w:val="24"/>
          <w:szCs w:val="24"/>
        </w:rPr>
        <w:t xml:space="preserve">on </w:t>
      </w:r>
      <w:r w:rsidR="001327DF">
        <w:rPr>
          <w:rFonts w:ascii="Arial" w:hAnsi="Arial" w:cs="Arial"/>
          <w:bCs/>
          <w:sz w:val="24"/>
          <w:szCs w:val="24"/>
        </w:rPr>
        <w:t xml:space="preserve">the </w:t>
      </w:r>
      <w:r w:rsidR="00264C84">
        <w:rPr>
          <w:rFonts w:ascii="Arial" w:hAnsi="Arial" w:cs="Arial"/>
          <w:bCs/>
          <w:sz w:val="24"/>
          <w:szCs w:val="24"/>
        </w:rPr>
        <w:t>cause of action</w:t>
      </w:r>
      <w:r w:rsidR="001327DF">
        <w:rPr>
          <w:rFonts w:ascii="Arial" w:hAnsi="Arial" w:cs="Arial"/>
          <w:bCs/>
          <w:sz w:val="24"/>
          <w:szCs w:val="24"/>
        </w:rPr>
        <w:t xml:space="preserve"> it has pursued at its chosen forum</w:t>
      </w:r>
      <w:r w:rsidR="00264C84">
        <w:rPr>
          <w:rFonts w:ascii="Arial" w:hAnsi="Arial" w:cs="Arial"/>
          <w:bCs/>
          <w:sz w:val="24"/>
          <w:szCs w:val="24"/>
        </w:rPr>
        <w:t xml:space="preserve">, nothing barred the </w:t>
      </w:r>
      <w:r w:rsidR="00EE6C6C">
        <w:rPr>
          <w:rFonts w:ascii="Arial" w:hAnsi="Arial" w:cs="Arial"/>
          <w:bCs/>
          <w:sz w:val="24"/>
          <w:szCs w:val="24"/>
        </w:rPr>
        <w:t>PSA from pursuing other causes of action that are justiciable in the civil courts</w:t>
      </w:r>
      <w:r w:rsidR="00456B6C">
        <w:rPr>
          <w:rFonts w:ascii="Arial" w:hAnsi="Arial" w:cs="Arial"/>
          <w:bCs/>
          <w:sz w:val="24"/>
          <w:szCs w:val="24"/>
        </w:rPr>
        <w:t xml:space="preserve">. </w:t>
      </w:r>
      <w:r w:rsidR="00D02B6C">
        <w:rPr>
          <w:rFonts w:ascii="Arial" w:hAnsi="Arial" w:cs="Arial"/>
          <w:bCs/>
          <w:sz w:val="24"/>
          <w:szCs w:val="24"/>
        </w:rPr>
        <w:t xml:space="preserve">     </w:t>
      </w:r>
      <w:r w:rsidR="00456B6C">
        <w:rPr>
          <w:rFonts w:ascii="Arial" w:hAnsi="Arial" w:cs="Arial"/>
          <w:bCs/>
          <w:sz w:val="24"/>
          <w:szCs w:val="24"/>
        </w:rPr>
        <w:t xml:space="preserve">It follows </w:t>
      </w:r>
      <w:r w:rsidR="00B924E6">
        <w:rPr>
          <w:rFonts w:ascii="Arial" w:hAnsi="Arial" w:cs="Arial"/>
          <w:bCs/>
          <w:sz w:val="24"/>
          <w:szCs w:val="24"/>
        </w:rPr>
        <w:t xml:space="preserve">that the </w:t>
      </w:r>
      <w:r w:rsidR="002F69D7">
        <w:rPr>
          <w:rFonts w:ascii="Arial" w:hAnsi="Arial" w:cs="Arial"/>
          <w:bCs/>
          <w:sz w:val="24"/>
          <w:szCs w:val="24"/>
        </w:rPr>
        <w:t xml:space="preserve">fact that there is a pending litigation </w:t>
      </w:r>
      <w:r w:rsidR="0078059E">
        <w:rPr>
          <w:rFonts w:ascii="Arial" w:hAnsi="Arial" w:cs="Arial"/>
          <w:bCs/>
          <w:sz w:val="24"/>
          <w:szCs w:val="24"/>
        </w:rPr>
        <w:t xml:space="preserve">pertaining to a dispute of </w:t>
      </w:r>
      <w:r w:rsidR="002F69D7">
        <w:rPr>
          <w:rFonts w:ascii="Arial" w:hAnsi="Arial" w:cs="Arial"/>
          <w:bCs/>
          <w:sz w:val="24"/>
          <w:szCs w:val="24"/>
        </w:rPr>
        <w:t xml:space="preserve">promotion before the </w:t>
      </w:r>
      <w:r w:rsidR="00780DE6">
        <w:rPr>
          <w:rFonts w:ascii="Arial" w:hAnsi="Arial" w:cs="Arial"/>
          <w:bCs/>
          <w:sz w:val="24"/>
          <w:szCs w:val="24"/>
        </w:rPr>
        <w:t xml:space="preserve">Bargaining Council </w:t>
      </w:r>
      <w:r w:rsidR="002F69D7">
        <w:rPr>
          <w:rFonts w:ascii="Arial" w:hAnsi="Arial" w:cs="Arial"/>
          <w:bCs/>
          <w:sz w:val="24"/>
          <w:szCs w:val="24"/>
        </w:rPr>
        <w:t>d</w:t>
      </w:r>
      <w:r w:rsidR="00BC5D7F">
        <w:rPr>
          <w:rFonts w:ascii="Arial" w:hAnsi="Arial" w:cs="Arial"/>
          <w:bCs/>
          <w:sz w:val="24"/>
          <w:szCs w:val="24"/>
        </w:rPr>
        <w:t xml:space="preserve">id </w:t>
      </w:r>
      <w:r w:rsidR="002F69D7">
        <w:rPr>
          <w:rFonts w:ascii="Arial" w:hAnsi="Arial" w:cs="Arial"/>
          <w:bCs/>
          <w:sz w:val="24"/>
          <w:szCs w:val="24"/>
        </w:rPr>
        <w:t xml:space="preserve">not </w:t>
      </w:r>
      <w:r w:rsidR="00695472">
        <w:rPr>
          <w:rFonts w:ascii="Arial" w:hAnsi="Arial" w:cs="Arial"/>
          <w:bCs/>
          <w:sz w:val="24"/>
          <w:szCs w:val="24"/>
        </w:rPr>
        <w:t xml:space="preserve">preclude the PSA from </w:t>
      </w:r>
      <w:r w:rsidR="0078059E">
        <w:rPr>
          <w:rFonts w:ascii="Arial" w:hAnsi="Arial" w:cs="Arial"/>
          <w:bCs/>
          <w:sz w:val="24"/>
          <w:szCs w:val="24"/>
        </w:rPr>
        <w:t xml:space="preserve">seeking specific </w:t>
      </w:r>
      <w:r w:rsidR="00D9797F">
        <w:rPr>
          <w:rFonts w:ascii="Arial" w:hAnsi="Arial" w:cs="Arial"/>
          <w:bCs/>
          <w:sz w:val="24"/>
          <w:szCs w:val="24"/>
        </w:rPr>
        <w:t xml:space="preserve">performance as it did before </w:t>
      </w:r>
      <w:r w:rsidR="00695472">
        <w:rPr>
          <w:rFonts w:ascii="Arial" w:hAnsi="Arial" w:cs="Arial"/>
          <w:bCs/>
          <w:sz w:val="24"/>
          <w:szCs w:val="24"/>
        </w:rPr>
        <w:t xml:space="preserve">the high court. </w:t>
      </w:r>
      <w:r w:rsidR="00D9797F">
        <w:rPr>
          <w:rFonts w:ascii="Arial" w:hAnsi="Arial" w:cs="Arial"/>
          <w:bCs/>
          <w:sz w:val="24"/>
          <w:szCs w:val="24"/>
        </w:rPr>
        <w:t xml:space="preserve">This is more so the case in circumstances where the appellants have not denied having </w:t>
      </w:r>
      <w:r w:rsidR="002E4AA1">
        <w:rPr>
          <w:rFonts w:ascii="Arial" w:hAnsi="Arial" w:cs="Arial"/>
          <w:bCs/>
          <w:sz w:val="24"/>
          <w:szCs w:val="24"/>
        </w:rPr>
        <w:t xml:space="preserve">raised a point </w:t>
      </w:r>
      <w:r w:rsidR="002E4AA1" w:rsidRPr="002D0EA2">
        <w:rPr>
          <w:rFonts w:ascii="Arial" w:hAnsi="Arial" w:cs="Arial"/>
          <w:bCs/>
          <w:i/>
          <w:sz w:val="24"/>
          <w:szCs w:val="24"/>
        </w:rPr>
        <w:t>in limine</w:t>
      </w:r>
      <w:r w:rsidR="002E4AA1">
        <w:rPr>
          <w:rFonts w:ascii="Arial" w:hAnsi="Arial" w:cs="Arial"/>
          <w:bCs/>
          <w:sz w:val="24"/>
          <w:szCs w:val="24"/>
        </w:rPr>
        <w:t xml:space="preserve"> of jurisdiction </w:t>
      </w:r>
      <w:r w:rsidR="00A90260">
        <w:rPr>
          <w:rFonts w:ascii="Arial" w:hAnsi="Arial" w:cs="Arial"/>
          <w:bCs/>
          <w:sz w:val="24"/>
          <w:szCs w:val="24"/>
        </w:rPr>
        <w:t xml:space="preserve">in terms of which they contended that the Bargaining Council does not have </w:t>
      </w:r>
      <w:r w:rsidR="00B53F8C">
        <w:rPr>
          <w:rFonts w:ascii="Arial" w:hAnsi="Arial" w:cs="Arial"/>
          <w:bCs/>
          <w:sz w:val="24"/>
          <w:szCs w:val="24"/>
        </w:rPr>
        <w:t xml:space="preserve">jurisdiction to adjudicate the </w:t>
      </w:r>
      <w:r w:rsidR="00904466">
        <w:rPr>
          <w:rFonts w:ascii="Arial" w:hAnsi="Arial" w:cs="Arial"/>
          <w:bCs/>
          <w:sz w:val="24"/>
          <w:szCs w:val="24"/>
        </w:rPr>
        <w:t xml:space="preserve">unfair labour practice </w:t>
      </w:r>
      <w:r w:rsidR="00B53F8C">
        <w:rPr>
          <w:rFonts w:ascii="Arial" w:hAnsi="Arial" w:cs="Arial"/>
          <w:bCs/>
          <w:sz w:val="24"/>
          <w:szCs w:val="24"/>
        </w:rPr>
        <w:t xml:space="preserve">dispute </w:t>
      </w:r>
      <w:r w:rsidR="0046284A">
        <w:rPr>
          <w:rFonts w:ascii="Arial" w:hAnsi="Arial" w:cs="Arial"/>
          <w:bCs/>
          <w:sz w:val="24"/>
          <w:szCs w:val="24"/>
        </w:rPr>
        <w:t xml:space="preserve">referred to </w:t>
      </w:r>
      <w:r w:rsidR="00A90260">
        <w:rPr>
          <w:rFonts w:ascii="Arial" w:hAnsi="Arial" w:cs="Arial"/>
          <w:bCs/>
          <w:sz w:val="24"/>
          <w:szCs w:val="24"/>
        </w:rPr>
        <w:t xml:space="preserve">it </w:t>
      </w:r>
      <w:r w:rsidR="0046284A">
        <w:rPr>
          <w:rFonts w:ascii="Arial" w:hAnsi="Arial" w:cs="Arial"/>
          <w:bCs/>
          <w:sz w:val="24"/>
          <w:szCs w:val="24"/>
        </w:rPr>
        <w:t>by the PSA</w:t>
      </w:r>
      <w:r w:rsidR="00E36E7D">
        <w:rPr>
          <w:rFonts w:ascii="Arial" w:hAnsi="Arial" w:cs="Arial"/>
          <w:bCs/>
          <w:sz w:val="24"/>
          <w:szCs w:val="24"/>
        </w:rPr>
        <w:t xml:space="preserve">, </w:t>
      </w:r>
      <w:r w:rsidR="00904466">
        <w:rPr>
          <w:rFonts w:ascii="Arial" w:hAnsi="Arial" w:cs="Arial"/>
          <w:bCs/>
          <w:sz w:val="24"/>
          <w:szCs w:val="24"/>
        </w:rPr>
        <w:t xml:space="preserve">on the basis </w:t>
      </w:r>
      <w:r w:rsidR="00946748">
        <w:rPr>
          <w:rFonts w:ascii="Arial" w:hAnsi="Arial" w:cs="Arial"/>
          <w:bCs/>
          <w:sz w:val="24"/>
          <w:szCs w:val="24"/>
        </w:rPr>
        <w:t xml:space="preserve">that it </w:t>
      </w:r>
      <w:r w:rsidR="00F31AC4">
        <w:rPr>
          <w:rFonts w:ascii="Arial" w:hAnsi="Arial" w:cs="Arial"/>
          <w:bCs/>
          <w:sz w:val="24"/>
          <w:szCs w:val="24"/>
        </w:rPr>
        <w:t>does not qualify as a promotion dispute</w:t>
      </w:r>
      <w:r w:rsidR="00946748">
        <w:rPr>
          <w:rFonts w:ascii="Arial" w:hAnsi="Arial" w:cs="Arial"/>
          <w:bCs/>
          <w:sz w:val="24"/>
          <w:szCs w:val="24"/>
        </w:rPr>
        <w:t xml:space="preserve">. </w:t>
      </w:r>
      <w:r w:rsidR="007A5232">
        <w:rPr>
          <w:rFonts w:ascii="Arial" w:hAnsi="Arial" w:cs="Arial"/>
          <w:bCs/>
          <w:sz w:val="24"/>
          <w:szCs w:val="24"/>
        </w:rPr>
        <w:t xml:space="preserve">In </w:t>
      </w:r>
      <w:r w:rsidR="00C813F8">
        <w:rPr>
          <w:rFonts w:ascii="Arial" w:hAnsi="Arial" w:cs="Arial"/>
          <w:bCs/>
          <w:sz w:val="24"/>
          <w:szCs w:val="24"/>
        </w:rPr>
        <w:t xml:space="preserve">any event, </w:t>
      </w:r>
      <w:r w:rsidR="0017128D">
        <w:rPr>
          <w:rFonts w:ascii="Arial" w:hAnsi="Arial" w:cs="Arial"/>
          <w:bCs/>
          <w:sz w:val="24"/>
          <w:szCs w:val="24"/>
        </w:rPr>
        <w:t>t</w:t>
      </w:r>
      <w:r w:rsidR="00946748">
        <w:rPr>
          <w:rFonts w:ascii="Arial" w:hAnsi="Arial" w:cs="Arial"/>
          <w:bCs/>
          <w:sz w:val="24"/>
          <w:szCs w:val="24"/>
        </w:rPr>
        <w:t xml:space="preserve">he PSA </w:t>
      </w:r>
      <w:r w:rsidR="00EF32EA">
        <w:rPr>
          <w:rFonts w:ascii="Arial" w:hAnsi="Arial" w:cs="Arial"/>
          <w:bCs/>
          <w:sz w:val="24"/>
          <w:szCs w:val="24"/>
        </w:rPr>
        <w:t xml:space="preserve">averred in the founding affidavit that </w:t>
      </w:r>
      <w:r w:rsidR="00946748">
        <w:rPr>
          <w:rFonts w:ascii="Arial" w:hAnsi="Arial" w:cs="Arial"/>
          <w:bCs/>
          <w:sz w:val="24"/>
          <w:szCs w:val="24"/>
        </w:rPr>
        <w:t xml:space="preserve">the </w:t>
      </w:r>
      <w:r w:rsidR="00456DA9">
        <w:rPr>
          <w:rFonts w:ascii="Arial" w:hAnsi="Arial" w:cs="Arial"/>
          <w:bCs/>
          <w:sz w:val="24"/>
          <w:szCs w:val="24"/>
        </w:rPr>
        <w:t xml:space="preserve">proceedings </w:t>
      </w:r>
      <w:r w:rsidR="00946748">
        <w:rPr>
          <w:rFonts w:ascii="Arial" w:hAnsi="Arial" w:cs="Arial"/>
          <w:bCs/>
          <w:sz w:val="24"/>
          <w:szCs w:val="24"/>
        </w:rPr>
        <w:t xml:space="preserve">at the Bargaining Council </w:t>
      </w:r>
      <w:r w:rsidR="0017128D">
        <w:rPr>
          <w:rFonts w:ascii="Arial" w:hAnsi="Arial" w:cs="Arial"/>
          <w:bCs/>
          <w:sz w:val="24"/>
          <w:szCs w:val="24"/>
        </w:rPr>
        <w:t>ha</w:t>
      </w:r>
      <w:r w:rsidR="00456DA9">
        <w:rPr>
          <w:rFonts w:ascii="Arial" w:hAnsi="Arial" w:cs="Arial"/>
          <w:bCs/>
          <w:sz w:val="24"/>
          <w:szCs w:val="24"/>
        </w:rPr>
        <w:t xml:space="preserve">ve been stayed </w:t>
      </w:r>
      <w:r w:rsidR="0017128D">
        <w:rPr>
          <w:rFonts w:ascii="Arial" w:hAnsi="Arial" w:cs="Arial"/>
          <w:bCs/>
          <w:sz w:val="24"/>
          <w:szCs w:val="24"/>
        </w:rPr>
        <w:t>pending the finalisation of this matter</w:t>
      </w:r>
      <w:r w:rsidR="00DE30EE">
        <w:rPr>
          <w:rFonts w:ascii="Arial" w:hAnsi="Arial" w:cs="Arial"/>
          <w:bCs/>
          <w:sz w:val="24"/>
          <w:szCs w:val="24"/>
        </w:rPr>
        <w:t>.</w:t>
      </w:r>
    </w:p>
    <w:p w14:paraId="5121F584" w14:textId="77777777" w:rsidR="00626E54" w:rsidRDefault="00626E54" w:rsidP="008A250D">
      <w:pPr>
        <w:pStyle w:val="ListParagraph"/>
        <w:spacing w:line="360" w:lineRule="auto"/>
        <w:ind w:left="0"/>
        <w:jc w:val="both"/>
        <w:rPr>
          <w:rFonts w:ascii="Arial" w:hAnsi="Arial" w:cs="Arial"/>
          <w:bCs/>
          <w:sz w:val="24"/>
          <w:szCs w:val="24"/>
        </w:rPr>
      </w:pPr>
    </w:p>
    <w:p w14:paraId="127A0790" w14:textId="17D5F482" w:rsidR="00CA7EF2" w:rsidRDefault="00AE0B13" w:rsidP="00DE30EE">
      <w:pPr>
        <w:pStyle w:val="ListParagraph"/>
        <w:spacing w:after="0" w:line="360" w:lineRule="auto"/>
        <w:ind w:left="0"/>
        <w:jc w:val="both"/>
        <w:rPr>
          <w:rFonts w:ascii="Arial" w:hAnsi="Arial" w:cs="Arial"/>
          <w:bCs/>
          <w:sz w:val="24"/>
          <w:szCs w:val="24"/>
        </w:rPr>
      </w:pPr>
      <w:r>
        <w:rPr>
          <w:rFonts w:ascii="Arial" w:hAnsi="Arial" w:cs="Arial"/>
          <w:bCs/>
          <w:sz w:val="24"/>
          <w:szCs w:val="24"/>
        </w:rPr>
        <w:lastRenderedPageBreak/>
        <w:t>[</w:t>
      </w:r>
      <w:r w:rsidR="00317ABD">
        <w:rPr>
          <w:rFonts w:ascii="Arial" w:hAnsi="Arial" w:cs="Arial"/>
          <w:bCs/>
          <w:sz w:val="24"/>
          <w:szCs w:val="24"/>
        </w:rPr>
        <w:t>4</w:t>
      </w:r>
      <w:r w:rsidR="008F0BEA">
        <w:rPr>
          <w:rFonts w:ascii="Arial" w:hAnsi="Arial" w:cs="Arial"/>
          <w:bCs/>
          <w:sz w:val="24"/>
          <w:szCs w:val="24"/>
        </w:rPr>
        <w:t>5</w:t>
      </w:r>
      <w:r>
        <w:rPr>
          <w:rFonts w:ascii="Arial" w:hAnsi="Arial" w:cs="Arial"/>
          <w:bCs/>
          <w:sz w:val="24"/>
          <w:szCs w:val="24"/>
        </w:rPr>
        <w:t>]</w:t>
      </w:r>
      <w:r>
        <w:rPr>
          <w:rFonts w:ascii="Arial" w:hAnsi="Arial" w:cs="Arial"/>
          <w:bCs/>
          <w:sz w:val="24"/>
          <w:szCs w:val="24"/>
        </w:rPr>
        <w:tab/>
      </w:r>
      <w:r w:rsidR="0017128D">
        <w:rPr>
          <w:rFonts w:ascii="Arial" w:hAnsi="Arial" w:cs="Arial"/>
          <w:bCs/>
          <w:sz w:val="24"/>
          <w:szCs w:val="24"/>
        </w:rPr>
        <w:t xml:space="preserve">As regards the litigation pending at the Labour Court, it is evident from the Notice of Motion issued at the Labour Court that the cause of action </w:t>
      </w:r>
      <w:r>
        <w:rPr>
          <w:rFonts w:ascii="Arial" w:hAnsi="Arial" w:cs="Arial"/>
          <w:bCs/>
          <w:sz w:val="24"/>
          <w:szCs w:val="24"/>
        </w:rPr>
        <w:t xml:space="preserve">in that matter </w:t>
      </w:r>
      <w:r w:rsidR="0017128D">
        <w:rPr>
          <w:rFonts w:ascii="Arial" w:hAnsi="Arial" w:cs="Arial"/>
          <w:bCs/>
          <w:sz w:val="24"/>
          <w:szCs w:val="24"/>
        </w:rPr>
        <w:t xml:space="preserve">relates only to </w:t>
      </w:r>
      <w:r w:rsidR="00575379">
        <w:rPr>
          <w:rFonts w:ascii="Arial" w:hAnsi="Arial" w:cs="Arial"/>
          <w:bCs/>
          <w:sz w:val="24"/>
          <w:szCs w:val="24"/>
        </w:rPr>
        <w:t xml:space="preserve">the appellants’ entitlement to </w:t>
      </w:r>
      <w:r w:rsidR="0017128D">
        <w:rPr>
          <w:rFonts w:ascii="Arial" w:hAnsi="Arial" w:cs="Arial"/>
          <w:bCs/>
          <w:sz w:val="24"/>
          <w:szCs w:val="24"/>
        </w:rPr>
        <w:t>cost</w:t>
      </w:r>
      <w:r w:rsidR="00C44FD5">
        <w:rPr>
          <w:rFonts w:ascii="Arial" w:hAnsi="Arial" w:cs="Arial"/>
          <w:bCs/>
          <w:sz w:val="24"/>
          <w:szCs w:val="24"/>
        </w:rPr>
        <w:t>-</w:t>
      </w:r>
      <w:r w:rsidR="0017128D">
        <w:rPr>
          <w:rFonts w:ascii="Arial" w:hAnsi="Arial" w:cs="Arial"/>
          <w:bCs/>
          <w:sz w:val="24"/>
          <w:szCs w:val="24"/>
        </w:rPr>
        <w:t>of</w:t>
      </w:r>
      <w:r w:rsidR="00C44FD5">
        <w:rPr>
          <w:rFonts w:ascii="Arial" w:hAnsi="Arial" w:cs="Arial"/>
          <w:bCs/>
          <w:sz w:val="24"/>
          <w:szCs w:val="24"/>
        </w:rPr>
        <w:t>-</w:t>
      </w:r>
      <w:r w:rsidR="005D4A66">
        <w:rPr>
          <w:rFonts w:ascii="Arial" w:hAnsi="Arial" w:cs="Arial"/>
          <w:bCs/>
          <w:sz w:val="24"/>
          <w:szCs w:val="24"/>
        </w:rPr>
        <w:t>living adjustments</w:t>
      </w:r>
      <w:r w:rsidR="00281344">
        <w:rPr>
          <w:rFonts w:ascii="Arial" w:hAnsi="Arial" w:cs="Arial"/>
          <w:bCs/>
          <w:sz w:val="24"/>
          <w:szCs w:val="24"/>
        </w:rPr>
        <w:t xml:space="preserve"> </w:t>
      </w:r>
      <w:r w:rsidR="00324C94">
        <w:rPr>
          <w:rFonts w:ascii="Arial" w:hAnsi="Arial" w:cs="Arial"/>
          <w:bCs/>
          <w:sz w:val="24"/>
          <w:szCs w:val="24"/>
        </w:rPr>
        <w:t xml:space="preserve">not remuneration; the </w:t>
      </w:r>
      <w:r w:rsidR="00281344">
        <w:rPr>
          <w:rFonts w:ascii="Arial" w:hAnsi="Arial" w:cs="Arial"/>
          <w:bCs/>
          <w:sz w:val="24"/>
          <w:szCs w:val="24"/>
        </w:rPr>
        <w:t xml:space="preserve">cause of action pursued in the </w:t>
      </w:r>
      <w:r w:rsidR="007A7454">
        <w:rPr>
          <w:rFonts w:ascii="Arial" w:hAnsi="Arial" w:cs="Arial"/>
          <w:bCs/>
          <w:sz w:val="24"/>
          <w:szCs w:val="24"/>
        </w:rPr>
        <w:t>high court</w:t>
      </w:r>
      <w:r w:rsidR="00E64F81">
        <w:rPr>
          <w:rFonts w:ascii="Arial" w:hAnsi="Arial" w:cs="Arial"/>
          <w:bCs/>
          <w:sz w:val="24"/>
          <w:szCs w:val="24"/>
        </w:rPr>
        <w:t xml:space="preserve"> was therefore different from the one relating to the review application that is pending at the Labour Court</w:t>
      </w:r>
      <w:r w:rsidR="007A7454">
        <w:rPr>
          <w:rFonts w:ascii="Arial" w:hAnsi="Arial" w:cs="Arial"/>
          <w:bCs/>
          <w:sz w:val="24"/>
          <w:szCs w:val="24"/>
        </w:rPr>
        <w:t>.</w:t>
      </w:r>
      <w:r w:rsidR="00C44FD5">
        <w:rPr>
          <w:rStyle w:val="FootnoteReference"/>
          <w:rFonts w:ascii="Arial" w:hAnsi="Arial" w:cs="Arial"/>
          <w:bCs/>
          <w:sz w:val="24"/>
          <w:szCs w:val="24"/>
        </w:rPr>
        <w:footnoteReference w:id="23"/>
      </w:r>
      <w:r w:rsidR="007A7454">
        <w:rPr>
          <w:rFonts w:ascii="Arial" w:hAnsi="Arial" w:cs="Arial"/>
          <w:bCs/>
          <w:sz w:val="24"/>
          <w:szCs w:val="24"/>
        </w:rPr>
        <w:t xml:space="preserve"> </w:t>
      </w:r>
      <w:r w:rsidR="00D02B6C">
        <w:rPr>
          <w:rFonts w:ascii="Arial" w:hAnsi="Arial" w:cs="Arial"/>
          <w:bCs/>
          <w:sz w:val="24"/>
          <w:szCs w:val="24"/>
        </w:rPr>
        <w:t xml:space="preserve">  </w:t>
      </w:r>
      <w:r w:rsidR="00695472">
        <w:rPr>
          <w:rFonts w:ascii="Arial" w:hAnsi="Arial" w:cs="Arial"/>
          <w:bCs/>
          <w:sz w:val="24"/>
          <w:szCs w:val="24"/>
        </w:rPr>
        <w:t xml:space="preserve">It follows that the </w:t>
      </w:r>
      <w:r w:rsidR="00B924E6">
        <w:rPr>
          <w:rFonts w:ascii="Arial" w:hAnsi="Arial" w:cs="Arial"/>
          <w:bCs/>
          <w:sz w:val="24"/>
          <w:szCs w:val="24"/>
        </w:rPr>
        <w:t>point</w:t>
      </w:r>
      <w:r w:rsidR="00B924E6" w:rsidRPr="003805AB">
        <w:rPr>
          <w:rFonts w:ascii="Arial" w:hAnsi="Arial" w:cs="Arial"/>
          <w:bCs/>
          <w:i/>
          <w:sz w:val="24"/>
          <w:szCs w:val="24"/>
        </w:rPr>
        <w:t xml:space="preserve"> in limine</w:t>
      </w:r>
      <w:r w:rsidR="00B924E6">
        <w:rPr>
          <w:rFonts w:ascii="Arial" w:hAnsi="Arial" w:cs="Arial"/>
          <w:bCs/>
          <w:sz w:val="24"/>
          <w:szCs w:val="24"/>
        </w:rPr>
        <w:t xml:space="preserve"> </w:t>
      </w:r>
      <w:r w:rsidR="002E4AA1">
        <w:rPr>
          <w:rFonts w:ascii="Arial" w:hAnsi="Arial" w:cs="Arial"/>
          <w:bCs/>
          <w:sz w:val="24"/>
          <w:szCs w:val="24"/>
        </w:rPr>
        <w:t xml:space="preserve">of </w:t>
      </w:r>
      <w:r w:rsidR="002E4AA1" w:rsidRPr="00B53F8C">
        <w:rPr>
          <w:rFonts w:ascii="Arial" w:hAnsi="Arial" w:cs="Arial"/>
          <w:bCs/>
          <w:i/>
          <w:iCs/>
          <w:sz w:val="24"/>
          <w:szCs w:val="24"/>
        </w:rPr>
        <w:t>lis pendens</w:t>
      </w:r>
      <w:r w:rsidR="002E4AA1">
        <w:rPr>
          <w:rFonts w:ascii="Arial" w:hAnsi="Arial" w:cs="Arial"/>
          <w:bCs/>
          <w:sz w:val="24"/>
          <w:szCs w:val="24"/>
        </w:rPr>
        <w:t xml:space="preserve"> </w:t>
      </w:r>
      <w:r w:rsidR="00B924E6">
        <w:rPr>
          <w:rFonts w:ascii="Arial" w:hAnsi="Arial" w:cs="Arial"/>
          <w:bCs/>
          <w:sz w:val="24"/>
          <w:szCs w:val="24"/>
        </w:rPr>
        <w:t>ha</w:t>
      </w:r>
      <w:r w:rsidR="005B6833">
        <w:rPr>
          <w:rFonts w:ascii="Arial" w:hAnsi="Arial" w:cs="Arial"/>
          <w:bCs/>
          <w:sz w:val="24"/>
          <w:szCs w:val="24"/>
        </w:rPr>
        <w:t>d</w:t>
      </w:r>
      <w:r w:rsidR="00B924E6">
        <w:rPr>
          <w:rFonts w:ascii="Arial" w:hAnsi="Arial" w:cs="Arial"/>
          <w:bCs/>
          <w:sz w:val="24"/>
          <w:szCs w:val="24"/>
        </w:rPr>
        <w:t xml:space="preserve"> no merit and </w:t>
      </w:r>
      <w:r w:rsidR="005B6833">
        <w:rPr>
          <w:rFonts w:ascii="Arial" w:hAnsi="Arial" w:cs="Arial"/>
          <w:bCs/>
          <w:sz w:val="24"/>
          <w:szCs w:val="24"/>
        </w:rPr>
        <w:t xml:space="preserve">were correctly dismissed by the high court. </w:t>
      </w:r>
      <w:r w:rsidR="00AA51D3">
        <w:rPr>
          <w:rFonts w:ascii="Arial" w:hAnsi="Arial" w:cs="Arial"/>
          <w:bCs/>
          <w:sz w:val="24"/>
          <w:szCs w:val="24"/>
        </w:rPr>
        <w:t xml:space="preserve">The point </w:t>
      </w:r>
      <w:r w:rsidR="00AA51D3" w:rsidRPr="003805AB">
        <w:rPr>
          <w:rFonts w:ascii="Arial" w:hAnsi="Arial" w:cs="Arial"/>
          <w:bCs/>
          <w:i/>
          <w:sz w:val="24"/>
          <w:szCs w:val="24"/>
        </w:rPr>
        <w:t>in limine</w:t>
      </w:r>
      <w:r w:rsidR="00AA51D3">
        <w:rPr>
          <w:rFonts w:ascii="Arial" w:hAnsi="Arial" w:cs="Arial"/>
          <w:bCs/>
          <w:sz w:val="24"/>
          <w:szCs w:val="24"/>
        </w:rPr>
        <w:t xml:space="preserve"> in relation to prescription was not persisted with</w:t>
      </w:r>
      <w:r w:rsidR="007F6AC3">
        <w:rPr>
          <w:rFonts w:ascii="Arial" w:hAnsi="Arial" w:cs="Arial"/>
          <w:bCs/>
          <w:sz w:val="24"/>
          <w:szCs w:val="24"/>
        </w:rPr>
        <w:t xml:space="preserve"> before us and need not detain us any further.</w:t>
      </w:r>
      <w:r w:rsidR="007A7454">
        <w:rPr>
          <w:rFonts w:ascii="Arial" w:hAnsi="Arial" w:cs="Arial"/>
          <w:bCs/>
          <w:sz w:val="24"/>
          <w:szCs w:val="24"/>
        </w:rPr>
        <w:t xml:space="preserve"> </w:t>
      </w:r>
      <w:r w:rsidR="00181802">
        <w:rPr>
          <w:rFonts w:ascii="Arial" w:hAnsi="Arial" w:cs="Arial"/>
          <w:bCs/>
          <w:sz w:val="24"/>
          <w:szCs w:val="24"/>
        </w:rPr>
        <w:t>Suffice it to me</w:t>
      </w:r>
      <w:r w:rsidR="00D3139C">
        <w:rPr>
          <w:rFonts w:ascii="Arial" w:hAnsi="Arial" w:cs="Arial"/>
          <w:bCs/>
          <w:sz w:val="24"/>
          <w:szCs w:val="24"/>
        </w:rPr>
        <w:t xml:space="preserve">rely mention that given the fact that the dispute at the Bargaining Council is still pending, there can be no question of </w:t>
      </w:r>
      <w:r w:rsidR="003C61DC">
        <w:rPr>
          <w:rFonts w:ascii="Arial" w:hAnsi="Arial" w:cs="Arial"/>
          <w:bCs/>
          <w:sz w:val="24"/>
          <w:szCs w:val="24"/>
        </w:rPr>
        <w:t xml:space="preserve">the application at the high court having been barred by </w:t>
      </w:r>
      <w:r w:rsidR="00D3139C">
        <w:rPr>
          <w:rFonts w:ascii="Arial" w:hAnsi="Arial" w:cs="Arial"/>
          <w:bCs/>
          <w:sz w:val="24"/>
          <w:szCs w:val="24"/>
        </w:rPr>
        <w:t>prescription</w:t>
      </w:r>
      <w:r w:rsidR="003C61DC">
        <w:rPr>
          <w:rFonts w:ascii="Arial" w:hAnsi="Arial" w:cs="Arial"/>
          <w:bCs/>
          <w:sz w:val="24"/>
          <w:szCs w:val="24"/>
        </w:rPr>
        <w:t>.</w:t>
      </w:r>
      <w:r w:rsidR="00181802">
        <w:rPr>
          <w:rFonts w:ascii="Arial" w:hAnsi="Arial" w:cs="Arial"/>
          <w:bCs/>
          <w:sz w:val="24"/>
          <w:szCs w:val="24"/>
        </w:rPr>
        <w:t xml:space="preserve"> </w:t>
      </w:r>
    </w:p>
    <w:p w14:paraId="6E80D0B1" w14:textId="77777777" w:rsidR="00B924E6" w:rsidRPr="00B924E6" w:rsidRDefault="00B924E6" w:rsidP="00B924E6">
      <w:pPr>
        <w:pStyle w:val="ListParagraph"/>
        <w:rPr>
          <w:rFonts w:ascii="Arial" w:hAnsi="Arial" w:cs="Arial"/>
          <w:bCs/>
          <w:sz w:val="24"/>
          <w:szCs w:val="24"/>
        </w:rPr>
      </w:pPr>
    </w:p>
    <w:p w14:paraId="544BC786" w14:textId="0D4B2D17" w:rsidR="00EA160E" w:rsidRDefault="007A5232" w:rsidP="00DE30EE">
      <w:pPr>
        <w:spacing w:after="0" w:line="360" w:lineRule="auto"/>
        <w:jc w:val="both"/>
        <w:rPr>
          <w:rFonts w:ascii="Arial" w:hAnsi="Arial" w:cs="Arial"/>
          <w:bCs/>
          <w:sz w:val="24"/>
          <w:szCs w:val="24"/>
        </w:rPr>
      </w:pPr>
      <w:r>
        <w:rPr>
          <w:rFonts w:ascii="Arial" w:hAnsi="Arial" w:cs="Arial"/>
          <w:bCs/>
          <w:sz w:val="24"/>
          <w:szCs w:val="24"/>
        </w:rPr>
        <w:t>[4</w:t>
      </w:r>
      <w:r w:rsidR="008F0BEA">
        <w:rPr>
          <w:rFonts w:ascii="Arial" w:hAnsi="Arial" w:cs="Arial"/>
          <w:bCs/>
          <w:sz w:val="24"/>
          <w:szCs w:val="24"/>
        </w:rPr>
        <w:t>6</w:t>
      </w:r>
      <w:r>
        <w:rPr>
          <w:rFonts w:ascii="Arial" w:hAnsi="Arial" w:cs="Arial"/>
          <w:bCs/>
          <w:sz w:val="24"/>
          <w:szCs w:val="24"/>
        </w:rPr>
        <w:t>]</w:t>
      </w:r>
      <w:r>
        <w:rPr>
          <w:rFonts w:ascii="Arial" w:hAnsi="Arial" w:cs="Arial"/>
          <w:bCs/>
          <w:sz w:val="24"/>
          <w:szCs w:val="24"/>
        </w:rPr>
        <w:tab/>
      </w:r>
      <w:r w:rsidR="00610ADB">
        <w:rPr>
          <w:rFonts w:ascii="Arial" w:hAnsi="Arial" w:cs="Arial"/>
          <w:bCs/>
          <w:sz w:val="24"/>
          <w:szCs w:val="24"/>
        </w:rPr>
        <w:t xml:space="preserve">As regards costs, it has been stated in a plethora of cases that labour disputes are constitutional issues. </w:t>
      </w:r>
      <w:r w:rsidR="007722A7">
        <w:rPr>
          <w:rFonts w:ascii="Arial" w:hAnsi="Arial" w:cs="Arial"/>
          <w:bCs/>
          <w:sz w:val="24"/>
          <w:szCs w:val="24"/>
        </w:rPr>
        <w:t>I am of the view that the</w:t>
      </w:r>
      <w:r w:rsidR="00741C9A">
        <w:rPr>
          <w:rFonts w:ascii="Arial" w:hAnsi="Arial" w:cs="Arial"/>
          <w:bCs/>
          <w:sz w:val="24"/>
          <w:szCs w:val="24"/>
        </w:rPr>
        <w:t xml:space="preserve"> proceedings in the high court and this Court activated the well-established principle</w:t>
      </w:r>
      <w:r w:rsidR="00EC03F2">
        <w:rPr>
          <w:rFonts w:ascii="Arial" w:hAnsi="Arial" w:cs="Arial"/>
          <w:bCs/>
          <w:sz w:val="24"/>
          <w:szCs w:val="24"/>
        </w:rPr>
        <w:t xml:space="preserve"> enunciated in</w:t>
      </w:r>
      <w:r w:rsidR="007722A7">
        <w:rPr>
          <w:rFonts w:ascii="Arial" w:hAnsi="Arial" w:cs="Arial"/>
          <w:bCs/>
          <w:sz w:val="24"/>
          <w:szCs w:val="24"/>
        </w:rPr>
        <w:t xml:space="preserve"> </w:t>
      </w:r>
      <w:r w:rsidR="007722A7" w:rsidRPr="007722A7">
        <w:rPr>
          <w:rFonts w:ascii="Arial" w:hAnsi="Arial" w:cs="Arial"/>
          <w:bCs/>
          <w:i/>
          <w:iCs/>
          <w:sz w:val="24"/>
          <w:szCs w:val="24"/>
        </w:rPr>
        <w:t>Biowatch</w:t>
      </w:r>
      <w:r w:rsidR="00ED35E9">
        <w:rPr>
          <w:rFonts w:ascii="Arial" w:hAnsi="Arial" w:cs="Arial"/>
          <w:bCs/>
          <w:i/>
          <w:iCs/>
          <w:sz w:val="24"/>
          <w:szCs w:val="24"/>
        </w:rPr>
        <w:t xml:space="preserve"> Trus</w:t>
      </w:r>
      <w:r w:rsidR="00ED35E9" w:rsidRPr="002D0EA2">
        <w:rPr>
          <w:rFonts w:ascii="Arial" w:hAnsi="Arial" w:cs="Arial"/>
          <w:bCs/>
          <w:i/>
          <w:iCs/>
          <w:sz w:val="24"/>
          <w:szCs w:val="24"/>
        </w:rPr>
        <w:t>t</w:t>
      </w:r>
      <w:r w:rsidR="00ED35E9">
        <w:rPr>
          <w:rFonts w:ascii="Arial" w:hAnsi="Arial" w:cs="Arial"/>
          <w:bCs/>
          <w:i/>
          <w:iCs/>
          <w:sz w:val="24"/>
          <w:szCs w:val="24"/>
        </w:rPr>
        <w:t xml:space="preserve"> v Registrar: Genetic Resources and Others</w:t>
      </w:r>
      <w:r w:rsidR="00EC03F2">
        <w:rPr>
          <w:rFonts w:ascii="Arial" w:hAnsi="Arial" w:cs="Arial"/>
          <w:bCs/>
          <w:sz w:val="24"/>
          <w:szCs w:val="24"/>
        </w:rPr>
        <w:t>.</w:t>
      </w:r>
      <w:r w:rsidR="00EC03F2">
        <w:rPr>
          <w:rStyle w:val="FootnoteReference"/>
          <w:rFonts w:ascii="Arial" w:hAnsi="Arial" w:cs="Arial"/>
          <w:bCs/>
          <w:sz w:val="24"/>
          <w:szCs w:val="24"/>
        </w:rPr>
        <w:footnoteReference w:id="24"/>
      </w:r>
      <w:r w:rsidR="005B72C0">
        <w:rPr>
          <w:rFonts w:ascii="Arial" w:hAnsi="Arial" w:cs="Arial"/>
          <w:bCs/>
          <w:sz w:val="24"/>
          <w:szCs w:val="24"/>
        </w:rPr>
        <w:t xml:space="preserve"> </w:t>
      </w:r>
      <w:r w:rsidR="00C65FE8">
        <w:rPr>
          <w:rFonts w:ascii="Arial" w:hAnsi="Arial" w:cs="Arial"/>
          <w:bCs/>
          <w:sz w:val="24"/>
          <w:szCs w:val="24"/>
        </w:rPr>
        <w:t xml:space="preserve">Given the circumstances I have already explained, I am not persuaded that the PSA’s conduct in </w:t>
      </w:r>
      <w:r w:rsidR="004A4949">
        <w:rPr>
          <w:rFonts w:ascii="Arial" w:hAnsi="Arial" w:cs="Arial"/>
          <w:bCs/>
          <w:sz w:val="24"/>
          <w:szCs w:val="24"/>
        </w:rPr>
        <w:t xml:space="preserve">launching its application </w:t>
      </w:r>
      <w:r w:rsidR="00F57E42">
        <w:rPr>
          <w:rFonts w:ascii="Arial" w:hAnsi="Arial" w:cs="Arial"/>
          <w:bCs/>
          <w:sz w:val="24"/>
          <w:szCs w:val="24"/>
        </w:rPr>
        <w:t xml:space="preserve">at the high court </w:t>
      </w:r>
      <w:r w:rsidR="004A4949">
        <w:rPr>
          <w:rFonts w:ascii="Arial" w:hAnsi="Arial" w:cs="Arial"/>
          <w:bCs/>
          <w:sz w:val="24"/>
          <w:szCs w:val="24"/>
        </w:rPr>
        <w:t xml:space="preserve">warrants censure in the form of an adverse order of costs. </w:t>
      </w:r>
      <w:r w:rsidR="001562E7" w:rsidRPr="007B473D">
        <w:rPr>
          <w:rFonts w:ascii="Arial" w:hAnsi="Arial" w:cs="Arial"/>
          <w:bCs/>
          <w:sz w:val="24"/>
          <w:szCs w:val="24"/>
        </w:rPr>
        <w:t xml:space="preserve">In the result, </w:t>
      </w:r>
      <w:r w:rsidR="00165BFA" w:rsidRPr="007B473D">
        <w:rPr>
          <w:rFonts w:ascii="Arial" w:hAnsi="Arial" w:cs="Arial"/>
          <w:bCs/>
          <w:sz w:val="24"/>
          <w:szCs w:val="24"/>
        </w:rPr>
        <w:t>I would uphold the appeal</w:t>
      </w:r>
      <w:r w:rsidR="004A4949">
        <w:rPr>
          <w:rFonts w:ascii="Arial" w:hAnsi="Arial" w:cs="Arial"/>
          <w:bCs/>
          <w:sz w:val="24"/>
          <w:szCs w:val="24"/>
        </w:rPr>
        <w:t>,</w:t>
      </w:r>
      <w:r w:rsidR="004206BF">
        <w:rPr>
          <w:rFonts w:ascii="Arial" w:hAnsi="Arial" w:cs="Arial"/>
          <w:bCs/>
          <w:sz w:val="24"/>
          <w:szCs w:val="24"/>
        </w:rPr>
        <w:t xml:space="preserve"> </w:t>
      </w:r>
      <w:r w:rsidR="00B91B78" w:rsidRPr="007B473D">
        <w:rPr>
          <w:rFonts w:ascii="Arial" w:hAnsi="Arial" w:cs="Arial"/>
          <w:bCs/>
          <w:sz w:val="24"/>
          <w:szCs w:val="24"/>
        </w:rPr>
        <w:t>set aside th</w:t>
      </w:r>
      <w:r w:rsidR="001562E7" w:rsidRPr="007B473D">
        <w:rPr>
          <w:rFonts w:ascii="Arial" w:hAnsi="Arial" w:cs="Arial"/>
          <w:bCs/>
          <w:sz w:val="24"/>
          <w:szCs w:val="24"/>
        </w:rPr>
        <w:t>e order</w:t>
      </w:r>
      <w:r w:rsidR="00EA160E" w:rsidRPr="007B473D">
        <w:rPr>
          <w:rFonts w:ascii="Arial" w:hAnsi="Arial" w:cs="Arial"/>
          <w:bCs/>
          <w:sz w:val="24"/>
          <w:szCs w:val="24"/>
        </w:rPr>
        <w:t xml:space="preserve"> of the high court </w:t>
      </w:r>
      <w:r w:rsidR="00B91B78" w:rsidRPr="007B473D">
        <w:rPr>
          <w:rFonts w:ascii="Arial" w:hAnsi="Arial" w:cs="Arial"/>
          <w:bCs/>
          <w:sz w:val="24"/>
          <w:szCs w:val="24"/>
        </w:rPr>
        <w:t xml:space="preserve">and </w:t>
      </w:r>
      <w:r w:rsidR="00EA160E" w:rsidRPr="007B473D">
        <w:rPr>
          <w:rFonts w:ascii="Arial" w:hAnsi="Arial" w:cs="Arial"/>
          <w:bCs/>
          <w:sz w:val="24"/>
          <w:szCs w:val="24"/>
        </w:rPr>
        <w:t>replace</w:t>
      </w:r>
      <w:r w:rsidR="00B91B78" w:rsidRPr="007B473D">
        <w:rPr>
          <w:rFonts w:ascii="Arial" w:hAnsi="Arial" w:cs="Arial"/>
          <w:bCs/>
          <w:sz w:val="24"/>
          <w:szCs w:val="24"/>
        </w:rPr>
        <w:t xml:space="preserve"> it </w:t>
      </w:r>
      <w:r w:rsidR="007B473D" w:rsidRPr="007B473D">
        <w:rPr>
          <w:rFonts w:ascii="Arial" w:hAnsi="Arial" w:cs="Arial"/>
          <w:bCs/>
          <w:sz w:val="24"/>
          <w:szCs w:val="24"/>
        </w:rPr>
        <w:t xml:space="preserve">with an order dismissing the </w:t>
      </w:r>
      <w:r w:rsidR="00EA160E" w:rsidRPr="007B473D">
        <w:rPr>
          <w:rFonts w:ascii="Arial" w:hAnsi="Arial" w:cs="Arial"/>
          <w:bCs/>
          <w:sz w:val="24"/>
          <w:szCs w:val="24"/>
        </w:rPr>
        <w:t xml:space="preserve">application </w:t>
      </w:r>
      <w:r w:rsidR="00DE30EE">
        <w:rPr>
          <w:rFonts w:ascii="Arial" w:hAnsi="Arial" w:cs="Arial"/>
          <w:bCs/>
          <w:sz w:val="24"/>
          <w:szCs w:val="24"/>
        </w:rPr>
        <w:t>with no order as to costs.</w:t>
      </w:r>
    </w:p>
    <w:p w14:paraId="294F0FDC" w14:textId="77777777" w:rsidR="00816F02" w:rsidRPr="00816F02" w:rsidRDefault="00816F02" w:rsidP="00DE30EE">
      <w:pPr>
        <w:spacing w:after="0" w:line="360" w:lineRule="auto"/>
        <w:jc w:val="both"/>
        <w:rPr>
          <w:rFonts w:ascii="Arial" w:hAnsi="Arial" w:cs="Arial"/>
          <w:bCs/>
          <w:sz w:val="24"/>
          <w:szCs w:val="24"/>
        </w:rPr>
      </w:pPr>
    </w:p>
    <w:p w14:paraId="7A3233AC" w14:textId="77777777" w:rsidR="00EA160E" w:rsidRPr="00F83D7A" w:rsidRDefault="00EA160E" w:rsidP="00EA160E">
      <w:pPr>
        <w:spacing w:line="360" w:lineRule="auto"/>
        <w:jc w:val="right"/>
        <w:rPr>
          <w:rFonts w:ascii="Arial" w:hAnsi="Arial" w:cs="Arial"/>
        </w:rPr>
      </w:pPr>
      <w:bookmarkStart w:id="1" w:name="_Hlk87461076"/>
      <w:r w:rsidRPr="00F83D7A">
        <w:rPr>
          <w:rFonts w:ascii="Arial" w:hAnsi="Arial" w:cs="Arial"/>
        </w:rPr>
        <w:t xml:space="preserve">____________________ </w:t>
      </w:r>
    </w:p>
    <w:p w14:paraId="72F55613" w14:textId="77777777" w:rsidR="00EA160E" w:rsidRPr="003805AB" w:rsidRDefault="00EA160E" w:rsidP="003805AB">
      <w:pPr>
        <w:spacing w:after="0" w:line="360" w:lineRule="auto"/>
        <w:jc w:val="right"/>
        <w:rPr>
          <w:rFonts w:ascii="Arial" w:hAnsi="Arial" w:cs="Arial"/>
          <w:sz w:val="24"/>
          <w:szCs w:val="24"/>
        </w:rPr>
      </w:pPr>
      <w:r w:rsidRPr="003805AB">
        <w:rPr>
          <w:rFonts w:ascii="Arial" w:hAnsi="Arial" w:cs="Arial"/>
          <w:sz w:val="24"/>
          <w:szCs w:val="24"/>
        </w:rPr>
        <w:t>M B MOLEMELA</w:t>
      </w:r>
    </w:p>
    <w:p w14:paraId="46CBD3A8" w14:textId="2C31E331" w:rsidR="00EA160E" w:rsidRPr="003805AB" w:rsidRDefault="00EA160E" w:rsidP="003805AB">
      <w:pPr>
        <w:spacing w:after="0" w:line="360" w:lineRule="auto"/>
        <w:jc w:val="right"/>
        <w:rPr>
          <w:rFonts w:ascii="Arial" w:hAnsi="Arial" w:cs="Arial"/>
          <w:sz w:val="24"/>
          <w:szCs w:val="24"/>
        </w:rPr>
      </w:pPr>
      <w:r w:rsidRPr="003805AB">
        <w:rPr>
          <w:rFonts w:ascii="Arial" w:hAnsi="Arial" w:cs="Arial"/>
          <w:sz w:val="24"/>
          <w:szCs w:val="24"/>
        </w:rPr>
        <w:t xml:space="preserve"> JUDGE OF APPEAL</w:t>
      </w:r>
    </w:p>
    <w:p w14:paraId="7B833F7D" w14:textId="77777777" w:rsidR="00D02B6C" w:rsidRDefault="00D02B6C" w:rsidP="00A90511">
      <w:pPr>
        <w:pBdr>
          <w:top w:val="nil"/>
          <w:left w:val="nil"/>
          <w:bottom w:val="nil"/>
          <w:right w:val="nil"/>
          <w:between w:val="nil"/>
        </w:pBdr>
        <w:spacing w:after="0" w:line="360" w:lineRule="auto"/>
        <w:jc w:val="both"/>
        <w:rPr>
          <w:rFonts w:ascii="Arial" w:eastAsia="Arial" w:hAnsi="Arial" w:cs="Arial"/>
          <w:b/>
          <w:color w:val="000000"/>
          <w:sz w:val="24"/>
          <w:szCs w:val="24"/>
        </w:rPr>
      </w:pPr>
    </w:p>
    <w:p w14:paraId="33D21B58" w14:textId="77777777" w:rsidR="00D02B6C" w:rsidRDefault="00D02B6C" w:rsidP="00A90511">
      <w:pPr>
        <w:pBdr>
          <w:top w:val="nil"/>
          <w:left w:val="nil"/>
          <w:bottom w:val="nil"/>
          <w:right w:val="nil"/>
          <w:between w:val="nil"/>
        </w:pBdr>
        <w:spacing w:after="0" w:line="360" w:lineRule="auto"/>
        <w:jc w:val="both"/>
        <w:rPr>
          <w:rFonts w:ascii="Arial" w:eastAsia="Arial" w:hAnsi="Arial" w:cs="Arial"/>
          <w:b/>
          <w:color w:val="000000"/>
          <w:sz w:val="24"/>
          <w:szCs w:val="24"/>
        </w:rPr>
      </w:pPr>
    </w:p>
    <w:p w14:paraId="021C78D8" w14:textId="1625664B" w:rsidR="008F4DAA" w:rsidRPr="008F4DAA" w:rsidRDefault="008F4DAA" w:rsidP="00A90511">
      <w:pPr>
        <w:pBdr>
          <w:top w:val="nil"/>
          <w:left w:val="nil"/>
          <w:bottom w:val="nil"/>
          <w:right w:val="nil"/>
          <w:between w:val="nil"/>
        </w:pBdr>
        <w:spacing w:after="0" w:line="360" w:lineRule="auto"/>
        <w:jc w:val="both"/>
        <w:rPr>
          <w:rFonts w:ascii="Arial" w:eastAsia="Arial" w:hAnsi="Arial" w:cs="Arial"/>
          <w:b/>
          <w:color w:val="000000"/>
          <w:sz w:val="24"/>
          <w:szCs w:val="24"/>
        </w:rPr>
      </w:pPr>
      <w:r w:rsidRPr="008F4DAA">
        <w:rPr>
          <w:rFonts w:ascii="Arial" w:eastAsia="Arial" w:hAnsi="Arial" w:cs="Arial"/>
          <w:b/>
          <w:color w:val="000000"/>
          <w:sz w:val="24"/>
          <w:szCs w:val="24"/>
        </w:rPr>
        <w:lastRenderedPageBreak/>
        <w:t>Hughes JA</w:t>
      </w:r>
    </w:p>
    <w:p w14:paraId="69014562" w14:textId="5F3A1DC4" w:rsidR="008F4DAA" w:rsidRPr="00356295" w:rsidRDefault="008F4DAA" w:rsidP="00356295">
      <w:pPr>
        <w:pBdr>
          <w:top w:val="nil"/>
          <w:left w:val="nil"/>
          <w:bottom w:val="nil"/>
          <w:right w:val="nil"/>
          <w:between w:val="nil"/>
        </w:pBdr>
        <w:spacing w:before="240" w:after="0" w:line="360" w:lineRule="auto"/>
        <w:jc w:val="both"/>
        <w:rPr>
          <w:rFonts w:ascii="Arial" w:eastAsia="Arial" w:hAnsi="Arial" w:cs="Arial"/>
          <w:b/>
          <w:color w:val="000000"/>
          <w:sz w:val="24"/>
          <w:szCs w:val="24"/>
        </w:rPr>
      </w:pPr>
      <w:r w:rsidRPr="00356295">
        <w:rPr>
          <w:rFonts w:ascii="Arial" w:eastAsia="Arial" w:hAnsi="Arial" w:cs="Arial"/>
          <w:b/>
          <w:color w:val="000000"/>
          <w:sz w:val="24"/>
          <w:szCs w:val="24"/>
        </w:rPr>
        <w:t>Costs</w:t>
      </w:r>
    </w:p>
    <w:p w14:paraId="5394C88F" w14:textId="77777777" w:rsidR="00287171" w:rsidRPr="00356295" w:rsidRDefault="00287171" w:rsidP="00A90511">
      <w:pPr>
        <w:pBdr>
          <w:top w:val="nil"/>
          <w:left w:val="nil"/>
          <w:bottom w:val="nil"/>
          <w:right w:val="nil"/>
          <w:between w:val="nil"/>
        </w:pBdr>
        <w:spacing w:after="0" w:line="360" w:lineRule="auto"/>
        <w:jc w:val="both"/>
        <w:rPr>
          <w:rFonts w:ascii="Arial" w:eastAsia="Arial" w:hAnsi="Arial" w:cs="Arial"/>
          <w:vanish/>
          <w:color w:val="000000"/>
          <w:sz w:val="24"/>
          <w:szCs w:val="24"/>
        </w:rPr>
      </w:pPr>
    </w:p>
    <w:p w14:paraId="5FA0FF3E" w14:textId="1268C248" w:rsidR="008F4DAA" w:rsidRPr="008F4DAA" w:rsidRDefault="00A90511" w:rsidP="00A90511">
      <w:pPr>
        <w:pBdr>
          <w:top w:val="nil"/>
          <w:left w:val="nil"/>
          <w:bottom w:val="nil"/>
          <w:right w:val="nil"/>
          <w:between w:val="nil"/>
        </w:pBdr>
        <w:spacing w:after="0" w:line="360" w:lineRule="auto"/>
        <w:jc w:val="both"/>
        <w:rPr>
          <w:rFonts w:ascii="Arial" w:eastAsia="Arial" w:hAnsi="Arial" w:cs="Arial"/>
          <w:color w:val="000000"/>
          <w:sz w:val="24"/>
          <w:szCs w:val="24"/>
        </w:rPr>
      </w:pPr>
      <w:r w:rsidRPr="00356295">
        <w:rPr>
          <w:rFonts w:ascii="Arial" w:eastAsia="Arial" w:hAnsi="Arial" w:cs="Arial"/>
          <w:color w:val="000000"/>
          <w:sz w:val="24"/>
          <w:szCs w:val="24"/>
        </w:rPr>
        <w:t>[47]</w:t>
      </w:r>
      <w:r>
        <w:rPr>
          <w:rFonts w:ascii="Arial" w:eastAsia="Arial" w:hAnsi="Arial" w:cs="Arial"/>
          <w:color w:val="000000"/>
          <w:sz w:val="24"/>
          <w:szCs w:val="24"/>
        </w:rPr>
        <w:tab/>
      </w:r>
      <w:r w:rsidR="008F4DAA" w:rsidRPr="008F4DAA">
        <w:rPr>
          <w:rFonts w:ascii="Arial" w:eastAsia="Arial" w:hAnsi="Arial" w:cs="Arial"/>
          <w:color w:val="000000"/>
          <w:sz w:val="24"/>
          <w:szCs w:val="24"/>
        </w:rPr>
        <w:t xml:space="preserve">I have had the benefit of reading the judgment of my colleague, Molemela JA. I concur with the reasoning and conclusions reached in respect of the point </w:t>
      </w:r>
      <w:r w:rsidR="008F4DAA" w:rsidRPr="008F4DAA">
        <w:rPr>
          <w:rFonts w:ascii="Arial" w:eastAsia="Arial" w:hAnsi="Arial" w:cs="Arial"/>
          <w:i/>
          <w:color w:val="000000"/>
          <w:sz w:val="24"/>
          <w:szCs w:val="24"/>
        </w:rPr>
        <w:t>in limine</w:t>
      </w:r>
      <w:r w:rsidR="008F4DAA" w:rsidRPr="008F4DAA">
        <w:rPr>
          <w:rFonts w:ascii="Arial" w:eastAsia="Arial" w:hAnsi="Arial" w:cs="Arial"/>
          <w:color w:val="000000"/>
          <w:sz w:val="24"/>
          <w:szCs w:val="24"/>
        </w:rPr>
        <w:t xml:space="preserve"> of jurisdiction ‘. . . it is permissible for a party to rely on more than one cause of action. It is therefore noteworthy that in addition to seeking enforcement of [the] collective agreements, the PSA also located its dispute as a contractual claim within the contemplation of s 77(3) of the BCEA’. It is on this basis that I concur that the high court was competent to hear the application before it.</w:t>
      </w:r>
    </w:p>
    <w:p w14:paraId="3E6CD8D2" w14:textId="77777777" w:rsidR="008F4DAA" w:rsidRPr="008F4DAA" w:rsidRDefault="008F4DAA" w:rsidP="008F4DAA">
      <w:pPr>
        <w:pBdr>
          <w:top w:val="nil"/>
          <w:left w:val="nil"/>
          <w:bottom w:val="nil"/>
          <w:right w:val="nil"/>
          <w:between w:val="nil"/>
        </w:pBdr>
        <w:spacing w:after="0" w:line="360" w:lineRule="auto"/>
        <w:jc w:val="both"/>
        <w:rPr>
          <w:rFonts w:ascii="Arial" w:eastAsia="Arial" w:hAnsi="Arial" w:cs="Arial"/>
          <w:color w:val="000000"/>
          <w:sz w:val="24"/>
          <w:szCs w:val="24"/>
        </w:rPr>
      </w:pPr>
    </w:p>
    <w:p w14:paraId="70C6CE52" w14:textId="106834EA" w:rsidR="008F4DAA" w:rsidRPr="008F4DAA" w:rsidRDefault="00A90511" w:rsidP="00A90511">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[48]</w:t>
      </w:r>
      <w:r>
        <w:rPr>
          <w:rFonts w:ascii="Arial" w:eastAsia="Arial" w:hAnsi="Arial" w:cs="Arial"/>
          <w:color w:val="000000"/>
          <w:sz w:val="24"/>
          <w:szCs w:val="24"/>
        </w:rPr>
        <w:tab/>
      </w:r>
      <w:r w:rsidR="008F4DAA" w:rsidRPr="008F4DAA">
        <w:rPr>
          <w:rFonts w:ascii="Arial" w:eastAsia="Arial" w:hAnsi="Arial" w:cs="Arial"/>
          <w:color w:val="000000"/>
          <w:sz w:val="24"/>
          <w:szCs w:val="24"/>
        </w:rPr>
        <w:t xml:space="preserve">I take no issue with the reasoning on the merits. I however, respectfully disagree with the costs order granted. It is trite that the issue of awarding costs lies within the discretion of the court alone and generally the successful party is entitled to their costs. My disagreement lies with the conduct of </w:t>
      </w:r>
      <w:r w:rsidR="00CE5B6C" w:rsidRPr="00356295">
        <w:rPr>
          <w:rFonts w:ascii="Arial" w:eastAsia="Arial" w:hAnsi="Arial" w:cs="Arial"/>
          <w:color w:val="000000"/>
          <w:sz w:val="24"/>
          <w:szCs w:val="24"/>
        </w:rPr>
        <w:t>the</w:t>
      </w:r>
      <w:r w:rsidR="00CE5B6C">
        <w:rPr>
          <w:rFonts w:ascii="Arial" w:eastAsia="Arial" w:hAnsi="Arial" w:cs="Arial"/>
          <w:color w:val="000000"/>
          <w:sz w:val="24"/>
          <w:szCs w:val="24"/>
        </w:rPr>
        <w:t xml:space="preserve"> </w:t>
      </w:r>
      <w:r w:rsidR="008F4DAA" w:rsidRPr="008F4DAA">
        <w:rPr>
          <w:rFonts w:ascii="Arial" w:eastAsia="Arial" w:hAnsi="Arial" w:cs="Arial"/>
          <w:color w:val="000000"/>
          <w:sz w:val="24"/>
          <w:szCs w:val="24"/>
        </w:rPr>
        <w:t xml:space="preserve">PSA in pursuing the application for specific performance. I am of the view that the application by the PSA in the high court was ill-conceived and manifestly inappropriate. Thus, the PSA falls to be penalised with an adverse costs order. I am mindful of the applicability of </w:t>
      </w:r>
      <w:r w:rsidR="008F4DAA" w:rsidRPr="008F4DAA">
        <w:rPr>
          <w:rFonts w:ascii="Arial" w:eastAsia="Arial" w:hAnsi="Arial" w:cs="Arial"/>
          <w:i/>
          <w:color w:val="000000"/>
          <w:sz w:val="24"/>
          <w:szCs w:val="24"/>
        </w:rPr>
        <w:t xml:space="preserve">Biowatch </w:t>
      </w:r>
      <w:r w:rsidR="008F4DAA" w:rsidRPr="008F4DAA">
        <w:rPr>
          <w:rFonts w:ascii="Arial" w:eastAsia="Arial" w:hAnsi="Arial" w:cs="Arial"/>
          <w:color w:val="000000"/>
          <w:sz w:val="24"/>
          <w:szCs w:val="24"/>
        </w:rPr>
        <w:t xml:space="preserve">in inherently constitutional matters, however, I am still convinced that a costs order is appropriate against </w:t>
      </w:r>
      <w:r w:rsidR="00CE5B6C" w:rsidRPr="00356295">
        <w:rPr>
          <w:rFonts w:ascii="Arial" w:eastAsia="Arial" w:hAnsi="Arial" w:cs="Arial"/>
          <w:color w:val="000000"/>
          <w:sz w:val="24"/>
          <w:szCs w:val="24"/>
        </w:rPr>
        <w:t>the</w:t>
      </w:r>
      <w:r w:rsidR="00CE5B6C">
        <w:rPr>
          <w:rFonts w:ascii="Arial" w:eastAsia="Arial" w:hAnsi="Arial" w:cs="Arial"/>
          <w:color w:val="000000"/>
          <w:sz w:val="24"/>
          <w:szCs w:val="24"/>
        </w:rPr>
        <w:t xml:space="preserve"> </w:t>
      </w:r>
      <w:r w:rsidR="008F4DAA" w:rsidRPr="008F4DAA">
        <w:rPr>
          <w:rFonts w:ascii="Arial" w:eastAsia="Arial" w:hAnsi="Arial" w:cs="Arial"/>
          <w:color w:val="000000"/>
          <w:sz w:val="24"/>
          <w:szCs w:val="24"/>
        </w:rPr>
        <w:t>PSA for the reasons which follow hereafter.</w:t>
      </w:r>
    </w:p>
    <w:p w14:paraId="15E61E6C" w14:textId="77777777" w:rsidR="008F4DAA" w:rsidRPr="008F4DAA" w:rsidRDefault="008F4DAA" w:rsidP="008F4DAA">
      <w:pPr>
        <w:spacing w:after="200" w:line="276" w:lineRule="auto"/>
        <w:rPr>
          <w:rFonts w:ascii="Arial" w:eastAsia="Arial" w:hAnsi="Arial" w:cs="Arial"/>
          <w:color w:val="000000"/>
          <w:sz w:val="24"/>
          <w:szCs w:val="24"/>
          <w:lang w:val="en-GB"/>
        </w:rPr>
      </w:pPr>
    </w:p>
    <w:p w14:paraId="1C3AA330" w14:textId="6A33EEFE" w:rsidR="00DE30EE" w:rsidRPr="00DE30EE" w:rsidRDefault="00A90511" w:rsidP="00A90511">
      <w:pPr>
        <w:pBdr>
          <w:top w:val="nil"/>
          <w:left w:val="nil"/>
          <w:bottom w:val="nil"/>
          <w:right w:val="nil"/>
          <w:between w:val="nil"/>
        </w:pBdr>
        <w:spacing w:after="0" w:line="360" w:lineRule="auto"/>
        <w:jc w:val="both"/>
        <w:rPr>
          <w:rFonts w:ascii="Arial" w:eastAsia="Calibri" w:hAnsi="Arial" w:cs="Arial"/>
          <w:sz w:val="24"/>
          <w:szCs w:val="24"/>
        </w:rPr>
      </w:pPr>
      <w:r>
        <w:rPr>
          <w:rFonts w:ascii="Arial" w:eastAsia="Arial" w:hAnsi="Arial" w:cs="Arial"/>
          <w:color w:val="000000"/>
          <w:sz w:val="24"/>
          <w:szCs w:val="24"/>
        </w:rPr>
        <w:t>[49]</w:t>
      </w:r>
      <w:r>
        <w:rPr>
          <w:rFonts w:ascii="Arial" w:eastAsia="Arial" w:hAnsi="Arial" w:cs="Arial"/>
          <w:color w:val="000000"/>
          <w:sz w:val="24"/>
          <w:szCs w:val="24"/>
        </w:rPr>
        <w:tab/>
      </w:r>
      <w:r w:rsidR="008F4DAA" w:rsidRPr="008F4DAA">
        <w:rPr>
          <w:rFonts w:ascii="Arial" w:eastAsia="Arial" w:hAnsi="Arial" w:cs="Arial"/>
          <w:color w:val="000000"/>
          <w:sz w:val="24"/>
          <w:szCs w:val="24"/>
        </w:rPr>
        <w:t>The PSA pursued this application in the high court having referred two disputes on the facts of the OSD issue to the Bargaining Council. The first on 10 February 2016 which remains unresolved in respect of ‘an unfair labour practice relating to promotion . . . respondent [NPA] having failed to translate the . . . applicants from SMS salary dispensation to the OSD, and specifically LP10’. Second, on 13 June 2016 a second dispute was launched with the Bargaining Council requesting an arbitration. In this dispute the PSA sought a determination ‘whether an agreement was reached to the effect that DDPP on salary level 13 and 14 would be regarded as being production specialist and that qualifying DDPPs on level 13 and 14 will be migrated out of SMS dispensation to OSD on LP10’. This dispute has been stayed pending the outcome of the high court application. Notably, the high court application for specific performance was filed on 4 December 2017.</w:t>
      </w:r>
    </w:p>
    <w:p w14:paraId="4343D477" w14:textId="77777777" w:rsidR="00DE30EE" w:rsidRPr="008F4DAA" w:rsidRDefault="00DE30EE" w:rsidP="00DE30EE">
      <w:pPr>
        <w:pBdr>
          <w:top w:val="nil"/>
          <w:left w:val="nil"/>
          <w:bottom w:val="nil"/>
          <w:right w:val="nil"/>
          <w:between w:val="nil"/>
        </w:pBdr>
        <w:spacing w:after="0" w:line="360" w:lineRule="auto"/>
        <w:jc w:val="both"/>
        <w:rPr>
          <w:rFonts w:ascii="Arial" w:eastAsia="Calibri" w:hAnsi="Arial" w:cs="Arial"/>
          <w:sz w:val="24"/>
          <w:szCs w:val="24"/>
        </w:rPr>
      </w:pPr>
    </w:p>
    <w:p w14:paraId="35E34158" w14:textId="3F5AEC06" w:rsidR="008F4DAA" w:rsidRPr="008F4DAA" w:rsidRDefault="00A90511" w:rsidP="00A90511">
      <w:pPr>
        <w:pBdr>
          <w:top w:val="nil"/>
          <w:left w:val="nil"/>
          <w:bottom w:val="nil"/>
          <w:right w:val="nil"/>
          <w:between w:val="nil"/>
        </w:pBdr>
        <w:spacing w:after="0" w:line="360" w:lineRule="auto"/>
        <w:jc w:val="both"/>
        <w:rPr>
          <w:rFonts w:ascii="Arial" w:eastAsia="Calibri" w:hAnsi="Arial" w:cs="Arial"/>
        </w:rPr>
      </w:pPr>
      <w:r>
        <w:rPr>
          <w:rFonts w:ascii="Arial" w:eastAsia="Calibri" w:hAnsi="Arial" w:cs="Arial"/>
          <w:sz w:val="24"/>
          <w:szCs w:val="24"/>
        </w:rPr>
        <w:lastRenderedPageBreak/>
        <w:t>[50]</w:t>
      </w:r>
      <w:r>
        <w:rPr>
          <w:rFonts w:ascii="Arial" w:eastAsia="Calibri" w:hAnsi="Arial" w:cs="Arial"/>
          <w:sz w:val="24"/>
          <w:szCs w:val="24"/>
        </w:rPr>
        <w:tab/>
      </w:r>
      <w:r w:rsidR="008F4DAA" w:rsidRPr="008F4DAA">
        <w:rPr>
          <w:rFonts w:ascii="Arial" w:eastAsia="Calibri" w:hAnsi="Arial" w:cs="Arial"/>
          <w:sz w:val="24"/>
          <w:szCs w:val="24"/>
        </w:rPr>
        <w:t xml:space="preserve">In the analysis of the merits above and on </w:t>
      </w:r>
      <w:r w:rsidR="007D5B81" w:rsidRPr="00D02B6C">
        <w:rPr>
          <w:rFonts w:ascii="Arial" w:eastAsia="Calibri" w:hAnsi="Arial" w:cs="Arial"/>
          <w:sz w:val="24"/>
          <w:szCs w:val="24"/>
        </w:rPr>
        <w:t>the</w:t>
      </w:r>
      <w:r w:rsidR="007D5B81">
        <w:rPr>
          <w:rFonts w:ascii="Arial" w:eastAsia="Calibri" w:hAnsi="Arial" w:cs="Arial"/>
          <w:sz w:val="24"/>
          <w:szCs w:val="24"/>
        </w:rPr>
        <w:t xml:space="preserve"> </w:t>
      </w:r>
      <w:r w:rsidR="008F4DAA" w:rsidRPr="008F4DAA">
        <w:rPr>
          <w:rFonts w:ascii="Arial" w:eastAsia="Calibri" w:hAnsi="Arial" w:cs="Arial"/>
          <w:sz w:val="24"/>
          <w:szCs w:val="24"/>
        </w:rPr>
        <w:t xml:space="preserve">PSA’s version alone it was well established that there were a host of </w:t>
      </w:r>
      <w:r w:rsidR="008F4DAA" w:rsidRPr="00D02B6C">
        <w:rPr>
          <w:rFonts w:ascii="Arial" w:eastAsia="Calibri" w:hAnsi="Arial" w:cs="Arial"/>
          <w:sz w:val="24"/>
          <w:szCs w:val="24"/>
        </w:rPr>
        <w:t>shortcomings</w:t>
      </w:r>
      <w:r w:rsidR="008F4DAA" w:rsidRPr="008F4DAA">
        <w:rPr>
          <w:rFonts w:ascii="Arial" w:eastAsia="Calibri" w:hAnsi="Arial" w:cs="Arial"/>
          <w:sz w:val="24"/>
          <w:szCs w:val="24"/>
        </w:rPr>
        <w:t xml:space="preserve"> with the conclusion of the agreement which </w:t>
      </w:r>
      <w:r w:rsidR="007D5B81" w:rsidRPr="00D02B6C">
        <w:rPr>
          <w:rFonts w:ascii="Arial" w:eastAsia="Calibri" w:hAnsi="Arial" w:cs="Arial"/>
          <w:sz w:val="24"/>
          <w:szCs w:val="24"/>
        </w:rPr>
        <w:t>the</w:t>
      </w:r>
      <w:r w:rsidR="007D5B81">
        <w:rPr>
          <w:rFonts w:ascii="Arial" w:eastAsia="Calibri" w:hAnsi="Arial" w:cs="Arial"/>
          <w:sz w:val="24"/>
          <w:szCs w:val="24"/>
        </w:rPr>
        <w:t xml:space="preserve"> </w:t>
      </w:r>
      <w:r w:rsidR="008F4DAA" w:rsidRPr="008F4DAA">
        <w:rPr>
          <w:rFonts w:ascii="Arial" w:eastAsia="Calibri" w:hAnsi="Arial" w:cs="Arial"/>
          <w:sz w:val="24"/>
          <w:szCs w:val="24"/>
        </w:rPr>
        <w:t xml:space="preserve">PSA sought to be enforced. I do not propose to repeat what is set out above on the merits. However, of significance is the fact that </w:t>
      </w:r>
      <w:r w:rsidR="007D5B81" w:rsidRPr="00D02B6C">
        <w:rPr>
          <w:rFonts w:ascii="Arial" w:eastAsia="Calibri" w:hAnsi="Arial" w:cs="Arial"/>
          <w:sz w:val="24"/>
          <w:szCs w:val="24"/>
        </w:rPr>
        <w:t>the</w:t>
      </w:r>
      <w:r w:rsidR="007D5B81">
        <w:rPr>
          <w:rFonts w:ascii="Arial" w:eastAsia="Calibri" w:hAnsi="Arial" w:cs="Arial"/>
          <w:sz w:val="24"/>
          <w:szCs w:val="24"/>
        </w:rPr>
        <w:t xml:space="preserve"> </w:t>
      </w:r>
      <w:r w:rsidR="008F4DAA" w:rsidRPr="008F4DAA">
        <w:rPr>
          <w:rFonts w:ascii="Arial" w:eastAsia="Calibri" w:hAnsi="Arial" w:cs="Arial"/>
          <w:sz w:val="24"/>
          <w:szCs w:val="24"/>
        </w:rPr>
        <w:t>PSA was not even certain whether an agreement had been concluded. Yet, here they were seeking specific performance of an agreement that they were not sure existed.</w:t>
      </w:r>
    </w:p>
    <w:p w14:paraId="6A4E8B15" w14:textId="77777777" w:rsidR="008F4DAA" w:rsidRPr="008F4DAA" w:rsidRDefault="008F4DAA" w:rsidP="008F4DAA">
      <w:pPr>
        <w:pBdr>
          <w:top w:val="nil"/>
          <w:left w:val="nil"/>
          <w:bottom w:val="nil"/>
          <w:right w:val="nil"/>
          <w:between w:val="nil"/>
        </w:pBdr>
        <w:spacing w:after="0" w:line="360" w:lineRule="auto"/>
        <w:jc w:val="both"/>
        <w:rPr>
          <w:rFonts w:ascii="Arial" w:eastAsia="Calibri" w:hAnsi="Arial" w:cs="Arial"/>
          <w:sz w:val="24"/>
          <w:szCs w:val="24"/>
        </w:rPr>
      </w:pPr>
    </w:p>
    <w:p w14:paraId="623A94B8" w14:textId="5EF834CD" w:rsidR="008F4DAA" w:rsidRPr="008F4DAA" w:rsidRDefault="00A90511" w:rsidP="00A90511">
      <w:pPr>
        <w:pBdr>
          <w:top w:val="nil"/>
          <w:left w:val="nil"/>
          <w:bottom w:val="nil"/>
          <w:right w:val="nil"/>
          <w:between w:val="nil"/>
        </w:pBdr>
        <w:spacing w:after="0" w:line="360" w:lineRule="auto"/>
        <w:jc w:val="both"/>
        <w:rPr>
          <w:rFonts w:ascii="Arial" w:eastAsia="Calibri" w:hAnsi="Arial" w:cs="Arial"/>
          <w:sz w:val="24"/>
          <w:szCs w:val="24"/>
        </w:rPr>
      </w:pPr>
      <w:r>
        <w:rPr>
          <w:rFonts w:ascii="Arial" w:eastAsia="Calibri" w:hAnsi="Arial" w:cs="Arial"/>
          <w:sz w:val="24"/>
          <w:szCs w:val="24"/>
        </w:rPr>
        <w:t>[51]</w:t>
      </w:r>
      <w:r>
        <w:rPr>
          <w:rFonts w:ascii="Arial" w:eastAsia="Calibri" w:hAnsi="Arial" w:cs="Arial"/>
          <w:sz w:val="24"/>
          <w:szCs w:val="24"/>
        </w:rPr>
        <w:tab/>
      </w:r>
      <w:r w:rsidR="008F4DAA" w:rsidRPr="008F4DAA">
        <w:rPr>
          <w:rFonts w:ascii="Arial" w:eastAsia="Calibri" w:hAnsi="Arial" w:cs="Arial"/>
          <w:sz w:val="24"/>
          <w:szCs w:val="24"/>
        </w:rPr>
        <w:t xml:space="preserve">The proper approach to establish whether an application was </w:t>
      </w:r>
      <w:r w:rsidR="008F4DAA" w:rsidRPr="008F4DAA">
        <w:rPr>
          <w:rFonts w:ascii="Arial" w:eastAsia="Arial" w:hAnsi="Arial" w:cs="Arial"/>
          <w:color w:val="000000"/>
          <w:sz w:val="24"/>
          <w:szCs w:val="24"/>
        </w:rPr>
        <w:t xml:space="preserve">manifestly inappropriate was settled in </w:t>
      </w:r>
      <w:r w:rsidR="008F4DAA" w:rsidRPr="008F4DAA">
        <w:rPr>
          <w:rFonts w:ascii="Arial" w:eastAsia="Arial" w:hAnsi="Arial" w:cs="Arial"/>
          <w:i/>
          <w:color w:val="000000"/>
          <w:sz w:val="24"/>
          <w:szCs w:val="24"/>
        </w:rPr>
        <w:t>Lawyers for Human Rights v Minister in the Presidency</w:t>
      </w:r>
      <w:r w:rsidR="008F4DAA" w:rsidRPr="008F4DAA">
        <w:rPr>
          <w:rFonts w:ascii="Arial" w:eastAsia="Arial" w:hAnsi="Arial" w:cs="Arial"/>
          <w:color w:val="000000"/>
          <w:sz w:val="24"/>
          <w:szCs w:val="24"/>
        </w:rPr>
        <w:t xml:space="preserve"> </w:t>
      </w:r>
      <w:r w:rsidR="008F4DAA" w:rsidRPr="008F4DAA">
        <w:rPr>
          <w:rFonts w:ascii="Arial" w:eastAsia="Arial" w:hAnsi="Arial" w:cs="Arial"/>
          <w:i/>
          <w:color w:val="000000"/>
          <w:sz w:val="24"/>
          <w:szCs w:val="24"/>
        </w:rPr>
        <w:t>and Others</w:t>
      </w:r>
      <w:r w:rsidR="008F4DAA" w:rsidRPr="007D5B81">
        <w:rPr>
          <w:rFonts w:ascii="Arial" w:eastAsia="Arial" w:hAnsi="Arial" w:cs="Arial"/>
          <w:color w:val="000000"/>
          <w:sz w:val="24"/>
          <w:szCs w:val="24"/>
        </w:rPr>
        <w:t>:</w:t>
      </w:r>
      <w:r w:rsidR="008F4DAA" w:rsidRPr="00D02B6C">
        <w:rPr>
          <w:rFonts w:ascii="Arial" w:eastAsia="Calibri" w:hAnsi="Arial" w:cs="Arial"/>
          <w:color w:val="242121"/>
          <w:sz w:val="24"/>
          <w:szCs w:val="24"/>
          <w:vertAlign w:val="superscript"/>
        </w:rPr>
        <w:t xml:space="preserve"> </w:t>
      </w:r>
      <w:r w:rsidR="008F4DAA" w:rsidRPr="00D02B6C">
        <w:rPr>
          <w:rFonts w:ascii="Arial" w:eastAsia="Calibri" w:hAnsi="Arial" w:cs="Arial"/>
          <w:color w:val="242121"/>
          <w:sz w:val="24"/>
          <w:szCs w:val="24"/>
          <w:vertAlign w:val="superscript"/>
        </w:rPr>
        <w:footnoteReference w:id="25"/>
      </w:r>
    </w:p>
    <w:p w14:paraId="7C684CDA" w14:textId="7849B3DA" w:rsidR="008F4DAA" w:rsidRPr="008F4DAA" w:rsidRDefault="008F4DAA" w:rsidP="008F4DAA">
      <w:pPr>
        <w:pBdr>
          <w:top w:val="nil"/>
          <w:left w:val="nil"/>
          <w:bottom w:val="nil"/>
          <w:right w:val="nil"/>
          <w:between w:val="nil"/>
        </w:pBdr>
        <w:spacing w:after="0" w:line="360" w:lineRule="auto"/>
        <w:jc w:val="both"/>
        <w:rPr>
          <w:rFonts w:ascii="Arial" w:eastAsia="Calibri" w:hAnsi="Arial" w:cs="Arial"/>
          <w:color w:val="242121"/>
        </w:rPr>
      </w:pPr>
      <w:r w:rsidRPr="008F4DAA">
        <w:rPr>
          <w:rFonts w:ascii="Arial" w:eastAsia="Calibri" w:hAnsi="Arial" w:cs="Arial"/>
          <w:color w:val="000000"/>
          <w:lang w:val="en-GB"/>
        </w:rPr>
        <w:t>‘</w:t>
      </w:r>
      <w:r w:rsidRPr="008F4DAA">
        <w:rPr>
          <w:rFonts w:ascii="Arial" w:eastAsia="Calibri" w:hAnsi="Arial" w:cs="Arial"/>
          <w:color w:val="242121"/>
        </w:rPr>
        <w:t xml:space="preserve">Whether an application is manifestly inappropriate depends on whether the application was so unreasonable or out of line that it constitutes an </w:t>
      </w:r>
      <w:r w:rsidR="00F76C78">
        <w:rPr>
          <w:rFonts w:ascii="Arial" w:eastAsia="Calibri" w:hAnsi="Arial" w:cs="Arial"/>
          <w:color w:val="242121"/>
        </w:rPr>
        <w:t xml:space="preserve">abuse of the process of court. </w:t>
      </w:r>
      <w:r w:rsidRPr="008F4DAA">
        <w:rPr>
          <w:rFonts w:ascii="Arial" w:eastAsia="Calibri" w:hAnsi="Arial" w:cs="Arial"/>
          <w:color w:val="242121"/>
        </w:rPr>
        <w:t>In </w:t>
      </w:r>
      <w:r w:rsidRPr="008F4DAA">
        <w:rPr>
          <w:rFonts w:ascii="Arial" w:eastAsia="Calibri" w:hAnsi="Arial" w:cs="Arial"/>
          <w:i/>
          <w:iCs/>
          <w:color w:val="242121"/>
        </w:rPr>
        <w:t>Beinash</w:t>
      </w:r>
      <w:r w:rsidRPr="008F4DAA">
        <w:rPr>
          <w:rFonts w:ascii="Arial" w:eastAsia="Calibri" w:hAnsi="Arial" w:cs="Arial"/>
          <w:color w:val="242121"/>
        </w:rPr>
        <w:t>, Mahomed CJ stated there could not be an all encompassing definition of “abuse of process” but that it could be said in general terms “that an abuse of process takes place where the procedures permitted by the rules of the Court to facilitate the pursuit of the truth are used for a purpose extraneous to that objective”. The Court held:</w:t>
      </w:r>
    </w:p>
    <w:p w14:paraId="48594A9F" w14:textId="73010EAA" w:rsidR="008F4DAA" w:rsidRPr="008F4DAA" w:rsidRDefault="008F4DAA" w:rsidP="008F4DAA">
      <w:pPr>
        <w:pBdr>
          <w:top w:val="nil"/>
          <w:left w:val="nil"/>
          <w:bottom w:val="nil"/>
          <w:right w:val="nil"/>
          <w:between w:val="nil"/>
        </w:pBdr>
        <w:spacing w:after="0" w:line="360" w:lineRule="auto"/>
        <w:jc w:val="both"/>
        <w:rPr>
          <w:rFonts w:ascii="Arial" w:eastAsia="Calibri" w:hAnsi="Arial" w:cs="Arial"/>
          <w:color w:val="242121"/>
        </w:rPr>
      </w:pPr>
      <w:r w:rsidRPr="008F4DAA">
        <w:rPr>
          <w:rFonts w:ascii="Arial" w:eastAsia="Calibri" w:hAnsi="Arial" w:cs="Arial"/>
          <w:color w:val="242121"/>
        </w:rPr>
        <w:t>“There can be no doubt that every Court is entitled to protect itself and others agai</w:t>
      </w:r>
      <w:r w:rsidR="00F76C78">
        <w:rPr>
          <w:rFonts w:ascii="Arial" w:eastAsia="Calibri" w:hAnsi="Arial" w:cs="Arial"/>
          <w:color w:val="242121"/>
        </w:rPr>
        <w:t xml:space="preserve">nst an abuse of its processes. </w:t>
      </w:r>
      <w:r w:rsidRPr="008F4DAA">
        <w:rPr>
          <w:rFonts w:ascii="Arial" w:eastAsia="Calibri" w:hAnsi="Arial" w:cs="Arial"/>
          <w:color w:val="242121"/>
        </w:rPr>
        <w:t>Where it is satisfied that the issue of a subpoena in a particular case indeed constitutes an abuse it is quite entitled to set it as</w:t>
      </w:r>
      <w:r w:rsidR="00F76C78">
        <w:rPr>
          <w:rFonts w:ascii="Arial" w:eastAsia="Calibri" w:hAnsi="Arial" w:cs="Arial"/>
          <w:color w:val="242121"/>
        </w:rPr>
        <w:t xml:space="preserve">ide. </w:t>
      </w:r>
      <w:r w:rsidRPr="008F4DAA">
        <w:rPr>
          <w:rFonts w:ascii="Arial" w:eastAsia="Calibri" w:hAnsi="Arial" w:cs="Arial"/>
          <w:color w:val="242121"/>
        </w:rPr>
        <w:t>As was said by De Villiers JA in </w:t>
      </w:r>
      <w:r w:rsidRPr="008F4DAA">
        <w:rPr>
          <w:rFonts w:ascii="Arial" w:eastAsia="Calibri" w:hAnsi="Arial" w:cs="Arial"/>
          <w:i/>
          <w:iCs/>
          <w:color w:val="242121"/>
        </w:rPr>
        <w:t>Hudson v Hudson and Another </w:t>
      </w:r>
      <w:hyperlink r:id="rId9" w:tooltip="View LawCiteRecord" w:history="1">
        <w:r w:rsidRPr="008F4DAA">
          <w:rPr>
            <w:rFonts w:ascii="Arial" w:eastAsia="Calibri" w:hAnsi="Arial" w:cs="Arial"/>
            <w:bCs/>
            <w:color w:val="000000" w:themeColor="text1"/>
          </w:rPr>
          <w:t>1927 AD 259</w:t>
        </w:r>
      </w:hyperlink>
      <w:r w:rsidRPr="008F4DAA">
        <w:rPr>
          <w:rFonts w:ascii="Arial" w:eastAsia="Calibri" w:hAnsi="Arial" w:cs="Arial"/>
          <w:color w:val="242121"/>
        </w:rPr>
        <w:t xml:space="preserve"> at 268:</w:t>
      </w:r>
    </w:p>
    <w:p w14:paraId="24908051" w14:textId="77777777" w:rsidR="008F4DAA" w:rsidRPr="008F4DAA" w:rsidRDefault="008F4DAA" w:rsidP="008F4DAA">
      <w:pPr>
        <w:pBdr>
          <w:top w:val="nil"/>
          <w:left w:val="nil"/>
          <w:bottom w:val="nil"/>
          <w:right w:val="nil"/>
          <w:between w:val="nil"/>
        </w:pBdr>
        <w:spacing w:after="0" w:line="360" w:lineRule="auto"/>
        <w:jc w:val="both"/>
        <w:rPr>
          <w:rFonts w:ascii="Arial" w:eastAsia="Calibri" w:hAnsi="Arial" w:cs="Arial"/>
          <w:color w:val="242121"/>
        </w:rPr>
      </w:pPr>
      <w:r w:rsidRPr="008F4DAA">
        <w:rPr>
          <w:rFonts w:ascii="Arial" w:eastAsia="Calibri" w:hAnsi="Arial" w:cs="Arial"/>
          <w:color w:val="242121"/>
        </w:rPr>
        <w:t>“When . . . the Court finds an attempt made to use for ulterior purposes machinery devised for the better administration of justice, it is the duty of the Court to prevent such abuse.”</w:t>
      </w:r>
    </w:p>
    <w:p w14:paraId="56977300" w14:textId="1D63DF9F" w:rsidR="008F4DAA" w:rsidRPr="008F4DAA" w:rsidRDefault="008F4DAA" w:rsidP="008F4DAA">
      <w:pPr>
        <w:pBdr>
          <w:top w:val="nil"/>
          <w:left w:val="nil"/>
          <w:bottom w:val="nil"/>
          <w:right w:val="nil"/>
          <w:between w:val="nil"/>
        </w:pBdr>
        <w:spacing w:after="0" w:line="360" w:lineRule="auto"/>
        <w:jc w:val="both"/>
        <w:rPr>
          <w:rFonts w:ascii="Arial" w:eastAsia="Calibri" w:hAnsi="Arial" w:cs="Arial"/>
          <w:sz w:val="24"/>
          <w:szCs w:val="24"/>
        </w:rPr>
      </w:pPr>
      <w:r w:rsidRPr="008F4DAA">
        <w:rPr>
          <w:rFonts w:ascii="Arial" w:eastAsia="Calibri" w:hAnsi="Arial" w:cs="Arial"/>
          <w:color w:val="242121"/>
        </w:rPr>
        <w:t>What does constitute an abuse of the process of the Court is a matter which needs to be determined by t</w:t>
      </w:r>
      <w:r w:rsidR="00F76C78">
        <w:rPr>
          <w:rFonts w:ascii="Arial" w:eastAsia="Calibri" w:hAnsi="Arial" w:cs="Arial"/>
          <w:color w:val="242121"/>
        </w:rPr>
        <w:t xml:space="preserve">he circumstances of each case. </w:t>
      </w:r>
      <w:r w:rsidRPr="008F4DAA">
        <w:rPr>
          <w:rFonts w:ascii="Arial" w:eastAsia="Calibri" w:hAnsi="Arial" w:cs="Arial"/>
          <w:color w:val="242121"/>
        </w:rPr>
        <w:t>There can be no all-encompassing definition of the concept of “abuse of process”</w:t>
      </w:r>
      <w:r w:rsidR="00F76C78">
        <w:rPr>
          <w:rFonts w:ascii="Arial" w:eastAsia="Calibri" w:hAnsi="Arial" w:cs="Arial"/>
          <w:color w:val="242121"/>
        </w:rPr>
        <w:t xml:space="preserve">. </w:t>
      </w:r>
      <w:r w:rsidRPr="008F4DAA">
        <w:rPr>
          <w:rFonts w:ascii="Arial" w:eastAsia="Calibri" w:hAnsi="Arial" w:cs="Arial"/>
          <w:color w:val="242121"/>
        </w:rPr>
        <w:t>It can be said in general terms, however, that an abuse of process takes place where the procedures permitted by the Rules of the Court to facilitate the pursuit of the truth are used for a purpose extraneous to that objective.”’</w:t>
      </w:r>
    </w:p>
    <w:p w14:paraId="0B239D19" w14:textId="77777777" w:rsidR="008F4DAA" w:rsidRPr="008F4DAA" w:rsidRDefault="008F4DAA" w:rsidP="008F4DAA">
      <w:pPr>
        <w:pBdr>
          <w:top w:val="nil"/>
          <w:left w:val="nil"/>
          <w:bottom w:val="nil"/>
          <w:right w:val="nil"/>
          <w:between w:val="nil"/>
        </w:pBdr>
        <w:spacing w:after="0" w:line="360" w:lineRule="auto"/>
        <w:jc w:val="both"/>
        <w:rPr>
          <w:rFonts w:ascii="Arial" w:eastAsia="Calibri" w:hAnsi="Arial" w:cs="Arial"/>
          <w:sz w:val="24"/>
          <w:szCs w:val="24"/>
        </w:rPr>
      </w:pPr>
    </w:p>
    <w:p w14:paraId="704E703E" w14:textId="5685D149" w:rsidR="008F4DAA" w:rsidRPr="008F4DAA" w:rsidRDefault="00A90511" w:rsidP="00A90511">
      <w:pPr>
        <w:pBdr>
          <w:top w:val="nil"/>
          <w:left w:val="nil"/>
          <w:bottom w:val="nil"/>
          <w:right w:val="nil"/>
          <w:between w:val="nil"/>
        </w:pBdr>
        <w:spacing w:after="0" w:line="360" w:lineRule="auto"/>
        <w:jc w:val="both"/>
        <w:rPr>
          <w:rFonts w:ascii="Arial" w:eastAsia="Calibri" w:hAnsi="Arial" w:cs="Arial"/>
          <w:sz w:val="24"/>
          <w:szCs w:val="24"/>
        </w:rPr>
      </w:pPr>
      <w:r>
        <w:rPr>
          <w:rFonts w:ascii="Arial" w:eastAsia="Calibri" w:hAnsi="Arial" w:cs="Arial"/>
          <w:sz w:val="24"/>
          <w:szCs w:val="24"/>
        </w:rPr>
        <w:t>[52]</w:t>
      </w:r>
      <w:r>
        <w:rPr>
          <w:rFonts w:ascii="Arial" w:eastAsia="Calibri" w:hAnsi="Arial" w:cs="Arial"/>
          <w:sz w:val="24"/>
          <w:szCs w:val="24"/>
        </w:rPr>
        <w:tab/>
      </w:r>
      <w:r w:rsidR="008F4DAA" w:rsidRPr="008F4DAA">
        <w:rPr>
          <w:rFonts w:ascii="Arial" w:eastAsia="Calibri" w:hAnsi="Arial" w:cs="Arial"/>
          <w:sz w:val="24"/>
          <w:szCs w:val="24"/>
        </w:rPr>
        <w:t xml:space="preserve">Applying the above approach to the circumstances, that being the pending disputes before the Bargaining Council, despite the </w:t>
      </w:r>
      <w:r w:rsidR="008F4DAA" w:rsidRPr="008F4DAA">
        <w:rPr>
          <w:rFonts w:ascii="Arial" w:eastAsia="Arial" w:hAnsi="Arial" w:cs="Arial"/>
          <w:color w:val="000000"/>
          <w:sz w:val="24"/>
          <w:szCs w:val="24"/>
        </w:rPr>
        <w:t>inherent constitutional</w:t>
      </w:r>
      <w:r w:rsidR="008F4DAA" w:rsidRPr="008F4DAA">
        <w:rPr>
          <w:rFonts w:ascii="Arial" w:eastAsia="Calibri" w:hAnsi="Arial" w:cs="Arial"/>
          <w:sz w:val="24"/>
          <w:szCs w:val="24"/>
        </w:rPr>
        <w:t xml:space="preserve"> element present, in my view the high court application was fundamentally misdirected, unreasonable and inappropriate. Especially so, regard being had that </w:t>
      </w:r>
      <w:r w:rsidR="007D5B81" w:rsidRPr="00D02B6C">
        <w:rPr>
          <w:rFonts w:ascii="Arial" w:eastAsia="Calibri" w:hAnsi="Arial" w:cs="Arial"/>
          <w:sz w:val="24"/>
          <w:szCs w:val="24"/>
        </w:rPr>
        <w:t>the</w:t>
      </w:r>
      <w:r w:rsidR="007D5B81">
        <w:rPr>
          <w:rFonts w:ascii="Arial" w:eastAsia="Calibri" w:hAnsi="Arial" w:cs="Arial"/>
          <w:sz w:val="24"/>
          <w:szCs w:val="24"/>
        </w:rPr>
        <w:t xml:space="preserve"> </w:t>
      </w:r>
      <w:r w:rsidR="008F4DAA" w:rsidRPr="008F4DAA">
        <w:rPr>
          <w:rFonts w:ascii="Arial" w:eastAsia="Calibri" w:hAnsi="Arial" w:cs="Arial"/>
          <w:sz w:val="24"/>
          <w:szCs w:val="24"/>
        </w:rPr>
        <w:t xml:space="preserve">PSA was not even certain whether there was an agreement or not to enforce. </w:t>
      </w:r>
      <w:r w:rsidR="007D5B81" w:rsidRPr="00D02B6C">
        <w:rPr>
          <w:rFonts w:ascii="Arial" w:eastAsia="Calibri" w:hAnsi="Arial" w:cs="Arial"/>
          <w:sz w:val="24"/>
          <w:szCs w:val="24"/>
        </w:rPr>
        <w:t>The</w:t>
      </w:r>
      <w:r w:rsidR="007D5B81">
        <w:rPr>
          <w:rFonts w:ascii="Arial" w:eastAsia="Calibri" w:hAnsi="Arial" w:cs="Arial"/>
          <w:sz w:val="24"/>
          <w:szCs w:val="24"/>
        </w:rPr>
        <w:t xml:space="preserve"> </w:t>
      </w:r>
      <w:r w:rsidR="008F4DAA" w:rsidRPr="008F4DAA">
        <w:rPr>
          <w:rFonts w:ascii="Arial" w:eastAsia="Calibri" w:hAnsi="Arial" w:cs="Arial"/>
          <w:sz w:val="24"/>
          <w:szCs w:val="24"/>
        </w:rPr>
        <w:t xml:space="preserve">PSA’s </w:t>
      </w:r>
      <w:r w:rsidR="008F4DAA" w:rsidRPr="008F4DAA">
        <w:rPr>
          <w:rFonts w:ascii="Arial" w:eastAsia="Calibri" w:hAnsi="Arial" w:cs="Arial"/>
          <w:sz w:val="24"/>
          <w:szCs w:val="24"/>
        </w:rPr>
        <w:lastRenderedPageBreak/>
        <w:t xml:space="preserve">conduct clearly amounts to an abuse of court process and as such warrants an adverse </w:t>
      </w:r>
      <w:r w:rsidR="007D5B81" w:rsidRPr="00D02B6C">
        <w:rPr>
          <w:rFonts w:ascii="Arial" w:eastAsia="Calibri" w:hAnsi="Arial" w:cs="Arial"/>
          <w:sz w:val="24"/>
          <w:szCs w:val="24"/>
        </w:rPr>
        <w:t>costs</w:t>
      </w:r>
      <w:r w:rsidR="007D5B81">
        <w:rPr>
          <w:rFonts w:ascii="Arial" w:eastAsia="Calibri" w:hAnsi="Arial" w:cs="Arial"/>
          <w:sz w:val="24"/>
          <w:szCs w:val="24"/>
        </w:rPr>
        <w:t xml:space="preserve"> </w:t>
      </w:r>
      <w:r w:rsidR="008F4DAA" w:rsidRPr="008F4DAA">
        <w:rPr>
          <w:rFonts w:ascii="Arial" w:eastAsia="Calibri" w:hAnsi="Arial" w:cs="Arial"/>
          <w:sz w:val="24"/>
          <w:szCs w:val="24"/>
        </w:rPr>
        <w:t>order against them.</w:t>
      </w:r>
    </w:p>
    <w:p w14:paraId="0C34E227" w14:textId="77777777" w:rsidR="008F4DAA" w:rsidRPr="008F4DAA" w:rsidRDefault="008F4DAA" w:rsidP="008F4DAA">
      <w:pPr>
        <w:pBdr>
          <w:top w:val="nil"/>
          <w:left w:val="nil"/>
          <w:bottom w:val="nil"/>
          <w:right w:val="nil"/>
          <w:between w:val="nil"/>
        </w:pBdr>
        <w:spacing w:after="0" w:line="360" w:lineRule="auto"/>
        <w:jc w:val="both"/>
        <w:rPr>
          <w:rFonts w:ascii="Arial" w:eastAsia="Calibri" w:hAnsi="Arial" w:cs="Arial"/>
          <w:sz w:val="24"/>
          <w:szCs w:val="24"/>
        </w:rPr>
      </w:pPr>
    </w:p>
    <w:p w14:paraId="63D4ADBC" w14:textId="6651B215" w:rsidR="008F4DAA" w:rsidRDefault="00A90511" w:rsidP="00A90511">
      <w:pPr>
        <w:pBdr>
          <w:top w:val="nil"/>
          <w:left w:val="nil"/>
          <w:bottom w:val="nil"/>
          <w:right w:val="nil"/>
          <w:between w:val="nil"/>
        </w:pBdr>
        <w:spacing w:after="0" w:line="360" w:lineRule="auto"/>
        <w:jc w:val="both"/>
        <w:rPr>
          <w:rFonts w:ascii="Arial" w:eastAsia="Calibri" w:hAnsi="Arial" w:cs="Arial"/>
          <w:sz w:val="24"/>
          <w:szCs w:val="24"/>
        </w:rPr>
      </w:pPr>
      <w:r>
        <w:rPr>
          <w:rFonts w:ascii="Arial" w:eastAsia="Calibri" w:hAnsi="Arial" w:cs="Arial"/>
          <w:sz w:val="24"/>
          <w:szCs w:val="24"/>
        </w:rPr>
        <w:t>[53]</w:t>
      </w:r>
      <w:r>
        <w:rPr>
          <w:rFonts w:ascii="Arial" w:eastAsia="Calibri" w:hAnsi="Arial" w:cs="Arial"/>
          <w:sz w:val="24"/>
          <w:szCs w:val="24"/>
        </w:rPr>
        <w:tab/>
      </w:r>
      <w:r w:rsidR="008F4DAA" w:rsidRPr="008F4DAA">
        <w:rPr>
          <w:rFonts w:ascii="Arial" w:eastAsia="Calibri" w:hAnsi="Arial" w:cs="Arial"/>
          <w:sz w:val="24"/>
          <w:szCs w:val="24"/>
        </w:rPr>
        <w:t xml:space="preserve">It is for the reasons above that I disagree with the costs order of Molemela JA. However, I concur with the judgment of Molemela JA upholding the appeal and dismissing the application. As regards the costs, I would order </w:t>
      </w:r>
      <w:r w:rsidR="007D5B81" w:rsidRPr="00D02B6C">
        <w:rPr>
          <w:rFonts w:ascii="Arial" w:eastAsia="Calibri" w:hAnsi="Arial" w:cs="Arial"/>
          <w:sz w:val="24"/>
          <w:szCs w:val="24"/>
        </w:rPr>
        <w:t>the</w:t>
      </w:r>
      <w:r w:rsidR="007D5B81">
        <w:rPr>
          <w:rFonts w:ascii="Arial" w:eastAsia="Calibri" w:hAnsi="Arial" w:cs="Arial"/>
          <w:sz w:val="24"/>
          <w:szCs w:val="24"/>
        </w:rPr>
        <w:t xml:space="preserve"> </w:t>
      </w:r>
      <w:r w:rsidR="008F4DAA" w:rsidRPr="008F4DAA">
        <w:rPr>
          <w:rFonts w:ascii="Arial" w:eastAsia="Calibri" w:hAnsi="Arial" w:cs="Arial"/>
          <w:sz w:val="24"/>
          <w:szCs w:val="24"/>
        </w:rPr>
        <w:t>PSA to pay the cos</w:t>
      </w:r>
      <w:r w:rsidR="008F4DAA" w:rsidRPr="00D02B6C">
        <w:rPr>
          <w:rFonts w:ascii="Arial" w:eastAsia="Calibri" w:hAnsi="Arial" w:cs="Arial"/>
          <w:sz w:val="24"/>
          <w:szCs w:val="24"/>
        </w:rPr>
        <w:t>ts</w:t>
      </w:r>
      <w:r w:rsidR="007D5B81" w:rsidRPr="00D02B6C">
        <w:rPr>
          <w:rFonts w:ascii="Arial" w:eastAsia="Calibri" w:hAnsi="Arial" w:cs="Arial"/>
          <w:sz w:val="24"/>
          <w:szCs w:val="24"/>
        </w:rPr>
        <w:t>,</w:t>
      </w:r>
      <w:r w:rsidR="008F4DAA" w:rsidRPr="00D02B6C">
        <w:rPr>
          <w:rFonts w:ascii="Arial" w:eastAsia="Calibri" w:hAnsi="Arial" w:cs="Arial"/>
          <w:sz w:val="24"/>
          <w:szCs w:val="24"/>
        </w:rPr>
        <w:t xml:space="preserve"> su</w:t>
      </w:r>
      <w:r w:rsidR="008F4DAA" w:rsidRPr="008F4DAA">
        <w:rPr>
          <w:rFonts w:ascii="Arial" w:eastAsia="Calibri" w:hAnsi="Arial" w:cs="Arial"/>
          <w:sz w:val="24"/>
          <w:szCs w:val="24"/>
        </w:rPr>
        <w:t>ch costs to include the costs of two counsel where so employed.</w:t>
      </w:r>
    </w:p>
    <w:p w14:paraId="0AE5189F" w14:textId="6E056137" w:rsidR="008F4DAA" w:rsidRPr="008F4DAA" w:rsidRDefault="008F4DAA" w:rsidP="00F76C78">
      <w:pPr>
        <w:spacing w:after="200" w:line="276" w:lineRule="auto"/>
        <w:contextualSpacing/>
        <w:rPr>
          <w:rFonts w:ascii="Arial" w:eastAsia="Calibri" w:hAnsi="Arial" w:cs="Arial"/>
          <w:sz w:val="24"/>
          <w:szCs w:val="24"/>
          <w:lang w:val="en-GB"/>
        </w:rPr>
      </w:pPr>
    </w:p>
    <w:p w14:paraId="11EE35CD" w14:textId="441CA256" w:rsidR="008F4DAA" w:rsidRPr="008F4DAA" w:rsidRDefault="008F4DAA" w:rsidP="00F76C78">
      <w:pPr>
        <w:spacing w:after="200" w:line="276" w:lineRule="auto"/>
        <w:contextualSpacing/>
        <w:rPr>
          <w:rFonts w:ascii="Arial" w:eastAsia="Calibri" w:hAnsi="Arial" w:cs="Arial"/>
          <w:sz w:val="24"/>
          <w:szCs w:val="24"/>
          <w:lang w:val="en-GB"/>
        </w:rPr>
      </w:pPr>
    </w:p>
    <w:p w14:paraId="7A92A920" w14:textId="4EAE42DC" w:rsidR="008F4DAA" w:rsidRPr="008F4DAA" w:rsidRDefault="008F4DAA" w:rsidP="00D02B6C">
      <w:pPr>
        <w:spacing w:after="0" w:line="360" w:lineRule="auto"/>
        <w:contextualSpacing/>
        <w:jc w:val="right"/>
        <w:rPr>
          <w:rFonts w:ascii="Arial" w:hAnsi="Arial" w:cs="Arial"/>
          <w:sz w:val="24"/>
          <w:szCs w:val="24"/>
          <w:lang w:val="en-US"/>
        </w:rPr>
      </w:pPr>
      <w:r w:rsidRPr="008F4DAA">
        <w:rPr>
          <w:rFonts w:ascii="Arial" w:eastAsia="Calibri" w:hAnsi="Arial" w:cs="Arial"/>
          <w:sz w:val="24"/>
          <w:szCs w:val="24"/>
          <w:lang w:val="en-US"/>
        </w:rPr>
        <w:t>___________________</w:t>
      </w:r>
    </w:p>
    <w:p w14:paraId="676F1E8B" w14:textId="77777777" w:rsidR="008F4DAA" w:rsidRPr="008F4DAA" w:rsidRDefault="008F4DAA" w:rsidP="00D02B6C">
      <w:pPr>
        <w:spacing w:after="0" w:line="360" w:lineRule="auto"/>
        <w:contextualSpacing/>
        <w:jc w:val="right"/>
        <w:rPr>
          <w:rFonts w:ascii="Arial" w:eastAsia="Calibri" w:hAnsi="Arial" w:cs="Arial"/>
          <w:sz w:val="24"/>
          <w:szCs w:val="24"/>
          <w:lang w:val="en-US"/>
        </w:rPr>
      </w:pPr>
      <w:r w:rsidRPr="008F4DAA">
        <w:rPr>
          <w:rFonts w:ascii="Arial" w:eastAsia="Calibri" w:hAnsi="Arial" w:cs="Arial"/>
          <w:sz w:val="24"/>
          <w:szCs w:val="24"/>
          <w:lang w:val="en-US"/>
        </w:rPr>
        <w:t>W HUGHES</w:t>
      </w:r>
    </w:p>
    <w:p w14:paraId="7C4493FD" w14:textId="165E30E9" w:rsidR="008F4DAA" w:rsidRDefault="008F4DAA" w:rsidP="00D02B6C">
      <w:pPr>
        <w:spacing w:after="0" w:line="360" w:lineRule="auto"/>
        <w:jc w:val="right"/>
        <w:rPr>
          <w:rFonts w:ascii="Arial" w:eastAsia="Calibri" w:hAnsi="Arial" w:cs="Arial"/>
          <w:sz w:val="24"/>
          <w:szCs w:val="24"/>
          <w:lang w:val="en-US"/>
        </w:rPr>
      </w:pPr>
      <w:r w:rsidRPr="008F4DAA">
        <w:rPr>
          <w:rFonts w:ascii="Arial" w:eastAsia="Calibri" w:hAnsi="Arial" w:cs="Arial"/>
          <w:sz w:val="24"/>
          <w:szCs w:val="24"/>
          <w:lang w:val="en-US"/>
        </w:rPr>
        <w:t>JUDGE OF APPEAL</w:t>
      </w:r>
    </w:p>
    <w:bookmarkEnd w:id="1"/>
    <w:p w14:paraId="3D8A7C5F" w14:textId="77777777" w:rsidR="002F25D4" w:rsidRDefault="002F25D4" w:rsidP="00A90511">
      <w:pPr>
        <w:spacing w:after="120" w:line="360" w:lineRule="auto"/>
        <w:jc w:val="both"/>
        <w:rPr>
          <w:rFonts w:ascii="Arial" w:hAnsi="Arial" w:cs="Arial"/>
          <w:b/>
          <w:sz w:val="24"/>
          <w:szCs w:val="24"/>
        </w:rPr>
      </w:pPr>
    </w:p>
    <w:p w14:paraId="1A5A6CF2" w14:textId="26D1111E" w:rsidR="000C5BB5" w:rsidRPr="000C5BB5" w:rsidRDefault="004F2DFD" w:rsidP="00A90511">
      <w:pPr>
        <w:spacing w:after="120" w:line="360" w:lineRule="auto"/>
        <w:jc w:val="both"/>
        <w:rPr>
          <w:rFonts w:ascii="Arial" w:eastAsia="Calibri" w:hAnsi="Arial" w:cs="Arial"/>
          <w:b/>
          <w:sz w:val="24"/>
          <w:szCs w:val="24"/>
        </w:rPr>
      </w:pPr>
      <w:r w:rsidRPr="000139F9">
        <w:rPr>
          <w:rFonts w:ascii="Arial" w:hAnsi="Arial" w:cs="Arial"/>
          <w:b/>
          <w:sz w:val="24"/>
          <w:szCs w:val="24"/>
        </w:rPr>
        <w:t xml:space="preserve">Saldulker and Van der Merwe JJA </w:t>
      </w:r>
      <w:r w:rsidR="00DF33E2">
        <w:rPr>
          <w:rFonts w:ascii="Arial" w:hAnsi="Arial" w:cs="Arial"/>
          <w:b/>
          <w:sz w:val="24"/>
          <w:szCs w:val="24"/>
        </w:rPr>
        <w:t>(Mokgohloa JA concurring) (Majority judgment)</w:t>
      </w:r>
    </w:p>
    <w:p w14:paraId="1A12429A" w14:textId="025C3293" w:rsidR="000C5BB5" w:rsidRPr="000C5BB5" w:rsidRDefault="000C5BB5" w:rsidP="000C5BB5">
      <w:pPr>
        <w:spacing w:after="0" w:line="360" w:lineRule="auto"/>
        <w:jc w:val="both"/>
        <w:rPr>
          <w:rFonts w:ascii="Arial" w:eastAsia="Calibri" w:hAnsi="Arial" w:cs="Arial"/>
          <w:sz w:val="24"/>
          <w:szCs w:val="24"/>
        </w:rPr>
      </w:pPr>
      <w:r w:rsidRPr="000C5BB5">
        <w:rPr>
          <w:rFonts w:ascii="Arial" w:eastAsia="Calibri" w:hAnsi="Arial" w:cs="Arial"/>
          <w:sz w:val="24"/>
          <w:szCs w:val="24"/>
        </w:rPr>
        <w:t>[</w:t>
      </w:r>
      <w:r>
        <w:rPr>
          <w:rFonts w:ascii="Arial" w:eastAsia="Calibri" w:hAnsi="Arial" w:cs="Arial"/>
          <w:sz w:val="24"/>
          <w:szCs w:val="24"/>
        </w:rPr>
        <w:t>54</w:t>
      </w:r>
      <w:r w:rsidRPr="000C5BB5">
        <w:rPr>
          <w:rFonts w:ascii="Arial" w:eastAsia="Calibri" w:hAnsi="Arial" w:cs="Arial"/>
          <w:sz w:val="24"/>
          <w:szCs w:val="24"/>
        </w:rPr>
        <w:t>]</w:t>
      </w:r>
      <w:r w:rsidRPr="000C5BB5">
        <w:rPr>
          <w:rFonts w:ascii="Arial" w:eastAsia="Calibri" w:hAnsi="Arial" w:cs="Arial"/>
          <w:sz w:val="24"/>
          <w:szCs w:val="24"/>
        </w:rPr>
        <w:tab/>
        <w:t>We have had the benefit of reading the judgme</w:t>
      </w:r>
      <w:r w:rsidRPr="00C2422B">
        <w:rPr>
          <w:rFonts w:ascii="Arial" w:eastAsia="Calibri" w:hAnsi="Arial" w:cs="Arial"/>
          <w:sz w:val="24"/>
          <w:szCs w:val="24"/>
        </w:rPr>
        <w:t>nt</w:t>
      </w:r>
      <w:r w:rsidRPr="000C5BB5">
        <w:rPr>
          <w:rFonts w:ascii="Arial" w:eastAsia="Calibri" w:hAnsi="Arial" w:cs="Arial"/>
          <w:sz w:val="24"/>
          <w:szCs w:val="24"/>
        </w:rPr>
        <w:t xml:space="preserve"> of our Sister</w:t>
      </w:r>
      <w:r w:rsidRPr="00C2422B">
        <w:rPr>
          <w:rFonts w:ascii="Arial" w:eastAsia="Calibri" w:hAnsi="Arial" w:cs="Arial"/>
          <w:sz w:val="24"/>
          <w:szCs w:val="24"/>
        </w:rPr>
        <w:t>,</w:t>
      </w:r>
      <w:r w:rsidRPr="000C5BB5">
        <w:rPr>
          <w:rFonts w:ascii="Arial" w:eastAsia="Calibri" w:hAnsi="Arial" w:cs="Arial"/>
          <w:sz w:val="24"/>
          <w:szCs w:val="24"/>
        </w:rPr>
        <w:t xml:space="preserve"> Molemela JA. We respectfully disagree with the finding that the high court had jurisdiction to entertain the matter. For the reasons that follow, we are of the view that the high court should have struck the matter from its roll for want of jurisdiction. We adopt the nomenclature used by our Colleague</w:t>
      </w:r>
      <w:r w:rsidRPr="00C2422B">
        <w:rPr>
          <w:rFonts w:ascii="Arial" w:eastAsia="Calibri" w:hAnsi="Arial" w:cs="Arial"/>
          <w:sz w:val="24"/>
          <w:szCs w:val="24"/>
        </w:rPr>
        <w:t>.</w:t>
      </w:r>
      <w:r w:rsidRPr="000C5BB5">
        <w:rPr>
          <w:rFonts w:ascii="Arial" w:eastAsia="Calibri" w:hAnsi="Arial" w:cs="Arial"/>
          <w:sz w:val="24"/>
          <w:szCs w:val="24"/>
        </w:rPr>
        <w:t xml:space="preserve"> We do not regard it necessary to repeat the facts of the matter and refer only to those facts that are necessary for a proper understanding of this judgment. </w:t>
      </w:r>
    </w:p>
    <w:p w14:paraId="4991DABF" w14:textId="77777777" w:rsidR="000C5BB5" w:rsidRPr="002F25D4" w:rsidRDefault="000C5BB5" w:rsidP="000C5BB5">
      <w:pPr>
        <w:spacing w:after="0" w:line="360" w:lineRule="auto"/>
        <w:jc w:val="both"/>
        <w:rPr>
          <w:rFonts w:ascii="Arial" w:eastAsia="Calibri" w:hAnsi="Arial" w:cs="Arial"/>
        </w:rPr>
      </w:pPr>
    </w:p>
    <w:p w14:paraId="7B81B231" w14:textId="73CEFC87" w:rsidR="000C5BB5" w:rsidRPr="000C5BB5" w:rsidRDefault="000C5BB5" w:rsidP="000C5BB5">
      <w:pPr>
        <w:spacing w:after="0" w:line="360" w:lineRule="auto"/>
        <w:contextualSpacing/>
        <w:jc w:val="both"/>
        <w:rPr>
          <w:rFonts w:ascii="Arial" w:eastAsia="Times New Roman" w:hAnsi="Arial" w:cs="Arial"/>
          <w:bCs/>
          <w:sz w:val="24"/>
          <w:szCs w:val="24"/>
        </w:rPr>
      </w:pPr>
      <w:r w:rsidRPr="000C5BB5">
        <w:rPr>
          <w:rFonts w:ascii="Arial" w:eastAsia="Times New Roman" w:hAnsi="Arial" w:cs="Arial"/>
          <w:sz w:val="24"/>
          <w:szCs w:val="24"/>
        </w:rPr>
        <w:t>[</w:t>
      </w:r>
      <w:r>
        <w:rPr>
          <w:rFonts w:ascii="Arial" w:eastAsia="Times New Roman" w:hAnsi="Arial" w:cs="Arial"/>
          <w:sz w:val="24"/>
          <w:szCs w:val="24"/>
        </w:rPr>
        <w:t>55</w:t>
      </w:r>
      <w:r w:rsidRPr="000C5BB5">
        <w:rPr>
          <w:rFonts w:ascii="Arial" w:eastAsia="Times New Roman" w:hAnsi="Arial" w:cs="Arial"/>
          <w:sz w:val="24"/>
          <w:szCs w:val="24"/>
        </w:rPr>
        <w:t>]</w:t>
      </w:r>
      <w:r w:rsidRPr="000C5BB5">
        <w:rPr>
          <w:rFonts w:ascii="Arial" w:eastAsia="Times New Roman" w:hAnsi="Arial" w:cs="Arial"/>
          <w:sz w:val="24"/>
          <w:szCs w:val="24"/>
        </w:rPr>
        <w:tab/>
        <w:t xml:space="preserve">In </w:t>
      </w:r>
      <w:r w:rsidRPr="000C5BB5">
        <w:rPr>
          <w:rFonts w:ascii="Arial" w:eastAsia="Times New Roman" w:hAnsi="Arial" w:cs="Arial"/>
          <w:i/>
          <w:sz w:val="24"/>
          <w:szCs w:val="24"/>
          <w:lang w:val="en-US"/>
        </w:rPr>
        <w:t xml:space="preserve">Chirwa v Transnet Limited and Others </w:t>
      </w:r>
      <w:r w:rsidRPr="000C5BB5">
        <w:rPr>
          <w:rFonts w:ascii="Arial" w:eastAsia="Times New Roman" w:hAnsi="Arial" w:cs="Arial"/>
          <w:sz w:val="24"/>
          <w:szCs w:val="24"/>
          <w:lang w:val="en-US"/>
        </w:rPr>
        <w:t xml:space="preserve">[2007] ZACC 23; 2008 (4) SA 367 </w:t>
      </w:r>
      <w:r w:rsidRPr="00C2422B">
        <w:rPr>
          <w:rFonts w:ascii="Arial" w:eastAsia="Times New Roman" w:hAnsi="Arial" w:cs="Arial"/>
          <w:sz w:val="24"/>
          <w:szCs w:val="24"/>
          <w:lang w:val="en-US"/>
        </w:rPr>
        <w:t>(CC)</w:t>
      </w:r>
      <w:r w:rsidRPr="000C5BB5">
        <w:rPr>
          <w:rFonts w:ascii="Arial" w:eastAsia="Times New Roman" w:hAnsi="Arial" w:cs="Arial"/>
          <w:sz w:val="24"/>
          <w:szCs w:val="24"/>
          <w:lang w:val="en-US"/>
        </w:rPr>
        <w:t xml:space="preserve">; 2008 (3) BCLR 251 (CC), </w:t>
      </w:r>
      <w:r w:rsidRPr="000C5BB5">
        <w:rPr>
          <w:rFonts w:ascii="Arial" w:eastAsia="Times New Roman" w:hAnsi="Arial" w:cs="Arial"/>
          <w:sz w:val="24"/>
          <w:szCs w:val="24"/>
        </w:rPr>
        <w:t>the Constitutional Court explained that the Labour Court and other tribunals created under the LRA are uniquely qualified to handle labour-related disputes. At para 47 it said:</w:t>
      </w:r>
    </w:p>
    <w:p w14:paraId="399DF5B7" w14:textId="77777777" w:rsidR="000C5BB5" w:rsidRPr="000C5BB5" w:rsidRDefault="000C5BB5" w:rsidP="000C5BB5">
      <w:pPr>
        <w:spacing w:after="0" w:line="360" w:lineRule="auto"/>
        <w:contextualSpacing/>
        <w:jc w:val="both"/>
        <w:rPr>
          <w:rFonts w:ascii="Arial" w:eastAsia="Calibri" w:hAnsi="Arial" w:cs="Arial"/>
        </w:rPr>
      </w:pPr>
      <w:r w:rsidRPr="000C5BB5">
        <w:rPr>
          <w:rFonts w:ascii="Arial" w:eastAsia="Calibri" w:hAnsi="Arial" w:cs="Arial"/>
        </w:rPr>
        <w:t>‘. . . The purpose of labour law as embodied in the LRA is to provide a comprehensive system of dispute resolution mechanisms, forums and remedies that are tailored to deal with all aspects of employment. It was envisaged as a one-stop shop for all labour-related disputes. The LRA provides for matters such as discrimination in the workplace as well as procedural fairness; with the view that even if a labour dispute implicates other rights, a litigant will be able to approach the LRA structures to resolve the disputes.’</w:t>
      </w:r>
    </w:p>
    <w:p w14:paraId="7BE84751" w14:textId="77777777" w:rsidR="000C5BB5" w:rsidRPr="000C5BB5" w:rsidRDefault="000C5BB5" w:rsidP="000C5BB5">
      <w:pPr>
        <w:spacing w:after="0" w:line="360" w:lineRule="auto"/>
        <w:jc w:val="both"/>
        <w:rPr>
          <w:rFonts w:ascii="Arial" w:eastAsia="Calibri" w:hAnsi="Arial" w:cs="Arial"/>
          <w:sz w:val="24"/>
          <w:szCs w:val="24"/>
        </w:rPr>
      </w:pPr>
    </w:p>
    <w:p w14:paraId="1904E677" w14:textId="2469B9CB" w:rsidR="000C5BB5" w:rsidRPr="000C5BB5" w:rsidRDefault="000C5BB5" w:rsidP="000C5BB5">
      <w:pPr>
        <w:spacing w:after="0" w:line="360" w:lineRule="auto"/>
        <w:contextualSpacing/>
        <w:jc w:val="both"/>
        <w:rPr>
          <w:rFonts w:ascii="Arial" w:eastAsia="Times New Roman" w:hAnsi="Arial" w:cs="Arial"/>
          <w:sz w:val="24"/>
          <w:szCs w:val="24"/>
        </w:rPr>
      </w:pPr>
      <w:r w:rsidRPr="000C5BB5">
        <w:rPr>
          <w:rFonts w:ascii="Arial" w:eastAsia="Times New Roman" w:hAnsi="Arial" w:cs="Arial"/>
          <w:sz w:val="24"/>
          <w:szCs w:val="24"/>
        </w:rPr>
        <w:t>[</w:t>
      </w:r>
      <w:r>
        <w:rPr>
          <w:rFonts w:ascii="Arial" w:eastAsia="Times New Roman" w:hAnsi="Arial" w:cs="Arial"/>
          <w:sz w:val="24"/>
          <w:szCs w:val="24"/>
        </w:rPr>
        <w:t>56</w:t>
      </w:r>
      <w:r w:rsidRPr="000C5BB5">
        <w:rPr>
          <w:rFonts w:ascii="Arial" w:eastAsia="Times New Roman" w:hAnsi="Arial" w:cs="Arial"/>
          <w:sz w:val="24"/>
          <w:szCs w:val="24"/>
        </w:rPr>
        <w:t>]</w:t>
      </w:r>
      <w:r w:rsidRPr="000C5BB5">
        <w:rPr>
          <w:rFonts w:ascii="Arial" w:eastAsia="Times New Roman" w:hAnsi="Arial" w:cs="Arial"/>
          <w:sz w:val="24"/>
          <w:szCs w:val="24"/>
        </w:rPr>
        <w:tab/>
        <w:t xml:space="preserve">This does not mean, of course, that no employment-related claim is justiciable in the high court. Section 157 of the Labour Relations Act 66 of 1995 (LRA) provides: </w:t>
      </w:r>
    </w:p>
    <w:p w14:paraId="6C0A1667" w14:textId="77777777" w:rsidR="000C5BB5" w:rsidRPr="004D2C55" w:rsidRDefault="000C5BB5" w:rsidP="000C5BB5">
      <w:pPr>
        <w:spacing w:after="0" w:line="360" w:lineRule="auto"/>
        <w:contextualSpacing/>
        <w:jc w:val="both"/>
        <w:rPr>
          <w:rFonts w:ascii="Arial" w:eastAsia="Times New Roman" w:hAnsi="Arial" w:cs="Arial"/>
        </w:rPr>
      </w:pPr>
      <w:r w:rsidRPr="00C2422B">
        <w:rPr>
          <w:rFonts w:ascii="Arial" w:eastAsia="Times New Roman" w:hAnsi="Arial" w:cs="Arial"/>
        </w:rPr>
        <w:t>‘</w:t>
      </w:r>
      <w:r w:rsidRPr="00C2422B">
        <w:rPr>
          <w:rFonts w:ascii="Arial" w:eastAsia="Times New Roman" w:hAnsi="Arial" w:cs="Arial"/>
          <w:b/>
        </w:rPr>
        <w:t>157. Jurisdiction of Labour Court</w:t>
      </w:r>
    </w:p>
    <w:p w14:paraId="5A0A6FF1" w14:textId="77777777" w:rsidR="000C5BB5" w:rsidRPr="000C5BB5" w:rsidRDefault="000C5BB5" w:rsidP="000C5BB5">
      <w:pPr>
        <w:spacing w:after="0" w:line="360" w:lineRule="auto"/>
        <w:contextualSpacing/>
        <w:jc w:val="both"/>
        <w:rPr>
          <w:rFonts w:ascii="Arial" w:eastAsia="Times New Roman" w:hAnsi="Arial" w:cs="Arial"/>
        </w:rPr>
      </w:pPr>
      <w:r w:rsidRPr="000C5BB5">
        <w:rPr>
          <w:rFonts w:ascii="Arial" w:eastAsia="Times New Roman" w:hAnsi="Arial" w:cs="Arial"/>
        </w:rPr>
        <w:t>(1)</w:t>
      </w:r>
      <w:r w:rsidRPr="000C5BB5">
        <w:rPr>
          <w:rFonts w:ascii="Arial" w:eastAsia="Times New Roman" w:hAnsi="Arial" w:cs="Arial"/>
        </w:rPr>
        <w:tab/>
        <w:t xml:space="preserve">Subject to the Constitution and section 173, and except where this Act provides otherwise, the Labour Court has exclusive jurisdiction in respect of all matters that elsewhere in terms of this Act or in terms of any other law are to be determined by the Labour Court. </w:t>
      </w:r>
    </w:p>
    <w:p w14:paraId="5D755A93" w14:textId="77777777" w:rsidR="000C5BB5" w:rsidRPr="000C5BB5" w:rsidRDefault="000C5BB5" w:rsidP="000C5BB5">
      <w:pPr>
        <w:spacing w:after="0" w:line="360" w:lineRule="auto"/>
        <w:contextualSpacing/>
        <w:jc w:val="both"/>
        <w:rPr>
          <w:rFonts w:ascii="Arial" w:eastAsia="Times New Roman" w:hAnsi="Arial" w:cs="Arial"/>
        </w:rPr>
      </w:pPr>
      <w:r w:rsidRPr="000C5BB5">
        <w:rPr>
          <w:rFonts w:ascii="Arial" w:eastAsia="Times New Roman" w:hAnsi="Arial" w:cs="Arial"/>
        </w:rPr>
        <w:t>(2)</w:t>
      </w:r>
      <w:r w:rsidRPr="000C5BB5">
        <w:rPr>
          <w:rFonts w:ascii="Arial" w:eastAsia="Times New Roman" w:hAnsi="Arial" w:cs="Arial"/>
          <w:i/>
        </w:rPr>
        <w:tab/>
      </w:r>
      <w:r w:rsidRPr="000C5BB5">
        <w:rPr>
          <w:rFonts w:ascii="Arial" w:eastAsia="Times New Roman" w:hAnsi="Arial" w:cs="Arial"/>
        </w:rPr>
        <w:t xml:space="preserve">The Labour Court has concurrent jurisdiction with the High Court in respect of any alleged or threatened violation of any fundamental right entrenched in Chapter 2 of the Constitution of the Republic of South Africa, 1996, and arising from - </w:t>
      </w:r>
    </w:p>
    <w:p w14:paraId="7A209410" w14:textId="77777777" w:rsidR="000C5BB5" w:rsidRPr="000C5BB5" w:rsidRDefault="000C5BB5" w:rsidP="000C5BB5">
      <w:pPr>
        <w:spacing w:after="0" w:line="360" w:lineRule="auto"/>
        <w:contextualSpacing/>
        <w:jc w:val="both"/>
        <w:rPr>
          <w:rFonts w:ascii="Arial" w:eastAsia="Times New Roman" w:hAnsi="Arial" w:cs="Arial"/>
        </w:rPr>
      </w:pPr>
      <w:r w:rsidRPr="000C5BB5">
        <w:rPr>
          <w:rFonts w:ascii="Arial" w:eastAsia="Times New Roman" w:hAnsi="Arial" w:cs="Arial"/>
          <w:i/>
        </w:rPr>
        <w:t>(a)</w:t>
      </w:r>
      <w:r w:rsidRPr="000C5BB5">
        <w:rPr>
          <w:rFonts w:ascii="Arial" w:eastAsia="Times New Roman" w:hAnsi="Arial" w:cs="Arial"/>
          <w:i/>
        </w:rPr>
        <w:tab/>
      </w:r>
      <w:r w:rsidRPr="000C5BB5">
        <w:rPr>
          <w:rFonts w:ascii="Arial" w:eastAsia="Times New Roman" w:hAnsi="Arial" w:cs="Arial"/>
        </w:rPr>
        <w:t>employment and from labour relations.</w:t>
      </w:r>
    </w:p>
    <w:p w14:paraId="4EDD21C6" w14:textId="77777777" w:rsidR="000C5BB5" w:rsidRPr="000C5BB5" w:rsidRDefault="000C5BB5" w:rsidP="000C5BB5">
      <w:pPr>
        <w:spacing w:after="0" w:line="360" w:lineRule="auto"/>
        <w:contextualSpacing/>
        <w:jc w:val="both"/>
        <w:rPr>
          <w:rFonts w:ascii="Arial" w:eastAsia="Times New Roman" w:hAnsi="Arial" w:cs="Arial"/>
        </w:rPr>
      </w:pPr>
      <w:r w:rsidRPr="000C5BB5">
        <w:rPr>
          <w:rFonts w:ascii="Arial" w:eastAsia="Times New Roman" w:hAnsi="Arial" w:cs="Arial"/>
        </w:rPr>
        <w:t>. . . .’</w:t>
      </w:r>
    </w:p>
    <w:p w14:paraId="14657B6E" w14:textId="77777777" w:rsidR="000C5BB5" w:rsidRPr="002F25D4" w:rsidRDefault="000C5BB5" w:rsidP="000C5BB5">
      <w:pPr>
        <w:spacing w:after="0" w:line="360" w:lineRule="auto"/>
        <w:contextualSpacing/>
        <w:jc w:val="both"/>
        <w:rPr>
          <w:rFonts w:ascii="Arial" w:eastAsia="Times New Roman" w:hAnsi="Arial" w:cs="Arial"/>
        </w:rPr>
      </w:pPr>
    </w:p>
    <w:p w14:paraId="143CDDEA" w14:textId="70C57ABC" w:rsidR="000C5BB5" w:rsidRPr="000C5BB5" w:rsidRDefault="000C5BB5" w:rsidP="000C5BB5">
      <w:pPr>
        <w:spacing w:after="0" w:line="360" w:lineRule="auto"/>
        <w:contextualSpacing/>
        <w:jc w:val="both"/>
        <w:rPr>
          <w:rFonts w:ascii="Arial" w:eastAsia="Times New Roman" w:hAnsi="Arial" w:cs="Arial"/>
          <w:sz w:val="24"/>
          <w:szCs w:val="24"/>
        </w:rPr>
      </w:pPr>
      <w:r w:rsidRPr="000C5BB5">
        <w:rPr>
          <w:rFonts w:ascii="Arial" w:eastAsia="Times New Roman" w:hAnsi="Arial" w:cs="Arial"/>
          <w:sz w:val="24"/>
          <w:szCs w:val="24"/>
        </w:rPr>
        <w:t>[</w:t>
      </w:r>
      <w:r>
        <w:rPr>
          <w:rFonts w:ascii="Arial" w:eastAsia="Times New Roman" w:hAnsi="Arial" w:cs="Arial"/>
          <w:sz w:val="24"/>
          <w:szCs w:val="24"/>
        </w:rPr>
        <w:t>57</w:t>
      </w:r>
      <w:r w:rsidRPr="000C5BB5">
        <w:rPr>
          <w:rFonts w:ascii="Arial" w:eastAsia="Times New Roman" w:hAnsi="Arial" w:cs="Arial"/>
          <w:sz w:val="24"/>
          <w:szCs w:val="24"/>
        </w:rPr>
        <w:t>]</w:t>
      </w:r>
      <w:r w:rsidRPr="000C5BB5">
        <w:rPr>
          <w:rFonts w:ascii="Arial" w:eastAsia="Times New Roman" w:hAnsi="Arial" w:cs="Arial"/>
          <w:sz w:val="24"/>
          <w:szCs w:val="24"/>
        </w:rPr>
        <w:tab/>
        <w:t>The relevant sections of the Basic Conditions of Employment Act 75 of 1997 (BCEA) provide as follows:</w:t>
      </w:r>
    </w:p>
    <w:p w14:paraId="7E1A2143" w14:textId="77777777" w:rsidR="000C5BB5" w:rsidRPr="000C5BB5" w:rsidRDefault="000C5BB5" w:rsidP="000C5BB5">
      <w:pPr>
        <w:spacing w:after="0" w:line="360" w:lineRule="auto"/>
        <w:contextualSpacing/>
        <w:jc w:val="both"/>
        <w:rPr>
          <w:rFonts w:ascii="Arial" w:eastAsia="Times New Roman" w:hAnsi="Arial" w:cs="Arial"/>
        </w:rPr>
      </w:pPr>
      <w:r w:rsidRPr="000C5BB5">
        <w:rPr>
          <w:rFonts w:ascii="Arial" w:eastAsia="Times New Roman" w:hAnsi="Arial" w:cs="Arial"/>
        </w:rPr>
        <w:t>‘77(1)</w:t>
      </w:r>
      <w:r w:rsidRPr="000C5BB5">
        <w:rPr>
          <w:rFonts w:ascii="Arial" w:eastAsia="Times New Roman" w:hAnsi="Arial" w:cs="Arial"/>
        </w:rPr>
        <w:tab/>
        <w:t xml:space="preserve">Subject to the Constitution and the jurisdiction of the Labour Appeal Court, and except where this Act provides otherwise, the Labour Court has exclusive jurisdiction in respect of all matters in terms of this Act. </w:t>
      </w:r>
    </w:p>
    <w:p w14:paraId="4B7AFD94" w14:textId="77777777" w:rsidR="000C5BB5" w:rsidRPr="000C5BB5" w:rsidRDefault="000C5BB5" w:rsidP="000C5BB5">
      <w:pPr>
        <w:spacing w:after="0" w:line="360" w:lineRule="auto"/>
        <w:contextualSpacing/>
        <w:jc w:val="both"/>
        <w:rPr>
          <w:rFonts w:ascii="Arial" w:eastAsia="Times New Roman" w:hAnsi="Arial" w:cs="Arial"/>
        </w:rPr>
      </w:pPr>
      <w:r w:rsidRPr="000C5BB5">
        <w:rPr>
          <w:rFonts w:ascii="Arial" w:eastAsia="Times New Roman" w:hAnsi="Arial" w:cs="Arial"/>
        </w:rPr>
        <w:t>. . .</w:t>
      </w:r>
    </w:p>
    <w:p w14:paraId="485EE285" w14:textId="77777777" w:rsidR="000C5BB5" w:rsidRPr="000C5BB5" w:rsidRDefault="000C5BB5" w:rsidP="000C5BB5">
      <w:pPr>
        <w:spacing w:after="0" w:line="360" w:lineRule="auto"/>
        <w:contextualSpacing/>
        <w:jc w:val="both"/>
        <w:rPr>
          <w:rFonts w:ascii="Arial" w:eastAsia="Times New Roman" w:hAnsi="Arial" w:cs="Arial"/>
        </w:rPr>
      </w:pPr>
      <w:r w:rsidRPr="000C5BB5">
        <w:rPr>
          <w:rFonts w:ascii="Arial" w:eastAsia="Times New Roman" w:hAnsi="Arial" w:cs="Arial"/>
        </w:rPr>
        <w:t>77(3)</w:t>
      </w:r>
      <w:r w:rsidRPr="000C5BB5">
        <w:rPr>
          <w:rFonts w:ascii="Arial" w:eastAsia="Times New Roman" w:hAnsi="Arial" w:cs="Arial"/>
        </w:rPr>
        <w:tab/>
        <w:t xml:space="preserve">The Labour Court has concurrent jurisdiction with the civil courts to hear and determine any matter concerning a contract of employment, irrespective of whether any basic condition of employment constitutes a term of that contract.’ </w:t>
      </w:r>
    </w:p>
    <w:p w14:paraId="7B24D44A" w14:textId="77777777" w:rsidR="000C5BB5" w:rsidRPr="000C5BB5" w:rsidRDefault="000C5BB5" w:rsidP="000C5BB5">
      <w:pPr>
        <w:spacing w:after="0" w:line="360" w:lineRule="auto"/>
        <w:contextualSpacing/>
        <w:jc w:val="both"/>
        <w:rPr>
          <w:rFonts w:ascii="Arial" w:eastAsia="Times New Roman" w:hAnsi="Arial" w:cs="Arial"/>
        </w:rPr>
      </w:pPr>
    </w:p>
    <w:p w14:paraId="4EF12221" w14:textId="610AF91A" w:rsidR="000C5BB5" w:rsidRPr="000C5BB5" w:rsidRDefault="000C5BB5" w:rsidP="000C5BB5">
      <w:pPr>
        <w:spacing w:after="0" w:line="360" w:lineRule="auto"/>
        <w:contextualSpacing/>
        <w:jc w:val="both"/>
        <w:rPr>
          <w:rFonts w:ascii="Arial" w:eastAsia="Times New Roman" w:hAnsi="Arial" w:cs="Arial"/>
          <w:bCs/>
          <w:sz w:val="24"/>
          <w:szCs w:val="24"/>
        </w:rPr>
      </w:pPr>
      <w:r w:rsidRPr="000C5BB5">
        <w:rPr>
          <w:rFonts w:ascii="Arial" w:eastAsia="Times New Roman" w:hAnsi="Arial" w:cs="Arial"/>
          <w:sz w:val="24"/>
          <w:szCs w:val="24"/>
        </w:rPr>
        <w:t>[</w:t>
      </w:r>
      <w:r>
        <w:rPr>
          <w:rFonts w:ascii="Arial" w:eastAsia="Times New Roman" w:hAnsi="Arial" w:cs="Arial"/>
          <w:sz w:val="24"/>
          <w:szCs w:val="24"/>
        </w:rPr>
        <w:t>58</w:t>
      </w:r>
      <w:r w:rsidRPr="000C5BB5">
        <w:rPr>
          <w:rFonts w:ascii="Arial" w:eastAsia="Times New Roman" w:hAnsi="Arial" w:cs="Arial"/>
          <w:sz w:val="24"/>
          <w:szCs w:val="24"/>
        </w:rPr>
        <w:t>]</w:t>
      </w:r>
      <w:r w:rsidRPr="000C5BB5">
        <w:rPr>
          <w:rFonts w:ascii="Arial" w:eastAsia="Times New Roman" w:hAnsi="Arial" w:cs="Arial"/>
          <w:sz w:val="24"/>
          <w:szCs w:val="24"/>
        </w:rPr>
        <w:tab/>
        <w:t xml:space="preserve">In </w:t>
      </w:r>
      <w:r w:rsidRPr="000C5BB5">
        <w:rPr>
          <w:rFonts w:ascii="Arial" w:eastAsia="Times New Roman" w:hAnsi="Arial" w:cs="Arial"/>
          <w:i/>
          <w:sz w:val="24"/>
          <w:szCs w:val="24"/>
        </w:rPr>
        <w:t>Gcaba v Minister of Safety and Security</w:t>
      </w:r>
      <w:r w:rsidRPr="000C5BB5">
        <w:rPr>
          <w:rFonts w:ascii="Arial" w:eastAsia="Times New Roman" w:hAnsi="Arial" w:cs="Arial"/>
          <w:sz w:val="24"/>
          <w:szCs w:val="24"/>
        </w:rPr>
        <w:t xml:space="preserve"> [2009] ZACC 26; 2010 (1) SA 238 </w:t>
      </w:r>
      <w:r w:rsidRPr="00C2422B">
        <w:rPr>
          <w:rFonts w:ascii="Arial" w:eastAsia="Times New Roman" w:hAnsi="Arial" w:cs="Arial"/>
          <w:sz w:val="24"/>
          <w:szCs w:val="24"/>
        </w:rPr>
        <w:t>(CC)</w:t>
      </w:r>
      <w:r w:rsidRPr="000C5BB5">
        <w:rPr>
          <w:rFonts w:ascii="Arial" w:eastAsia="Times New Roman" w:hAnsi="Arial" w:cs="Arial"/>
          <w:sz w:val="24"/>
          <w:szCs w:val="24"/>
        </w:rPr>
        <w:t xml:space="preserve">; 2010 (1) BCLR 35 (CC), the Constitutional Court made it clear that an assessment of jurisdiction must be based on an applicant’s pleadings. At para 75, the following was said: </w:t>
      </w:r>
    </w:p>
    <w:p w14:paraId="13B72096" w14:textId="77777777" w:rsidR="000C5BB5" w:rsidRPr="000C5BB5" w:rsidRDefault="000C5BB5" w:rsidP="000C5BB5">
      <w:pPr>
        <w:spacing w:after="0" w:line="360" w:lineRule="auto"/>
        <w:contextualSpacing/>
        <w:jc w:val="both"/>
        <w:rPr>
          <w:rFonts w:ascii="Arial" w:eastAsia="Calibri" w:hAnsi="Arial" w:cs="Arial"/>
        </w:rPr>
      </w:pPr>
      <w:r w:rsidRPr="000C5BB5">
        <w:rPr>
          <w:rFonts w:ascii="Arial" w:eastAsia="Calibri" w:hAnsi="Arial" w:cs="Arial"/>
        </w:rPr>
        <w:t xml:space="preserve">‘. . . In the event of the Court’s jurisdiction being challenged . . . the applicant’s pleadings are the determining factor. They contain the legal basis of the claim under which the applicant seeks to invoke the court’s competence. While the pleadings – including in motion proceedings, not only the formal terminology of the notice of motion, but also the contents of the supporting affidavits – must be interpreted to establish what the legal basis of the applicant’s claim is, it is not for the court to say that the facts asserted by the applicant would also sustain another claim, cognisable only in another court. If however the pleadings, properly interpreted, establish that the applicant is asserting a claim under the LRA, one that is to be determined exclusively by the Labour Court, the High Court would lack jurisdiction. . . .’ </w:t>
      </w:r>
    </w:p>
    <w:p w14:paraId="7369D0BD" w14:textId="77777777" w:rsidR="000C5BB5" w:rsidRPr="000C5BB5" w:rsidRDefault="000C5BB5" w:rsidP="000C5BB5">
      <w:pPr>
        <w:spacing w:after="0" w:line="360" w:lineRule="auto"/>
        <w:contextualSpacing/>
        <w:jc w:val="both"/>
        <w:rPr>
          <w:rFonts w:ascii="Arial" w:eastAsia="Calibri" w:hAnsi="Arial" w:cs="Arial"/>
        </w:rPr>
      </w:pPr>
    </w:p>
    <w:p w14:paraId="3D79CFFB" w14:textId="59244FD4" w:rsidR="000C5BB5" w:rsidRPr="000C5BB5" w:rsidRDefault="000C5BB5" w:rsidP="000C5BB5">
      <w:pPr>
        <w:spacing w:after="0" w:line="360" w:lineRule="auto"/>
        <w:contextualSpacing/>
        <w:jc w:val="both"/>
        <w:rPr>
          <w:rFonts w:ascii="Arial" w:eastAsia="Times New Roman" w:hAnsi="Arial" w:cs="Arial"/>
          <w:bCs/>
          <w:sz w:val="24"/>
          <w:szCs w:val="24"/>
        </w:rPr>
      </w:pPr>
      <w:r w:rsidRPr="000C5BB5">
        <w:rPr>
          <w:rFonts w:ascii="Arial" w:eastAsia="Times New Roman" w:hAnsi="Arial" w:cs="Arial"/>
          <w:bCs/>
          <w:sz w:val="24"/>
          <w:szCs w:val="24"/>
        </w:rPr>
        <w:t>[</w:t>
      </w:r>
      <w:r>
        <w:rPr>
          <w:rFonts w:ascii="Arial" w:eastAsia="Times New Roman" w:hAnsi="Arial" w:cs="Arial"/>
          <w:bCs/>
          <w:sz w:val="24"/>
          <w:szCs w:val="24"/>
        </w:rPr>
        <w:t>59</w:t>
      </w:r>
      <w:r w:rsidRPr="000C5BB5">
        <w:rPr>
          <w:rFonts w:ascii="Arial" w:eastAsia="Times New Roman" w:hAnsi="Arial" w:cs="Arial"/>
          <w:bCs/>
          <w:sz w:val="24"/>
          <w:szCs w:val="24"/>
        </w:rPr>
        <w:t>]</w:t>
      </w:r>
      <w:r w:rsidRPr="000C5BB5">
        <w:rPr>
          <w:rFonts w:ascii="Arial" w:eastAsia="Times New Roman" w:hAnsi="Arial" w:cs="Arial"/>
          <w:bCs/>
          <w:sz w:val="24"/>
          <w:szCs w:val="24"/>
        </w:rPr>
        <w:tab/>
        <w:t xml:space="preserve">The recent judgment of the Constitutional Court in </w:t>
      </w:r>
      <w:r w:rsidRPr="000C5BB5">
        <w:rPr>
          <w:rFonts w:ascii="Arial" w:eastAsia="Times New Roman" w:hAnsi="Arial" w:cs="Arial"/>
          <w:bCs/>
          <w:i/>
          <w:sz w:val="24"/>
          <w:szCs w:val="24"/>
        </w:rPr>
        <w:t xml:space="preserve">Baloyi v Public Protector and Others </w:t>
      </w:r>
      <w:r w:rsidRPr="000C5BB5">
        <w:rPr>
          <w:rFonts w:ascii="Arial" w:eastAsia="Times New Roman" w:hAnsi="Arial" w:cs="Arial"/>
          <w:bCs/>
          <w:sz w:val="24"/>
          <w:szCs w:val="24"/>
        </w:rPr>
        <w:t xml:space="preserve">[2020] ZACC 27; 2021 (2) BCLR 101 </w:t>
      </w:r>
      <w:r w:rsidRPr="00C2422B">
        <w:rPr>
          <w:rFonts w:ascii="Arial" w:eastAsia="Times New Roman" w:hAnsi="Arial" w:cs="Arial"/>
          <w:bCs/>
          <w:sz w:val="24"/>
          <w:szCs w:val="24"/>
        </w:rPr>
        <w:t>(CC)</w:t>
      </w:r>
      <w:r w:rsidRPr="000C5BB5">
        <w:rPr>
          <w:rFonts w:ascii="Arial" w:eastAsia="Times New Roman" w:hAnsi="Arial" w:cs="Arial"/>
          <w:bCs/>
          <w:sz w:val="24"/>
          <w:szCs w:val="24"/>
        </w:rPr>
        <w:t xml:space="preserve">; [2021] 4 BLLR 325 (CC) , provides an example of the application of these well-known principles. There Ms Baloyi was employed by the office of the Public Protector on a five-year contract, with a six-month probation period, which could be extended. After the expiry of the probation period, she was invited to make representations as to the confirmation of her employment contract. Sometime thereafter she received a letter terminating her contract. Ms Baloyi launched an application on the basis that the termination of her employment contract had been unlawful. </w:t>
      </w:r>
    </w:p>
    <w:p w14:paraId="052CAAA0" w14:textId="77777777" w:rsidR="000C5BB5" w:rsidRPr="002F25D4" w:rsidRDefault="000C5BB5" w:rsidP="000C5BB5">
      <w:pPr>
        <w:spacing w:after="0" w:line="360" w:lineRule="auto"/>
        <w:contextualSpacing/>
        <w:jc w:val="both"/>
        <w:rPr>
          <w:rFonts w:ascii="Arial" w:eastAsia="Times New Roman" w:hAnsi="Arial" w:cs="Arial"/>
          <w:bCs/>
        </w:rPr>
      </w:pPr>
    </w:p>
    <w:p w14:paraId="1D9A78D2" w14:textId="5D6E0C90" w:rsidR="000C5BB5" w:rsidRPr="000C5BB5" w:rsidRDefault="000C5BB5" w:rsidP="000C5BB5">
      <w:pPr>
        <w:spacing w:after="0" w:line="360" w:lineRule="auto"/>
        <w:contextualSpacing/>
        <w:jc w:val="both"/>
        <w:rPr>
          <w:rFonts w:ascii="Arial" w:eastAsia="Times New Roman" w:hAnsi="Arial" w:cs="Arial"/>
          <w:bCs/>
          <w:sz w:val="24"/>
          <w:szCs w:val="24"/>
        </w:rPr>
      </w:pPr>
      <w:r w:rsidRPr="000C5BB5">
        <w:rPr>
          <w:rFonts w:ascii="Arial" w:eastAsia="Times New Roman" w:hAnsi="Arial" w:cs="Arial"/>
          <w:bCs/>
          <w:sz w:val="24"/>
          <w:szCs w:val="24"/>
        </w:rPr>
        <w:t>[</w:t>
      </w:r>
      <w:r>
        <w:rPr>
          <w:rFonts w:ascii="Arial" w:eastAsia="Times New Roman" w:hAnsi="Arial" w:cs="Arial"/>
          <w:bCs/>
          <w:sz w:val="24"/>
          <w:szCs w:val="24"/>
        </w:rPr>
        <w:t>60</w:t>
      </w:r>
      <w:r w:rsidRPr="000C5BB5">
        <w:rPr>
          <w:rFonts w:ascii="Arial" w:eastAsia="Times New Roman" w:hAnsi="Arial" w:cs="Arial"/>
          <w:bCs/>
          <w:sz w:val="24"/>
          <w:szCs w:val="24"/>
        </w:rPr>
        <w:t>]</w:t>
      </w:r>
      <w:r w:rsidRPr="000C5BB5">
        <w:rPr>
          <w:rFonts w:ascii="Arial" w:eastAsia="Times New Roman" w:hAnsi="Arial" w:cs="Arial"/>
          <w:bCs/>
          <w:sz w:val="24"/>
          <w:szCs w:val="24"/>
        </w:rPr>
        <w:tab/>
        <w:t xml:space="preserve">The high court dismissed Ms Baloyi’s application on the ground that it did not have jurisdiction over the dispute and that it should have been brought before the Labour Court. However, the Constitutional Court held that the high court had erred in dismissing Ms Baloyi’s application on the basis that it essentially entailed a labour dispute and that its jurisdiction was not engaged. It held that on an analysis of her pleaded case, Ms Baloyi claimed relief on three grounds, none of which had to be determined in terms of the LRA or fell within the exclusive jurisdiction of the Labour Court. These grounds were that the termination of her employment contract constituted a breach of contract, that the official who had purported to terminate it had no power to do so and that the decision to terminate the contract had been made in bad faith and for an ulterior purpose. Each case must, of course, be decided on its own facts and, as we shall show, the facts of this case differed markedly from those of </w:t>
      </w:r>
      <w:r w:rsidRPr="00C2422B">
        <w:rPr>
          <w:rFonts w:ascii="Arial" w:eastAsia="Times New Roman" w:hAnsi="Arial" w:cs="Arial"/>
          <w:bCs/>
          <w:sz w:val="24"/>
          <w:szCs w:val="24"/>
        </w:rPr>
        <w:t>Baloyi</w:t>
      </w:r>
      <w:r w:rsidRPr="000C5BB5">
        <w:rPr>
          <w:rFonts w:ascii="Arial" w:eastAsia="Times New Roman" w:hAnsi="Arial" w:cs="Arial"/>
          <w:bCs/>
          <w:sz w:val="24"/>
          <w:szCs w:val="24"/>
        </w:rPr>
        <w:t>.</w:t>
      </w:r>
    </w:p>
    <w:p w14:paraId="4A19C8B6" w14:textId="77777777" w:rsidR="000C5BB5" w:rsidRPr="002F25D4" w:rsidRDefault="000C5BB5" w:rsidP="000C5BB5">
      <w:pPr>
        <w:spacing w:after="0" w:line="360" w:lineRule="auto"/>
        <w:contextualSpacing/>
        <w:jc w:val="both"/>
        <w:rPr>
          <w:rFonts w:ascii="Arial" w:eastAsia="Times New Roman" w:hAnsi="Arial" w:cs="Arial"/>
          <w:bCs/>
        </w:rPr>
      </w:pPr>
    </w:p>
    <w:p w14:paraId="5A35BF57" w14:textId="7F2ACD01" w:rsidR="000C5BB5" w:rsidRPr="000C5BB5" w:rsidRDefault="000C5BB5" w:rsidP="000C5BB5">
      <w:pPr>
        <w:spacing w:after="0" w:line="360" w:lineRule="auto"/>
        <w:contextualSpacing/>
        <w:jc w:val="both"/>
        <w:rPr>
          <w:rFonts w:ascii="Arial" w:eastAsia="Times New Roman" w:hAnsi="Arial" w:cs="Arial"/>
          <w:bCs/>
          <w:sz w:val="24"/>
          <w:szCs w:val="24"/>
        </w:rPr>
      </w:pPr>
      <w:r w:rsidRPr="000C5BB5">
        <w:rPr>
          <w:rFonts w:ascii="Arial" w:eastAsia="Times New Roman" w:hAnsi="Arial" w:cs="Arial"/>
          <w:bCs/>
          <w:sz w:val="24"/>
          <w:szCs w:val="24"/>
        </w:rPr>
        <w:t>[</w:t>
      </w:r>
      <w:r>
        <w:rPr>
          <w:rFonts w:ascii="Arial" w:eastAsia="Times New Roman" w:hAnsi="Arial" w:cs="Arial"/>
          <w:bCs/>
          <w:sz w:val="24"/>
          <w:szCs w:val="24"/>
        </w:rPr>
        <w:t>61</w:t>
      </w:r>
      <w:r w:rsidRPr="000C5BB5">
        <w:rPr>
          <w:rFonts w:ascii="Arial" w:eastAsia="Times New Roman" w:hAnsi="Arial" w:cs="Arial"/>
          <w:bCs/>
          <w:sz w:val="24"/>
          <w:szCs w:val="24"/>
        </w:rPr>
        <w:t>]</w:t>
      </w:r>
      <w:r w:rsidRPr="000C5BB5">
        <w:rPr>
          <w:rFonts w:ascii="Arial" w:eastAsia="Times New Roman" w:hAnsi="Arial" w:cs="Arial"/>
          <w:bCs/>
          <w:sz w:val="24"/>
          <w:szCs w:val="24"/>
        </w:rPr>
        <w:tab/>
        <w:t xml:space="preserve">A perusal of the application of the PSA makes it quite clear that the PSA sought the implementation of the 2010 Determination by the ‘translation’ of the DDPPs and CPs to the OSD specialist work stream on the LP-10 OSD band. On the facts of this case, however, the high court could only have been clothed with jurisdiction if this outcome had been claimed on the ground that the terms of the individual employment contracts between the DDDPs and CPs and the NPA obliged the NPA to act accordingly. Thus, the notice of motion and founding affidavit has to be analysed to ascertain whether the enforcement of employment contract terms was relied upon. In performing this exercise, substance must prevail over form and proper regard must be had to context. </w:t>
      </w:r>
    </w:p>
    <w:p w14:paraId="4DD7DBCF" w14:textId="79093B47" w:rsidR="000C5BB5" w:rsidRPr="000C5BB5" w:rsidRDefault="000C5BB5" w:rsidP="000C5BB5">
      <w:pPr>
        <w:spacing w:after="0" w:line="360" w:lineRule="auto"/>
        <w:contextualSpacing/>
        <w:jc w:val="both"/>
        <w:rPr>
          <w:rFonts w:ascii="Arial" w:eastAsia="Times New Roman" w:hAnsi="Arial" w:cs="Arial"/>
          <w:bCs/>
          <w:sz w:val="24"/>
          <w:szCs w:val="24"/>
        </w:rPr>
      </w:pPr>
      <w:r w:rsidRPr="000C5BB5">
        <w:rPr>
          <w:rFonts w:ascii="Arial" w:eastAsia="Times New Roman" w:hAnsi="Arial" w:cs="Arial"/>
          <w:bCs/>
          <w:sz w:val="24"/>
          <w:szCs w:val="24"/>
        </w:rPr>
        <w:t>[</w:t>
      </w:r>
      <w:r>
        <w:rPr>
          <w:rFonts w:ascii="Arial" w:eastAsia="Times New Roman" w:hAnsi="Arial" w:cs="Arial"/>
          <w:bCs/>
          <w:sz w:val="24"/>
          <w:szCs w:val="24"/>
        </w:rPr>
        <w:t>62</w:t>
      </w:r>
      <w:r w:rsidRPr="000C5BB5">
        <w:rPr>
          <w:rFonts w:ascii="Arial" w:eastAsia="Times New Roman" w:hAnsi="Arial" w:cs="Arial"/>
          <w:bCs/>
          <w:sz w:val="24"/>
          <w:szCs w:val="24"/>
        </w:rPr>
        <w:t>]</w:t>
      </w:r>
      <w:r w:rsidRPr="000C5BB5">
        <w:rPr>
          <w:rFonts w:ascii="Arial" w:eastAsia="Times New Roman" w:hAnsi="Arial" w:cs="Arial"/>
          <w:bCs/>
          <w:sz w:val="24"/>
          <w:szCs w:val="24"/>
        </w:rPr>
        <w:tab/>
        <w:t xml:space="preserve">The first indicator in this regard is that the PSA was the applicant in its own name. As a trade union it was not a party to any of the employment contracts in question. This strongly points to the absence of an intention to enforce the terms of individual contracts of employment. The material relief claimed in the notice of motion is quoted in the judgment of Molemela JA. It suffices to say that the notice of motion in no way conveyed a reliance on employment contracts. In the founding affidavit the deponent said ‘I am advised that this is a contractual dispute (applicants seek specific performance) . . .’ and proceeded to reproduce the provisions of s 77(3) of the BCEA. This vague and unsubstantiated averment constituted the founding affidavit’s only reference to a contractual dispute. </w:t>
      </w:r>
    </w:p>
    <w:p w14:paraId="6D188411" w14:textId="77777777" w:rsidR="000C5BB5" w:rsidRPr="002F25D4" w:rsidRDefault="000C5BB5" w:rsidP="000C5BB5">
      <w:pPr>
        <w:spacing w:after="0" w:line="360" w:lineRule="auto"/>
        <w:contextualSpacing/>
        <w:jc w:val="both"/>
        <w:rPr>
          <w:rFonts w:ascii="Arial" w:eastAsia="Times New Roman" w:hAnsi="Arial" w:cs="Arial"/>
          <w:bCs/>
        </w:rPr>
      </w:pPr>
    </w:p>
    <w:p w14:paraId="608F6148" w14:textId="1E42BCB5" w:rsidR="000C5BB5" w:rsidRPr="000C5BB5" w:rsidRDefault="000C5BB5" w:rsidP="000C5BB5">
      <w:pPr>
        <w:spacing w:after="0" w:line="360" w:lineRule="auto"/>
        <w:contextualSpacing/>
        <w:jc w:val="both"/>
        <w:rPr>
          <w:rFonts w:ascii="Arial" w:eastAsia="Times New Roman" w:hAnsi="Arial" w:cs="Arial"/>
          <w:bCs/>
          <w:sz w:val="24"/>
          <w:szCs w:val="24"/>
        </w:rPr>
      </w:pPr>
      <w:r w:rsidRPr="000C5BB5">
        <w:rPr>
          <w:rFonts w:ascii="Arial" w:eastAsia="Times New Roman" w:hAnsi="Arial" w:cs="Arial"/>
          <w:bCs/>
          <w:sz w:val="24"/>
          <w:szCs w:val="24"/>
        </w:rPr>
        <w:t>[</w:t>
      </w:r>
      <w:r>
        <w:rPr>
          <w:rFonts w:ascii="Arial" w:eastAsia="Times New Roman" w:hAnsi="Arial" w:cs="Arial"/>
          <w:bCs/>
          <w:sz w:val="24"/>
          <w:szCs w:val="24"/>
        </w:rPr>
        <w:t>63</w:t>
      </w:r>
      <w:r w:rsidRPr="000C5BB5">
        <w:rPr>
          <w:rFonts w:ascii="Arial" w:eastAsia="Times New Roman" w:hAnsi="Arial" w:cs="Arial"/>
          <w:bCs/>
          <w:sz w:val="24"/>
          <w:szCs w:val="24"/>
        </w:rPr>
        <w:t>]</w:t>
      </w:r>
      <w:r w:rsidRPr="000C5BB5">
        <w:rPr>
          <w:rFonts w:ascii="Arial" w:eastAsia="Times New Roman" w:hAnsi="Arial" w:cs="Arial"/>
          <w:bCs/>
          <w:sz w:val="24"/>
          <w:szCs w:val="24"/>
        </w:rPr>
        <w:tab/>
        <w:t xml:space="preserve">In the circumstances it is necessary to set out what the PSA said in the founding affidavit under the rubric </w:t>
      </w:r>
      <w:r w:rsidRPr="00C2422B">
        <w:rPr>
          <w:rFonts w:ascii="Arial" w:eastAsia="Times New Roman" w:hAnsi="Arial" w:cs="Arial"/>
          <w:bCs/>
          <w:sz w:val="24"/>
          <w:szCs w:val="24"/>
        </w:rPr>
        <w:t>‘</w:t>
      </w:r>
      <w:r w:rsidRPr="00C2422B">
        <w:rPr>
          <w:rFonts w:ascii="Arial" w:eastAsia="Times New Roman" w:hAnsi="Arial" w:cs="Arial"/>
          <w:b/>
          <w:bCs/>
          <w:sz w:val="24"/>
          <w:szCs w:val="24"/>
        </w:rPr>
        <w:t>PURPOSE OF THIS APPLICATION</w:t>
      </w:r>
      <w:r w:rsidRPr="00C2422B">
        <w:rPr>
          <w:rFonts w:ascii="Arial" w:eastAsia="Times New Roman" w:hAnsi="Arial" w:cs="Arial"/>
          <w:bCs/>
          <w:sz w:val="24"/>
          <w:szCs w:val="24"/>
        </w:rPr>
        <w:t>’:</w:t>
      </w:r>
    </w:p>
    <w:p w14:paraId="7793F094" w14:textId="77777777" w:rsidR="000C5BB5" w:rsidRPr="000C5BB5" w:rsidRDefault="000C5BB5" w:rsidP="000C5BB5">
      <w:pPr>
        <w:spacing w:after="0" w:line="360" w:lineRule="auto"/>
        <w:ind w:left="709" w:hanging="709"/>
        <w:contextualSpacing/>
        <w:jc w:val="both"/>
        <w:rPr>
          <w:rFonts w:ascii="Times New Roman" w:eastAsia="Times New Roman" w:hAnsi="Times New Roman" w:cs="Times New Roman"/>
          <w:sz w:val="24"/>
          <w:szCs w:val="24"/>
        </w:rPr>
      </w:pPr>
      <w:r w:rsidRPr="000C5BB5">
        <w:rPr>
          <w:rFonts w:ascii="Arial" w:eastAsia="Times New Roman" w:hAnsi="Arial" w:cs="Arial"/>
          <w:bCs/>
        </w:rPr>
        <w:t>‘18.</w:t>
      </w:r>
      <w:r w:rsidRPr="000C5BB5">
        <w:rPr>
          <w:rFonts w:ascii="Arial" w:eastAsia="Times New Roman" w:hAnsi="Arial" w:cs="Arial"/>
          <w:bCs/>
        </w:rPr>
        <w:tab/>
        <w:t>The principal purpose of this application is to seek specific performance and also to compel the first respondent to comply with the following:</w:t>
      </w:r>
    </w:p>
    <w:p w14:paraId="01814D6A" w14:textId="77777777" w:rsidR="000C5BB5" w:rsidRPr="000C5BB5" w:rsidRDefault="000C5BB5" w:rsidP="000C5BB5">
      <w:pPr>
        <w:spacing w:after="0" w:line="360" w:lineRule="auto"/>
        <w:ind w:left="709" w:hanging="709"/>
        <w:contextualSpacing/>
        <w:jc w:val="both"/>
        <w:rPr>
          <w:rFonts w:ascii="Times New Roman" w:eastAsia="Times New Roman" w:hAnsi="Times New Roman" w:cs="Times New Roman"/>
        </w:rPr>
      </w:pPr>
      <w:r w:rsidRPr="000C5BB5">
        <w:rPr>
          <w:rFonts w:ascii="Arial" w:eastAsia="Times New Roman" w:hAnsi="Arial" w:cs="Arial"/>
          <w:bCs/>
        </w:rPr>
        <w:tab/>
        <w:t>18.1.1</w:t>
      </w:r>
      <w:r w:rsidRPr="000C5BB5">
        <w:rPr>
          <w:rFonts w:ascii="Arial" w:eastAsia="Times New Roman" w:hAnsi="Arial" w:cs="Arial"/>
          <w:bCs/>
        </w:rPr>
        <w:tab/>
        <w:t>the collective agreement dated 5 July 2007 being PSCBC Resolution 1 of 2007;</w:t>
      </w:r>
    </w:p>
    <w:p w14:paraId="5883817F" w14:textId="77777777" w:rsidR="000C5BB5" w:rsidRPr="000C5BB5" w:rsidRDefault="000C5BB5" w:rsidP="000C5BB5">
      <w:pPr>
        <w:spacing w:after="0" w:line="360" w:lineRule="auto"/>
        <w:ind w:left="1440" w:hanging="731"/>
        <w:contextualSpacing/>
        <w:jc w:val="both"/>
        <w:rPr>
          <w:rFonts w:ascii="Times New Roman" w:eastAsia="Times New Roman" w:hAnsi="Times New Roman" w:cs="Times New Roman"/>
          <w:sz w:val="24"/>
          <w:szCs w:val="24"/>
        </w:rPr>
      </w:pPr>
      <w:r w:rsidRPr="000C5BB5">
        <w:rPr>
          <w:rFonts w:ascii="Arial" w:eastAsia="Times New Roman" w:hAnsi="Arial" w:cs="Arial"/>
          <w:bCs/>
        </w:rPr>
        <w:t>18.1.2</w:t>
      </w:r>
      <w:r w:rsidRPr="000C5BB5">
        <w:rPr>
          <w:rFonts w:ascii="Arial" w:eastAsia="Times New Roman" w:hAnsi="Arial" w:cs="Arial"/>
          <w:bCs/>
        </w:rPr>
        <w:tab/>
        <w:t>the collective agreement dated 7 February 2008 being GPSSBC Resolution 1 of 2008;</w:t>
      </w:r>
    </w:p>
    <w:p w14:paraId="480BC280" w14:textId="77777777" w:rsidR="000C5BB5" w:rsidRPr="000C5BB5" w:rsidRDefault="000C5BB5" w:rsidP="000C5BB5">
      <w:pPr>
        <w:spacing w:after="0" w:line="360" w:lineRule="auto"/>
        <w:ind w:left="1440" w:hanging="731"/>
        <w:contextualSpacing/>
        <w:jc w:val="both"/>
        <w:rPr>
          <w:rFonts w:ascii="Times New Roman" w:eastAsia="Times New Roman" w:hAnsi="Times New Roman" w:cs="Times New Roman"/>
          <w:sz w:val="24"/>
          <w:szCs w:val="24"/>
        </w:rPr>
      </w:pPr>
      <w:r w:rsidRPr="000C5BB5">
        <w:rPr>
          <w:rFonts w:ascii="Arial" w:eastAsia="Times New Roman" w:hAnsi="Arial" w:cs="Arial"/>
          <w:bCs/>
        </w:rPr>
        <w:t>18.1.3</w:t>
      </w:r>
      <w:r w:rsidRPr="000C5BB5">
        <w:rPr>
          <w:rFonts w:ascii="Arial" w:eastAsia="Times New Roman" w:hAnsi="Arial" w:cs="Arial"/>
          <w:bCs/>
        </w:rPr>
        <w:tab/>
        <w:t>government notice dated 2 December 2010 issued and published by the second respondent acting in accordance with s 18(1) of the Act;</w:t>
      </w:r>
    </w:p>
    <w:p w14:paraId="063173E2" w14:textId="77777777" w:rsidR="000C5BB5" w:rsidRPr="000C5BB5" w:rsidRDefault="000C5BB5" w:rsidP="000C5BB5">
      <w:pPr>
        <w:spacing w:after="0" w:line="360" w:lineRule="auto"/>
        <w:ind w:left="1440" w:hanging="731"/>
        <w:contextualSpacing/>
        <w:jc w:val="both"/>
        <w:rPr>
          <w:rFonts w:ascii="Times New Roman" w:eastAsia="Times New Roman" w:hAnsi="Times New Roman" w:cs="Times New Roman"/>
          <w:sz w:val="24"/>
          <w:szCs w:val="24"/>
        </w:rPr>
      </w:pPr>
      <w:r w:rsidRPr="000C5BB5">
        <w:rPr>
          <w:rFonts w:ascii="Arial" w:eastAsia="Times New Roman" w:hAnsi="Arial" w:cs="Arial"/>
          <w:bCs/>
        </w:rPr>
        <w:t>18.1.4</w:t>
      </w:r>
      <w:r w:rsidRPr="000C5BB5">
        <w:rPr>
          <w:rFonts w:ascii="Arial" w:eastAsia="Times New Roman" w:hAnsi="Arial" w:cs="Arial"/>
          <w:bCs/>
        </w:rPr>
        <w:tab/>
        <w:t>the NDPP’s approval regarding the implementation of the OSD dated 29 July 2014; and</w:t>
      </w:r>
    </w:p>
    <w:p w14:paraId="32374E3D" w14:textId="77777777" w:rsidR="000C5BB5" w:rsidRPr="000C5BB5" w:rsidRDefault="000C5BB5" w:rsidP="000C5BB5">
      <w:pPr>
        <w:spacing w:after="0" w:line="360" w:lineRule="auto"/>
        <w:ind w:left="1440" w:hanging="731"/>
        <w:contextualSpacing/>
        <w:jc w:val="both"/>
        <w:rPr>
          <w:rFonts w:ascii="Times New Roman" w:eastAsia="Times New Roman" w:hAnsi="Times New Roman" w:cs="Times New Roman"/>
          <w:sz w:val="24"/>
          <w:szCs w:val="24"/>
        </w:rPr>
      </w:pPr>
      <w:r w:rsidRPr="000C5BB5">
        <w:rPr>
          <w:rFonts w:ascii="Arial" w:eastAsia="Times New Roman" w:hAnsi="Arial" w:cs="Arial"/>
          <w:bCs/>
        </w:rPr>
        <w:t>18.1.5</w:t>
      </w:r>
      <w:r w:rsidRPr="000C5BB5">
        <w:rPr>
          <w:rFonts w:ascii="Arial" w:eastAsia="Times New Roman" w:hAnsi="Arial" w:cs="Arial"/>
          <w:bCs/>
        </w:rPr>
        <w:tab/>
        <w:t>the memorandum dated 24 November 2014 from the Chief Executive Officer of the first respondent, Adv Karen van Rensburg regarding the “proposal on the implementation of the LP 10 in the NPA”.</w:t>
      </w:r>
    </w:p>
    <w:p w14:paraId="0EC1494A" w14:textId="77777777" w:rsidR="000C5BB5" w:rsidRPr="000C5BB5" w:rsidRDefault="000C5BB5" w:rsidP="000C5BB5">
      <w:pPr>
        <w:tabs>
          <w:tab w:val="left" w:pos="567"/>
        </w:tabs>
        <w:spacing w:after="0" w:line="360" w:lineRule="auto"/>
        <w:ind w:left="709" w:hanging="709"/>
        <w:jc w:val="both"/>
        <w:rPr>
          <w:rFonts w:ascii="Arial" w:eastAsia="Calibri" w:hAnsi="Arial" w:cs="Arial"/>
          <w:bCs/>
          <w:sz w:val="16"/>
          <w:szCs w:val="16"/>
        </w:rPr>
      </w:pPr>
      <w:r w:rsidRPr="000C5BB5">
        <w:rPr>
          <w:rFonts w:ascii="Arial" w:eastAsia="Calibri" w:hAnsi="Arial" w:cs="Arial"/>
          <w:bCs/>
        </w:rPr>
        <w:t>19.</w:t>
      </w:r>
      <w:r w:rsidRPr="000C5BB5">
        <w:rPr>
          <w:rFonts w:ascii="Arial" w:eastAsia="Calibri" w:hAnsi="Arial" w:cs="Arial"/>
          <w:bCs/>
        </w:rPr>
        <w:tab/>
      </w:r>
      <w:r w:rsidRPr="000C5BB5">
        <w:rPr>
          <w:rFonts w:ascii="Arial" w:eastAsia="Calibri" w:hAnsi="Arial" w:cs="Arial"/>
          <w:bCs/>
        </w:rPr>
        <w:tab/>
        <w:t>In addition, this application seeks declaratory orders declaring that the conduct of the first respondent in not complying with its obligations as detailed in subparagraphs 18.1.1-18.1.5 is unlawful.</w:t>
      </w:r>
    </w:p>
    <w:p w14:paraId="2825482B" w14:textId="77777777" w:rsidR="000C5BB5" w:rsidRPr="000C5BB5" w:rsidRDefault="000C5BB5" w:rsidP="000C5BB5">
      <w:pPr>
        <w:tabs>
          <w:tab w:val="left" w:pos="567"/>
        </w:tabs>
        <w:spacing w:after="0" w:line="360" w:lineRule="auto"/>
        <w:ind w:left="709" w:hanging="709"/>
        <w:jc w:val="both"/>
        <w:rPr>
          <w:rFonts w:ascii="Arial" w:eastAsia="Calibri" w:hAnsi="Arial" w:cs="Arial"/>
          <w:bCs/>
          <w:sz w:val="16"/>
          <w:szCs w:val="16"/>
        </w:rPr>
      </w:pPr>
      <w:r w:rsidRPr="000C5BB5">
        <w:rPr>
          <w:rFonts w:ascii="Arial" w:eastAsia="Calibri" w:hAnsi="Arial" w:cs="Arial"/>
          <w:bCs/>
        </w:rPr>
        <w:t>20.</w:t>
      </w:r>
      <w:r w:rsidRPr="000C5BB5">
        <w:rPr>
          <w:rFonts w:ascii="Arial" w:eastAsia="Calibri" w:hAnsi="Arial" w:cs="Arial"/>
          <w:bCs/>
        </w:rPr>
        <w:tab/>
      </w:r>
      <w:r w:rsidRPr="000C5BB5">
        <w:rPr>
          <w:rFonts w:ascii="Arial" w:eastAsia="Calibri" w:hAnsi="Arial" w:cs="Arial"/>
          <w:bCs/>
        </w:rPr>
        <w:tab/>
        <w:t>Lastly, to declare that the first respondent created a legitimate expectation to the 2</w:t>
      </w:r>
      <w:r w:rsidRPr="000C5BB5">
        <w:rPr>
          <w:rFonts w:ascii="Arial" w:eastAsia="Calibri" w:hAnsi="Arial" w:cs="Arial"/>
          <w:bCs/>
          <w:vertAlign w:val="superscript"/>
        </w:rPr>
        <w:t>nd</w:t>
      </w:r>
      <w:r w:rsidRPr="000C5BB5">
        <w:rPr>
          <w:rFonts w:ascii="Arial" w:eastAsia="Calibri" w:hAnsi="Arial" w:cs="Arial"/>
          <w:bCs/>
        </w:rPr>
        <w:t xml:space="preserve"> to 55</w:t>
      </w:r>
      <w:r w:rsidRPr="000C5BB5">
        <w:rPr>
          <w:rFonts w:ascii="Arial" w:eastAsia="Calibri" w:hAnsi="Arial" w:cs="Arial"/>
          <w:bCs/>
          <w:vertAlign w:val="superscript"/>
        </w:rPr>
        <w:t>th</w:t>
      </w:r>
      <w:r w:rsidRPr="000C5BB5">
        <w:rPr>
          <w:rFonts w:ascii="Arial" w:eastAsia="Calibri" w:hAnsi="Arial" w:cs="Arial"/>
          <w:bCs/>
        </w:rPr>
        <w:t xml:space="preserve"> applicants that they are entitled to and would receive all the benefits extended to legal professionals within the justice cluster.</w:t>
      </w:r>
    </w:p>
    <w:p w14:paraId="394E5A82" w14:textId="77777777" w:rsidR="000C5BB5" w:rsidRPr="000C5BB5" w:rsidRDefault="000C5BB5" w:rsidP="000C5BB5">
      <w:pPr>
        <w:tabs>
          <w:tab w:val="left" w:pos="567"/>
        </w:tabs>
        <w:spacing w:after="0" w:line="360" w:lineRule="auto"/>
        <w:ind w:left="709" w:hanging="709"/>
        <w:jc w:val="both"/>
        <w:rPr>
          <w:rFonts w:ascii="Arial" w:eastAsia="Calibri" w:hAnsi="Arial" w:cs="Arial"/>
          <w:bCs/>
          <w:sz w:val="16"/>
          <w:szCs w:val="16"/>
        </w:rPr>
      </w:pPr>
      <w:r w:rsidRPr="000C5BB5">
        <w:rPr>
          <w:rFonts w:ascii="Arial" w:eastAsia="Calibri" w:hAnsi="Arial" w:cs="Arial"/>
          <w:bCs/>
        </w:rPr>
        <w:t>21.</w:t>
      </w:r>
      <w:r w:rsidRPr="000C5BB5">
        <w:rPr>
          <w:rFonts w:ascii="Arial" w:eastAsia="Calibri" w:hAnsi="Arial" w:cs="Arial"/>
          <w:bCs/>
        </w:rPr>
        <w:tab/>
      </w:r>
      <w:r w:rsidRPr="000C5BB5">
        <w:rPr>
          <w:rFonts w:ascii="Arial" w:eastAsia="Calibri" w:hAnsi="Arial" w:cs="Arial"/>
          <w:bCs/>
        </w:rPr>
        <w:tab/>
        <w:t>To advance the applicants’ case, I propose to deal with its pertinent aspects in the following terms:</w:t>
      </w:r>
    </w:p>
    <w:p w14:paraId="0DF3129C" w14:textId="77777777" w:rsidR="000C5BB5" w:rsidRPr="000C5BB5" w:rsidRDefault="000C5BB5" w:rsidP="000C5BB5">
      <w:pPr>
        <w:tabs>
          <w:tab w:val="left" w:pos="567"/>
        </w:tabs>
        <w:spacing w:after="0" w:line="360" w:lineRule="auto"/>
        <w:ind w:left="567" w:hanging="567"/>
        <w:jc w:val="both"/>
        <w:rPr>
          <w:rFonts w:ascii="Arial" w:eastAsia="Calibri" w:hAnsi="Arial" w:cs="Arial"/>
          <w:bCs/>
          <w:sz w:val="16"/>
          <w:szCs w:val="16"/>
        </w:rPr>
      </w:pPr>
      <w:r w:rsidRPr="000C5BB5">
        <w:rPr>
          <w:rFonts w:ascii="Arial" w:eastAsia="Calibri" w:hAnsi="Arial" w:cs="Arial"/>
          <w:bCs/>
        </w:rPr>
        <w:tab/>
      </w:r>
      <w:r w:rsidRPr="000C5BB5">
        <w:rPr>
          <w:rFonts w:ascii="Arial" w:eastAsia="Calibri" w:hAnsi="Arial" w:cs="Arial"/>
          <w:bCs/>
        </w:rPr>
        <w:tab/>
        <w:t>21.1</w:t>
      </w:r>
      <w:r w:rsidRPr="000C5BB5">
        <w:rPr>
          <w:rFonts w:ascii="Arial" w:eastAsia="Calibri" w:hAnsi="Arial" w:cs="Arial"/>
          <w:bCs/>
        </w:rPr>
        <w:tab/>
        <w:t>First, salient background facts of this dispute;</w:t>
      </w:r>
    </w:p>
    <w:p w14:paraId="411D94EF" w14:textId="77777777" w:rsidR="000C5BB5" w:rsidRPr="000C5BB5" w:rsidRDefault="000C5BB5" w:rsidP="000C5BB5">
      <w:pPr>
        <w:tabs>
          <w:tab w:val="left" w:pos="567"/>
        </w:tabs>
        <w:spacing w:after="0" w:line="360" w:lineRule="auto"/>
        <w:ind w:left="567" w:hanging="567"/>
        <w:jc w:val="both"/>
        <w:rPr>
          <w:rFonts w:ascii="Arial" w:eastAsia="Calibri" w:hAnsi="Arial" w:cs="Arial"/>
          <w:bCs/>
          <w:sz w:val="16"/>
          <w:szCs w:val="16"/>
        </w:rPr>
      </w:pPr>
      <w:r w:rsidRPr="000C5BB5">
        <w:rPr>
          <w:rFonts w:ascii="Arial" w:eastAsia="Calibri" w:hAnsi="Arial" w:cs="Arial"/>
          <w:bCs/>
        </w:rPr>
        <w:tab/>
      </w:r>
      <w:r w:rsidRPr="000C5BB5">
        <w:rPr>
          <w:rFonts w:ascii="Arial" w:eastAsia="Calibri" w:hAnsi="Arial" w:cs="Arial"/>
          <w:bCs/>
        </w:rPr>
        <w:tab/>
        <w:t>21.2</w:t>
      </w:r>
      <w:r w:rsidRPr="000C5BB5">
        <w:rPr>
          <w:rFonts w:ascii="Arial" w:eastAsia="Calibri" w:hAnsi="Arial" w:cs="Arial"/>
          <w:bCs/>
        </w:rPr>
        <w:tab/>
        <w:t>Second, the remuneration of DDPP and Chief Prosecutors in terms of the Act;</w:t>
      </w:r>
    </w:p>
    <w:p w14:paraId="26E75963" w14:textId="77777777" w:rsidR="000C5BB5" w:rsidRPr="000C5BB5" w:rsidRDefault="000C5BB5" w:rsidP="000C5BB5">
      <w:pPr>
        <w:tabs>
          <w:tab w:val="left" w:pos="567"/>
        </w:tabs>
        <w:spacing w:after="0" w:line="360" w:lineRule="auto"/>
        <w:ind w:left="567" w:hanging="567"/>
        <w:jc w:val="both"/>
        <w:rPr>
          <w:rFonts w:ascii="Arial" w:eastAsia="Calibri" w:hAnsi="Arial" w:cs="Arial"/>
          <w:bCs/>
          <w:sz w:val="16"/>
          <w:szCs w:val="16"/>
        </w:rPr>
      </w:pPr>
      <w:r w:rsidRPr="000C5BB5">
        <w:rPr>
          <w:rFonts w:ascii="Arial" w:eastAsia="Calibri" w:hAnsi="Arial" w:cs="Arial"/>
          <w:bCs/>
        </w:rPr>
        <w:tab/>
      </w:r>
      <w:r w:rsidRPr="000C5BB5">
        <w:rPr>
          <w:rFonts w:ascii="Arial" w:eastAsia="Calibri" w:hAnsi="Arial" w:cs="Arial"/>
          <w:bCs/>
        </w:rPr>
        <w:tab/>
        <w:t>21.3</w:t>
      </w:r>
      <w:r w:rsidRPr="000C5BB5">
        <w:rPr>
          <w:rFonts w:ascii="Arial" w:eastAsia="Calibri" w:hAnsi="Arial" w:cs="Arial"/>
          <w:bCs/>
        </w:rPr>
        <w:tab/>
        <w:t>Third, applicability of the collective agreements to the NPA;</w:t>
      </w:r>
    </w:p>
    <w:p w14:paraId="145CE629" w14:textId="77777777" w:rsidR="000C5BB5" w:rsidRPr="000C5BB5" w:rsidRDefault="000C5BB5" w:rsidP="000C5BB5">
      <w:pPr>
        <w:tabs>
          <w:tab w:val="left" w:pos="567"/>
        </w:tabs>
        <w:spacing w:after="0" w:line="360" w:lineRule="auto"/>
        <w:ind w:left="567" w:hanging="567"/>
        <w:jc w:val="both"/>
        <w:rPr>
          <w:rFonts w:ascii="Arial" w:eastAsia="Calibri" w:hAnsi="Arial" w:cs="Arial"/>
          <w:bCs/>
          <w:sz w:val="16"/>
          <w:szCs w:val="16"/>
        </w:rPr>
      </w:pPr>
      <w:r w:rsidRPr="000C5BB5">
        <w:rPr>
          <w:rFonts w:ascii="Arial" w:eastAsia="Calibri" w:hAnsi="Arial" w:cs="Arial"/>
          <w:bCs/>
        </w:rPr>
        <w:tab/>
      </w:r>
      <w:r w:rsidRPr="000C5BB5">
        <w:rPr>
          <w:rFonts w:ascii="Arial" w:eastAsia="Calibri" w:hAnsi="Arial" w:cs="Arial"/>
          <w:bCs/>
        </w:rPr>
        <w:tab/>
        <w:t>21.4</w:t>
      </w:r>
      <w:r w:rsidRPr="000C5BB5">
        <w:rPr>
          <w:rFonts w:ascii="Arial" w:eastAsia="Calibri" w:hAnsi="Arial" w:cs="Arial"/>
          <w:bCs/>
        </w:rPr>
        <w:tab/>
        <w:t>Fourth, whether the applicant’s members are entitled to the OSD benefits;</w:t>
      </w:r>
    </w:p>
    <w:p w14:paraId="4AF67967" w14:textId="77777777" w:rsidR="000C5BB5" w:rsidRPr="000C5BB5" w:rsidRDefault="000C5BB5" w:rsidP="000C5BB5">
      <w:pPr>
        <w:tabs>
          <w:tab w:val="left" w:pos="567"/>
        </w:tabs>
        <w:spacing w:after="0" w:line="360" w:lineRule="auto"/>
        <w:ind w:left="567" w:hanging="567"/>
        <w:jc w:val="both"/>
        <w:rPr>
          <w:rFonts w:ascii="Arial" w:eastAsia="Calibri" w:hAnsi="Arial" w:cs="Arial"/>
          <w:bCs/>
          <w:sz w:val="16"/>
          <w:szCs w:val="16"/>
        </w:rPr>
      </w:pPr>
      <w:r w:rsidRPr="000C5BB5">
        <w:rPr>
          <w:rFonts w:ascii="Arial" w:eastAsia="Calibri" w:hAnsi="Arial" w:cs="Arial"/>
          <w:bCs/>
        </w:rPr>
        <w:tab/>
      </w:r>
      <w:r w:rsidRPr="000C5BB5">
        <w:rPr>
          <w:rFonts w:ascii="Arial" w:eastAsia="Calibri" w:hAnsi="Arial" w:cs="Arial"/>
          <w:bCs/>
        </w:rPr>
        <w:tab/>
        <w:t>21.5</w:t>
      </w:r>
      <w:r w:rsidRPr="000C5BB5">
        <w:rPr>
          <w:rFonts w:ascii="Arial" w:eastAsia="Calibri" w:hAnsi="Arial" w:cs="Arial"/>
          <w:bCs/>
        </w:rPr>
        <w:tab/>
        <w:t>Fifth, first respondent’s internal circulars to employees regarding the OSD;</w:t>
      </w:r>
    </w:p>
    <w:p w14:paraId="6C9C3B55" w14:textId="77777777" w:rsidR="000C5BB5" w:rsidRPr="000C5BB5" w:rsidRDefault="000C5BB5" w:rsidP="000C5BB5">
      <w:pPr>
        <w:tabs>
          <w:tab w:val="left" w:pos="709"/>
        </w:tabs>
        <w:spacing w:after="0" w:line="360" w:lineRule="auto"/>
        <w:ind w:left="1440" w:hanging="1440"/>
        <w:jc w:val="both"/>
        <w:rPr>
          <w:rFonts w:ascii="Arial" w:eastAsia="Calibri" w:hAnsi="Arial" w:cs="Arial"/>
          <w:bCs/>
          <w:sz w:val="16"/>
          <w:szCs w:val="16"/>
        </w:rPr>
      </w:pPr>
      <w:r w:rsidRPr="000C5BB5">
        <w:rPr>
          <w:rFonts w:ascii="Arial" w:eastAsia="Calibri" w:hAnsi="Arial" w:cs="Arial"/>
          <w:bCs/>
        </w:rPr>
        <w:tab/>
        <w:t>21.6</w:t>
      </w:r>
      <w:r w:rsidRPr="000C5BB5">
        <w:rPr>
          <w:rFonts w:ascii="Arial" w:eastAsia="Calibri" w:hAnsi="Arial" w:cs="Arial"/>
          <w:bCs/>
        </w:rPr>
        <w:tab/>
        <w:t>Sixth, whether the non-implementation of the OSD by the first respondent constitutes an unfair labour practice;</w:t>
      </w:r>
    </w:p>
    <w:p w14:paraId="409D20B1" w14:textId="77777777" w:rsidR="000C5BB5" w:rsidRPr="000C5BB5" w:rsidRDefault="000C5BB5" w:rsidP="000C5BB5">
      <w:pPr>
        <w:tabs>
          <w:tab w:val="left" w:pos="567"/>
        </w:tabs>
        <w:spacing w:after="0" w:line="360" w:lineRule="auto"/>
        <w:ind w:left="567" w:hanging="567"/>
        <w:jc w:val="both"/>
        <w:rPr>
          <w:rFonts w:ascii="Arial" w:eastAsia="Calibri" w:hAnsi="Arial" w:cs="Arial"/>
          <w:bCs/>
        </w:rPr>
      </w:pPr>
      <w:r w:rsidRPr="000C5BB5">
        <w:rPr>
          <w:rFonts w:ascii="Arial" w:eastAsia="Calibri" w:hAnsi="Arial" w:cs="Arial"/>
          <w:bCs/>
        </w:rPr>
        <w:tab/>
      </w:r>
      <w:r w:rsidRPr="000C5BB5">
        <w:rPr>
          <w:rFonts w:ascii="Arial" w:eastAsia="Calibri" w:hAnsi="Arial" w:cs="Arial"/>
          <w:bCs/>
        </w:rPr>
        <w:tab/>
        <w:t>21.7</w:t>
      </w:r>
      <w:r w:rsidRPr="000C5BB5">
        <w:rPr>
          <w:rFonts w:ascii="Arial" w:eastAsia="Calibri" w:hAnsi="Arial" w:cs="Arial"/>
          <w:bCs/>
        </w:rPr>
        <w:tab/>
        <w:t>Seventh, the legal framework proposed in the determination of this matter;</w:t>
      </w:r>
    </w:p>
    <w:p w14:paraId="66FC0708" w14:textId="77777777" w:rsidR="000C5BB5" w:rsidRPr="000C5BB5" w:rsidRDefault="000C5BB5" w:rsidP="000C5BB5">
      <w:pPr>
        <w:tabs>
          <w:tab w:val="left" w:pos="709"/>
        </w:tabs>
        <w:spacing w:after="0" w:line="360" w:lineRule="auto"/>
        <w:ind w:left="1440" w:hanging="1440"/>
        <w:jc w:val="both"/>
        <w:rPr>
          <w:rFonts w:ascii="Arial" w:eastAsia="Calibri" w:hAnsi="Arial" w:cs="Arial"/>
          <w:bCs/>
          <w:sz w:val="16"/>
          <w:szCs w:val="16"/>
        </w:rPr>
      </w:pPr>
      <w:r w:rsidRPr="000C5BB5">
        <w:rPr>
          <w:rFonts w:ascii="Arial" w:eastAsia="Calibri" w:hAnsi="Arial" w:cs="Arial"/>
          <w:bCs/>
        </w:rPr>
        <w:tab/>
        <w:t>21.8</w:t>
      </w:r>
      <w:r w:rsidRPr="000C5BB5">
        <w:rPr>
          <w:rFonts w:ascii="Arial" w:eastAsia="Calibri" w:hAnsi="Arial" w:cs="Arial"/>
          <w:bCs/>
        </w:rPr>
        <w:tab/>
        <w:t>Eighth, whether the applicant has made out a case of unfair labour practice in this matter; and</w:t>
      </w:r>
    </w:p>
    <w:p w14:paraId="6DA6AAD9" w14:textId="77777777" w:rsidR="000C5BB5" w:rsidRPr="000C5BB5" w:rsidRDefault="000C5BB5" w:rsidP="000C5BB5">
      <w:pPr>
        <w:tabs>
          <w:tab w:val="left" w:pos="567"/>
        </w:tabs>
        <w:spacing w:after="0" w:line="360" w:lineRule="auto"/>
        <w:ind w:left="567" w:hanging="567"/>
        <w:jc w:val="both"/>
        <w:rPr>
          <w:rFonts w:ascii="Arial" w:eastAsia="Calibri" w:hAnsi="Arial" w:cs="Arial"/>
          <w:bCs/>
        </w:rPr>
      </w:pPr>
      <w:r w:rsidRPr="000C5BB5">
        <w:rPr>
          <w:rFonts w:ascii="Arial" w:eastAsia="Calibri" w:hAnsi="Arial" w:cs="Arial"/>
          <w:bCs/>
        </w:rPr>
        <w:tab/>
      </w:r>
      <w:r w:rsidRPr="000C5BB5">
        <w:rPr>
          <w:rFonts w:ascii="Arial" w:eastAsia="Calibri" w:hAnsi="Arial" w:cs="Arial"/>
          <w:bCs/>
        </w:rPr>
        <w:tab/>
        <w:t>21.9</w:t>
      </w:r>
      <w:r w:rsidRPr="000C5BB5">
        <w:rPr>
          <w:rFonts w:ascii="Arial" w:eastAsia="Calibri" w:hAnsi="Arial" w:cs="Arial"/>
          <w:bCs/>
        </w:rPr>
        <w:tab/>
        <w:t xml:space="preserve">Lastly, conclusion.’ </w:t>
      </w:r>
    </w:p>
    <w:p w14:paraId="2DF54B15" w14:textId="77777777" w:rsidR="000C5BB5" w:rsidRPr="000C5BB5" w:rsidRDefault="000C5BB5" w:rsidP="000C5BB5">
      <w:pPr>
        <w:tabs>
          <w:tab w:val="left" w:pos="567"/>
        </w:tabs>
        <w:spacing w:after="0" w:line="360" w:lineRule="auto"/>
        <w:ind w:left="567" w:hanging="567"/>
        <w:jc w:val="both"/>
        <w:rPr>
          <w:rFonts w:ascii="Arial" w:eastAsia="Calibri" w:hAnsi="Arial" w:cs="Arial"/>
          <w:bCs/>
        </w:rPr>
      </w:pPr>
    </w:p>
    <w:p w14:paraId="364E2F09" w14:textId="6D1BB7FF" w:rsidR="000C5BB5" w:rsidRPr="000C5BB5" w:rsidRDefault="000C5BB5" w:rsidP="000C5BB5">
      <w:pPr>
        <w:spacing w:after="0" w:line="360" w:lineRule="auto"/>
        <w:jc w:val="both"/>
        <w:rPr>
          <w:rFonts w:ascii="Arial" w:eastAsia="Calibri" w:hAnsi="Arial" w:cs="Arial"/>
          <w:bCs/>
          <w:sz w:val="24"/>
          <w:szCs w:val="24"/>
        </w:rPr>
      </w:pPr>
      <w:r w:rsidRPr="000C5BB5">
        <w:rPr>
          <w:rFonts w:ascii="Arial" w:eastAsia="Calibri" w:hAnsi="Arial" w:cs="Arial"/>
          <w:bCs/>
          <w:sz w:val="24"/>
          <w:szCs w:val="24"/>
        </w:rPr>
        <w:t>[</w:t>
      </w:r>
      <w:r>
        <w:rPr>
          <w:rFonts w:ascii="Arial" w:eastAsia="Calibri" w:hAnsi="Arial" w:cs="Arial"/>
          <w:bCs/>
          <w:sz w:val="24"/>
          <w:szCs w:val="24"/>
        </w:rPr>
        <w:t>64</w:t>
      </w:r>
      <w:r w:rsidRPr="000C5BB5">
        <w:rPr>
          <w:rFonts w:ascii="Arial" w:eastAsia="Calibri" w:hAnsi="Arial" w:cs="Arial"/>
          <w:bCs/>
          <w:sz w:val="24"/>
          <w:szCs w:val="24"/>
        </w:rPr>
        <w:t>]</w:t>
      </w:r>
      <w:r w:rsidRPr="000C5BB5">
        <w:rPr>
          <w:rFonts w:ascii="Arial" w:eastAsia="Calibri" w:hAnsi="Arial" w:cs="Arial"/>
          <w:bCs/>
          <w:sz w:val="24"/>
          <w:szCs w:val="24"/>
        </w:rPr>
        <w:tab/>
        <w:t xml:space="preserve">Read with the notice of motion and in context, the PSA in our view clearly claimed specific performance of obligations that had allegedly arisen from the documents listed in paras 18.1.1 to 18.1.5 of the founding affidavit themselves, not from employment contracts. All of these documents were of collective and/or general nature. </w:t>
      </w:r>
    </w:p>
    <w:p w14:paraId="706F2DE7" w14:textId="77777777" w:rsidR="000C5BB5" w:rsidRPr="002F25D4" w:rsidRDefault="000C5BB5" w:rsidP="000C5BB5">
      <w:pPr>
        <w:spacing w:after="0" w:line="360" w:lineRule="auto"/>
        <w:jc w:val="both"/>
        <w:rPr>
          <w:rFonts w:ascii="Arial" w:eastAsia="Calibri" w:hAnsi="Arial" w:cs="Arial"/>
          <w:bCs/>
        </w:rPr>
      </w:pPr>
    </w:p>
    <w:p w14:paraId="7440FB9D" w14:textId="3073DC8E" w:rsidR="000C5BB5" w:rsidRPr="000C5BB5" w:rsidRDefault="000C5BB5" w:rsidP="000C5BB5">
      <w:pPr>
        <w:spacing w:after="0" w:line="360" w:lineRule="auto"/>
        <w:jc w:val="both"/>
        <w:rPr>
          <w:rFonts w:ascii="Arial" w:eastAsia="Calibri" w:hAnsi="Arial" w:cs="Arial"/>
          <w:bCs/>
          <w:sz w:val="24"/>
          <w:szCs w:val="24"/>
        </w:rPr>
      </w:pPr>
      <w:r w:rsidRPr="000C5BB5">
        <w:rPr>
          <w:rFonts w:ascii="Arial" w:eastAsia="Calibri" w:hAnsi="Arial" w:cs="Arial"/>
          <w:bCs/>
          <w:sz w:val="24"/>
          <w:szCs w:val="24"/>
        </w:rPr>
        <w:t>[</w:t>
      </w:r>
      <w:r>
        <w:rPr>
          <w:rFonts w:ascii="Arial" w:eastAsia="Calibri" w:hAnsi="Arial" w:cs="Arial"/>
          <w:bCs/>
          <w:sz w:val="24"/>
          <w:szCs w:val="24"/>
        </w:rPr>
        <w:t>65</w:t>
      </w:r>
      <w:r w:rsidRPr="000C5BB5">
        <w:rPr>
          <w:rFonts w:ascii="Arial" w:eastAsia="Calibri" w:hAnsi="Arial" w:cs="Arial"/>
          <w:bCs/>
          <w:sz w:val="24"/>
          <w:szCs w:val="24"/>
        </w:rPr>
        <w:t>]</w:t>
      </w:r>
      <w:r w:rsidRPr="000C5BB5">
        <w:rPr>
          <w:rFonts w:ascii="Arial" w:eastAsia="Calibri" w:hAnsi="Arial" w:cs="Arial"/>
          <w:bCs/>
          <w:sz w:val="24"/>
          <w:szCs w:val="24"/>
        </w:rPr>
        <w:tab/>
        <w:t>Under the heading ‘SALIENT BACKGROUND FACTS’, the deponent referred to a grievance that she had lodged on 26 October 2015. She said:</w:t>
      </w:r>
    </w:p>
    <w:p w14:paraId="7C01AA3F" w14:textId="77777777" w:rsidR="000C5BB5" w:rsidRPr="000C5BB5" w:rsidRDefault="000C5BB5" w:rsidP="000C5BB5">
      <w:pPr>
        <w:spacing w:after="0" w:line="360" w:lineRule="auto"/>
        <w:jc w:val="both"/>
        <w:rPr>
          <w:rFonts w:ascii="Arial" w:eastAsia="Calibri" w:hAnsi="Arial" w:cs="Arial"/>
          <w:bCs/>
          <w:sz w:val="24"/>
          <w:szCs w:val="24"/>
        </w:rPr>
      </w:pPr>
      <w:r w:rsidRPr="000C5BB5">
        <w:rPr>
          <w:rFonts w:ascii="Arial" w:eastAsia="Calibri" w:hAnsi="Arial" w:cs="Arial"/>
          <w:bCs/>
        </w:rPr>
        <w:t xml:space="preserve">‘Central to my grievance was the failure of the first respondent to implement the OSD and to translate me to LP-10 as per the decision of the second respondent read with collective agreements cited above including the approval by the NDPP of the implementation of the OSD within the prosecuting authority . . . .’ </w:t>
      </w:r>
    </w:p>
    <w:p w14:paraId="66ED2899" w14:textId="77777777" w:rsidR="000C5BB5" w:rsidRPr="002F25D4" w:rsidRDefault="000C5BB5" w:rsidP="000C5BB5">
      <w:pPr>
        <w:spacing w:after="0" w:line="360" w:lineRule="auto"/>
        <w:jc w:val="both"/>
        <w:rPr>
          <w:rFonts w:ascii="Arial" w:eastAsia="Calibri" w:hAnsi="Arial" w:cs="Arial"/>
          <w:bCs/>
        </w:rPr>
      </w:pPr>
    </w:p>
    <w:p w14:paraId="333B5D35" w14:textId="02B1FE47" w:rsidR="000C5BB5" w:rsidRPr="000C5BB5" w:rsidRDefault="000C5BB5" w:rsidP="000C5BB5">
      <w:pPr>
        <w:spacing w:after="0" w:line="360" w:lineRule="auto"/>
        <w:jc w:val="both"/>
        <w:rPr>
          <w:rFonts w:ascii="Arial" w:eastAsia="Calibri" w:hAnsi="Arial" w:cs="Arial"/>
          <w:bCs/>
          <w:sz w:val="24"/>
          <w:szCs w:val="24"/>
        </w:rPr>
      </w:pPr>
      <w:r w:rsidRPr="000C5BB5">
        <w:rPr>
          <w:rFonts w:ascii="Arial" w:eastAsia="Calibri" w:hAnsi="Arial" w:cs="Arial"/>
          <w:bCs/>
          <w:sz w:val="24"/>
          <w:szCs w:val="24"/>
        </w:rPr>
        <w:t>[</w:t>
      </w:r>
      <w:r>
        <w:rPr>
          <w:rFonts w:ascii="Arial" w:eastAsia="Calibri" w:hAnsi="Arial" w:cs="Arial"/>
          <w:bCs/>
          <w:sz w:val="24"/>
          <w:szCs w:val="24"/>
        </w:rPr>
        <w:t>66</w:t>
      </w:r>
      <w:r w:rsidRPr="000C5BB5">
        <w:rPr>
          <w:rFonts w:ascii="Arial" w:eastAsia="Calibri" w:hAnsi="Arial" w:cs="Arial"/>
          <w:bCs/>
          <w:sz w:val="24"/>
          <w:szCs w:val="24"/>
        </w:rPr>
        <w:t>]</w:t>
      </w:r>
      <w:r w:rsidRPr="000C5BB5">
        <w:rPr>
          <w:rFonts w:ascii="Arial" w:eastAsia="Calibri" w:hAnsi="Arial" w:cs="Arial"/>
          <w:bCs/>
          <w:sz w:val="24"/>
          <w:szCs w:val="24"/>
        </w:rPr>
        <w:tab/>
        <w:t>She proceeded to explain that her grievance set out the steps that the NPA had taken ‘. . . to implement the OSD in respect of myself, before it became apparent that the First Respondent was no longer going to implement the OSD’. The deponent thus said that her grievance tabulated the steps that the NPA had taken as follows:</w:t>
      </w:r>
    </w:p>
    <w:p w14:paraId="07739C1D" w14:textId="77777777" w:rsidR="000C5BB5" w:rsidRPr="000C5BB5" w:rsidRDefault="000C5BB5" w:rsidP="000C5BB5">
      <w:pPr>
        <w:spacing w:after="0" w:line="360" w:lineRule="auto"/>
        <w:ind w:left="720" w:hanging="720"/>
        <w:jc w:val="both"/>
        <w:rPr>
          <w:rFonts w:ascii="Arial" w:eastAsia="Calibri" w:hAnsi="Arial" w:cs="Arial"/>
          <w:bCs/>
          <w:sz w:val="16"/>
          <w:szCs w:val="16"/>
        </w:rPr>
      </w:pPr>
      <w:r w:rsidRPr="000C5BB5">
        <w:rPr>
          <w:rFonts w:ascii="Arial" w:eastAsia="Calibri" w:hAnsi="Arial" w:cs="Arial"/>
          <w:bCs/>
        </w:rPr>
        <w:t>‘45.1</w:t>
      </w:r>
      <w:r w:rsidRPr="000C5BB5">
        <w:rPr>
          <w:rFonts w:ascii="Arial" w:eastAsia="Calibri" w:hAnsi="Arial" w:cs="Arial"/>
          <w:bCs/>
        </w:rPr>
        <w:tab/>
        <w:t>Individual work assessments, ensuring the 80/20 split between production work and management/administrative tasks, which was approved by my supervisor, the Director of Public Prosecutions;</w:t>
      </w:r>
    </w:p>
    <w:p w14:paraId="7938C08D" w14:textId="77777777" w:rsidR="000C5BB5" w:rsidRPr="000C5BB5" w:rsidRDefault="000C5BB5" w:rsidP="000C5BB5">
      <w:pPr>
        <w:spacing w:after="0" w:line="360" w:lineRule="auto"/>
        <w:ind w:left="720" w:hanging="720"/>
        <w:jc w:val="both"/>
        <w:rPr>
          <w:rFonts w:ascii="Arial" w:eastAsia="Calibri" w:hAnsi="Arial" w:cs="Arial"/>
          <w:bCs/>
          <w:sz w:val="16"/>
          <w:szCs w:val="16"/>
        </w:rPr>
      </w:pPr>
      <w:r w:rsidRPr="000C5BB5">
        <w:rPr>
          <w:rFonts w:ascii="Arial" w:eastAsia="Calibri" w:hAnsi="Arial" w:cs="Arial"/>
          <w:bCs/>
        </w:rPr>
        <w:t>45.2</w:t>
      </w:r>
      <w:r w:rsidRPr="000C5BB5">
        <w:rPr>
          <w:rFonts w:ascii="Arial" w:eastAsia="Calibri" w:hAnsi="Arial" w:cs="Arial"/>
          <w:bCs/>
        </w:rPr>
        <w:tab/>
        <w:t>Completion of a choice whether to translate, which I did choose by signing the performance agreement;</w:t>
      </w:r>
    </w:p>
    <w:p w14:paraId="113FCE06" w14:textId="77777777" w:rsidR="000C5BB5" w:rsidRPr="000C5BB5" w:rsidRDefault="000C5BB5" w:rsidP="000C5BB5">
      <w:pPr>
        <w:spacing w:after="0" w:line="360" w:lineRule="auto"/>
        <w:jc w:val="both"/>
        <w:rPr>
          <w:rFonts w:ascii="Arial" w:eastAsia="Calibri" w:hAnsi="Arial" w:cs="Arial"/>
          <w:bCs/>
          <w:sz w:val="16"/>
          <w:szCs w:val="16"/>
        </w:rPr>
      </w:pPr>
      <w:r w:rsidRPr="000C5BB5">
        <w:rPr>
          <w:rFonts w:ascii="Arial" w:eastAsia="Calibri" w:hAnsi="Arial" w:cs="Arial"/>
          <w:bCs/>
        </w:rPr>
        <w:t>45.3</w:t>
      </w:r>
      <w:r w:rsidRPr="000C5BB5">
        <w:rPr>
          <w:rFonts w:ascii="Arial" w:eastAsia="Calibri" w:hAnsi="Arial" w:cs="Arial"/>
          <w:bCs/>
        </w:rPr>
        <w:tab/>
        <w:t>Completion of individual experience audits, which I filed;</w:t>
      </w:r>
    </w:p>
    <w:p w14:paraId="57CF65C4" w14:textId="77777777" w:rsidR="000C5BB5" w:rsidRPr="000C5BB5" w:rsidRDefault="000C5BB5" w:rsidP="000C5BB5">
      <w:pPr>
        <w:spacing w:after="0" w:line="360" w:lineRule="auto"/>
        <w:ind w:left="720" w:hanging="720"/>
        <w:jc w:val="both"/>
        <w:rPr>
          <w:rFonts w:ascii="Arial" w:eastAsia="Calibri" w:hAnsi="Arial" w:cs="Arial"/>
          <w:bCs/>
          <w:sz w:val="16"/>
          <w:szCs w:val="16"/>
        </w:rPr>
      </w:pPr>
      <w:r w:rsidRPr="000C5BB5">
        <w:rPr>
          <w:rFonts w:ascii="Arial" w:eastAsia="Calibri" w:hAnsi="Arial" w:cs="Arial"/>
          <w:bCs/>
        </w:rPr>
        <w:t>45.4</w:t>
      </w:r>
      <w:r w:rsidRPr="000C5BB5">
        <w:rPr>
          <w:rFonts w:ascii="Arial" w:eastAsia="Calibri" w:hAnsi="Arial" w:cs="Arial"/>
          <w:bCs/>
        </w:rPr>
        <w:tab/>
        <w:t>An exercise whereby I was informed of the estimated financial impact of the translation, which I received (although I dispute the accuracy thereof);</w:t>
      </w:r>
    </w:p>
    <w:p w14:paraId="4A7FE2C6" w14:textId="77777777" w:rsidR="000C5BB5" w:rsidRPr="000C5BB5" w:rsidRDefault="000C5BB5" w:rsidP="000C5BB5">
      <w:pPr>
        <w:spacing w:after="0" w:line="360" w:lineRule="auto"/>
        <w:ind w:left="720" w:hanging="720"/>
        <w:jc w:val="both"/>
        <w:rPr>
          <w:rFonts w:ascii="Arial" w:eastAsia="Calibri" w:hAnsi="Arial" w:cs="Arial"/>
          <w:bCs/>
        </w:rPr>
      </w:pPr>
      <w:r w:rsidRPr="000C5BB5">
        <w:rPr>
          <w:rFonts w:ascii="Arial" w:eastAsia="Calibri" w:hAnsi="Arial" w:cs="Arial"/>
          <w:bCs/>
        </w:rPr>
        <w:t>45.5</w:t>
      </w:r>
      <w:r w:rsidRPr="000C5BB5">
        <w:rPr>
          <w:rFonts w:ascii="Arial" w:eastAsia="Calibri" w:hAnsi="Arial" w:cs="Arial"/>
          <w:bCs/>
        </w:rPr>
        <w:tab/>
        <w:t>the undertaking given that translation to LP10 will be effected both at meetings and in writing, as referred to and expanded in my affidavit; and</w:t>
      </w:r>
    </w:p>
    <w:p w14:paraId="272BA637" w14:textId="77777777" w:rsidR="000C5BB5" w:rsidRPr="000C5BB5" w:rsidRDefault="000C5BB5" w:rsidP="000C5BB5">
      <w:pPr>
        <w:spacing w:after="0" w:line="360" w:lineRule="auto"/>
        <w:ind w:left="720" w:hanging="720"/>
        <w:jc w:val="both"/>
        <w:rPr>
          <w:rFonts w:ascii="Arial" w:eastAsia="Calibri" w:hAnsi="Arial" w:cs="Arial"/>
          <w:bCs/>
        </w:rPr>
      </w:pPr>
      <w:r w:rsidRPr="000C5BB5">
        <w:rPr>
          <w:rFonts w:ascii="Arial" w:eastAsia="Calibri" w:hAnsi="Arial" w:cs="Arial"/>
          <w:bCs/>
        </w:rPr>
        <w:t>45.6</w:t>
      </w:r>
      <w:r w:rsidRPr="000C5BB5">
        <w:rPr>
          <w:rFonts w:ascii="Arial" w:eastAsia="Calibri" w:hAnsi="Arial" w:cs="Arial"/>
          <w:bCs/>
        </w:rPr>
        <w:tab/>
        <w:t xml:space="preserve">The signing of an LP10 performance agreement for the 2015/2016 performance year, which I did.’   </w:t>
      </w:r>
    </w:p>
    <w:p w14:paraId="50944F1E" w14:textId="77777777" w:rsidR="000C5BB5" w:rsidRPr="000C5BB5" w:rsidRDefault="000C5BB5" w:rsidP="000C5BB5">
      <w:pPr>
        <w:spacing w:after="0" w:line="360" w:lineRule="auto"/>
        <w:ind w:left="720" w:hanging="720"/>
        <w:jc w:val="both"/>
        <w:rPr>
          <w:rFonts w:ascii="Arial" w:eastAsia="Calibri" w:hAnsi="Arial" w:cs="Arial"/>
          <w:bCs/>
        </w:rPr>
      </w:pPr>
    </w:p>
    <w:p w14:paraId="64AC0225" w14:textId="40FF0EBD" w:rsidR="000C5BB5" w:rsidRDefault="000C5BB5" w:rsidP="000C5BB5">
      <w:pPr>
        <w:spacing w:after="0" w:line="360" w:lineRule="auto"/>
        <w:jc w:val="both"/>
        <w:rPr>
          <w:rFonts w:ascii="Arial" w:eastAsia="Calibri" w:hAnsi="Arial" w:cs="Arial"/>
          <w:bCs/>
          <w:sz w:val="24"/>
          <w:szCs w:val="24"/>
        </w:rPr>
      </w:pPr>
      <w:r w:rsidRPr="000C5BB5">
        <w:rPr>
          <w:rFonts w:ascii="Arial" w:eastAsia="Calibri" w:hAnsi="Arial" w:cs="Arial"/>
          <w:bCs/>
          <w:sz w:val="24"/>
          <w:szCs w:val="24"/>
        </w:rPr>
        <w:t>[</w:t>
      </w:r>
      <w:r>
        <w:rPr>
          <w:rFonts w:ascii="Arial" w:eastAsia="Calibri" w:hAnsi="Arial" w:cs="Arial"/>
          <w:bCs/>
          <w:sz w:val="24"/>
          <w:szCs w:val="24"/>
        </w:rPr>
        <w:t>67</w:t>
      </w:r>
      <w:r w:rsidRPr="000C5BB5">
        <w:rPr>
          <w:rFonts w:ascii="Arial" w:eastAsia="Calibri" w:hAnsi="Arial" w:cs="Arial"/>
          <w:bCs/>
          <w:sz w:val="24"/>
          <w:szCs w:val="24"/>
        </w:rPr>
        <w:t>]</w:t>
      </w:r>
      <w:r w:rsidRPr="000C5BB5">
        <w:rPr>
          <w:rFonts w:ascii="Arial" w:eastAsia="Calibri" w:hAnsi="Arial" w:cs="Arial"/>
          <w:bCs/>
          <w:sz w:val="24"/>
          <w:szCs w:val="24"/>
        </w:rPr>
        <w:tab/>
        <w:t>The deponent to the founding affidavit proceeded to say that all the other DDPPs and CPs had followed suit in lodging grievances. She said that her grievance had been referred to the GPSSPC as a dispute for resolution. She stated that the matter was scheduled for arbitration on 10 August 2016. The GPSSPC determined that it had jurisdiction in respect of the dispute and ordered the deponent to apply for condonation. She proceeded to say that the condonation had subsequently been granted and that the arbitration proceedings were not yet concluded.</w:t>
      </w:r>
    </w:p>
    <w:p w14:paraId="4840417D" w14:textId="77777777" w:rsidR="000C5BB5" w:rsidRPr="002F25D4" w:rsidRDefault="000C5BB5" w:rsidP="000C5BB5">
      <w:pPr>
        <w:spacing w:after="0" w:line="360" w:lineRule="auto"/>
        <w:jc w:val="both"/>
        <w:rPr>
          <w:rFonts w:ascii="Arial" w:eastAsia="Calibri" w:hAnsi="Arial" w:cs="Arial"/>
          <w:bCs/>
        </w:rPr>
      </w:pPr>
    </w:p>
    <w:p w14:paraId="35DB33E3" w14:textId="6485B146" w:rsidR="000C5BB5" w:rsidRPr="000C5BB5" w:rsidRDefault="000C5BB5" w:rsidP="000C5BB5">
      <w:pPr>
        <w:spacing w:after="0" w:line="360" w:lineRule="auto"/>
        <w:jc w:val="both"/>
        <w:rPr>
          <w:rFonts w:ascii="Arial" w:eastAsia="Calibri" w:hAnsi="Arial" w:cs="Arial"/>
          <w:bCs/>
          <w:sz w:val="24"/>
          <w:szCs w:val="24"/>
        </w:rPr>
      </w:pPr>
      <w:r w:rsidRPr="000C5BB5">
        <w:rPr>
          <w:rFonts w:ascii="Arial" w:eastAsia="Calibri" w:hAnsi="Arial" w:cs="Arial"/>
          <w:bCs/>
          <w:sz w:val="24"/>
          <w:szCs w:val="24"/>
        </w:rPr>
        <w:t>[</w:t>
      </w:r>
      <w:r>
        <w:rPr>
          <w:rFonts w:ascii="Arial" w:eastAsia="Calibri" w:hAnsi="Arial" w:cs="Arial"/>
          <w:bCs/>
          <w:sz w:val="24"/>
          <w:szCs w:val="24"/>
        </w:rPr>
        <w:t>68</w:t>
      </w:r>
      <w:r w:rsidRPr="000C5BB5">
        <w:rPr>
          <w:rFonts w:ascii="Arial" w:eastAsia="Calibri" w:hAnsi="Arial" w:cs="Arial"/>
          <w:bCs/>
          <w:sz w:val="24"/>
          <w:szCs w:val="24"/>
        </w:rPr>
        <w:t>]</w:t>
      </w:r>
      <w:r w:rsidRPr="000C5BB5">
        <w:rPr>
          <w:rFonts w:ascii="Arial" w:eastAsia="Calibri" w:hAnsi="Arial" w:cs="Arial"/>
          <w:bCs/>
          <w:sz w:val="24"/>
          <w:szCs w:val="24"/>
        </w:rPr>
        <w:tab/>
        <w:t>This part of the founding affidavit was immediately preceded by the following passage:</w:t>
      </w:r>
    </w:p>
    <w:p w14:paraId="35625B44" w14:textId="77777777" w:rsidR="000C5BB5" w:rsidRPr="000C5BB5" w:rsidRDefault="000C5BB5" w:rsidP="000C5BB5">
      <w:pPr>
        <w:spacing w:after="0" w:line="360" w:lineRule="auto"/>
        <w:jc w:val="both"/>
        <w:rPr>
          <w:rFonts w:ascii="Arial" w:eastAsia="Calibri" w:hAnsi="Arial" w:cs="Arial"/>
          <w:bCs/>
        </w:rPr>
      </w:pPr>
      <w:r w:rsidRPr="000C5BB5">
        <w:rPr>
          <w:rFonts w:ascii="Arial" w:eastAsia="Calibri" w:hAnsi="Arial" w:cs="Arial"/>
          <w:bCs/>
        </w:rPr>
        <w:t xml:space="preserve">‘It is important to note that the implementation date communicated in the meeting of 25 May 2015 and on the memorandum dated 24 November 2014 is not the same date that was agreed upon at the bargaining Council. It is neither the date the second respondent endorsed nor the date communicated by the third respondent in their respective determinations. The common implementation date agreed upon and duly communicated by the bargaining councils, second respondent and the third respondent for the purposes of the OSD is 7 July 2007 and not 1 April 2015.’   </w:t>
      </w:r>
    </w:p>
    <w:p w14:paraId="19540457" w14:textId="77777777" w:rsidR="000C5BB5" w:rsidRPr="002F25D4" w:rsidRDefault="000C5BB5" w:rsidP="000C5BB5">
      <w:pPr>
        <w:spacing w:after="0" w:line="360" w:lineRule="auto"/>
        <w:jc w:val="both"/>
        <w:rPr>
          <w:rFonts w:ascii="Arial" w:eastAsia="Calibri" w:hAnsi="Arial" w:cs="Arial"/>
          <w:bCs/>
        </w:rPr>
      </w:pPr>
    </w:p>
    <w:p w14:paraId="47373FC4" w14:textId="381839E8" w:rsidR="000C5BB5" w:rsidRPr="000C5BB5" w:rsidRDefault="000C5BB5" w:rsidP="000C5BB5">
      <w:pPr>
        <w:spacing w:after="0" w:line="360" w:lineRule="auto"/>
        <w:jc w:val="both"/>
        <w:rPr>
          <w:rFonts w:ascii="Arial" w:eastAsia="Calibri" w:hAnsi="Arial" w:cs="Arial"/>
          <w:bCs/>
          <w:sz w:val="24"/>
          <w:szCs w:val="24"/>
        </w:rPr>
      </w:pPr>
      <w:r w:rsidRPr="000C5BB5">
        <w:rPr>
          <w:rFonts w:ascii="Arial" w:eastAsia="Calibri" w:hAnsi="Arial" w:cs="Arial"/>
          <w:bCs/>
          <w:sz w:val="24"/>
          <w:szCs w:val="24"/>
        </w:rPr>
        <w:t>[</w:t>
      </w:r>
      <w:r>
        <w:rPr>
          <w:rFonts w:ascii="Arial" w:eastAsia="Calibri" w:hAnsi="Arial" w:cs="Arial"/>
          <w:bCs/>
          <w:sz w:val="24"/>
          <w:szCs w:val="24"/>
        </w:rPr>
        <w:t>69</w:t>
      </w:r>
      <w:r w:rsidRPr="000C5BB5">
        <w:rPr>
          <w:rFonts w:ascii="Arial" w:eastAsia="Calibri" w:hAnsi="Arial" w:cs="Arial"/>
          <w:bCs/>
          <w:sz w:val="24"/>
          <w:szCs w:val="24"/>
        </w:rPr>
        <w:t>]</w:t>
      </w:r>
      <w:r w:rsidRPr="000C5BB5">
        <w:rPr>
          <w:rFonts w:ascii="Arial" w:eastAsia="Calibri" w:hAnsi="Arial" w:cs="Arial"/>
          <w:bCs/>
          <w:sz w:val="24"/>
          <w:szCs w:val="24"/>
        </w:rPr>
        <w:tab/>
        <w:t>In their context and in terms of their plain language, these averments did not purport to found relief on the terms of the employment contracts between the NPA and the DDPPs and CPs (who, in any event, were not parties to the application). The founding affidavit simply did not place reliance on employment contracts. That is why the following was stated in the answering affidavit:</w:t>
      </w:r>
    </w:p>
    <w:p w14:paraId="2D962AF4" w14:textId="77777777" w:rsidR="000C5BB5" w:rsidRPr="000C5BB5" w:rsidRDefault="000C5BB5" w:rsidP="000C5BB5">
      <w:pPr>
        <w:spacing w:after="0" w:line="360" w:lineRule="auto"/>
        <w:jc w:val="both"/>
        <w:rPr>
          <w:rFonts w:ascii="Arial" w:eastAsia="Calibri" w:hAnsi="Arial" w:cs="Arial"/>
          <w:bCs/>
        </w:rPr>
      </w:pPr>
      <w:r w:rsidRPr="000C5BB5">
        <w:rPr>
          <w:rFonts w:ascii="Arial" w:eastAsia="Calibri" w:hAnsi="Arial" w:cs="Arial"/>
          <w:bCs/>
        </w:rPr>
        <w:t xml:space="preserve">‘The Applicants correctly do not and cannot rely on any enforceable contractual right, because there was no binding agreement between the NPA and the Applicants – which is the hallmark of contractually enforceable obligations.’  </w:t>
      </w:r>
    </w:p>
    <w:p w14:paraId="74FAA9EE" w14:textId="77777777" w:rsidR="000C5BB5" w:rsidRPr="000C5BB5" w:rsidRDefault="000C5BB5" w:rsidP="000C5BB5">
      <w:pPr>
        <w:spacing w:after="0" w:line="360" w:lineRule="auto"/>
        <w:jc w:val="both"/>
        <w:rPr>
          <w:rFonts w:ascii="Arial" w:eastAsia="Calibri" w:hAnsi="Arial" w:cs="Arial"/>
          <w:bCs/>
          <w:sz w:val="24"/>
          <w:szCs w:val="24"/>
        </w:rPr>
      </w:pPr>
      <w:r w:rsidRPr="000C5BB5">
        <w:rPr>
          <w:rFonts w:ascii="Arial" w:eastAsia="Calibri" w:hAnsi="Arial" w:cs="Arial"/>
          <w:bCs/>
          <w:sz w:val="24"/>
          <w:szCs w:val="24"/>
        </w:rPr>
        <w:t xml:space="preserve">And it came as no surprise that this averment had not been disputed in the replying affidavit. </w:t>
      </w:r>
    </w:p>
    <w:p w14:paraId="4F5600C0" w14:textId="77777777" w:rsidR="000C5BB5" w:rsidRPr="002F25D4" w:rsidRDefault="000C5BB5" w:rsidP="000C5BB5">
      <w:pPr>
        <w:spacing w:after="0" w:line="360" w:lineRule="auto"/>
        <w:jc w:val="both"/>
        <w:rPr>
          <w:rFonts w:ascii="Arial" w:eastAsia="Calibri" w:hAnsi="Arial" w:cs="Arial"/>
          <w:bCs/>
        </w:rPr>
      </w:pPr>
    </w:p>
    <w:p w14:paraId="3167B82B" w14:textId="2CC7E5A7" w:rsidR="000C5BB5" w:rsidRPr="000C5BB5" w:rsidRDefault="000C5BB5" w:rsidP="000C5BB5">
      <w:pPr>
        <w:spacing w:after="0" w:line="360" w:lineRule="auto"/>
        <w:jc w:val="both"/>
        <w:rPr>
          <w:rFonts w:ascii="Arial" w:eastAsia="Calibri" w:hAnsi="Arial" w:cs="Arial"/>
          <w:bCs/>
          <w:sz w:val="24"/>
          <w:szCs w:val="24"/>
        </w:rPr>
      </w:pPr>
      <w:r w:rsidRPr="000C5BB5">
        <w:rPr>
          <w:rFonts w:ascii="Arial" w:eastAsia="Calibri" w:hAnsi="Arial" w:cs="Arial"/>
          <w:bCs/>
          <w:sz w:val="24"/>
          <w:szCs w:val="24"/>
        </w:rPr>
        <w:t>[</w:t>
      </w:r>
      <w:r>
        <w:rPr>
          <w:rFonts w:ascii="Arial" w:eastAsia="Calibri" w:hAnsi="Arial" w:cs="Arial"/>
          <w:bCs/>
          <w:sz w:val="24"/>
          <w:szCs w:val="24"/>
        </w:rPr>
        <w:t>70</w:t>
      </w:r>
      <w:r w:rsidRPr="000C5BB5">
        <w:rPr>
          <w:rFonts w:ascii="Arial" w:eastAsia="Calibri" w:hAnsi="Arial" w:cs="Arial"/>
          <w:bCs/>
          <w:sz w:val="24"/>
          <w:szCs w:val="24"/>
        </w:rPr>
        <w:t>]</w:t>
      </w:r>
      <w:r w:rsidRPr="000C5BB5">
        <w:rPr>
          <w:rFonts w:ascii="Arial" w:eastAsia="Calibri" w:hAnsi="Arial" w:cs="Arial"/>
          <w:bCs/>
          <w:sz w:val="24"/>
          <w:szCs w:val="24"/>
        </w:rPr>
        <w:tab/>
        <w:t>What was in fact relied upon in the founding affidavit, at length, was that the failure to implement the OSD in respect of the DDPPs and CPs had constituted an unfair labour practice relating to promotion and benefits, as defined in s 186 of the LRA. In this regard the founding affidavit concluded as follows:</w:t>
      </w:r>
    </w:p>
    <w:p w14:paraId="73110B1B" w14:textId="77777777" w:rsidR="000C5BB5" w:rsidRPr="000C5BB5" w:rsidRDefault="000C5BB5" w:rsidP="000C5BB5">
      <w:pPr>
        <w:spacing w:after="0" w:line="360" w:lineRule="auto"/>
        <w:jc w:val="both"/>
        <w:rPr>
          <w:rFonts w:ascii="Arial" w:eastAsia="Calibri" w:hAnsi="Arial" w:cs="Arial"/>
          <w:bCs/>
        </w:rPr>
      </w:pPr>
      <w:r w:rsidRPr="000C5BB5">
        <w:rPr>
          <w:rFonts w:ascii="Arial" w:eastAsia="Calibri" w:hAnsi="Arial" w:cs="Arial"/>
          <w:bCs/>
        </w:rPr>
        <w:t xml:space="preserve">‘In the circumstances, we submit that a proper case for unfair labour practice has been made out by the applicant on behalf of its members. The applicant’s members remain financially disadvantaged by the non-implementation of the OSD determined for their benefit by the second respondent acting in terms of s 18(1) of the Act and as per collective agreements.’ </w:t>
      </w:r>
    </w:p>
    <w:p w14:paraId="6FE40191" w14:textId="77777777" w:rsidR="000C5BB5" w:rsidRPr="000C5BB5" w:rsidRDefault="000C5BB5" w:rsidP="000C5BB5">
      <w:pPr>
        <w:spacing w:after="0" w:line="360" w:lineRule="auto"/>
        <w:jc w:val="both"/>
        <w:rPr>
          <w:rFonts w:ascii="Arial" w:eastAsia="Calibri" w:hAnsi="Arial" w:cs="Arial"/>
          <w:bCs/>
          <w:sz w:val="24"/>
          <w:szCs w:val="24"/>
        </w:rPr>
      </w:pPr>
      <w:r w:rsidRPr="000C5BB5">
        <w:rPr>
          <w:rFonts w:ascii="Arial" w:eastAsia="Calibri" w:hAnsi="Arial" w:cs="Arial"/>
          <w:bCs/>
          <w:sz w:val="24"/>
          <w:szCs w:val="24"/>
        </w:rPr>
        <w:t>In terms of s 191 of the LRA such unfair labour practice disputes must, of course, be dealt with in terms of the LRA. It is clear from the papers that the PSA’s reference to an alleged legitimate expectation formed part and parcel of its case for an unfair labour practice.</w:t>
      </w:r>
    </w:p>
    <w:p w14:paraId="191D1422" w14:textId="77777777" w:rsidR="000C5BB5" w:rsidRPr="000C5BB5" w:rsidRDefault="000C5BB5" w:rsidP="000C5BB5">
      <w:pPr>
        <w:spacing w:after="0" w:line="360" w:lineRule="auto"/>
        <w:jc w:val="both"/>
        <w:rPr>
          <w:rFonts w:ascii="Arial" w:eastAsia="Calibri" w:hAnsi="Arial" w:cs="Arial"/>
          <w:bCs/>
          <w:sz w:val="24"/>
          <w:szCs w:val="24"/>
        </w:rPr>
      </w:pPr>
    </w:p>
    <w:p w14:paraId="2C4AE1B3" w14:textId="6E71F769" w:rsidR="00C143C0" w:rsidRDefault="000C5BB5" w:rsidP="000C5BB5">
      <w:pPr>
        <w:spacing w:after="0" w:line="360" w:lineRule="auto"/>
        <w:jc w:val="both"/>
        <w:rPr>
          <w:rFonts w:ascii="Arial" w:eastAsia="Calibri" w:hAnsi="Arial" w:cs="Arial"/>
          <w:bCs/>
          <w:sz w:val="24"/>
          <w:szCs w:val="24"/>
        </w:rPr>
      </w:pPr>
      <w:r w:rsidRPr="000C5BB5">
        <w:rPr>
          <w:rFonts w:ascii="Arial" w:eastAsia="Calibri" w:hAnsi="Arial" w:cs="Arial"/>
          <w:bCs/>
          <w:sz w:val="24"/>
          <w:szCs w:val="24"/>
        </w:rPr>
        <w:t>[</w:t>
      </w:r>
      <w:r>
        <w:rPr>
          <w:rFonts w:ascii="Arial" w:eastAsia="Calibri" w:hAnsi="Arial" w:cs="Arial"/>
          <w:bCs/>
          <w:sz w:val="24"/>
          <w:szCs w:val="24"/>
        </w:rPr>
        <w:t>71</w:t>
      </w:r>
      <w:r w:rsidRPr="000C5BB5">
        <w:rPr>
          <w:rFonts w:ascii="Arial" w:eastAsia="Calibri" w:hAnsi="Arial" w:cs="Arial"/>
          <w:bCs/>
          <w:sz w:val="24"/>
          <w:szCs w:val="24"/>
        </w:rPr>
        <w:t>]</w:t>
      </w:r>
      <w:r w:rsidRPr="000C5BB5">
        <w:rPr>
          <w:rFonts w:ascii="Arial" w:eastAsia="Calibri" w:hAnsi="Arial" w:cs="Arial"/>
          <w:bCs/>
          <w:sz w:val="24"/>
          <w:szCs w:val="24"/>
        </w:rPr>
        <w:tab/>
        <w:t xml:space="preserve">For these reasons we conclude that the high court did not have jurisdiction to hear the matter. It had no power or authority to determine the disputes and should have struck the matter from its roll. In the exercise of our discretion in respect of costs, the PSA should be ordered to bear the costs of the abortive application in the high court and of the appeal, inclusive of the costs of two counsel where so employed. </w:t>
      </w:r>
    </w:p>
    <w:p w14:paraId="252D5987" w14:textId="77777777" w:rsidR="00991FF7" w:rsidRPr="000C5BB5" w:rsidRDefault="00991FF7" w:rsidP="000C5BB5">
      <w:pPr>
        <w:spacing w:after="0" w:line="360" w:lineRule="auto"/>
        <w:jc w:val="both"/>
        <w:rPr>
          <w:rFonts w:ascii="Arial" w:eastAsia="Calibri" w:hAnsi="Arial" w:cs="Arial"/>
          <w:bCs/>
          <w:sz w:val="24"/>
          <w:szCs w:val="24"/>
        </w:rPr>
      </w:pPr>
    </w:p>
    <w:p w14:paraId="12383AC0" w14:textId="4A354F6E" w:rsidR="000C5BB5" w:rsidRPr="000C5BB5" w:rsidRDefault="000C5BB5" w:rsidP="000C5BB5">
      <w:pPr>
        <w:spacing w:after="0" w:line="360" w:lineRule="auto"/>
        <w:jc w:val="both"/>
        <w:rPr>
          <w:rFonts w:ascii="Arial" w:eastAsia="Calibri" w:hAnsi="Arial" w:cs="Arial"/>
          <w:bCs/>
          <w:sz w:val="24"/>
          <w:szCs w:val="24"/>
        </w:rPr>
      </w:pPr>
      <w:r w:rsidRPr="000C5BB5">
        <w:rPr>
          <w:rFonts w:ascii="Arial" w:eastAsia="Calibri" w:hAnsi="Arial" w:cs="Arial"/>
          <w:bCs/>
          <w:sz w:val="24"/>
          <w:szCs w:val="24"/>
        </w:rPr>
        <w:t>[</w:t>
      </w:r>
      <w:r>
        <w:rPr>
          <w:rFonts w:ascii="Arial" w:eastAsia="Calibri" w:hAnsi="Arial" w:cs="Arial"/>
          <w:bCs/>
          <w:sz w:val="24"/>
          <w:szCs w:val="24"/>
        </w:rPr>
        <w:t>72</w:t>
      </w:r>
      <w:r w:rsidRPr="000C5BB5">
        <w:rPr>
          <w:rFonts w:ascii="Arial" w:eastAsia="Calibri" w:hAnsi="Arial" w:cs="Arial"/>
          <w:bCs/>
          <w:sz w:val="24"/>
          <w:szCs w:val="24"/>
        </w:rPr>
        <w:t>]</w:t>
      </w:r>
      <w:r w:rsidRPr="000C5BB5">
        <w:rPr>
          <w:rFonts w:ascii="Arial" w:eastAsia="Calibri" w:hAnsi="Arial" w:cs="Arial"/>
          <w:bCs/>
          <w:sz w:val="24"/>
          <w:szCs w:val="24"/>
        </w:rPr>
        <w:tab/>
        <w:t>In the result we</w:t>
      </w:r>
      <w:r w:rsidR="00C2422B">
        <w:rPr>
          <w:rFonts w:ascii="Arial" w:eastAsia="Calibri" w:hAnsi="Arial" w:cs="Arial"/>
          <w:bCs/>
          <w:sz w:val="24"/>
          <w:szCs w:val="24"/>
        </w:rPr>
        <w:t xml:space="preserve"> </w:t>
      </w:r>
      <w:r w:rsidRPr="000C5BB5">
        <w:rPr>
          <w:rFonts w:ascii="Arial" w:eastAsia="Calibri" w:hAnsi="Arial" w:cs="Arial"/>
          <w:bCs/>
          <w:sz w:val="24"/>
          <w:szCs w:val="24"/>
        </w:rPr>
        <w:t>make the following order:</w:t>
      </w:r>
    </w:p>
    <w:p w14:paraId="12329425" w14:textId="77777777" w:rsidR="000C5BB5" w:rsidRPr="000C5BB5" w:rsidRDefault="000C5BB5" w:rsidP="000C5BB5">
      <w:pPr>
        <w:spacing w:after="0" w:line="360" w:lineRule="auto"/>
        <w:ind w:left="720" w:hanging="720"/>
        <w:jc w:val="both"/>
        <w:rPr>
          <w:rFonts w:ascii="Arial" w:eastAsia="Calibri" w:hAnsi="Arial" w:cs="Arial"/>
          <w:bCs/>
          <w:sz w:val="24"/>
          <w:szCs w:val="24"/>
        </w:rPr>
      </w:pPr>
      <w:r w:rsidRPr="000C5BB5">
        <w:rPr>
          <w:rFonts w:ascii="Arial" w:eastAsia="Calibri" w:hAnsi="Arial" w:cs="Arial"/>
          <w:bCs/>
          <w:sz w:val="24"/>
          <w:szCs w:val="24"/>
        </w:rPr>
        <w:t>1</w:t>
      </w:r>
      <w:r w:rsidRPr="000C5BB5">
        <w:rPr>
          <w:rFonts w:ascii="Arial" w:eastAsia="Calibri" w:hAnsi="Arial" w:cs="Arial"/>
          <w:bCs/>
          <w:sz w:val="24"/>
          <w:szCs w:val="24"/>
        </w:rPr>
        <w:tab/>
        <w:t>The appeal is upheld with costs, including the costs of two counsel where so employed.</w:t>
      </w:r>
    </w:p>
    <w:p w14:paraId="396A125A" w14:textId="77777777" w:rsidR="000C5BB5" w:rsidRPr="000C5BB5" w:rsidRDefault="000C5BB5" w:rsidP="000C5BB5">
      <w:pPr>
        <w:spacing w:after="0" w:line="360" w:lineRule="auto"/>
        <w:jc w:val="both"/>
        <w:rPr>
          <w:rFonts w:ascii="Arial" w:eastAsia="Calibri" w:hAnsi="Arial" w:cs="Arial"/>
          <w:bCs/>
          <w:sz w:val="24"/>
          <w:szCs w:val="24"/>
        </w:rPr>
      </w:pPr>
      <w:r w:rsidRPr="000C5BB5">
        <w:rPr>
          <w:rFonts w:ascii="Arial" w:eastAsia="Calibri" w:hAnsi="Arial" w:cs="Arial"/>
          <w:bCs/>
          <w:sz w:val="24"/>
          <w:szCs w:val="24"/>
        </w:rPr>
        <w:t>2</w:t>
      </w:r>
      <w:r w:rsidRPr="000C5BB5">
        <w:rPr>
          <w:rFonts w:ascii="Arial" w:eastAsia="Calibri" w:hAnsi="Arial" w:cs="Arial"/>
          <w:bCs/>
          <w:sz w:val="24"/>
          <w:szCs w:val="24"/>
        </w:rPr>
        <w:tab/>
        <w:t>The order of the high court is set aside and replaced with the following:</w:t>
      </w:r>
    </w:p>
    <w:p w14:paraId="354EE867" w14:textId="0EBC14B7" w:rsidR="000C5BB5" w:rsidRDefault="000C5BB5" w:rsidP="000C5BB5">
      <w:pPr>
        <w:spacing w:after="0" w:line="360" w:lineRule="auto"/>
        <w:ind w:left="720"/>
        <w:jc w:val="both"/>
        <w:rPr>
          <w:rFonts w:ascii="Arial" w:eastAsia="Calibri" w:hAnsi="Arial" w:cs="Arial"/>
          <w:bCs/>
          <w:sz w:val="24"/>
          <w:szCs w:val="24"/>
        </w:rPr>
      </w:pPr>
      <w:r w:rsidRPr="000C5BB5">
        <w:rPr>
          <w:rFonts w:ascii="Arial" w:eastAsia="Calibri" w:hAnsi="Arial" w:cs="Arial"/>
          <w:bCs/>
          <w:sz w:val="24"/>
          <w:szCs w:val="24"/>
        </w:rPr>
        <w:t>‘The application is struck from the roll with costs, including the costs of two counsel where so employed.’</w:t>
      </w:r>
    </w:p>
    <w:p w14:paraId="6073681D" w14:textId="77777777" w:rsidR="00991FF7" w:rsidRPr="000C5BB5" w:rsidRDefault="00991FF7" w:rsidP="000C5BB5">
      <w:pPr>
        <w:spacing w:after="0" w:line="360" w:lineRule="auto"/>
        <w:ind w:left="720"/>
        <w:jc w:val="both"/>
        <w:rPr>
          <w:rFonts w:ascii="Arial" w:eastAsia="Calibri" w:hAnsi="Arial" w:cs="Arial"/>
          <w:bCs/>
          <w:sz w:val="24"/>
          <w:szCs w:val="24"/>
        </w:rPr>
      </w:pPr>
    </w:p>
    <w:p w14:paraId="2F368BDD" w14:textId="77777777" w:rsidR="000C5BB5" w:rsidRPr="000C5BB5" w:rsidRDefault="000C5BB5" w:rsidP="000C5BB5">
      <w:pPr>
        <w:spacing w:after="0" w:line="360" w:lineRule="auto"/>
        <w:jc w:val="both"/>
        <w:rPr>
          <w:rFonts w:ascii="Arial" w:eastAsia="Calibri" w:hAnsi="Arial" w:cs="Arial"/>
          <w:bCs/>
          <w:sz w:val="24"/>
          <w:szCs w:val="24"/>
        </w:rPr>
      </w:pPr>
    </w:p>
    <w:p w14:paraId="7908B4D9" w14:textId="21D1125C" w:rsidR="00B80738" w:rsidRPr="003805AB" w:rsidRDefault="00B80738" w:rsidP="00A90511">
      <w:pPr>
        <w:spacing w:after="0" w:line="360" w:lineRule="auto"/>
        <w:jc w:val="right"/>
        <w:rPr>
          <w:rFonts w:ascii="Arial" w:hAnsi="Arial" w:cs="Arial"/>
          <w:sz w:val="24"/>
          <w:szCs w:val="24"/>
        </w:rPr>
      </w:pPr>
      <w:r w:rsidRPr="003805AB">
        <w:rPr>
          <w:rFonts w:ascii="Arial" w:hAnsi="Arial" w:cs="Arial"/>
          <w:sz w:val="24"/>
          <w:szCs w:val="24"/>
        </w:rPr>
        <w:t>______________</w:t>
      </w:r>
      <w:r w:rsidR="000C5BB5" w:rsidRPr="003805AB">
        <w:rPr>
          <w:rFonts w:ascii="Arial" w:hAnsi="Arial" w:cs="Arial"/>
          <w:sz w:val="24"/>
          <w:szCs w:val="24"/>
        </w:rPr>
        <w:t>__</w:t>
      </w:r>
      <w:r w:rsidRPr="003805AB">
        <w:rPr>
          <w:rFonts w:ascii="Arial" w:hAnsi="Arial" w:cs="Arial"/>
          <w:sz w:val="24"/>
          <w:szCs w:val="24"/>
        </w:rPr>
        <w:t xml:space="preserve">______ </w:t>
      </w:r>
    </w:p>
    <w:p w14:paraId="5E0EDE8B" w14:textId="7DA54F51" w:rsidR="00B80738" w:rsidRPr="003805AB" w:rsidRDefault="00B80738" w:rsidP="005E2CAA">
      <w:pPr>
        <w:spacing w:after="0" w:line="360" w:lineRule="auto"/>
        <w:jc w:val="right"/>
        <w:rPr>
          <w:rFonts w:ascii="Arial" w:hAnsi="Arial" w:cs="Arial"/>
          <w:sz w:val="24"/>
          <w:szCs w:val="24"/>
        </w:rPr>
      </w:pPr>
      <w:r w:rsidRPr="003805AB">
        <w:rPr>
          <w:rFonts w:ascii="Arial" w:hAnsi="Arial" w:cs="Arial"/>
          <w:sz w:val="24"/>
          <w:szCs w:val="24"/>
        </w:rPr>
        <w:t>H</w:t>
      </w:r>
      <w:r w:rsidR="00E32A63" w:rsidRPr="003805AB">
        <w:rPr>
          <w:rFonts w:ascii="Arial" w:hAnsi="Arial" w:cs="Arial"/>
          <w:sz w:val="24"/>
          <w:szCs w:val="24"/>
        </w:rPr>
        <w:t xml:space="preserve"> K</w:t>
      </w:r>
      <w:r w:rsidRPr="003805AB">
        <w:rPr>
          <w:rFonts w:ascii="Arial" w:hAnsi="Arial" w:cs="Arial"/>
          <w:sz w:val="24"/>
          <w:szCs w:val="24"/>
        </w:rPr>
        <w:t xml:space="preserve"> SALDULKER</w:t>
      </w:r>
    </w:p>
    <w:p w14:paraId="05767637" w14:textId="28313980" w:rsidR="009354F7" w:rsidRDefault="00B80738" w:rsidP="005E2CAA">
      <w:pPr>
        <w:spacing w:after="0" w:line="360" w:lineRule="auto"/>
        <w:jc w:val="right"/>
        <w:rPr>
          <w:rFonts w:ascii="Arial" w:hAnsi="Arial" w:cs="Arial"/>
          <w:sz w:val="24"/>
          <w:szCs w:val="24"/>
        </w:rPr>
      </w:pPr>
      <w:r w:rsidRPr="003805AB">
        <w:rPr>
          <w:rFonts w:ascii="Arial" w:hAnsi="Arial" w:cs="Arial"/>
          <w:sz w:val="24"/>
          <w:szCs w:val="24"/>
        </w:rPr>
        <w:t xml:space="preserve"> JUDGE OF APPEAL</w:t>
      </w:r>
    </w:p>
    <w:p w14:paraId="0377B926" w14:textId="5F6F7869" w:rsidR="00B75090" w:rsidRDefault="00B75090" w:rsidP="005E2CAA">
      <w:pPr>
        <w:spacing w:after="0" w:line="360" w:lineRule="auto"/>
        <w:jc w:val="right"/>
        <w:rPr>
          <w:rFonts w:ascii="Arial" w:hAnsi="Arial" w:cs="Arial"/>
          <w:sz w:val="24"/>
          <w:szCs w:val="24"/>
        </w:rPr>
      </w:pPr>
    </w:p>
    <w:p w14:paraId="77C53104" w14:textId="6573B110" w:rsidR="00B75090" w:rsidRPr="003805AB" w:rsidRDefault="00B75090" w:rsidP="005E2CAA">
      <w:pPr>
        <w:spacing w:after="0" w:line="360" w:lineRule="auto"/>
        <w:jc w:val="right"/>
        <w:rPr>
          <w:rFonts w:ascii="Arial" w:hAnsi="Arial" w:cs="Arial"/>
          <w:sz w:val="24"/>
          <w:szCs w:val="24"/>
        </w:rPr>
      </w:pPr>
    </w:p>
    <w:p w14:paraId="18C481B9" w14:textId="716153C3" w:rsidR="00AE7F41" w:rsidRPr="003805AB" w:rsidRDefault="00AE7F41" w:rsidP="00FB506A">
      <w:pPr>
        <w:spacing w:after="0" w:line="360" w:lineRule="auto"/>
        <w:jc w:val="center"/>
        <w:rPr>
          <w:rFonts w:ascii="Arial" w:hAnsi="Arial" w:cs="Arial"/>
          <w:sz w:val="24"/>
          <w:szCs w:val="24"/>
        </w:rPr>
      </w:pPr>
    </w:p>
    <w:p w14:paraId="4FF5FE22" w14:textId="40CC22E1" w:rsidR="00B80738" w:rsidRPr="003805AB" w:rsidRDefault="00B80738" w:rsidP="00A90511">
      <w:pPr>
        <w:spacing w:after="0" w:line="360" w:lineRule="auto"/>
        <w:jc w:val="right"/>
        <w:rPr>
          <w:rFonts w:ascii="Arial" w:hAnsi="Arial" w:cs="Arial"/>
          <w:sz w:val="24"/>
          <w:szCs w:val="24"/>
        </w:rPr>
      </w:pPr>
      <w:r w:rsidRPr="003805AB">
        <w:rPr>
          <w:rFonts w:ascii="Arial" w:hAnsi="Arial" w:cs="Arial"/>
          <w:sz w:val="24"/>
          <w:szCs w:val="24"/>
        </w:rPr>
        <w:t>___________</w:t>
      </w:r>
      <w:r w:rsidR="000C5BB5" w:rsidRPr="003805AB">
        <w:rPr>
          <w:rFonts w:ascii="Arial" w:hAnsi="Arial" w:cs="Arial"/>
          <w:sz w:val="24"/>
          <w:szCs w:val="24"/>
        </w:rPr>
        <w:t>__</w:t>
      </w:r>
      <w:r w:rsidRPr="003805AB">
        <w:rPr>
          <w:rFonts w:ascii="Arial" w:hAnsi="Arial" w:cs="Arial"/>
          <w:sz w:val="24"/>
          <w:szCs w:val="24"/>
        </w:rPr>
        <w:t xml:space="preserve">_________ </w:t>
      </w:r>
    </w:p>
    <w:p w14:paraId="2B232B4E" w14:textId="430A92B2" w:rsidR="00B80738" w:rsidRPr="003805AB" w:rsidRDefault="00B75090" w:rsidP="00B75090">
      <w:pPr>
        <w:tabs>
          <w:tab w:val="left" w:pos="681"/>
          <w:tab w:val="right" w:pos="9026"/>
        </w:tabs>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sidR="00AE7F41" w:rsidRPr="003805AB">
        <w:rPr>
          <w:rFonts w:ascii="Arial" w:hAnsi="Arial" w:cs="Arial"/>
          <w:sz w:val="24"/>
          <w:szCs w:val="24"/>
        </w:rPr>
        <w:t>C H G VAN DER MERWE</w:t>
      </w:r>
    </w:p>
    <w:p w14:paraId="7B9B614D" w14:textId="125BBA40" w:rsidR="00AE7F41" w:rsidRPr="003805AB" w:rsidRDefault="00B80738" w:rsidP="002E1C3D">
      <w:pPr>
        <w:spacing w:after="0" w:line="360" w:lineRule="auto"/>
        <w:jc w:val="right"/>
        <w:rPr>
          <w:rFonts w:ascii="Arial" w:hAnsi="Arial" w:cs="Arial"/>
          <w:sz w:val="24"/>
          <w:szCs w:val="24"/>
        </w:rPr>
      </w:pPr>
      <w:r w:rsidRPr="003805AB">
        <w:rPr>
          <w:rFonts w:ascii="Arial" w:hAnsi="Arial" w:cs="Arial"/>
          <w:sz w:val="24"/>
          <w:szCs w:val="24"/>
        </w:rPr>
        <w:t xml:space="preserve"> JUDGE OF APPEAL</w:t>
      </w:r>
    </w:p>
    <w:p w14:paraId="2BA8478E" w14:textId="77777777" w:rsidR="00DE30EE" w:rsidRDefault="00DE30EE" w:rsidP="009354F7">
      <w:pPr>
        <w:spacing w:line="360" w:lineRule="auto"/>
        <w:rPr>
          <w:rFonts w:ascii="Arial" w:hAnsi="Arial" w:cs="Arial"/>
        </w:rPr>
      </w:pPr>
    </w:p>
    <w:p w14:paraId="2C6E67CF" w14:textId="00164711" w:rsidR="009354F7" w:rsidRPr="003805AB" w:rsidRDefault="009354F7" w:rsidP="003805AB">
      <w:pPr>
        <w:spacing w:after="0" w:line="360" w:lineRule="auto"/>
        <w:jc w:val="both"/>
        <w:rPr>
          <w:rFonts w:ascii="Arial" w:hAnsi="Arial" w:cs="Arial"/>
          <w:sz w:val="24"/>
          <w:szCs w:val="24"/>
        </w:rPr>
      </w:pPr>
      <w:r w:rsidRPr="003805AB">
        <w:rPr>
          <w:rFonts w:ascii="Arial" w:hAnsi="Arial" w:cs="Arial"/>
          <w:sz w:val="24"/>
          <w:szCs w:val="24"/>
        </w:rPr>
        <w:t>Appearances</w:t>
      </w:r>
    </w:p>
    <w:p w14:paraId="22913702" w14:textId="49CE4075" w:rsidR="009354F7" w:rsidRDefault="009354F7" w:rsidP="003805AB">
      <w:pPr>
        <w:spacing w:after="0" w:line="360" w:lineRule="auto"/>
        <w:jc w:val="both"/>
        <w:rPr>
          <w:rFonts w:ascii="Arial" w:hAnsi="Arial" w:cs="Arial"/>
          <w:sz w:val="24"/>
          <w:szCs w:val="24"/>
        </w:rPr>
      </w:pPr>
    </w:p>
    <w:p w14:paraId="088BB527" w14:textId="18360C8A" w:rsidR="00A90511" w:rsidRPr="003805AB" w:rsidRDefault="00A90511" w:rsidP="003805AB">
      <w:pPr>
        <w:spacing w:after="0" w:line="360" w:lineRule="auto"/>
        <w:jc w:val="both"/>
        <w:rPr>
          <w:rFonts w:ascii="Arial" w:hAnsi="Arial" w:cs="Arial"/>
          <w:sz w:val="24"/>
          <w:szCs w:val="24"/>
        </w:rPr>
      </w:pPr>
      <w:r>
        <w:rPr>
          <w:rFonts w:ascii="Arial" w:hAnsi="Arial" w:cs="Arial"/>
          <w:sz w:val="24"/>
          <w:szCs w:val="24"/>
        </w:rPr>
        <w:t>Case No. 353/2020</w:t>
      </w:r>
    </w:p>
    <w:p w14:paraId="37F81427" w14:textId="3C5A6BE9" w:rsidR="009354F7" w:rsidRPr="003805AB" w:rsidRDefault="00E32A63" w:rsidP="003805AB">
      <w:pPr>
        <w:spacing w:after="0" w:line="360" w:lineRule="auto"/>
        <w:jc w:val="both"/>
        <w:rPr>
          <w:rFonts w:ascii="Arial" w:hAnsi="Arial" w:cs="Arial"/>
          <w:sz w:val="24"/>
          <w:szCs w:val="24"/>
        </w:rPr>
      </w:pPr>
      <w:r w:rsidRPr="003805AB">
        <w:rPr>
          <w:rFonts w:ascii="Arial" w:hAnsi="Arial" w:cs="Arial"/>
          <w:sz w:val="24"/>
          <w:szCs w:val="24"/>
        </w:rPr>
        <w:t>For Appellant:</w:t>
      </w:r>
      <w:r w:rsidRPr="003805AB">
        <w:rPr>
          <w:rFonts w:ascii="Arial" w:hAnsi="Arial" w:cs="Arial"/>
          <w:sz w:val="24"/>
          <w:szCs w:val="24"/>
        </w:rPr>
        <w:tab/>
      </w:r>
      <w:r w:rsidR="00957BB7">
        <w:rPr>
          <w:rFonts w:ascii="Arial" w:hAnsi="Arial" w:cs="Arial"/>
          <w:sz w:val="24"/>
          <w:szCs w:val="24"/>
        </w:rPr>
        <w:tab/>
      </w:r>
      <w:r w:rsidR="009354F7" w:rsidRPr="003805AB">
        <w:rPr>
          <w:rFonts w:ascii="Arial" w:hAnsi="Arial" w:cs="Arial"/>
          <w:sz w:val="24"/>
          <w:szCs w:val="24"/>
        </w:rPr>
        <w:t>L Halgryn</w:t>
      </w:r>
      <w:r w:rsidR="00A90511">
        <w:rPr>
          <w:rFonts w:ascii="Arial" w:hAnsi="Arial" w:cs="Arial"/>
          <w:sz w:val="24"/>
          <w:szCs w:val="24"/>
        </w:rPr>
        <w:t xml:space="preserve"> SC</w:t>
      </w:r>
      <w:r w:rsidR="009354F7" w:rsidRPr="003805AB">
        <w:rPr>
          <w:rFonts w:ascii="Arial" w:hAnsi="Arial" w:cs="Arial"/>
          <w:sz w:val="24"/>
          <w:szCs w:val="24"/>
        </w:rPr>
        <w:t xml:space="preserve"> (with him P Mafisa)</w:t>
      </w:r>
    </w:p>
    <w:p w14:paraId="432A007F" w14:textId="094FB796" w:rsidR="009354F7" w:rsidRPr="003805AB" w:rsidRDefault="00E32A63" w:rsidP="003805AB">
      <w:pPr>
        <w:spacing w:after="0" w:line="360" w:lineRule="auto"/>
        <w:jc w:val="both"/>
        <w:rPr>
          <w:rFonts w:ascii="Arial" w:hAnsi="Arial" w:cs="Arial"/>
          <w:sz w:val="24"/>
          <w:szCs w:val="24"/>
        </w:rPr>
      </w:pPr>
      <w:r w:rsidRPr="003805AB">
        <w:rPr>
          <w:rFonts w:ascii="Arial" w:hAnsi="Arial" w:cs="Arial"/>
          <w:sz w:val="24"/>
          <w:szCs w:val="24"/>
        </w:rPr>
        <w:tab/>
      </w:r>
      <w:r w:rsidRPr="003805AB">
        <w:rPr>
          <w:rFonts w:ascii="Arial" w:hAnsi="Arial" w:cs="Arial"/>
          <w:sz w:val="24"/>
          <w:szCs w:val="24"/>
        </w:rPr>
        <w:tab/>
      </w:r>
      <w:r w:rsidRPr="003805AB">
        <w:rPr>
          <w:rFonts w:ascii="Arial" w:hAnsi="Arial" w:cs="Arial"/>
          <w:sz w:val="24"/>
          <w:szCs w:val="24"/>
        </w:rPr>
        <w:tab/>
      </w:r>
    </w:p>
    <w:p w14:paraId="3D61EA4B" w14:textId="73EA947F" w:rsidR="009354F7" w:rsidRPr="003805AB" w:rsidRDefault="00E32A63" w:rsidP="003805AB">
      <w:pPr>
        <w:spacing w:after="0" w:line="360" w:lineRule="auto"/>
        <w:jc w:val="both"/>
        <w:rPr>
          <w:rFonts w:ascii="Arial" w:hAnsi="Arial" w:cs="Arial"/>
          <w:sz w:val="24"/>
          <w:szCs w:val="24"/>
        </w:rPr>
      </w:pPr>
      <w:r w:rsidRPr="003805AB">
        <w:rPr>
          <w:rFonts w:ascii="Arial" w:hAnsi="Arial" w:cs="Arial"/>
          <w:sz w:val="24"/>
          <w:szCs w:val="24"/>
        </w:rPr>
        <w:t>Instructed by</w:t>
      </w:r>
      <w:r w:rsidR="00957BB7">
        <w:rPr>
          <w:rFonts w:ascii="Arial" w:hAnsi="Arial" w:cs="Arial"/>
          <w:sz w:val="24"/>
          <w:szCs w:val="24"/>
        </w:rPr>
        <w:t>:</w:t>
      </w:r>
      <w:r w:rsidRPr="003805AB">
        <w:rPr>
          <w:rFonts w:ascii="Arial" w:hAnsi="Arial" w:cs="Arial"/>
          <w:sz w:val="24"/>
          <w:szCs w:val="24"/>
        </w:rPr>
        <w:tab/>
      </w:r>
      <w:r w:rsidR="00957BB7">
        <w:rPr>
          <w:rFonts w:ascii="Arial" w:hAnsi="Arial" w:cs="Arial"/>
          <w:sz w:val="24"/>
          <w:szCs w:val="24"/>
        </w:rPr>
        <w:tab/>
      </w:r>
      <w:r w:rsidR="00816F02" w:rsidRPr="003805AB">
        <w:rPr>
          <w:rFonts w:ascii="Arial" w:hAnsi="Arial" w:cs="Arial"/>
          <w:sz w:val="24"/>
          <w:szCs w:val="24"/>
        </w:rPr>
        <w:t xml:space="preserve">State </w:t>
      </w:r>
      <w:r w:rsidR="005F191F" w:rsidRPr="003805AB">
        <w:rPr>
          <w:rFonts w:ascii="Arial" w:hAnsi="Arial" w:cs="Arial"/>
          <w:sz w:val="24"/>
          <w:szCs w:val="24"/>
        </w:rPr>
        <w:t>Attorney</w:t>
      </w:r>
      <w:r w:rsidR="00816F02" w:rsidRPr="003805AB">
        <w:rPr>
          <w:rFonts w:ascii="Arial" w:hAnsi="Arial" w:cs="Arial"/>
          <w:sz w:val="24"/>
          <w:szCs w:val="24"/>
        </w:rPr>
        <w:t>, Pretoria</w:t>
      </w:r>
    </w:p>
    <w:p w14:paraId="67E6E7FC" w14:textId="51D7CF5E" w:rsidR="00816F02" w:rsidRPr="003805AB" w:rsidRDefault="00816F02" w:rsidP="003805AB">
      <w:pPr>
        <w:spacing w:after="0" w:line="360" w:lineRule="auto"/>
        <w:jc w:val="both"/>
        <w:rPr>
          <w:rFonts w:ascii="Arial" w:hAnsi="Arial" w:cs="Arial"/>
          <w:sz w:val="24"/>
          <w:szCs w:val="24"/>
        </w:rPr>
      </w:pPr>
      <w:r w:rsidRPr="003805AB">
        <w:rPr>
          <w:rFonts w:ascii="Arial" w:hAnsi="Arial" w:cs="Arial"/>
          <w:sz w:val="24"/>
          <w:szCs w:val="24"/>
        </w:rPr>
        <w:tab/>
      </w:r>
      <w:r w:rsidRPr="003805AB">
        <w:rPr>
          <w:rFonts w:ascii="Arial" w:hAnsi="Arial" w:cs="Arial"/>
          <w:sz w:val="24"/>
          <w:szCs w:val="24"/>
        </w:rPr>
        <w:tab/>
        <w:t xml:space="preserve"> </w:t>
      </w:r>
      <w:r w:rsidR="00E32A63" w:rsidRPr="003805AB">
        <w:rPr>
          <w:rFonts w:ascii="Arial" w:hAnsi="Arial" w:cs="Arial"/>
          <w:sz w:val="24"/>
          <w:szCs w:val="24"/>
        </w:rPr>
        <w:tab/>
      </w:r>
      <w:r w:rsidR="00957BB7">
        <w:rPr>
          <w:rFonts w:ascii="Arial" w:hAnsi="Arial" w:cs="Arial"/>
          <w:sz w:val="24"/>
          <w:szCs w:val="24"/>
        </w:rPr>
        <w:tab/>
      </w:r>
      <w:r w:rsidRPr="003805AB">
        <w:rPr>
          <w:rFonts w:ascii="Arial" w:hAnsi="Arial" w:cs="Arial"/>
          <w:sz w:val="24"/>
          <w:szCs w:val="24"/>
        </w:rPr>
        <w:t>State Attorney, Bloemfontein</w:t>
      </w:r>
    </w:p>
    <w:p w14:paraId="17927607" w14:textId="77777777" w:rsidR="009354F7" w:rsidRPr="003805AB" w:rsidRDefault="009354F7" w:rsidP="003805AB">
      <w:pPr>
        <w:spacing w:after="0" w:line="360" w:lineRule="auto"/>
        <w:jc w:val="both"/>
        <w:rPr>
          <w:rFonts w:ascii="Arial" w:hAnsi="Arial" w:cs="Arial"/>
          <w:sz w:val="24"/>
          <w:szCs w:val="24"/>
        </w:rPr>
      </w:pPr>
    </w:p>
    <w:p w14:paraId="68C6BBFD" w14:textId="5242BB40" w:rsidR="009354F7" w:rsidRPr="003805AB" w:rsidRDefault="009354F7" w:rsidP="003805AB">
      <w:pPr>
        <w:spacing w:after="0" w:line="360" w:lineRule="auto"/>
        <w:jc w:val="both"/>
        <w:rPr>
          <w:rFonts w:ascii="Arial" w:hAnsi="Arial" w:cs="Arial"/>
          <w:sz w:val="24"/>
          <w:szCs w:val="24"/>
        </w:rPr>
      </w:pPr>
      <w:r w:rsidRPr="003805AB">
        <w:rPr>
          <w:rFonts w:ascii="Arial" w:hAnsi="Arial" w:cs="Arial"/>
          <w:sz w:val="24"/>
          <w:szCs w:val="24"/>
        </w:rPr>
        <w:t>For</w:t>
      </w:r>
      <w:r w:rsidR="00957BB7">
        <w:rPr>
          <w:rFonts w:ascii="Arial" w:hAnsi="Arial" w:cs="Arial"/>
          <w:sz w:val="24"/>
          <w:szCs w:val="24"/>
        </w:rPr>
        <w:t xml:space="preserve"> 1</w:t>
      </w:r>
      <w:r w:rsidR="00957BB7" w:rsidRPr="003805AB">
        <w:rPr>
          <w:rFonts w:ascii="Arial" w:hAnsi="Arial" w:cs="Arial"/>
          <w:sz w:val="24"/>
          <w:szCs w:val="24"/>
          <w:vertAlign w:val="superscript"/>
        </w:rPr>
        <w:t>st</w:t>
      </w:r>
      <w:r w:rsidR="00957BB7">
        <w:rPr>
          <w:rFonts w:ascii="Arial" w:hAnsi="Arial" w:cs="Arial"/>
          <w:sz w:val="24"/>
          <w:szCs w:val="24"/>
        </w:rPr>
        <w:t xml:space="preserve"> </w:t>
      </w:r>
      <w:r w:rsidRPr="003805AB">
        <w:rPr>
          <w:rFonts w:ascii="Arial" w:hAnsi="Arial" w:cs="Arial"/>
          <w:sz w:val="24"/>
          <w:szCs w:val="24"/>
        </w:rPr>
        <w:t xml:space="preserve"> Respondent: </w:t>
      </w:r>
      <w:r w:rsidR="00E32A63" w:rsidRPr="003805AB">
        <w:rPr>
          <w:rFonts w:ascii="Arial" w:hAnsi="Arial" w:cs="Arial"/>
          <w:sz w:val="24"/>
          <w:szCs w:val="24"/>
        </w:rPr>
        <w:tab/>
      </w:r>
      <w:r w:rsidRPr="003805AB">
        <w:rPr>
          <w:rFonts w:ascii="Arial" w:hAnsi="Arial" w:cs="Arial"/>
          <w:sz w:val="24"/>
          <w:szCs w:val="24"/>
        </w:rPr>
        <w:t xml:space="preserve">S Sethene </w:t>
      </w:r>
    </w:p>
    <w:p w14:paraId="2B26C3C2" w14:textId="65166435" w:rsidR="009354F7" w:rsidRPr="003805AB" w:rsidRDefault="00E32A63" w:rsidP="003805AB">
      <w:pPr>
        <w:spacing w:after="0" w:line="360" w:lineRule="auto"/>
        <w:jc w:val="both"/>
        <w:rPr>
          <w:rFonts w:ascii="Arial" w:hAnsi="Arial" w:cs="Arial"/>
          <w:sz w:val="24"/>
          <w:szCs w:val="24"/>
          <w:highlight w:val="yellow"/>
        </w:rPr>
      </w:pPr>
      <w:r w:rsidRPr="003805AB">
        <w:rPr>
          <w:rFonts w:ascii="Arial" w:hAnsi="Arial" w:cs="Arial"/>
          <w:sz w:val="24"/>
          <w:szCs w:val="24"/>
        </w:rPr>
        <w:t>Instructed by</w:t>
      </w:r>
      <w:r w:rsidR="00957BB7">
        <w:rPr>
          <w:rFonts w:ascii="Arial" w:hAnsi="Arial" w:cs="Arial"/>
          <w:sz w:val="24"/>
          <w:szCs w:val="24"/>
        </w:rPr>
        <w:t>:</w:t>
      </w:r>
      <w:r w:rsidRPr="003805AB">
        <w:rPr>
          <w:rFonts w:ascii="Arial" w:hAnsi="Arial" w:cs="Arial"/>
          <w:sz w:val="24"/>
          <w:szCs w:val="24"/>
        </w:rPr>
        <w:tab/>
      </w:r>
      <w:r w:rsidR="00957BB7">
        <w:rPr>
          <w:rFonts w:ascii="Arial" w:hAnsi="Arial" w:cs="Arial"/>
          <w:sz w:val="24"/>
          <w:szCs w:val="24"/>
        </w:rPr>
        <w:tab/>
      </w:r>
      <w:r w:rsidR="00816F02" w:rsidRPr="003805AB">
        <w:rPr>
          <w:rFonts w:ascii="Arial" w:hAnsi="Arial" w:cs="Arial"/>
          <w:sz w:val="24"/>
          <w:szCs w:val="24"/>
        </w:rPr>
        <w:t>Couzin &amp; Hertzog, Pretoria</w:t>
      </w:r>
    </w:p>
    <w:p w14:paraId="14839CB7" w14:textId="270F3CEB" w:rsidR="00EA160E" w:rsidRDefault="00816F02" w:rsidP="003805AB">
      <w:pPr>
        <w:spacing w:after="0" w:line="360" w:lineRule="auto"/>
        <w:jc w:val="both"/>
        <w:rPr>
          <w:rFonts w:ascii="Arial" w:hAnsi="Arial" w:cs="Arial"/>
          <w:sz w:val="24"/>
          <w:szCs w:val="24"/>
        </w:rPr>
      </w:pPr>
      <w:r w:rsidRPr="003805AB">
        <w:rPr>
          <w:rFonts w:ascii="Arial" w:hAnsi="Arial" w:cs="Arial"/>
          <w:sz w:val="24"/>
          <w:szCs w:val="24"/>
        </w:rPr>
        <w:tab/>
      </w:r>
      <w:r w:rsidRPr="003805AB">
        <w:rPr>
          <w:rFonts w:ascii="Arial" w:hAnsi="Arial" w:cs="Arial"/>
          <w:sz w:val="24"/>
          <w:szCs w:val="24"/>
        </w:rPr>
        <w:tab/>
      </w:r>
      <w:r w:rsidR="00E32A63" w:rsidRPr="003805AB">
        <w:rPr>
          <w:rFonts w:ascii="Arial" w:hAnsi="Arial" w:cs="Arial"/>
          <w:sz w:val="24"/>
          <w:szCs w:val="24"/>
        </w:rPr>
        <w:t xml:space="preserve">   </w:t>
      </w:r>
      <w:r w:rsidR="00E32A63" w:rsidRPr="003805AB">
        <w:rPr>
          <w:rFonts w:ascii="Arial" w:hAnsi="Arial" w:cs="Arial"/>
          <w:sz w:val="24"/>
          <w:szCs w:val="24"/>
        </w:rPr>
        <w:tab/>
      </w:r>
      <w:r w:rsidR="00957BB7">
        <w:rPr>
          <w:rFonts w:ascii="Arial" w:hAnsi="Arial" w:cs="Arial"/>
          <w:sz w:val="24"/>
          <w:szCs w:val="24"/>
        </w:rPr>
        <w:tab/>
      </w:r>
      <w:r w:rsidRPr="003805AB">
        <w:rPr>
          <w:rFonts w:ascii="Arial" w:hAnsi="Arial" w:cs="Arial"/>
          <w:sz w:val="24"/>
          <w:szCs w:val="24"/>
        </w:rPr>
        <w:t xml:space="preserve">Symington De Kok, </w:t>
      </w:r>
      <w:r w:rsidR="005F191F" w:rsidRPr="003805AB">
        <w:rPr>
          <w:rFonts w:ascii="Arial" w:hAnsi="Arial" w:cs="Arial"/>
          <w:sz w:val="24"/>
          <w:szCs w:val="24"/>
        </w:rPr>
        <w:t>Bloemfontein</w:t>
      </w:r>
    </w:p>
    <w:p w14:paraId="2595BBA4" w14:textId="329177E0" w:rsidR="00957BB7" w:rsidRDefault="00957BB7" w:rsidP="003805AB">
      <w:pPr>
        <w:spacing w:after="0" w:line="360" w:lineRule="auto"/>
        <w:jc w:val="both"/>
        <w:rPr>
          <w:rFonts w:ascii="Arial" w:hAnsi="Arial" w:cs="Arial"/>
          <w:sz w:val="24"/>
          <w:szCs w:val="24"/>
        </w:rPr>
      </w:pPr>
    </w:p>
    <w:p w14:paraId="11B09283" w14:textId="6C7ED043" w:rsidR="00957BB7" w:rsidRDefault="00957BB7" w:rsidP="003805AB">
      <w:pPr>
        <w:spacing w:after="0" w:line="360" w:lineRule="auto"/>
        <w:jc w:val="both"/>
        <w:rPr>
          <w:rFonts w:ascii="Arial" w:hAnsi="Arial" w:cs="Arial"/>
          <w:sz w:val="24"/>
          <w:szCs w:val="24"/>
        </w:rPr>
      </w:pPr>
      <w:r>
        <w:rPr>
          <w:rFonts w:ascii="Arial" w:hAnsi="Arial" w:cs="Arial"/>
          <w:sz w:val="24"/>
          <w:szCs w:val="24"/>
        </w:rPr>
        <w:t>Case No. 354/2020</w:t>
      </w:r>
    </w:p>
    <w:p w14:paraId="5808918D" w14:textId="3F917A02" w:rsidR="00957BB7" w:rsidRDefault="00957BB7" w:rsidP="003805AB">
      <w:pPr>
        <w:spacing w:after="0" w:line="360" w:lineRule="auto"/>
        <w:jc w:val="both"/>
        <w:rPr>
          <w:rFonts w:ascii="Arial" w:hAnsi="Arial" w:cs="Arial"/>
          <w:sz w:val="24"/>
          <w:szCs w:val="24"/>
        </w:rPr>
      </w:pPr>
      <w:r>
        <w:rPr>
          <w:rFonts w:ascii="Arial" w:hAnsi="Arial" w:cs="Arial"/>
          <w:sz w:val="24"/>
          <w:szCs w:val="24"/>
        </w:rPr>
        <w:t>For Appellants:</w:t>
      </w:r>
      <w:r>
        <w:rPr>
          <w:rFonts w:ascii="Arial" w:hAnsi="Arial" w:cs="Arial"/>
          <w:sz w:val="24"/>
          <w:szCs w:val="24"/>
        </w:rPr>
        <w:tab/>
      </w:r>
      <w:r w:rsidR="001815B7">
        <w:rPr>
          <w:rFonts w:ascii="Arial" w:hAnsi="Arial" w:cs="Arial"/>
          <w:sz w:val="24"/>
          <w:szCs w:val="24"/>
        </w:rPr>
        <w:tab/>
      </w:r>
      <w:r>
        <w:rPr>
          <w:rFonts w:ascii="Arial" w:hAnsi="Arial" w:cs="Arial"/>
          <w:sz w:val="24"/>
          <w:szCs w:val="24"/>
        </w:rPr>
        <w:t>F Boda SC (with him Z Ngwenya)</w:t>
      </w:r>
    </w:p>
    <w:p w14:paraId="0AB1DF5D" w14:textId="350ECE15" w:rsidR="00957BB7" w:rsidRDefault="00957BB7" w:rsidP="003805AB">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State Attorney, Pretoria</w:t>
      </w:r>
    </w:p>
    <w:p w14:paraId="1404CF1A" w14:textId="2B2E9E02" w:rsidR="00957BB7" w:rsidRDefault="00957BB7" w:rsidP="003805AB">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State Attorney, Bloemfontein</w:t>
      </w:r>
    </w:p>
    <w:p w14:paraId="36708BAB" w14:textId="2D2DCCFE" w:rsidR="00957BB7" w:rsidRDefault="00957BB7" w:rsidP="003805AB">
      <w:pPr>
        <w:spacing w:after="0" w:line="360" w:lineRule="auto"/>
        <w:jc w:val="both"/>
        <w:rPr>
          <w:rFonts w:ascii="Arial" w:hAnsi="Arial" w:cs="Arial"/>
          <w:sz w:val="24"/>
          <w:szCs w:val="24"/>
        </w:rPr>
      </w:pPr>
    </w:p>
    <w:p w14:paraId="511DF9E6" w14:textId="097A9CC1" w:rsidR="00957BB7" w:rsidRPr="001815B7" w:rsidRDefault="00957BB7" w:rsidP="003805AB">
      <w:pPr>
        <w:spacing w:after="0" w:line="360" w:lineRule="auto"/>
        <w:jc w:val="both"/>
      </w:pPr>
    </w:p>
    <w:sectPr w:rsidR="00957BB7" w:rsidRPr="001815B7" w:rsidSect="00944B58">
      <w:headerReference w:type="default" r:id="rId1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D3F5A" w14:textId="77777777" w:rsidR="00772B6B" w:rsidRDefault="00772B6B" w:rsidP="005603C9">
      <w:pPr>
        <w:spacing w:after="0" w:line="240" w:lineRule="auto"/>
      </w:pPr>
      <w:r>
        <w:separator/>
      </w:r>
    </w:p>
  </w:endnote>
  <w:endnote w:type="continuationSeparator" w:id="0">
    <w:p w14:paraId="0B86E80D" w14:textId="77777777" w:rsidR="00772B6B" w:rsidRDefault="00772B6B" w:rsidP="00560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95166" w14:textId="77777777" w:rsidR="00772B6B" w:rsidRDefault="00772B6B" w:rsidP="005603C9">
      <w:pPr>
        <w:spacing w:after="0" w:line="240" w:lineRule="auto"/>
      </w:pPr>
      <w:r>
        <w:separator/>
      </w:r>
    </w:p>
  </w:footnote>
  <w:footnote w:type="continuationSeparator" w:id="0">
    <w:p w14:paraId="076010CF" w14:textId="77777777" w:rsidR="00772B6B" w:rsidRDefault="00772B6B" w:rsidP="005603C9">
      <w:pPr>
        <w:spacing w:after="0" w:line="240" w:lineRule="auto"/>
      </w:pPr>
      <w:r>
        <w:continuationSeparator/>
      </w:r>
    </w:p>
  </w:footnote>
  <w:footnote w:id="1">
    <w:p w14:paraId="3BA6FA49" w14:textId="6D46E6B5" w:rsidR="00D02B6C" w:rsidRPr="0063425D" w:rsidRDefault="00D02B6C" w:rsidP="00B354D9">
      <w:pPr>
        <w:pStyle w:val="FootnoteText"/>
        <w:jc w:val="both"/>
        <w:rPr>
          <w:rFonts w:ascii="Arial" w:hAnsi="Arial" w:cs="Arial"/>
        </w:rPr>
      </w:pPr>
      <w:r w:rsidRPr="0063425D">
        <w:rPr>
          <w:rStyle w:val="FootnoteReference"/>
          <w:rFonts w:ascii="Arial" w:hAnsi="Arial" w:cs="Arial"/>
        </w:rPr>
        <w:footnoteRef/>
      </w:r>
      <w:r w:rsidRPr="0063425D">
        <w:rPr>
          <w:rFonts w:ascii="Arial" w:hAnsi="Arial" w:cs="Arial"/>
        </w:rPr>
        <w:t xml:space="preserve"> </w:t>
      </w:r>
      <w:r>
        <w:rPr>
          <w:rFonts w:ascii="Arial" w:hAnsi="Arial" w:cs="Arial"/>
        </w:rPr>
        <w:t xml:space="preserve">It appears that three members represented by the PSA were CPs. The rest of the members were DDPPs. The appellants contended that neither the DDPPs nor the CPs were covered by 2010 Determination. </w:t>
      </w:r>
    </w:p>
  </w:footnote>
  <w:footnote w:id="2">
    <w:p w14:paraId="24EAAB09" w14:textId="77777777" w:rsidR="00D02B6C" w:rsidRPr="005C148F" w:rsidRDefault="00D02B6C" w:rsidP="007D150F">
      <w:pPr>
        <w:pStyle w:val="FootnoteText"/>
        <w:rPr>
          <w:rFonts w:ascii="Arial" w:hAnsi="Arial" w:cs="Arial"/>
        </w:rPr>
      </w:pPr>
      <w:r w:rsidRPr="005C148F">
        <w:rPr>
          <w:rStyle w:val="FootnoteReference"/>
          <w:rFonts w:ascii="Arial" w:hAnsi="Arial" w:cs="Arial"/>
        </w:rPr>
        <w:footnoteRef/>
      </w:r>
      <w:r w:rsidRPr="005C148F">
        <w:rPr>
          <w:rFonts w:ascii="Arial" w:hAnsi="Arial" w:cs="Arial"/>
        </w:rPr>
        <w:t xml:space="preserve"> The applicable Bargaining Council was the GPSSBC.</w:t>
      </w:r>
    </w:p>
  </w:footnote>
  <w:footnote w:id="3">
    <w:p w14:paraId="11D27B16" w14:textId="227E649A" w:rsidR="00D02B6C" w:rsidRPr="005C148F" w:rsidRDefault="00D02B6C" w:rsidP="001C17DE">
      <w:pPr>
        <w:pStyle w:val="ListParagraph"/>
        <w:spacing w:after="0" w:line="240" w:lineRule="auto"/>
        <w:ind w:left="0"/>
        <w:jc w:val="both"/>
        <w:rPr>
          <w:rFonts w:ascii="Arial" w:hAnsi="Arial" w:cs="Arial"/>
          <w:sz w:val="20"/>
          <w:szCs w:val="20"/>
        </w:rPr>
      </w:pPr>
      <w:r w:rsidRPr="008E7D1C">
        <w:rPr>
          <w:rStyle w:val="FootnoteReference"/>
          <w:rFonts w:ascii="Arial" w:hAnsi="Arial" w:cs="Arial"/>
          <w:sz w:val="20"/>
          <w:szCs w:val="20"/>
        </w:rPr>
        <w:footnoteRef/>
      </w:r>
      <w:r w:rsidRPr="008E7D1C">
        <w:rPr>
          <w:rFonts w:ascii="Arial" w:hAnsi="Arial" w:cs="Arial"/>
          <w:sz w:val="20"/>
          <w:szCs w:val="20"/>
        </w:rPr>
        <w:t xml:space="preserve"> ‘GN R. 173, </w:t>
      </w:r>
      <w:r w:rsidRPr="008E7D1C">
        <w:rPr>
          <w:rFonts w:ascii="Arial" w:hAnsi="Arial" w:cs="Arial"/>
          <w:i/>
          <w:sz w:val="20"/>
          <w:szCs w:val="20"/>
        </w:rPr>
        <w:t>GG</w:t>
      </w:r>
      <w:r w:rsidRPr="008E7D1C">
        <w:rPr>
          <w:rFonts w:ascii="Arial" w:hAnsi="Arial" w:cs="Arial"/>
          <w:sz w:val="20"/>
          <w:szCs w:val="20"/>
        </w:rPr>
        <w:t xml:space="preserve"> 30722, 14 February 2008.’</w:t>
      </w:r>
      <w:r>
        <w:rPr>
          <w:rFonts w:ascii="Arial" w:hAnsi="Arial" w:cs="Arial"/>
          <w:sz w:val="20"/>
          <w:szCs w:val="20"/>
        </w:rPr>
        <w:t xml:space="preserve"> </w:t>
      </w:r>
      <w:r w:rsidRPr="008E7D1C">
        <w:rPr>
          <w:rFonts w:ascii="Arial" w:hAnsi="Arial" w:cs="Arial"/>
          <w:sz w:val="20"/>
          <w:szCs w:val="20"/>
        </w:rPr>
        <w:t>In</w:t>
      </w:r>
      <w:r w:rsidRPr="005C148F">
        <w:rPr>
          <w:rFonts w:ascii="Arial" w:hAnsi="Arial" w:cs="Arial"/>
          <w:sz w:val="20"/>
          <w:szCs w:val="20"/>
        </w:rPr>
        <w:t xml:space="preserve"> Annexure A, it was stated that the determination dealt with ‘inclusive flexible remuneration dispensation for senior management service (SMS) in the NPA</w:t>
      </w:r>
      <w:r>
        <w:rPr>
          <w:rFonts w:ascii="Arial" w:hAnsi="Arial" w:cs="Arial"/>
          <w:sz w:val="20"/>
          <w:szCs w:val="20"/>
        </w:rPr>
        <w:t>’</w:t>
      </w:r>
      <w:r w:rsidRPr="005C148F">
        <w:rPr>
          <w:rFonts w:ascii="Arial" w:hAnsi="Arial" w:cs="Arial"/>
          <w:sz w:val="20"/>
          <w:szCs w:val="20"/>
        </w:rPr>
        <w:t xml:space="preserve">. </w:t>
      </w:r>
      <w:r w:rsidRPr="005C148F">
        <w:rPr>
          <w:rFonts w:ascii="Arial" w:hAnsi="Arial" w:cs="Arial"/>
          <w:bCs/>
          <w:sz w:val="20"/>
          <w:szCs w:val="20"/>
        </w:rPr>
        <w:t xml:space="preserve">On 6 July 2012, the Minister published a further determination in </w:t>
      </w:r>
      <w:r w:rsidRPr="00CE04D6">
        <w:rPr>
          <w:rFonts w:ascii="Arial" w:hAnsi="Arial" w:cs="Arial"/>
          <w:bCs/>
          <w:sz w:val="20"/>
          <w:szCs w:val="20"/>
        </w:rPr>
        <w:t>‘</w:t>
      </w:r>
      <w:r>
        <w:rPr>
          <w:rFonts w:ascii="Arial" w:hAnsi="Arial" w:cs="Arial"/>
          <w:bCs/>
          <w:sz w:val="20"/>
          <w:szCs w:val="20"/>
        </w:rPr>
        <w:t xml:space="preserve">GN 521, </w:t>
      </w:r>
      <w:r>
        <w:rPr>
          <w:rFonts w:ascii="Arial" w:hAnsi="Arial" w:cs="Arial"/>
          <w:bCs/>
          <w:i/>
          <w:sz w:val="20"/>
          <w:szCs w:val="20"/>
        </w:rPr>
        <w:t>GG</w:t>
      </w:r>
      <w:r>
        <w:rPr>
          <w:rFonts w:ascii="Arial" w:hAnsi="Arial" w:cs="Arial"/>
          <w:bCs/>
          <w:sz w:val="20"/>
          <w:szCs w:val="20"/>
        </w:rPr>
        <w:t xml:space="preserve"> 35494, 6 July 2012’, in </w:t>
      </w:r>
      <w:r w:rsidRPr="005C148F">
        <w:rPr>
          <w:rFonts w:ascii="Arial" w:hAnsi="Arial" w:cs="Arial"/>
          <w:bCs/>
          <w:sz w:val="20"/>
          <w:szCs w:val="20"/>
        </w:rPr>
        <w:t>terms of which the inclusive flexible remuneration packages of DDPPs, CPs and Chief Special Investigators were revised.</w:t>
      </w:r>
    </w:p>
  </w:footnote>
  <w:footnote w:id="4">
    <w:p w14:paraId="4B8BFC17" w14:textId="10F2B076" w:rsidR="00D02B6C" w:rsidRPr="006751DC" w:rsidRDefault="00D02B6C" w:rsidP="001C17DE">
      <w:pPr>
        <w:pStyle w:val="FootnoteText"/>
        <w:jc w:val="both"/>
        <w:rPr>
          <w:rFonts w:ascii="Arial" w:hAnsi="Arial" w:cs="Arial"/>
        </w:rPr>
      </w:pPr>
      <w:r w:rsidRPr="008E7D1C">
        <w:rPr>
          <w:rStyle w:val="FootnoteReference"/>
          <w:rFonts w:ascii="Arial" w:hAnsi="Arial" w:cs="Arial"/>
        </w:rPr>
        <w:footnoteRef/>
      </w:r>
      <w:r w:rsidRPr="008E7D1C">
        <w:rPr>
          <w:rFonts w:ascii="Arial" w:hAnsi="Arial" w:cs="Arial"/>
          <w:bCs/>
          <w:sz w:val="24"/>
          <w:szCs w:val="24"/>
        </w:rPr>
        <w:t xml:space="preserve"> </w:t>
      </w:r>
      <w:r w:rsidRPr="008E7D1C">
        <w:rPr>
          <w:rFonts w:ascii="Arial" w:hAnsi="Arial" w:cs="Arial"/>
          <w:bCs/>
        </w:rPr>
        <w:t>‘</w:t>
      </w:r>
      <w:r>
        <w:rPr>
          <w:rFonts w:ascii="Arial" w:hAnsi="Arial" w:cs="Arial"/>
          <w:bCs/>
        </w:rPr>
        <w:t xml:space="preserve">GN 1088, </w:t>
      </w:r>
      <w:r>
        <w:rPr>
          <w:rFonts w:ascii="Arial" w:hAnsi="Arial" w:cs="Arial"/>
          <w:bCs/>
          <w:i/>
        </w:rPr>
        <w:t xml:space="preserve">GG </w:t>
      </w:r>
      <w:r>
        <w:rPr>
          <w:rFonts w:ascii="Arial" w:hAnsi="Arial" w:cs="Arial"/>
          <w:bCs/>
        </w:rPr>
        <w:t>31486, 1 July 2007.’</w:t>
      </w:r>
    </w:p>
  </w:footnote>
  <w:footnote w:id="5">
    <w:p w14:paraId="5FB94C35" w14:textId="21210C9D" w:rsidR="00D02B6C" w:rsidRPr="00FA2E42" w:rsidRDefault="00D02B6C" w:rsidP="00FA2E42">
      <w:pPr>
        <w:pStyle w:val="FootnoteText"/>
        <w:jc w:val="both"/>
        <w:rPr>
          <w:rFonts w:ascii="Arial" w:hAnsi="Arial" w:cs="Arial"/>
        </w:rPr>
      </w:pPr>
      <w:r w:rsidRPr="005C148F">
        <w:rPr>
          <w:rStyle w:val="FootnoteReference"/>
          <w:rFonts w:ascii="Arial" w:hAnsi="Arial" w:cs="Arial"/>
        </w:rPr>
        <w:footnoteRef/>
      </w:r>
      <w:r w:rsidRPr="005C148F">
        <w:rPr>
          <w:rFonts w:ascii="Arial" w:hAnsi="Arial" w:cs="Arial"/>
        </w:rPr>
        <w:t xml:space="preserve"> </w:t>
      </w:r>
      <w:r w:rsidRPr="00FA2E42">
        <w:rPr>
          <w:rFonts w:ascii="Arial" w:hAnsi="Arial" w:cs="Arial"/>
          <w:bCs/>
        </w:rPr>
        <w:t xml:space="preserve"> ‘GN</w:t>
      </w:r>
      <w:r>
        <w:rPr>
          <w:rFonts w:ascii="Arial" w:hAnsi="Arial" w:cs="Arial"/>
          <w:bCs/>
        </w:rPr>
        <w:t xml:space="preserve"> 1146, </w:t>
      </w:r>
      <w:r>
        <w:rPr>
          <w:rFonts w:ascii="Arial" w:hAnsi="Arial" w:cs="Arial"/>
          <w:bCs/>
          <w:i/>
        </w:rPr>
        <w:t xml:space="preserve">GG </w:t>
      </w:r>
      <w:r>
        <w:rPr>
          <w:rFonts w:ascii="Arial" w:hAnsi="Arial" w:cs="Arial"/>
          <w:bCs/>
        </w:rPr>
        <w:t>33826, 2 December 2010.’</w:t>
      </w:r>
    </w:p>
  </w:footnote>
  <w:footnote w:id="6">
    <w:p w14:paraId="387F5474" w14:textId="0611D35A" w:rsidR="00D02B6C" w:rsidRPr="00171AE7" w:rsidRDefault="00D02B6C" w:rsidP="004E4891">
      <w:pPr>
        <w:pStyle w:val="FootnoteText"/>
        <w:jc w:val="both"/>
        <w:rPr>
          <w:rFonts w:ascii="Arial" w:hAnsi="Arial" w:cs="Arial"/>
        </w:rPr>
      </w:pPr>
      <w:r w:rsidRPr="008E7D1C">
        <w:rPr>
          <w:rStyle w:val="FootnoteReference"/>
          <w:rFonts w:ascii="Arial" w:hAnsi="Arial" w:cs="Arial"/>
        </w:rPr>
        <w:footnoteRef/>
      </w:r>
      <w:r w:rsidRPr="008E7D1C">
        <w:rPr>
          <w:rFonts w:ascii="Arial" w:hAnsi="Arial" w:cs="Arial"/>
        </w:rPr>
        <w:t>The</w:t>
      </w:r>
      <w:r w:rsidRPr="00256A9F">
        <w:rPr>
          <w:rFonts w:ascii="Arial" w:hAnsi="Arial" w:cs="Arial"/>
        </w:rPr>
        <w:t xml:space="preserve"> NPA Act makes provision for various categories of appointments. The National Director is appointed in terms of s 10; the Deputy National Directors in terms of s 11; the Directors and Acting Directors in terms of s 13; DDPPs in terms of s 15; and prosecutors are appointed to the office of the NDPP, at the seats of the High Courts as envisaged in s 6 of that Act, at the Investigative Directorate, as well as at the lower courts, in terms of s 16 of the NPA Act.</w:t>
      </w:r>
    </w:p>
  </w:footnote>
  <w:footnote w:id="7">
    <w:p w14:paraId="72824040" w14:textId="5D7ADE36" w:rsidR="00D02B6C" w:rsidRPr="004E4891" w:rsidRDefault="00D02B6C" w:rsidP="004E4891">
      <w:pPr>
        <w:pStyle w:val="FootnoteText"/>
        <w:jc w:val="both"/>
        <w:rPr>
          <w:rFonts w:ascii="Arial" w:hAnsi="Arial" w:cs="Arial"/>
        </w:rPr>
      </w:pPr>
      <w:r w:rsidRPr="004E4891">
        <w:rPr>
          <w:rStyle w:val="FootnoteReference"/>
          <w:rFonts w:ascii="Arial" w:hAnsi="Arial" w:cs="Arial"/>
        </w:rPr>
        <w:footnoteRef/>
      </w:r>
      <w:r w:rsidRPr="004E4891">
        <w:rPr>
          <w:rFonts w:ascii="Arial" w:hAnsi="Arial" w:cs="Arial"/>
        </w:rPr>
        <w:t xml:space="preserve"> Paragraph 35 of the high court’s judgment.</w:t>
      </w:r>
    </w:p>
  </w:footnote>
  <w:footnote w:id="8">
    <w:p w14:paraId="476764EC" w14:textId="14872565" w:rsidR="00D02B6C" w:rsidRPr="004907C9" w:rsidRDefault="00D02B6C" w:rsidP="004E4891">
      <w:pPr>
        <w:pStyle w:val="FootnoteText"/>
        <w:jc w:val="both"/>
        <w:rPr>
          <w:rFonts w:ascii="Arial" w:hAnsi="Arial" w:cs="Arial"/>
        </w:rPr>
      </w:pPr>
      <w:r w:rsidRPr="004907C9">
        <w:rPr>
          <w:rStyle w:val="FootnoteReference"/>
          <w:rFonts w:ascii="Arial" w:hAnsi="Arial" w:cs="Arial"/>
        </w:rPr>
        <w:footnoteRef/>
      </w:r>
      <w:r w:rsidRPr="004907C9">
        <w:rPr>
          <w:rFonts w:ascii="Arial" w:hAnsi="Arial" w:cs="Arial"/>
        </w:rPr>
        <w:t xml:space="preserve"> Section </w:t>
      </w:r>
      <w:r>
        <w:rPr>
          <w:rFonts w:ascii="Arial" w:hAnsi="Arial" w:cs="Arial"/>
        </w:rPr>
        <w:t>157</w:t>
      </w:r>
      <w:r w:rsidRPr="004907C9">
        <w:rPr>
          <w:rFonts w:ascii="Arial" w:hAnsi="Arial" w:cs="Arial"/>
        </w:rPr>
        <w:t xml:space="preserve">(1) of the Labour Relations Act 66 of 1995 provides: </w:t>
      </w:r>
      <w:r w:rsidRPr="00FA2E42">
        <w:rPr>
          <w:rFonts w:ascii="Arial" w:hAnsi="Arial" w:cs="Arial"/>
          <w:bCs/>
        </w:rPr>
        <w:t>‘</w:t>
      </w:r>
      <w:r w:rsidRPr="004907C9">
        <w:rPr>
          <w:rFonts w:ascii="Arial" w:hAnsi="Arial" w:cs="Arial"/>
        </w:rPr>
        <w:t>Subject to the Constitution and section 173, and except where this Act provides otherwise, the Labour Court has exclusive jurisdiction in respect of all matters that elsewhere in terms of this Act or in terms of any other law are to be determined by the Labour Court.’</w:t>
      </w:r>
    </w:p>
  </w:footnote>
  <w:footnote w:id="9">
    <w:p w14:paraId="649779E3" w14:textId="30C7F693" w:rsidR="00D02B6C" w:rsidRPr="004907C9" w:rsidRDefault="00D02B6C" w:rsidP="004E4891">
      <w:pPr>
        <w:pStyle w:val="FootnoteText"/>
        <w:jc w:val="both"/>
        <w:rPr>
          <w:rFonts w:ascii="Arial" w:hAnsi="Arial" w:cs="Arial"/>
        </w:rPr>
      </w:pPr>
      <w:r w:rsidRPr="004907C9">
        <w:rPr>
          <w:rStyle w:val="FootnoteReference"/>
          <w:rFonts w:ascii="Arial" w:hAnsi="Arial" w:cs="Arial"/>
        </w:rPr>
        <w:footnoteRef/>
      </w:r>
      <w:r w:rsidRPr="004907C9">
        <w:rPr>
          <w:rFonts w:ascii="Arial" w:hAnsi="Arial" w:cs="Arial"/>
        </w:rPr>
        <w:t xml:space="preserve"> See s 157(2)(</w:t>
      </w:r>
      <w:r w:rsidRPr="004907C9">
        <w:rPr>
          <w:rFonts w:ascii="Arial" w:hAnsi="Arial" w:cs="Arial"/>
          <w:i/>
          <w:iCs/>
        </w:rPr>
        <w:t>a</w:t>
      </w:r>
      <w:r w:rsidRPr="004907C9">
        <w:rPr>
          <w:rFonts w:ascii="Arial" w:hAnsi="Arial" w:cs="Arial"/>
        </w:rPr>
        <w:t>) of the LRA.</w:t>
      </w:r>
    </w:p>
  </w:footnote>
  <w:footnote w:id="10">
    <w:p w14:paraId="47E29A97" w14:textId="596BB838" w:rsidR="00D02B6C" w:rsidRPr="004907C9" w:rsidRDefault="00D02B6C" w:rsidP="004E4891">
      <w:pPr>
        <w:pStyle w:val="FootnoteText"/>
        <w:jc w:val="both"/>
        <w:rPr>
          <w:rFonts w:ascii="Arial" w:hAnsi="Arial" w:cs="Arial"/>
        </w:rPr>
      </w:pPr>
      <w:r w:rsidRPr="004907C9">
        <w:rPr>
          <w:rStyle w:val="FootnoteReference"/>
          <w:rFonts w:ascii="Arial" w:hAnsi="Arial" w:cs="Arial"/>
        </w:rPr>
        <w:footnoteRef/>
      </w:r>
      <w:r w:rsidRPr="004907C9">
        <w:rPr>
          <w:rFonts w:ascii="Arial" w:hAnsi="Arial" w:cs="Arial"/>
        </w:rPr>
        <w:t xml:space="preserve"> </w:t>
      </w:r>
      <w:r w:rsidRPr="004907C9">
        <w:rPr>
          <w:rFonts w:ascii="Arial" w:hAnsi="Arial" w:cs="Arial"/>
          <w:i/>
          <w:iCs/>
        </w:rPr>
        <w:t>Gcaba v Minister for Safety and Security and Others</w:t>
      </w:r>
      <w:r w:rsidRPr="004907C9">
        <w:rPr>
          <w:rFonts w:ascii="Arial" w:hAnsi="Arial" w:cs="Arial"/>
        </w:rPr>
        <w:t xml:space="preserve"> [2009] ZACC 26; 2010 (1) SA 238 (CC) para 66</w:t>
      </w:r>
      <w:r w:rsidRPr="004907C9">
        <w:rPr>
          <w:rFonts w:ascii="Arial" w:hAnsi="Arial" w:cs="Arial"/>
          <w:i/>
          <w:iCs/>
        </w:rPr>
        <w:t>; My Vote Counts NPC v Speaker of the National Assembly</w:t>
      </w:r>
      <w:r w:rsidRPr="004907C9">
        <w:rPr>
          <w:rFonts w:ascii="Arial" w:hAnsi="Arial" w:cs="Arial"/>
        </w:rPr>
        <w:t xml:space="preserve"> 2016 (1) SA 132 (CC) para 132–134.</w:t>
      </w:r>
    </w:p>
  </w:footnote>
  <w:footnote w:id="11">
    <w:p w14:paraId="6C7FBE19" w14:textId="20769792" w:rsidR="00D02B6C" w:rsidRPr="004907C9" w:rsidRDefault="00D02B6C" w:rsidP="004E4891">
      <w:pPr>
        <w:pStyle w:val="FootnoteText"/>
        <w:jc w:val="both"/>
        <w:rPr>
          <w:rFonts w:ascii="Arial" w:hAnsi="Arial" w:cs="Arial"/>
        </w:rPr>
      </w:pPr>
      <w:r w:rsidRPr="004907C9">
        <w:rPr>
          <w:rStyle w:val="FootnoteReference"/>
          <w:rFonts w:ascii="Arial" w:hAnsi="Arial" w:cs="Arial"/>
        </w:rPr>
        <w:footnoteRef/>
      </w:r>
      <w:r w:rsidRPr="004907C9">
        <w:rPr>
          <w:rFonts w:ascii="Arial" w:hAnsi="Arial" w:cs="Arial"/>
        </w:rPr>
        <w:t xml:space="preserve"> </w:t>
      </w:r>
      <w:r w:rsidRPr="004907C9">
        <w:rPr>
          <w:rFonts w:ascii="Arial" w:hAnsi="Arial" w:cs="Arial"/>
          <w:i/>
          <w:iCs/>
        </w:rPr>
        <w:t>Lewarne v Fochem International (Pty) Ltd</w:t>
      </w:r>
      <w:r w:rsidRPr="004907C9">
        <w:rPr>
          <w:rFonts w:ascii="Arial" w:hAnsi="Arial" w:cs="Arial"/>
        </w:rPr>
        <w:t xml:space="preserve"> [2019] ZASCA 114</w:t>
      </w:r>
      <w:r>
        <w:rPr>
          <w:rFonts w:ascii="Arial" w:hAnsi="Arial" w:cs="Arial"/>
        </w:rPr>
        <w:t xml:space="preserve"> para 7</w:t>
      </w:r>
      <w:r w:rsidRPr="004907C9">
        <w:rPr>
          <w:rFonts w:ascii="Arial" w:hAnsi="Arial" w:cs="Arial"/>
        </w:rPr>
        <w:t>.</w:t>
      </w:r>
    </w:p>
  </w:footnote>
  <w:footnote w:id="12">
    <w:p w14:paraId="02906F76" w14:textId="7E2F7E0A" w:rsidR="00D02B6C" w:rsidRPr="004907C9" w:rsidRDefault="00D02B6C" w:rsidP="004E4891">
      <w:pPr>
        <w:pStyle w:val="FootnoteText"/>
        <w:jc w:val="both"/>
        <w:rPr>
          <w:rFonts w:ascii="Arial" w:hAnsi="Arial" w:cs="Arial"/>
        </w:rPr>
      </w:pPr>
      <w:r w:rsidRPr="004907C9">
        <w:rPr>
          <w:rStyle w:val="FootnoteReference"/>
          <w:rFonts w:ascii="Arial" w:hAnsi="Arial" w:cs="Arial"/>
        </w:rPr>
        <w:footnoteRef/>
      </w:r>
      <w:r w:rsidRPr="004907C9">
        <w:rPr>
          <w:rFonts w:ascii="Arial" w:hAnsi="Arial" w:cs="Arial"/>
        </w:rPr>
        <w:t xml:space="preserve"> </w:t>
      </w:r>
      <w:r w:rsidRPr="004907C9">
        <w:rPr>
          <w:rFonts w:ascii="Arial" w:hAnsi="Arial" w:cs="Arial"/>
          <w:i/>
          <w:iCs/>
        </w:rPr>
        <w:t>Boxer Superstores Mthatha and Another v Mbenya</w:t>
      </w:r>
      <w:r w:rsidRPr="004907C9">
        <w:rPr>
          <w:rFonts w:ascii="Arial" w:hAnsi="Arial" w:cs="Arial"/>
        </w:rPr>
        <w:t xml:space="preserve"> 2007 (5) SA 450 (SCA) para 5.</w:t>
      </w:r>
    </w:p>
  </w:footnote>
  <w:footnote w:id="13">
    <w:p w14:paraId="64467CC7" w14:textId="47700919" w:rsidR="00D02B6C" w:rsidRPr="004907C9" w:rsidRDefault="00D02B6C" w:rsidP="004E4891">
      <w:pPr>
        <w:pStyle w:val="FootnoteText"/>
        <w:jc w:val="both"/>
        <w:rPr>
          <w:rFonts w:ascii="Arial" w:hAnsi="Arial" w:cs="Arial"/>
        </w:rPr>
      </w:pPr>
      <w:r w:rsidRPr="004907C9">
        <w:rPr>
          <w:rStyle w:val="FootnoteReference"/>
          <w:rFonts w:ascii="Arial" w:hAnsi="Arial" w:cs="Arial"/>
        </w:rPr>
        <w:footnoteRef/>
      </w:r>
      <w:r w:rsidRPr="004907C9">
        <w:rPr>
          <w:rFonts w:ascii="Arial" w:hAnsi="Arial" w:cs="Arial"/>
        </w:rPr>
        <w:t xml:space="preserve"> </w:t>
      </w:r>
      <w:r w:rsidRPr="004907C9">
        <w:rPr>
          <w:rFonts w:ascii="Arial" w:hAnsi="Arial" w:cs="Arial"/>
          <w:i/>
        </w:rPr>
        <w:t>Baloyi v Public Protector and Others</w:t>
      </w:r>
      <w:r w:rsidRPr="004907C9">
        <w:rPr>
          <w:rFonts w:ascii="Arial" w:hAnsi="Arial" w:cs="Arial"/>
        </w:rPr>
        <w:t xml:space="preserve"> [2020] ZACC 27; 2021 (2) BCLR 101 (CC); [2021] 4 BLLR 325 (CC); (2021) 42 ILJ 961.</w:t>
      </w:r>
    </w:p>
  </w:footnote>
  <w:footnote w:id="14">
    <w:p w14:paraId="053E07C5" w14:textId="0713C52E" w:rsidR="00D02B6C" w:rsidRPr="004907C9" w:rsidRDefault="00D02B6C" w:rsidP="004E4891">
      <w:pPr>
        <w:pStyle w:val="FootnoteText"/>
        <w:jc w:val="both"/>
        <w:rPr>
          <w:rFonts w:ascii="Arial" w:hAnsi="Arial" w:cs="Arial"/>
          <w:i/>
        </w:rPr>
      </w:pPr>
      <w:r w:rsidRPr="004907C9">
        <w:rPr>
          <w:rStyle w:val="FootnoteReference"/>
          <w:rFonts w:ascii="Arial" w:hAnsi="Arial" w:cs="Arial"/>
        </w:rPr>
        <w:footnoteRef/>
      </w:r>
      <w:r w:rsidRPr="004907C9">
        <w:rPr>
          <w:rFonts w:ascii="Arial" w:hAnsi="Arial" w:cs="Arial"/>
        </w:rPr>
        <w:t xml:space="preserve"> </w:t>
      </w:r>
      <w:r w:rsidRPr="004907C9">
        <w:rPr>
          <w:rFonts w:ascii="Arial" w:hAnsi="Arial" w:cs="Arial"/>
          <w:iCs/>
        </w:rPr>
        <w:t>Ibid</w:t>
      </w:r>
      <w:r w:rsidRPr="004907C9">
        <w:rPr>
          <w:rFonts w:ascii="Arial" w:hAnsi="Arial" w:cs="Arial"/>
        </w:rPr>
        <w:t xml:space="preserve"> para 33.</w:t>
      </w:r>
    </w:p>
  </w:footnote>
  <w:footnote w:id="15">
    <w:p w14:paraId="5F609B2C" w14:textId="6F2B9330" w:rsidR="00D02B6C" w:rsidRPr="004907C9" w:rsidRDefault="00D02B6C" w:rsidP="004E4891">
      <w:pPr>
        <w:pStyle w:val="FootnoteText"/>
        <w:jc w:val="both"/>
        <w:rPr>
          <w:rFonts w:ascii="Arial" w:hAnsi="Arial" w:cs="Arial"/>
        </w:rPr>
      </w:pPr>
      <w:r w:rsidRPr="004907C9">
        <w:rPr>
          <w:rStyle w:val="FootnoteReference"/>
          <w:rFonts w:ascii="Arial" w:hAnsi="Arial" w:cs="Arial"/>
        </w:rPr>
        <w:footnoteRef/>
      </w:r>
      <w:r w:rsidRPr="004907C9">
        <w:rPr>
          <w:rFonts w:ascii="Arial" w:hAnsi="Arial" w:cs="Arial"/>
        </w:rPr>
        <w:t xml:space="preserve"> Ibid para 38.</w:t>
      </w:r>
    </w:p>
  </w:footnote>
  <w:footnote w:id="16">
    <w:p w14:paraId="5894A35C" w14:textId="77777777" w:rsidR="00D02B6C" w:rsidRPr="002A3704" w:rsidRDefault="00D02B6C" w:rsidP="004E4891">
      <w:pPr>
        <w:pStyle w:val="FootnoteText"/>
        <w:jc w:val="both"/>
        <w:rPr>
          <w:rFonts w:ascii="Arial" w:hAnsi="Arial" w:cs="Arial"/>
        </w:rPr>
      </w:pPr>
      <w:r w:rsidRPr="004907C9">
        <w:rPr>
          <w:rStyle w:val="FootnoteReference"/>
          <w:rFonts w:ascii="Arial" w:hAnsi="Arial" w:cs="Arial"/>
        </w:rPr>
        <w:footnoteRef/>
      </w:r>
      <w:r w:rsidRPr="004907C9">
        <w:rPr>
          <w:rFonts w:ascii="Arial" w:hAnsi="Arial" w:cs="Arial"/>
        </w:rPr>
        <w:t xml:space="preserve"> Ibid para 40.</w:t>
      </w:r>
    </w:p>
  </w:footnote>
  <w:footnote w:id="17">
    <w:p w14:paraId="0A62AF86" w14:textId="0CFAC972" w:rsidR="00D02B6C" w:rsidRPr="002A3704" w:rsidRDefault="00D02B6C" w:rsidP="004E4891">
      <w:pPr>
        <w:pStyle w:val="FootnoteText"/>
        <w:jc w:val="both"/>
        <w:rPr>
          <w:rFonts w:ascii="Arial" w:hAnsi="Arial" w:cs="Arial"/>
        </w:rPr>
      </w:pPr>
      <w:r w:rsidRPr="002A3704">
        <w:rPr>
          <w:rStyle w:val="FootnoteReference"/>
          <w:rFonts w:ascii="Arial" w:hAnsi="Arial" w:cs="Arial"/>
        </w:rPr>
        <w:footnoteRef/>
      </w:r>
      <w:r w:rsidRPr="002A3704">
        <w:rPr>
          <w:rFonts w:ascii="Arial" w:hAnsi="Arial" w:cs="Arial"/>
        </w:rPr>
        <w:t xml:space="preserve"> Ibid.</w:t>
      </w:r>
    </w:p>
  </w:footnote>
  <w:footnote w:id="18">
    <w:p w14:paraId="06F45757" w14:textId="0658E37D" w:rsidR="00D02B6C" w:rsidRPr="002A3704" w:rsidRDefault="00D02B6C" w:rsidP="004E4891">
      <w:pPr>
        <w:pStyle w:val="FootnoteText"/>
        <w:jc w:val="both"/>
        <w:rPr>
          <w:rFonts w:ascii="Arial" w:hAnsi="Arial" w:cs="Arial"/>
        </w:rPr>
      </w:pPr>
      <w:r w:rsidRPr="002A3704">
        <w:rPr>
          <w:rStyle w:val="FootnoteReference"/>
          <w:rFonts w:ascii="Arial" w:hAnsi="Arial" w:cs="Arial"/>
        </w:rPr>
        <w:footnoteRef/>
      </w:r>
      <w:r w:rsidRPr="002A3704">
        <w:rPr>
          <w:rFonts w:ascii="Arial" w:hAnsi="Arial" w:cs="Arial"/>
        </w:rPr>
        <w:t xml:space="preserve"> Ibid para 39</w:t>
      </w:r>
      <w:r>
        <w:rPr>
          <w:rFonts w:ascii="Arial" w:hAnsi="Arial" w:cs="Arial"/>
        </w:rPr>
        <w:t>.</w:t>
      </w:r>
    </w:p>
  </w:footnote>
  <w:footnote w:id="19">
    <w:p w14:paraId="661EDD8F" w14:textId="14981A7A" w:rsidR="00D02B6C" w:rsidRPr="005970AF" w:rsidRDefault="00D02B6C" w:rsidP="004E4891">
      <w:pPr>
        <w:pStyle w:val="FootnoteText"/>
        <w:jc w:val="both"/>
        <w:rPr>
          <w:rFonts w:ascii="Arial" w:hAnsi="Arial" w:cs="Arial"/>
        </w:rPr>
      </w:pPr>
      <w:r w:rsidRPr="005970AF">
        <w:rPr>
          <w:rStyle w:val="FootnoteReference"/>
          <w:rFonts w:ascii="Arial" w:hAnsi="Arial" w:cs="Arial"/>
        </w:rPr>
        <w:footnoteRef/>
      </w:r>
      <w:r w:rsidRPr="005970AF">
        <w:rPr>
          <w:rFonts w:ascii="Arial" w:hAnsi="Arial" w:cs="Arial"/>
        </w:rPr>
        <w:t xml:space="preserve"> Public Service Co-ordinating Bargaining Council established in terms of </w:t>
      </w:r>
      <w:r>
        <w:rPr>
          <w:rFonts w:ascii="Arial" w:hAnsi="Arial" w:cs="Arial"/>
        </w:rPr>
        <w:t>s</w:t>
      </w:r>
      <w:r w:rsidRPr="005970AF">
        <w:rPr>
          <w:rFonts w:ascii="Arial" w:hAnsi="Arial" w:cs="Arial"/>
        </w:rPr>
        <w:t xml:space="preserve"> 27 of the LRA.</w:t>
      </w:r>
    </w:p>
  </w:footnote>
  <w:footnote w:id="20">
    <w:p w14:paraId="77A334CC" w14:textId="77777777" w:rsidR="00D02B6C" w:rsidRPr="00374749" w:rsidRDefault="00D02B6C" w:rsidP="004E4891">
      <w:pPr>
        <w:pStyle w:val="FootnoteText"/>
        <w:jc w:val="both"/>
        <w:rPr>
          <w:rFonts w:ascii="Arial" w:hAnsi="Arial" w:cs="Arial"/>
        </w:rPr>
      </w:pPr>
      <w:r w:rsidRPr="00374749">
        <w:rPr>
          <w:rStyle w:val="FootnoteReference"/>
          <w:rFonts w:ascii="Arial" w:hAnsi="Arial" w:cs="Arial"/>
        </w:rPr>
        <w:footnoteRef/>
      </w:r>
      <w:r w:rsidRPr="00374749">
        <w:rPr>
          <w:rFonts w:ascii="Arial" w:hAnsi="Arial" w:cs="Arial"/>
        </w:rPr>
        <w:t xml:space="preserve"> </w:t>
      </w:r>
      <w:r w:rsidRPr="00374749">
        <w:rPr>
          <w:rFonts w:ascii="Arial" w:hAnsi="Arial" w:cs="Arial"/>
          <w:i/>
        </w:rPr>
        <w:t>Baloyi v Public Protector and Others</w:t>
      </w:r>
      <w:r w:rsidRPr="00374749">
        <w:rPr>
          <w:rFonts w:ascii="Arial" w:hAnsi="Arial" w:cs="Arial"/>
        </w:rPr>
        <w:t xml:space="preserve"> [2020] ZACC 27; 2021 (2) BCLR 101 (CC); [2021] 4 BLLR 325 (CC); (2021) 42 ILJ 961 para 40.</w:t>
      </w:r>
    </w:p>
  </w:footnote>
  <w:footnote w:id="21">
    <w:p w14:paraId="105A13F5" w14:textId="7C5AB7B7" w:rsidR="00D02B6C" w:rsidRPr="00374749" w:rsidRDefault="00D02B6C" w:rsidP="004E4891">
      <w:pPr>
        <w:pStyle w:val="FootnoteText"/>
        <w:jc w:val="both"/>
        <w:rPr>
          <w:rFonts w:ascii="Arial" w:hAnsi="Arial" w:cs="Arial"/>
        </w:rPr>
      </w:pPr>
      <w:r w:rsidRPr="00374749">
        <w:rPr>
          <w:rStyle w:val="FootnoteReference"/>
          <w:rFonts w:ascii="Arial" w:hAnsi="Arial" w:cs="Arial"/>
        </w:rPr>
        <w:footnoteRef/>
      </w:r>
      <w:r w:rsidRPr="00374749">
        <w:rPr>
          <w:rFonts w:ascii="Arial" w:hAnsi="Arial" w:cs="Arial"/>
        </w:rPr>
        <w:t xml:space="preserve"> </w:t>
      </w:r>
      <w:r w:rsidRPr="00374749">
        <w:rPr>
          <w:rFonts w:ascii="Arial" w:hAnsi="Arial" w:cs="Arial"/>
          <w:i/>
        </w:rPr>
        <w:t>Baloyi v Public Protector and Others</w:t>
      </w:r>
      <w:r w:rsidRPr="00374749">
        <w:rPr>
          <w:rFonts w:ascii="Arial" w:hAnsi="Arial" w:cs="Arial"/>
        </w:rPr>
        <w:t xml:space="preserve"> [2020] ZACC 27; 2021 (2) BCLR 101; [2021] 4 BLLR 325; (2021) 42 ILJ 961para 42.</w:t>
      </w:r>
    </w:p>
  </w:footnote>
  <w:footnote w:id="22">
    <w:p w14:paraId="732A2EC4" w14:textId="168AA25E" w:rsidR="00D02B6C" w:rsidRPr="00F83002" w:rsidRDefault="00D02B6C" w:rsidP="004E4891">
      <w:pPr>
        <w:pStyle w:val="FootnoteText"/>
        <w:jc w:val="both"/>
        <w:rPr>
          <w:rFonts w:ascii="Arial" w:hAnsi="Arial" w:cs="Arial"/>
        </w:rPr>
      </w:pPr>
      <w:r w:rsidRPr="003805AB">
        <w:rPr>
          <w:rStyle w:val="FootnoteReference"/>
          <w:rFonts w:ascii="Arial" w:hAnsi="Arial" w:cs="Arial"/>
        </w:rPr>
        <w:footnoteRef/>
      </w:r>
      <w:r w:rsidRPr="003805AB">
        <w:rPr>
          <w:rFonts w:ascii="Arial" w:hAnsi="Arial" w:cs="Arial"/>
        </w:rPr>
        <w:t xml:space="preserve"> See </w:t>
      </w:r>
      <w:r w:rsidRPr="003805AB">
        <w:rPr>
          <w:rFonts w:ascii="Arial" w:hAnsi="Arial" w:cs="Arial"/>
          <w:i/>
          <w:iCs/>
        </w:rPr>
        <w:t>Duncan v Minister of Environmental Affairs and Tourism and Another</w:t>
      </w:r>
      <w:r w:rsidRPr="003805AB">
        <w:rPr>
          <w:rFonts w:ascii="Arial" w:hAnsi="Arial" w:cs="Arial"/>
        </w:rPr>
        <w:t xml:space="preserve"> [2010] 2 All SA 462 (SCA) para 15.</w:t>
      </w:r>
    </w:p>
  </w:footnote>
  <w:footnote w:id="23">
    <w:p w14:paraId="7955A92E" w14:textId="38E455D1" w:rsidR="00D02B6C" w:rsidRPr="00F16F9D" w:rsidRDefault="00D02B6C" w:rsidP="004E4891">
      <w:pPr>
        <w:pStyle w:val="FootnoteText"/>
        <w:jc w:val="both"/>
        <w:rPr>
          <w:rFonts w:ascii="Arial" w:hAnsi="Arial" w:cs="Arial"/>
        </w:rPr>
      </w:pPr>
      <w:r w:rsidRPr="00F16F9D">
        <w:rPr>
          <w:rStyle w:val="FootnoteReference"/>
          <w:rFonts w:ascii="Arial" w:hAnsi="Arial" w:cs="Arial"/>
        </w:rPr>
        <w:footnoteRef/>
      </w:r>
      <w:r w:rsidRPr="00F16F9D">
        <w:rPr>
          <w:rFonts w:ascii="Arial" w:hAnsi="Arial" w:cs="Arial"/>
        </w:rPr>
        <w:t xml:space="preserve"> Section 16 of the NPA Act deals with the appointment of DDPPs and prosecutors. Section 16(4) provides that insofar as any law governing the public service pertaining to DDPPs and prosecutors may be inconsistent with the NPA Act, the provisions of the NPA Act shall apply. The remuneration of DDPPs and prosecutors is provided for in s 18(1) of the NPA Act. In terms of s 18(1)</w:t>
      </w:r>
      <w:r w:rsidRPr="009562D9">
        <w:rPr>
          <w:rFonts w:ascii="Arial" w:hAnsi="Arial" w:cs="Arial"/>
          <w:i/>
        </w:rPr>
        <w:t>(</w:t>
      </w:r>
      <w:r w:rsidRPr="00FF10DA">
        <w:rPr>
          <w:rFonts w:ascii="Arial" w:hAnsi="Arial" w:cs="Arial"/>
          <w:i/>
          <w:iCs/>
        </w:rPr>
        <w:t>b</w:t>
      </w:r>
      <w:r w:rsidRPr="009562D9">
        <w:rPr>
          <w:rFonts w:ascii="Arial" w:hAnsi="Arial" w:cs="Arial"/>
          <w:i/>
        </w:rPr>
        <w:t>)</w:t>
      </w:r>
      <w:r w:rsidRPr="00F16F9D">
        <w:rPr>
          <w:rFonts w:ascii="Arial" w:hAnsi="Arial" w:cs="Arial"/>
        </w:rPr>
        <w:t xml:space="preserve"> of that Act, the cost-of-living adjustments are effected in accordance with the cost-of-living adjustments determined for legally qualified personnel in the Public Service. In terms of s 19 of the NPA Act, conditions of service of DDPPs and prosecutors and prosecutors are determined in terms of the provisions of the Public Service Act. </w:t>
      </w:r>
    </w:p>
  </w:footnote>
  <w:footnote w:id="24">
    <w:p w14:paraId="346B4A39" w14:textId="7FBF5B12" w:rsidR="00D02B6C" w:rsidRPr="004D37EE" w:rsidRDefault="00D02B6C" w:rsidP="004E4891">
      <w:pPr>
        <w:pStyle w:val="FootnoteText"/>
        <w:jc w:val="both"/>
        <w:rPr>
          <w:rFonts w:ascii="Arial" w:hAnsi="Arial" w:cs="Arial"/>
        </w:rPr>
      </w:pPr>
      <w:r w:rsidRPr="004D37EE">
        <w:rPr>
          <w:rStyle w:val="FootnoteReference"/>
          <w:rFonts w:ascii="Arial" w:hAnsi="Arial" w:cs="Arial"/>
        </w:rPr>
        <w:footnoteRef/>
      </w:r>
      <w:r w:rsidRPr="004D37EE">
        <w:rPr>
          <w:rFonts w:ascii="Arial" w:hAnsi="Arial" w:cs="Arial"/>
        </w:rPr>
        <w:t xml:space="preserve"> </w:t>
      </w:r>
      <w:r w:rsidRPr="004D37EE">
        <w:rPr>
          <w:rFonts w:ascii="Arial" w:hAnsi="Arial" w:cs="Arial"/>
          <w:i/>
          <w:iCs/>
        </w:rPr>
        <w:t>Biowatch Trust v Registrar</w:t>
      </w:r>
      <w:r>
        <w:rPr>
          <w:rFonts w:ascii="Arial" w:hAnsi="Arial" w:cs="Arial"/>
          <w:i/>
          <w:iCs/>
        </w:rPr>
        <w:t>,</w:t>
      </w:r>
      <w:r w:rsidRPr="004D37EE">
        <w:rPr>
          <w:rFonts w:ascii="Arial" w:hAnsi="Arial" w:cs="Arial"/>
          <w:i/>
          <w:iCs/>
        </w:rPr>
        <w:t xml:space="preserve"> Genetic Resources</w:t>
      </w:r>
      <w:r>
        <w:rPr>
          <w:rFonts w:ascii="Arial" w:hAnsi="Arial" w:cs="Arial"/>
          <w:i/>
          <w:iCs/>
        </w:rPr>
        <w:t xml:space="preserve"> </w:t>
      </w:r>
      <w:r w:rsidRPr="004D37EE">
        <w:rPr>
          <w:rFonts w:ascii="Arial" w:hAnsi="Arial" w:cs="Arial"/>
          <w:i/>
          <w:iCs/>
        </w:rPr>
        <w:t>Others</w:t>
      </w:r>
      <w:r w:rsidRPr="004D37EE">
        <w:rPr>
          <w:rFonts w:ascii="Arial" w:hAnsi="Arial" w:cs="Arial"/>
        </w:rPr>
        <w:t xml:space="preserve"> </w:t>
      </w:r>
      <w:r>
        <w:rPr>
          <w:rFonts w:ascii="Arial" w:hAnsi="Arial" w:cs="Arial"/>
        </w:rPr>
        <w:t xml:space="preserve">[2009] ZACC 14; </w:t>
      </w:r>
      <w:r w:rsidRPr="004D37EE">
        <w:rPr>
          <w:rFonts w:ascii="Arial" w:hAnsi="Arial" w:cs="Arial"/>
        </w:rPr>
        <w:t>200</w:t>
      </w:r>
      <w:r>
        <w:rPr>
          <w:rFonts w:ascii="Arial" w:hAnsi="Arial" w:cs="Arial"/>
        </w:rPr>
        <w:t>9</w:t>
      </w:r>
      <w:r w:rsidRPr="004D37EE">
        <w:rPr>
          <w:rFonts w:ascii="Arial" w:hAnsi="Arial" w:cs="Arial"/>
        </w:rPr>
        <w:t xml:space="preserve"> (</w:t>
      </w:r>
      <w:r>
        <w:rPr>
          <w:rFonts w:ascii="Arial" w:hAnsi="Arial" w:cs="Arial"/>
        </w:rPr>
        <w:t>6</w:t>
      </w:r>
      <w:r w:rsidRPr="004D37EE">
        <w:rPr>
          <w:rFonts w:ascii="Arial" w:hAnsi="Arial" w:cs="Arial"/>
        </w:rPr>
        <w:t xml:space="preserve">) SA </w:t>
      </w:r>
      <w:r>
        <w:rPr>
          <w:rFonts w:ascii="Arial" w:hAnsi="Arial" w:cs="Arial"/>
        </w:rPr>
        <w:t>232 (CC)</w:t>
      </w:r>
      <w:r w:rsidRPr="004D37EE">
        <w:rPr>
          <w:rFonts w:ascii="Arial" w:hAnsi="Arial" w:cs="Arial"/>
        </w:rPr>
        <w:t>.</w:t>
      </w:r>
      <w:r>
        <w:rPr>
          <w:rFonts w:ascii="Arial" w:hAnsi="Arial" w:cs="Arial"/>
        </w:rPr>
        <w:t xml:space="preserve"> The principle laid down in that case, which is commonly referred to as the </w:t>
      </w:r>
      <w:r w:rsidRPr="00DF4011">
        <w:rPr>
          <w:rFonts w:ascii="Arial" w:hAnsi="Arial" w:cs="Arial"/>
          <w:i/>
          <w:iCs/>
        </w:rPr>
        <w:t>Biowatch</w:t>
      </w:r>
      <w:r>
        <w:rPr>
          <w:rFonts w:ascii="Arial" w:hAnsi="Arial" w:cs="Arial"/>
        </w:rPr>
        <w:t xml:space="preserve"> principle, laid down that an unsuccessful party in proceedings against the State should be spared from paying the State’s costs in constitutional matters. </w:t>
      </w:r>
    </w:p>
  </w:footnote>
  <w:footnote w:id="25">
    <w:p w14:paraId="1A4059E1" w14:textId="05E64F61" w:rsidR="00D02B6C" w:rsidRPr="00A97887" w:rsidRDefault="00D02B6C" w:rsidP="008F4DAA">
      <w:pPr>
        <w:pStyle w:val="FootnoteText"/>
        <w:jc w:val="both"/>
        <w:rPr>
          <w:rFonts w:ascii="Arial" w:hAnsi="Arial" w:cs="Arial"/>
        </w:rPr>
      </w:pPr>
      <w:r w:rsidRPr="00A97887">
        <w:rPr>
          <w:rStyle w:val="FootnoteReference"/>
          <w:rFonts w:ascii="Arial" w:hAnsi="Arial" w:cs="Arial"/>
        </w:rPr>
        <w:footnoteRef/>
      </w:r>
      <w:r w:rsidRPr="00A97887">
        <w:rPr>
          <w:rFonts w:ascii="Arial" w:hAnsi="Arial" w:cs="Arial"/>
        </w:rPr>
        <w:t xml:space="preserve"> </w:t>
      </w:r>
      <w:r w:rsidRPr="00A97887">
        <w:rPr>
          <w:rFonts w:ascii="Arial" w:eastAsia="Arial" w:hAnsi="Arial" w:cs="Arial"/>
          <w:i/>
          <w:color w:val="000000"/>
        </w:rPr>
        <w:t>Lawyers for Human Rights v Minister in the Presidency</w:t>
      </w:r>
      <w:r w:rsidRPr="00A97887">
        <w:rPr>
          <w:rFonts w:ascii="Arial" w:eastAsia="Arial" w:hAnsi="Arial" w:cs="Arial"/>
          <w:color w:val="000000"/>
        </w:rPr>
        <w:t xml:space="preserve"> </w:t>
      </w:r>
      <w:r w:rsidRPr="00A97887">
        <w:rPr>
          <w:rFonts w:ascii="Arial" w:eastAsia="Arial" w:hAnsi="Arial" w:cs="Arial"/>
          <w:i/>
          <w:color w:val="000000"/>
        </w:rPr>
        <w:t>and Others</w:t>
      </w:r>
      <w:r w:rsidRPr="00A97887">
        <w:rPr>
          <w:rFonts w:ascii="Arial" w:eastAsia="Arial" w:hAnsi="Arial" w:cs="Arial"/>
          <w:color w:val="000000"/>
        </w:rPr>
        <w:t xml:space="preserve"> </w:t>
      </w:r>
      <w:r>
        <w:rPr>
          <w:rFonts w:ascii="Arial" w:eastAsia="Arial" w:hAnsi="Arial" w:cs="Arial"/>
          <w:color w:val="000000"/>
        </w:rPr>
        <w:t>[2016] ZACC 45; 2017 (1) SA 645;</w:t>
      </w:r>
      <w:r w:rsidRPr="00A97887">
        <w:rPr>
          <w:rFonts w:ascii="Arial" w:eastAsia="Arial" w:hAnsi="Arial" w:cs="Arial"/>
          <w:color w:val="000000"/>
        </w:rPr>
        <w:t xml:space="preserve"> 2017 (4) BCLR 445 (CC) para 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164904"/>
      <w:docPartObj>
        <w:docPartGallery w:val="Page Numbers (Top of Page)"/>
        <w:docPartUnique/>
      </w:docPartObj>
    </w:sdtPr>
    <w:sdtEndPr>
      <w:rPr>
        <w:noProof/>
      </w:rPr>
    </w:sdtEndPr>
    <w:sdtContent>
      <w:p w14:paraId="3EFA4EF1" w14:textId="7E1145C2" w:rsidR="00D02B6C" w:rsidRDefault="00D02B6C">
        <w:pPr>
          <w:pStyle w:val="Header"/>
          <w:jc w:val="right"/>
        </w:pPr>
        <w:r>
          <w:fldChar w:fldCharType="begin"/>
        </w:r>
        <w:r>
          <w:instrText xml:space="preserve"> PAGE   \* MERGEFORMAT </w:instrText>
        </w:r>
        <w:r>
          <w:fldChar w:fldCharType="separate"/>
        </w:r>
        <w:r w:rsidR="003713CB">
          <w:rPr>
            <w:noProof/>
          </w:rPr>
          <w:t>22</w:t>
        </w:r>
        <w:r>
          <w:rPr>
            <w:noProof/>
          </w:rPr>
          <w:fldChar w:fldCharType="end"/>
        </w:r>
      </w:p>
    </w:sdtContent>
  </w:sdt>
  <w:p w14:paraId="223073DE" w14:textId="77777777" w:rsidR="00D02B6C" w:rsidRDefault="00D02B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B703E"/>
    <w:multiLevelType w:val="hybridMultilevel"/>
    <w:tmpl w:val="9A60BFE8"/>
    <w:lvl w:ilvl="0" w:tplc="D5FA61FA">
      <w:start w:val="47"/>
      <w:numFmt w:val="decimal"/>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DC06CE7"/>
    <w:multiLevelType w:val="hybridMultilevel"/>
    <w:tmpl w:val="3438AC2C"/>
    <w:lvl w:ilvl="0" w:tplc="A65E0A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AAB436B"/>
    <w:multiLevelType w:val="multilevel"/>
    <w:tmpl w:val="AFB67E70"/>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 w15:restartNumberingAfterBreak="0">
    <w:nsid w:val="642B1A71"/>
    <w:multiLevelType w:val="hybridMultilevel"/>
    <w:tmpl w:val="F93CF566"/>
    <w:lvl w:ilvl="0" w:tplc="D5FA61FA">
      <w:start w:val="47"/>
      <w:numFmt w:val="decimal"/>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4717103"/>
    <w:multiLevelType w:val="multilevel"/>
    <w:tmpl w:val="BB1CCE46"/>
    <w:lvl w:ilvl="0">
      <w:start w:val="1"/>
      <w:numFmt w:val="decimal"/>
      <w:lvlText w:val="[%1]"/>
      <w:lvlJc w:val="left"/>
      <w:pPr>
        <w:ind w:left="1068" w:hanging="360"/>
      </w:pPr>
      <w:rPr>
        <w:i w:val="0"/>
      </w:rPr>
    </w:lvl>
    <w:lvl w:ilvl="1">
      <w:start w:val="1"/>
      <w:numFmt w:val="lowerLetter"/>
      <w:lvlText w:val="%2."/>
      <w:lvlJc w:val="left"/>
      <w:pPr>
        <w:ind w:left="1646" w:hanging="360"/>
      </w:pPr>
    </w:lvl>
    <w:lvl w:ilvl="2">
      <w:start w:val="1"/>
      <w:numFmt w:val="lowerRoman"/>
      <w:lvlText w:val="%3."/>
      <w:lvlJc w:val="right"/>
      <w:pPr>
        <w:ind w:left="2366" w:hanging="180"/>
      </w:pPr>
    </w:lvl>
    <w:lvl w:ilvl="3">
      <w:start w:val="1"/>
      <w:numFmt w:val="decimal"/>
      <w:lvlText w:val="%4."/>
      <w:lvlJc w:val="left"/>
      <w:pPr>
        <w:ind w:left="3086" w:hanging="360"/>
      </w:pPr>
    </w:lvl>
    <w:lvl w:ilvl="4">
      <w:start w:val="1"/>
      <w:numFmt w:val="lowerLetter"/>
      <w:lvlText w:val="%5."/>
      <w:lvlJc w:val="left"/>
      <w:pPr>
        <w:ind w:left="3806" w:hanging="360"/>
      </w:pPr>
    </w:lvl>
    <w:lvl w:ilvl="5">
      <w:start w:val="1"/>
      <w:numFmt w:val="lowerRoman"/>
      <w:lvlText w:val="%6."/>
      <w:lvlJc w:val="right"/>
      <w:pPr>
        <w:ind w:left="4526" w:hanging="180"/>
      </w:pPr>
    </w:lvl>
    <w:lvl w:ilvl="6">
      <w:start w:val="1"/>
      <w:numFmt w:val="decimal"/>
      <w:lvlText w:val="%7."/>
      <w:lvlJc w:val="left"/>
      <w:pPr>
        <w:ind w:left="5246" w:hanging="360"/>
      </w:pPr>
    </w:lvl>
    <w:lvl w:ilvl="7">
      <w:start w:val="1"/>
      <w:numFmt w:val="lowerLetter"/>
      <w:lvlText w:val="%8."/>
      <w:lvlJc w:val="left"/>
      <w:pPr>
        <w:ind w:left="5966" w:hanging="360"/>
      </w:pPr>
    </w:lvl>
    <w:lvl w:ilvl="8">
      <w:start w:val="1"/>
      <w:numFmt w:val="lowerRoman"/>
      <w:lvlText w:val="%9."/>
      <w:lvlJc w:val="right"/>
      <w:pPr>
        <w:ind w:left="6686"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94C"/>
    <w:rsid w:val="0000352B"/>
    <w:rsid w:val="00004F07"/>
    <w:rsid w:val="000053F0"/>
    <w:rsid w:val="000055DB"/>
    <w:rsid w:val="000065C5"/>
    <w:rsid w:val="0001021A"/>
    <w:rsid w:val="00010363"/>
    <w:rsid w:val="00013693"/>
    <w:rsid w:val="00013AC1"/>
    <w:rsid w:val="00013E20"/>
    <w:rsid w:val="00017F77"/>
    <w:rsid w:val="00020788"/>
    <w:rsid w:val="00020BC7"/>
    <w:rsid w:val="0002120E"/>
    <w:rsid w:val="000212DA"/>
    <w:rsid w:val="000224ED"/>
    <w:rsid w:val="000230FD"/>
    <w:rsid w:val="00025A30"/>
    <w:rsid w:val="00025D11"/>
    <w:rsid w:val="00026404"/>
    <w:rsid w:val="00027042"/>
    <w:rsid w:val="00027B35"/>
    <w:rsid w:val="000301E9"/>
    <w:rsid w:val="00033555"/>
    <w:rsid w:val="00034DA6"/>
    <w:rsid w:val="00036461"/>
    <w:rsid w:val="00036FF3"/>
    <w:rsid w:val="0003734C"/>
    <w:rsid w:val="0004013C"/>
    <w:rsid w:val="000419D5"/>
    <w:rsid w:val="00041E34"/>
    <w:rsid w:val="0004206E"/>
    <w:rsid w:val="00042492"/>
    <w:rsid w:val="000425EF"/>
    <w:rsid w:val="00042F62"/>
    <w:rsid w:val="00044515"/>
    <w:rsid w:val="00044A52"/>
    <w:rsid w:val="000465B8"/>
    <w:rsid w:val="00051933"/>
    <w:rsid w:val="0005274A"/>
    <w:rsid w:val="00053417"/>
    <w:rsid w:val="0005353D"/>
    <w:rsid w:val="000535CE"/>
    <w:rsid w:val="00055505"/>
    <w:rsid w:val="0006029C"/>
    <w:rsid w:val="00060497"/>
    <w:rsid w:val="0006085D"/>
    <w:rsid w:val="00061210"/>
    <w:rsid w:val="00061B61"/>
    <w:rsid w:val="00061DD4"/>
    <w:rsid w:val="000621B3"/>
    <w:rsid w:val="00062501"/>
    <w:rsid w:val="00062847"/>
    <w:rsid w:val="0006386B"/>
    <w:rsid w:val="000655BF"/>
    <w:rsid w:val="0006735A"/>
    <w:rsid w:val="0007092E"/>
    <w:rsid w:val="00070B2E"/>
    <w:rsid w:val="00072060"/>
    <w:rsid w:val="00072520"/>
    <w:rsid w:val="00073747"/>
    <w:rsid w:val="00073896"/>
    <w:rsid w:val="00073B6C"/>
    <w:rsid w:val="00075154"/>
    <w:rsid w:val="0007758C"/>
    <w:rsid w:val="000802FC"/>
    <w:rsid w:val="00080336"/>
    <w:rsid w:val="00081662"/>
    <w:rsid w:val="00083AED"/>
    <w:rsid w:val="00083B15"/>
    <w:rsid w:val="000845F5"/>
    <w:rsid w:val="0008546A"/>
    <w:rsid w:val="00087111"/>
    <w:rsid w:val="00087EA9"/>
    <w:rsid w:val="00090E08"/>
    <w:rsid w:val="000917C3"/>
    <w:rsid w:val="00091C3B"/>
    <w:rsid w:val="00091F02"/>
    <w:rsid w:val="000940D4"/>
    <w:rsid w:val="000950D3"/>
    <w:rsid w:val="0009591E"/>
    <w:rsid w:val="00097270"/>
    <w:rsid w:val="00097C81"/>
    <w:rsid w:val="00097E5C"/>
    <w:rsid w:val="000A0DC8"/>
    <w:rsid w:val="000A12D9"/>
    <w:rsid w:val="000A3433"/>
    <w:rsid w:val="000A3462"/>
    <w:rsid w:val="000A35E5"/>
    <w:rsid w:val="000A3E5A"/>
    <w:rsid w:val="000A4043"/>
    <w:rsid w:val="000A5865"/>
    <w:rsid w:val="000A5C6F"/>
    <w:rsid w:val="000A693C"/>
    <w:rsid w:val="000A6EE6"/>
    <w:rsid w:val="000B257A"/>
    <w:rsid w:val="000B2FF9"/>
    <w:rsid w:val="000B345B"/>
    <w:rsid w:val="000B3DC4"/>
    <w:rsid w:val="000B6245"/>
    <w:rsid w:val="000B7127"/>
    <w:rsid w:val="000C0075"/>
    <w:rsid w:val="000C0CC7"/>
    <w:rsid w:val="000C10F9"/>
    <w:rsid w:val="000C177D"/>
    <w:rsid w:val="000C2969"/>
    <w:rsid w:val="000C3165"/>
    <w:rsid w:val="000C3369"/>
    <w:rsid w:val="000C38F7"/>
    <w:rsid w:val="000C41B3"/>
    <w:rsid w:val="000C5BB5"/>
    <w:rsid w:val="000D0CE3"/>
    <w:rsid w:val="000D12D7"/>
    <w:rsid w:val="000D1B70"/>
    <w:rsid w:val="000D3B05"/>
    <w:rsid w:val="000D4511"/>
    <w:rsid w:val="000D6825"/>
    <w:rsid w:val="000D6CFF"/>
    <w:rsid w:val="000E0DAC"/>
    <w:rsid w:val="000E0EDD"/>
    <w:rsid w:val="000E1DF8"/>
    <w:rsid w:val="000E2162"/>
    <w:rsid w:val="000E35E0"/>
    <w:rsid w:val="000E3C71"/>
    <w:rsid w:val="000E4115"/>
    <w:rsid w:val="000E475E"/>
    <w:rsid w:val="000E6341"/>
    <w:rsid w:val="000E67B0"/>
    <w:rsid w:val="000F035A"/>
    <w:rsid w:val="000F170B"/>
    <w:rsid w:val="000F2D27"/>
    <w:rsid w:val="000F36DB"/>
    <w:rsid w:val="000F40BE"/>
    <w:rsid w:val="000F418A"/>
    <w:rsid w:val="000F5A71"/>
    <w:rsid w:val="000F699C"/>
    <w:rsid w:val="00100CBC"/>
    <w:rsid w:val="0010101B"/>
    <w:rsid w:val="001018D1"/>
    <w:rsid w:val="00101F68"/>
    <w:rsid w:val="00103AD6"/>
    <w:rsid w:val="00104F45"/>
    <w:rsid w:val="00105551"/>
    <w:rsid w:val="001056BF"/>
    <w:rsid w:val="00110065"/>
    <w:rsid w:val="001100F7"/>
    <w:rsid w:val="00110F70"/>
    <w:rsid w:val="00111504"/>
    <w:rsid w:val="001145B4"/>
    <w:rsid w:val="00115A0A"/>
    <w:rsid w:val="00115EBD"/>
    <w:rsid w:val="00116514"/>
    <w:rsid w:val="0011651B"/>
    <w:rsid w:val="00116C77"/>
    <w:rsid w:val="00116D86"/>
    <w:rsid w:val="00117122"/>
    <w:rsid w:val="0011791D"/>
    <w:rsid w:val="00117E0D"/>
    <w:rsid w:val="00120009"/>
    <w:rsid w:val="00121D16"/>
    <w:rsid w:val="001226C2"/>
    <w:rsid w:val="001230E1"/>
    <w:rsid w:val="00123830"/>
    <w:rsid w:val="001239D5"/>
    <w:rsid w:val="00125363"/>
    <w:rsid w:val="00125877"/>
    <w:rsid w:val="00125E20"/>
    <w:rsid w:val="00126415"/>
    <w:rsid w:val="0012681A"/>
    <w:rsid w:val="00126E33"/>
    <w:rsid w:val="00127240"/>
    <w:rsid w:val="0013087C"/>
    <w:rsid w:val="00131DE6"/>
    <w:rsid w:val="001327DF"/>
    <w:rsid w:val="001345A9"/>
    <w:rsid w:val="00135C13"/>
    <w:rsid w:val="001375DA"/>
    <w:rsid w:val="00140FC4"/>
    <w:rsid w:val="001425A7"/>
    <w:rsid w:val="00142985"/>
    <w:rsid w:val="001437D3"/>
    <w:rsid w:val="00143D9C"/>
    <w:rsid w:val="00145E63"/>
    <w:rsid w:val="0014736C"/>
    <w:rsid w:val="00151AE7"/>
    <w:rsid w:val="00151DE1"/>
    <w:rsid w:val="001527F9"/>
    <w:rsid w:val="001539C3"/>
    <w:rsid w:val="001542E3"/>
    <w:rsid w:val="00154485"/>
    <w:rsid w:val="00154AD5"/>
    <w:rsid w:val="00154ECF"/>
    <w:rsid w:val="00154F5F"/>
    <w:rsid w:val="00155FC6"/>
    <w:rsid w:val="001562E7"/>
    <w:rsid w:val="00156EBF"/>
    <w:rsid w:val="001633E3"/>
    <w:rsid w:val="00163FAA"/>
    <w:rsid w:val="00165BFA"/>
    <w:rsid w:val="0016678B"/>
    <w:rsid w:val="00166A47"/>
    <w:rsid w:val="0016756E"/>
    <w:rsid w:val="00167F94"/>
    <w:rsid w:val="001704CD"/>
    <w:rsid w:val="0017128D"/>
    <w:rsid w:val="00171AE7"/>
    <w:rsid w:val="0017214A"/>
    <w:rsid w:val="00172A71"/>
    <w:rsid w:val="0017344B"/>
    <w:rsid w:val="00173461"/>
    <w:rsid w:val="00173D0F"/>
    <w:rsid w:val="00175D9F"/>
    <w:rsid w:val="001761F2"/>
    <w:rsid w:val="001815B7"/>
    <w:rsid w:val="00181802"/>
    <w:rsid w:val="00184190"/>
    <w:rsid w:val="001862D8"/>
    <w:rsid w:val="001865B7"/>
    <w:rsid w:val="001917E1"/>
    <w:rsid w:val="00191AB0"/>
    <w:rsid w:val="00191BA2"/>
    <w:rsid w:val="00192096"/>
    <w:rsid w:val="00194F40"/>
    <w:rsid w:val="00197312"/>
    <w:rsid w:val="0019787F"/>
    <w:rsid w:val="00197AC5"/>
    <w:rsid w:val="001A1439"/>
    <w:rsid w:val="001A1849"/>
    <w:rsid w:val="001A1A5D"/>
    <w:rsid w:val="001A1CE4"/>
    <w:rsid w:val="001A2617"/>
    <w:rsid w:val="001A2C9F"/>
    <w:rsid w:val="001A2E5C"/>
    <w:rsid w:val="001A67D3"/>
    <w:rsid w:val="001A73ED"/>
    <w:rsid w:val="001B1124"/>
    <w:rsid w:val="001B2279"/>
    <w:rsid w:val="001B2C48"/>
    <w:rsid w:val="001B2F14"/>
    <w:rsid w:val="001B4AFE"/>
    <w:rsid w:val="001B7CA9"/>
    <w:rsid w:val="001C0938"/>
    <w:rsid w:val="001C17DE"/>
    <w:rsid w:val="001C2843"/>
    <w:rsid w:val="001C429A"/>
    <w:rsid w:val="001C4565"/>
    <w:rsid w:val="001C4DE4"/>
    <w:rsid w:val="001C73F9"/>
    <w:rsid w:val="001C74B8"/>
    <w:rsid w:val="001D057C"/>
    <w:rsid w:val="001D1571"/>
    <w:rsid w:val="001D249B"/>
    <w:rsid w:val="001D2FE0"/>
    <w:rsid w:val="001D57D8"/>
    <w:rsid w:val="001E1CAA"/>
    <w:rsid w:val="001E2B2D"/>
    <w:rsid w:val="001E389D"/>
    <w:rsid w:val="001E53CE"/>
    <w:rsid w:val="001E5643"/>
    <w:rsid w:val="001E6484"/>
    <w:rsid w:val="001E6C86"/>
    <w:rsid w:val="001E75C9"/>
    <w:rsid w:val="001F0397"/>
    <w:rsid w:val="001F19DE"/>
    <w:rsid w:val="001F2A57"/>
    <w:rsid w:val="001F5385"/>
    <w:rsid w:val="001F53B2"/>
    <w:rsid w:val="001F5830"/>
    <w:rsid w:val="001F61DB"/>
    <w:rsid w:val="001F773D"/>
    <w:rsid w:val="001F7CDE"/>
    <w:rsid w:val="00200638"/>
    <w:rsid w:val="00200FAC"/>
    <w:rsid w:val="00204219"/>
    <w:rsid w:val="0020447D"/>
    <w:rsid w:val="0020628B"/>
    <w:rsid w:val="0021118D"/>
    <w:rsid w:val="00211D95"/>
    <w:rsid w:val="00212A3E"/>
    <w:rsid w:val="00212E01"/>
    <w:rsid w:val="002137B7"/>
    <w:rsid w:val="00215728"/>
    <w:rsid w:val="00220BB7"/>
    <w:rsid w:val="00220EA8"/>
    <w:rsid w:val="00221634"/>
    <w:rsid w:val="00221DB1"/>
    <w:rsid w:val="00222A59"/>
    <w:rsid w:val="00222CEE"/>
    <w:rsid w:val="0022384E"/>
    <w:rsid w:val="00223EEF"/>
    <w:rsid w:val="00224AB7"/>
    <w:rsid w:val="002251AF"/>
    <w:rsid w:val="002252DC"/>
    <w:rsid w:val="002254E1"/>
    <w:rsid w:val="002262F9"/>
    <w:rsid w:val="00226959"/>
    <w:rsid w:val="00226C67"/>
    <w:rsid w:val="0023347E"/>
    <w:rsid w:val="0023599B"/>
    <w:rsid w:val="00235AB7"/>
    <w:rsid w:val="00237814"/>
    <w:rsid w:val="002379B7"/>
    <w:rsid w:val="00237CFA"/>
    <w:rsid w:val="00240133"/>
    <w:rsid w:val="00242031"/>
    <w:rsid w:val="002420BE"/>
    <w:rsid w:val="00244785"/>
    <w:rsid w:val="002455CC"/>
    <w:rsid w:val="00251E4C"/>
    <w:rsid w:val="00251F14"/>
    <w:rsid w:val="00251F5D"/>
    <w:rsid w:val="0025212B"/>
    <w:rsid w:val="00252AD5"/>
    <w:rsid w:val="00253376"/>
    <w:rsid w:val="002546D0"/>
    <w:rsid w:val="00254C95"/>
    <w:rsid w:val="00255C11"/>
    <w:rsid w:val="00255E15"/>
    <w:rsid w:val="00255FA9"/>
    <w:rsid w:val="00256A9F"/>
    <w:rsid w:val="00256DF7"/>
    <w:rsid w:val="002603FB"/>
    <w:rsid w:val="002605F7"/>
    <w:rsid w:val="00261BAA"/>
    <w:rsid w:val="0026257D"/>
    <w:rsid w:val="0026467C"/>
    <w:rsid w:val="0026473A"/>
    <w:rsid w:val="00264C2D"/>
    <w:rsid w:val="00264C84"/>
    <w:rsid w:val="002710B1"/>
    <w:rsid w:val="00272343"/>
    <w:rsid w:val="00272EB0"/>
    <w:rsid w:val="00274169"/>
    <w:rsid w:val="00274D0F"/>
    <w:rsid w:val="00274DE4"/>
    <w:rsid w:val="00274E8C"/>
    <w:rsid w:val="00275841"/>
    <w:rsid w:val="002764EA"/>
    <w:rsid w:val="00280CB3"/>
    <w:rsid w:val="00281225"/>
    <w:rsid w:val="00281344"/>
    <w:rsid w:val="002820BF"/>
    <w:rsid w:val="0028231E"/>
    <w:rsid w:val="00282349"/>
    <w:rsid w:val="002830E3"/>
    <w:rsid w:val="00283205"/>
    <w:rsid w:val="00283CA7"/>
    <w:rsid w:val="00283F2F"/>
    <w:rsid w:val="00284D1E"/>
    <w:rsid w:val="00284E49"/>
    <w:rsid w:val="0028551C"/>
    <w:rsid w:val="00286F5C"/>
    <w:rsid w:val="00287171"/>
    <w:rsid w:val="00291454"/>
    <w:rsid w:val="00292196"/>
    <w:rsid w:val="002950B8"/>
    <w:rsid w:val="0029531F"/>
    <w:rsid w:val="00296D8D"/>
    <w:rsid w:val="00297CAC"/>
    <w:rsid w:val="002A23B9"/>
    <w:rsid w:val="002A3453"/>
    <w:rsid w:val="002A3704"/>
    <w:rsid w:val="002A38BE"/>
    <w:rsid w:val="002A3C65"/>
    <w:rsid w:val="002A4615"/>
    <w:rsid w:val="002A4A0B"/>
    <w:rsid w:val="002A4F54"/>
    <w:rsid w:val="002A524B"/>
    <w:rsid w:val="002B0BBD"/>
    <w:rsid w:val="002B18B6"/>
    <w:rsid w:val="002B2122"/>
    <w:rsid w:val="002B23F5"/>
    <w:rsid w:val="002B2E79"/>
    <w:rsid w:val="002B2F73"/>
    <w:rsid w:val="002B3179"/>
    <w:rsid w:val="002B5001"/>
    <w:rsid w:val="002B5E3E"/>
    <w:rsid w:val="002B612F"/>
    <w:rsid w:val="002B6DC9"/>
    <w:rsid w:val="002C0747"/>
    <w:rsid w:val="002C11DA"/>
    <w:rsid w:val="002C1AD3"/>
    <w:rsid w:val="002C2AA7"/>
    <w:rsid w:val="002C2EDE"/>
    <w:rsid w:val="002C3014"/>
    <w:rsid w:val="002C4A16"/>
    <w:rsid w:val="002C5A5E"/>
    <w:rsid w:val="002C5E72"/>
    <w:rsid w:val="002C7275"/>
    <w:rsid w:val="002C77E5"/>
    <w:rsid w:val="002D0EA2"/>
    <w:rsid w:val="002D1613"/>
    <w:rsid w:val="002D1E4A"/>
    <w:rsid w:val="002D4971"/>
    <w:rsid w:val="002D5313"/>
    <w:rsid w:val="002D57C0"/>
    <w:rsid w:val="002D7356"/>
    <w:rsid w:val="002E043A"/>
    <w:rsid w:val="002E10C9"/>
    <w:rsid w:val="002E1C3D"/>
    <w:rsid w:val="002E4AA1"/>
    <w:rsid w:val="002E4ACE"/>
    <w:rsid w:val="002E4EA1"/>
    <w:rsid w:val="002E5EA8"/>
    <w:rsid w:val="002E5EC5"/>
    <w:rsid w:val="002F01AC"/>
    <w:rsid w:val="002F0A05"/>
    <w:rsid w:val="002F2526"/>
    <w:rsid w:val="002F2576"/>
    <w:rsid w:val="002F25D4"/>
    <w:rsid w:val="002F3222"/>
    <w:rsid w:val="002F56C9"/>
    <w:rsid w:val="002F5FD0"/>
    <w:rsid w:val="002F6565"/>
    <w:rsid w:val="002F69D7"/>
    <w:rsid w:val="002F6BD2"/>
    <w:rsid w:val="002F7039"/>
    <w:rsid w:val="003003B3"/>
    <w:rsid w:val="0030121C"/>
    <w:rsid w:val="0030211B"/>
    <w:rsid w:val="003021E2"/>
    <w:rsid w:val="00302A72"/>
    <w:rsid w:val="00305BB7"/>
    <w:rsid w:val="003061E5"/>
    <w:rsid w:val="0030622B"/>
    <w:rsid w:val="00306F10"/>
    <w:rsid w:val="00307EF7"/>
    <w:rsid w:val="00307F0A"/>
    <w:rsid w:val="00310DDD"/>
    <w:rsid w:val="0031283A"/>
    <w:rsid w:val="00312ACB"/>
    <w:rsid w:val="00315592"/>
    <w:rsid w:val="00315F21"/>
    <w:rsid w:val="00316A45"/>
    <w:rsid w:val="00316AE4"/>
    <w:rsid w:val="003173EE"/>
    <w:rsid w:val="00317ABD"/>
    <w:rsid w:val="003216AC"/>
    <w:rsid w:val="0032197B"/>
    <w:rsid w:val="003223B1"/>
    <w:rsid w:val="003225FE"/>
    <w:rsid w:val="00322B50"/>
    <w:rsid w:val="00324A30"/>
    <w:rsid w:val="00324C94"/>
    <w:rsid w:val="003254A0"/>
    <w:rsid w:val="00326EBD"/>
    <w:rsid w:val="003302CF"/>
    <w:rsid w:val="003304AB"/>
    <w:rsid w:val="003323EC"/>
    <w:rsid w:val="00332FDA"/>
    <w:rsid w:val="00333293"/>
    <w:rsid w:val="003337F9"/>
    <w:rsid w:val="003341CE"/>
    <w:rsid w:val="00336CE7"/>
    <w:rsid w:val="00337AC8"/>
    <w:rsid w:val="0034075F"/>
    <w:rsid w:val="00341132"/>
    <w:rsid w:val="0034124A"/>
    <w:rsid w:val="00341DFE"/>
    <w:rsid w:val="00341E25"/>
    <w:rsid w:val="0034352C"/>
    <w:rsid w:val="003443A9"/>
    <w:rsid w:val="00344DBC"/>
    <w:rsid w:val="00345FB5"/>
    <w:rsid w:val="00347E40"/>
    <w:rsid w:val="00351D0C"/>
    <w:rsid w:val="0035440C"/>
    <w:rsid w:val="00355546"/>
    <w:rsid w:val="00355D9A"/>
    <w:rsid w:val="00356295"/>
    <w:rsid w:val="003566CB"/>
    <w:rsid w:val="00362448"/>
    <w:rsid w:val="0036486C"/>
    <w:rsid w:val="00365494"/>
    <w:rsid w:val="00365D6F"/>
    <w:rsid w:val="00366108"/>
    <w:rsid w:val="003670D8"/>
    <w:rsid w:val="003703A2"/>
    <w:rsid w:val="003713CB"/>
    <w:rsid w:val="003715B3"/>
    <w:rsid w:val="003723FF"/>
    <w:rsid w:val="0037281F"/>
    <w:rsid w:val="00372F92"/>
    <w:rsid w:val="00373BD2"/>
    <w:rsid w:val="00374387"/>
    <w:rsid w:val="00374422"/>
    <w:rsid w:val="00374749"/>
    <w:rsid w:val="00377C8D"/>
    <w:rsid w:val="003805AB"/>
    <w:rsid w:val="00381065"/>
    <w:rsid w:val="003812DB"/>
    <w:rsid w:val="0038339B"/>
    <w:rsid w:val="00383D21"/>
    <w:rsid w:val="00384717"/>
    <w:rsid w:val="00385A5A"/>
    <w:rsid w:val="00386016"/>
    <w:rsid w:val="003876DD"/>
    <w:rsid w:val="003879A8"/>
    <w:rsid w:val="00390057"/>
    <w:rsid w:val="00390DC3"/>
    <w:rsid w:val="00392A10"/>
    <w:rsid w:val="00393490"/>
    <w:rsid w:val="0039382D"/>
    <w:rsid w:val="00396DB8"/>
    <w:rsid w:val="003A1295"/>
    <w:rsid w:val="003A25A1"/>
    <w:rsid w:val="003A4F85"/>
    <w:rsid w:val="003A5E2A"/>
    <w:rsid w:val="003A7256"/>
    <w:rsid w:val="003B09B5"/>
    <w:rsid w:val="003B20D7"/>
    <w:rsid w:val="003B21D2"/>
    <w:rsid w:val="003B436A"/>
    <w:rsid w:val="003B57F9"/>
    <w:rsid w:val="003B6490"/>
    <w:rsid w:val="003C4C3C"/>
    <w:rsid w:val="003C50DA"/>
    <w:rsid w:val="003C5AFB"/>
    <w:rsid w:val="003C61DC"/>
    <w:rsid w:val="003C7FA9"/>
    <w:rsid w:val="003D07DC"/>
    <w:rsid w:val="003D31D9"/>
    <w:rsid w:val="003D3EA6"/>
    <w:rsid w:val="003D4409"/>
    <w:rsid w:val="003D477D"/>
    <w:rsid w:val="003D5BBD"/>
    <w:rsid w:val="003D6E99"/>
    <w:rsid w:val="003E03D2"/>
    <w:rsid w:val="003E0732"/>
    <w:rsid w:val="003E0BDA"/>
    <w:rsid w:val="003E28CE"/>
    <w:rsid w:val="003E2D0E"/>
    <w:rsid w:val="003E3F32"/>
    <w:rsid w:val="003E4324"/>
    <w:rsid w:val="003E4810"/>
    <w:rsid w:val="003E598D"/>
    <w:rsid w:val="003E64E9"/>
    <w:rsid w:val="003E7BF7"/>
    <w:rsid w:val="003F05DE"/>
    <w:rsid w:val="003F0EAE"/>
    <w:rsid w:val="003F1D55"/>
    <w:rsid w:val="003F3FF0"/>
    <w:rsid w:val="003F5A1B"/>
    <w:rsid w:val="003F5DA3"/>
    <w:rsid w:val="003F601C"/>
    <w:rsid w:val="003F7244"/>
    <w:rsid w:val="00400792"/>
    <w:rsid w:val="00400CD4"/>
    <w:rsid w:val="004029C6"/>
    <w:rsid w:val="00402E11"/>
    <w:rsid w:val="00404E9B"/>
    <w:rsid w:val="00407212"/>
    <w:rsid w:val="004074E2"/>
    <w:rsid w:val="004078D5"/>
    <w:rsid w:val="00411186"/>
    <w:rsid w:val="00411279"/>
    <w:rsid w:val="00411729"/>
    <w:rsid w:val="00414A2E"/>
    <w:rsid w:val="00414F64"/>
    <w:rsid w:val="004153ED"/>
    <w:rsid w:val="00415815"/>
    <w:rsid w:val="0041601B"/>
    <w:rsid w:val="00417C1A"/>
    <w:rsid w:val="00420121"/>
    <w:rsid w:val="004206BF"/>
    <w:rsid w:val="004209D6"/>
    <w:rsid w:val="004239B1"/>
    <w:rsid w:val="004244F5"/>
    <w:rsid w:val="00424608"/>
    <w:rsid w:val="00424B65"/>
    <w:rsid w:val="00424E8D"/>
    <w:rsid w:val="004262B6"/>
    <w:rsid w:val="00427B1F"/>
    <w:rsid w:val="00430064"/>
    <w:rsid w:val="0043029A"/>
    <w:rsid w:val="0043157E"/>
    <w:rsid w:val="00431A34"/>
    <w:rsid w:val="00431FA9"/>
    <w:rsid w:val="00431FBA"/>
    <w:rsid w:val="004326B3"/>
    <w:rsid w:val="00432A15"/>
    <w:rsid w:val="004403D6"/>
    <w:rsid w:val="0044150D"/>
    <w:rsid w:val="004415F2"/>
    <w:rsid w:val="00441D7A"/>
    <w:rsid w:val="00442115"/>
    <w:rsid w:val="00442456"/>
    <w:rsid w:val="00442C23"/>
    <w:rsid w:val="004431CB"/>
    <w:rsid w:val="004438A7"/>
    <w:rsid w:val="00443CFA"/>
    <w:rsid w:val="00444233"/>
    <w:rsid w:val="0044435A"/>
    <w:rsid w:val="004465B4"/>
    <w:rsid w:val="0044694B"/>
    <w:rsid w:val="004507A9"/>
    <w:rsid w:val="0045082A"/>
    <w:rsid w:val="004553A9"/>
    <w:rsid w:val="00455699"/>
    <w:rsid w:val="00456B6C"/>
    <w:rsid w:val="00456DA9"/>
    <w:rsid w:val="004571E0"/>
    <w:rsid w:val="00457D03"/>
    <w:rsid w:val="0046284A"/>
    <w:rsid w:val="00464D47"/>
    <w:rsid w:val="00465178"/>
    <w:rsid w:val="00465DB1"/>
    <w:rsid w:val="00466793"/>
    <w:rsid w:val="00466B8A"/>
    <w:rsid w:val="00466C95"/>
    <w:rsid w:val="0047006C"/>
    <w:rsid w:val="004708D6"/>
    <w:rsid w:val="00471AC7"/>
    <w:rsid w:val="004723B3"/>
    <w:rsid w:val="00473B7A"/>
    <w:rsid w:val="00474739"/>
    <w:rsid w:val="00474935"/>
    <w:rsid w:val="00480200"/>
    <w:rsid w:val="004802A9"/>
    <w:rsid w:val="0048067C"/>
    <w:rsid w:val="00480AAB"/>
    <w:rsid w:val="00481F41"/>
    <w:rsid w:val="00484B7D"/>
    <w:rsid w:val="00485FEB"/>
    <w:rsid w:val="004907C9"/>
    <w:rsid w:val="00490B16"/>
    <w:rsid w:val="00490D6F"/>
    <w:rsid w:val="004912CF"/>
    <w:rsid w:val="00494D95"/>
    <w:rsid w:val="00496238"/>
    <w:rsid w:val="0049704A"/>
    <w:rsid w:val="004A4949"/>
    <w:rsid w:val="004A5643"/>
    <w:rsid w:val="004A5B66"/>
    <w:rsid w:val="004A5CC0"/>
    <w:rsid w:val="004B05EF"/>
    <w:rsid w:val="004B1166"/>
    <w:rsid w:val="004B1D3E"/>
    <w:rsid w:val="004B2196"/>
    <w:rsid w:val="004B5054"/>
    <w:rsid w:val="004B6DD2"/>
    <w:rsid w:val="004B6E4C"/>
    <w:rsid w:val="004C0B57"/>
    <w:rsid w:val="004C1F4C"/>
    <w:rsid w:val="004C2B5A"/>
    <w:rsid w:val="004C362D"/>
    <w:rsid w:val="004C74D4"/>
    <w:rsid w:val="004C7BFA"/>
    <w:rsid w:val="004D0126"/>
    <w:rsid w:val="004D19C8"/>
    <w:rsid w:val="004D2209"/>
    <w:rsid w:val="004D25D0"/>
    <w:rsid w:val="004D2C55"/>
    <w:rsid w:val="004D301E"/>
    <w:rsid w:val="004D37EE"/>
    <w:rsid w:val="004D3F7F"/>
    <w:rsid w:val="004D4A2F"/>
    <w:rsid w:val="004D59ED"/>
    <w:rsid w:val="004D631E"/>
    <w:rsid w:val="004D7AE1"/>
    <w:rsid w:val="004E2953"/>
    <w:rsid w:val="004E3B00"/>
    <w:rsid w:val="004E4891"/>
    <w:rsid w:val="004E51C1"/>
    <w:rsid w:val="004E5813"/>
    <w:rsid w:val="004E699F"/>
    <w:rsid w:val="004F002B"/>
    <w:rsid w:val="004F027A"/>
    <w:rsid w:val="004F039E"/>
    <w:rsid w:val="004F2DFD"/>
    <w:rsid w:val="004F318A"/>
    <w:rsid w:val="004F5B1A"/>
    <w:rsid w:val="004F631E"/>
    <w:rsid w:val="004F6B1A"/>
    <w:rsid w:val="005021C2"/>
    <w:rsid w:val="0050490C"/>
    <w:rsid w:val="00506AFA"/>
    <w:rsid w:val="0050732E"/>
    <w:rsid w:val="0051121B"/>
    <w:rsid w:val="00511ECA"/>
    <w:rsid w:val="00515027"/>
    <w:rsid w:val="005160E7"/>
    <w:rsid w:val="00517100"/>
    <w:rsid w:val="005171E7"/>
    <w:rsid w:val="00517526"/>
    <w:rsid w:val="0051767F"/>
    <w:rsid w:val="0052495B"/>
    <w:rsid w:val="0052550E"/>
    <w:rsid w:val="00525598"/>
    <w:rsid w:val="0052792B"/>
    <w:rsid w:val="00527E9D"/>
    <w:rsid w:val="0053400D"/>
    <w:rsid w:val="00535AF4"/>
    <w:rsid w:val="00536A8C"/>
    <w:rsid w:val="005371DE"/>
    <w:rsid w:val="00537717"/>
    <w:rsid w:val="0054001E"/>
    <w:rsid w:val="00540153"/>
    <w:rsid w:val="005416B4"/>
    <w:rsid w:val="005426F7"/>
    <w:rsid w:val="005430BC"/>
    <w:rsid w:val="005431E7"/>
    <w:rsid w:val="00543890"/>
    <w:rsid w:val="005454D2"/>
    <w:rsid w:val="005458D9"/>
    <w:rsid w:val="00545C18"/>
    <w:rsid w:val="00546BEA"/>
    <w:rsid w:val="00547048"/>
    <w:rsid w:val="0055003F"/>
    <w:rsid w:val="0055030E"/>
    <w:rsid w:val="00551E67"/>
    <w:rsid w:val="005523D6"/>
    <w:rsid w:val="00552BC6"/>
    <w:rsid w:val="00555D0C"/>
    <w:rsid w:val="00555E1B"/>
    <w:rsid w:val="00555F99"/>
    <w:rsid w:val="005603C9"/>
    <w:rsid w:val="005610D2"/>
    <w:rsid w:val="005621EB"/>
    <w:rsid w:val="005623A4"/>
    <w:rsid w:val="005625DD"/>
    <w:rsid w:val="00563757"/>
    <w:rsid w:val="00565F62"/>
    <w:rsid w:val="00566027"/>
    <w:rsid w:val="005703F4"/>
    <w:rsid w:val="00570521"/>
    <w:rsid w:val="00571EC8"/>
    <w:rsid w:val="00572689"/>
    <w:rsid w:val="00575379"/>
    <w:rsid w:val="0057606E"/>
    <w:rsid w:val="005762E9"/>
    <w:rsid w:val="005775B1"/>
    <w:rsid w:val="00577E68"/>
    <w:rsid w:val="005807CD"/>
    <w:rsid w:val="005808FE"/>
    <w:rsid w:val="00580B95"/>
    <w:rsid w:val="0058302B"/>
    <w:rsid w:val="00583B27"/>
    <w:rsid w:val="00586669"/>
    <w:rsid w:val="0059166B"/>
    <w:rsid w:val="00592428"/>
    <w:rsid w:val="005925BC"/>
    <w:rsid w:val="0059273B"/>
    <w:rsid w:val="00592C1B"/>
    <w:rsid w:val="0059344D"/>
    <w:rsid w:val="005942AA"/>
    <w:rsid w:val="005947F8"/>
    <w:rsid w:val="005970AF"/>
    <w:rsid w:val="005974D7"/>
    <w:rsid w:val="00597DD7"/>
    <w:rsid w:val="005A54D2"/>
    <w:rsid w:val="005A61BF"/>
    <w:rsid w:val="005A66A5"/>
    <w:rsid w:val="005A6A17"/>
    <w:rsid w:val="005B11DC"/>
    <w:rsid w:val="005B156F"/>
    <w:rsid w:val="005B2FD9"/>
    <w:rsid w:val="005B318F"/>
    <w:rsid w:val="005B4FA6"/>
    <w:rsid w:val="005B5574"/>
    <w:rsid w:val="005B6833"/>
    <w:rsid w:val="005B72C0"/>
    <w:rsid w:val="005B7FD9"/>
    <w:rsid w:val="005C148F"/>
    <w:rsid w:val="005C3F16"/>
    <w:rsid w:val="005C5766"/>
    <w:rsid w:val="005C59BA"/>
    <w:rsid w:val="005C62A7"/>
    <w:rsid w:val="005C6951"/>
    <w:rsid w:val="005C7A55"/>
    <w:rsid w:val="005C7BBE"/>
    <w:rsid w:val="005D0A23"/>
    <w:rsid w:val="005D1CED"/>
    <w:rsid w:val="005D3015"/>
    <w:rsid w:val="005D3450"/>
    <w:rsid w:val="005D43C8"/>
    <w:rsid w:val="005D4562"/>
    <w:rsid w:val="005D4A66"/>
    <w:rsid w:val="005D4FC0"/>
    <w:rsid w:val="005D53D3"/>
    <w:rsid w:val="005D74C0"/>
    <w:rsid w:val="005D774A"/>
    <w:rsid w:val="005E0352"/>
    <w:rsid w:val="005E1726"/>
    <w:rsid w:val="005E2C70"/>
    <w:rsid w:val="005E2CAA"/>
    <w:rsid w:val="005E33EA"/>
    <w:rsid w:val="005E3EC3"/>
    <w:rsid w:val="005E3F6D"/>
    <w:rsid w:val="005E42E2"/>
    <w:rsid w:val="005E6703"/>
    <w:rsid w:val="005E6F90"/>
    <w:rsid w:val="005F0338"/>
    <w:rsid w:val="005F0576"/>
    <w:rsid w:val="005F0643"/>
    <w:rsid w:val="005F0ADE"/>
    <w:rsid w:val="005F0C59"/>
    <w:rsid w:val="005F152D"/>
    <w:rsid w:val="005F191F"/>
    <w:rsid w:val="005F1F45"/>
    <w:rsid w:val="005F327C"/>
    <w:rsid w:val="005F5798"/>
    <w:rsid w:val="005F57D5"/>
    <w:rsid w:val="005F5C85"/>
    <w:rsid w:val="005F6BA3"/>
    <w:rsid w:val="005F70F1"/>
    <w:rsid w:val="00600286"/>
    <w:rsid w:val="00600F3C"/>
    <w:rsid w:val="006011A0"/>
    <w:rsid w:val="00601A1C"/>
    <w:rsid w:val="00601B82"/>
    <w:rsid w:val="00603CE4"/>
    <w:rsid w:val="0060459F"/>
    <w:rsid w:val="006047D9"/>
    <w:rsid w:val="00604923"/>
    <w:rsid w:val="0060544D"/>
    <w:rsid w:val="00605553"/>
    <w:rsid w:val="0060556E"/>
    <w:rsid w:val="00606BC6"/>
    <w:rsid w:val="00607825"/>
    <w:rsid w:val="00607922"/>
    <w:rsid w:val="00610ADB"/>
    <w:rsid w:val="006118DA"/>
    <w:rsid w:val="0061196A"/>
    <w:rsid w:val="00613BC2"/>
    <w:rsid w:val="00613E81"/>
    <w:rsid w:val="00613FE5"/>
    <w:rsid w:val="0061480F"/>
    <w:rsid w:val="00615A04"/>
    <w:rsid w:val="00616615"/>
    <w:rsid w:val="006168F9"/>
    <w:rsid w:val="006170CC"/>
    <w:rsid w:val="0061768A"/>
    <w:rsid w:val="00617BD7"/>
    <w:rsid w:val="0062042E"/>
    <w:rsid w:val="00621032"/>
    <w:rsid w:val="0062354C"/>
    <w:rsid w:val="00623F73"/>
    <w:rsid w:val="00625DC8"/>
    <w:rsid w:val="0062654A"/>
    <w:rsid w:val="00626917"/>
    <w:rsid w:val="00626CD1"/>
    <w:rsid w:val="00626E54"/>
    <w:rsid w:val="006275DE"/>
    <w:rsid w:val="00630C8C"/>
    <w:rsid w:val="006313F9"/>
    <w:rsid w:val="00631607"/>
    <w:rsid w:val="00631765"/>
    <w:rsid w:val="00631A3D"/>
    <w:rsid w:val="0063307A"/>
    <w:rsid w:val="0063317A"/>
    <w:rsid w:val="00633EC5"/>
    <w:rsid w:val="0063425D"/>
    <w:rsid w:val="006354AE"/>
    <w:rsid w:val="0063591C"/>
    <w:rsid w:val="00636171"/>
    <w:rsid w:val="00636294"/>
    <w:rsid w:val="0063677C"/>
    <w:rsid w:val="00640947"/>
    <w:rsid w:val="00641E2E"/>
    <w:rsid w:val="00641F13"/>
    <w:rsid w:val="006477A2"/>
    <w:rsid w:val="00650446"/>
    <w:rsid w:val="00650658"/>
    <w:rsid w:val="00650B03"/>
    <w:rsid w:val="00651C9F"/>
    <w:rsid w:val="00652039"/>
    <w:rsid w:val="0065280B"/>
    <w:rsid w:val="006533D6"/>
    <w:rsid w:val="00656E94"/>
    <w:rsid w:val="00657E22"/>
    <w:rsid w:val="006606DD"/>
    <w:rsid w:val="00660DB2"/>
    <w:rsid w:val="006618E6"/>
    <w:rsid w:val="0066343E"/>
    <w:rsid w:val="00664DC8"/>
    <w:rsid w:val="00667CF1"/>
    <w:rsid w:val="00667EA0"/>
    <w:rsid w:val="0067026D"/>
    <w:rsid w:val="00671592"/>
    <w:rsid w:val="00671D84"/>
    <w:rsid w:val="00673F1E"/>
    <w:rsid w:val="006751DC"/>
    <w:rsid w:val="0067523C"/>
    <w:rsid w:val="00676C2E"/>
    <w:rsid w:val="00681A42"/>
    <w:rsid w:val="00685BB2"/>
    <w:rsid w:val="006862D6"/>
    <w:rsid w:val="00687251"/>
    <w:rsid w:val="0069134B"/>
    <w:rsid w:val="0069177D"/>
    <w:rsid w:val="00694F39"/>
    <w:rsid w:val="00695472"/>
    <w:rsid w:val="006957E0"/>
    <w:rsid w:val="00695DB1"/>
    <w:rsid w:val="00697680"/>
    <w:rsid w:val="00697878"/>
    <w:rsid w:val="006A0190"/>
    <w:rsid w:val="006A10AB"/>
    <w:rsid w:val="006A3F6F"/>
    <w:rsid w:val="006A41FD"/>
    <w:rsid w:val="006A69B2"/>
    <w:rsid w:val="006A6AD3"/>
    <w:rsid w:val="006A7F0A"/>
    <w:rsid w:val="006B0E05"/>
    <w:rsid w:val="006B12B4"/>
    <w:rsid w:val="006B291D"/>
    <w:rsid w:val="006B29FF"/>
    <w:rsid w:val="006B2CB9"/>
    <w:rsid w:val="006B31FA"/>
    <w:rsid w:val="006B3EB6"/>
    <w:rsid w:val="006B4265"/>
    <w:rsid w:val="006B594C"/>
    <w:rsid w:val="006B6A13"/>
    <w:rsid w:val="006B767E"/>
    <w:rsid w:val="006C1833"/>
    <w:rsid w:val="006C4AC9"/>
    <w:rsid w:val="006C6258"/>
    <w:rsid w:val="006C6B28"/>
    <w:rsid w:val="006D0D96"/>
    <w:rsid w:val="006D0EED"/>
    <w:rsid w:val="006D15D9"/>
    <w:rsid w:val="006D1B24"/>
    <w:rsid w:val="006D2104"/>
    <w:rsid w:val="006D3557"/>
    <w:rsid w:val="006D423B"/>
    <w:rsid w:val="006D69D0"/>
    <w:rsid w:val="006D7673"/>
    <w:rsid w:val="006E0033"/>
    <w:rsid w:val="006E0FB0"/>
    <w:rsid w:val="006E137E"/>
    <w:rsid w:val="006E13C1"/>
    <w:rsid w:val="006E1B6E"/>
    <w:rsid w:val="006E2221"/>
    <w:rsid w:val="006E3F15"/>
    <w:rsid w:val="006E74FE"/>
    <w:rsid w:val="006F046A"/>
    <w:rsid w:val="006F0B64"/>
    <w:rsid w:val="006F0DE4"/>
    <w:rsid w:val="006F4D5E"/>
    <w:rsid w:val="006F6ACC"/>
    <w:rsid w:val="006F7748"/>
    <w:rsid w:val="00700F7F"/>
    <w:rsid w:val="0070324C"/>
    <w:rsid w:val="00703879"/>
    <w:rsid w:val="0070391D"/>
    <w:rsid w:val="007042CD"/>
    <w:rsid w:val="00710671"/>
    <w:rsid w:val="00710C99"/>
    <w:rsid w:val="00711C73"/>
    <w:rsid w:val="00711E2D"/>
    <w:rsid w:val="00713AFC"/>
    <w:rsid w:val="00713E63"/>
    <w:rsid w:val="007152DE"/>
    <w:rsid w:val="00716366"/>
    <w:rsid w:val="007163BD"/>
    <w:rsid w:val="00716BB2"/>
    <w:rsid w:val="00717D84"/>
    <w:rsid w:val="00717F9C"/>
    <w:rsid w:val="007211E9"/>
    <w:rsid w:val="00723024"/>
    <w:rsid w:val="00724C61"/>
    <w:rsid w:val="00724E76"/>
    <w:rsid w:val="00726032"/>
    <w:rsid w:val="00726AAA"/>
    <w:rsid w:val="0072779C"/>
    <w:rsid w:val="0073024E"/>
    <w:rsid w:val="007322E0"/>
    <w:rsid w:val="0073296A"/>
    <w:rsid w:val="007340EB"/>
    <w:rsid w:val="0073468C"/>
    <w:rsid w:val="0073468E"/>
    <w:rsid w:val="0073473A"/>
    <w:rsid w:val="00735BE8"/>
    <w:rsid w:val="00735DBE"/>
    <w:rsid w:val="007363A9"/>
    <w:rsid w:val="00741C9A"/>
    <w:rsid w:val="0074254F"/>
    <w:rsid w:val="00742BA1"/>
    <w:rsid w:val="00744FAD"/>
    <w:rsid w:val="007451B6"/>
    <w:rsid w:val="007457C3"/>
    <w:rsid w:val="00750172"/>
    <w:rsid w:val="0075025E"/>
    <w:rsid w:val="00750A15"/>
    <w:rsid w:val="00753629"/>
    <w:rsid w:val="007536A3"/>
    <w:rsid w:val="0075581F"/>
    <w:rsid w:val="00755FF3"/>
    <w:rsid w:val="007567F2"/>
    <w:rsid w:val="00756C85"/>
    <w:rsid w:val="00756FF8"/>
    <w:rsid w:val="00757FCA"/>
    <w:rsid w:val="007602C4"/>
    <w:rsid w:val="00761642"/>
    <w:rsid w:val="00761809"/>
    <w:rsid w:val="00761BAC"/>
    <w:rsid w:val="0076318A"/>
    <w:rsid w:val="00765172"/>
    <w:rsid w:val="007653FF"/>
    <w:rsid w:val="0076544E"/>
    <w:rsid w:val="00772165"/>
    <w:rsid w:val="007722A7"/>
    <w:rsid w:val="00772B6B"/>
    <w:rsid w:val="007733EF"/>
    <w:rsid w:val="007744F9"/>
    <w:rsid w:val="007750B9"/>
    <w:rsid w:val="007750C8"/>
    <w:rsid w:val="0078059E"/>
    <w:rsid w:val="00780A01"/>
    <w:rsid w:val="00780DE6"/>
    <w:rsid w:val="007815AB"/>
    <w:rsid w:val="00781E45"/>
    <w:rsid w:val="007830DB"/>
    <w:rsid w:val="00785BCC"/>
    <w:rsid w:val="007906B1"/>
    <w:rsid w:val="00791E50"/>
    <w:rsid w:val="007926AB"/>
    <w:rsid w:val="00793D33"/>
    <w:rsid w:val="00793F96"/>
    <w:rsid w:val="00795FFB"/>
    <w:rsid w:val="00796296"/>
    <w:rsid w:val="007A0461"/>
    <w:rsid w:val="007A165B"/>
    <w:rsid w:val="007A1957"/>
    <w:rsid w:val="007A1F21"/>
    <w:rsid w:val="007A26A9"/>
    <w:rsid w:val="007A3EB4"/>
    <w:rsid w:val="007A4161"/>
    <w:rsid w:val="007A4DE4"/>
    <w:rsid w:val="007A5232"/>
    <w:rsid w:val="007A5531"/>
    <w:rsid w:val="007A6FE6"/>
    <w:rsid w:val="007A7454"/>
    <w:rsid w:val="007B1004"/>
    <w:rsid w:val="007B3442"/>
    <w:rsid w:val="007B3A76"/>
    <w:rsid w:val="007B473D"/>
    <w:rsid w:val="007B4E0D"/>
    <w:rsid w:val="007B4E60"/>
    <w:rsid w:val="007B5B2D"/>
    <w:rsid w:val="007B6567"/>
    <w:rsid w:val="007B7873"/>
    <w:rsid w:val="007C2AD9"/>
    <w:rsid w:val="007C2D10"/>
    <w:rsid w:val="007C66B8"/>
    <w:rsid w:val="007C6956"/>
    <w:rsid w:val="007C6E82"/>
    <w:rsid w:val="007D150F"/>
    <w:rsid w:val="007D2960"/>
    <w:rsid w:val="007D2D29"/>
    <w:rsid w:val="007D5B81"/>
    <w:rsid w:val="007D63DC"/>
    <w:rsid w:val="007D6BF1"/>
    <w:rsid w:val="007D72DC"/>
    <w:rsid w:val="007D7D8B"/>
    <w:rsid w:val="007E081E"/>
    <w:rsid w:val="007E190D"/>
    <w:rsid w:val="007E24D9"/>
    <w:rsid w:val="007E72C2"/>
    <w:rsid w:val="007F0D43"/>
    <w:rsid w:val="007F1B2D"/>
    <w:rsid w:val="007F4C3B"/>
    <w:rsid w:val="007F50F6"/>
    <w:rsid w:val="007F6AC3"/>
    <w:rsid w:val="007F724B"/>
    <w:rsid w:val="007F757E"/>
    <w:rsid w:val="00800A8F"/>
    <w:rsid w:val="0080276D"/>
    <w:rsid w:val="008041E1"/>
    <w:rsid w:val="0080435F"/>
    <w:rsid w:val="0080460F"/>
    <w:rsid w:val="00805693"/>
    <w:rsid w:val="00805E61"/>
    <w:rsid w:val="0080615C"/>
    <w:rsid w:val="008109C7"/>
    <w:rsid w:val="00811647"/>
    <w:rsid w:val="00812C7B"/>
    <w:rsid w:val="00812D4A"/>
    <w:rsid w:val="00812F62"/>
    <w:rsid w:val="00813234"/>
    <w:rsid w:val="008132A9"/>
    <w:rsid w:val="008138A3"/>
    <w:rsid w:val="0081472E"/>
    <w:rsid w:val="00815289"/>
    <w:rsid w:val="00815464"/>
    <w:rsid w:val="00815C78"/>
    <w:rsid w:val="00816F02"/>
    <w:rsid w:val="008202FB"/>
    <w:rsid w:val="008210A3"/>
    <w:rsid w:val="00821D6B"/>
    <w:rsid w:val="00821E7D"/>
    <w:rsid w:val="00823022"/>
    <w:rsid w:val="00823B3B"/>
    <w:rsid w:val="00825147"/>
    <w:rsid w:val="00827413"/>
    <w:rsid w:val="00830D99"/>
    <w:rsid w:val="00830DE7"/>
    <w:rsid w:val="00833486"/>
    <w:rsid w:val="008344DB"/>
    <w:rsid w:val="00834B1F"/>
    <w:rsid w:val="00836234"/>
    <w:rsid w:val="0083706F"/>
    <w:rsid w:val="00837D1C"/>
    <w:rsid w:val="008408F4"/>
    <w:rsid w:val="00842202"/>
    <w:rsid w:val="00843097"/>
    <w:rsid w:val="00843624"/>
    <w:rsid w:val="008460CC"/>
    <w:rsid w:val="008465C7"/>
    <w:rsid w:val="00847779"/>
    <w:rsid w:val="00847DC6"/>
    <w:rsid w:val="008500E7"/>
    <w:rsid w:val="0085057E"/>
    <w:rsid w:val="00851535"/>
    <w:rsid w:val="00851E05"/>
    <w:rsid w:val="00851E3C"/>
    <w:rsid w:val="008523BE"/>
    <w:rsid w:val="008537A7"/>
    <w:rsid w:val="00854FED"/>
    <w:rsid w:val="00855BDA"/>
    <w:rsid w:val="00857CCF"/>
    <w:rsid w:val="00860E36"/>
    <w:rsid w:val="008618CD"/>
    <w:rsid w:val="00861C1D"/>
    <w:rsid w:val="00865955"/>
    <w:rsid w:val="00865B58"/>
    <w:rsid w:val="00866744"/>
    <w:rsid w:val="00866902"/>
    <w:rsid w:val="008728AD"/>
    <w:rsid w:val="00875D69"/>
    <w:rsid w:val="00880C36"/>
    <w:rsid w:val="008823FE"/>
    <w:rsid w:val="00882F83"/>
    <w:rsid w:val="00883054"/>
    <w:rsid w:val="00885713"/>
    <w:rsid w:val="008859E6"/>
    <w:rsid w:val="008874CF"/>
    <w:rsid w:val="008876CE"/>
    <w:rsid w:val="0089017E"/>
    <w:rsid w:val="008903CA"/>
    <w:rsid w:val="00891309"/>
    <w:rsid w:val="00894699"/>
    <w:rsid w:val="00894A85"/>
    <w:rsid w:val="00894DAE"/>
    <w:rsid w:val="00894E9A"/>
    <w:rsid w:val="00895D2B"/>
    <w:rsid w:val="00896C13"/>
    <w:rsid w:val="00896E1C"/>
    <w:rsid w:val="0089795A"/>
    <w:rsid w:val="00897EEA"/>
    <w:rsid w:val="008A1A3F"/>
    <w:rsid w:val="008A250D"/>
    <w:rsid w:val="008A31AE"/>
    <w:rsid w:val="008A5721"/>
    <w:rsid w:val="008A5F1A"/>
    <w:rsid w:val="008A6D19"/>
    <w:rsid w:val="008B0667"/>
    <w:rsid w:val="008B07F3"/>
    <w:rsid w:val="008B0CB2"/>
    <w:rsid w:val="008B12C0"/>
    <w:rsid w:val="008B1CBA"/>
    <w:rsid w:val="008B23EB"/>
    <w:rsid w:val="008B5236"/>
    <w:rsid w:val="008B609A"/>
    <w:rsid w:val="008C0ED5"/>
    <w:rsid w:val="008C12D6"/>
    <w:rsid w:val="008C1A66"/>
    <w:rsid w:val="008C43B9"/>
    <w:rsid w:val="008C50AE"/>
    <w:rsid w:val="008C6403"/>
    <w:rsid w:val="008C6F75"/>
    <w:rsid w:val="008D00C7"/>
    <w:rsid w:val="008D0627"/>
    <w:rsid w:val="008D2084"/>
    <w:rsid w:val="008D34A2"/>
    <w:rsid w:val="008D4171"/>
    <w:rsid w:val="008D4440"/>
    <w:rsid w:val="008D532C"/>
    <w:rsid w:val="008D581D"/>
    <w:rsid w:val="008D5B92"/>
    <w:rsid w:val="008D5D41"/>
    <w:rsid w:val="008D6303"/>
    <w:rsid w:val="008E04B6"/>
    <w:rsid w:val="008E1F97"/>
    <w:rsid w:val="008E2FB0"/>
    <w:rsid w:val="008E4923"/>
    <w:rsid w:val="008E721E"/>
    <w:rsid w:val="008E7D1C"/>
    <w:rsid w:val="008F0BEA"/>
    <w:rsid w:val="008F1676"/>
    <w:rsid w:val="008F2724"/>
    <w:rsid w:val="008F2BA2"/>
    <w:rsid w:val="008F36BB"/>
    <w:rsid w:val="008F4848"/>
    <w:rsid w:val="008F4DAA"/>
    <w:rsid w:val="008F4EC7"/>
    <w:rsid w:val="008F54EA"/>
    <w:rsid w:val="008F6910"/>
    <w:rsid w:val="008F6B9C"/>
    <w:rsid w:val="008F6C29"/>
    <w:rsid w:val="008F79BB"/>
    <w:rsid w:val="00901110"/>
    <w:rsid w:val="0090252F"/>
    <w:rsid w:val="00904466"/>
    <w:rsid w:val="00904A32"/>
    <w:rsid w:val="00905951"/>
    <w:rsid w:val="00907375"/>
    <w:rsid w:val="00910C3A"/>
    <w:rsid w:val="00911E71"/>
    <w:rsid w:val="00912590"/>
    <w:rsid w:val="0091277E"/>
    <w:rsid w:val="00915F2B"/>
    <w:rsid w:val="009165E0"/>
    <w:rsid w:val="009202F6"/>
    <w:rsid w:val="00920CA0"/>
    <w:rsid w:val="00920EED"/>
    <w:rsid w:val="009215B7"/>
    <w:rsid w:val="00922749"/>
    <w:rsid w:val="00922D92"/>
    <w:rsid w:val="00923419"/>
    <w:rsid w:val="00924C54"/>
    <w:rsid w:val="009254DC"/>
    <w:rsid w:val="009256D6"/>
    <w:rsid w:val="009258F1"/>
    <w:rsid w:val="00926642"/>
    <w:rsid w:val="00930552"/>
    <w:rsid w:val="00932496"/>
    <w:rsid w:val="00933CAC"/>
    <w:rsid w:val="009354F7"/>
    <w:rsid w:val="00937479"/>
    <w:rsid w:val="00937F32"/>
    <w:rsid w:val="00941414"/>
    <w:rsid w:val="00942FA5"/>
    <w:rsid w:val="00944B58"/>
    <w:rsid w:val="00945934"/>
    <w:rsid w:val="00946748"/>
    <w:rsid w:val="00946877"/>
    <w:rsid w:val="00946C09"/>
    <w:rsid w:val="0094736F"/>
    <w:rsid w:val="0094750B"/>
    <w:rsid w:val="0095005F"/>
    <w:rsid w:val="00950119"/>
    <w:rsid w:val="009507A4"/>
    <w:rsid w:val="009515F3"/>
    <w:rsid w:val="00951A14"/>
    <w:rsid w:val="00952784"/>
    <w:rsid w:val="00953223"/>
    <w:rsid w:val="00955CCA"/>
    <w:rsid w:val="00955FC6"/>
    <w:rsid w:val="009562D9"/>
    <w:rsid w:val="009569BB"/>
    <w:rsid w:val="00957BB7"/>
    <w:rsid w:val="009601E1"/>
    <w:rsid w:val="009610EF"/>
    <w:rsid w:val="00962DDA"/>
    <w:rsid w:val="0096310A"/>
    <w:rsid w:val="0096631A"/>
    <w:rsid w:val="00966506"/>
    <w:rsid w:val="0096718B"/>
    <w:rsid w:val="00971201"/>
    <w:rsid w:val="00971912"/>
    <w:rsid w:val="00971A6A"/>
    <w:rsid w:val="00972006"/>
    <w:rsid w:val="009754C8"/>
    <w:rsid w:val="00976F09"/>
    <w:rsid w:val="00977FB0"/>
    <w:rsid w:val="009804C8"/>
    <w:rsid w:val="00980A0C"/>
    <w:rsid w:val="00980EE4"/>
    <w:rsid w:val="00980FC4"/>
    <w:rsid w:val="009816D8"/>
    <w:rsid w:val="00981981"/>
    <w:rsid w:val="00983E34"/>
    <w:rsid w:val="0098440F"/>
    <w:rsid w:val="00984BCE"/>
    <w:rsid w:val="00985464"/>
    <w:rsid w:val="00987735"/>
    <w:rsid w:val="00990686"/>
    <w:rsid w:val="00990D80"/>
    <w:rsid w:val="00991FF7"/>
    <w:rsid w:val="00995433"/>
    <w:rsid w:val="009966D3"/>
    <w:rsid w:val="009A04EC"/>
    <w:rsid w:val="009A1869"/>
    <w:rsid w:val="009A2C07"/>
    <w:rsid w:val="009A2EC8"/>
    <w:rsid w:val="009A3320"/>
    <w:rsid w:val="009A49DD"/>
    <w:rsid w:val="009A4C19"/>
    <w:rsid w:val="009A743F"/>
    <w:rsid w:val="009A746B"/>
    <w:rsid w:val="009B2C56"/>
    <w:rsid w:val="009B422E"/>
    <w:rsid w:val="009B438B"/>
    <w:rsid w:val="009B4C70"/>
    <w:rsid w:val="009B67FF"/>
    <w:rsid w:val="009B6C36"/>
    <w:rsid w:val="009C0868"/>
    <w:rsid w:val="009C0DAD"/>
    <w:rsid w:val="009C209E"/>
    <w:rsid w:val="009C2E56"/>
    <w:rsid w:val="009C57D7"/>
    <w:rsid w:val="009C6916"/>
    <w:rsid w:val="009C72EE"/>
    <w:rsid w:val="009D0385"/>
    <w:rsid w:val="009D088D"/>
    <w:rsid w:val="009D4B18"/>
    <w:rsid w:val="009D5EAA"/>
    <w:rsid w:val="009D6167"/>
    <w:rsid w:val="009D6D1A"/>
    <w:rsid w:val="009E153F"/>
    <w:rsid w:val="009E155F"/>
    <w:rsid w:val="009E17C3"/>
    <w:rsid w:val="009E451E"/>
    <w:rsid w:val="009E48E5"/>
    <w:rsid w:val="009E5311"/>
    <w:rsid w:val="009E57A8"/>
    <w:rsid w:val="009F0717"/>
    <w:rsid w:val="009F0AB4"/>
    <w:rsid w:val="009F21D9"/>
    <w:rsid w:val="009F44D6"/>
    <w:rsid w:val="009F48CD"/>
    <w:rsid w:val="009F5A6D"/>
    <w:rsid w:val="009F7974"/>
    <w:rsid w:val="009F79C6"/>
    <w:rsid w:val="00A010B4"/>
    <w:rsid w:val="00A0143A"/>
    <w:rsid w:val="00A02975"/>
    <w:rsid w:val="00A02D7A"/>
    <w:rsid w:val="00A0410C"/>
    <w:rsid w:val="00A0464A"/>
    <w:rsid w:val="00A06161"/>
    <w:rsid w:val="00A0652D"/>
    <w:rsid w:val="00A07E81"/>
    <w:rsid w:val="00A102EB"/>
    <w:rsid w:val="00A10884"/>
    <w:rsid w:val="00A11414"/>
    <w:rsid w:val="00A12A22"/>
    <w:rsid w:val="00A13704"/>
    <w:rsid w:val="00A13C91"/>
    <w:rsid w:val="00A15286"/>
    <w:rsid w:val="00A16210"/>
    <w:rsid w:val="00A164F9"/>
    <w:rsid w:val="00A16828"/>
    <w:rsid w:val="00A201A3"/>
    <w:rsid w:val="00A22678"/>
    <w:rsid w:val="00A23166"/>
    <w:rsid w:val="00A2374F"/>
    <w:rsid w:val="00A24F5D"/>
    <w:rsid w:val="00A31339"/>
    <w:rsid w:val="00A32E12"/>
    <w:rsid w:val="00A33857"/>
    <w:rsid w:val="00A3423B"/>
    <w:rsid w:val="00A34473"/>
    <w:rsid w:val="00A34B26"/>
    <w:rsid w:val="00A34C16"/>
    <w:rsid w:val="00A35E99"/>
    <w:rsid w:val="00A41972"/>
    <w:rsid w:val="00A42A79"/>
    <w:rsid w:val="00A42A8C"/>
    <w:rsid w:val="00A4397E"/>
    <w:rsid w:val="00A440D9"/>
    <w:rsid w:val="00A454D3"/>
    <w:rsid w:val="00A46BAF"/>
    <w:rsid w:val="00A540EA"/>
    <w:rsid w:val="00A549B9"/>
    <w:rsid w:val="00A553AD"/>
    <w:rsid w:val="00A5621B"/>
    <w:rsid w:val="00A562DC"/>
    <w:rsid w:val="00A5670C"/>
    <w:rsid w:val="00A57B3C"/>
    <w:rsid w:val="00A57B81"/>
    <w:rsid w:val="00A57BC4"/>
    <w:rsid w:val="00A6022F"/>
    <w:rsid w:val="00A6078D"/>
    <w:rsid w:val="00A61885"/>
    <w:rsid w:val="00A62B66"/>
    <w:rsid w:val="00A62FD6"/>
    <w:rsid w:val="00A630C4"/>
    <w:rsid w:val="00A6331A"/>
    <w:rsid w:val="00A63342"/>
    <w:rsid w:val="00A6405C"/>
    <w:rsid w:val="00A65C19"/>
    <w:rsid w:val="00A67CE0"/>
    <w:rsid w:val="00A7083B"/>
    <w:rsid w:val="00A7241F"/>
    <w:rsid w:val="00A73077"/>
    <w:rsid w:val="00A73587"/>
    <w:rsid w:val="00A73683"/>
    <w:rsid w:val="00A73BAD"/>
    <w:rsid w:val="00A74234"/>
    <w:rsid w:val="00A75155"/>
    <w:rsid w:val="00A75AFF"/>
    <w:rsid w:val="00A77E24"/>
    <w:rsid w:val="00A83D68"/>
    <w:rsid w:val="00A841BE"/>
    <w:rsid w:val="00A84B76"/>
    <w:rsid w:val="00A85602"/>
    <w:rsid w:val="00A86234"/>
    <w:rsid w:val="00A87B90"/>
    <w:rsid w:val="00A90181"/>
    <w:rsid w:val="00A90260"/>
    <w:rsid w:val="00A90511"/>
    <w:rsid w:val="00A92E94"/>
    <w:rsid w:val="00A951B5"/>
    <w:rsid w:val="00A95A2E"/>
    <w:rsid w:val="00A95C45"/>
    <w:rsid w:val="00A96371"/>
    <w:rsid w:val="00AA0CAC"/>
    <w:rsid w:val="00AA139D"/>
    <w:rsid w:val="00AA1838"/>
    <w:rsid w:val="00AA38CA"/>
    <w:rsid w:val="00AA442B"/>
    <w:rsid w:val="00AA4CD9"/>
    <w:rsid w:val="00AA51D3"/>
    <w:rsid w:val="00AA5851"/>
    <w:rsid w:val="00AA5F1F"/>
    <w:rsid w:val="00AA79BF"/>
    <w:rsid w:val="00AB0916"/>
    <w:rsid w:val="00AB184C"/>
    <w:rsid w:val="00AB264D"/>
    <w:rsid w:val="00AB4093"/>
    <w:rsid w:val="00AB5464"/>
    <w:rsid w:val="00AB683C"/>
    <w:rsid w:val="00AB7F75"/>
    <w:rsid w:val="00AC01F3"/>
    <w:rsid w:val="00AC0592"/>
    <w:rsid w:val="00AC11BA"/>
    <w:rsid w:val="00AC1BCD"/>
    <w:rsid w:val="00AC4C82"/>
    <w:rsid w:val="00AC55C2"/>
    <w:rsid w:val="00AC5EC7"/>
    <w:rsid w:val="00AC5F4F"/>
    <w:rsid w:val="00AC645B"/>
    <w:rsid w:val="00AC76C0"/>
    <w:rsid w:val="00AC7DBD"/>
    <w:rsid w:val="00AD0244"/>
    <w:rsid w:val="00AD0F68"/>
    <w:rsid w:val="00AD18B2"/>
    <w:rsid w:val="00AD2F83"/>
    <w:rsid w:val="00AD38CA"/>
    <w:rsid w:val="00AD5DBD"/>
    <w:rsid w:val="00AD6A2E"/>
    <w:rsid w:val="00AE029D"/>
    <w:rsid w:val="00AE0B13"/>
    <w:rsid w:val="00AE0D05"/>
    <w:rsid w:val="00AE2F7A"/>
    <w:rsid w:val="00AE4439"/>
    <w:rsid w:val="00AE4923"/>
    <w:rsid w:val="00AE7F41"/>
    <w:rsid w:val="00AF2974"/>
    <w:rsid w:val="00AF2A13"/>
    <w:rsid w:val="00AF3039"/>
    <w:rsid w:val="00AF3C98"/>
    <w:rsid w:val="00AF3CA3"/>
    <w:rsid w:val="00AF3FFC"/>
    <w:rsid w:val="00AF44F9"/>
    <w:rsid w:val="00AF55C3"/>
    <w:rsid w:val="00AF59D9"/>
    <w:rsid w:val="00AF5E99"/>
    <w:rsid w:val="00AF6022"/>
    <w:rsid w:val="00AF6178"/>
    <w:rsid w:val="00AF7557"/>
    <w:rsid w:val="00AF7B69"/>
    <w:rsid w:val="00AF7E11"/>
    <w:rsid w:val="00B00819"/>
    <w:rsid w:val="00B009BE"/>
    <w:rsid w:val="00B015C6"/>
    <w:rsid w:val="00B02632"/>
    <w:rsid w:val="00B02B0E"/>
    <w:rsid w:val="00B0427E"/>
    <w:rsid w:val="00B04FA3"/>
    <w:rsid w:val="00B0656E"/>
    <w:rsid w:val="00B069D4"/>
    <w:rsid w:val="00B10069"/>
    <w:rsid w:val="00B10414"/>
    <w:rsid w:val="00B1187A"/>
    <w:rsid w:val="00B12693"/>
    <w:rsid w:val="00B14D74"/>
    <w:rsid w:val="00B2343C"/>
    <w:rsid w:val="00B238D4"/>
    <w:rsid w:val="00B25172"/>
    <w:rsid w:val="00B2695C"/>
    <w:rsid w:val="00B27EC1"/>
    <w:rsid w:val="00B3015A"/>
    <w:rsid w:val="00B305A2"/>
    <w:rsid w:val="00B30CF9"/>
    <w:rsid w:val="00B328E0"/>
    <w:rsid w:val="00B33DA5"/>
    <w:rsid w:val="00B34996"/>
    <w:rsid w:val="00B34F0E"/>
    <w:rsid w:val="00B354D9"/>
    <w:rsid w:val="00B404BB"/>
    <w:rsid w:val="00B40AC5"/>
    <w:rsid w:val="00B41513"/>
    <w:rsid w:val="00B46B4B"/>
    <w:rsid w:val="00B517AF"/>
    <w:rsid w:val="00B51CA2"/>
    <w:rsid w:val="00B539F6"/>
    <w:rsid w:val="00B53B4A"/>
    <w:rsid w:val="00B53F8C"/>
    <w:rsid w:val="00B543B9"/>
    <w:rsid w:val="00B56C11"/>
    <w:rsid w:val="00B57F16"/>
    <w:rsid w:val="00B61BD3"/>
    <w:rsid w:val="00B6488B"/>
    <w:rsid w:val="00B64992"/>
    <w:rsid w:val="00B671BC"/>
    <w:rsid w:val="00B7099F"/>
    <w:rsid w:val="00B718BD"/>
    <w:rsid w:val="00B748BC"/>
    <w:rsid w:val="00B75090"/>
    <w:rsid w:val="00B755EB"/>
    <w:rsid w:val="00B77714"/>
    <w:rsid w:val="00B80738"/>
    <w:rsid w:val="00B80886"/>
    <w:rsid w:val="00B80CD1"/>
    <w:rsid w:val="00B81D2E"/>
    <w:rsid w:val="00B821B4"/>
    <w:rsid w:val="00B83DC7"/>
    <w:rsid w:val="00B849FF"/>
    <w:rsid w:val="00B85465"/>
    <w:rsid w:val="00B871B6"/>
    <w:rsid w:val="00B87EA5"/>
    <w:rsid w:val="00B87EB4"/>
    <w:rsid w:val="00B91136"/>
    <w:rsid w:val="00B91B78"/>
    <w:rsid w:val="00B924E6"/>
    <w:rsid w:val="00B9356E"/>
    <w:rsid w:val="00B937A4"/>
    <w:rsid w:val="00B94621"/>
    <w:rsid w:val="00B94FEA"/>
    <w:rsid w:val="00B975DB"/>
    <w:rsid w:val="00BA0FB5"/>
    <w:rsid w:val="00BA1D8D"/>
    <w:rsid w:val="00BA25D8"/>
    <w:rsid w:val="00BA2A4C"/>
    <w:rsid w:val="00BA7029"/>
    <w:rsid w:val="00BA7F61"/>
    <w:rsid w:val="00BB2BCB"/>
    <w:rsid w:val="00BB587F"/>
    <w:rsid w:val="00BB64FF"/>
    <w:rsid w:val="00BC117F"/>
    <w:rsid w:val="00BC136A"/>
    <w:rsid w:val="00BC1E0D"/>
    <w:rsid w:val="00BC24E5"/>
    <w:rsid w:val="00BC26AE"/>
    <w:rsid w:val="00BC2B7D"/>
    <w:rsid w:val="00BC3E98"/>
    <w:rsid w:val="00BC540D"/>
    <w:rsid w:val="00BC5D7F"/>
    <w:rsid w:val="00BD0DCF"/>
    <w:rsid w:val="00BD2E61"/>
    <w:rsid w:val="00BD3E3F"/>
    <w:rsid w:val="00BD42A1"/>
    <w:rsid w:val="00BD5198"/>
    <w:rsid w:val="00BD58AF"/>
    <w:rsid w:val="00BE0320"/>
    <w:rsid w:val="00BE0CC9"/>
    <w:rsid w:val="00BE104D"/>
    <w:rsid w:val="00BE14B8"/>
    <w:rsid w:val="00BE161C"/>
    <w:rsid w:val="00BE3A5C"/>
    <w:rsid w:val="00BE3FCD"/>
    <w:rsid w:val="00BE5D7F"/>
    <w:rsid w:val="00BF164D"/>
    <w:rsid w:val="00BF3605"/>
    <w:rsid w:val="00BF45B4"/>
    <w:rsid w:val="00BF4AAD"/>
    <w:rsid w:val="00BF4E51"/>
    <w:rsid w:val="00BF55FE"/>
    <w:rsid w:val="00BF58C4"/>
    <w:rsid w:val="00BF630A"/>
    <w:rsid w:val="00C0050A"/>
    <w:rsid w:val="00C02371"/>
    <w:rsid w:val="00C03076"/>
    <w:rsid w:val="00C06CC7"/>
    <w:rsid w:val="00C06D21"/>
    <w:rsid w:val="00C06E76"/>
    <w:rsid w:val="00C10178"/>
    <w:rsid w:val="00C11086"/>
    <w:rsid w:val="00C11D44"/>
    <w:rsid w:val="00C12282"/>
    <w:rsid w:val="00C134EA"/>
    <w:rsid w:val="00C13643"/>
    <w:rsid w:val="00C13823"/>
    <w:rsid w:val="00C13E49"/>
    <w:rsid w:val="00C143C0"/>
    <w:rsid w:val="00C1506A"/>
    <w:rsid w:val="00C1639B"/>
    <w:rsid w:val="00C16891"/>
    <w:rsid w:val="00C16DEC"/>
    <w:rsid w:val="00C2042F"/>
    <w:rsid w:val="00C221A5"/>
    <w:rsid w:val="00C227C9"/>
    <w:rsid w:val="00C241BE"/>
    <w:rsid w:val="00C2422B"/>
    <w:rsid w:val="00C24804"/>
    <w:rsid w:val="00C253B7"/>
    <w:rsid w:val="00C2644F"/>
    <w:rsid w:val="00C26EC4"/>
    <w:rsid w:val="00C27623"/>
    <w:rsid w:val="00C277F2"/>
    <w:rsid w:val="00C32902"/>
    <w:rsid w:val="00C3386D"/>
    <w:rsid w:val="00C338BF"/>
    <w:rsid w:val="00C33F8E"/>
    <w:rsid w:val="00C3605F"/>
    <w:rsid w:val="00C37D49"/>
    <w:rsid w:val="00C4165E"/>
    <w:rsid w:val="00C43D5D"/>
    <w:rsid w:val="00C43FF0"/>
    <w:rsid w:val="00C44FD5"/>
    <w:rsid w:val="00C46745"/>
    <w:rsid w:val="00C46864"/>
    <w:rsid w:val="00C47CDC"/>
    <w:rsid w:val="00C50164"/>
    <w:rsid w:val="00C52444"/>
    <w:rsid w:val="00C529B2"/>
    <w:rsid w:val="00C53BA9"/>
    <w:rsid w:val="00C54DD1"/>
    <w:rsid w:val="00C5564A"/>
    <w:rsid w:val="00C556DF"/>
    <w:rsid w:val="00C55CA2"/>
    <w:rsid w:val="00C56213"/>
    <w:rsid w:val="00C57148"/>
    <w:rsid w:val="00C575B3"/>
    <w:rsid w:val="00C6002A"/>
    <w:rsid w:val="00C6092E"/>
    <w:rsid w:val="00C60C60"/>
    <w:rsid w:val="00C61883"/>
    <w:rsid w:val="00C62737"/>
    <w:rsid w:val="00C62925"/>
    <w:rsid w:val="00C641C9"/>
    <w:rsid w:val="00C64A97"/>
    <w:rsid w:val="00C65159"/>
    <w:rsid w:val="00C65FE8"/>
    <w:rsid w:val="00C66755"/>
    <w:rsid w:val="00C66CAF"/>
    <w:rsid w:val="00C66F1D"/>
    <w:rsid w:val="00C7046D"/>
    <w:rsid w:val="00C724F2"/>
    <w:rsid w:val="00C729E4"/>
    <w:rsid w:val="00C72D7E"/>
    <w:rsid w:val="00C7753A"/>
    <w:rsid w:val="00C8032E"/>
    <w:rsid w:val="00C813F8"/>
    <w:rsid w:val="00C85F65"/>
    <w:rsid w:val="00C86096"/>
    <w:rsid w:val="00C879B2"/>
    <w:rsid w:val="00C91A60"/>
    <w:rsid w:val="00C91CBE"/>
    <w:rsid w:val="00C91FF4"/>
    <w:rsid w:val="00C9292D"/>
    <w:rsid w:val="00C92D8F"/>
    <w:rsid w:val="00C9577C"/>
    <w:rsid w:val="00CA1393"/>
    <w:rsid w:val="00CA149F"/>
    <w:rsid w:val="00CA2EB9"/>
    <w:rsid w:val="00CA7EF2"/>
    <w:rsid w:val="00CB0429"/>
    <w:rsid w:val="00CB0866"/>
    <w:rsid w:val="00CB09C1"/>
    <w:rsid w:val="00CB12F3"/>
    <w:rsid w:val="00CB2903"/>
    <w:rsid w:val="00CB2AE1"/>
    <w:rsid w:val="00CB2C14"/>
    <w:rsid w:val="00CB4770"/>
    <w:rsid w:val="00CB49A3"/>
    <w:rsid w:val="00CB5044"/>
    <w:rsid w:val="00CB5FD1"/>
    <w:rsid w:val="00CB6E75"/>
    <w:rsid w:val="00CB727D"/>
    <w:rsid w:val="00CB7E6A"/>
    <w:rsid w:val="00CC2CB4"/>
    <w:rsid w:val="00CC39B0"/>
    <w:rsid w:val="00CC46BA"/>
    <w:rsid w:val="00CC707C"/>
    <w:rsid w:val="00CC7A47"/>
    <w:rsid w:val="00CD1079"/>
    <w:rsid w:val="00CD304C"/>
    <w:rsid w:val="00CD335D"/>
    <w:rsid w:val="00CD393B"/>
    <w:rsid w:val="00CD4037"/>
    <w:rsid w:val="00CD4039"/>
    <w:rsid w:val="00CD57DF"/>
    <w:rsid w:val="00CD5A09"/>
    <w:rsid w:val="00CE04D6"/>
    <w:rsid w:val="00CE0D0F"/>
    <w:rsid w:val="00CE331B"/>
    <w:rsid w:val="00CE5B6C"/>
    <w:rsid w:val="00CE5ECA"/>
    <w:rsid w:val="00CE5FE7"/>
    <w:rsid w:val="00CF1894"/>
    <w:rsid w:val="00CF2323"/>
    <w:rsid w:val="00CF2859"/>
    <w:rsid w:val="00CF2BEC"/>
    <w:rsid w:val="00CF3CCC"/>
    <w:rsid w:val="00CF3DEC"/>
    <w:rsid w:val="00CF4258"/>
    <w:rsid w:val="00CF50EB"/>
    <w:rsid w:val="00CF749F"/>
    <w:rsid w:val="00CF79EA"/>
    <w:rsid w:val="00CF7D20"/>
    <w:rsid w:val="00CF7E77"/>
    <w:rsid w:val="00D00C83"/>
    <w:rsid w:val="00D01A93"/>
    <w:rsid w:val="00D02B6C"/>
    <w:rsid w:val="00D03772"/>
    <w:rsid w:val="00D0394F"/>
    <w:rsid w:val="00D0513E"/>
    <w:rsid w:val="00D05C10"/>
    <w:rsid w:val="00D06786"/>
    <w:rsid w:val="00D1008F"/>
    <w:rsid w:val="00D100B0"/>
    <w:rsid w:val="00D11FAB"/>
    <w:rsid w:val="00D13BD9"/>
    <w:rsid w:val="00D15BF3"/>
    <w:rsid w:val="00D15FEA"/>
    <w:rsid w:val="00D17A4B"/>
    <w:rsid w:val="00D21EC6"/>
    <w:rsid w:val="00D22295"/>
    <w:rsid w:val="00D23BBA"/>
    <w:rsid w:val="00D2577E"/>
    <w:rsid w:val="00D25D6E"/>
    <w:rsid w:val="00D26436"/>
    <w:rsid w:val="00D26818"/>
    <w:rsid w:val="00D26D3F"/>
    <w:rsid w:val="00D271E1"/>
    <w:rsid w:val="00D30524"/>
    <w:rsid w:val="00D30C64"/>
    <w:rsid w:val="00D3139C"/>
    <w:rsid w:val="00D31D77"/>
    <w:rsid w:val="00D3218E"/>
    <w:rsid w:val="00D32436"/>
    <w:rsid w:val="00D33659"/>
    <w:rsid w:val="00D346B4"/>
    <w:rsid w:val="00D3536D"/>
    <w:rsid w:val="00D35E37"/>
    <w:rsid w:val="00D36175"/>
    <w:rsid w:val="00D429ED"/>
    <w:rsid w:val="00D45FE1"/>
    <w:rsid w:val="00D461F7"/>
    <w:rsid w:val="00D4656E"/>
    <w:rsid w:val="00D50DF1"/>
    <w:rsid w:val="00D51386"/>
    <w:rsid w:val="00D51C9B"/>
    <w:rsid w:val="00D520E3"/>
    <w:rsid w:val="00D523E3"/>
    <w:rsid w:val="00D535B4"/>
    <w:rsid w:val="00D54620"/>
    <w:rsid w:val="00D55253"/>
    <w:rsid w:val="00D566E0"/>
    <w:rsid w:val="00D57B01"/>
    <w:rsid w:val="00D57BD8"/>
    <w:rsid w:val="00D6643E"/>
    <w:rsid w:val="00D70350"/>
    <w:rsid w:val="00D716A6"/>
    <w:rsid w:val="00D7516B"/>
    <w:rsid w:val="00D757B4"/>
    <w:rsid w:val="00D802AB"/>
    <w:rsid w:val="00D819F5"/>
    <w:rsid w:val="00D81E54"/>
    <w:rsid w:val="00D82114"/>
    <w:rsid w:val="00D837C4"/>
    <w:rsid w:val="00D83C09"/>
    <w:rsid w:val="00D845B2"/>
    <w:rsid w:val="00D900DA"/>
    <w:rsid w:val="00D91DBF"/>
    <w:rsid w:val="00D91F33"/>
    <w:rsid w:val="00D924E4"/>
    <w:rsid w:val="00D92BB1"/>
    <w:rsid w:val="00D9315A"/>
    <w:rsid w:val="00D93835"/>
    <w:rsid w:val="00D93A28"/>
    <w:rsid w:val="00D95A13"/>
    <w:rsid w:val="00D95CEF"/>
    <w:rsid w:val="00D95F65"/>
    <w:rsid w:val="00D9797F"/>
    <w:rsid w:val="00DA10C0"/>
    <w:rsid w:val="00DA2BDD"/>
    <w:rsid w:val="00DA2DF0"/>
    <w:rsid w:val="00DA3053"/>
    <w:rsid w:val="00DA33B9"/>
    <w:rsid w:val="00DA48FC"/>
    <w:rsid w:val="00DA4B48"/>
    <w:rsid w:val="00DA56E1"/>
    <w:rsid w:val="00DA6E9A"/>
    <w:rsid w:val="00DA714C"/>
    <w:rsid w:val="00DB1141"/>
    <w:rsid w:val="00DB14F8"/>
    <w:rsid w:val="00DB26CB"/>
    <w:rsid w:val="00DB36DD"/>
    <w:rsid w:val="00DB4340"/>
    <w:rsid w:val="00DB4DE8"/>
    <w:rsid w:val="00DB5ACC"/>
    <w:rsid w:val="00DB634F"/>
    <w:rsid w:val="00DB637A"/>
    <w:rsid w:val="00DC0C19"/>
    <w:rsid w:val="00DC0E9E"/>
    <w:rsid w:val="00DC13B7"/>
    <w:rsid w:val="00DC22B3"/>
    <w:rsid w:val="00DC25D9"/>
    <w:rsid w:val="00DC328D"/>
    <w:rsid w:val="00DC3809"/>
    <w:rsid w:val="00DC40FC"/>
    <w:rsid w:val="00DC412C"/>
    <w:rsid w:val="00DC5374"/>
    <w:rsid w:val="00DD03A7"/>
    <w:rsid w:val="00DD044E"/>
    <w:rsid w:val="00DD1939"/>
    <w:rsid w:val="00DD1C62"/>
    <w:rsid w:val="00DD24CD"/>
    <w:rsid w:val="00DD4DBE"/>
    <w:rsid w:val="00DD6628"/>
    <w:rsid w:val="00DD7253"/>
    <w:rsid w:val="00DD72C7"/>
    <w:rsid w:val="00DE2435"/>
    <w:rsid w:val="00DE30EE"/>
    <w:rsid w:val="00DE45FE"/>
    <w:rsid w:val="00DE51EE"/>
    <w:rsid w:val="00DE62E4"/>
    <w:rsid w:val="00DE6475"/>
    <w:rsid w:val="00DE725C"/>
    <w:rsid w:val="00DE7AA5"/>
    <w:rsid w:val="00DF0489"/>
    <w:rsid w:val="00DF0AA5"/>
    <w:rsid w:val="00DF11D9"/>
    <w:rsid w:val="00DF15AA"/>
    <w:rsid w:val="00DF33B0"/>
    <w:rsid w:val="00DF33E2"/>
    <w:rsid w:val="00DF4011"/>
    <w:rsid w:val="00DF4099"/>
    <w:rsid w:val="00DF6203"/>
    <w:rsid w:val="00DF6901"/>
    <w:rsid w:val="00DF712A"/>
    <w:rsid w:val="00DF73FB"/>
    <w:rsid w:val="00DF7E6E"/>
    <w:rsid w:val="00DF7E9D"/>
    <w:rsid w:val="00E00827"/>
    <w:rsid w:val="00E00A75"/>
    <w:rsid w:val="00E02B2E"/>
    <w:rsid w:val="00E037F6"/>
    <w:rsid w:val="00E0488F"/>
    <w:rsid w:val="00E05C22"/>
    <w:rsid w:val="00E06054"/>
    <w:rsid w:val="00E06310"/>
    <w:rsid w:val="00E068B0"/>
    <w:rsid w:val="00E06B2D"/>
    <w:rsid w:val="00E06E13"/>
    <w:rsid w:val="00E10062"/>
    <w:rsid w:val="00E12D3C"/>
    <w:rsid w:val="00E12DA5"/>
    <w:rsid w:val="00E14412"/>
    <w:rsid w:val="00E14A6B"/>
    <w:rsid w:val="00E16105"/>
    <w:rsid w:val="00E1695B"/>
    <w:rsid w:val="00E2023E"/>
    <w:rsid w:val="00E240AD"/>
    <w:rsid w:val="00E24C46"/>
    <w:rsid w:val="00E24D76"/>
    <w:rsid w:val="00E24FED"/>
    <w:rsid w:val="00E251A2"/>
    <w:rsid w:val="00E2647F"/>
    <w:rsid w:val="00E27692"/>
    <w:rsid w:val="00E302F7"/>
    <w:rsid w:val="00E3090A"/>
    <w:rsid w:val="00E30A4D"/>
    <w:rsid w:val="00E316E3"/>
    <w:rsid w:val="00E32351"/>
    <w:rsid w:val="00E32A63"/>
    <w:rsid w:val="00E32C89"/>
    <w:rsid w:val="00E34141"/>
    <w:rsid w:val="00E36E7D"/>
    <w:rsid w:val="00E37210"/>
    <w:rsid w:val="00E4086A"/>
    <w:rsid w:val="00E40ABB"/>
    <w:rsid w:val="00E40F8C"/>
    <w:rsid w:val="00E433CC"/>
    <w:rsid w:val="00E447CC"/>
    <w:rsid w:val="00E470DD"/>
    <w:rsid w:val="00E50481"/>
    <w:rsid w:val="00E507EE"/>
    <w:rsid w:val="00E50CD0"/>
    <w:rsid w:val="00E54BD5"/>
    <w:rsid w:val="00E5501A"/>
    <w:rsid w:val="00E56988"/>
    <w:rsid w:val="00E57A06"/>
    <w:rsid w:val="00E57CA4"/>
    <w:rsid w:val="00E61345"/>
    <w:rsid w:val="00E62DD6"/>
    <w:rsid w:val="00E631B8"/>
    <w:rsid w:val="00E63757"/>
    <w:rsid w:val="00E64F81"/>
    <w:rsid w:val="00E66283"/>
    <w:rsid w:val="00E675AD"/>
    <w:rsid w:val="00E676FC"/>
    <w:rsid w:val="00E677F4"/>
    <w:rsid w:val="00E7108C"/>
    <w:rsid w:val="00E7131C"/>
    <w:rsid w:val="00E72094"/>
    <w:rsid w:val="00E7238D"/>
    <w:rsid w:val="00E72D69"/>
    <w:rsid w:val="00E72DCC"/>
    <w:rsid w:val="00E74465"/>
    <w:rsid w:val="00E7472B"/>
    <w:rsid w:val="00E75815"/>
    <w:rsid w:val="00E764A1"/>
    <w:rsid w:val="00E76DCF"/>
    <w:rsid w:val="00E8031D"/>
    <w:rsid w:val="00E80FED"/>
    <w:rsid w:val="00E81175"/>
    <w:rsid w:val="00E81446"/>
    <w:rsid w:val="00E81C8E"/>
    <w:rsid w:val="00E84121"/>
    <w:rsid w:val="00E84916"/>
    <w:rsid w:val="00E84F2E"/>
    <w:rsid w:val="00E900F2"/>
    <w:rsid w:val="00E90866"/>
    <w:rsid w:val="00E93EC0"/>
    <w:rsid w:val="00E93F5A"/>
    <w:rsid w:val="00E94AB6"/>
    <w:rsid w:val="00E95257"/>
    <w:rsid w:val="00E96E3C"/>
    <w:rsid w:val="00EA160E"/>
    <w:rsid w:val="00EA3BCD"/>
    <w:rsid w:val="00EA5217"/>
    <w:rsid w:val="00EA62F2"/>
    <w:rsid w:val="00EA7222"/>
    <w:rsid w:val="00EB0E93"/>
    <w:rsid w:val="00EB237D"/>
    <w:rsid w:val="00EB2F04"/>
    <w:rsid w:val="00EB36A6"/>
    <w:rsid w:val="00EB583D"/>
    <w:rsid w:val="00EB5F12"/>
    <w:rsid w:val="00EB6E21"/>
    <w:rsid w:val="00EC016D"/>
    <w:rsid w:val="00EC03F2"/>
    <w:rsid w:val="00EC0918"/>
    <w:rsid w:val="00EC27D6"/>
    <w:rsid w:val="00EC5DF6"/>
    <w:rsid w:val="00EC6726"/>
    <w:rsid w:val="00ED2F39"/>
    <w:rsid w:val="00ED35E9"/>
    <w:rsid w:val="00ED367C"/>
    <w:rsid w:val="00ED37B0"/>
    <w:rsid w:val="00ED4270"/>
    <w:rsid w:val="00ED660E"/>
    <w:rsid w:val="00ED6CD3"/>
    <w:rsid w:val="00ED6ED0"/>
    <w:rsid w:val="00EE0C4E"/>
    <w:rsid w:val="00EE5089"/>
    <w:rsid w:val="00EE6BDC"/>
    <w:rsid w:val="00EE6C29"/>
    <w:rsid w:val="00EE6C6C"/>
    <w:rsid w:val="00EF1211"/>
    <w:rsid w:val="00EF26F3"/>
    <w:rsid w:val="00EF2C43"/>
    <w:rsid w:val="00EF2D5B"/>
    <w:rsid w:val="00EF32EA"/>
    <w:rsid w:val="00EF5D0E"/>
    <w:rsid w:val="00EF5D82"/>
    <w:rsid w:val="00EF7322"/>
    <w:rsid w:val="00EF7ACE"/>
    <w:rsid w:val="00F00E01"/>
    <w:rsid w:val="00F03554"/>
    <w:rsid w:val="00F0560D"/>
    <w:rsid w:val="00F058FF"/>
    <w:rsid w:val="00F06797"/>
    <w:rsid w:val="00F06C2B"/>
    <w:rsid w:val="00F07D3C"/>
    <w:rsid w:val="00F10181"/>
    <w:rsid w:val="00F11BF0"/>
    <w:rsid w:val="00F12180"/>
    <w:rsid w:val="00F145CB"/>
    <w:rsid w:val="00F16602"/>
    <w:rsid w:val="00F16F9D"/>
    <w:rsid w:val="00F20C17"/>
    <w:rsid w:val="00F223D0"/>
    <w:rsid w:val="00F22EEC"/>
    <w:rsid w:val="00F23614"/>
    <w:rsid w:val="00F2485D"/>
    <w:rsid w:val="00F270CE"/>
    <w:rsid w:val="00F31AC4"/>
    <w:rsid w:val="00F32C56"/>
    <w:rsid w:val="00F32D01"/>
    <w:rsid w:val="00F32D0D"/>
    <w:rsid w:val="00F33F55"/>
    <w:rsid w:val="00F40FD7"/>
    <w:rsid w:val="00F43B3D"/>
    <w:rsid w:val="00F43B91"/>
    <w:rsid w:val="00F46461"/>
    <w:rsid w:val="00F4672B"/>
    <w:rsid w:val="00F46ED2"/>
    <w:rsid w:val="00F511CB"/>
    <w:rsid w:val="00F5271B"/>
    <w:rsid w:val="00F53158"/>
    <w:rsid w:val="00F534AB"/>
    <w:rsid w:val="00F535AB"/>
    <w:rsid w:val="00F542D5"/>
    <w:rsid w:val="00F561D9"/>
    <w:rsid w:val="00F56C98"/>
    <w:rsid w:val="00F56FB0"/>
    <w:rsid w:val="00F57D02"/>
    <w:rsid w:val="00F57E42"/>
    <w:rsid w:val="00F60FE8"/>
    <w:rsid w:val="00F611DD"/>
    <w:rsid w:val="00F61684"/>
    <w:rsid w:val="00F6290A"/>
    <w:rsid w:val="00F64808"/>
    <w:rsid w:val="00F667B6"/>
    <w:rsid w:val="00F670D9"/>
    <w:rsid w:val="00F700B4"/>
    <w:rsid w:val="00F70D98"/>
    <w:rsid w:val="00F716E3"/>
    <w:rsid w:val="00F7224F"/>
    <w:rsid w:val="00F73315"/>
    <w:rsid w:val="00F736EA"/>
    <w:rsid w:val="00F74BD5"/>
    <w:rsid w:val="00F756C8"/>
    <w:rsid w:val="00F76C78"/>
    <w:rsid w:val="00F77907"/>
    <w:rsid w:val="00F8060A"/>
    <w:rsid w:val="00F81BAA"/>
    <w:rsid w:val="00F83002"/>
    <w:rsid w:val="00F84958"/>
    <w:rsid w:val="00F851F3"/>
    <w:rsid w:val="00F85818"/>
    <w:rsid w:val="00F85947"/>
    <w:rsid w:val="00F91274"/>
    <w:rsid w:val="00F928CF"/>
    <w:rsid w:val="00F93E63"/>
    <w:rsid w:val="00F95BC0"/>
    <w:rsid w:val="00F95DE9"/>
    <w:rsid w:val="00FA1CB8"/>
    <w:rsid w:val="00FA2935"/>
    <w:rsid w:val="00FA2E42"/>
    <w:rsid w:val="00FA3E22"/>
    <w:rsid w:val="00FA4B9A"/>
    <w:rsid w:val="00FA5585"/>
    <w:rsid w:val="00FA686D"/>
    <w:rsid w:val="00FA7CB5"/>
    <w:rsid w:val="00FB17A8"/>
    <w:rsid w:val="00FB2C11"/>
    <w:rsid w:val="00FB43FB"/>
    <w:rsid w:val="00FB457F"/>
    <w:rsid w:val="00FB4819"/>
    <w:rsid w:val="00FB506A"/>
    <w:rsid w:val="00FB5251"/>
    <w:rsid w:val="00FB59AE"/>
    <w:rsid w:val="00FB6E37"/>
    <w:rsid w:val="00FB7E2F"/>
    <w:rsid w:val="00FC0200"/>
    <w:rsid w:val="00FC0824"/>
    <w:rsid w:val="00FC28B8"/>
    <w:rsid w:val="00FC3AF8"/>
    <w:rsid w:val="00FC5EC1"/>
    <w:rsid w:val="00FC7BC3"/>
    <w:rsid w:val="00FD11F0"/>
    <w:rsid w:val="00FD1FD6"/>
    <w:rsid w:val="00FD2982"/>
    <w:rsid w:val="00FD3C98"/>
    <w:rsid w:val="00FD664A"/>
    <w:rsid w:val="00FD6F05"/>
    <w:rsid w:val="00FD7195"/>
    <w:rsid w:val="00FD7E8C"/>
    <w:rsid w:val="00FE0268"/>
    <w:rsid w:val="00FE2579"/>
    <w:rsid w:val="00FE2FB0"/>
    <w:rsid w:val="00FE4ACE"/>
    <w:rsid w:val="00FE4DA9"/>
    <w:rsid w:val="00FE735E"/>
    <w:rsid w:val="00FE75CA"/>
    <w:rsid w:val="00FF10DA"/>
    <w:rsid w:val="00FF2D45"/>
    <w:rsid w:val="00FF33CC"/>
    <w:rsid w:val="00FF6555"/>
    <w:rsid w:val="00FF6AAB"/>
    <w:rsid w:val="00FF6F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FC4BE"/>
  <w15:chartTrackingRefBased/>
  <w15:docId w15:val="{86129851-92A0-4BFE-9A10-DD3ACCDE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450"/>
    <w:pPr>
      <w:ind w:left="720"/>
      <w:contextualSpacing/>
    </w:pPr>
  </w:style>
  <w:style w:type="paragraph" w:styleId="FootnoteText">
    <w:name w:val="footnote text"/>
    <w:basedOn w:val="Normal"/>
    <w:link w:val="FootnoteTextChar"/>
    <w:uiPriority w:val="99"/>
    <w:semiHidden/>
    <w:unhideWhenUsed/>
    <w:rsid w:val="005603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03C9"/>
    <w:rPr>
      <w:sz w:val="20"/>
      <w:szCs w:val="20"/>
    </w:rPr>
  </w:style>
  <w:style w:type="character" w:styleId="FootnoteReference">
    <w:name w:val="footnote reference"/>
    <w:basedOn w:val="DefaultParagraphFont"/>
    <w:uiPriority w:val="99"/>
    <w:unhideWhenUsed/>
    <w:rsid w:val="005603C9"/>
    <w:rPr>
      <w:vertAlign w:val="superscript"/>
    </w:rPr>
  </w:style>
  <w:style w:type="character" w:styleId="CommentReference">
    <w:name w:val="annotation reference"/>
    <w:basedOn w:val="DefaultParagraphFont"/>
    <w:uiPriority w:val="99"/>
    <w:semiHidden/>
    <w:unhideWhenUsed/>
    <w:rsid w:val="00EA3BCD"/>
    <w:rPr>
      <w:sz w:val="16"/>
      <w:szCs w:val="16"/>
    </w:rPr>
  </w:style>
  <w:style w:type="paragraph" w:styleId="CommentText">
    <w:name w:val="annotation text"/>
    <w:basedOn w:val="Normal"/>
    <w:link w:val="CommentTextChar"/>
    <w:uiPriority w:val="99"/>
    <w:semiHidden/>
    <w:unhideWhenUsed/>
    <w:rsid w:val="00EA3BCD"/>
    <w:pPr>
      <w:spacing w:line="240" w:lineRule="auto"/>
    </w:pPr>
    <w:rPr>
      <w:sz w:val="20"/>
      <w:szCs w:val="20"/>
    </w:rPr>
  </w:style>
  <w:style w:type="character" w:customStyle="1" w:styleId="CommentTextChar">
    <w:name w:val="Comment Text Char"/>
    <w:basedOn w:val="DefaultParagraphFont"/>
    <w:link w:val="CommentText"/>
    <w:uiPriority w:val="99"/>
    <w:semiHidden/>
    <w:rsid w:val="00EA3BCD"/>
    <w:rPr>
      <w:sz w:val="20"/>
      <w:szCs w:val="20"/>
    </w:rPr>
  </w:style>
  <w:style w:type="paragraph" w:styleId="CommentSubject">
    <w:name w:val="annotation subject"/>
    <w:basedOn w:val="CommentText"/>
    <w:next w:val="CommentText"/>
    <w:link w:val="CommentSubjectChar"/>
    <w:uiPriority w:val="99"/>
    <w:semiHidden/>
    <w:unhideWhenUsed/>
    <w:rsid w:val="00EA3BCD"/>
    <w:rPr>
      <w:b/>
      <w:bCs/>
    </w:rPr>
  </w:style>
  <w:style w:type="character" w:customStyle="1" w:styleId="CommentSubjectChar">
    <w:name w:val="Comment Subject Char"/>
    <w:basedOn w:val="CommentTextChar"/>
    <w:link w:val="CommentSubject"/>
    <w:uiPriority w:val="99"/>
    <w:semiHidden/>
    <w:rsid w:val="00EA3BCD"/>
    <w:rPr>
      <w:b/>
      <w:bCs/>
      <w:sz w:val="20"/>
      <w:szCs w:val="20"/>
    </w:rPr>
  </w:style>
  <w:style w:type="paragraph" w:styleId="BalloonText">
    <w:name w:val="Balloon Text"/>
    <w:basedOn w:val="Normal"/>
    <w:link w:val="BalloonTextChar"/>
    <w:uiPriority w:val="99"/>
    <w:semiHidden/>
    <w:unhideWhenUsed/>
    <w:rsid w:val="00EA3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BCD"/>
    <w:rPr>
      <w:rFonts w:ascii="Segoe UI" w:hAnsi="Segoe UI" w:cs="Segoe UI"/>
      <w:sz w:val="18"/>
      <w:szCs w:val="18"/>
    </w:rPr>
  </w:style>
  <w:style w:type="paragraph" w:styleId="Header">
    <w:name w:val="header"/>
    <w:basedOn w:val="Normal"/>
    <w:link w:val="HeaderChar"/>
    <w:uiPriority w:val="99"/>
    <w:unhideWhenUsed/>
    <w:rsid w:val="00BE16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61C"/>
  </w:style>
  <w:style w:type="paragraph" w:styleId="Footer">
    <w:name w:val="footer"/>
    <w:basedOn w:val="Normal"/>
    <w:link w:val="FooterChar"/>
    <w:uiPriority w:val="99"/>
    <w:unhideWhenUsed/>
    <w:rsid w:val="00BE16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61C"/>
  </w:style>
  <w:style w:type="paragraph" w:styleId="Revision">
    <w:name w:val="Revision"/>
    <w:hidden/>
    <w:uiPriority w:val="99"/>
    <w:semiHidden/>
    <w:rsid w:val="008E7D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flii.org/cgi-bin/LawCite?cit=1927%20AD%202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4B813-089F-4419-8B1F-4444E9CEB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9472</Words>
  <Characters>53997</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Mpilo Hlongwane</dc:creator>
  <cp:keywords/>
  <dc:description/>
  <cp:lastModifiedBy>Mary Bruce</cp:lastModifiedBy>
  <cp:revision>3</cp:revision>
  <cp:lastPrinted>2021-11-15T06:27:00Z</cp:lastPrinted>
  <dcterms:created xsi:type="dcterms:W3CDTF">2021-11-18T06:57:00Z</dcterms:created>
  <dcterms:modified xsi:type="dcterms:W3CDTF">2021-11-18T06:57:00Z</dcterms:modified>
</cp:coreProperties>
</file>