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2F4" w:rsidRPr="009C79D8" w:rsidRDefault="002A72F4" w:rsidP="00977760">
      <w:pPr>
        <w:pStyle w:val="ListParagraph"/>
        <w:rPr>
          <w:sz w:val="28"/>
          <w:szCs w:val="28"/>
        </w:rPr>
      </w:pPr>
      <w:bookmarkStart w:id="0" w:name="_GoBack"/>
      <w:bookmarkEnd w:id="0"/>
    </w:p>
    <w:p w:rsidR="002A72F4" w:rsidRPr="000154F8" w:rsidRDefault="002A72F4" w:rsidP="00977760">
      <w:pPr>
        <w:pStyle w:val="ListParagraph"/>
        <w:rPr>
          <w:sz w:val="28"/>
          <w:szCs w:val="28"/>
        </w:rPr>
      </w:pPr>
      <w:r w:rsidRPr="000154F8">
        <w:rPr>
          <w:noProof/>
          <w:sz w:val="28"/>
          <w:szCs w:val="28"/>
          <w:lang w:val="en-ZA" w:eastAsia="en-ZA"/>
        </w:rPr>
        <w:drawing>
          <wp:anchor distT="0" distB="0" distL="114300" distR="114300" simplePos="0" relativeHeight="251660288" behindDoc="0" locked="0" layoutInCell="1" allowOverlap="1" wp14:anchorId="3DF6AFE1" wp14:editId="3BC62B19">
            <wp:simplePos x="0" y="0"/>
            <wp:positionH relativeFrom="column">
              <wp:align>center</wp:align>
            </wp:positionH>
            <wp:positionV relativeFrom="paragraph">
              <wp:posOffset>-683895</wp:posOffset>
            </wp:positionV>
            <wp:extent cx="800100" cy="914400"/>
            <wp:effectExtent l="0" t="0" r="0" b="0"/>
            <wp:wrapSquare wrapText="bothSides"/>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2F4" w:rsidRPr="000154F8" w:rsidRDefault="002A72F4" w:rsidP="00977760">
      <w:pPr>
        <w:pStyle w:val="ListParagraph"/>
        <w:rPr>
          <w:sz w:val="28"/>
          <w:szCs w:val="28"/>
        </w:rPr>
      </w:pPr>
    </w:p>
    <w:p w:rsidR="002A72F4" w:rsidRPr="000154F8" w:rsidRDefault="002A72F4" w:rsidP="00977760">
      <w:pPr>
        <w:pStyle w:val="ListParagraph"/>
        <w:rPr>
          <w:sz w:val="28"/>
          <w:szCs w:val="28"/>
        </w:rPr>
      </w:pPr>
    </w:p>
    <w:p w:rsidR="002A72F4" w:rsidRPr="000154F8" w:rsidRDefault="002A72F4" w:rsidP="00977760">
      <w:pPr>
        <w:pStyle w:val="ListParagraph"/>
        <w:jc w:val="center"/>
        <w:rPr>
          <w:b/>
          <w:sz w:val="28"/>
          <w:szCs w:val="28"/>
        </w:rPr>
      </w:pPr>
      <w:r w:rsidRPr="000154F8">
        <w:rPr>
          <w:b/>
          <w:sz w:val="28"/>
          <w:szCs w:val="28"/>
        </w:rPr>
        <w:t>THE SUPREME COURT OF APPEAL OF SOUTH AFRICA</w:t>
      </w:r>
    </w:p>
    <w:p w:rsidR="002A72F4" w:rsidRPr="000154F8" w:rsidRDefault="002A72F4" w:rsidP="00977760">
      <w:pPr>
        <w:pStyle w:val="ListParagraph"/>
        <w:jc w:val="center"/>
        <w:rPr>
          <w:b/>
          <w:i/>
          <w:sz w:val="28"/>
          <w:szCs w:val="28"/>
        </w:rPr>
      </w:pPr>
      <w:r w:rsidRPr="000154F8">
        <w:rPr>
          <w:b/>
          <w:sz w:val="28"/>
          <w:szCs w:val="28"/>
        </w:rPr>
        <w:t>JUDGMENT</w:t>
      </w:r>
    </w:p>
    <w:p w:rsidR="002A72F4" w:rsidRPr="000154F8" w:rsidRDefault="00757AAC" w:rsidP="00977760">
      <w:pPr>
        <w:pStyle w:val="ListParagraph"/>
        <w:ind w:left="5760"/>
        <w:rPr>
          <w:b/>
          <w:sz w:val="28"/>
          <w:szCs w:val="28"/>
        </w:rPr>
      </w:pPr>
      <w:r>
        <w:rPr>
          <w:b/>
          <w:sz w:val="28"/>
          <w:szCs w:val="28"/>
        </w:rPr>
        <w:t xml:space="preserve">                           </w:t>
      </w:r>
      <w:r w:rsidR="00507763">
        <w:rPr>
          <w:b/>
          <w:sz w:val="28"/>
          <w:szCs w:val="28"/>
        </w:rPr>
        <w:t>Reportable</w:t>
      </w:r>
    </w:p>
    <w:p w:rsidR="002A72F4" w:rsidRPr="000154F8" w:rsidRDefault="002A72F4" w:rsidP="00977760">
      <w:pPr>
        <w:pStyle w:val="ListParagraph"/>
        <w:ind w:left="6480"/>
        <w:rPr>
          <w:sz w:val="28"/>
          <w:szCs w:val="28"/>
        </w:rPr>
      </w:pPr>
      <w:r w:rsidRPr="000154F8">
        <w:rPr>
          <w:sz w:val="28"/>
          <w:szCs w:val="28"/>
        </w:rPr>
        <w:t xml:space="preserve">      Case no: </w:t>
      </w:r>
      <w:r w:rsidR="009C5E24">
        <w:rPr>
          <w:sz w:val="28"/>
          <w:szCs w:val="28"/>
        </w:rPr>
        <w:t>724</w:t>
      </w:r>
      <w:r w:rsidRPr="000154F8">
        <w:rPr>
          <w:sz w:val="28"/>
          <w:szCs w:val="28"/>
        </w:rPr>
        <w:t>/2020</w:t>
      </w:r>
    </w:p>
    <w:p w:rsidR="002A72F4" w:rsidRPr="000154F8" w:rsidRDefault="002A72F4" w:rsidP="00977760">
      <w:pPr>
        <w:rPr>
          <w:sz w:val="28"/>
          <w:szCs w:val="28"/>
        </w:rPr>
      </w:pPr>
      <w:r w:rsidRPr="000154F8">
        <w:rPr>
          <w:sz w:val="28"/>
          <w:szCs w:val="28"/>
        </w:rPr>
        <w:t>In the matter between:</w:t>
      </w:r>
    </w:p>
    <w:p w:rsidR="002A72F4" w:rsidRPr="00977760" w:rsidRDefault="009C5E24" w:rsidP="00977760">
      <w:pPr>
        <w:rPr>
          <w:b/>
          <w:sz w:val="28"/>
          <w:szCs w:val="28"/>
        </w:rPr>
      </w:pPr>
      <w:r>
        <w:rPr>
          <w:b/>
          <w:sz w:val="28"/>
          <w:szCs w:val="28"/>
        </w:rPr>
        <w:lastRenderedPageBreak/>
        <w:t xml:space="preserve">PAULINE MASIBE MASAKO                                   </w:t>
      </w:r>
      <w:r w:rsidR="002A72F4" w:rsidRPr="000154F8">
        <w:rPr>
          <w:b/>
          <w:sz w:val="28"/>
          <w:szCs w:val="28"/>
        </w:rPr>
        <w:t xml:space="preserve">                     APPELLANT</w:t>
      </w:r>
    </w:p>
    <w:p w:rsidR="002A72F4" w:rsidRPr="000154F8" w:rsidRDefault="002A72F4" w:rsidP="00977760">
      <w:pPr>
        <w:rPr>
          <w:sz w:val="28"/>
          <w:szCs w:val="28"/>
        </w:rPr>
      </w:pPr>
      <w:r w:rsidRPr="000154F8">
        <w:rPr>
          <w:sz w:val="28"/>
          <w:szCs w:val="28"/>
        </w:rPr>
        <w:t>and</w:t>
      </w:r>
    </w:p>
    <w:p w:rsidR="002A72F4" w:rsidRPr="000154F8" w:rsidRDefault="009C5E24" w:rsidP="00977760">
      <w:pPr>
        <w:rPr>
          <w:b/>
          <w:sz w:val="28"/>
          <w:szCs w:val="28"/>
        </w:rPr>
      </w:pPr>
      <w:r>
        <w:rPr>
          <w:b/>
          <w:sz w:val="28"/>
          <w:szCs w:val="28"/>
        </w:rPr>
        <w:t>MOLEFE STEPHENS MASAKO</w:t>
      </w:r>
      <w:r w:rsidR="002A72F4" w:rsidRPr="000154F8">
        <w:rPr>
          <w:b/>
          <w:sz w:val="28"/>
          <w:szCs w:val="28"/>
        </w:rPr>
        <w:t xml:space="preserve">                                     FIRST RESPONDENT</w:t>
      </w:r>
    </w:p>
    <w:p w:rsidR="00606B7A" w:rsidRDefault="009C5E24" w:rsidP="00977760">
      <w:pPr>
        <w:jc w:val="left"/>
        <w:rPr>
          <w:b/>
          <w:sz w:val="28"/>
          <w:szCs w:val="28"/>
        </w:rPr>
      </w:pPr>
      <w:r>
        <w:rPr>
          <w:b/>
          <w:sz w:val="28"/>
          <w:szCs w:val="28"/>
        </w:rPr>
        <w:t>ELSEP</w:t>
      </w:r>
      <w:r w:rsidR="00D636C9">
        <w:rPr>
          <w:b/>
          <w:sz w:val="28"/>
          <w:szCs w:val="28"/>
        </w:rPr>
        <w:t>C</w:t>
      </w:r>
      <w:r>
        <w:rPr>
          <w:b/>
          <w:sz w:val="28"/>
          <w:szCs w:val="28"/>
        </w:rPr>
        <w:t xml:space="preserve">H NOMAHLUBI </w:t>
      </w:r>
    </w:p>
    <w:p w:rsidR="002A72F4" w:rsidRPr="000154F8" w:rsidRDefault="009C5E24" w:rsidP="00977760">
      <w:pPr>
        <w:jc w:val="left"/>
        <w:rPr>
          <w:b/>
          <w:sz w:val="28"/>
          <w:szCs w:val="28"/>
        </w:rPr>
      </w:pPr>
      <w:r>
        <w:rPr>
          <w:b/>
          <w:sz w:val="28"/>
          <w:szCs w:val="28"/>
        </w:rPr>
        <w:t xml:space="preserve">BELINDA </w:t>
      </w:r>
      <w:r w:rsidR="001F6FD4">
        <w:rPr>
          <w:b/>
          <w:sz w:val="28"/>
          <w:szCs w:val="28"/>
        </w:rPr>
        <w:t>K</w:t>
      </w:r>
      <w:r w:rsidR="00403BDE">
        <w:rPr>
          <w:b/>
          <w:sz w:val="28"/>
          <w:szCs w:val="28"/>
        </w:rPr>
        <w:t>H</w:t>
      </w:r>
      <w:r w:rsidR="001F6FD4">
        <w:rPr>
          <w:b/>
          <w:sz w:val="28"/>
          <w:szCs w:val="28"/>
        </w:rPr>
        <w:t xml:space="preserve">WINANA  </w:t>
      </w:r>
      <w:r w:rsidR="00606B7A">
        <w:rPr>
          <w:b/>
          <w:sz w:val="28"/>
          <w:szCs w:val="28"/>
        </w:rPr>
        <w:t xml:space="preserve">                                       </w:t>
      </w:r>
      <w:r w:rsidR="001F6FD4">
        <w:rPr>
          <w:b/>
          <w:sz w:val="28"/>
          <w:szCs w:val="28"/>
        </w:rPr>
        <w:t>SECOND</w:t>
      </w:r>
      <w:r w:rsidR="002A72F4" w:rsidRPr="000154F8">
        <w:rPr>
          <w:b/>
          <w:sz w:val="28"/>
          <w:szCs w:val="28"/>
        </w:rPr>
        <w:t xml:space="preserve"> RESPONDENT</w:t>
      </w:r>
    </w:p>
    <w:p w:rsidR="002A72F4" w:rsidRPr="000154F8" w:rsidRDefault="002A72F4" w:rsidP="00977760">
      <w:pPr>
        <w:rPr>
          <w:b/>
          <w:sz w:val="28"/>
          <w:szCs w:val="28"/>
        </w:rPr>
      </w:pPr>
    </w:p>
    <w:p w:rsidR="002A72F4" w:rsidRPr="000154F8" w:rsidRDefault="002A72F4" w:rsidP="00977760">
      <w:pPr>
        <w:ind w:left="2160" w:hanging="2160"/>
        <w:rPr>
          <w:sz w:val="28"/>
          <w:szCs w:val="28"/>
        </w:rPr>
      </w:pPr>
      <w:r w:rsidRPr="000154F8">
        <w:rPr>
          <w:b/>
          <w:sz w:val="28"/>
          <w:szCs w:val="28"/>
        </w:rPr>
        <w:t>Neutral citation:</w:t>
      </w:r>
      <w:r w:rsidRPr="000154F8">
        <w:rPr>
          <w:sz w:val="28"/>
          <w:szCs w:val="28"/>
        </w:rPr>
        <w:tab/>
      </w:r>
      <w:r w:rsidR="009C5E24" w:rsidRPr="009C5E24">
        <w:rPr>
          <w:i/>
          <w:sz w:val="28"/>
          <w:szCs w:val="28"/>
        </w:rPr>
        <w:t>Masako v Masako &amp; Another</w:t>
      </w:r>
      <w:r w:rsidRPr="000154F8">
        <w:rPr>
          <w:i/>
          <w:sz w:val="28"/>
          <w:szCs w:val="28"/>
        </w:rPr>
        <w:t xml:space="preserve"> </w:t>
      </w:r>
      <w:r w:rsidRPr="000154F8">
        <w:rPr>
          <w:sz w:val="28"/>
          <w:szCs w:val="28"/>
        </w:rPr>
        <w:t xml:space="preserve">(Case no </w:t>
      </w:r>
      <w:r w:rsidR="009C5E24">
        <w:rPr>
          <w:sz w:val="28"/>
          <w:szCs w:val="28"/>
        </w:rPr>
        <w:t>724</w:t>
      </w:r>
      <w:r w:rsidRPr="000154F8">
        <w:rPr>
          <w:sz w:val="28"/>
          <w:szCs w:val="28"/>
        </w:rPr>
        <w:t>/20) [</w:t>
      </w:r>
      <w:r w:rsidR="00E9248D">
        <w:rPr>
          <w:sz w:val="28"/>
          <w:szCs w:val="28"/>
        </w:rPr>
        <w:t>2021</w:t>
      </w:r>
      <w:r w:rsidRPr="000154F8">
        <w:rPr>
          <w:sz w:val="28"/>
          <w:szCs w:val="28"/>
        </w:rPr>
        <w:t xml:space="preserve">] ZASCA </w:t>
      </w:r>
      <w:r w:rsidR="00E9248D">
        <w:rPr>
          <w:sz w:val="28"/>
          <w:szCs w:val="28"/>
        </w:rPr>
        <w:t>168</w:t>
      </w:r>
      <w:r w:rsidRPr="000154F8">
        <w:rPr>
          <w:sz w:val="28"/>
          <w:szCs w:val="28"/>
        </w:rPr>
        <w:t xml:space="preserve"> (</w:t>
      </w:r>
      <w:r w:rsidR="00AD791F">
        <w:rPr>
          <w:sz w:val="28"/>
          <w:szCs w:val="28"/>
        </w:rPr>
        <w:t>3 December 2021</w:t>
      </w:r>
      <w:r w:rsidRPr="000154F8">
        <w:rPr>
          <w:sz w:val="28"/>
          <w:szCs w:val="28"/>
        </w:rPr>
        <w:t>)</w:t>
      </w:r>
    </w:p>
    <w:p w:rsidR="002A72F4" w:rsidRPr="000154F8" w:rsidRDefault="002A72F4" w:rsidP="00977760">
      <w:pPr>
        <w:ind w:left="1440" w:hanging="1440"/>
        <w:rPr>
          <w:sz w:val="28"/>
          <w:szCs w:val="28"/>
        </w:rPr>
      </w:pPr>
      <w:r w:rsidRPr="000154F8">
        <w:rPr>
          <w:b/>
          <w:sz w:val="28"/>
          <w:szCs w:val="28"/>
        </w:rPr>
        <w:lastRenderedPageBreak/>
        <w:t>Coram:</w:t>
      </w:r>
      <w:r w:rsidRPr="000154F8">
        <w:rPr>
          <w:sz w:val="28"/>
          <w:szCs w:val="28"/>
        </w:rPr>
        <w:tab/>
      </w:r>
      <w:r w:rsidR="009C5E24">
        <w:rPr>
          <w:sz w:val="28"/>
          <w:szCs w:val="28"/>
        </w:rPr>
        <w:t>DAMBUZA</w:t>
      </w:r>
      <w:r w:rsidRPr="000154F8">
        <w:rPr>
          <w:sz w:val="28"/>
          <w:szCs w:val="28"/>
        </w:rPr>
        <w:t xml:space="preserve">, </w:t>
      </w:r>
      <w:r w:rsidR="009C5E24">
        <w:rPr>
          <w:sz w:val="28"/>
          <w:szCs w:val="28"/>
        </w:rPr>
        <w:t>SCHIPPERS</w:t>
      </w:r>
      <w:r w:rsidRPr="000154F8">
        <w:rPr>
          <w:sz w:val="28"/>
          <w:szCs w:val="28"/>
        </w:rPr>
        <w:t xml:space="preserve"> and MABINDLA-BOQWANA JJA </w:t>
      </w:r>
    </w:p>
    <w:p w:rsidR="006E7B00" w:rsidRPr="00A67448" w:rsidRDefault="002A72F4" w:rsidP="00B3374B">
      <w:pPr>
        <w:pStyle w:val="Default"/>
        <w:spacing w:line="360" w:lineRule="auto"/>
        <w:jc w:val="both"/>
        <w:rPr>
          <w:rFonts w:ascii="Times New Roman" w:hAnsi="Times New Roman" w:cs="Times New Roman"/>
        </w:rPr>
      </w:pPr>
      <w:r w:rsidRPr="00A67448">
        <w:rPr>
          <w:rFonts w:ascii="Times New Roman" w:hAnsi="Times New Roman" w:cs="Times New Roman"/>
          <w:b/>
          <w:sz w:val="28"/>
          <w:szCs w:val="28"/>
        </w:rPr>
        <w:t>Heard:</w:t>
      </w:r>
      <w:r w:rsidRPr="00A67448">
        <w:rPr>
          <w:rFonts w:ascii="Times New Roman" w:hAnsi="Times New Roman" w:cs="Times New Roman"/>
          <w:sz w:val="28"/>
          <w:szCs w:val="28"/>
        </w:rPr>
        <w:tab/>
      </w:r>
      <w:r w:rsidR="00A67448" w:rsidRPr="00A67448">
        <w:rPr>
          <w:rFonts w:ascii="Times New Roman" w:hAnsi="Times New Roman" w:cs="Times New Roman"/>
          <w:sz w:val="28"/>
          <w:szCs w:val="28"/>
        </w:rPr>
        <w:t>Matter disposed</w:t>
      </w:r>
      <w:r w:rsidR="00181844">
        <w:rPr>
          <w:rFonts w:ascii="Times New Roman" w:hAnsi="Times New Roman" w:cs="Times New Roman"/>
          <w:sz w:val="28"/>
          <w:szCs w:val="28"/>
        </w:rPr>
        <w:t xml:space="preserve"> </w:t>
      </w:r>
      <w:r w:rsidR="00A67448" w:rsidRPr="00A67448">
        <w:rPr>
          <w:rFonts w:ascii="Times New Roman" w:hAnsi="Times New Roman" w:cs="Times New Roman"/>
          <w:sz w:val="28"/>
          <w:szCs w:val="28"/>
        </w:rPr>
        <w:t>without oral hearing in terms of s 19</w:t>
      </w:r>
      <w:r w:rsidR="00A67448" w:rsidRPr="00A67448">
        <w:rPr>
          <w:rFonts w:ascii="Times New Roman" w:hAnsi="Times New Roman" w:cs="Times New Roman"/>
          <w:i/>
          <w:iCs/>
          <w:sz w:val="28"/>
          <w:szCs w:val="28"/>
        </w:rPr>
        <w:t xml:space="preserve">(a) </w:t>
      </w:r>
      <w:r w:rsidR="00A67448" w:rsidRPr="00A67448">
        <w:rPr>
          <w:rFonts w:ascii="Times New Roman" w:hAnsi="Times New Roman" w:cs="Times New Roman"/>
          <w:sz w:val="28"/>
          <w:szCs w:val="28"/>
        </w:rPr>
        <w:t>of the Superior Courts Act 10 of 2013.</w:t>
      </w:r>
    </w:p>
    <w:p w:rsidR="002A72F4" w:rsidRDefault="002A72F4" w:rsidP="00B3374B">
      <w:pPr>
        <w:rPr>
          <w:sz w:val="28"/>
          <w:szCs w:val="28"/>
        </w:rPr>
      </w:pPr>
      <w:r w:rsidRPr="000154F8">
        <w:rPr>
          <w:b/>
          <w:sz w:val="28"/>
          <w:szCs w:val="28"/>
        </w:rPr>
        <w:t>Delivered:</w:t>
      </w:r>
      <w:r w:rsidRPr="000154F8">
        <w:rPr>
          <w:sz w:val="28"/>
          <w:szCs w:val="28"/>
        </w:rPr>
        <w:tab/>
        <w:t xml:space="preserve">This judgment was handed down electronically by circulation to the parties’ legal representatives by email, publication on the Supreme Court of Appeal website and release to SAFLII. The date and time for hand-down is deemed to be </w:t>
      </w:r>
      <w:r w:rsidR="00AD791F">
        <w:rPr>
          <w:sz w:val="28"/>
          <w:szCs w:val="28"/>
        </w:rPr>
        <w:t>10h00</w:t>
      </w:r>
      <w:r w:rsidR="00AD791F" w:rsidRPr="000154F8">
        <w:rPr>
          <w:sz w:val="28"/>
          <w:szCs w:val="28"/>
        </w:rPr>
        <w:t xml:space="preserve"> </w:t>
      </w:r>
      <w:r w:rsidRPr="000154F8">
        <w:rPr>
          <w:sz w:val="28"/>
          <w:szCs w:val="28"/>
        </w:rPr>
        <w:t xml:space="preserve">on </w:t>
      </w:r>
      <w:r w:rsidR="00AD791F">
        <w:rPr>
          <w:sz w:val="28"/>
          <w:szCs w:val="28"/>
        </w:rPr>
        <w:t>3 December 2021</w:t>
      </w:r>
      <w:r w:rsidRPr="000154F8">
        <w:rPr>
          <w:sz w:val="28"/>
          <w:szCs w:val="28"/>
        </w:rPr>
        <w:t>.</w:t>
      </w:r>
    </w:p>
    <w:p w:rsidR="00835793" w:rsidRDefault="002A72F4" w:rsidP="00B3374B">
      <w:pPr>
        <w:rPr>
          <w:sz w:val="28"/>
          <w:szCs w:val="28"/>
        </w:rPr>
      </w:pPr>
      <w:r w:rsidRPr="000154F8">
        <w:rPr>
          <w:b/>
          <w:sz w:val="28"/>
          <w:szCs w:val="28"/>
        </w:rPr>
        <w:t>Summary:</w:t>
      </w:r>
      <w:r w:rsidR="00BF05D2">
        <w:rPr>
          <w:b/>
          <w:sz w:val="28"/>
          <w:szCs w:val="28"/>
        </w:rPr>
        <w:t xml:space="preserve"> </w:t>
      </w:r>
      <w:r w:rsidR="00977760">
        <w:rPr>
          <w:b/>
          <w:sz w:val="28"/>
          <w:szCs w:val="28"/>
        </w:rPr>
        <w:tab/>
      </w:r>
      <w:r w:rsidR="00BF05D2" w:rsidRPr="00F21A5A">
        <w:rPr>
          <w:sz w:val="28"/>
          <w:szCs w:val="28"/>
        </w:rPr>
        <w:t>Locus standi</w:t>
      </w:r>
      <w:r w:rsidR="00BF05D2">
        <w:rPr>
          <w:sz w:val="28"/>
          <w:szCs w:val="28"/>
        </w:rPr>
        <w:t xml:space="preserve"> – whether an attorney requires authority from client to depose to an affidavit – </w:t>
      </w:r>
      <w:r w:rsidR="00BF05D2" w:rsidRPr="005B650F">
        <w:rPr>
          <w:sz w:val="28"/>
          <w:szCs w:val="28"/>
        </w:rPr>
        <w:t>distinction between</w:t>
      </w:r>
      <w:r w:rsidR="005932EC" w:rsidRPr="005B650F">
        <w:rPr>
          <w:sz w:val="28"/>
          <w:szCs w:val="28"/>
        </w:rPr>
        <w:t xml:space="preserve"> </w:t>
      </w:r>
      <w:r w:rsidR="006D23FB" w:rsidRPr="005B650F">
        <w:rPr>
          <w:sz w:val="28"/>
          <w:szCs w:val="28"/>
        </w:rPr>
        <w:t xml:space="preserve">right </w:t>
      </w:r>
      <w:r w:rsidR="00BF05D2" w:rsidRPr="005B650F">
        <w:rPr>
          <w:sz w:val="28"/>
          <w:szCs w:val="28"/>
        </w:rPr>
        <w:t>to institute proceedings</w:t>
      </w:r>
      <w:r w:rsidR="006D23FB" w:rsidRPr="005B650F">
        <w:rPr>
          <w:sz w:val="28"/>
          <w:szCs w:val="28"/>
        </w:rPr>
        <w:t xml:space="preserve">, </w:t>
      </w:r>
      <w:r w:rsidR="006D23FB" w:rsidRPr="005B650F">
        <w:rPr>
          <w:sz w:val="28"/>
          <w:szCs w:val="28"/>
        </w:rPr>
        <w:lastRenderedPageBreak/>
        <w:t>authority to act</w:t>
      </w:r>
      <w:r w:rsidR="00801066" w:rsidRPr="005B650F">
        <w:rPr>
          <w:sz w:val="28"/>
          <w:szCs w:val="28"/>
        </w:rPr>
        <w:t xml:space="preserve"> on behalf of client</w:t>
      </w:r>
      <w:r w:rsidR="00BF05D2" w:rsidRPr="005B650F">
        <w:rPr>
          <w:sz w:val="28"/>
          <w:szCs w:val="28"/>
        </w:rPr>
        <w:t xml:space="preserve"> and </w:t>
      </w:r>
      <w:r w:rsidR="005932EC" w:rsidRPr="005B650F">
        <w:rPr>
          <w:sz w:val="28"/>
          <w:szCs w:val="28"/>
        </w:rPr>
        <w:t xml:space="preserve">the basis for </w:t>
      </w:r>
      <w:r w:rsidR="00BF05D2" w:rsidRPr="005B650F">
        <w:rPr>
          <w:sz w:val="28"/>
          <w:szCs w:val="28"/>
        </w:rPr>
        <w:t xml:space="preserve">deposing to an affidavit – </w:t>
      </w:r>
      <w:r w:rsidR="005932EC" w:rsidRPr="005B650F">
        <w:rPr>
          <w:sz w:val="28"/>
          <w:szCs w:val="28"/>
        </w:rPr>
        <w:t xml:space="preserve">attorney’s founding affidavit </w:t>
      </w:r>
      <w:r w:rsidR="00D00C81" w:rsidRPr="005B650F">
        <w:rPr>
          <w:sz w:val="28"/>
          <w:szCs w:val="28"/>
        </w:rPr>
        <w:t xml:space="preserve">based </w:t>
      </w:r>
      <w:r w:rsidR="005932EC" w:rsidRPr="005B650F">
        <w:rPr>
          <w:sz w:val="28"/>
          <w:szCs w:val="28"/>
        </w:rPr>
        <w:t>on facts known to h</w:t>
      </w:r>
      <w:r w:rsidR="00801066" w:rsidRPr="005B650F">
        <w:rPr>
          <w:sz w:val="28"/>
          <w:szCs w:val="28"/>
        </w:rPr>
        <w:t>er</w:t>
      </w:r>
      <w:r w:rsidR="005932EC" w:rsidRPr="005B650F">
        <w:rPr>
          <w:sz w:val="28"/>
          <w:szCs w:val="28"/>
        </w:rPr>
        <w:t xml:space="preserve"> </w:t>
      </w:r>
      <w:r w:rsidR="000D3B54">
        <w:rPr>
          <w:sz w:val="28"/>
          <w:szCs w:val="28"/>
        </w:rPr>
        <w:t xml:space="preserve">– </w:t>
      </w:r>
      <w:r w:rsidR="00AD7D03" w:rsidRPr="005B650F">
        <w:rPr>
          <w:sz w:val="28"/>
          <w:szCs w:val="28"/>
        </w:rPr>
        <w:t>inquiry</w:t>
      </w:r>
      <w:r w:rsidR="00AD7D03">
        <w:rPr>
          <w:sz w:val="28"/>
          <w:szCs w:val="28"/>
        </w:rPr>
        <w:t xml:space="preserve"> </w:t>
      </w:r>
      <w:r w:rsidR="00701FD5">
        <w:rPr>
          <w:sz w:val="28"/>
          <w:szCs w:val="28"/>
        </w:rPr>
        <w:t>into attorney’s legal</w:t>
      </w:r>
      <w:r w:rsidR="00AD7D03">
        <w:rPr>
          <w:sz w:val="28"/>
          <w:szCs w:val="28"/>
        </w:rPr>
        <w:t xml:space="preserve"> </w:t>
      </w:r>
      <w:r w:rsidR="00701FD5">
        <w:rPr>
          <w:sz w:val="28"/>
          <w:szCs w:val="28"/>
        </w:rPr>
        <w:t xml:space="preserve">standing </w:t>
      </w:r>
      <w:r w:rsidR="00614B20">
        <w:rPr>
          <w:sz w:val="28"/>
          <w:szCs w:val="28"/>
        </w:rPr>
        <w:t xml:space="preserve">irrelevant </w:t>
      </w:r>
      <w:r w:rsidR="00705C21">
        <w:rPr>
          <w:sz w:val="28"/>
          <w:szCs w:val="28"/>
        </w:rPr>
        <w:t>–</w:t>
      </w:r>
      <w:r w:rsidR="00701FD5">
        <w:rPr>
          <w:sz w:val="28"/>
          <w:szCs w:val="28"/>
        </w:rPr>
        <w:t xml:space="preserve"> </w:t>
      </w:r>
      <w:r w:rsidR="00BF05D2">
        <w:rPr>
          <w:sz w:val="28"/>
          <w:szCs w:val="28"/>
        </w:rPr>
        <w:t>appeal upheld.</w:t>
      </w:r>
    </w:p>
    <w:p w:rsidR="004E3B05" w:rsidRPr="004E3B05" w:rsidRDefault="004E3B05" w:rsidP="004E3B05">
      <w:pPr>
        <w:spacing w:line="480" w:lineRule="auto"/>
        <w:rPr>
          <w:bCs/>
          <w:sz w:val="28"/>
          <w:szCs w:val="28"/>
        </w:rPr>
      </w:pPr>
      <w:r w:rsidRPr="004E3B05">
        <w:rPr>
          <w:bCs/>
          <w:sz w:val="28"/>
          <w:szCs w:val="28"/>
        </w:rPr>
        <w:t>___________________________________________________________</w:t>
      </w:r>
      <w:r>
        <w:rPr>
          <w:bCs/>
          <w:sz w:val="28"/>
          <w:szCs w:val="28"/>
        </w:rPr>
        <w:t>_____</w:t>
      </w:r>
    </w:p>
    <w:p w:rsidR="004E3B05" w:rsidRPr="004E3B05" w:rsidRDefault="004E3B05" w:rsidP="004E3B05">
      <w:pPr>
        <w:tabs>
          <w:tab w:val="right" w:pos="8197"/>
        </w:tabs>
        <w:spacing w:line="240" w:lineRule="auto"/>
        <w:ind w:left="720" w:right="26" w:hanging="720"/>
        <w:jc w:val="center"/>
        <w:rPr>
          <w:b/>
          <w:bCs/>
          <w:sz w:val="28"/>
          <w:szCs w:val="28"/>
        </w:rPr>
      </w:pPr>
      <w:r w:rsidRPr="004E3B05">
        <w:rPr>
          <w:b/>
          <w:bCs/>
          <w:sz w:val="28"/>
          <w:szCs w:val="28"/>
        </w:rPr>
        <w:t>ORDER</w:t>
      </w:r>
    </w:p>
    <w:p w:rsidR="004E3B05" w:rsidRPr="004E3B05" w:rsidRDefault="004E3B05" w:rsidP="004E3B05">
      <w:pPr>
        <w:spacing w:line="240" w:lineRule="auto"/>
        <w:ind w:right="26"/>
        <w:rPr>
          <w:bCs/>
          <w:sz w:val="28"/>
          <w:szCs w:val="28"/>
        </w:rPr>
      </w:pPr>
      <w:r w:rsidRPr="004E3B05">
        <w:rPr>
          <w:bCs/>
          <w:sz w:val="28"/>
          <w:szCs w:val="28"/>
        </w:rPr>
        <w:t>___________________________________________________________</w:t>
      </w:r>
      <w:r>
        <w:rPr>
          <w:bCs/>
          <w:sz w:val="28"/>
          <w:szCs w:val="28"/>
        </w:rPr>
        <w:t>_____</w:t>
      </w:r>
    </w:p>
    <w:p w:rsidR="004E3B05" w:rsidRPr="004E3B05" w:rsidRDefault="004E3B05" w:rsidP="004E3B05">
      <w:pPr>
        <w:rPr>
          <w:b/>
          <w:bCs/>
          <w:sz w:val="28"/>
          <w:szCs w:val="28"/>
        </w:rPr>
      </w:pPr>
    </w:p>
    <w:p w:rsidR="00AF68CF" w:rsidRDefault="002A72F4" w:rsidP="00977760">
      <w:pPr>
        <w:rPr>
          <w:sz w:val="28"/>
          <w:szCs w:val="28"/>
          <w:lang w:val="en-US"/>
        </w:rPr>
      </w:pPr>
      <w:r w:rsidRPr="00952211">
        <w:rPr>
          <w:b/>
          <w:sz w:val="28"/>
          <w:szCs w:val="28"/>
        </w:rPr>
        <w:lastRenderedPageBreak/>
        <w:t>On appeal from:</w:t>
      </w:r>
      <w:r w:rsidR="00F55B8F">
        <w:rPr>
          <w:sz w:val="28"/>
          <w:szCs w:val="28"/>
        </w:rPr>
        <w:t xml:space="preserve"> </w:t>
      </w:r>
      <w:r w:rsidR="00845924" w:rsidRPr="00952211">
        <w:rPr>
          <w:sz w:val="28"/>
          <w:szCs w:val="28"/>
        </w:rPr>
        <w:t xml:space="preserve">North West </w:t>
      </w:r>
      <w:r w:rsidRPr="00952211">
        <w:rPr>
          <w:sz w:val="28"/>
          <w:szCs w:val="28"/>
        </w:rPr>
        <w:t xml:space="preserve">Division of the High Court, </w:t>
      </w:r>
      <w:r w:rsidR="00845924" w:rsidRPr="00952211">
        <w:rPr>
          <w:sz w:val="28"/>
          <w:szCs w:val="28"/>
        </w:rPr>
        <w:t xml:space="preserve">Mahikeng </w:t>
      </w:r>
      <w:r w:rsidRPr="00952211">
        <w:rPr>
          <w:sz w:val="28"/>
          <w:szCs w:val="28"/>
        </w:rPr>
        <w:t>(</w:t>
      </w:r>
      <w:r w:rsidR="00845924" w:rsidRPr="00952211">
        <w:rPr>
          <w:sz w:val="28"/>
          <w:szCs w:val="28"/>
        </w:rPr>
        <w:t>Nobanda</w:t>
      </w:r>
      <w:r w:rsidR="000D3B54">
        <w:rPr>
          <w:sz w:val="28"/>
          <w:szCs w:val="28"/>
        </w:rPr>
        <w:t> </w:t>
      </w:r>
      <w:r w:rsidR="00845924" w:rsidRPr="00952211">
        <w:rPr>
          <w:sz w:val="28"/>
          <w:szCs w:val="28"/>
        </w:rPr>
        <w:t>AJ and</w:t>
      </w:r>
      <w:r w:rsidRPr="00952211">
        <w:rPr>
          <w:sz w:val="28"/>
          <w:szCs w:val="28"/>
        </w:rPr>
        <w:t xml:space="preserve"> </w:t>
      </w:r>
      <w:r w:rsidR="00845924" w:rsidRPr="00952211">
        <w:rPr>
          <w:sz w:val="28"/>
          <w:szCs w:val="28"/>
        </w:rPr>
        <w:t>Djaje</w:t>
      </w:r>
      <w:r w:rsidR="00333E4E" w:rsidRPr="00952211">
        <w:rPr>
          <w:sz w:val="28"/>
          <w:szCs w:val="28"/>
        </w:rPr>
        <w:t xml:space="preserve"> J</w:t>
      </w:r>
      <w:r w:rsidR="00845924" w:rsidRPr="00952211">
        <w:rPr>
          <w:sz w:val="28"/>
          <w:szCs w:val="28"/>
        </w:rPr>
        <w:t xml:space="preserve"> concurring,</w:t>
      </w:r>
      <w:r w:rsidRPr="00952211">
        <w:rPr>
          <w:sz w:val="28"/>
          <w:szCs w:val="28"/>
        </w:rPr>
        <w:t xml:space="preserve"> sitting as a court of</w:t>
      </w:r>
      <w:r w:rsidR="007A1C49" w:rsidRPr="00952211">
        <w:rPr>
          <w:sz w:val="28"/>
          <w:szCs w:val="28"/>
        </w:rPr>
        <w:t xml:space="preserve"> appeal</w:t>
      </w:r>
      <w:r w:rsidRPr="00952211">
        <w:rPr>
          <w:sz w:val="28"/>
          <w:szCs w:val="28"/>
        </w:rPr>
        <w:t>):</w:t>
      </w:r>
      <w:r w:rsidR="00601F94">
        <w:rPr>
          <w:sz w:val="28"/>
          <w:szCs w:val="28"/>
        </w:rPr>
        <w:t xml:space="preserve"> </w:t>
      </w:r>
      <w:r w:rsidR="00952211" w:rsidRPr="00952211">
        <w:rPr>
          <w:sz w:val="28"/>
          <w:szCs w:val="28"/>
        </w:rPr>
        <w:t>judgment r</w:t>
      </w:r>
      <w:r w:rsidR="00952211" w:rsidRPr="00952211">
        <w:rPr>
          <w:sz w:val="28"/>
          <w:szCs w:val="28"/>
          <w:lang w:val="en-US"/>
        </w:rPr>
        <w:t xml:space="preserve">eported as </w:t>
      </w:r>
      <w:r w:rsidR="00952211" w:rsidRPr="00952211">
        <w:rPr>
          <w:i/>
          <w:iCs/>
          <w:sz w:val="28"/>
          <w:szCs w:val="28"/>
          <w:lang w:val="en-US"/>
        </w:rPr>
        <w:t>sub nom Masako v Masako and Another; In re: Masako v Masako</w:t>
      </w:r>
      <w:r w:rsidR="00952211" w:rsidRPr="00952211">
        <w:rPr>
          <w:sz w:val="28"/>
          <w:szCs w:val="28"/>
          <w:lang w:val="en-US"/>
        </w:rPr>
        <w:t xml:space="preserve"> 2021 (6) SA 197 (NWM)</w:t>
      </w:r>
    </w:p>
    <w:p w:rsidR="00D227B0" w:rsidRPr="00D227B0" w:rsidRDefault="005C3AB3" w:rsidP="001729E4">
      <w:pPr>
        <w:pStyle w:val="ListParagraph"/>
        <w:numPr>
          <w:ilvl w:val="0"/>
          <w:numId w:val="13"/>
        </w:numPr>
        <w:ind w:left="0" w:firstLine="0"/>
        <w:rPr>
          <w:sz w:val="28"/>
          <w:szCs w:val="28"/>
        </w:rPr>
      </w:pPr>
      <w:r w:rsidRPr="00D227B0">
        <w:rPr>
          <w:sz w:val="28"/>
          <w:szCs w:val="28"/>
        </w:rPr>
        <w:t>The appeal is upheld.</w:t>
      </w:r>
    </w:p>
    <w:p w:rsidR="00AF68CF" w:rsidRPr="00D227B0" w:rsidRDefault="005C3AB3" w:rsidP="001729E4">
      <w:pPr>
        <w:pStyle w:val="ListParagraph"/>
        <w:numPr>
          <w:ilvl w:val="0"/>
          <w:numId w:val="13"/>
        </w:numPr>
        <w:ind w:left="0" w:firstLine="0"/>
        <w:rPr>
          <w:sz w:val="28"/>
          <w:szCs w:val="28"/>
        </w:rPr>
      </w:pPr>
      <w:r w:rsidRPr="00D227B0">
        <w:rPr>
          <w:sz w:val="28"/>
          <w:szCs w:val="28"/>
        </w:rPr>
        <w:t>The order of the North West Division of the High Court, Mahikeng is set</w:t>
      </w:r>
      <w:r w:rsidR="00F55B8F" w:rsidRPr="00D227B0">
        <w:rPr>
          <w:sz w:val="28"/>
          <w:szCs w:val="28"/>
        </w:rPr>
        <w:t xml:space="preserve"> </w:t>
      </w:r>
      <w:r w:rsidRPr="00D227B0">
        <w:rPr>
          <w:sz w:val="28"/>
          <w:szCs w:val="28"/>
        </w:rPr>
        <w:t>aside and replaced with the following order:</w:t>
      </w:r>
      <w:r w:rsidR="006B377F" w:rsidRPr="00D227B0">
        <w:rPr>
          <w:color w:val="000000" w:themeColor="text1"/>
          <w:sz w:val="28"/>
          <w:szCs w:val="28"/>
        </w:rPr>
        <w:tab/>
      </w:r>
    </w:p>
    <w:p w:rsidR="005C3AB3" w:rsidRPr="00606B7A" w:rsidRDefault="006B377F" w:rsidP="00977760">
      <w:pPr>
        <w:rPr>
          <w:color w:val="000000" w:themeColor="text1"/>
          <w:sz w:val="28"/>
          <w:szCs w:val="28"/>
        </w:rPr>
      </w:pPr>
      <w:r w:rsidRPr="00606B7A">
        <w:rPr>
          <w:color w:val="000000" w:themeColor="text1"/>
          <w:sz w:val="28"/>
          <w:szCs w:val="28"/>
        </w:rPr>
        <w:t>‘1</w:t>
      </w:r>
      <w:r w:rsidRPr="00606B7A">
        <w:rPr>
          <w:color w:val="000000" w:themeColor="text1"/>
          <w:sz w:val="28"/>
          <w:szCs w:val="28"/>
        </w:rPr>
        <w:tab/>
      </w:r>
      <w:r w:rsidR="005C3AB3" w:rsidRPr="00606B7A">
        <w:rPr>
          <w:color w:val="000000" w:themeColor="text1"/>
          <w:sz w:val="28"/>
          <w:szCs w:val="28"/>
        </w:rPr>
        <w:t>The appeal is upheld with costs</w:t>
      </w:r>
      <w:r w:rsidR="003368D2" w:rsidRPr="00606B7A">
        <w:rPr>
          <w:color w:val="000000" w:themeColor="text1"/>
          <w:sz w:val="28"/>
          <w:szCs w:val="28"/>
        </w:rPr>
        <w:t>,</w:t>
      </w:r>
      <w:r w:rsidR="005C3AB3" w:rsidRPr="00606B7A">
        <w:rPr>
          <w:color w:val="000000" w:themeColor="text1"/>
          <w:sz w:val="28"/>
          <w:szCs w:val="28"/>
        </w:rPr>
        <w:t xml:space="preserve"> </w:t>
      </w:r>
      <w:r w:rsidR="005C3AB3">
        <w:rPr>
          <w:sz w:val="28"/>
          <w:szCs w:val="28"/>
        </w:rPr>
        <w:t xml:space="preserve">and the ruling of the Regional Court, Garankuwa </w:t>
      </w:r>
      <w:r w:rsidR="005C3AB3" w:rsidRPr="005F349B">
        <w:rPr>
          <w:color w:val="000000" w:themeColor="text1"/>
          <w:sz w:val="28"/>
          <w:szCs w:val="28"/>
        </w:rPr>
        <w:t xml:space="preserve">dated 3 October 2018 </w:t>
      </w:r>
      <w:r w:rsidR="005C3AB3">
        <w:rPr>
          <w:sz w:val="28"/>
          <w:szCs w:val="28"/>
        </w:rPr>
        <w:t xml:space="preserve">is set aside and replaced with the following: </w:t>
      </w:r>
    </w:p>
    <w:p w:rsidR="005C3AB3" w:rsidRPr="00606B7A" w:rsidRDefault="001C55F1" w:rsidP="00977760">
      <w:pPr>
        <w:ind w:left="709"/>
        <w:rPr>
          <w:color w:val="000000" w:themeColor="text1"/>
          <w:sz w:val="28"/>
          <w:szCs w:val="28"/>
        </w:rPr>
      </w:pPr>
      <w:r>
        <w:rPr>
          <w:color w:val="000000" w:themeColor="text1"/>
          <w:sz w:val="28"/>
          <w:szCs w:val="28"/>
        </w:rPr>
        <w:lastRenderedPageBreak/>
        <w:t>“</w:t>
      </w:r>
      <w:r w:rsidR="005C3AB3" w:rsidRPr="005B650F">
        <w:rPr>
          <w:color w:val="000000" w:themeColor="text1"/>
          <w:sz w:val="28"/>
          <w:szCs w:val="28"/>
        </w:rPr>
        <w:t>T</w:t>
      </w:r>
      <w:r w:rsidR="005C3AB3" w:rsidRPr="00606B7A">
        <w:rPr>
          <w:color w:val="000000" w:themeColor="text1"/>
          <w:sz w:val="28"/>
          <w:szCs w:val="28"/>
        </w:rPr>
        <w:t>he point in limine is dismissed with costs</w:t>
      </w:r>
      <w:r w:rsidR="00FE2091" w:rsidRPr="00606B7A">
        <w:rPr>
          <w:color w:val="000000" w:themeColor="text1"/>
          <w:sz w:val="28"/>
          <w:szCs w:val="28"/>
        </w:rPr>
        <w:t>.</w:t>
      </w:r>
      <w:r w:rsidR="00AF68CF">
        <w:rPr>
          <w:color w:val="000000" w:themeColor="text1"/>
          <w:sz w:val="28"/>
          <w:szCs w:val="28"/>
        </w:rPr>
        <w:t xml:space="preserve">” </w:t>
      </w:r>
      <w:r w:rsidR="005C3AB3" w:rsidRPr="00606B7A">
        <w:rPr>
          <w:color w:val="000000" w:themeColor="text1"/>
          <w:sz w:val="28"/>
          <w:szCs w:val="28"/>
        </w:rPr>
        <w:t xml:space="preserve"> </w:t>
      </w:r>
    </w:p>
    <w:p w:rsidR="005C3AB3" w:rsidRPr="00AF68CF" w:rsidRDefault="00AF68CF" w:rsidP="000D3B54">
      <w:pPr>
        <w:rPr>
          <w:sz w:val="28"/>
          <w:szCs w:val="28"/>
        </w:rPr>
      </w:pPr>
      <w:r>
        <w:rPr>
          <w:sz w:val="28"/>
          <w:szCs w:val="28"/>
        </w:rPr>
        <w:t>2</w:t>
      </w:r>
      <w:r w:rsidR="0088601B">
        <w:rPr>
          <w:sz w:val="28"/>
          <w:szCs w:val="28"/>
        </w:rPr>
        <w:tab/>
      </w:r>
      <w:r w:rsidR="005C3AB3" w:rsidRPr="00AF68CF">
        <w:rPr>
          <w:sz w:val="28"/>
          <w:szCs w:val="28"/>
        </w:rPr>
        <w:t>The matter is remitted to the Regional Court, Garankuwa for the determination of the merits of the rescission application.</w:t>
      </w:r>
      <w:r>
        <w:rPr>
          <w:sz w:val="28"/>
          <w:szCs w:val="28"/>
        </w:rPr>
        <w:t>’</w:t>
      </w:r>
    </w:p>
    <w:p w:rsidR="00412088" w:rsidRPr="00412088" w:rsidRDefault="00412088" w:rsidP="00412088">
      <w:pPr>
        <w:spacing w:line="480" w:lineRule="auto"/>
        <w:rPr>
          <w:bCs/>
          <w:sz w:val="28"/>
          <w:szCs w:val="28"/>
        </w:rPr>
      </w:pPr>
      <w:r w:rsidRPr="00412088">
        <w:rPr>
          <w:bCs/>
          <w:sz w:val="28"/>
          <w:szCs w:val="28"/>
        </w:rPr>
        <w:t>___________________________________________________________</w:t>
      </w:r>
      <w:r>
        <w:rPr>
          <w:bCs/>
          <w:sz w:val="28"/>
          <w:szCs w:val="28"/>
        </w:rPr>
        <w:t>_____</w:t>
      </w:r>
    </w:p>
    <w:p w:rsidR="00412088" w:rsidRPr="00412088" w:rsidRDefault="00412088" w:rsidP="00412088">
      <w:pPr>
        <w:tabs>
          <w:tab w:val="right" w:pos="8197"/>
        </w:tabs>
        <w:spacing w:line="240" w:lineRule="auto"/>
        <w:ind w:left="720" w:right="26" w:hanging="720"/>
        <w:jc w:val="center"/>
        <w:rPr>
          <w:b/>
          <w:bCs/>
          <w:sz w:val="28"/>
          <w:szCs w:val="28"/>
        </w:rPr>
      </w:pPr>
      <w:r w:rsidRPr="00412088">
        <w:rPr>
          <w:b/>
          <w:bCs/>
          <w:sz w:val="28"/>
          <w:szCs w:val="28"/>
        </w:rPr>
        <w:t>JUDGMENT</w:t>
      </w:r>
    </w:p>
    <w:p w:rsidR="00412088" w:rsidRPr="00412088" w:rsidRDefault="00412088" w:rsidP="00412088">
      <w:pPr>
        <w:spacing w:line="240" w:lineRule="auto"/>
        <w:ind w:right="26"/>
        <w:rPr>
          <w:bCs/>
          <w:sz w:val="28"/>
          <w:szCs w:val="28"/>
        </w:rPr>
      </w:pPr>
      <w:r w:rsidRPr="00412088">
        <w:rPr>
          <w:bCs/>
          <w:sz w:val="28"/>
          <w:szCs w:val="28"/>
        </w:rPr>
        <w:t>___________________________________________________________</w:t>
      </w:r>
      <w:r>
        <w:rPr>
          <w:bCs/>
          <w:sz w:val="28"/>
          <w:szCs w:val="28"/>
        </w:rPr>
        <w:t>_____</w:t>
      </w:r>
    </w:p>
    <w:p w:rsidR="00412088" w:rsidRPr="00412088" w:rsidRDefault="00412088" w:rsidP="00412088">
      <w:pPr>
        <w:tabs>
          <w:tab w:val="left" w:pos="-1440"/>
        </w:tabs>
        <w:ind w:right="-329"/>
        <w:rPr>
          <w:sz w:val="28"/>
          <w:szCs w:val="28"/>
        </w:rPr>
      </w:pPr>
    </w:p>
    <w:p w:rsidR="004B7634" w:rsidRDefault="002A72F4" w:rsidP="00977760">
      <w:pPr>
        <w:rPr>
          <w:sz w:val="28"/>
          <w:szCs w:val="28"/>
        </w:rPr>
      </w:pPr>
      <w:r w:rsidRPr="000154F8">
        <w:rPr>
          <w:b/>
          <w:sz w:val="28"/>
          <w:szCs w:val="28"/>
        </w:rPr>
        <w:t>Mabindla-Boqwana JA</w:t>
      </w:r>
      <w:r w:rsidRPr="000154F8">
        <w:rPr>
          <w:sz w:val="28"/>
          <w:szCs w:val="28"/>
        </w:rPr>
        <w:t xml:space="preserve"> </w:t>
      </w:r>
      <w:r w:rsidRPr="005B650F">
        <w:rPr>
          <w:b/>
          <w:sz w:val="28"/>
          <w:szCs w:val="28"/>
        </w:rPr>
        <w:t>(</w:t>
      </w:r>
      <w:r w:rsidR="005B650F" w:rsidRPr="005B650F">
        <w:rPr>
          <w:b/>
          <w:sz w:val="28"/>
          <w:szCs w:val="28"/>
        </w:rPr>
        <w:t>Dambuza and Schippers JJA</w:t>
      </w:r>
      <w:r w:rsidR="00612FB0" w:rsidRPr="005B650F">
        <w:rPr>
          <w:b/>
          <w:sz w:val="28"/>
          <w:szCs w:val="28"/>
        </w:rPr>
        <w:t xml:space="preserve"> </w:t>
      </w:r>
      <w:r w:rsidRPr="005B650F">
        <w:rPr>
          <w:b/>
          <w:sz w:val="28"/>
          <w:szCs w:val="28"/>
        </w:rPr>
        <w:t>concurring):</w:t>
      </w:r>
    </w:p>
    <w:p w:rsidR="00F55B8F" w:rsidRPr="000154F8" w:rsidRDefault="00F55B8F" w:rsidP="00977760">
      <w:pPr>
        <w:rPr>
          <w:sz w:val="28"/>
          <w:szCs w:val="28"/>
        </w:rPr>
      </w:pPr>
    </w:p>
    <w:p w:rsidR="00ED4372" w:rsidRDefault="00ED4372" w:rsidP="00977760">
      <w:pPr>
        <w:pStyle w:val="ListParagraph"/>
        <w:numPr>
          <w:ilvl w:val="0"/>
          <w:numId w:val="8"/>
        </w:numPr>
        <w:ind w:left="0" w:firstLine="0"/>
        <w:rPr>
          <w:sz w:val="28"/>
          <w:szCs w:val="28"/>
        </w:rPr>
      </w:pPr>
      <w:r>
        <w:rPr>
          <w:sz w:val="28"/>
          <w:szCs w:val="28"/>
        </w:rPr>
        <w:t xml:space="preserve">This appeal concerns a narrow question of whether an attorney who deposed to an affidavit in support of a rescission application was required to obtain authorisation from her client to do so. The Regional </w:t>
      </w:r>
      <w:r w:rsidR="001F6FD4">
        <w:rPr>
          <w:sz w:val="28"/>
          <w:szCs w:val="28"/>
        </w:rPr>
        <w:t>C</w:t>
      </w:r>
      <w:r>
        <w:rPr>
          <w:sz w:val="28"/>
          <w:szCs w:val="28"/>
        </w:rPr>
        <w:t>ourt</w:t>
      </w:r>
      <w:r w:rsidR="001F06A0">
        <w:rPr>
          <w:sz w:val="28"/>
          <w:szCs w:val="28"/>
        </w:rPr>
        <w:t xml:space="preserve"> in</w:t>
      </w:r>
      <w:r>
        <w:rPr>
          <w:sz w:val="28"/>
          <w:szCs w:val="28"/>
        </w:rPr>
        <w:t xml:space="preserve"> Garankuwa (regional court)</w:t>
      </w:r>
      <w:r w:rsidR="00210A6B">
        <w:rPr>
          <w:sz w:val="28"/>
          <w:szCs w:val="28"/>
        </w:rPr>
        <w:t>,</w:t>
      </w:r>
      <w:r>
        <w:rPr>
          <w:sz w:val="28"/>
          <w:szCs w:val="28"/>
        </w:rPr>
        <w:t xml:space="preserve"> whose </w:t>
      </w:r>
      <w:r w:rsidR="006242D3">
        <w:rPr>
          <w:sz w:val="28"/>
          <w:szCs w:val="28"/>
        </w:rPr>
        <w:t>decision</w:t>
      </w:r>
      <w:r>
        <w:rPr>
          <w:sz w:val="28"/>
          <w:szCs w:val="28"/>
        </w:rPr>
        <w:t xml:space="preserve"> was confirmed by the North West </w:t>
      </w:r>
      <w:r w:rsidRPr="000154F8">
        <w:rPr>
          <w:sz w:val="28"/>
          <w:szCs w:val="28"/>
        </w:rPr>
        <w:t xml:space="preserve">Division of the High Court, </w:t>
      </w:r>
      <w:r>
        <w:rPr>
          <w:sz w:val="28"/>
          <w:szCs w:val="28"/>
        </w:rPr>
        <w:t>Mahikeng (high court), held</w:t>
      </w:r>
      <w:r w:rsidR="001C55F1">
        <w:rPr>
          <w:sz w:val="28"/>
          <w:szCs w:val="28"/>
        </w:rPr>
        <w:t xml:space="preserve"> </w:t>
      </w:r>
      <w:r w:rsidR="001C55F1" w:rsidRPr="005B650F">
        <w:rPr>
          <w:sz w:val="28"/>
          <w:szCs w:val="28"/>
        </w:rPr>
        <w:t>that</w:t>
      </w:r>
      <w:r>
        <w:rPr>
          <w:sz w:val="28"/>
          <w:szCs w:val="28"/>
        </w:rPr>
        <w:t xml:space="preserve"> she did. </w:t>
      </w:r>
      <w:r w:rsidR="00A67448">
        <w:rPr>
          <w:sz w:val="28"/>
          <w:szCs w:val="28"/>
        </w:rPr>
        <w:t>The appeal is with the leave of this Court</w:t>
      </w:r>
      <w:r w:rsidR="001F6FD4">
        <w:rPr>
          <w:sz w:val="28"/>
          <w:szCs w:val="28"/>
        </w:rPr>
        <w:t xml:space="preserve"> and</w:t>
      </w:r>
      <w:r w:rsidR="00975BB2">
        <w:rPr>
          <w:sz w:val="28"/>
          <w:szCs w:val="28"/>
        </w:rPr>
        <w:t xml:space="preserve"> </w:t>
      </w:r>
      <w:r w:rsidR="001F06A0">
        <w:rPr>
          <w:sz w:val="28"/>
          <w:szCs w:val="28"/>
        </w:rPr>
        <w:t>is</w:t>
      </w:r>
      <w:r w:rsidR="00A67448">
        <w:rPr>
          <w:sz w:val="28"/>
          <w:szCs w:val="28"/>
        </w:rPr>
        <w:t xml:space="preserve"> unopposed</w:t>
      </w:r>
      <w:r w:rsidR="001F6FD4">
        <w:rPr>
          <w:sz w:val="28"/>
          <w:szCs w:val="28"/>
        </w:rPr>
        <w:t xml:space="preserve">. It </w:t>
      </w:r>
      <w:r w:rsidR="001F06A0">
        <w:rPr>
          <w:sz w:val="28"/>
          <w:szCs w:val="28"/>
        </w:rPr>
        <w:t xml:space="preserve">was </w:t>
      </w:r>
      <w:r w:rsidR="00A67448" w:rsidRPr="00A67448">
        <w:rPr>
          <w:rFonts w:eastAsiaTheme="minorHAnsi"/>
          <w:color w:val="000000"/>
          <w:sz w:val="28"/>
          <w:szCs w:val="28"/>
          <w:lang w:val="en-ZA"/>
        </w:rPr>
        <w:t xml:space="preserve">determined without </w:t>
      </w:r>
      <w:r w:rsidR="006A660A">
        <w:rPr>
          <w:rFonts w:eastAsiaTheme="minorHAnsi"/>
          <w:color w:val="000000"/>
          <w:sz w:val="28"/>
          <w:szCs w:val="28"/>
          <w:lang w:val="en-ZA"/>
        </w:rPr>
        <w:t>hearing</w:t>
      </w:r>
      <w:r w:rsidR="00A67448" w:rsidRPr="00A67448">
        <w:rPr>
          <w:rFonts w:eastAsiaTheme="minorHAnsi"/>
          <w:color w:val="000000"/>
          <w:sz w:val="28"/>
          <w:szCs w:val="28"/>
          <w:lang w:val="en-ZA"/>
        </w:rPr>
        <w:t xml:space="preserve"> oral argument</w:t>
      </w:r>
      <w:r w:rsidR="0071186D" w:rsidRPr="005B650F">
        <w:rPr>
          <w:rFonts w:eastAsiaTheme="minorHAnsi"/>
          <w:color w:val="000000"/>
          <w:sz w:val="28"/>
          <w:szCs w:val="28"/>
          <w:lang w:val="en-ZA"/>
        </w:rPr>
        <w:t>,</w:t>
      </w:r>
      <w:r w:rsidR="00A67448" w:rsidRPr="00A67448">
        <w:rPr>
          <w:rFonts w:eastAsiaTheme="minorHAnsi"/>
          <w:color w:val="000000"/>
          <w:sz w:val="28"/>
          <w:szCs w:val="28"/>
          <w:lang w:val="en-ZA"/>
        </w:rPr>
        <w:t xml:space="preserve"> in terms of s 19</w:t>
      </w:r>
      <w:r w:rsidR="00A67448" w:rsidRPr="00A67448">
        <w:rPr>
          <w:rFonts w:eastAsiaTheme="minorHAnsi"/>
          <w:i/>
          <w:iCs/>
          <w:color w:val="000000"/>
          <w:sz w:val="28"/>
          <w:szCs w:val="28"/>
          <w:lang w:val="en-ZA"/>
        </w:rPr>
        <w:t xml:space="preserve">(a) </w:t>
      </w:r>
      <w:r w:rsidR="00A67448" w:rsidRPr="00A67448">
        <w:rPr>
          <w:rFonts w:eastAsiaTheme="minorHAnsi"/>
          <w:color w:val="000000"/>
          <w:sz w:val="28"/>
          <w:szCs w:val="28"/>
          <w:lang w:val="en-ZA"/>
        </w:rPr>
        <w:t>of the Superior Courts Act 10 of 2013</w:t>
      </w:r>
      <w:r w:rsidR="003C070E">
        <w:rPr>
          <w:rFonts w:eastAsiaTheme="minorHAnsi"/>
          <w:color w:val="000000"/>
          <w:sz w:val="28"/>
          <w:szCs w:val="28"/>
          <w:lang w:val="en-ZA"/>
        </w:rPr>
        <w:t>,</w:t>
      </w:r>
      <w:r w:rsidR="001F6FD4">
        <w:rPr>
          <w:rFonts w:eastAsiaTheme="minorHAnsi"/>
          <w:color w:val="000000"/>
          <w:sz w:val="28"/>
          <w:szCs w:val="28"/>
          <w:lang w:val="en-ZA"/>
        </w:rPr>
        <w:t xml:space="preserve"> by</w:t>
      </w:r>
      <w:r w:rsidR="001F06A0">
        <w:rPr>
          <w:rFonts w:eastAsiaTheme="minorHAnsi"/>
          <w:color w:val="000000"/>
          <w:sz w:val="28"/>
          <w:szCs w:val="28"/>
          <w:lang w:val="en-ZA"/>
        </w:rPr>
        <w:t xml:space="preserve"> agreement </w:t>
      </w:r>
      <w:r w:rsidR="00952211">
        <w:rPr>
          <w:rFonts w:eastAsiaTheme="minorHAnsi"/>
          <w:color w:val="000000"/>
          <w:sz w:val="28"/>
          <w:szCs w:val="28"/>
          <w:lang w:val="en-ZA"/>
        </w:rPr>
        <w:t xml:space="preserve">with </w:t>
      </w:r>
      <w:r w:rsidR="001F06A0">
        <w:rPr>
          <w:rFonts w:eastAsiaTheme="minorHAnsi"/>
          <w:color w:val="000000"/>
          <w:sz w:val="28"/>
          <w:szCs w:val="28"/>
          <w:lang w:val="en-ZA"/>
        </w:rPr>
        <w:t>the parties</w:t>
      </w:r>
      <w:r w:rsidR="00A67448">
        <w:rPr>
          <w:rFonts w:eastAsiaTheme="minorHAnsi"/>
          <w:color w:val="000000"/>
          <w:sz w:val="28"/>
          <w:szCs w:val="28"/>
          <w:lang w:val="en-ZA"/>
        </w:rPr>
        <w:t xml:space="preserve">.  </w:t>
      </w:r>
    </w:p>
    <w:p w:rsidR="00ED4372" w:rsidRPr="00ED4372" w:rsidRDefault="00ED4372" w:rsidP="00977760">
      <w:pPr>
        <w:rPr>
          <w:sz w:val="28"/>
          <w:szCs w:val="28"/>
        </w:rPr>
      </w:pPr>
    </w:p>
    <w:p w:rsidR="002E249F" w:rsidRDefault="00ED4372" w:rsidP="00977760">
      <w:pPr>
        <w:pStyle w:val="ListParagraph"/>
        <w:numPr>
          <w:ilvl w:val="0"/>
          <w:numId w:val="8"/>
        </w:numPr>
        <w:ind w:left="0" w:firstLine="0"/>
        <w:rPr>
          <w:sz w:val="28"/>
          <w:szCs w:val="28"/>
        </w:rPr>
      </w:pPr>
      <w:r>
        <w:rPr>
          <w:sz w:val="28"/>
          <w:szCs w:val="28"/>
        </w:rPr>
        <w:t xml:space="preserve">The appellant and the </w:t>
      </w:r>
      <w:r w:rsidR="005020CF" w:rsidRPr="005B650F">
        <w:rPr>
          <w:sz w:val="28"/>
          <w:szCs w:val="28"/>
        </w:rPr>
        <w:t>first</w:t>
      </w:r>
      <w:r>
        <w:rPr>
          <w:sz w:val="28"/>
          <w:szCs w:val="28"/>
        </w:rPr>
        <w:t xml:space="preserve"> respondent were </w:t>
      </w:r>
      <w:r w:rsidR="002D3CF1">
        <w:rPr>
          <w:sz w:val="28"/>
          <w:szCs w:val="28"/>
        </w:rPr>
        <w:t xml:space="preserve">previously </w:t>
      </w:r>
      <w:r>
        <w:rPr>
          <w:sz w:val="28"/>
          <w:szCs w:val="28"/>
        </w:rPr>
        <w:t>married</w:t>
      </w:r>
      <w:r w:rsidR="00AE2484">
        <w:rPr>
          <w:sz w:val="28"/>
          <w:szCs w:val="28"/>
        </w:rPr>
        <w:t>,</w:t>
      </w:r>
      <w:r>
        <w:rPr>
          <w:sz w:val="28"/>
          <w:szCs w:val="28"/>
        </w:rPr>
        <w:t xml:space="preserve"> </w:t>
      </w:r>
      <w:r w:rsidR="002D3CF1">
        <w:rPr>
          <w:sz w:val="28"/>
          <w:szCs w:val="28"/>
        </w:rPr>
        <w:t>and th</w:t>
      </w:r>
      <w:r>
        <w:rPr>
          <w:sz w:val="28"/>
          <w:szCs w:val="28"/>
        </w:rPr>
        <w:t>eir marriage was dissolved by a decree of divorce incorporating a settlement agreement</w:t>
      </w:r>
      <w:r w:rsidR="001F6FD4" w:rsidRPr="001F6FD4">
        <w:rPr>
          <w:sz w:val="28"/>
          <w:szCs w:val="28"/>
        </w:rPr>
        <w:t xml:space="preserve"> </w:t>
      </w:r>
      <w:r w:rsidR="001F6FD4">
        <w:rPr>
          <w:sz w:val="28"/>
          <w:szCs w:val="28"/>
        </w:rPr>
        <w:t>on 13 February 2013</w:t>
      </w:r>
      <w:r>
        <w:rPr>
          <w:sz w:val="28"/>
          <w:szCs w:val="28"/>
        </w:rPr>
        <w:t xml:space="preserve">. </w:t>
      </w:r>
      <w:r w:rsidR="002E249F">
        <w:rPr>
          <w:sz w:val="28"/>
          <w:szCs w:val="28"/>
        </w:rPr>
        <w:t xml:space="preserve">One of the </w:t>
      </w:r>
      <w:r>
        <w:rPr>
          <w:sz w:val="28"/>
          <w:szCs w:val="28"/>
        </w:rPr>
        <w:t>term</w:t>
      </w:r>
      <w:r w:rsidR="002E249F">
        <w:rPr>
          <w:sz w:val="28"/>
          <w:szCs w:val="28"/>
        </w:rPr>
        <w:t>s</w:t>
      </w:r>
      <w:r>
        <w:rPr>
          <w:sz w:val="28"/>
          <w:szCs w:val="28"/>
        </w:rPr>
        <w:t xml:space="preserve"> of the agreement was </w:t>
      </w:r>
      <w:r w:rsidR="002E249F">
        <w:rPr>
          <w:sz w:val="28"/>
          <w:szCs w:val="28"/>
        </w:rPr>
        <w:t xml:space="preserve">that each party would </w:t>
      </w:r>
      <w:r w:rsidR="002E249F" w:rsidRPr="00207CCF">
        <w:rPr>
          <w:sz w:val="28"/>
          <w:szCs w:val="28"/>
        </w:rPr>
        <w:t>‘retain those assets presently in their respective possession and/or under their respective control in settlement of their respective claims in the joint estate</w:t>
      </w:r>
      <w:r w:rsidR="00F83656">
        <w:rPr>
          <w:sz w:val="28"/>
          <w:szCs w:val="28"/>
        </w:rPr>
        <w:t>.</w:t>
      </w:r>
      <w:r w:rsidR="00110A84">
        <w:rPr>
          <w:sz w:val="28"/>
          <w:szCs w:val="28"/>
        </w:rPr>
        <w:t>’</w:t>
      </w:r>
      <w:r w:rsidR="002E249F" w:rsidRPr="00207CCF">
        <w:rPr>
          <w:sz w:val="28"/>
          <w:szCs w:val="28"/>
        </w:rPr>
        <w:t xml:space="preserve"> </w:t>
      </w:r>
      <w:r w:rsidR="002E249F">
        <w:rPr>
          <w:sz w:val="28"/>
          <w:szCs w:val="28"/>
        </w:rPr>
        <w:t>According to the appellant</w:t>
      </w:r>
      <w:r w:rsidR="00995C66">
        <w:rPr>
          <w:sz w:val="28"/>
          <w:szCs w:val="28"/>
        </w:rPr>
        <w:t>,</w:t>
      </w:r>
      <w:r>
        <w:rPr>
          <w:sz w:val="28"/>
          <w:szCs w:val="28"/>
        </w:rPr>
        <w:t xml:space="preserve"> </w:t>
      </w:r>
      <w:r w:rsidR="002E249F" w:rsidRPr="00207CCF">
        <w:rPr>
          <w:sz w:val="28"/>
          <w:szCs w:val="28"/>
        </w:rPr>
        <w:t>both parties retained immovable properties registered in their names</w:t>
      </w:r>
      <w:r w:rsidR="003C070E">
        <w:rPr>
          <w:sz w:val="28"/>
          <w:szCs w:val="28"/>
        </w:rPr>
        <w:t>. She retained the immovable</w:t>
      </w:r>
      <w:r w:rsidR="00995C66">
        <w:rPr>
          <w:sz w:val="28"/>
          <w:szCs w:val="28"/>
        </w:rPr>
        <w:t xml:space="preserve"> property </w:t>
      </w:r>
      <w:r w:rsidR="00110A84">
        <w:rPr>
          <w:sz w:val="28"/>
          <w:szCs w:val="28"/>
        </w:rPr>
        <w:t xml:space="preserve">described as </w:t>
      </w:r>
      <w:r w:rsidR="00110A84">
        <w:rPr>
          <w:sz w:val="28"/>
          <w:szCs w:val="28"/>
        </w:rPr>
        <w:lastRenderedPageBreak/>
        <w:t>Erf </w:t>
      </w:r>
      <w:r w:rsidR="002E249F" w:rsidRPr="00207CCF">
        <w:rPr>
          <w:sz w:val="28"/>
          <w:szCs w:val="28"/>
        </w:rPr>
        <w:t>477, Winterveld JR</w:t>
      </w:r>
      <w:r w:rsidR="005B650F">
        <w:rPr>
          <w:sz w:val="28"/>
          <w:szCs w:val="28"/>
        </w:rPr>
        <w:t xml:space="preserve">, </w:t>
      </w:r>
      <w:r w:rsidR="005B650F" w:rsidRPr="00757AAC">
        <w:rPr>
          <w:sz w:val="28"/>
          <w:szCs w:val="28"/>
        </w:rPr>
        <w:t>North West</w:t>
      </w:r>
      <w:r w:rsidR="005B650F">
        <w:rPr>
          <w:sz w:val="28"/>
          <w:szCs w:val="28"/>
        </w:rPr>
        <w:t>,</w:t>
      </w:r>
      <w:r w:rsidR="001C55F1">
        <w:rPr>
          <w:sz w:val="28"/>
          <w:szCs w:val="28"/>
        </w:rPr>
        <w:t xml:space="preserve"> </w:t>
      </w:r>
      <w:r w:rsidR="002E249F" w:rsidRPr="00207CCF">
        <w:rPr>
          <w:sz w:val="28"/>
          <w:szCs w:val="28"/>
        </w:rPr>
        <w:t xml:space="preserve">which was </w:t>
      </w:r>
      <w:r w:rsidR="003C070E">
        <w:rPr>
          <w:sz w:val="28"/>
          <w:szCs w:val="28"/>
        </w:rPr>
        <w:t xml:space="preserve">registered </w:t>
      </w:r>
      <w:r w:rsidR="002E249F" w:rsidRPr="00207CCF">
        <w:rPr>
          <w:sz w:val="28"/>
          <w:szCs w:val="28"/>
        </w:rPr>
        <w:t xml:space="preserve">in her name </w:t>
      </w:r>
      <w:r w:rsidR="006242D3">
        <w:rPr>
          <w:sz w:val="28"/>
          <w:szCs w:val="28"/>
        </w:rPr>
        <w:t>and was under her control and possession</w:t>
      </w:r>
      <w:r w:rsidR="002E249F" w:rsidRPr="00207CCF">
        <w:rPr>
          <w:sz w:val="28"/>
          <w:szCs w:val="28"/>
        </w:rPr>
        <w:t>.</w:t>
      </w:r>
    </w:p>
    <w:p w:rsidR="00B9405F" w:rsidRPr="00B9405F" w:rsidRDefault="00B9405F" w:rsidP="00977760">
      <w:pPr>
        <w:pStyle w:val="ListParagraph"/>
        <w:rPr>
          <w:sz w:val="28"/>
          <w:szCs w:val="28"/>
        </w:rPr>
      </w:pPr>
    </w:p>
    <w:p w:rsidR="00ED4372" w:rsidRDefault="00B9405F" w:rsidP="00977760">
      <w:pPr>
        <w:pStyle w:val="ListParagraph"/>
        <w:numPr>
          <w:ilvl w:val="0"/>
          <w:numId w:val="8"/>
        </w:numPr>
        <w:ind w:left="0" w:firstLine="0"/>
        <w:rPr>
          <w:sz w:val="28"/>
          <w:szCs w:val="28"/>
        </w:rPr>
      </w:pPr>
      <w:r w:rsidRPr="00B9405F">
        <w:rPr>
          <w:sz w:val="28"/>
          <w:szCs w:val="28"/>
        </w:rPr>
        <w:t>Despite this</w:t>
      </w:r>
      <w:r>
        <w:rPr>
          <w:sz w:val="28"/>
          <w:szCs w:val="28"/>
        </w:rPr>
        <w:t xml:space="preserve"> </w:t>
      </w:r>
      <w:r w:rsidRPr="00B9405F">
        <w:rPr>
          <w:sz w:val="28"/>
          <w:szCs w:val="28"/>
        </w:rPr>
        <w:t>agreement</w:t>
      </w:r>
      <w:r w:rsidR="00995C66" w:rsidRPr="00B9405F">
        <w:rPr>
          <w:sz w:val="28"/>
          <w:szCs w:val="28"/>
        </w:rPr>
        <w:t>, on 24 May 2016</w:t>
      </w:r>
      <w:r w:rsidR="00995C66">
        <w:rPr>
          <w:sz w:val="28"/>
          <w:szCs w:val="28"/>
        </w:rPr>
        <w:t>,</w:t>
      </w:r>
      <w:r w:rsidR="00995C66" w:rsidRPr="00B9405F">
        <w:rPr>
          <w:sz w:val="28"/>
          <w:szCs w:val="28"/>
        </w:rPr>
        <w:t xml:space="preserve"> </w:t>
      </w:r>
      <w:r w:rsidRPr="00B9405F">
        <w:rPr>
          <w:sz w:val="28"/>
          <w:szCs w:val="28"/>
        </w:rPr>
        <w:t xml:space="preserve">the </w:t>
      </w:r>
      <w:r w:rsidR="005020CF" w:rsidRPr="005B650F">
        <w:rPr>
          <w:sz w:val="28"/>
          <w:szCs w:val="28"/>
        </w:rPr>
        <w:t>first</w:t>
      </w:r>
      <w:r w:rsidRPr="00B9405F">
        <w:rPr>
          <w:sz w:val="28"/>
          <w:szCs w:val="28"/>
        </w:rPr>
        <w:t xml:space="preserve"> respondent</w:t>
      </w:r>
      <w:r w:rsidR="00995C66">
        <w:rPr>
          <w:sz w:val="28"/>
          <w:szCs w:val="28"/>
        </w:rPr>
        <w:t xml:space="preserve"> </w:t>
      </w:r>
      <w:r w:rsidRPr="00B9405F">
        <w:rPr>
          <w:sz w:val="28"/>
          <w:szCs w:val="28"/>
        </w:rPr>
        <w:t xml:space="preserve">launched an application </w:t>
      </w:r>
      <w:r w:rsidR="006242D3">
        <w:rPr>
          <w:sz w:val="28"/>
          <w:szCs w:val="28"/>
        </w:rPr>
        <w:t>in</w:t>
      </w:r>
      <w:r w:rsidRPr="00B9405F">
        <w:rPr>
          <w:sz w:val="28"/>
          <w:szCs w:val="28"/>
        </w:rPr>
        <w:t xml:space="preserve"> the regional court</w:t>
      </w:r>
      <w:r>
        <w:rPr>
          <w:sz w:val="28"/>
          <w:szCs w:val="28"/>
        </w:rPr>
        <w:t xml:space="preserve"> </w:t>
      </w:r>
      <w:r w:rsidR="00ED4372" w:rsidRPr="00B9405F">
        <w:rPr>
          <w:sz w:val="28"/>
          <w:szCs w:val="28"/>
        </w:rPr>
        <w:t xml:space="preserve">seeking an order, inter alia, </w:t>
      </w:r>
      <w:r>
        <w:rPr>
          <w:sz w:val="28"/>
          <w:szCs w:val="28"/>
        </w:rPr>
        <w:t>‘[</w:t>
      </w:r>
      <w:r w:rsidR="00ED4372" w:rsidRPr="00B9405F">
        <w:rPr>
          <w:sz w:val="28"/>
          <w:szCs w:val="28"/>
        </w:rPr>
        <w:t>a</w:t>
      </w:r>
      <w:r>
        <w:rPr>
          <w:sz w:val="28"/>
          <w:szCs w:val="28"/>
        </w:rPr>
        <w:t>]</w:t>
      </w:r>
      <w:r w:rsidR="00ED4372" w:rsidRPr="00B9405F">
        <w:rPr>
          <w:sz w:val="28"/>
          <w:szCs w:val="28"/>
        </w:rPr>
        <w:t xml:space="preserve">ppointing a </w:t>
      </w:r>
      <w:r>
        <w:rPr>
          <w:sz w:val="28"/>
          <w:szCs w:val="28"/>
        </w:rPr>
        <w:t>R</w:t>
      </w:r>
      <w:r w:rsidR="00ED4372" w:rsidRPr="00B9405F">
        <w:rPr>
          <w:sz w:val="28"/>
          <w:szCs w:val="28"/>
        </w:rPr>
        <w:t xml:space="preserve">eceiver and </w:t>
      </w:r>
      <w:r>
        <w:rPr>
          <w:sz w:val="28"/>
          <w:szCs w:val="28"/>
        </w:rPr>
        <w:t>L</w:t>
      </w:r>
      <w:r w:rsidR="00ED4372" w:rsidRPr="00B9405F">
        <w:rPr>
          <w:sz w:val="28"/>
          <w:szCs w:val="28"/>
        </w:rPr>
        <w:t>iquidator of the</w:t>
      </w:r>
      <w:r>
        <w:rPr>
          <w:sz w:val="28"/>
          <w:szCs w:val="28"/>
        </w:rPr>
        <w:t xml:space="preserve"> assets of the</w:t>
      </w:r>
      <w:r w:rsidR="00ED4372" w:rsidRPr="00B9405F">
        <w:rPr>
          <w:sz w:val="28"/>
          <w:szCs w:val="28"/>
        </w:rPr>
        <w:t xml:space="preserve"> joint estate subsisting between the </w:t>
      </w:r>
      <w:r>
        <w:rPr>
          <w:sz w:val="28"/>
          <w:szCs w:val="28"/>
        </w:rPr>
        <w:t>[</w:t>
      </w:r>
      <w:r w:rsidRPr="00B9405F">
        <w:rPr>
          <w:sz w:val="28"/>
          <w:szCs w:val="28"/>
        </w:rPr>
        <w:t>first respondent</w:t>
      </w:r>
      <w:r>
        <w:rPr>
          <w:sz w:val="28"/>
          <w:szCs w:val="28"/>
        </w:rPr>
        <w:t>] and the</w:t>
      </w:r>
      <w:r w:rsidRPr="00B9405F">
        <w:rPr>
          <w:sz w:val="28"/>
          <w:szCs w:val="28"/>
        </w:rPr>
        <w:t xml:space="preserve"> </w:t>
      </w:r>
      <w:r>
        <w:rPr>
          <w:sz w:val="28"/>
          <w:szCs w:val="28"/>
        </w:rPr>
        <w:t>[</w:t>
      </w:r>
      <w:r w:rsidR="00ED4372" w:rsidRPr="00B9405F">
        <w:rPr>
          <w:sz w:val="28"/>
          <w:szCs w:val="28"/>
        </w:rPr>
        <w:t>appellant</w:t>
      </w:r>
      <w:r>
        <w:rPr>
          <w:sz w:val="28"/>
          <w:szCs w:val="28"/>
        </w:rPr>
        <w:t>].’ The Liquidator would, among other</w:t>
      </w:r>
      <w:r w:rsidR="005020CF">
        <w:rPr>
          <w:sz w:val="28"/>
          <w:szCs w:val="28"/>
        </w:rPr>
        <w:t xml:space="preserve"> </w:t>
      </w:r>
      <w:r w:rsidR="005020CF" w:rsidRPr="005B650F">
        <w:rPr>
          <w:sz w:val="28"/>
          <w:szCs w:val="28"/>
        </w:rPr>
        <w:t>thing</w:t>
      </w:r>
      <w:r w:rsidR="002A5FFC" w:rsidRPr="005B650F">
        <w:rPr>
          <w:sz w:val="28"/>
          <w:szCs w:val="28"/>
        </w:rPr>
        <w:t>s</w:t>
      </w:r>
      <w:r w:rsidRPr="005B650F">
        <w:rPr>
          <w:sz w:val="28"/>
          <w:szCs w:val="28"/>
        </w:rPr>
        <w:t>,</w:t>
      </w:r>
      <w:r>
        <w:rPr>
          <w:sz w:val="28"/>
          <w:szCs w:val="28"/>
        </w:rPr>
        <w:t xml:space="preserve"> </w:t>
      </w:r>
      <w:r w:rsidR="00ED4372" w:rsidRPr="00B9405F">
        <w:rPr>
          <w:sz w:val="28"/>
          <w:szCs w:val="28"/>
        </w:rPr>
        <w:t>be vested with the right</w:t>
      </w:r>
      <w:r>
        <w:rPr>
          <w:sz w:val="28"/>
          <w:szCs w:val="28"/>
        </w:rPr>
        <w:t xml:space="preserve"> </w:t>
      </w:r>
      <w:r w:rsidR="00ED4372" w:rsidRPr="00B9405F">
        <w:rPr>
          <w:sz w:val="28"/>
          <w:szCs w:val="28"/>
        </w:rPr>
        <w:t xml:space="preserve">to ‘determine the value of the assets of the communal estate as at date of Divorce and ascertain which party retained which of </w:t>
      </w:r>
      <w:r w:rsidR="00ED4372" w:rsidRPr="00B9405F">
        <w:rPr>
          <w:sz w:val="28"/>
          <w:szCs w:val="28"/>
        </w:rPr>
        <w:lastRenderedPageBreak/>
        <w:t xml:space="preserve">the assets when the [first respondent] left communal home and thereafter divide the assets on </w:t>
      </w:r>
      <w:r w:rsidR="00975BB2">
        <w:rPr>
          <w:sz w:val="28"/>
          <w:szCs w:val="28"/>
        </w:rPr>
        <w:t>[</w:t>
      </w:r>
      <w:r w:rsidR="004C4371" w:rsidRPr="005B650F">
        <w:rPr>
          <w:sz w:val="28"/>
          <w:szCs w:val="28"/>
        </w:rPr>
        <w:t>an</w:t>
      </w:r>
      <w:r w:rsidR="00975BB2">
        <w:rPr>
          <w:sz w:val="28"/>
          <w:szCs w:val="28"/>
        </w:rPr>
        <w:t>]</w:t>
      </w:r>
      <w:r w:rsidR="004C4371">
        <w:rPr>
          <w:sz w:val="28"/>
          <w:szCs w:val="28"/>
        </w:rPr>
        <w:t xml:space="preserve"> </w:t>
      </w:r>
      <w:r w:rsidR="00ED4372" w:rsidRPr="00B9405F">
        <w:rPr>
          <w:sz w:val="28"/>
          <w:szCs w:val="28"/>
        </w:rPr>
        <w:t>equal basis between the parties taking into consideration all outstanding debts as at date of Divorce</w:t>
      </w:r>
      <w:r>
        <w:rPr>
          <w:sz w:val="28"/>
          <w:szCs w:val="28"/>
        </w:rPr>
        <w:t>.</w:t>
      </w:r>
      <w:r w:rsidR="00601F94">
        <w:rPr>
          <w:sz w:val="28"/>
          <w:szCs w:val="28"/>
        </w:rPr>
        <w:t>’</w:t>
      </w:r>
    </w:p>
    <w:p w:rsidR="00B9405F" w:rsidRPr="00B9405F" w:rsidRDefault="00B9405F" w:rsidP="00977760">
      <w:pPr>
        <w:pStyle w:val="ListParagraph"/>
        <w:rPr>
          <w:sz w:val="28"/>
          <w:szCs w:val="28"/>
        </w:rPr>
      </w:pPr>
    </w:p>
    <w:p w:rsidR="00B9405F" w:rsidRPr="00176B52" w:rsidRDefault="00B9405F" w:rsidP="00977760">
      <w:pPr>
        <w:pStyle w:val="ListParagraph"/>
        <w:numPr>
          <w:ilvl w:val="0"/>
          <w:numId w:val="8"/>
        </w:numPr>
        <w:ind w:left="0" w:firstLine="0"/>
        <w:rPr>
          <w:sz w:val="28"/>
          <w:szCs w:val="28"/>
        </w:rPr>
      </w:pPr>
      <w:r w:rsidRPr="00B51142">
        <w:rPr>
          <w:sz w:val="28"/>
          <w:szCs w:val="28"/>
        </w:rPr>
        <w:t xml:space="preserve">The appellant </w:t>
      </w:r>
      <w:r w:rsidRPr="00757AAC">
        <w:rPr>
          <w:sz w:val="28"/>
          <w:szCs w:val="28"/>
        </w:rPr>
        <w:t xml:space="preserve">appointed </w:t>
      </w:r>
      <w:r w:rsidR="004C4371" w:rsidRPr="00757AAC">
        <w:rPr>
          <w:sz w:val="28"/>
          <w:szCs w:val="28"/>
        </w:rPr>
        <w:t>Ms Nkagiseng Moduka, an attorney</w:t>
      </w:r>
      <w:r w:rsidR="004C4371">
        <w:rPr>
          <w:sz w:val="28"/>
          <w:szCs w:val="28"/>
        </w:rPr>
        <w:t xml:space="preserve">, to </w:t>
      </w:r>
      <w:r w:rsidRPr="00B51142">
        <w:rPr>
          <w:sz w:val="28"/>
          <w:szCs w:val="28"/>
        </w:rPr>
        <w:t>act on her behalf</w:t>
      </w:r>
      <w:r>
        <w:rPr>
          <w:sz w:val="28"/>
          <w:szCs w:val="28"/>
        </w:rPr>
        <w:t xml:space="preserve"> </w:t>
      </w:r>
      <w:r w:rsidR="004C4371" w:rsidRPr="00757AAC">
        <w:rPr>
          <w:sz w:val="28"/>
          <w:szCs w:val="28"/>
        </w:rPr>
        <w:t>in opposing</w:t>
      </w:r>
      <w:r>
        <w:rPr>
          <w:sz w:val="28"/>
          <w:szCs w:val="28"/>
        </w:rPr>
        <w:t xml:space="preserve"> the</w:t>
      </w:r>
      <w:r w:rsidRPr="00B51142">
        <w:rPr>
          <w:sz w:val="28"/>
          <w:szCs w:val="28"/>
        </w:rPr>
        <w:t xml:space="preserve"> application</w:t>
      </w:r>
      <w:r w:rsidR="004C4371">
        <w:rPr>
          <w:sz w:val="28"/>
          <w:szCs w:val="28"/>
        </w:rPr>
        <w:t xml:space="preserve">, </w:t>
      </w:r>
      <w:r w:rsidR="004C4371" w:rsidRPr="00176B52">
        <w:rPr>
          <w:sz w:val="28"/>
          <w:szCs w:val="28"/>
        </w:rPr>
        <w:t>and</w:t>
      </w:r>
      <w:r w:rsidR="004C4371">
        <w:rPr>
          <w:sz w:val="28"/>
          <w:szCs w:val="28"/>
        </w:rPr>
        <w:t xml:space="preserve"> an </w:t>
      </w:r>
      <w:r w:rsidRPr="00B51142">
        <w:rPr>
          <w:sz w:val="28"/>
          <w:szCs w:val="28"/>
        </w:rPr>
        <w:t>answering affidavit was delivered</w:t>
      </w:r>
      <w:r w:rsidR="004C4371" w:rsidRPr="00176B52">
        <w:rPr>
          <w:sz w:val="28"/>
          <w:szCs w:val="28"/>
        </w:rPr>
        <w:t>.</w:t>
      </w:r>
      <w:r w:rsidR="004C4371">
        <w:rPr>
          <w:sz w:val="28"/>
          <w:szCs w:val="28"/>
        </w:rPr>
        <w:t xml:space="preserve"> </w:t>
      </w:r>
      <w:r w:rsidR="004C4371" w:rsidRPr="00176B52">
        <w:rPr>
          <w:sz w:val="28"/>
          <w:szCs w:val="28"/>
        </w:rPr>
        <w:t>The application was set down for hearing o</w:t>
      </w:r>
      <w:r w:rsidRPr="00176B52">
        <w:rPr>
          <w:sz w:val="28"/>
          <w:szCs w:val="28"/>
        </w:rPr>
        <w:t>n 17 April 2018</w:t>
      </w:r>
      <w:r w:rsidR="00A24E20" w:rsidRPr="00176B52">
        <w:rPr>
          <w:sz w:val="28"/>
          <w:szCs w:val="28"/>
        </w:rPr>
        <w:t>. That day</w:t>
      </w:r>
      <w:r w:rsidR="00904D76" w:rsidRPr="00176B52">
        <w:rPr>
          <w:sz w:val="28"/>
          <w:szCs w:val="28"/>
        </w:rPr>
        <w:t xml:space="preserve"> </w:t>
      </w:r>
      <w:r w:rsidRPr="00176B52">
        <w:rPr>
          <w:sz w:val="28"/>
          <w:szCs w:val="28"/>
        </w:rPr>
        <w:t>an order was</w:t>
      </w:r>
      <w:r>
        <w:rPr>
          <w:sz w:val="28"/>
          <w:szCs w:val="28"/>
        </w:rPr>
        <w:t xml:space="preserve"> </w:t>
      </w:r>
      <w:r w:rsidRPr="00B51142">
        <w:rPr>
          <w:sz w:val="28"/>
          <w:szCs w:val="28"/>
        </w:rPr>
        <w:t xml:space="preserve">granted in </w:t>
      </w:r>
      <w:r w:rsidR="006242D3">
        <w:rPr>
          <w:sz w:val="28"/>
          <w:szCs w:val="28"/>
        </w:rPr>
        <w:t xml:space="preserve">favour of the first respondent in </w:t>
      </w:r>
      <w:r w:rsidRPr="00B51142">
        <w:rPr>
          <w:sz w:val="28"/>
          <w:szCs w:val="28"/>
        </w:rPr>
        <w:t xml:space="preserve">the absence of </w:t>
      </w:r>
      <w:r w:rsidRPr="00176B52">
        <w:rPr>
          <w:sz w:val="28"/>
          <w:szCs w:val="28"/>
        </w:rPr>
        <w:t xml:space="preserve">the appellant. </w:t>
      </w:r>
      <w:r w:rsidR="00904D76" w:rsidRPr="00176B52">
        <w:rPr>
          <w:sz w:val="28"/>
          <w:szCs w:val="28"/>
        </w:rPr>
        <w:t xml:space="preserve">This led to the </w:t>
      </w:r>
      <w:r w:rsidR="006242D3" w:rsidRPr="00176B52">
        <w:rPr>
          <w:sz w:val="28"/>
          <w:szCs w:val="28"/>
        </w:rPr>
        <w:t xml:space="preserve">appellant bringing an </w:t>
      </w:r>
      <w:r w:rsidR="00904D76" w:rsidRPr="00176B52">
        <w:rPr>
          <w:sz w:val="28"/>
          <w:szCs w:val="28"/>
        </w:rPr>
        <w:t>applic</w:t>
      </w:r>
      <w:r w:rsidR="00A24E20" w:rsidRPr="00176B52">
        <w:rPr>
          <w:sz w:val="28"/>
          <w:szCs w:val="28"/>
        </w:rPr>
        <w:t>ation for the rescission of the</w:t>
      </w:r>
      <w:r w:rsidR="00904D76" w:rsidRPr="00176B52">
        <w:rPr>
          <w:sz w:val="28"/>
          <w:szCs w:val="28"/>
        </w:rPr>
        <w:t xml:space="preserve"> order </w:t>
      </w:r>
      <w:r w:rsidR="00904D76" w:rsidRPr="00176B52">
        <w:rPr>
          <w:sz w:val="28"/>
          <w:szCs w:val="28"/>
        </w:rPr>
        <w:lastRenderedPageBreak/>
        <w:t>o</w:t>
      </w:r>
      <w:r w:rsidRPr="00176B52">
        <w:rPr>
          <w:sz w:val="28"/>
          <w:szCs w:val="28"/>
        </w:rPr>
        <w:t>n 21</w:t>
      </w:r>
      <w:r w:rsidR="00DA6310">
        <w:rPr>
          <w:sz w:val="28"/>
          <w:szCs w:val="28"/>
        </w:rPr>
        <w:t> </w:t>
      </w:r>
      <w:r w:rsidRPr="00176B52">
        <w:rPr>
          <w:sz w:val="28"/>
          <w:szCs w:val="28"/>
        </w:rPr>
        <w:t>May</w:t>
      </w:r>
      <w:r w:rsidR="00DA6310">
        <w:rPr>
          <w:sz w:val="28"/>
          <w:szCs w:val="28"/>
        </w:rPr>
        <w:t> </w:t>
      </w:r>
      <w:r w:rsidRPr="00176B52">
        <w:rPr>
          <w:sz w:val="28"/>
          <w:szCs w:val="28"/>
        </w:rPr>
        <w:t>2018.</w:t>
      </w:r>
      <w:r w:rsidR="006242D3" w:rsidRPr="00176B52">
        <w:rPr>
          <w:sz w:val="28"/>
          <w:szCs w:val="28"/>
        </w:rPr>
        <w:t xml:space="preserve"> </w:t>
      </w:r>
      <w:r w:rsidR="00A24E20" w:rsidRPr="00176B52">
        <w:rPr>
          <w:sz w:val="28"/>
          <w:szCs w:val="28"/>
        </w:rPr>
        <w:t xml:space="preserve">Ms </w:t>
      </w:r>
      <w:r w:rsidRPr="00176B52">
        <w:rPr>
          <w:sz w:val="28"/>
          <w:szCs w:val="28"/>
        </w:rPr>
        <w:t>Moduka</w:t>
      </w:r>
      <w:r w:rsidR="00A24E20">
        <w:rPr>
          <w:sz w:val="28"/>
          <w:szCs w:val="28"/>
        </w:rPr>
        <w:t xml:space="preserve"> </w:t>
      </w:r>
      <w:r>
        <w:rPr>
          <w:sz w:val="28"/>
          <w:szCs w:val="28"/>
        </w:rPr>
        <w:t>deposed to the founding affidavit</w:t>
      </w:r>
      <w:r w:rsidR="005020CF">
        <w:rPr>
          <w:sz w:val="28"/>
          <w:szCs w:val="28"/>
        </w:rPr>
        <w:t xml:space="preserve"> </w:t>
      </w:r>
      <w:r w:rsidR="005020CF" w:rsidRPr="00176B52">
        <w:rPr>
          <w:sz w:val="28"/>
          <w:szCs w:val="28"/>
        </w:rPr>
        <w:t>in support of the application for rescission</w:t>
      </w:r>
      <w:r w:rsidR="00904D76" w:rsidRPr="00176B52">
        <w:rPr>
          <w:sz w:val="28"/>
          <w:szCs w:val="28"/>
        </w:rPr>
        <w:t xml:space="preserve">. </w:t>
      </w:r>
      <w:r w:rsidR="00A24E20" w:rsidRPr="00176B52">
        <w:rPr>
          <w:sz w:val="28"/>
          <w:szCs w:val="28"/>
        </w:rPr>
        <w:t xml:space="preserve">She </w:t>
      </w:r>
      <w:r w:rsidR="00904D76" w:rsidRPr="00176B52">
        <w:rPr>
          <w:sz w:val="28"/>
          <w:szCs w:val="28"/>
        </w:rPr>
        <w:t xml:space="preserve">alleged that an administrative error </w:t>
      </w:r>
      <w:r w:rsidR="005020CF" w:rsidRPr="00176B52">
        <w:rPr>
          <w:sz w:val="28"/>
          <w:szCs w:val="28"/>
        </w:rPr>
        <w:t>i</w:t>
      </w:r>
      <w:r w:rsidR="00904D76" w:rsidRPr="00176B52">
        <w:rPr>
          <w:sz w:val="28"/>
          <w:szCs w:val="28"/>
        </w:rPr>
        <w:t xml:space="preserve">n her office </w:t>
      </w:r>
      <w:r w:rsidR="00AC0457" w:rsidRPr="00176B52">
        <w:rPr>
          <w:sz w:val="28"/>
          <w:szCs w:val="28"/>
        </w:rPr>
        <w:t>had led to the</w:t>
      </w:r>
      <w:r w:rsidR="00995C66" w:rsidRPr="00176B52">
        <w:rPr>
          <w:sz w:val="28"/>
          <w:szCs w:val="28"/>
        </w:rPr>
        <w:t xml:space="preserve"> </w:t>
      </w:r>
      <w:r w:rsidR="00AC0457" w:rsidRPr="00176B52">
        <w:rPr>
          <w:sz w:val="28"/>
          <w:szCs w:val="28"/>
        </w:rPr>
        <w:t xml:space="preserve">rescission </w:t>
      </w:r>
      <w:r w:rsidR="00995C66" w:rsidRPr="00176B52">
        <w:rPr>
          <w:sz w:val="28"/>
          <w:szCs w:val="28"/>
        </w:rPr>
        <w:t>application</w:t>
      </w:r>
      <w:r w:rsidR="00AC0457" w:rsidRPr="00176B52">
        <w:rPr>
          <w:sz w:val="28"/>
          <w:szCs w:val="28"/>
        </w:rPr>
        <w:t xml:space="preserve"> being</w:t>
      </w:r>
      <w:r w:rsidR="00995C66" w:rsidRPr="00176B52">
        <w:rPr>
          <w:sz w:val="28"/>
          <w:szCs w:val="28"/>
        </w:rPr>
        <w:t xml:space="preserve"> </w:t>
      </w:r>
      <w:r w:rsidR="00904D76" w:rsidRPr="00176B52">
        <w:rPr>
          <w:sz w:val="28"/>
          <w:szCs w:val="28"/>
        </w:rPr>
        <w:t>incorrect</w:t>
      </w:r>
      <w:r w:rsidR="00995C66" w:rsidRPr="00176B52">
        <w:rPr>
          <w:sz w:val="28"/>
          <w:szCs w:val="28"/>
        </w:rPr>
        <w:t xml:space="preserve">ly </w:t>
      </w:r>
      <w:r w:rsidR="00AC0457" w:rsidRPr="00176B52">
        <w:rPr>
          <w:sz w:val="28"/>
          <w:szCs w:val="28"/>
        </w:rPr>
        <w:t xml:space="preserve">diarised for </w:t>
      </w:r>
      <w:r w:rsidR="00904D76" w:rsidRPr="00176B52">
        <w:rPr>
          <w:sz w:val="28"/>
          <w:szCs w:val="28"/>
        </w:rPr>
        <w:t xml:space="preserve">17 May 2018 </w:t>
      </w:r>
      <w:r w:rsidR="005500A1" w:rsidRPr="00176B52">
        <w:rPr>
          <w:sz w:val="28"/>
          <w:szCs w:val="28"/>
        </w:rPr>
        <w:t xml:space="preserve">instead of </w:t>
      </w:r>
      <w:r w:rsidR="00995C66" w:rsidRPr="00176B52">
        <w:rPr>
          <w:sz w:val="28"/>
          <w:szCs w:val="28"/>
        </w:rPr>
        <w:t xml:space="preserve">17 April 2018. </w:t>
      </w:r>
    </w:p>
    <w:p w:rsidR="00B9405F" w:rsidRPr="00B9405F" w:rsidRDefault="00B9405F" w:rsidP="00977760">
      <w:pPr>
        <w:pStyle w:val="ListParagraph"/>
        <w:rPr>
          <w:sz w:val="28"/>
          <w:szCs w:val="28"/>
        </w:rPr>
      </w:pPr>
    </w:p>
    <w:p w:rsidR="00B9405F" w:rsidRDefault="00B9405F" w:rsidP="00977760">
      <w:pPr>
        <w:pStyle w:val="ListParagraph"/>
        <w:numPr>
          <w:ilvl w:val="0"/>
          <w:numId w:val="8"/>
        </w:numPr>
        <w:ind w:left="0" w:firstLine="0"/>
        <w:rPr>
          <w:sz w:val="28"/>
          <w:szCs w:val="28"/>
        </w:rPr>
      </w:pPr>
      <w:r w:rsidRPr="00801066">
        <w:rPr>
          <w:sz w:val="28"/>
          <w:szCs w:val="28"/>
        </w:rPr>
        <w:t>The rescission application was opposed by the first respondent</w:t>
      </w:r>
      <w:r w:rsidR="00E572CE" w:rsidRPr="00801066">
        <w:rPr>
          <w:sz w:val="28"/>
          <w:szCs w:val="28"/>
        </w:rPr>
        <w:t>,</w:t>
      </w:r>
      <w:r w:rsidRPr="00801066">
        <w:rPr>
          <w:sz w:val="28"/>
          <w:szCs w:val="28"/>
        </w:rPr>
        <w:t xml:space="preserve"> who raised a point in limine challenging Ms Moduka’s </w:t>
      </w:r>
      <w:r w:rsidR="00AC0457" w:rsidRPr="00601F94">
        <w:rPr>
          <w:sz w:val="28"/>
          <w:szCs w:val="28"/>
        </w:rPr>
        <w:t>‘</w:t>
      </w:r>
      <w:r w:rsidRPr="00601F94">
        <w:rPr>
          <w:sz w:val="28"/>
          <w:szCs w:val="28"/>
        </w:rPr>
        <w:t>locus standi</w:t>
      </w:r>
      <w:r w:rsidR="00F0132A" w:rsidRPr="00601F94">
        <w:rPr>
          <w:sz w:val="28"/>
          <w:szCs w:val="28"/>
        </w:rPr>
        <w:t>’</w:t>
      </w:r>
      <w:r w:rsidR="00F0132A" w:rsidRPr="00801066">
        <w:rPr>
          <w:sz w:val="28"/>
          <w:szCs w:val="28"/>
        </w:rPr>
        <w:t xml:space="preserve"> </w:t>
      </w:r>
      <w:r w:rsidRPr="00801066">
        <w:rPr>
          <w:sz w:val="28"/>
          <w:szCs w:val="28"/>
        </w:rPr>
        <w:t>on the basis that</w:t>
      </w:r>
      <w:r w:rsidR="00995C66" w:rsidRPr="00801066">
        <w:rPr>
          <w:sz w:val="28"/>
          <w:szCs w:val="28"/>
        </w:rPr>
        <w:t>,</w:t>
      </w:r>
      <w:r w:rsidRPr="00801066">
        <w:rPr>
          <w:sz w:val="28"/>
          <w:szCs w:val="28"/>
        </w:rPr>
        <w:t xml:space="preserve"> </w:t>
      </w:r>
      <w:r w:rsidR="001C4A96" w:rsidRPr="00801066">
        <w:rPr>
          <w:sz w:val="28"/>
          <w:szCs w:val="28"/>
        </w:rPr>
        <w:t xml:space="preserve">as the attorney </w:t>
      </w:r>
      <w:r w:rsidR="00995C66" w:rsidRPr="00801066">
        <w:rPr>
          <w:sz w:val="28"/>
          <w:szCs w:val="28"/>
        </w:rPr>
        <w:t xml:space="preserve">for the appellant, </w:t>
      </w:r>
      <w:r w:rsidR="001C4A96" w:rsidRPr="00801066">
        <w:rPr>
          <w:sz w:val="28"/>
          <w:szCs w:val="28"/>
        </w:rPr>
        <w:t>she</w:t>
      </w:r>
      <w:r w:rsidR="00F52682" w:rsidRPr="00801066">
        <w:rPr>
          <w:sz w:val="28"/>
          <w:szCs w:val="28"/>
        </w:rPr>
        <w:t xml:space="preserve"> </w:t>
      </w:r>
      <w:r w:rsidRPr="00801066">
        <w:rPr>
          <w:sz w:val="28"/>
          <w:szCs w:val="28"/>
        </w:rPr>
        <w:t xml:space="preserve">was not the person affected </w:t>
      </w:r>
      <w:r w:rsidR="001C4A96" w:rsidRPr="00801066">
        <w:rPr>
          <w:sz w:val="28"/>
          <w:szCs w:val="28"/>
        </w:rPr>
        <w:t xml:space="preserve">by the judgment </w:t>
      </w:r>
      <w:r w:rsidR="001C4A96" w:rsidRPr="00801066">
        <w:rPr>
          <w:sz w:val="28"/>
          <w:szCs w:val="28"/>
        </w:rPr>
        <w:lastRenderedPageBreak/>
        <w:t xml:space="preserve">sought to be rescinded. </w:t>
      </w:r>
      <w:r w:rsidR="00995C66" w:rsidRPr="00801066">
        <w:rPr>
          <w:sz w:val="28"/>
          <w:szCs w:val="28"/>
        </w:rPr>
        <w:t xml:space="preserve">He </w:t>
      </w:r>
      <w:r w:rsidR="00AC0457" w:rsidRPr="001A3874">
        <w:rPr>
          <w:sz w:val="28"/>
          <w:szCs w:val="28"/>
        </w:rPr>
        <w:t>contended</w:t>
      </w:r>
      <w:r w:rsidR="00F0132A" w:rsidRPr="00801066">
        <w:rPr>
          <w:sz w:val="28"/>
          <w:szCs w:val="28"/>
        </w:rPr>
        <w:t xml:space="preserve"> </w:t>
      </w:r>
      <w:r w:rsidR="001C4A96" w:rsidRPr="00801066">
        <w:rPr>
          <w:sz w:val="28"/>
          <w:szCs w:val="28"/>
        </w:rPr>
        <w:t xml:space="preserve">that she </w:t>
      </w:r>
      <w:r w:rsidRPr="00801066">
        <w:rPr>
          <w:sz w:val="28"/>
          <w:szCs w:val="28"/>
        </w:rPr>
        <w:t xml:space="preserve">did not have a </w:t>
      </w:r>
      <w:r w:rsidR="003C070E" w:rsidRPr="00801066">
        <w:rPr>
          <w:sz w:val="28"/>
          <w:szCs w:val="28"/>
        </w:rPr>
        <w:t>‘</w:t>
      </w:r>
      <w:r w:rsidRPr="00801066">
        <w:rPr>
          <w:sz w:val="28"/>
          <w:szCs w:val="28"/>
        </w:rPr>
        <w:t>direct and substantial interest in the main application’</w:t>
      </w:r>
      <w:r w:rsidR="003C070E" w:rsidRPr="00801066">
        <w:rPr>
          <w:sz w:val="28"/>
          <w:szCs w:val="28"/>
        </w:rPr>
        <w:t xml:space="preserve">, </w:t>
      </w:r>
      <w:r w:rsidRPr="00801066">
        <w:rPr>
          <w:sz w:val="28"/>
          <w:szCs w:val="28"/>
        </w:rPr>
        <w:t>which would entitle her to bring the rescission application</w:t>
      </w:r>
      <w:r w:rsidR="00801066" w:rsidRPr="00801066">
        <w:rPr>
          <w:sz w:val="28"/>
          <w:szCs w:val="28"/>
        </w:rPr>
        <w:t>.</w:t>
      </w:r>
      <w:r w:rsidR="00C771BA" w:rsidRPr="00801066">
        <w:rPr>
          <w:sz w:val="28"/>
          <w:szCs w:val="28"/>
        </w:rPr>
        <w:t xml:space="preserve"> </w:t>
      </w:r>
      <w:r w:rsidR="00801066" w:rsidRPr="001A3874">
        <w:rPr>
          <w:sz w:val="28"/>
          <w:szCs w:val="28"/>
        </w:rPr>
        <w:t xml:space="preserve">In reply the appellant filed a confirmatory affidavit in which she attested to having instructed her attorney to represent her in </w:t>
      </w:r>
      <w:r w:rsidR="00E85A89" w:rsidRPr="001A3874">
        <w:rPr>
          <w:sz w:val="28"/>
          <w:szCs w:val="28"/>
        </w:rPr>
        <w:t xml:space="preserve">all </w:t>
      </w:r>
      <w:r w:rsidR="00801066" w:rsidRPr="001A3874">
        <w:rPr>
          <w:sz w:val="28"/>
          <w:szCs w:val="28"/>
        </w:rPr>
        <w:t>proceedings brought by the first respondent in the matter.</w:t>
      </w:r>
    </w:p>
    <w:p w:rsidR="00801066" w:rsidRPr="00801066" w:rsidRDefault="00801066" w:rsidP="00977760">
      <w:pPr>
        <w:pStyle w:val="ListParagraph"/>
        <w:rPr>
          <w:sz w:val="28"/>
          <w:szCs w:val="28"/>
        </w:rPr>
      </w:pPr>
    </w:p>
    <w:p w:rsidR="00192A4A" w:rsidRDefault="00B9405F" w:rsidP="00977760">
      <w:pPr>
        <w:pStyle w:val="ListParagraph"/>
        <w:numPr>
          <w:ilvl w:val="0"/>
          <w:numId w:val="8"/>
        </w:numPr>
        <w:ind w:left="0" w:firstLine="0"/>
        <w:rPr>
          <w:sz w:val="28"/>
          <w:szCs w:val="28"/>
        </w:rPr>
      </w:pPr>
      <w:r>
        <w:rPr>
          <w:sz w:val="28"/>
          <w:szCs w:val="28"/>
        </w:rPr>
        <w:t xml:space="preserve">The </w:t>
      </w:r>
      <w:r w:rsidR="00F52682">
        <w:rPr>
          <w:sz w:val="28"/>
          <w:szCs w:val="28"/>
        </w:rPr>
        <w:t xml:space="preserve">regional </w:t>
      </w:r>
      <w:r>
        <w:rPr>
          <w:sz w:val="28"/>
          <w:szCs w:val="28"/>
        </w:rPr>
        <w:t xml:space="preserve">court </w:t>
      </w:r>
      <w:r w:rsidR="00995C66">
        <w:rPr>
          <w:sz w:val="28"/>
          <w:szCs w:val="28"/>
        </w:rPr>
        <w:t xml:space="preserve">agreed with the first respondent and </w:t>
      </w:r>
      <w:r>
        <w:rPr>
          <w:sz w:val="28"/>
          <w:szCs w:val="28"/>
        </w:rPr>
        <w:t>upheld the point in limine</w:t>
      </w:r>
      <w:r w:rsidR="00995C66">
        <w:rPr>
          <w:sz w:val="28"/>
          <w:szCs w:val="28"/>
        </w:rPr>
        <w:t xml:space="preserve">. It found </w:t>
      </w:r>
      <w:r>
        <w:rPr>
          <w:sz w:val="28"/>
          <w:szCs w:val="28"/>
        </w:rPr>
        <w:t xml:space="preserve">that Ms Moduka </w:t>
      </w:r>
      <w:r w:rsidR="0006316F" w:rsidRPr="001A3874">
        <w:rPr>
          <w:sz w:val="28"/>
          <w:szCs w:val="28"/>
        </w:rPr>
        <w:t>had not been</w:t>
      </w:r>
      <w:r w:rsidR="0006316F">
        <w:rPr>
          <w:sz w:val="28"/>
          <w:szCs w:val="28"/>
        </w:rPr>
        <w:t xml:space="preserve"> </w:t>
      </w:r>
      <w:r>
        <w:rPr>
          <w:sz w:val="28"/>
          <w:szCs w:val="28"/>
        </w:rPr>
        <w:t xml:space="preserve">authorised to bring the application by the appellant. It </w:t>
      </w:r>
      <w:r w:rsidR="00F52682">
        <w:rPr>
          <w:sz w:val="28"/>
          <w:szCs w:val="28"/>
        </w:rPr>
        <w:t>held</w:t>
      </w:r>
      <w:r w:rsidR="005500A1">
        <w:rPr>
          <w:sz w:val="28"/>
          <w:szCs w:val="28"/>
        </w:rPr>
        <w:t xml:space="preserve"> </w:t>
      </w:r>
      <w:r>
        <w:rPr>
          <w:sz w:val="28"/>
          <w:szCs w:val="28"/>
        </w:rPr>
        <w:t>that the appellant’s confirmatory affidavit was</w:t>
      </w:r>
      <w:r w:rsidR="00192A4A">
        <w:rPr>
          <w:sz w:val="28"/>
          <w:szCs w:val="28"/>
        </w:rPr>
        <w:t>:</w:t>
      </w:r>
    </w:p>
    <w:p w:rsidR="00522981" w:rsidRDefault="00B9405F" w:rsidP="00977760">
      <w:r w:rsidRPr="00192A4A">
        <w:lastRenderedPageBreak/>
        <w:t>‘</w:t>
      </w:r>
      <w:r w:rsidR="00B66B92">
        <w:t xml:space="preserve">. . . </w:t>
      </w:r>
      <w:r w:rsidRPr="00192A4A">
        <w:t>an attempt to usher in her authorisation through the back</w:t>
      </w:r>
      <w:r w:rsidR="00522981">
        <w:t>-</w:t>
      </w:r>
      <w:r w:rsidRPr="00192A4A">
        <w:t>door</w:t>
      </w:r>
      <w:r w:rsidR="00613DD0">
        <w:t>. . .</w:t>
      </w:r>
      <w:r w:rsidR="00E0442A">
        <w:t xml:space="preserve"> </w:t>
      </w:r>
      <w:r w:rsidRPr="00192A4A">
        <w:t xml:space="preserve">in that nothing prevented her </w:t>
      </w:r>
      <w:r w:rsidR="00522981">
        <w:t xml:space="preserve">giving her </w:t>
      </w:r>
      <w:r w:rsidRPr="00192A4A">
        <w:t>authorisation earlier</w:t>
      </w:r>
      <w:r w:rsidR="00522981">
        <w:t>,</w:t>
      </w:r>
      <w:r w:rsidRPr="00192A4A">
        <w:t xml:space="preserve"> other than wait till a point is reached attacking the attorney’s </w:t>
      </w:r>
      <w:r w:rsidRPr="00522981">
        <w:rPr>
          <w:i/>
        </w:rPr>
        <w:t>locus standi</w:t>
      </w:r>
      <w:r w:rsidRPr="00192A4A">
        <w:t xml:space="preserve">. </w:t>
      </w:r>
    </w:p>
    <w:p w:rsidR="00522981" w:rsidRDefault="00B9405F" w:rsidP="00977760">
      <w:r w:rsidRPr="00192A4A">
        <w:t xml:space="preserve">The fact that the attorney takes the position of the real applicant </w:t>
      </w:r>
      <w:r w:rsidR="00522981">
        <w:t>h</w:t>
      </w:r>
      <w:r w:rsidRPr="00192A4A">
        <w:t xml:space="preserve">as </w:t>
      </w:r>
      <w:r w:rsidR="00522981">
        <w:t xml:space="preserve">the </w:t>
      </w:r>
      <w:r w:rsidRPr="00192A4A">
        <w:t>potential of mudd</w:t>
      </w:r>
      <w:r w:rsidR="00522981">
        <w:t>l</w:t>
      </w:r>
      <w:r w:rsidRPr="00192A4A">
        <w:t>ing the waters</w:t>
      </w:r>
      <w:r w:rsidR="00522981">
        <w:t xml:space="preserve"> further</w:t>
      </w:r>
      <w:r w:rsidR="00613DD0">
        <w:t>. . .</w:t>
      </w:r>
      <w:r w:rsidR="00620BAE">
        <w:t xml:space="preserve"> </w:t>
      </w:r>
      <w:r w:rsidRPr="00192A4A">
        <w:t xml:space="preserve">which creates the impression that she was the purchaser of </w:t>
      </w:r>
      <w:r w:rsidR="00522981">
        <w:t>E</w:t>
      </w:r>
      <w:r w:rsidRPr="00192A4A">
        <w:t>rf 477</w:t>
      </w:r>
      <w:r w:rsidR="00522981">
        <w:t xml:space="preserve">, </w:t>
      </w:r>
      <w:r w:rsidRPr="00192A4A">
        <w:t>which is factually not correct</w:t>
      </w:r>
      <w:r w:rsidR="00522981">
        <w:t>.</w:t>
      </w:r>
    </w:p>
    <w:p w:rsidR="00B9405F" w:rsidRPr="00192A4A" w:rsidRDefault="00B9405F" w:rsidP="00977760">
      <w:r w:rsidRPr="00192A4A">
        <w:t>Th</w:t>
      </w:r>
      <w:r w:rsidR="00522981">
        <w:t>e</w:t>
      </w:r>
      <w:r w:rsidRPr="00192A4A">
        <w:t xml:space="preserve"> end result is that the point </w:t>
      </w:r>
      <w:r w:rsidRPr="00522981">
        <w:rPr>
          <w:i/>
        </w:rPr>
        <w:t>in limine</w:t>
      </w:r>
      <w:r w:rsidRPr="00192A4A">
        <w:t xml:space="preserve"> succeeds on the basis of her lack of standing</w:t>
      </w:r>
      <w:r w:rsidR="00522981">
        <w:t>.</w:t>
      </w:r>
      <w:r w:rsidRPr="00192A4A">
        <w:t>’</w:t>
      </w:r>
    </w:p>
    <w:p w:rsidR="00B9405F" w:rsidRPr="005915DB" w:rsidRDefault="00B9405F" w:rsidP="00977760">
      <w:pPr>
        <w:pStyle w:val="ListParagraph"/>
        <w:rPr>
          <w:sz w:val="28"/>
          <w:szCs w:val="28"/>
        </w:rPr>
      </w:pPr>
    </w:p>
    <w:p w:rsidR="00936C8E" w:rsidRPr="00936C8E" w:rsidRDefault="00B9405F" w:rsidP="00977760">
      <w:pPr>
        <w:pStyle w:val="ListParagraph"/>
        <w:numPr>
          <w:ilvl w:val="0"/>
          <w:numId w:val="8"/>
        </w:numPr>
        <w:ind w:left="0" w:firstLine="0"/>
      </w:pPr>
      <w:r>
        <w:rPr>
          <w:sz w:val="28"/>
          <w:szCs w:val="28"/>
        </w:rPr>
        <w:t xml:space="preserve">The appellant appealed </w:t>
      </w:r>
      <w:r w:rsidR="005500A1">
        <w:rPr>
          <w:sz w:val="28"/>
          <w:szCs w:val="28"/>
        </w:rPr>
        <w:t xml:space="preserve">that ruling </w:t>
      </w:r>
      <w:r>
        <w:rPr>
          <w:sz w:val="28"/>
          <w:szCs w:val="28"/>
        </w:rPr>
        <w:t>to the</w:t>
      </w:r>
      <w:r w:rsidR="00E325D8">
        <w:rPr>
          <w:sz w:val="28"/>
          <w:szCs w:val="28"/>
        </w:rPr>
        <w:t xml:space="preserve"> </w:t>
      </w:r>
      <w:r>
        <w:rPr>
          <w:sz w:val="28"/>
          <w:szCs w:val="28"/>
        </w:rPr>
        <w:t>high court</w:t>
      </w:r>
      <w:r w:rsidR="00DC4670">
        <w:rPr>
          <w:sz w:val="28"/>
          <w:szCs w:val="28"/>
        </w:rPr>
        <w:t>. The high court</w:t>
      </w:r>
      <w:r>
        <w:rPr>
          <w:sz w:val="28"/>
          <w:szCs w:val="28"/>
        </w:rPr>
        <w:t xml:space="preserve"> dismissed the appeal on the same basis as the </w:t>
      </w:r>
      <w:r w:rsidR="00E325D8">
        <w:rPr>
          <w:sz w:val="28"/>
          <w:szCs w:val="28"/>
        </w:rPr>
        <w:t>regional court. It found</w:t>
      </w:r>
      <w:r w:rsidR="00B13535">
        <w:rPr>
          <w:sz w:val="28"/>
          <w:szCs w:val="28"/>
        </w:rPr>
        <w:t xml:space="preserve"> that Ms </w:t>
      </w:r>
      <w:r w:rsidR="00B13535">
        <w:rPr>
          <w:sz w:val="28"/>
          <w:szCs w:val="28"/>
        </w:rPr>
        <w:lastRenderedPageBreak/>
        <w:t>Moduka ‘lacked locus standi to bring the application for rescission in the absence of authorisation by the appellant</w:t>
      </w:r>
      <w:r w:rsidR="00936C8E">
        <w:rPr>
          <w:sz w:val="28"/>
          <w:szCs w:val="28"/>
        </w:rPr>
        <w:t>’</w:t>
      </w:r>
      <w:r w:rsidR="00E0442A">
        <w:rPr>
          <w:sz w:val="28"/>
          <w:szCs w:val="28"/>
        </w:rPr>
        <w:t>.</w:t>
      </w:r>
      <w:r w:rsidR="002314E9">
        <w:rPr>
          <w:sz w:val="28"/>
          <w:szCs w:val="28"/>
        </w:rPr>
        <w:t xml:space="preserve"> </w:t>
      </w:r>
      <w:r w:rsidR="00936C8E">
        <w:rPr>
          <w:sz w:val="28"/>
          <w:szCs w:val="28"/>
        </w:rPr>
        <w:t xml:space="preserve">Having considered </w:t>
      </w:r>
      <w:r w:rsidR="00181498">
        <w:rPr>
          <w:sz w:val="28"/>
          <w:szCs w:val="28"/>
        </w:rPr>
        <w:t xml:space="preserve">s </w:t>
      </w:r>
      <w:r w:rsidR="00936C8E">
        <w:rPr>
          <w:sz w:val="28"/>
          <w:szCs w:val="28"/>
        </w:rPr>
        <w:t>36(1)</w:t>
      </w:r>
      <w:r w:rsidR="00181498">
        <w:rPr>
          <w:sz w:val="28"/>
          <w:szCs w:val="28"/>
        </w:rPr>
        <w:t xml:space="preserve"> of the Magistrates’ Courts Act 32 of 1944</w:t>
      </w:r>
      <w:r w:rsidR="00936C8E">
        <w:rPr>
          <w:rStyle w:val="FootnoteReference"/>
          <w:sz w:val="28"/>
          <w:szCs w:val="28"/>
        </w:rPr>
        <w:footnoteReference w:id="1"/>
      </w:r>
      <w:r w:rsidR="00936C8E">
        <w:rPr>
          <w:sz w:val="28"/>
          <w:szCs w:val="28"/>
        </w:rPr>
        <w:t xml:space="preserve"> and </w:t>
      </w:r>
      <w:r w:rsidR="002F5F05">
        <w:rPr>
          <w:sz w:val="28"/>
          <w:szCs w:val="28"/>
        </w:rPr>
        <w:t>r</w:t>
      </w:r>
      <w:r w:rsidR="00181498">
        <w:rPr>
          <w:sz w:val="28"/>
          <w:szCs w:val="28"/>
        </w:rPr>
        <w:t xml:space="preserve">ule </w:t>
      </w:r>
      <w:r w:rsidR="00936C8E">
        <w:rPr>
          <w:sz w:val="28"/>
          <w:szCs w:val="28"/>
        </w:rPr>
        <w:t>49</w:t>
      </w:r>
      <w:r w:rsidR="00936C8E">
        <w:rPr>
          <w:rStyle w:val="FootnoteReference"/>
          <w:sz w:val="28"/>
          <w:szCs w:val="28"/>
        </w:rPr>
        <w:footnoteReference w:id="2"/>
      </w:r>
      <w:r w:rsidR="00936C8E">
        <w:rPr>
          <w:sz w:val="28"/>
          <w:szCs w:val="28"/>
        </w:rPr>
        <w:t xml:space="preserve"> of the Magistrates</w:t>
      </w:r>
      <w:r w:rsidR="00181498">
        <w:rPr>
          <w:sz w:val="28"/>
          <w:szCs w:val="28"/>
        </w:rPr>
        <w:t>’</w:t>
      </w:r>
      <w:r w:rsidR="00936C8E">
        <w:rPr>
          <w:sz w:val="28"/>
          <w:szCs w:val="28"/>
        </w:rPr>
        <w:t xml:space="preserve"> Court Rules, </w:t>
      </w:r>
      <w:r w:rsidR="00936C8E">
        <w:rPr>
          <w:sz w:val="28"/>
          <w:szCs w:val="28"/>
        </w:rPr>
        <w:lastRenderedPageBreak/>
        <w:t xml:space="preserve">the high court concluded that an attorney and </w:t>
      </w:r>
      <w:r w:rsidR="001C4A96">
        <w:rPr>
          <w:sz w:val="28"/>
          <w:szCs w:val="28"/>
        </w:rPr>
        <w:t xml:space="preserve">an </w:t>
      </w:r>
      <w:r w:rsidR="00936C8E">
        <w:rPr>
          <w:sz w:val="28"/>
          <w:szCs w:val="28"/>
        </w:rPr>
        <w:t xml:space="preserve">advocate </w:t>
      </w:r>
      <w:r w:rsidR="001C4A96">
        <w:rPr>
          <w:sz w:val="28"/>
          <w:szCs w:val="28"/>
        </w:rPr>
        <w:t>are</w:t>
      </w:r>
      <w:r w:rsidR="00936C8E">
        <w:rPr>
          <w:sz w:val="28"/>
          <w:szCs w:val="28"/>
        </w:rPr>
        <w:t xml:space="preserve"> not </w:t>
      </w:r>
      <w:r w:rsidR="005500A1">
        <w:rPr>
          <w:sz w:val="28"/>
          <w:szCs w:val="28"/>
        </w:rPr>
        <w:t xml:space="preserve">‘a </w:t>
      </w:r>
      <w:r w:rsidR="00936C8E">
        <w:rPr>
          <w:sz w:val="28"/>
          <w:szCs w:val="28"/>
        </w:rPr>
        <w:t>part</w:t>
      </w:r>
      <w:r w:rsidR="001C4A96">
        <w:rPr>
          <w:sz w:val="28"/>
          <w:szCs w:val="28"/>
        </w:rPr>
        <w:t>y</w:t>
      </w:r>
      <w:r w:rsidR="005500A1">
        <w:rPr>
          <w:sz w:val="28"/>
          <w:szCs w:val="28"/>
        </w:rPr>
        <w:t>’</w:t>
      </w:r>
      <w:r w:rsidR="00936C8E">
        <w:rPr>
          <w:sz w:val="28"/>
          <w:szCs w:val="28"/>
        </w:rPr>
        <w:t xml:space="preserve"> for the purposes of </w:t>
      </w:r>
      <w:r w:rsidR="002F5F05">
        <w:rPr>
          <w:sz w:val="28"/>
          <w:szCs w:val="28"/>
        </w:rPr>
        <w:t>r</w:t>
      </w:r>
      <w:r w:rsidR="00936C8E">
        <w:rPr>
          <w:sz w:val="28"/>
          <w:szCs w:val="28"/>
        </w:rPr>
        <w:t>ule 49(1)</w:t>
      </w:r>
      <w:r w:rsidR="005500A1">
        <w:rPr>
          <w:sz w:val="28"/>
          <w:szCs w:val="28"/>
        </w:rPr>
        <w:t xml:space="preserve"> in that </w:t>
      </w:r>
      <w:r w:rsidR="00DC4670">
        <w:rPr>
          <w:sz w:val="28"/>
          <w:szCs w:val="28"/>
        </w:rPr>
        <w:t>t</w:t>
      </w:r>
      <w:r w:rsidR="00936C8E">
        <w:rPr>
          <w:sz w:val="28"/>
          <w:szCs w:val="28"/>
        </w:rPr>
        <w:t>hey do not have a ‘legal interest’ in a matter</w:t>
      </w:r>
      <w:r w:rsidR="001C4A96">
        <w:rPr>
          <w:sz w:val="28"/>
          <w:szCs w:val="28"/>
        </w:rPr>
        <w:t xml:space="preserve">. Theirs is </w:t>
      </w:r>
      <w:r w:rsidR="00936C8E">
        <w:rPr>
          <w:sz w:val="28"/>
          <w:szCs w:val="28"/>
        </w:rPr>
        <w:t>a</w:t>
      </w:r>
      <w:r w:rsidR="001C4A96">
        <w:rPr>
          <w:sz w:val="28"/>
          <w:szCs w:val="28"/>
        </w:rPr>
        <w:t>n indirect</w:t>
      </w:r>
      <w:r w:rsidR="00E3007C">
        <w:rPr>
          <w:sz w:val="28"/>
          <w:szCs w:val="28"/>
        </w:rPr>
        <w:t>,</w:t>
      </w:r>
      <w:r w:rsidR="00936C8E">
        <w:rPr>
          <w:sz w:val="28"/>
          <w:szCs w:val="28"/>
        </w:rPr>
        <w:t xml:space="preserve"> general interest to advance their client’s </w:t>
      </w:r>
      <w:r w:rsidR="001C4A96">
        <w:rPr>
          <w:sz w:val="28"/>
          <w:szCs w:val="28"/>
        </w:rPr>
        <w:t>case</w:t>
      </w:r>
      <w:r w:rsidR="00936C8E">
        <w:rPr>
          <w:sz w:val="28"/>
          <w:szCs w:val="28"/>
        </w:rPr>
        <w:t xml:space="preserve"> and bring it to conclusion.</w:t>
      </w:r>
      <w:r w:rsidR="009028BE">
        <w:rPr>
          <w:sz w:val="28"/>
          <w:szCs w:val="28"/>
        </w:rPr>
        <w:t xml:space="preserve"> </w:t>
      </w:r>
      <w:r w:rsidR="00936C8E">
        <w:rPr>
          <w:sz w:val="28"/>
          <w:szCs w:val="28"/>
        </w:rPr>
        <w:t>It further</w:t>
      </w:r>
      <w:r w:rsidR="00DC4670">
        <w:rPr>
          <w:sz w:val="28"/>
          <w:szCs w:val="28"/>
        </w:rPr>
        <w:t xml:space="preserve"> held that</w:t>
      </w:r>
      <w:r w:rsidR="00936C8E">
        <w:rPr>
          <w:sz w:val="28"/>
          <w:szCs w:val="28"/>
        </w:rPr>
        <w:t xml:space="preserve">: </w:t>
      </w:r>
    </w:p>
    <w:p w:rsidR="009028BE" w:rsidRDefault="009028BE" w:rsidP="00977760">
      <w:r>
        <w:t>‘</w:t>
      </w:r>
      <w:r w:rsidR="00936C8E" w:rsidRPr="00936C8E">
        <w:t>Section 36(1)</w:t>
      </w:r>
      <w:r w:rsidR="00936C8E" w:rsidRPr="000D3B54">
        <w:rPr>
          <w:i/>
        </w:rPr>
        <w:t>(a)</w:t>
      </w:r>
      <w:r w:rsidR="00936C8E" w:rsidRPr="00936C8E">
        <w:t xml:space="preserve"> requires the applicant to have been ‘affected’ by such a judgment. “Affected party” is defined by </w:t>
      </w:r>
      <w:r w:rsidR="00936C8E" w:rsidRPr="00936C8E">
        <w:rPr>
          <w:b/>
          <w:bCs/>
        </w:rPr>
        <w:t>Erasmus</w:t>
      </w:r>
      <w:r w:rsidR="00936C8E" w:rsidRPr="00936C8E">
        <w:t xml:space="preserve"> as [</w:t>
      </w:r>
      <w:r w:rsidR="00936C8E" w:rsidRPr="00936C8E">
        <w:rPr>
          <w:i/>
          <w:iCs/>
        </w:rPr>
        <w:t xml:space="preserve">a person who] has an interest in the subject matter of the judgment or order sufficiently direct and substantial to entitle him to intervene in the original application upon which the judgment was given or granted. He must have a legal </w:t>
      </w:r>
      <w:r w:rsidR="00936C8E" w:rsidRPr="00936C8E">
        <w:rPr>
          <w:i/>
          <w:iCs/>
        </w:rPr>
        <w:lastRenderedPageBreak/>
        <w:t xml:space="preserve">interest in the subject matter of the action which could be prejudicial to the judgment of the Court.’ </w:t>
      </w:r>
      <w:r w:rsidR="00946284" w:rsidRPr="00946284">
        <w:rPr>
          <w:sz w:val="28"/>
          <w:szCs w:val="28"/>
        </w:rPr>
        <w:t>(Footnote omitted)</w:t>
      </w:r>
      <w:r w:rsidR="00946284">
        <w:t xml:space="preserve"> </w:t>
      </w:r>
    </w:p>
    <w:p w:rsidR="00936C8E" w:rsidRPr="00936C8E" w:rsidRDefault="00936C8E" w:rsidP="00977760"/>
    <w:p w:rsidR="00B627B1" w:rsidRPr="001A3874" w:rsidRDefault="00DC4670" w:rsidP="00977760">
      <w:pPr>
        <w:pStyle w:val="ListParagraph"/>
        <w:numPr>
          <w:ilvl w:val="0"/>
          <w:numId w:val="8"/>
        </w:numPr>
        <w:ind w:left="0" w:firstLine="0"/>
        <w:rPr>
          <w:sz w:val="28"/>
          <w:szCs w:val="28"/>
        </w:rPr>
      </w:pPr>
      <w:r w:rsidRPr="001A3874">
        <w:rPr>
          <w:sz w:val="28"/>
          <w:szCs w:val="28"/>
        </w:rPr>
        <w:t xml:space="preserve">In my view, </w:t>
      </w:r>
      <w:r w:rsidR="00B627B1" w:rsidRPr="001A3874">
        <w:rPr>
          <w:sz w:val="28"/>
          <w:szCs w:val="28"/>
        </w:rPr>
        <w:t xml:space="preserve">both the regional </w:t>
      </w:r>
      <w:r w:rsidRPr="001A3874">
        <w:rPr>
          <w:sz w:val="28"/>
          <w:szCs w:val="28"/>
        </w:rPr>
        <w:t xml:space="preserve">court </w:t>
      </w:r>
      <w:r w:rsidR="00B627B1" w:rsidRPr="001A3874">
        <w:rPr>
          <w:sz w:val="28"/>
          <w:szCs w:val="28"/>
        </w:rPr>
        <w:t>and the high court</w:t>
      </w:r>
      <w:r w:rsidRPr="001A3874">
        <w:rPr>
          <w:sz w:val="28"/>
          <w:szCs w:val="28"/>
        </w:rPr>
        <w:t xml:space="preserve"> appear to have</w:t>
      </w:r>
      <w:r w:rsidR="00B627B1" w:rsidRPr="001A3874">
        <w:rPr>
          <w:sz w:val="28"/>
          <w:szCs w:val="28"/>
        </w:rPr>
        <w:t xml:space="preserve"> conflat</w:t>
      </w:r>
      <w:r w:rsidRPr="001A3874">
        <w:rPr>
          <w:sz w:val="28"/>
          <w:szCs w:val="28"/>
        </w:rPr>
        <w:t>ed</w:t>
      </w:r>
      <w:r w:rsidR="00B627B1" w:rsidRPr="001A3874">
        <w:rPr>
          <w:sz w:val="28"/>
          <w:szCs w:val="28"/>
        </w:rPr>
        <w:t xml:space="preserve"> (a) </w:t>
      </w:r>
      <w:r w:rsidR="003C070E" w:rsidRPr="001A3874">
        <w:rPr>
          <w:sz w:val="28"/>
          <w:szCs w:val="28"/>
        </w:rPr>
        <w:t xml:space="preserve">the </w:t>
      </w:r>
      <w:r w:rsidR="00B627B1" w:rsidRPr="001A3874">
        <w:rPr>
          <w:sz w:val="28"/>
          <w:szCs w:val="28"/>
        </w:rPr>
        <w:t xml:space="preserve">legal standing of </w:t>
      </w:r>
      <w:r w:rsidR="00973C77" w:rsidRPr="001A3874">
        <w:rPr>
          <w:sz w:val="28"/>
          <w:szCs w:val="28"/>
        </w:rPr>
        <w:t>the</w:t>
      </w:r>
      <w:r w:rsidR="00B627B1" w:rsidRPr="001A3874">
        <w:rPr>
          <w:sz w:val="28"/>
          <w:szCs w:val="28"/>
        </w:rPr>
        <w:t xml:space="preserve"> party seeking rescission </w:t>
      </w:r>
      <w:r w:rsidR="00973C77" w:rsidRPr="001A3874">
        <w:rPr>
          <w:sz w:val="28"/>
          <w:szCs w:val="28"/>
        </w:rPr>
        <w:t>of judgment</w:t>
      </w:r>
      <w:r w:rsidR="00B627B1" w:rsidRPr="001A3874">
        <w:rPr>
          <w:sz w:val="28"/>
          <w:szCs w:val="28"/>
        </w:rPr>
        <w:t xml:space="preserve">; (b) </w:t>
      </w:r>
      <w:r w:rsidR="000F1374" w:rsidRPr="001A3874">
        <w:rPr>
          <w:sz w:val="28"/>
          <w:szCs w:val="28"/>
        </w:rPr>
        <w:t>the basis for deposing to an affidavit and (c)</w:t>
      </w:r>
      <w:r w:rsidR="000F1374">
        <w:rPr>
          <w:sz w:val="28"/>
          <w:szCs w:val="28"/>
        </w:rPr>
        <w:t xml:space="preserve"> </w:t>
      </w:r>
      <w:r w:rsidR="00973C77" w:rsidRPr="001A3874">
        <w:rPr>
          <w:sz w:val="28"/>
          <w:szCs w:val="28"/>
        </w:rPr>
        <w:t xml:space="preserve">the </w:t>
      </w:r>
      <w:r w:rsidR="00B627B1" w:rsidRPr="001A3874">
        <w:rPr>
          <w:sz w:val="28"/>
          <w:szCs w:val="28"/>
        </w:rPr>
        <w:t>authority to represent</w:t>
      </w:r>
      <w:r w:rsidR="00EE5F77">
        <w:rPr>
          <w:sz w:val="28"/>
          <w:szCs w:val="28"/>
        </w:rPr>
        <w:t xml:space="preserve"> a party</w:t>
      </w:r>
      <w:r w:rsidR="00B627B1" w:rsidRPr="001A3874">
        <w:rPr>
          <w:sz w:val="28"/>
          <w:szCs w:val="28"/>
        </w:rPr>
        <w:t xml:space="preserve">. </w:t>
      </w:r>
      <w:r w:rsidR="001C4A96" w:rsidRPr="001A3874">
        <w:rPr>
          <w:sz w:val="28"/>
          <w:szCs w:val="28"/>
        </w:rPr>
        <w:t xml:space="preserve">I deal with these in turn. </w:t>
      </w:r>
    </w:p>
    <w:p w:rsidR="00B627B1" w:rsidRPr="00B627B1" w:rsidRDefault="00B627B1" w:rsidP="00977760">
      <w:pPr>
        <w:rPr>
          <w:sz w:val="28"/>
          <w:szCs w:val="28"/>
        </w:rPr>
      </w:pPr>
    </w:p>
    <w:p w:rsidR="008D1A81" w:rsidRDefault="00DC4670" w:rsidP="00977760">
      <w:pPr>
        <w:pStyle w:val="ListParagraph"/>
        <w:numPr>
          <w:ilvl w:val="0"/>
          <w:numId w:val="8"/>
        </w:numPr>
        <w:ind w:left="0" w:firstLine="0"/>
        <w:rPr>
          <w:sz w:val="28"/>
          <w:szCs w:val="28"/>
        </w:rPr>
      </w:pPr>
      <w:r w:rsidRPr="001A3874">
        <w:rPr>
          <w:sz w:val="28"/>
          <w:szCs w:val="28"/>
        </w:rPr>
        <w:lastRenderedPageBreak/>
        <w:t>A</w:t>
      </w:r>
      <w:r w:rsidR="00B627B1" w:rsidRPr="001A3874">
        <w:rPr>
          <w:sz w:val="28"/>
          <w:szCs w:val="28"/>
        </w:rPr>
        <w:t>s regards the</w:t>
      </w:r>
      <w:r w:rsidR="003C070E" w:rsidRPr="001A3874">
        <w:rPr>
          <w:sz w:val="28"/>
          <w:szCs w:val="28"/>
        </w:rPr>
        <w:t xml:space="preserve"> first</w:t>
      </w:r>
      <w:r w:rsidR="00B627B1" w:rsidRPr="001A3874">
        <w:rPr>
          <w:sz w:val="28"/>
          <w:szCs w:val="28"/>
        </w:rPr>
        <w:t xml:space="preserve"> issue, a party will have </w:t>
      </w:r>
      <w:r w:rsidR="003C070E" w:rsidRPr="001A3874">
        <w:rPr>
          <w:sz w:val="28"/>
          <w:szCs w:val="28"/>
        </w:rPr>
        <w:t xml:space="preserve">legal </w:t>
      </w:r>
      <w:r w:rsidR="00B627B1" w:rsidRPr="001A3874">
        <w:rPr>
          <w:sz w:val="28"/>
          <w:szCs w:val="28"/>
        </w:rPr>
        <w:t xml:space="preserve">standing </w:t>
      </w:r>
      <w:r w:rsidR="00122889" w:rsidRPr="002843AE">
        <w:rPr>
          <w:sz w:val="28"/>
          <w:szCs w:val="28"/>
        </w:rPr>
        <w:t>(locus standi)</w:t>
      </w:r>
      <w:r w:rsidR="00122889" w:rsidRPr="001A3874">
        <w:rPr>
          <w:sz w:val="28"/>
          <w:szCs w:val="28"/>
        </w:rPr>
        <w:t xml:space="preserve"> </w:t>
      </w:r>
      <w:r w:rsidR="00B627B1" w:rsidRPr="001A3874">
        <w:rPr>
          <w:sz w:val="28"/>
          <w:szCs w:val="28"/>
        </w:rPr>
        <w:t>if he or she has a direct and substantial interest in the subject-matter of the judgment sought to be rescinded.</w:t>
      </w:r>
      <w:r w:rsidR="00B627B1" w:rsidRPr="001A3874">
        <w:rPr>
          <w:rStyle w:val="FootnoteReference"/>
          <w:sz w:val="28"/>
          <w:szCs w:val="28"/>
        </w:rPr>
        <w:footnoteReference w:id="3"/>
      </w:r>
      <w:r w:rsidR="00B627B1" w:rsidRPr="001A3874">
        <w:rPr>
          <w:sz w:val="28"/>
          <w:szCs w:val="28"/>
        </w:rPr>
        <w:t xml:space="preserve"> </w:t>
      </w:r>
      <w:r w:rsidRPr="001A3874">
        <w:rPr>
          <w:sz w:val="28"/>
          <w:szCs w:val="28"/>
        </w:rPr>
        <w:t>T</w:t>
      </w:r>
      <w:r w:rsidR="00B627B1" w:rsidRPr="001A3874">
        <w:rPr>
          <w:sz w:val="28"/>
          <w:szCs w:val="28"/>
        </w:rPr>
        <w:t>he appellant</w:t>
      </w:r>
      <w:r w:rsidR="004520B2" w:rsidRPr="001A3874">
        <w:rPr>
          <w:sz w:val="28"/>
          <w:szCs w:val="28"/>
        </w:rPr>
        <w:t>, as the respondent in the main application,</w:t>
      </w:r>
      <w:r w:rsidR="00B627B1" w:rsidRPr="004520B2">
        <w:rPr>
          <w:sz w:val="28"/>
          <w:szCs w:val="28"/>
        </w:rPr>
        <w:t xml:space="preserve"> </w:t>
      </w:r>
      <w:r w:rsidR="005500A1" w:rsidRPr="004520B2">
        <w:rPr>
          <w:sz w:val="28"/>
          <w:szCs w:val="28"/>
        </w:rPr>
        <w:t>had</w:t>
      </w:r>
      <w:r w:rsidR="005500A1">
        <w:rPr>
          <w:sz w:val="28"/>
          <w:szCs w:val="28"/>
        </w:rPr>
        <w:t xml:space="preserve"> </w:t>
      </w:r>
      <w:r w:rsidR="00B627B1">
        <w:rPr>
          <w:sz w:val="28"/>
          <w:szCs w:val="28"/>
        </w:rPr>
        <w:t>oppose</w:t>
      </w:r>
      <w:r>
        <w:rPr>
          <w:sz w:val="28"/>
          <w:szCs w:val="28"/>
        </w:rPr>
        <w:t>d</w:t>
      </w:r>
      <w:r w:rsidR="00B627B1">
        <w:rPr>
          <w:sz w:val="28"/>
          <w:szCs w:val="28"/>
        </w:rPr>
        <w:t xml:space="preserve"> the </w:t>
      </w:r>
      <w:r>
        <w:rPr>
          <w:sz w:val="28"/>
          <w:szCs w:val="28"/>
        </w:rPr>
        <w:t xml:space="preserve">main </w:t>
      </w:r>
      <w:r w:rsidR="00B627B1">
        <w:rPr>
          <w:sz w:val="28"/>
          <w:szCs w:val="28"/>
        </w:rPr>
        <w:t>application brought by the first respondent</w:t>
      </w:r>
      <w:r>
        <w:rPr>
          <w:sz w:val="28"/>
          <w:szCs w:val="28"/>
        </w:rPr>
        <w:t xml:space="preserve"> relating to the appointment of a Receiver and Liquidator of the assets in the joint estate</w:t>
      </w:r>
      <w:r w:rsidR="00B627B1">
        <w:rPr>
          <w:sz w:val="28"/>
          <w:szCs w:val="28"/>
        </w:rPr>
        <w:t xml:space="preserve">. </w:t>
      </w:r>
      <w:r>
        <w:rPr>
          <w:sz w:val="28"/>
          <w:szCs w:val="28"/>
        </w:rPr>
        <w:t xml:space="preserve">She </w:t>
      </w:r>
      <w:r w:rsidRPr="001A3874">
        <w:rPr>
          <w:sz w:val="28"/>
          <w:szCs w:val="28"/>
        </w:rPr>
        <w:t xml:space="preserve">appointed Moduka </w:t>
      </w:r>
      <w:r w:rsidR="00327396" w:rsidRPr="001A3874">
        <w:rPr>
          <w:sz w:val="28"/>
          <w:szCs w:val="28"/>
        </w:rPr>
        <w:t xml:space="preserve">Attorneys </w:t>
      </w:r>
      <w:r w:rsidRPr="001A3874">
        <w:rPr>
          <w:sz w:val="28"/>
          <w:szCs w:val="28"/>
        </w:rPr>
        <w:t>in</w:t>
      </w:r>
      <w:r>
        <w:rPr>
          <w:sz w:val="28"/>
          <w:szCs w:val="28"/>
        </w:rPr>
        <w:t xml:space="preserve"> opposing</w:t>
      </w:r>
      <w:r w:rsidR="005500A1">
        <w:rPr>
          <w:sz w:val="28"/>
          <w:szCs w:val="28"/>
        </w:rPr>
        <w:t xml:space="preserve"> that matter</w:t>
      </w:r>
      <w:r>
        <w:rPr>
          <w:sz w:val="28"/>
          <w:szCs w:val="28"/>
        </w:rPr>
        <w:t xml:space="preserve">. </w:t>
      </w:r>
      <w:r w:rsidR="001C4A96" w:rsidRPr="00E84E3D">
        <w:rPr>
          <w:sz w:val="28"/>
          <w:szCs w:val="28"/>
        </w:rPr>
        <w:t>U</w:t>
      </w:r>
      <w:r w:rsidR="008D1A81" w:rsidRPr="00E84E3D">
        <w:rPr>
          <w:sz w:val="28"/>
          <w:szCs w:val="28"/>
        </w:rPr>
        <w:t xml:space="preserve">pon </w:t>
      </w:r>
      <w:r w:rsidR="001C4A96" w:rsidRPr="00E84E3D">
        <w:rPr>
          <w:sz w:val="28"/>
          <w:szCs w:val="28"/>
        </w:rPr>
        <w:t xml:space="preserve">learning </w:t>
      </w:r>
      <w:r w:rsidR="001C4A96" w:rsidRPr="00E84E3D">
        <w:rPr>
          <w:sz w:val="28"/>
          <w:szCs w:val="28"/>
        </w:rPr>
        <w:lastRenderedPageBreak/>
        <w:t xml:space="preserve">of </w:t>
      </w:r>
      <w:r w:rsidR="008D1A81" w:rsidRPr="00E84E3D">
        <w:rPr>
          <w:sz w:val="28"/>
          <w:szCs w:val="28"/>
        </w:rPr>
        <w:t xml:space="preserve">the default judgment </w:t>
      </w:r>
      <w:r w:rsidR="001C4A96" w:rsidRPr="00E84E3D">
        <w:rPr>
          <w:sz w:val="28"/>
          <w:szCs w:val="28"/>
        </w:rPr>
        <w:t xml:space="preserve">granted </w:t>
      </w:r>
      <w:r w:rsidR="008D1A81" w:rsidRPr="00E84E3D">
        <w:rPr>
          <w:sz w:val="28"/>
          <w:szCs w:val="28"/>
        </w:rPr>
        <w:t xml:space="preserve">against </w:t>
      </w:r>
      <w:r w:rsidR="008D1A81" w:rsidRPr="001A3874">
        <w:rPr>
          <w:sz w:val="28"/>
          <w:szCs w:val="28"/>
        </w:rPr>
        <w:t xml:space="preserve">her, the appellant </w:t>
      </w:r>
      <w:r w:rsidRPr="001A3874">
        <w:rPr>
          <w:sz w:val="28"/>
          <w:szCs w:val="28"/>
        </w:rPr>
        <w:t xml:space="preserve">instituted an </w:t>
      </w:r>
      <w:r w:rsidR="008D1A81" w:rsidRPr="001A3874">
        <w:rPr>
          <w:sz w:val="28"/>
          <w:szCs w:val="28"/>
        </w:rPr>
        <w:t xml:space="preserve">application seeking rescission of the </w:t>
      </w:r>
      <w:r w:rsidRPr="001A3874">
        <w:rPr>
          <w:sz w:val="28"/>
          <w:szCs w:val="28"/>
        </w:rPr>
        <w:t xml:space="preserve">default </w:t>
      </w:r>
      <w:r w:rsidR="008D1A81" w:rsidRPr="001A3874">
        <w:rPr>
          <w:sz w:val="28"/>
          <w:szCs w:val="28"/>
        </w:rPr>
        <w:t>judgment. She</w:t>
      </w:r>
      <w:r w:rsidR="005500A1" w:rsidRPr="001A3874">
        <w:rPr>
          <w:sz w:val="28"/>
          <w:szCs w:val="28"/>
        </w:rPr>
        <w:t xml:space="preserve"> accordingly</w:t>
      </w:r>
      <w:r w:rsidR="008D1A81" w:rsidRPr="001A3874">
        <w:rPr>
          <w:sz w:val="28"/>
          <w:szCs w:val="28"/>
        </w:rPr>
        <w:t xml:space="preserve"> had the necessary standing as she was</w:t>
      </w:r>
      <w:r w:rsidR="001C4A96" w:rsidRPr="001A3874">
        <w:rPr>
          <w:sz w:val="28"/>
          <w:szCs w:val="28"/>
        </w:rPr>
        <w:t xml:space="preserve"> the </w:t>
      </w:r>
      <w:r w:rsidR="008D1A81" w:rsidRPr="001A3874">
        <w:rPr>
          <w:sz w:val="28"/>
          <w:szCs w:val="28"/>
        </w:rPr>
        <w:t>party affected by the judgment sought to be rescinded.</w:t>
      </w:r>
      <w:r w:rsidRPr="001A3874">
        <w:rPr>
          <w:sz w:val="28"/>
          <w:szCs w:val="28"/>
        </w:rPr>
        <w:t xml:space="preserve"> The inquiry into </w:t>
      </w:r>
      <w:r w:rsidR="008D1A81" w:rsidRPr="001A3874">
        <w:rPr>
          <w:sz w:val="28"/>
          <w:szCs w:val="28"/>
        </w:rPr>
        <w:t>Ms Moduka</w:t>
      </w:r>
      <w:r w:rsidRPr="001A3874">
        <w:rPr>
          <w:sz w:val="28"/>
          <w:szCs w:val="28"/>
        </w:rPr>
        <w:t>’</w:t>
      </w:r>
      <w:r w:rsidR="008D1A81" w:rsidRPr="001A3874">
        <w:rPr>
          <w:sz w:val="28"/>
          <w:szCs w:val="28"/>
        </w:rPr>
        <w:t xml:space="preserve">s </w:t>
      </w:r>
      <w:r w:rsidRPr="001A3874">
        <w:rPr>
          <w:sz w:val="28"/>
          <w:szCs w:val="28"/>
        </w:rPr>
        <w:t xml:space="preserve">legal </w:t>
      </w:r>
      <w:r w:rsidR="008D1A81" w:rsidRPr="001A3874">
        <w:rPr>
          <w:sz w:val="28"/>
          <w:szCs w:val="28"/>
        </w:rPr>
        <w:t>standing</w:t>
      </w:r>
      <w:r w:rsidRPr="001A3874">
        <w:rPr>
          <w:sz w:val="28"/>
          <w:szCs w:val="28"/>
        </w:rPr>
        <w:t xml:space="preserve"> was </w:t>
      </w:r>
      <w:r w:rsidR="00327396" w:rsidRPr="001A3874">
        <w:rPr>
          <w:sz w:val="28"/>
          <w:szCs w:val="28"/>
        </w:rPr>
        <w:t>thus</w:t>
      </w:r>
      <w:r w:rsidR="003C070E" w:rsidRPr="001A3874">
        <w:rPr>
          <w:sz w:val="28"/>
          <w:szCs w:val="28"/>
        </w:rPr>
        <w:t xml:space="preserve"> </w:t>
      </w:r>
      <w:r w:rsidRPr="001A3874">
        <w:rPr>
          <w:sz w:val="28"/>
          <w:szCs w:val="28"/>
        </w:rPr>
        <w:t>irrelevant</w:t>
      </w:r>
      <w:r>
        <w:rPr>
          <w:sz w:val="28"/>
          <w:szCs w:val="28"/>
        </w:rPr>
        <w:t xml:space="preserve"> in the matter. </w:t>
      </w:r>
      <w:r w:rsidR="008D1A81">
        <w:rPr>
          <w:sz w:val="28"/>
          <w:szCs w:val="28"/>
        </w:rPr>
        <w:t xml:space="preserve"> </w:t>
      </w:r>
    </w:p>
    <w:p w:rsidR="008D1A81" w:rsidRPr="008D1A81" w:rsidRDefault="008D1A81" w:rsidP="00977760">
      <w:pPr>
        <w:pStyle w:val="ListParagraph"/>
        <w:rPr>
          <w:sz w:val="28"/>
          <w:szCs w:val="28"/>
        </w:rPr>
      </w:pPr>
    </w:p>
    <w:p w:rsidR="001C4A96" w:rsidRPr="001A3874" w:rsidRDefault="00DC4670" w:rsidP="00977760">
      <w:pPr>
        <w:pStyle w:val="ListParagraph"/>
        <w:numPr>
          <w:ilvl w:val="0"/>
          <w:numId w:val="8"/>
        </w:numPr>
        <w:ind w:left="0" w:firstLine="0"/>
        <w:rPr>
          <w:sz w:val="28"/>
          <w:szCs w:val="28"/>
        </w:rPr>
      </w:pPr>
      <w:r w:rsidRPr="001A3874">
        <w:rPr>
          <w:sz w:val="28"/>
          <w:szCs w:val="28"/>
        </w:rPr>
        <w:lastRenderedPageBreak/>
        <w:t xml:space="preserve">Turning </w:t>
      </w:r>
      <w:r w:rsidR="00A67448" w:rsidRPr="001A3874">
        <w:rPr>
          <w:sz w:val="28"/>
          <w:szCs w:val="28"/>
        </w:rPr>
        <w:t>to the</w:t>
      </w:r>
      <w:r w:rsidR="000603B9" w:rsidRPr="001A3874">
        <w:rPr>
          <w:sz w:val="28"/>
          <w:szCs w:val="28"/>
        </w:rPr>
        <w:t xml:space="preserve"> issue</w:t>
      </w:r>
      <w:r w:rsidR="005500A1" w:rsidRPr="001A3874">
        <w:rPr>
          <w:sz w:val="28"/>
          <w:szCs w:val="28"/>
        </w:rPr>
        <w:t xml:space="preserve"> of</w:t>
      </w:r>
      <w:r w:rsidR="000603B9" w:rsidRPr="001A3874">
        <w:rPr>
          <w:sz w:val="28"/>
          <w:szCs w:val="28"/>
        </w:rPr>
        <w:t xml:space="preserve"> authority to depose to an affidavit</w:t>
      </w:r>
      <w:r w:rsidR="00327396" w:rsidRPr="001A3874">
        <w:rPr>
          <w:sz w:val="28"/>
          <w:szCs w:val="28"/>
        </w:rPr>
        <w:t>,</w:t>
      </w:r>
      <w:r w:rsidR="00912D88" w:rsidRPr="001A3874">
        <w:rPr>
          <w:sz w:val="28"/>
          <w:szCs w:val="28"/>
        </w:rPr>
        <w:t xml:space="preserve"> th</w:t>
      </w:r>
      <w:r w:rsidR="001C4A96" w:rsidRPr="001A3874">
        <w:rPr>
          <w:sz w:val="28"/>
          <w:szCs w:val="28"/>
        </w:rPr>
        <w:t>e judgment</w:t>
      </w:r>
      <w:r w:rsidR="000603B9" w:rsidRPr="001A3874">
        <w:rPr>
          <w:sz w:val="28"/>
          <w:szCs w:val="28"/>
        </w:rPr>
        <w:t xml:space="preserve"> of this Court</w:t>
      </w:r>
      <w:r w:rsidR="00912D88" w:rsidRPr="001A3874">
        <w:rPr>
          <w:sz w:val="28"/>
          <w:szCs w:val="28"/>
        </w:rPr>
        <w:t xml:space="preserve"> in</w:t>
      </w:r>
      <w:r w:rsidR="005500A1" w:rsidRPr="001A3874">
        <w:rPr>
          <w:sz w:val="28"/>
          <w:szCs w:val="28"/>
        </w:rPr>
        <w:t xml:space="preserve"> </w:t>
      </w:r>
      <w:r w:rsidR="000603B9" w:rsidRPr="001A3874">
        <w:rPr>
          <w:i/>
          <w:sz w:val="28"/>
          <w:szCs w:val="28"/>
        </w:rPr>
        <w:t>Ganes and Another v Telecom Namibia Ltd</w:t>
      </w:r>
      <w:r w:rsidR="001C4A96" w:rsidRPr="009246CA">
        <w:rPr>
          <w:rStyle w:val="FootnoteReference"/>
          <w:iCs/>
          <w:sz w:val="28"/>
          <w:szCs w:val="28"/>
        </w:rPr>
        <w:footnoteReference w:id="4"/>
      </w:r>
      <w:r w:rsidR="001C4A96" w:rsidRPr="001A3874">
        <w:rPr>
          <w:i/>
          <w:sz w:val="28"/>
          <w:szCs w:val="28"/>
        </w:rPr>
        <w:t xml:space="preserve"> </w:t>
      </w:r>
      <w:r w:rsidR="001C4A96" w:rsidRPr="001A3874">
        <w:rPr>
          <w:sz w:val="28"/>
          <w:szCs w:val="28"/>
        </w:rPr>
        <w:t xml:space="preserve">provides a complete answer to this question. </w:t>
      </w:r>
      <w:r w:rsidR="0024262F" w:rsidRPr="001A3874">
        <w:rPr>
          <w:sz w:val="28"/>
          <w:szCs w:val="28"/>
        </w:rPr>
        <w:t>It held</w:t>
      </w:r>
      <w:r w:rsidR="005500A1" w:rsidRPr="001A3874">
        <w:rPr>
          <w:sz w:val="28"/>
          <w:szCs w:val="28"/>
        </w:rPr>
        <w:t xml:space="preserve"> that</w:t>
      </w:r>
      <w:r w:rsidR="0024262F" w:rsidRPr="001A3874">
        <w:rPr>
          <w:sz w:val="28"/>
          <w:szCs w:val="28"/>
        </w:rPr>
        <w:t>:</w:t>
      </w:r>
    </w:p>
    <w:p w:rsidR="0024262F" w:rsidRDefault="0024262F" w:rsidP="00977760">
      <w:pPr>
        <w:spacing w:before="180"/>
        <w:rPr>
          <w:color w:val="000000"/>
          <w:lang w:val="en-ZA" w:eastAsia="en-ZA"/>
        </w:rPr>
      </w:pPr>
      <w:r w:rsidRPr="0024262F">
        <w:rPr>
          <w:color w:val="000000"/>
          <w:lang w:val="en-ZA" w:eastAsia="en-ZA"/>
        </w:rPr>
        <w:t>‘</w:t>
      </w:r>
      <w:r w:rsidR="00B006BF">
        <w:rPr>
          <w:color w:val="000000"/>
          <w:lang w:val="en-ZA" w:eastAsia="en-ZA"/>
        </w:rPr>
        <w:t xml:space="preserve">. . . </w:t>
      </w:r>
      <w:r w:rsidRPr="0024262F">
        <w:rPr>
          <w:color w:val="000000"/>
          <w:lang w:val="en-ZA" w:eastAsia="en-ZA"/>
        </w:rPr>
        <w:t>it is irrelevant whether Hanke had been authorised to depose to the founding affidavit. The deponent to an affidavit in motion proceedings need not be authorised by the party concerned to depose to the affidavit. It is the institution of the proceedings and the prosecution</w:t>
      </w:r>
      <w:r>
        <w:rPr>
          <w:color w:val="000000"/>
          <w:lang w:val="en-ZA" w:eastAsia="en-ZA"/>
        </w:rPr>
        <w:t xml:space="preserve"> </w:t>
      </w:r>
      <w:r w:rsidRPr="0024262F">
        <w:rPr>
          <w:color w:val="000000"/>
          <w:lang w:val="en-ZA" w:eastAsia="en-ZA"/>
        </w:rPr>
        <w:t xml:space="preserve">thereof which must be authorised. In the present case the proceedings were instituted and prosecuted by a firm of attorneys purporting to act on behalf of the respondent. In an affidavit </w:t>
      </w:r>
      <w:r w:rsidRPr="0024262F">
        <w:rPr>
          <w:color w:val="000000"/>
          <w:lang w:val="en-ZA" w:eastAsia="en-ZA"/>
        </w:rPr>
        <w:lastRenderedPageBreak/>
        <w:t xml:space="preserve">filed together with the notice of </w:t>
      </w:r>
      <w:r w:rsidRPr="000750DE">
        <w:rPr>
          <w:color w:val="000000"/>
          <w:lang w:val="en-ZA" w:eastAsia="en-ZA"/>
        </w:rPr>
        <w:t>motion a Mr K</w:t>
      </w:r>
      <w:r w:rsidRPr="0024262F">
        <w:rPr>
          <w:color w:val="000000"/>
          <w:lang w:val="en-ZA" w:eastAsia="en-ZA"/>
        </w:rPr>
        <w:t>urz stated that he was a director in the firm of attorneys acting on behalf of the respondent and that such firm of attorneys was duly appointed to represent the respondent. That statement has not been challenged by the appellants. It must, therefore, be accepted that the institution of the proceedings was duly authorised. In any event, Rule 7 provides a procedure to be followed by a respondent who wishes to challenge the authority of an attorney who instituted motion proceedings on behalf of an applicant. The appellants did not avail themselves of the procedure so provided. (See </w:t>
      </w:r>
      <w:r w:rsidRPr="0024262F">
        <w:rPr>
          <w:i/>
          <w:iCs/>
          <w:color w:val="000000"/>
          <w:lang w:val="en-ZA" w:eastAsia="en-ZA"/>
        </w:rPr>
        <w:t>Eskom </w:t>
      </w:r>
      <w:bookmarkStart w:id="1" w:name="LPHit340"/>
      <w:bookmarkEnd w:id="1"/>
      <w:r w:rsidRPr="0024262F">
        <w:rPr>
          <w:i/>
          <w:iCs/>
          <w:color w:val="000000"/>
          <w:lang w:val="en-ZA" w:eastAsia="en-ZA"/>
        </w:rPr>
        <w:t>v Soweto City Council</w:t>
      </w:r>
      <w:r w:rsidR="00DC4670">
        <w:rPr>
          <w:i/>
          <w:iCs/>
          <w:color w:val="000000"/>
          <w:lang w:val="en-ZA" w:eastAsia="en-ZA"/>
        </w:rPr>
        <w:t xml:space="preserve"> </w:t>
      </w:r>
      <w:r w:rsidRPr="0024262F">
        <w:rPr>
          <w:color w:val="000000"/>
          <w:lang w:val="en-ZA" w:eastAsia="en-ZA"/>
        </w:rPr>
        <w:t>1992 (2) </w:t>
      </w:r>
      <w:bookmarkStart w:id="2" w:name="LPHit341"/>
      <w:bookmarkEnd w:id="2"/>
      <w:r w:rsidRPr="0024262F">
        <w:rPr>
          <w:color w:val="000000"/>
          <w:lang w:val="en-ZA" w:eastAsia="en-ZA"/>
        </w:rPr>
        <w:t>SA 703 (W)</w:t>
      </w:r>
      <w:bookmarkStart w:id="3" w:name="LPHit342"/>
      <w:bookmarkEnd w:id="3"/>
      <w:r w:rsidRPr="0024262F">
        <w:rPr>
          <w:color w:val="000000"/>
          <w:lang w:val="en-ZA" w:eastAsia="en-ZA"/>
        </w:rPr>
        <w:t xml:space="preserve"> at 705C - J.)’</w:t>
      </w:r>
    </w:p>
    <w:p w:rsidR="00DC4670" w:rsidRDefault="00DC4670" w:rsidP="00977760">
      <w:pPr>
        <w:spacing w:before="180"/>
        <w:rPr>
          <w:color w:val="000000"/>
          <w:lang w:val="en-ZA" w:eastAsia="en-ZA"/>
        </w:rPr>
      </w:pPr>
    </w:p>
    <w:p w:rsidR="00A67448" w:rsidRPr="00A67448" w:rsidRDefault="0024262F" w:rsidP="00977760">
      <w:pPr>
        <w:pStyle w:val="ListParagraph"/>
        <w:numPr>
          <w:ilvl w:val="0"/>
          <w:numId w:val="8"/>
        </w:numPr>
        <w:ind w:left="0" w:firstLine="0"/>
        <w:rPr>
          <w:i/>
          <w:sz w:val="28"/>
          <w:szCs w:val="28"/>
        </w:rPr>
      </w:pPr>
      <w:r w:rsidRPr="00A67448">
        <w:rPr>
          <w:sz w:val="28"/>
          <w:szCs w:val="28"/>
        </w:rPr>
        <w:t xml:space="preserve">Ms Moduka </w:t>
      </w:r>
      <w:r w:rsidR="00161815">
        <w:rPr>
          <w:sz w:val="28"/>
          <w:szCs w:val="28"/>
        </w:rPr>
        <w:t>a</w:t>
      </w:r>
      <w:r w:rsidR="00A67448" w:rsidRPr="00A67448">
        <w:rPr>
          <w:sz w:val="28"/>
          <w:szCs w:val="28"/>
        </w:rPr>
        <w:t xml:space="preserve">lleged </w:t>
      </w:r>
      <w:r w:rsidRPr="00A67448">
        <w:rPr>
          <w:sz w:val="28"/>
          <w:szCs w:val="28"/>
        </w:rPr>
        <w:t xml:space="preserve">that </w:t>
      </w:r>
      <w:r w:rsidR="00DC4670">
        <w:rPr>
          <w:sz w:val="28"/>
          <w:szCs w:val="28"/>
        </w:rPr>
        <w:t xml:space="preserve">her reason for deposing </w:t>
      </w:r>
      <w:r w:rsidR="0006316F">
        <w:rPr>
          <w:sz w:val="28"/>
          <w:szCs w:val="28"/>
        </w:rPr>
        <w:t xml:space="preserve">to the </w:t>
      </w:r>
      <w:r w:rsidR="0006316F" w:rsidRPr="001A3874">
        <w:rPr>
          <w:sz w:val="28"/>
          <w:szCs w:val="28"/>
        </w:rPr>
        <w:t>founding affidavit</w:t>
      </w:r>
      <w:r w:rsidR="00DC4670">
        <w:rPr>
          <w:sz w:val="28"/>
          <w:szCs w:val="28"/>
        </w:rPr>
        <w:t xml:space="preserve"> w</w:t>
      </w:r>
      <w:r w:rsidR="005500A1">
        <w:rPr>
          <w:sz w:val="28"/>
          <w:szCs w:val="28"/>
        </w:rPr>
        <w:t>as</w:t>
      </w:r>
      <w:r w:rsidR="00DC4670">
        <w:rPr>
          <w:sz w:val="28"/>
          <w:szCs w:val="28"/>
        </w:rPr>
        <w:t xml:space="preserve"> that </w:t>
      </w:r>
      <w:r w:rsidR="00A67448" w:rsidRPr="00A67448">
        <w:rPr>
          <w:sz w:val="28"/>
          <w:szCs w:val="28"/>
        </w:rPr>
        <w:t>the facts that g</w:t>
      </w:r>
      <w:r w:rsidR="005500A1">
        <w:rPr>
          <w:sz w:val="28"/>
          <w:szCs w:val="28"/>
        </w:rPr>
        <w:t>ave</w:t>
      </w:r>
      <w:r w:rsidR="00A67448" w:rsidRPr="00A67448">
        <w:rPr>
          <w:sz w:val="28"/>
          <w:szCs w:val="28"/>
        </w:rPr>
        <w:t xml:space="preserve"> rise to the need for </w:t>
      </w:r>
      <w:r w:rsidR="005500A1">
        <w:rPr>
          <w:sz w:val="28"/>
          <w:szCs w:val="28"/>
        </w:rPr>
        <w:t>a rescission</w:t>
      </w:r>
      <w:r w:rsidR="00A67448" w:rsidRPr="00A67448">
        <w:rPr>
          <w:sz w:val="28"/>
          <w:szCs w:val="28"/>
        </w:rPr>
        <w:t xml:space="preserve"> application l</w:t>
      </w:r>
      <w:r w:rsidR="005500A1">
        <w:rPr>
          <w:sz w:val="28"/>
          <w:szCs w:val="28"/>
        </w:rPr>
        <w:t>ay</w:t>
      </w:r>
      <w:r w:rsidR="00A67448" w:rsidRPr="00A67448">
        <w:rPr>
          <w:sz w:val="28"/>
          <w:szCs w:val="28"/>
        </w:rPr>
        <w:t xml:space="preserve"> </w:t>
      </w:r>
      <w:r w:rsidR="00A67448" w:rsidRPr="00A67448">
        <w:rPr>
          <w:sz w:val="28"/>
          <w:szCs w:val="28"/>
        </w:rPr>
        <w:lastRenderedPageBreak/>
        <w:t xml:space="preserve">squarely within </w:t>
      </w:r>
      <w:r w:rsidR="005500A1">
        <w:rPr>
          <w:sz w:val="28"/>
          <w:szCs w:val="28"/>
        </w:rPr>
        <w:t xml:space="preserve">her </w:t>
      </w:r>
      <w:r w:rsidR="00A67448" w:rsidRPr="00A67448">
        <w:rPr>
          <w:sz w:val="28"/>
          <w:szCs w:val="28"/>
        </w:rPr>
        <w:t xml:space="preserve">knowledge as the attorney who </w:t>
      </w:r>
      <w:r w:rsidR="005500A1">
        <w:rPr>
          <w:sz w:val="28"/>
          <w:szCs w:val="28"/>
        </w:rPr>
        <w:t xml:space="preserve">was </w:t>
      </w:r>
      <w:r w:rsidR="00A67448" w:rsidRPr="00A67448">
        <w:rPr>
          <w:sz w:val="28"/>
          <w:szCs w:val="28"/>
        </w:rPr>
        <w:t>dealing with the matter.</w:t>
      </w:r>
      <w:r w:rsidR="00A67448">
        <w:rPr>
          <w:sz w:val="28"/>
          <w:szCs w:val="28"/>
        </w:rPr>
        <w:t xml:space="preserve"> </w:t>
      </w:r>
      <w:r w:rsidR="005500A1">
        <w:rPr>
          <w:sz w:val="28"/>
          <w:szCs w:val="28"/>
        </w:rPr>
        <w:t xml:space="preserve">It stands </w:t>
      </w:r>
      <w:r w:rsidR="00033244">
        <w:rPr>
          <w:sz w:val="28"/>
          <w:szCs w:val="28"/>
        </w:rPr>
        <w:t xml:space="preserve">to reason </w:t>
      </w:r>
      <w:r w:rsidR="005500A1">
        <w:rPr>
          <w:sz w:val="28"/>
          <w:szCs w:val="28"/>
        </w:rPr>
        <w:t>that a</w:t>
      </w:r>
      <w:r w:rsidR="00A67448" w:rsidRPr="00A67448">
        <w:rPr>
          <w:sz w:val="28"/>
          <w:szCs w:val="28"/>
        </w:rPr>
        <w:t xml:space="preserve"> deponent to an affidavit is a witness who</w:t>
      </w:r>
      <w:r w:rsidR="00DC4670">
        <w:rPr>
          <w:sz w:val="28"/>
          <w:szCs w:val="28"/>
        </w:rPr>
        <w:t xml:space="preserve"> states </w:t>
      </w:r>
      <w:r w:rsidR="00A67448" w:rsidRPr="00A67448">
        <w:rPr>
          <w:sz w:val="28"/>
          <w:szCs w:val="28"/>
        </w:rPr>
        <w:t>under oath facts that</w:t>
      </w:r>
      <w:r w:rsidR="00A67448">
        <w:rPr>
          <w:sz w:val="28"/>
          <w:szCs w:val="28"/>
        </w:rPr>
        <w:t xml:space="preserve"> lie</w:t>
      </w:r>
      <w:r w:rsidR="00A67448" w:rsidRPr="00A67448">
        <w:rPr>
          <w:sz w:val="28"/>
          <w:szCs w:val="28"/>
        </w:rPr>
        <w:t xml:space="preserve"> within her </w:t>
      </w:r>
      <w:r w:rsidR="005500A1">
        <w:rPr>
          <w:sz w:val="28"/>
          <w:szCs w:val="28"/>
        </w:rPr>
        <w:t xml:space="preserve">personal </w:t>
      </w:r>
      <w:r w:rsidR="00A67448" w:rsidRPr="00A67448">
        <w:rPr>
          <w:sz w:val="28"/>
          <w:szCs w:val="28"/>
        </w:rPr>
        <w:t>knowledge</w:t>
      </w:r>
      <w:r w:rsidR="005500A1">
        <w:rPr>
          <w:sz w:val="28"/>
          <w:szCs w:val="28"/>
        </w:rPr>
        <w:t>. She</w:t>
      </w:r>
      <w:r w:rsidR="00A67448" w:rsidRPr="00A67448">
        <w:rPr>
          <w:sz w:val="28"/>
          <w:szCs w:val="28"/>
        </w:rPr>
        <w:t xml:space="preserve"> swear</w:t>
      </w:r>
      <w:r w:rsidR="00A67448">
        <w:rPr>
          <w:sz w:val="28"/>
          <w:szCs w:val="28"/>
        </w:rPr>
        <w:t>s or affirms</w:t>
      </w:r>
      <w:r w:rsidR="00A67448" w:rsidRPr="00A67448">
        <w:rPr>
          <w:sz w:val="28"/>
          <w:szCs w:val="28"/>
        </w:rPr>
        <w:t xml:space="preserve"> to the truthfulness of such statements</w:t>
      </w:r>
      <w:r w:rsidR="00DC4670">
        <w:rPr>
          <w:sz w:val="28"/>
          <w:szCs w:val="28"/>
        </w:rPr>
        <w:t>. She is no different from a witness who testifies orally</w:t>
      </w:r>
      <w:r w:rsidR="00033244">
        <w:rPr>
          <w:sz w:val="28"/>
          <w:szCs w:val="28"/>
        </w:rPr>
        <w:t>,</w:t>
      </w:r>
      <w:r w:rsidR="005500A1">
        <w:rPr>
          <w:sz w:val="28"/>
          <w:szCs w:val="28"/>
        </w:rPr>
        <w:t xml:space="preserve"> on oath or affirmation</w:t>
      </w:r>
      <w:r w:rsidR="00033244">
        <w:rPr>
          <w:sz w:val="28"/>
          <w:szCs w:val="28"/>
        </w:rPr>
        <w:t>,</w:t>
      </w:r>
      <w:r w:rsidR="005500A1">
        <w:rPr>
          <w:sz w:val="28"/>
          <w:szCs w:val="28"/>
        </w:rPr>
        <w:t xml:space="preserve"> </w:t>
      </w:r>
      <w:r w:rsidR="00033244">
        <w:rPr>
          <w:sz w:val="28"/>
          <w:szCs w:val="28"/>
        </w:rPr>
        <w:t xml:space="preserve">regarding </w:t>
      </w:r>
      <w:r w:rsidR="00DC4670">
        <w:rPr>
          <w:sz w:val="28"/>
          <w:szCs w:val="28"/>
        </w:rPr>
        <w:t>events within her knowledge</w:t>
      </w:r>
      <w:r w:rsidR="00A67448" w:rsidRPr="00A67448">
        <w:rPr>
          <w:sz w:val="28"/>
          <w:szCs w:val="28"/>
        </w:rPr>
        <w:t xml:space="preserve">. </w:t>
      </w:r>
      <w:r w:rsidR="00033244">
        <w:rPr>
          <w:sz w:val="28"/>
          <w:szCs w:val="28"/>
        </w:rPr>
        <w:t>Thus</w:t>
      </w:r>
      <w:r w:rsidR="00D246D4">
        <w:rPr>
          <w:sz w:val="28"/>
          <w:szCs w:val="28"/>
        </w:rPr>
        <w:t>,</w:t>
      </w:r>
      <w:r w:rsidR="005500A1">
        <w:rPr>
          <w:sz w:val="28"/>
          <w:szCs w:val="28"/>
        </w:rPr>
        <w:t xml:space="preserve"> when </w:t>
      </w:r>
      <w:r w:rsidR="00A67448">
        <w:rPr>
          <w:sz w:val="28"/>
          <w:szCs w:val="28"/>
        </w:rPr>
        <w:t xml:space="preserve">Ms Moduka </w:t>
      </w:r>
      <w:r w:rsidR="005500A1">
        <w:rPr>
          <w:sz w:val="28"/>
          <w:szCs w:val="28"/>
        </w:rPr>
        <w:t>deposed to the founding affidavit</w:t>
      </w:r>
      <w:r w:rsidR="00974F20">
        <w:rPr>
          <w:sz w:val="28"/>
          <w:szCs w:val="28"/>
        </w:rPr>
        <w:t>,</w:t>
      </w:r>
      <w:r w:rsidR="005500A1">
        <w:rPr>
          <w:sz w:val="28"/>
          <w:szCs w:val="28"/>
        </w:rPr>
        <w:t xml:space="preserve"> she </w:t>
      </w:r>
      <w:r w:rsidR="00A67448" w:rsidRPr="00A67448">
        <w:rPr>
          <w:sz w:val="28"/>
          <w:szCs w:val="28"/>
        </w:rPr>
        <w:t>need</w:t>
      </w:r>
      <w:r w:rsidR="005500A1">
        <w:rPr>
          <w:sz w:val="28"/>
          <w:szCs w:val="28"/>
        </w:rPr>
        <w:t>ed no</w:t>
      </w:r>
      <w:r w:rsidR="00A67448" w:rsidRPr="00A67448">
        <w:rPr>
          <w:sz w:val="28"/>
          <w:szCs w:val="28"/>
        </w:rPr>
        <w:t xml:space="preserve"> authoris</w:t>
      </w:r>
      <w:r w:rsidR="005500A1">
        <w:rPr>
          <w:sz w:val="28"/>
          <w:szCs w:val="28"/>
        </w:rPr>
        <w:t>ation from</w:t>
      </w:r>
      <w:r w:rsidR="00DC4670">
        <w:rPr>
          <w:sz w:val="28"/>
          <w:szCs w:val="28"/>
        </w:rPr>
        <w:t xml:space="preserve"> her client</w:t>
      </w:r>
      <w:r w:rsidR="00A67448" w:rsidRPr="00A67448">
        <w:rPr>
          <w:sz w:val="28"/>
          <w:szCs w:val="28"/>
        </w:rPr>
        <w:t xml:space="preserve">. </w:t>
      </w:r>
    </w:p>
    <w:p w:rsidR="00A67448" w:rsidRPr="00A67448" w:rsidRDefault="00A67448" w:rsidP="00977760">
      <w:pPr>
        <w:rPr>
          <w:i/>
          <w:sz w:val="28"/>
          <w:szCs w:val="28"/>
        </w:rPr>
      </w:pPr>
    </w:p>
    <w:p w:rsidR="00A67448" w:rsidRDefault="00007821" w:rsidP="00977760">
      <w:pPr>
        <w:pStyle w:val="ListParagraph"/>
        <w:numPr>
          <w:ilvl w:val="0"/>
          <w:numId w:val="8"/>
        </w:numPr>
        <w:ind w:left="0" w:firstLine="0"/>
        <w:rPr>
          <w:sz w:val="28"/>
          <w:szCs w:val="28"/>
        </w:rPr>
      </w:pPr>
      <w:r w:rsidRPr="001A3874">
        <w:rPr>
          <w:sz w:val="28"/>
          <w:szCs w:val="28"/>
        </w:rPr>
        <w:lastRenderedPageBreak/>
        <w:t xml:space="preserve">As to the last issue, </w:t>
      </w:r>
      <w:r w:rsidR="00E85A89" w:rsidRPr="001A3874">
        <w:rPr>
          <w:sz w:val="28"/>
          <w:szCs w:val="28"/>
        </w:rPr>
        <w:t xml:space="preserve">the appellant clearly indicated </w:t>
      </w:r>
      <w:r w:rsidR="00E23DE4" w:rsidRPr="001A3874">
        <w:rPr>
          <w:sz w:val="28"/>
          <w:szCs w:val="28"/>
        </w:rPr>
        <w:t>that she had given</w:t>
      </w:r>
      <w:r w:rsidR="00E85A89" w:rsidRPr="001A3874">
        <w:rPr>
          <w:sz w:val="28"/>
          <w:szCs w:val="28"/>
        </w:rPr>
        <w:t xml:space="preserve"> Ms Moduka instructions to act on her behalf</w:t>
      </w:r>
      <w:r w:rsidR="007E09A0" w:rsidRPr="001A3874">
        <w:rPr>
          <w:sz w:val="28"/>
          <w:szCs w:val="28"/>
        </w:rPr>
        <w:t xml:space="preserve"> in all proceedings</w:t>
      </w:r>
      <w:r w:rsidR="00E85A89" w:rsidRPr="001A3874">
        <w:rPr>
          <w:sz w:val="28"/>
          <w:szCs w:val="28"/>
        </w:rPr>
        <w:t xml:space="preserve">. </w:t>
      </w:r>
      <w:r w:rsidR="00A67448" w:rsidRPr="001A3874">
        <w:rPr>
          <w:sz w:val="28"/>
          <w:szCs w:val="28"/>
        </w:rPr>
        <w:t xml:space="preserve">Ms Moduka stated </w:t>
      </w:r>
      <w:r w:rsidR="009A75CF" w:rsidRPr="001A3874">
        <w:rPr>
          <w:sz w:val="28"/>
          <w:szCs w:val="28"/>
        </w:rPr>
        <w:t>t</w:t>
      </w:r>
      <w:r w:rsidR="00A67448" w:rsidRPr="001A3874">
        <w:rPr>
          <w:sz w:val="28"/>
          <w:szCs w:val="28"/>
        </w:rPr>
        <w:t>hat she was the attorney who ha</w:t>
      </w:r>
      <w:r w:rsidR="00033244" w:rsidRPr="001A3874">
        <w:rPr>
          <w:sz w:val="28"/>
          <w:szCs w:val="28"/>
        </w:rPr>
        <w:t>d</w:t>
      </w:r>
      <w:r w:rsidR="00A67448" w:rsidRPr="001A3874">
        <w:rPr>
          <w:sz w:val="28"/>
          <w:szCs w:val="28"/>
        </w:rPr>
        <w:t xml:space="preserve"> been instructed by the </w:t>
      </w:r>
      <w:r w:rsidR="00033244" w:rsidRPr="001A3874">
        <w:rPr>
          <w:sz w:val="28"/>
          <w:szCs w:val="28"/>
        </w:rPr>
        <w:t>a</w:t>
      </w:r>
      <w:r w:rsidR="00A67448" w:rsidRPr="001A3874">
        <w:rPr>
          <w:sz w:val="28"/>
          <w:szCs w:val="28"/>
        </w:rPr>
        <w:t>pp</w:t>
      </w:r>
      <w:r w:rsidR="00E85A89" w:rsidRPr="001A3874">
        <w:rPr>
          <w:sz w:val="28"/>
          <w:szCs w:val="28"/>
        </w:rPr>
        <w:t>ellant</w:t>
      </w:r>
      <w:r w:rsidR="00A67448" w:rsidRPr="001A3874">
        <w:rPr>
          <w:sz w:val="28"/>
          <w:szCs w:val="28"/>
        </w:rPr>
        <w:t xml:space="preserve"> to oppose the </w:t>
      </w:r>
      <w:r w:rsidR="00161815" w:rsidRPr="001A3874">
        <w:rPr>
          <w:sz w:val="28"/>
          <w:szCs w:val="28"/>
        </w:rPr>
        <w:t xml:space="preserve">main </w:t>
      </w:r>
      <w:r w:rsidR="00A67448" w:rsidRPr="001A3874">
        <w:rPr>
          <w:sz w:val="28"/>
          <w:szCs w:val="28"/>
        </w:rPr>
        <w:t>applicatio</w:t>
      </w:r>
      <w:r w:rsidR="0006316F" w:rsidRPr="001A3874">
        <w:rPr>
          <w:sz w:val="28"/>
          <w:szCs w:val="28"/>
        </w:rPr>
        <w:t>n</w:t>
      </w:r>
      <w:r w:rsidR="00A67448" w:rsidRPr="001A3874">
        <w:rPr>
          <w:sz w:val="28"/>
          <w:szCs w:val="28"/>
        </w:rPr>
        <w:t xml:space="preserve"> and </w:t>
      </w:r>
      <w:r w:rsidR="005500A1" w:rsidRPr="001A3874">
        <w:rPr>
          <w:sz w:val="28"/>
          <w:szCs w:val="28"/>
        </w:rPr>
        <w:t xml:space="preserve">had </w:t>
      </w:r>
      <w:r w:rsidR="00E85A89" w:rsidRPr="001A3874">
        <w:rPr>
          <w:sz w:val="28"/>
          <w:szCs w:val="28"/>
        </w:rPr>
        <w:t xml:space="preserve">accordingly </w:t>
      </w:r>
      <w:r w:rsidR="00A67448" w:rsidRPr="001A3874">
        <w:rPr>
          <w:sz w:val="28"/>
          <w:szCs w:val="28"/>
        </w:rPr>
        <w:t xml:space="preserve">been involved </w:t>
      </w:r>
      <w:r w:rsidR="00161815" w:rsidRPr="001A3874">
        <w:rPr>
          <w:sz w:val="28"/>
          <w:szCs w:val="28"/>
        </w:rPr>
        <w:t xml:space="preserve">in the matter </w:t>
      </w:r>
      <w:r w:rsidR="00A67448" w:rsidRPr="001A3874">
        <w:rPr>
          <w:sz w:val="28"/>
          <w:szCs w:val="28"/>
        </w:rPr>
        <w:t xml:space="preserve">from </w:t>
      </w:r>
      <w:r w:rsidR="0006316F" w:rsidRPr="001A3874">
        <w:rPr>
          <w:sz w:val="28"/>
          <w:szCs w:val="28"/>
        </w:rPr>
        <w:t xml:space="preserve">its </w:t>
      </w:r>
      <w:r w:rsidR="00A67448" w:rsidRPr="001A3874">
        <w:rPr>
          <w:sz w:val="28"/>
          <w:szCs w:val="28"/>
        </w:rPr>
        <w:t>inception</w:t>
      </w:r>
      <w:r w:rsidR="0006316F" w:rsidRPr="001A3874">
        <w:rPr>
          <w:sz w:val="28"/>
          <w:szCs w:val="28"/>
        </w:rPr>
        <w:t>.</w:t>
      </w:r>
      <w:r w:rsidR="00A67448" w:rsidRPr="00DC4670">
        <w:rPr>
          <w:sz w:val="28"/>
          <w:szCs w:val="28"/>
        </w:rPr>
        <w:t xml:space="preserve"> </w:t>
      </w:r>
      <w:r w:rsidR="00033244">
        <w:rPr>
          <w:sz w:val="28"/>
          <w:szCs w:val="28"/>
        </w:rPr>
        <w:t>She went f</w:t>
      </w:r>
      <w:r w:rsidR="00A67448" w:rsidRPr="00DC4670">
        <w:rPr>
          <w:sz w:val="28"/>
          <w:szCs w:val="28"/>
        </w:rPr>
        <w:t>urther</w:t>
      </w:r>
      <w:r w:rsidR="009A75CF">
        <w:rPr>
          <w:sz w:val="28"/>
          <w:szCs w:val="28"/>
        </w:rPr>
        <w:t xml:space="preserve"> in the replying affidavit</w:t>
      </w:r>
      <w:r w:rsidR="00A67448" w:rsidRPr="00DC4670">
        <w:rPr>
          <w:sz w:val="28"/>
          <w:szCs w:val="28"/>
        </w:rPr>
        <w:t xml:space="preserve">, </w:t>
      </w:r>
      <w:r w:rsidR="00E23DE4" w:rsidRPr="001A3874">
        <w:rPr>
          <w:sz w:val="28"/>
          <w:szCs w:val="28"/>
        </w:rPr>
        <w:t xml:space="preserve">and said </w:t>
      </w:r>
      <w:r w:rsidR="00A67448" w:rsidRPr="001A3874">
        <w:rPr>
          <w:sz w:val="28"/>
          <w:szCs w:val="28"/>
        </w:rPr>
        <w:t>that</w:t>
      </w:r>
      <w:r w:rsidR="00A67448" w:rsidRPr="00DC4670">
        <w:rPr>
          <w:sz w:val="28"/>
          <w:szCs w:val="28"/>
        </w:rPr>
        <w:t xml:space="preserve"> her mandate had never been questioned by the first respondent and that her instructions came from ‘a person who had been affected by the order that was granted and </w:t>
      </w:r>
      <w:r w:rsidR="00DC4670" w:rsidRPr="00DC4670">
        <w:rPr>
          <w:sz w:val="28"/>
          <w:szCs w:val="28"/>
        </w:rPr>
        <w:t>[she]</w:t>
      </w:r>
      <w:r w:rsidR="00A67448" w:rsidRPr="00DC4670">
        <w:rPr>
          <w:sz w:val="28"/>
          <w:szCs w:val="28"/>
        </w:rPr>
        <w:t xml:space="preserve"> </w:t>
      </w:r>
      <w:r w:rsidR="00DC4670" w:rsidRPr="00DC4670">
        <w:rPr>
          <w:sz w:val="28"/>
          <w:szCs w:val="28"/>
        </w:rPr>
        <w:t xml:space="preserve">was </w:t>
      </w:r>
      <w:r w:rsidR="00A67448" w:rsidRPr="00DC4670">
        <w:rPr>
          <w:sz w:val="28"/>
          <w:szCs w:val="28"/>
        </w:rPr>
        <w:t xml:space="preserve">not acting on the frolic of </w:t>
      </w:r>
      <w:r w:rsidR="00DC4670" w:rsidRPr="00DC4670">
        <w:rPr>
          <w:sz w:val="28"/>
          <w:szCs w:val="28"/>
        </w:rPr>
        <w:t xml:space="preserve">[her] </w:t>
      </w:r>
      <w:r w:rsidR="00A67448" w:rsidRPr="00DC4670">
        <w:rPr>
          <w:sz w:val="28"/>
          <w:szCs w:val="28"/>
        </w:rPr>
        <w:t>own</w:t>
      </w:r>
      <w:r w:rsidR="00226846">
        <w:rPr>
          <w:sz w:val="28"/>
          <w:szCs w:val="28"/>
        </w:rPr>
        <w:t xml:space="preserve"> . . .</w:t>
      </w:r>
      <w:r w:rsidR="00A67448" w:rsidRPr="00DC4670">
        <w:rPr>
          <w:sz w:val="28"/>
          <w:szCs w:val="28"/>
        </w:rPr>
        <w:t>’</w:t>
      </w:r>
      <w:r w:rsidR="00DC4670" w:rsidRPr="00DC4670">
        <w:rPr>
          <w:sz w:val="28"/>
          <w:szCs w:val="28"/>
        </w:rPr>
        <w:t>.</w:t>
      </w:r>
      <w:r w:rsidR="00757AAC">
        <w:rPr>
          <w:sz w:val="28"/>
          <w:szCs w:val="28"/>
        </w:rPr>
        <w:t xml:space="preserve"> </w:t>
      </w:r>
      <w:r w:rsidR="005B650F">
        <w:rPr>
          <w:sz w:val="28"/>
          <w:szCs w:val="28"/>
        </w:rPr>
        <w:t xml:space="preserve">As </w:t>
      </w:r>
      <w:r w:rsidR="00757AAC">
        <w:rPr>
          <w:sz w:val="28"/>
          <w:szCs w:val="28"/>
        </w:rPr>
        <w:t>a</w:t>
      </w:r>
      <w:r w:rsidR="005B650F">
        <w:rPr>
          <w:sz w:val="28"/>
          <w:szCs w:val="28"/>
        </w:rPr>
        <w:t>lready stated</w:t>
      </w:r>
      <w:r w:rsidR="001A3874">
        <w:rPr>
          <w:sz w:val="28"/>
          <w:szCs w:val="28"/>
        </w:rPr>
        <w:t>,</w:t>
      </w:r>
      <w:r w:rsidR="005B650F">
        <w:rPr>
          <w:sz w:val="28"/>
          <w:szCs w:val="28"/>
        </w:rPr>
        <w:t xml:space="preserve"> </w:t>
      </w:r>
      <w:r w:rsidR="00757AAC" w:rsidRPr="001A3874">
        <w:rPr>
          <w:sz w:val="28"/>
          <w:szCs w:val="28"/>
        </w:rPr>
        <w:t>s</w:t>
      </w:r>
      <w:r w:rsidR="00A67448" w:rsidRPr="001A3874">
        <w:rPr>
          <w:sz w:val="28"/>
          <w:szCs w:val="28"/>
        </w:rPr>
        <w:t>he</w:t>
      </w:r>
      <w:r w:rsidR="00757AAC" w:rsidRPr="001A3874">
        <w:rPr>
          <w:sz w:val="28"/>
          <w:szCs w:val="28"/>
        </w:rPr>
        <w:t xml:space="preserve"> had</w:t>
      </w:r>
      <w:r w:rsidR="00A67448" w:rsidRPr="001A3874">
        <w:rPr>
          <w:sz w:val="28"/>
          <w:szCs w:val="28"/>
        </w:rPr>
        <w:t xml:space="preserve"> attached a confirmatory affidavit of the appellant</w:t>
      </w:r>
      <w:r w:rsidR="00DD6B59" w:rsidRPr="001A3874">
        <w:rPr>
          <w:sz w:val="28"/>
          <w:szCs w:val="28"/>
        </w:rPr>
        <w:t>,</w:t>
      </w:r>
      <w:r w:rsidR="00A67448" w:rsidRPr="001A3874">
        <w:rPr>
          <w:sz w:val="28"/>
          <w:szCs w:val="28"/>
        </w:rPr>
        <w:t xml:space="preserve"> who confirmed that she</w:t>
      </w:r>
      <w:r w:rsidR="00DC4670" w:rsidRPr="001A3874">
        <w:rPr>
          <w:sz w:val="28"/>
          <w:szCs w:val="28"/>
        </w:rPr>
        <w:t xml:space="preserve"> had</w:t>
      </w:r>
      <w:r w:rsidR="00A67448" w:rsidRPr="001A3874">
        <w:rPr>
          <w:sz w:val="28"/>
          <w:szCs w:val="28"/>
        </w:rPr>
        <w:t xml:space="preserve"> </w:t>
      </w:r>
      <w:r w:rsidR="00357D66" w:rsidRPr="001A3874">
        <w:rPr>
          <w:sz w:val="28"/>
          <w:szCs w:val="28"/>
        </w:rPr>
        <w:t>instructed</w:t>
      </w:r>
      <w:r w:rsidR="00A67448" w:rsidRPr="001A3874">
        <w:rPr>
          <w:sz w:val="28"/>
          <w:szCs w:val="28"/>
        </w:rPr>
        <w:t xml:space="preserve"> </w:t>
      </w:r>
      <w:r w:rsidR="00A67448" w:rsidRPr="001A3874">
        <w:rPr>
          <w:sz w:val="28"/>
          <w:szCs w:val="28"/>
        </w:rPr>
        <w:lastRenderedPageBreak/>
        <w:t>Ms</w:t>
      </w:r>
      <w:r w:rsidR="00CC1C2A">
        <w:rPr>
          <w:sz w:val="28"/>
          <w:szCs w:val="28"/>
        </w:rPr>
        <w:t> </w:t>
      </w:r>
      <w:r w:rsidR="00A67448" w:rsidRPr="001A3874">
        <w:rPr>
          <w:sz w:val="28"/>
          <w:szCs w:val="28"/>
        </w:rPr>
        <w:t>Moduka to institute the rescission application.</w:t>
      </w:r>
      <w:r w:rsidR="00A67448" w:rsidRPr="00007821">
        <w:rPr>
          <w:sz w:val="28"/>
          <w:szCs w:val="28"/>
        </w:rPr>
        <w:t xml:space="preserve"> These</w:t>
      </w:r>
      <w:r w:rsidR="00A67448" w:rsidRPr="007E09A0">
        <w:rPr>
          <w:sz w:val="28"/>
          <w:szCs w:val="28"/>
        </w:rPr>
        <w:t xml:space="preserve"> allegations were not challenged.</w:t>
      </w:r>
      <w:r w:rsidR="00A67448" w:rsidRPr="00DC4670">
        <w:rPr>
          <w:sz w:val="28"/>
          <w:szCs w:val="28"/>
        </w:rPr>
        <w:t xml:space="preserve"> </w:t>
      </w:r>
    </w:p>
    <w:p w:rsidR="00DC4670" w:rsidRPr="00DC4670" w:rsidRDefault="00DC4670" w:rsidP="00977760">
      <w:pPr>
        <w:pStyle w:val="ListParagraph"/>
        <w:rPr>
          <w:sz w:val="28"/>
          <w:szCs w:val="28"/>
        </w:rPr>
      </w:pPr>
    </w:p>
    <w:p w:rsidR="00BF05D2" w:rsidRDefault="008E2B53" w:rsidP="00977760">
      <w:pPr>
        <w:pStyle w:val="ListParagraph"/>
        <w:numPr>
          <w:ilvl w:val="0"/>
          <w:numId w:val="8"/>
        </w:numPr>
        <w:ind w:left="0" w:firstLine="0"/>
        <w:rPr>
          <w:sz w:val="28"/>
          <w:szCs w:val="28"/>
        </w:rPr>
      </w:pPr>
      <w:r>
        <w:rPr>
          <w:sz w:val="28"/>
          <w:szCs w:val="28"/>
        </w:rPr>
        <w:t xml:space="preserve">In any event, in terms of </w:t>
      </w:r>
      <w:r w:rsidRPr="001A3874">
        <w:rPr>
          <w:sz w:val="28"/>
          <w:szCs w:val="28"/>
        </w:rPr>
        <w:t>r</w:t>
      </w:r>
      <w:r w:rsidR="00A67448" w:rsidRPr="00DC4670">
        <w:rPr>
          <w:sz w:val="28"/>
          <w:szCs w:val="28"/>
        </w:rPr>
        <w:t>ule 52(2)</w:t>
      </w:r>
      <w:r w:rsidR="00A67448" w:rsidRPr="00226846">
        <w:rPr>
          <w:i/>
          <w:iCs/>
          <w:sz w:val="28"/>
          <w:szCs w:val="28"/>
        </w:rPr>
        <w:t>(a)</w:t>
      </w:r>
      <w:r w:rsidR="00A67448" w:rsidRPr="003410DF">
        <w:rPr>
          <w:rStyle w:val="FootnoteReference"/>
          <w:sz w:val="28"/>
          <w:szCs w:val="28"/>
        </w:rPr>
        <w:footnoteReference w:id="5"/>
      </w:r>
      <w:r w:rsidR="00A67448" w:rsidRPr="003410DF">
        <w:rPr>
          <w:sz w:val="28"/>
          <w:szCs w:val="28"/>
        </w:rPr>
        <w:t xml:space="preserve"> </w:t>
      </w:r>
      <w:r w:rsidR="00A67448" w:rsidRPr="00DC4670">
        <w:rPr>
          <w:sz w:val="28"/>
          <w:szCs w:val="28"/>
        </w:rPr>
        <w:t>of the Magistrates</w:t>
      </w:r>
      <w:r w:rsidR="00226846">
        <w:rPr>
          <w:sz w:val="28"/>
          <w:szCs w:val="28"/>
        </w:rPr>
        <w:t>’</w:t>
      </w:r>
      <w:r w:rsidR="00A67448" w:rsidRPr="00DC4670">
        <w:rPr>
          <w:sz w:val="28"/>
          <w:szCs w:val="28"/>
        </w:rPr>
        <w:t xml:space="preserve"> Court Rules</w:t>
      </w:r>
      <w:r w:rsidR="00A54C8D">
        <w:rPr>
          <w:sz w:val="28"/>
          <w:szCs w:val="28"/>
        </w:rPr>
        <w:t>,</w:t>
      </w:r>
      <w:r w:rsidR="00A67448" w:rsidRPr="00DC4670">
        <w:rPr>
          <w:sz w:val="28"/>
          <w:szCs w:val="28"/>
        </w:rPr>
        <w:t xml:space="preserve"> an attorney does not need to allege that they are authorised</w:t>
      </w:r>
      <w:r w:rsidR="00C00EEC">
        <w:rPr>
          <w:sz w:val="28"/>
          <w:szCs w:val="28"/>
        </w:rPr>
        <w:t xml:space="preserve"> </w:t>
      </w:r>
      <w:r w:rsidR="00C00EEC" w:rsidRPr="001A3874">
        <w:rPr>
          <w:sz w:val="28"/>
          <w:szCs w:val="28"/>
        </w:rPr>
        <w:t>to act for a party</w:t>
      </w:r>
      <w:r w:rsidR="00A67448" w:rsidRPr="001A3874">
        <w:rPr>
          <w:sz w:val="28"/>
          <w:szCs w:val="28"/>
        </w:rPr>
        <w:t>.</w:t>
      </w:r>
      <w:r w:rsidR="00A67448" w:rsidRPr="00DC4670">
        <w:rPr>
          <w:sz w:val="28"/>
          <w:szCs w:val="28"/>
        </w:rPr>
        <w:t xml:space="preserve"> A </w:t>
      </w:r>
      <w:r w:rsidR="00A67448" w:rsidRPr="00DC4670">
        <w:rPr>
          <w:sz w:val="28"/>
          <w:szCs w:val="28"/>
        </w:rPr>
        <w:lastRenderedPageBreak/>
        <w:t>party wishing to challenge an attorney’s authority</w:t>
      </w:r>
      <w:r w:rsidR="00007821">
        <w:rPr>
          <w:sz w:val="28"/>
          <w:szCs w:val="28"/>
        </w:rPr>
        <w:t xml:space="preserve"> </w:t>
      </w:r>
      <w:r w:rsidR="00007821" w:rsidRPr="001A3874">
        <w:rPr>
          <w:sz w:val="28"/>
          <w:szCs w:val="28"/>
        </w:rPr>
        <w:t>to represent a party</w:t>
      </w:r>
      <w:r w:rsidR="00A67448" w:rsidRPr="00DC4670">
        <w:rPr>
          <w:sz w:val="28"/>
          <w:szCs w:val="28"/>
        </w:rPr>
        <w:t xml:space="preserve"> may do so in terms of </w:t>
      </w:r>
      <w:r>
        <w:rPr>
          <w:sz w:val="28"/>
          <w:szCs w:val="28"/>
        </w:rPr>
        <w:t>the procedure outlined in that r</w:t>
      </w:r>
      <w:r w:rsidR="00A67448" w:rsidRPr="00DC4670">
        <w:rPr>
          <w:sz w:val="28"/>
          <w:szCs w:val="28"/>
        </w:rPr>
        <w:t xml:space="preserve">ule. </w:t>
      </w:r>
      <w:r w:rsidR="00A54C8D">
        <w:rPr>
          <w:sz w:val="28"/>
          <w:szCs w:val="28"/>
        </w:rPr>
        <w:t>The first respondent brought no such challenge</w:t>
      </w:r>
      <w:r w:rsidR="00A67448" w:rsidRPr="00DC4670">
        <w:rPr>
          <w:sz w:val="28"/>
          <w:szCs w:val="28"/>
        </w:rPr>
        <w:t xml:space="preserve">. </w:t>
      </w:r>
      <w:r w:rsidR="00426766">
        <w:rPr>
          <w:sz w:val="28"/>
          <w:szCs w:val="28"/>
        </w:rPr>
        <w:t>Accordingly, there was</w:t>
      </w:r>
      <w:r w:rsidR="00DC4670" w:rsidRPr="00DC4670">
        <w:rPr>
          <w:sz w:val="28"/>
          <w:szCs w:val="28"/>
        </w:rPr>
        <w:t xml:space="preserve"> no reason for the </w:t>
      </w:r>
      <w:r w:rsidR="00567390">
        <w:rPr>
          <w:sz w:val="28"/>
          <w:szCs w:val="28"/>
        </w:rPr>
        <w:t xml:space="preserve">regional court and the high </w:t>
      </w:r>
      <w:r w:rsidR="00DC4670" w:rsidRPr="00DC4670">
        <w:rPr>
          <w:sz w:val="28"/>
          <w:szCs w:val="28"/>
        </w:rPr>
        <w:t xml:space="preserve">court </w:t>
      </w:r>
      <w:r w:rsidR="00DC4670">
        <w:rPr>
          <w:sz w:val="28"/>
          <w:szCs w:val="28"/>
        </w:rPr>
        <w:t xml:space="preserve">to find that </w:t>
      </w:r>
      <w:r w:rsidR="00DC4670" w:rsidRPr="00DC4670">
        <w:rPr>
          <w:sz w:val="28"/>
          <w:szCs w:val="28"/>
        </w:rPr>
        <w:t>Ms Moduka</w:t>
      </w:r>
      <w:r w:rsidR="00567390">
        <w:rPr>
          <w:sz w:val="28"/>
          <w:szCs w:val="28"/>
        </w:rPr>
        <w:t xml:space="preserve"> lacked authority</w:t>
      </w:r>
      <w:r w:rsidR="00DC4670" w:rsidRPr="00DC4670">
        <w:rPr>
          <w:sz w:val="28"/>
          <w:szCs w:val="28"/>
        </w:rPr>
        <w:t>.</w:t>
      </w:r>
      <w:r w:rsidR="006330C3" w:rsidRPr="001A3874">
        <w:rPr>
          <w:sz w:val="28"/>
          <w:szCs w:val="28"/>
        </w:rPr>
        <w:t xml:space="preserve"> </w:t>
      </w:r>
      <w:r w:rsidR="00567390" w:rsidRPr="001A3874">
        <w:rPr>
          <w:sz w:val="28"/>
          <w:szCs w:val="28"/>
        </w:rPr>
        <w:t>F</w:t>
      </w:r>
      <w:r w:rsidR="006330C3" w:rsidRPr="001A3874">
        <w:rPr>
          <w:sz w:val="28"/>
          <w:szCs w:val="28"/>
        </w:rPr>
        <w:t>or</w:t>
      </w:r>
      <w:r w:rsidR="006330C3">
        <w:rPr>
          <w:sz w:val="28"/>
          <w:szCs w:val="28"/>
        </w:rPr>
        <w:t xml:space="preserve"> those</w:t>
      </w:r>
      <w:r w:rsidR="00567390">
        <w:rPr>
          <w:sz w:val="28"/>
          <w:szCs w:val="28"/>
        </w:rPr>
        <w:t xml:space="preserve"> reasons</w:t>
      </w:r>
      <w:r w:rsidR="00C02F1A">
        <w:rPr>
          <w:sz w:val="28"/>
          <w:szCs w:val="28"/>
        </w:rPr>
        <w:t>,</w:t>
      </w:r>
      <w:r w:rsidR="00567390">
        <w:rPr>
          <w:sz w:val="28"/>
          <w:szCs w:val="28"/>
        </w:rPr>
        <w:t xml:space="preserve"> the decision of the high court </w:t>
      </w:r>
      <w:r w:rsidR="005C29FE">
        <w:rPr>
          <w:sz w:val="28"/>
          <w:szCs w:val="28"/>
        </w:rPr>
        <w:t>falls to</w:t>
      </w:r>
      <w:r w:rsidR="00567390">
        <w:rPr>
          <w:sz w:val="28"/>
          <w:szCs w:val="28"/>
        </w:rPr>
        <w:t xml:space="preserve"> be set aside.</w:t>
      </w:r>
    </w:p>
    <w:p w:rsidR="00C2566C" w:rsidRPr="00C2566C" w:rsidRDefault="00C2566C" w:rsidP="00977760">
      <w:pPr>
        <w:pStyle w:val="ListParagraph"/>
        <w:rPr>
          <w:sz w:val="28"/>
          <w:szCs w:val="28"/>
        </w:rPr>
      </w:pPr>
    </w:p>
    <w:p w:rsidR="00B66251" w:rsidRPr="00DC4670" w:rsidRDefault="00033244" w:rsidP="00977760">
      <w:pPr>
        <w:pStyle w:val="ListParagraph"/>
        <w:numPr>
          <w:ilvl w:val="0"/>
          <w:numId w:val="8"/>
        </w:numPr>
        <w:ind w:left="0" w:firstLine="0"/>
        <w:rPr>
          <w:sz w:val="28"/>
          <w:szCs w:val="28"/>
        </w:rPr>
      </w:pPr>
      <w:r>
        <w:rPr>
          <w:sz w:val="28"/>
          <w:szCs w:val="28"/>
        </w:rPr>
        <w:t>In the result</w:t>
      </w:r>
      <w:r w:rsidR="00B66251">
        <w:rPr>
          <w:sz w:val="28"/>
          <w:szCs w:val="28"/>
        </w:rPr>
        <w:t>, the following order is made:</w:t>
      </w:r>
    </w:p>
    <w:p w:rsidR="0087749E" w:rsidRPr="008B2601" w:rsidRDefault="0087749E" w:rsidP="008B2601">
      <w:pPr>
        <w:pStyle w:val="ListParagraph"/>
        <w:numPr>
          <w:ilvl w:val="0"/>
          <w:numId w:val="14"/>
        </w:numPr>
        <w:ind w:left="0" w:firstLine="0"/>
        <w:rPr>
          <w:sz w:val="28"/>
          <w:szCs w:val="28"/>
        </w:rPr>
      </w:pPr>
      <w:r w:rsidRPr="008B2601">
        <w:rPr>
          <w:sz w:val="28"/>
          <w:szCs w:val="28"/>
        </w:rPr>
        <w:t>The appeal is upheld.</w:t>
      </w:r>
    </w:p>
    <w:p w:rsidR="0087749E" w:rsidRPr="00D227B0" w:rsidRDefault="0087749E" w:rsidP="008B2601">
      <w:pPr>
        <w:pStyle w:val="ListParagraph"/>
        <w:numPr>
          <w:ilvl w:val="0"/>
          <w:numId w:val="14"/>
        </w:numPr>
        <w:ind w:left="0" w:firstLine="0"/>
        <w:rPr>
          <w:sz w:val="28"/>
          <w:szCs w:val="28"/>
        </w:rPr>
      </w:pPr>
      <w:r w:rsidRPr="00D227B0">
        <w:rPr>
          <w:sz w:val="28"/>
          <w:szCs w:val="28"/>
        </w:rPr>
        <w:lastRenderedPageBreak/>
        <w:t>The order of the North West Division of the High Court, Mahikeng is set aside and replaced with the following order:</w:t>
      </w:r>
      <w:r w:rsidRPr="00D227B0">
        <w:rPr>
          <w:color w:val="000000" w:themeColor="text1"/>
          <w:sz w:val="28"/>
          <w:szCs w:val="28"/>
        </w:rPr>
        <w:tab/>
      </w:r>
    </w:p>
    <w:p w:rsidR="0087749E" w:rsidRPr="00606B7A" w:rsidRDefault="0087749E" w:rsidP="0087749E">
      <w:pPr>
        <w:rPr>
          <w:color w:val="000000" w:themeColor="text1"/>
          <w:sz w:val="28"/>
          <w:szCs w:val="28"/>
        </w:rPr>
      </w:pPr>
      <w:r w:rsidRPr="00606B7A">
        <w:rPr>
          <w:color w:val="000000" w:themeColor="text1"/>
          <w:sz w:val="28"/>
          <w:szCs w:val="28"/>
        </w:rPr>
        <w:t>‘1</w:t>
      </w:r>
      <w:r w:rsidRPr="00606B7A">
        <w:rPr>
          <w:color w:val="000000" w:themeColor="text1"/>
          <w:sz w:val="28"/>
          <w:szCs w:val="28"/>
        </w:rPr>
        <w:tab/>
        <w:t xml:space="preserve">The appeal is upheld with costs, </w:t>
      </w:r>
      <w:r>
        <w:rPr>
          <w:sz w:val="28"/>
          <w:szCs w:val="28"/>
        </w:rPr>
        <w:t xml:space="preserve">and the ruling of the Regional Court, </w:t>
      </w:r>
      <w:r w:rsidR="007173F2">
        <w:rPr>
          <w:sz w:val="28"/>
          <w:szCs w:val="28"/>
        </w:rPr>
        <w:t xml:space="preserve"> </w:t>
      </w:r>
      <w:r>
        <w:rPr>
          <w:sz w:val="28"/>
          <w:szCs w:val="28"/>
        </w:rPr>
        <w:t xml:space="preserve">Garankuwa </w:t>
      </w:r>
      <w:r w:rsidRPr="005F349B">
        <w:rPr>
          <w:color w:val="000000" w:themeColor="text1"/>
          <w:sz w:val="28"/>
          <w:szCs w:val="28"/>
        </w:rPr>
        <w:t xml:space="preserve">dated 3 October 2018 </w:t>
      </w:r>
      <w:r>
        <w:rPr>
          <w:sz w:val="28"/>
          <w:szCs w:val="28"/>
        </w:rPr>
        <w:t xml:space="preserve">is set aside and replaced with the following: </w:t>
      </w:r>
    </w:p>
    <w:p w:rsidR="0087749E" w:rsidRPr="00606B7A" w:rsidRDefault="0087749E" w:rsidP="0087749E">
      <w:pPr>
        <w:ind w:left="709"/>
        <w:rPr>
          <w:color w:val="000000" w:themeColor="text1"/>
          <w:sz w:val="28"/>
          <w:szCs w:val="28"/>
        </w:rPr>
      </w:pPr>
      <w:r>
        <w:rPr>
          <w:color w:val="000000" w:themeColor="text1"/>
          <w:sz w:val="28"/>
          <w:szCs w:val="28"/>
        </w:rPr>
        <w:t>“</w:t>
      </w:r>
      <w:r w:rsidRPr="005B650F">
        <w:rPr>
          <w:color w:val="000000" w:themeColor="text1"/>
          <w:sz w:val="28"/>
          <w:szCs w:val="28"/>
        </w:rPr>
        <w:t>T</w:t>
      </w:r>
      <w:r w:rsidRPr="00606B7A">
        <w:rPr>
          <w:color w:val="000000" w:themeColor="text1"/>
          <w:sz w:val="28"/>
          <w:szCs w:val="28"/>
        </w:rPr>
        <w:t>he point in limine is dismissed with costs.</w:t>
      </w:r>
      <w:r>
        <w:rPr>
          <w:color w:val="000000" w:themeColor="text1"/>
          <w:sz w:val="28"/>
          <w:szCs w:val="28"/>
        </w:rPr>
        <w:t xml:space="preserve">” </w:t>
      </w:r>
      <w:r w:rsidRPr="00606B7A">
        <w:rPr>
          <w:color w:val="000000" w:themeColor="text1"/>
          <w:sz w:val="28"/>
          <w:szCs w:val="28"/>
        </w:rPr>
        <w:t xml:space="preserve"> </w:t>
      </w:r>
    </w:p>
    <w:p w:rsidR="0087749E" w:rsidRPr="00AF68CF" w:rsidRDefault="00C85119" w:rsidP="007C38AA">
      <w:pPr>
        <w:rPr>
          <w:sz w:val="28"/>
          <w:szCs w:val="28"/>
        </w:rPr>
      </w:pPr>
      <w:r>
        <w:rPr>
          <w:sz w:val="28"/>
          <w:szCs w:val="28"/>
        </w:rPr>
        <w:t>2</w:t>
      </w:r>
      <w:r w:rsidR="007C38AA">
        <w:rPr>
          <w:sz w:val="28"/>
          <w:szCs w:val="28"/>
        </w:rPr>
        <w:tab/>
      </w:r>
      <w:r w:rsidR="0087749E" w:rsidRPr="00AF68CF">
        <w:rPr>
          <w:sz w:val="28"/>
          <w:szCs w:val="28"/>
        </w:rPr>
        <w:t>The matter is remitted to the Regional Court, Garankuwa for the determination of the merits of the rescission application.</w:t>
      </w:r>
      <w:r w:rsidR="0087749E">
        <w:rPr>
          <w:sz w:val="28"/>
          <w:szCs w:val="28"/>
        </w:rPr>
        <w:t>’</w:t>
      </w:r>
    </w:p>
    <w:p w:rsidR="00BB00B4" w:rsidRPr="00CB420C" w:rsidRDefault="00BB00B4" w:rsidP="00894A5F">
      <w:pPr>
        <w:pStyle w:val="ListParagraph"/>
        <w:ind w:left="0"/>
        <w:rPr>
          <w:color w:val="000000" w:themeColor="text1"/>
          <w:sz w:val="28"/>
          <w:szCs w:val="28"/>
        </w:rPr>
      </w:pPr>
    </w:p>
    <w:p w:rsidR="00EB011E" w:rsidRPr="001C4A96" w:rsidRDefault="00EB011E" w:rsidP="00977760">
      <w:pPr>
        <w:rPr>
          <w:color w:val="FF0000"/>
          <w:sz w:val="28"/>
          <w:szCs w:val="28"/>
        </w:rPr>
      </w:pPr>
    </w:p>
    <w:p w:rsidR="002A72F4" w:rsidRPr="000154F8" w:rsidRDefault="008D1A81" w:rsidP="00977760">
      <w:pPr>
        <w:rPr>
          <w:sz w:val="28"/>
          <w:szCs w:val="28"/>
        </w:rPr>
      </w:pPr>
      <w:r w:rsidRPr="008D1A81">
        <w:rPr>
          <w:sz w:val="28"/>
          <w:szCs w:val="28"/>
        </w:rPr>
        <w:lastRenderedPageBreak/>
        <w:t xml:space="preserve">   </w:t>
      </w:r>
      <w:r w:rsidR="00B627B1" w:rsidRPr="008D1A81">
        <w:rPr>
          <w:sz w:val="28"/>
          <w:szCs w:val="28"/>
        </w:rPr>
        <w:t xml:space="preserve">                  </w:t>
      </w:r>
      <w:r w:rsidR="00936C8E" w:rsidRPr="008D1A81">
        <w:rPr>
          <w:sz w:val="28"/>
          <w:szCs w:val="28"/>
        </w:rPr>
        <w:t xml:space="preserve"> </w:t>
      </w:r>
      <w:r w:rsidR="00B13535" w:rsidRPr="008D1A81">
        <w:rPr>
          <w:sz w:val="28"/>
          <w:szCs w:val="28"/>
        </w:rPr>
        <w:t xml:space="preserve">  </w:t>
      </w:r>
    </w:p>
    <w:p w:rsidR="00AE5375" w:rsidRDefault="00AE5375" w:rsidP="00977760">
      <w:pPr>
        <w:tabs>
          <w:tab w:val="left" w:pos="5529"/>
        </w:tabs>
        <w:ind w:left="5387"/>
        <w:rPr>
          <w:rFonts w:ascii="Arial" w:hAnsi="Arial" w:cs="Arial"/>
          <w:noProof/>
          <w:lang w:val="en-ZA" w:eastAsia="en-ZA"/>
        </w:rPr>
      </w:pPr>
    </w:p>
    <w:p w:rsidR="002A72F4" w:rsidRPr="000154F8" w:rsidRDefault="002A72F4" w:rsidP="00977760">
      <w:pPr>
        <w:tabs>
          <w:tab w:val="left" w:pos="5529"/>
        </w:tabs>
        <w:ind w:left="5387"/>
        <w:rPr>
          <w:sz w:val="28"/>
          <w:szCs w:val="28"/>
        </w:rPr>
      </w:pPr>
      <w:r w:rsidRPr="000154F8">
        <w:rPr>
          <w:sz w:val="28"/>
          <w:szCs w:val="28"/>
        </w:rPr>
        <w:t>_________________________</w:t>
      </w:r>
    </w:p>
    <w:p w:rsidR="002A72F4" w:rsidRPr="000154F8" w:rsidRDefault="002A72F4" w:rsidP="008D738D">
      <w:pPr>
        <w:pStyle w:val="ListParagraph"/>
        <w:ind w:left="4667" w:firstLine="720"/>
        <w:jc w:val="right"/>
        <w:rPr>
          <w:sz w:val="28"/>
          <w:szCs w:val="28"/>
        </w:rPr>
      </w:pPr>
      <w:r w:rsidRPr="000154F8">
        <w:rPr>
          <w:sz w:val="28"/>
          <w:szCs w:val="28"/>
        </w:rPr>
        <w:t>N P MABINDLA-BOQWANA</w:t>
      </w:r>
    </w:p>
    <w:p w:rsidR="002A72F4" w:rsidRPr="000154F8" w:rsidRDefault="002A72F4" w:rsidP="008D738D">
      <w:pPr>
        <w:pStyle w:val="ListParagraph"/>
        <w:ind w:left="4667" w:firstLine="720"/>
        <w:jc w:val="right"/>
        <w:rPr>
          <w:sz w:val="28"/>
          <w:szCs w:val="28"/>
        </w:rPr>
      </w:pPr>
      <w:r w:rsidRPr="000154F8">
        <w:rPr>
          <w:sz w:val="28"/>
          <w:szCs w:val="28"/>
        </w:rPr>
        <w:t>JUDGE OF APPEAL</w:t>
      </w:r>
    </w:p>
    <w:p w:rsidR="002A72F4" w:rsidRPr="000154F8" w:rsidRDefault="002A72F4" w:rsidP="00977760">
      <w:pPr>
        <w:rPr>
          <w:sz w:val="28"/>
          <w:szCs w:val="28"/>
        </w:rPr>
      </w:pPr>
    </w:p>
    <w:p w:rsidR="00FC4F85" w:rsidRDefault="00FC4F85" w:rsidP="00977760">
      <w:pPr>
        <w:spacing w:after="160"/>
        <w:jc w:val="left"/>
        <w:rPr>
          <w:sz w:val="28"/>
          <w:szCs w:val="28"/>
        </w:rPr>
      </w:pPr>
    </w:p>
    <w:p w:rsidR="00FC4F85" w:rsidRDefault="00FC4F85" w:rsidP="00977760">
      <w:pPr>
        <w:spacing w:after="160"/>
        <w:jc w:val="left"/>
        <w:rPr>
          <w:sz w:val="28"/>
          <w:szCs w:val="28"/>
        </w:rPr>
      </w:pPr>
    </w:p>
    <w:p w:rsidR="00FC4F85" w:rsidRDefault="00FC4F85" w:rsidP="00977760">
      <w:pPr>
        <w:spacing w:after="160"/>
        <w:jc w:val="left"/>
        <w:rPr>
          <w:sz w:val="28"/>
          <w:szCs w:val="28"/>
        </w:rPr>
      </w:pPr>
    </w:p>
    <w:p w:rsidR="00FC4F85" w:rsidRDefault="00FC4F85" w:rsidP="00977760">
      <w:pPr>
        <w:spacing w:after="160"/>
        <w:jc w:val="left"/>
        <w:rPr>
          <w:sz w:val="28"/>
          <w:szCs w:val="28"/>
        </w:rPr>
      </w:pPr>
    </w:p>
    <w:p w:rsidR="00CB420C" w:rsidRDefault="00CB420C" w:rsidP="00977760">
      <w:pPr>
        <w:spacing w:after="160"/>
        <w:jc w:val="left"/>
        <w:rPr>
          <w:sz w:val="28"/>
          <w:szCs w:val="28"/>
        </w:rPr>
      </w:pPr>
    </w:p>
    <w:p w:rsidR="00C404F9" w:rsidRDefault="00C404F9" w:rsidP="00977760">
      <w:pPr>
        <w:spacing w:after="160"/>
        <w:jc w:val="left"/>
        <w:rPr>
          <w:sz w:val="28"/>
          <w:szCs w:val="28"/>
        </w:rPr>
      </w:pPr>
    </w:p>
    <w:p w:rsidR="00AB2998" w:rsidRDefault="00AB2998" w:rsidP="00226846">
      <w:pPr>
        <w:rPr>
          <w:sz w:val="28"/>
          <w:szCs w:val="28"/>
        </w:rPr>
      </w:pPr>
    </w:p>
    <w:p w:rsidR="00226846" w:rsidRPr="00226846" w:rsidRDefault="000D3B54" w:rsidP="00226846">
      <w:pPr>
        <w:rPr>
          <w:sz w:val="28"/>
          <w:szCs w:val="28"/>
        </w:rPr>
      </w:pPr>
      <w:r>
        <w:rPr>
          <w:sz w:val="28"/>
          <w:szCs w:val="28"/>
        </w:rPr>
        <w:t>Written submissions</w:t>
      </w:r>
    </w:p>
    <w:p w:rsidR="00601F94" w:rsidRDefault="00601F94" w:rsidP="00977760">
      <w:pPr>
        <w:rPr>
          <w:sz w:val="28"/>
          <w:szCs w:val="28"/>
        </w:rPr>
      </w:pPr>
    </w:p>
    <w:p w:rsidR="006B30E2" w:rsidRDefault="002A72F4" w:rsidP="00977760">
      <w:pPr>
        <w:rPr>
          <w:sz w:val="28"/>
          <w:szCs w:val="28"/>
        </w:rPr>
      </w:pPr>
      <w:r w:rsidRPr="000154F8">
        <w:rPr>
          <w:sz w:val="28"/>
          <w:szCs w:val="28"/>
        </w:rPr>
        <w:t>For the appellant:</w:t>
      </w:r>
      <w:r w:rsidRPr="000154F8">
        <w:rPr>
          <w:sz w:val="28"/>
          <w:szCs w:val="28"/>
        </w:rPr>
        <w:tab/>
      </w:r>
      <w:r w:rsidRPr="000154F8">
        <w:rPr>
          <w:sz w:val="28"/>
          <w:szCs w:val="28"/>
        </w:rPr>
        <w:tab/>
      </w:r>
      <w:r w:rsidR="006B30E2">
        <w:rPr>
          <w:sz w:val="28"/>
          <w:szCs w:val="28"/>
        </w:rPr>
        <w:t xml:space="preserve">A J D’Oliveira                                                            </w:t>
      </w:r>
    </w:p>
    <w:p w:rsidR="002A72F4" w:rsidRDefault="002A72F4" w:rsidP="00977760">
      <w:pPr>
        <w:rPr>
          <w:sz w:val="28"/>
          <w:szCs w:val="28"/>
        </w:rPr>
      </w:pPr>
      <w:r w:rsidRPr="000154F8">
        <w:rPr>
          <w:sz w:val="28"/>
          <w:szCs w:val="28"/>
        </w:rPr>
        <w:t>Instructed by</w:t>
      </w:r>
      <w:r w:rsidRPr="000154F8">
        <w:rPr>
          <w:sz w:val="28"/>
          <w:szCs w:val="28"/>
          <w:lang w:val="en-ZA"/>
        </w:rPr>
        <w:t>:</w:t>
      </w:r>
      <w:r w:rsidR="0036284A">
        <w:rPr>
          <w:sz w:val="28"/>
          <w:szCs w:val="28"/>
          <w:lang w:val="en-ZA"/>
        </w:rPr>
        <w:t xml:space="preserve">                   </w:t>
      </w:r>
      <w:r w:rsidR="006B30E2">
        <w:rPr>
          <w:sz w:val="28"/>
          <w:szCs w:val="28"/>
        </w:rPr>
        <w:t>Moduka Attorneys</w:t>
      </w:r>
      <w:r w:rsidR="0036284A">
        <w:rPr>
          <w:sz w:val="28"/>
          <w:szCs w:val="28"/>
        </w:rPr>
        <w:t xml:space="preserve">, Pretoria </w:t>
      </w:r>
    </w:p>
    <w:p w:rsidR="001E3F7F" w:rsidRDefault="001E3F7F" w:rsidP="00977760">
      <w:pPr>
        <w:rPr>
          <w:sz w:val="28"/>
          <w:szCs w:val="28"/>
        </w:rPr>
      </w:pPr>
    </w:p>
    <w:p w:rsidR="001E3F7F" w:rsidRDefault="001E3F7F" w:rsidP="00977760">
      <w:pPr>
        <w:rPr>
          <w:sz w:val="28"/>
          <w:szCs w:val="28"/>
        </w:rPr>
      </w:pPr>
    </w:p>
    <w:p w:rsidR="00E772BF" w:rsidRPr="00E772BF" w:rsidRDefault="00E772BF" w:rsidP="00E772BF">
      <w:pPr>
        <w:rPr>
          <w:sz w:val="28"/>
          <w:szCs w:val="28"/>
        </w:rPr>
      </w:pPr>
    </w:p>
    <w:p w:rsidR="00AB4DAA" w:rsidRPr="007E267A" w:rsidRDefault="00AB4DAA" w:rsidP="00AB4DAA">
      <w:pPr>
        <w:rPr>
          <w:rFonts w:ascii="Arial" w:hAnsi="Arial" w:cs="Arial"/>
          <w:bCs/>
        </w:rPr>
      </w:pPr>
    </w:p>
    <w:p w:rsidR="002A72F4" w:rsidRPr="000154F8" w:rsidRDefault="002A72F4" w:rsidP="009A75CF">
      <w:pPr>
        <w:pStyle w:val="ListParagraph"/>
        <w:ind w:firstLine="3533"/>
        <w:rPr>
          <w:sz w:val="28"/>
          <w:szCs w:val="28"/>
          <w:lang w:val="en-ZA"/>
        </w:rPr>
      </w:pPr>
    </w:p>
    <w:sectPr w:rsidR="002A72F4" w:rsidRPr="000154F8" w:rsidSect="0068277D">
      <w:headerReference w:type="default" r:id="rId9"/>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55A0" w16cex:dateUtc="2021-11-26T10:46:00Z"/>
  <w16cex:commentExtensible w16cex:durableId="254B656D" w16cex:dateUtc="2021-11-26T11:53:00Z"/>
  <w16cex:commentExtensible w16cex:durableId="254B665B" w16cex:dateUtc="2021-11-26T11:57:00Z"/>
  <w16cex:commentExtensible w16cex:durableId="254B6762" w16cex:dateUtc="2021-11-26T12:02:00Z"/>
  <w16cex:commentExtensible w16cex:durableId="254B6F01" w16cex:dateUtc="2021-11-26T12:34:00Z"/>
  <w16cex:commentExtensible w16cex:durableId="254B70D6" w16cex:dateUtc="2021-11-26T12:42:00Z"/>
  <w16cex:commentExtensible w16cex:durableId="254B51EA" w16cex:dateUtc="2021-11-26T10:30: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F8C" w:rsidRDefault="00037F8C" w:rsidP="002A72F4">
      <w:pPr>
        <w:spacing w:line="240" w:lineRule="auto"/>
      </w:pPr>
      <w:r>
        <w:separator/>
      </w:r>
    </w:p>
  </w:endnote>
  <w:endnote w:type="continuationSeparator" w:id="0">
    <w:p w:rsidR="00037F8C" w:rsidRDefault="00037F8C" w:rsidP="002A72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F8C" w:rsidRDefault="00037F8C" w:rsidP="002A72F4">
      <w:pPr>
        <w:spacing w:line="240" w:lineRule="auto"/>
      </w:pPr>
      <w:r>
        <w:separator/>
      </w:r>
    </w:p>
  </w:footnote>
  <w:footnote w:type="continuationSeparator" w:id="0">
    <w:p w:rsidR="00037F8C" w:rsidRDefault="00037F8C" w:rsidP="002A72F4">
      <w:pPr>
        <w:spacing w:line="240" w:lineRule="auto"/>
      </w:pPr>
      <w:r>
        <w:continuationSeparator/>
      </w:r>
    </w:p>
  </w:footnote>
  <w:footnote w:id="1">
    <w:p w:rsidR="00181498" w:rsidRPr="00E0442A" w:rsidRDefault="00936C8E" w:rsidP="00181498">
      <w:pPr>
        <w:pStyle w:val="Default"/>
        <w:spacing w:line="360" w:lineRule="auto"/>
        <w:rPr>
          <w:rFonts w:ascii="Times New Roman" w:hAnsi="Times New Roman" w:cs="Times New Roman"/>
          <w:sz w:val="20"/>
          <w:szCs w:val="20"/>
        </w:rPr>
      </w:pPr>
      <w:r w:rsidRPr="00E0442A">
        <w:rPr>
          <w:rStyle w:val="FootnoteReference"/>
          <w:rFonts w:ascii="Times New Roman" w:hAnsi="Times New Roman" w:cs="Times New Roman"/>
          <w:sz w:val="20"/>
          <w:szCs w:val="20"/>
        </w:rPr>
        <w:footnoteRef/>
      </w:r>
      <w:r w:rsidRPr="00E0442A">
        <w:rPr>
          <w:rFonts w:ascii="Times New Roman" w:hAnsi="Times New Roman" w:cs="Times New Roman"/>
          <w:sz w:val="20"/>
          <w:szCs w:val="20"/>
        </w:rPr>
        <w:t xml:space="preserve"> </w:t>
      </w:r>
      <w:r w:rsidR="00181498" w:rsidRPr="00E0442A">
        <w:rPr>
          <w:rFonts w:ascii="Times New Roman" w:hAnsi="Times New Roman" w:cs="Times New Roman"/>
          <w:sz w:val="20"/>
          <w:szCs w:val="20"/>
        </w:rPr>
        <w:t xml:space="preserve">Section 36(1), inter alia provides: ‘The court may, upon application by any person affected thereby, or, in cases falling under paragraph </w:t>
      </w:r>
      <w:r w:rsidR="00181498" w:rsidRPr="000D3B54">
        <w:rPr>
          <w:rFonts w:ascii="Times New Roman" w:hAnsi="Times New Roman" w:cs="Times New Roman"/>
          <w:i/>
          <w:sz w:val="20"/>
          <w:szCs w:val="20"/>
        </w:rPr>
        <w:t>(c)</w:t>
      </w:r>
      <w:r w:rsidR="00181498" w:rsidRPr="00E0442A">
        <w:rPr>
          <w:rFonts w:ascii="Times New Roman" w:hAnsi="Times New Roman" w:cs="Times New Roman"/>
          <w:sz w:val="20"/>
          <w:szCs w:val="20"/>
        </w:rPr>
        <w:t xml:space="preserve">, </w:t>
      </w:r>
      <w:r w:rsidR="00181498" w:rsidRPr="00E0442A">
        <w:rPr>
          <w:rFonts w:ascii="Times New Roman" w:hAnsi="Times New Roman" w:cs="Times New Roman"/>
          <w:i/>
          <w:iCs/>
          <w:sz w:val="20"/>
          <w:szCs w:val="20"/>
        </w:rPr>
        <w:t>suo motu</w:t>
      </w:r>
      <w:r w:rsidR="005400B1" w:rsidRPr="00E0442A">
        <w:rPr>
          <w:rFonts w:ascii="Times New Roman" w:hAnsi="Times New Roman" w:cs="Times New Roman"/>
          <w:sz w:val="20"/>
          <w:szCs w:val="20"/>
        </w:rPr>
        <w:t>-</w:t>
      </w:r>
      <w:r w:rsidR="00181498" w:rsidRPr="00E0442A">
        <w:rPr>
          <w:rFonts w:ascii="Times New Roman" w:hAnsi="Times New Roman" w:cs="Times New Roman"/>
          <w:sz w:val="20"/>
          <w:szCs w:val="20"/>
        </w:rPr>
        <w:t xml:space="preserve"> </w:t>
      </w:r>
    </w:p>
    <w:p w:rsidR="00936C8E" w:rsidRPr="00E0442A" w:rsidRDefault="00181498" w:rsidP="00181498">
      <w:pPr>
        <w:pStyle w:val="FootnoteText"/>
        <w:rPr>
          <w:lang w:val="en-ZA"/>
        </w:rPr>
      </w:pPr>
      <w:r w:rsidRPr="00E0442A">
        <w:rPr>
          <w:i/>
          <w:iCs/>
        </w:rPr>
        <w:t>(a)</w:t>
      </w:r>
      <w:r w:rsidRPr="00E0442A">
        <w:t xml:space="preserve"> rescind or vary any judgment granted by it in the absence of the person against whom that judgment was granted</w:t>
      </w:r>
      <w:r w:rsidR="000E70D1" w:rsidRPr="00E0442A">
        <w:t>.</w:t>
      </w:r>
      <w:r w:rsidRPr="00E0442A">
        <w:t>’</w:t>
      </w:r>
    </w:p>
  </w:footnote>
  <w:footnote w:id="2">
    <w:p w:rsidR="00936C8E" w:rsidRPr="00AD5D4B" w:rsidRDefault="00936C8E" w:rsidP="00B95368">
      <w:pPr>
        <w:pStyle w:val="Default"/>
        <w:spacing w:line="360" w:lineRule="auto"/>
        <w:jc w:val="both"/>
        <w:rPr>
          <w:rFonts w:ascii="Times New Roman" w:hAnsi="Times New Roman" w:cs="Times New Roman"/>
        </w:rPr>
      </w:pPr>
      <w:r w:rsidRPr="00E0442A">
        <w:rPr>
          <w:rStyle w:val="FootnoteReference"/>
          <w:rFonts w:ascii="Times New Roman" w:hAnsi="Times New Roman" w:cs="Times New Roman"/>
          <w:sz w:val="20"/>
          <w:szCs w:val="20"/>
        </w:rPr>
        <w:footnoteRef/>
      </w:r>
      <w:r w:rsidRPr="00E0442A">
        <w:rPr>
          <w:rFonts w:ascii="Times New Roman" w:hAnsi="Times New Roman" w:cs="Times New Roman"/>
          <w:sz w:val="20"/>
          <w:szCs w:val="20"/>
        </w:rPr>
        <w:t xml:space="preserve"> </w:t>
      </w:r>
      <w:r w:rsidR="00B95368" w:rsidRPr="00E0442A">
        <w:rPr>
          <w:rFonts w:ascii="Times New Roman" w:hAnsi="Times New Roman" w:cs="Times New Roman"/>
          <w:sz w:val="20"/>
          <w:szCs w:val="20"/>
        </w:rPr>
        <w:t>Rule 49(1) states</w:t>
      </w:r>
      <w:r w:rsidR="008E08A8">
        <w:rPr>
          <w:rFonts w:ascii="Times New Roman" w:hAnsi="Times New Roman" w:cs="Times New Roman"/>
          <w:sz w:val="20"/>
          <w:szCs w:val="20"/>
        </w:rPr>
        <w:t>:</w:t>
      </w:r>
      <w:r w:rsidR="00B95368" w:rsidRPr="00E0442A">
        <w:rPr>
          <w:rFonts w:ascii="Times New Roman" w:hAnsi="Times New Roman" w:cs="Times New Roman"/>
          <w:sz w:val="20"/>
          <w:szCs w:val="20"/>
        </w:rPr>
        <w:t xml:space="preserve"> ‘A party to proceedings in which a default judgment has been given, or any person affected by such judgment, may within 20 days after obtaining knowledge of the judgment serve and file an application to court, on notice to all parties to the proceedings, for a rescission or variation of the judgment and the court may, upon good cause shown, or if it is satisfied that there is good reason to do so, rescind or vary the default judgment on such terms as it deems fit: Provided that the 20 days' period shall not be applicable to a request for rescission or variation of judgment brought in terms of subrule (5) or (5A).</w:t>
      </w:r>
      <w:r w:rsidR="009246CA">
        <w:rPr>
          <w:rFonts w:ascii="Times New Roman" w:hAnsi="Times New Roman" w:cs="Times New Roman"/>
          <w:sz w:val="20"/>
          <w:szCs w:val="20"/>
        </w:rPr>
        <w:t>’</w:t>
      </w:r>
    </w:p>
  </w:footnote>
  <w:footnote w:id="3">
    <w:p w:rsidR="00B627B1" w:rsidRPr="00E0442A" w:rsidRDefault="00B627B1">
      <w:pPr>
        <w:pStyle w:val="FootnoteText"/>
        <w:rPr>
          <w:lang w:val="en-ZA"/>
        </w:rPr>
      </w:pPr>
      <w:r w:rsidRPr="00E0442A">
        <w:rPr>
          <w:rStyle w:val="FootnoteReference"/>
        </w:rPr>
        <w:footnoteRef/>
      </w:r>
      <w:r w:rsidRPr="00E0442A">
        <w:t xml:space="preserve"> </w:t>
      </w:r>
      <w:r w:rsidR="00A850AE" w:rsidRPr="00E0442A">
        <w:rPr>
          <w:i/>
          <w:iCs/>
        </w:rPr>
        <w:t>De Villiers and Others v Trustees for the Time Being of the GJN Trust and Others</w:t>
      </w:r>
      <w:r w:rsidR="00A850AE" w:rsidRPr="00E0442A">
        <w:t xml:space="preserve"> [2018] ZASCA 80; 2019 (1) SA 120 (SCA) para 22. </w:t>
      </w:r>
      <w:r w:rsidR="00946284" w:rsidRPr="00E0442A">
        <w:tab/>
      </w:r>
    </w:p>
  </w:footnote>
  <w:footnote w:id="4">
    <w:p w:rsidR="001C4A96" w:rsidRPr="00B006BF" w:rsidRDefault="001C4A96">
      <w:pPr>
        <w:pStyle w:val="FootnoteText"/>
        <w:rPr>
          <w:lang w:val="en-ZA"/>
        </w:rPr>
      </w:pPr>
      <w:r w:rsidRPr="00B006BF">
        <w:rPr>
          <w:rStyle w:val="FootnoteReference"/>
        </w:rPr>
        <w:footnoteRef/>
      </w:r>
      <w:r w:rsidRPr="00B006BF">
        <w:t xml:space="preserve"> </w:t>
      </w:r>
      <w:r w:rsidR="008E04EB" w:rsidRPr="00B006BF">
        <w:rPr>
          <w:i/>
        </w:rPr>
        <w:t xml:space="preserve">Ganes and Another v Telecom Namibia </w:t>
      </w:r>
      <w:r w:rsidR="001D7864" w:rsidRPr="00B006BF">
        <w:rPr>
          <w:i/>
        </w:rPr>
        <w:t xml:space="preserve">Ltd </w:t>
      </w:r>
      <w:r w:rsidR="001D7864" w:rsidRPr="00B006BF">
        <w:t>2004</w:t>
      </w:r>
      <w:r w:rsidR="00506424" w:rsidRPr="00B006BF">
        <w:t xml:space="preserve"> (3) SA 615 (SCA); (2004) 25 ILJ 995 (SCA); </w:t>
      </w:r>
      <w:r w:rsidR="00733256" w:rsidRPr="00B006BF">
        <w:t>[2004] 2 All SA 609 (SCA)</w:t>
      </w:r>
      <w:r w:rsidR="00B568B7" w:rsidRPr="00B006BF">
        <w:t xml:space="preserve"> para 19</w:t>
      </w:r>
      <w:r w:rsidR="00AF4FAE" w:rsidRPr="00B006BF">
        <w:t>.</w:t>
      </w:r>
    </w:p>
  </w:footnote>
  <w:footnote w:id="5">
    <w:p w:rsidR="00A67448" w:rsidRPr="00226846" w:rsidRDefault="00A67448" w:rsidP="00A67448">
      <w:pPr>
        <w:pStyle w:val="FootnoteText"/>
        <w:rPr>
          <w:lang w:val="en-ZA"/>
        </w:rPr>
      </w:pPr>
      <w:r w:rsidRPr="00226846">
        <w:rPr>
          <w:rStyle w:val="FootnoteReference"/>
        </w:rPr>
        <w:footnoteRef/>
      </w:r>
      <w:r w:rsidRPr="00226846">
        <w:t xml:space="preserve"> </w:t>
      </w:r>
      <w:r w:rsidR="001A3874" w:rsidRPr="00226846">
        <w:t xml:space="preserve">Rule </w:t>
      </w:r>
      <w:r w:rsidRPr="00226846">
        <w:t>52(2)</w:t>
      </w:r>
      <w:r w:rsidRPr="00226846">
        <w:rPr>
          <w:i/>
          <w:iCs/>
        </w:rPr>
        <w:t>(a)</w:t>
      </w:r>
      <w:r w:rsidR="00C404F9" w:rsidRPr="00226846">
        <w:rPr>
          <w:i/>
          <w:iCs/>
        </w:rPr>
        <w:t xml:space="preserve"> </w:t>
      </w:r>
      <w:r w:rsidR="00C404F9" w:rsidRPr="00226846">
        <w:t xml:space="preserve">of the Magistrates’ Court Rules </w:t>
      </w:r>
      <w:r w:rsidRPr="00226846">
        <w:t>provides: ‘It shall not be necessary for any person to file a power of attorney to act, but the authority of any person acting for a party may be challenged on notice by the other party within 10 days of such party becoming aware that such person is so acting or with the leave of the court on good cause shown at any time before judgment.’ This is equivalent to Rule 7</w:t>
      </w:r>
      <w:r w:rsidR="00C404F9" w:rsidRPr="00226846">
        <w:t>(1)</w:t>
      </w:r>
      <w:r w:rsidRPr="00226846">
        <w:t xml:space="preserve"> in the Uniform Rules of Court.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825718"/>
      <w:docPartObj>
        <w:docPartGallery w:val="Page Numbers (Top of Page)"/>
        <w:docPartUnique/>
      </w:docPartObj>
    </w:sdtPr>
    <w:sdtEndPr>
      <w:rPr>
        <w:noProof/>
      </w:rPr>
    </w:sdtEndPr>
    <w:sdtContent>
      <w:p w:rsidR="00D066A8" w:rsidRDefault="00D066A8">
        <w:pPr>
          <w:pStyle w:val="Header"/>
          <w:jc w:val="right"/>
        </w:pPr>
        <w:r>
          <w:fldChar w:fldCharType="begin"/>
        </w:r>
        <w:r>
          <w:instrText xml:space="preserve"> PAGE   \* MERGEFORMAT </w:instrText>
        </w:r>
        <w:r>
          <w:fldChar w:fldCharType="separate"/>
        </w:r>
        <w:r w:rsidR="00EC717D">
          <w:rPr>
            <w:noProof/>
          </w:rPr>
          <w:t>2</w:t>
        </w:r>
        <w:r>
          <w:rPr>
            <w:noProof/>
          </w:rPr>
          <w:fldChar w:fldCharType="end"/>
        </w:r>
      </w:p>
    </w:sdtContent>
  </w:sdt>
  <w:p w:rsidR="00D066A8" w:rsidRDefault="00D066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63C1"/>
    <w:multiLevelType w:val="hybridMultilevel"/>
    <w:tmpl w:val="5B50668C"/>
    <w:lvl w:ilvl="0" w:tplc="67DE25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FE7929"/>
    <w:multiLevelType w:val="hybridMultilevel"/>
    <w:tmpl w:val="CDACD8AE"/>
    <w:lvl w:ilvl="0" w:tplc="4A448992">
      <w:start w:val="1"/>
      <w:numFmt w:val="decimal"/>
      <w:lvlText w:val="[%1]"/>
      <w:lvlJc w:val="left"/>
      <w:pPr>
        <w:ind w:left="450"/>
      </w:pPr>
      <w:rPr>
        <w:rFonts w:ascii="Times New Roman" w:hAnsi="Times New Roman" w:cs="Times New Roman" w:hint="default"/>
        <w:b w:val="0"/>
        <w:bCs w:val="0"/>
        <w:i w:val="0"/>
        <w:iCs w:val="0"/>
        <w:sz w:val="28"/>
        <w:szCs w:val="28"/>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C149E6"/>
    <w:multiLevelType w:val="hybridMultilevel"/>
    <w:tmpl w:val="81B465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76D63D2"/>
    <w:multiLevelType w:val="hybridMultilevel"/>
    <w:tmpl w:val="92A095F2"/>
    <w:lvl w:ilvl="0" w:tplc="4A448992">
      <w:start w:val="1"/>
      <w:numFmt w:val="decimal"/>
      <w:lvlText w:val="[%1]"/>
      <w:lvlJc w:val="left"/>
      <w:pPr>
        <w:ind w:left="1440" w:hanging="360"/>
      </w:pPr>
      <w:rPr>
        <w:rFonts w:ascii="Times New Roman" w:hAnsi="Times New Roman" w:cs="Times New Roman" w:hint="default"/>
        <w:b w:val="0"/>
        <w:bCs w:val="0"/>
        <w:i w:val="0"/>
        <w:iCs w:val="0"/>
        <w:sz w:val="28"/>
        <w:szCs w:val="28"/>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205B7E72"/>
    <w:multiLevelType w:val="hybridMultilevel"/>
    <w:tmpl w:val="22E2B4CC"/>
    <w:lvl w:ilvl="0" w:tplc="6B147C4E">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2C5E3CC5"/>
    <w:multiLevelType w:val="hybridMultilevel"/>
    <w:tmpl w:val="1D78EFC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D137A62"/>
    <w:multiLevelType w:val="hybridMultilevel"/>
    <w:tmpl w:val="9940BB30"/>
    <w:lvl w:ilvl="0" w:tplc="1C09000F">
      <w:start w:val="1"/>
      <w:numFmt w:val="decimal"/>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F1B61C9"/>
    <w:multiLevelType w:val="hybridMultilevel"/>
    <w:tmpl w:val="5BCE5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3A14490F"/>
    <w:multiLevelType w:val="hybridMultilevel"/>
    <w:tmpl w:val="514ADCF6"/>
    <w:lvl w:ilvl="0" w:tplc="A2A66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06B6E7D"/>
    <w:multiLevelType w:val="hybridMultilevel"/>
    <w:tmpl w:val="C3007D20"/>
    <w:lvl w:ilvl="0" w:tplc="CD48E5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FC41CB"/>
    <w:multiLevelType w:val="hybridMultilevel"/>
    <w:tmpl w:val="276804D4"/>
    <w:lvl w:ilvl="0" w:tplc="A2A66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EC60B92"/>
    <w:multiLevelType w:val="hybridMultilevel"/>
    <w:tmpl w:val="08D2D3B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15:restartNumberingAfterBreak="0">
    <w:nsid w:val="66C60F4F"/>
    <w:multiLevelType w:val="hybridMultilevel"/>
    <w:tmpl w:val="90A8E9DA"/>
    <w:lvl w:ilvl="0" w:tplc="CB76EA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7D63CF3"/>
    <w:multiLevelType w:val="hybridMultilevel"/>
    <w:tmpl w:val="13EA3CC8"/>
    <w:lvl w:ilvl="0" w:tplc="49EC611E">
      <w:start w:val="1"/>
      <w:numFmt w:val="decimal"/>
      <w:lvlText w:val="%1."/>
      <w:lvlJc w:val="left"/>
      <w:pPr>
        <w:ind w:left="1305" w:hanging="360"/>
      </w:pPr>
      <w:rPr>
        <w:rFonts w:hint="default"/>
      </w:rPr>
    </w:lvl>
    <w:lvl w:ilvl="1" w:tplc="1C090019" w:tentative="1">
      <w:start w:val="1"/>
      <w:numFmt w:val="lowerLetter"/>
      <w:lvlText w:val="%2."/>
      <w:lvlJc w:val="left"/>
      <w:pPr>
        <w:ind w:left="2025" w:hanging="360"/>
      </w:pPr>
    </w:lvl>
    <w:lvl w:ilvl="2" w:tplc="1C09001B" w:tentative="1">
      <w:start w:val="1"/>
      <w:numFmt w:val="lowerRoman"/>
      <w:lvlText w:val="%3."/>
      <w:lvlJc w:val="right"/>
      <w:pPr>
        <w:ind w:left="2745" w:hanging="180"/>
      </w:pPr>
    </w:lvl>
    <w:lvl w:ilvl="3" w:tplc="1C09000F" w:tentative="1">
      <w:start w:val="1"/>
      <w:numFmt w:val="decimal"/>
      <w:lvlText w:val="%4."/>
      <w:lvlJc w:val="left"/>
      <w:pPr>
        <w:ind w:left="3465" w:hanging="360"/>
      </w:pPr>
    </w:lvl>
    <w:lvl w:ilvl="4" w:tplc="1C090019" w:tentative="1">
      <w:start w:val="1"/>
      <w:numFmt w:val="lowerLetter"/>
      <w:lvlText w:val="%5."/>
      <w:lvlJc w:val="left"/>
      <w:pPr>
        <w:ind w:left="4185" w:hanging="360"/>
      </w:pPr>
    </w:lvl>
    <w:lvl w:ilvl="5" w:tplc="1C09001B" w:tentative="1">
      <w:start w:val="1"/>
      <w:numFmt w:val="lowerRoman"/>
      <w:lvlText w:val="%6."/>
      <w:lvlJc w:val="right"/>
      <w:pPr>
        <w:ind w:left="4905" w:hanging="180"/>
      </w:pPr>
    </w:lvl>
    <w:lvl w:ilvl="6" w:tplc="1C09000F" w:tentative="1">
      <w:start w:val="1"/>
      <w:numFmt w:val="decimal"/>
      <w:lvlText w:val="%7."/>
      <w:lvlJc w:val="left"/>
      <w:pPr>
        <w:ind w:left="5625" w:hanging="360"/>
      </w:pPr>
    </w:lvl>
    <w:lvl w:ilvl="7" w:tplc="1C090019" w:tentative="1">
      <w:start w:val="1"/>
      <w:numFmt w:val="lowerLetter"/>
      <w:lvlText w:val="%8."/>
      <w:lvlJc w:val="left"/>
      <w:pPr>
        <w:ind w:left="6345" w:hanging="360"/>
      </w:pPr>
    </w:lvl>
    <w:lvl w:ilvl="8" w:tplc="1C09001B" w:tentative="1">
      <w:start w:val="1"/>
      <w:numFmt w:val="lowerRoman"/>
      <w:lvlText w:val="%9."/>
      <w:lvlJc w:val="right"/>
      <w:pPr>
        <w:ind w:left="7065" w:hanging="180"/>
      </w:pPr>
    </w:lvl>
  </w:abstractNum>
  <w:num w:numId="1">
    <w:abstractNumId w:val="1"/>
  </w:num>
  <w:num w:numId="2">
    <w:abstractNumId w:val="4"/>
  </w:num>
  <w:num w:numId="3">
    <w:abstractNumId w:val="7"/>
  </w:num>
  <w:num w:numId="4">
    <w:abstractNumId w:val="6"/>
  </w:num>
  <w:num w:numId="5">
    <w:abstractNumId w:val="11"/>
  </w:num>
  <w:num w:numId="6">
    <w:abstractNumId w:val="12"/>
  </w:num>
  <w:num w:numId="7">
    <w:abstractNumId w:val="0"/>
  </w:num>
  <w:num w:numId="8">
    <w:abstractNumId w:val="3"/>
  </w:num>
  <w:num w:numId="9">
    <w:abstractNumId w:val="9"/>
  </w:num>
  <w:num w:numId="10">
    <w:abstractNumId w:val="13"/>
  </w:num>
  <w:num w:numId="11">
    <w:abstractNumId w:val="5"/>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2NDY3NDEyNzQwMTFQ0lEKTi0uzszPAykwqQUAXd9XQiwAAAA="/>
    <w:docVar w:name="dgnword-docGUID" w:val="{0684AC07-8487-4D9D-A8B4-F290F0278467}"/>
    <w:docVar w:name="dgnword-eventsink" w:val="2961602185680"/>
    <w:docVar w:name="dgnword-lastRevisionsView" w:val="0"/>
  </w:docVars>
  <w:rsids>
    <w:rsidRoot w:val="002A72F4"/>
    <w:rsid w:val="00003662"/>
    <w:rsid w:val="000046AE"/>
    <w:rsid w:val="00007821"/>
    <w:rsid w:val="00010943"/>
    <w:rsid w:val="00033244"/>
    <w:rsid w:val="00037F8C"/>
    <w:rsid w:val="00040EBC"/>
    <w:rsid w:val="000434E9"/>
    <w:rsid w:val="0005398B"/>
    <w:rsid w:val="000603B9"/>
    <w:rsid w:val="0006316F"/>
    <w:rsid w:val="00065C7D"/>
    <w:rsid w:val="00066E0C"/>
    <w:rsid w:val="000750DE"/>
    <w:rsid w:val="0009342F"/>
    <w:rsid w:val="000949E7"/>
    <w:rsid w:val="000966A5"/>
    <w:rsid w:val="000B4FAA"/>
    <w:rsid w:val="000C6A85"/>
    <w:rsid w:val="000D3B54"/>
    <w:rsid w:val="000D749A"/>
    <w:rsid w:val="000E02E2"/>
    <w:rsid w:val="000E70D1"/>
    <w:rsid w:val="000F1374"/>
    <w:rsid w:val="000F5248"/>
    <w:rsid w:val="00110A84"/>
    <w:rsid w:val="001141BE"/>
    <w:rsid w:val="00122889"/>
    <w:rsid w:val="00125544"/>
    <w:rsid w:val="00130B8C"/>
    <w:rsid w:val="001349E0"/>
    <w:rsid w:val="001376C2"/>
    <w:rsid w:val="0014028A"/>
    <w:rsid w:val="00142742"/>
    <w:rsid w:val="001430A1"/>
    <w:rsid w:val="0014647B"/>
    <w:rsid w:val="00155554"/>
    <w:rsid w:val="00160B48"/>
    <w:rsid w:val="00161815"/>
    <w:rsid w:val="001729E4"/>
    <w:rsid w:val="00176B52"/>
    <w:rsid w:val="00181498"/>
    <w:rsid w:val="00181844"/>
    <w:rsid w:val="00192A4A"/>
    <w:rsid w:val="001A3874"/>
    <w:rsid w:val="001B0748"/>
    <w:rsid w:val="001C4A96"/>
    <w:rsid w:val="001C55F1"/>
    <w:rsid w:val="001D131F"/>
    <w:rsid w:val="001D297A"/>
    <w:rsid w:val="001D2F50"/>
    <w:rsid w:val="001D7864"/>
    <w:rsid w:val="001E3F7F"/>
    <w:rsid w:val="001E78A3"/>
    <w:rsid w:val="001F06A0"/>
    <w:rsid w:val="001F6FD4"/>
    <w:rsid w:val="00207CCF"/>
    <w:rsid w:val="00210A6B"/>
    <w:rsid w:val="00220E92"/>
    <w:rsid w:val="00221559"/>
    <w:rsid w:val="00226846"/>
    <w:rsid w:val="002314E9"/>
    <w:rsid w:val="00232D51"/>
    <w:rsid w:val="002330AA"/>
    <w:rsid w:val="0024262F"/>
    <w:rsid w:val="00246A95"/>
    <w:rsid w:val="0024701B"/>
    <w:rsid w:val="0024736C"/>
    <w:rsid w:val="002500FC"/>
    <w:rsid w:val="00252125"/>
    <w:rsid w:val="00270624"/>
    <w:rsid w:val="0027782A"/>
    <w:rsid w:val="002843AE"/>
    <w:rsid w:val="002862D5"/>
    <w:rsid w:val="00292EFA"/>
    <w:rsid w:val="002965A5"/>
    <w:rsid w:val="002A5FFC"/>
    <w:rsid w:val="002A72F4"/>
    <w:rsid w:val="002B5E34"/>
    <w:rsid w:val="002D15C7"/>
    <w:rsid w:val="002D3CF1"/>
    <w:rsid w:val="002E1B80"/>
    <w:rsid w:val="002E249F"/>
    <w:rsid w:val="002E59B9"/>
    <w:rsid w:val="002F5F05"/>
    <w:rsid w:val="00300364"/>
    <w:rsid w:val="00300812"/>
    <w:rsid w:val="0030338F"/>
    <w:rsid w:val="00312883"/>
    <w:rsid w:val="00327396"/>
    <w:rsid w:val="00333E4E"/>
    <w:rsid w:val="003368D2"/>
    <w:rsid w:val="0034020E"/>
    <w:rsid w:val="003410DF"/>
    <w:rsid w:val="0035261C"/>
    <w:rsid w:val="00357D66"/>
    <w:rsid w:val="0036284A"/>
    <w:rsid w:val="00364767"/>
    <w:rsid w:val="00365CED"/>
    <w:rsid w:val="00367053"/>
    <w:rsid w:val="00383B08"/>
    <w:rsid w:val="00383DF3"/>
    <w:rsid w:val="0038448E"/>
    <w:rsid w:val="003907E6"/>
    <w:rsid w:val="00392A40"/>
    <w:rsid w:val="003A0B12"/>
    <w:rsid w:val="003A64F8"/>
    <w:rsid w:val="003C070E"/>
    <w:rsid w:val="003D0D5C"/>
    <w:rsid w:val="003D164E"/>
    <w:rsid w:val="003D5112"/>
    <w:rsid w:val="003F7D06"/>
    <w:rsid w:val="00401FBC"/>
    <w:rsid w:val="004034DD"/>
    <w:rsid w:val="00403BDE"/>
    <w:rsid w:val="00404262"/>
    <w:rsid w:val="004076C8"/>
    <w:rsid w:val="00407AA3"/>
    <w:rsid w:val="00412088"/>
    <w:rsid w:val="00413006"/>
    <w:rsid w:val="00420F7B"/>
    <w:rsid w:val="0042158F"/>
    <w:rsid w:val="00426766"/>
    <w:rsid w:val="00433252"/>
    <w:rsid w:val="00444972"/>
    <w:rsid w:val="004520B2"/>
    <w:rsid w:val="004551C7"/>
    <w:rsid w:val="004750FA"/>
    <w:rsid w:val="00481159"/>
    <w:rsid w:val="004907F6"/>
    <w:rsid w:val="004A74AD"/>
    <w:rsid w:val="004B5673"/>
    <w:rsid w:val="004B6103"/>
    <w:rsid w:val="004B7634"/>
    <w:rsid w:val="004C4371"/>
    <w:rsid w:val="004C6467"/>
    <w:rsid w:val="004E3B05"/>
    <w:rsid w:val="004E4C1A"/>
    <w:rsid w:val="004F571B"/>
    <w:rsid w:val="005020CF"/>
    <w:rsid w:val="005046C0"/>
    <w:rsid w:val="00506424"/>
    <w:rsid w:val="00507763"/>
    <w:rsid w:val="00510136"/>
    <w:rsid w:val="00522981"/>
    <w:rsid w:val="00526FB0"/>
    <w:rsid w:val="005400B1"/>
    <w:rsid w:val="005500A1"/>
    <w:rsid w:val="005532DD"/>
    <w:rsid w:val="00562403"/>
    <w:rsid w:val="00565EEE"/>
    <w:rsid w:val="00567332"/>
    <w:rsid w:val="00567390"/>
    <w:rsid w:val="00567C0E"/>
    <w:rsid w:val="005715DC"/>
    <w:rsid w:val="005732F3"/>
    <w:rsid w:val="00580AA0"/>
    <w:rsid w:val="00584980"/>
    <w:rsid w:val="005915DB"/>
    <w:rsid w:val="005932EC"/>
    <w:rsid w:val="005A598A"/>
    <w:rsid w:val="005B36C0"/>
    <w:rsid w:val="005B43D0"/>
    <w:rsid w:val="005B46C7"/>
    <w:rsid w:val="005B5666"/>
    <w:rsid w:val="005B650F"/>
    <w:rsid w:val="005B783E"/>
    <w:rsid w:val="005B7FB0"/>
    <w:rsid w:val="005C1DB7"/>
    <w:rsid w:val="005C29FE"/>
    <w:rsid w:val="005C3AB3"/>
    <w:rsid w:val="005D7D59"/>
    <w:rsid w:val="005F349B"/>
    <w:rsid w:val="005F43A4"/>
    <w:rsid w:val="00601F94"/>
    <w:rsid w:val="00606B7A"/>
    <w:rsid w:val="00612FB0"/>
    <w:rsid w:val="00613DD0"/>
    <w:rsid w:val="00614B20"/>
    <w:rsid w:val="00620BAE"/>
    <w:rsid w:val="006242D3"/>
    <w:rsid w:val="00627C3C"/>
    <w:rsid w:val="006330C3"/>
    <w:rsid w:val="006406F0"/>
    <w:rsid w:val="00660801"/>
    <w:rsid w:val="006670B3"/>
    <w:rsid w:val="00671EF6"/>
    <w:rsid w:val="00675234"/>
    <w:rsid w:val="006757AF"/>
    <w:rsid w:val="0069136F"/>
    <w:rsid w:val="00695F66"/>
    <w:rsid w:val="006A660A"/>
    <w:rsid w:val="006B30E2"/>
    <w:rsid w:val="006B377F"/>
    <w:rsid w:val="006C0430"/>
    <w:rsid w:val="006C149C"/>
    <w:rsid w:val="006D0C03"/>
    <w:rsid w:val="006D23FB"/>
    <w:rsid w:val="006D3328"/>
    <w:rsid w:val="006E2850"/>
    <w:rsid w:val="006E5E7E"/>
    <w:rsid w:val="006E7B00"/>
    <w:rsid w:val="006F60EA"/>
    <w:rsid w:val="007007F3"/>
    <w:rsid w:val="00701FD5"/>
    <w:rsid w:val="00705C21"/>
    <w:rsid w:val="0071186D"/>
    <w:rsid w:val="007157EC"/>
    <w:rsid w:val="007173F2"/>
    <w:rsid w:val="00733256"/>
    <w:rsid w:val="00757AAC"/>
    <w:rsid w:val="0076710E"/>
    <w:rsid w:val="00767C77"/>
    <w:rsid w:val="007948F0"/>
    <w:rsid w:val="00795D16"/>
    <w:rsid w:val="007A1C49"/>
    <w:rsid w:val="007B016E"/>
    <w:rsid w:val="007B0623"/>
    <w:rsid w:val="007C38AA"/>
    <w:rsid w:val="007D659A"/>
    <w:rsid w:val="007E09A0"/>
    <w:rsid w:val="007E3247"/>
    <w:rsid w:val="007E33FD"/>
    <w:rsid w:val="007E71E3"/>
    <w:rsid w:val="00801066"/>
    <w:rsid w:val="0080785C"/>
    <w:rsid w:val="0081394C"/>
    <w:rsid w:val="00816C4E"/>
    <w:rsid w:val="00825A7F"/>
    <w:rsid w:val="0083122E"/>
    <w:rsid w:val="008328CD"/>
    <w:rsid w:val="00835793"/>
    <w:rsid w:val="008375CA"/>
    <w:rsid w:val="00841E98"/>
    <w:rsid w:val="00845924"/>
    <w:rsid w:val="00846025"/>
    <w:rsid w:val="00860DB5"/>
    <w:rsid w:val="0086210A"/>
    <w:rsid w:val="0086327D"/>
    <w:rsid w:val="008644E5"/>
    <w:rsid w:val="0087518E"/>
    <w:rsid w:val="0087749E"/>
    <w:rsid w:val="00882886"/>
    <w:rsid w:val="0088601B"/>
    <w:rsid w:val="00893565"/>
    <w:rsid w:val="00894A5F"/>
    <w:rsid w:val="008B2601"/>
    <w:rsid w:val="008C0D1D"/>
    <w:rsid w:val="008D1A81"/>
    <w:rsid w:val="008D738D"/>
    <w:rsid w:val="008E04EB"/>
    <w:rsid w:val="008E08A8"/>
    <w:rsid w:val="008E1F3F"/>
    <w:rsid w:val="008E2ADC"/>
    <w:rsid w:val="008E2B53"/>
    <w:rsid w:val="008E4E09"/>
    <w:rsid w:val="008F1FFC"/>
    <w:rsid w:val="00901D83"/>
    <w:rsid w:val="009028BE"/>
    <w:rsid w:val="00904D76"/>
    <w:rsid w:val="00910BAC"/>
    <w:rsid w:val="00912D88"/>
    <w:rsid w:val="00914B77"/>
    <w:rsid w:val="009246CA"/>
    <w:rsid w:val="00934145"/>
    <w:rsid w:val="00936C8E"/>
    <w:rsid w:val="00946284"/>
    <w:rsid w:val="00952211"/>
    <w:rsid w:val="009642D2"/>
    <w:rsid w:val="00965192"/>
    <w:rsid w:val="00973C77"/>
    <w:rsid w:val="00974614"/>
    <w:rsid w:val="00974F20"/>
    <w:rsid w:val="00975BB2"/>
    <w:rsid w:val="00977760"/>
    <w:rsid w:val="009922D8"/>
    <w:rsid w:val="00995C66"/>
    <w:rsid w:val="009A75CF"/>
    <w:rsid w:val="009B681B"/>
    <w:rsid w:val="009C49B0"/>
    <w:rsid w:val="009C5E24"/>
    <w:rsid w:val="009C62B4"/>
    <w:rsid w:val="009D21C8"/>
    <w:rsid w:val="009F25AA"/>
    <w:rsid w:val="009F2F04"/>
    <w:rsid w:val="009F676F"/>
    <w:rsid w:val="00A10214"/>
    <w:rsid w:val="00A13BAF"/>
    <w:rsid w:val="00A203A2"/>
    <w:rsid w:val="00A227D5"/>
    <w:rsid w:val="00A24E20"/>
    <w:rsid w:val="00A3328B"/>
    <w:rsid w:val="00A51F68"/>
    <w:rsid w:val="00A54C8D"/>
    <w:rsid w:val="00A61378"/>
    <w:rsid w:val="00A66BA8"/>
    <w:rsid w:val="00A67448"/>
    <w:rsid w:val="00A71DDD"/>
    <w:rsid w:val="00A850AE"/>
    <w:rsid w:val="00A852A9"/>
    <w:rsid w:val="00A9152E"/>
    <w:rsid w:val="00A97394"/>
    <w:rsid w:val="00AA4821"/>
    <w:rsid w:val="00AA6FC9"/>
    <w:rsid w:val="00AB0131"/>
    <w:rsid w:val="00AB1810"/>
    <w:rsid w:val="00AB2998"/>
    <w:rsid w:val="00AB49A7"/>
    <w:rsid w:val="00AB4DAA"/>
    <w:rsid w:val="00AC0457"/>
    <w:rsid w:val="00AC648C"/>
    <w:rsid w:val="00AC6AD5"/>
    <w:rsid w:val="00AD07C7"/>
    <w:rsid w:val="00AD5D4B"/>
    <w:rsid w:val="00AD791F"/>
    <w:rsid w:val="00AD7D03"/>
    <w:rsid w:val="00AE2484"/>
    <w:rsid w:val="00AE5375"/>
    <w:rsid w:val="00AE64DC"/>
    <w:rsid w:val="00AF4FAE"/>
    <w:rsid w:val="00AF68CF"/>
    <w:rsid w:val="00B006BF"/>
    <w:rsid w:val="00B132A4"/>
    <w:rsid w:val="00B13535"/>
    <w:rsid w:val="00B15A96"/>
    <w:rsid w:val="00B23F86"/>
    <w:rsid w:val="00B3152C"/>
    <w:rsid w:val="00B3374B"/>
    <w:rsid w:val="00B344B6"/>
    <w:rsid w:val="00B51142"/>
    <w:rsid w:val="00B5617B"/>
    <w:rsid w:val="00B568B7"/>
    <w:rsid w:val="00B57AED"/>
    <w:rsid w:val="00B627B1"/>
    <w:rsid w:val="00B66251"/>
    <w:rsid w:val="00B66B92"/>
    <w:rsid w:val="00B721D7"/>
    <w:rsid w:val="00B728D1"/>
    <w:rsid w:val="00B7710A"/>
    <w:rsid w:val="00B77B8F"/>
    <w:rsid w:val="00B9405F"/>
    <w:rsid w:val="00B95368"/>
    <w:rsid w:val="00B96B6F"/>
    <w:rsid w:val="00BA6D74"/>
    <w:rsid w:val="00BB00B4"/>
    <w:rsid w:val="00BF05D2"/>
    <w:rsid w:val="00BF4C1D"/>
    <w:rsid w:val="00BF5CC6"/>
    <w:rsid w:val="00C00EEC"/>
    <w:rsid w:val="00C02F1A"/>
    <w:rsid w:val="00C2090C"/>
    <w:rsid w:val="00C214BC"/>
    <w:rsid w:val="00C2566C"/>
    <w:rsid w:val="00C26BCC"/>
    <w:rsid w:val="00C404F9"/>
    <w:rsid w:val="00C469F3"/>
    <w:rsid w:val="00C54E01"/>
    <w:rsid w:val="00C771BA"/>
    <w:rsid w:val="00C773C7"/>
    <w:rsid w:val="00C84758"/>
    <w:rsid w:val="00C85119"/>
    <w:rsid w:val="00C92FFC"/>
    <w:rsid w:val="00C93459"/>
    <w:rsid w:val="00C9497C"/>
    <w:rsid w:val="00C97FA5"/>
    <w:rsid w:val="00CA14E6"/>
    <w:rsid w:val="00CA35A5"/>
    <w:rsid w:val="00CB420C"/>
    <w:rsid w:val="00CC1C2A"/>
    <w:rsid w:val="00CC2F36"/>
    <w:rsid w:val="00CC3B8B"/>
    <w:rsid w:val="00CD1B49"/>
    <w:rsid w:val="00CE046A"/>
    <w:rsid w:val="00CE0810"/>
    <w:rsid w:val="00D00C81"/>
    <w:rsid w:val="00D01743"/>
    <w:rsid w:val="00D066A8"/>
    <w:rsid w:val="00D20504"/>
    <w:rsid w:val="00D21EF4"/>
    <w:rsid w:val="00D227B0"/>
    <w:rsid w:val="00D246D4"/>
    <w:rsid w:val="00D352D4"/>
    <w:rsid w:val="00D41C1E"/>
    <w:rsid w:val="00D470A3"/>
    <w:rsid w:val="00D51A45"/>
    <w:rsid w:val="00D636C9"/>
    <w:rsid w:val="00D703FB"/>
    <w:rsid w:val="00D80C10"/>
    <w:rsid w:val="00D81711"/>
    <w:rsid w:val="00D86303"/>
    <w:rsid w:val="00D973D1"/>
    <w:rsid w:val="00DA6310"/>
    <w:rsid w:val="00DC08FF"/>
    <w:rsid w:val="00DC4670"/>
    <w:rsid w:val="00DC5C7F"/>
    <w:rsid w:val="00DD354D"/>
    <w:rsid w:val="00DD3DBE"/>
    <w:rsid w:val="00DD62D5"/>
    <w:rsid w:val="00DD6B59"/>
    <w:rsid w:val="00DE72B3"/>
    <w:rsid w:val="00DF0113"/>
    <w:rsid w:val="00DF0CA5"/>
    <w:rsid w:val="00E0442A"/>
    <w:rsid w:val="00E21EE7"/>
    <w:rsid w:val="00E23DE4"/>
    <w:rsid w:val="00E24BBC"/>
    <w:rsid w:val="00E3007C"/>
    <w:rsid w:val="00E325D8"/>
    <w:rsid w:val="00E52769"/>
    <w:rsid w:val="00E540BE"/>
    <w:rsid w:val="00E572CE"/>
    <w:rsid w:val="00E66207"/>
    <w:rsid w:val="00E772BF"/>
    <w:rsid w:val="00E83243"/>
    <w:rsid w:val="00E84E3D"/>
    <w:rsid w:val="00E85A89"/>
    <w:rsid w:val="00E86809"/>
    <w:rsid w:val="00E86F2D"/>
    <w:rsid w:val="00E9248D"/>
    <w:rsid w:val="00EB010D"/>
    <w:rsid w:val="00EB011E"/>
    <w:rsid w:val="00EC4EF9"/>
    <w:rsid w:val="00EC717D"/>
    <w:rsid w:val="00EC7418"/>
    <w:rsid w:val="00ED0B37"/>
    <w:rsid w:val="00ED34EF"/>
    <w:rsid w:val="00ED4372"/>
    <w:rsid w:val="00EE5F77"/>
    <w:rsid w:val="00EF60AA"/>
    <w:rsid w:val="00F0132A"/>
    <w:rsid w:val="00F06FC3"/>
    <w:rsid w:val="00F1473A"/>
    <w:rsid w:val="00F14B0E"/>
    <w:rsid w:val="00F21A5A"/>
    <w:rsid w:val="00F26B41"/>
    <w:rsid w:val="00F308C2"/>
    <w:rsid w:val="00F3603D"/>
    <w:rsid w:val="00F40806"/>
    <w:rsid w:val="00F455CE"/>
    <w:rsid w:val="00F52682"/>
    <w:rsid w:val="00F55B8F"/>
    <w:rsid w:val="00F76FB1"/>
    <w:rsid w:val="00F83656"/>
    <w:rsid w:val="00F86807"/>
    <w:rsid w:val="00FA09D6"/>
    <w:rsid w:val="00FC4F85"/>
    <w:rsid w:val="00FE2091"/>
    <w:rsid w:val="00FE387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BB513-97C1-47A7-9971-AF1234A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49E"/>
    <w:pPr>
      <w:spacing w:after="0" w:line="360" w:lineRule="auto"/>
      <w:jc w:val="both"/>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qFormat/>
    <w:rsid w:val="002A72F4"/>
    <w:pPr>
      <w:keepNext/>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72F4"/>
    <w:rPr>
      <w:rFonts w:ascii="Arial" w:eastAsia="Times New Roman" w:hAnsi="Arial" w:cs="Arial"/>
      <w:i/>
      <w:iCs/>
      <w:sz w:val="28"/>
      <w:szCs w:val="24"/>
      <w:lang w:val="en-GB"/>
    </w:rPr>
  </w:style>
  <w:style w:type="paragraph" w:styleId="FootnoteText">
    <w:name w:val="footnote text"/>
    <w:basedOn w:val="Normal"/>
    <w:link w:val="FootnoteTextChar"/>
    <w:uiPriority w:val="99"/>
    <w:rsid w:val="002A72F4"/>
    <w:rPr>
      <w:sz w:val="20"/>
      <w:szCs w:val="20"/>
    </w:rPr>
  </w:style>
  <w:style w:type="character" w:customStyle="1" w:styleId="FootnoteTextChar">
    <w:name w:val="Footnote Text Char"/>
    <w:basedOn w:val="DefaultParagraphFont"/>
    <w:link w:val="FootnoteText"/>
    <w:uiPriority w:val="99"/>
    <w:rsid w:val="002A72F4"/>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2A72F4"/>
    <w:pPr>
      <w:ind w:left="720"/>
      <w:contextualSpacing/>
    </w:pPr>
  </w:style>
  <w:style w:type="character" w:styleId="FootnoteReference">
    <w:name w:val="footnote reference"/>
    <w:basedOn w:val="DefaultParagraphFont"/>
    <w:uiPriority w:val="99"/>
    <w:semiHidden/>
    <w:unhideWhenUsed/>
    <w:rsid w:val="002A72F4"/>
    <w:rPr>
      <w:vertAlign w:val="superscript"/>
    </w:rPr>
  </w:style>
  <w:style w:type="paragraph" w:styleId="Header">
    <w:name w:val="header"/>
    <w:basedOn w:val="Normal"/>
    <w:link w:val="HeaderChar"/>
    <w:uiPriority w:val="99"/>
    <w:unhideWhenUsed/>
    <w:rsid w:val="002A72F4"/>
    <w:pPr>
      <w:tabs>
        <w:tab w:val="center" w:pos="4513"/>
        <w:tab w:val="right" w:pos="9026"/>
      </w:tabs>
    </w:pPr>
  </w:style>
  <w:style w:type="character" w:customStyle="1" w:styleId="HeaderChar">
    <w:name w:val="Header Char"/>
    <w:basedOn w:val="DefaultParagraphFont"/>
    <w:link w:val="Header"/>
    <w:uiPriority w:val="99"/>
    <w:rsid w:val="002A72F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2A72F4"/>
    <w:pPr>
      <w:tabs>
        <w:tab w:val="center" w:pos="4513"/>
        <w:tab w:val="right" w:pos="9026"/>
      </w:tabs>
    </w:pPr>
  </w:style>
  <w:style w:type="character" w:customStyle="1" w:styleId="FooterChar">
    <w:name w:val="Footer Char"/>
    <w:basedOn w:val="DefaultParagraphFont"/>
    <w:link w:val="Footer"/>
    <w:uiPriority w:val="99"/>
    <w:rsid w:val="002A72F4"/>
    <w:rPr>
      <w:rFonts w:ascii="Times New Roman" w:eastAsia="Times New Roman" w:hAnsi="Times New Roman" w:cs="Times New Roman"/>
      <w:sz w:val="24"/>
      <w:szCs w:val="24"/>
      <w:lang w:val="en-GB"/>
    </w:rPr>
  </w:style>
  <w:style w:type="character" w:customStyle="1" w:styleId="g1">
    <w:name w:val="g1"/>
    <w:basedOn w:val="DefaultParagraphFont"/>
    <w:rsid w:val="002A72F4"/>
  </w:style>
  <w:style w:type="character" w:styleId="Hyperlink">
    <w:name w:val="Hyperlink"/>
    <w:basedOn w:val="DefaultParagraphFont"/>
    <w:uiPriority w:val="99"/>
    <w:semiHidden/>
    <w:unhideWhenUsed/>
    <w:rsid w:val="002A72F4"/>
    <w:rPr>
      <w:color w:val="0000FF"/>
      <w:u w:val="single"/>
    </w:rPr>
  </w:style>
  <w:style w:type="character" w:customStyle="1" w:styleId="mc">
    <w:name w:val="mc"/>
    <w:basedOn w:val="DefaultParagraphFont"/>
    <w:rsid w:val="002A72F4"/>
  </w:style>
  <w:style w:type="paragraph" w:styleId="BalloonText">
    <w:name w:val="Balloon Text"/>
    <w:basedOn w:val="Normal"/>
    <w:link w:val="BalloonTextChar"/>
    <w:uiPriority w:val="99"/>
    <w:semiHidden/>
    <w:unhideWhenUsed/>
    <w:rsid w:val="002A7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2F4"/>
    <w:rPr>
      <w:rFonts w:ascii="Segoe UI" w:eastAsia="Times New Roman" w:hAnsi="Segoe UI" w:cs="Segoe UI"/>
      <w:sz w:val="18"/>
      <w:szCs w:val="18"/>
      <w:lang w:val="en-GB"/>
    </w:rPr>
  </w:style>
  <w:style w:type="character" w:styleId="PlaceholderText">
    <w:name w:val="Placeholder Text"/>
    <w:basedOn w:val="DefaultParagraphFont"/>
    <w:uiPriority w:val="99"/>
    <w:semiHidden/>
    <w:rsid w:val="002A72F4"/>
    <w:rPr>
      <w:color w:val="808080"/>
    </w:rPr>
  </w:style>
  <w:style w:type="character" w:styleId="CommentReference">
    <w:name w:val="annotation reference"/>
    <w:basedOn w:val="DefaultParagraphFont"/>
    <w:uiPriority w:val="99"/>
    <w:semiHidden/>
    <w:unhideWhenUsed/>
    <w:rsid w:val="002A72F4"/>
    <w:rPr>
      <w:sz w:val="16"/>
      <w:szCs w:val="16"/>
    </w:rPr>
  </w:style>
  <w:style w:type="paragraph" w:styleId="CommentText">
    <w:name w:val="annotation text"/>
    <w:basedOn w:val="Normal"/>
    <w:link w:val="CommentTextChar"/>
    <w:uiPriority w:val="99"/>
    <w:semiHidden/>
    <w:unhideWhenUsed/>
    <w:rsid w:val="002A72F4"/>
    <w:rPr>
      <w:sz w:val="20"/>
      <w:szCs w:val="20"/>
    </w:rPr>
  </w:style>
  <w:style w:type="character" w:customStyle="1" w:styleId="CommentTextChar">
    <w:name w:val="Comment Text Char"/>
    <w:basedOn w:val="DefaultParagraphFont"/>
    <w:link w:val="CommentText"/>
    <w:uiPriority w:val="99"/>
    <w:semiHidden/>
    <w:rsid w:val="002A72F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A72F4"/>
    <w:rPr>
      <w:b/>
      <w:bCs/>
    </w:rPr>
  </w:style>
  <w:style w:type="character" w:customStyle="1" w:styleId="CommentSubjectChar">
    <w:name w:val="Comment Subject Char"/>
    <w:basedOn w:val="CommentTextChar"/>
    <w:link w:val="CommentSubject"/>
    <w:uiPriority w:val="99"/>
    <w:semiHidden/>
    <w:rsid w:val="002A72F4"/>
    <w:rPr>
      <w:rFonts w:ascii="Times New Roman" w:eastAsia="Times New Roman" w:hAnsi="Times New Roman" w:cs="Times New Roman"/>
      <w:b/>
      <w:bCs/>
      <w:sz w:val="20"/>
      <w:szCs w:val="20"/>
      <w:lang w:val="en-GB"/>
    </w:rPr>
  </w:style>
  <w:style w:type="paragraph" w:customStyle="1" w:styleId="Default">
    <w:name w:val="Default"/>
    <w:rsid w:val="00B13535"/>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Normal"/>
    <w:next w:val="Normal"/>
    <w:rsid w:val="00412088"/>
    <w:pPr>
      <w:autoSpaceDE w:val="0"/>
      <w:autoSpaceDN w:val="0"/>
      <w:adjustRightInd w:val="0"/>
      <w:spacing w:line="241" w:lineRule="atLeast"/>
      <w:jc w:val="left"/>
    </w:pPr>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57115">
      <w:bodyDiv w:val="1"/>
      <w:marLeft w:val="0"/>
      <w:marRight w:val="0"/>
      <w:marTop w:val="0"/>
      <w:marBottom w:val="0"/>
      <w:divBdr>
        <w:top w:val="none" w:sz="0" w:space="0" w:color="auto"/>
        <w:left w:val="none" w:sz="0" w:space="0" w:color="auto"/>
        <w:bottom w:val="none" w:sz="0" w:space="0" w:color="auto"/>
        <w:right w:val="none" w:sz="0" w:space="0" w:color="auto"/>
      </w:divBdr>
      <w:divsChild>
        <w:div w:id="1181696798">
          <w:marLeft w:val="0"/>
          <w:marRight w:val="0"/>
          <w:marTop w:val="180"/>
          <w:marBottom w:val="0"/>
          <w:divBdr>
            <w:top w:val="none" w:sz="0" w:space="0" w:color="auto"/>
            <w:left w:val="none" w:sz="0" w:space="0" w:color="auto"/>
            <w:bottom w:val="none" w:sz="0" w:space="0" w:color="auto"/>
            <w:right w:val="none" w:sz="0" w:space="0" w:color="auto"/>
          </w:divBdr>
        </w:div>
        <w:div w:id="69354788">
          <w:marLeft w:val="0"/>
          <w:marRight w:val="0"/>
          <w:marTop w:val="240"/>
          <w:marBottom w:val="24"/>
          <w:divBdr>
            <w:top w:val="single" w:sz="8" w:space="2" w:color="808080"/>
            <w:left w:val="none" w:sz="0" w:space="0" w:color="auto"/>
            <w:bottom w:val="none" w:sz="0" w:space="0" w:color="auto"/>
            <w:right w:val="none" w:sz="0" w:space="0" w:color="auto"/>
          </w:divBdr>
        </w:div>
        <w:div w:id="69814725">
          <w:marLeft w:val="0"/>
          <w:marRight w:val="0"/>
          <w:marTop w:val="180"/>
          <w:marBottom w:val="0"/>
          <w:divBdr>
            <w:top w:val="none" w:sz="0" w:space="0" w:color="auto"/>
            <w:left w:val="none" w:sz="0" w:space="0" w:color="auto"/>
            <w:bottom w:val="none" w:sz="0" w:space="0" w:color="auto"/>
            <w:right w:val="none" w:sz="0" w:space="0" w:color="auto"/>
          </w:divBdr>
        </w:div>
        <w:div w:id="91131010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ECCAFA0-4EF2-4235-AAB7-884EFB0E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Nolwazi Mabindla-Boqwana</dc:creator>
  <cp:keywords/>
  <dc:description/>
  <cp:lastModifiedBy>Ayanda Mdletshe</cp:lastModifiedBy>
  <cp:revision>2</cp:revision>
  <cp:lastPrinted>2021-12-03T06:39:00Z</cp:lastPrinted>
  <dcterms:created xsi:type="dcterms:W3CDTF">2021-12-03T08:59:00Z</dcterms:created>
  <dcterms:modified xsi:type="dcterms:W3CDTF">2021-12-03T08:59:00Z</dcterms:modified>
</cp:coreProperties>
</file>