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71EF" w14:textId="4A979958" w:rsidR="000E5583" w:rsidRDefault="000E5583" w:rsidP="00312F00">
      <w:pPr>
        <w:pStyle w:val="Heading1"/>
      </w:pPr>
    </w:p>
    <w:p w14:paraId="4D24C73F" w14:textId="669E91BE" w:rsidR="00543C10" w:rsidRPr="007D76CB" w:rsidRDefault="00857D62" w:rsidP="00136B74">
      <w:pPr>
        <w:spacing w:line="360" w:lineRule="auto"/>
        <w:jc w:val="center"/>
        <w:rPr>
          <w:b/>
          <w:bCs/>
          <w:sz w:val="32"/>
          <w:szCs w:val="32"/>
        </w:rPr>
      </w:pPr>
      <w:r w:rsidRPr="007D76CB">
        <w:rPr>
          <w:noProof/>
          <w:lang w:val="en-ZA" w:eastAsia="en-ZA"/>
        </w:rPr>
        <w:drawing>
          <wp:anchor distT="0" distB="0" distL="114300" distR="114300" simplePos="0" relativeHeight="251657216" behindDoc="0" locked="0" layoutInCell="1" allowOverlap="1" wp14:anchorId="29737D85" wp14:editId="4EA31548">
            <wp:simplePos x="0" y="0"/>
            <wp:positionH relativeFrom="page">
              <wp:align>center</wp:align>
            </wp:positionH>
            <wp:positionV relativeFrom="paragraph">
              <wp:posOffset>-683895</wp:posOffset>
            </wp:positionV>
            <wp:extent cx="799200" cy="9144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16FCAB9C" w14:textId="77777777" w:rsidR="00762537" w:rsidRPr="007D76CB" w:rsidRDefault="00762537" w:rsidP="00136B74">
      <w:pPr>
        <w:spacing w:line="360" w:lineRule="auto"/>
        <w:jc w:val="center"/>
        <w:rPr>
          <w:b/>
          <w:bCs/>
        </w:rPr>
      </w:pPr>
    </w:p>
    <w:p w14:paraId="76502C7A" w14:textId="77777777" w:rsidR="00944ABC" w:rsidRPr="00F14B1A" w:rsidRDefault="00944ABC" w:rsidP="004B40AE">
      <w:pPr>
        <w:spacing w:line="276" w:lineRule="auto"/>
        <w:jc w:val="center"/>
        <w:rPr>
          <w:b/>
          <w:bCs/>
        </w:rPr>
      </w:pPr>
      <w:r w:rsidRPr="00F14B1A">
        <w:rPr>
          <w:b/>
          <w:bCs/>
        </w:rPr>
        <w:t>THE SUPREME COURT OF APPEAL OF SOUTH AFRICA</w:t>
      </w:r>
    </w:p>
    <w:p w14:paraId="7CC735FC" w14:textId="77777777" w:rsidR="00944ABC" w:rsidRPr="00F14B1A" w:rsidRDefault="00944ABC" w:rsidP="004B40AE">
      <w:pPr>
        <w:pStyle w:val="Heading3"/>
        <w:spacing w:line="276" w:lineRule="auto"/>
        <w:rPr>
          <w:sz w:val="28"/>
          <w:szCs w:val="28"/>
          <w:lang w:val="en-GB"/>
        </w:rPr>
      </w:pPr>
      <w:r w:rsidRPr="00F14B1A">
        <w:rPr>
          <w:sz w:val="28"/>
          <w:szCs w:val="28"/>
          <w:lang w:val="en-GB"/>
        </w:rPr>
        <w:t>JUDGMENT</w:t>
      </w:r>
    </w:p>
    <w:p w14:paraId="016EF385" w14:textId="77777777" w:rsidR="009947C9" w:rsidRPr="00F14B1A" w:rsidRDefault="009947C9" w:rsidP="009947C9">
      <w:pPr>
        <w:spacing w:line="360" w:lineRule="auto"/>
      </w:pPr>
    </w:p>
    <w:p w14:paraId="1880E93F" w14:textId="5BD521A6" w:rsidR="00CB75E0" w:rsidRPr="00F14B1A" w:rsidRDefault="00944ABC" w:rsidP="004B40AE">
      <w:pPr>
        <w:spacing w:line="276" w:lineRule="auto"/>
        <w:jc w:val="center"/>
        <w:rPr>
          <w:b/>
        </w:rPr>
      </w:pPr>
      <w:r w:rsidRPr="00F14B1A">
        <w:rPr>
          <w:sz w:val="40"/>
          <w:szCs w:val="40"/>
        </w:rPr>
        <w:tab/>
      </w:r>
      <w:r w:rsidR="007B0636" w:rsidRPr="00F14B1A">
        <w:rPr>
          <w:sz w:val="40"/>
          <w:szCs w:val="40"/>
        </w:rPr>
        <w:tab/>
      </w:r>
      <w:r w:rsidR="007B0636" w:rsidRPr="00F14B1A">
        <w:rPr>
          <w:sz w:val="40"/>
          <w:szCs w:val="40"/>
        </w:rPr>
        <w:tab/>
        <w:t xml:space="preserve">                           </w:t>
      </w:r>
      <w:r w:rsidR="006453CC">
        <w:rPr>
          <w:sz w:val="40"/>
          <w:szCs w:val="40"/>
        </w:rPr>
        <w:tab/>
      </w:r>
      <w:r w:rsidR="006453CC">
        <w:rPr>
          <w:sz w:val="40"/>
          <w:szCs w:val="40"/>
        </w:rPr>
        <w:tab/>
        <w:t xml:space="preserve">       </w:t>
      </w:r>
      <w:r w:rsidR="007B0636" w:rsidRPr="00F14B1A">
        <w:rPr>
          <w:b/>
        </w:rPr>
        <w:t>Not Reportable</w:t>
      </w:r>
    </w:p>
    <w:p w14:paraId="2480C4A5" w14:textId="77777777" w:rsidR="00C757BA" w:rsidRPr="00F14B1A" w:rsidRDefault="00944ABC" w:rsidP="004B40AE">
      <w:pPr>
        <w:spacing w:line="276" w:lineRule="auto"/>
        <w:jc w:val="right"/>
      </w:pPr>
      <w:r w:rsidRPr="00F14B1A">
        <w:t xml:space="preserve">           </w:t>
      </w:r>
      <w:r w:rsidR="00440096" w:rsidRPr="00F14B1A">
        <w:t xml:space="preserve"> </w:t>
      </w:r>
      <w:r w:rsidRPr="00F14B1A">
        <w:t>Case no:</w:t>
      </w:r>
      <w:r w:rsidR="00242791" w:rsidRPr="00F14B1A">
        <w:t xml:space="preserve"> </w:t>
      </w:r>
      <w:r w:rsidR="00946151" w:rsidRPr="00F14B1A">
        <w:t>1140/2020</w:t>
      </w:r>
    </w:p>
    <w:p w14:paraId="3F5707AD" w14:textId="77777777" w:rsidR="007C4779" w:rsidRDefault="007C4779" w:rsidP="00C63FCC">
      <w:pPr>
        <w:spacing w:line="276" w:lineRule="auto"/>
      </w:pPr>
    </w:p>
    <w:p w14:paraId="7B04BA1A" w14:textId="0371C9CA" w:rsidR="00944ABC" w:rsidRPr="00F14B1A" w:rsidRDefault="00944ABC" w:rsidP="00C63FCC">
      <w:pPr>
        <w:spacing w:line="276" w:lineRule="auto"/>
      </w:pPr>
      <w:r w:rsidRPr="00F14B1A">
        <w:t>In the matter between:</w:t>
      </w:r>
    </w:p>
    <w:p w14:paraId="7F647CED" w14:textId="77777777" w:rsidR="002F19CB" w:rsidRPr="00F14B1A" w:rsidRDefault="002F19CB" w:rsidP="007C4779"/>
    <w:p w14:paraId="3D83865B" w14:textId="77777777" w:rsidR="00FC0FAF" w:rsidRPr="00F14B1A" w:rsidRDefault="00946151" w:rsidP="00242643">
      <w:pPr>
        <w:spacing w:line="276" w:lineRule="auto"/>
        <w:rPr>
          <w:b/>
          <w:bCs/>
        </w:rPr>
      </w:pPr>
      <w:r w:rsidRPr="00F14B1A">
        <w:rPr>
          <w:b/>
          <w:bCs/>
        </w:rPr>
        <w:t xml:space="preserve">FORMER WAY TRADE AND </w:t>
      </w:r>
    </w:p>
    <w:p w14:paraId="7212F7DE" w14:textId="77777777" w:rsidR="00FC0FAF" w:rsidRPr="00F14B1A" w:rsidRDefault="00946151" w:rsidP="00242643">
      <w:pPr>
        <w:spacing w:line="276" w:lineRule="auto"/>
        <w:rPr>
          <w:b/>
          <w:bCs/>
        </w:rPr>
      </w:pPr>
      <w:r w:rsidRPr="00F14B1A">
        <w:rPr>
          <w:b/>
          <w:bCs/>
        </w:rPr>
        <w:t>INVEST (PTY) LTD t/a PREMIER</w:t>
      </w:r>
    </w:p>
    <w:p w14:paraId="16196CF5" w14:textId="6ECE816A" w:rsidR="00242791" w:rsidRPr="00F14B1A" w:rsidRDefault="00946151" w:rsidP="004B40AE">
      <w:pPr>
        <w:spacing w:line="276" w:lineRule="auto"/>
        <w:rPr>
          <w:b/>
          <w:bCs/>
        </w:rPr>
      </w:pPr>
      <w:r w:rsidRPr="00F14B1A">
        <w:rPr>
          <w:b/>
          <w:bCs/>
        </w:rPr>
        <w:t>SERVICE STATION</w:t>
      </w:r>
      <w:r w:rsidR="002F19CB" w:rsidRPr="00F14B1A">
        <w:rPr>
          <w:b/>
          <w:bCs/>
        </w:rPr>
        <w:t xml:space="preserve">                         </w:t>
      </w:r>
      <w:r w:rsidR="00242791" w:rsidRPr="00F14B1A">
        <w:rPr>
          <w:b/>
          <w:bCs/>
        </w:rPr>
        <w:t xml:space="preserve"> </w:t>
      </w:r>
      <w:r w:rsidR="002F19CB" w:rsidRPr="00F14B1A">
        <w:rPr>
          <w:b/>
          <w:bCs/>
        </w:rPr>
        <w:t xml:space="preserve">               </w:t>
      </w:r>
      <w:r w:rsidR="00FC0FAF" w:rsidRPr="00F14B1A">
        <w:rPr>
          <w:b/>
          <w:bCs/>
        </w:rPr>
        <w:t xml:space="preserve">     </w:t>
      </w:r>
      <w:r w:rsidRPr="00F14B1A">
        <w:rPr>
          <w:b/>
          <w:bCs/>
        </w:rPr>
        <w:t xml:space="preserve">FIRST </w:t>
      </w:r>
      <w:r w:rsidR="008C50CE" w:rsidRPr="00F14B1A">
        <w:rPr>
          <w:b/>
          <w:bCs/>
        </w:rPr>
        <w:t>APPELLANT</w:t>
      </w:r>
    </w:p>
    <w:p w14:paraId="6875A8BA" w14:textId="77777777" w:rsidR="00946151" w:rsidRPr="00F14B1A" w:rsidRDefault="00946151" w:rsidP="007C4779">
      <w:pPr>
        <w:rPr>
          <w:b/>
          <w:bCs/>
        </w:rPr>
      </w:pPr>
    </w:p>
    <w:p w14:paraId="04D6CA7B" w14:textId="77777777" w:rsidR="00946151" w:rsidRPr="00F14B1A" w:rsidRDefault="00946151" w:rsidP="00242643">
      <w:pPr>
        <w:spacing w:line="276" w:lineRule="auto"/>
        <w:rPr>
          <w:b/>
          <w:bCs/>
        </w:rPr>
      </w:pPr>
      <w:r w:rsidRPr="00F14B1A">
        <w:rPr>
          <w:b/>
          <w:bCs/>
        </w:rPr>
        <w:t>LEE B</w:t>
      </w:r>
      <w:r w:rsidR="008D25F5" w:rsidRPr="00F14B1A">
        <w:rPr>
          <w:b/>
          <w:bCs/>
        </w:rPr>
        <w:t>ENT</w:t>
      </w:r>
      <w:r w:rsidRPr="00F14B1A">
        <w:rPr>
          <w:b/>
          <w:bCs/>
        </w:rPr>
        <w:t>Z</w:t>
      </w:r>
      <w:r w:rsidRPr="00F14B1A">
        <w:rPr>
          <w:b/>
          <w:bCs/>
        </w:rPr>
        <w:tab/>
      </w:r>
      <w:r w:rsidRPr="00F14B1A">
        <w:rPr>
          <w:b/>
          <w:bCs/>
        </w:rPr>
        <w:tab/>
      </w:r>
      <w:r w:rsidRPr="00F14B1A">
        <w:rPr>
          <w:b/>
          <w:bCs/>
        </w:rPr>
        <w:tab/>
      </w:r>
      <w:r w:rsidRPr="00F14B1A">
        <w:rPr>
          <w:b/>
          <w:bCs/>
        </w:rPr>
        <w:tab/>
      </w:r>
      <w:r w:rsidRPr="00F14B1A">
        <w:rPr>
          <w:b/>
          <w:bCs/>
        </w:rPr>
        <w:tab/>
        <w:t xml:space="preserve">     SECOND APPELLANT</w:t>
      </w:r>
    </w:p>
    <w:p w14:paraId="28DBFA16" w14:textId="251C5141" w:rsidR="007B0636" w:rsidRPr="00F14B1A" w:rsidRDefault="007B0636" w:rsidP="00C63FCC">
      <w:pPr>
        <w:spacing w:line="240" w:lineRule="auto"/>
        <w:rPr>
          <w:b/>
          <w:bCs/>
        </w:rPr>
      </w:pPr>
    </w:p>
    <w:p w14:paraId="1A15F330" w14:textId="77777777" w:rsidR="00944ABC" w:rsidRPr="00F14B1A" w:rsidRDefault="0018144F" w:rsidP="00C63FCC">
      <w:pPr>
        <w:spacing w:line="276" w:lineRule="auto"/>
      </w:pPr>
      <w:r w:rsidRPr="00F14B1A">
        <w:t>a</w:t>
      </w:r>
      <w:r w:rsidR="00944ABC" w:rsidRPr="00F14B1A">
        <w:t>nd</w:t>
      </w:r>
    </w:p>
    <w:p w14:paraId="64E9BEE4" w14:textId="1209198E" w:rsidR="007B0636" w:rsidRPr="00F14B1A" w:rsidRDefault="007B0636" w:rsidP="00C63FCC">
      <w:pPr>
        <w:spacing w:line="276" w:lineRule="auto"/>
        <w:rPr>
          <w:b/>
        </w:rPr>
      </w:pPr>
    </w:p>
    <w:p w14:paraId="764D0E30" w14:textId="77777777" w:rsidR="00946151" w:rsidRPr="00F14B1A" w:rsidRDefault="00946151" w:rsidP="00242643">
      <w:pPr>
        <w:spacing w:line="276" w:lineRule="auto"/>
        <w:jc w:val="left"/>
        <w:rPr>
          <w:b/>
          <w:bCs/>
        </w:rPr>
      </w:pPr>
      <w:r w:rsidRPr="00F14B1A">
        <w:rPr>
          <w:b/>
          <w:bCs/>
        </w:rPr>
        <w:t xml:space="preserve">BRIGHT IDEA PROJECTS 66 (PTY) LTD </w:t>
      </w:r>
    </w:p>
    <w:p w14:paraId="05262DB8" w14:textId="77777777" w:rsidR="00944ABC" w:rsidRPr="00F14B1A" w:rsidRDefault="00946151" w:rsidP="00242643">
      <w:pPr>
        <w:spacing w:line="276" w:lineRule="auto"/>
        <w:jc w:val="left"/>
        <w:rPr>
          <w:b/>
          <w:bCs/>
        </w:rPr>
      </w:pPr>
      <w:r w:rsidRPr="00F14B1A">
        <w:rPr>
          <w:b/>
          <w:bCs/>
        </w:rPr>
        <w:t>t/a ALL FUELS</w:t>
      </w:r>
      <w:r w:rsidR="007B0636" w:rsidRPr="00F14B1A">
        <w:rPr>
          <w:b/>
          <w:bCs/>
        </w:rPr>
        <w:tab/>
      </w:r>
      <w:r w:rsidR="007B0636" w:rsidRPr="00F14B1A">
        <w:rPr>
          <w:b/>
          <w:bCs/>
        </w:rPr>
        <w:tab/>
      </w:r>
      <w:r w:rsidR="007B0636" w:rsidRPr="00F14B1A">
        <w:rPr>
          <w:b/>
          <w:bCs/>
        </w:rPr>
        <w:tab/>
      </w:r>
      <w:r w:rsidR="002F19CB" w:rsidRPr="00F14B1A">
        <w:rPr>
          <w:b/>
          <w:bCs/>
        </w:rPr>
        <w:t xml:space="preserve">            </w:t>
      </w:r>
      <w:r w:rsidR="004B0DB8" w:rsidRPr="00F14B1A">
        <w:rPr>
          <w:b/>
          <w:bCs/>
        </w:rPr>
        <w:t xml:space="preserve">      </w:t>
      </w:r>
      <w:r w:rsidR="007B0636" w:rsidRPr="00F14B1A">
        <w:rPr>
          <w:b/>
          <w:bCs/>
        </w:rPr>
        <w:tab/>
        <w:t xml:space="preserve">                   </w:t>
      </w:r>
      <w:r w:rsidR="002F19CB" w:rsidRPr="00F14B1A">
        <w:rPr>
          <w:b/>
          <w:bCs/>
        </w:rPr>
        <w:t>RESPONDEN</w:t>
      </w:r>
      <w:r w:rsidR="00C96821" w:rsidRPr="00F14B1A">
        <w:rPr>
          <w:b/>
          <w:bCs/>
        </w:rPr>
        <w:t>T</w:t>
      </w:r>
    </w:p>
    <w:p w14:paraId="24B49D13" w14:textId="77777777" w:rsidR="006D465C" w:rsidRPr="00F14B1A" w:rsidRDefault="006D465C" w:rsidP="007C4779">
      <w:pPr>
        <w:jc w:val="left"/>
        <w:rPr>
          <w:b/>
          <w:bCs/>
        </w:rPr>
      </w:pPr>
    </w:p>
    <w:p w14:paraId="0D32C58A" w14:textId="362DE545" w:rsidR="00944ABC" w:rsidRPr="00F14B1A" w:rsidRDefault="00944ABC" w:rsidP="00946151">
      <w:pPr>
        <w:spacing w:line="276" w:lineRule="auto"/>
        <w:rPr>
          <w:bCs/>
        </w:rPr>
      </w:pPr>
      <w:r w:rsidRPr="00F14B1A">
        <w:rPr>
          <w:b/>
          <w:bCs/>
        </w:rPr>
        <w:t>Neutral citation:</w:t>
      </w:r>
      <w:r w:rsidRPr="00F14B1A">
        <w:rPr>
          <w:b/>
          <w:bCs/>
        </w:rPr>
        <w:tab/>
      </w:r>
      <w:bookmarkStart w:id="0" w:name="_GoBack"/>
      <w:r w:rsidR="00946151" w:rsidRPr="00F14B1A">
        <w:rPr>
          <w:bCs/>
          <w:i/>
        </w:rPr>
        <w:t>Former Way Trade and Invest (Pty) Ltd t/a Premier Service Station</w:t>
      </w:r>
      <w:r w:rsidR="00601459" w:rsidRPr="00F14B1A">
        <w:rPr>
          <w:bCs/>
          <w:i/>
        </w:rPr>
        <w:t xml:space="preserve"> and Another</w:t>
      </w:r>
      <w:r w:rsidR="00946151" w:rsidRPr="00F14B1A">
        <w:rPr>
          <w:bCs/>
          <w:i/>
        </w:rPr>
        <w:t xml:space="preserve"> v Bright Idea Projects 66 (Pty) Ltd t/a All Fuels</w:t>
      </w:r>
      <w:r w:rsidR="009947C9" w:rsidRPr="00F14B1A">
        <w:rPr>
          <w:bCs/>
          <w:i/>
        </w:rPr>
        <w:t xml:space="preserve"> </w:t>
      </w:r>
      <w:bookmarkEnd w:id="0"/>
      <w:r w:rsidR="009947C9" w:rsidRPr="00F14B1A">
        <w:rPr>
          <w:bCs/>
        </w:rPr>
        <w:t>(</w:t>
      </w:r>
      <w:r w:rsidR="00946151" w:rsidRPr="00F14B1A">
        <w:rPr>
          <w:bCs/>
        </w:rPr>
        <w:t>1140</w:t>
      </w:r>
      <w:r w:rsidR="007B0636" w:rsidRPr="00F14B1A">
        <w:rPr>
          <w:bCs/>
        </w:rPr>
        <w:t>/2020</w:t>
      </w:r>
      <w:r w:rsidR="009947C9" w:rsidRPr="00F14B1A">
        <w:rPr>
          <w:bCs/>
        </w:rPr>
        <w:t>) [2021] ZASCA</w:t>
      </w:r>
      <w:r w:rsidR="006D465C" w:rsidRPr="00F14B1A">
        <w:rPr>
          <w:bCs/>
        </w:rPr>
        <w:t xml:space="preserve"> </w:t>
      </w:r>
      <w:r w:rsidR="004F5ABD">
        <w:rPr>
          <w:bCs/>
        </w:rPr>
        <w:t>175</w:t>
      </w:r>
      <w:r w:rsidR="006D465C" w:rsidRPr="00F14B1A">
        <w:rPr>
          <w:bCs/>
        </w:rPr>
        <w:t xml:space="preserve"> </w:t>
      </w:r>
      <w:r w:rsidR="00782AAD" w:rsidRPr="00F14B1A">
        <w:rPr>
          <w:bCs/>
        </w:rPr>
        <w:t>(</w:t>
      </w:r>
      <w:r w:rsidR="007C4779">
        <w:rPr>
          <w:bCs/>
        </w:rPr>
        <w:t>14</w:t>
      </w:r>
      <w:r w:rsidR="00A50EA8" w:rsidRPr="00F14B1A">
        <w:rPr>
          <w:bCs/>
        </w:rPr>
        <w:t xml:space="preserve"> </w:t>
      </w:r>
      <w:r w:rsidR="00855994" w:rsidRPr="00F14B1A">
        <w:rPr>
          <w:bCs/>
        </w:rPr>
        <w:t xml:space="preserve">December </w:t>
      </w:r>
      <w:r w:rsidR="009947C9" w:rsidRPr="00F14B1A">
        <w:rPr>
          <w:bCs/>
        </w:rPr>
        <w:t>2021)</w:t>
      </w:r>
    </w:p>
    <w:p w14:paraId="64DC5BC4" w14:textId="4EF51FD7" w:rsidR="007C4779" w:rsidRPr="00F14B1A" w:rsidRDefault="007C4779" w:rsidP="007C4779">
      <w:pPr>
        <w:rPr>
          <w:i/>
        </w:rPr>
      </w:pPr>
    </w:p>
    <w:p w14:paraId="1D53D4CE" w14:textId="77777777" w:rsidR="00944ABC" w:rsidRPr="00F14B1A" w:rsidRDefault="00944ABC" w:rsidP="00C63FCC">
      <w:pPr>
        <w:spacing w:line="276" w:lineRule="auto"/>
        <w:ind w:left="1440" w:hanging="1440"/>
      </w:pPr>
      <w:r w:rsidRPr="00F14B1A">
        <w:rPr>
          <w:b/>
          <w:bCs/>
        </w:rPr>
        <w:t>Coram:</w:t>
      </w:r>
      <w:r w:rsidR="008E79D5" w:rsidRPr="00F14B1A">
        <w:tab/>
      </w:r>
      <w:r w:rsidR="007B0636" w:rsidRPr="00F14B1A">
        <w:t xml:space="preserve">VAN DER MERWE, </w:t>
      </w:r>
      <w:r w:rsidR="00946151" w:rsidRPr="00F14B1A">
        <w:t>MAKGOKA, PLASKET, MBATHA and MABINDLA-BOQWANA JJA</w:t>
      </w:r>
    </w:p>
    <w:p w14:paraId="620D9089" w14:textId="65B97A6D" w:rsidR="007C4779" w:rsidRPr="00F14B1A" w:rsidRDefault="007C4779" w:rsidP="007C4779">
      <w:pPr>
        <w:rPr>
          <w:b/>
          <w:bCs/>
          <w:i/>
          <w:iCs/>
        </w:rPr>
      </w:pPr>
    </w:p>
    <w:p w14:paraId="63FB8943" w14:textId="77777777" w:rsidR="00FE108C" w:rsidRPr="00F14B1A" w:rsidRDefault="00944ABC" w:rsidP="00C63FCC">
      <w:pPr>
        <w:spacing w:line="240" w:lineRule="auto"/>
      </w:pPr>
      <w:r w:rsidRPr="00F14B1A">
        <w:rPr>
          <w:b/>
          <w:bCs/>
        </w:rPr>
        <w:t>Heard</w:t>
      </w:r>
      <w:r w:rsidRPr="00F14B1A">
        <w:rPr>
          <w:b/>
        </w:rPr>
        <w:t>:</w:t>
      </w:r>
      <w:r w:rsidRPr="00F14B1A">
        <w:tab/>
      </w:r>
      <w:r w:rsidR="00946151" w:rsidRPr="00F14B1A">
        <w:t>16 November</w:t>
      </w:r>
      <w:r w:rsidR="007B0636" w:rsidRPr="00F14B1A">
        <w:t xml:space="preserve"> 2</w:t>
      </w:r>
      <w:r w:rsidR="009947C9" w:rsidRPr="00F14B1A">
        <w:t>021</w:t>
      </w:r>
    </w:p>
    <w:p w14:paraId="7D8A9041" w14:textId="628DC954" w:rsidR="007C4779" w:rsidRDefault="007C4779" w:rsidP="007C4779"/>
    <w:p w14:paraId="74718E74" w14:textId="1B2A4538" w:rsidR="007C4779" w:rsidRDefault="007C4779" w:rsidP="007C4779"/>
    <w:p w14:paraId="3EAF6E2E" w14:textId="0A444612" w:rsidR="006D465C" w:rsidRPr="00F14B1A" w:rsidRDefault="00944ABC" w:rsidP="00FC0FAF">
      <w:pPr>
        <w:spacing w:line="360" w:lineRule="auto"/>
        <w:ind w:left="1440" w:hanging="1440"/>
      </w:pPr>
      <w:r w:rsidRPr="00F14B1A">
        <w:rPr>
          <w:b/>
          <w:bCs/>
        </w:rPr>
        <w:lastRenderedPageBreak/>
        <w:t>Delivered</w:t>
      </w:r>
      <w:r w:rsidRPr="00F14B1A">
        <w:rPr>
          <w:b/>
        </w:rPr>
        <w:t>:</w:t>
      </w:r>
      <w:r w:rsidRPr="00F14B1A">
        <w:tab/>
      </w:r>
      <w:r w:rsidR="00C757BA" w:rsidRPr="00F14B1A">
        <w:t>This</w:t>
      </w:r>
      <w:r w:rsidR="0009764D" w:rsidRPr="00F14B1A">
        <w:t xml:space="preserve"> </w:t>
      </w:r>
      <w:r w:rsidR="00C757BA" w:rsidRPr="00F14B1A">
        <w:t>judgment</w:t>
      </w:r>
      <w:r w:rsidR="00757777" w:rsidRPr="00F14B1A">
        <w:t xml:space="preserve"> was handed down electronically </w:t>
      </w:r>
      <w:r w:rsidR="00C757BA" w:rsidRPr="00F14B1A">
        <w:t>by circulation to the parties’ representatives by email, publication on the Supreme Court of Appeal website and release</w:t>
      </w:r>
      <w:r w:rsidR="004A3D70" w:rsidRPr="00F14B1A">
        <w:t>d</w:t>
      </w:r>
      <w:r w:rsidR="00242643" w:rsidRPr="00F14B1A">
        <w:t xml:space="preserve"> to SAFLII. The date and time </w:t>
      </w:r>
      <w:r w:rsidR="00C757BA" w:rsidRPr="00F14B1A">
        <w:t xml:space="preserve">for hand-down of the judgment is deemed to be </w:t>
      </w:r>
      <w:r w:rsidR="009947C9" w:rsidRPr="00F14B1A">
        <w:t>10h00</w:t>
      </w:r>
      <w:r w:rsidR="00C757BA" w:rsidRPr="00F14B1A">
        <w:t xml:space="preserve"> on </w:t>
      </w:r>
      <w:r w:rsidR="007C4779">
        <w:t>14</w:t>
      </w:r>
      <w:r w:rsidR="006D465C" w:rsidRPr="00F14B1A">
        <w:t xml:space="preserve"> </w:t>
      </w:r>
      <w:r w:rsidR="00302641" w:rsidRPr="00F14B1A">
        <w:t xml:space="preserve">December </w:t>
      </w:r>
      <w:r w:rsidR="009947C9" w:rsidRPr="00F14B1A">
        <w:t>2021.</w:t>
      </w:r>
    </w:p>
    <w:p w14:paraId="07ECAE9B" w14:textId="77777777" w:rsidR="0028580F" w:rsidRPr="00F14B1A" w:rsidRDefault="0028580F" w:rsidP="00FC0FAF">
      <w:pPr>
        <w:spacing w:line="360" w:lineRule="auto"/>
        <w:ind w:left="1440" w:hanging="1440"/>
      </w:pPr>
    </w:p>
    <w:p w14:paraId="6B22BF0A" w14:textId="71FE55B1" w:rsidR="0013529D" w:rsidRPr="00F14B1A" w:rsidRDefault="009947C9" w:rsidP="00544761">
      <w:pPr>
        <w:spacing w:line="360" w:lineRule="auto"/>
        <w:rPr>
          <w:color w:val="222222"/>
          <w:shd w:val="clear" w:color="auto" w:fill="FFFFFF"/>
        </w:rPr>
      </w:pPr>
      <w:r w:rsidRPr="00F14B1A">
        <w:rPr>
          <w:b/>
        </w:rPr>
        <w:t>Summary:</w:t>
      </w:r>
      <w:r w:rsidR="00544761" w:rsidRPr="00F14B1A">
        <w:rPr>
          <w:b/>
        </w:rPr>
        <w:tab/>
      </w:r>
      <w:r w:rsidR="0025407E" w:rsidRPr="00F14B1A">
        <w:rPr>
          <w:color w:val="222222"/>
          <w:shd w:val="clear" w:color="auto" w:fill="FFFFFF"/>
        </w:rPr>
        <w:t>Contempt of court – requisites for contempt satisfied – wilful disregard of the order and mala fides proved on the part of the appellants – duty to comply with court orders – appeal dismissed.</w:t>
      </w:r>
      <w:r w:rsidR="00302641" w:rsidRPr="00F14B1A">
        <w:t xml:space="preserve"> </w:t>
      </w:r>
    </w:p>
    <w:p w14:paraId="2FC4A959" w14:textId="77777777" w:rsidR="009947C9" w:rsidRPr="00F14B1A" w:rsidRDefault="009947C9" w:rsidP="00544761">
      <w:pPr>
        <w:tabs>
          <w:tab w:val="left" w:pos="6237"/>
        </w:tabs>
        <w:spacing w:before="240" w:line="360" w:lineRule="auto"/>
        <w:rPr>
          <w:b/>
        </w:rPr>
      </w:pPr>
      <w:r w:rsidRPr="00F14B1A">
        <w:rPr>
          <w:b/>
        </w:rPr>
        <w:t>___________________________________________________________</w:t>
      </w:r>
    </w:p>
    <w:p w14:paraId="26A19A6B" w14:textId="77777777" w:rsidR="004162F2" w:rsidRPr="00F14B1A" w:rsidRDefault="004162F2" w:rsidP="00544761">
      <w:pPr>
        <w:tabs>
          <w:tab w:val="left" w:pos="6237"/>
        </w:tabs>
        <w:spacing w:line="240" w:lineRule="auto"/>
        <w:jc w:val="center"/>
        <w:rPr>
          <w:b/>
        </w:rPr>
      </w:pPr>
    </w:p>
    <w:p w14:paraId="20ADC19B" w14:textId="77777777" w:rsidR="00F051A7" w:rsidRPr="00F14B1A" w:rsidRDefault="00F051A7" w:rsidP="00544761">
      <w:pPr>
        <w:tabs>
          <w:tab w:val="left" w:pos="6237"/>
        </w:tabs>
        <w:spacing w:line="360" w:lineRule="auto"/>
        <w:jc w:val="center"/>
        <w:rPr>
          <w:b/>
        </w:rPr>
      </w:pPr>
      <w:r w:rsidRPr="00F14B1A">
        <w:rPr>
          <w:b/>
        </w:rPr>
        <w:t>ORDER</w:t>
      </w:r>
    </w:p>
    <w:p w14:paraId="5B2EED44" w14:textId="77777777" w:rsidR="00544761" w:rsidRPr="00F14B1A" w:rsidRDefault="00544761" w:rsidP="00544761">
      <w:pPr>
        <w:tabs>
          <w:tab w:val="left" w:pos="6237"/>
        </w:tabs>
        <w:spacing w:line="360" w:lineRule="auto"/>
        <w:rPr>
          <w:b/>
        </w:rPr>
      </w:pPr>
      <w:r w:rsidRPr="00F14B1A">
        <w:rPr>
          <w:b/>
        </w:rPr>
        <w:t>___________________________________________________________</w:t>
      </w:r>
    </w:p>
    <w:p w14:paraId="29EF26DA" w14:textId="77777777" w:rsidR="00D34036" w:rsidRDefault="00D34036" w:rsidP="004B40AE">
      <w:pPr>
        <w:spacing w:line="360" w:lineRule="auto"/>
        <w:rPr>
          <w:b/>
          <w:bCs/>
        </w:rPr>
      </w:pPr>
    </w:p>
    <w:p w14:paraId="58BEAF73" w14:textId="3F228257" w:rsidR="00F051A7" w:rsidRPr="00F14B1A" w:rsidRDefault="000E7915" w:rsidP="004B40AE">
      <w:pPr>
        <w:spacing w:line="360" w:lineRule="auto"/>
        <w:rPr>
          <w:bCs/>
        </w:rPr>
      </w:pPr>
      <w:r w:rsidRPr="00F14B1A">
        <w:rPr>
          <w:b/>
          <w:bCs/>
        </w:rPr>
        <w:t xml:space="preserve">On appeal from: </w:t>
      </w:r>
      <w:r w:rsidR="00946151" w:rsidRPr="00F14B1A">
        <w:t>KwaZulu-Natal</w:t>
      </w:r>
      <w:r w:rsidR="005F03EC" w:rsidRPr="00F14B1A">
        <w:t xml:space="preserve"> Division of the </w:t>
      </w:r>
      <w:r w:rsidR="000A2078" w:rsidRPr="00F14B1A">
        <w:t>High Court</w:t>
      </w:r>
      <w:r w:rsidR="00946151" w:rsidRPr="00F14B1A">
        <w:t>, Pietermaritzburg</w:t>
      </w:r>
      <w:r w:rsidR="005F03EC" w:rsidRPr="00F14B1A">
        <w:rPr>
          <w:bCs/>
        </w:rPr>
        <w:t xml:space="preserve"> </w:t>
      </w:r>
      <w:r w:rsidR="00F051A7" w:rsidRPr="00F14B1A">
        <w:rPr>
          <w:bCs/>
        </w:rPr>
        <w:t>(</w:t>
      </w:r>
      <w:r w:rsidR="00946151" w:rsidRPr="00F14B1A">
        <w:rPr>
          <w:bCs/>
        </w:rPr>
        <w:t>Govender AJ</w:t>
      </w:r>
      <w:r w:rsidR="00F051A7" w:rsidRPr="00F14B1A">
        <w:rPr>
          <w:bCs/>
        </w:rPr>
        <w:t xml:space="preserve"> sitting as court of first instance):</w:t>
      </w:r>
    </w:p>
    <w:p w14:paraId="39C15E87" w14:textId="64897ED5" w:rsidR="00FC0FAF" w:rsidRDefault="00FC0FAF" w:rsidP="0083081E">
      <w:pPr>
        <w:spacing w:line="360" w:lineRule="auto"/>
        <w:rPr>
          <w:bCs/>
        </w:rPr>
      </w:pPr>
      <w:r w:rsidRPr="00F14B1A">
        <w:rPr>
          <w:bCs/>
        </w:rPr>
        <w:t>The appeal is dismissed with costs.</w:t>
      </w:r>
    </w:p>
    <w:p w14:paraId="09D3A047" w14:textId="36AC0599" w:rsidR="007C4779" w:rsidRDefault="007C4779" w:rsidP="0083081E">
      <w:pPr>
        <w:spacing w:line="360" w:lineRule="auto"/>
        <w:rPr>
          <w:bCs/>
        </w:rPr>
      </w:pPr>
    </w:p>
    <w:p w14:paraId="005F985A" w14:textId="7E22651F" w:rsidR="007C4779" w:rsidRDefault="007C4779" w:rsidP="0083081E">
      <w:pPr>
        <w:spacing w:line="360" w:lineRule="auto"/>
        <w:rPr>
          <w:bCs/>
        </w:rPr>
      </w:pPr>
    </w:p>
    <w:p w14:paraId="088E41DD" w14:textId="4135EE2F" w:rsidR="007C4779" w:rsidRDefault="007C4779" w:rsidP="0083081E">
      <w:pPr>
        <w:spacing w:line="360" w:lineRule="auto"/>
        <w:rPr>
          <w:bCs/>
        </w:rPr>
      </w:pPr>
    </w:p>
    <w:p w14:paraId="4CFF64BA" w14:textId="46E598D0" w:rsidR="007C4779" w:rsidRDefault="007C4779" w:rsidP="0083081E">
      <w:pPr>
        <w:spacing w:line="360" w:lineRule="auto"/>
        <w:rPr>
          <w:bCs/>
        </w:rPr>
      </w:pPr>
    </w:p>
    <w:p w14:paraId="7124403F" w14:textId="6FF5218B" w:rsidR="007C4779" w:rsidRDefault="007C4779" w:rsidP="0083081E">
      <w:pPr>
        <w:spacing w:line="360" w:lineRule="auto"/>
        <w:rPr>
          <w:bCs/>
        </w:rPr>
      </w:pPr>
    </w:p>
    <w:p w14:paraId="2A14C650" w14:textId="0B55DC3E" w:rsidR="007C4779" w:rsidRDefault="007C4779" w:rsidP="0083081E">
      <w:pPr>
        <w:spacing w:line="360" w:lineRule="auto"/>
        <w:rPr>
          <w:bCs/>
        </w:rPr>
      </w:pPr>
    </w:p>
    <w:p w14:paraId="77EEFAA1" w14:textId="5FAABC11" w:rsidR="007C4779" w:rsidRDefault="007C4779" w:rsidP="0083081E">
      <w:pPr>
        <w:spacing w:line="360" w:lineRule="auto"/>
        <w:rPr>
          <w:bCs/>
        </w:rPr>
      </w:pPr>
    </w:p>
    <w:p w14:paraId="33FDC3A0" w14:textId="7F3C2704" w:rsidR="007C4779" w:rsidRDefault="007C4779" w:rsidP="0083081E">
      <w:pPr>
        <w:spacing w:line="360" w:lineRule="auto"/>
        <w:rPr>
          <w:bCs/>
        </w:rPr>
      </w:pPr>
    </w:p>
    <w:p w14:paraId="41B1B692" w14:textId="0B978932" w:rsidR="007C4779" w:rsidRDefault="007C4779" w:rsidP="0083081E">
      <w:pPr>
        <w:spacing w:line="360" w:lineRule="auto"/>
        <w:rPr>
          <w:bCs/>
        </w:rPr>
      </w:pPr>
    </w:p>
    <w:p w14:paraId="4F76F54A" w14:textId="63B4DC51" w:rsidR="007C4779" w:rsidRDefault="007C4779" w:rsidP="0083081E">
      <w:pPr>
        <w:spacing w:line="360" w:lineRule="auto"/>
        <w:rPr>
          <w:bCs/>
        </w:rPr>
      </w:pPr>
    </w:p>
    <w:p w14:paraId="2C74F914" w14:textId="3650A181" w:rsidR="007C4779" w:rsidRDefault="007C4779" w:rsidP="0083081E">
      <w:pPr>
        <w:spacing w:line="360" w:lineRule="auto"/>
        <w:rPr>
          <w:bCs/>
        </w:rPr>
      </w:pPr>
    </w:p>
    <w:p w14:paraId="4E50A0C3" w14:textId="77777777" w:rsidR="007C4779" w:rsidRPr="00F14B1A" w:rsidRDefault="007C4779" w:rsidP="0083081E">
      <w:pPr>
        <w:spacing w:line="360" w:lineRule="auto"/>
        <w:rPr>
          <w:bCs/>
        </w:rPr>
      </w:pPr>
    </w:p>
    <w:p w14:paraId="0A8346A3" w14:textId="574629E0" w:rsidR="0083081E" w:rsidRPr="00F14B1A" w:rsidRDefault="0083081E" w:rsidP="0083081E">
      <w:pPr>
        <w:spacing w:line="360" w:lineRule="auto"/>
      </w:pPr>
      <w:r w:rsidRPr="00F14B1A">
        <w:lastRenderedPageBreak/>
        <w:t>___________________________________________________________</w:t>
      </w:r>
    </w:p>
    <w:p w14:paraId="69398B18" w14:textId="77777777" w:rsidR="004162F2" w:rsidRPr="00F14B1A" w:rsidRDefault="004162F2" w:rsidP="0083081E">
      <w:pPr>
        <w:pStyle w:val="Heading1"/>
        <w:spacing w:line="240" w:lineRule="auto"/>
        <w:rPr>
          <w:sz w:val="16"/>
          <w:szCs w:val="16"/>
          <w:lang w:val="en-GB"/>
        </w:rPr>
      </w:pPr>
    </w:p>
    <w:p w14:paraId="5F99F42E" w14:textId="77777777" w:rsidR="000E7915" w:rsidRPr="00F14B1A" w:rsidRDefault="000E7915" w:rsidP="00FC0FAF">
      <w:pPr>
        <w:pStyle w:val="Heading1"/>
        <w:spacing w:line="360" w:lineRule="auto"/>
        <w:rPr>
          <w:szCs w:val="32"/>
          <w:lang w:val="en-GB"/>
        </w:rPr>
      </w:pPr>
      <w:r w:rsidRPr="00F14B1A">
        <w:rPr>
          <w:szCs w:val="32"/>
          <w:lang w:val="en-GB"/>
        </w:rPr>
        <w:t>JUDGMENT</w:t>
      </w:r>
    </w:p>
    <w:p w14:paraId="570BC9DC" w14:textId="77777777" w:rsidR="00544761" w:rsidRPr="00F14B1A" w:rsidRDefault="00544761" w:rsidP="00544761">
      <w:pPr>
        <w:spacing w:line="360" w:lineRule="auto"/>
        <w:rPr>
          <w:b/>
        </w:rPr>
      </w:pPr>
      <w:r w:rsidRPr="00F14B1A">
        <w:rPr>
          <w:b/>
        </w:rPr>
        <w:t>___________________________________________________________</w:t>
      </w:r>
    </w:p>
    <w:p w14:paraId="01CC355F" w14:textId="77777777" w:rsidR="00D34036" w:rsidRDefault="00D34036" w:rsidP="00544761">
      <w:pPr>
        <w:spacing w:line="240" w:lineRule="auto"/>
        <w:rPr>
          <w:b/>
        </w:rPr>
      </w:pPr>
    </w:p>
    <w:p w14:paraId="66907F5B" w14:textId="398D6E46" w:rsidR="007B0636" w:rsidRPr="00F14B1A" w:rsidRDefault="007B0636" w:rsidP="00544761">
      <w:pPr>
        <w:spacing w:line="240" w:lineRule="auto"/>
        <w:rPr>
          <w:b/>
        </w:rPr>
      </w:pPr>
      <w:r w:rsidRPr="00F14B1A">
        <w:rPr>
          <w:b/>
        </w:rPr>
        <w:t>Mbatha</w:t>
      </w:r>
      <w:r w:rsidR="0083081E" w:rsidRPr="00F14B1A">
        <w:rPr>
          <w:b/>
        </w:rPr>
        <w:t xml:space="preserve"> JA </w:t>
      </w:r>
      <w:r w:rsidR="00D14714" w:rsidRPr="00F14B1A">
        <w:rPr>
          <w:b/>
        </w:rPr>
        <w:t>(</w:t>
      </w:r>
      <w:r w:rsidR="006453CC">
        <w:rPr>
          <w:b/>
        </w:rPr>
        <w:t xml:space="preserve">Van der Merwe, </w:t>
      </w:r>
      <w:proofErr w:type="spellStart"/>
      <w:r w:rsidR="006453CC">
        <w:rPr>
          <w:b/>
        </w:rPr>
        <w:t>Makgoka</w:t>
      </w:r>
      <w:proofErr w:type="spellEnd"/>
      <w:r w:rsidR="006453CC">
        <w:rPr>
          <w:b/>
        </w:rPr>
        <w:t xml:space="preserve">, Plasket and </w:t>
      </w:r>
      <w:proofErr w:type="spellStart"/>
      <w:r w:rsidR="006453CC">
        <w:rPr>
          <w:b/>
        </w:rPr>
        <w:t>Mabindla-Boqwana</w:t>
      </w:r>
      <w:proofErr w:type="spellEnd"/>
      <w:r w:rsidR="006453CC">
        <w:rPr>
          <w:b/>
        </w:rPr>
        <w:t xml:space="preserve"> JJA</w:t>
      </w:r>
      <w:r w:rsidRPr="00F14B1A">
        <w:rPr>
          <w:b/>
        </w:rPr>
        <w:t xml:space="preserve"> </w:t>
      </w:r>
      <w:r w:rsidR="00E37B62" w:rsidRPr="00F14B1A">
        <w:rPr>
          <w:b/>
        </w:rPr>
        <w:t>c</w:t>
      </w:r>
      <w:r w:rsidR="000E7915" w:rsidRPr="00F14B1A">
        <w:rPr>
          <w:b/>
        </w:rPr>
        <w:t>oncurrin</w:t>
      </w:r>
      <w:r w:rsidR="0033468B" w:rsidRPr="00F14B1A">
        <w:rPr>
          <w:b/>
        </w:rPr>
        <w:t>g</w:t>
      </w:r>
      <w:r w:rsidR="00D14714" w:rsidRPr="00F14B1A">
        <w:rPr>
          <w:b/>
        </w:rPr>
        <w:t>)</w:t>
      </w:r>
      <w:r w:rsidR="00857D62" w:rsidRPr="00F14B1A">
        <w:rPr>
          <w:b/>
        </w:rPr>
        <w:t>:</w:t>
      </w:r>
    </w:p>
    <w:p w14:paraId="52E4552F" w14:textId="77777777" w:rsidR="00544761" w:rsidRPr="00F14B1A" w:rsidRDefault="00544761" w:rsidP="00544761">
      <w:pPr>
        <w:spacing w:line="240" w:lineRule="auto"/>
      </w:pPr>
    </w:p>
    <w:p w14:paraId="5072C01E" w14:textId="14C3376E" w:rsidR="007D25AD" w:rsidRPr="00F14B1A" w:rsidRDefault="007B0636" w:rsidP="004B40AE">
      <w:pPr>
        <w:spacing w:before="240" w:line="360" w:lineRule="auto"/>
      </w:pPr>
      <w:r w:rsidRPr="00F14B1A">
        <w:t>[1]</w:t>
      </w:r>
      <w:r w:rsidR="007D25AD" w:rsidRPr="00F14B1A">
        <w:tab/>
      </w:r>
      <w:bookmarkStart w:id="1" w:name="_Hlk89760788"/>
      <w:r w:rsidR="0040567A" w:rsidRPr="00F14B1A">
        <w:t xml:space="preserve">On 22 April 2020, the KwaZulu-Natal Division of the High Court, Pietermaritzburg (the </w:t>
      </w:r>
      <w:r w:rsidR="00455A71" w:rsidRPr="00F14B1A">
        <w:t>h</w:t>
      </w:r>
      <w:r w:rsidR="0040567A" w:rsidRPr="00F14B1A">
        <w:t xml:space="preserve">igh </w:t>
      </w:r>
      <w:r w:rsidR="00455A71" w:rsidRPr="00F14B1A">
        <w:t>c</w:t>
      </w:r>
      <w:r w:rsidR="0040567A" w:rsidRPr="00F14B1A">
        <w:t>ourt) declared the first appellant, Former Way Trade and Invest (Pty) Ltd t/a Premier Service Station, to be in contempt of court</w:t>
      </w:r>
      <w:r w:rsidR="00302641" w:rsidRPr="00F14B1A">
        <w:t>.</w:t>
      </w:r>
      <w:r w:rsidR="0040567A" w:rsidRPr="00F14B1A">
        <w:t xml:space="preserve"> </w:t>
      </w:r>
      <w:r w:rsidR="00302641" w:rsidRPr="00F14B1A">
        <w:t>T</w:t>
      </w:r>
      <w:r w:rsidR="0040567A" w:rsidRPr="00F14B1A">
        <w:t>he second appellant, Mr Lee Bentz</w:t>
      </w:r>
      <w:r w:rsidR="008E35D6" w:rsidRPr="00F14B1A">
        <w:t>,</w:t>
      </w:r>
      <w:r w:rsidR="00302641" w:rsidRPr="00F14B1A">
        <w:t xml:space="preserve"> as the controlling mind of the first appellant, was committed</w:t>
      </w:r>
      <w:r w:rsidR="0040567A" w:rsidRPr="00F14B1A">
        <w:t xml:space="preserve"> to prison for that contempt for a period of 30 days wholly suspended</w:t>
      </w:r>
      <w:r w:rsidR="00302641" w:rsidRPr="00F14B1A">
        <w:t xml:space="preserve"> on certain conditions</w:t>
      </w:r>
      <w:r w:rsidR="0040567A" w:rsidRPr="00F14B1A">
        <w:t xml:space="preserve">. </w:t>
      </w:r>
      <w:bookmarkEnd w:id="1"/>
      <w:r w:rsidR="0040567A" w:rsidRPr="00F14B1A">
        <w:t xml:space="preserve">Aggrieved by these orders, the appellants appealed to this Court with the leave of the </w:t>
      </w:r>
      <w:r w:rsidR="00455A71" w:rsidRPr="00F14B1A">
        <w:t>high court</w:t>
      </w:r>
      <w:r w:rsidR="0040567A" w:rsidRPr="00F14B1A">
        <w:t xml:space="preserve">. </w:t>
      </w:r>
    </w:p>
    <w:p w14:paraId="5D41149D" w14:textId="77777777" w:rsidR="007D25AD" w:rsidRPr="00F14B1A" w:rsidRDefault="007D25AD" w:rsidP="007D4F13">
      <w:pPr>
        <w:spacing w:line="360" w:lineRule="auto"/>
      </w:pPr>
    </w:p>
    <w:p w14:paraId="419A6C68" w14:textId="3B856415" w:rsidR="006C094D" w:rsidRPr="00F14B1A" w:rsidRDefault="007D25AD" w:rsidP="0040567A">
      <w:pPr>
        <w:spacing w:line="360" w:lineRule="auto"/>
        <w:rPr>
          <w:sz w:val="24"/>
          <w:szCs w:val="24"/>
        </w:rPr>
      </w:pPr>
      <w:r w:rsidRPr="00F14B1A">
        <w:t>[2]</w:t>
      </w:r>
      <w:r w:rsidRPr="00F14B1A">
        <w:tab/>
      </w:r>
      <w:r w:rsidR="0040567A" w:rsidRPr="00F14B1A">
        <w:t xml:space="preserve">The background of the matter is as follows. </w:t>
      </w:r>
      <w:r w:rsidR="00A83047" w:rsidRPr="00F14B1A">
        <w:t>T</w:t>
      </w:r>
      <w:r w:rsidR="0040567A" w:rsidRPr="00F14B1A">
        <w:t xml:space="preserve">he respondent, </w:t>
      </w:r>
      <w:bookmarkStart w:id="2" w:name="_Hlk89702334"/>
      <w:r w:rsidR="0040567A" w:rsidRPr="00F14B1A">
        <w:t>Bright Idea Projects 66 (Pty) Ltd t/a All Fuels</w:t>
      </w:r>
      <w:r w:rsidR="00A466EB" w:rsidRPr="00F14B1A">
        <w:t xml:space="preserve"> and </w:t>
      </w:r>
      <w:r w:rsidR="0040567A" w:rsidRPr="00F14B1A">
        <w:t>the first appellant</w:t>
      </w:r>
      <w:r w:rsidR="006D31CD" w:rsidRPr="00F14B1A">
        <w:t>,</w:t>
      </w:r>
      <w:r w:rsidR="0040567A" w:rsidRPr="00F14B1A">
        <w:t xml:space="preserve"> became parties to a franchise agreement. In terms thereof, the first appellant operated a Caltex filling station at premises owned by the respondent and with fuel products supplied to it by the respondent. At all times relevant hereto</w:t>
      </w:r>
      <w:r w:rsidR="006D31CD" w:rsidRPr="00F14B1A">
        <w:t xml:space="preserve">, </w:t>
      </w:r>
      <w:r w:rsidR="00A466EB" w:rsidRPr="00F14B1A">
        <w:t>the second appellant</w:t>
      </w:r>
      <w:r w:rsidR="0040567A" w:rsidRPr="00F14B1A">
        <w:t xml:space="preserve"> was the sole shareholder and director of the first appellant. During 2017, however, a dispute arose between the parties to the franchise agreement. The respondent took the stance that the franchise agreement </w:t>
      </w:r>
      <w:r w:rsidR="008E35D6" w:rsidRPr="00F14B1A">
        <w:t>would come</w:t>
      </w:r>
      <w:r w:rsidR="0040567A" w:rsidRPr="00F14B1A">
        <w:t xml:space="preserve"> to an end on 31 December 2017. The first appellant, on the other hand, alleged that a new franchise agreement had been entered into</w:t>
      </w:r>
      <w:r w:rsidR="00B244AD" w:rsidRPr="00F14B1A">
        <w:t>,</w:t>
      </w:r>
      <w:r w:rsidR="0040567A" w:rsidRPr="00F14B1A">
        <w:t xml:space="preserve"> which conferred on it the right to continue to conduct business on the premises for a period of five years from 1 March 2015</w:t>
      </w:r>
      <w:r w:rsidR="008E35D6" w:rsidRPr="00F14B1A">
        <w:t>,</w:t>
      </w:r>
      <w:r w:rsidR="0040567A" w:rsidRPr="00F14B1A">
        <w:t xml:space="preserve"> with a right of renewal. </w:t>
      </w:r>
    </w:p>
    <w:p w14:paraId="5C3DB2D0" w14:textId="77777777" w:rsidR="006C094D" w:rsidRPr="00F14B1A" w:rsidRDefault="006C094D" w:rsidP="007D4F13">
      <w:pPr>
        <w:spacing w:line="360" w:lineRule="auto"/>
      </w:pPr>
    </w:p>
    <w:p w14:paraId="4601B805" w14:textId="03A2ADD3" w:rsidR="006C094D" w:rsidRPr="00F14B1A" w:rsidRDefault="006C094D" w:rsidP="007D4F13">
      <w:pPr>
        <w:spacing w:line="360" w:lineRule="auto"/>
      </w:pPr>
      <w:r w:rsidRPr="00F14B1A">
        <w:t>[3]</w:t>
      </w:r>
      <w:r w:rsidRPr="00F14B1A">
        <w:tab/>
      </w:r>
      <w:r w:rsidR="0040567A" w:rsidRPr="00F14B1A">
        <w:t>The respondent</w:t>
      </w:r>
      <w:r w:rsidR="008E35D6" w:rsidRPr="00F14B1A">
        <w:t xml:space="preserve"> consequently</w:t>
      </w:r>
      <w:r w:rsidR="0040567A" w:rsidRPr="00F14B1A">
        <w:t xml:space="preserve"> launched an application in the </w:t>
      </w:r>
      <w:r w:rsidR="00455A71" w:rsidRPr="00F14B1A">
        <w:t>h</w:t>
      </w:r>
      <w:r w:rsidR="0040567A" w:rsidRPr="00F14B1A">
        <w:t xml:space="preserve">igh </w:t>
      </w:r>
      <w:r w:rsidR="00455A71" w:rsidRPr="00F14B1A">
        <w:t>c</w:t>
      </w:r>
      <w:r w:rsidR="0040567A" w:rsidRPr="00F14B1A">
        <w:t xml:space="preserve">ourt for the eviction of the first appellant from the premises. The first appellant, in turn, filed a counter-application in which it sought an order enforcing the alleged new franchise agreement, alternatively a stay of the application pending an arbitration that the first appellant had initiated. The main application and counter-application came before </w:t>
      </w:r>
      <w:proofErr w:type="spellStart"/>
      <w:r w:rsidR="0040567A" w:rsidRPr="00F14B1A">
        <w:t>Poyo</w:t>
      </w:r>
      <w:r w:rsidR="008C7686" w:rsidRPr="00F14B1A">
        <w:t>-</w:t>
      </w:r>
      <w:r w:rsidR="0040567A" w:rsidRPr="00F14B1A">
        <w:t>Dlwati</w:t>
      </w:r>
      <w:proofErr w:type="spellEnd"/>
      <w:r w:rsidR="0040567A" w:rsidRPr="00F14B1A">
        <w:t xml:space="preserve"> J on 22 January 2018. Both the litigants were represented by senior counsel. The parties managed to reach an agreement. By consent </w:t>
      </w:r>
      <w:proofErr w:type="spellStart"/>
      <w:r w:rsidR="0040567A" w:rsidRPr="00F14B1A">
        <w:t>Poyo</w:t>
      </w:r>
      <w:r w:rsidR="008C7686" w:rsidRPr="00F14B1A">
        <w:t>-</w:t>
      </w:r>
      <w:r w:rsidR="0040567A" w:rsidRPr="00F14B1A">
        <w:t>Dlwati</w:t>
      </w:r>
      <w:proofErr w:type="spellEnd"/>
      <w:r w:rsidR="0040567A" w:rsidRPr="00F14B1A">
        <w:t xml:space="preserve"> J made that agreement an order of court (the consent order). It provided for the postponement of the main application and counter-application and for the filing of further affidavits. </w:t>
      </w:r>
    </w:p>
    <w:p w14:paraId="4AFD6538" w14:textId="77777777" w:rsidR="001F76C9" w:rsidRPr="00F14B1A" w:rsidRDefault="001F76C9" w:rsidP="007D4F13">
      <w:pPr>
        <w:spacing w:line="360" w:lineRule="auto"/>
      </w:pPr>
    </w:p>
    <w:bookmarkEnd w:id="2"/>
    <w:p w14:paraId="524CE799" w14:textId="1A8FF04B" w:rsidR="004F2161" w:rsidRPr="00F14B1A" w:rsidRDefault="001F76C9" w:rsidP="007D4F13">
      <w:pPr>
        <w:spacing w:line="360" w:lineRule="auto"/>
      </w:pPr>
      <w:r w:rsidRPr="00F14B1A">
        <w:t>[4]</w:t>
      </w:r>
      <w:r w:rsidRPr="00F14B1A">
        <w:tab/>
      </w:r>
      <w:r w:rsidR="004F2161" w:rsidRPr="00F14B1A">
        <w:t>Paragraphs 6 and 7 of the consent order provided as follows:</w:t>
      </w:r>
    </w:p>
    <w:p w14:paraId="0F74AD4E" w14:textId="1B31D155" w:rsidR="004F2161" w:rsidRPr="00F14B1A" w:rsidRDefault="004F2161" w:rsidP="004F2161">
      <w:pPr>
        <w:spacing w:line="360" w:lineRule="auto"/>
        <w:rPr>
          <w:sz w:val="24"/>
          <w:szCs w:val="24"/>
        </w:rPr>
      </w:pPr>
      <w:r w:rsidRPr="00F14B1A">
        <w:rPr>
          <w:sz w:val="24"/>
          <w:szCs w:val="24"/>
        </w:rPr>
        <w:t>‘</w:t>
      </w:r>
      <w:r w:rsidR="008C7686" w:rsidRPr="00F14B1A">
        <w:rPr>
          <w:sz w:val="24"/>
          <w:szCs w:val="24"/>
        </w:rPr>
        <w:t>6.</w:t>
      </w:r>
      <w:r w:rsidR="008C7686" w:rsidRPr="00F14B1A">
        <w:rPr>
          <w:sz w:val="24"/>
          <w:szCs w:val="24"/>
        </w:rPr>
        <w:tab/>
      </w:r>
      <w:r w:rsidRPr="00F14B1A">
        <w:rPr>
          <w:sz w:val="24"/>
          <w:szCs w:val="24"/>
        </w:rPr>
        <w:t>Pending final determination of the main application and the counter-application:</w:t>
      </w:r>
    </w:p>
    <w:p w14:paraId="0A2950D2" w14:textId="77777777" w:rsidR="004F2161" w:rsidRPr="00F14B1A" w:rsidRDefault="004F2161" w:rsidP="004F2161">
      <w:pPr>
        <w:spacing w:line="360" w:lineRule="auto"/>
        <w:rPr>
          <w:sz w:val="24"/>
          <w:szCs w:val="24"/>
        </w:rPr>
      </w:pPr>
      <w:r w:rsidRPr="00F14B1A">
        <w:rPr>
          <w:sz w:val="24"/>
          <w:szCs w:val="24"/>
        </w:rPr>
        <w:t>(a)</w:t>
      </w:r>
      <w:r w:rsidRPr="00F14B1A">
        <w:rPr>
          <w:sz w:val="24"/>
          <w:szCs w:val="24"/>
        </w:rPr>
        <w:tab/>
        <w:t>the parties shall conduct themselves as if the franchise agreement remains of full force and effect and comply with their respective obligations as defined in the franchise agreement;</w:t>
      </w:r>
    </w:p>
    <w:p w14:paraId="6E0E46B4" w14:textId="2FFA7B6F" w:rsidR="004F2161" w:rsidRPr="00F14B1A" w:rsidRDefault="004F2161" w:rsidP="004F2161">
      <w:pPr>
        <w:spacing w:line="360" w:lineRule="auto"/>
        <w:rPr>
          <w:sz w:val="24"/>
          <w:szCs w:val="24"/>
        </w:rPr>
      </w:pPr>
      <w:r w:rsidRPr="00F14B1A">
        <w:rPr>
          <w:sz w:val="24"/>
          <w:szCs w:val="24"/>
        </w:rPr>
        <w:t>(b)</w:t>
      </w:r>
      <w:r w:rsidRPr="00F14B1A">
        <w:rPr>
          <w:sz w:val="24"/>
          <w:szCs w:val="24"/>
        </w:rPr>
        <w:tab/>
        <w:t xml:space="preserve">the Respondent shall source all of its petroleum products from the Applicant, who shall, in turn, supply same to the Respondent. </w:t>
      </w:r>
    </w:p>
    <w:p w14:paraId="34BB4CFF" w14:textId="2BBABC46" w:rsidR="004F2161" w:rsidRPr="00F14B1A" w:rsidRDefault="004F2161" w:rsidP="004F2161">
      <w:pPr>
        <w:spacing w:line="360" w:lineRule="auto"/>
        <w:rPr>
          <w:sz w:val="24"/>
          <w:szCs w:val="24"/>
        </w:rPr>
      </w:pPr>
      <w:r w:rsidRPr="00F14B1A">
        <w:rPr>
          <w:sz w:val="24"/>
          <w:szCs w:val="24"/>
        </w:rPr>
        <w:t xml:space="preserve">(It is recorded that the Respondent had placed a further order with </w:t>
      </w:r>
      <w:proofErr w:type="spellStart"/>
      <w:r w:rsidRPr="00F14B1A">
        <w:rPr>
          <w:sz w:val="24"/>
          <w:szCs w:val="24"/>
        </w:rPr>
        <w:t>Fueltech</w:t>
      </w:r>
      <w:proofErr w:type="spellEnd"/>
      <w:r w:rsidRPr="00F14B1A">
        <w:rPr>
          <w:sz w:val="24"/>
          <w:szCs w:val="24"/>
        </w:rPr>
        <w:t xml:space="preserve">, on 19 January 2018, and agreed that the </w:t>
      </w:r>
      <w:proofErr w:type="spellStart"/>
      <w:r w:rsidRPr="00F14B1A">
        <w:rPr>
          <w:sz w:val="24"/>
          <w:szCs w:val="24"/>
        </w:rPr>
        <w:t>aforegoing</w:t>
      </w:r>
      <w:proofErr w:type="spellEnd"/>
      <w:r w:rsidRPr="00F14B1A">
        <w:rPr>
          <w:sz w:val="24"/>
          <w:szCs w:val="24"/>
        </w:rPr>
        <w:t xml:space="preserve"> shall not apply to the execution of that order). </w:t>
      </w:r>
    </w:p>
    <w:p w14:paraId="7B8C0492" w14:textId="0B76EFD3" w:rsidR="004F2161" w:rsidRPr="00F14B1A" w:rsidRDefault="008C7686" w:rsidP="004F2161">
      <w:pPr>
        <w:spacing w:line="360" w:lineRule="auto"/>
        <w:rPr>
          <w:sz w:val="24"/>
          <w:szCs w:val="24"/>
        </w:rPr>
      </w:pPr>
      <w:r w:rsidRPr="00F14B1A">
        <w:rPr>
          <w:sz w:val="24"/>
          <w:szCs w:val="24"/>
        </w:rPr>
        <w:t>7.</w:t>
      </w:r>
      <w:r w:rsidRPr="00F14B1A">
        <w:rPr>
          <w:sz w:val="24"/>
          <w:szCs w:val="24"/>
        </w:rPr>
        <w:tab/>
      </w:r>
      <w:r w:rsidR="004F2161" w:rsidRPr="00F14B1A">
        <w:rPr>
          <w:sz w:val="24"/>
          <w:szCs w:val="24"/>
        </w:rPr>
        <w:t xml:space="preserve">It is recorded that the Respondent’s consent to this order is granted without prejudice to the Respondent’s defences raised in its answering affidavits, including its claim to a stay of these proceedings pending determination by arbitration either in terms of Section 12B of the Petroleum Products Act, 1977, and/or the franchise agreement.’ </w:t>
      </w:r>
    </w:p>
    <w:p w14:paraId="71DACC36" w14:textId="77777777" w:rsidR="004F2161" w:rsidRPr="00F14B1A" w:rsidRDefault="004F2161" w:rsidP="004F2161">
      <w:pPr>
        <w:spacing w:line="360" w:lineRule="auto"/>
        <w:rPr>
          <w:sz w:val="24"/>
          <w:szCs w:val="24"/>
        </w:rPr>
      </w:pPr>
    </w:p>
    <w:p w14:paraId="75F48338" w14:textId="4EF040EE" w:rsidR="00A50EA8" w:rsidRPr="00F14B1A" w:rsidRDefault="007A41AD" w:rsidP="007D4F13">
      <w:pPr>
        <w:spacing w:line="360" w:lineRule="auto"/>
      </w:pPr>
      <w:r w:rsidRPr="00F14B1A">
        <w:t>[</w:t>
      </w:r>
      <w:r w:rsidR="004F2161" w:rsidRPr="00F14B1A">
        <w:t>5</w:t>
      </w:r>
      <w:r w:rsidRPr="00F14B1A">
        <w:t>]</w:t>
      </w:r>
      <w:r w:rsidRPr="00F14B1A">
        <w:tab/>
        <w:t xml:space="preserve">For </w:t>
      </w:r>
      <w:r w:rsidR="008E35D6" w:rsidRPr="00F14B1A">
        <w:t>the</w:t>
      </w:r>
      <w:r w:rsidRPr="00F14B1A">
        <w:t xml:space="preserve"> period commencing on 22 January 2018 to 27 July 2019, the appellant</w:t>
      </w:r>
      <w:r w:rsidR="00D215E8" w:rsidRPr="00F14B1A">
        <w:t>s</w:t>
      </w:r>
      <w:r w:rsidRPr="00F14B1A">
        <w:t xml:space="preserve"> complied with the terms of the consent order. On 24 July 2019, the attorneys for the appellants addressed a letter to the respondent’s </w:t>
      </w:r>
      <w:r w:rsidRPr="00F14B1A">
        <w:lastRenderedPageBreak/>
        <w:t xml:space="preserve">attorneys stating that whilst being aware of the pending litigation and arbitration proceedings between the parties, the </w:t>
      </w:r>
      <w:r w:rsidR="00F70EFC" w:rsidRPr="00F14B1A">
        <w:t xml:space="preserve">first </w:t>
      </w:r>
      <w:r w:rsidRPr="00F14B1A">
        <w:t xml:space="preserve">appellant </w:t>
      </w:r>
      <w:r w:rsidR="00D2778E" w:rsidRPr="00F14B1A">
        <w:t>w</w:t>
      </w:r>
      <w:r w:rsidR="00F70EFC" w:rsidRPr="00F14B1A">
        <w:t>as</w:t>
      </w:r>
      <w:r w:rsidR="00D215E8" w:rsidRPr="00F14B1A">
        <w:t xml:space="preserve"> aggrieved </w:t>
      </w:r>
      <w:r w:rsidR="008E35D6" w:rsidRPr="00F14B1A">
        <w:t>by</w:t>
      </w:r>
      <w:r w:rsidRPr="00F14B1A">
        <w:t xml:space="preserve"> </w:t>
      </w:r>
      <w:r w:rsidR="00F70EFC" w:rsidRPr="00F14B1A">
        <w:t xml:space="preserve">the alleged </w:t>
      </w:r>
      <w:r w:rsidRPr="00F14B1A">
        <w:t>gross overcharging for sup</w:t>
      </w:r>
      <w:r w:rsidR="00D918D7" w:rsidRPr="00F14B1A">
        <w:t xml:space="preserve">plies and failure </w:t>
      </w:r>
      <w:r w:rsidR="00D215E8" w:rsidRPr="00F14B1A">
        <w:t xml:space="preserve">by the respondent </w:t>
      </w:r>
      <w:r w:rsidR="00D918D7" w:rsidRPr="00F14B1A">
        <w:t>to follow the industry guidelines in</w:t>
      </w:r>
      <w:r w:rsidR="008E35D6" w:rsidRPr="00F14B1A">
        <w:t xml:space="preserve"> respect of</w:t>
      </w:r>
      <w:r w:rsidR="00D918D7" w:rsidRPr="00F14B1A">
        <w:t xml:space="preserve"> pricing. </w:t>
      </w:r>
      <w:r w:rsidR="00D215E8" w:rsidRPr="00F14B1A">
        <w:t>The appellant</w:t>
      </w:r>
      <w:r w:rsidR="008D25F5" w:rsidRPr="00F14B1A">
        <w:t>s</w:t>
      </w:r>
      <w:r w:rsidR="00D215E8" w:rsidRPr="00F14B1A">
        <w:t xml:space="preserve">’ attorneys </w:t>
      </w:r>
      <w:r w:rsidR="008D25F5" w:rsidRPr="00F14B1A">
        <w:t>intimated</w:t>
      </w:r>
      <w:r w:rsidR="00D918D7" w:rsidRPr="00F14B1A">
        <w:t xml:space="preserve"> that</w:t>
      </w:r>
      <w:r w:rsidR="00D215E8" w:rsidRPr="00F14B1A">
        <w:t xml:space="preserve"> the </w:t>
      </w:r>
      <w:r w:rsidR="008D25F5" w:rsidRPr="00F14B1A">
        <w:t xml:space="preserve">first </w:t>
      </w:r>
      <w:r w:rsidR="00D215E8" w:rsidRPr="00F14B1A">
        <w:t>appellant</w:t>
      </w:r>
      <w:r w:rsidR="00D918D7" w:rsidRPr="00F14B1A">
        <w:t xml:space="preserve"> </w:t>
      </w:r>
      <w:r w:rsidR="00994705" w:rsidRPr="00F14B1A">
        <w:t xml:space="preserve">would </w:t>
      </w:r>
      <w:r w:rsidR="00D918D7" w:rsidRPr="00F14B1A">
        <w:t xml:space="preserve">source supplies </w:t>
      </w:r>
      <w:r w:rsidR="00D215E8" w:rsidRPr="00F14B1A">
        <w:t xml:space="preserve">at </w:t>
      </w:r>
      <w:r w:rsidR="00D918D7" w:rsidRPr="00F14B1A">
        <w:t xml:space="preserve">better prices </w:t>
      </w:r>
      <w:r w:rsidR="00D215E8" w:rsidRPr="00F14B1A">
        <w:t>elsewhere</w:t>
      </w:r>
      <w:r w:rsidR="00E33E22" w:rsidRPr="00F14B1A">
        <w:t xml:space="preserve"> and </w:t>
      </w:r>
      <w:r w:rsidR="008E35D6" w:rsidRPr="00F14B1A">
        <w:t xml:space="preserve">that they </w:t>
      </w:r>
      <w:r w:rsidR="00D918D7" w:rsidRPr="00F14B1A">
        <w:t>ha</w:t>
      </w:r>
      <w:r w:rsidR="00D215E8" w:rsidRPr="00F14B1A">
        <w:t>d</w:t>
      </w:r>
      <w:r w:rsidR="00D918D7" w:rsidRPr="00F14B1A">
        <w:t xml:space="preserve"> advised their client to go ahead and do so</w:t>
      </w:r>
      <w:r w:rsidR="00E33E22" w:rsidRPr="00F14B1A">
        <w:t xml:space="preserve">. They further stated that the respondent must </w:t>
      </w:r>
      <w:r w:rsidR="00D918D7" w:rsidRPr="00F14B1A">
        <w:t>by no later than the close of business on Friday</w:t>
      </w:r>
      <w:r w:rsidR="004119FB" w:rsidRPr="00F14B1A">
        <w:t>,</w:t>
      </w:r>
      <w:r w:rsidR="00D918D7" w:rsidRPr="00F14B1A">
        <w:t xml:space="preserve"> 26 July</w:t>
      </w:r>
      <w:r w:rsidR="004119FB" w:rsidRPr="00F14B1A">
        <w:t xml:space="preserve"> 2019</w:t>
      </w:r>
      <w:r w:rsidR="00D918D7" w:rsidRPr="00F14B1A">
        <w:t xml:space="preserve"> table to them and </w:t>
      </w:r>
      <w:r w:rsidR="008D25F5" w:rsidRPr="00F14B1A">
        <w:t xml:space="preserve">for </w:t>
      </w:r>
      <w:r w:rsidR="00D918D7" w:rsidRPr="00F14B1A">
        <w:t xml:space="preserve">their client’s consideration a decent proposal. </w:t>
      </w:r>
    </w:p>
    <w:p w14:paraId="24556A49" w14:textId="77777777" w:rsidR="00A50EA8" w:rsidRPr="00F14B1A" w:rsidRDefault="00A50EA8" w:rsidP="007D4F13">
      <w:pPr>
        <w:spacing w:line="360" w:lineRule="auto"/>
      </w:pPr>
    </w:p>
    <w:p w14:paraId="25F1E3C4" w14:textId="5F250E6A" w:rsidR="007A41AD" w:rsidRPr="00F14B1A" w:rsidRDefault="00A50EA8" w:rsidP="007D4F13">
      <w:pPr>
        <w:spacing w:line="360" w:lineRule="auto"/>
      </w:pPr>
      <w:r w:rsidRPr="00F14B1A">
        <w:t>[6]</w:t>
      </w:r>
      <w:r w:rsidRPr="00F14B1A">
        <w:tab/>
      </w:r>
      <w:r w:rsidR="00D215E8" w:rsidRPr="00F14B1A">
        <w:t xml:space="preserve">On 24 July 2019, </w:t>
      </w:r>
      <w:r w:rsidR="008D25F5" w:rsidRPr="00F14B1A">
        <w:t xml:space="preserve">in reply to their letter </w:t>
      </w:r>
      <w:r w:rsidR="00D215E8" w:rsidRPr="00F14B1A">
        <w:t>the respondent’s attorneys reminded the appellant</w:t>
      </w:r>
      <w:r w:rsidR="000A2078" w:rsidRPr="00F14B1A">
        <w:t>s</w:t>
      </w:r>
      <w:r w:rsidR="00D215E8" w:rsidRPr="00F14B1A">
        <w:t xml:space="preserve">’ attorneys that the consent order obliged the first appellant to procure all petroleum products from the respondent and attached a copy </w:t>
      </w:r>
      <w:r w:rsidR="002767E1" w:rsidRPr="00F14B1A">
        <w:t>of the order for their attention</w:t>
      </w:r>
      <w:r w:rsidR="00D215E8" w:rsidRPr="00F14B1A">
        <w:t xml:space="preserve">. The respondent’s attorneys </w:t>
      </w:r>
      <w:r w:rsidR="008D2562" w:rsidRPr="00F14B1A">
        <w:t>further pointed out that the first appellant’s intended course of action would amount to contempt of court.</w:t>
      </w:r>
    </w:p>
    <w:p w14:paraId="4BBB984A" w14:textId="77777777" w:rsidR="00D918D7" w:rsidRPr="00F14B1A" w:rsidRDefault="00D918D7" w:rsidP="007D4F13">
      <w:pPr>
        <w:spacing w:line="360" w:lineRule="auto"/>
      </w:pPr>
    </w:p>
    <w:p w14:paraId="76CE30A9" w14:textId="4767C717" w:rsidR="00D215E8" w:rsidRPr="00F14B1A" w:rsidRDefault="00D918D7" w:rsidP="007D4F13">
      <w:pPr>
        <w:spacing w:line="360" w:lineRule="auto"/>
      </w:pPr>
      <w:r w:rsidRPr="00F14B1A">
        <w:t>[</w:t>
      </w:r>
      <w:r w:rsidR="00A50EA8" w:rsidRPr="00F14B1A">
        <w:t>7</w:t>
      </w:r>
      <w:r w:rsidRPr="00F14B1A">
        <w:t>]</w:t>
      </w:r>
      <w:r w:rsidRPr="00F14B1A">
        <w:tab/>
      </w:r>
      <w:r w:rsidR="00D215E8" w:rsidRPr="00F14B1A">
        <w:t>T</w:t>
      </w:r>
      <w:r w:rsidRPr="00F14B1A">
        <w:t xml:space="preserve">he first appellant </w:t>
      </w:r>
      <w:r w:rsidR="00D215E8" w:rsidRPr="00F14B1A">
        <w:t>attorney</w:t>
      </w:r>
      <w:r w:rsidR="008E35D6" w:rsidRPr="00F14B1A">
        <w:t>s</w:t>
      </w:r>
      <w:r w:rsidR="00E33E22" w:rsidRPr="00F14B1A">
        <w:t>’</w:t>
      </w:r>
      <w:r w:rsidR="00D215E8" w:rsidRPr="00F14B1A">
        <w:t xml:space="preserve"> response</w:t>
      </w:r>
      <w:r w:rsidR="00D13304" w:rsidRPr="00F14B1A">
        <w:t>,</w:t>
      </w:r>
      <w:r w:rsidR="00D215E8" w:rsidRPr="00F14B1A">
        <w:t xml:space="preserve"> dated </w:t>
      </w:r>
      <w:r w:rsidRPr="00F14B1A">
        <w:t>25 July 2019</w:t>
      </w:r>
      <w:r w:rsidR="00D13304" w:rsidRPr="00F14B1A">
        <w:t>,</w:t>
      </w:r>
      <w:r w:rsidRPr="00F14B1A">
        <w:t xml:space="preserve"> </w:t>
      </w:r>
      <w:r w:rsidR="002767E1" w:rsidRPr="00F14B1A">
        <w:t>was</w:t>
      </w:r>
      <w:r w:rsidR="00D215E8" w:rsidRPr="00F14B1A">
        <w:t xml:space="preserve"> as follows</w:t>
      </w:r>
      <w:r w:rsidRPr="00F14B1A">
        <w:t xml:space="preserve">: </w:t>
      </w:r>
    </w:p>
    <w:p w14:paraId="6A64860E" w14:textId="77777777" w:rsidR="00F853FE" w:rsidRPr="00F14B1A" w:rsidRDefault="00D215E8" w:rsidP="007D4F13">
      <w:pPr>
        <w:spacing w:line="360" w:lineRule="auto"/>
        <w:rPr>
          <w:sz w:val="24"/>
          <w:szCs w:val="24"/>
        </w:rPr>
      </w:pPr>
      <w:r w:rsidRPr="00F14B1A">
        <w:rPr>
          <w:sz w:val="24"/>
          <w:szCs w:val="24"/>
        </w:rPr>
        <w:t>‘Unfortunately, we</w:t>
      </w:r>
      <w:r w:rsidR="00F853FE" w:rsidRPr="00F14B1A">
        <w:rPr>
          <w:sz w:val="24"/>
          <w:szCs w:val="24"/>
        </w:rPr>
        <w:t>:</w:t>
      </w:r>
    </w:p>
    <w:p w14:paraId="5F2DC52B" w14:textId="60901649" w:rsidR="00D215E8" w:rsidRPr="00F14B1A" w:rsidRDefault="00F853FE" w:rsidP="007D4F13">
      <w:pPr>
        <w:spacing w:line="360" w:lineRule="auto"/>
        <w:rPr>
          <w:sz w:val="24"/>
          <w:szCs w:val="24"/>
        </w:rPr>
      </w:pPr>
      <w:r w:rsidRPr="00F14B1A">
        <w:rPr>
          <w:sz w:val="24"/>
          <w:szCs w:val="24"/>
        </w:rPr>
        <w:t>1. Firstly,</w:t>
      </w:r>
      <w:r w:rsidR="00D215E8" w:rsidRPr="00F14B1A">
        <w:rPr>
          <w:sz w:val="24"/>
          <w:szCs w:val="24"/>
        </w:rPr>
        <w:t xml:space="preserve"> </w:t>
      </w:r>
      <w:r w:rsidR="00D918D7" w:rsidRPr="00F14B1A">
        <w:rPr>
          <w:sz w:val="24"/>
          <w:szCs w:val="24"/>
        </w:rPr>
        <w:t xml:space="preserve">do not agree that the order is good and/or valid or capable of implementation since no binding </w:t>
      </w:r>
      <w:r w:rsidRPr="00F14B1A">
        <w:rPr>
          <w:sz w:val="24"/>
          <w:szCs w:val="24"/>
        </w:rPr>
        <w:t>“</w:t>
      </w:r>
      <w:r w:rsidR="00D918D7" w:rsidRPr="00F14B1A">
        <w:rPr>
          <w:sz w:val="24"/>
          <w:szCs w:val="24"/>
        </w:rPr>
        <w:t>contract</w:t>
      </w:r>
      <w:r w:rsidRPr="00F14B1A">
        <w:rPr>
          <w:sz w:val="24"/>
          <w:szCs w:val="24"/>
        </w:rPr>
        <w:t>”</w:t>
      </w:r>
      <w:r w:rsidR="00D918D7" w:rsidRPr="00F14B1A">
        <w:rPr>
          <w:sz w:val="24"/>
          <w:szCs w:val="24"/>
        </w:rPr>
        <w:t xml:space="preserve"> can </w:t>
      </w:r>
      <w:r w:rsidR="00D215E8" w:rsidRPr="00F14B1A">
        <w:rPr>
          <w:sz w:val="24"/>
          <w:szCs w:val="24"/>
        </w:rPr>
        <w:t xml:space="preserve">exist without a price. </w:t>
      </w:r>
    </w:p>
    <w:p w14:paraId="79F1F389" w14:textId="3CDE0332" w:rsidR="00D92E3D" w:rsidRPr="00F14B1A" w:rsidRDefault="00D215E8" w:rsidP="00D13304">
      <w:pPr>
        <w:spacing w:line="360" w:lineRule="auto"/>
        <w:rPr>
          <w:sz w:val="24"/>
          <w:szCs w:val="24"/>
        </w:rPr>
      </w:pPr>
      <w:r w:rsidRPr="00F14B1A">
        <w:rPr>
          <w:sz w:val="24"/>
          <w:szCs w:val="24"/>
        </w:rPr>
        <w:t>2. S</w:t>
      </w:r>
      <w:r w:rsidR="00D918D7" w:rsidRPr="00F14B1A">
        <w:rPr>
          <w:sz w:val="24"/>
          <w:szCs w:val="24"/>
        </w:rPr>
        <w:t>econdly, we do not see that our directive to your client to comply with ‘lawful’ pricing as opposed to unilaterally imposed prices violates the order as it must be implied that the prices underlying paragraph 6 of the order have to be in accordance with industry standards if there are any</w:t>
      </w:r>
      <w:r w:rsidR="00CD1543" w:rsidRPr="00F14B1A">
        <w:rPr>
          <w:sz w:val="24"/>
          <w:szCs w:val="24"/>
        </w:rPr>
        <w:t>.</w:t>
      </w:r>
      <w:r w:rsidR="00D92E3D" w:rsidRPr="00F14B1A">
        <w:rPr>
          <w:sz w:val="24"/>
          <w:szCs w:val="24"/>
        </w:rPr>
        <w:t>’</w:t>
      </w:r>
      <w:r w:rsidR="00D13304" w:rsidRPr="00F14B1A">
        <w:rPr>
          <w:sz w:val="24"/>
          <w:szCs w:val="24"/>
        </w:rPr>
        <w:t xml:space="preserve"> </w:t>
      </w:r>
    </w:p>
    <w:p w14:paraId="5218C4B5" w14:textId="41683675" w:rsidR="00D92E3D" w:rsidRPr="00F14B1A" w:rsidRDefault="00D918D7" w:rsidP="007D4F13">
      <w:pPr>
        <w:spacing w:line="360" w:lineRule="auto"/>
      </w:pPr>
      <w:r w:rsidRPr="00F14B1A">
        <w:t>I</w:t>
      </w:r>
      <w:r w:rsidR="00D215E8" w:rsidRPr="00F14B1A">
        <w:t>n</w:t>
      </w:r>
      <w:r w:rsidRPr="00F14B1A">
        <w:t xml:space="preserve"> </w:t>
      </w:r>
      <w:r w:rsidR="00D92E3D" w:rsidRPr="00F14B1A">
        <w:t>response thereto, the first appellant</w:t>
      </w:r>
      <w:r w:rsidR="00F40D04" w:rsidRPr="00F14B1A">
        <w:t>’</w:t>
      </w:r>
      <w:r w:rsidR="000A2078" w:rsidRPr="00F14B1A">
        <w:t>s</w:t>
      </w:r>
      <w:r w:rsidR="00D92E3D" w:rsidRPr="00F14B1A">
        <w:t xml:space="preserve"> attorneys were reminded </w:t>
      </w:r>
      <w:r w:rsidR="002767E1" w:rsidRPr="00F14B1A">
        <w:t xml:space="preserve">by the respondent’s attorneys </w:t>
      </w:r>
      <w:r w:rsidR="00D92E3D" w:rsidRPr="00F14B1A">
        <w:t xml:space="preserve">that the order which obliged the first appellant to purchase petroleum products from the respondent was taken by consent. The </w:t>
      </w:r>
      <w:r w:rsidR="00F40D04" w:rsidRPr="00F14B1A">
        <w:t>correspondence</w:t>
      </w:r>
      <w:r w:rsidR="00D92E3D" w:rsidRPr="00F14B1A">
        <w:t xml:space="preserve"> ended with a sound warning to this effect:</w:t>
      </w:r>
    </w:p>
    <w:p w14:paraId="1B3F2A00" w14:textId="55FE0091" w:rsidR="00D918D7" w:rsidRPr="00F14B1A" w:rsidRDefault="00D92E3D" w:rsidP="007D4F13">
      <w:pPr>
        <w:spacing w:line="360" w:lineRule="auto"/>
        <w:rPr>
          <w:sz w:val="24"/>
          <w:szCs w:val="24"/>
        </w:rPr>
      </w:pPr>
      <w:r w:rsidRPr="00F14B1A">
        <w:rPr>
          <w:sz w:val="24"/>
          <w:szCs w:val="24"/>
        </w:rPr>
        <w:lastRenderedPageBreak/>
        <w:t xml:space="preserve">‘I trust that you have advised your client of the consequences of the breach of a </w:t>
      </w:r>
      <w:r w:rsidR="000A2078" w:rsidRPr="00F14B1A">
        <w:rPr>
          <w:sz w:val="24"/>
          <w:szCs w:val="24"/>
        </w:rPr>
        <w:t>High Court</w:t>
      </w:r>
      <w:r w:rsidRPr="00F14B1A">
        <w:rPr>
          <w:sz w:val="24"/>
          <w:szCs w:val="24"/>
        </w:rPr>
        <w:t xml:space="preserve"> </w:t>
      </w:r>
      <w:r w:rsidR="00F40D04" w:rsidRPr="00F14B1A">
        <w:rPr>
          <w:sz w:val="24"/>
          <w:szCs w:val="24"/>
        </w:rPr>
        <w:t>o</w:t>
      </w:r>
      <w:r w:rsidRPr="00F14B1A">
        <w:rPr>
          <w:sz w:val="24"/>
          <w:szCs w:val="24"/>
        </w:rPr>
        <w:t>rder.’</w:t>
      </w:r>
      <w:r w:rsidR="000A0A1D" w:rsidRPr="00F14B1A">
        <w:rPr>
          <w:sz w:val="24"/>
          <w:szCs w:val="24"/>
        </w:rPr>
        <w:t xml:space="preserve"> </w:t>
      </w:r>
    </w:p>
    <w:p w14:paraId="613AF819" w14:textId="77777777" w:rsidR="000A0A1D" w:rsidRPr="00F14B1A" w:rsidRDefault="000A0A1D" w:rsidP="007D4F13">
      <w:pPr>
        <w:spacing w:line="360" w:lineRule="auto"/>
      </w:pPr>
    </w:p>
    <w:p w14:paraId="2E4CB678" w14:textId="0B29B005" w:rsidR="000A0A1D" w:rsidRPr="00F14B1A" w:rsidRDefault="000A0A1D" w:rsidP="007D4F13">
      <w:pPr>
        <w:spacing w:line="360" w:lineRule="auto"/>
      </w:pPr>
      <w:r w:rsidRPr="00F14B1A">
        <w:t>[</w:t>
      </w:r>
      <w:r w:rsidR="00483F66" w:rsidRPr="00F14B1A">
        <w:t>8</w:t>
      </w:r>
      <w:r w:rsidRPr="00F14B1A">
        <w:t>]</w:t>
      </w:r>
      <w:r w:rsidRPr="00F14B1A">
        <w:tab/>
        <w:t xml:space="preserve">Despite the </w:t>
      </w:r>
      <w:r w:rsidR="00D92E3D" w:rsidRPr="00F14B1A">
        <w:t xml:space="preserve">tense exchange of letters the </w:t>
      </w:r>
      <w:r w:rsidR="00457E30" w:rsidRPr="00F14B1A">
        <w:t xml:space="preserve">first </w:t>
      </w:r>
      <w:r w:rsidRPr="00F14B1A">
        <w:t>appellant placed an order for petroleum products on 2</w:t>
      </w:r>
      <w:r w:rsidR="00D92E3D" w:rsidRPr="00F14B1A">
        <w:t>5</w:t>
      </w:r>
      <w:r w:rsidRPr="00F14B1A">
        <w:t xml:space="preserve"> July 2019</w:t>
      </w:r>
      <w:r w:rsidR="00D92E3D" w:rsidRPr="00F14B1A">
        <w:t xml:space="preserve">, which were delivered and paid </w:t>
      </w:r>
      <w:r w:rsidR="002767E1" w:rsidRPr="00F14B1A">
        <w:t xml:space="preserve">for </w:t>
      </w:r>
      <w:r w:rsidR="00D92E3D" w:rsidRPr="00F14B1A">
        <w:t xml:space="preserve">by the first appellant on 29 July 2019. Unexpectedly, on 30 July 2019, </w:t>
      </w:r>
      <w:r w:rsidR="002767E1" w:rsidRPr="00F14B1A">
        <w:t>t</w:t>
      </w:r>
      <w:r w:rsidR="00D92E3D" w:rsidRPr="00F14B1A">
        <w:t xml:space="preserve">he first appellant’s </w:t>
      </w:r>
      <w:r w:rsidRPr="00F14B1A">
        <w:t>attorneys emailed</w:t>
      </w:r>
      <w:r w:rsidR="00D92E3D" w:rsidRPr="00F14B1A">
        <w:t xml:space="preserve"> a letter</w:t>
      </w:r>
      <w:r w:rsidRPr="00F14B1A">
        <w:t xml:space="preserve"> to the respondent stating that no further orders will be placed with the respondent until it responded fully to its letter of 24 July 2019.</w:t>
      </w:r>
      <w:r w:rsidR="00D92E3D" w:rsidRPr="00F14B1A">
        <w:t xml:space="preserve"> </w:t>
      </w:r>
      <w:r w:rsidR="002767E1" w:rsidRPr="00F14B1A">
        <w:t>It is common cause</w:t>
      </w:r>
      <w:r w:rsidR="00D92E3D" w:rsidRPr="00F14B1A">
        <w:t xml:space="preserve"> that t</w:t>
      </w:r>
      <w:r w:rsidRPr="00F14B1A">
        <w:t xml:space="preserve">he </w:t>
      </w:r>
      <w:r w:rsidR="008D2562" w:rsidRPr="00F14B1A">
        <w:t xml:space="preserve">first </w:t>
      </w:r>
      <w:r w:rsidRPr="00F14B1A">
        <w:t xml:space="preserve">appellant </w:t>
      </w:r>
      <w:bookmarkStart w:id="3" w:name="_Hlk89763039"/>
      <w:r w:rsidRPr="00F14B1A">
        <w:t xml:space="preserve">proceeded to source various petroleum products from </w:t>
      </w:r>
      <w:r w:rsidR="008D2562" w:rsidRPr="00F14B1A">
        <w:t xml:space="preserve">other </w:t>
      </w:r>
      <w:r w:rsidRPr="00F14B1A">
        <w:t>distributors</w:t>
      </w:r>
      <w:r w:rsidR="00D92E3D" w:rsidRPr="00F14B1A">
        <w:t xml:space="preserve"> </w:t>
      </w:r>
      <w:r w:rsidRPr="00F14B1A">
        <w:t xml:space="preserve">and </w:t>
      </w:r>
      <w:r w:rsidR="00906550" w:rsidRPr="00F14B1A">
        <w:t xml:space="preserve">sold those products </w:t>
      </w:r>
      <w:r w:rsidRPr="00F14B1A">
        <w:t>from the premises of the respondent</w:t>
      </w:r>
      <w:r w:rsidR="00D92E3D" w:rsidRPr="00F14B1A">
        <w:t>, using the respondent’s equipment and brand name, Caltex.</w:t>
      </w:r>
    </w:p>
    <w:bookmarkEnd w:id="3"/>
    <w:p w14:paraId="260630AF" w14:textId="11D8DEB5" w:rsidR="004F2161" w:rsidRPr="00F14B1A" w:rsidRDefault="004F2161" w:rsidP="007D4F13">
      <w:pPr>
        <w:spacing w:line="360" w:lineRule="auto"/>
      </w:pPr>
    </w:p>
    <w:p w14:paraId="47E485BE" w14:textId="7BACE196" w:rsidR="004F2161" w:rsidRPr="00F14B1A" w:rsidRDefault="004F2161" w:rsidP="007D4F13">
      <w:pPr>
        <w:spacing w:line="360" w:lineRule="auto"/>
      </w:pPr>
      <w:r w:rsidRPr="00F14B1A">
        <w:t>[</w:t>
      </w:r>
      <w:r w:rsidR="00483F66" w:rsidRPr="00F14B1A">
        <w:t>9</w:t>
      </w:r>
      <w:r w:rsidRPr="00F14B1A">
        <w:t>]</w:t>
      </w:r>
      <w:r w:rsidRPr="00F14B1A">
        <w:tab/>
      </w:r>
      <w:r w:rsidR="00457E30" w:rsidRPr="00F14B1A">
        <w:t xml:space="preserve">By that </w:t>
      </w:r>
      <w:r w:rsidRPr="00F14B1A">
        <w:t xml:space="preserve">time, the main application and counter-application had not been finally determined. Therefore, the respondent </w:t>
      </w:r>
      <w:bookmarkStart w:id="4" w:name="_Hlk89763129"/>
      <w:r w:rsidRPr="00F14B1A">
        <w:t xml:space="preserve">approached the </w:t>
      </w:r>
      <w:r w:rsidR="00906550" w:rsidRPr="00F14B1A">
        <w:t>h</w:t>
      </w:r>
      <w:r w:rsidRPr="00F14B1A">
        <w:t xml:space="preserve">igh </w:t>
      </w:r>
      <w:r w:rsidR="00906550" w:rsidRPr="00F14B1A">
        <w:t>c</w:t>
      </w:r>
      <w:r w:rsidRPr="00F14B1A">
        <w:t>ourt on an urgent basis for a rule nisi operating as an interim interdict</w:t>
      </w:r>
      <w:bookmarkEnd w:id="4"/>
      <w:r w:rsidRPr="00F14B1A">
        <w:t xml:space="preserve">. It cited the first and </w:t>
      </w:r>
      <w:r w:rsidR="0011108D" w:rsidRPr="00F14B1A">
        <w:t xml:space="preserve">second </w:t>
      </w:r>
      <w:r w:rsidR="008C7686" w:rsidRPr="00F14B1A">
        <w:t>appellants as the first and second respondents</w:t>
      </w:r>
      <w:r w:rsidR="0011108D" w:rsidRPr="00F14B1A">
        <w:t xml:space="preserve"> respectively. On 21 August 2019 Bezuidenhout J issued a rule nisi calling upon the appellants to show cause why the following order should not be made final:</w:t>
      </w:r>
    </w:p>
    <w:p w14:paraId="31581BE1" w14:textId="70FFE9AC" w:rsidR="006E6C9A" w:rsidRPr="00F14B1A" w:rsidRDefault="008C7686" w:rsidP="006E6C9A">
      <w:pPr>
        <w:spacing w:line="360" w:lineRule="auto"/>
        <w:rPr>
          <w:sz w:val="24"/>
          <w:szCs w:val="24"/>
        </w:rPr>
      </w:pPr>
      <w:r w:rsidRPr="00F14B1A">
        <w:rPr>
          <w:sz w:val="24"/>
          <w:szCs w:val="24"/>
        </w:rPr>
        <w:t>‘</w:t>
      </w:r>
      <w:r w:rsidR="006E6C9A" w:rsidRPr="00F14B1A">
        <w:rPr>
          <w:sz w:val="24"/>
          <w:szCs w:val="24"/>
        </w:rPr>
        <w:t>2.1</w:t>
      </w:r>
      <w:r w:rsidR="006E6C9A" w:rsidRPr="00F14B1A">
        <w:rPr>
          <w:sz w:val="24"/>
          <w:szCs w:val="24"/>
        </w:rPr>
        <w:tab/>
      </w:r>
      <w:r w:rsidR="006E6C9A" w:rsidRPr="00F14B1A">
        <w:rPr>
          <w:b/>
          <w:sz w:val="24"/>
          <w:szCs w:val="24"/>
        </w:rPr>
        <w:t>THAT</w:t>
      </w:r>
      <w:r w:rsidR="006E6C9A" w:rsidRPr="00F14B1A">
        <w:rPr>
          <w:sz w:val="24"/>
          <w:szCs w:val="24"/>
        </w:rPr>
        <w:t xml:space="preserve"> the first respondent is declared to be in contempt of court in failing to comply with paragraph 6 of the order (</w:t>
      </w:r>
      <w:r w:rsidR="006E6C9A" w:rsidRPr="00F14B1A">
        <w:rPr>
          <w:i/>
          <w:sz w:val="24"/>
          <w:szCs w:val="24"/>
        </w:rPr>
        <w:t>“the order”</w:t>
      </w:r>
      <w:r w:rsidR="006E6C9A" w:rsidRPr="00F14B1A">
        <w:rPr>
          <w:sz w:val="24"/>
          <w:szCs w:val="24"/>
        </w:rPr>
        <w:t xml:space="preserve">) granted by the Honourable Madam Justice </w:t>
      </w:r>
      <w:proofErr w:type="spellStart"/>
      <w:r w:rsidR="006E6C9A" w:rsidRPr="00F14B1A">
        <w:rPr>
          <w:sz w:val="24"/>
          <w:szCs w:val="24"/>
        </w:rPr>
        <w:t>Poyo</w:t>
      </w:r>
      <w:proofErr w:type="spellEnd"/>
      <w:r w:rsidR="006E6C9A" w:rsidRPr="00F14B1A">
        <w:rPr>
          <w:sz w:val="24"/>
          <w:szCs w:val="24"/>
        </w:rPr>
        <w:t xml:space="preserve"> </w:t>
      </w:r>
      <w:proofErr w:type="spellStart"/>
      <w:r w:rsidR="006E6C9A" w:rsidRPr="00F14B1A">
        <w:rPr>
          <w:sz w:val="24"/>
          <w:szCs w:val="24"/>
        </w:rPr>
        <w:t>Dlwati</w:t>
      </w:r>
      <w:proofErr w:type="spellEnd"/>
      <w:r w:rsidR="006E6C9A" w:rsidRPr="00F14B1A">
        <w:rPr>
          <w:sz w:val="24"/>
          <w:szCs w:val="24"/>
        </w:rPr>
        <w:t xml:space="preserve"> on </w:t>
      </w:r>
      <w:r w:rsidR="006E6C9A" w:rsidRPr="00F14B1A">
        <w:rPr>
          <w:b/>
          <w:sz w:val="24"/>
          <w:szCs w:val="24"/>
        </w:rPr>
        <w:t>22 January 2018</w:t>
      </w:r>
      <w:r w:rsidR="006E6C9A" w:rsidRPr="00F14B1A">
        <w:rPr>
          <w:sz w:val="24"/>
          <w:szCs w:val="24"/>
        </w:rPr>
        <w:t xml:space="preserve"> under case number 283/2018 P;</w:t>
      </w:r>
    </w:p>
    <w:p w14:paraId="1C32557E" w14:textId="6AB55604" w:rsidR="006E6C9A" w:rsidRPr="00F14B1A" w:rsidRDefault="006E6C9A" w:rsidP="006E6C9A">
      <w:pPr>
        <w:spacing w:line="360" w:lineRule="auto"/>
        <w:rPr>
          <w:sz w:val="24"/>
          <w:szCs w:val="24"/>
        </w:rPr>
      </w:pPr>
      <w:r w:rsidRPr="00F14B1A">
        <w:rPr>
          <w:sz w:val="24"/>
          <w:szCs w:val="24"/>
        </w:rPr>
        <w:t>2.2</w:t>
      </w:r>
      <w:r w:rsidRPr="00F14B1A">
        <w:rPr>
          <w:sz w:val="24"/>
          <w:szCs w:val="24"/>
        </w:rPr>
        <w:tab/>
      </w:r>
      <w:r w:rsidRPr="00F14B1A">
        <w:rPr>
          <w:b/>
          <w:sz w:val="24"/>
          <w:szCs w:val="24"/>
        </w:rPr>
        <w:t>THE</w:t>
      </w:r>
      <w:r w:rsidRPr="00F14B1A">
        <w:rPr>
          <w:sz w:val="24"/>
          <w:szCs w:val="24"/>
        </w:rPr>
        <w:t xml:space="preserve"> </w:t>
      </w:r>
      <w:r w:rsidR="008E35D6" w:rsidRPr="00F14B1A">
        <w:rPr>
          <w:sz w:val="24"/>
          <w:szCs w:val="24"/>
        </w:rPr>
        <w:t xml:space="preserve">second </w:t>
      </w:r>
      <w:r w:rsidRPr="00F14B1A">
        <w:rPr>
          <w:sz w:val="24"/>
          <w:szCs w:val="24"/>
        </w:rPr>
        <w:t xml:space="preserve">respondent be committed to prison for such period as this Honourable Court may determine for </w:t>
      </w:r>
      <w:r w:rsidR="008E35D6" w:rsidRPr="00F14B1A">
        <w:rPr>
          <w:sz w:val="24"/>
          <w:szCs w:val="24"/>
        </w:rPr>
        <w:t>the first respondent’s</w:t>
      </w:r>
      <w:r w:rsidRPr="00F14B1A">
        <w:rPr>
          <w:sz w:val="24"/>
          <w:szCs w:val="24"/>
        </w:rPr>
        <w:t xml:space="preserve"> contempt of paragraph 6 of the order granted by the Honourable Madam Justice </w:t>
      </w:r>
      <w:proofErr w:type="spellStart"/>
      <w:r w:rsidRPr="00F14B1A">
        <w:rPr>
          <w:sz w:val="24"/>
          <w:szCs w:val="24"/>
        </w:rPr>
        <w:t>Poyo</w:t>
      </w:r>
      <w:proofErr w:type="spellEnd"/>
      <w:r w:rsidRPr="00F14B1A">
        <w:rPr>
          <w:sz w:val="24"/>
          <w:szCs w:val="24"/>
        </w:rPr>
        <w:t xml:space="preserve"> </w:t>
      </w:r>
      <w:proofErr w:type="spellStart"/>
      <w:r w:rsidRPr="00F14B1A">
        <w:rPr>
          <w:sz w:val="24"/>
          <w:szCs w:val="24"/>
        </w:rPr>
        <w:t>Dlwati</w:t>
      </w:r>
      <w:proofErr w:type="spellEnd"/>
      <w:r w:rsidRPr="00F14B1A">
        <w:rPr>
          <w:sz w:val="24"/>
          <w:szCs w:val="24"/>
        </w:rPr>
        <w:t xml:space="preserve"> on </w:t>
      </w:r>
      <w:r w:rsidRPr="00F14B1A">
        <w:rPr>
          <w:b/>
          <w:sz w:val="24"/>
          <w:szCs w:val="24"/>
        </w:rPr>
        <w:t>22 January 2018</w:t>
      </w:r>
      <w:r w:rsidRPr="00F14B1A">
        <w:rPr>
          <w:sz w:val="24"/>
          <w:szCs w:val="24"/>
        </w:rPr>
        <w:t xml:space="preserve"> under case number 283/2018 P;</w:t>
      </w:r>
    </w:p>
    <w:p w14:paraId="52067294" w14:textId="41EBD8E0" w:rsidR="006E6C9A" w:rsidRPr="00F14B1A" w:rsidRDefault="006E6C9A" w:rsidP="006E6C9A">
      <w:pPr>
        <w:spacing w:line="360" w:lineRule="auto"/>
        <w:rPr>
          <w:sz w:val="24"/>
          <w:szCs w:val="24"/>
        </w:rPr>
      </w:pPr>
      <w:r w:rsidRPr="00F14B1A">
        <w:rPr>
          <w:sz w:val="24"/>
          <w:szCs w:val="24"/>
        </w:rPr>
        <w:t>2.3</w:t>
      </w:r>
      <w:r w:rsidRPr="00F14B1A">
        <w:rPr>
          <w:sz w:val="24"/>
          <w:szCs w:val="24"/>
        </w:rPr>
        <w:tab/>
      </w:r>
      <w:r w:rsidRPr="00F14B1A">
        <w:rPr>
          <w:b/>
          <w:sz w:val="24"/>
          <w:szCs w:val="24"/>
        </w:rPr>
        <w:t xml:space="preserve">THAT </w:t>
      </w:r>
      <w:r w:rsidRPr="00F14B1A">
        <w:rPr>
          <w:sz w:val="24"/>
          <w:szCs w:val="24"/>
        </w:rPr>
        <w:t>the first respondent is interdicted and restrained from conducting the business of a fuel retail service station as Caltex Premier Service Station (</w:t>
      </w:r>
      <w:r w:rsidRPr="00F14B1A">
        <w:rPr>
          <w:i/>
          <w:sz w:val="24"/>
          <w:szCs w:val="24"/>
        </w:rPr>
        <w:t xml:space="preserve">alternatively </w:t>
      </w:r>
      <w:r w:rsidRPr="00F14B1A">
        <w:rPr>
          <w:sz w:val="24"/>
          <w:szCs w:val="24"/>
        </w:rPr>
        <w:t xml:space="preserve">any other fuel retail service station, from the premises described as Sub 27 of Lot 2725, Pietermaritzburg Administrative District of Natal, Province of KwaZulu-Natal and </w:t>
      </w:r>
      <w:r w:rsidRPr="00F14B1A">
        <w:rPr>
          <w:sz w:val="24"/>
          <w:szCs w:val="24"/>
        </w:rPr>
        <w:lastRenderedPageBreak/>
        <w:t xml:space="preserve">situated at 238 Albert Luthuli Street, Pietermaritzburg, KwaZulu-Natal) on any basis other than sourcing all its fuel from </w:t>
      </w:r>
      <w:r w:rsidR="008E35D6" w:rsidRPr="00F14B1A">
        <w:rPr>
          <w:sz w:val="24"/>
          <w:szCs w:val="24"/>
        </w:rPr>
        <w:t>the applicant</w:t>
      </w:r>
      <w:r w:rsidRPr="00F14B1A">
        <w:rPr>
          <w:sz w:val="24"/>
          <w:szCs w:val="24"/>
        </w:rPr>
        <w:t xml:space="preserve"> in compliance with paragraph 6 of the order of this court granted on </w:t>
      </w:r>
      <w:r w:rsidRPr="00F14B1A">
        <w:rPr>
          <w:b/>
          <w:sz w:val="24"/>
          <w:szCs w:val="24"/>
        </w:rPr>
        <w:t>22 January 2018</w:t>
      </w:r>
      <w:r w:rsidRPr="00F14B1A">
        <w:rPr>
          <w:sz w:val="24"/>
          <w:szCs w:val="24"/>
        </w:rPr>
        <w:t xml:space="preserve"> under the present case number;</w:t>
      </w:r>
    </w:p>
    <w:p w14:paraId="5C666D42" w14:textId="0389A097" w:rsidR="006E6C9A" w:rsidRPr="00F14B1A" w:rsidRDefault="006E6C9A" w:rsidP="006E6C9A">
      <w:pPr>
        <w:spacing w:line="360" w:lineRule="auto"/>
        <w:rPr>
          <w:sz w:val="24"/>
          <w:szCs w:val="24"/>
        </w:rPr>
      </w:pPr>
      <w:r w:rsidRPr="00F14B1A">
        <w:rPr>
          <w:sz w:val="24"/>
          <w:szCs w:val="24"/>
        </w:rPr>
        <w:t>2.4</w:t>
      </w:r>
      <w:r w:rsidRPr="00F14B1A">
        <w:rPr>
          <w:sz w:val="24"/>
          <w:szCs w:val="24"/>
        </w:rPr>
        <w:tab/>
      </w:r>
      <w:r w:rsidRPr="00F14B1A">
        <w:rPr>
          <w:b/>
          <w:sz w:val="24"/>
          <w:szCs w:val="24"/>
        </w:rPr>
        <w:t>IN</w:t>
      </w:r>
      <w:r w:rsidRPr="00F14B1A">
        <w:rPr>
          <w:sz w:val="24"/>
          <w:szCs w:val="24"/>
        </w:rPr>
        <w:t xml:space="preserve"> the event of the first and second respond</w:t>
      </w:r>
      <w:r w:rsidR="0028580F" w:rsidRPr="00F14B1A">
        <w:rPr>
          <w:sz w:val="24"/>
          <w:szCs w:val="24"/>
        </w:rPr>
        <w:t>en</w:t>
      </w:r>
      <w:r w:rsidRPr="00F14B1A">
        <w:rPr>
          <w:sz w:val="24"/>
          <w:szCs w:val="24"/>
        </w:rPr>
        <w:t>ts failing to comply with the provisions of paragraph 2.3 above, then . . . the first respondent is interdicted and restrained from conducting the business of a fuel retail service station as Caltex Premier Service Station alternatively any other fuel retail service station, from the premises described as Sub 27 of Lot 2725, Pietermaritzburg Administrative District of Natal, Province of KwaZulu-Natal and situated at 238 Albert Luthuli Street, Pietermaritzburg, KwaZulu-Natal;</w:t>
      </w:r>
    </w:p>
    <w:p w14:paraId="607A607B" w14:textId="53043E92" w:rsidR="006E6C9A" w:rsidRPr="00F14B1A" w:rsidRDefault="006E6C9A" w:rsidP="006E6C9A">
      <w:pPr>
        <w:spacing w:line="360" w:lineRule="auto"/>
        <w:rPr>
          <w:sz w:val="24"/>
          <w:szCs w:val="24"/>
        </w:rPr>
      </w:pPr>
      <w:r w:rsidRPr="00F14B1A">
        <w:rPr>
          <w:sz w:val="24"/>
          <w:szCs w:val="24"/>
        </w:rPr>
        <w:t>2.5</w:t>
      </w:r>
      <w:r w:rsidRPr="00F14B1A">
        <w:rPr>
          <w:sz w:val="24"/>
          <w:szCs w:val="24"/>
        </w:rPr>
        <w:tab/>
      </w:r>
      <w:r w:rsidRPr="00F14B1A">
        <w:rPr>
          <w:b/>
          <w:sz w:val="24"/>
          <w:szCs w:val="24"/>
        </w:rPr>
        <w:t>IN</w:t>
      </w:r>
      <w:r w:rsidRPr="00F14B1A">
        <w:rPr>
          <w:sz w:val="24"/>
          <w:szCs w:val="24"/>
        </w:rPr>
        <w:t xml:space="preserve"> the event of the first and second respondents failing to comply with either of the provisions of paragraph 2.3 or 2.4 above, . . . the Sheriff or his duly authorised representative/s is authorised to do all things necessary to give effect to paragraphs 2.3 or 2.4 above;</w:t>
      </w:r>
    </w:p>
    <w:p w14:paraId="51D430EA" w14:textId="02C369D9" w:rsidR="006E6C9A" w:rsidRPr="00F14B1A" w:rsidRDefault="006E6C9A" w:rsidP="006E6C9A">
      <w:pPr>
        <w:spacing w:line="360" w:lineRule="auto"/>
        <w:rPr>
          <w:sz w:val="24"/>
          <w:szCs w:val="24"/>
        </w:rPr>
      </w:pPr>
      <w:r w:rsidRPr="00F14B1A">
        <w:rPr>
          <w:sz w:val="24"/>
          <w:szCs w:val="24"/>
        </w:rPr>
        <w:t>2.6</w:t>
      </w:r>
      <w:r w:rsidRPr="00F14B1A">
        <w:rPr>
          <w:sz w:val="24"/>
          <w:szCs w:val="24"/>
        </w:rPr>
        <w:tab/>
      </w:r>
      <w:r w:rsidRPr="00F14B1A">
        <w:rPr>
          <w:b/>
          <w:sz w:val="24"/>
          <w:szCs w:val="24"/>
        </w:rPr>
        <w:t>THAT</w:t>
      </w:r>
      <w:r w:rsidRPr="00F14B1A">
        <w:rPr>
          <w:sz w:val="24"/>
          <w:szCs w:val="24"/>
        </w:rPr>
        <w:t xml:space="preserve"> the first and second respondents are ordered to pay the costs of this application, jointly and severally the one paying the other to be absolved, on an attorney and own client scale</w:t>
      </w:r>
      <w:r w:rsidR="001446D6" w:rsidRPr="00F14B1A">
        <w:rPr>
          <w:sz w:val="24"/>
          <w:szCs w:val="24"/>
        </w:rPr>
        <w:t xml:space="preserve"> . . .’</w:t>
      </w:r>
    </w:p>
    <w:p w14:paraId="731DBCD2" w14:textId="1D99C009" w:rsidR="001446D6" w:rsidRPr="00F14B1A" w:rsidRDefault="001446D6" w:rsidP="006E6C9A">
      <w:pPr>
        <w:spacing w:line="360" w:lineRule="auto"/>
      </w:pPr>
      <w:r w:rsidRPr="00F14B1A">
        <w:t>He also ordered that paras 2.3 and 2.4 of the rule nisi operate as</w:t>
      </w:r>
      <w:r w:rsidR="008E35D6" w:rsidRPr="00F14B1A">
        <w:t xml:space="preserve"> an</w:t>
      </w:r>
      <w:r w:rsidRPr="00F14B1A">
        <w:t xml:space="preserve"> interim interdict with immediate effect, pending the finalisation of the application.</w:t>
      </w:r>
    </w:p>
    <w:p w14:paraId="2FD30777" w14:textId="4E0BF310" w:rsidR="001446D6" w:rsidRPr="00F14B1A" w:rsidRDefault="001446D6" w:rsidP="006E6C9A">
      <w:pPr>
        <w:spacing w:line="360" w:lineRule="auto"/>
      </w:pPr>
    </w:p>
    <w:p w14:paraId="3B788A06" w14:textId="4EFBBDE0" w:rsidR="001446D6" w:rsidRPr="00F14B1A" w:rsidRDefault="001446D6" w:rsidP="006E6C9A">
      <w:pPr>
        <w:spacing w:line="360" w:lineRule="auto"/>
      </w:pPr>
      <w:r w:rsidRPr="00F14B1A">
        <w:t>[</w:t>
      </w:r>
      <w:r w:rsidR="00483F66" w:rsidRPr="00F14B1A">
        <w:t>10</w:t>
      </w:r>
      <w:r w:rsidRPr="00F14B1A">
        <w:t>]</w:t>
      </w:r>
      <w:r w:rsidRPr="00F14B1A">
        <w:tab/>
        <w:t>On the extended return date, K Govender AJ</w:t>
      </w:r>
      <w:r w:rsidR="00994705" w:rsidRPr="00F14B1A">
        <w:t xml:space="preserve"> </w:t>
      </w:r>
      <w:r w:rsidRPr="00F14B1A">
        <w:t xml:space="preserve">confirmed the rule nisi. As I have said, the order </w:t>
      </w:r>
      <w:bookmarkStart w:id="5" w:name="_Hlk89763256"/>
      <w:r w:rsidRPr="00F14B1A">
        <w:t>committed the second appellant to prison for a period of 30 days</w:t>
      </w:r>
      <w:r w:rsidR="008C7686" w:rsidRPr="00F14B1A">
        <w:t>,</w:t>
      </w:r>
      <w:r w:rsidRPr="00F14B1A">
        <w:t xml:space="preserve"> wholly suspended on condition that the first appellant complies fully with the consent order. </w:t>
      </w:r>
    </w:p>
    <w:p w14:paraId="542B2879" w14:textId="77777777" w:rsidR="0011108D" w:rsidRPr="00F14B1A" w:rsidRDefault="0011108D" w:rsidP="007D4F13">
      <w:pPr>
        <w:spacing w:line="360" w:lineRule="auto"/>
      </w:pPr>
    </w:p>
    <w:bookmarkEnd w:id="5"/>
    <w:p w14:paraId="661DF4AC" w14:textId="399B1635" w:rsidR="00B505E4" w:rsidRPr="00F14B1A" w:rsidRDefault="00B505E4" w:rsidP="007D4F13">
      <w:pPr>
        <w:spacing w:line="360" w:lineRule="auto"/>
      </w:pPr>
      <w:r w:rsidRPr="00F14B1A">
        <w:t>[</w:t>
      </w:r>
      <w:r w:rsidR="00483F66" w:rsidRPr="00F14B1A">
        <w:t>11</w:t>
      </w:r>
      <w:r w:rsidRPr="00F14B1A">
        <w:t>]</w:t>
      </w:r>
      <w:r w:rsidRPr="00F14B1A">
        <w:tab/>
        <w:t xml:space="preserve">Before I deal with the issues raised on appeal, it is appropriate that I briefly set out the law on contempt of court proceedings. This </w:t>
      </w:r>
      <w:r w:rsidR="00CF601C" w:rsidRPr="00F14B1A">
        <w:t>C</w:t>
      </w:r>
      <w:r w:rsidRPr="00F14B1A">
        <w:t xml:space="preserve">ourt in </w:t>
      </w:r>
      <w:r w:rsidR="00D92E3D" w:rsidRPr="00F14B1A">
        <w:rPr>
          <w:i/>
        </w:rPr>
        <w:t>Fakie N</w:t>
      </w:r>
      <w:r w:rsidR="00CF601C" w:rsidRPr="00F14B1A">
        <w:rPr>
          <w:i/>
        </w:rPr>
        <w:t xml:space="preserve"> </w:t>
      </w:r>
      <w:r w:rsidR="00D92E3D" w:rsidRPr="00F14B1A">
        <w:rPr>
          <w:i/>
        </w:rPr>
        <w:t xml:space="preserve">O v CCII Systems (Pty) Ltd </w:t>
      </w:r>
      <w:r w:rsidR="00CF601C" w:rsidRPr="00F14B1A">
        <w:t>[2006] ZASCA 52;</w:t>
      </w:r>
      <w:r w:rsidR="00CF601C" w:rsidRPr="00F14B1A">
        <w:rPr>
          <w:i/>
        </w:rPr>
        <w:t xml:space="preserve"> </w:t>
      </w:r>
      <w:r w:rsidR="00D92E3D" w:rsidRPr="00F14B1A">
        <w:t xml:space="preserve">2006 (4) SA 326 </w:t>
      </w:r>
      <w:r w:rsidR="00CF601C" w:rsidRPr="00F14B1A">
        <w:t>(</w:t>
      </w:r>
      <w:r w:rsidR="00ED2B6A" w:rsidRPr="00F14B1A">
        <w:t>SCA</w:t>
      </w:r>
      <w:r w:rsidR="00CF601C" w:rsidRPr="00F14B1A">
        <w:t>)</w:t>
      </w:r>
      <w:r w:rsidRPr="00F14B1A">
        <w:t xml:space="preserve">, </w:t>
      </w:r>
      <w:r w:rsidR="00CE65FF" w:rsidRPr="00F14B1A">
        <w:t xml:space="preserve">among others, </w:t>
      </w:r>
      <w:r w:rsidRPr="00F14B1A">
        <w:t>found that th</w:t>
      </w:r>
      <w:r w:rsidR="007D76CB" w:rsidRPr="00F14B1A">
        <w:t xml:space="preserve">e contempt of court proceedings </w:t>
      </w:r>
      <w:r w:rsidR="00495407" w:rsidRPr="00F14B1A">
        <w:t>has</w:t>
      </w:r>
      <w:r w:rsidR="007D76CB" w:rsidRPr="00F14B1A">
        <w:t xml:space="preserve"> </w:t>
      </w:r>
      <w:r w:rsidRPr="00F14B1A">
        <w:t xml:space="preserve">survived constitutional scrutiny and </w:t>
      </w:r>
      <w:r w:rsidR="00495407" w:rsidRPr="00F14B1A">
        <w:t>is</w:t>
      </w:r>
      <w:r w:rsidRPr="00F14B1A">
        <w:t xml:space="preserve"> a necessary tool to enforce compliance of court orders.</w:t>
      </w:r>
      <w:r w:rsidR="00ED2B6A" w:rsidRPr="00F14B1A">
        <w:t xml:space="preserve"> To be successful in contempt of court </w:t>
      </w:r>
      <w:r w:rsidR="00ED2B6A" w:rsidRPr="00F14B1A">
        <w:lastRenderedPageBreak/>
        <w:t>proceedings t</w:t>
      </w:r>
      <w:r w:rsidRPr="00F14B1A">
        <w:t>he applicant need</w:t>
      </w:r>
      <w:r w:rsidR="00CF601C" w:rsidRPr="00F14B1A">
        <w:t>s</w:t>
      </w:r>
      <w:r w:rsidRPr="00F14B1A">
        <w:t xml:space="preserve"> to prove the existence of an order</w:t>
      </w:r>
      <w:r w:rsidR="00CF601C" w:rsidRPr="00F14B1A">
        <w:t>;</w:t>
      </w:r>
      <w:r w:rsidRPr="00F14B1A">
        <w:t xml:space="preserve"> service or notice thereof; non-compliance; wilfulness and mala fid</w:t>
      </w:r>
      <w:r w:rsidR="00ED2B6A" w:rsidRPr="00F14B1A">
        <w:t>es</w:t>
      </w:r>
      <w:r w:rsidRPr="00F14B1A">
        <w:t xml:space="preserve"> beyond any reasonable doubt. </w:t>
      </w:r>
      <w:r w:rsidR="00305FF4" w:rsidRPr="00F14B1A">
        <w:t>Once the first three requisites are established, t</w:t>
      </w:r>
      <w:r w:rsidRPr="00F14B1A">
        <w:t xml:space="preserve">he respondent bears the </w:t>
      </w:r>
      <w:r w:rsidR="00ED2B6A" w:rsidRPr="00F14B1A">
        <w:t xml:space="preserve">evidential burden in relation to </w:t>
      </w:r>
      <w:r w:rsidRPr="00F14B1A">
        <w:t>wilfulness and mala fid</w:t>
      </w:r>
      <w:r w:rsidR="00ED2B6A" w:rsidRPr="00F14B1A">
        <w:t>es</w:t>
      </w:r>
      <w:r w:rsidR="00E761FB" w:rsidRPr="00F14B1A">
        <w:t>. If he</w:t>
      </w:r>
      <w:r w:rsidR="0028580F" w:rsidRPr="00F14B1A">
        <w:t xml:space="preserve"> or she </w:t>
      </w:r>
      <w:r w:rsidR="00E761FB" w:rsidRPr="00F14B1A">
        <w:t>fails to advance evidence that establishes a reasonable doubt</w:t>
      </w:r>
      <w:r w:rsidR="00ED2B6A" w:rsidRPr="00F14B1A">
        <w:t xml:space="preserve"> a</w:t>
      </w:r>
      <w:r w:rsidR="00E761FB" w:rsidRPr="00F14B1A">
        <w:t>s to whether non-compliance was wilful or mala fid</w:t>
      </w:r>
      <w:r w:rsidR="00ED2B6A" w:rsidRPr="00F14B1A">
        <w:t>e</w:t>
      </w:r>
      <w:r w:rsidR="00E761FB" w:rsidRPr="00F14B1A">
        <w:t xml:space="preserve">, contempt </w:t>
      </w:r>
      <w:r w:rsidR="00305FF4" w:rsidRPr="00F14B1A">
        <w:t xml:space="preserve">would </w:t>
      </w:r>
      <w:r w:rsidR="00E761FB" w:rsidRPr="00F14B1A">
        <w:t>have been established be</w:t>
      </w:r>
      <w:r w:rsidR="00ED2B6A" w:rsidRPr="00F14B1A">
        <w:t>yond a reasonable doubt</w:t>
      </w:r>
      <w:r w:rsidR="00E761FB" w:rsidRPr="00F14B1A">
        <w:t>.</w:t>
      </w:r>
    </w:p>
    <w:p w14:paraId="264066A4" w14:textId="77777777" w:rsidR="00ED2B6A" w:rsidRPr="00F14B1A" w:rsidRDefault="00ED2B6A" w:rsidP="007D4F13">
      <w:pPr>
        <w:spacing w:line="360" w:lineRule="auto"/>
      </w:pPr>
    </w:p>
    <w:p w14:paraId="0FAE7A99" w14:textId="4F29FDA2" w:rsidR="00ED2B6A" w:rsidRPr="00F14B1A" w:rsidRDefault="00ED2B6A" w:rsidP="007D4F13">
      <w:pPr>
        <w:spacing w:line="360" w:lineRule="auto"/>
      </w:pPr>
      <w:r w:rsidRPr="00F14B1A">
        <w:t>[</w:t>
      </w:r>
      <w:r w:rsidR="00483F66" w:rsidRPr="00F14B1A">
        <w:t>12</w:t>
      </w:r>
      <w:r w:rsidRPr="00F14B1A">
        <w:t>]</w:t>
      </w:r>
      <w:r w:rsidRPr="00F14B1A">
        <w:tab/>
        <w:t xml:space="preserve">In </w:t>
      </w:r>
      <w:proofErr w:type="spellStart"/>
      <w:r w:rsidRPr="00F14B1A">
        <w:rPr>
          <w:i/>
        </w:rPr>
        <w:t>Pheko</w:t>
      </w:r>
      <w:proofErr w:type="spellEnd"/>
      <w:r w:rsidR="00CF601C" w:rsidRPr="00F14B1A">
        <w:rPr>
          <w:i/>
        </w:rPr>
        <w:t xml:space="preserve"> and Others</w:t>
      </w:r>
      <w:r w:rsidRPr="00F14B1A">
        <w:rPr>
          <w:i/>
        </w:rPr>
        <w:t xml:space="preserve"> v Ekurhuleni City</w:t>
      </w:r>
      <w:r w:rsidR="00B4285A" w:rsidRPr="00F14B1A">
        <w:rPr>
          <w:i/>
        </w:rPr>
        <w:t xml:space="preserve"> (II)</w:t>
      </w:r>
      <w:r w:rsidRPr="00F14B1A">
        <w:t xml:space="preserve"> </w:t>
      </w:r>
      <w:r w:rsidR="001D5537" w:rsidRPr="00F14B1A">
        <w:t xml:space="preserve">[2015] ZACC 10; </w:t>
      </w:r>
      <w:r w:rsidRPr="00F14B1A">
        <w:t>2015 (5) SA 600</w:t>
      </w:r>
      <w:r w:rsidR="001D5537" w:rsidRPr="00F14B1A">
        <w:t xml:space="preserve"> (CC)</w:t>
      </w:r>
      <w:r w:rsidR="00707D0D" w:rsidRPr="00F14B1A">
        <w:t xml:space="preserve"> para 1</w:t>
      </w:r>
      <w:r w:rsidRPr="00F14B1A">
        <w:t xml:space="preserve">, </w:t>
      </w:r>
      <w:r w:rsidR="002767E1" w:rsidRPr="00F14B1A">
        <w:t>the</w:t>
      </w:r>
      <w:r w:rsidR="00CE65FF" w:rsidRPr="00F14B1A">
        <w:t xml:space="preserve"> Constitutional Court </w:t>
      </w:r>
      <w:r w:rsidR="002767E1" w:rsidRPr="00F14B1A">
        <w:t>stated</w:t>
      </w:r>
      <w:r w:rsidRPr="00F14B1A">
        <w:t xml:space="preserve"> as follows:</w:t>
      </w:r>
    </w:p>
    <w:p w14:paraId="33A1EAF7" w14:textId="7ED959DC" w:rsidR="00ED2B6A" w:rsidRPr="00F14B1A" w:rsidRDefault="00ED2B6A" w:rsidP="007D4F13">
      <w:pPr>
        <w:spacing w:line="360" w:lineRule="auto"/>
        <w:rPr>
          <w:sz w:val="24"/>
          <w:szCs w:val="24"/>
        </w:rPr>
      </w:pPr>
      <w:r w:rsidRPr="00F14B1A">
        <w:rPr>
          <w:sz w:val="24"/>
          <w:szCs w:val="24"/>
        </w:rPr>
        <w:t xml:space="preserve">‘The rule of law, a foundational value of the Constitution, requires that the dignity and authority of the courts be upheld. This is crucial, as the capacity of the courts to carry out their functions depends upon it. As the Constitution commands, orders and decisions issued by a court bind all persons to whom and organs of state to which they apply, and no person or organ of state may interfere, in any manner, with the </w:t>
      </w:r>
      <w:r w:rsidR="00754BC9" w:rsidRPr="00F14B1A">
        <w:rPr>
          <w:sz w:val="24"/>
          <w:szCs w:val="24"/>
        </w:rPr>
        <w:t>functioning of the courts. It follows from this that disobedience towards court orders or decisions risks rendering our courts impotent and judicial authority a mere mockery. The effectiveness of court orders or decisions is substantial</w:t>
      </w:r>
      <w:r w:rsidR="00CF601C" w:rsidRPr="00F14B1A">
        <w:rPr>
          <w:sz w:val="24"/>
          <w:szCs w:val="24"/>
        </w:rPr>
        <w:t>ly</w:t>
      </w:r>
      <w:r w:rsidR="00754BC9" w:rsidRPr="00F14B1A">
        <w:rPr>
          <w:sz w:val="24"/>
          <w:szCs w:val="24"/>
        </w:rPr>
        <w:t xml:space="preserve"> determined by the assurance that they will be enforced.’</w:t>
      </w:r>
      <w:r w:rsidRPr="00F14B1A">
        <w:rPr>
          <w:sz w:val="24"/>
          <w:szCs w:val="24"/>
        </w:rPr>
        <w:t xml:space="preserve"> </w:t>
      </w:r>
    </w:p>
    <w:p w14:paraId="0DEACA77" w14:textId="43376A76" w:rsidR="00E761FB" w:rsidRPr="00F14B1A" w:rsidRDefault="001446D6" w:rsidP="007D4F13">
      <w:pPr>
        <w:spacing w:line="360" w:lineRule="auto"/>
      </w:pPr>
      <w:r w:rsidRPr="00F14B1A">
        <w:t>The court emphasised that when a court order is disobeyed</w:t>
      </w:r>
      <w:r w:rsidR="008C7686" w:rsidRPr="00F14B1A">
        <w:t>,</w:t>
      </w:r>
      <w:r w:rsidRPr="00F14B1A">
        <w:t xml:space="preserve"> not only the person named or party to the suit but all those, with knowledge of the order, aided and ab</w:t>
      </w:r>
      <w:r w:rsidR="008C7686" w:rsidRPr="00F14B1A">
        <w:t>et</w:t>
      </w:r>
      <w:r w:rsidRPr="00F14B1A">
        <w:t>ted the disobedience o</w:t>
      </w:r>
      <w:r w:rsidR="008C7686" w:rsidRPr="00F14B1A">
        <w:t>r</w:t>
      </w:r>
      <w:r w:rsidRPr="00F14B1A">
        <w:t xml:space="preserve"> wilfully are party to the disobedience are liable.</w:t>
      </w:r>
      <w:r w:rsidR="002F7D2D" w:rsidRPr="00F14B1A">
        <w:rPr>
          <w:rStyle w:val="FootnoteReference"/>
        </w:rPr>
        <w:footnoteReference w:id="1"/>
      </w:r>
    </w:p>
    <w:p w14:paraId="0A1FBA9B" w14:textId="65982C77" w:rsidR="001446D6" w:rsidRPr="00F14B1A" w:rsidRDefault="001446D6" w:rsidP="007D4F13">
      <w:pPr>
        <w:spacing w:line="360" w:lineRule="auto"/>
      </w:pPr>
    </w:p>
    <w:p w14:paraId="19EEB736" w14:textId="3DD539A0" w:rsidR="001446D6" w:rsidRPr="00F14B1A" w:rsidRDefault="001446D6" w:rsidP="007D4F13">
      <w:pPr>
        <w:spacing w:line="360" w:lineRule="auto"/>
      </w:pPr>
      <w:r w:rsidRPr="00F14B1A">
        <w:t>[</w:t>
      </w:r>
      <w:r w:rsidR="00483F66" w:rsidRPr="00F14B1A">
        <w:t>13</w:t>
      </w:r>
      <w:r w:rsidRPr="00F14B1A">
        <w:t>]</w:t>
      </w:r>
      <w:r w:rsidRPr="00F14B1A">
        <w:tab/>
        <w:t xml:space="preserve">It was common cause or undisputed that the appellants had knowledge of the consent order. As I have demonstrated, it was also common cause that the second appellant caused the first appellant to disobey the consent order by sourcing petroleum products from other </w:t>
      </w:r>
      <w:r w:rsidRPr="00F14B1A">
        <w:lastRenderedPageBreak/>
        <w:t>suppliers than the respondent. The appellants raised only two points on appeal, namely, first</w:t>
      </w:r>
      <w:r w:rsidR="008C7686" w:rsidRPr="00F14B1A">
        <w:t>,</w:t>
      </w:r>
      <w:r w:rsidRPr="00F14B1A">
        <w:t xml:space="preserve"> that the consent order was ‘inchoate and incapable of implementation’ and second, in the alternative, that the non-compliance with the consent order had not been wilful.</w:t>
      </w:r>
    </w:p>
    <w:p w14:paraId="6A2A5C05" w14:textId="0D41EC0F" w:rsidR="001446D6" w:rsidRPr="00F14B1A" w:rsidRDefault="001446D6" w:rsidP="007D4F13">
      <w:pPr>
        <w:spacing w:line="360" w:lineRule="auto"/>
      </w:pPr>
    </w:p>
    <w:p w14:paraId="3509BB97" w14:textId="3810837F" w:rsidR="001446D6" w:rsidRPr="00F14B1A" w:rsidRDefault="001446D6" w:rsidP="007D4F13">
      <w:pPr>
        <w:spacing w:line="360" w:lineRule="auto"/>
      </w:pPr>
      <w:r w:rsidRPr="00F14B1A">
        <w:t>[</w:t>
      </w:r>
      <w:r w:rsidR="00483F66" w:rsidRPr="00F14B1A">
        <w:t>14</w:t>
      </w:r>
      <w:r w:rsidRPr="00F14B1A">
        <w:t>]</w:t>
      </w:r>
      <w:r w:rsidRPr="00F14B1A">
        <w:tab/>
        <w:t>The first point was based on the contention that the franchise agreement was unenforceable or invalid because it did not state prices for the fuel products nor provided for a method of determination thereof. Clause 6.3 of the franchise agreement provided:</w:t>
      </w:r>
    </w:p>
    <w:p w14:paraId="0A53F702" w14:textId="078D6457" w:rsidR="001446D6" w:rsidRPr="00F14B1A" w:rsidRDefault="001446D6" w:rsidP="001446D6">
      <w:pPr>
        <w:spacing w:line="360" w:lineRule="auto"/>
        <w:rPr>
          <w:sz w:val="24"/>
          <w:szCs w:val="24"/>
        </w:rPr>
      </w:pPr>
      <w:r w:rsidRPr="00F14B1A">
        <w:rPr>
          <w:sz w:val="24"/>
          <w:szCs w:val="24"/>
        </w:rPr>
        <w:t>‘The FRANCHISEE will pay CALTEX the CALTEX invoice price for all CALTEX products sold by Caltex to it under the contract’.</w:t>
      </w:r>
    </w:p>
    <w:p w14:paraId="564F1BF2" w14:textId="7D9B8AD8" w:rsidR="001446D6" w:rsidRPr="00F14B1A" w:rsidRDefault="001446D6" w:rsidP="001446D6">
      <w:pPr>
        <w:spacing w:line="360" w:lineRule="auto"/>
      </w:pPr>
      <w:r w:rsidRPr="00F14B1A">
        <w:t xml:space="preserve">With reference to </w:t>
      </w:r>
      <w:r w:rsidRPr="00F14B1A">
        <w:rPr>
          <w:i/>
        </w:rPr>
        <w:t xml:space="preserve">Shell SA (Pty) Ltd v Corbitt and Another </w:t>
      </w:r>
      <w:r w:rsidRPr="00F14B1A">
        <w:t>1986 (4) SA 523</w:t>
      </w:r>
      <w:r w:rsidR="00601459" w:rsidRPr="00F14B1A">
        <w:t xml:space="preserve"> (C) at 526, the </w:t>
      </w:r>
      <w:r w:rsidR="00B244AD" w:rsidRPr="00F14B1A">
        <w:t xml:space="preserve">high court </w:t>
      </w:r>
      <w:r w:rsidR="00601459" w:rsidRPr="00F14B1A">
        <w:t>held that the franchise agreement had allowed the respondent to charge its usual, normal or current prices and that therefore the prices were determinable. Save for pointing out that it was not appropriate to interpret the clause of the franchise agreement without having regard to its context, it is not necessary to determine whether this approach was correct.</w:t>
      </w:r>
    </w:p>
    <w:p w14:paraId="71569233" w14:textId="1E4588A1" w:rsidR="00601459" w:rsidRPr="00F14B1A" w:rsidRDefault="00601459" w:rsidP="001446D6">
      <w:pPr>
        <w:spacing w:line="360" w:lineRule="auto"/>
      </w:pPr>
    </w:p>
    <w:p w14:paraId="6C975357" w14:textId="12F91181" w:rsidR="00601459" w:rsidRPr="00F14B1A" w:rsidRDefault="00601459" w:rsidP="001446D6">
      <w:pPr>
        <w:spacing w:line="360" w:lineRule="auto"/>
      </w:pPr>
      <w:r w:rsidRPr="00F14B1A">
        <w:t>[</w:t>
      </w:r>
      <w:r w:rsidR="00483F66" w:rsidRPr="00F14B1A">
        <w:t>15</w:t>
      </w:r>
      <w:r w:rsidRPr="00F14B1A">
        <w:t>]</w:t>
      </w:r>
      <w:r w:rsidRPr="00F14B1A">
        <w:tab/>
        <w:t>This is so because the consent order created self-standing obligation</w:t>
      </w:r>
      <w:r w:rsidR="00AF218C" w:rsidRPr="00F14B1A">
        <w:t>s</w:t>
      </w:r>
      <w:r w:rsidRPr="00F14B1A">
        <w:t xml:space="preserve">. </w:t>
      </w:r>
      <w:bookmarkStart w:id="6" w:name="_Hlk89763947"/>
      <w:r w:rsidRPr="00F14B1A">
        <w:t xml:space="preserve">In its contextual setting the consent order clearly provided that pending the final determination of the main application and counter-application and without prejudice to the first appellant’s rights, the appellants would continue to operate </w:t>
      </w:r>
      <w:r w:rsidR="00AF218C" w:rsidRPr="00F14B1A">
        <w:t xml:space="preserve">a </w:t>
      </w:r>
      <w:r w:rsidRPr="00F14B1A">
        <w:t>Caltex filling station as before, that is</w:t>
      </w:r>
      <w:r w:rsidR="0098056F" w:rsidRPr="00F14B1A">
        <w:t>,</w:t>
      </w:r>
      <w:r w:rsidRPr="00F14B1A">
        <w:t xml:space="preserve"> as if the franchise agreement remained of full force and effect. Thus, as an interim measure, the </w:t>
      </w:r>
      <w:r w:rsidR="0098056F" w:rsidRPr="00F14B1A">
        <w:t xml:space="preserve">first </w:t>
      </w:r>
      <w:r w:rsidRPr="00F14B1A">
        <w:t>appellant w</w:t>
      </w:r>
      <w:r w:rsidR="0098056F" w:rsidRPr="00F14B1A">
        <w:t>as</w:t>
      </w:r>
      <w:r w:rsidRPr="00F14B1A">
        <w:t xml:space="preserve"> bound not only to source all </w:t>
      </w:r>
      <w:r w:rsidR="008E35D6" w:rsidRPr="00F14B1A">
        <w:t>the</w:t>
      </w:r>
      <w:r w:rsidRPr="00F14B1A">
        <w:t xml:space="preserve"> petroleum products from the respondent, but also to pay the invoiced prices for these produc</w:t>
      </w:r>
      <w:r w:rsidR="00AF218C" w:rsidRPr="00F14B1A">
        <w:t xml:space="preserve">ts, </w:t>
      </w:r>
      <w:r w:rsidRPr="00F14B1A">
        <w:t xml:space="preserve">as it had done since 2015. </w:t>
      </w:r>
    </w:p>
    <w:bookmarkEnd w:id="6"/>
    <w:p w14:paraId="492BAA19" w14:textId="3465DCF5" w:rsidR="00601459" w:rsidRPr="00F14B1A" w:rsidRDefault="00601459" w:rsidP="001446D6">
      <w:pPr>
        <w:spacing w:line="360" w:lineRule="auto"/>
      </w:pPr>
    </w:p>
    <w:p w14:paraId="42DA7294" w14:textId="51D04D8B" w:rsidR="00601459" w:rsidRPr="00F14B1A" w:rsidRDefault="00601459" w:rsidP="00A466EB">
      <w:pPr>
        <w:spacing w:line="360" w:lineRule="auto"/>
      </w:pPr>
      <w:r w:rsidRPr="00F14B1A">
        <w:lastRenderedPageBreak/>
        <w:t>[</w:t>
      </w:r>
      <w:r w:rsidR="00483F66" w:rsidRPr="00F14B1A">
        <w:t>16</w:t>
      </w:r>
      <w:r w:rsidRPr="00F14B1A">
        <w:t>]</w:t>
      </w:r>
      <w:r w:rsidRPr="00F14B1A">
        <w:tab/>
      </w:r>
      <w:r w:rsidR="00BC1A14" w:rsidRPr="00F14B1A">
        <w:t xml:space="preserve">To the extent that the appellants might have intended to say that the first appellant’s conduct had not been mala fide, they carried the burden to adduce evidence that created a reasonable doubt as to whether the first appellant had in good faith believed that it was entitled to source petroleum products from other suppliers than the respondent. </w:t>
      </w:r>
      <w:r w:rsidRPr="00F14B1A">
        <w:t xml:space="preserve">In the light of the circumstances under which the consent order </w:t>
      </w:r>
      <w:r w:rsidR="0098056F" w:rsidRPr="00F14B1A">
        <w:t xml:space="preserve">was </w:t>
      </w:r>
      <w:r w:rsidRPr="00F14B1A">
        <w:t xml:space="preserve">made, the compliance </w:t>
      </w:r>
      <w:r w:rsidR="0059140E" w:rsidRPr="00F14B1A">
        <w:t xml:space="preserve">with it </w:t>
      </w:r>
      <w:r w:rsidRPr="00F14B1A">
        <w:t>from January 2018 to July 2019 and the contents of the correspondence referred to above, their evidence did not raise a reasonable doubt as to the</w:t>
      </w:r>
      <w:r w:rsidR="0059140E" w:rsidRPr="00F14B1A">
        <w:t xml:space="preserve"> first appellant’s</w:t>
      </w:r>
      <w:r w:rsidRPr="00F14B1A">
        <w:t xml:space="preserve"> mala fides. </w:t>
      </w:r>
      <w:r w:rsidR="00483F66" w:rsidRPr="00F14B1A">
        <w:t>The second point can be briefly disposed of. The non-compliance with the consent order was clearly deliberate, that is wilful.</w:t>
      </w:r>
      <w:r w:rsidR="00A466EB" w:rsidRPr="00F14B1A">
        <w:t xml:space="preserve"> The appeal must therefore fail.</w:t>
      </w:r>
    </w:p>
    <w:p w14:paraId="10800E6B" w14:textId="5E6716CD" w:rsidR="00CE7BBF" w:rsidRPr="00F14B1A" w:rsidRDefault="00CE7BBF" w:rsidP="007D4F13">
      <w:pPr>
        <w:spacing w:line="360" w:lineRule="auto"/>
      </w:pPr>
    </w:p>
    <w:p w14:paraId="1BB5E95A" w14:textId="1C19FEA9" w:rsidR="00CE7BBF" w:rsidRPr="00F14B1A" w:rsidRDefault="00CE7BBF" w:rsidP="007D4F13">
      <w:pPr>
        <w:spacing w:line="360" w:lineRule="auto"/>
      </w:pPr>
      <w:r w:rsidRPr="00F14B1A">
        <w:t>[</w:t>
      </w:r>
      <w:r w:rsidR="00483F66" w:rsidRPr="00F14B1A">
        <w:t>17</w:t>
      </w:r>
      <w:r w:rsidRPr="00F14B1A">
        <w:t>]</w:t>
      </w:r>
      <w:r w:rsidRPr="00F14B1A">
        <w:tab/>
      </w:r>
      <w:r w:rsidR="0059140E" w:rsidRPr="00F14B1A">
        <w:t xml:space="preserve">Before I conclude, I am constrained to comment </w:t>
      </w:r>
      <w:r w:rsidR="003A67BE" w:rsidRPr="00F14B1A">
        <w:t xml:space="preserve">on the decision of the high court to grant leave to appeal to this Court.  Section </w:t>
      </w:r>
      <w:r w:rsidR="0028580F" w:rsidRPr="00F14B1A">
        <w:t>17(6)</w:t>
      </w:r>
      <w:r w:rsidR="0028580F" w:rsidRPr="00F14B1A">
        <w:rPr>
          <w:i/>
        </w:rPr>
        <w:t>(a)</w:t>
      </w:r>
      <w:r w:rsidR="0028580F" w:rsidRPr="00F14B1A">
        <w:t xml:space="preserve"> of the Superior Courts Act 10 of 2013 read</w:t>
      </w:r>
      <w:r w:rsidR="003A67BE" w:rsidRPr="00F14B1A">
        <w:t>s</w:t>
      </w:r>
      <w:r w:rsidR="0028580F" w:rsidRPr="00F14B1A">
        <w:t xml:space="preserve"> as follows</w:t>
      </w:r>
      <w:r w:rsidRPr="00F14B1A">
        <w:t xml:space="preserve">: </w:t>
      </w:r>
    </w:p>
    <w:p w14:paraId="2CC5EA4D" w14:textId="77777777" w:rsidR="00AF16B5" w:rsidRPr="00F14B1A" w:rsidRDefault="00176421" w:rsidP="007D4F13">
      <w:pPr>
        <w:spacing w:line="360" w:lineRule="auto"/>
        <w:rPr>
          <w:sz w:val="24"/>
          <w:szCs w:val="24"/>
        </w:rPr>
      </w:pPr>
      <w:r w:rsidRPr="00F14B1A">
        <w:rPr>
          <w:sz w:val="24"/>
          <w:szCs w:val="24"/>
        </w:rPr>
        <w:t>‘(6)</w:t>
      </w:r>
      <w:r w:rsidRPr="00F14B1A">
        <w:rPr>
          <w:i/>
          <w:sz w:val="24"/>
          <w:szCs w:val="24"/>
        </w:rPr>
        <w:t>(a)</w:t>
      </w:r>
      <w:r w:rsidRPr="00F14B1A">
        <w:rPr>
          <w:sz w:val="24"/>
          <w:szCs w:val="24"/>
        </w:rPr>
        <w:tab/>
      </w:r>
      <w:r w:rsidR="00AF16B5" w:rsidRPr="00F14B1A">
        <w:rPr>
          <w:sz w:val="24"/>
          <w:szCs w:val="24"/>
        </w:rPr>
        <w:t>If leave is granted under subsection (2)</w:t>
      </w:r>
      <w:r w:rsidR="00AF16B5" w:rsidRPr="00F14B1A">
        <w:rPr>
          <w:i/>
          <w:sz w:val="24"/>
          <w:szCs w:val="24"/>
        </w:rPr>
        <w:t>(a)</w:t>
      </w:r>
      <w:r w:rsidR="00AF16B5" w:rsidRPr="00F14B1A">
        <w:rPr>
          <w:sz w:val="24"/>
          <w:szCs w:val="24"/>
        </w:rPr>
        <w:t xml:space="preserve"> or </w:t>
      </w:r>
      <w:r w:rsidR="00AF16B5" w:rsidRPr="00F14B1A">
        <w:rPr>
          <w:i/>
          <w:sz w:val="24"/>
          <w:szCs w:val="24"/>
        </w:rPr>
        <w:t>(b)</w:t>
      </w:r>
      <w:r w:rsidR="00AF16B5" w:rsidRPr="00F14B1A">
        <w:rPr>
          <w:sz w:val="24"/>
          <w:szCs w:val="24"/>
        </w:rPr>
        <w:t xml:space="preserve"> to appeal against a decision of a Division as a court of first instance consisting of a single judge, the judge or judges granting leave must direct that the appeal be heard by a full court of that Division, unless they consider –</w:t>
      </w:r>
    </w:p>
    <w:p w14:paraId="3FBA6630" w14:textId="61977BEC" w:rsidR="00176421" w:rsidRPr="00F14B1A" w:rsidRDefault="00AF16B5" w:rsidP="00F4510E">
      <w:pPr>
        <w:spacing w:line="360" w:lineRule="auto"/>
        <w:ind w:left="720"/>
        <w:rPr>
          <w:sz w:val="24"/>
          <w:szCs w:val="24"/>
        </w:rPr>
      </w:pPr>
      <w:r w:rsidRPr="00F14B1A">
        <w:rPr>
          <w:sz w:val="24"/>
          <w:szCs w:val="24"/>
        </w:rPr>
        <w:t>(</w:t>
      </w:r>
      <w:proofErr w:type="spellStart"/>
      <w:r w:rsidRPr="00F14B1A">
        <w:rPr>
          <w:sz w:val="24"/>
          <w:szCs w:val="24"/>
        </w:rPr>
        <w:t>i</w:t>
      </w:r>
      <w:proofErr w:type="spellEnd"/>
      <w:r w:rsidRPr="00F14B1A">
        <w:rPr>
          <w:sz w:val="24"/>
          <w:szCs w:val="24"/>
        </w:rPr>
        <w:t>)</w:t>
      </w:r>
      <w:r w:rsidRPr="00F14B1A">
        <w:rPr>
          <w:sz w:val="24"/>
          <w:szCs w:val="24"/>
        </w:rPr>
        <w:tab/>
        <w:t>that the decision to be appealed involves a question of law of importance, whether because of its general application or otherwise, or in respect of which a decision of the Supreme Court of Appeal is required to resolve differences of opinion; or</w:t>
      </w:r>
    </w:p>
    <w:p w14:paraId="7F73A746" w14:textId="6B8541D8" w:rsidR="00FD2AFE" w:rsidRPr="00F14B1A" w:rsidRDefault="00AF16B5" w:rsidP="00F0397E">
      <w:pPr>
        <w:spacing w:line="360" w:lineRule="auto"/>
        <w:ind w:left="720"/>
        <w:rPr>
          <w:sz w:val="24"/>
          <w:szCs w:val="24"/>
        </w:rPr>
      </w:pPr>
      <w:r w:rsidRPr="00F14B1A">
        <w:rPr>
          <w:sz w:val="24"/>
          <w:szCs w:val="24"/>
        </w:rPr>
        <w:t>(ii)</w:t>
      </w:r>
      <w:r w:rsidRPr="00F14B1A">
        <w:rPr>
          <w:sz w:val="24"/>
          <w:szCs w:val="24"/>
        </w:rPr>
        <w:tab/>
      </w:r>
      <w:bookmarkStart w:id="7" w:name="_Hlk89868535"/>
      <w:r w:rsidRPr="00F14B1A">
        <w:rPr>
          <w:sz w:val="24"/>
          <w:szCs w:val="24"/>
        </w:rPr>
        <w:t>that the administration of justice, either generally or in the particular case, requires consideration by the Supreme Court of Appeal of the decision</w:t>
      </w:r>
      <w:bookmarkEnd w:id="7"/>
      <w:r w:rsidRPr="00F14B1A">
        <w:rPr>
          <w:sz w:val="24"/>
          <w:szCs w:val="24"/>
        </w:rPr>
        <w:t>, in which case they must direct that the appeal be heard by the Supreme Court of Appeal.’</w:t>
      </w:r>
    </w:p>
    <w:p w14:paraId="723BE4E4" w14:textId="77777777" w:rsidR="002059D3" w:rsidRPr="00F14B1A" w:rsidRDefault="002059D3" w:rsidP="00F0397E">
      <w:pPr>
        <w:spacing w:line="360" w:lineRule="auto"/>
        <w:ind w:left="720"/>
        <w:rPr>
          <w:sz w:val="24"/>
          <w:szCs w:val="24"/>
        </w:rPr>
      </w:pPr>
    </w:p>
    <w:p w14:paraId="6F4949D3" w14:textId="3DA85D21" w:rsidR="00CE7BBF" w:rsidRPr="00F14B1A" w:rsidRDefault="002059D3" w:rsidP="007D4F13">
      <w:pPr>
        <w:spacing w:line="360" w:lineRule="auto"/>
      </w:pPr>
      <w:r w:rsidRPr="00F14B1A">
        <w:t>[1</w:t>
      </w:r>
      <w:r w:rsidR="00483F66" w:rsidRPr="00F14B1A">
        <w:t>8</w:t>
      </w:r>
      <w:r w:rsidRPr="00F14B1A">
        <w:t xml:space="preserve">]     </w:t>
      </w:r>
      <w:r w:rsidR="0028580F" w:rsidRPr="00F14B1A">
        <w:t xml:space="preserve">Thus, </w:t>
      </w:r>
      <w:r w:rsidR="003A67BE" w:rsidRPr="00F14B1A">
        <w:t xml:space="preserve">ordinarily, leave to appeal against a decision of a single Judge of a division of the high court should be granted to the full court of the relevant division. Leave to this Court should only be given </w:t>
      </w:r>
      <w:r w:rsidR="00EA59F3" w:rsidRPr="00F14B1A">
        <w:t xml:space="preserve">after the Judge </w:t>
      </w:r>
      <w:r w:rsidR="00EA59F3" w:rsidRPr="00F14B1A">
        <w:lastRenderedPageBreak/>
        <w:t>is satisfied that the requirements of (</w:t>
      </w:r>
      <w:proofErr w:type="spellStart"/>
      <w:r w:rsidR="00EA59F3" w:rsidRPr="00F14B1A">
        <w:t>i</w:t>
      </w:r>
      <w:proofErr w:type="spellEnd"/>
      <w:r w:rsidR="00EA59F3" w:rsidRPr="00F14B1A">
        <w:t>) and (ii) of s 17(6)(</w:t>
      </w:r>
      <w:r w:rsidR="00EA59F3" w:rsidRPr="00F14B1A">
        <w:rPr>
          <w:i/>
          <w:iCs/>
        </w:rPr>
        <w:t>a</w:t>
      </w:r>
      <w:r w:rsidR="00EA59F3" w:rsidRPr="00F14B1A">
        <w:t>) are satisfied. In the present case, it is not clear whether these</w:t>
      </w:r>
      <w:r w:rsidR="0074050E" w:rsidRPr="00F14B1A">
        <w:t xml:space="preserve"> provisions were considered when granting leave to this Court. The appeal involves no question of law of importance. There are no differences of opinion to be resolved by this Court. There is no suggestion that the administration of justice, either generally or in this case, requires consideration by this Court.</w:t>
      </w:r>
      <w:r w:rsidR="003A67BE" w:rsidRPr="00F14B1A">
        <w:t xml:space="preserve"> </w:t>
      </w:r>
      <w:r w:rsidRPr="00F14B1A">
        <w:t>On these considerations, if the high court was minded to grant leave, it should have granted it to the full court, and not to this Court.</w:t>
      </w:r>
      <w:r w:rsidR="003A67BE" w:rsidRPr="00F14B1A">
        <w:t xml:space="preserve"> </w:t>
      </w:r>
    </w:p>
    <w:p w14:paraId="03E1D94F" w14:textId="77777777" w:rsidR="0028580F" w:rsidRPr="00F14B1A" w:rsidRDefault="0028580F" w:rsidP="007D4F13">
      <w:pPr>
        <w:spacing w:line="360" w:lineRule="auto"/>
      </w:pPr>
    </w:p>
    <w:p w14:paraId="34611C41" w14:textId="2F62A662" w:rsidR="002059D3" w:rsidRPr="00F14B1A" w:rsidRDefault="00CE7BBF" w:rsidP="00946151">
      <w:pPr>
        <w:spacing w:line="360" w:lineRule="auto"/>
      </w:pPr>
      <w:r w:rsidRPr="00F14B1A">
        <w:t>[</w:t>
      </w:r>
      <w:r w:rsidR="00601459" w:rsidRPr="00F14B1A">
        <w:t>1</w:t>
      </w:r>
      <w:r w:rsidR="00483F66" w:rsidRPr="00F14B1A">
        <w:t>9</w:t>
      </w:r>
      <w:r w:rsidRPr="00F14B1A">
        <w:t>]</w:t>
      </w:r>
      <w:r w:rsidRPr="00F14B1A">
        <w:tab/>
        <w:t>In the result</w:t>
      </w:r>
      <w:r w:rsidR="00187BD4" w:rsidRPr="00F14B1A">
        <w:t>,</w:t>
      </w:r>
      <w:r w:rsidRPr="00F14B1A">
        <w:t xml:space="preserve"> </w:t>
      </w:r>
      <w:r w:rsidR="002059D3" w:rsidRPr="00F14B1A">
        <w:t>the following order is made:</w:t>
      </w:r>
    </w:p>
    <w:p w14:paraId="32C29A9B" w14:textId="67C41B47" w:rsidR="003A1C43" w:rsidRDefault="002059D3" w:rsidP="00946151">
      <w:pPr>
        <w:spacing w:line="360" w:lineRule="auto"/>
      </w:pPr>
      <w:r w:rsidRPr="00F14B1A">
        <w:t>T</w:t>
      </w:r>
      <w:r w:rsidR="00CE7BBF" w:rsidRPr="00F14B1A">
        <w:t>he appeal is dismissed with costs.</w:t>
      </w:r>
    </w:p>
    <w:p w14:paraId="18DE0963" w14:textId="1DA793EC" w:rsidR="007C4779" w:rsidRPr="00F14B1A" w:rsidRDefault="007C4779" w:rsidP="00946151">
      <w:pPr>
        <w:spacing w:line="360" w:lineRule="auto"/>
      </w:pPr>
    </w:p>
    <w:p w14:paraId="6EB1EF84" w14:textId="55936496" w:rsidR="007B0636" w:rsidRPr="00F14B1A" w:rsidRDefault="007B0636" w:rsidP="00B9405A">
      <w:pPr>
        <w:spacing w:line="360" w:lineRule="auto"/>
      </w:pPr>
    </w:p>
    <w:p w14:paraId="09C06D1C" w14:textId="77777777" w:rsidR="00B9405A" w:rsidRPr="00F14B1A" w:rsidRDefault="00B9405A" w:rsidP="00757777">
      <w:pPr>
        <w:spacing w:line="360" w:lineRule="auto"/>
        <w:jc w:val="right"/>
        <w:rPr>
          <w:sz w:val="24"/>
          <w:szCs w:val="24"/>
        </w:rPr>
      </w:pPr>
      <w:r w:rsidRPr="00F14B1A">
        <w:rPr>
          <w:sz w:val="24"/>
          <w:szCs w:val="24"/>
        </w:rPr>
        <w:t>_______</w:t>
      </w:r>
      <w:r w:rsidR="007B044D" w:rsidRPr="00F14B1A">
        <w:rPr>
          <w:sz w:val="24"/>
          <w:szCs w:val="24"/>
        </w:rPr>
        <w:t>_________________</w:t>
      </w:r>
    </w:p>
    <w:p w14:paraId="36268C6F" w14:textId="77777777" w:rsidR="00B9405A" w:rsidRPr="00F14B1A" w:rsidRDefault="007B0636" w:rsidP="00757777">
      <w:pPr>
        <w:spacing w:line="360" w:lineRule="auto"/>
        <w:jc w:val="right"/>
      </w:pPr>
      <w:r w:rsidRPr="00F14B1A">
        <w:t>Y T MBATHA</w:t>
      </w:r>
    </w:p>
    <w:p w14:paraId="7FE6602D" w14:textId="77777777" w:rsidR="00B9405A" w:rsidRPr="00F14B1A" w:rsidRDefault="00B9405A" w:rsidP="00757777">
      <w:pPr>
        <w:spacing w:line="360" w:lineRule="auto"/>
        <w:jc w:val="right"/>
      </w:pPr>
      <w:r w:rsidRPr="00F14B1A">
        <w:t xml:space="preserve"> JUDGE OF APPEAL</w:t>
      </w:r>
    </w:p>
    <w:p w14:paraId="1431E7FE" w14:textId="77777777" w:rsidR="007C4779" w:rsidRDefault="007C4779" w:rsidP="00BC0361">
      <w:pPr>
        <w:spacing w:after="120" w:line="360" w:lineRule="auto"/>
      </w:pPr>
    </w:p>
    <w:p w14:paraId="02922D3C" w14:textId="77777777" w:rsidR="007C4779" w:rsidRDefault="007C4779" w:rsidP="00BC0361">
      <w:pPr>
        <w:spacing w:after="120" w:line="360" w:lineRule="auto"/>
      </w:pPr>
    </w:p>
    <w:p w14:paraId="2B3E5E84" w14:textId="77777777" w:rsidR="007C4779" w:rsidRDefault="007C4779" w:rsidP="00BC0361">
      <w:pPr>
        <w:spacing w:after="120" w:line="360" w:lineRule="auto"/>
      </w:pPr>
    </w:p>
    <w:p w14:paraId="1E7A348C" w14:textId="77777777" w:rsidR="007C4779" w:rsidRDefault="007C4779" w:rsidP="00BC0361">
      <w:pPr>
        <w:spacing w:after="120" w:line="360" w:lineRule="auto"/>
      </w:pPr>
    </w:p>
    <w:p w14:paraId="645B64F9" w14:textId="77777777" w:rsidR="007C4779" w:rsidRDefault="007C4779" w:rsidP="00BC0361">
      <w:pPr>
        <w:spacing w:after="120" w:line="360" w:lineRule="auto"/>
      </w:pPr>
    </w:p>
    <w:p w14:paraId="074F7910" w14:textId="77777777" w:rsidR="007C4779" w:rsidRDefault="007C4779" w:rsidP="00BC0361">
      <w:pPr>
        <w:spacing w:after="120" w:line="360" w:lineRule="auto"/>
      </w:pPr>
    </w:p>
    <w:p w14:paraId="36C06702" w14:textId="77777777" w:rsidR="007C4779" w:rsidRDefault="007C4779" w:rsidP="00BC0361">
      <w:pPr>
        <w:spacing w:after="120" w:line="360" w:lineRule="auto"/>
      </w:pPr>
    </w:p>
    <w:p w14:paraId="65B3D655" w14:textId="77777777" w:rsidR="007C4779" w:rsidRDefault="007C4779" w:rsidP="00BC0361">
      <w:pPr>
        <w:spacing w:after="120" w:line="360" w:lineRule="auto"/>
      </w:pPr>
    </w:p>
    <w:p w14:paraId="381010B8" w14:textId="77777777" w:rsidR="007C4779" w:rsidRDefault="007C4779" w:rsidP="00BC0361">
      <w:pPr>
        <w:spacing w:after="120" w:line="360" w:lineRule="auto"/>
      </w:pPr>
    </w:p>
    <w:p w14:paraId="1D0E46B4" w14:textId="77777777" w:rsidR="007C4779" w:rsidRDefault="007C4779" w:rsidP="00BC0361">
      <w:pPr>
        <w:spacing w:after="120" w:line="360" w:lineRule="auto"/>
      </w:pPr>
    </w:p>
    <w:p w14:paraId="13A8A35A" w14:textId="77777777" w:rsidR="007C4779" w:rsidRDefault="007C4779" w:rsidP="00BC0361">
      <w:pPr>
        <w:spacing w:after="120" w:line="360" w:lineRule="auto"/>
      </w:pPr>
    </w:p>
    <w:p w14:paraId="3D6BEDB3" w14:textId="7CD85E5A" w:rsidR="001226A0" w:rsidRPr="00F14B1A" w:rsidRDefault="001226A0" w:rsidP="00BC0361">
      <w:pPr>
        <w:spacing w:after="120" w:line="360" w:lineRule="auto"/>
      </w:pPr>
      <w:r w:rsidRPr="00F14B1A">
        <w:lastRenderedPageBreak/>
        <w:t>Appearances</w:t>
      </w:r>
      <w:r w:rsidR="002059D3" w:rsidRPr="00F14B1A">
        <w:t>:</w:t>
      </w:r>
    </w:p>
    <w:p w14:paraId="708AB23C" w14:textId="77777777" w:rsidR="00946151" w:rsidRPr="00F14B1A" w:rsidRDefault="001226A0" w:rsidP="003516FB">
      <w:pPr>
        <w:tabs>
          <w:tab w:val="left" w:pos="2880"/>
        </w:tabs>
        <w:spacing w:line="360" w:lineRule="auto"/>
      </w:pPr>
      <w:r w:rsidRPr="00F14B1A">
        <w:t>For appellant</w:t>
      </w:r>
      <w:r w:rsidR="00946151" w:rsidRPr="00F14B1A">
        <w:t>s</w:t>
      </w:r>
      <w:r w:rsidRPr="00F14B1A">
        <w:t>:</w:t>
      </w:r>
      <w:r w:rsidR="00C61212" w:rsidRPr="00F14B1A">
        <w:tab/>
      </w:r>
      <w:r w:rsidR="00946151" w:rsidRPr="00F14B1A">
        <w:t xml:space="preserve">B G </w:t>
      </w:r>
      <w:proofErr w:type="spellStart"/>
      <w:r w:rsidR="00946151" w:rsidRPr="00F14B1A">
        <w:t>Savvas</w:t>
      </w:r>
      <w:proofErr w:type="spellEnd"/>
    </w:p>
    <w:p w14:paraId="13E48935" w14:textId="77777777" w:rsidR="00946151" w:rsidRPr="00F14B1A" w:rsidRDefault="00792728" w:rsidP="003516FB">
      <w:pPr>
        <w:tabs>
          <w:tab w:val="left" w:pos="2880"/>
        </w:tabs>
        <w:spacing w:line="360" w:lineRule="auto"/>
      </w:pPr>
      <w:r w:rsidRPr="00F14B1A">
        <w:t>Instructed by:</w:t>
      </w:r>
      <w:r w:rsidR="00946151" w:rsidRPr="00F14B1A">
        <w:tab/>
        <w:t xml:space="preserve">K Swart &amp; Company c/o Stowell &amp; Company, </w:t>
      </w:r>
    </w:p>
    <w:p w14:paraId="41706ED3" w14:textId="77777777" w:rsidR="001226A0" w:rsidRPr="00F14B1A" w:rsidRDefault="00946151" w:rsidP="003516FB">
      <w:pPr>
        <w:tabs>
          <w:tab w:val="left" w:pos="2880"/>
        </w:tabs>
        <w:spacing w:line="360" w:lineRule="auto"/>
      </w:pPr>
      <w:r w:rsidRPr="00F14B1A">
        <w:tab/>
        <w:t>Pietermaritzburg</w:t>
      </w:r>
      <w:r w:rsidR="001226A0" w:rsidRPr="00F14B1A">
        <w:tab/>
      </w:r>
    </w:p>
    <w:p w14:paraId="115873D0" w14:textId="4B2B168C" w:rsidR="001226A0" w:rsidRPr="00F14B1A" w:rsidRDefault="00C61212" w:rsidP="003516FB">
      <w:pPr>
        <w:spacing w:line="360" w:lineRule="auto"/>
        <w:rPr>
          <w:bCs/>
        </w:rPr>
      </w:pPr>
      <w:r w:rsidRPr="00F14B1A">
        <w:rPr>
          <w:bCs/>
        </w:rPr>
        <w:tab/>
      </w:r>
      <w:r w:rsidRPr="00F14B1A">
        <w:rPr>
          <w:bCs/>
        </w:rPr>
        <w:tab/>
      </w:r>
      <w:r w:rsidRPr="00F14B1A">
        <w:rPr>
          <w:bCs/>
        </w:rPr>
        <w:tab/>
      </w:r>
      <w:r w:rsidRPr="00F14B1A">
        <w:rPr>
          <w:bCs/>
        </w:rPr>
        <w:tab/>
      </w:r>
      <w:r w:rsidR="00946151" w:rsidRPr="00F14B1A">
        <w:rPr>
          <w:bCs/>
        </w:rPr>
        <w:t>Honey Attorneys, Bloemfontein</w:t>
      </w:r>
      <w:r w:rsidR="00017351" w:rsidRPr="00F14B1A">
        <w:rPr>
          <w:bCs/>
        </w:rPr>
        <w:t>.</w:t>
      </w:r>
    </w:p>
    <w:p w14:paraId="095FC044" w14:textId="77777777" w:rsidR="001226A0" w:rsidRPr="00F14B1A" w:rsidRDefault="001226A0" w:rsidP="003516FB">
      <w:pPr>
        <w:spacing w:line="360" w:lineRule="auto"/>
        <w:rPr>
          <w:bCs/>
        </w:rPr>
      </w:pPr>
    </w:p>
    <w:p w14:paraId="7FB48F33" w14:textId="77777777" w:rsidR="00544761" w:rsidRPr="00F14B1A" w:rsidRDefault="001226A0" w:rsidP="003516FB">
      <w:pPr>
        <w:spacing w:line="360" w:lineRule="auto"/>
        <w:ind w:left="2880" w:hanging="2880"/>
      </w:pPr>
      <w:r w:rsidRPr="00F14B1A">
        <w:t>For respondent:</w:t>
      </w:r>
      <w:r w:rsidRPr="00F14B1A">
        <w:tab/>
      </w:r>
      <w:r w:rsidR="00707542" w:rsidRPr="00F14B1A">
        <w:t xml:space="preserve">D </w:t>
      </w:r>
      <w:proofErr w:type="spellStart"/>
      <w:r w:rsidR="00707542" w:rsidRPr="00F14B1A">
        <w:t>Ramdhani</w:t>
      </w:r>
      <w:proofErr w:type="spellEnd"/>
      <w:r w:rsidR="00707542" w:rsidRPr="00F14B1A">
        <w:t xml:space="preserve"> SC</w:t>
      </w:r>
      <w:r w:rsidR="00526F8B" w:rsidRPr="00F14B1A">
        <w:t xml:space="preserve"> </w:t>
      </w:r>
    </w:p>
    <w:p w14:paraId="281CC491" w14:textId="7844BA86" w:rsidR="00994705" w:rsidRPr="00F14B1A" w:rsidRDefault="00792728" w:rsidP="003516FB">
      <w:pPr>
        <w:spacing w:line="360" w:lineRule="auto"/>
        <w:ind w:left="2880" w:hanging="2880"/>
      </w:pPr>
      <w:r w:rsidRPr="00F14B1A">
        <w:t>Instructed by:</w:t>
      </w:r>
      <w:r w:rsidR="00946151" w:rsidRPr="00F14B1A">
        <w:tab/>
        <w:t>Norton Rose Fulbright South Africa Inc</w:t>
      </w:r>
      <w:r w:rsidR="00017351" w:rsidRPr="00F14B1A">
        <w:t>.,</w:t>
      </w:r>
      <w:r w:rsidR="00946151" w:rsidRPr="00F14B1A">
        <w:t xml:space="preserve"> </w:t>
      </w:r>
    </w:p>
    <w:p w14:paraId="1356F0C4" w14:textId="0A9D4F05" w:rsidR="00944ABC" w:rsidRPr="00F14B1A" w:rsidRDefault="00994705" w:rsidP="003516FB">
      <w:pPr>
        <w:spacing w:line="360" w:lineRule="auto"/>
        <w:ind w:left="2880" w:hanging="2880"/>
      </w:pPr>
      <w:r w:rsidRPr="00F14B1A">
        <w:t xml:space="preserve">                                         </w:t>
      </w:r>
      <w:r w:rsidR="00946151" w:rsidRPr="00F14B1A">
        <w:t>c/o</w:t>
      </w:r>
      <w:r w:rsidR="00945ECC" w:rsidRPr="00F14B1A">
        <w:t xml:space="preserve"> </w:t>
      </w:r>
      <w:proofErr w:type="spellStart"/>
      <w:r w:rsidR="00946151" w:rsidRPr="00F14B1A">
        <w:t>Venns</w:t>
      </w:r>
      <w:proofErr w:type="spellEnd"/>
      <w:r w:rsidR="00946151" w:rsidRPr="00F14B1A">
        <w:t xml:space="preserve"> Attorneys, Pietermaritzburg</w:t>
      </w:r>
    </w:p>
    <w:p w14:paraId="095F5604" w14:textId="0B07ECB0" w:rsidR="00946151" w:rsidRPr="005349E6" w:rsidRDefault="00946151" w:rsidP="003516FB">
      <w:pPr>
        <w:spacing w:line="360" w:lineRule="auto"/>
        <w:ind w:left="2160" w:firstLine="720"/>
      </w:pPr>
      <w:r w:rsidRPr="00F14B1A">
        <w:t>Webbers Attorneys, Bloemfontein</w:t>
      </w:r>
      <w:r w:rsidR="00FD2AFE" w:rsidRPr="00F14B1A">
        <w:t>.</w:t>
      </w:r>
    </w:p>
    <w:sectPr w:rsidR="00946151" w:rsidRPr="005349E6" w:rsidSect="00FC0FAF">
      <w:headerReference w:type="even" r:id="rId9"/>
      <w:headerReference w:type="default" r:id="rId10"/>
      <w:pgSz w:w="11906" w:h="16838"/>
      <w:pgMar w:top="851" w:right="1800" w:bottom="1440" w:left="1800"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28BF" w16cex:dateUtc="2021-12-08T10:51:00Z"/>
  <w16cex:commentExtensible w16cex:durableId="255B3D18" w16cex:dateUtc="2021-12-08T12:18:00Z"/>
  <w16cex:commentExtensible w16cex:durableId="255B3E13" w16cex:dateUtc="2021-12-08T12:22:00Z"/>
  <w16cex:commentExtensible w16cex:durableId="255B3E25" w16cex:dateUtc="2021-12-08T12:22:00Z"/>
  <w16cex:commentExtensible w16cex:durableId="255B4E15" w16cex:dateUtc="2021-12-08T13:30:00Z"/>
  <w16cex:commentExtensible w16cex:durableId="255B4E65" w16cex:dateUtc="2021-12-08T13:31:00Z"/>
  <w16cex:commentExtensible w16cex:durableId="255B4106" w16cex:dateUtc="2021-12-08T12:34:00Z"/>
  <w16cex:commentExtensible w16cex:durableId="255B4F3C" w16cex:dateUtc="2021-12-08T13:35:00Z"/>
  <w16cex:commentExtensible w16cex:durableId="255B4FAB" w16cex:dateUtc="2021-12-08T13:37:00Z"/>
  <w16cex:commentExtensible w16cex:durableId="255B44DF" w16cex:dateUtc="2021-12-08T12:51:00Z"/>
  <w16cex:commentExtensible w16cex:durableId="255B4524" w16cex:dateUtc="2021-12-08T12:52:00Z"/>
  <w16cex:commentExtensible w16cex:durableId="255B4C8B" w16cex:dateUtc="2021-12-08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AEAD6" w14:textId="77777777" w:rsidR="00CD3B71" w:rsidRDefault="00CD3B71">
      <w:r>
        <w:separator/>
      </w:r>
    </w:p>
  </w:endnote>
  <w:endnote w:type="continuationSeparator" w:id="0">
    <w:p w14:paraId="2337AB8D" w14:textId="77777777" w:rsidR="00CD3B71" w:rsidRDefault="00CD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26AAC" w14:textId="77777777" w:rsidR="00CD3B71" w:rsidRDefault="00CD3B71" w:rsidP="006469E1">
      <w:pPr>
        <w:spacing w:line="240" w:lineRule="auto"/>
      </w:pPr>
      <w:r>
        <w:separator/>
      </w:r>
    </w:p>
  </w:footnote>
  <w:footnote w:type="continuationSeparator" w:id="0">
    <w:p w14:paraId="3E76A60F" w14:textId="77777777" w:rsidR="00CD3B71" w:rsidRDefault="00CD3B71">
      <w:r>
        <w:continuationSeparator/>
      </w:r>
    </w:p>
  </w:footnote>
  <w:footnote w:id="1">
    <w:p w14:paraId="2604A326" w14:textId="6D655A89" w:rsidR="002F7D2D" w:rsidRPr="00AD21B1" w:rsidRDefault="002F7D2D">
      <w:pPr>
        <w:pStyle w:val="FootnoteText"/>
        <w:rPr>
          <w:lang w:val="en-ZA"/>
        </w:rPr>
      </w:pPr>
      <w:r w:rsidRPr="00F14B1A">
        <w:rPr>
          <w:rStyle w:val="FootnoteReference"/>
        </w:rPr>
        <w:footnoteRef/>
      </w:r>
      <w:r w:rsidRPr="00F14B1A">
        <w:t xml:space="preserve"> </w:t>
      </w:r>
      <w:r w:rsidR="00FD2AFE" w:rsidRPr="00F14B1A">
        <w:rPr>
          <w:i/>
        </w:rPr>
        <w:t>Pheko and Others v Ekurhuleni City (II)</w:t>
      </w:r>
      <w:r w:rsidR="00FD2AFE" w:rsidRPr="00F14B1A">
        <w:t xml:space="preserve"> [2015] ZACC 10; 2015 (5) SA 600 (CC)</w:t>
      </w:r>
      <w:r w:rsidRPr="00F14B1A">
        <w:rPr>
          <w:i/>
        </w:rPr>
        <w:t xml:space="preserve"> </w:t>
      </w:r>
      <w:r w:rsidR="006453CC">
        <w:t xml:space="preserve">para 47; </w:t>
      </w:r>
      <w:r w:rsidR="006453CC" w:rsidRPr="006453CC">
        <w:rPr>
          <w:i/>
        </w:rPr>
        <w:t>T</w:t>
      </w:r>
      <w:r w:rsidR="006453CC" w:rsidRPr="006453CC">
        <w:rPr>
          <w:i/>
          <w:lang w:val="en-ZA"/>
        </w:rPr>
        <w:t>wentieth Century Fox Fil Corporation and Others v Playboy Films (Pty) Ltd and Another</w:t>
      </w:r>
      <w:r w:rsidR="006453CC">
        <w:rPr>
          <w:lang w:val="en-ZA"/>
        </w:rPr>
        <w:t xml:space="preserve"> 1978 (3) SA 202 (W) at 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D651" w14:textId="77777777" w:rsidR="00CD1543" w:rsidRDefault="00CD15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FAC0F" w14:textId="77777777" w:rsidR="00CD1543" w:rsidRDefault="00CD15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D177" w14:textId="32A4B621" w:rsidR="00CD1543" w:rsidRDefault="00CD1543" w:rsidP="00762537">
    <w:pPr>
      <w:pStyle w:val="Header"/>
      <w:jc w:val="right"/>
    </w:pPr>
    <w:r w:rsidRPr="00BB42D3">
      <w:fldChar w:fldCharType="begin"/>
    </w:r>
    <w:r w:rsidRPr="00BB42D3">
      <w:instrText xml:space="preserve"> PAGE   \* MERGEFORMAT </w:instrText>
    </w:r>
    <w:r w:rsidRPr="00BB42D3">
      <w:fldChar w:fldCharType="separate"/>
    </w:r>
    <w:r w:rsidR="004F5ABD">
      <w:rPr>
        <w:noProof/>
      </w:rPr>
      <w:t>12</w:t>
    </w:r>
    <w:r w:rsidRPr="00BB42D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F67"/>
    <w:multiLevelType w:val="hybridMultilevel"/>
    <w:tmpl w:val="1D44FF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538673F"/>
    <w:multiLevelType w:val="hybridMultilevel"/>
    <w:tmpl w:val="A86A5D6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C4E5E"/>
    <w:multiLevelType w:val="hybridMultilevel"/>
    <w:tmpl w:val="6D5033DA"/>
    <w:lvl w:ilvl="0" w:tplc="3A7ACB22">
      <w:start w:val="2"/>
      <w:numFmt w:val="lowerLetter"/>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5A57ED"/>
    <w:multiLevelType w:val="hybridMultilevel"/>
    <w:tmpl w:val="84C01F9E"/>
    <w:lvl w:ilvl="0" w:tplc="655E2C72">
      <w:start w:val="2"/>
      <w:numFmt w:val="lowerLetter"/>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61D13BD"/>
    <w:multiLevelType w:val="multilevel"/>
    <w:tmpl w:val="ABB276A0"/>
    <w:lvl w:ilvl="0">
      <w:start w:val="1"/>
      <w:numFmt w:val="decimal"/>
      <w:pStyle w:val="JUGMENTNUMBERED"/>
      <w:lvlText w:val="[%1]"/>
      <w:lvlJc w:val="left"/>
      <w:pPr>
        <w:tabs>
          <w:tab w:val="num" w:pos="680"/>
        </w:tabs>
      </w:pPr>
      <w:rPr>
        <w:rFonts w:hint="default"/>
        <w:i w:val="0"/>
        <w:iCs w:val="0"/>
        <w:sz w:val="26"/>
        <w:szCs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F3E4287"/>
    <w:multiLevelType w:val="hybridMultilevel"/>
    <w:tmpl w:val="04AEC9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476084B"/>
    <w:multiLevelType w:val="hybridMultilevel"/>
    <w:tmpl w:val="E19472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84E6AC3"/>
    <w:multiLevelType w:val="hybridMultilevel"/>
    <w:tmpl w:val="7AC2FD46"/>
    <w:lvl w:ilvl="0" w:tplc="7F0C5280">
      <w:start w:val="2"/>
      <w:numFmt w:val="lowerLetter"/>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86B3E78"/>
    <w:multiLevelType w:val="multilevel"/>
    <w:tmpl w:val="31E6C5BC"/>
    <w:lvl w:ilvl="0">
      <w:start w:val="10"/>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1E62C6"/>
    <w:multiLevelType w:val="hybridMultilevel"/>
    <w:tmpl w:val="34ECB1FC"/>
    <w:lvl w:ilvl="0" w:tplc="09F69A7C">
      <w:start w:val="2"/>
      <w:numFmt w:val="lowerLetter"/>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9"/>
  </w:num>
  <w:num w:numId="9">
    <w:abstractNumId w:val="5"/>
  </w:num>
  <w:num w:numId="10">
    <w:abstractNumId w:val="4"/>
  </w:num>
  <w:num w:numId="11">
    <w:abstractNumId w:val="12"/>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80"/>
    <w:rsid w:val="0000008D"/>
    <w:rsid w:val="0000094B"/>
    <w:rsid w:val="000026DE"/>
    <w:rsid w:val="000038B7"/>
    <w:rsid w:val="0000462A"/>
    <w:rsid w:val="000054F4"/>
    <w:rsid w:val="00006F6E"/>
    <w:rsid w:val="00010028"/>
    <w:rsid w:val="000109F3"/>
    <w:rsid w:val="00013713"/>
    <w:rsid w:val="000150E0"/>
    <w:rsid w:val="00015371"/>
    <w:rsid w:val="00017351"/>
    <w:rsid w:val="00027CCB"/>
    <w:rsid w:val="0003391D"/>
    <w:rsid w:val="0004128B"/>
    <w:rsid w:val="00044062"/>
    <w:rsid w:val="00047DEB"/>
    <w:rsid w:val="00053078"/>
    <w:rsid w:val="00053763"/>
    <w:rsid w:val="00054465"/>
    <w:rsid w:val="00056150"/>
    <w:rsid w:val="0006240A"/>
    <w:rsid w:val="000641D9"/>
    <w:rsid w:val="00065AA4"/>
    <w:rsid w:val="000665E7"/>
    <w:rsid w:val="00067CC4"/>
    <w:rsid w:val="00070F00"/>
    <w:rsid w:val="00071437"/>
    <w:rsid w:val="0007415B"/>
    <w:rsid w:val="000745EA"/>
    <w:rsid w:val="00076DE6"/>
    <w:rsid w:val="00077F9D"/>
    <w:rsid w:val="000813E9"/>
    <w:rsid w:val="00081BA6"/>
    <w:rsid w:val="00082185"/>
    <w:rsid w:val="00084867"/>
    <w:rsid w:val="00086750"/>
    <w:rsid w:val="00094545"/>
    <w:rsid w:val="00094A80"/>
    <w:rsid w:val="0009527C"/>
    <w:rsid w:val="00095B9B"/>
    <w:rsid w:val="0009748C"/>
    <w:rsid w:val="0009764D"/>
    <w:rsid w:val="000A0A1D"/>
    <w:rsid w:val="000A1A9A"/>
    <w:rsid w:val="000A2078"/>
    <w:rsid w:val="000B0091"/>
    <w:rsid w:val="000B1A6A"/>
    <w:rsid w:val="000B21DF"/>
    <w:rsid w:val="000B3212"/>
    <w:rsid w:val="000B61E3"/>
    <w:rsid w:val="000C0126"/>
    <w:rsid w:val="000C09B6"/>
    <w:rsid w:val="000C1008"/>
    <w:rsid w:val="000D11A0"/>
    <w:rsid w:val="000D1AC0"/>
    <w:rsid w:val="000D1F76"/>
    <w:rsid w:val="000D2656"/>
    <w:rsid w:val="000D2A27"/>
    <w:rsid w:val="000D4161"/>
    <w:rsid w:val="000D4292"/>
    <w:rsid w:val="000E10BE"/>
    <w:rsid w:val="000E1465"/>
    <w:rsid w:val="000E1E48"/>
    <w:rsid w:val="000E32BC"/>
    <w:rsid w:val="000E5583"/>
    <w:rsid w:val="000E7228"/>
    <w:rsid w:val="000E72A4"/>
    <w:rsid w:val="000E7915"/>
    <w:rsid w:val="000F1E52"/>
    <w:rsid w:val="000F4F18"/>
    <w:rsid w:val="000F6624"/>
    <w:rsid w:val="000F7D15"/>
    <w:rsid w:val="001006F9"/>
    <w:rsid w:val="0010198E"/>
    <w:rsid w:val="00101AF9"/>
    <w:rsid w:val="001036F9"/>
    <w:rsid w:val="00104D17"/>
    <w:rsid w:val="00107F33"/>
    <w:rsid w:val="00110EB8"/>
    <w:rsid w:val="0011108D"/>
    <w:rsid w:val="001119F7"/>
    <w:rsid w:val="0011362F"/>
    <w:rsid w:val="0011483C"/>
    <w:rsid w:val="001156B1"/>
    <w:rsid w:val="00116566"/>
    <w:rsid w:val="00116805"/>
    <w:rsid w:val="001226A0"/>
    <w:rsid w:val="001239D9"/>
    <w:rsid w:val="00123A24"/>
    <w:rsid w:val="00124E80"/>
    <w:rsid w:val="00130916"/>
    <w:rsid w:val="00130DDE"/>
    <w:rsid w:val="0013529D"/>
    <w:rsid w:val="00136B74"/>
    <w:rsid w:val="00143FE7"/>
    <w:rsid w:val="001446D6"/>
    <w:rsid w:val="00151B30"/>
    <w:rsid w:val="00151E10"/>
    <w:rsid w:val="00164AA0"/>
    <w:rsid w:val="001665AD"/>
    <w:rsid w:val="00166DE3"/>
    <w:rsid w:val="00174C40"/>
    <w:rsid w:val="00176421"/>
    <w:rsid w:val="001777B7"/>
    <w:rsid w:val="00180C3E"/>
    <w:rsid w:val="0018144F"/>
    <w:rsid w:val="00181833"/>
    <w:rsid w:val="00187BD4"/>
    <w:rsid w:val="00192487"/>
    <w:rsid w:val="001958ED"/>
    <w:rsid w:val="0019690D"/>
    <w:rsid w:val="00197B04"/>
    <w:rsid w:val="001A41A4"/>
    <w:rsid w:val="001A546D"/>
    <w:rsid w:val="001A63F5"/>
    <w:rsid w:val="001B145A"/>
    <w:rsid w:val="001B413F"/>
    <w:rsid w:val="001B49C8"/>
    <w:rsid w:val="001B51C7"/>
    <w:rsid w:val="001C02E1"/>
    <w:rsid w:val="001D38E4"/>
    <w:rsid w:val="001D3C78"/>
    <w:rsid w:val="001D3C81"/>
    <w:rsid w:val="001D4A26"/>
    <w:rsid w:val="001D5407"/>
    <w:rsid w:val="001D5537"/>
    <w:rsid w:val="001D5C07"/>
    <w:rsid w:val="001D7083"/>
    <w:rsid w:val="001E37F6"/>
    <w:rsid w:val="001E3A60"/>
    <w:rsid w:val="001E4375"/>
    <w:rsid w:val="001F3256"/>
    <w:rsid w:val="001F3B34"/>
    <w:rsid w:val="001F408E"/>
    <w:rsid w:val="001F445E"/>
    <w:rsid w:val="001F76C9"/>
    <w:rsid w:val="002014C8"/>
    <w:rsid w:val="00204C8A"/>
    <w:rsid w:val="002053FB"/>
    <w:rsid w:val="002059D3"/>
    <w:rsid w:val="00212903"/>
    <w:rsid w:val="00215404"/>
    <w:rsid w:val="00215751"/>
    <w:rsid w:val="002175FA"/>
    <w:rsid w:val="00222EC0"/>
    <w:rsid w:val="00224EEE"/>
    <w:rsid w:val="00227DF6"/>
    <w:rsid w:val="0023007C"/>
    <w:rsid w:val="002337FA"/>
    <w:rsid w:val="00236F93"/>
    <w:rsid w:val="00242643"/>
    <w:rsid w:val="002426C8"/>
    <w:rsid w:val="00242791"/>
    <w:rsid w:val="00242C12"/>
    <w:rsid w:val="0024367A"/>
    <w:rsid w:val="00243DFB"/>
    <w:rsid w:val="00244500"/>
    <w:rsid w:val="00244BD2"/>
    <w:rsid w:val="00251420"/>
    <w:rsid w:val="002520BE"/>
    <w:rsid w:val="002528F2"/>
    <w:rsid w:val="0025407E"/>
    <w:rsid w:val="00254C81"/>
    <w:rsid w:val="00255659"/>
    <w:rsid w:val="002628ED"/>
    <w:rsid w:val="002644E0"/>
    <w:rsid w:val="002652C2"/>
    <w:rsid w:val="00265494"/>
    <w:rsid w:val="002672F1"/>
    <w:rsid w:val="002677F5"/>
    <w:rsid w:val="00271FE6"/>
    <w:rsid w:val="002730A3"/>
    <w:rsid w:val="002745A4"/>
    <w:rsid w:val="002767E1"/>
    <w:rsid w:val="00281CE1"/>
    <w:rsid w:val="002821E7"/>
    <w:rsid w:val="00284653"/>
    <w:rsid w:val="0028580F"/>
    <w:rsid w:val="0029081C"/>
    <w:rsid w:val="002912F8"/>
    <w:rsid w:val="0029352E"/>
    <w:rsid w:val="002935A0"/>
    <w:rsid w:val="00295550"/>
    <w:rsid w:val="002955C8"/>
    <w:rsid w:val="00296293"/>
    <w:rsid w:val="002965CB"/>
    <w:rsid w:val="00297A75"/>
    <w:rsid w:val="00297B70"/>
    <w:rsid w:val="002A4DC0"/>
    <w:rsid w:val="002A61FF"/>
    <w:rsid w:val="002A74BA"/>
    <w:rsid w:val="002A7782"/>
    <w:rsid w:val="002B0F3D"/>
    <w:rsid w:val="002B0FC6"/>
    <w:rsid w:val="002B3DCC"/>
    <w:rsid w:val="002B42E7"/>
    <w:rsid w:val="002C2773"/>
    <w:rsid w:val="002C5066"/>
    <w:rsid w:val="002D0074"/>
    <w:rsid w:val="002D03F0"/>
    <w:rsid w:val="002D3BF4"/>
    <w:rsid w:val="002D7FB1"/>
    <w:rsid w:val="002F12F3"/>
    <w:rsid w:val="002F1968"/>
    <w:rsid w:val="002F19CB"/>
    <w:rsid w:val="002F19DF"/>
    <w:rsid w:val="002F3812"/>
    <w:rsid w:val="002F52DC"/>
    <w:rsid w:val="002F5DDC"/>
    <w:rsid w:val="002F70C0"/>
    <w:rsid w:val="002F7D2D"/>
    <w:rsid w:val="00302641"/>
    <w:rsid w:val="00305951"/>
    <w:rsid w:val="00305FF4"/>
    <w:rsid w:val="0030697E"/>
    <w:rsid w:val="00306EA1"/>
    <w:rsid w:val="003074F4"/>
    <w:rsid w:val="00307D78"/>
    <w:rsid w:val="00310EB1"/>
    <w:rsid w:val="00312F00"/>
    <w:rsid w:val="003160E0"/>
    <w:rsid w:val="00317169"/>
    <w:rsid w:val="003175B6"/>
    <w:rsid w:val="0032427D"/>
    <w:rsid w:val="0032450C"/>
    <w:rsid w:val="00325BBD"/>
    <w:rsid w:val="00326884"/>
    <w:rsid w:val="00330AE2"/>
    <w:rsid w:val="00331399"/>
    <w:rsid w:val="0033468B"/>
    <w:rsid w:val="003348CD"/>
    <w:rsid w:val="00336C46"/>
    <w:rsid w:val="00342C3F"/>
    <w:rsid w:val="00343D3E"/>
    <w:rsid w:val="00347F6E"/>
    <w:rsid w:val="003516FB"/>
    <w:rsid w:val="003525E4"/>
    <w:rsid w:val="00354A95"/>
    <w:rsid w:val="00356D7E"/>
    <w:rsid w:val="003570FA"/>
    <w:rsid w:val="00357C9C"/>
    <w:rsid w:val="0036103A"/>
    <w:rsid w:val="00365C36"/>
    <w:rsid w:val="00370D0E"/>
    <w:rsid w:val="0037199E"/>
    <w:rsid w:val="00372B24"/>
    <w:rsid w:val="00376F86"/>
    <w:rsid w:val="00380371"/>
    <w:rsid w:val="0038359F"/>
    <w:rsid w:val="00383CDE"/>
    <w:rsid w:val="00393EEC"/>
    <w:rsid w:val="0039707D"/>
    <w:rsid w:val="00397F26"/>
    <w:rsid w:val="003A15A9"/>
    <w:rsid w:val="003A198E"/>
    <w:rsid w:val="003A1C43"/>
    <w:rsid w:val="003A4B6B"/>
    <w:rsid w:val="003A6754"/>
    <w:rsid w:val="003A67BE"/>
    <w:rsid w:val="003A7FAE"/>
    <w:rsid w:val="003B0E22"/>
    <w:rsid w:val="003B0ED7"/>
    <w:rsid w:val="003B72B9"/>
    <w:rsid w:val="003B7433"/>
    <w:rsid w:val="003D26EA"/>
    <w:rsid w:val="003D280F"/>
    <w:rsid w:val="003D57F2"/>
    <w:rsid w:val="003D5C0C"/>
    <w:rsid w:val="003D6A03"/>
    <w:rsid w:val="003D6A10"/>
    <w:rsid w:val="003D6EF7"/>
    <w:rsid w:val="003F016A"/>
    <w:rsid w:val="003F0FCE"/>
    <w:rsid w:val="003F1918"/>
    <w:rsid w:val="003F34DD"/>
    <w:rsid w:val="003F61D7"/>
    <w:rsid w:val="003F7CB9"/>
    <w:rsid w:val="00400F76"/>
    <w:rsid w:val="004028B7"/>
    <w:rsid w:val="0040567A"/>
    <w:rsid w:val="00405D23"/>
    <w:rsid w:val="004071B5"/>
    <w:rsid w:val="0040795A"/>
    <w:rsid w:val="00407D5F"/>
    <w:rsid w:val="00410562"/>
    <w:rsid w:val="00410763"/>
    <w:rsid w:val="004119FB"/>
    <w:rsid w:val="00414520"/>
    <w:rsid w:val="00415BE5"/>
    <w:rsid w:val="004162F2"/>
    <w:rsid w:val="00420B70"/>
    <w:rsid w:val="00422CB6"/>
    <w:rsid w:val="004278FE"/>
    <w:rsid w:val="0043459B"/>
    <w:rsid w:val="00436B18"/>
    <w:rsid w:val="00437DCD"/>
    <w:rsid w:val="00440096"/>
    <w:rsid w:val="0044427F"/>
    <w:rsid w:val="00445A04"/>
    <w:rsid w:val="004524EA"/>
    <w:rsid w:val="004549CD"/>
    <w:rsid w:val="00454C89"/>
    <w:rsid w:val="00455A71"/>
    <w:rsid w:val="00456951"/>
    <w:rsid w:val="00457E30"/>
    <w:rsid w:val="00462453"/>
    <w:rsid w:val="00466287"/>
    <w:rsid w:val="004707BA"/>
    <w:rsid w:val="004712DF"/>
    <w:rsid w:val="00475FCC"/>
    <w:rsid w:val="00476E14"/>
    <w:rsid w:val="00480516"/>
    <w:rsid w:val="00483F66"/>
    <w:rsid w:val="00492BC7"/>
    <w:rsid w:val="00494B45"/>
    <w:rsid w:val="00495398"/>
    <w:rsid w:val="004953B3"/>
    <w:rsid w:val="00495407"/>
    <w:rsid w:val="004971D4"/>
    <w:rsid w:val="00497F9D"/>
    <w:rsid w:val="004A10D5"/>
    <w:rsid w:val="004A1CF9"/>
    <w:rsid w:val="004A3D70"/>
    <w:rsid w:val="004A4B32"/>
    <w:rsid w:val="004A4C2D"/>
    <w:rsid w:val="004A560A"/>
    <w:rsid w:val="004B052D"/>
    <w:rsid w:val="004B0DB8"/>
    <w:rsid w:val="004B1466"/>
    <w:rsid w:val="004B40AE"/>
    <w:rsid w:val="004B4594"/>
    <w:rsid w:val="004C08C8"/>
    <w:rsid w:val="004C10E1"/>
    <w:rsid w:val="004C1720"/>
    <w:rsid w:val="004C2009"/>
    <w:rsid w:val="004C2429"/>
    <w:rsid w:val="004C2525"/>
    <w:rsid w:val="004C31F4"/>
    <w:rsid w:val="004C35EA"/>
    <w:rsid w:val="004C59D6"/>
    <w:rsid w:val="004C7456"/>
    <w:rsid w:val="004C7845"/>
    <w:rsid w:val="004C7EE5"/>
    <w:rsid w:val="004D0370"/>
    <w:rsid w:val="004D080C"/>
    <w:rsid w:val="004D23CB"/>
    <w:rsid w:val="004D4A78"/>
    <w:rsid w:val="004D59CA"/>
    <w:rsid w:val="004D5AB3"/>
    <w:rsid w:val="004D6D0C"/>
    <w:rsid w:val="004E1F09"/>
    <w:rsid w:val="004E2ED3"/>
    <w:rsid w:val="004E3F46"/>
    <w:rsid w:val="004E6ED8"/>
    <w:rsid w:val="004F0CA8"/>
    <w:rsid w:val="004F2161"/>
    <w:rsid w:val="004F5ABD"/>
    <w:rsid w:val="004F64A0"/>
    <w:rsid w:val="00500005"/>
    <w:rsid w:val="00500226"/>
    <w:rsid w:val="00504CAF"/>
    <w:rsid w:val="00505C2D"/>
    <w:rsid w:val="00506E24"/>
    <w:rsid w:val="005150D8"/>
    <w:rsid w:val="00517485"/>
    <w:rsid w:val="0052387B"/>
    <w:rsid w:val="00526F8B"/>
    <w:rsid w:val="00527656"/>
    <w:rsid w:val="00532A9E"/>
    <w:rsid w:val="0053348A"/>
    <w:rsid w:val="005349E6"/>
    <w:rsid w:val="005358C0"/>
    <w:rsid w:val="00536697"/>
    <w:rsid w:val="00541EE8"/>
    <w:rsid w:val="00543A3A"/>
    <w:rsid w:val="00543A5E"/>
    <w:rsid w:val="00543C10"/>
    <w:rsid w:val="00544761"/>
    <w:rsid w:val="00545E9C"/>
    <w:rsid w:val="00547486"/>
    <w:rsid w:val="00547E02"/>
    <w:rsid w:val="00550264"/>
    <w:rsid w:val="00552CAA"/>
    <w:rsid w:val="005543B1"/>
    <w:rsid w:val="005567A8"/>
    <w:rsid w:val="00557DA7"/>
    <w:rsid w:val="0056170F"/>
    <w:rsid w:val="00562842"/>
    <w:rsid w:val="00563726"/>
    <w:rsid w:val="00570F94"/>
    <w:rsid w:val="0057102C"/>
    <w:rsid w:val="00571E2F"/>
    <w:rsid w:val="00573BC3"/>
    <w:rsid w:val="00576929"/>
    <w:rsid w:val="00576F03"/>
    <w:rsid w:val="00577545"/>
    <w:rsid w:val="00581CD2"/>
    <w:rsid w:val="00581CE9"/>
    <w:rsid w:val="005851B2"/>
    <w:rsid w:val="00586AFA"/>
    <w:rsid w:val="0059140E"/>
    <w:rsid w:val="00591C0E"/>
    <w:rsid w:val="00592505"/>
    <w:rsid w:val="00596AF8"/>
    <w:rsid w:val="005A0C86"/>
    <w:rsid w:val="005A7130"/>
    <w:rsid w:val="005A791A"/>
    <w:rsid w:val="005B785C"/>
    <w:rsid w:val="005C05D7"/>
    <w:rsid w:val="005C0DDA"/>
    <w:rsid w:val="005C1AB9"/>
    <w:rsid w:val="005C4C42"/>
    <w:rsid w:val="005C4F9C"/>
    <w:rsid w:val="005C5833"/>
    <w:rsid w:val="005C677E"/>
    <w:rsid w:val="005C76DA"/>
    <w:rsid w:val="005D3472"/>
    <w:rsid w:val="005D4F5A"/>
    <w:rsid w:val="005E065E"/>
    <w:rsid w:val="005E079C"/>
    <w:rsid w:val="005E1BFC"/>
    <w:rsid w:val="005E2164"/>
    <w:rsid w:val="005E2B94"/>
    <w:rsid w:val="005E37CA"/>
    <w:rsid w:val="005E4AAF"/>
    <w:rsid w:val="005E6AEB"/>
    <w:rsid w:val="005F03EC"/>
    <w:rsid w:val="005F19D0"/>
    <w:rsid w:val="005F3048"/>
    <w:rsid w:val="005F30B0"/>
    <w:rsid w:val="005F487B"/>
    <w:rsid w:val="005F51C8"/>
    <w:rsid w:val="005F5944"/>
    <w:rsid w:val="005F612E"/>
    <w:rsid w:val="005F6425"/>
    <w:rsid w:val="005F678A"/>
    <w:rsid w:val="00601459"/>
    <w:rsid w:val="006033C9"/>
    <w:rsid w:val="006059F2"/>
    <w:rsid w:val="0060656B"/>
    <w:rsid w:val="00607317"/>
    <w:rsid w:val="00610154"/>
    <w:rsid w:val="0061545F"/>
    <w:rsid w:val="0061549B"/>
    <w:rsid w:val="0061716C"/>
    <w:rsid w:val="00617322"/>
    <w:rsid w:val="006204AF"/>
    <w:rsid w:val="00620DDD"/>
    <w:rsid w:val="006269EA"/>
    <w:rsid w:val="00626AE6"/>
    <w:rsid w:val="00630C67"/>
    <w:rsid w:val="006351DC"/>
    <w:rsid w:val="0063592E"/>
    <w:rsid w:val="00635D36"/>
    <w:rsid w:val="006377C2"/>
    <w:rsid w:val="00637FB7"/>
    <w:rsid w:val="006453CC"/>
    <w:rsid w:val="006469E1"/>
    <w:rsid w:val="00650911"/>
    <w:rsid w:val="00651A86"/>
    <w:rsid w:val="006531F3"/>
    <w:rsid w:val="00660307"/>
    <w:rsid w:val="00661618"/>
    <w:rsid w:val="00665A95"/>
    <w:rsid w:val="00665E03"/>
    <w:rsid w:val="00670F0C"/>
    <w:rsid w:val="00671507"/>
    <w:rsid w:val="00673623"/>
    <w:rsid w:val="00673758"/>
    <w:rsid w:val="00681132"/>
    <w:rsid w:val="00681ACC"/>
    <w:rsid w:val="00681D98"/>
    <w:rsid w:val="00682875"/>
    <w:rsid w:val="0068495D"/>
    <w:rsid w:val="00690BEA"/>
    <w:rsid w:val="00691AEF"/>
    <w:rsid w:val="006934AF"/>
    <w:rsid w:val="006A58E7"/>
    <w:rsid w:val="006A62DE"/>
    <w:rsid w:val="006A6FF2"/>
    <w:rsid w:val="006B1461"/>
    <w:rsid w:val="006B4052"/>
    <w:rsid w:val="006B75E8"/>
    <w:rsid w:val="006C094D"/>
    <w:rsid w:val="006C3057"/>
    <w:rsid w:val="006C5C6B"/>
    <w:rsid w:val="006C6966"/>
    <w:rsid w:val="006C75C4"/>
    <w:rsid w:val="006D0411"/>
    <w:rsid w:val="006D070C"/>
    <w:rsid w:val="006D31CD"/>
    <w:rsid w:val="006D465C"/>
    <w:rsid w:val="006D4D8F"/>
    <w:rsid w:val="006D57D8"/>
    <w:rsid w:val="006D7AD2"/>
    <w:rsid w:val="006E6C9A"/>
    <w:rsid w:val="006E7336"/>
    <w:rsid w:val="006F24D0"/>
    <w:rsid w:val="006F2F20"/>
    <w:rsid w:val="006F3CE8"/>
    <w:rsid w:val="006F58A8"/>
    <w:rsid w:val="006F6E0E"/>
    <w:rsid w:val="0070191A"/>
    <w:rsid w:val="00701F55"/>
    <w:rsid w:val="00703CEF"/>
    <w:rsid w:val="0070534D"/>
    <w:rsid w:val="00705DAF"/>
    <w:rsid w:val="00707542"/>
    <w:rsid w:val="00707D0D"/>
    <w:rsid w:val="00712131"/>
    <w:rsid w:val="0071423E"/>
    <w:rsid w:val="00714BBE"/>
    <w:rsid w:val="00716DE2"/>
    <w:rsid w:val="007202B9"/>
    <w:rsid w:val="007206B0"/>
    <w:rsid w:val="00722DAA"/>
    <w:rsid w:val="007237BD"/>
    <w:rsid w:val="00724A53"/>
    <w:rsid w:val="00734428"/>
    <w:rsid w:val="0073681C"/>
    <w:rsid w:val="0074050E"/>
    <w:rsid w:val="00744DDD"/>
    <w:rsid w:val="00747AA6"/>
    <w:rsid w:val="007508C8"/>
    <w:rsid w:val="00752B3A"/>
    <w:rsid w:val="00754BC8"/>
    <w:rsid w:val="00754BC9"/>
    <w:rsid w:val="007556E7"/>
    <w:rsid w:val="0075577F"/>
    <w:rsid w:val="00757777"/>
    <w:rsid w:val="00761BDF"/>
    <w:rsid w:val="00762537"/>
    <w:rsid w:val="00762B1F"/>
    <w:rsid w:val="00766EBE"/>
    <w:rsid w:val="007737B2"/>
    <w:rsid w:val="00776E7A"/>
    <w:rsid w:val="00782AAD"/>
    <w:rsid w:val="007856FC"/>
    <w:rsid w:val="00787761"/>
    <w:rsid w:val="00790C74"/>
    <w:rsid w:val="00791380"/>
    <w:rsid w:val="00792728"/>
    <w:rsid w:val="007A0B28"/>
    <w:rsid w:val="007A15D7"/>
    <w:rsid w:val="007A1A36"/>
    <w:rsid w:val="007A25E0"/>
    <w:rsid w:val="007A31A6"/>
    <w:rsid w:val="007A37C7"/>
    <w:rsid w:val="007A3C8D"/>
    <w:rsid w:val="007A41AD"/>
    <w:rsid w:val="007A52EC"/>
    <w:rsid w:val="007A619E"/>
    <w:rsid w:val="007B044D"/>
    <w:rsid w:val="007B0636"/>
    <w:rsid w:val="007B108B"/>
    <w:rsid w:val="007B70E7"/>
    <w:rsid w:val="007C16E8"/>
    <w:rsid w:val="007C181C"/>
    <w:rsid w:val="007C4779"/>
    <w:rsid w:val="007C49E2"/>
    <w:rsid w:val="007C5A98"/>
    <w:rsid w:val="007C7119"/>
    <w:rsid w:val="007D0CBA"/>
    <w:rsid w:val="007D25AD"/>
    <w:rsid w:val="007D2C74"/>
    <w:rsid w:val="007D33EC"/>
    <w:rsid w:val="007D3A9C"/>
    <w:rsid w:val="007D4EF9"/>
    <w:rsid w:val="007D4F13"/>
    <w:rsid w:val="007D57B9"/>
    <w:rsid w:val="007D6849"/>
    <w:rsid w:val="007D76CB"/>
    <w:rsid w:val="007E19C1"/>
    <w:rsid w:val="007E2C84"/>
    <w:rsid w:val="007E743F"/>
    <w:rsid w:val="007E7EA1"/>
    <w:rsid w:val="007F2498"/>
    <w:rsid w:val="007F2C0B"/>
    <w:rsid w:val="007F44EF"/>
    <w:rsid w:val="007F46C9"/>
    <w:rsid w:val="007F6EB5"/>
    <w:rsid w:val="008020E6"/>
    <w:rsid w:val="00802797"/>
    <w:rsid w:val="00805941"/>
    <w:rsid w:val="00806CE0"/>
    <w:rsid w:val="00815732"/>
    <w:rsid w:val="00821AAE"/>
    <w:rsid w:val="00821BD5"/>
    <w:rsid w:val="00822AB9"/>
    <w:rsid w:val="00823047"/>
    <w:rsid w:val="008254E7"/>
    <w:rsid w:val="008256C9"/>
    <w:rsid w:val="0083081E"/>
    <w:rsid w:val="008324FE"/>
    <w:rsid w:val="00832735"/>
    <w:rsid w:val="008341DA"/>
    <w:rsid w:val="00834CE8"/>
    <w:rsid w:val="00835086"/>
    <w:rsid w:val="00835506"/>
    <w:rsid w:val="008362E2"/>
    <w:rsid w:val="00843EED"/>
    <w:rsid w:val="00846397"/>
    <w:rsid w:val="00855994"/>
    <w:rsid w:val="008562A1"/>
    <w:rsid w:val="008569FD"/>
    <w:rsid w:val="00857D62"/>
    <w:rsid w:val="00857DE8"/>
    <w:rsid w:val="00861196"/>
    <w:rsid w:val="008611FF"/>
    <w:rsid w:val="0086752B"/>
    <w:rsid w:val="00870779"/>
    <w:rsid w:val="00870B0F"/>
    <w:rsid w:val="008712D5"/>
    <w:rsid w:val="008713DA"/>
    <w:rsid w:val="008729ED"/>
    <w:rsid w:val="00873226"/>
    <w:rsid w:val="00876017"/>
    <w:rsid w:val="00876051"/>
    <w:rsid w:val="00877222"/>
    <w:rsid w:val="008773A8"/>
    <w:rsid w:val="00880099"/>
    <w:rsid w:val="0088045B"/>
    <w:rsid w:val="008831D9"/>
    <w:rsid w:val="0088386C"/>
    <w:rsid w:val="00883DFA"/>
    <w:rsid w:val="008851E0"/>
    <w:rsid w:val="0088593E"/>
    <w:rsid w:val="00892468"/>
    <w:rsid w:val="00895367"/>
    <w:rsid w:val="00896133"/>
    <w:rsid w:val="00896679"/>
    <w:rsid w:val="008A1482"/>
    <w:rsid w:val="008A4B59"/>
    <w:rsid w:val="008A5008"/>
    <w:rsid w:val="008A5135"/>
    <w:rsid w:val="008A7446"/>
    <w:rsid w:val="008B0026"/>
    <w:rsid w:val="008B75C1"/>
    <w:rsid w:val="008C50CE"/>
    <w:rsid w:val="008C5A7B"/>
    <w:rsid w:val="008C65D0"/>
    <w:rsid w:val="008C67D8"/>
    <w:rsid w:val="008C7686"/>
    <w:rsid w:val="008D0548"/>
    <w:rsid w:val="008D2562"/>
    <w:rsid w:val="008D25F5"/>
    <w:rsid w:val="008D2E9C"/>
    <w:rsid w:val="008D3309"/>
    <w:rsid w:val="008D38A0"/>
    <w:rsid w:val="008D4C37"/>
    <w:rsid w:val="008D55D4"/>
    <w:rsid w:val="008D708A"/>
    <w:rsid w:val="008D7438"/>
    <w:rsid w:val="008E35D6"/>
    <w:rsid w:val="008E79AA"/>
    <w:rsid w:val="008E79D5"/>
    <w:rsid w:val="008F0E1E"/>
    <w:rsid w:val="008F17CB"/>
    <w:rsid w:val="008F440E"/>
    <w:rsid w:val="008F4C80"/>
    <w:rsid w:val="008F576D"/>
    <w:rsid w:val="008F6738"/>
    <w:rsid w:val="008F6A96"/>
    <w:rsid w:val="00901663"/>
    <w:rsid w:val="00902E29"/>
    <w:rsid w:val="0090301E"/>
    <w:rsid w:val="00904C92"/>
    <w:rsid w:val="00906550"/>
    <w:rsid w:val="00912142"/>
    <w:rsid w:val="009124AF"/>
    <w:rsid w:val="009217D4"/>
    <w:rsid w:val="0092370F"/>
    <w:rsid w:val="00927EFF"/>
    <w:rsid w:val="00933D4F"/>
    <w:rsid w:val="00934DAC"/>
    <w:rsid w:val="009352F9"/>
    <w:rsid w:val="00935F4E"/>
    <w:rsid w:val="009434EC"/>
    <w:rsid w:val="0094421B"/>
    <w:rsid w:val="00944ABC"/>
    <w:rsid w:val="00945ECC"/>
    <w:rsid w:val="00946151"/>
    <w:rsid w:val="0095087F"/>
    <w:rsid w:val="0095418C"/>
    <w:rsid w:val="0095656E"/>
    <w:rsid w:val="009578D0"/>
    <w:rsid w:val="00961F35"/>
    <w:rsid w:val="00963409"/>
    <w:rsid w:val="00963D46"/>
    <w:rsid w:val="00964A3A"/>
    <w:rsid w:val="00964D33"/>
    <w:rsid w:val="00967750"/>
    <w:rsid w:val="009725DB"/>
    <w:rsid w:val="00973BCE"/>
    <w:rsid w:val="00973F54"/>
    <w:rsid w:val="00974C91"/>
    <w:rsid w:val="0097509B"/>
    <w:rsid w:val="0097689E"/>
    <w:rsid w:val="009772CD"/>
    <w:rsid w:val="00977A95"/>
    <w:rsid w:val="0098056F"/>
    <w:rsid w:val="009814B1"/>
    <w:rsid w:val="00981867"/>
    <w:rsid w:val="009824D8"/>
    <w:rsid w:val="009835A0"/>
    <w:rsid w:val="00984652"/>
    <w:rsid w:val="00985D84"/>
    <w:rsid w:val="00994705"/>
    <w:rsid w:val="009947C9"/>
    <w:rsid w:val="00995931"/>
    <w:rsid w:val="00995E4F"/>
    <w:rsid w:val="009969E0"/>
    <w:rsid w:val="00996A55"/>
    <w:rsid w:val="00996D78"/>
    <w:rsid w:val="00997413"/>
    <w:rsid w:val="009B6CF2"/>
    <w:rsid w:val="009C0E4F"/>
    <w:rsid w:val="009C37E4"/>
    <w:rsid w:val="009C522D"/>
    <w:rsid w:val="009C5369"/>
    <w:rsid w:val="009C5F7E"/>
    <w:rsid w:val="009D184D"/>
    <w:rsid w:val="009E013F"/>
    <w:rsid w:val="009E06B7"/>
    <w:rsid w:val="009E118A"/>
    <w:rsid w:val="009E1DDA"/>
    <w:rsid w:val="009E5ECB"/>
    <w:rsid w:val="009F2647"/>
    <w:rsid w:val="009F3B37"/>
    <w:rsid w:val="009F7770"/>
    <w:rsid w:val="009F7E74"/>
    <w:rsid w:val="00A01BD9"/>
    <w:rsid w:val="00A027C7"/>
    <w:rsid w:val="00A049B8"/>
    <w:rsid w:val="00A07BE0"/>
    <w:rsid w:val="00A15C38"/>
    <w:rsid w:val="00A17338"/>
    <w:rsid w:val="00A20701"/>
    <w:rsid w:val="00A20C6A"/>
    <w:rsid w:val="00A21EA4"/>
    <w:rsid w:val="00A23799"/>
    <w:rsid w:val="00A2396B"/>
    <w:rsid w:val="00A3498B"/>
    <w:rsid w:val="00A36239"/>
    <w:rsid w:val="00A36AF2"/>
    <w:rsid w:val="00A417A9"/>
    <w:rsid w:val="00A428FE"/>
    <w:rsid w:val="00A466B9"/>
    <w:rsid w:val="00A466EB"/>
    <w:rsid w:val="00A50EA8"/>
    <w:rsid w:val="00A5193F"/>
    <w:rsid w:val="00A54854"/>
    <w:rsid w:val="00A54C63"/>
    <w:rsid w:val="00A56C7F"/>
    <w:rsid w:val="00A57A09"/>
    <w:rsid w:val="00A613AF"/>
    <w:rsid w:val="00A6620E"/>
    <w:rsid w:val="00A701ED"/>
    <w:rsid w:val="00A72BC7"/>
    <w:rsid w:val="00A7541E"/>
    <w:rsid w:val="00A803EC"/>
    <w:rsid w:val="00A80A39"/>
    <w:rsid w:val="00A80B4C"/>
    <w:rsid w:val="00A817D2"/>
    <w:rsid w:val="00A83047"/>
    <w:rsid w:val="00A85133"/>
    <w:rsid w:val="00A905A6"/>
    <w:rsid w:val="00AA094E"/>
    <w:rsid w:val="00AA67C6"/>
    <w:rsid w:val="00AA75BD"/>
    <w:rsid w:val="00AB0BA8"/>
    <w:rsid w:val="00AB5DCE"/>
    <w:rsid w:val="00AB6BDD"/>
    <w:rsid w:val="00AC18B7"/>
    <w:rsid w:val="00AC2314"/>
    <w:rsid w:val="00AC253B"/>
    <w:rsid w:val="00AC3DEF"/>
    <w:rsid w:val="00AC448D"/>
    <w:rsid w:val="00AC5D6C"/>
    <w:rsid w:val="00AC60EB"/>
    <w:rsid w:val="00AD03A7"/>
    <w:rsid w:val="00AD21B1"/>
    <w:rsid w:val="00AD2F0A"/>
    <w:rsid w:val="00AE0AF6"/>
    <w:rsid w:val="00AE0F4E"/>
    <w:rsid w:val="00AE2EAC"/>
    <w:rsid w:val="00AE39F9"/>
    <w:rsid w:val="00AE3D16"/>
    <w:rsid w:val="00AE4079"/>
    <w:rsid w:val="00AE428B"/>
    <w:rsid w:val="00AE6B48"/>
    <w:rsid w:val="00AF16B5"/>
    <w:rsid w:val="00AF218C"/>
    <w:rsid w:val="00AF27A8"/>
    <w:rsid w:val="00AF7A69"/>
    <w:rsid w:val="00B00B13"/>
    <w:rsid w:val="00B03048"/>
    <w:rsid w:val="00B03F53"/>
    <w:rsid w:val="00B05ACB"/>
    <w:rsid w:val="00B077EC"/>
    <w:rsid w:val="00B07CBD"/>
    <w:rsid w:val="00B10C10"/>
    <w:rsid w:val="00B10E27"/>
    <w:rsid w:val="00B11A2C"/>
    <w:rsid w:val="00B14DAC"/>
    <w:rsid w:val="00B2051C"/>
    <w:rsid w:val="00B21786"/>
    <w:rsid w:val="00B244AD"/>
    <w:rsid w:val="00B37AE9"/>
    <w:rsid w:val="00B4285A"/>
    <w:rsid w:val="00B445EA"/>
    <w:rsid w:val="00B4619A"/>
    <w:rsid w:val="00B463DE"/>
    <w:rsid w:val="00B47521"/>
    <w:rsid w:val="00B505E4"/>
    <w:rsid w:val="00B50ED5"/>
    <w:rsid w:val="00B61A47"/>
    <w:rsid w:val="00B62124"/>
    <w:rsid w:val="00B627AE"/>
    <w:rsid w:val="00B66F64"/>
    <w:rsid w:val="00B67795"/>
    <w:rsid w:val="00B677DD"/>
    <w:rsid w:val="00B75BF2"/>
    <w:rsid w:val="00B77B9C"/>
    <w:rsid w:val="00B80F1B"/>
    <w:rsid w:val="00B81D9F"/>
    <w:rsid w:val="00B83DCF"/>
    <w:rsid w:val="00B8430A"/>
    <w:rsid w:val="00B84438"/>
    <w:rsid w:val="00B851DD"/>
    <w:rsid w:val="00B857FD"/>
    <w:rsid w:val="00B86331"/>
    <w:rsid w:val="00B93C26"/>
    <w:rsid w:val="00B9405A"/>
    <w:rsid w:val="00BA02B8"/>
    <w:rsid w:val="00BA07AD"/>
    <w:rsid w:val="00BA08E0"/>
    <w:rsid w:val="00BA0F49"/>
    <w:rsid w:val="00BA2E97"/>
    <w:rsid w:val="00BA3F96"/>
    <w:rsid w:val="00BA42C9"/>
    <w:rsid w:val="00BA45A4"/>
    <w:rsid w:val="00BA53F9"/>
    <w:rsid w:val="00BA54AF"/>
    <w:rsid w:val="00BB1CEE"/>
    <w:rsid w:val="00BB249E"/>
    <w:rsid w:val="00BB42D3"/>
    <w:rsid w:val="00BB4B28"/>
    <w:rsid w:val="00BC0361"/>
    <w:rsid w:val="00BC1A14"/>
    <w:rsid w:val="00BC37DA"/>
    <w:rsid w:val="00BC42DC"/>
    <w:rsid w:val="00BC4879"/>
    <w:rsid w:val="00BC4C29"/>
    <w:rsid w:val="00BC63FE"/>
    <w:rsid w:val="00BD309C"/>
    <w:rsid w:val="00BD3A61"/>
    <w:rsid w:val="00BD78BD"/>
    <w:rsid w:val="00BE0DFA"/>
    <w:rsid w:val="00BE2C77"/>
    <w:rsid w:val="00BE4302"/>
    <w:rsid w:val="00BF1A86"/>
    <w:rsid w:val="00BF4A30"/>
    <w:rsid w:val="00C00F91"/>
    <w:rsid w:val="00C108BE"/>
    <w:rsid w:val="00C10E2C"/>
    <w:rsid w:val="00C1148A"/>
    <w:rsid w:val="00C14652"/>
    <w:rsid w:val="00C17E02"/>
    <w:rsid w:val="00C21E4F"/>
    <w:rsid w:val="00C2412D"/>
    <w:rsid w:val="00C25139"/>
    <w:rsid w:val="00C25602"/>
    <w:rsid w:val="00C3109B"/>
    <w:rsid w:val="00C3261D"/>
    <w:rsid w:val="00C36389"/>
    <w:rsid w:val="00C37E99"/>
    <w:rsid w:val="00C40739"/>
    <w:rsid w:val="00C42BEB"/>
    <w:rsid w:val="00C45245"/>
    <w:rsid w:val="00C4538B"/>
    <w:rsid w:val="00C45C69"/>
    <w:rsid w:val="00C510ED"/>
    <w:rsid w:val="00C52A4C"/>
    <w:rsid w:val="00C55B1D"/>
    <w:rsid w:val="00C6116B"/>
    <w:rsid w:val="00C61212"/>
    <w:rsid w:val="00C6251C"/>
    <w:rsid w:val="00C63FCC"/>
    <w:rsid w:val="00C7073F"/>
    <w:rsid w:val="00C748F6"/>
    <w:rsid w:val="00C74D1A"/>
    <w:rsid w:val="00C757BA"/>
    <w:rsid w:val="00C76071"/>
    <w:rsid w:val="00C8023E"/>
    <w:rsid w:val="00C82567"/>
    <w:rsid w:val="00C8360B"/>
    <w:rsid w:val="00C84163"/>
    <w:rsid w:val="00C87ED3"/>
    <w:rsid w:val="00C87EE7"/>
    <w:rsid w:val="00C91471"/>
    <w:rsid w:val="00C915F7"/>
    <w:rsid w:val="00C9272B"/>
    <w:rsid w:val="00C94389"/>
    <w:rsid w:val="00C960BE"/>
    <w:rsid w:val="00C96821"/>
    <w:rsid w:val="00C97C06"/>
    <w:rsid w:val="00CA6D97"/>
    <w:rsid w:val="00CB1E42"/>
    <w:rsid w:val="00CB1FCA"/>
    <w:rsid w:val="00CB2770"/>
    <w:rsid w:val="00CB2B36"/>
    <w:rsid w:val="00CB423F"/>
    <w:rsid w:val="00CB4F48"/>
    <w:rsid w:val="00CB75E0"/>
    <w:rsid w:val="00CC0385"/>
    <w:rsid w:val="00CC1830"/>
    <w:rsid w:val="00CC217A"/>
    <w:rsid w:val="00CC231D"/>
    <w:rsid w:val="00CC46F8"/>
    <w:rsid w:val="00CC4F11"/>
    <w:rsid w:val="00CC787C"/>
    <w:rsid w:val="00CC7AA9"/>
    <w:rsid w:val="00CD1543"/>
    <w:rsid w:val="00CD35DA"/>
    <w:rsid w:val="00CD3B71"/>
    <w:rsid w:val="00CD6C05"/>
    <w:rsid w:val="00CE6065"/>
    <w:rsid w:val="00CE65FF"/>
    <w:rsid w:val="00CE795A"/>
    <w:rsid w:val="00CE7BBF"/>
    <w:rsid w:val="00CF03B1"/>
    <w:rsid w:val="00CF44F4"/>
    <w:rsid w:val="00CF57D7"/>
    <w:rsid w:val="00CF601C"/>
    <w:rsid w:val="00D017E8"/>
    <w:rsid w:val="00D05865"/>
    <w:rsid w:val="00D06312"/>
    <w:rsid w:val="00D07E15"/>
    <w:rsid w:val="00D11256"/>
    <w:rsid w:val="00D13304"/>
    <w:rsid w:val="00D14714"/>
    <w:rsid w:val="00D1511A"/>
    <w:rsid w:val="00D1629F"/>
    <w:rsid w:val="00D215E8"/>
    <w:rsid w:val="00D21AE8"/>
    <w:rsid w:val="00D23759"/>
    <w:rsid w:val="00D24FA1"/>
    <w:rsid w:val="00D2500C"/>
    <w:rsid w:val="00D25B4D"/>
    <w:rsid w:val="00D2697E"/>
    <w:rsid w:val="00D2778E"/>
    <w:rsid w:val="00D3149B"/>
    <w:rsid w:val="00D34036"/>
    <w:rsid w:val="00D3661B"/>
    <w:rsid w:val="00D37434"/>
    <w:rsid w:val="00D4008B"/>
    <w:rsid w:val="00D508F6"/>
    <w:rsid w:val="00D522FA"/>
    <w:rsid w:val="00D53D33"/>
    <w:rsid w:val="00D55BCA"/>
    <w:rsid w:val="00D64C1E"/>
    <w:rsid w:val="00D65CB2"/>
    <w:rsid w:val="00D66B4C"/>
    <w:rsid w:val="00D66FF3"/>
    <w:rsid w:val="00D718B5"/>
    <w:rsid w:val="00D76E49"/>
    <w:rsid w:val="00D834D2"/>
    <w:rsid w:val="00D918D7"/>
    <w:rsid w:val="00D92E3D"/>
    <w:rsid w:val="00D95355"/>
    <w:rsid w:val="00D96386"/>
    <w:rsid w:val="00DA04B4"/>
    <w:rsid w:val="00DA363F"/>
    <w:rsid w:val="00DA3795"/>
    <w:rsid w:val="00DA618F"/>
    <w:rsid w:val="00DA7808"/>
    <w:rsid w:val="00DB1951"/>
    <w:rsid w:val="00DB1B57"/>
    <w:rsid w:val="00DC2A0B"/>
    <w:rsid w:val="00DC446F"/>
    <w:rsid w:val="00DD05E0"/>
    <w:rsid w:val="00DD2F13"/>
    <w:rsid w:val="00DD4656"/>
    <w:rsid w:val="00DD4F47"/>
    <w:rsid w:val="00DD6426"/>
    <w:rsid w:val="00DD77FB"/>
    <w:rsid w:val="00DE35DE"/>
    <w:rsid w:val="00DE3D56"/>
    <w:rsid w:val="00DE4CA0"/>
    <w:rsid w:val="00DF08B3"/>
    <w:rsid w:val="00DF164C"/>
    <w:rsid w:val="00DF1F1B"/>
    <w:rsid w:val="00DF390A"/>
    <w:rsid w:val="00DF4AB9"/>
    <w:rsid w:val="00DF63A2"/>
    <w:rsid w:val="00E01B4D"/>
    <w:rsid w:val="00E0231E"/>
    <w:rsid w:val="00E033D7"/>
    <w:rsid w:val="00E0355F"/>
    <w:rsid w:val="00E04034"/>
    <w:rsid w:val="00E04E0D"/>
    <w:rsid w:val="00E05CC9"/>
    <w:rsid w:val="00E073A3"/>
    <w:rsid w:val="00E12971"/>
    <w:rsid w:val="00E13A62"/>
    <w:rsid w:val="00E147E4"/>
    <w:rsid w:val="00E14D2D"/>
    <w:rsid w:val="00E212D5"/>
    <w:rsid w:val="00E22052"/>
    <w:rsid w:val="00E324A4"/>
    <w:rsid w:val="00E33E22"/>
    <w:rsid w:val="00E35FED"/>
    <w:rsid w:val="00E37B62"/>
    <w:rsid w:val="00E412B4"/>
    <w:rsid w:val="00E4358C"/>
    <w:rsid w:val="00E47DE7"/>
    <w:rsid w:val="00E50F6F"/>
    <w:rsid w:val="00E52BD1"/>
    <w:rsid w:val="00E53EA6"/>
    <w:rsid w:val="00E5536E"/>
    <w:rsid w:val="00E557E8"/>
    <w:rsid w:val="00E57410"/>
    <w:rsid w:val="00E62466"/>
    <w:rsid w:val="00E63D2B"/>
    <w:rsid w:val="00E6751F"/>
    <w:rsid w:val="00E678E8"/>
    <w:rsid w:val="00E7094F"/>
    <w:rsid w:val="00E72573"/>
    <w:rsid w:val="00E74BDB"/>
    <w:rsid w:val="00E761FB"/>
    <w:rsid w:val="00E807C0"/>
    <w:rsid w:val="00E80DCF"/>
    <w:rsid w:val="00E81217"/>
    <w:rsid w:val="00E90796"/>
    <w:rsid w:val="00EA041D"/>
    <w:rsid w:val="00EA50C2"/>
    <w:rsid w:val="00EA59F3"/>
    <w:rsid w:val="00EA6825"/>
    <w:rsid w:val="00EB1EB2"/>
    <w:rsid w:val="00EB2EF4"/>
    <w:rsid w:val="00EB3172"/>
    <w:rsid w:val="00EB611F"/>
    <w:rsid w:val="00EC117F"/>
    <w:rsid w:val="00EC353E"/>
    <w:rsid w:val="00ED02F2"/>
    <w:rsid w:val="00ED0C82"/>
    <w:rsid w:val="00ED2741"/>
    <w:rsid w:val="00ED2B6A"/>
    <w:rsid w:val="00ED3359"/>
    <w:rsid w:val="00ED64C8"/>
    <w:rsid w:val="00ED6F75"/>
    <w:rsid w:val="00ED7756"/>
    <w:rsid w:val="00ED7D80"/>
    <w:rsid w:val="00EE19E1"/>
    <w:rsid w:val="00EE3A7A"/>
    <w:rsid w:val="00EE4B74"/>
    <w:rsid w:val="00EF07CE"/>
    <w:rsid w:val="00EF134C"/>
    <w:rsid w:val="00EF1506"/>
    <w:rsid w:val="00EF3DC3"/>
    <w:rsid w:val="00EF4883"/>
    <w:rsid w:val="00EF7110"/>
    <w:rsid w:val="00EF7E32"/>
    <w:rsid w:val="00F00AF0"/>
    <w:rsid w:val="00F01F4F"/>
    <w:rsid w:val="00F0397E"/>
    <w:rsid w:val="00F051A7"/>
    <w:rsid w:val="00F06CE5"/>
    <w:rsid w:val="00F11936"/>
    <w:rsid w:val="00F139F4"/>
    <w:rsid w:val="00F13DF6"/>
    <w:rsid w:val="00F14B1A"/>
    <w:rsid w:val="00F14D4D"/>
    <w:rsid w:val="00F15BEC"/>
    <w:rsid w:val="00F16C48"/>
    <w:rsid w:val="00F201DB"/>
    <w:rsid w:val="00F20624"/>
    <w:rsid w:val="00F21E48"/>
    <w:rsid w:val="00F21F5C"/>
    <w:rsid w:val="00F23BAF"/>
    <w:rsid w:val="00F277C0"/>
    <w:rsid w:val="00F30F9C"/>
    <w:rsid w:val="00F311DA"/>
    <w:rsid w:val="00F32A45"/>
    <w:rsid w:val="00F33AA4"/>
    <w:rsid w:val="00F40D04"/>
    <w:rsid w:val="00F44DB5"/>
    <w:rsid w:val="00F4510E"/>
    <w:rsid w:val="00F5586D"/>
    <w:rsid w:val="00F579CD"/>
    <w:rsid w:val="00F618C4"/>
    <w:rsid w:val="00F62A89"/>
    <w:rsid w:val="00F62AC0"/>
    <w:rsid w:val="00F6770D"/>
    <w:rsid w:val="00F70EFC"/>
    <w:rsid w:val="00F7238C"/>
    <w:rsid w:val="00F73191"/>
    <w:rsid w:val="00F746CD"/>
    <w:rsid w:val="00F76CC9"/>
    <w:rsid w:val="00F776D7"/>
    <w:rsid w:val="00F84A40"/>
    <w:rsid w:val="00F853FE"/>
    <w:rsid w:val="00F85679"/>
    <w:rsid w:val="00F859D2"/>
    <w:rsid w:val="00F86BF7"/>
    <w:rsid w:val="00F919A1"/>
    <w:rsid w:val="00F96B6A"/>
    <w:rsid w:val="00F97E11"/>
    <w:rsid w:val="00FA1A2C"/>
    <w:rsid w:val="00FA256B"/>
    <w:rsid w:val="00FA3753"/>
    <w:rsid w:val="00FA48A5"/>
    <w:rsid w:val="00FA4FE3"/>
    <w:rsid w:val="00FA5565"/>
    <w:rsid w:val="00FA69AF"/>
    <w:rsid w:val="00FB0DA2"/>
    <w:rsid w:val="00FB1C75"/>
    <w:rsid w:val="00FB3A68"/>
    <w:rsid w:val="00FB7902"/>
    <w:rsid w:val="00FB794D"/>
    <w:rsid w:val="00FC0859"/>
    <w:rsid w:val="00FC0FAF"/>
    <w:rsid w:val="00FC123F"/>
    <w:rsid w:val="00FC3790"/>
    <w:rsid w:val="00FC6275"/>
    <w:rsid w:val="00FC6BB3"/>
    <w:rsid w:val="00FD1462"/>
    <w:rsid w:val="00FD2AFE"/>
    <w:rsid w:val="00FE108C"/>
    <w:rsid w:val="00FE16C7"/>
    <w:rsid w:val="00FE41F1"/>
    <w:rsid w:val="00FF362E"/>
    <w:rsid w:val="00FF44CA"/>
    <w:rsid w:val="00FF73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1846A4"/>
  <w14:defaultImageDpi w14:val="300"/>
  <w15:chartTrackingRefBased/>
  <w15:docId w15:val="{0B0B6953-B581-48E0-8562-D7C60955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DAF"/>
    <w:pPr>
      <w:spacing w:line="480" w:lineRule="auto"/>
      <w:jc w:val="both"/>
    </w:pPr>
    <w:rPr>
      <w:sz w:val="28"/>
      <w:szCs w:val="28"/>
      <w:lang w:val="en-GB" w:eastAsia="en-US"/>
    </w:rPr>
  </w:style>
  <w:style w:type="paragraph" w:styleId="Heading1">
    <w:name w:val="heading 1"/>
    <w:basedOn w:val="Normal"/>
    <w:next w:val="Normal"/>
    <w:link w:val="Heading1Char"/>
    <w:qFormat/>
    <w:pPr>
      <w:keepNext/>
      <w:jc w:val="center"/>
      <w:outlineLvl w:val="0"/>
    </w:pPr>
    <w:rPr>
      <w:rFonts w:eastAsia="Arial Unicode MS"/>
      <w:b/>
      <w:bCs/>
      <w:lang w:val="en-ZA"/>
    </w:rPr>
  </w:style>
  <w:style w:type="paragraph" w:styleId="Heading2">
    <w:name w:val="heading 2"/>
    <w:basedOn w:val="Normal"/>
    <w:next w:val="Normal"/>
    <w:link w:val="Heading2Char"/>
    <w:uiPriority w:val="9"/>
    <w:semiHidden/>
    <w:unhideWhenUsed/>
    <w:qFormat/>
    <w:rsid w:val="001119F7"/>
    <w:pPr>
      <w:keepNext/>
      <w:spacing w:before="240" w:after="60"/>
      <w:outlineLvl w:val="1"/>
    </w:pPr>
    <w:rPr>
      <w:rFonts w:ascii="Cambria" w:hAnsi="Cambria"/>
      <w:b/>
      <w:bCs/>
      <w:i/>
      <w:iCs/>
    </w:rPr>
  </w:style>
  <w:style w:type="paragraph" w:styleId="Heading3">
    <w:name w:val="heading 3"/>
    <w:basedOn w:val="Normal"/>
    <w:next w:val="Normal"/>
    <w:link w:val="Heading3Char"/>
    <w:qFormat/>
    <w:pPr>
      <w:keepNext/>
      <w:jc w:val="center"/>
      <w:outlineLvl w:val="2"/>
    </w:pPr>
    <w:rPr>
      <w:rFonts w:eastAsia="Arial Unicode MS"/>
      <w:b/>
      <w:bCs/>
      <w:sz w:val="32"/>
      <w:szCs w:val="32"/>
      <w:lang w:val="en-ZA"/>
    </w:rPr>
  </w:style>
  <w:style w:type="paragraph" w:styleId="Heading4">
    <w:name w:val="heading 4"/>
    <w:basedOn w:val="Normal"/>
    <w:next w:val="Normal"/>
    <w:qFormat/>
    <w:pPr>
      <w:keepNext/>
      <w:autoSpaceDE w:val="0"/>
      <w:autoSpaceDN w:val="0"/>
      <w:adjustRightInd w:val="0"/>
      <w:outlineLvl w:val="3"/>
    </w:pPr>
    <w:rPr>
      <w:szCs w:val="18"/>
      <w:u w:val="single"/>
      <w:lang w:val="en-US"/>
    </w:rPr>
  </w:style>
  <w:style w:type="paragraph" w:styleId="Heading6">
    <w:name w:val="heading 6"/>
    <w:basedOn w:val="Normal"/>
    <w:next w:val="Normal"/>
    <w:qFormat/>
    <w:pPr>
      <w:keepNext/>
      <w:jc w:val="right"/>
      <w:outlineLvl w:val="5"/>
    </w:pPr>
    <w:rPr>
      <w:lang w:val="en-ZA"/>
    </w:rPr>
  </w:style>
  <w:style w:type="paragraph" w:styleId="Heading7">
    <w:name w:val="heading 7"/>
    <w:basedOn w:val="Normal"/>
    <w:next w:val="Normal"/>
    <w:qFormat/>
    <w:pPr>
      <w:keepNext/>
      <w:spacing w:line="360" w:lineRule="auto"/>
      <w:outlineLvl w:val="6"/>
    </w:pPr>
    <w:rPr>
      <w:bCs/>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Pr>
      <w:lang w:val="en-ZA"/>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tabs>
        <w:tab w:val="left" w:pos="0"/>
        <w:tab w:val="left" w:pos="1440"/>
        <w:tab w:val="left" w:pos="1530"/>
      </w:tabs>
      <w:spacing w:after="200" w:line="360" w:lineRule="auto"/>
    </w:pPr>
  </w:style>
  <w:style w:type="paragraph" w:styleId="FootnoteText">
    <w:name w:val="footnote text"/>
    <w:basedOn w:val="Normal"/>
    <w:link w:val="FootnoteTextChar"/>
    <w:uiPriority w:val="99"/>
    <w:unhideWhenUsed/>
    <w:rsid w:val="00705DAF"/>
    <w:pPr>
      <w:spacing w:line="240" w:lineRule="auto"/>
    </w:pPr>
    <w:rPr>
      <w:sz w:val="20"/>
    </w:rPr>
  </w:style>
  <w:style w:type="character" w:customStyle="1" w:styleId="FootnoteTextChar">
    <w:name w:val="Footnote Text Char"/>
    <w:link w:val="FootnoteText"/>
    <w:uiPriority w:val="99"/>
    <w:rsid w:val="00705DAF"/>
    <w:rPr>
      <w:szCs w:val="28"/>
      <w:lang w:val="en-GB"/>
    </w:rPr>
  </w:style>
  <w:style w:type="character" w:styleId="FootnoteReference">
    <w:name w:val="footnote reference"/>
    <w:uiPriority w:val="99"/>
    <w:unhideWhenUsed/>
    <w:rsid w:val="00543C10"/>
    <w:rPr>
      <w:vertAlign w:val="superscript"/>
    </w:rPr>
  </w:style>
  <w:style w:type="character" w:customStyle="1" w:styleId="Heading1Char">
    <w:name w:val="Heading 1 Char"/>
    <w:link w:val="Heading1"/>
    <w:rsid w:val="000E7915"/>
    <w:rPr>
      <w:rFonts w:eastAsia="Arial Unicode MS"/>
      <w:b/>
      <w:bCs/>
      <w:sz w:val="28"/>
      <w:szCs w:val="28"/>
      <w:lang w:eastAsia="en-US"/>
    </w:rPr>
  </w:style>
  <w:style w:type="paragraph" w:styleId="NormalIndent">
    <w:name w:val="Normal Indent"/>
    <w:basedOn w:val="Normal"/>
    <w:uiPriority w:val="99"/>
    <w:semiHidden/>
    <w:unhideWhenUsed/>
    <w:rsid w:val="008E79D5"/>
    <w:pPr>
      <w:ind w:left="720"/>
    </w:pPr>
  </w:style>
  <w:style w:type="character" w:customStyle="1" w:styleId="Heading3Char">
    <w:name w:val="Heading 3 Char"/>
    <w:link w:val="Heading3"/>
    <w:rsid w:val="000E7915"/>
    <w:rPr>
      <w:rFonts w:eastAsia="Arial Unicode MS"/>
      <w:b/>
      <w:bCs/>
      <w:sz w:val="32"/>
      <w:szCs w:val="32"/>
      <w:lang w:eastAsia="en-US"/>
    </w:rPr>
  </w:style>
  <w:style w:type="character" w:customStyle="1" w:styleId="BodyText3Char">
    <w:name w:val="Body Text 3 Char"/>
    <w:link w:val="BodyText3"/>
    <w:semiHidden/>
    <w:rsid w:val="000E7915"/>
    <w:rPr>
      <w:sz w:val="28"/>
      <w:szCs w:val="28"/>
      <w:lang w:eastAsia="en-US"/>
    </w:rPr>
  </w:style>
  <w:style w:type="paragraph" w:styleId="BalloonText">
    <w:name w:val="Balloon Text"/>
    <w:basedOn w:val="Normal"/>
    <w:link w:val="BalloonTextChar"/>
    <w:uiPriority w:val="99"/>
    <w:semiHidden/>
    <w:unhideWhenUsed/>
    <w:rsid w:val="006469E1"/>
    <w:pPr>
      <w:spacing w:line="240" w:lineRule="auto"/>
    </w:pPr>
    <w:rPr>
      <w:sz w:val="18"/>
      <w:szCs w:val="18"/>
    </w:rPr>
  </w:style>
  <w:style w:type="character" w:customStyle="1" w:styleId="BalloonTextChar">
    <w:name w:val="Balloon Text Char"/>
    <w:link w:val="BalloonText"/>
    <w:uiPriority w:val="99"/>
    <w:semiHidden/>
    <w:rsid w:val="006469E1"/>
    <w:rPr>
      <w:sz w:val="18"/>
      <w:szCs w:val="18"/>
      <w:lang w:val="en-GB" w:eastAsia="en-US"/>
    </w:rPr>
  </w:style>
  <w:style w:type="paragraph" w:styleId="ListParagraph">
    <w:name w:val="List Paragraph"/>
    <w:basedOn w:val="Normal"/>
    <w:uiPriority w:val="34"/>
    <w:qFormat/>
    <w:rsid w:val="0083081E"/>
    <w:pPr>
      <w:spacing w:after="160" w:line="256" w:lineRule="auto"/>
      <w:ind w:left="720"/>
      <w:contextualSpacing/>
      <w:jc w:val="left"/>
    </w:pPr>
    <w:rPr>
      <w:rFonts w:ascii="Calibri" w:eastAsia="Calibri" w:hAnsi="Calibri"/>
      <w:sz w:val="22"/>
      <w:szCs w:val="22"/>
      <w:lang w:val="en-ZA"/>
    </w:rPr>
  </w:style>
  <w:style w:type="paragraph" w:styleId="Subtitle">
    <w:name w:val="Subtitle"/>
    <w:basedOn w:val="Normal"/>
    <w:next w:val="Normal"/>
    <w:link w:val="SubtitleChar"/>
    <w:uiPriority w:val="11"/>
    <w:qFormat/>
    <w:rsid w:val="00B857FD"/>
    <w:pPr>
      <w:spacing w:after="160" w:line="256" w:lineRule="auto"/>
      <w:jc w:val="left"/>
    </w:pPr>
    <w:rPr>
      <w:rFonts w:ascii="Calibri" w:hAnsi="Calibri"/>
      <w:color w:val="5A5A5A"/>
      <w:spacing w:val="15"/>
      <w:sz w:val="22"/>
      <w:szCs w:val="22"/>
      <w:lang w:val="en-ZA"/>
    </w:rPr>
  </w:style>
  <w:style w:type="character" w:customStyle="1" w:styleId="SubtitleChar">
    <w:name w:val="Subtitle Char"/>
    <w:link w:val="Subtitle"/>
    <w:uiPriority w:val="11"/>
    <w:rsid w:val="00B857FD"/>
    <w:rPr>
      <w:rFonts w:ascii="Calibri" w:hAnsi="Calibri"/>
      <w:color w:val="5A5A5A"/>
      <w:spacing w:val="15"/>
      <w:sz w:val="22"/>
      <w:szCs w:val="22"/>
      <w:lang w:eastAsia="en-US"/>
    </w:rPr>
  </w:style>
  <w:style w:type="paragraph" w:styleId="Footer">
    <w:name w:val="footer"/>
    <w:basedOn w:val="Normal"/>
    <w:link w:val="FooterChar"/>
    <w:uiPriority w:val="99"/>
    <w:unhideWhenUsed/>
    <w:rsid w:val="00B857FD"/>
    <w:pPr>
      <w:tabs>
        <w:tab w:val="center" w:pos="4513"/>
        <w:tab w:val="right" w:pos="9026"/>
      </w:tabs>
    </w:pPr>
  </w:style>
  <w:style w:type="character" w:customStyle="1" w:styleId="FooterChar">
    <w:name w:val="Footer Char"/>
    <w:link w:val="Footer"/>
    <w:uiPriority w:val="99"/>
    <w:rsid w:val="00B857FD"/>
    <w:rPr>
      <w:sz w:val="28"/>
      <w:szCs w:val="28"/>
      <w:lang w:val="en-GB" w:eastAsia="en-US"/>
    </w:rPr>
  </w:style>
  <w:style w:type="character" w:customStyle="1" w:styleId="HeaderChar">
    <w:name w:val="Header Char"/>
    <w:link w:val="Header"/>
    <w:uiPriority w:val="99"/>
    <w:rsid w:val="00BB42D3"/>
    <w:rPr>
      <w:sz w:val="28"/>
      <w:szCs w:val="28"/>
      <w:lang w:val="en-GB" w:eastAsia="en-US"/>
    </w:rPr>
  </w:style>
  <w:style w:type="paragraph" w:styleId="Revision">
    <w:name w:val="Revision"/>
    <w:hidden/>
    <w:uiPriority w:val="71"/>
    <w:rsid w:val="00C6116B"/>
    <w:rPr>
      <w:sz w:val="28"/>
      <w:szCs w:val="28"/>
      <w:lang w:val="en-GB" w:eastAsia="en-US"/>
    </w:rPr>
  </w:style>
  <w:style w:type="character" w:styleId="CommentReference">
    <w:name w:val="annotation reference"/>
    <w:uiPriority w:val="99"/>
    <w:semiHidden/>
    <w:unhideWhenUsed/>
    <w:rsid w:val="00670F0C"/>
    <w:rPr>
      <w:sz w:val="16"/>
      <w:szCs w:val="16"/>
    </w:rPr>
  </w:style>
  <w:style w:type="paragraph" w:styleId="CommentText">
    <w:name w:val="annotation text"/>
    <w:basedOn w:val="Normal"/>
    <w:link w:val="CommentTextChar"/>
    <w:uiPriority w:val="99"/>
    <w:semiHidden/>
    <w:unhideWhenUsed/>
    <w:rsid w:val="00670F0C"/>
    <w:rPr>
      <w:sz w:val="20"/>
      <w:szCs w:val="20"/>
    </w:rPr>
  </w:style>
  <w:style w:type="character" w:customStyle="1" w:styleId="CommentTextChar">
    <w:name w:val="Comment Text Char"/>
    <w:link w:val="CommentText"/>
    <w:uiPriority w:val="99"/>
    <w:semiHidden/>
    <w:rsid w:val="00670F0C"/>
    <w:rPr>
      <w:lang w:eastAsia="en-US"/>
    </w:rPr>
  </w:style>
  <w:style w:type="paragraph" w:styleId="CommentSubject">
    <w:name w:val="annotation subject"/>
    <w:basedOn w:val="CommentText"/>
    <w:next w:val="CommentText"/>
    <w:link w:val="CommentSubjectChar"/>
    <w:uiPriority w:val="99"/>
    <w:semiHidden/>
    <w:unhideWhenUsed/>
    <w:rsid w:val="00670F0C"/>
    <w:rPr>
      <w:b/>
      <w:bCs/>
    </w:rPr>
  </w:style>
  <w:style w:type="character" w:customStyle="1" w:styleId="CommentSubjectChar">
    <w:name w:val="Comment Subject Char"/>
    <w:link w:val="CommentSubject"/>
    <w:uiPriority w:val="99"/>
    <w:semiHidden/>
    <w:rsid w:val="00670F0C"/>
    <w:rPr>
      <w:b/>
      <w:bCs/>
      <w:lang w:eastAsia="en-US"/>
    </w:rPr>
  </w:style>
  <w:style w:type="character" w:customStyle="1" w:styleId="Heading2Char">
    <w:name w:val="Heading 2 Char"/>
    <w:link w:val="Heading2"/>
    <w:uiPriority w:val="9"/>
    <w:semiHidden/>
    <w:rsid w:val="001119F7"/>
    <w:rPr>
      <w:rFonts w:ascii="Cambria" w:eastAsia="Times New Roman" w:hAnsi="Cambria" w:cs="Times New Roman"/>
      <w:b/>
      <w:bCs/>
      <w:i/>
      <w:iCs/>
      <w:sz w:val="28"/>
      <w:szCs w:val="28"/>
      <w:lang w:val="en-GB" w:eastAsia="en-US"/>
    </w:rPr>
  </w:style>
  <w:style w:type="paragraph" w:customStyle="1" w:styleId="Default">
    <w:name w:val="Default"/>
    <w:rsid w:val="004E2ED3"/>
    <w:pPr>
      <w:autoSpaceDE w:val="0"/>
      <w:autoSpaceDN w:val="0"/>
      <w:adjustRightInd w:val="0"/>
    </w:pPr>
    <w:rPr>
      <w:color w:val="000000"/>
      <w:sz w:val="24"/>
      <w:szCs w:val="24"/>
    </w:rPr>
  </w:style>
  <w:style w:type="paragraph" w:customStyle="1" w:styleId="JUGMENTNUMBERED">
    <w:name w:val="JUGMENT NUMBERED"/>
    <w:basedOn w:val="Normal"/>
    <w:link w:val="JUGMENTNUMBEREDChar"/>
    <w:uiPriority w:val="99"/>
    <w:rsid w:val="001B49C8"/>
    <w:pPr>
      <w:numPr>
        <w:numId w:val="12"/>
      </w:numPr>
    </w:pPr>
    <w:rPr>
      <w:sz w:val="26"/>
      <w:szCs w:val="26"/>
      <w:lang w:val="en-ZA" w:eastAsia="en-ZA"/>
    </w:rPr>
  </w:style>
  <w:style w:type="character" w:customStyle="1" w:styleId="JUGMENTNUMBEREDChar">
    <w:name w:val="JUGMENT NUMBERED Char"/>
    <w:link w:val="JUGMENTNUMBERED"/>
    <w:uiPriority w:val="99"/>
    <w:locked/>
    <w:rsid w:val="001B49C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5563">
      <w:bodyDiv w:val="1"/>
      <w:marLeft w:val="0"/>
      <w:marRight w:val="0"/>
      <w:marTop w:val="0"/>
      <w:marBottom w:val="0"/>
      <w:divBdr>
        <w:top w:val="none" w:sz="0" w:space="0" w:color="auto"/>
        <w:left w:val="none" w:sz="0" w:space="0" w:color="auto"/>
        <w:bottom w:val="none" w:sz="0" w:space="0" w:color="auto"/>
        <w:right w:val="none" w:sz="0" w:space="0" w:color="auto"/>
      </w:divBdr>
    </w:div>
    <w:div w:id="223301661">
      <w:bodyDiv w:val="1"/>
      <w:marLeft w:val="0"/>
      <w:marRight w:val="0"/>
      <w:marTop w:val="0"/>
      <w:marBottom w:val="0"/>
      <w:divBdr>
        <w:top w:val="none" w:sz="0" w:space="0" w:color="auto"/>
        <w:left w:val="none" w:sz="0" w:space="0" w:color="auto"/>
        <w:bottom w:val="none" w:sz="0" w:space="0" w:color="auto"/>
        <w:right w:val="none" w:sz="0" w:space="0" w:color="auto"/>
      </w:divBdr>
    </w:div>
    <w:div w:id="364911807">
      <w:bodyDiv w:val="1"/>
      <w:marLeft w:val="0"/>
      <w:marRight w:val="0"/>
      <w:marTop w:val="0"/>
      <w:marBottom w:val="0"/>
      <w:divBdr>
        <w:top w:val="none" w:sz="0" w:space="0" w:color="auto"/>
        <w:left w:val="none" w:sz="0" w:space="0" w:color="auto"/>
        <w:bottom w:val="none" w:sz="0" w:space="0" w:color="auto"/>
        <w:right w:val="none" w:sz="0" w:space="0" w:color="auto"/>
      </w:divBdr>
    </w:div>
    <w:div w:id="376857609">
      <w:bodyDiv w:val="1"/>
      <w:marLeft w:val="0"/>
      <w:marRight w:val="0"/>
      <w:marTop w:val="0"/>
      <w:marBottom w:val="0"/>
      <w:divBdr>
        <w:top w:val="none" w:sz="0" w:space="0" w:color="auto"/>
        <w:left w:val="none" w:sz="0" w:space="0" w:color="auto"/>
        <w:bottom w:val="none" w:sz="0" w:space="0" w:color="auto"/>
        <w:right w:val="none" w:sz="0" w:space="0" w:color="auto"/>
      </w:divBdr>
    </w:div>
    <w:div w:id="414135654">
      <w:bodyDiv w:val="1"/>
      <w:marLeft w:val="0"/>
      <w:marRight w:val="0"/>
      <w:marTop w:val="0"/>
      <w:marBottom w:val="0"/>
      <w:divBdr>
        <w:top w:val="none" w:sz="0" w:space="0" w:color="auto"/>
        <w:left w:val="none" w:sz="0" w:space="0" w:color="auto"/>
        <w:bottom w:val="none" w:sz="0" w:space="0" w:color="auto"/>
        <w:right w:val="none" w:sz="0" w:space="0" w:color="auto"/>
      </w:divBdr>
    </w:div>
    <w:div w:id="835262818">
      <w:bodyDiv w:val="1"/>
      <w:marLeft w:val="0"/>
      <w:marRight w:val="0"/>
      <w:marTop w:val="0"/>
      <w:marBottom w:val="0"/>
      <w:divBdr>
        <w:top w:val="none" w:sz="0" w:space="0" w:color="auto"/>
        <w:left w:val="none" w:sz="0" w:space="0" w:color="auto"/>
        <w:bottom w:val="none" w:sz="0" w:space="0" w:color="auto"/>
        <w:right w:val="none" w:sz="0" w:space="0" w:color="auto"/>
      </w:divBdr>
    </w:div>
    <w:div w:id="1523932711">
      <w:bodyDiv w:val="1"/>
      <w:marLeft w:val="0"/>
      <w:marRight w:val="0"/>
      <w:marTop w:val="0"/>
      <w:marBottom w:val="0"/>
      <w:divBdr>
        <w:top w:val="none" w:sz="0" w:space="0" w:color="auto"/>
        <w:left w:val="none" w:sz="0" w:space="0" w:color="auto"/>
        <w:bottom w:val="none" w:sz="0" w:space="0" w:color="auto"/>
        <w:right w:val="none" w:sz="0" w:space="0" w:color="auto"/>
      </w:divBdr>
    </w:div>
    <w:div w:id="1530946428">
      <w:bodyDiv w:val="1"/>
      <w:marLeft w:val="0"/>
      <w:marRight w:val="0"/>
      <w:marTop w:val="0"/>
      <w:marBottom w:val="0"/>
      <w:divBdr>
        <w:top w:val="none" w:sz="0" w:space="0" w:color="auto"/>
        <w:left w:val="none" w:sz="0" w:space="0" w:color="auto"/>
        <w:bottom w:val="none" w:sz="0" w:space="0" w:color="auto"/>
        <w:right w:val="none" w:sz="0" w:space="0" w:color="auto"/>
      </w:divBdr>
    </w:div>
    <w:div w:id="1942252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F6FC6-0AF3-44E6-835B-060FD912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AMdletshe</cp:lastModifiedBy>
  <cp:revision>2</cp:revision>
  <cp:lastPrinted>2021-12-06T09:47:00Z</cp:lastPrinted>
  <dcterms:created xsi:type="dcterms:W3CDTF">2021-12-14T08:38:00Z</dcterms:created>
  <dcterms:modified xsi:type="dcterms:W3CDTF">2021-12-14T08:38:00Z</dcterms:modified>
</cp:coreProperties>
</file>