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9BC6C" w14:textId="6B8D26C9" w:rsidR="00960B49" w:rsidRPr="00837116" w:rsidRDefault="00960B49" w:rsidP="00700681">
      <w:pPr>
        <w:widowControl w:val="0"/>
        <w:autoSpaceDE w:val="0"/>
        <w:autoSpaceDN w:val="0"/>
        <w:adjustRightInd w:val="0"/>
        <w:spacing w:after="0" w:line="240" w:lineRule="auto"/>
        <w:rPr>
          <w:rFonts w:ascii="Arial" w:eastAsiaTheme="minorEastAsia" w:hAnsi="Arial" w:cs="Arial"/>
          <w:sz w:val="24"/>
          <w:szCs w:val="24"/>
          <w:lang w:eastAsia="en-ZA"/>
        </w:rPr>
      </w:pPr>
      <w:r w:rsidRPr="00837116">
        <w:rPr>
          <w:rFonts w:ascii="Arial" w:eastAsiaTheme="minorEastAsia" w:hAnsi="Arial" w:cs="Arial"/>
          <w:noProof/>
          <w:sz w:val="24"/>
          <w:szCs w:val="24"/>
          <w:lang w:eastAsia="en-ZA"/>
        </w:rPr>
        <w:drawing>
          <wp:anchor distT="0" distB="0" distL="114300" distR="114300" simplePos="0" relativeHeight="251659264" behindDoc="0" locked="0" layoutInCell="1" allowOverlap="1" wp14:anchorId="36AD350A" wp14:editId="7913F5DD">
            <wp:simplePos x="0" y="0"/>
            <wp:positionH relativeFrom="margin">
              <wp:align>center</wp:align>
            </wp:positionH>
            <wp:positionV relativeFrom="paragraph">
              <wp:posOffset>0</wp:posOffset>
            </wp:positionV>
            <wp:extent cx="799200" cy="914400"/>
            <wp:effectExtent l="0" t="0" r="1270" b="0"/>
            <wp:wrapSquare wrapText="bothSides"/>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65083" w14:textId="7BFB978D" w:rsidR="00700681" w:rsidRDefault="00700681" w:rsidP="00700681">
      <w:pPr>
        <w:widowControl w:val="0"/>
        <w:autoSpaceDE w:val="0"/>
        <w:autoSpaceDN w:val="0"/>
        <w:adjustRightInd w:val="0"/>
        <w:spacing w:after="0" w:line="360" w:lineRule="auto"/>
        <w:rPr>
          <w:rFonts w:ascii="Arial" w:eastAsiaTheme="minorEastAsia" w:hAnsi="Arial" w:cs="Arial"/>
          <w:b/>
          <w:bCs/>
          <w:sz w:val="16"/>
          <w:szCs w:val="16"/>
          <w:lang w:eastAsia="en-ZA"/>
        </w:rPr>
      </w:pPr>
    </w:p>
    <w:p w14:paraId="608A22AE" w14:textId="4E58B70E" w:rsidR="00700681" w:rsidRPr="00700681" w:rsidRDefault="00700681" w:rsidP="00700681">
      <w:pPr>
        <w:widowControl w:val="0"/>
        <w:autoSpaceDE w:val="0"/>
        <w:autoSpaceDN w:val="0"/>
        <w:adjustRightInd w:val="0"/>
        <w:spacing w:after="0" w:line="360" w:lineRule="auto"/>
        <w:rPr>
          <w:rFonts w:ascii="Arial" w:eastAsiaTheme="minorEastAsia" w:hAnsi="Arial" w:cs="Arial"/>
          <w:b/>
          <w:bCs/>
          <w:sz w:val="16"/>
          <w:szCs w:val="16"/>
          <w:lang w:eastAsia="en-ZA"/>
        </w:rPr>
      </w:pPr>
    </w:p>
    <w:p w14:paraId="74FB376D" w14:textId="18F58D04" w:rsidR="00700681" w:rsidRDefault="00700681" w:rsidP="00700681">
      <w:pPr>
        <w:widowControl w:val="0"/>
        <w:autoSpaceDE w:val="0"/>
        <w:autoSpaceDN w:val="0"/>
        <w:adjustRightInd w:val="0"/>
        <w:spacing w:after="0" w:line="360" w:lineRule="auto"/>
        <w:jc w:val="center"/>
        <w:rPr>
          <w:rFonts w:ascii="Arial" w:eastAsiaTheme="minorEastAsia" w:hAnsi="Arial" w:cs="Arial"/>
          <w:b/>
          <w:bCs/>
          <w:sz w:val="24"/>
          <w:szCs w:val="24"/>
          <w:lang w:eastAsia="en-ZA"/>
        </w:rPr>
      </w:pPr>
    </w:p>
    <w:p w14:paraId="1F2F9E5C" w14:textId="77777777" w:rsidR="00700681" w:rsidRPr="00837116" w:rsidRDefault="00700681" w:rsidP="00700681">
      <w:pPr>
        <w:widowControl w:val="0"/>
        <w:autoSpaceDE w:val="0"/>
        <w:autoSpaceDN w:val="0"/>
        <w:adjustRightInd w:val="0"/>
        <w:spacing w:after="0" w:line="360" w:lineRule="auto"/>
        <w:jc w:val="center"/>
        <w:rPr>
          <w:rFonts w:ascii="Arial" w:eastAsiaTheme="minorEastAsia" w:hAnsi="Arial" w:cs="Arial"/>
          <w:b/>
          <w:bCs/>
          <w:sz w:val="24"/>
          <w:szCs w:val="24"/>
          <w:lang w:eastAsia="en-ZA"/>
        </w:rPr>
      </w:pPr>
    </w:p>
    <w:p w14:paraId="54279F09" w14:textId="77777777" w:rsidR="00960B49" w:rsidRPr="00837116" w:rsidRDefault="00960B49" w:rsidP="00700681">
      <w:pPr>
        <w:widowControl w:val="0"/>
        <w:autoSpaceDE w:val="0"/>
        <w:autoSpaceDN w:val="0"/>
        <w:adjustRightInd w:val="0"/>
        <w:spacing w:after="0" w:line="360" w:lineRule="auto"/>
        <w:jc w:val="center"/>
        <w:rPr>
          <w:rFonts w:ascii="Arial" w:eastAsiaTheme="minorEastAsia" w:hAnsi="Arial" w:cs="Arial"/>
          <w:b/>
          <w:bCs/>
          <w:sz w:val="24"/>
          <w:szCs w:val="24"/>
          <w:lang w:eastAsia="en-ZA"/>
        </w:rPr>
      </w:pPr>
      <w:r w:rsidRPr="00837116">
        <w:rPr>
          <w:rFonts w:ascii="Arial" w:eastAsiaTheme="minorEastAsia" w:hAnsi="Arial" w:cs="Arial"/>
          <w:b/>
          <w:bCs/>
          <w:sz w:val="24"/>
          <w:szCs w:val="24"/>
          <w:lang w:eastAsia="en-ZA"/>
        </w:rPr>
        <w:t>THE SUPREME COURT OF APPEAL OF SOUTH AFRICA</w:t>
      </w:r>
    </w:p>
    <w:p w14:paraId="0F0D0878" w14:textId="77777777" w:rsidR="00960B49" w:rsidRDefault="00960B49" w:rsidP="00700681">
      <w:pPr>
        <w:widowControl w:val="0"/>
        <w:tabs>
          <w:tab w:val="left" w:pos="623"/>
          <w:tab w:val="center" w:pos="4513"/>
        </w:tabs>
        <w:autoSpaceDE w:val="0"/>
        <w:autoSpaceDN w:val="0"/>
        <w:adjustRightInd w:val="0"/>
        <w:spacing w:after="0" w:line="276" w:lineRule="auto"/>
        <w:jc w:val="center"/>
        <w:outlineLvl w:val="0"/>
        <w:rPr>
          <w:rFonts w:ascii="Arial" w:eastAsiaTheme="minorEastAsia" w:hAnsi="Arial" w:cs="Arial"/>
          <w:b/>
          <w:bCs/>
          <w:sz w:val="24"/>
          <w:szCs w:val="24"/>
          <w:lang w:eastAsia="en-ZA"/>
        </w:rPr>
      </w:pPr>
      <w:r w:rsidRPr="00837116">
        <w:rPr>
          <w:rFonts w:ascii="Arial" w:eastAsiaTheme="minorEastAsia" w:hAnsi="Arial" w:cs="Arial"/>
          <w:b/>
          <w:bCs/>
          <w:sz w:val="24"/>
          <w:szCs w:val="24"/>
          <w:lang w:eastAsia="en-ZA"/>
        </w:rPr>
        <w:t>JUDGMENT</w:t>
      </w:r>
    </w:p>
    <w:p w14:paraId="722BA79B" w14:textId="77777777" w:rsidR="005E044D" w:rsidRPr="00837116" w:rsidRDefault="005E044D" w:rsidP="00960B49">
      <w:pPr>
        <w:widowControl w:val="0"/>
        <w:tabs>
          <w:tab w:val="left" w:pos="623"/>
          <w:tab w:val="center" w:pos="4513"/>
        </w:tabs>
        <w:autoSpaceDE w:val="0"/>
        <w:autoSpaceDN w:val="0"/>
        <w:adjustRightInd w:val="0"/>
        <w:spacing w:after="0" w:line="276" w:lineRule="auto"/>
        <w:jc w:val="center"/>
        <w:outlineLvl w:val="0"/>
        <w:rPr>
          <w:rFonts w:ascii="Arial" w:eastAsiaTheme="minorEastAsia" w:hAnsi="Arial" w:cs="Arial"/>
          <w:b/>
          <w:bCs/>
          <w:sz w:val="24"/>
          <w:szCs w:val="24"/>
          <w:lang w:eastAsia="en-ZA"/>
        </w:rPr>
      </w:pPr>
    </w:p>
    <w:p w14:paraId="020AA22A" w14:textId="045731C2" w:rsidR="00960B49" w:rsidRPr="00837116" w:rsidRDefault="00960B49" w:rsidP="00EE5D09">
      <w:pPr>
        <w:widowControl w:val="0"/>
        <w:autoSpaceDE w:val="0"/>
        <w:autoSpaceDN w:val="0"/>
        <w:adjustRightInd w:val="0"/>
        <w:spacing w:after="100" w:afterAutospacing="1" w:line="240" w:lineRule="auto"/>
        <w:ind w:left="1440" w:firstLine="720"/>
        <w:jc w:val="right"/>
        <w:outlineLvl w:val="0"/>
        <w:rPr>
          <w:rFonts w:ascii="Arial" w:eastAsiaTheme="minorEastAsia" w:hAnsi="Arial" w:cs="Arial"/>
          <w:b/>
          <w:bCs/>
          <w:sz w:val="24"/>
          <w:szCs w:val="24"/>
          <w:lang w:eastAsia="en-ZA"/>
        </w:rPr>
      </w:pPr>
      <w:r w:rsidRPr="00097551">
        <w:rPr>
          <w:rFonts w:ascii="Arial" w:eastAsiaTheme="minorEastAsia" w:hAnsi="Arial" w:cs="Arial"/>
          <w:b/>
          <w:bCs/>
          <w:sz w:val="24"/>
          <w:szCs w:val="24"/>
          <w:lang w:eastAsia="en-ZA"/>
        </w:rPr>
        <w:t>Reportable</w:t>
      </w:r>
    </w:p>
    <w:p w14:paraId="6CFBCC11" w14:textId="5D217821" w:rsidR="00960B49" w:rsidRPr="00837116" w:rsidRDefault="00960B49" w:rsidP="005E044D">
      <w:pPr>
        <w:autoSpaceDE w:val="0"/>
        <w:autoSpaceDN w:val="0"/>
        <w:adjustRightInd w:val="0"/>
        <w:spacing w:after="120" w:line="240" w:lineRule="auto"/>
        <w:ind w:firstLine="720"/>
        <w:jc w:val="right"/>
        <w:rPr>
          <w:rFonts w:ascii="Arial" w:hAnsi="Arial" w:cs="Arial"/>
          <w:b/>
          <w:bCs/>
          <w:color w:val="0D0D0D"/>
          <w:sz w:val="24"/>
          <w:szCs w:val="24"/>
        </w:rPr>
      </w:pPr>
      <w:r w:rsidRPr="00837116">
        <w:rPr>
          <w:rFonts w:ascii="Arial" w:hAnsi="Arial" w:cs="Arial"/>
          <w:color w:val="0D0D0D"/>
          <w:sz w:val="24"/>
          <w:szCs w:val="24"/>
        </w:rPr>
        <w:t xml:space="preserve">Case No: </w:t>
      </w:r>
      <w:r w:rsidRPr="008D2D2C">
        <w:rPr>
          <w:rFonts w:ascii="Arial" w:hAnsi="Arial" w:cs="Arial"/>
          <w:bCs/>
          <w:color w:val="0D0D0D"/>
          <w:sz w:val="24"/>
          <w:szCs w:val="24"/>
        </w:rPr>
        <w:t>788/2020</w:t>
      </w:r>
    </w:p>
    <w:p w14:paraId="12D0ABD5" w14:textId="77777777" w:rsidR="00960B49" w:rsidRPr="00837116" w:rsidRDefault="00960B49" w:rsidP="00837116">
      <w:pPr>
        <w:autoSpaceDE w:val="0"/>
        <w:autoSpaceDN w:val="0"/>
        <w:adjustRightInd w:val="0"/>
        <w:spacing w:after="360" w:line="240" w:lineRule="auto"/>
        <w:rPr>
          <w:rFonts w:ascii="Arial" w:hAnsi="Arial" w:cs="Arial"/>
          <w:color w:val="0D0D0D"/>
          <w:sz w:val="24"/>
          <w:szCs w:val="24"/>
        </w:rPr>
      </w:pPr>
      <w:r w:rsidRPr="00837116">
        <w:rPr>
          <w:rFonts w:ascii="Arial" w:hAnsi="Arial" w:cs="Arial"/>
          <w:color w:val="0D0D0D"/>
          <w:sz w:val="24"/>
          <w:szCs w:val="24"/>
        </w:rPr>
        <w:t xml:space="preserve">In </w:t>
      </w:r>
      <w:r w:rsidRPr="00837116">
        <w:rPr>
          <w:rFonts w:ascii="Arial" w:hAnsi="Arial" w:cs="Arial"/>
          <w:color w:val="222222"/>
          <w:sz w:val="24"/>
          <w:szCs w:val="24"/>
        </w:rPr>
        <w:t xml:space="preserve">the </w:t>
      </w:r>
      <w:r w:rsidRPr="00837116">
        <w:rPr>
          <w:rFonts w:ascii="Arial" w:hAnsi="Arial" w:cs="Arial"/>
          <w:color w:val="0D0D0D"/>
          <w:sz w:val="24"/>
          <w:szCs w:val="24"/>
        </w:rPr>
        <w:t>matter between:</w:t>
      </w:r>
    </w:p>
    <w:p w14:paraId="0170DD4E" w14:textId="12CB6A77" w:rsidR="00960B49" w:rsidRPr="009C627F" w:rsidRDefault="004C3AF5" w:rsidP="00837116">
      <w:pPr>
        <w:autoSpaceDE w:val="0"/>
        <w:autoSpaceDN w:val="0"/>
        <w:adjustRightInd w:val="0"/>
        <w:spacing w:after="360" w:line="240" w:lineRule="auto"/>
        <w:rPr>
          <w:rFonts w:ascii="Arial" w:hAnsi="Arial" w:cs="Arial"/>
          <w:b/>
          <w:bCs/>
          <w:color w:val="0D0D0D"/>
          <w:sz w:val="24"/>
          <w:szCs w:val="24"/>
        </w:rPr>
      </w:pPr>
      <w:r w:rsidRPr="009C627F">
        <w:rPr>
          <w:rFonts w:ascii="Arial" w:hAnsi="Arial" w:cs="Arial"/>
          <w:b/>
          <w:bCs/>
          <w:color w:val="0D0D0D"/>
          <w:sz w:val="24"/>
          <w:szCs w:val="24"/>
        </w:rPr>
        <w:t>P</w:t>
      </w:r>
      <w:r w:rsidR="007C4FCD" w:rsidRPr="009C627F">
        <w:rPr>
          <w:rFonts w:ascii="Arial" w:hAnsi="Arial" w:cs="Arial"/>
          <w:b/>
          <w:bCs/>
          <w:color w:val="0D0D0D"/>
          <w:sz w:val="24"/>
          <w:szCs w:val="24"/>
        </w:rPr>
        <w:t xml:space="preserve"> </w:t>
      </w:r>
      <w:r w:rsidRPr="009C627F">
        <w:rPr>
          <w:rFonts w:ascii="Arial" w:hAnsi="Arial" w:cs="Arial"/>
          <w:b/>
          <w:bCs/>
          <w:color w:val="0D0D0D"/>
          <w:sz w:val="24"/>
          <w:szCs w:val="24"/>
        </w:rPr>
        <w:t>A F</w:t>
      </w:r>
      <w:r w:rsidR="00753450" w:rsidRPr="009C627F">
        <w:rPr>
          <w:rFonts w:ascii="Arial" w:hAnsi="Arial" w:cs="Arial"/>
          <w:b/>
          <w:bCs/>
          <w:color w:val="0D0D0D"/>
          <w:sz w:val="24"/>
          <w:szCs w:val="24"/>
        </w:rPr>
        <w:tab/>
      </w:r>
      <w:r w:rsidR="00753450" w:rsidRPr="009C627F">
        <w:rPr>
          <w:rFonts w:ascii="Arial" w:hAnsi="Arial" w:cs="Arial"/>
          <w:b/>
          <w:bCs/>
          <w:color w:val="0D0D0D"/>
          <w:sz w:val="24"/>
          <w:szCs w:val="24"/>
        </w:rPr>
        <w:tab/>
      </w:r>
      <w:r w:rsidR="00753450" w:rsidRPr="009C627F">
        <w:rPr>
          <w:rFonts w:ascii="Arial" w:hAnsi="Arial" w:cs="Arial"/>
          <w:b/>
          <w:bCs/>
          <w:color w:val="0D0D0D"/>
          <w:sz w:val="24"/>
          <w:szCs w:val="24"/>
        </w:rPr>
        <w:tab/>
      </w:r>
      <w:r w:rsidR="00753450" w:rsidRPr="009C627F">
        <w:rPr>
          <w:rFonts w:ascii="Arial" w:hAnsi="Arial" w:cs="Arial"/>
          <w:b/>
          <w:bCs/>
          <w:color w:val="0D0D0D"/>
          <w:sz w:val="24"/>
          <w:szCs w:val="24"/>
        </w:rPr>
        <w:tab/>
      </w:r>
      <w:r w:rsidR="00753450" w:rsidRPr="009C627F">
        <w:rPr>
          <w:rFonts w:ascii="Arial" w:hAnsi="Arial" w:cs="Arial"/>
          <w:b/>
          <w:bCs/>
          <w:color w:val="0D0D0D"/>
          <w:sz w:val="24"/>
          <w:szCs w:val="24"/>
        </w:rPr>
        <w:tab/>
      </w:r>
      <w:r w:rsidR="00753450" w:rsidRPr="009C627F">
        <w:rPr>
          <w:rFonts w:ascii="Arial" w:hAnsi="Arial" w:cs="Arial"/>
          <w:b/>
          <w:bCs/>
          <w:color w:val="0D0D0D"/>
          <w:sz w:val="24"/>
          <w:szCs w:val="24"/>
        </w:rPr>
        <w:tab/>
      </w:r>
      <w:r w:rsidR="00753450" w:rsidRPr="009C627F">
        <w:rPr>
          <w:rFonts w:ascii="Arial" w:hAnsi="Arial" w:cs="Arial"/>
          <w:b/>
          <w:bCs/>
          <w:color w:val="0D0D0D"/>
          <w:sz w:val="24"/>
          <w:szCs w:val="24"/>
        </w:rPr>
        <w:tab/>
      </w:r>
      <w:r w:rsidR="00753450" w:rsidRPr="009C627F">
        <w:rPr>
          <w:rFonts w:ascii="Arial" w:hAnsi="Arial" w:cs="Arial"/>
          <w:b/>
          <w:bCs/>
          <w:color w:val="0D0D0D"/>
          <w:sz w:val="24"/>
          <w:szCs w:val="24"/>
        </w:rPr>
        <w:tab/>
      </w:r>
      <w:r w:rsidR="00753450" w:rsidRPr="009C627F">
        <w:rPr>
          <w:rFonts w:ascii="Arial" w:hAnsi="Arial" w:cs="Arial"/>
          <w:b/>
          <w:bCs/>
          <w:color w:val="0D0D0D"/>
          <w:sz w:val="24"/>
          <w:szCs w:val="24"/>
        </w:rPr>
        <w:tab/>
      </w:r>
      <w:r w:rsidR="00753450" w:rsidRPr="009C627F">
        <w:rPr>
          <w:rFonts w:ascii="Arial" w:hAnsi="Arial" w:cs="Arial"/>
          <w:b/>
          <w:bCs/>
          <w:color w:val="0D0D0D"/>
          <w:sz w:val="24"/>
          <w:szCs w:val="24"/>
        </w:rPr>
        <w:tab/>
      </w:r>
      <w:r w:rsidR="005E044D" w:rsidRPr="009C627F">
        <w:rPr>
          <w:rFonts w:ascii="Arial" w:hAnsi="Arial" w:cs="Arial"/>
          <w:b/>
          <w:bCs/>
          <w:color w:val="0D0D0D"/>
          <w:sz w:val="24"/>
          <w:szCs w:val="24"/>
        </w:rPr>
        <w:t xml:space="preserve">      </w:t>
      </w:r>
      <w:r w:rsidR="00960B49" w:rsidRPr="009C627F">
        <w:rPr>
          <w:rFonts w:ascii="Arial" w:hAnsi="Arial" w:cs="Arial"/>
          <w:b/>
          <w:bCs/>
          <w:color w:val="0D0D0D"/>
          <w:sz w:val="24"/>
          <w:szCs w:val="24"/>
        </w:rPr>
        <w:t>APPLICANT</w:t>
      </w:r>
    </w:p>
    <w:p w14:paraId="61E6B341" w14:textId="77777777" w:rsidR="00960B49" w:rsidRPr="009C627F" w:rsidRDefault="00960B49" w:rsidP="00837116">
      <w:pPr>
        <w:autoSpaceDE w:val="0"/>
        <w:autoSpaceDN w:val="0"/>
        <w:adjustRightInd w:val="0"/>
        <w:spacing w:after="360" w:line="240" w:lineRule="auto"/>
        <w:rPr>
          <w:rFonts w:ascii="Arial" w:hAnsi="Arial" w:cs="Arial"/>
          <w:color w:val="0D0D0D"/>
          <w:sz w:val="24"/>
          <w:szCs w:val="24"/>
        </w:rPr>
      </w:pPr>
      <w:r w:rsidRPr="009C627F">
        <w:rPr>
          <w:rFonts w:ascii="Arial" w:hAnsi="Arial" w:cs="Arial"/>
          <w:color w:val="0D0D0D"/>
          <w:sz w:val="24"/>
          <w:szCs w:val="24"/>
        </w:rPr>
        <w:t>and</w:t>
      </w:r>
    </w:p>
    <w:p w14:paraId="4F1D8845" w14:textId="7AF3AE65" w:rsidR="005E044D" w:rsidRDefault="004C3AF5" w:rsidP="00A06FB7">
      <w:pPr>
        <w:autoSpaceDE w:val="0"/>
        <w:autoSpaceDN w:val="0"/>
        <w:adjustRightInd w:val="0"/>
        <w:spacing w:after="0" w:line="360" w:lineRule="auto"/>
        <w:rPr>
          <w:rFonts w:ascii="Arial" w:hAnsi="Arial" w:cs="Arial"/>
          <w:b/>
          <w:bCs/>
          <w:color w:val="0D0D0D"/>
          <w:sz w:val="24"/>
          <w:szCs w:val="24"/>
        </w:rPr>
      </w:pPr>
      <w:r w:rsidRPr="009C627F">
        <w:rPr>
          <w:rFonts w:ascii="Arial" w:hAnsi="Arial" w:cs="Arial"/>
          <w:b/>
          <w:bCs/>
          <w:color w:val="0D0D0D"/>
          <w:sz w:val="24"/>
          <w:szCs w:val="24"/>
        </w:rPr>
        <w:t>S C F</w:t>
      </w:r>
      <w:r w:rsidR="005E044D">
        <w:rPr>
          <w:rFonts w:ascii="Arial" w:hAnsi="Arial" w:cs="Arial"/>
          <w:b/>
          <w:bCs/>
          <w:color w:val="0D0D0D"/>
          <w:sz w:val="24"/>
          <w:szCs w:val="24"/>
        </w:rPr>
        <w:tab/>
      </w:r>
      <w:r w:rsidR="005E044D">
        <w:rPr>
          <w:rFonts w:ascii="Arial" w:hAnsi="Arial" w:cs="Arial"/>
          <w:b/>
          <w:bCs/>
          <w:color w:val="0D0D0D"/>
          <w:sz w:val="24"/>
          <w:szCs w:val="24"/>
        </w:rPr>
        <w:tab/>
      </w:r>
      <w:r w:rsidR="005E044D">
        <w:rPr>
          <w:rFonts w:ascii="Arial" w:hAnsi="Arial" w:cs="Arial"/>
          <w:b/>
          <w:bCs/>
          <w:color w:val="0D0D0D"/>
          <w:sz w:val="24"/>
          <w:szCs w:val="24"/>
        </w:rPr>
        <w:tab/>
      </w:r>
      <w:r w:rsidR="005E044D">
        <w:rPr>
          <w:rFonts w:ascii="Arial" w:hAnsi="Arial" w:cs="Arial"/>
          <w:b/>
          <w:bCs/>
          <w:color w:val="0D0D0D"/>
          <w:sz w:val="24"/>
          <w:szCs w:val="24"/>
        </w:rPr>
        <w:tab/>
      </w:r>
      <w:r w:rsidR="005E044D">
        <w:rPr>
          <w:rFonts w:ascii="Arial" w:hAnsi="Arial" w:cs="Arial"/>
          <w:b/>
          <w:bCs/>
          <w:color w:val="0D0D0D"/>
          <w:sz w:val="24"/>
          <w:szCs w:val="24"/>
        </w:rPr>
        <w:tab/>
      </w:r>
      <w:r w:rsidR="005E044D">
        <w:rPr>
          <w:rFonts w:ascii="Arial" w:hAnsi="Arial" w:cs="Arial"/>
          <w:b/>
          <w:bCs/>
          <w:color w:val="0D0D0D"/>
          <w:sz w:val="24"/>
          <w:szCs w:val="24"/>
        </w:rPr>
        <w:tab/>
      </w:r>
      <w:r w:rsidR="005E044D">
        <w:rPr>
          <w:rFonts w:ascii="Arial" w:hAnsi="Arial" w:cs="Arial"/>
          <w:b/>
          <w:bCs/>
          <w:color w:val="0D0D0D"/>
          <w:sz w:val="24"/>
          <w:szCs w:val="24"/>
        </w:rPr>
        <w:tab/>
      </w:r>
      <w:r w:rsidR="004707E2">
        <w:rPr>
          <w:rFonts w:ascii="Arial" w:hAnsi="Arial" w:cs="Arial"/>
          <w:b/>
          <w:bCs/>
          <w:color w:val="0D0D0D"/>
          <w:sz w:val="24"/>
          <w:szCs w:val="24"/>
        </w:rPr>
        <w:tab/>
      </w:r>
      <w:r w:rsidR="004707E2">
        <w:rPr>
          <w:rFonts w:ascii="Arial" w:hAnsi="Arial" w:cs="Arial"/>
          <w:b/>
          <w:bCs/>
          <w:color w:val="0D0D0D"/>
          <w:sz w:val="24"/>
          <w:szCs w:val="24"/>
        </w:rPr>
        <w:tab/>
      </w:r>
      <w:r w:rsidR="004707E2">
        <w:rPr>
          <w:rFonts w:ascii="Arial" w:hAnsi="Arial" w:cs="Arial"/>
          <w:b/>
          <w:bCs/>
          <w:color w:val="0D0D0D"/>
          <w:sz w:val="24"/>
          <w:szCs w:val="24"/>
        </w:rPr>
        <w:tab/>
        <w:t xml:space="preserve">  </w:t>
      </w:r>
      <w:r w:rsidR="00960B49" w:rsidRPr="00837116">
        <w:rPr>
          <w:rFonts w:ascii="Arial" w:hAnsi="Arial" w:cs="Arial"/>
          <w:b/>
          <w:bCs/>
          <w:color w:val="0D0D0D"/>
          <w:sz w:val="24"/>
          <w:szCs w:val="24"/>
        </w:rPr>
        <w:t>RESPONDENT</w:t>
      </w:r>
    </w:p>
    <w:p w14:paraId="71765F1C" w14:textId="77777777" w:rsidR="004707E2" w:rsidRPr="009C627F" w:rsidRDefault="004707E2" w:rsidP="004707E2">
      <w:pPr>
        <w:autoSpaceDE w:val="0"/>
        <w:autoSpaceDN w:val="0"/>
        <w:adjustRightInd w:val="0"/>
        <w:spacing w:after="0" w:line="360" w:lineRule="auto"/>
        <w:rPr>
          <w:rFonts w:ascii="Arial" w:hAnsi="Arial" w:cs="Arial"/>
          <w:b/>
          <w:bCs/>
          <w:color w:val="0D0D0D"/>
          <w:sz w:val="24"/>
          <w:szCs w:val="24"/>
        </w:rPr>
      </w:pPr>
    </w:p>
    <w:p w14:paraId="014CB785" w14:textId="13C68CED" w:rsidR="00960B49" w:rsidRPr="00837116" w:rsidRDefault="00960B49" w:rsidP="007F3924">
      <w:pPr>
        <w:widowControl w:val="0"/>
        <w:autoSpaceDE w:val="0"/>
        <w:autoSpaceDN w:val="0"/>
        <w:adjustRightInd w:val="0"/>
        <w:spacing w:after="360" w:line="276" w:lineRule="auto"/>
        <w:ind w:right="113"/>
        <w:jc w:val="both"/>
        <w:rPr>
          <w:rFonts w:ascii="Arial" w:eastAsiaTheme="minorEastAsia" w:hAnsi="Arial" w:cs="Arial"/>
          <w:b/>
          <w:sz w:val="24"/>
          <w:szCs w:val="24"/>
          <w:lang w:eastAsia="en-ZA"/>
        </w:rPr>
      </w:pPr>
      <w:r w:rsidRPr="00837116">
        <w:rPr>
          <w:rFonts w:ascii="Arial" w:eastAsiaTheme="minorEastAsia" w:hAnsi="Arial" w:cs="Arial"/>
          <w:b/>
          <w:sz w:val="24"/>
          <w:szCs w:val="24"/>
          <w:lang w:eastAsia="en-ZA"/>
        </w:rPr>
        <w:t>Neutral citation:</w:t>
      </w:r>
      <w:r w:rsidRPr="00837116">
        <w:rPr>
          <w:rFonts w:ascii="Arial" w:eastAsiaTheme="minorEastAsia" w:hAnsi="Arial" w:cs="Arial"/>
          <w:bCs/>
          <w:sz w:val="24"/>
          <w:szCs w:val="24"/>
          <w:lang w:eastAsia="en-ZA"/>
        </w:rPr>
        <w:t xml:space="preserve"> </w:t>
      </w:r>
      <w:bookmarkStart w:id="0" w:name="_GoBack"/>
      <w:r w:rsidR="007C4FCD" w:rsidRPr="00837116">
        <w:rPr>
          <w:rFonts w:ascii="Arial" w:hAnsi="Arial" w:cs="Arial"/>
          <w:i/>
          <w:iCs/>
          <w:color w:val="0D0D0D"/>
          <w:sz w:val="24"/>
          <w:szCs w:val="24"/>
        </w:rPr>
        <w:t>P</w:t>
      </w:r>
      <w:r w:rsidR="00A52C78">
        <w:rPr>
          <w:rFonts w:ascii="Arial" w:hAnsi="Arial" w:cs="Arial"/>
          <w:i/>
          <w:iCs/>
          <w:color w:val="0D0D0D"/>
          <w:sz w:val="24"/>
          <w:szCs w:val="24"/>
        </w:rPr>
        <w:t xml:space="preserve"> </w:t>
      </w:r>
      <w:r w:rsidR="007C4FCD" w:rsidRPr="00837116">
        <w:rPr>
          <w:rFonts w:ascii="Arial" w:hAnsi="Arial" w:cs="Arial"/>
          <w:i/>
          <w:iCs/>
          <w:color w:val="0D0D0D"/>
          <w:sz w:val="24"/>
          <w:szCs w:val="24"/>
        </w:rPr>
        <w:t>A</w:t>
      </w:r>
      <w:r w:rsidR="00A52C78">
        <w:rPr>
          <w:rFonts w:ascii="Arial" w:hAnsi="Arial" w:cs="Arial"/>
          <w:i/>
          <w:iCs/>
          <w:color w:val="0D0D0D"/>
          <w:sz w:val="24"/>
          <w:szCs w:val="24"/>
        </w:rPr>
        <w:t xml:space="preserve"> </w:t>
      </w:r>
      <w:r w:rsidR="007C4FCD" w:rsidRPr="00837116">
        <w:rPr>
          <w:rFonts w:ascii="Arial" w:hAnsi="Arial" w:cs="Arial"/>
          <w:i/>
          <w:iCs/>
          <w:color w:val="0D0D0D"/>
          <w:sz w:val="24"/>
          <w:szCs w:val="24"/>
        </w:rPr>
        <w:t>F</w:t>
      </w:r>
      <w:r w:rsidRPr="00837116">
        <w:rPr>
          <w:rFonts w:ascii="Arial" w:hAnsi="Arial" w:cs="Arial"/>
          <w:i/>
          <w:iCs/>
          <w:color w:val="0D0D0D"/>
          <w:sz w:val="24"/>
          <w:szCs w:val="24"/>
        </w:rPr>
        <w:t xml:space="preserve"> v </w:t>
      </w:r>
      <w:r w:rsidR="007C4FCD" w:rsidRPr="00837116">
        <w:rPr>
          <w:rFonts w:ascii="Arial" w:hAnsi="Arial" w:cs="Arial"/>
          <w:i/>
          <w:iCs/>
          <w:color w:val="0D0D0D"/>
          <w:sz w:val="24"/>
          <w:szCs w:val="24"/>
        </w:rPr>
        <w:t>S</w:t>
      </w:r>
      <w:r w:rsidR="00A52C78">
        <w:rPr>
          <w:rFonts w:ascii="Arial" w:hAnsi="Arial" w:cs="Arial"/>
          <w:i/>
          <w:iCs/>
          <w:color w:val="0D0D0D"/>
          <w:sz w:val="24"/>
          <w:szCs w:val="24"/>
        </w:rPr>
        <w:t xml:space="preserve"> </w:t>
      </w:r>
      <w:r w:rsidR="007C4FCD" w:rsidRPr="00837116">
        <w:rPr>
          <w:rFonts w:ascii="Arial" w:hAnsi="Arial" w:cs="Arial"/>
          <w:i/>
          <w:iCs/>
          <w:color w:val="0D0D0D"/>
          <w:sz w:val="24"/>
          <w:szCs w:val="24"/>
        </w:rPr>
        <w:t>C</w:t>
      </w:r>
      <w:r w:rsidR="00A52C78">
        <w:rPr>
          <w:rFonts w:ascii="Arial" w:hAnsi="Arial" w:cs="Arial"/>
          <w:i/>
          <w:iCs/>
          <w:color w:val="0D0D0D"/>
          <w:sz w:val="24"/>
          <w:szCs w:val="24"/>
        </w:rPr>
        <w:t xml:space="preserve"> </w:t>
      </w:r>
      <w:r w:rsidR="007C4FCD" w:rsidRPr="00837116">
        <w:rPr>
          <w:rFonts w:ascii="Arial" w:hAnsi="Arial" w:cs="Arial"/>
          <w:i/>
          <w:iCs/>
          <w:color w:val="0D0D0D"/>
          <w:sz w:val="24"/>
          <w:szCs w:val="24"/>
        </w:rPr>
        <w:t>F</w:t>
      </w:r>
      <w:r w:rsidRPr="00837116">
        <w:rPr>
          <w:rFonts w:ascii="Arial" w:hAnsi="Arial" w:cs="Arial"/>
          <w:i/>
          <w:iCs/>
          <w:color w:val="0D0D0D"/>
          <w:sz w:val="24"/>
          <w:szCs w:val="24"/>
        </w:rPr>
        <w:t xml:space="preserve"> </w:t>
      </w:r>
      <w:r w:rsidRPr="00837116">
        <w:rPr>
          <w:rFonts w:ascii="Arial" w:eastAsiaTheme="minorEastAsia" w:hAnsi="Arial" w:cs="Arial"/>
          <w:bCs/>
          <w:sz w:val="24"/>
          <w:szCs w:val="24"/>
          <w:lang w:eastAsia="en-ZA"/>
        </w:rPr>
        <w:t xml:space="preserve">(788/2020) [2022] ZASCA </w:t>
      </w:r>
      <w:r w:rsidR="00141126">
        <w:rPr>
          <w:rFonts w:ascii="Arial" w:eastAsiaTheme="minorEastAsia" w:hAnsi="Arial" w:cs="Arial"/>
          <w:bCs/>
          <w:sz w:val="24"/>
          <w:szCs w:val="24"/>
          <w:lang w:eastAsia="en-ZA"/>
        </w:rPr>
        <w:t>101</w:t>
      </w:r>
      <w:r w:rsidRPr="00837116">
        <w:rPr>
          <w:rFonts w:ascii="Arial" w:eastAsiaTheme="minorEastAsia" w:hAnsi="Arial" w:cs="Arial"/>
          <w:bCs/>
          <w:sz w:val="24"/>
          <w:szCs w:val="24"/>
          <w:lang w:eastAsia="en-ZA"/>
        </w:rPr>
        <w:t xml:space="preserve"> (</w:t>
      </w:r>
      <w:r w:rsidR="00141126">
        <w:rPr>
          <w:rFonts w:ascii="Arial" w:eastAsiaTheme="minorEastAsia" w:hAnsi="Arial" w:cs="Arial"/>
          <w:bCs/>
          <w:sz w:val="24"/>
          <w:szCs w:val="24"/>
          <w:lang w:eastAsia="en-ZA"/>
        </w:rPr>
        <w:t>22</w:t>
      </w:r>
      <w:r w:rsidR="004E5CE0">
        <w:rPr>
          <w:rFonts w:ascii="Arial" w:eastAsiaTheme="minorEastAsia" w:hAnsi="Arial" w:cs="Arial"/>
          <w:bCs/>
          <w:sz w:val="24"/>
          <w:szCs w:val="24"/>
          <w:lang w:eastAsia="en-ZA"/>
        </w:rPr>
        <w:t xml:space="preserve"> </w:t>
      </w:r>
      <w:r w:rsidR="002434EF" w:rsidRPr="00837116">
        <w:rPr>
          <w:rFonts w:ascii="Arial" w:eastAsiaTheme="minorEastAsia" w:hAnsi="Arial" w:cs="Arial"/>
          <w:bCs/>
          <w:sz w:val="24"/>
          <w:szCs w:val="24"/>
          <w:lang w:eastAsia="en-ZA"/>
        </w:rPr>
        <w:t>June</w:t>
      </w:r>
      <w:r w:rsidRPr="00837116">
        <w:rPr>
          <w:rFonts w:ascii="Arial" w:eastAsiaTheme="minorEastAsia" w:hAnsi="Arial" w:cs="Arial"/>
          <w:bCs/>
          <w:sz w:val="24"/>
          <w:szCs w:val="24"/>
          <w:lang w:eastAsia="en-ZA"/>
        </w:rPr>
        <w:t xml:space="preserve"> 2022) </w:t>
      </w:r>
      <w:bookmarkEnd w:id="0"/>
    </w:p>
    <w:p w14:paraId="77291A8B" w14:textId="3973E511" w:rsidR="00960B49" w:rsidRPr="00837116" w:rsidRDefault="00960B49" w:rsidP="00960B49">
      <w:pPr>
        <w:widowControl w:val="0"/>
        <w:autoSpaceDE w:val="0"/>
        <w:autoSpaceDN w:val="0"/>
        <w:adjustRightInd w:val="0"/>
        <w:spacing w:after="240" w:line="240" w:lineRule="auto"/>
        <w:ind w:left="1440" w:hanging="1440"/>
        <w:jc w:val="both"/>
        <w:rPr>
          <w:rFonts w:ascii="Arial" w:eastAsiaTheme="minorEastAsia" w:hAnsi="Arial" w:cs="Arial"/>
          <w:sz w:val="24"/>
          <w:szCs w:val="24"/>
          <w:lang w:eastAsia="en-ZA"/>
        </w:rPr>
      </w:pPr>
      <w:r w:rsidRPr="00837116">
        <w:rPr>
          <w:rFonts w:ascii="Arial" w:eastAsiaTheme="minorEastAsia" w:hAnsi="Arial" w:cs="Arial"/>
          <w:b/>
          <w:sz w:val="24"/>
          <w:szCs w:val="24"/>
          <w:lang w:eastAsia="en-ZA"/>
        </w:rPr>
        <w:t>Coram:</w:t>
      </w:r>
      <w:r w:rsidRPr="00837116">
        <w:rPr>
          <w:rFonts w:ascii="Arial" w:eastAsiaTheme="minorEastAsia" w:hAnsi="Arial" w:cs="Arial"/>
          <w:b/>
          <w:sz w:val="24"/>
          <w:szCs w:val="24"/>
          <w:lang w:eastAsia="en-ZA"/>
        </w:rPr>
        <w:tab/>
      </w:r>
      <w:bookmarkStart w:id="1" w:name="_Hlk106661950"/>
      <w:bookmarkStart w:id="2" w:name="_Hlk64406736"/>
      <w:r w:rsidRPr="00837116">
        <w:rPr>
          <w:rFonts w:ascii="Arial" w:eastAsiaTheme="minorEastAsia" w:hAnsi="Arial" w:cs="Arial"/>
          <w:sz w:val="24"/>
          <w:szCs w:val="24"/>
          <w:lang w:eastAsia="en-ZA"/>
        </w:rPr>
        <w:t xml:space="preserve">DAMBUZA, MOLEMELA and </w:t>
      </w:r>
      <w:r w:rsidRPr="00837116">
        <w:rPr>
          <w:rFonts w:ascii="Arial" w:hAnsi="Arial" w:cs="Arial"/>
          <w:sz w:val="24"/>
          <w:szCs w:val="24"/>
        </w:rPr>
        <w:t>MAKGOKA JJA,</w:t>
      </w:r>
      <w:r w:rsidR="00A52C78">
        <w:rPr>
          <w:rFonts w:ascii="Arial" w:hAnsi="Arial" w:cs="Arial"/>
          <w:sz w:val="24"/>
          <w:szCs w:val="24"/>
        </w:rPr>
        <w:t xml:space="preserve"> </w:t>
      </w:r>
      <w:r w:rsidR="00A52C78" w:rsidRPr="00EC4EF5">
        <w:rPr>
          <w:rFonts w:ascii="Arial" w:hAnsi="Arial" w:cs="Arial"/>
          <w:sz w:val="24"/>
          <w:szCs w:val="24"/>
        </w:rPr>
        <w:t>and</w:t>
      </w:r>
      <w:r w:rsidRPr="00837116">
        <w:rPr>
          <w:rFonts w:ascii="Arial" w:eastAsiaTheme="minorEastAsia" w:hAnsi="Arial" w:cs="Arial"/>
          <w:sz w:val="24"/>
          <w:szCs w:val="24"/>
          <w:lang w:eastAsia="en-ZA"/>
        </w:rPr>
        <w:t xml:space="preserve"> </w:t>
      </w:r>
      <w:r w:rsidRPr="00837116">
        <w:rPr>
          <w:rFonts w:ascii="Arial" w:hAnsi="Arial" w:cs="Arial"/>
          <w:sz w:val="24"/>
          <w:szCs w:val="24"/>
        </w:rPr>
        <w:t xml:space="preserve">MAKAULA </w:t>
      </w:r>
      <w:r w:rsidRPr="00837116">
        <w:rPr>
          <w:rFonts w:ascii="Arial" w:eastAsiaTheme="minorEastAsia" w:hAnsi="Arial" w:cs="Arial"/>
          <w:sz w:val="24"/>
          <w:szCs w:val="24"/>
          <w:lang w:eastAsia="en-ZA"/>
        </w:rPr>
        <w:t xml:space="preserve">and </w:t>
      </w:r>
      <w:r w:rsidRPr="00837116">
        <w:rPr>
          <w:rFonts w:ascii="Arial" w:hAnsi="Arial" w:cs="Arial"/>
          <w:sz w:val="24"/>
          <w:szCs w:val="24"/>
        </w:rPr>
        <w:t>WEINER AJJA</w:t>
      </w:r>
      <w:r w:rsidRPr="00837116">
        <w:rPr>
          <w:rFonts w:ascii="Arial" w:eastAsiaTheme="minorEastAsia" w:hAnsi="Arial" w:cs="Arial"/>
          <w:sz w:val="24"/>
          <w:szCs w:val="24"/>
          <w:lang w:eastAsia="en-ZA"/>
        </w:rPr>
        <w:t xml:space="preserve"> </w:t>
      </w:r>
      <w:bookmarkEnd w:id="1"/>
    </w:p>
    <w:bookmarkEnd w:id="2"/>
    <w:p w14:paraId="7EEC2D4C" w14:textId="3F230A76" w:rsidR="00960B49" w:rsidRPr="00837116" w:rsidRDefault="00960B49" w:rsidP="00EE5D09">
      <w:pPr>
        <w:widowControl w:val="0"/>
        <w:tabs>
          <w:tab w:val="left" w:pos="720"/>
          <w:tab w:val="left" w:pos="1440"/>
          <w:tab w:val="left" w:pos="2160"/>
          <w:tab w:val="left" w:pos="2880"/>
          <w:tab w:val="left" w:pos="3600"/>
          <w:tab w:val="left" w:pos="7628"/>
        </w:tabs>
        <w:autoSpaceDE w:val="0"/>
        <w:autoSpaceDN w:val="0"/>
        <w:adjustRightInd w:val="0"/>
        <w:spacing w:before="100" w:beforeAutospacing="1" w:after="120" w:line="360" w:lineRule="auto"/>
        <w:jc w:val="both"/>
        <w:outlineLvl w:val="0"/>
        <w:rPr>
          <w:rFonts w:ascii="Arial" w:eastAsiaTheme="minorEastAsia" w:hAnsi="Arial" w:cs="Arial"/>
          <w:sz w:val="24"/>
          <w:szCs w:val="24"/>
          <w:lang w:eastAsia="en-ZA"/>
        </w:rPr>
      </w:pPr>
      <w:r w:rsidRPr="00837116">
        <w:rPr>
          <w:rFonts w:ascii="Arial" w:eastAsiaTheme="minorEastAsia" w:hAnsi="Arial" w:cs="Arial"/>
          <w:b/>
          <w:sz w:val="24"/>
          <w:szCs w:val="24"/>
          <w:lang w:eastAsia="en-ZA"/>
        </w:rPr>
        <w:t>Heard:</w:t>
      </w:r>
      <w:r w:rsidRPr="00837116">
        <w:rPr>
          <w:rFonts w:ascii="Arial" w:eastAsiaTheme="minorEastAsia" w:hAnsi="Arial" w:cs="Arial"/>
          <w:sz w:val="24"/>
          <w:szCs w:val="24"/>
          <w:lang w:eastAsia="en-ZA"/>
        </w:rPr>
        <w:tab/>
        <w:t>3 M</w:t>
      </w:r>
      <w:r w:rsidR="00A52C78">
        <w:rPr>
          <w:rFonts w:ascii="Arial" w:eastAsiaTheme="minorEastAsia" w:hAnsi="Arial" w:cs="Arial"/>
          <w:sz w:val="24"/>
          <w:szCs w:val="24"/>
          <w:lang w:eastAsia="en-ZA"/>
        </w:rPr>
        <w:t>arch</w:t>
      </w:r>
      <w:r w:rsidRPr="00837116">
        <w:rPr>
          <w:rFonts w:ascii="Arial" w:eastAsiaTheme="minorEastAsia" w:hAnsi="Arial" w:cs="Arial"/>
          <w:sz w:val="24"/>
          <w:szCs w:val="24"/>
          <w:lang w:eastAsia="en-ZA"/>
        </w:rPr>
        <w:t xml:space="preserve"> 2022</w:t>
      </w:r>
    </w:p>
    <w:p w14:paraId="4592AA14" w14:textId="21A19F91" w:rsidR="00960B49" w:rsidRPr="00837116" w:rsidRDefault="00960B49" w:rsidP="00EB263D">
      <w:pPr>
        <w:widowControl w:val="0"/>
        <w:autoSpaceDE w:val="0"/>
        <w:autoSpaceDN w:val="0"/>
        <w:adjustRightInd w:val="0"/>
        <w:spacing w:after="120" w:line="360" w:lineRule="auto"/>
        <w:jc w:val="both"/>
        <w:outlineLvl w:val="0"/>
        <w:rPr>
          <w:rFonts w:ascii="Arial" w:eastAsiaTheme="minorEastAsia" w:hAnsi="Arial" w:cs="Arial"/>
          <w:sz w:val="24"/>
          <w:szCs w:val="24"/>
          <w:lang w:eastAsia="en-ZA"/>
        </w:rPr>
      </w:pPr>
      <w:r w:rsidRPr="00837116">
        <w:rPr>
          <w:rFonts w:ascii="Arial" w:eastAsiaTheme="minorEastAsia" w:hAnsi="Arial" w:cs="Arial"/>
          <w:b/>
          <w:sz w:val="24"/>
          <w:szCs w:val="24"/>
          <w:lang w:eastAsia="en-ZA"/>
        </w:rPr>
        <w:t>Delivered:</w:t>
      </w:r>
      <w:r w:rsidRPr="00837116">
        <w:rPr>
          <w:rFonts w:ascii="Arial" w:eastAsiaTheme="minorEastAsia" w:hAnsi="Arial" w:cs="Arial"/>
          <w:b/>
          <w:sz w:val="24"/>
          <w:szCs w:val="24"/>
          <w:lang w:eastAsia="en-ZA"/>
        </w:rPr>
        <w:tab/>
      </w:r>
      <w:r w:rsidR="00141126" w:rsidRPr="00141126">
        <w:rPr>
          <w:rFonts w:ascii="Arial" w:eastAsiaTheme="minorEastAsia" w:hAnsi="Arial" w:cs="Arial"/>
          <w:sz w:val="24"/>
          <w:szCs w:val="24"/>
          <w:lang w:eastAsia="en-ZA"/>
        </w:rPr>
        <w:t>22</w:t>
      </w:r>
      <w:r w:rsidR="00141126">
        <w:rPr>
          <w:rFonts w:ascii="Arial" w:eastAsiaTheme="minorEastAsia" w:hAnsi="Arial" w:cs="Arial"/>
          <w:bCs/>
          <w:sz w:val="24"/>
          <w:szCs w:val="24"/>
          <w:lang w:eastAsia="en-ZA"/>
        </w:rPr>
        <w:t xml:space="preserve"> </w:t>
      </w:r>
      <w:r w:rsidR="00EB263D" w:rsidRPr="00837116">
        <w:rPr>
          <w:rFonts w:ascii="Arial" w:eastAsiaTheme="minorEastAsia" w:hAnsi="Arial" w:cs="Arial"/>
          <w:sz w:val="24"/>
          <w:szCs w:val="24"/>
          <w:lang w:eastAsia="en-ZA"/>
        </w:rPr>
        <w:t xml:space="preserve">June </w:t>
      </w:r>
      <w:r w:rsidRPr="00837116">
        <w:rPr>
          <w:rFonts w:ascii="Arial" w:eastAsiaTheme="minorEastAsia" w:hAnsi="Arial" w:cs="Arial"/>
          <w:sz w:val="24"/>
          <w:szCs w:val="24"/>
          <w:lang w:eastAsia="en-ZA"/>
        </w:rPr>
        <w:t>2022</w:t>
      </w:r>
    </w:p>
    <w:p w14:paraId="2D34DEA5" w14:textId="44B6B3B3" w:rsidR="00091B83" w:rsidRPr="00837116" w:rsidRDefault="00960B49" w:rsidP="00EB263D">
      <w:pPr>
        <w:spacing w:after="0" w:line="360" w:lineRule="auto"/>
        <w:contextualSpacing/>
        <w:jc w:val="both"/>
        <w:rPr>
          <w:rFonts w:ascii="Arial" w:hAnsi="Arial" w:cs="Arial"/>
          <w:bCs/>
          <w:sz w:val="24"/>
          <w:szCs w:val="24"/>
        </w:rPr>
      </w:pPr>
      <w:r w:rsidRPr="00837116">
        <w:rPr>
          <w:rFonts w:ascii="Arial" w:eastAsiaTheme="minorEastAsia" w:hAnsi="Arial" w:cs="Arial"/>
          <w:b/>
          <w:sz w:val="24"/>
          <w:szCs w:val="24"/>
          <w:lang w:eastAsia="en-ZA"/>
        </w:rPr>
        <w:t xml:space="preserve">Summary: </w:t>
      </w:r>
      <w:r w:rsidR="00A52C78">
        <w:rPr>
          <w:rFonts w:ascii="Arial" w:eastAsiaTheme="minorEastAsia" w:hAnsi="Arial" w:cs="Arial"/>
          <w:b/>
          <w:sz w:val="24"/>
          <w:szCs w:val="24"/>
          <w:lang w:eastAsia="en-ZA"/>
        </w:rPr>
        <w:tab/>
      </w:r>
      <w:r w:rsidR="00317AC8" w:rsidRPr="00837116">
        <w:rPr>
          <w:rFonts w:ascii="Arial" w:hAnsi="Arial" w:cs="Arial"/>
          <w:bCs/>
          <w:sz w:val="24"/>
          <w:szCs w:val="24"/>
        </w:rPr>
        <w:t>Family law</w:t>
      </w:r>
      <w:r w:rsidR="00A52C78">
        <w:rPr>
          <w:rFonts w:ascii="Arial" w:hAnsi="Arial" w:cs="Arial"/>
          <w:bCs/>
          <w:sz w:val="24"/>
          <w:szCs w:val="24"/>
        </w:rPr>
        <w:t xml:space="preserve"> –</w:t>
      </w:r>
      <w:r w:rsidR="00317AC8" w:rsidRPr="00837116">
        <w:rPr>
          <w:rFonts w:ascii="Arial" w:hAnsi="Arial" w:cs="Arial"/>
          <w:bCs/>
          <w:sz w:val="24"/>
          <w:szCs w:val="24"/>
        </w:rPr>
        <w:t xml:space="preserve"> divorce</w:t>
      </w:r>
      <w:r w:rsidR="000B7517" w:rsidRPr="00837116">
        <w:rPr>
          <w:rFonts w:ascii="Arial" w:hAnsi="Arial" w:cs="Arial"/>
          <w:bCs/>
          <w:sz w:val="24"/>
          <w:szCs w:val="24"/>
        </w:rPr>
        <w:t xml:space="preserve"> – accrual</w:t>
      </w:r>
      <w:r w:rsidR="00317AC8" w:rsidRPr="00837116">
        <w:rPr>
          <w:rFonts w:ascii="Arial" w:hAnsi="Arial" w:cs="Arial"/>
          <w:bCs/>
          <w:sz w:val="24"/>
          <w:szCs w:val="24"/>
        </w:rPr>
        <w:t xml:space="preserve"> </w:t>
      </w:r>
      <w:r w:rsidR="00A52C78">
        <w:rPr>
          <w:rFonts w:ascii="Arial" w:hAnsi="Arial" w:cs="Arial"/>
          <w:bCs/>
          <w:sz w:val="24"/>
          <w:szCs w:val="24"/>
        </w:rPr>
        <w:t>–</w:t>
      </w:r>
      <w:r w:rsidR="00317AC8" w:rsidRPr="00837116">
        <w:rPr>
          <w:rFonts w:ascii="Arial" w:hAnsi="Arial" w:cs="Arial"/>
          <w:bCs/>
          <w:sz w:val="24"/>
          <w:szCs w:val="24"/>
        </w:rPr>
        <w:t xml:space="preserve"> asset donation </w:t>
      </w:r>
      <w:r w:rsidR="000B7517" w:rsidRPr="00837116">
        <w:rPr>
          <w:rFonts w:ascii="Arial" w:hAnsi="Arial" w:cs="Arial"/>
          <w:bCs/>
          <w:sz w:val="24"/>
          <w:szCs w:val="24"/>
        </w:rPr>
        <w:t>to trust</w:t>
      </w:r>
      <w:r w:rsidR="00A52C78">
        <w:rPr>
          <w:rFonts w:ascii="Arial" w:hAnsi="Arial" w:cs="Arial"/>
          <w:bCs/>
          <w:sz w:val="24"/>
          <w:szCs w:val="24"/>
        </w:rPr>
        <w:t xml:space="preserve"> </w:t>
      </w:r>
      <w:r w:rsidR="00317AC8" w:rsidRPr="00837116">
        <w:rPr>
          <w:rFonts w:ascii="Arial" w:hAnsi="Arial" w:cs="Arial"/>
          <w:bCs/>
          <w:sz w:val="24"/>
          <w:szCs w:val="24"/>
        </w:rPr>
        <w:t xml:space="preserve">– </w:t>
      </w:r>
      <w:r w:rsidR="00091B83" w:rsidRPr="00837116">
        <w:rPr>
          <w:rFonts w:ascii="Arial" w:hAnsi="Arial" w:cs="Arial"/>
          <w:bCs/>
          <w:sz w:val="24"/>
          <w:szCs w:val="24"/>
        </w:rPr>
        <w:t xml:space="preserve">whether value thereof should be considered as part of donor spouse’s estate for purpose of calculating accrual. </w:t>
      </w:r>
    </w:p>
    <w:p w14:paraId="596D0DDD" w14:textId="48E113BA" w:rsidR="00317AC8" w:rsidRPr="00837116" w:rsidRDefault="00091B83" w:rsidP="00EB263D">
      <w:pPr>
        <w:spacing w:after="0" w:line="360" w:lineRule="auto"/>
        <w:contextualSpacing/>
        <w:jc w:val="both"/>
        <w:rPr>
          <w:rFonts w:ascii="Arial" w:hAnsi="Arial" w:cs="Arial"/>
          <w:bCs/>
          <w:sz w:val="24"/>
          <w:szCs w:val="24"/>
        </w:rPr>
      </w:pPr>
      <w:r w:rsidRPr="00837116">
        <w:rPr>
          <w:rFonts w:ascii="Arial" w:hAnsi="Arial" w:cs="Arial"/>
          <w:bCs/>
          <w:sz w:val="24"/>
          <w:szCs w:val="24"/>
        </w:rPr>
        <w:t>Civil procedure – application for leave to lead further evidence on appeal</w:t>
      </w:r>
      <w:r w:rsidR="00A52C78">
        <w:rPr>
          <w:rFonts w:ascii="Arial" w:hAnsi="Arial" w:cs="Arial"/>
          <w:bCs/>
          <w:sz w:val="24"/>
          <w:szCs w:val="24"/>
        </w:rPr>
        <w:t xml:space="preserve"> – c</w:t>
      </w:r>
      <w:r w:rsidR="00317AC8" w:rsidRPr="00837116">
        <w:rPr>
          <w:rFonts w:ascii="Arial" w:hAnsi="Arial" w:cs="Arial"/>
          <w:bCs/>
          <w:sz w:val="24"/>
          <w:szCs w:val="24"/>
        </w:rPr>
        <w:t xml:space="preserve">ondonation – </w:t>
      </w:r>
      <w:r w:rsidRPr="00837116">
        <w:rPr>
          <w:rFonts w:ascii="Arial" w:hAnsi="Arial" w:cs="Arial"/>
          <w:bCs/>
          <w:sz w:val="24"/>
          <w:szCs w:val="24"/>
        </w:rPr>
        <w:t>late prosecution of appeal</w:t>
      </w:r>
      <w:r w:rsidR="000C3E1D" w:rsidRPr="00837116">
        <w:rPr>
          <w:rFonts w:ascii="Arial" w:hAnsi="Arial" w:cs="Arial"/>
          <w:bCs/>
          <w:sz w:val="24"/>
          <w:szCs w:val="24"/>
        </w:rPr>
        <w:t xml:space="preserve"> </w:t>
      </w:r>
      <w:r w:rsidR="00A52C78">
        <w:rPr>
          <w:rFonts w:ascii="Arial" w:hAnsi="Arial" w:cs="Arial"/>
          <w:bCs/>
          <w:sz w:val="24"/>
          <w:szCs w:val="24"/>
        </w:rPr>
        <w:t xml:space="preserve">– </w:t>
      </w:r>
      <w:r w:rsidR="000C3E1D" w:rsidRPr="00837116">
        <w:rPr>
          <w:rFonts w:ascii="Arial" w:hAnsi="Arial" w:cs="Arial"/>
          <w:bCs/>
          <w:sz w:val="24"/>
          <w:szCs w:val="24"/>
        </w:rPr>
        <w:t>principles restated.</w:t>
      </w:r>
    </w:p>
    <w:p w14:paraId="65C97D4B" w14:textId="7DD8992F" w:rsidR="004E5CE0" w:rsidRDefault="004E5CE0" w:rsidP="004E5CE0">
      <w:pPr>
        <w:tabs>
          <w:tab w:val="left" w:pos="7410"/>
        </w:tabs>
        <w:rPr>
          <w:rFonts w:ascii="Arial" w:hAnsi="Arial" w:cs="Arial"/>
          <w:bCs/>
          <w:sz w:val="24"/>
          <w:szCs w:val="24"/>
        </w:rPr>
      </w:pPr>
      <w:r>
        <w:rPr>
          <w:rFonts w:ascii="Arial" w:hAnsi="Arial" w:cs="Arial"/>
          <w:bCs/>
          <w:sz w:val="24"/>
          <w:szCs w:val="24"/>
        </w:rPr>
        <w:tab/>
      </w:r>
    </w:p>
    <w:p w14:paraId="70B13B43" w14:textId="50734DD9" w:rsidR="00141126" w:rsidRDefault="00141126">
      <w:pPr>
        <w:rPr>
          <w:rFonts w:ascii="Arial" w:hAnsi="Arial" w:cs="Arial"/>
          <w:sz w:val="24"/>
          <w:szCs w:val="24"/>
        </w:rPr>
      </w:pPr>
      <w:r>
        <w:rPr>
          <w:rFonts w:ascii="Arial" w:hAnsi="Arial" w:cs="Arial"/>
          <w:sz w:val="24"/>
          <w:szCs w:val="24"/>
        </w:rPr>
        <w:br w:type="page"/>
      </w:r>
    </w:p>
    <w:p w14:paraId="07320544" w14:textId="77777777" w:rsidR="002B4EBE" w:rsidRPr="002B4EBE" w:rsidRDefault="002B4EBE" w:rsidP="00141126">
      <w:pPr>
        <w:widowControl w:val="0"/>
        <w:autoSpaceDE w:val="0"/>
        <w:autoSpaceDN w:val="0"/>
        <w:adjustRightInd w:val="0"/>
        <w:spacing w:after="0" w:line="240" w:lineRule="auto"/>
        <w:ind w:left="1440" w:hanging="1440"/>
        <w:jc w:val="center"/>
        <w:rPr>
          <w:rFonts w:ascii="Arial" w:eastAsiaTheme="minorEastAsia" w:hAnsi="Arial" w:cs="Arial"/>
          <w:b/>
          <w:sz w:val="24"/>
          <w:szCs w:val="24"/>
          <w:lang w:eastAsia="en-ZA"/>
        </w:rPr>
      </w:pPr>
      <w:r w:rsidRPr="002B4EBE">
        <w:rPr>
          <w:rFonts w:ascii="Arial" w:eastAsiaTheme="minorEastAsia" w:hAnsi="Arial" w:cs="Arial"/>
          <w:b/>
          <w:sz w:val="24"/>
          <w:szCs w:val="24"/>
          <w:lang w:eastAsia="en-ZA"/>
        </w:rPr>
        <w:lastRenderedPageBreak/>
        <w:t>___________________________________________________________________</w:t>
      </w:r>
    </w:p>
    <w:p w14:paraId="2500B34F" w14:textId="77777777" w:rsidR="002B4EBE" w:rsidRDefault="002B4EBE" w:rsidP="00141126">
      <w:pPr>
        <w:widowControl w:val="0"/>
        <w:autoSpaceDE w:val="0"/>
        <w:autoSpaceDN w:val="0"/>
        <w:adjustRightInd w:val="0"/>
        <w:spacing w:after="0" w:line="240" w:lineRule="auto"/>
        <w:jc w:val="center"/>
        <w:rPr>
          <w:rFonts w:ascii="Arial" w:eastAsiaTheme="minorEastAsia" w:hAnsi="Arial" w:cs="Arial"/>
          <w:b/>
          <w:sz w:val="24"/>
          <w:szCs w:val="24"/>
          <w:lang w:eastAsia="en-ZA"/>
        </w:rPr>
      </w:pPr>
    </w:p>
    <w:p w14:paraId="26EB9A9E" w14:textId="5B6554AA" w:rsidR="002B4EBE" w:rsidRPr="002B4EBE" w:rsidRDefault="002B4EBE" w:rsidP="00141126">
      <w:pPr>
        <w:widowControl w:val="0"/>
        <w:autoSpaceDE w:val="0"/>
        <w:autoSpaceDN w:val="0"/>
        <w:adjustRightInd w:val="0"/>
        <w:spacing w:after="0" w:line="240" w:lineRule="auto"/>
        <w:jc w:val="center"/>
        <w:rPr>
          <w:rFonts w:ascii="Arial" w:eastAsiaTheme="minorEastAsia" w:hAnsi="Arial" w:cs="Arial"/>
          <w:b/>
          <w:sz w:val="24"/>
          <w:szCs w:val="24"/>
          <w:lang w:eastAsia="en-ZA"/>
        </w:rPr>
      </w:pPr>
      <w:r>
        <w:rPr>
          <w:rFonts w:ascii="Arial" w:eastAsiaTheme="minorEastAsia" w:hAnsi="Arial" w:cs="Arial"/>
          <w:b/>
          <w:sz w:val="24"/>
          <w:szCs w:val="24"/>
          <w:lang w:eastAsia="en-ZA"/>
        </w:rPr>
        <w:t>ORDER</w:t>
      </w:r>
    </w:p>
    <w:p w14:paraId="37976CBA" w14:textId="77777777" w:rsidR="002B4EBE" w:rsidRPr="002B4EBE" w:rsidRDefault="002B4EBE" w:rsidP="00141126">
      <w:pPr>
        <w:widowControl w:val="0"/>
        <w:autoSpaceDE w:val="0"/>
        <w:autoSpaceDN w:val="0"/>
        <w:adjustRightInd w:val="0"/>
        <w:spacing w:after="0" w:line="240" w:lineRule="auto"/>
        <w:ind w:left="1440" w:hanging="1440"/>
        <w:jc w:val="center"/>
        <w:rPr>
          <w:rFonts w:ascii="Arial" w:eastAsiaTheme="minorEastAsia" w:hAnsi="Arial" w:cs="Arial"/>
          <w:sz w:val="24"/>
          <w:szCs w:val="24"/>
          <w:lang w:eastAsia="en-ZA"/>
        </w:rPr>
      </w:pPr>
      <w:r w:rsidRPr="002B4EBE">
        <w:rPr>
          <w:rFonts w:ascii="Arial" w:eastAsiaTheme="minorEastAsia" w:hAnsi="Arial" w:cs="Arial"/>
          <w:b/>
          <w:sz w:val="24"/>
          <w:szCs w:val="24"/>
          <w:lang w:eastAsia="en-ZA"/>
        </w:rPr>
        <w:t>___________________________________________________________________</w:t>
      </w:r>
    </w:p>
    <w:p w14:paraId="56BC857E" w14:textId="5F505296" w:rsidR="00960B49" w:rsidRDefault="00960B49" w:rsidP="002B4EBE">
      <w:pPr>
        <w:widowControl w:val="0"/>
        <w:autoSpaceDE w:val="0"/>
        <w:autoSpaceDN w:val="0"/>
        <w:adjustRightInd w:val="0"/>
        <w:spacing w:before="240" w:line="360" w:lineRule="auto"/>
        <w:jc w:val="both"/>
        <w:rPr>
          <w:rFonts w:ascii="Arial" w:eastAsiaTheme="minorEastAsia" w:hAnsi="Arial" w:cs="Arial"/>
          <w:sz w:val="24"/>
          <w:szCs w:val="24"/>
          <w:lang w:eastAsia="en-ZA"/>
        </w:rPr>
      </w:pPr>
      <w:r w:rsidRPr="008D2D2C">
        <w:rPr>
          <w:rFonts w:ascii="Arial" w:eastAsiaTheme="minorEastAsia" w:hAnsi="Arial" w:cs="Arial"/>
          <w:b/>
          <w:sz w:val="24"/>
          <w:szCs w:val="24"/>
          <w:lang w:eastAsia="en-ZA"/>
        </w:rPr>
        <w:t>On appeal from:</w:t>
      </w:r>
      <w:r w:rsidRPr="00837116">
        <w:rPr>
          <w:rFonts w:ascii="Arial" w:eastAsiaTheme="minorEastAsia" w:hAnsi="Arial" w:cs="Arial"/>
          <w:sz w:val="24"/>
          <w:szCs w:val="24"/>
          <w:lang w:eastAsia="en-ZA"/>
        </w:rPr>
        <w:t xml:space="preserve"> </w:t>
      </w:r>
      <w:bookmarkStart w:id="3" w:name="_Hlk92393248"/>
      <w:r w:rsidRPr="00837116">
        <w:rPr>
          <w:rFonts w:ascii="Arial" w:hAnsi="Arial" w:cs="Arial"/>
          <w:color w:val="0D0D0D"/>
          <w:sz w:val="24"/>
          <w:szCs w:val="24"/>
        </w:rPr>
        <w:t xml:space="preserve">KwaZulu-Natal Division </w:t>
      </w:r>
      <w:r w:rsidRPr="00837116">
        <w:rPr>
          <w:rFonts w:ascii="Arial" w:eastAsiaTheme="minorEastAsia" w:hAnsi="Arial" w:cs="Arial"/>
          <w:sz w:val="24"/>
          <w:szCs w:val="24"/>
          <w:lang w:eastAsia="en-ZA"/>
        </w:rPr>
        <w:t>of the High Court,</w:t>
      </w:r>
      <w:r w:rsidR="00EB7B19" w:rsidRPr="00837116">
        <w:rPr>
          <w:rFonts w:ascii="Arial" w:hAnsi="Arial" w:cs="Arial"/>
          <w:color w:val="0D0D0D"/>
          <w:sz w:val="24"/>
          <w:szCs w:val="24"/>
        </w:rPr>
        <w:t xml:space="preserve"> </w:t>
      </w:r>
      <w:bookmarkEnd w:id="3"/>
      <w:r w:rsidR="00097551">
        <w:rPr>
          <w:rFonts w:ascii="Arial" w:hAnsi="Arial" w:cs="Arial"/>
          <w:color w:val="0D0D0D"/>
          <w:sz w:val="24"/>
          <w:szCs w:val="24"/>
        </w:rPr>
        <w:t xml:space="preserve">Pietermaritzburg </w:t>
      </w:r>
      <w:r w:rsidRPr="00837116">
        <w:rPr>
          <w:rFonts w:ascii="Arial" w:eastAsiaTheme="minorEastAsia" w:hAnsi="Arial" w:cs="Arial"/>
          <w:sz w:val="24"/>
          <w:szCs w:val="24"/>
          <w:lang w:eastAsia="en-ZA"/>
        </w:rPr>
        <w:t>(</w:t>
      </w:r>
      <w:r w:rsidR="00522A18" w:rsidRPr="00837116">
        <w:rPr>
          <w:rFonts w:ascii="Arial" w:eastAsiaTheme="minorEastAsia" w:hAnsi="Arial" w:cs="Arial"/>
          <w:sz w:val="24"/>
          <w:szCs w:val="24"/>
          <w:lang w:eastAsia="en-ZA"/>
        </w:rPr>
        <w:t>Kruger, D Pillay and Steyn JJ</w:t>
      </w:r>
      <w:r w:rsidR="00AF55AD">
        <w:rPr>
          <w:rFonts w:ascii="Arial" w:eastAsiaTheme="minorEastAsia" w:hAnsi="Arial" w:cs="Arial"/>
          <w:sz w:val="24"/>
          <w:szCs w:val="24"/>
          <w:lang w:eastAsia="en-ZA"/>
        </w:rPr>
        <w:t>,</w:t>
      </w:r>
      <w:r w:rsidR="00317AC8" w:rsidRPr="00837116">
        <w:rPr>
          <w:rFonts w:ascii="Arial" w:eastAsiaTheme="minorEastAsia" w:hAnsi="Arial" w:cs="Arial"/>
          <w:sz w:val="24"/>
          <w:szCs w:val="24"/>
          <w:lang w:eastAsia="en-ZA"/>
        </w:rPr>
        <w:t xml:space="preserve"> </w:t>
      </w:r>
      <w:r w:rsidRPr="00837116">
        <w:rPr>
          <w:rFonts w:ascii="Arial" w:eastAsiaTheme="minorEastAsia" w:hAnsi="Arial" w:cs="Arial"/>
          <w:sz w:val="24"/>
          <w:szCs w:val="24"/>
          <w:lang w:eastAsia="en-ZA"/>
        </w:rPr>
        <w:t xml:space="preserve">sitting as </w:t>
      </w:r>
      <w:r w:rsidR="00316F85" w:rsidRPr="0088109C">
        <w:rPr>
          <w:rFonts w:ascii="Arial" w:eastAsiaTheme="minorEastAsia" w:hAnsi="Arial" w:cs="Arial"/>
          <w:sz w:val="24"/>
          <w:szCs w:val="24"/>
          <w:lang w:eastAsia="en-ZA"/>
        </w:rPr>
        <w:t>a</w:t>
      </w:r>
      <w:r w:rsidR="00316F85">
        <w:rPr>
          <w:rFonts w:ascii="Arial" w:eastAsiaTheme="minorEastAsia" w:hAnsi="Arial" w:cs="Arial"/>
          <w:sz w:val="24"/>
          <w:szCs w:val="24"/>
          <w:lang w:eastAsia="en-ZA"/>
        </w:rPr>
        <w:t xml:space="preserve"> </w:t>
      </w:r>
      <w:r w:rsidRPr="00837116">
        <w:rPr>
          <w:rFonts w:ascii="Arial" w:eastAsiaTheme="minorEastAsia" w:hAnsi="Arial" w:cs="Arial"/>
          <w:sz w:val="24"/>
          <w:szCs w:val="24"/>
          <w:lang w:eastAsia="en-ZA"/>
        </w:rPr>
        <w:t xml:space="preserve">court of </w:t>
      </w:r>
      <w:r w:rsidR="00317AC8" w:rsidRPr="00837116">
        <w:rPr>
          <w:rFonts w:ascii="Arial" w:eastAsiaTheme="minorEastAsia" w:hAnsi="Arial" w:cs="Arial"/>
          <w:sz w:val="24"/>
          <w:szCs w:val="24"/>
          <w:lang w:eastAsia="en-ZA"/>
        </w:rPr>
        <w:t>appeal</w:t>
      </w:r>
      <w:r w:rsidRPr="00837116">
        <w:rPr>
          <w:rFonts w:ascii="Arial" w:eastAsiaTheme="minorEastAsia" w:hAnsi="Arial" w:cs="Arial"/>
          <w:sz w:val="24"/>
          <w:szCs w:val="24"/>
          <w:lang w:eastAsia="en-ZA"/>
        </w:rPr>
        <w:t>):</w:t>
      </w:r>
    </w:p>
    <w:p w14:paraId="277D3BEE" w14:textId="7C2B0C52" w:rsidR="00475C4A" w:rsidRPr="00475C4A" w:rsidRDefault="00475C4A" w:rsidP="00475C4A">
      <w:pPr>
        <w:pStyle w:val="MEMONUMBERED"/>
        <w:kinsoku w:val="0"/>
        <w:overflowPunct w:val="0"/>
        <w:autoSpaceDE w:val="0"/>
        <w:autoSpaceDN w:val="0"/>
        <w:adjustRightInd w:val="0"/>
        <w:spacing w:line="360" w:lineRule="auto"/>
        <w:ind w:right="-7"/>
        <w:rPr>
          <w:rFonts w:ascii="Arial" w:hAnsi="Arial" w:cs="Arial"/>
          <w:bCs/>
        </w:rPr>
      </w:pPr>
      <w:r w:rsidRPr="00837116">
        <w:rPr>
          <w:rFonts w:ascii="Arial" w:hAnsi="Arial" w:cs="Arial"/>
          <w:bCs/>
        </w:rPr>
        <w:t>The application for special leave to appeal is refused with costs</w:t>
      </w:r>
      <w:r>
        <w:rPr>
          <w:rFonts w:ascii="Arial" w:hAnsi="Arial" w:cs="Arial"/>
          <w:bCs/>
        </w:rPr>
        <w:t>, including costs of two counsel, where so employed</w:t>
      </w:r>
      <w:r w:rsidRPr="00837116">
        <w:rPr>
          <w:rFonts w:ascii="Arial" w:hAnsi="Arial" w:cs="Arial"/>
          <w:bCs/>
        </w:rPr>
        <w:t xml:space="preserve">.  </w:t>
      </w:r>
    </w:p>
    <w:p w14:paraId="379E8209" w14:textId="77777777" w:rsidR="002B4EBE" w:rsidRPr="002B4EBE" w:rsidRDefault="002B4EBE" w:rsidP="00141126">
      <w:pPr>
        <w:widowControl w:val="0"/>
        <w:autoSpaceDE w:val="0"/>
        <w:autoSpaceDN w:val="0"/>
        <w:adjustRightInd w:val="0"/>
        <w:spacing w:after="0" w:line="240" w:lineRule="auto"/>
        <w:ind w:left="1440" w:hanging="1440"/>
        <w:jc w:val="center"/>
        <w:rPr>
          <w:rFonts w:ascii="Arial" w:eastAsiaTheme="minorEastAsia" w:hAnsi="Arial" w:cs="Arial"/>
          <w:b/>
          <w:sz w:val="24"/>
          <w:szCs w:val="24"/>
          <w:lang w:eastAsia="en-ZA"/>
        </w:rPr>
      </w:pPr>
      <w:bookmarkStart w:id="4" w:name="_Hlk58083624"/>
      <w:r w:rsidRPr="002B4EBE">
        <w:rPr>
          <w:rFonts w:ascii="Arial" w:eastAsiaTheme="minorEastAsia" w:hAnsi="Arial" w:cs="Arial"/>
          <w:b/>
          <w:sz w:val="24"/>
          <w:szCs w:val="24"/>
          <w:lang w:eastAsia="en-ZA"/>
        </w:rPr>
        <w:t>___________________________________________________________________</w:t>
      </w:r>
    </w:p>
    <w:p w14:paraId="1027B39E" w14:textId="77777777" w:rsidR="002B4EBE" w:rsidRDefault="002B4EBE" w:rsidP="00141126">
      <w:pPr>
        <w:widowControl w:val="0"/>
        <w:autoSpaceDE w:val="0"/>
        <w:autoSpaceDN w:val="0"/>
        <w:adjustRightInd w:val="0"/>
        <w:spacing w:after="0" w:line="240" w:lineRule="auto"/>
        <w:jc w:val="center"/>
        <w:rPr>
          <w:rFonts w:ascii="Arial" w:eastAsiaTheme="minorEastAsia" w:hAnsi="Arial" w:cs="Arial"/>
          <w:b/>
          <w:sz w:val="24"/>
          <w:szCs w:val="24"/>
          <w:lang w:eastAsia="en-ZA"/>
        </w:rPr>
      </w:pPr>
    </w:p>
    <w:p w14:paraId="37C9D8E9" w14:textId="63640BDB" w:rsidR="002B4EBE" w:rsidRPr="002B4EBE" w:rsidRDefault="002B4EBE" w:rsidP="00141126">
      <w:pPr>
        <w:widowControl w:val="0"/>
        <w:autoSpaceDE w:val="0"/>
        <w:autoSpaceDN w:val="0"/>
        <w:adjustRightInd w:val="0"/>
        <w:spacing w:after="0" w:line="240" w:lineRule="auto"/>
        <w:jc w:val="center"/>
        <w:rPr>
          <w:rFonts w:ascii="Arial" w:eastAsiaTheme="minorEastAsia" w:hAnsi="Arial" w:cs="Arial"/>
          <w:b/>
          <w:sz w:val="24"/>
          <w:szCs w:val="24"/>
          <w:lang w:eastAsia="en-ZA"/>
        </w:rPr>
      </w:pPr>
      <w:r w:rsidRPr="002B4EBE">
        <w:rPr>
          <w:rFonts w:ascii="Arial" w:eastAsiaTheme="minorEastAsia" w:hAnsi="Arial" w:cs="Arial"/>
          <w:b/>
          <w:sz w:val="24"/>
          <w:szCs w:val="24"/>
          <w:lang w:eastAsia="en-ZA"/>
        </w:rPr>
        <w:t>JUDGMENT</w:t>
      </w:r>
    </w:p>
    <w:p w14:paraId="79C8F396" w14:textId="1D68D046" w:rsidR="002B4EBE" w:rsidRDefault="002B4EBE" w:rsidP="00141126">
      <w:pPr>
        <w:widowControl w:val="0"/>
        <w:autoSpaceDE w:val="0"/>
        <w:autoSpaceDN w:val="0"/>
        <w:adjustRightInd w:val="0"/>
        <w:spacing w:after="0" w:line="240" w:lineRule="auto"/>
        <w:ind w:left="1440" w:hanging="1440"/>
        <w:jc w:val="center"/>
        <w:rPr>
          <w:rFonts w:ascii="Arial" w:eastAsiaTheme="minorEastAsia" w:hAnsi="Arial" w:cs="Arial"/>
          <w:sz w:val="24"/>
          <w:szCs w:val="24"/>
          <w:lang w:eastAsia="en-ZA"/>
        </w:rPr>
      </w:pPr>
      <w:r w:rsidRPr="002B4EBE">
        <w:rPr>
          <w:rFonts w:ascii="Arial" w:eastAsiaTheme="minorEastAsia" w:hAnsi="Arial" w:cs="Arial"/>
          <w:b/>
          <w:sz w:val="24"/>
          <w:szCs w:val="24"/>
          <w:lang w:eastAsia="en-ZA"/>
        </w:rPr>
        <w:t>___________________________________________________________________</w:t>
      </w:r>
    </w:p>
    <w:p w14:paraId="4A38A121" w14:textId="5FAB2263" w:rsidR="00EE5D09" w:rsidRPr="00097551" w:rsidRDefault="00960B49" w:rsidP="009C627F">
      <w:pPr>
        <w:widowControl w:val="0"/>
        <w:autoSpaceDE w:val="0"/>
        <w:autoSpaceDN w:val="0"/>
        <w:adjustRightInd w:val="0"/>
        <w:spacing w:before="240" w:after="0" w:line="240" w:lineRule="auto"/>
        <w:ind w:left="1440" w:hanging="1440"/>
        <w:jc w:val="both"/>
        <w:rPr>
          <w:rFonts w:ascii="Arial" w:eastAsiaTheme="minorEastAsia" w:hAnsi="Arial" w:cs="Arial"/>
          <w:sz w:val="24"/>
          <w:szCs w:val="24"/>
          <w:lang w:eastAsia="en-ZA"/>
        </w:rPr>
      </w:pPr>
      <w:r w:rsidRPr="00837116">
        <w:rPr>
          <w:rFonts w:ascii="Arial" w:eastAsiaTheme="minorEastAsia" w:hAnsi="Arial" w:cs="Arial"/>
          <w:b/>
          <w:sz w:val="24"/>
          <w:szCs w:val="24"/>
          <w:lang w:eastAsia="en-ZA"/>
        </w:rPr>
        <w:t>Makgoka JA</w:t>
      </w:r>
      <w:bookmarkEnd w:id="4"/>
      <w:r w:rsidRPr="00837116">
        <w:rPr>
          <w:rFonts w:ascii="Arial" w:eastAsiaTheme="minorEastAsia" w:hAnsi="Arial" w:cs="Arial"/>
          <w:b/>
          <w:sz w:val="24"/>
          <w:szCs w:val="24"/>
          <w:lang w:eastAsia="en-ZA"/>
        </w:rPr>
        <w:t xml:space="preserve"> </w:t>
      </w:r>
      <w:r w:rsidR="00317AC8" w:rsidRPr="00837116">
        <w:rPr>
          <w:rFonts w:ascii="Arial" w:eastAsiaTheme="minorEastAsia" w:hAnsi="Arial" w:cs="Arial"/>
          <w:b/>
          <w:sz w:val="24"/>
          <w:szCs w:val="24"/>
          <w:lang w:eastAsia="en-ZA"/>
        </w:rPr>
        <w:t>(</w:t>
      </w:r>
      <w:bookmarkStart w:id="5" w:name="_Hlk106673216"/>
      <w:r w:rsidR="006E05EE" w:rsidRPr="00097551">
        <w:rPr>
          <w:rFonts w:ascii="Arial" w:eastAsiaTheme="minorEastAsia" w:hAnsi="Arial" w:cs="Arial"/>
          <w:b/>
          <w:bCs/>
          <w:sz w:val="24"/>
          <w:szCs w:val="24"/>
          <w:lang w:eastAsia="en-ZA"/>
        </w:rPr>
        <w:t>Dambuza</w:t>
      </w:r>
      <w:r w:rsidR="00EE5D09" w:rsidRPr="00097551">
        <w:rPr>
          <w:rFonts w:ascii="Arial" w:eastAsiaTheme="minorEastAsia" w:hAnsi="Arial" w:cs="Arial"/>
          <w:b/>
          <w:bCs/>
          <w:sz w:val="24"/>
          <w:szCs w:val="24"/>
          <w:lang w:eastAsia="en-ZA"/>
        </w:rPr>
        <w:t xml:space="preserve"> and</w:t>
      </w:r>
      <w:r w:rsidR="006E05EE" w:rsidRPr="00097551">
        <w:rPr>
          <w:rFonts w:ascii="Arial" w:eastAsiaTheme="minorEastAsia" w:hAnsi="Arial" w:cs="Arial"/>
          <w:b/>
          <w:bCs/>
          <w:sz w:val="24"/>
          <w:szCs w:val="24"/>
          <w:lang w:eastAsia="en-ZA"/>
        </w:rPr>
        <w:t xml:space="preserve"> Molemela </w:t>
      </w:r>
      <w:r w:rsidR="006E05EE" w:rsidRPr="00097551">
        <w:rPr>
          <w:rFonts w:ascii="Arial" w:hAnsi="Arial" w:cs="Arial"/>
          <w:b/>
          <w:bCs/>
          <w:sz w:val="24"/>
          <w:szCs w:val="24"/>
        </w:rPr>
        <w:t>JJA, and</w:t>
      </w:r>
      <w:r w:rsidR="006E05EE" w:rsidRPr="00097551">
        <w:rPr>
          <w:rFonts w:ascii="Arial" w:eastAsiaTheme="minorEastAsia" w:hAnsi="Arial" w:cs="Arial"/>
          <w:b/>
          <w:bCs/>
          <w:sz w:val="24"/>
          <w:szCs w:val="24"/>
          <w:lang w:eastAsia="en-ZA"/>
        </w:rPr>
        <w:t xml:space="preserve"> </w:t>
      </w:r>
      <w:r w:rsidR="006E05EE" w:rsidRPr="00097551">
        <w:rPr>
          <w:rFonts w:ascii="Arial" w:hAnsi="Arial" w:cs="Arial"/>
          <w:b/>
          <w:bCs/>
          <w:sz w:val="24"/>
          <w:szCs w:val="24"/>
        </w:rPr>
        <w:t xml:space="preserve">Makaula </w:t>
      </w:r>
      <w:r w:rsidR="00EE5D09" w:rsidRPr="00097551">
        <w:rPr>
          <w:rFonts w:ascii="Arial" w:eastAsiaTheme="minorEastAsia" w:hAnsi="Arial" w:cs="Arial"/>
          <w:b/>
          <w:bCs/>
          <w:sz w:val="24"/>
          <w:szCs w:val="24"/>
          <w:lang w:eastAsia="en-ZA"/>
        </w:rPr>
        <w:t>a</w:t>
      </w:r>
      <w:r w:rsidR="006E05EE" w:rsidRPr="00097551">
        <w:rPr>
          <w:rFonts w:ascii="Arial" w:eastAsiaTheme="minorEastAsia" w:hAnsi="Arial" w:cs="Arial"/>
          <w:b/>
          <w:bCs/>
          <w:sz w:val="24"/>
          <w:szCs w:val="24"/>
          <w:lang w:eastAsia="en-ZA"/>
        </w:rPr>
        <w:t xml:space="preserve">nd </w:t>
      </w:r>
      <w:r w:rsidR="006E05EE" w:rsidRPr="00097551">
        <w:rPr>
          <w:rFonts w:ascii="Arial" w:hAnsi="Arial" w:cs="Arial"/>
          <w:b/>
          <w:bCs/>
          <w:sz w:val="24"/>
          <w:szCs w:val="24"/>
        </w:rPr>
        <w:t>Weiner A</w:t>
      </w:r>
      <w:r w:rsidR="00EE5D09" w:rsidRPr="00097551">
        <w:rPr>
          <w:rFonts w:ascii="Arial" w:hAnsi="Arial" w:cs="Arial"/>
          <w:b/>
          <w:bCs/>
          <w:sz w:val="24"/>
          <w:szCs w:val="24"/>
        </w:rPr>
        <w:t>JJA</w:t>
      </w:r>
      <w:bookmarkEnd w:id="5"/>
      <w:r w:rsidR="00141126">
        <w:rPr>
          <w:rFonts w:ascii="Arial" w:eastAsiaTheme="minorEastAsia" w:hAnsi="Arial" w:cs="Arial"/>
          <w:sz w:val="24"/>
          <w:szCs w:val="24"/>
          <w:lang w:eastAsia="en-ZA"/>
        </w:rPr>
        <w:t xml:space="preserve"> </w:t>
      </w:r>
    </w:p>
    <w:p w14:paraId="7E796A25" w14:textId="634431D5" w:rsidR="00960B49" w:rsidRPr="00097551" w:rsidRDefault="00960B49" w:rsidP="00141126">
      <w:pPr>
        <w:widowControl w:val="0"/>
        <w:autoSpaceDE w:val="0"/>
        <w:autoSpaceDN w:val="0"/>
        <w:adjustRightInd w:val="0"/>
        <w:spacing w:before="120" w:after="100" w:afterAutospacing="1" w:line="240" w:lineRule="auto"/>
        <w:jc w:val="both"/>
        <w:rPr>
          <w:rFonts w:ascii="Arial" w:eastAsiaTheme="minorEastAsia" w:hAnsi="Arial" w:cs="Arial"/>
          <w:sz w:val="24"/>
          <w:szCs w:val="24"/>
          <w:lang w:eastAsia="en-ZA"/>
        </w:rPr>
      </w:pPr>
      <w:r w:rsidRPr="00097551">
        <w:rPr>
          <w:rFonts w:ascii="Arial" w:eastAsiaTheme="minorEastAsia" w:hAnsi="Arial" w:cs="Arial"/>
          <w:b/>
          <w:sz w:val="24"/>
          <w:szCs w:val="24"/>
          <w:lang w:eastAsia="en-ZA"/>
        </w:rPr>
        <w:t>concurring):</w:t>
      </w:r>
    </w:p>
    <w:p w14:paraId="123BE83B" w14:textId="38CF7887" w:rsidR="00F41193" w:rsidRDefault="00317AC8"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097551">
        <w:rPr>
          <w:rFonts w:ascii="Arial" w:hAnsi="Arial" w:cs="Arial"/>
          <w:bCs/>
        </w:rPr>
        <w:t xml:space="preserve">This is an application for </w:t>
      </w:r>
      <w:r w:rsidR="00531052" w:rsidRPr="00097551">
        <w:rPr>
          <w:rFonts w:ascii="Arial" w:hAnsi="Arial" w:cs="Arial"/>
          <w:bCs/>
        </w:rPr>
        <w:t xml:space="preserve">special </w:t>
      </w:r>
      <w:r w:rsidRPr="00097551">
        <w:rPr>
          <w:rFonts w:ascii="Arial" w:hAnsi="Arial" w:cs="Arial"/>
          <w:bCs/>
        </w:rPr>
        <w:t xml:space="preserve">leave to appeal against the order of the full court </w:t>
      </w:r>
      <w:r w:rsidR="00522A18" w:rsidRPr="00097551">
        <w:rPr>
          <w:rFonts w:ascii="Arial" w:hAnsi="Arial" w:cs="Arial"/>
          <w:bCs/>
        </w:rPr>
        <w:t xml:space="preserve">of the </w:t>
      </w:r>
      <w:r w:rsidRPr="00097551">
        <w:rPr>
          <w:rFonts w:ascii="Arial" w:hAnsi="Arial" w:cs="Arial"/>
          <w:bCs/>
        </w:rPr>
        <w:t xml:space="preserve">KwaZulu-Natal Division of the High Court, </w:t>
      </w:r>
      <w:r w:rsidR="00097551" w:rsidRPr="00097551">
        <w:rPr>
          <w:rFonts w:ascii="Arial" w:hAnsi="Arial" w:cs="Arial"/>
          <w:bCs/>
        </w:rPr>
        <w:t xml:space="preserve">Pietermaritzburg </w:t>
      </w:r>
      <w:r w:rsidRPr="00097551">
        <w:rPr>
          <w:rFonts w:ascii="Arial" w:hAnsi="Arial" w:cs="Arial"/>
          <w:bCs/>
        </w:rPr>
        <w:t xml:space="preserve">(the </w:t>
      </w:r>
      <w:r w:rsidR="00522A18" w:rsidRPr="00097551">
        <w:rPr>
          <w:rFonts w:ascii="Arial" w:hAnsi="Arial" w:cs="Arial"/>
          <w:bCs/>
        </w:rPr>
        <w:t>full</w:t>
      </w:r>
      <w:r w:rsidRPr="00097551">
        <w:rPr>
          <w:rFonts w:ascii="Arial" w:hAnsi="Arial" w:cs="Arial"/>
          <w:bCs/>
        </w:rPr>
        <w:t xml:space="preserve"> court).</w:t>
      </w:r>
      <w:r w:rsidRPr="00837116">
        <w:rPr>
          <w:rFonts w:ascii="Arial" w:hAnsi="Arial" w:cs="Arial"/>
          <w:bCs/>
        </w:rPr>
        <w:t xml:space="preserve"> That court </w:t>
      </w:r>
      <w:r w:rsidR="00AE4324" w:rsidRPr="00837116">
        <w:rPr>
          <w:rFonts w:ascii="Arial" w:hAnsi="Arial" w:cs="Arial"/>
          <w:bCs/>
        </w:rPr>
        <w:t xml:space="preserve">dismissed </w:t>
      </w:r>
      <w:r w:rsidRPr="00837116">
        <w:rPr>
          <w:rFonts w:ascii="Arial" w:hAnsi="Arial" w:cs="Arial"/>
          <w:bCs/>
        </w:rPr>
        <w:t>the applicant’s application for leave to adduce further evidence on appeal, and</w:t>
      </w:r>
      <w:r w:rsidR="00811338">
        <w:rPr>
          <w:rFonts w:ascii="Arial" w:hAnsi="Arial" w:cs="Arial"/>
          <w:bCs/>
        </w:rPr>
        <w:t xml:space="preserve"> his</w:t>
      </w:r>
      <w:r w:rsidRPr="00837116">
        <w:rPr>
          <w:rFonts w:ascii="Arial" w:hAnsi="Arial" w:cs="Arial"/>
          <w:bCs/>
        </w:rPr>
        <w:t xml:space="preserve"> </w:t>
      </w:r>
      <w:r w:rsidR="00405CCB" w:rsidRPr="00837116">
        <w:rPr>
          <w:rFonts w:ascii="Arial" w:hAnsi="Arial" w:cs="Arial"/>
          <w:bCs/>
        </w:rPr>
        <w:t>application to</w:t>
      </w:r>
      <w:r w:rsidRPr="00837116">
        <w:rPr>
          <w:rFonts w:ascii="Arial" w:hAnsi="Arial" w:cs="Arial"/>
          <w:bCs/>
        </w:rPr>
        <w:t xml:space="preserve"> condon</w:t>
      </w:r>
      <w:r w:rsidR="00405CCB" w:rsidRPr="00837116">
        <w:rPr>
          <w:rFonts w:ascii="Arial" w:hAnsi="Arial" w:cs="Arial"/>
          <w:bCs/>
        </w:rPr>
        <w:t>e</w:t>
      </w:r>
      <w:r w:rsidRPr="00837116">
        <w:rPr>
          <w:rFonts w:ascii="Arial" w:hAnsi="Arial" w:cs="Arial"/>
          <w:bCs/>
        </w:rPr>
        <w:t xml:space="preserve"> </w:t>
      </w:r>
      <w:r w:rsidR="00811338">
        <w:rPr>
          <w:rFonts w:ascii="Arial" w:hAnsi="Arial" w:cs="Arial"/>
          <w:bCs/>
        </w:rPr>
        <w:t xml:space="preserve">the </w:t>
      </w:r>
      <w:r w:rsidRPr="00837116">
        <w:rPr>
          <w:rFonts w:ascii="Arial" w:hAnsi="Arial" w:cs="Arial"/>
          <w:bCs/>
        </w:rPr>
        <w:t xml:space="preserve">late </w:t>
      </w:r>
      <w:r w:rsidR="00F238B4" w:rsidRPr="00837116">
        <w:rPr>
          <w:rFonts w:ascii="Arial" w:hAnsi="Arial" w:cs="Arial"/>
          <w:bCs/>
        </w:rPr>
        <w:t>prosecution of the appeal.</w:t>
      </w:r>
      <w:r w:rsidRPr="00837116">
        <w:rPr>
          <w:rFonts w:ascii="Arial" w:hAnsi="Arial" w:cs="Arial"/>
          <w:bCs/>
        </w:rPr>
        <w:t xml:space="preserve"> </w:t>
      </w:r>
      <w:r w:rsidR="00811338">
        <w:rPr>
          <w:rFonts w:ascii="Arial" w:hAnsi="Arial" w:cs="Arial"/>
          <w:bCs/>
        </w:rPr>
        <w:t xml:space="preserve">On further application to this Court for special leave to appeal, </w:t>
      </w:r>
      <w:r w:rsidR="00A03186">
        <w:rPr>
          <w:rFonts w:ascii="Arial" w:hAnsi="Arial" w:cs="Arial"/>
          <w:bCs/>
        </w:rPr>
        <w:t xml:space="preserve">the application was </w:t>
      </w:r>
      <w:r w:rsidR="00F238B4" w:rsidRPr="00837116">
        <w:rPr>
          <w:rFonts w:ascii="Arial" w:hAnsi="Arial" w:cs="Arial"/>
          <w:bCs/>
        </w:rPr>
        <w:t xml:space="preserve">referred for oral hearing </w:t>
      </w:r>
      <w:r w:rsidR="00B139B4" w:rsidRPr="00837116">
        <w:rPr>
          <w:rFonts w:ascii="Arial" w:hAnsi="Arial" w:cs="Arial"/>
          <w:bCs/>
        </w:rPr>
        <w:t xml:space="preserve">in terms of </w:t>
      </w:r>
      <w:r w:rsidR="00B139B4" w:rsidRPr="00837116">
        <w:rPr>
          <w:rFonts w:ascii="Arial" w:hAnsi="Arial" w:cs="Arial"/>
        </w:rPr>
        <w:t>s 17(2)(</w:t>
      </w:r>
      <w:r w:rsidR="00B139B4" w:rsidRPr="00837116">
        <w:rPr>
          <w:rFonts w:ascii="Arial" w:hAnsi="Arial" w:cs="Arial"/>
          <w:i/>
          <w:iCs/>
        </w:rPr>
        <w:t>d</w:t>
      </w:r>
      <w:r w:rsidR="00B139B4" w:rsidRPr="00837116">
        <w:rPr>
          <w:rFonts w:ascii="Arial" w:hAnsi="Arial" w:cs="Arial"/>
        </w:rPr>
        <w:t>) of the Superior Courts Act 10 of 2013</w:t>
      </w:r>
      <w:r w:rsidR="00A538F4">
        <w:rPr>
          <w:rFonts w:ascii="Arial" w:hAnsi="Arial" w:cs="Arial"/>
        </w:rPr>
        <w:t xml:space="preserve"> </w:t>
      </w:r>
      <w:r w:rsidR="00A538F4" w:rsidRPr="00EC4EF5">
        <w:rPr>
          <w:rFonts w:ascii="Arial" w:hAnsi="Arial" w:cs="Arial"/>
        </w:rPr>
        <w:t>(the Superior Courts Act)</w:t>
      </w:r>
      <w:r w:rsidR="00B139B4" w:rsidRPr="00EC4EF5">
        <w:rPr>
          <w:rFonts w:ascii="Arial" w:hAnsi="Arial" w:cs="Arial"/>
        </w:rPr>
        <w:t>.</w:t>
      </w:r>
      <w:r w:rsidR="00F238B4" w:rsidRPr="00837116">
        <w:rPr>
          <w:rFonts w:ascii="Arial" w:hAnsi="Arial" w:cs="Arial"/>
          <w:bCs/>
        </w:rPr>
        <w:t xml:space="preserve"> </w:t>
      </w:r>
      <w:r w:rsidR="00167939" w:rsidRPr="00837116">
        <w:rPr>
          <w:rFonts w:ascii="Arial" w:hAnsi="Arial" w:cs="Arial"/>
          <w:bCs/>
        </w:rPr>
        <w:t>The parties were also notified that they should be prepared, if called upon to do so, to argue the merits of the appeal.</w:t>
      </w:r>
    </w:p>
    <w:p w14:paraId="552015BC" w14:textId="77777777" w:rsidR="00CC0760" w:rsidRPr="00837116"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313DCE69" w14:textId="6C8AFEAC" w:rsidR="0030632B" w:rsidRPr="00CC0760" w:rsidRDefault="00AE4324"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rPr>
        <w:t xml:space="preserve">The parties were married to each other </w:t>
      </w:r>
      <w:r w:rsidR="001F565F" w:rsidRPr="00860BD6">
        <w:rPr>
          <w:rFonts w:ascii="Arial" w:hAnsi="Arial" w:cs="Arial"/>
        </w:rPr>
        <w:t>on 5 September 2001</w:t>
      </w:r>
      <w:r w:rsidR="001F565F">
        <w:rPr>
          <w:rFonts w:ascii="Arial" w:hAnsi="Arial" w:cs="Arial"/>
        </w:rPr>
        <w:t xml:space="preserve"> </w:t>
      </w:r>
      <w:r w:rsidRPr="00837116">
        <w:rPr>
          <w:rFonts w:ascii="Arial" w:hAnsi="Arial" w:cs="Arial"/>
        </w:rPr>
        <w:t xml:space="preserve">out of community of property, subject to the accrual system. </w:t>
      </w:r>
      <w:r w:rsidR="00B9535A" w:rsidRPr="00837116">
        <w:rPr>
          <w:rFonts w:ascii="Arial" w:hAnsi="Arial" w:cs="Arial"/>
        </w:rPr>
        <w:t>On 24 June 2013</w:t>
      </w:r>
      <w:r w:rsidR="00984EB3">
        <w:rPr>
          <w:rFonts w:ascii="Arial" w:hAnsi="Arial" w:cs="Arial"/>
        </w:rPr>
        <w:t>,</w:t>
      </w:r>
      <w:r w:rsidR="0028627D" w:rsidRPr="00837116">
        <w:rPr>
          <w:rFonts w:ascii="Arial" w:hAnsi="Arial" w:cs="Arial"/>
        </w:rPr>
        <w:t xml:space="preserve"> </w:t>
      </w:r>
      <w:r w:rsidR="003C40A5" w:rsidRPr="00837116">
        <w:rPr>
          <w:rFonts w:ascii="Arial" w:hAnsi="Arial" w:cs="Arial"/>
        </w:rPr>
        <w:t xml:space="preserve">the </w:t>
      </w:r>
      <w:r w:rsidR="00B9535A" w:rsidRPr="00837116">
        <w:rPr>
          <w:rFonts w:ascii="Arial" w:hAnsi="Arial" w:cs="Arial"/>
        </w:rPr>
        <w:t>applicant</w:t>
      </w:r>
      <w:r w:rsidR="003C40A5" w:rsidRPr="00837116">
        <w:rPr>
          <w:rFonts w:ascii="Arial" w:hAnsi="Arial" w:cs="Arial"/>
        </w:rPr>
        <w:t xml:space="preserve"> issued summons against the</w:t>
      </w:r>
      <w:r w:rsidR="00B9535A" w:rsidRPr="00837116">
        <w:rPr>
          <w:rFonts w:ascii="Arial" w:hAnsi="Arial" w:cs="Arial"/>
        </w:rPr>
        <w:t xml:space="preserve"> respondent</w:t>
      </w:r>
      <w:r w:rsidR="003C40A5" w:rsidRPr="00837116">
        <w:rPr>
          <w:rFonts w:ascii="Arial" w:hAnsi="Arial" w:cs="Arial"/>
        </w:rPr>
        <w:t xml:space="preserve"> in </w:t>
      </w:r>
      <w:r w:rsidR="00984EB3" w:rsidRPr="00EC4EF5">
        <w:rPr>
          <w:rFonts w:ascii="Arial" w:hAnsi="Arial" w:cs="Arial"/>
          <w:bCs/>
        </w:rPr>
        <w:t xml:space="preserve">the KwaZulu-Natal Division of the High Court, </w:t>
      </w:r>
      <w:r w:rsidR="00BA0EB3" w:rsidRPr="00EC4EF5">
        <w:rPr>
          <w:rFonts w:ascii="Arial" w:hAnsi="Arial" w:cs="Arial"/>
          <w:bCs/>
        </w:rPr>
        <w:t>Durban</w:t>
      </w:r>
      <w:r w:rsidR="00984EB3" w:rsidRPr="00EC4EF5">
        <w:rPr>
          <w:rFonts w:ascii="Arial" w:hAnsi="Arial" w:cs="Arial"/>
          <w:bCs/>
        </w:rPr>
        <w:t xml:space="preserve"> (</w:t>
      </w:r>
      <w:r w:rsidR="003C40A5" w:rsidRPr="00E00ADC">
        <w:rPr>
          <w:rFonts w:ascii="Arial" w:hAnsi="Arial" w:cs="Arial"/>
        </w:rPr>
        <w:t>the high court</w:t>
      </w:r>
      <w:r w:rsidR="00984EB3" w:rsidRPr="00EC4EF5">
        <w:rPr>
          <w:rFonts w:ascii="Arial" w:hAnsi="Arial" w:cs="Arial"/>
        </w:rPr>
        <w:t>)</w:t>
      </w:r>
      <w:r w:rsidR="003C40A5" w:rsidRPr="00837116">
        <w:rPr>
          <w:rFonts w:ascii="Arial" w:hAnsi="Arial" w:cs="Arial"/>
        </w:rPr>
        <w:t xml:space="preserve"> for a decree of divorce and ancillary relief. </w:t>
      </w:r>
      <w:r w:rsidR="00950EE9" w:rsidRPr="00837116">
        <w:rPr>
          <w:rFonts w:ascii="Arial" w:hAnsi="Arial" w:cs="Arial"/>
        </w:rPr>
        <w:t>It was common cause that the value of the app</w:t>
      </w:r>
      <w:r w:rsidR="00C931E7" w:rsidRPr="00837116">
        <w:rPr>
          <w:rFonts w:ascii="Arial" w:hAnsi="Arial" w:cs="Arial"/>
        </w:rPr>
        <w:t>licant</w:t>
      </w:r>
      <w:r w:rsidR="00950EE9" w:rsidRPr="00837116">
        <w:rPr>
          <w:rFonts w:ascii="Arial" w:hAnsi="Arial" w:cs="Arial"/>
        </w:rPr>
        <w:t xml:space="preserve">’s estate </w:t>
      </w:r>
      <w:r w:rsidR="00C931E7" w:rsidRPr="00837116">
        <w:rPr>
          <w:rFonts w:ascii="Arial" w:hAnsi="Arial" w:cs="Arial"/>
        </w:rPr>
        <w:t xml:space="preserve">had shown a greater accrual than the estate of </w:t>
      </w:r>
      <w:r w:rsidR="00950EE9" w:rsidRPr="00837116">
        <w:rPr>
          <w:rFonts w:ascii="Arial" w:hAnsi="Arial" w:cs="Arial"/>
        </w:rPr>
        <w:t>the respondent</w:t>
      </w:r>
      <w:r w:rsidR="00756295" w:rsidRPr="00837116">
        <w:rPr>
          <w:rFonts w:ascii="Arial" w:hAnsi="Arial" w:cs="Arial"/>
        </w:rPr>
        <w:t>.</w:t>
      </w:r>
      <w:r w:rsidR="00C311D7">
        <w:rPr>
          <w:rFonts w:ascii="Arial" w:hAnsi="Arial" w:cs="Arial"/>
        </w:rPr>
        <w:t xml:space="preserve"> </w:t>
      </w:r>
      <w:r w:rsidR="00A37369">
        <w:rPr>
          <w:rFonts w:ascii="Arial" w:hAnsi="Arial" w:cs="Arial"/>
        </w:rPr>
        <w:t>Accordingly</w:t>
      </w:r>
      <w:r w:rsidR="006134B1">
        <w:rPr>
          <w:rFonts w:ascii="Arial" w:hAnsi="Arial" w:cs="Arial"/>
        </w:rPr>
        <w:t>,</w:t>
      </w:r>
      <w:r w:rsidR="00756295" w:rsidRPr="00837116">
        <w:rPr>
          <w:rFonts w:ascii="Arial" w:hAnsi="Arial" w:cs="Arial"/>
        </w:rPr>
        <w:t xml:space="preserve"> </w:t>
      </w:r>
      <w:r w:rsidR="00A03186">
        <w:rPr>
          <w:rFonts w:ascii="Arial" w:hAnsi="Arial" w:cs="Arial"/>
        </w:rPr>
        <w:t xml:space="preserve">in her </w:t>
      </w:r>
      <w:r w:rsidR="00A606CF">
        <w:rPr>
          <w:rFonts w:ascii="Arial" w:hAnsi="Arial" w:cs="Arial"/>
        </w:rPr>
        <w:t>counterclaim</w:t>
      </w:r>
      <w:r w:rsidR="00A03186">
        <w:rPr>
          <w:rFonts w:ascii="Arial" w:hAnsi="Arial" w:cs="Arial"/>
        </w:rPr>
        <w:t xml:space="preserve">, </w:t>
      </w:r>
      <w:r w:rsidR="00756295" w:rsidRPr="00837116">
        <w:rPr>
          <w:rFonts w:ascii="Arial" w:hAnsi="Arial" w:cs="Arial"/>
        </w:rPr>
        <w:t xml:space="preserve">the respondent </w:t>
      </w:r>
      <w:r w:rsidR="00A03186">
        <w:rPr>
          <w:rFonts w:ascii="Arial" w:hAnsi="Arial" w:cs="Arial"/>
        </w:rPr>
        <w:t xml:space="preserve">claimed </w:t>
      </w:r>
      <w:r w:rsidR="00C931E7" w:rsidRPr="00837116">
        <w:rPr>
          <w:rFonts w:ascii="Arial" w:hAnsi="Arial" w:cs="Arial"/>
        </w:rPr>
        <w:t>an amount equal to one half of the difference between the accruals in the parties’ respective estates</w:t>
      </w:r>
      <w:r w:rsidR="00A03186">
        <w:rPr>
          <w:rFonts w:ascii="Arial" w:hAnsi="Arial" w:cs="Arial"/>
        </w:rPr>
        <w:t>.</w:t>
      </w:r>
      <w:r w:rsidR="003C40A5" w:rsidRPr="00837116">
        <w:rPr>
          <w:rFonts w:ascii="Arial" w:hAnsi="Arial" w:cs="Arial"/>
        </w:rPr>
        <w:t xml:space="preserve"> </w:t>
      </w:r>
    </w:p>
    <w:p w14:paraId="0B49DC99" w14:textId="3368261C" w:rsidR="00CC0760" w:rsidRPr="00837116"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72C1815E" w14:textId="55D4F4E0" w:rsidR="002766D8" w:rsidRPr="00CC0760" w:rsidRDefault="00C931E7"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097551">
        <w:rPr>
          <w:rFonts w:ascii="Arial" w:hAnsi="Arial" w:cs="Arial"/>
        </w:rPr>
        <w:t xml:space="preserve">The divorce trial commenced in the high court on </w:t>
      </w:r>
      <w:r w:rsidR="00BF1DD5" w:rsidRPr="00097551">
        <w:rPr>
          <w:rFonts w:ascii="Arial" w:hAnsi="Arial" w:cs="Arial"/>
        </w:rPr>
        <w:t xml:space="preserve">18 February 2015. </w:t>
      </w:r>
      <w:r w:rsidR="00130E2F" w:rsidRPr="00097551">
        <w:rPr>
          <w:rFonts w:ascii="Arial" w:hAnsi="Arial" w:cs="Arial"/>
        </w:rPr>
        <w:t xml:space="preserve">On 29 January 2015, </w:t>
      </w:r>
      <w:r w:rsidR="006E05EE" w:rsidRPr="00097551">
        <w:rPr>
          <w:rFonts w:ascii="Arial" w:hAnsi="Arial" w:cs="Arial"/>
        </w:rPr>
        <w:t xml:space="preserve">a mere </w:t>
      </w:r>
      <w:r w:rsidR="00906956" w:rsidRPr="00097551">
        <w:rPr>
          <w:rFonts w:ascii="Arial" w:hAnsi="Arial" w:cs="Arial"/>
        </w:rPr>
        <w:t>20</w:t>
      </w:r>
      <w:r w:rsidR="005C1C3C" w:rsidRPr="00097551">
        <w:rPr>
          <w:rFonts w:ascii="Arial" w:hAnsi="Arial" w:cs="Arial"/>
        </w:rPr>
        <w:t xml:space="preserve"> days</w:t>
      </w:r>
      <w:r w:rsidR="0030632B" w:rsidRPr="00097551">
        <w:rPr>
          <w:rFonts w:ascii="Arial" w:hAnsi="Arial" w:cs="Arial"/>
        </w:rPr>
        <w:t xml:space="preserve"> before the </w:t>
      </w:r>
      <w:r w:rsidR="00BF1DD5" w:rsidRPr="00097551">
        <w:rPr>
          <w:rFonts w:ascii="Arial" w:hAnsi="Arial" w:cs="Arial"/>
        </w:rPr>
        <w:t>commencement of the</w:t>
      </w:r>
      <w:r w:rsidR="0030632B" w:rsidRPr="00097551">
        <w:rPr>
          <w:rFonts w:ascii="Arial" w:hAnsi="Arial" w:cs="Arial"/>
        </w:rPr>
        <w:t xml:space="preserve"> trial, the applicant </w:t>
      </w:r>
      <w:r w:rsidR="0030632B" w:rsidRPr="00097551">
        <w:rPr>
          <w:rFonts w:ascii="Arial" w:hAnsi="Arial" w:cs="Arial"/>
        </w:rPr>
        <w:lastRenderedPageBreak/>
        <w:t xml:space="preserve">founded a trust under the laws of </w:t>
      </w:r>
      <w:bookmarkStart w:id="6" w:name="_Hlk103091614"/>
      <w:r w:rsidR="0030632B" w:rsidRPr="00097551">
        <w:rPr>
          <w:rFonts w:ascii="Arial" w:hAnsi="Arial" w:cs="Arial"/>
        </w:rPr>
        <w:t>the British Virgin Islands</w:t>
      </w:r>
      <w:bookmarkEnd w:id="6"/>
      <w:r w:rsidR="00130E2F" w:rsidRPr="00097551">
        <w:rPr>
          <w:rFonts w:ascii="Arial" w:hAnsi="Arial" w:cs="Arial"/>
        </w:rPr>
        <w:t xml:space="preserve">, pursuant to a settlement agreement between him and his brother, </w:t>
      </w:r>
      <w:r w:rsidR="00764774" w:rsidRPr="00097551">
        <w:rPr>
          <w:rFonts w:ascii="Arial" w:hAnsi="Arial" w:cs="Arial"/>
        </w:rPr>
        <w:t>M</w:t>
      </w:r>
      <w:r w:rsidR="00984EB3" w:rsidRPr="00097551">
        <w:rPr>
          <w:rFonts w:ascii="Arial" w:hAnsi="Arial" w:cs="Arial"/>
        </w:rPr>
        <w:t>JF</w:t>
      </w:r>
      <w:r w:rsidR="00764774" w:rsidRPr="00097551">
        <w:rPr>
          <w:rFonts w:ascii="Arial" w:hAnsi="Arial" w:cs="Arial"/>
        </w:rPr>
        <w:t>,</w:t>
      </w:r>
      <w:r w:rsidR="00764774" w:rsidRPr="00837116">
        <w:rPr>
          <w:rFonts w:ascii="Arial" w:hAnsi="Arial" w:cs="Arial"/>
        </w:rPr>
        <w:t xml:space="preserve"> </w:t>
      </w:r>
      <w:r w:rsidR="00130E2F" w:rsidRPr="00837116">
        <w:rPr>
          <w:rFonts w:ascii="Arial" w:hAnsi="Arial" w:cs="Arial"/>
        </w:rPr>
        <w:t xml:space="preserve">a solicitor practicing </w:t>
      </w:r>
      <w:r w:rsidR="00764774" w:rsidRPr="00837116">
        <w:rPr>
          <w:rFonts w:ascii="Arial" w:hAnsi="Arial" w:cs="Arial"/>
        </w:rPr>
        <w:t xml:space="preserve">as Queen’s Counsel (QC) </w:t>
      </w:r>
      <w:r w:rsidR="00130E2F" w:rsidRPr="00837116">
        <w:rPr>
          <w:rFonts w:ascii="Arial" w:hAnsi="Arial" w:cs="Arial"/>
        </w:rPr>
        <w:t>in the British Virgin Islands.</w:t>
      </w:r>
      <w:r w:rsidR="0030632B" w:rsidRPr="00837116">
        <w:rPr>
          <w:rFonts w:ascii="Arial" w:hAnsi="Arial" w:cs="Arial"/>
        </w:rPr>
        <w:t xml:space="preserve"> The parties’ minor daughter </w:t>
      </w:r>
      <w:r w:rsidR="00130E2F" w:rsidRPr="00837116">
        <w:rPr>
          <w:rFonts w:ascii="Arial" w:hAnsi="Arial" w:cs="Arial"/>
        </w:rPr>
        <w:t>is</w:t>
      </w:r>
      <w:r w:rsidR="0030632B" w:rsidRPr="00837116">
        <w:rPr>
          <w:rFonts w:ascii="Arial" w:hAnsi="Arial" w:cs="Arial"/>
        </w:rPr>
        <w:t xml:space="preserve"> the sole beneficiary of the trust, and the</w:t>
      </w:r>
      <w:r w:rsidR="00783F04">
        <w:rPr>
          <w:rFonts w:ascii="Arial" w:hAnsi="Arial" w:cs="Arial"/>
        </w:rPr>
        <w:t xml:space="preserve"> </w:t>
      </w:r>
      <w:r w:rsidR="00783F04" w:rsidRPr="0036656A">
        <w:rPr>
          <w:rFonts w:ascii="Arial" w:hAnsi="Arial" w:cs="Arial"/>
        </w:rPr>
        <w:t>applicant</w:t>
      </w:r>
      <w:r w:rsidR="0030632B" w:rsidRPr="00837116">
        <w:rPr>
          <w:rFonts w:ascii="Arial" w:hAnsi="Arial" w:cs="Arial"/>
        </w:rPr>
        <w:t>’s brother</w:t>
      </w:r>
      <w:r w:rsidR="00130E2F" w:rsidRPr="00837116">
        <w:rPr>
          <w:rFonts w:ascii="Arial" w:hAnsi="Arial" w:cs="Arial"/>
        </w:rPr>
        <w:t xml:space="preserve"> is</w:t>
      </w:r>
      <w:r w:rsidR="005E5AFB" w:rsidRPr="00837116">
        <w:rPr>
          <w:rFonts w:ascii="Arial" w:hAnsi="Arial" w:cs="Arial"/>
        </w:rPr>
        <w:t xml:space="preserve"> its sole trustee.</w:t>
      </w:r>
      <w:r w:rsidR="007A0DB5" w:rsidRPr="00837116">
        <w:rPr>
          <w:rFonts w:ascii="Arial" w:hAnsi="Arial" w:cs="Arial"/>
        </w:rPr>
        <w:t xml:space="preserve"> </w:t>
      </w:r>
      <w:r w:rsidR="00DA020A" w:rsidRPr="00837116">
        <w:rPr>
          <w:rFonts w:ascii="Arial" w:hAnsi="Arial" w:cs="Arial"/>
        </w:rPr>
        <w:t xml:space="preserve">The </w:t>
      </w:r>
      <w:r w:rsidR="005F2E92" w:rsidRPr="00837116">
        <w:rPr>
          <w:rFonts w:ascii="Arial" w:hAnsi="Arial" w:cs="Arial"/>
        </w:rPr>
        <w:t xml:space="preserve">applicant and the respondent are the residual trustees. </w:t>
      </w:r>
    </w:p>
    <w:p w14:paraId="69302065" w14:textId="1F194B1E" w:rsidR="00CC0760" w:rsidRPr="00837116"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15CEA5A6" w14:textId="39AC20D5" w:rsidR="00D16C83" w:rsidRPr="00CC0760" w:rsidRDefault="002766D8"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rPr>
        <w:t xml:space="preserve">On </w:t>
      </w:r>
      <w:r w:rsidR="007A0DB5" w:rsidRPr="00837116">
        <w:rPr>
          <w:rFonts w:ascii="Arial" w:hAnsi="Arial" w:cs="Arial"/>
        </w:rPr>
        <w:t xml:space="preserve">30 January 2015, </w:t>
      </w:r>
      <w:r w:rsidRPr="00837116">
        <w:rPr>
          <w:rFonts w:ascii="Arial" w:hAnsi="Arial" w:cs="Arial"/>
        </w:rPr>
        <w:t xml:space="preserve">a day after the trust was established, </w:t>
      </w:r>
      <w:r w:rsidR="007A0DB5" w:rsidRPr="00837116">
        <w:rPr>
          <w:rFonts w:ascii="Arial" w:hAnsi="Arial" w:cs="Arial"/>
        </w:rPr>
        <w:t xml:space="preserve">the applicant </w:t>
      </w:r>
      <w:r w:rsidR="00B9535A" w:rsidRPr="00837116">
        <w:rPr>
          <w:rFonts w:ascii="Arial" w:hAnsi="Arial" w:cs="Arial"/>
        </w:rPr>
        <w:t xml:space="preserve">concluded a written deed of </w:t>
      </w:r>
      <w:r w:rsidR="007A0DB5" w:rsidRPr="00837116">
        <w:rPr>
          <w:rFonts w:ascii="Arial" w:hAnsi="Arial" w:cs="Arial"/>
        </w:rPr>
        <w:t>donat</w:t>
      </w:r>
      <w:r w:rsidR="00B9535A" w:rsidRPr="00837116">
        <w:rPr>
          <w:rFonts w:ascii="Arial" w:hAnsi="Arial" w:cs="Arial"/>
        </w:rPr>
        <w:t>ion with the trust</w:t>
      </w:r>
      <w:r w:rsidRPr="00837116">
        <w:rPr>
          <w:rFonts w:ascii="Arial" w:hAnsi="Arial" w:cs="Arial"/>
        </w:rPr>
        <w:t>.</w:t>
      </w:r>
      <w:r w:rsidR="00B9535A" w:rsidRPr="00837116">
        <w:rPr>
          <w:rFonts w:ascii="Arial" w:hAnsi="Arial" w:cs="Arial"/>
        </w:rPr>
        <w:t xml:space="preserve"> </w:t>
      </w:r>
      <w:r w:rsidRPr="00837116">
        <w:rPr>
          <w:rFonts w:ascii="Arial" w:hAnsi="Arial" w:cs="Arial"/>
        </w:rPr>
        <w:t>I</w:t>
      </w:r>
      <w:r w:rsidR="00B9535A" w:rsidRPr="00837116">
        <w:rPr>
          <w:rFonts w:ascii="Arial" w:hAnsi="Arial" w:cs="Arial"/>
        </w:rPr>
        <w:t xml:space="preserve">n terms </w:t>
      </w:r>
      <w:r w:rsidRPr="00837116">
        <w:rPr>
          <w:rFonts w:ascii="Arial" w:hAnsi="Arial" w:cs="Arial"/>
        </w:rPr>
        <w:t>there</w:t>
      </w:r>
      <w:r w:rsidR="00B9535A" w:rsidRPr="00837116">
        <w:rPr>
          <w:rFonts w:ascii="Arial" w:hAnsi="Arial" w:cs="Arial"/>
        </w:rPr>
        <w:t>of</w:t>
      </w:r>
      <w:r w:rsidRPr="00837116">
        <w:rPr>
          <w:rFonts w:ascii="Arial" w:hAnsi="Arial" w:cs="Arial"/>
        </w:rPr>
        <w:t>,</w:t>
      </w:r>
      <w:r w:rsidR="00B9535A" w:rsidRPr="00837116">
        <w:rPr>
          <w:rFonts w:ascii="Arial" w:hAnsi="Arial" w:cs="Arial"/>
        </w:rPr>
        <w:t xml:space="preserve"> </w:t>
      </w:r>
      <w:r w:rsidRPr="00837116">
        <w:rPr>
          <w:rFonts w:ascii="Arial" w:hAnsi="Arial" w:cs="Arial"/>
        </w:rPr>
        <w:t xml:space="preserve">he </w:t>
      </w:r>
      <w:r w:rsidR="00B9535A" w:rsidRPr="00837116">
        <w:rPr>
          <w:rFonts w:ascii="Arial" w:hAnsi="Arial" w:cs="Arial"/>
        </w:rPr>
        <w:t xml:space="preserve">donated </w:t>
      </w:r>
      <w:r w:rsidR="007A0DB5" w:rsidRPr="00837116">
        <w:rPr>
          <w:rFonts w:ascii="Arial" w:hAnsi="Arial" w:cs="Arial"/>
        </w:rPr>
        <w:t>a sum of £115 000 to the trust</w:t>
      </w:r>
      <w:r w:rsidRPr="00837116">
        <w:rPr>
          <w:rFonts w:ascii="Arial" w:hAnsi="Arial" w:cs="Arial"/>
        </w:rPr>
        <w:t>.</w:t>
      </w:r>
      <w:r w:rsidR="007A0DB5" w:rsidRPr="00837116">
        <w:rPr>
          <w:rFonts w:ascii="Arial" w:hAnsi="Arial" w:cs="Arial"/>
        </w:rPr>
        <w:t xml:space="preserve"> </w:t>
      </w:r>
      <w:r w:rsidRPr="00837116">
        <w:rPr>
          <w:rFonts w:ascii="Arial" w:hAnsi="Arial" w:cs="Arial"/>
        </w:rPr>
        <w:t>The donation</w:t>
      </w:r>
      <w:r w:rsidR="00007927" w:rsidRPr="00837116">
        <w:rPr>
          <w:rFonts w:ascii="Arial" w:hAnsi="Arial" w:cs="Arial"/>
        </w:rPr>
        <w:t xml:space="preserve">, which </w:t>
      </w:r>
      <w:r w:rsidRPr="00837116">
        <w:rPr>
          <w:rFonts w:ascii="Arial" w:hAnsi="Arial" w:cs="Arial"/>
        </w:rPr>
        <w:t>was</w:t>
      </w:r>
      <w:r w:rsidR="00007927" w:rsidRPr="00837116">
        <w:rPr>
          <w:rFonts w:ascii="Arial" w:hAnsi="Arial" w:cs="Arial"/>
        </w:rPr>
        <w:t xml:space="preserve"> irrevocable and unconditional, was </w:t>
      </w:r>
      <w:r w:rsidR="007A0DB5" w:rsidRPr="00837116">
        <w:rPr>
          <w:rFonts w:ascii="Arial" w:hAnsi="Arial" w:cs="Arial"/>
        </w:rPr>
        <w:t>payable a year later on 29 January 20</w:t>
      </w:r>
      <w:r w:rsidR="006020BB" w:rsidRPr="00837116">
        <w:rPr>
          <w:rFonts w:ascii="Arial" w:hAnsi="Arial" w:cs="Arial"/>
        </w:rPr>
        <w:t xml:space="preserve">16, or on the date of registration of transfer of an immovable property owned by the applicant in London, whichever occurred earlier. </w:t>
      </w:r>
      <w:r w:rsidR="000036F7" w:rsidRPr="00837116">
        <w:rPr>
          <w:rFonts w:ascii="Arial" w:hAnsi="Arial" w:cs="Arial"/>
        </w:rPr>
        <w:t xml:space="preserve">The donation </w:t>
      </w:r>
      <w:r w:rsidR="00A606CF" w:rsidRPr="00EC4EF5">
        <w:rPr>
          <w:rFonts w:ascii="Arial" w:hAnsi="Arial" w:cs="Arial"/>
        </w:rPr>
        <w:t>(at the time, equivalent to R2 205 362)</w:t>
      </w:r>
      <w:r w:rsidR="00A606CF" w:rsidRPr="00837116">
        <w:rPr>
          <w:rFonts w:ascii="Arial" w:hAnsi="Arial" w:cs="Arial"/>
        </w:rPr>
        <w:t xml:space="preserve"> </w:t>
      </w:r>
      <w:r w:rsidR="000036F7" w:rsidRPr="00837116">
        <w:rPr>
          <w:rFonts w:ascii="Arial" w:hAnsi="Arial" w:cs="Arial"/>
        </w:rPr>
        <w:t xml:space="preserve">was paid </w:t>
      </w:r>
      <w:r w:rsidR="00007927" w:rsidRPr="00837116">
        <w:rPr>
          <w:rFonts w:ascii="Arial" w:hAnsi="Arial" w:cs="Arial"/>
        </w:rPr>
        <w:t xml:space="preserve">to the trust </w:t>
      </w:r>
      <w:r w:rsidR="000036F7" w:rsidRPr="00837116">
        <w:rPr>
          <w:rFonts w:ascii="Arial" w:hAnsi="Arial" w:cs="Arial"/>
        </w:rPr>
        <w:t>in March 2015. Also, during the same month, the applicant</w:t>
      </w:r>
      <w:r w:rsidR="000036F7" w:rsidRPr="00837116">
        <w:rPr>
          <w:rFonts w:ascii="Arial" w:hAnsi="Arial" w:cs="Arial"/>
          <w:bCs/>
        </w:rPr>
        <w:t xml:space="preserve"> transferred </w:t>
      </w:r>
      <w:r w:rsidR="0070520D" w:rsidRPr="00837116">
        <w:rPr>
          <w:rFonts w:ascii="Arial" w:hAnsi="Arial" w:cs="Arial"/>
        </w:rPr>
        <w:t xml:space="preserve">a </w:t>
      </w:r>
      <w:r w:rsidR="00432828" w:rsidRPr="00837116">
        <w:rPr>
          <w:rFonts w:ascii="Arial" w:hAnsi="Arial" w:cs="Arial"/>
        </w:rPr>
        <w:t>sum of</w:t>
      </w:r>
      <w:r w:rsidR="00185F63" w:rsidRPr="00837116">
        <w:rPr>
          <w:rFonts w:ascii="Arial" w:hAnsi="Arial" w:cs="Arial"/>
        </w:rPr>
        <w:t xml:space="preserve"> </w:t>
      </w:r>
      <w:r w:rsidR="00906956" w:rsidRPr="00EC4EF5">
        <w:rPr>
          <w:rFonts w:ascii="Arial" w:hAnsi="Arial" w:cs="Arial"/>
        </w:rPr>
        <w:t>£</w:t>
      </w:r>
      <w:r w:rsidR="00185F63" w:rsidRPr="00837116">
        <w:rPr>
          <w:rFonts w:ascii="Arial" w:hAnsi="Arial" w:cs="Arial"/>
        </w:rPr>
        <w:t>125 000</w:t>
      </w:r>
      <w:r w:rsidR="00432828" w:rsidRPr="00837116">
        <w:rPr>
          <w:rFonts w:ascii="Arial" w:hAnsi="Arial" w:cs="Arial"/>
        </w:rPr>
        <w:t xml:space="preserve"> </w:t>
      </w:r>
      <w:r w:rsidR="00185F63" w:rsidRPr="00837116">
        <w:rPr>
          <w:rFonts w:ascii="Arial" w:hAnsi="Arial" w:cs="Arial"/>
        </w:rPr>
        <w:t>(</w:t>
      </w:r>
      <w:r w:rsidR="00395239" w:rsidRPr="00EC4EF5">
        <w:rPr>
          <w:rFonts w:ascii="Arial" w:hAnsi="Arial" w:cs="Arial"/>
        </w:rPr>
        <w:t>at the time,</w:t>
      </w:r>
      <w:r w:rsidR="00395239">
        <w:rPr>
          <w:rFonts w:ascii="Arial" w:hAnsi="Arial" w:cs="Arial"/>
        </w:rPr>
        <w:t xml:space="preserve"> </w:t>
      </w:r>
      <w:r w:rsidR="00185F63" w:rsidRPr="00837116">
        <w:rPr>
          <w:rFonts w:ascii="Arial" w:hAnsi="Arial" w:cs="Arial"/>
        </w:rPr>
        <w:t xml:space="preserve">equivalent to </w:t>
      </w:r>
      <w:r w:rsidR="00432828" w:rsidRPr="00837116">
        <w:rPr>
          <w:rFonts w:ascii="Arial" w:hAnsi="Arial" w:cs="Arial"/>
        </w:rPr>
        <w:t>R3 377</w:t>
      </w:r>
      <w:r w:rsidR="00185F63" w:rsidRPr="00837116">
        <w:rPr>
          <w:rFonts w:ascii="Arial" w:hAnsi="Arial" w:cs="Arial"/>
        </w:rPr>
        <w:t> </w:t>
      </w:r>
      <w:r w:rsidR="00432828" w:rsidRPr="00837116">
        <w:rPr>
          <w:rFonts w:ascii="Arial" w:hAnsi="Arial" w:cs="Arial"/>
        </w:rPr>
        <w:t>481</w:t>
      </w:r>
      <w:r w:rsidR="00185F63" w:rsidRPr="00837116">
        <w:rPr>
          <w:rFonts w:ascii="Arial" w:hAnsi="Arial" w:cs="Arial"/>
        </w:rPr>
        <w:t>)</w:t>
      </w:r>
      <w:r w:rsidR="0070520D" w:rsidRPr="00837116">
        <w:rPr>
          <w:rFonts w:ascii="Arial" w:hAnsi="Arial" w:cs="Arial"/>
        </w:rPr>
        <w:t xml:space="preserve"> </w:t>
      </w:r>
      <w:r w:rsidR="00185F63" w:rsidRPr="00837116">
        <w:rPr>
          <w:rFonts w:ascii="Arial" w:hAnsi="Arial" w:cs="Arial"/>
        </w:rPr>
        <w:t>in</w:t>
      </w:r>
      <w:r w:rsidR="0070520D" w:rsidRPr="00837116">
        <w:rPr>
          <w:rFonts w:ascii="Arial" w:hAnsi="Arial" w:cs="Arial"/>
        </w:rPr>
        <w:t xml:space="preserve">to </w:t>
      </w:r>
      <w:r w:rsidR="00185F63" w:rsidRPr="00837116">
        <w:rPr>
          <w:rFonts w:ascii="Arial" w:hAnsi="Arial" w:cs="Arial"/>
        </w:rPr>
        <w:t>the bank account of his</w:t>
      </w:r>
      <w:r w:rsidR="0070520D" w:rsidRPr="00837116">
        <w:rPr>
          <w:rFonts w:ascii="Arial" w:hAnsi="Arial" w:cs="Arial"/>
        </w:rPr>
        <w:t xml:space="preserve"> father</w:t>
      </w:r>
      <w:r w:rsidR="000036F7" w:rsidRPr="00837116">
        <w:rPr>
          <w:rFonts w:ascii="Arial" w:hAnsi="Arial" w:cs="Arial"/>
        </w:rPr>
        <w:t>. This was</w:t>
      </w:r>
      <w:r w:rsidR="00000AEF" w:rsidRPr="00837116">
        <w:rPr>
          <w:rFonts w:ascii="Arial" w:hAnsi="Arial" w:cs="Arial"/>
        </w:rPr>
        <w:t xml:space="preserve"> purportedly </w:t>
      </w:r>
      <w:r w:rsidR="001F565F" w:rsidRPr="00860BD6">
        <w:rPr>
          <w:rFonts w:ascii="Arial" w:hAnsi="Arial" w:cs="Arial"/>
        </w:rPr>
        <w:t>repayment of</w:t>
      </w:r>
      <w:r w:rsidR="00C57313" w:rsidRPr="00837116">
        <w:rPr>
          <w:rFonts w:ascii="Arial" w:hAnsi="Arial" w:cs="Arial"/>
        </w:rPr>
        <w:t xml:space="preserve"> </w:t>
      </w:r>
      <w:r w:rsidR="00A37369">
        <w:rPr>
          <w:rFonts w:ascii="Arial" w:hAnsi="Arial" w:cs="Arial"/>
        </w:rPr>
        <w:t xml:space="preserve">a loan </w:t>
      </w:r>
      <w:r w:rsidR="00C57313" w:rsidRPr="00837116">
        <w:rPr>
          <w:rFonts w:ascii="Arial" w:hAnsi="Arial" w:cs="Arial"/>
        </w:rPr>
        <w:t xml:space="preserve">advanced </w:t>
      </w:r>
      <w:r w:rsidR="00A37369">
        <w:rPr>
          <w:rFonts w:ascii="Arial" w:hAnsi="Arial" w:cs="Arial"/>
        </w:rPr>
        <w:t xml:space="preserve">to him </w:t>
      </w:r>
      <w:r w:rsidR="00C57313" w:rsidRPr="00837116">
        <w:rPr>
          <w:rFonts w:ascii="Arial" w:hAnsi="Arial" w:cs="Arial"/>
        </w:rPr>
        <w:t xml:space="preserve">by </w:t>
      </w:r>
      <w:r w:rsidR="001F565F" w:rsidRPr="00860BD6">
        <w:rPr>
          <w:rFonts w:ascii="Arial" w:hAnsi="Arial" w:cs="Arial"/>
        </w:rPr>
        <w:t>his</w:t>
      </w:r>
      <w:r w:rsidR="00000AEF" w:rsidRPr="00837116">
        <w:rPr>
          <w:rFonts w:ascii="Arial" w:hAnsi="Arial" w:cs="Arial"/>
        </w:rPr>
        <w:t xml:space="preserve"> father</w:t>
      </w:r>
      <w:r w:rsidR="00C57313" w:rsidRPr="00837116">
        <w:rPr>
          <w:rFonts w:ascii="Arial" w:hAnsi="Arial" w:cs="Arial"/>
        </w:rPr>
        <w:t xml:space="preserve"> approximately 2</w:t>
      </w:r>
      <w:r w:rsidR="00395239" w:rsidRPr="00EC4EF5">
        <w:rPr>
          <w:rFonts w:ascii="Arial" w:hAnsi="Arial" w:cs="Arial"/>
        </w:rPr>
        <w:t>5</w:t>
      </w:r>
      <w:r w:rsidR="00C57313" w:rsidRPr="00837116">
        <w:rPr>
          <w:rFonts w:ascii="Arial" w:hAnsi="Arial" w:cs="Arial"/>
        </w:rPr>
        <w:t xml:space="preserve"> years </w:t>
      </w:r>
      <w:r w:rsidR="00A37369">
        <w:rPr>
          <w:rFonts w:ascii="Arial" w:hAnsi="Arial" w:cs="Arial"/>
        </w:rPr>
        <w:t>earlier.</w:t>
      </w:r>
    </w:p>
    <w:p w14:paraId="60BE37BB" w14:textId="7DA68828" w:rsidR="00CC0760" w:rsidRPr="00837116"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7D92B039" w14:textId="1B7469F1" w:rsidR="00B139B4" w:rsidRPr="00CC0760" w:rsidRDefault="00007927"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i/>
          <w:iCs/>
        </w:rPr>
      </w:pPr>
      <w:r w:rsidRPr="00837116">
        <w:rPr>
          <w:rFonts w:ascii="Arial" w:hAnsi="Arial" w:cs="Arial"/>
        </w:rPr>
        <w:t xml:space="preserve">Upon becoming aware of these transactions, </w:t>
      </w:r>
      <w:r w:rsidR="00B44B43" w:rsidRPr="00837116">
        <w:rPr>
          <w:rFonts w:ascii="Arial" w:hAnsi="Arial" w:cs="Arial"/>
        </w:rPr>
        <w:t xml:space="preserve">the respondent amended her </w:t>
      </w:r>
      <w:r w:rsidR="00A606CF">
        <w:rPr>
          <w:rFonts w:ascii="Arial" w:hAnsi="Arial" w:cs="Arial"/>
        </w:rPr>
        <w:t>counterclaim</w:t>
      </w:r>
      <w:r w:rsidRPr="00837116">
        <w:rPr>
          <w:rFonts w:ascii="Arial" w:hAnsi="Arial" w:cs="Arial"/>
        </w:rPr>
        <w:t xml:space="preserve"> in September 2016 </w:t>
      </w:r>
      <w:r w:rsidR="00B44B43" w:rsidRPr="00837116">
        <w:rPr>
          <w:rFonts w:ascii="Arial" w:hAnsi="Arial" w:cs="Arial"/>
        </w:rPr>
        <w:t>to include a prayer that the calculation of the accrual should take into account the</w:t>
      </w:r>
      <w:r w:rsidR="007C5326" w:rsidRPr="00837116">
        <w:rPr>
          <w:rFonts w:ascii="Arial" w:hAnsi="Arial" w:cs="Arial"/>
        </w:rPr>
        <w:t xml:space="preserve"> </w:t>
      </w:r>
      <w:r w:rsidRPr="00837116">
        <w:rPr>
          <w:rFonts w:ascii="Arial" w:hAnsi="Arial" w:cs="Arial"/>
        </w:rPr>
        <w:t xml:space="preserve">value of the </w:t>
      </w:r>
      <w:r w:rsidR="005D3A9E" w:rsidRPr="00837116">
        <w:rPr>
          <w:rFonts w:ascii="Arial" w:hAnsi="Arial" w:cs="Arial"/>
        </w:rPr>
        <w:t>two transactions</w:t>
      </w:r>
      <w:r w:rsidR="00A37369">
        <w:rPr>
          <w:rFonts w:ascii="Arial" w:hAnsi="Arial" w:cs="Arial"/>
        </w:rPr>
        <w:t>.</w:t>
      </w:r>
      <w:r w:rsidR="005D3A9E" w:rsidRPr="00837116">
        <w:rPr>
          <w:rFonts w:ascii="Arial" w:hAnsi="Arial" w:cs="Arial"/>
        </w:rPr>
        <w:t xml:space="preserve"> </w:t>
      </w:r>
      <w:r w:rsidR="002C7FBB" w:rsidRPr="00837116">
        <w:rPr>
          <w:rFonts w:ascii="Arial" w:hAnsi="Arial" w:cs="Arial"/>
        </w:rPr>
        <w:t xml:space="preserve">On </w:t>
      </w:r>
      <w:r w:rsidR="00252ADD" w:rsidRPr="00EC4EF5">
        <w:rPr>
          <w:rFonts w:ascii="Arial" w:hAnsi="Arial" w:cs="Arial"/>
        </w:rPr>
        <w:t>26 April</w:t>
      </w:r>
      <w:r w:rsidR="002C7FBB" w:rsidRPr="00E00ADC">
        <w:rPr>
          <w:rFonts w:ascii="Arial" w:hAnsi="Arial" w:cs="Arial"/>
        </w:rPr>
        <w:t xml:space="preserve"> 2017</w:t>
      </w:r>
      <w:r w:rsidR="00A606CF" w:rsidRPr="00EC4EF5">
        <w:rPr>
          <w:rFonts w:ascii="Arial" w:hAnsi="Arial" w:cs="Arial"/>
        </w:rPr>
        <w:t>,</w:t>
      </w:r>
      <w:r w:rsidR="002C7FBB" w:rsidRPr="00837116">
        <w:rPr>
          <w:rFonts w:ascii="Arial" w:hAnsi="Arial" w:cs="Arial"/>
        </w:rPr>
        <w:t xml:space="preserve"> </w:t>
      </w:r>
      <w:r w:rsidR="0028627D" w:rsidRPr="00837116">
        <w:rPr>
          <w:rFonts w:ascii="Arial" w:hAnsi="Arial" w:cs="Arial"/>
        </w:rPr>
        <w:t>the high court granted a decree of divorce</w:t>
      </w:r>
      <w:r w:rsidR="00B90708" w:rsidRPr="00837116">
        <w:rPr>
          <w:rFonts w:ascii="Arial" w:hAnsi="Arial" w:cs="Arial"/>
        </w:rPr>
        <w:t>, but</w:t>
      </w:r>
      <w:r w:rsidR="0028627D" w:rsidRPr="00837116">
        <w:rPr>
          <w:rFonts w:ascii="Arial" w:hAnsi="Arial" w:cs="Arial"/>
        </w:rPr>
        <w:t xml:space="preserve"> </w:t>
      </w:r>
      <w:r w:rsidR="00AE4324" w:rsidRPr="00837116">
        <w:rPr>
          <w:rFonts w:ascii="Arial" w:hAnsi="Arial" w:cs="Arial"/>
        </w:rPr>
        <w:t>reserved judgment on the determination of the proprietary consequences of the marriage</w:t>
      </w:r>
      <w:r w:rsidR="00B90708" w:rsidRPr="00837116">
        <w:rPr>
          <w:rFonts w:ascii="Arial" w:hAnsi="Arial" w:cs="Arial"/>
        </w:rPr>
        <w:t>. The court</w:t>
      </w:r>
      <w:r w:rsidR="00EC6895" w:rsidRPr="00837116">
        <w:rPr>
          <w:rFonts w:ascii="Arial" w:hAnsi="Arial" w:cs="Arial"/>
        </w:rPr>
        <w:t xml:space="preserve"> subsequently</w:t>
      </w:r>
      <w:r w:rsidR="00AE4324" w:rsidRPr="00837116">
        <w:rPr>
          <w:rFonts w:ascii="Arial" w:hAnsi="Arial" w:cs="Arial"/>
        </w:rPr>
        <w:t xml:space="preserve"> g</w:t>
      </w:r>
      <w:r w:rsidR="00EC6895" w:rsidRPr="00837116">
        <w:rPr>
          <w:rFonts w:ascii="Arial" w:hAnsi="Arial" w:cs="Arial"/>
        </w:rPr>
        <w:t xml:space="preserve">ave judgment </w:t>
      </w:r>
      <w:r w:rsidR="00B90708" w:rsidRPr="00837116">
        <w:rPr>
          <w:rFonts w:ascii="Arial" w:hAnsi="Arial" w:cs="Arial"/>
        </w:rPr>
        <w:t xml:space="preserve">on this aspect </w:t>
      </w:r>
      <w:r w:rsidR="00AE4324" w:rsidRPr="00837116">
        <w:rPr>
          <w:rFonts w:ascii="Arial" w:hAnsi="Arial" w:cs="Arial"/>
        </w:rPr>
        <w:t xml:space="preserve">on </w:t>
      </w:r>
      <w:r w:rsidR="00252ADD" w:rsidRPr="00EC4EF5">
        <w:rPr>
          <w:rFonts w:ascii="Arial" w:hAnsi="Arial" w:cs="Arial"/>
        </w:rPr>
        <w:t>13 November</w:t>
      </w:r>
      <w:r w:rsidR="00AE4324" w:rsidRPr="00837116">
        <w:rPr>
          <w:rFonts w:ascii="Arial" w:hAnsi="Arial" w:cs="Arial"/>
        </w:rPr>
        <w:t xml:space="preserve"> 2017. </w:t>
      </w:r>
      <w:r w:rsidR="005D3A9E" w:rsidRPr="00837116">
        <w:rPr>
          <w:rFonts w:ascii="Arial" w:hAnsi="Arial" w:cs="Arial"/>
        </w:rPr>
        <w:t>T</w:t>
      </w:r>
      <w:r w:rsidR="00EC6895" w:rsidRPr="00837116">
        <w:rPr>
          <w:rFonts w:ascii="Arial" w:hAnsi="Arial" w:cs="Arial"/>
        </w:rPr>
        <w:t xml:space="preserve">he </w:t>
      </w:r>
      <w:r w:rsidR="00A37369" w:rsidRPr="00837116">
        <w:rPr>
          <w:rFonts w:ascii="Arial" w:hAnsi="Arial" w:cs="Arial"/>
        </w:rPr>
        <w:t xml:space="preserve">high court concluded that the two transactions were made with </w:t>
      </w:r>
      <w:r w:rsidR="001F565F" w:rsidRPr="00860BD6">
        <w:rPr>
          <w:rFonts w:ascii="Arial" w:hAnsi="Arial" w:cs="Arial"/>
        </w:rPr>
        <w:t>the</w:t>
      </w:r>
      <w:r w:rsidR="00A37369" w:rsidRPr="00837116">
        <w:rPr>
          <w:rFonts w:ascii="Arial" w:hAnsi="Arial" w:cs="Arial"/>
        </w:rPr>
        <w:t xml:space="preserve"> ‘fraudulent intention’ of depriving the respondent of her rightful accrual claim. </w:t>
      </w:r>
      <w:r w:rsidR="00A37369">
        <w:rPr>
          <w:rFonts w:ascii="Arial" w:hAnsi="Arial" w:cs="Arial"/>
        </w:rPr>
        <w:t xml:space="preserve">Consequently, it </w:t>
      </w:r>
      <w:r w:rsidR="00B139B4" w:rsidRPr="00A37369">
        <w:rPr>
          <w:rFonts w:ascii="Arial" w:hAnsi="Arial" w:cs="Arial"/>
        </w:rPr>
        <w:t>ordered</w:t>
      </w:r>
      <w:r w:rsidR="005D3A9E" w:rsidRPr="00A37369">
        <w:rPr>
          <w:rFonts w:ascii="Arial" w:hAnsi="Arial" w:cs="Arial"/>
        </w:rPr>
        <w:t>, among others,</w:t>
      </w:r>
      <w:r w:rsidR="00B139B4" w:rsidRPr="00A37369">
        <w:rPr>
          <w:rFonts w:ascii="Arial" w:hAnsi="Arial" w:cs="Arial"/>
        </w:rPr>
        <w:t xml:space="preserve"> </w:t>
      </w:r>
      <w:r w:rsidR="002C7FBB" w:rsidRPr="00A37369">
        <w:rPr>
          <w:rFonts w:ascii="Arial" w:hAnsi="Arial" w:cs="Arial"/>
        </w:rPr>
        <w:t>that the value of the</w:t>
      </w:r>
      <w:r w:rsidR="00B139B4" w:rsidRPr="00A37369">
        <w:rPr>
          <w:rFonts w:ascii="Arial" w:hAnsi="Arial" w:cs="Arial"/>
        </w:rPr>
        <w:t xml:space="preserve"> two</w:t>
      </w:r>
      <w:r w:rsidR="002C7FBB" w:rsidRPr="00A37369">
        <w:rPr>
          <w:rFonts w:ascii="Arial" w:hAnsi="Arial" w:cs="Arial"/>
        </w:rPr>
        <w:t xml:space="preserve"> </w:t>
      </w:r>
      <w:r w:rsidR="005D3A9E" w:rsidRPr="00A37369">
        <w:rPr>
          <w:rFonts w:ascii="Arial" w:hAnsi="Arial" w:cs="Arial"/>
        </w:rPr>
        <w:t xml:space="preserve">transactions </w:t>
      </w:r>
      <w:r w:rsidR="002C7FBB" w:rsidRPr="00A37369">
        <w:rPr>
          <w:rFonts w:ascii="Arial" w:hAnsi="Arial" w:cs="Arial"/>
        </w:rPr>
        <w:t xml:space="preserve">be </w:t>
      </w:r>
      <w:r w:rsidR="00B139B4" w:rsidRPr="00A37369">
        <w:rPr>
          <w:rFonts w:ascii="Arial" w:hAnsi="Arial" w:cs="Arial"/>
        </w:rPr>
        <w:t xml:space="preserve">deemed </w:t>
      </w:r>
      <w:r w:rsidR="00A37369" w:rsidRPr="00A37369">
        <w:rPr>
          <w:rFonts w:ascii="Arial" w:hAnsi="Arial" w:cs="Arial"/>
        </w:rPr>
        <w:t xml:space="preserve">to be </w:t>
      </w:r>
      <w:r w:rsidR="00B139B4" w:rsidRPr="00A37369">
        <w:rPr>
          <w:rFonts w:ascii="Arial" w:hAnsi="Arial" w:cs="Arial"/>
        </w:rPr>
        <w:t xml:space="preserve">part of the applicant’s </w:t>
      </w:r>
      <w:r w:rsidR="002C7FBB" w:rsidRPr="00A37369">
        <w:rPr>
          <w:rFonts w:ascii="Arial" w:hAnsi="Arial" w:cs="Arial"/>
        </w:rPr>
        <w:t>assets for the purposes of calculating the accrual</w:t>
      </w:r>
      <w:r w:rsidR="005D3A9E" w:rsidRPr="00A37369">
        <w:rPr>
          <w:rFonts w:ascii="Arial" w:hAnsi="Arial" w:cs="Arial"/>
        </w:rPr>
        <w:t>.</w:t>
      </w:r>
      <w:r w:rsidR="002C7FBB" w:rsidRPr="00A37369">
        <w:rPr>
          <w:rFonts w:ascii="Arial" w:hAnsi="Arial" w:cs="Arial"/>
        </w:rPr>
        <w:t xml:space="preserve"> </w:t>
      </w:r>
    </w:p>
    <w:p w14:paraId="51A6015A" w14:textId="0395A6A8" w:rsidR="00CC0760" w:rsidRPr="00A37369" w:rsidRDefault="00CC0760" w:rsidP="00CC0760">
      <w:pPr>
        <w:pStyle w:val="MEMONUMBERED"/>
        <w:kinsoku w:val="0"/>
        <w:overflowPunct w:val="0"/>
        <w:autoSpaceDE w:val="0"/>
        <w:autoSpaceDN w:val="0"/>
        <w:adjustRightInd w:val="0"/>
        <w:spacing w:line="360" w:lineRule="auto"/>
        <w:ind w:right="-7"/>
        <w:rPr>
          <w:rFonts w:ascii="Arial" w:hAnsi="Arial" w:cs="Arial"/>
          <w:bCs/>
          <w:i/>
          <w:iCs/>
        </w:rPr>
      </w:pPr>
    </w:p>
    <w:p w14:paraId="6A6A15EB" w14:textId="5379D863" w:rsidR="00252ADD" w:rsidRDefault="00583778" w:rsidP="008D2D2C">
      <w:pPr>
        <w:pStyle w:val="MEMONUMBERED"/>
        <w:numPr>
          <w:ilvl w:val="0"/>
          <w:numId w:val="2"/>
        </w:numPr>
        <w:kinsoku w:val="0"/>
        <w:overflowPunct w:val="0"/>
        <w:autoSpaceDE w:val="0"/>
        <w:autoSpaceDN w:val="0"/>
        <w:adjustRightInd w:val="0"/>
        <w:spacing w:line="360" w:lineRule="auto"/>
        <w:ind w:left="0" w:right="-7" w:firstLine="0"/>
        <w:rPr>
          <w:rFonts w:ascii="Arial" w:hAnsi="Arial" w:cs="Arial"/>
        </w:rPr>
      </w:pPr>
      <w:r w:rsidRPr="00837116">
        <w:rPr>
          <w:rFonts w:ascii="Arial" w:hAnsi="Arial" w:cs="Arial"/>
        </w:rPr>
        <w:t xml:space="preserve">The </w:t>
      </w:r>
      <w:r w:rsidR="00252ADD" w:rsidRPr="00EC4EF5">
        <w:rPr>
          <w:rFonts w:ascii="Arial" w:hAnsi="Arial" w:cs="Arial"/>
        </w:rPr>
        <w:t>high</w:t>
      </w:r>
      <w:r w:rsidR="00252ADD" w:rsidRPr="00E00ADC">
        <w:rPr>
          <w:rFonts w:ascii="Arial" w:hAnsi="Arial" w:cs="Arial"/>
        </w:rPr>
        <w:t xml:space="preserve"> </w:t>
      </w:r>
      <w:r w:rsidRPr="00E00ADC">
        <w:rPr>
          <w:rFonts w:ascii="Arial" w:hAnsi="Arial" w:cs="Arial"/>
        </w:rPr>
        <w:t xml:space="preserve">court subsequently </w:t>
      </w:r>
      <w:r w:rsidR="00A56B55" w:rsidRPr="00E00ADC">
        <w:rPr>
          <w:rFonts w:ascii="Arial" w:hAnsi="Arial" w:cs="Arial"/>
        </w:rPr>
        <w:t>granted</w:t>
      </w:r>
      <w:r w:rsidR="00F84C1B" w:rsidRPr="00E00ADC">
        <w:rPr>
          <w:rFonts w:ascii="Arial" w:hAnsi="Arial" w:cs="Arial"/>
        </w:rPr>
        <w:t xml:space="preserve"> </w:t>
      </w:r>
      <w:r w:rsidRPr="00E00ADC">
        <w:rPr>
          <w:rFonts w:ascii="Arial" w:hAnsi="Arial" w:cs="Arial"/>
        </w:rPr>
        <w:t>the app</w:t>
      </w:r>
      <w:r w:rsidR="0022639D" w:rsidRPr="00E00ADC">
        <w:rPr>
          <w:rFonts w:ascii="Arial" w:hAnsi="Arial" w:cs="Arial"/>
        </w:rPr>
        <w:t>licant</w:t>
      </w:r>
      <w:r w:rsidRPr="00E00ADC">
        <w:rPr>
          <w:rFonts w:ascii="Arial" w:hAnsi="Arial" w:cs="Arial"/>
        </w:rPr>
        <w:t xml:space="preserve"> </w:t>
      </w:r>
      <w:r w:rsidR="00F84C1B" w:rsidRPr="00E00ADC">
        <w:rPr>
          <w:rFonts w:ascii="Arial" w:hAnsi="Arial" w:cs="Arial"/>
        </w:rPr>
        <w:t xml:space="preserve">leave to appeal to the full court. However, </w:t>
      </w:r>
      <w:r w:rsidR="00252ADD" w:rsidRPr="00EC4EF5">
        <w:rPr>
          <w:rFonts w:ascii="Arial" w:hAnsi="Arial" w:cs="Arial"/>
        </w:rPr>
        <w:t>the applicant</w:t>
      </w:r>
      <w:r w:rsidR="00F84C1B" w:rsidRPr="00E00ADC">
        <w:rPr>
          <w:rFonts w:ascii="Arial" w:hAnsi="Arial" w:cs="Arial"/>
        </w:rPr>
        <w:t xml:space="preserve"> failed to prosecute his appeal timeously, </w:t>
      </w:r>
      <w:r w:rsidR="00025C77" w:rsidRPr="00E00ADC">
        <w:rPr>
          <w:rFonts w:ascii="Arial" w:hAnsi="Arial" w:cs="Arial"/>
        </w:rPr>
        <w:t xml:space="preserve">and </w:t>
      </w:r>
      <w:r w:rsidR="00F84C1B" w:rsidRPr="00E00ADC">
        <w:rPr>
          <w:rFonts w:ascii="Arial" w:hAnsi="Arial" w:cs="Arial"/>
        </w:rPr>
        <w:t>as a result</w:t>
      </w:r>
      <w:r w:rsidR="00176130" w:rsidRPr="00E00ADC">
        <w:rPr>
          <w:rFonts w:ascii="Arial" w:hAnsi="Arial" w:cs="Arial"/>
        </w:rPr>
        <w:t>,</w:t>
      </w:r>
      <w:r w:rsidR="00F84C1B" w:rsidRPr="00E00ADC">
        <w:rPr>
          <w:rFonts w:ascii="Arial" w:hAnsi="Arial" w:cs="Arial"/>
        </w:rPr>
        <w:t xml:space="preserve"> the appeal lapsed. </w:t>
      </w:r>
      <w:r w:rsidR="00025C77" w:rsidRPr="00E00ADC">
        <w:rPr>
          <w:rFonts w:ascii="Arial" w:hAnsi="Arial" w:cs="Arial"/>
        </w:rPr>
        <w:t>Before the full court the applicant abandoned the appeal against the order in respect of the payment to his father</w:t>
      </w:r>
      <w:r w:rsidR="00252ADD" w:rsidRPr="00EC4EF5">
        <w:rPr>
          <w:rFonts w:ascii="Arial" w:hAnsi="Arial" w:cs="Arial"/>
        </w:rPr>
        <w:t>,</w:t>
      </w:r>
      <w:r w:rsidR="00CC1FBA" w:rsidRPr="00EC4EF5">
        <w:rPr>
          <w:rFonts w:ascii="Arial" w:hAnsi="Arial" w:cs="Arial"/>
        </w:rPr>
        <w:t xml:space="preserve"> </w:t>
      </w:r>
      <w:r w:rsidR="00252ADD" w:rsidRPr="00EC4EF5">
        <w:rPr>
          <w:rFonts w:ascii="Arial" w:hAnsi="Arial" w:cs="Arial"/>
        </w:rPr>
        <w:t>and</w:t>
      </w:r>
      <w:r w:rsidR="00025C77" w:rsidRPr="00837116">
        <w:rPr>
          <w:rFonts w:ascii="Arial" w:hAnsi="Arial" w:cs="Arial"/>
        </w:rPr>
        <w:t xml:space="preserve"> </w:t>
      </w:r>
      <w:r w:rsidR="00F84C1B" w:rsidRPr="00837116">
        <w:rPr>
          <w:rFonts w:ascii="Arial" w:hAnsi="Arial" w:cs="Arial"/>
        </w:rPr>
        <w:t xml:space="preserve">applied for condonation of the late prosecution of the appeal to the full court </w:t>
      </w:r>
      <w:r w:rsidR="00192E39" w:rsidRPr="00EC4EF5">
        <w:rPr>
          <w:rFonts w:ascii="Arial" w:hAnsi="Arial" w:cs="Arial"/>
        </w:rPr>
        <w:t>and</w:t>
      </w:r>
      <w:r w:rsidR="00192E39">
        <w:rPr>
          <w:rFonts w:ascii="Arial" w:hAnsi="Arial" w:cs="Arial"/>
        </w:rPr>
        <w:t xml:space="preserve"> </w:t>
      </w:r>
      <w:r w:rsidR="000A531C">
        <w:rPr>
          <w:rFonts w:ascii="Arial" w:hAnsi="Arial" w:cs="Arial"/>
        </w:rPr>
        <w:t xml:space="preserve">for </w:t>
      </w:r>
      <w:r w:rsidR="00F84C1B" w:rsidRPr="00837116">
        <w:rPr>
          <w:rFonts w:ascii="Arial" w:hAnsi="Arial" w:cs="Arial"/>
        </w:rPr>
        <w:t xml:space="preserve">leave to introduce further evidence on appeal. </w:t>
      </w:r>
      <w:r w:rsidRPr="00837116">
        <w:rPr>
          <w:rFonts w:ascii="Arial" w:hAnsi="Arial" w:cs="Arial"/>
        </w:rPr>
        <w:t xml:space="preserve">The full court dismissed both applications. </w:t>
      </w:r>
    </w:p>
    <w:p w14:paraId="47EFED98" w14:textId="77777777" w:rsidR="004E5CE0" w:rsidRPr="00CC1FBA" w:rsidRDefault="004E5CE0" w:rsidP="004E5CE0">
      <w:pPr>
        <w:pStyle w:val="MEMONUMBERED"/>
        <w:kinsoku w:val="0"/>
        <w:overflowPunct w:val="0"/>
        <w:autoSpaceDE w:val="0"/>
        <w:autoSpaceDN w:val="0"/>
        <w:adjustRightInd w:val="0"/>
        <w:spacing w:line="360" w:lineRule="auto"/>
        <w:ind w:right="-7"/>
        <w:rPr>
          <w:rFonts w:ascii="Arial" w:hAnsi="Arial" w:cs="Arial"/>
        </w:rPr>
      </w:pPr>
    </w:p>
    <w:p w14:paraId="07D89B6B" w14:textId="05AE6F00" w:rsidR="00C7556A" w:rsidRDefault="00CF4B7C"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rPr>
        <w:t xml:space="preserve">The issue before this Court </w:t>
      </w:r>
      <w:r w:rsidR="00A07936" w:rsidRPr="00837116">
        <w:rPr>
          <w:rFonts w:ascii="Arial" w:hAnsi="Arial" w:cs="Arial"/>
        </w:rPr>
        <w:t>is</w:t>
      </w:r>
      <w:r w:rsidRPr="00837116">
        <w:rPr>
          <w:rFonts w:ascii="Arial" w:hAnsi="Arial" w:cs="Arial"/>
        </w:rPr>
        <w:t xml:space="preserve"> </w:t>
      </w:r>
      <w:r w:rsidR="00C7556A" w:rsidRPr="00837116">
        <w:rPr>
          <w:rFonts w:ascii="Arial" w:hAnsi="Arial" w:cs="Arial"/>
        </w:rPr>
        <w:t xml:space="preserve">therefore </w:t>
      </w:r>
      <w:r w:rsidRPr="00837116">
        <w:rPr>
          <w:rFonts w:ascii="Arial" w:hAnsi="Arial" w:cs="Arial"/>
        </w:rPr>
        <w:t>whether</w:t>
      </w:r>
      <w:r w:rsidR="00A07936" w:rsidRPr="00837116">
        <w:rPr>
          <w:rFonts w:ascii="Arial" w:hAnsi="Arial" w:cs="Arial"/>
        </w:rPr>
        <w:t xml:space="preserve"> special</w:t>
      </w:r>
      <w:r w:rsidR="008410F7">
        <w:rPr>
          <w:rFonts w:ascii="Arial" w:hAnsi="Arial" w:cs="Arial"/>
        </w:rPr>
        <w:t xml:space="preserve"> leave</w:t>
      </w:r>
      <w:r w:rsidR="00A07936" w:rsidRPr="00837116">
        <w:rPr>
          <w:rFonts w:ascii="Arial" w:hAnsi="Arial" w:cs="Arial"/>
        </w:rPr>
        <w:t xml:space="preserve"> should be </w:t>
      </w:r>
      <w:r w:rsidRPr="00837116">
        <w:rPr>
          <w:rFonts w:ascii="Arial" w:hAnsi="Arial" w:cs="Arial"/>
        </w:rPr>
        <w:t>granted against the order</w:t>
      </w:r>
      <w:r w:rsidR="008410F7">
        <w:rPr>
          <w:rFonts w:ascii="Arial" w:hAnsi="Arial" w:cs="Arial"/>
        </w:rPr>
        <w:t>s</w:t>
      </w:r>
      <w:r w:rsidRPr="00837116">
        <w:rPr>
          <w:rFonts w:ascii="Arial" w:hAnsi="Arial" w:cs="Arial"/>
        </w:rPr>
        <w:t xml:space="preserve"> of the </w:t>
      </w:r>
      <w:r w:rsidR="00167939" w:rsidRPr="00837116">
        <w:rPr>
          <w:rFonts w:ascii="Arial" w:hAnsi="Arial" w:cs="Arial"/>
        </w:rPr>
        <w:t>f</w:t>
      </w:r>
      <w:r w:rsidRPr="00837116">
        <w:rPr>
          <w:rFonts w:ascii="Arial" w:hAnsi="Arial" w:cs="Arial"/>
        </w:rPr>
        <w:t xml:space="preserve">ull </w:t>
      </w:r>
      <w:r w:rsidR="00167939" w:rsidRPr="00837116">
        <w:rPr>
          <w:rFonts w:ascii="Arial" w:hAnsi="Arial" w:cs="Arial"/>
        </w:rPr>
        <w:t>c</w:t>
      </w:r>
      <w:r w:rsidRPr="00837116">
        <w:rPr>
          <w:rFonts w:ascii="Arial" w:hAnsi="Arial" w:cs="Arial"/>
        </w:rPr>
        <w:t>ourt</w:t>
      </w:r>
      <w:r w:rsidR="008410F7">
        <w:rPr>
          <w:rFonts w:ascii="Arial" w:hAnsi="Arial" w:cs="Arial"/>
        </w:rPr>
        <w:t>, and if granted, the merits of the case.</w:t>
      </w:r>
      <w:r w:rsidR="004707E2">
        <w:rPr>
          <w:rFonts w:ascii="Arial" w:hAnsi="Arial" w:cs="Arial"/>
        </w:rPr>
        <w:t xml:space="preserve"> A </w:t>
      </w:r>
      <w:r w:rsidR="00167939" w:rsidRPr="00837116">
        <w:rPr>
          <w:rFonts w:ascii="Arial" w:hAnsi="Arial" w:cs="Arial"/>
        </w:rPr>
        <w:t xml:space="preserve">consideration of the condonation application involves the question whether there are reasonable prospects of success on the merits. </w:t>
      </w:r>
      <w:r w:rsidR="00C7556A" w:rsidRPr="00837116">
        <w:rPr>
          <w:rFonts w:ascii="Arial" w:hAnsi="Arial" w:cs="Arial"/>
          <w:bCs/>
        </w:rPr>
        <w:t>I consider each of the</w:t>
      </w:r>
      <w:r w:rsidR="00A07936" w:rsidRPr="00837116">
        <w:rPr>
          <w:rFonts w:ascii="Arial" w:hAnsi="Arial" w:cs="Arial"/>
          <w:bCs/>
        </w:rPr>
        <w:t>se issues</w:t>
      </w:r>
      <w:r w:rsidR="00C7556A" w:rsidRPr="00837116">
        <w:rPr>
          <w:rFonts w:ascii="Arial" w:hAnsi="Arial" w:cs="Arial"/>
          <w:bCs/>
        </w:rPr>
        <w:t>, in turn.</w:t>
      </w:r>
      <w:r w:rsidR="00167939" w:rsidRPr="00837116">
        <w:rPr>
          <w:rFonts w:ascii="Arial" w:hAnsi="Arial" w:cs="Arial"/>
          <w:bCs/>
        </w:rPr>
        <w:t xml:space="preserve"> </w:t>
      </w:r>
    </w:p>
    <w:p w14:paraId="6B2F9BB5" w14:textId="77777777" w:rsidR="00CC0760" w:rsidRPr="00837116"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35C30FBE" w14:textId="77777777" w:rsidR="00336A37" w:rsidRPr="00837116" w:rsidRDefault="00392F81" w:rsidP="00CC0760">
      <w:pPr>
        <w:pStyle w:val="MEMONUMBERED"/>
        <w:kinsoku w:val="0"/>
        <w:overflowPunct w:val="0"/>
        <w:autoSpaceDE w:val="0"/>
        <w:autoSpaceDN w:val="0"/>
        <w:adjustRightInd w:val="0"/>
        <w:spacing w:line="360" w:lineRule="auto"/>
        <w:ind w:right="-7"/>
        <w:rPr>
          <w:rFonts w:ascii="Arial" w:hAnsi="Arial" w:cs="Arial"/>
          <w:b/>
          <w:bCs/>
        </w:rPr>
      </w:pPr>
      <w:r w:rsidRPr="00837116">
        <w:rPr>
          <w:rFonts w:ascii="Arial" w:hAnsi="Arial" w:cs="Arial"/>
          <w:b/>
          <w:bCs/>
        </w:rPr>
        <w:t>Application to lead further evidence</w:t>
      </w:r>
    </w:p>
    <w:p w14:paraId="3BAB89C9" w14:textId="5D29AF42" w:rsidR="00336A37" w:rsidRPr="00CC0760" w:rsidRDefault="00336A37"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rPr>
        <w:t xml:space="preserve">The evidence which the applicant sought to introduce on appeal before the </w:t>
      </w:r>
      <w:r w:rsidR="005D5EBF" w:rsidRPr="00837116">
        <w:rPr>
          <w:rFonts w:ascii="Arial" w:hAnsi="Arial" w:cs="Arial"/>
        </w:rPr>
        <w:t>f</w:t>
      </w:r>
      <w:r w:rsidRPr="00837116">
        <w:rPr>
          <w:rFonts w:ascii="Arial" w:hAnsi="Arial" w:cs="Arial"/>
        </w:rPr>
        <w:t xml:space="preserve">ull </w:t>
      </w:r>
      <w:r w:rsidR="005D5EBF" w:rsidRPr="00837116">
        <w:rPr>
          <w:rFonts w:ascii="Arial" w:hAnsi="Arial" w:cs="Arial"/>
        </w:rPr>
        <w:t>c</w:t>
      </w:r>
      <w:r w:rsidRPr="00837116">
        <w:rPr>
          <w:rFonts w:ascii="Arial" w:hAnsi="Arial" w:cs="Arial"/>
        </w:rPr>
        <w:t xml:space="preserve">ourt </w:t>
      </w:r>
      <w:r w:rsidR="002B1558" w:rsidRPr="00837116">
        <w:rPr>
          <w:rFonts w:ascii="Arial" w:hAnsi="Arial" w:cs="Arial"/>
        </w:rPr>
        <w:t xml:space="preserve">was </w:t>
      </w:r>
      <w:r w:rsidRPr="00837116">
        <w:rPr>
          <w:rFonts w:ascii="Arial" w:hAnsi="Arial" w:cs="Arial"/>
        </w:rPr>
        <w:t xml:space="preserve">the fact that he had obtained </w:t>
      </w:r>
      <w:r w:rsidR="00D56AF3" w:rsidRPr="00837116">
        <w:rPr>
          <w:rFonts w:ascii="Arial" w:hAnsi="Arial" w:cs="Arial"/>
        </w:rPr>
        <w:t xml:space="preserve">a </w:t>
      </w:r>
      <w:r w:rsidR="006500D0" w:rsidRPr="00837116">
        <w:rPr>
          <w:rFonts w:ascii="Arial" w:hAnsi="Arial" w:cs="Arial"/>
        </w:rPr>
        <w:t>written legal</w:t>
      </w:r>
      <w:r w:rsidRPr="00837116">
        <w:rPr>
          <w:rFonts w:ascii="Arial" w:hAnsi="Arial" w:cs="Arial"/>
        </w:rPr>
        <w:t xml:space="preserve"> opinion regarding the lawfulness of establishing a trust and making a donation to it</w:t>
      </w:r>
      <w:r w:rsidR="002B1558" w:rsidRPr="00837116">
        <w:rPr>
          <w:rFonts w:ascii="Arial" w:hAnsi="Arial" w:cs="Arial"/>
        </w:rPr>
        <w:t>, and the written opinion itself.</w:t>
      </w:r>
      <w:r w:rsidRPr="00837116">
        <w:rPr>
          <w:rFonts w:ascii="Arial" w:hAnsi="Arial" w:cs="Arial"/>
        </w:rPr>
        <w:t xml:space="preserve"> </w:t>
      </w:r>
      <w:r w:rsidR="006500D0" w:rsidRPr="00837116">
        <w:rPr>
          <w:rFonts w:ascii="Arial" w:hAnsi="Arial" w:cs="Arial"/>
        </w:rPr>
        <w:t xml:space="preserve">That opinion was </w:t>
      </w:r>
      <w:r w:rsidR="002B1558" w:rsidRPr="00837116">
        <w:rPr>
          <w:rFonts w:ascii="Arial" w:hAnsi="Arial" w:cs="Arial"/>
        </w:rPr>
        <w:t xml:space="preserve">provided by </w:t>
      </w:r>
      <w:r w:rsidR="006500D0" w:rsidRPr="00837116">
        <w:rPr>
          <w:rFonts w:ascii="Arial" w:hAnsi="Arial" w:cs="Arial"/>
        </w:rPr>
        <w:t xml:space="preserve">Advocate </w:t>
      </w:r>
      <w:bookmarkStart w:id="7" w:name="_Hlk103251349"/>
      <w:r w:rsidR="003D0989" w:rsidRPr="00EC4EF5">
        <w:rPr>
          <w:rFonts w:ascii="Arial" w:hAnsi="Arial" w:cs="Arial"/>
        </w:rPr>
        <w:t>André</w:t>
      </w:r>
      <w:r w:rsidR="003D0989">
        <w:rPr>
          <w:rFonts w:ascii="Arial" w:hAnsi="Arial" w:cs="Arial"/>
        </w:rPr>
        <w:t xml:space="preserve"> </w:t>
      </w:r>
      <w:r w:rsidRPr="00837116">
        <w:rPr>
          <w:rFonts w:ascii="Arial" w:hAnsi="Arial" w:cs="Arial"/>
        </w:rPr>
        <w:t>Stokes SC</w:t>
      </w:r>
      <w:r w:rsidR="006500D0" w:rsidRPr="00837116">
        <w:rPr>
          <w:rFonts w:ascii="Arial" w:hAnsi="Arial" w:cs="Arial"/>
        </w:rPr>
        <w:t xml:space="preserve"> </w:t>
      </w:r>
      <w:bookmarkEnd w:id="7"/>
      <w:r w:rsidR="006500D0" w:rsidRPr="00837116">
        <w:rPr>
          <w:rFonts w:ascii="Arial" w:hAnsi="Arial" w:cs="Arial"/>
        </w:rPr>
        <w:t>(Stokes SC)</w:t>
      </w:r>
      <w:r w:rsidRPr="00837116">
        <w:rPr>
          <w:rFonts w:ascii="Arial" w:hAnsi="Arial" w:cs="Arial"/>
        </w:rPr>
        <w:t xml:space="preserve">, </w:t>
      </w:r>
      <w:r w:rsidR="006500D0" w:rsidRPr="00837116">
        <w:rPr>
          <w:rFonts w:ascii="Arial" w:hAnsi="Arial" w:cs="Arial"/>
        </w:rPr>
        <w:t xml:space="preserve">who </w:t>
      </w:r>
      <w:r w:rsidR="002B1558" w:rsidRPr="00837116">
        <w:rPr>
          <w:rFonts w:ascii="Arial" w:hAnsi="Arial" w:cs="Arial"/>
        </w:rPr>
        <w:t xml:space="preserve">also </w:t>
      </w:r>
      <w:r w:rsidR="006500D0" w:rsidRPr="00837116">
        <w:rPr>
          <w:rFonts w:ascii="Arial" w:hAnsi="Arial" w:cs="Arial"/>
        </w:rPr>
        <w:t xml:space="preserve">represented </w:t>
      </w:r>
      <w:r w:rsidR="002B1558" w:rsidRPr="00837116">
        <w:rPr>
          <w:rFonts w:ascii="Arial" w:hAnsi="Arial" w:cs="Arial"/>
        </w:rPr>
        <w:t>the applicant</w:t>
      </w:r>
      <w:r w:rsidR="006500D0" w:rsidRPr="00837116">
        <w:rPr>
          <w:rFonts w:ascii="Arial" w:hAnsi="Arial" w:cs="Arial"/>
        </w:rPr>
        <w:t xml:space="preserve"> during the </w:t>
      </w:r>
      <w:r w:rsidR="00282E0D" w:rsidRPr="004B36B8">
        <w:rPr>
          <w:rFonts w:ascii="Arial" w:hAnsi="Arial" w:cs="Arial"/>
        </w:rPr>
        <w:t>divorce</w:t>
      </w:r>
      <w:r w:rsidR="00282E0D">
        <w:rPr>
          <w:rFonts w:ascii="Arial" w:hAnsi="Arial" w:cs="Arial"/>
        </w:rPr>
        <w:t xml:space="preserve"> </w:t>
      </w:r>
      <w:r w:rsidR="006500D0" w:rsidRPr="00837116">
        <w:rPr>
          <w:rFonts w:ascii="Arial" w:hAnsi="Arial" w:cs="Arial"/>
        </w:rPr>
        <w:t xml:space="preserve">trial. </w:t>
      </w:r>
      <w:r w:rsidR="002B1558" w:rsidRPr="00837116">
        <w:rPr>
          <w:rFonts w:ascii="Arial" w:hAnsi="Arial" w:cs="Arial"/>
        </w:rPr>
        <w:t xml:space="preserve">The applicant asserted that </w:t>
      </w:r>
      <w:r w:rsidR="004D4C65" w:rsidRPr="00837116">
        <w:rPr>
          <w:rFonts w:ascii="Arial" w:hAnsi="Arial" w:cs="Arial"/>
        </w:rPr>
        <w:t xml:space="preserve">he </w:t>
      </w:r>
      <w:r w:rsidR="003D0989" w:rsidRPr="00EC4EF5">
        <w:rPr>
          <w:rFonts w:ascii="Arial" w:hAnsi="Arial" w:cs="Arial"/>
        </w:rPr>
        <w:t>had</w:t>
      </w:r>
      <w:r w:rsidR="003D0989">
        <w:rPr>
          <w:rFonts w:ascii="Arial" w:hAnsi="Arial" w:cs="Arial"/>
        </w:rPr>
        <w:t xml:space="preserve"> </w:t>
      </w:r>
      <w:r w:rsidR="004D4C65" w:rsidRPr="00837116">
        <w:rPr>
          <w:rFonts w:ascii="Arial" w:hAnsi="Arial" w:cs="Arial"/>
        </w:rPr>
        <w:t xml:space="preserve">established the trust </w:t>
      </w:r>
      <w:r w:rsidR="005D5EBF" w:rsidRPr="00837116">
        <w:rPr>
          <w:rFonts w:ascii="Arial" w:hAnsi="Arial" w:cs="Arial"/>
        </w:rPr>
        <w:t xml:space="preserve">on the basis of that </w:t>
      </w:r>
      <w:r w:rsidR="004D4C65" w:rsidRPr="00837116">
        <w:rPr>
          <w:rFonts w:ascii="Arial" w:hAnsi="Arial" w:cs="Arial"/>
        </w:rPr>
        <w:t>opinion</w:t>
      </w:r>
      <w:r w:rsidR="00186E33" w:rsidRPr="00837116">
        <w:rPr>
          <w:rFonts w:ascii="Arial" w:hAnsi="Arial" w:cs="Arial"/>
        </w:rPr>
        <w:t>, which was to the effect that the</w:t>
      </w:r>
      <w:r w:rsidR="004D4C65" w:rsidRPr="00837116">
        <w:rPr>
          <w:rFonts w:ascii="Arial" w:hAnsi="Arial" w:cs="Arial"/>
        </w:rPr>
        <w:t xml:space="preserve"> establishment of the trust, and </w:t>
      </w:r>
      <w:r w:rsidR="00186E33" w:rsidRPr="00837116">
        <w:rPr>
          <w:rFonts w:ascii="Arial" w:hAnsi="Arial" w:cs="Arial"/>
        </w:rPr>
        <w:t xml:space="preserve">the </w:t>
      </w:r>
      <w:r w:rsidR="002B1558" w:rsidRPr="00837116">
        <w:rPr>
          <w:rFonts w:ascii="Arial" w:hAnsi="Arial" w:cs="Arial"/>
        </w:rPr>
        <w:t xml:space="preserve">donation to </w:t>
      </w:r>
      <w:r w:rsidR="004D4C65" w:rsidRPr="00837116">
        <w:rPr>
          <w:rFonts w:ascii="Arial" w:hAnsi="Arial" w:cs="Arial"/>
        </w:rPr>
        <w:t xml:space="preserve">it, </w:t>
      </w:r>
      <w:r w:rsidR="002B1558" w:rsidRPr="00837116">
        <w:rPr>
          <w:rFonts w:ascii="Arial" w:hAnsi="Arial" w:cs="Arial"/>
        </w:rPr>
        <w:t>w</w:t>
      </w:r>
      <w:r w:rsidR="00186E33" w:rsidRPr="00837116">
        <w:rPr>
          <w:rFonts w:ascii="Arial" w:hAnsi="Arial" w:cs="Arial"/>
        </w:rPr>
        <w:t>ould</w:t>
      </w:r>
      <w:r w:rsidR="002B1558" w:rsidRPr="00837116">
        <w:rPr>
          <w:rFonts w:ascii="Arial" w:hAnsi="Arial" w:cs="Arial"/>
        </w:rPr>
        <w:t xml:space="preserve"> not </w:t>
      </w:r>
      <w:r w:rsidR="00186E33" w:rsidRPr="00837116">
        <w:rPr>
          <w:rFonts w:ascii="Arial" w:hAnsi="Arial" w:cs="Arial"/>
        </w:rPr>
        <w:t xml:space="preserve">be </w:t>
      </w:r>
      <w:r w:rsidR="002B1558" w:rsidRPr="00837116">
        <w:rPr>
          <w:rFonts w:ascii="Arial" w:hAnsi="Arial" w:cs="Arial"/>
        </w:rPr>
        <w:t xml:space="preserve">unlawful, and the reasons for the donation </w:t>
      </w:r>
      <w:r w:rsidR="004D4C65" w:rsidRPr="00837116">
        <w:rPr>
          <w:rFonts w:ascii="Arial" w:hAnsi="Arial" w:cs="Arial"/>
        </w:rPr>
        <w:t xml:space="preserve">were </w:t>
      </w:r>
      <w:r w:rsidR="002B1558" w:rsidRPr="00837116">
        <w:rPr>
          <w:rFonts w:ascii="Arial" w:hAnsi="Arial" w:cs="Arial"/>
        </w:rPr>
        <w:t>legitimate</w:t>
      </w:r>
      <w:r w:rsidR="004D4C65" w:rsidRPr="00837116">
        <w:rPr>
          <w:rFonts w:ascii="Arial" w:hAnsi="Arial" w:cs="Arial"/>
        </w:rPr>
        <w:t>.</w:t>
      </w:r>
      <w:r w:rsidR="002B1558" w:rsidRPr="00837116">
        <w:rPr>
          <w:rFonts w:ascii="Arial" w:hAnsi="Arial" w:cs="Arial"/>
        </w:rPr>
        <w:t xml:space="preserve"> </w:t>
      </w:r>
      <w:r w:rsidR="006500D0" w:rsidRPr="00837116">
        <w:rPr>
          <w:rFonts w:ascii="Arial" w:hAnsi="Arial" w:cs="Arial"/>
        </w:rPr>
        <w:t>T</w:t>
      </w:r>
      <w:r w:rsidRPr="00837116">
        <w:rPr>
          <w:rFonts w:ascii="Arial" w:hAnsi="Arial" w:cs="Arial"/>
        </w:rPr>
        <w:t xml:space="preserve">he </w:t>
      </w:r>
      <w:r w:rsidR="006500D0" w:rsidRPr="00837116">
        <w:rPr>
          <w:rFonts w:ascii="Arial" w:hAnsi="Arial" w:cs="Arial"/>
        </w:rPr>
        <w:t>a</w:t>
      </w:r>
      <w:r w:rsidRPr="00837116">
        <w:rPr>
          <w:rFonts w:ascii="Arial" w:hAnsi="Arial" w:cs="Arial"/>
        </w:rPr>
        <w:t>pp</w:t>
      </w:r>
      <w:r w:rsidR="006500D0" w:rsidRPr="00837116">
        <w:rPr>
          <w:rFonts w:ascii="Arial" w:hAnsi="Arial" w:cs="Arial"/>
        </w:rPr>
        <w:t>licant</w:t>
      </w:r>
      <w:r w:rsidRPr="00837116">
        <w:rPr>
          <w:rFonts w:ascii="Arial" w:hAnsi="Arial" w:cs="Arial"/>
        </w:rPr>
        <w:t xml:space="preserve"> </w:t>
      </w:r>
      <w:r w:rsidR="006500D0" w:rsidRPr="00837116">
        <w:rPr>
          <w:rFonts w:ascii="Arial" w:hAnsi="Arial" w:cs="Arial"/>
        </w:rPr>
        <w:t xml:space="preserve">contends </w:t>
      </w:r>
      <w:r w:rsidRPr="00837116">
        <w:rPr>
          <w:rFonts w:ascii="Arial" w:hAnsi="Arial" w:cs="Arial"/>
        </w:rPr>
        <w:t>that the opinion is relevant</w:t>
      </w:r>
      <w:r w:rsidR="003D0989">
        <w:rPr>
          <w:rFonts w:ascii="Arial" w:hAnsi="Arial" w:cs="Arial"/>
        </w:rPr>
        <w:t>,</w:t>
      </w:r>
      <w:r w:rsidR="004D4C65" w:rsidRPr="00837116">
        <w:rPr>
          <w:rFonts w:ascii="Arial" w:hAnsi="Arial" w:cs="Arial"/>
        </w:rPr>
        <w:t xml:space="preserve"> because</w:t>
      </w:r>
      <w:r w:rsidR="00CD6829" w:rsidRPr="00837116">
        <w:rPr>
          <w:rFonts w:ascii="Arial" w:hAnsi="Arial" w:cs="Arial"/>
        </w:rPr>
        <w:t>,</w:t>
      </w:r>
      <w:r w:rsidR="00D56AF3" w:rsidRPr="00837116">
        <w:rPr>
          <w:rFonts w:ascii="Arial" w:hAnsi="Arial" w:cs="Arial"/>
        </w:rPr>
        <w:t xml:space="preserve"> according to</w:t>
      </w:r>
      <w:r w:rsidR="00CD6829" w:rsidRPr="00837116">
        <w:rPr>
          <w:rFonts w:ascii="Arial" w:hAnsi="Arial" w:cs="Arial"/>
        </w:rPr>
        <w:t xml:space="preserve"> him,</w:t>
      </w:r>
      <w:r w:rsidR="00D56AF3" w:rsidRPr="00837116">
        <w:rPr>
          <w:rFonts w:ascii="Arial" w:hAnsi="Arial" w:cs="Arial"/>
        </w:rPr>
        <w:t xml:space="preserve"> had the </w:t>
      </w:r>
      <w:r w:rsidR="008C3B00">
        <w:rPr>
          <w:rFonts w:ascii="Arial" w:hAnsi="Arial" w:cs="Arial"/>
        </w:rPr>
        <w:t xml:space="preserve">high </w:t>
      </w:r>
      <w:r w:rsidR="00D56AF3" w:rsidRPr="00837116">
        <w:rPr>
          <w:rFonts w:ascii="Arial" w:hAnsi="Arial" w:cs="Arial"/>
        </w:rPr>
        <w:t xml:space="preserve">court had such evidence before it, it </w:t>
      </w:r>
      <w:r w:rsidRPr="00837116">
        <w:rPr>
          <w:rFonts w:ascii="Arial" w:hAnsi="Arial" w:cs="Arial"/>
        </w:rPr>
        <w:t xml:space="preserve">would not have concluded that the donation be </w:t>
      </w:r>
      <w:r w:rsidR="00186E33" w:rsidRPr="00837116">
        <w:rPr>
          <w:rFonts w:ascii="Arial" w:hAnsi="Arial" w:cs="Arial"/>
        </w:rPr>
        <w:t xml:space="preserve">considered for purposes of calculating the </w:t>
      </w:r>
      <w:r w:rsidRPr="00837116">
        <w:rPr>
          <w:rFonts w:ascii="Arial" w:hAnsi="Arial" w:cs="Arial"/>
        </w:rPr>
        <w:t>accrual</w:t>
      </w:r>
      <w:r w:rsidR="00F44E68" w:rsidRPr="00837116">
        <w:rPr>
          <w:rFonts w:ascii="Arial" w:hAnsi="Arial" w:cs="Arial"/>
          <w:i/>
          <w:iCs/>
        </w:rPr>
        <w:t>.</w:t>
      </w:r>
      <w:r w:rsidR="008C3B00" w:rsidRPr="008C3B00">
        <w:rPr>
          <w:rFonts w:ascii="Arial" w:hAnsi="Arial" w:cs="Arial"/>
        </w:rPr>
        <w:t xml:space="preserve"> </w:t>
      </w:r>
      <w:r w:rsidR="008C3B00">
        <w:rPr>
          <w:rFonts w:ascii="Arial" w:hAnsi="Arial" w:cs="Arial"/>
        </w:rPr>
        <w:t>As to why the evidence was not introduced during the trial, t</w:t>
      </w:r>
      <w:r w:rsidR="008C3B00" w:rsidRPr="00837116">
        <w:rPr>
          <w:rFonts w:ascii="Arial" w:hAnsi="Arial" w:cs="Arial"/>
        </w:rPr>
        <w:t xml:space="preserve">he applicant </w:t>
      </w:r>
      <w:r w:rsidR="008C3B00">
        <w:rPr>
          <w:rFonts w:ascii="Arial" w:hAnsi="Arial" w:cs="Arial"/>
        </w:rPr>
        <w:t xml:space="preserve">explained </w:t>
      </w:r>
      <w:r w:rsidR="008C3B00" w:rsidRPr="00837116">
        <w:rPr>
          <w:rFonts w:ascii="Arial" w:hAnsi="Arial" w:cs="Arial"/>
        </w:rPr>
        <w:t>that during the trial, he had enquired from Stokes SC as to the need to lead such evidence</w:t>
      </w:r>
      <w:r w:rsidR="008C3B00">
        <w:rPr>
          <w:rFonts w:ascii="Arial" w:hAnsi="Arial" w:cs="Arial"/>
        </w:rPr>
        <w:t xml:space="preserve">, but </w:t>
      </w:r>
      <w:r w:rsidR="008C3B00" w:rsidRPr="00837116">
        <w:rPr>
          <w:rFonts w:ascii="Arial" w:hAnsi="Arial" w:cs="Arial"/>
        </w:rPr>
        <w:t xml:space="preserve">was advised that it was unnecessary to do so. </w:t>
      </w:r>
    </w:p>
    <w:p w14:paraId="55DD6628" w14:textId="77777777" w:rsidR="00CC0760" w:rsidRPr="00837116"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059C42A7" w14:textId="5418DDAB" w:rsidR="00EB7B19" w:rsidRPr="008D2D2C" w:rsidRDefault="00FE3474" w:rsidP="00695690">
      <w:pPr>
        <w:pStyle w:val="MEMONUMBERED"/>
        <w:numPr>
          <w:ilvl w:val="0"/>
          <w:numId w:val="2"/>
        </w:numPr>
        <w:kinsoku w:val="0"/>
        <w:overflowPunct w:val="0"/>
        <w:autoSpaceDE w:val="0"/>
        <w:autoSpaceDN w:val="0"/>
        <w:adjustRightInd w:val="0"/>
        <w:spacing w:line="360" w:lineRule="auto"/>
        <w:ind w:left="0" w:right="-7" w:firstLine="0"/>
        <w:rPr>
          <w:rFonts w:ascii="Arial" w:hAnsi="Arial" w:cs="Arial"/>
          <w:lang w:val="en-ZA"/>
        </w:rPr>
      </w:pPr>
      <w:r w:rsidRPr="008C3B00">
        <w:rPr>
          <w:rFonts w:ascii="Arial" w:hAnsi="Arial" w:cs="Arial"/>
        </w:rPr>
        <w:t xml:space="preserve">Section </w:t>
      </w:r>
      <w:r w:rsidR="00392F81" w:rsidRPr="008C3B00">
        <w:rPr>
          <w:rFonts w:ascii="Arial" w:hAnsi="Arial" w:cs="Arial"/>
        </w:rPr>
        <w:t>19</w:t>
      </w:r>
      <w:r w:rsidR="00392F81" w:rsidRPr="008D2D2C">
        <w:rPr>
          <w:rFonts w:ascii="Arial" w:hAnsi="Arial" w:cs="Arial"/>
          <w:i/>
        </w:rPr>
        <w:t>(</w:t>
      </w:r>
      <w:r w:rsidR="00392F81" w:rsidRPr="00695690">
        <w:rPr>
          <w:rFonts w:ascii="Arial" w:hAnsi="Arial" w:cs="Arial"/>
          <w:i/>
          <w:iCs/>
        </w:rPr>
        <w:t>b</w:t>
      </w:r>
      <w:r w:rsidR="00392F81" w:rsidRPr="008D2D2C">
        <w:rPr>
          <w:rFonts w:ascii="Arial" w:hAnsi="Arial" w:cs="Arial"/>
          <w:i/>
        </w:rPr>
        <w:t>)</w:t>
      </w:r>
      <w:r w:rsidR="00392F81" w:rsidRPr="008C3B00">
        <w:rPr>
          <w:rFonts w:ascii="Arial" w:hAnsi="Arial" w:cs="Arial"/>
        </w:rPr>
        <w:t xml:space="preserve"> of the Superior Court</w:t>
      </w:r>
      <w:r w:rsidRPr="008C3B00">
        <w:rPr>
          <w:rFonts w:ascii="Arial" w:hAnsi="Arial" w:cs="Arial"/>
        </w:rPr>
        <w:t>s</w:t>
      </w:r>
      <w:r w:rsidR="00392F81" w:rsidRPr="008C3B00">
        <w:rPr>
          <w:rFonts w:ascii="Arial" w:hAnsi="Arial" w:cs="Arial"/>
        </w:rPr>
        <w:t xml:space="preserve"> </w:t>
      </w:r>
      <w:r w:rsidR="00392F81" w:rsidRPr="00E00ADC">
        <w:rPr>
          <w:rFonts w:ascii="Arial" w:hAnsi="Arial" w:cs="Arial"/>
        </w:rPr>
        <w:t>Ac</w:t>
      </w:r>
      <w:r w:rsidR="00392F81" w:rsidRPr="00EC4EF5">
        <w:rPr>
          <w:rFonts w:ascii="Arial" w:hAnsi="Arial" w:cs="Arial"/>
        </w:rPr>
        <w:t>t</w:t>
      </w:r>
      <w:r w:rsidR="00392F81" w:rsidRPr="00E00ADC">
        <w:rPr>
          <w:rFonts w:ascii="Arial" w:hAnsi="Arial" w:cs="Arial"/>
        </w:rPr>
        <w:t xml:space="preserve">, </w:t>
      </w:r>
      <w:r w:rsidRPr="00E00ADC">
        <w:rPr>
          <w:rFonts w:ascii="Arial" w:hAnsi="Arial" w:cs="Arial"/>
        </w:rPr>
        <w:t xml:space="preserve">empowers this Court to </w:t>
      </w:r>
      <w:r w:rsidR="00392F81" w:rsidRPr="00E00ADC">
        <w:rPr>
          <w:rFonts w:ascii="Arial" w:hAnsi="Arial" w:cs="Arial"/>
        </w:rPr>
        <w:t>‘receive further evidence’.</w:t>
      </w:r>
      <w:r w:rsidR="006D231F" w:rsidRPr="00E00ADC">
        <w:rPr>
          <w:rFonts w:ascii="Arial" w:hAnsi="Arial" w:cs="Arial"/>
        </w:rPr>
        <w:t xml:space="preserve"> </w:t>
      </w:r>
      <w:r w:rsidR="00234588" w:rsidRPr="00E00ADC">
        <w:rPr>
          <w:rFonts w:ascii="Arial" w:hAnsi="Arial" w:cs="Arial"/>
        </w:rPr>
        <w:t>In</w:t>
      </w:r>
      <w:r w:rsidR="00234588" w:rsidRPr="00E00ADC">
        <w:rPr>
          <w:rFonts w:ascii="Arial" w:hAnsi="Arial" w:cs="Arial"/>
          <w:i/>
          <w:iCs/>
        </w:rPr>
        <w:t xml:space="preserve"> Colman v Dunbar </w:t>
      </w:r>
      <w:r w:rsidR="00234588" w:rsidRPr="00E00ADC">
        <w:rPr>
          <w:rFonts w:ascii="Arial" w:hAnsi="Arial" w:cs="Arial"/>
        </w:rPr>
        <w:t>1933 AD 141</w:t>
      </w:r>
      <w:r w:rsidR="008600DE" w:rsidRPr="00E00ADC">
        <w:rPr>
          <w:rFonts w:ascii="Arial" w:hAnsi="Arial" w:cs="Arial"/>
        </w:rPr>
        <w:t xml:space="preserve"> </w:t>
      </w:r>
      <w:r w:rsidR="008600DE" w:rsidRPr="00EC4EF5">
        <w:rPr>
          <w:rFonts w:ascii="Arial" w:hAnsi="Arial" w:cs="Arial"/>
        </w:rPr>
        <w:t>(A)</w:t>
      </w:r>
      <w:r w:rsidR="00122F36" w:rsidRPr="00EC4EF5">
        <w:rPr>
          <w:rFonts w:ascii="Arial" w:hAnsi="Arial" w:cs="Arial"/>
        </w:rPr>
        <w:t xml:space="preserve"> at 161-163</w:t>
      </w:r>
      <w:r w:rsidR="008600DE" w:rsidRPr="00EC4EF5">
        <w:rPr>
          <w:rFonts w:ascii="Arial" w:hAnsi="Arial" w:cs="Arial"/>
        </w:rPr>
        <w:t>,</w:t>
      </w:r>
      <w:r w:rsidR="00234588" w:rsidRPr="008C3B00">
        <w:rPr>
          <w:rFonts w:ascii="Arial" w:hAnsi="Arial" w:cs="Arial"/>
        </w:rPr>
        <w:t xml:space="preserve"> this Court said that the relevant criteria</w:t>
      </w:r>
      <w:r w:rsidR="00314B47">
        <w:rPr>
          <w:rFonts w:ascii="Arial" w:hAnsi="Arial" w:cs="Arial"/>
        </w:rPr>
        <w:t xml:space="preserve"> </w:t>
      </w:r>
      <w:r w:rsidR="00314B47" w:rsidRPr="008C3B00">
        <w:rPr>
          <w:rFonts w:ascii="Arial" w:hAnsi="Arial" w:cs="Arial"/>
        </w:rPr>
        <w:t xml:space="preserve">as to whether evidence </w:t>
      </w:r>
      <w:r w:rsidR="00314B47">
        <w:rPr>
          <w:rFonts w:ascii="Arial" w:hAnsi="Arial" w:cs="Arial"/>
        </w:rPr>
        <w:t xml:space="preserve">should be </w:t>
      </w:r>
      <w:r w:rsidR="00314B47" w:rsidRPr="008C3B00">
        <w:rPr>
          <w:rFonts w:ascii="Arial" w:hAnsi="Arial" w:cs="Arial"/>
        </w:rPr>
        <w:t>admitted</w:t>
      </w:r>
      <w:r w:rsidR="00314B47">
        <w:rPr>
          <w:rFonts w:ascii="Arial" w:hAnsi="Arial" w:cs="Arial"/>
        </w:rPr>
        <w:t xml:space="preserve"> </w:t>
      </w:r>
      <w:r w:rsidR="00314B47" w:rsidRPr="008C3B00">
        <w:rPr>
          <w:rFonts w:ascii="Arial" w:hAnsi="Arial" w:cs="Arial"/>
        </w:rPr>
        <w:t>on appeal</w:t>
      </w:r>
      <w:r w:rsidR="00234588" w:rsidRPr="008C3B00">
        <w:rPr>
          <w:rFonts w:ascii="Arial" w:hAnsi="Arial" w:cs="Arial"/>
        </w:rPr>
        <w:t xml:space="preserve"> are</w:t>
      </w:r>
      <w:r w:rsidR="00282E0D">
        <w:rPr>
          <w:rFonts w:ascii="Arial" w:hAnsi="Arial" w:cs="Arial"/>
        </w:rPr>
        <w:t>:</w:t>
      </w:r>
      <w:r w:rsidR="00234588" w:rsidRPr="008C3B00">
        <w:rPr>
          <w:rFonts w:ascii="Arial" w:hAnsi="Arial" w:cs="Arial"/>
        </w:rPr>
        <w:t xml:space="preserve"> the need for finality, the undesirability of permitting a litigant who has been remiss in bringing forth evidence</w:t>
      </w:r>
      <w:r w:rsidR="00282E0D">
        <w:rPr>
          <w:rFonts w:ascii="Arial" w:hAnsi="Arial" w:cs="Arial"/>
        </w:rPr>
        <w:t>,</w:t>
      </w:r>
      <w:r w:rsidR="00234588" w:rsidRPr="008C3B00">
        <w:rPr>
          <w:rFonts w:ascii="Arial" w:hAnsi="Arial" w:cs="Arial"/>
        </w:rPr>
        <w:t xml:space="preserve"> to produce it late in the day, and the need to avoid prejudice. </w:t>
      </w:r>
      <w:r w:rsidR="00234588" w:rsidRPr="00314B47">
        <w:rPr>
          <w:rFonts w:ascii="Arial" w:hAnsi="Arial" w:cs="Arial"/>
        </w:rPr>
        <w:t xml:space="preserve">This was approved by the Constitutional Court in </w:t>
      </w:r>
      <w:r w:rsidR="00392F81" w:rsidRPr="00314B47">
        <w:rPr>
          <w:rFonts w:ascii="Arial" w:hAnsi="Arial" w:cs="Arial"/>
          <w:i/>
          <w:iCs/>
        </w:rPr>
        <w:t xml:space="preserve">Rail Commuters Action Group and Others v </w:t>
      </w:r>
      <w:r w:rsidR="00392F81" w:rsidRPr="00E00ADC">
        <w:rPr>
          <w:rFonts w:ascii="Arial" w:hAnsi="Arial" w:cs="Arial"/>
          <w:i/>
          <w:iCs/>
        </w:rPr>
        <w:t>Transnet Ltd t/a Metro</w:t>
      </w:r>
      <w:r w:rsidR="00B26738" w:rsidRPr="00EC4EF5">
        <w:rPr>
          <w:rFonts w:ascii="Arial" w:hAnsi="Arial" w:cs="Arial"/>
          <w:i/>
          <w:iCs/>
        </w:rPr>
        <w:t>r</w:t>
      </w:r>
      <w:r w:rsidR="00392F81" w:rsidRPr="00E00ADC">
        <w:rPr>
          <w:rFonts w:ascii="Arial" w:hAnsi="Arial" w:cs="Arial"/>
          <w:i/>
          <w:iCs/>
        </w:rPr>
        <w:t>ail</w:t>
      </w:r>
      <w:r w:rsidR="00392F81" w:rsidRPr="00314B47">
        <w:rPr>
          <w:rFonts w:ascii="Arial" w:hAnsi="Arial" w:cs="Arial"/>
          <w:i/>
          <w:iCs/>
        </w:rPr>
        <w:t xml:space="preserve"> and Others </w:t>
      </w:r>
      <w:r w:rsidR="003D5424" w:rsidRPr="00314B47">
        <w:rPr>
          <w:rFonts w:ascii="Arial" w:hAnsi="Arial" w:cs="Arial"/>
        </w:rPr>
        <w:t>[2004] ZACC 20;</w:t>
      </w:r>
      <w:r w:rsidR="003D5424" w:rsidRPr="00314B47">
        <w:rPr>
          <w:rFonts w:ascii="Arial" w:hAnsi="Arial" w:cs="Arial"/>
          <w:bCs/>
        </w:rPr>
        <w:t xml:space="preserve"> </w:t>
      </w:r>
      <w:r w:rsidR="00392F81" w:rsidRPr="00314B47">
        <w:rPr>
          <w:rFonts w:ascii="Arial" w:hAnsi="Arial" w:cs="Arial"/>
        </w:rPr>
        <w:t>2005 (2) SA 359 (CC)</w:t>
      </w:r>
      <w:r w:rsidR="00234588" w:rsidRPr="00695690">
        <w:rPr>
          <w:rFonts w:ascii="Arial" w:hAnsi="Arial" w:cs="Arial"/>
        </w:rPr>
        <w:t xml:space="preserve"> paras 4</w:t>
      </w:r>
      <w:r w:rsidR="007A0E74" w:rsidRPr="00695690">
        <w:rPr>
          <w:rFonts w:ascii="Arial" w:hAnsi="Arial" w:cs="Arial"/>
        </w:rPr>
        <w:t>1</w:t>
      </w:r>
      <w:r w:rsidR="00234588" w:rsidRPr="008B31CB">
        <w:rPr>
          <w:rFonts w:ascii="Arial" w:hAnsi="Arial" w:cs="Arial"/>
        </w:rPr>
        <w:t>-</w:t>
      </w:r>
      <w:r w:rsidR="001649B0" w:rsidRPr="00C322E0">
        <w:rPr>
          <w:rFonts w:ascii="Arial" w:hAnsi="Arial" w:cs="Arial"/>
        </w:rPr>
        <w:t xml:space="preserve">43. Referring to </w:t>
      </w:r>
      <w:r w:rsidR="00FF54E6" w:rsidRPr="00EC4EF5">
        <w:rPr>
          <w:rFonts w:ascii="Arial" w:hAnsi="Arial" w:cs="Arial"/>
        </w:rPr>
        <w:t>s</w:t>
      </w:r>
      <w:r w:rsidR="001649B0" w:rsidRPr="00B26738">
        <w:rPr>
          <w:rFonts w:ascii="Arial" w:hAnsi="Arial" w:cs="Arial"/>
        </w:rPr>
        <w:t xml:space="preserve"> 22 of the</w:t>
      </w:r>
      <w:r w:rsidR="00FF54E6" w:rsidRPr="00B26738">
        <w:rPr>
          <w:rFonts w:ascii="Arial" w:hAnsi="Arial" w:cs="Arial"/>
        </w:rPr>
        <w:t xml:space="preserve"> repealed Supreme Court Act 59 of 1959</w:t>
      </w:r>
      <w:r w:rsidR="001649B0" w:rsidRPr="00B26738">
        <w:rPr>
          <w:rFonts w:ascii="Arial" w:hAnsi="Arial" w:cs="Arial"/>
        </w:rPr>
        <w:t xml:space="preserve">, which is similar to </w:t>
      </w:r>
      <w:r w:rsidR="001649B0" w:rsidRPr="00EC4EF5">
        <w:rPr>
          <w:rFonts w:ascii="Arial" w:hAnsi="Arial" w:cs="Arial"/>
        </w:rPr>
        <w:t>s</w:t>
      </w:r>
      <w:r w:rsidR="001649B0" w:rsidRPr="00B26738">
        <w:rPr>
          <w:rFonts w:ascii="Arial" w:hAnsi="Arial" w:cs="Arial"/>
        </w:rPr>
        <w:t xml:space="preserve"> 19</w:t>
      </w:r>
      <w:r w:rsidR="001649B0" w:rsidRPr="008D2D2C">
        <w:rPr>
          <w:rFonts w:ascii="Arial" w:hAnsi="Arial" w:cs="Arial"/>
          <w:i/>
        </w:rPr>
        <w:t>(</w:t>
      </w:r>
      <w:r w:rsidR="001649B0" w:rsidRPr="00695690">
        <w:rPr>
          <w:rFonts w:ascii="Arial" w:hAnsi="Arial" w:cs="Arial"/>
          <w:i/>
          <w:iCs/>
        </w:rPr>
        <w:t>b</w:t>
      </w:r>
      <w:r w:rsidR="001649B0" w:rsidRPr="008D2D2C">
        <w:rPr>
          <w:rFonts w:ascii="Arial" w:hAnsi="Arial" w:cs="Arial"/>
          <w:i/>
        </w:rPr>
        <w:t>)</w:t>
      </w:r>
      <w:r w:rsidR="00B26738" w:rsidRPr="00B26738">
        <w:rPr>
          <w:rFonts w:ascii="Arial" w:hAnsi="Arial" w:cs="Arial"/>
        </w:rPr>
        <w:t xml:space="preserve"> </w:t>
      </w:r>
      <w:r w:rsidR="00B26738" w:rsidRPr="00EC4EF5">
        <w:rPr>
          <w:rFonts w:ascii="Arial" w:hAnsi="Arial" w:cs="Arial"/>
        </w:rPr>
        <w:t>of the Superior Courts Act</w:t>
      </w:r>
      <w:r w:rsidR="001649B0" w:rsidRPr="00695690">
        <w:rPr>
          <w:rFonts w:ascii="Arial" w:hAnsi="Arial" w:cs="Arial"/>
        </w:rPr>
        <w:t xml:space="preserve">, the court </w:t>
      </w:r>
      <w:r w:rsidR="001649B0" w:rsidRPr="008B31CB">
        <w:rPr>
          <w:rFonts w:ascii="Arial" w:hAnsi="Arial" w:cs="Arial"/>
        </w:rPr>
        <w:t>cautioned that the power to receive further evidence on appeal should be exercised ‘sparingly’ and that such evidence should only be admitted in ‘exceptional circumstances</w:t>
      </w:r>
      <w:r w:rsidR="001649B0" w:rsidRPr="00C322E0">
        <w:rPr>
          <w:rFonts w:ascii="Arial" w:hAnsi="Arial" w:cs="Arial"/>
        </w:rPr>
        <w:t>’</w:t>
      </w:r>
      <w:r w:rsidR="00B26738">
        <w:rPr>
          <w:rFonts w:ascii="Arial" w:hAnsi="Arial" w:cs="Arial"/>
        </w:rPr>
        <w:t>.</w:t>
      </w:r>
      <w:r w:rsidR="001649B0" w:rsidRPr="00695690">
        <w:rPr>
          <w:rFonts w:ascii="Arial" w:hAnsi="Arial" w:cs="Arial"/>
        </w:rPr>
        <w:t xml:space="preserve"> In addition, </w:t>
      </w:r>
      <w:r w:rsidR="00FF54E6" w:rsidRPr="00695690">
        <w:rPr>
          <w:rFonts w:ascii="Arial" w:hAnsi="Arial" w:cs="Arial"/>
        </w:rPr>
        <w:t>the evidence</w:t>
      </w:r>
      <w:r w:rsidR="001649B0" w:rsidRPr="00695690">
        <w:rPr>
          <w:rFonts w:ascii="Arial" w:hAnsi="Arial" w:cs="Arial"/>
        </w:rPr>
        <w:t xml:space="preserve"> must be </w:t>
      </w:r>
      <w:r w:rsidR="00FF54E6" w:rsidRPr="00695690">
        <w:rPr>
          <w:rFonts w:ascii="Arial" w:hAnsi="Arial" w:cs="Arial"/>
        </w:rPr>
        <w:t>‘</w:t>
      </w:r>
      <w:r w:rsidR="001649B0" w:rsidRPr="00695690">
        <w:rPr>
          <w:rFonts w:ascii="Arial" w:hAnsi="Arial" w:cs="Arial"/>
        </w:rPr>
        <w:t xml:space="preserve">weighty, material and </w:t>
      </w:r>
      <w:r w:rsidR="00325A9E" w:rsidRPr="00EC4EF5">
        <w:rPr>
          <w:rFonts w:ascii="Arial" w:hAnsi="Arial" w:cs="Arial"/>
        </w:rPr>
        <w:t>presumably</w:t>
      </w:r>
      <w:r w:rsidR="00325A9E" w:rsidRPr="00E00ADC">
        <w:rPr>
          <w:rFonts w:ascii="Arial" w:hAnsi="Arial" w:cs="Arial"/>
        </w:rPr>
        <w:t xml:space="preserve"> </w:t>
      </w:r>
      <w:r w:rsidR="001649B0" w:rsidRPr="00E00ADC">
        <w:rPr>
          <w:rFonts w:ascii="Arial" w:hAnsi="Arial" w:cs="Arial"/>
        </w:rPr>
        <w:t>to be believed</w:t>
      </w:r>
      <w:r w:rsidR="00FF54E6" w:rsidRPr="00E00ADC">
        <w:rPr>
          <w:rFonts w:ascii="Arial" w:hAnsi="Arial" w:cs="Arial"/>
        </w:rPr>
        <w:t>’</w:t>
      </w:r>
      <w:r w:rsidR="00325A9E" w:rsidRPr="00E00ADC">
        <w:rPr>
          <w:rFonts w:ascii="Arial" w:hAnsi="Arial" w:cs="Arial"/>
        </w:rPr>
        <w:t>.</w:t>
      </w:r>
      <w:r w:rsidR="00FF54E6" w:rsidRPr="00E00ADC">
        <w:rPr>
          <w:rFonts w:ascii="Arial" w:hAnsi="Arial" w:cs="Arial"/>
        </w:rPr>
        <w:t xml:space="preserve"> </w:t>
      </w:r>
      <w:r w:rsidR="00D00264" w:rsidRPr="00E00ADC">
        <w:rPr>
          <w:rFonts w:ascii="Arial" w:hAnsi="Arial" w:cs="Arial"/>
        </w:rPr>
        <w:t xml:space="preserve">In </w:t>
      </w:r>
      <w:r w:rsidR="00D00264" w:rsidRPr="00E00ADC">
        <w:rPr>
          <w:rFonts w:ascii="Arial" w:hAnsi="Arial" w:cs="Arial"/>
          <w:i/>
          <w:iCs/>
        </w:rPr>
        <w:t>O’Shea NO v Van Zyl NO</w:t>
      </w:r>
      <w:r w:rsidR="00325A9E" w:rsidRPr="00E00ADC">
        <w:rPr>
          <w:rFonts w:ascii="Arial" w:hAnsi="Arial" w:cs="Arial"/>
          <w:i/>
          <w:iCs/>
        </w:rPr>
        <w:t xml:space="preserve"> </w:t>
      </w:r>
      <w:r w:rsidR="00325A9E" w:rsidRPr="00EC4EF5">
        <w:rPr>
          <w:rFonts w:ascii="Arial" w:hAnsi="Arial" w:cs="Arial"/>
          <w:i/>
          <w:iCs/>
        </w:rPr>
        <w:t xml:space="preserve">and </w:t>
      </w:r>
      <w:r w:rsidR="00325A9E" w:rsidRPr="00EC4EF5">
        <w:rPr>
          <w:rFonts w:ascii="Arial" w:hAnsi="Arial" w:cs="Arial"/>
          <w:i/>
          <w:iCs/>
        </w:rPr>
        <w:lastRenderedPageBreak/>
        <w:t>Others</w:t>
      </w:r>
      <w:r w:rsidR="00D00264" w:rsidRPr="00E00ADC">
        <w:rPr>
          <w:rFonts w:ascii="Arial" w:hAnsi="Arial" w:cs="Arial"/>
          <w:i/>
          <w:iCs/>
        </w:rPr>
        <w:t xml:space="preserve"> (Shaw NO and Others Intervening) </w:t>
      </w:r>
      <w:r w:rsidR="00EB7B19" w:rsidRPr="00E00ADC">
        <w:rPr>
          <w:rFonts w:ascii="Arial" w:hAnsi="Arial" w:cs="Arial"/>
        </w:rPr>
        <w:t>[2011] ZASCA 156;</w:t>
      </w:r>
      <w:r w:rsidR="00EB7B19" w:rsidRPr="00E00ADC">
        <w:rPr>
          <w:rFonts w:ascii="Arial" w:hAnsi="Arial" w:cs="Arial"/>
          <w:bCs/>
        </w:rPr>
        <w:t xml:space="preserve"> </w:t>
      </w:r>
      <w:r w:rsidR="00D00264" w:rsidRPr="00E00ADC">
        <w:rPr>
          <w:rFonts w:ascii="Arial" w:hAnsi="Arial" w:cs="Arial"/>
        </w:rPr>
        <w:t>2012 (1) SA 90 (SCA)</w:t>
      </w:r>
      <w:r w:rsidR="00325A9E" w:rsidRPr="00EC4EF5">
        <w:rPr>
          <w:rFonts w:ascii="Arial" w:hAnsi="Arial" w:cs="Arial"/>
        </w:rPr>
        <w:t xml:space="preserve">; </w:t>
      </w:r>
      <w:r w:rsidR="00325A9E" w:rsidRPr="00EC4EF5">
        <w:rPr>
          <w:rFonts w:ascii="Arial" w:hAnsi="Arial" w:cs="Arial"/>
          <w:bCs/>
          <w:lang w:val="en-ZA"/>
        </w:rPr>
        <w:t>[2012] 1 All SA 303 (SCA)</w:t>
      </w:r>
      <w:r w:rsidR="00325A9E">
        <w:rPr>
          <w:rFonts w:ascii="Arial" w:hAnsi="Arial" w:cs="Arial"/>
        </w:rPr>
        <w:t xml:space="preserve"> </w:t>
      </w:r>
      <w:r w:rsidR="00D00264" w:rsidRPr="00695690">
        <w:rPr>
          <w:rFonts w:ascii="Arial" w:hAnsi="Arial" w:cs="Arial"/>
        </w:rPr>
        <w:t xml:space="preserve">para 9, this Court considered that one of the criteria for the late admission of the new evidence is that </w:t>
      </w:r>
      <w:r w:rsidR="007A0E74" w:rsidRPr="00C322E0">
        <w:rPr>
          <w:rFonts w:ascii="Arial" w:hAnsi="Arial" w:cs="Arial"/>
        </w:rPr>
        <w:t xml:space="preserve">such </w:t>
      </w:r>
      <w:r w:rsidR="00D00264" w:rsidRPr="00C322E0">
        <w:rPr>
          <w:rFonts w:ascii="Arial" w:hAnsi="Arial" w:cs="Arial"/>
        </w:rPr>
        <w:t>evidence will be practically conclusive and final in its effect on the issue to which it is directed.</w:t>
      </w:r>
    </w:p>
    <w:p w14:paraId="30A7EE4C" w14:textId="77777777" w:rsidR="00CC0760" w:rsidRPr="00314B47"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657922AD" w14:textId="77777777" w:rsidR="00122F36" w:rsidRPr="00695690" w:rsidRDefault="007A0E74"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rPr>
        <w:t xml:space="preserve">Measured against </w:t>
      </w:r>
      <w:r w:rsidR="00D00264" w:rsidRPr="00837116">
        <w:rPr>
          <w:rFonts w:ascii="Arial" w:hAnsi="Arial" w:cs="Arial"/>
        </w:rPr>
        <w:t>the approach set out above</w:t>
      </w:r>
      <w:r w:rsidRPr="00837116">
        <w:rPr>
          <w:rFonts w:ascii="Arial" w:hAnsi="Arial" w:cs="Arial"/>
        </w:rPr>
        <w:t xml:space="preserve">, I am of the view that there is no merit in </w:t>
      </w:r>
      <w:r w:rsidR="00D00264" w:rsidRPr="00837116">
        <w:rPr>
          <w:rFonts w:ascii="Arial" w:hAnsi="Arial" w:cs="Arial"/>
        </w:rPr>
        <w:t>the applicant’s application</w:t>
      </w:r>
      <w:r w:rsidRPr="00837116">
        <w:rPr>
          <w:rFonts w:ascii="Arial" w:hAnsi="Arial" w:cs="Arial"/>
        </w:rPr>
        <w:t>.</w:t>
      </w:r>
      <w:r w:rsidR="00D00264" w:rsidRPr="00837116">
        <w:rPr>
          <w:rFonts w:ascii="Arial" w:hAnsi="Arial" w:cs="Arial"/>
        </w:rPr>
        <w:t xml:space="preserve"> </w:t>
      </w:r>
      <w:r w:rsidR="00403DC8" w:rsidRPr="00837116">
        <w:rPr>
          <w:rFonts w:ascii="Arial" w:hAnsi="Arial" w:cs="Arial"/>
        </w:rPr>
        <w:t xml:space="preserve">First, </w:t>
      </w:r>
      <w:r w:rsidR="00D00264" w:rsidRPr="00837116">
        <w:rPr>
          <w:rFonts w:ascii="Arial" w:hAnsi="Arial" w:cs="Arial"/>
        </w:rPr>
        <w:t>I discern no ‘exceptional circumstances’ to move this Court to exercise its power, which</w:t>
      </w:r>
      <w:r w:rsidR="00122F36">
        <w:rPr>
          <w:rFonts w:ascii="Arial" w:hAnsi="Arial" w:cs="Arial"/>
        </w:rPr>
        <w:t>,</w:t>
      </w:r>
      <w:r w:rsidR="00D00264" w:rsidRPr="00837116">
        <w:rPr>
          <w:rFonts w:ascii="Arial" w:hAnsi="Arial" w:cs="Arial"/>
        </w:rPr>
        <w:t xml:space="preserve"> </w:t>
      </w:r>
      <w:r w:rsidR="00403DC8" w:rsidRPr="00837116">
        <w:rPr>
          <w:rFonts w:ascii="Arial" w:hAnsi="Arial" w:cs="Arial"/>
        </w:rPr>
        <w:t xml:space="preserve">it must be borne in mind, should be exercised ‘sparingly’. </w:t>
      </w:r>
    </w:p>
    <w:p w14:paraId="27D1E242" w14:textId="77777777" w:rsidR="00122F36" w:rsidRDefault="00122F36" w:rsidP="008D2D2C">
      <w:pPr>
        <w:pStyle w:val="ListParagraph"/>
        <w:rPr>
          <w:rFonts w:ascii="Arial" w:hAnsi="Arial" w:cs="Arial"/>
        </w:rPr>
      </w:pPr>
    </w:p>
    <w:p w14:paraId="3566F721" w14:textId="2550400F" w:rsidR="007F3924" w:rsidRPr="00CC0760" w:rsidRDefault="00403DC8"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rPr>
        <w:t xml:space="preserve">Second, the evidence sought to be introduced would not be ‘practically conclusive and final in its effect’ on the issue of the lawfulness of the donation. The fact that the applicant acted on the basis of </w:t>
      </w:r>
      <w:r w:rsidR="00122F36" w:rsidRPr="00EC4EF5">
        <w:rPr>
          <w:rFonts w:ascii="Arial" w:hAnsi="Arial" w:cs="Arial"/>
        </w:rPr>
        <w:t>a legal</w:t>
      </w:r>
      <w:r w:rsidRPr="00E00ADC">
        <w:rPr>
          <w:rFonts w:ascii="Arial" w:hAnsi="Arial" w:cs="Arial"/>
        </w:rPr>
        <w:t xml:space="preserve"> opinion from senior counsel is not dispositive of the question </w:t>
      </w:r>
      <w:r w:rsidR="00122F36" w:rsidRPr="00EC4EF5">
        <w:rPr>
          <w:rFonts w:ascii="Arial" w:hAnsi="Arial" w:cs="Arial"/>
        </w:rPr>
        <w:t>as to</w:t>
      </w:r>
      <w:r w:rsidR="00122F36">
        <w:rPr>
          <w:rFonts w:ascii="Arial" w:hAnsi="Arial" w:cs="Arial"/>
        </w:rPr>
        <w:t xml:space="preserve"> </w:t>
      </w:r>
      <w:r w:rsidRPr="00837116">
        <w:rPr>
          <w:rFonts w:ascii="Arial" w:hAnsi="Arial" w:cs="Arial"/>
        </w:rPr>
        <w:t xml:space="preserve">whether </w:t>
      </w:r>
      <w:r w:rsidR="00596BC2" w:rsidRPr="00837116">
        <w:rPr>
          <w:rFonts w:ascii="Arial" w:hAnsi="Arial" w:cs="Arial"/>
        </w:rPr>
        <w:t xml:space="preserve">the value of the donation to the trust should be included in the calculation of the accrual. It is but one of the factors to be considered. </w:t>
      </w:r>
    </w:p>
    <w:p w14:paraId="28C8950C" w14:textId="68EC220E" w:rsidR="00CC0760"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237775A9" w14:textId="4369B9EF" w:rsidR="001E39B3" w:rsidRDefault="003F6D68"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7F3924">
        <w:rPr>
          <w:rFonts w:ascii="Arial" w:hAnsi="Arial" w:cs="Arial"/>
        </w:rPr>
        <w:t>Third, and as</w:t>
      </w:r>
      <w:r w:rsidRPr="007F3924">
        <w:rPr>
          <w:rFonts w:ascii="Arial" w:hAnsi="Arial" w:cs="Arial"/>
          <w:i/>
          <w:iCs/>
        </w:rPr>
        <w:t xml:space="preserve"> </w:t>
      </w:r>
      <w:r w:rsidRPr="007F3924">
        <w:rPr>
          <w:rFonts w:ascii="Arial" w:hAnsi="Arial" w:cs="Arial"/>
          <w:bCs/>
        </w:rPr>
        <w:t>c</w:t>
      </w:r>
      <w:r w:rsidR="000213B8" w:rsidRPr="007F3924">
        <w:rPr>
          <w:rFonts w:ascii="Arial" w:hAnsi="Arial" w:cs="Arial"/>
          <w:bCs/>
        </w:rPr>
        <w:t xml:space="preserve">ounsel for the respondent </w:t>
      </w:r>
      <w:r w:rsidRPr="007F3924">
        <w:rPr>
          <w:rFonts w:ascii="Arial" w:hAnsi="Arial" w:cs="Arial"/>
          <w:bCs/>
        </w:rPr>
        <w:t xml:space="preserve">correctly </w:t>
      </w:r>
      <w:r w:rsidR="000213B8" w:rsidRPr="007F3924">
        <w:rPr>
          <w:rFonts w:ascii="Arial" w:hAnsi="Arial" w:cs="Arial"/>
          <w:bCs/>
        </w:rPr>
        <w:t xml:space="preserve">pointed out, </w:t>
      </w:r>
      <w:r w:rsidRPr="007F3924">
        <w:rPr>
          <w:rFonts w:ascii="Arial" w:hAnsi="Arial" w:cs="Arial"/>
          <w:bCs/>
        </w:rPr>
        <w:t>the evidence sought to be introduced is not of an incontrovertible nature. I</w:t>
      </w:r>
      <w:r w:rsidR="000213B8" w:rsidRPr="007F3924">
        <w:rPr>
          <w:rFonts w:ascii="Arial" w:hAnsi="Arial" w:cs="Arial"/>
          <w:bCs/>
        </w:rPr>
        <w:t>t is not decisive of the question for which it is sought to be introduced. On the contrary, it raises more questions than it answers</w:t>
      </w:r>
      <w:r w:rsidR="00FB6BEA" w:rsidRPr="007F3924">
        <w:rPr>
          <w:rFonts w:ascii="Arial" w:hAnsi="Arial" w:cs="Arial"/>
          <w:bCs/>
        </w:rPr>
        <w:t>, which can only be explored in cross-examination</w:t>
      </w:r>
      <w:r w:rsidR="009D3D61" w:rsidRPr="007F3924">
        <w:rPr>
          <w:rFonts w:ascii="Arial" w:hAnsi="Arial" w:cs="Arial"/>
          <w:bCs/>
        </w:rPr>
        <w:t>, which cannot be done on appeal.</w:t>
      </w:r>
      <w:r w:rsidR="00FB6BEA" w:rsidRPr="007F3924">
        <w:rPr>
          <w:rFonts w:ascii="Arial" w:hAnsi="Arial" w:cs="Arial"/>
          <w:bCs/>
        </w:rPr>
        <w:t xml:space="preserve"> Those questions </w:t>
      </w:r>
      <w:r w:rsidR="00FA6383" w:rsidRPr="007F3924">
        <w:rPr>
          <w:rFonts w:ascii="Arial" w:hAnsi="Arial" w:cs="Arial"/>
          <w:bCs/>
        </w:rPr>
        <w:t xml:space="preserve">include why the applicant sought a second opinion on the same issue, </w:t>
      </w:r>
      <w:r w:rsidRPr="007F3924">
        <w:rPr>
          <w:rFonts w:ascii="Arial" w:hAnsi="Arial" w:cs="Arial"/>
          <w:bCs/>
        </w:rPr>
        <w:t xml:space="preserve">which </w:t>
      </w:r>
      <w:r w:rsidR="00FA6383" w:rsidRPr="007F3924">
        <w:rPr>
          <w:rFonts w:ascii="Arial" w:hAnsi="Arial" w:cs="Arial"/>
          <w:bCs/>
        </w:rPr>
        <w:t>tends to suggest that the initial opinion was unfavourable to the outcome he sought.</w:t>
      </w:r>
      <w:r w:rsidR="00E749FA" w:rsidRPr="007F3924">
        <w:rPr>
          <w:rFonts w:ascii="Arial" w:hAnsi="Arial" w:cs="Arial"/>
          <w:bCs/>
        </w:rPr>
        <w:t xml:space="preserve"> </w:t>
      </w:r>
      <w:r w:rsidR="00E77EB6" w:rsidRPr="007F3924">
        <w:rPr>
          <w:rFonts w:ascii="Arial" w:hAnsi="Arial" w:cs="Arial"/>
          <w:bCs/>
        </w:rPr>
        <w:t>For all the above reasons</w:t>
      </w:r>
      <w:r w:rsidR="001B6558">
        <w:rPr>
          <w:rFonts w:ascii="Arial" w:hAnsi="Arial" w:cs="Arial"/>
          <w:bCs/>
        </w:rPr>
        <w:t>,</w:t>
      </w:r>
      <w:r w:rsidR="00E77EB6" w:rsidRPr="007F3924">
        <w:rPr>
          <w:rFonts w:ascii="Arial" w:hAnsi="Arial" w:cs="Arial"/>
          <w:bCs/>
        </w:rPr>
        <w:t xml:space="preserve"> the application to adduce further evidence on appeal must be dismissed.</w:t>
      </w:r>
    </w:p>
    <w:p w14:paraId="3E3693E4" w14:textId="5EB5F362" w:rsidR="00CC0760" w:rsidRPr="007F3924"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1C1C93C6" w14:textId="3EE33F6C" w:rsidR="00FE5A18" w:rsidRPr="00837116" w:rsidRDefault="00CF4B7C" w:rsidP="00CC0760">
      <w:pPr>
        <w:pStyle w:val="MEMONUMBERED"/>
        <w:kinsoku w:val="0"/>
        <w:overflowPunct w:val="0"/>
        <w:autoSpaceDE w:val="0"/>
        <w:autoSpaceDN w:val="0"/>
        <w:adjustRightInd w:val="0"/>
        <w:spacing w:line="360" w:lineRule="auto"/>
        <w:ind w:right="-7"/>
        <w:rPr>
          <w:rFonts w:ascii="Arial" w:hAnsi="Arial" w:cs="Arial"/>
          <w:bCs/>
        </w:rPr>
      </w:pPr>
      <w:r w:rsidRPr="00837116">
        <w:rPr>
          <w:rFonts w:ascii="Arial" w:hAnsi="Arial" w:cs="Arial"/>
          <w:b/>
          <w:bCs/>
        </w:rPr>
        <w:t>Condonation</w:t>
      </w:r>
    </w:p>
    <w:p w14:paraId="03802F4E" w14:textId="29CFD24E" w:rsidR="00347AE5" w:rsidRPr="00CC0760" w:rsidRDefault="00347AE5"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rPr>
        <w:t xml:space="preserve">The high court granted </w:t>
      </w:r>
      <w:r w:rsidR="00312D1F">
        <w:rPr>
          <w:rFonts w:ascii="Arial" w:hAnsi="Arial" w:cs="Arial"/>
        </w:rPr>
        <w:t xml:space="preserve">the applicant </w:t>
      </w:r>
      <w:r w:rsidRPr="00837116">
        <w:rPr>
          <w:rFonts w:ascii="Arial" w:hAnsi="Arial" w:cs="Arial"/>
        </w:rPr>
        <w:t>l</w:t>
      </w:r>
      <w:r w:rsidR="00883DC8" w:rsidRPr="00837116">
        <w:rPr>
          <w:rFonts w:ascii="Arial" w:hAnsi="Arial" w:cs="Arial"/>
        </w:rPr>
        <w:t xml:space="preserve">eave to appeal to the </w:t>
      </w:r>
      <w:r w:rsidRPr="00837116">
        <w:rPr>
          <w:rFonts w:ascii="Arial" w:hAnsi="Arial" w:cs="Arial"/>
        </w:rPr>
        <w:t>f</w:t>
      </w:r>
      <w:r w:rsidR="00883DC8" w:rsidRPr="00837116">
        <w:rPr>
          <w:rFonts w:ascii="Arial" w:hAnsi="Arial" w:cs="Arial"/>
        </w:rPr>
        <w:t xml:space="preserve">ull </w:t>
      </w:r>
      <w:r w:rsidRPr="00837116">
        <w:rPr>
          <w:rFonts w:ascii="Arial" w:hAnsi="Arial" w:cs="Arial"/>
        </w:rPr>
        <w:t>c</w:t>
      </w:r>
      <w:r w:rsidR="004707E2">
        <w:rPr>
          <w:rFonts w:ascii="Arial" w:hAnsi="Arial" w:cs="Arial"/>
        </w:rPr>
        <w:t>ourt on 23 </w:t>
      </w:r>
      <w:r w:rsidR="00883DC8" w:rsidRPr="00837116">
        <w:rPr>
          <w:rFonts w:ascii="Arial" w:hAnsi="Arial" w:cs="Arial"/>
        </w:rPr>
        <w:t xml:space="preserve">October 2018. </w:t>
      </w:r>
      <w:r w:rsidR="00953DF1" w:rsidRPr="00837116">
        <w:rPr>
          <w:rFonts w:ascii="Arial" w:hAnsi="Arial" w:cs="Arial"/>
        </w:rPr>
        <w:t xml:space="preserve">The notice of appeal was delivered </w:t>
      </w:r>
      <w:r w:rsidR="00883DC8" w:rsidRPr="00837116">
        <w:rPr>
          <w:rFonts w:ascii="Arial" w:hAnsi="Arial" w:cs="Arial"/>
        </w:rPr>
        <w:t xml:space="preserve">timeously </w:t>
      </w:r>
      <w:r w:rsidR="00953DF1" w:rsidRPr="00837116">
        <w:rPr>
          <w:rFonts w:ascii="Arial" w:hAnsi="Arial" w:cs="Arial"/>
        </w:rPr>
        <w:t xml:space="preserve">on 7 November 2018. </w:t>
      </w:r>
      <w:r w:rsidR="00FE5A18" w:rsidRPr="00837116">
        <w:rPr>
          <w:rFonts w:ascii="Arial" w:hAnsi="Arial" w:cs="Arial"/>
        </w:rPr>
        <w:t>In terms of rule 49(6</w:t>
      </w:r>
      <w:r w:rsidR="00FE5A18" w:rsidRPr="00EC4EF5">
        <w:rPr>
          <w:rFonts w:ascii="Arial" w:hAnsi="Arial" w:cs="Arial"/>
        </w:rPr>
        <w:t>)</w:t>
      </w:r>
      <w:r w:rsidR="00BA2C03" w:rsidRPr="00EC4EF5">
        <w:rPr>
          <w:rFonts w:ascii="Arial" w:hAnsi="Arial" w:cs="Arial"/>
          <w:iCs/>
        </w:rPr>
        <w:t>(</w:t>
      </w:r>
      <w:r w:rsidR="00BA2C03" w:rsidRPr="00EC4EF5">
        <w:rPr>
          <w:rFonts w:ascii="Arial" w:hAnsi="Arial" w:cs="Arial"/>
          <w:i/>
          <w:iCs/>
        </w:rPr>
        <w:t>a</w:t>
      </w:r>
      <w:r w:rsidR="00BA2C03" w:rsidRPr="00EC4EF5">
        <w:rPr>
          <w:rFonts w:ascii="Arial" w:hAnsi="Arial" w:cs="Arial"/>
          <w:iCs/>
        </w:rPr>
        <w:t>)</w:t>
      </w:r>
      <w:r w:rsidR="00FE5A18" w:rsidRPr="008D2D2C">
        <w:rPr>
          <w:rFonts w:ascii="Arial" w:hAnsi="Arial" w:cs="Arial"/>
          <w:i/>
        </w:rPr>
        <w:t xml:space="preserve"> </w:t>
      </w:r>
      <w:r w:rsidR="00FE5A18" w:rsidRPr="00837116">
        <w:rPr>
          <w:rFonts w:ascii="Arial" w:hAnsi="Arial" w:cs="Arial"/>
        </w:rPr>
        <w:t>of the Uniform Rules of Court, the applicant had</w:t>
      </w:r>
      <w:r w:rsidR="00BA2C03" w:rsidRPr="00837116">
        <w:rPr>
          <w:rFonts w:ascii="Arial" w:hAnsi="Arial" w:cs="Arial"/>
        </w:rPr>
        <w:t xml:space="preserve"> 60</w:t>
      </w:r>
      <w:r w:rsidR="00FE5A18" w:rsidRPr="00837116">
        <w:rPr>
          <w:rFonts w:ascii="Arial" w:hAnsi="Arial" w:cs="Arial"/>
        </w:rPr>
        <w:t xml:space="preserve"> days </w:t>
      </w:r>
      <w:r w:rsidR="00BA2C03" w:rsidRPr="00837116">
        <w:rPr>
          <w:rFonts w:ascii="Arial" w:hAnsi="Arial" w:cs="Arial"/>
        </w:rPr>
        <w:t xml:space="preserve">within which </w:t>
      </w:r>
      <w:r w:rsidR="00FE5A18" w:rsidRPr="00837116">
        <w:rPr>
          <w:rFonts w:ascii="Arial" w:hAnsi="Arial" w:cs="Arial"/>
        </w:rPr>
        <w:t>to apply for allocation of the date of hearing of the appeal, and to lodge the appeal record.</w:t>
      </w:r>
      <w:r w:rsidR="006D55F9" w:rsidRPr="00837116">
        <w:rPr>
          <w:rFonts w:ascii="Arial" w:hAnsi="Arial" w:cs="Arial"/>
        </w:rPr>
        <w:t xml:space="preserve"> If no such application </w:t>
      </w:r>
      <w:r w:rsidR="00487EC1" w:rsidRPr="004B36B8">
        <w:rPr>
          <w:rFonts w:ascii="Arial" w:hAnsi="Arial" w:cs="Arial"/>
        </w:rPr>
        <w:t>wa</w:t>
      </w:r>
      <w:r w:rsidR="006D55F9" w:rsidRPr="004B36B8">
        <w:rPr>
          <w:rFonts w:ascii="Arial" w:hAnsi="Arial" w:cs="Arial"/>
        </w:rPr>
        <w:t>s made</w:t>
      </w:r>
      <w:r w:rsidR="00BA0EB3" w:rsidRPr="004B36B8">
        <w:rPr>
          <w:rFonts w:ascii="Arial" w:hAnsi="Arial" w:cs="Arial"/>
        </w:rPr>
        <w:t>,</w:t>
      </w:r>
      <w:r w:rsidR="006D55F9" w:rsidRPr="004B36B8">
        <w:rPr>
          <w:rFonts w:ascii="Arial" w:hAnsi="Arial" w:cs="Arial"/>
        </w:rPr>
        <w:t xml:space="preserve"> the appeal </w:t>
      </w:r>
      <w:r w:rsidR="00487EC1" w:rsidRPr="004B36B8">
        <w:rPr>
          <w:rFonts w:ascii="Arial" w:hAnsi="Arial" w:cs="Arial"/>
        </w:rPr>
        <w:t>would</w:t>
      </w:r>
      <w:r w:rsidR="006D55F9" w:rsidRPr="00837116">
        <w:rPr>
          <w:rFonts w:ascii="Arial" w:hAnsi="Arial" w:cs="Arial"/>
        </w:rPr>
        <w:t xml:space="preserve"> be deemed to have lapsed</w:t>
      </w:r>
      <w:r w:rsidR="00312D1F">
        <w:rPr>
          <w:rFonts w:ascii="Arial" w:hAnsi="Arial" w:cs="Arial"/>
        </w:rPr>
        <w:t xml:space="preserve"> </w:t>
      </w:r>
      <w:r w:rsidR="00FE499F">
        <w:rPr>
          <w:rFonts w:ascii="Arial" w:hAnsi="Arial" w:cs="Arial"/>
        </w:rPr>
        <w:t xml:space="preserve">in terms of the </w:t>
      </w:r>
      <w:r w:rsidR="00312D1F" w:rsidRPr="00837116">
        <w:rPr>
          <w:rFonts w:ascii="Arial" w:hAnsi="Arial" w:cs="Arial"/>
        </w:rPr>
        <w:t>rule</w:t>
      </w:r>
      <w:r w:rsidR="006D55F9" w:rsidRPr="00837116">
        <w:rPr>
          <w:rFonts w:ascii="Arial" w:hAnsi="Arial" w:cs="Arial"/>
        </w:rPr>
        <w:t>.</w:t>
      </w:r>
      <w:r w:rsidR="00261EDA" w:rsidRPr="00837116">
        <w:rPr>
          <w:rFonts w:ascii="Arial" w:hAnsi="Arial" w:cs="Arial"/>
        </w:rPr>
        <w:t xml:space="preserve"> Thus, the applicant had up to 6 February 2019 to apply for a date.</w:t>
      </w:r>
      <w:r w:rsidR="00853FA0" w:rsidRPr="00837116">
        <w:rPr>
          <w:rFonts w:ascii="Arial" w:hAnsi="Arial" w:cs="Arial"/>
        </w:rPr>
        <w:t xml:space="preserve"> He only did so on </w:t>
      </w:r>
      <w:r w:rsidR="008B31CB" w:rsidRPr="00EC4EF5">
        <w:rPr>
          <w:rFonts w:ascii="Arial" w:hAnsi="Arial" w:cs="Arial"/>
        </w:rPr>
        <w:t>10</w:t>
      </w:r>
      <w:r w:rsidR="00853FA0" w:rsidRPr="00837116">
        <w:rPr>
          <w:rFonts w:ascii="Arial" w:hAnsi="Arial" w:cs="Arial"/>
        </w:rPr>
        <w:t xml:space="preserve"> October 2019, when he also furnished the record on </w:t>
      </w:r>
      <w:r w:rsidR="00853FA0" w:rsidRPr="00837116">
        <w:rPr>
          <w:rFonts w:ascii="Arial" w:hAnsi="Arial" w:cs="Arial"/>
        </w:rPr>
        <w:lastRenderedPageBreak/>
        <w:t>appeal.</w:t>
      </w:r>
      <w:r w:rsidR="00FE499F">
        <w:rPr>
          <w:rFonts w:ascii="Arial" w:hAnsi="Arial" w:cs="Arial"/>
        </w:rPr>
        <w:t xml:space="preserve"> By then, the appeal had lapsed in terms of</w:t>
      </w:r>
      <w:r w:rsidR="004707E2">
        <w:rPr>
          <w:rFonts w:ascii="Arial" w:hAnsi="Arial" w:cs="Arial"/>
        </w:rPr>
        <w:t xml:space="preserve"> the deeming provisions of rule </w:t>
      </w:r>
      <w:r w:rsidR="00FE499F">
        <w:rPr>
          <w:rFonts w:ascii="Arial" w:hAnsi="Arial" w:cs="Arial"/>
        </w:rPr>
        <w:t>49(6)</w:t>
      </w:r>
      <w:r w:rsidR="00FE499F" w:rsidRPr="008D2D2C">
        <w:rPr>
          <w:rFonts w:ascii="Arial" w:hAnsi="Arial" w:cs="Arial"/>
          <w:i/>
        </w:rPr>
        <w:t>(</w:t>
      </w:r>
      <w:r w:rsidR="00FE499F" w:rsidRPr="00695690">
        <w:rPr>
          <w:rFonts w:ascii="Arial" w:hAnsi="Arial" w:cs="Arial"/>
          <w:i/>
          <w:iCs/>
        </w:rPr>
        <w:t>a</w:t>
      </w:r>
      <w:r w:rsidR="00FE499F" w:rsidRPr="008D2D2C">
        <w:rPr>
          <w:rFonts w:ascii="Arial" w:hAnsi="Arial" w:cs="Arial"/>
          <w:i/>
        </w:rPr>
        <w:t>)</w:t>
      </w:r>
      <w:r w:rsidR="00FE499F">
        <w:rPr>
          <w:rFonts w:ascii="Arial" w:hAnsi="Arial" w:cs="Arial"/>
        </w:rPr>
        <w:t>.</w:t>
      </w:r>
    </w:p>
    <w:p w14:paraId="38E0D04A" w14:textId="77777777" w:rsidR="00CC0760" w:rsidRPr="00837116"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7867D643" w14:textId="54804F44" w:rsidR="006D55F9" w:rsidRPr="00CC0760" w:rsidRDefault="006D55F9"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rPr>
        <w:t xml:space="preserve">The explanation for the delay was provided by the applicant’s attorney. </w:t>
      </w:r>
      <w:r w:rsidR="00312D1F">
        <w:rPr>
          <w:rFonts w:ascii="Arial" w:hAnsi="Arial" w:cs="Arial"/>
        </w:rPr>
        <w:t xml:space="preserve">She stated that she </w:t>
      </w:r>
      <w:r w:rsidRPr="00837116">
        <w:rPr>
          <w:rFonts w:ascii="Arial" w:hAnsi="Arial" w:cs="Arial"/>
        </w:rPr>
        <w:t xml:space="preserve">was under an erroneous impression that the application for the allocation of </w:t>
      </w:r>
      <w:r w:rsidR="00047974" w:rsidRPr="0036656A">
        <w:rPr>
          <w:rFonts w:ascii="Arial" w:hAnsi="Arial" w:cs="Arial"/>
        </w:rPr>
        <w:t>a</w:t>
      </w:r>
      <w:r w:rsidR="00047974">
        <w:rPr>
          <w:rFonts w:ascii="Arial" w:hAnsi="Arial" w:cs="Arial"/>
        </w:rPr>
        <w:t xml:space="preserve"> </w:t>
      </w:r>
      <w:r w:rsidRPr="00837116">
        <w:rPr>
          <w:rFonts w:ascii="Arial" w:hAnsi="Arial" w:cs="Arial"/>
        </w:rPr>
        <w:t xml:space="preserve">date of hearing could only be made once the appeal record was ready to be lodged. As the appeal record was not ready by 6 February 2019, she did not apply for </w:t>
      </w:r>
      <w:r w:rsidR="00487EC1" w:rsidRPr="004B36B8">
        <w:rPr>
          <w:rFonts w:ascii="Arial" w:hAnsi="Arial" w:cs="Arial"/>
        </w:rPr>
        <w:t>a</w:t>
      </w:r>
      <w:r w:rsidRPr="004B36B8">
        <w:rPr>
          <w:rFonts w:ascii="Arial" w:hAnsi="Arial" w:cs="Arial"/>
        </w:rPr>
        <w:t xml:space="preserve"> date</w:t>
      </w:r>
      <w:r w:rsidR="00487EC1" w:rsidRPr="004B36B8">
        <w:rPr>
          <w:rFonts w:ascii="Arial" w:hAnsi="Arial" w:cs="Arial"/>
        </w:rPr>
        <w:t xml:space="preserve"> of </w:t>
      </w:r>
      <w:r w:rsidR="00EC4EF5" w:rsidRPr="004B36B8">
        <w:rPr>
          <w:rFonts w:ascii="Arial" w:hAnsi="Arial" w:cs="Arial"/>
        </w:rPr>
        <w:t>hearing</w:t>
      </w:r>
      <w:r w:rsidR="00FE499F">
        <w:rPr>
          <w:rFonts w:ascii="Arial" w:hAnsi="Arial" w:cs="Arial"/>
        </w:rPr>
        <w:t>.</w:t>
      </w:r>
      <w:r w:rsidRPr="00837116">
        <w:rPr>
          <w:rFonts w:ascii="Arial" w:hAnsi="Arial" w:cs="Arial"/>
        </w:rPr>
        <w:t xml:space="preserve"> </w:t>
      </w:r>
      <w:r w:rsidRPr="00FE499F">
        <w:rPr>
          <w:rFonts w:ascii="Arial" w:hAnsi="Arial" w:cs="Arial"/>
        </w:rPr>
        <w:t xml:space="preserve">The attorney further explained that there were difficulties in compiling the appeal record. </w:t>
      </w:r>
      <w:r w:rsidRPr="009C627F">
        <w:rPr>
          <w:rFonts w:ascii="Arial" w:hAnsi="Arial" w:cs="Arial"/>
        </w:rPr>
        <w:t>Certain documents</w:t>
      </w:r>
      <w:r w:rsidRPr="00FE499F">
        <w:rPr>
          <w:rFonts w:ascii="Arial" w:hAnsi="Arial" w:cs="Arial"/>
        </w:rPr>
        <w:t xml:space="preserve"> were missing, including </w:t>
      </w:r>
      <w:r w:rsidRPr="009C627F">
        <w:rPr>
          <w:rFonts w:ascii="Arial" w:hAnsi="Arial" w:cs="Arial"/>
        </w:rPr>
        <w:t>a bundle</w:t>
      </w:r>
      <w:r w:rsidRPr="00FE499F">
        <w:rPr>
          <w:rFonts w:ascii="Arial" w:hAnsi="Arial" w:cs="Arial"/>
        </w:rPr>
        <w:t xml:space="preserve"> of the respondent’s trial exhibits, which </w:t>
      </w:r>
      <w:r w:rsidR="00232BE6" w:rsidRPr="00097551">
        <w:rPr>
          <w:rFonts w:ascii="Arial" w:hAnsi="Arial" w:cs="Arial"/>
        </w:rPr>
        <w:t>was</w:t>
      </w:r>
      <w:r w:rsidR="00232BE6">
        <w:rPr>
          <w:rFonts w:ascii="Arial" w:hAnsi="Arial" w:cs="Arial"/>
        </w:rPr>
        <w:t xml:space="preserve"> </w:t>
      </w:r>
      <w:r w:rsidRPr="00FE499F">
        <w:rPr>
          <w:rFonts w:ascii="Arial" w:hAnsi="Arial" w:cs="Arial"/>
        </w:rPr>
        <w:t xml:space="preserve">only furnished to her on 19 February 2019. The task of finalising the appeal record was only completed in September 2019, and the record was delivered to the </w:t>
      </w:r>
      <w:r w:rsidR="00783F04" w:rsidRPr="0036656A">
        <w:rPr>
          <w:rFonts w:ascii="Arial" w:hAnsi="Arial" w:cs="Arial"/>
        </w:rPr>
        <w:t>applicant</w:t>
      </w:r>
      <w:r w:rsidRPr="00FE499F">
        <w:rPr>
          <w:rFonts w:ascii="Arial" w:hAnsi="Arial" w:cs="Arial"/>
        </w:rPr>
        <w:t>’s att</w:t>
      </w:r>
      <w:r w:rsidR="004707E2">
        <w:rPr>
          <w:rFonts w:ascii="Arial" w:hAnsi="Arial" w:cs="Arial"/>
        </w:rPr>
        <w:t>orney by the transcribers on 18 </w:t>
      </w:r>
      <w:r w:rsidRPr="00FE499F">
        <w:rPr>
          <w:rFonts w:ascii="Arial" w:hAnsi="Arial" w:cs="Arial"/>
        </w:rPr>
        <w:t xml:space="preserve">September 2019. </w:t>
      </w:r>
    </w:p>
    <w:p w14:paraId="0162B8FE" w14:textId="08FAFEF1" w:rsidR="00CC0760" w:rsidRPr="00FE499F"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5AD9CECC" w14:textId="2C19F3CA" w:rsidR="00BB3D4A" w:rsidRPr="00CC0760" w:rsidRDefault="006D55F9"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rPr>
        <w:t>The f</w:t>
      </w:r>
      <w:r w:rsidR="00B5760B" w:rsidRPr="00837116">
        <w:rPr>
          <w:rFonts w:ascii="Arial" w:hAnsi="Arial" w:cs="Arial"/>
        </w:rPr>
        <w:t xml:space="preserve">ull </w:t>
      </w:r>
      <w:r w:rsidRPr="00837116">
        <w:rPr>
          <w:rFonts w:ascii="Arial" w:hAnsi="Arial" w:cs="Arial"/>
        </w:rPr>
        <w:t>c</w:t>
      </w:r>
      <w:r w:rsidR="00B5760B" w:rsidRPr="00837116">
        <w:rPr>
          <w:rFonts w:ascii="Arial" w:hAnsi="Arial" w:cs="Arial"/>
        </w:rPr>
        <w:t>ourt ha</w:t>
      </w:r>
      <w:r w:rsidR="00C943CA" w:rsidRPr="00837116">
        <w:rPr>
          <w:rFonts w:ascii="Arial" w:hAnsi="Arial" w:cs="Arial"/>
        </w:rPr>
        <w:t>d</w:t>
      </w:r>
      <w:r w:rsidR="00B5760B" w:rsidRPr="00837116">
        <w:rPr>
          <w:rFonts w:ascii="Arial" w:hAnsi="Arial" w:cs="Arial"/>
        </w:rPr>
        <w:t xml:space="preserve"> to </w:t>
      </w:r>
      <w:r w:rsidR="00C943CA" w:rsidRPr="00837116">
        <w:rPr>
          <w:rFonts w:ascii="Arial" w:hAnsi="Arial" w:cs="Arial"/>
        </w:rPr>
        <w:t xml:space="preserve">consider whether </w:t>
      </w:r>
      <w:r w:rsidR="008F7F45">
        <w:rPr>
          <w:rFonts w:ascii="Arial" w:hAnsi="Arial" w:cs="Arial"/>
        </w:rPr>
        <w:t xml:space="preserve">there was </w:t>
      </w:r>
      <w:r w:rsidR="00C943CA" w:rsidRPr="00837116">
        <w:rPr>
          <w:rFonts w:ascii="Arial" w:hAnsi="Arial" w:cs="Arial"/>
        </w:rPr>
        <w:t xml:space="preserve">sufficient cause to condone the </w:t>
      </w:r>
      <w:r w:rsidR="00B5760B" w:rsidRPr="00837116">
        <w:rPr>
          <w:rFonts w:ascii="Arial" w:hAnsi="Arial" w:cs="Arial"/>
        </w:rPr>
        <w:t>applicant’</w:t>
      </w:r>
      <w:r w:rsidR="00C943CA" w:rsidRPr="00837116">
        <w:rPr>
          <w:rFonts w:ascii="Arial" w:hAnsi="Arial" w:cs="Arial"/>
        </w:rPr>
        <w:t>s non-compliance with the rules.</w:t>
      </w:r>
      <w:r w:rsidR="00B5760B" w:rsidRPr="00837116">
        <w:rPr>
          <w:rFonts w:ascii="Arial" w:hAnsi="Arial" w:cs="Arial"/>
        </w:rPr>
        <w:t xml:space="preserve"> </w:t>
      </w:r>
      <w:r w:rsidR="00DA07B0" w:rsidRPr="00837116">
        <w:rPr>
          <w:rFonts w:ascii="Arial" w:hAnsi="Arial" w:cs="Arial"/>
        </w:rPr>
        <w:t>The basic principle is that</w:t>
      </w:r>
      <w:r w:rsidR="00DE60AF" w:rsidRPr="00837116">
        <w:rPr>
          <w:rFonts w:ascii="Arial" w:hAnsi="Arial" w:cs="Arial"/>
        </w:rPr>
        <w:t xml:space="preserve"> </w:t>
      </w:r>
      <w:r w:rsidR="003D5424" w:rsidRPr="00837116">
        <w:rPr>
          <w:rFonts w:ascii="Arial" w:hAnsi="Arial" w:cs="Arial"/>
        </w:rPr>
        <w:t xml:space="preserve">a court </w:t>
      </w:r>
      <w:r w:rsidR="00DE60AF" w:rsidRPr="00837116">
        <w:rPr>
          <w:rFonts w:ascii="Arial" w:hAnsi="Arial" w:cs="Arial"/>
        </w:rPr>
        <w:t>considering condonation</w:t>
      </w:r>
      <w:r w:rsidR="00DA07B0" w:rsidRPr="00837116">
        <w:rPr>
          <w:rFonts w:ascii="Arial" w:hAnsi="Arial" w:cs="Arial"/>
        </w:rPr>
        <w:t xml:space="preserve"> has a discretion, to be exercised judicially upon a consideration of all the facts, and in essence</w:t>
      </w:r>
      <w:r w:rsidR="008F7F45">
        <w:rPr>
          <w:rFonts w:ascii="Arial" w:hAnsi="Arial" w:cs="Arial"/>
        </w:rPr>
        <w:t>,</w:t>
      </w:r>
      <w:r w:rsidR="00DA07B0" w:rsidRPr="00837116">
        <w:rPr>
          <w:rFonts w:ascii="Arial" w:hAnsi="Arial" w:cs="Arial"/>
        </w:rPr>
        <w:t xml:space="preserve"> it is a matter of fairness to both sides.</w:t>
      </w:r>
      <w:r w:rsidR="00DA07B0" w:rsidRPr="00837116">
        <w:rPr>
          <w:rStyle w:val="FootnoteReference"/>
          <w:rFonts w:ascii="Arial" w:hAnsi="Arial" w:cs="Arial"/>
        </w:rPr>
        <w:footnoteReference w:id="1"/>
      </w:r>
      <w:r w:rsidR="00DA07B0" w:rsidRPr="00837116">
        <w:rPr>
          <w:rFonts w:ascii="Arial" w:hAnsi="Arial" w:cs="Arial"/>
        </w:rPr>
        <w:t xml:space="preserve"> </w:t>
      </w:r>
      <w:r w:rsidR="00496FAC" w:rsidRPr="00837116">
        <w:rPr>
          <w:rFonts w:ascii="Arial" w:hAnsi="Arial" w:cs="Arial"/>
        </w:rPr>
        <w:t xml:space="preserve">Among the </w:t>
      </w:r>
      <w:r w:rsidR="0043521F" w:rsidRPr="00F75718">
        <w:rPr>
          <w:rFonts w:ascii="Arial" w:hAnsi="Arial" w:cs="Arial"/>
        </w:rPr>
        <w:t>fact</w:t>
      </w:r>
      <w:r w:rsidR="0043521F" w:rsidRPr="00EC4EF5">
        <w:rPr>
          <w:rFonts w:ascii="Arial" w:hAnsi="Arial" w:cs="Arial"/>
        </w:rPr>
        <w:t>ors</w:t>
      </w:r>
      <w:r w:rsidR="00496FAC" w:rsidRPr="00837116">
        <w:rPr>
          <w:rFonts w:ascii="Arial" w:hAnsi="Arial" w:cs="Arial"/>
        </w:rPr>
        <w:t xml:space="preserve"> usually relevant are:</w:t>
      </w:r>
      <w:r w:rsidR="00C943CA" w:rsidRPr="00837116">
        <w:rPr>
          <w:rFonts w:ascii="Arial" w:hAnsi="Arial" w:cs="Arial"/>
        </w:rPr>
        <w:t xml:space="preserve"> </w:t>
      </w:r>
      <w:r w:rsidR="00DA07B0" w:rsidRPr="00837116">
        <w:rPr>
          <w:rFonts w:ascii="Arial" w:hAnsi="Arial" w:cs="Arial"/>
        </w:rPr>
        <w:t>(a) the degree of lateness; (b) the explanation therefor; (c) the prospects of success; (d) and the importance of the case.</w:t>
      </w:r>
      <w:r w:rsidR="00DE60AF" w:rsidRPr="00837116">
        <w:rPr>
          <w:rStyle w:val="FootnoteReference"/>
          <w:rFonts w:ascii="Arial" w:hAnsi="Arial" w:cs="Arial"/>
        </w:rPr>
        <w:footnoteReference w:id="2"/>
      </w:r>
      <w:r w:rsidR="00DA07B0" w:rsidRPr="00837116">
        <w:rPr>
          <w:rFonts w:ascii="Arial" w:hAnsi="Arial" w:cs="Arial"/>
        </w:rPr>
        <w:t xml:space="preserve"> </w:t>
      </w:r>
      <w:r w:rsidR="00C943CA" w:rsidRPr="00837116">
        <w:rPr>
          <w:rFonts w:ascii="Arial" w:hAnsi="Arial" w:cs="Arial"/>
        </w:rPr>
        <w:t xml:space="preserve"> </w:t>
      </w:r>
    </w:p>
    <w:p w14:paraId="50E25246" w14:textId="75EDC4A2" w:rsidR="00CC0760" w:rsidRPr="00837116"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692F8669" w14:textId="47C60710" w:rsidR="00A41B4B" w:rsidRPr="00837116" w:rsidRDefault="00A41B4B"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rPr>
        <w:t>It seems common cause, or at least not seriously contested, that</w:t>
      </w:r>
      <w:r w:rsidR="005E0B61" w:rsidRPr="00837116">
        <w:rPr>
          <w:rFonts w:ascii="Arial" w:hAnsi="Arial" w:cs="Arial"/>
        </w:rPr>
        <w:t xml:space="preserve"> much of </w:t>
      </w:r>
      <w:r w:rsidR="006D55F9" w:rsidRPr="00837116">
        <w:rPr>
          <w:rFonts w:ascii="Arial" w:hAnsi="Arial" w:cs="Arial"/>
        </w:rPr>
        <w:t xml:space="preserve">the fault for </w:t>
      </w:r>
      <w:r w:rsidR="005E0B61" w:rsidRPr="00837116">
        <w:rPr>
          <w:rFonts w:ascii="Arial" w:hAnsi="Arial" w:cs="Arial"/>
        </w:rPr>
        <w:t xml:space="preserve">the delay in finalising the preparation of the record </w:t>
      </w:r>
      <w:r w:rsidR="00EE0241" w:rsidRPr="00837116">
        <w:rPr>
          <w:rFonts w:ascii="Arial" w:hAnsi="Arial" w:cs="Arial"/>
        </w:rPr>
        <w:t xml:space="preserve">can be attributed to </w:t>
      </w:r>
      <w:r w:rsidRPr="00837116">
        <w:rPr>
          <w:rFonts w:ascii="Arial" w:hAnsi="Arial" w:cs="Arial"/>
        </w:rPr>
        <w:t>the transcriber</w:t>
      </w:r>
      <w:r w:rsidR="00EE0241" w:rsidRPr="00837116">
        <w:rPr>
          <w:rFonts w:ascii="Arial" w:hAnsi="Arial" w:cs="Arial"/>
        </w:rPr>
        <w:t>s</w:t>
      </w:r>
      <w:r w:rsidR="005E0B61" w:rsidRPr="00837116">
        <w:rPr>
          <w:rFonts w:ascii="Arial" w:hAnsi="Arial" w:cs="Arial"/>
        </w:rPr>
        <w:t xml:space="preserve">. The </w:t>
      </w:r>
      <w:r w:rsidR="00EE0241" w:rsidRPr="00837116">
        <w:rPr>
          <w:rFonts w:ascii="Arial" w:hAnsi="Arial" w:cs="Arial"/>
        </w:rPr>
        <w:t>f</w:t>
      </w:r>
      <w:r w:rsidRPr="00837116">
        <w:rPr>
          <w:rFonts w:ascii="Arial" w:hAnsi="Arial" w:cs="Arial"/>
        </w:rPr>
        <w:t xml:space="preserve">ull </w:t>
      </w:r>
      <w:r w:rsidR="00EE0241" w:rsidRPr="00837116">
        <w:rPr>
          <w:rFonts w:ascii="Arial" w:hAnsi="Arial" w:cs="Arial"/>
        </w:rPr>
        <w:t>c</w:t>
      </w:r>
      <w:r w:rsidRPr="00837116">
        <w:rPr>
          <w:rFonts w:ascii="Arial" w:hAnsi="Arial" w:cs="Arial"/>
        </w:rPr>
        <w:t>ourt</w:t>
      </w:r>
      <w:r w:rsidR="005E0B61" w:rsidRPr="00837116">
        <w:rPr>
          <w:rFonts w:ascii="Arial" w:hAnsi="Arial" w:cs="Arial"/>
        </w:rPr>
        <w:t xml:space="preserve"> </w:t>
      </w:r>
      <w:r w:rsidR="009B5614" w:rsidRPr="00837116">
        <w:rPr>
          <w:rFonts w:ascii="Arial" w:hAnsi="Arial" w:cs="Arial"/>
        </w:rPr>
        <w:t>was critical of the applicant’s attorney</w:t>
      </w:r>
      <w:r w:rsidR="007153C9" w:rsidRPr="00837116">
        <w:rPr>
          <w:rFonts w:ascii="Arial" w:hAnsi="Arial" w:cs="Arial"/>
        </w:rPr>
        <w:t xml:space="preserve"> for not taking steps to</w:t>
      </w:r>
      <w:r w:rsidR="005E0B61" w:rsidRPr="00837116">
        <w:rPr>
          <w:rFonts w:ascii="Arial" w:hAnsi="Arial" w:cs="Arial"/>
        </w:rPr>
        <w:t xml:space="preserve"> compel the transcribers to complete the appeal record timeously, and </w:t>
      </w:r>
      <w:r w:rsidR="007153C9" w:rsidRPr="00837116">
        <w:rPr>
          <w:rFonts w:ascii="Arial" w:hAnsi="Arial" w:cs="Arial"/>
        </w:rPr>
        <w:t xml:space="preserve">for her failure to explain this in her </w:t>
      </w:r>
      <w:r w:rsidR="005E0B61" w:rsidRPr="00837116">
        <w:rPr>
          <w:rFonts w:ascii="Arial" w:hAnsi="Arial" w:cs="Arial"/>
        </w:rPr>
        <w:t>affidavit</w:t>
      </w:r>
      <w:r w:rsidR="007153C9" w:rsidRPr="00837116">
        <w:rPr>
          <w:rFonts w:ascii="Arial" w:hAnsi="Arial" w:cs="Arial"/>
        </w:rPr>
        <w:t xml:space="preserve">. </w:t>
      </w:r>
      <w:r w:rsidR="009B5614" w:rsidRPr="00837116">
        <w:rPr>
          <w:rFonts w:ascii="Arial" w:hAnsi="Arial" w:cs="Arial"/>
        </w:rPr>
        <w:t xml:space="preserve">The </w:t>
      </w:r>
      <w:r w:rsidR="00BA0EB3" w:rsidRPr="00EC4EF5">
        <w:rPr>
          <w:rFonts w:ascii="Arial" w:hAnsi="Arial" w:cs="Arial"/>
        </w:rPr>
        <w:t>full</w:t>
      </w:r>
      <w:r w:rsidR="00BA0EB3">
        <w:rPr>
          <w:rFonts w:ascii="Arial" w:hAnsi="Arial" w:cs="Arial"/>
        </w:rPr>
        <w:t xml:space="preserve"> </w:t>
      </w:r>
      <w:r w:rsidR="00EE0241" w:rsidRPr="00837116">
        <w:rPr>
          <w:rFonts w:ascii="Arial" w:hAnsi="Arial" w:cs="Arial"/>
        </w:rPr>
        <w:t>c</w:t>
      </w:r>
      <w:r w:rsidR="009B5614" w:rsidRPr="00837116">
        <w:rPr>
          <w:rFonts w:ascii="Arial" w:hAnsi="Arial" w:cs="Arial"/>
        </w:rPr>
        <w:t xml:space="preserve">ourt observed: </w:t>
      </w:r>
    </w:p>
    <w:p w14:paraId="0DA320D5" w14:textId="55B53C43" w:rsidR="009B5614" w:rsidRPr="007F3924" w:rsidRDefault="009B5614" w:rsidP="00CC0760">
      <w:pPr>
        <w:pStyle w:val="JUDGMENTNUMBERED"/>
        <w:numPr>
          <w:ilvl w:val="0"/>
          <w:numId w:val="0"/>
        </w:numPr>
        <w:rPr>
          <w:rFonts w:ascii="Arial" w:hAnsi="Arial" w:cs="Arial"/>
          <w:sz w:val="22"/>
        </w:rPr>
      </w:pPr>
      <w:r w:rsidRPr="007F3924">
        <w:rPr>
          <w:rFonts w:ascii="Arial" w:hAnsi="Arial" w:cs="Arial"/>
          <w:sz w:val="22"/>
        </w:rPr>
        <w:t>‘“Final instructions</w:t>
      </w:r>
      <w:r w:rsidR="00D857A6" w:rsidRPr="00EC4EF5">
        <w:rPr>
          <w:rFonts w:ascii="Arial" w:hAnsi="Arial" w:cs="Arial"/>
          <w:sz w:val="22"/>
        </w:rPr>
        <w:t>”</w:t>
      </w:r>
      <w:r w:rsidRPr="007F3924">
        <w:rPr>
          <w:rFonts w:ascii="Arial" w:hAnsi="Arial" w:cs="Arial"/>
          <w:sz w:val="22"/>
        </w:rPr>
        <w:t xml:space="preserve"> were allegedly given to [the transcribers] on 6 June 2019. Notwithstanding this, the record was only delivered to the [applicant’s] attorney on 18 September 2019. No explanation has been provided for the delay from 18 September 2019 until 9 October 2019 when the appeal record was eventually filed with the registrar. There is also no explanation from [</w:t>
      </w:r>
      <w:r w:rsidR="00C07895" w:rsidRPr="00EC4EF5">
        <w:rPr>
          <w:rFonts w:ascii="Arial" w:hAnsi="Arial" w:cs="Arial"/>
          <w:sz w:val="22"/>
        </w:rPr>
        <w:t>the</w:t>
      </w:r>
      <w:r w:rsidR="00C07895">
        <w:rPr>
          <w:rFonts w:ascii="Arial" w:hAnsi="Arial" w:cs="Arial"/>
          <w:sz w:val="22"/>
        </w:rPr>
        <w:t xml:space="preserve"> </w:t>
      </w:r>
      <w:r w:rsidRPr="007F3924">
        <w:rPr>
          <w:rFonts w:ascii="Arial" w:hAnsi="Arial" w:cs="Arial"/>
          <w:sz w:val="22"/>
        </w:rPr>
        <w:t>transcribers], in either the form of a substantive affidavit or a confirmatory affidavit, regarding the delay and the causes thereof.</w:t>
      </w:r>
      <w:r w:rsidR="007153C9" w:rsidRPr="007F3924">
        <w:rPr>
          <w:rFonts w:ascii="Arial" w:hAnsi="Arial" w:cs="Arial"/>
          <w:sz w:val="22"/>
        </w:rPr>
        <w:t>’</w:t>
      </w:r>
    </w:p>
    <w:p w14:paraId="374B80F7" w14:textId="0E051D8A" w:rsidR="00394FD4" w:rsidRPr="00837116" w:rsidRDefault="00544B2B"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bCs/>
        </w:rPr>
        <w:lastRenderedPageBreak/>
        <w:t xml:space="preserve">The </w:t>
      </w:r>
      <w:r w:rsidR="00BA0EB3" w:rsidRPr="00EC4EF5">
        <w:rPr>
          <w:rFonts w:ascii="Arial" w:hAnsi="Arial" w:cs="Arial"/>
          <w:bCs/>
        </w:rPr>
        <w:t>full</w:t>
      </w:r>
      <w:r w:rsidR="00BA0EB3">
        <w:rPr>
          <w:rFonts w:ascii="Arial" w:hAnsi="Arial" w:cs="Arial"/>
          <w:bCs/>
        </w:rPr>
        <w:t xml:space="preserve"> </w:t>
      </w:r>
      <w:r w:rsidR="00EE0241" w:rsidRPr="00837116">
        <w:rPr>
          <w:rFonts w:ascii="Arial" w:hAnsi="Arial" w:cs="Arial"/>
          <w:bCs/>
        </w:rPr>
        <w:t>c</w:t>
      </w:r>
      <w:r w:rsidRPr="00837116">
        <w:rPr>
          <w:rFonts w:ascii="Arial" w:hAnsi="Arial" w:cs="Arial"/>
          <w:bCs/>
        </w:rPr>
        <w:t xml:space="preserve">ourt was also not impressed with the attorney’s explanation that she had misconstrued </w:t>
      </w:r>
      <w:r w:rsidRPr="00837116">
        <w:rPr>
          <w:rFonts w:ascii="Arial" w:hAnsi="Arial" w:cs="Arial"/>
        </w:rPr>
        <w:t xml:space="preserve">the provisions of rules 49(6) and (7) that the application for a date could not be made without the lodging of the appeal record. It described the explanation as ‘terse’ and found it inadequate. </w:t>
      </w:r>
      <w:r w:rsidR="00394FD4" w:rsidRPr="00837116">
        <w:rPr>
          <w:rFonts w:ascii="Arial" w:hAnsi="Arial" w:cs="Arial"/>
        </w:rPr>
        <w:t>I agree.</w:t>
      </w:r>
      <w:r w:rsidR="00394FD4" w:rsidRPr="00837116">
        <w:rPr>
          <w:rFonts w:ascii="Arial" w:hAnsi="Arial" w:cs="Arial"/>
          <w:shd w:val="clear" w:color="auto" w:fill="FFFFFF"/>
        </w:rPr>
        <w:t xml:space="preserve"> Even allowing for the fact that</w:t>
      </w:r>
      <w:r w:rsidR="00394FD4" w:rsidRPr="00837116">
        <w:rPr>
          <w:rFonts w:ascii="Arial" w:hAnsi="Arial" w:cs="Arial"/>
          <w:i/>
          <w:iCs/>
          <w:shd w:val="clear" w:color="auto" w:fill="FFFFFF"/>
        </w:rPr>
        <w:t xml:space="preserve"> </w:t>
      </w:r>
      <w:r w:rsidR="00394FD4" w:rsidRPr="00837116">
        <w:rPr>
          <w:rFonts w:ascii="Arial" w:hAnsi="Arial" w:cs="Arial"/>
          <w:bCs/>
        </w:rPr>
        <w:t>the delay in the preparation of the record was occasioned by the transcribers, and that there was not much the applicant’s attorney could do about it, there is still no proper explanation as to what the attorney ‘misconstrued’ about rule 49</w:t>
      </w:r>
      <w:r w:rsidR="00394FD4" w:rsidRPr="00837116">
        <w:rPr>
          <w:rFonts w:ascii="Arial" w:hAnsi="Arial" w:cs="Arial"/>
        </w:rPr>
        <w:t>(7)</w:t>
      </w:r>
      <w:r w:rsidR="00394FD4" w:rsidRPr="008D2D2C">
        <w:rPr>
          <w:rFonts w:ascii="Arial" w:hAnsi="Arial" w:cs="Arial"/>
          <w:i/>
        </w:rPr>
        <w:t>(</w:t>
      </w:r>
      <w:r w:rsidR="00394FD4" w:rsidRPr="00C322E0">
        <w:rPr>
          <w:rFonts w:ascii="Arial" w:hAnsi="Arial" w:cs="Arial"/>
          <w:i/>
          <w:iCs/>
        </w:rPr>
        <w:t>a</w:t>
      </w:r>
      <w:r w:rsidR="00394FD4" w:rsidRPr="008D2D2C">
        <w:rPr>
          <w:rFonts w:ascii="Arial" w:hAnsi="Arial" w:cs="Arial"/>
          <w:i/>
        </w:rPr>
        <w:t>)</w:t>
      </w:r>
      <w:r w:rsidR="00394FD4" w:rsidRPr="00837116">
        <w:rPr>
          <w:rFonts w:ascii="Arial" w:hAnsi="Arial" w:cs="Arial"/>
        </w:rPr>
        <w:t>. The rule requires the application for a date to be filed simultaneously with copies of the record. But it has an important proviso, which reads as follows:</w:t>
      </w:r>
    </w:p>
    <w:p w14:paraId="61C9CB97" w14:textId="394E708F" w:rsidR="00C07895" w:rsidRDefault="00394FD4" w:rsidP="00CC0760">
      <w:pPr>
        <w:pStyle w:val="MEMONUMBERED"/>
        <w:kinsoku w:val="0"/>
        <w:overflowPunct w:val="0"/>
        <w:autoSpaceDE w:val="0"/>
        <w:autoSpaceDN w:val="0"/>
        <w:adjustRightInd w:val="0"/>
        <w:spacing w:line="360" w:lineRule="auto"/>
        <w:ind w:right="-7"/>
        <w:rPr>
          <w:rFonts w:ascii="Arial" w:hAnsi="Arial" w:cs="Arial"/>
          <w:sz w:val="22"/>
          <w:szCs w:val="22"/>
        </w:rPr>
      </w:pPr>
      <w:r w:rsidRPr="007F3924">
        <w:rPr>
          <w:rFonts w:ascii="Arial" w:hAnsi="Arial" w:cs="Arial"/>
          <w:bCs/>
          <w:sz w:val="22"/>
          <w:szCs w:val="22"/>
        </w:rPr>
        <w:t>‘</w:t>
      </w:r>
      <w:r w:rsidR="00C07895">
        <w:rPr>
          <w:rFonts w:ascii="Arial" w:hAnsi="Arial" w:cs="Arial"/>
          <w:bCs/>
          <w:sz w:val="22"/>
          <w:szCs w:val="22"/>
        </w:rPr>
        <w:t xml:space="preserve">. . . </w:t>
      </w:r>
      <w:r w:rsidRPr="007F3924">
        <w:rPr>
          <w:rFonts w:ascii="Arial" w:hAnsi="Arial" w:cs="Arial"/>
          <w:sz w:val="22"/>
          <w:szCs w:val="22"/>
        </w:rPr>
        <w:t>If the necessary copies of the record are not ready at that stage, the registrar may accept an application for a date of hearing without the necessary copies if</w:t>
      </w:r>
      <w:r w:rsidR="00C07895">
        <w:rPr>
          <w:rFonts w:ascii="Arial" w:hAnsi="Arial" w:cs="Arial"/>
          <w:sz w:val="22"/>
          <w:szCs w:val="22"/>
        </w:rPr>
        <w:t xml:space="preserve"> –</w:t>
      </w:r>
      <w:r w:rsidRPr="007F3924">
        <w:rPr>
          <w:rFonts w:ascii="Arial" w:hAnsi="Arial" w:cs="Arial"/>
          <w:sz w:val="22"/>
          <w:szCs w:val="22"/>
        </w:rPr>
        <w:t xml:space="preserve"> </w:t>
      </w:r>
    </w:p>
    <w:p w14:paraId="320F92CB" w14:textId="47CA63AA" w:rsidR="00C07895" w:rsidRDefault="00394FD4" w:rsidP="00CC0760">
      <w:pPr>
        <w:pStyle w:val="MEMONUMBERED"/>
        <w:kinsoku w:val="0"/>
        <w:overflowPunct w:val="0"/>
        <w:autoSpaceDE w:val="0"/>
        <w:autoSpaceDN w:val="0"/>
        <w:adjustRightInd w:val="0"/>
        <w:spacing w:line="360" w:lineRule="auto"/>
        <w:ind w:right="-7"/>
        <w:rPr>
          <w:rFonts w:ascii="Arial" w:hAnsi="Arial" w:cs="Arial"/>
          <w:sz w:val="22"/>
          <w:szCs w:val="22"/>
        </w:rPr>
      </w:pPr>
      <w:r w:rsidRPr="007F3924">
        <w:rPr>
          <w:rFonts w:ascii="Arial" w:hAnsi="Arial" w:cs="Arial"/>
          <w:sz w:val="22"/>
          <w:szCs w:val="22"/>
        </w:rPr>
        <w:t xml:space="preserve">(i) the application is accompanied by a written agreement between the parties that the copies of the record may be handed in late; or </w:t>
      </w:r>
    </w:p>
    <w:p w14:paraId="2F79C6A8" w14:textId="3C9EC59B" w:rsidR="00CC0760" w:rsidRDefault="00394FD4" w:rsidP="00CC0760">
      <w:pPr>
        <w:pStyle w:val="MEMONUMBERED"/>
        <w:kinsoku w:val="0"/>
        <w:overflowPunct w:val="0"/>
        <w:autoSpaceDE w:val="0"/>
        <w:autoSpaceDN w:val="0"/>
        <w:adjustRightInd w:val="0"/>
        <w:spacing w:line="360" w:lineRule="auto"/>
        <w:ind w:right="-7"/>
        <w:rPr>
          <w:rFonts w:ascii="Arial" w:hAnsi="Arial" w:cs="Arial"/>
          <w:bCs/>
          <w:sz w:val="22"/>
          <w:szCs w:val="22"/>
        </w:rPr>
      </w:pPr>
      <w:r w:rsidRPr="007F3924">
        <w:rPr>
          <w:rFonts w:ascii="Arial" w:hAnsi="Arial" w:cs="Arial"/>
          <w:sz w:val="22"/>
          <w:szCs w:val="22"/>
        </w:rPr>
        <w:t>(ii) failing such agreement, the appellant delivers an application together with an affidavit in which the reasons for his omission to hand in the copies of the record in time are set out and in which is indicated that an application for condonation of the omission will be made at the hearing of the appeal.’</w:t>
      </w:r>
      <w:r w:rsidRPr="007F3924">
        <w:rPr>
          <w:rFonts w:ascii="Arial" w:hAnsi="Arial" w:cs="Arial"/>
          <w:bCs/>
          <w:sz w:val="22"/>
          <w:szCs w:val="22"/>
        </w:rPr>
        <w:t xml:space="preserve"> </w:t>
      </w:r>
    </w:p>
    <w:p w14:paraId="602BD443" w14:textId="77777777" w:rsidR="00CC0760" w:rsidRPr="007F3924" w:rsidRDefault="00CC0760" w:rsidP="00CC0760">
      <w:pPr>
        <w:pStyle w:val="MEMONUMBERED"/>
        <w:kinsoku w:val="0"/>
        <w:overflowPunct w:val="0"/>
        <w:autoSpaceDE w:val="0"/>
        <w:autoSpaceDN w:val="0"/>
        <w:adjustRightInd w:val="0"/>
        <w:spacing w:line="360" w:lineRule="auto"/>
        <w:ind w:right="-7"/>
        <w:rPr>
          <w:rFonts w:ascii="Arial" w:hAnsi="Arial" w:cs="Arial"/>
          <w:bCs/>
          <w:sz w:val="22"/>
          <w:szCs w:val="22"/>
        </w:rPr>
      </w:pPr>
    </w:p>
    <w:p w14:paraId="09123005" w14:textId="045AB2F7" w:rsidR="00394FD4" w:rsidRDefault="00394FD4"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bCs/>
        </w:rPr>
        <w:t xml:space="preserve">The proviso is clear. If the record was not available, the applicant’s attorney could have requested the respondent’s attorney to agree to file the record later, failing which, she could have deposed to an affidavit explaining to the </w:t>
      </w:r>
      <w:r w:rsidR="00BA0EB3">
        <w:rPr>
          <w:rFonts w:ascii="Arial" w:hAnsi="Arial" w:cs="Arial"/>
          <w:bCs/>
        </w:rPr>
        <w:t>r</w:t>
      </w:r>
      <w:r w:rsidRPr="00837116">
        <w:rPr>
          <w:rFonts w:ascii="Arial" w:hAnsi="Arial" w:cs="Arial"/>
          <w:bCs/>
        </w:rPr>
        <w:t>egistrar the difficulties experienced by the transcribers to finalise the preparation of the record. Even a cursory reading of the proviso would have made it clear that an application for a date could be made without filing the record. The applicant’s attorney does not explain what part of this proviso she ‘misconstrued’.</w:t>
      </w:r>
    </w:p>
    <w:p w14:paraId="27009CA5" w14:textId="77777777" w:rsidR="00CC0760" w:rsidRPr="00837116"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33F2D2B2" w14:textId="04FFFC0C" w:rsidR="007D2A33" w:rsidRPr="00837116" w:rsidRDefault="00544B2B"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rPr>
      </w:pPr>
      <w:r w:rsidRPr="00CF1849">
        <w:rPr>
          <w:rFonts w:ascii="Arial" w:hAnsi="Arial" w:cs="Arial"/>
        </w:rPr>
        <w:t xml:space="preserve">The </w:t>
      </w:r>
      <w:r w:rsidR="00BA0EB3" w:rsidRPr="00EC4EF5">
        <w:rPr>
          <w:rFonts w:ascii="Arial" w:hAnsi="Arial" w:cs="Arial"/>
        </w:rPr>
        <w:t>full</w:t>
      </w:r>
      <w:r w:rsidR="00BA0EB3">
        <w:rPr>
          <w:rFonts w:ascii="Arial" w:hAnsi="Arial" w:cs="Arial"/>
        </w:rPr>
        <w:t xml:space="preserve"> </w:t>
      </w:r>
      <w:r w:rsidR="00EE0241" w:rsidRPr="00837116">
        <w:rPr>
          <w:rFonts w:ascii="Arial" w:hAnsi="Arial" w:cs="Arial"/>
        </w:rPr>
        <w:t>c</w:t>
      </w:r>
      <w:r w:rsidRPr="00837116">
        <w:rPr>
          <w:rFonts w:ascii="Arial" w:hAnsi="Arial" w:cs="Arial"/>
        </w:rPr>
        <w:t xml:space="preserve">ourt further </w:t>
      </w:r>
      <w:r w:rsidR="0036323D">
        <w:rPr>
          <w:rFonts w:ascii="Arial" w:hAnsi="Arial" w:cs="Arial"/>
        </w:rPr>
        <w:t>referred to the trite principle</w:t>
      </w:r>
      <w:r w:rsidR="006B2E49" w:rsidRPr="00837116">
        <w:rPr>
          <w:rFonts w:ascii="Arial" w:hAnsi="Arial" w:cs="Arial"/>
        </w:rPr>
        <w:t xml:space="preserve"> that it is the duty of every legal practitioner to be acquainted with the rules of court. It thus concluded that the attorney’s explanation was no excuse for not complying with the rules. It referred </w:t>
      </w:r>
      <w:r w:rsidR="007D2A33" w:rsidRPr="00837116">
        <w:rPr>
          <w:rFonts w:ascii="Arial" w:hAnsi="Arial" w:cs="Arial"/>
        </w:rPr>
        <w:t xml:space="preserve">in this regard </w:t>
      </w:r>
      <w:r w:rsidR="006B2E49" w:rsidRPr="00837116">
        <w:rPr>
          <w:rFonts w:ascii="Arial" w:hAnsi="Arial" w:cs="Arial"/>
        </w:rPr>
        <w:t xml:space="preserve">to </w:t>
      </w:r>
      <w:r w:rsidR="006B2E49" w:rsidRPr="00837116">
        <w:rPr>
          <w:rFonts w:ascii="Arial" w:hAnsi="Arial" w:cs="Arial"/>
          <w:i/>
        </w:rPr>
        <w:t>Moaki v Reckitt and Colman (Africa) Ltd and Another</w:t>
      </w:r>
      <w:r w:rsidR="006B2E49" w:rsidRPr="00837116">
        <w:rPr>
          <w:rFonts w:ascii="Arial" w:hAnsi="Arial" w:cs="Arial"/>
        </w:rPr>
        <w:t xml:space="preserve"> 1968 (3) SA 98 (A), where this Court held, at 101G</w:t>
      </w:r>
      <w:r w:rsidR="007D2A33" w:rsidRPr="00837116">
        <w:rPr>
          <w:rFonts w:ascii="Arial" w:hAnsi="Arial" w:cs="Arial"/>
        </w:rPr>
        <w:t xml:space="preserve"> that:</w:t>
      </w:r>
      <w:r w:rsidR="006B2E49" w:rsidRPr="00837116">
        <w:rPr>
          <w:rFonts w:ascii="Arial" w:hAnsi="Arial" w:cs="Arial"/>
        </w:rPr>
        <w:t xml:space="preserve"> </w:t>
      </w:r>
    </w:p>
    <w:p w14:paraId="6CDE6E82" w14:textId="2690573E" w:rsidR="006B2E49" w:rsidRPr="007F3924" w:rsidRDefault="006B2E49" w:rsidP="00CC0760">
      <w:pPr>
        <w:pStyle w:val="MEMONUMBERED"/>
        <w:kinsoku w:val="0"/>
        <w:overflowPunct w:val="0"/>
        <w:autoSpaceDE w:val="0"/>
        <w:autoSpaceDN w:val="0"/>
        <w:adjustRightInd w:val="0"/>
        <w:spacing w:line="360" w:lineRule="auto"/>
        <w:ind w:right="-7"/>
        <w:rPr>
          <w:rFonts w:ascii="Arial" w:hAnsi="Arial" w:cs="Arial"/>
          <w:sz w:val="22"/>
          <w:szCs w:val="22"/>
        </w:rPr>
      </w:pPr>
      <w:r w:rsidRPr="007F3924">
        <w:rPr>
          <w:rFonts w:ascii="Arial" w:hAnsi="Arial" w:cs="Arial"/>
          <w:sz w:val="22"/>
          <w:szCs w:val="22"/>
        </w:rPr>
        <w:t xml:space="preserve">‘An attorney who is instructed to prosecute an appeal is </w:t>
      </w:r>
      <w:r w:rsidR="004F38E6" w:rsidRPr="00EC4EF5">
        <w:rPr>
          <w:rFonts w:ascii="Arial" w:hAnsi="Arial" w:cs="Arial"/>
          <w:sz w:val="22"/>
          <w:szCs w:val="22"/>
        </w:rPr>
        <w:t>. . .</w:t>
      </w:r>
      <w:r w:rsidRPr="00CF1849">
        <w:rPr>
          <w:rFonts w:ascii="Arial" w:hAnsi="Arial" w:cs="Arial"/>
          <w:sz w:val="22"/>
          <w:szCs w:val="22"/>
        </w:rPr>
        <w:t xml:space="preserve"> </w:t>
      </w:r>
      <w:r w:rsidRPr="00EC4EF5">
        <w:rPr>
          <w:rFonts w:ascii="Arial" w:hAnsi="Arial" w:cs="Arial"/>
          <w:sz w:val="22"/>
          <w:szCs w:val="22"/>
        </w:rPr>
        <w:t>d</w:t>
      </w:r>
      <w:r w:rsidRPr="00CF1849">
        <w:rPr>
          <w:rFonts w:ascii="Arial" w:hAnsi="Arial" w:cs="Arial"/>
          <w:sz w:val="22"/>
          <w:szCs w:val="22"/>
        </w:rPr>
        <w:t>uty bound to acquaint himself with the procedure prescribed by the Rules of the Court to which a matter is</w:t>
      </w:r>
      <w:r w:rsidR="004F38E6" w:rsidRPr="00CF1849">
        <w:rPr>
          <w:rFonts w:ascii="Arial" w:hAnsi="Arial" w:cs="Arial"/>
          <w:sz w:val="22"/>
          <w:szCs w:val="22"/>
        </w:rPr>
        <w:t xml:space="preserve"> </w:t>
      </w:r>
      <w:r w:rsidR="004F38E6" w:rsidRPr="00EC4EF5">
        <w:rPr>
          <w:rFonts w:ascii="Arial" w:hAnsi="Arial" w:cs="Arial"/>
          <w:sz w:val="22"/>
          <w:szCs w:val="22"/>
        </w:rPr>
        <w:t>being</w:t>
      </w:r>
      <w:r w:rsidRPr="00CF1849">
        <w:rPr>
          <w:rFonts w:ascii="Arial" w:hAnsi="Arial" w:cs="Arial"/>
          <w:sz w:val="22"/>
          <w:szCs w:val="22"/>
        </w:rPr>
        <w:t xml:space="preserve"> taken</w:t>
      </w:r>
      <w:r w:rsidRPr="007F3924">
        <w:rPr>
          <w:rFonts w:ascii="Arial" w:hAnsi="Arial" w:cs="Arial"/>
          <w:sz w:val="22"/>
          <w:szCs w:val="22"/>
        </w:rPr>
        <w:t xml:space="preserve"> on appeal.’</w:t>
      </w:r>
    </w:p>
    <w:p w14:paraId="3DB1289B" w14:textId="0A6FB121" w:rsidR="00CC0760" w:rsidRDefault="007D2A33" w:rsidP="00CC0760">
      <w:pPr>
        <w:pStyle w:val="MEMONUMBERED"/>
        <w:kinsoku w:val="0"/>
        <w:overflowPunct w:val="0"/>
        <w:autoSpaceDE w:val="0"/>
        <w:autoSpaceDN w:val="0"/>
        <w:adjustRightInd w:val="0"/>
        <w:spacing w:line="360" w:lineRule="auto"/>
        <w:ind w:right="-7"/>
        <w:rPr>
          <w:rFonts w:ascii="Arial" w:hAnsi="Arial" w:cs="Arial"/>
        </w:rPr>
      </w:pPr>
      <w:r w:rsidRPr="00837116">
        <w:rPr>
          <w:rFonts w:ascii="Arial" w:hAnsi="Arial" w:cs="Arial"/>
        </w:rPr>
        <w:lastRenderedPageBreak/>
        <w:t xml:space="preserve">The </w:t>
      </w:r>
      <w:r w:rsidR="004F38E6" w:rsidRPr="00EC4EF5">
        <w:rPr>
          <w:rFonts w:ascii="Arial" w:hAnsi="Arial" w:cs="Arial"/>
        </w:rPr>
        <w:t>full</w:t>
      </w:r>
      <w:r w:rsidR="004F38E6">
        <w:rPr>
          <w:rFonts w:ascii="Arial" w:hAnsi="Arial" w:cs="Arial"/>
        </w:rPr>
        <w:t xml:space="preserve"> </w:t>
      </w:r>
      <w:r w:rsidR="00EE0241" w:rsidRPr="00837116">
        <w:rPr>
          <w:rFonts w:ascii="Arial" w:hAnsi="Arial" w:cs="Arial"/>
        </w:rPr>
        <w:t>c</w:t>
      </w:r>
      <w:r w:rsidRPr="00837116">
        <w:rPr>
          <w:rFonts w:ascii="Arial" w:hAnsi="Arial" w:cs="Arial"/>
        </w:rPr>
        <w:t xml:space="preserve">ourt also </w:t>
      </w:r>
      <w:r w:rsidR="00F920E4">
        <w:rPr>
          <w:rFonts w:ascii="Arial" w:hAnsi="Arial" w:cs="Arial"/>
        </w:rPr>
        <w:t xml:space="preserve">considered </w:t>
      </w:r>
      <w:r w:rsidRPr="00837116">
        <w:rPr>
          <w:rFonts w:ascii="Arial" w:hAnsi="Arial" w:cs="Arial"/>
        </w:rPr>
        <w:t xml:space="preserve">the decisions of this Court in </w:t>
      </w:r>
      <w:r w:rsidR="006B2E49" w:rsidRPr="00837116">
        <w:rPr>
          <w:rFonts w:ascii="Arial" w:hAnsi="Arial" w:cs="Arial"/>
          <w:i/>
          <w:iCs/>
        </w:rPr>
        <w:t>Kgobane and Another v</w:t>
      </w:r>
      <w:r w:rsidR="004F38E6">
        <w:rPr>
          <w:rFonts w:ascii="Arial" w:hAnsi="Arial" w:cs="Arial"/>
          <w:i/>
          <w:iCs/>
        </w:rPr>
        <w:t xml:space="preserve"> </w:t>
      </w:r>
      <w:r w:rsidR="006B2E49" w:rsidRPr="00EC4EF5">
        <w:rPr>
          <w:rFonts w:ascii="Arial" w:hAnsi="Arial" w:cs="Arial"/>
          <w:i/>
          <w:iCs/>
        </w:rPr>
        <w:t>M</w:t>
      </w:r>
      <w:r w:rsidR="006B2E49" w:rsidRPr="00837116">
        <w:rPr>
          <w:rFonts w:ascii="Arial" w:hAnsi="Arial" w:cs="Arial"/>
          <w:i/>
          <w:iCs/>
        </w:rPr>
        <w:t>inister of Justice and Another</w:t>
      </w:r>
      <w:r w:rsidR="006B2E49" w:rsidRPr="00837116">
        <w:rPr>
          <w:rFonts w:ascii="Arial" w:hAnsi="Arial" w:cs="Arial"/>
        </w:rPr>
        <w:t xml:space="preserve"> 1969 (3) SA 365 (A) at 369B</w:t>
      </w:r>
      <w:r w:rsidRPr="00837116">
        <w:rPr>
          <w:rFonts w:ascii="Arial" w:hAnsi="Arial" w:cs="Arial"/>
        </w:rPr>
        <w:t>-</w:t>
      </w:r>
      <w:r w:rsidR="006B2E49" w:rsidRPr="00837116">
        <w:rPr>
          <w:rFonts w:ascii="Arial" w:hAnsi="Arial" w:cs="Arial"/>
        </w:rPr>
        <w:t>370A</w:t>
      </w:r>
      <w:r w:rsidRPr="00837116">
        <w:rPr>
          <w:rFonts w:ascii="Arial" w:hAnsi="Arial" w:cs="Arial"/>
        </w:rPr>
        <w:t xml:space="preserve"> and </w:t>
      </w:r>
      <w:r w:rsidR="006B2E49" w:rsidRPr="00837116">
        <w:rPr>
          <w:rFonts w:ascii="Arial" w:hAnsi="Arial" w:cs="Arial"/>
          <w:i/>
          <w:iCs/>
        </w:rPr>
        <w:t>Mbutuma v Xhosa Development Corporation Limited</w:t>
      </w:r>
      <w:r w:rsidR="006B2E49" w:rsidRPr="00837116">
        <w:rPr>
          <w:rFonts w:ascii="Arial" w:hAnsi="Arial" w:cs="Arial"/>
        </w:rPr>
        <w:t xml:space="preserve"> 1978 (1) SA 681 (A). </w:t>
      </w:r>
    </w:p>
    <w:p w14:paraId="673A28E9" w14:textId="77777777" w:rsidR="00CC0760" w:rsidRPr="00837116" w:rsidRDefault="00CC0760" w:rsidP="00CC0760">
      <w:pPr>
        <w:pStyle w:val="MEMONUMBERED"/>
        <w:kinsoku w:val="0"/>
        <w:overflowPunct w:val="0"/>
        <w:autoSpaceDE w:val="0"/>
        <w:autoSpaceDN w:val="0"/>
        <w:adjustRightInd w:val="0"/>
        <w:spacing w:line="360" w:lineRule="auto"/>
        <w:ind w:right="-7"/>
        <w:rPr>
          <w:rFonts w:ascii="Arial" w:hAnsi="Arial" w:cs="Arial"/>
        </w:rPr>
      </w:pPr>
    </w:p>
    <w:p w14:paraId="7AA99DBF" w14:textId="408F32D7" w:rsidR="00160138" w:rsidRDefault="007A7390"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rPr>
        <w:t xml:space="preserve">The </w:t>
      </w:r>
      <w:r w:rsidR="00EE0241" w:rsidRPr="00837116">
        <w:rPr>
          <w:rFonts w:ascii="Arial" w:hAnsi="Arial" w:cs="Arial"/>
        </w:rPr>
        <w:t>f</w:t>
      </w:r>
      <w:r w:rsidRPr="00837116">
        <w:rPr>
          <w:rFonts w:ascii="Arial" w:hAnsi="Arial" w:cs="Arial"/>
        </w:rPr>
        <w:t xml:space="preserve">ull </w:t>
      </w:r>
      <w:r w:rsidR="00EE0241" w:rsidRPr="00837116">
        <w:rPr>
          <w:rFonts w:ascii="Arial" w:hAnsi="Arial" w:cs="Arial"/>
        </w:rPr>
        <w:t>c</w:t>
      </w:r>
      <w:r w:rsidRPr="00837116">
        <w:rPr>
          <w:rFonts w:ascii="Arial" w:hAnsi="Arial" w:cs="Arial"/>
        </w:rPr>
        <w:t xml:space="preserve">ourt </w:t>
      </w:r>
      <w:r w:rsidR="00E25512" w:rsidRPr="00EC4EF5">
        <w:rPr>
          <w:rFonts w:ascii="Arial" w:hAnsi="Arial" w:cs="Arial"/>
        </w:rPr>
        <w:t>further</w:t>
      </w:r>
      <w:r w:rsidRPr="00837116">
        <w:rPr>
          <w:rFonts w:ascii="Arial" w:hAnsi="Arial" w:cs="Arial"/>
        </w:rPr>
        <w:t xml:space="preserve"> pointed out that the applicant’s attorney w</w:t>
      </w:r>
      <w:r w:rsidR="000A303E" w:rsidRPr="00837116">
        <w:rPr>
          <w:rFonts w:ascii="Arial" w:hAnsi="Arial" w:cs="Arial"/>
        </w:rPr>
        <w:t>as</w:t>
      </w:r>
      <w:r w:rsidRPr="00837116">
        <w:rPr>
          <w:rFonts w:ascii="Arial" w:hAnsi="Arial" w:cs="Arial"/>
        </w:rPr>
        <w:t xml:space="preserve"> notified in writing by the respondent’s attorney as early as 21 June 2019 that the appeal had lapsed </w:t>
      </w:r>
      <w:r w:rsidR="000A303E" w:rsidRPr="00837116">
        <w:rPr>
          <w:rFonts w:ascii="Arial" w:hAnsi="Arial" w:cs="Arial"/>
        </w:rPr>
        <w:t xml:space="preserve">and </w:t>
      </w:r>
      <w:r w:rsidRPr="00837116">
        <w:rPr>
          <w:rFonts w:ascii="Arial" w:hAnsi="Arial" w:cs="Arial"/>
        </w:rPr>
        <w:t>that a</w:t>
      </w:r>
      <w:r w:rsidR="000A303E" w:rsidRPr="00837116">
        <w:rPr>
          <w:rFonts w:ascii="Arial" w:hAnsi="Arial" w:cs="Arial"/>
        </w:rPr>
        <w:t>n</w:t>
      </w:r>
      <w:r w:rsidRPr="00837116">
        <w:rPr>
          <w:rFonts w:ascii="Arial" w:hAnsi="Arial" w:cs="Arial"/>
        </w:rPr>
        <w:t xml:space="preserve"> </w:t>
      </w:r>
      <w:r w:rsidR="000A303E" w:rsidRPr="00837116">
        <w:rPr>
          <w:rFonts w:ascii="Arial" w:hAnsi="Arial" w:cs="Arial"/>
        </w:rPr>
        <w:t xml:space="preserve">application for </w:t>
      </w:r>
      <w:r w:rsidRPr="00837116">
        <w:rPr>
          <w:rFonts w:ascii="Arial" w:hAnsi="Arial" w:cs="Arial"/>
        </w:rPr>
        <w:t xml:space="preserve">condonation would be necessary. The applicant’s attorney did not </w:t>
      </w:r>
      <w:r w:rsidR="007404F1" w:rsidRPr="00EC4EF5">
        <w:rPr>
          <w:rFonts w:ascii="Arial" w:hAnsi="Arial" w:cs="Arial"/>
        </w:rPr>
        <w:t>meaningfully</w:t>
      </w:r>
      <w:r w:rsidR="007404F1">
        <w:rPr>
          <w:rFonts w:ascii="Arial" w:hAnsi="Arial" w:cs="Arial"/>
        </w:rPr>
        <w:t xml:space="preserve"> </w:t>
      </w:r>
      <w:r w:rsidRPr="00837116">
        <w:rPr>
          <w:rFonts w:ascii="Arial" w:hAnsi="Arial" w:cs="Arial"/>
        </w:rPr>
        <w:t>respond to that letter, and failed to</w:t>
      </w:r>
      <w:r w:rsidR="000A303E" w:rsidRPr="00837116">
        <w:rPr>
          <w:rFonts w:ascii="Arial" w:hAnsi="Arial" w:cs="Arial"/>
        </w:rPr>
        <w:t xml:space="preserve"> </w:t>
      </w:r>
      <w:r w:rsidRPr="00837116">
        <w:rPr>
          <w:rFonts w:ascii="Arial" w:hAnsi="Arial" w:cs="Arial"/>
        </w:rPr>
        <w:t>address this aspect in her founding affidavit.</w:t>
      </w:r>
      <w:r w:rsidR="0059253D" w:rsidRPr="00837116">
        <w:rPr>
          <w:rFonts w:ascii="Arial" w:hAnsi="Arial" w:cs="Arial"/>
        </w:rPr>
        <w:t xml:space="preserve"> It is a requirement that an application for condonation must be made as soon as possible after the party becomes aware of its failure to comply with the rules.</w:t>
      </w:r>
      <w:r w:rsidR="0059253D" w:rsidRPr="00837116">
        <w:rPr>
          <w:rStyle w:val="FootnoteReference"/>
          <w:rFonts w:ascii="Arial" w:hAnsi="Arial" w:cs="Arial"/>
        </w:rPr>
        <w:footnoteReference w:id="3"/>
      </w:r>
      <w:r w:rsidRPr="00837116">
        <w:rPr>
          <w:rFonts w:ascii="Arial" w:hAnsi="Arial" w:cs="Arial"/>
        </w:rPr>
        <w:t xml:space="preserve"> </w:t>
      </w:r>
      <w:r w:rsidR="0059253D" w:rsidRPr="00837116">
        <w:rPr>
          <w:rFonts w:ascii="Arial" w:hAnsi="Arial" w:cs="Arial"/>
        </w:rPr>
        <w:t>In this case, the application was only made some four months later, on 10 October 2019</w:t>
      </w:r>
      <w:r w:rsidR="00F15521" w:rsidRPr="00EC4EF5">
        <w:rPr>
          <w:rFonts w:ascii="Arial" w:hAnsi="Arial" w:cs="Arial"/>
        </w:rPr>
        <w:t>,</w:t>
      </w:r>
      <w:r w:rsidR="0059253D" w:rsidRPr="00837116">
        <w:rPr>
          <w:rFonts w:ascii="Arial" w:hAnsi="Arial" w:cs="Arial"/>
        </w:rPr>
        <w:t xml:space="preserve"> when the applicant delivered the appeal record and applied for a date</w:t>
      </w:r>
      <w:r w:rsidR="009D18F9">
        <w:rPr>
          <w:rFonts w:ascii="Arial" w:hAnsi="Arial" w:cs="Arial"/>
        </w:rPr>
        <w:t xml:space="preserve"> </w:t>
      </w:r>
      <w:r w:rsidR="009D18F9" w:rsidRPr="004B36B8">
        <w:rPr>
          <w:rFonts w:ascii="Arial" w:hAnsi="Arial" w:cs="Arial"/>
        </w:rPr>
        <w:t>of</w:t>
      </w:r>
      <w:r w:rsidR="00CF1849" w:rsidRPr="004B36B8">
        <w:rPr>
          <w:rFonts w:ascii="Arial" w:hAnsi="Arial" w:cs="Arial"/>
        </w:rPr>
        <w:t xml:space="preserve"> hearing</w:t>
      </w:r>
      <w:r w:rsidR="0059253D" w:rsidRPr="004B36B8">
        <w:rPr>
          <w:rFonts w:ascii="Arial" w:hAnsi="Arial" w:cs="Arial"/>
        </w:rPr>
        <w:t>.</w:t>
      </w:r>
      <w:r w:rsidR="003B6093" w:rsidRPr="00837116">
        <w:rPr>
          <w:rFonts w:ascii="Arial" w:hAnsi="Arial" w:cs="Arial"/>
          <w:bCs/>
        </w:rPr>
        <w:t xml:space="preserve"> </w:t>
      </w:r>
      <w:r w:rsidRPr="00837116">
        <w:rPr>
          <w:rFonts w:ascii="Arial" w:hAnsi="Arial" w:cs="Arial"/>
        </w:rPr>
        <w:t>This</w:t>
      </w:r>
      <w:r w:rsidR="000A303E" w:rsidRPr="00837116">
        <w:rPr>
          <w:rFonts w:ascii="Arial" w:hAnsi="Arial" w:cs="Arial"/>
        </w:rPr>
        <w:t xml:space="preserve">, the </w:t>
      </w:r>
      <w:r w:rsidR="00EE0241" w:rsidRPr="00837116">
        <w:rPr>
          <w:rFonts w:ascii="Arial" w:hAnsi="Arial" w:cs="Arial"/>
        </w:rPr>
        <w:t>f</w:t>
      </w:r>
      <w:r w:rsidR="000A303E" w:rsidRPr="00837116">
        <w:rPr>
          <w:rFonts w:ascii="Arial" w:hAnsi="Arial" w:cs="Arial"/>
        </w:rPr>
        <w:t xml:space="preserve">ull </w:t>
      </w:r>
      <w:r w:rsidR="00EE0241" w:rsidRPr="00837116">
        <w:rPr>
          <w:rFonts w:ascii="Arial" w:hAnsi="Arial" w:cs="Arial"/>
        </w:rPr>
        <w:t>c</w:t>
      </w:r>
      <w:r w:rsidR="000A303E" w:rsidRPr="00837116">
        <w:rPr>
          <w:rFonts w:ascii="Arial" w:hAnsi="Arial" w:cs="Arial"/>
        </w:rPr>
        <w:t>ourt remarked,</w:t>
      </w:r>
      <w:r w:rsidRPr="00837116">
        <w:rPr>
          <w:rFonts w:ascii="Arial" w:hAnsi="Arial" w:cs="Arial"/>
        </w:rPr>
        <w:t xml:space="preserve"> </w:t>
      </w:r>
      <w:r w:rsidR="000A303E" w:rsidRPr="00837116">
        <w:rPr>
          <w:rFonts w:ascii="Arial" w:hAnsi="Arial" w:cs="Arial"/>
        </w:rPr>
        <w:t xml:space="preserve">suggested </w:t>
      </w:r>
      <w:r w:rsidRPr="00837116">
        <w:rPr>
          <w:rFonts w:ascii="Arial" w:hAnsi="Arial" w:cs="Arial"/>
        </w:rPr>
        <w:t xml:space="preserve">that </w:t>
      </w:r>
      <w:r w:rsidR="000A303E" w:rsidRPr="00837116">
        <w:rPr>
          <w:rFonts w:ascii="Arial" w:hAnsi="Arial" w:cs="Arial"/>
        </w:rPr>
        <w:t xml:space="preserve">the applicant’s attorney was </w:t>
      </w:r>
      <w:r w:rsidRPr="00837116">
        <w:rPr>
          <w:rFonts w:ascii="Arial" w:hAnsi="Arial" w:cs="Arial"/>
        </w:rPr>
        <w:t xml:space="preserve">of the view that condonation </w:t>
      </w:r>
      <w:r w:rsidR="000A303E" w:rsidRPr="00837116">
        <w:rPr>
          <w:rFonts w:ascii="Arial" w:hAnsi="Arial" w:cs="Arial"/>
        </w:rPr>
        <w:t>wa</w:t>
      </w:r>
      <w:r w:rsidRPr="00837116">
        <w:rPr>
          <w:rFonts w:ascii="Arial" w:hAnsi="Arial" w:cs="Arial"/>
        </w:rPr>
        <w:t xml:space="preserve">s simply there for the asking. </w:t>
      </w:r>
      <w:r w:rsidR="000A303E" w:rsidRPr="0036323D">
        <w:rPr>
          <w:rFonts w:ascii="Arial" w:hAnsi="Arial" w:cs="Arial"/>
          <w:bCs/>
        </w:rPr>
        <w:t>On the</w:t>
      </w:r>
      <w:r w:rsidR="00EE0241" w:rsidRPr="0036323D">
        <w:rPr>
          <w:rFonts w:ascii="Arial" w:hAnsi="Arial" w:cs="Arial"/>
          <w:bCs/>
        </w:rPr>
        <w:t>se considerations</w:t>
      </w:r>
      <w:r w:rsidR="000A303E" w:rsidRPr="0036323D">
        <w:rPr>
          <w:rFonts w:ascii="Arial" w:hAnsi="Arial" w:cs="Arial"/>
          <w:bCs/>
        </w:rPr>
        <w:t xml:space="preserve">, the </w:t>
      </w:r>
      <w:r w:rsidR="00EE0241" w:rsidRPr="0036323D">
        <w:rPr>
          <w:rFonts w:ascii="Arial" w:hAnsi="Arial" w:cs="Arial"/>
          <w:bCs/>
        </w:rPr>
        <w:t>f</w:t>
      </w:r>
      <w:r w:rsidR="000A303E" w:rsidRPr="0036323D">
        <w:rPr>
          <w:rFonts w:ascii="Arial" w:hAnsi="Arial" w:cs="Arial"/>
          <w:bCs/>
        </w:rPr>
        <w:t xml:space="preserve">ull </w:t>
      </w:r>
      <w:r w:rsidR="00EE0241" w:rsidRPr="0036323D">
        <w:rPr>
          <w:rFonts w:ascii="Arial" w:hAnsi="Arial" w:cs="Arial"/>
          <w:bCs/>
        </w:rPr>
        <w:t>c</w:t>
      </w:r>
      <w:r w:rsidR="000A303E" w:rsidRPr="0036323D">
        <w:rPr>
          <w:rFonts w:ascii="Arial" w:hAnsi="Arial" w:cs="Arial"/>
          <w:bCs/>
        </w:rPr>
        <w:t xml:space="preserve">ourt dismissed the applicant’s application for condonation of the late prosecution of the appeal and its reinstatement. </w:t>
      </w:r>
      <w:r w:rsidR="00860B82" w:rsidRPr="0036323D">
        <w:rPr>
          <w:rFonts w:ascii="Arial" w:hAnsi="Arial" w:cs="Arial"/>
          <w:bCs/>
        </w:rPr>
        <w:t>In this Court, the applicant persisted in his assertion that that the delay in prosecuting the appeal had been full</w:t>
      </w:r>
      <w:r w:rsidR="00D5673B" w:rsidRPr="0036323D">
        <w:rPr>
          <w:rFonts w:ascii="Arial" w:hAnsi="Arial" w:cs="Arial"/>
          <w:bCs/>
        </w:rPr>
        <w:t>y</w:t>
      </w:r>
      <w:r w:rsidR="00860B82" w:rsidRPr="0036323D">
        <w:rPr>
          <w:rFonts w:ascii="Arial" w:hAnsi="Arial" w:cs="Arial"/>
          <w:bCs/>
        </w:rPr>
        <w:t xml:space="preserve"> and satisfactorily explained.</w:t>
      </w:r>
    </w:p>
    <w:p w14:paraId="00347A1F" w14:textId="77777777" w:rsidR="00CC0760" w:rsidRPr="0036323D"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64AD6832" w14:textId="3312F94C" w:rsidR="00CC0760" w:rsidRPr="004707E2" w:rsidRDefault="00E374FB"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rPr>
        <w:t xml:space="preserve">A </w:t>
      </w:r>
      <w:r w:rsidR="00FD1A0B" w:rsidRPr="00837116">
        <w:rPr>
          <w:rFonts w:ascii="Arial" w:hAnsi="Arial" w:cs="Arial"/>
        </w:rPr>
        <w:t xml:space="preserve">court considering </w:t>
      </w:r>
      <w:r w:rsidR="0036323D">
        <w:rPr>
          <w:rFonts w:ascii="Arial" w:hAnsi="Arial" w:cs="Arial"/>
        </w:rPr>
        <w:t xml:space="preserve">a </w:t>
      </w:r>
      <w:r w:rsidR="00FD1A0B" w:rsidRPr="00837116">
        <w:rPr>
          <w:rFonts w:ascii="Arial" w:hAnsi="Arial" w:cs="Arial"/>
        </w:rPr>
        <w:t xml:space="preserve">condonation </w:t>
      </w:r>
      <w:r w:rsidR="0036323D">
        <w:rPr>
          <w:rFonts w:ascii="Arial" w:hAnsi="Arial" w:cs="Arial"/>
        </w:rPr>
        <w:t xml:space="preserve">application </w:t>
      </w:r>
      <w:r w:rsidR="00FD1A0B" w:rsidRPr="00837116">
        <w:rPr>
          <w:rFonts w:ascii="Arial" w:hAnsi="Arial" w:cs="Arial"/>
        </w:rPr>
        <w:t>exercises a discretion</w:t>
      </w:r>
      <w:r w:rsidR="006403D0" w:rsidRPr="00837116">
        <w:rPr>
          <w:rFonts w:ascii="Arial" w:hAnsi="Arial" w:cs="Arial"/>
        </w:rPr>
        <w:t xml:space="preserve"> </w:t>
      </w:r>
      <w:r w:rsidR="005E5DE2" w:rsidRPr="00837116">
        <w:rPr>
          <w:rFonts w:ascii="Arial" w:hAnsi="Arial" w:cs="Arial"/>
        </w:rPr>
        <w:t xml:space="preserve">in the true sense, </w:t>
      </w:r>
      <w:r w:rsidR="006403D0" w:rsidRPr="00837116">
        <w:rPr>
          <w:rFonts w:ascii="Arial" w:hAnsi="Arial" w:cs="Arial"/>
        </w:rPr>
        <w:t>upon consideration of all the circumstances of each case</w:t>
      </w:r>
      <w:r w:rsidR="00FD1A0B" w:rsidRPr="00837116">
        <w:rPr>
          <w:rFonts w:ascii="Arial" w:hAnsi="Arial" w:cs="Arial"/>
        </w:rPr>
        <w:t>.</w:t>
      </w:r>
      <w:r w:rsidR="00FD1A0B" w:rsidRPr="00837116">
        <w:rPr>
          <w:rStyle w:val="FootnoteReference"/>
          <w:rFonts w:ascii="Arial" w:hAnsi="Arial" w:cs="Arial"/>
        </w:rPr>
        <w:footnoteReference w:id="4"/>
      </w:r>
      <w:r w:rsidR="00662D23" w:rsidRPr="00837116">
        <w:rPr>
          <w:rFonts w:ascii="Arial" w:hAnsi="Arial" w:cs="Arial"/>
        </w:rPr>
        <w:t xml:space="preserve"> </w:t>
      </w:r>
      <w:r w:rsidR="006403D0" w:rsidRPr="00837116">
        <w:rPr>
          <w:rFonts w:ascii="Arial" w:hAnsi="Arial" w:cs="Arial"/>
        </w:rPr>
        <w:t xml:space="preserve">In </w:t>
      </w:r>
      <w:bookmarkStart w:id="9" w:name="_Hlk103378791"/>
      <w:r w:rsidR="006403D0" w:rsidRPr="00837116">
        <w:rPr>
          <w:rFonts w:ascii="Arial" w:hAnsi="Arial" w:cs="Arial"/>
          <w:i/>
          <w:iCs/>
        </w:rPr>
        <w:t xml:space="preserve">Aurecon South Africa (Pty) Ltd v </w:t>
      </w:r>
      <w:r w:rsidR="00C322E0" w:rsidRPr="00EC4EF5">
        <w:rPr>
          <w:rFonts w:ascii="Arial" w:hAnsi="Arial" w:cs="Arial"/>
          <w:i/>
          <w:iCs/>
        </w:rPr>
        <w:t>City of</w:t>
      </w:r>
      <w:r w:rsidR="00C322E0">
        <w:rPr>
          <w:rFonts w:ascii="Arial" w:hAnsi="Arial" w:cs="Arial"/>
          <w:i/>
          <w:iCs/>
        </w:rPr>
        <w:t xml:space="preserve"> </w:t>
      </w:r>
      <w:r w:rsidR="006403D0" w:rsidRPr="00837116">
        <w:rPr>
          <w:rFonts w:ascii="Arial" w:hAnsi="Arial" w:cs="Arial"/>
          <w:i/>
          <w:iCs/>
        </w:rPr>
        <w:t>Cape Town</w:t>
      </w:r>
      <w:r w:rsidR="00C322E0" w:rsidRPr="00C322E0">
        <w:rPr>
          <w:rFonts w:ascii="Arial" w:hAnsi="Arial" w:cs="Arial"/>
          <w:i/>
          <w:iCs/>
          <w:lang w:val="en-ZA"/>
        </w:rPr>
        <w:t xml:space="preserve"> </w:t>
      </w:r>
      <w:r w:rsidR="00C322E0" w:rsidRPr="00EC4EF5">
        <w:rPr>
          <w:rFonts w:ascii="Arial" w:hAnsi="Arial" w:cs="Arial"/>
          <w:lang w:val="en-ZA"/>
        </w:rPr>
        <w:t>[2015] ZASCA 209;</w:t>
      </w:r>
      <w:r w:rsidR="00C322E0" w:rsidRPr="00C322E0">
        <w:rPr>
          <w:rFonts w:ascii="Arial" w:hAnsi="Arial" w:cs="Arial"/>
          <w:lang w:val="en-ZA"/>
        </w:rPr>
        <w:t> </w:t>
      </w:r>
      <w:r w:rsidR="006403D0" w:rsidRPr="00837116">
        <w:rPr>
          <w:rFonts w:ascii="Arial" w:hAnsi="Arial" w:cs="Arial"/>
        </w:rPr>
        <w:t>2016 (2) SA 199 (SCA) para</w:t>
      </w:r>
      <w:r w:rsidR="0036323D">
        <w:rPr>
          <w:rFonts w:ascii="Arial" w:hAnsi="Arial" w:cs="Arial"/>
        </w:rPr>
        <w:t xml:space="preserve"> </w:t>
      </w:r>
      <w:r w:rsidR="006403D0" w:rsidRPr="00837116">
        <w:rPr>
          <w:rFonts w:ascii="Arial" w:hAnsi="Arial" w:cs="Arial"/>
        </w:rPr>
        <w:t xml:space="preserve">17, it was held that </w:t>
      </w:r>
      <w:bookmarkEnd w:id="9"/>
      <w:r w:rsidR="006403D0" w:rsidRPr="00837116">
        <w:rPr>
          <w:rFonts w:ascii="Arial" w:hAnsi="Arial" w:cs="Arial"/>
        </w:rPr>
        <w:t xml:space="preserve">the relevant factors in that enquiry generally include the nature of the relief sought; the extent and cause of </w:t>
      </w:r>
      <w:r w:rsidR="00C322E0" w:rsidRPr="00EC4EF5">
        <w:rPr>
          <w:rFonts w:ascii="Arial" w:hAnsi="Arial" w:cs="Arial"/>
        </w:rPr>
        <w:t>the</w:t>
      </w:r>
      <w:r w:rsidR="00C322E0">
        <w:rPr>
          <w:rFonts w:ascii="Arial" w:hAnsi="Arial" w:cs="Arial"/>
        </w:rPr>
        <w:t xml:space="preserve"> </w:t>
      </w:r>
      <w:r w:rsidR="006403D0" w:rsidRPr="00837116">
        <w:rPr>
          <w:rFonts w:ascii="Arial" w:hAnsi="Arial" w:cs="Arial"/>
        </w:rPr>
        <w:t>delay; its effect on the administration of justice and other litigants; the reasonableness of the explanation for the delay, which must cover the whole period of delay; the importance of the issue to be raised; and the prospects of success.</w:t>
      </w:r>
      <w:r w:rsidR="00A21A5C" w:rsidRPr="00837116">
        <w:rPr>
          <w:rFonts w:ascii="Arial" w:hAnsi="Arial" w:cs="Arial"/>
        </w:rPr>
        <w:t xml:space="preserve"> </w:t>
      </w:r>
      <w:r w:rsidR="00160138" w:rsidRPr="00837116">
        <w:rPr>
          <w:rFonts w:ascii="Arial" w:hAnsi="Arial" w:cs="Arial"/>
        </w:rPr>
        <w:t xml:space="preserve">The onus is on the </w:t>
      </w:r>
      <w:r w:rsidR="00A21A5C" w:rsidRPr="00837116">
        <w:rPr>
          <w:rFonts w:ascii="Arial" w:hAnsi="Arial" w:cs="Arial"/>
        </w:rPr>
        <w:t xml:space="preserve">applicant </w:t>
      </w:r>
      <w:r w:rsidR="00160138" w:rsidRPr="00837116">
        <w:rPr>
          <w:rFonts w:ascii="Arial" w:hAnsi="Arial" w:cs="Arial"/>
        </w:rPr>
        <w:t>to satisfy the court that condonation should be granted.</w:t>
      </w:r>
      <w:r w:rsidR="00160138" w:rsidRPr="00837116">
        <w:rPr>
          <w:rStyle w:val="FootnoteReference"/>
          <w:rFonts w:ascii="Arial" w:hAnsi="Arial" w:cs="Arial"/>
        </w:rPr>
        <w:footnoteReference w:id="5"/>
      </w:r>
    </w:p>
    <w:p w14:paraId="7E0880B0" w14:textId="77777777" w:rsidR="004707E2" w:rsidRPr="004707E2" w:rsidRDefault="004707E2" w:rsidP="004707E2">
      <w:pPr>
        <w:pStyle w:val="MEMONUMBERED"/>
        <w:kinsoku w:val="0"/>
        <w:overflowPunct w:val="0"/>
        <w:autoSpaceDE w:val="0"/>
        <w:autoSpaceDN w:val="0"/>
        <w:adjustRightInd w:val="0"/>
        <w:spacing w:line="360" w:lineRule="auto"/>
        <w:ind w:right="-7"/>
        <w:rPr>
          <w:rFonts w:ascii="Arial" w:hAnsi="Arial" w:cs="Arial"/>
          <w:bCs/>
        </w:rPr>
      </w:pPr>
    </w:p>
    <w:p w14:paraId="138AFD15" w14:textId="1B2F2DCD" w:rsidR="008E697F" w:rsidRPr="00CC0760" w:rsidRDefault="006403D0"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rPr>
        <w:lastRenderedPageBreak/>
        <w:t xml:space="preserve">Because </w:t>
      </w:r>
      <w:r w:rsidR="005E5DE2" w:rsidRPr="00837116">
        <w:rPr>
          <w:rFonts w:ascii="Arial" w:hAnsi="Arial" w:cs="Arial"/>
        </w:rPr>
        <w:t xml:space="preserve">the discretion exercised in this regard is </w:t>
      </w:r>
      <w:r w:rsidR="000162A7" w:rsidRPr="00837116">
        <w:rPr>
          <w:rFonts w:ascii="Arial" w:hAnsi="Arial" w:cs="Arial"/>
        </w:rPr>
        <w:t xml:space="preserve">one </w:t>
      </w:r>
      <w:r w:rsidR="005E5DE2" w:rsidRPr="00837116">
        <w:rPr>
          <w:rFonts w:ascii="Arial" w:hAnsi="Arial" w:cs="Arial"/>
        </w:rPr>
        <w:t xml:space="preserve">in the true sense, </w:t>
      </w:r>
      <w:r w:rsidR="0036656A" w:rsidRPr="00097551">
        <w:rPr>
          <w:rFonts w:ascii="Arial" w:hAnsi="Arial" w:cs="Arial"/>
        </w:rPr>
        <w:t>the court’s decision</w:t>
      </w:r>
      <w:r w:rsidR="0036656A">
        <w:rPr>
          <w:rFonts w:ascii="Arial" w:hAnsi="Arial" w:cs="Arial"/>
        </w:rPr>
        <w:t xml:space="preserve"> </w:t>
      </w:r>
      <w:r w:rsidR="005E5DE2" w:rsidRPr="00837116">
        <w:rPr>
          <w:rFonts w:ascii="Arial" w:hAnsi="Arial" w:cs="Arial"/>
        </w:rPr>
        <w:t>can only be overturned on appeal in narrow circumstances</w:t>
      </w:r>
      <w:r w:rsidR="00394FD4" w:rsidRPr="00837116">
        <w:rPr>
          <w:rFonts w:ascii="Arial" w:hAnsi="Arial" w:cs="Arial"/>
        </w:rPr>
        <w:t>.</w:t>
      </w:r>
      <w:r w:rsidR="005E5DE2" w:rsidRPr="00837116">
        <w:rPr>
          <w:rFonts w:ascii="Arial" w:hAnsi="Arial" w:cs="Arial"/>
        </w:rPr>
        <w:t xml:space="preserve"> </w:t>
      </w:r>
      <w:r w:rsidR="00394FD4" w:rsidRPr="00837116">
        <w:rPr>
          <w:rFonts w:ascii="Arial" w:hAnsi="Arial" w:cs="Arial"/>
        </w:rPr>
        <w:t>T</w:t>
      </w:r>
      <w:r w:rsidR="00662D23" w:rsidRPr="00837116">
        <w:rPr>
          <w:rFonts w:ascii="Arial" w:hAnsi="Arial" w:cs="Arial"/>
        </w:rPr>
        <w:t xml:space="preserve">he approach of an appellate court to the exercise of such a discretion is </w:t>
      </w:r>
      <w:r w:rsidR="00160138" w:rsidRPr="00837116">
        <w:rPr>
          <w:rFonts w:ascii="Arial" w:hAnsi="Arial" w:cs="Arial"/>
        </w:rPr>
        <w:t>this:</w:t>
      </w:r>
      <w:r w:rsidR="00662D23" w:rsidRPr="00837116">
        <w:rPr>
          <w:rFonts w:ascii="Arial" w:hAnsi="Arial" w:cs="Arial"/>
        </w:rPr>
        <w:t xml:space="preserve"> it will not set aside the decision of the lower court merely because </w:t>
      </w:r>
      <w:r w:rsidR="00C34F8C">
        <w:rPr>
          <w:rFonts w:ascii="Arial" w:hAnsi="Arial" w:cs="Arial"/>
        </w:rPr>
        <w:t xml:space="preserve">it </w:t>
      </w:r>
      <w:r w:rsidR="00662D23" w:rsidRPr="00837116">
        <w:rPr>
          <w:rFonts w:ascii="Arial" w:hAnsi="Arial" w:cs="Arial"/>
        </w:rPr>
        <w:t>would itself, on the facts of the matter, have come to a different conclusion; it may interfere only when it appears that the lower court had not exercised its discretion judicially, or that it had been influenced by wrong principles or a misdirection on the facts</w:t>
      </w:r>
      <w:r w:rsidR="00C322E0">
        <w:rPr>
          <w:rFonts w:ascii="Arial" w:hAnsi="Arial" w:cs="Arial"/>
        </w:rPr>
        <w:t>,</w:t>
      </w:r>
      <w:r w:rsidR="00C34F8C">
        <w:rPr>
          <w:rFonts w:ascii="Arial" w:hAnsi="Arial" w:cs="Arial"/>
        </w:rPr>
        <w:t xml:space="preserve"> </w:t>
      </w:r>
      <w:r w:rsidR="00662D23" w:rsidRPr="00837116">
        <w:rPr>
          <w:rFonts w:ascii="Arial" w:hAnsi="Arial" w:cs="Arial"/>
        </w:rPr>
        <w:t>or that it had reached a decision which in the result could not reasonably have been made by a court properly directing itself to all the relevant facts and principles.</w:t>
      </w:r>
      <w:r w:rsidR="00662D23" w:rsidRPr="00837116">
        <w:rPr>
          <w:rStyle w:val="FootnoteReference"/>
          <w:rFonts w:ascii="Arial" w:hAnsi="Arial" w:cs="Arial"/>
        </w:rPr>
        <w:footnoteReference w:id="6"/>
      </w:r>
    </w:p>
    <w:p w14:paraId="4DB929F9" w14:textId="40D3662A" w:rsidR="00CC0760" w:rsidRPr="005E0169"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58C101B0" w14:textId="794DE01C" w:rsidR="00537F59" w:rsidRDefault="00D67389"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5E0169">
        <w:rPr>
          <w:rFonts w:ascii="Arial" w:hAnsi="Arial" w:cs="Arial"/>
          <w:bCs/>
        </w:rPr>
        <w:t>Having carefully considered the reasoning of the full court as set out above, I cannot fault its approach or the conclusion it reached.</w:t>
      </w:r>
      <w:r w:rsidR="00D74F7D" w:rsidRPr="005E0169">
        <w:rPr>
          <w:rFonts w:ascii="Arial" w:hAnsi="Arial" w:cs="Arial"/>
          <w:bCs/>
        </w:rPr>
        <w:t xml:space="preserve"> There is no discernable misdirection or an indication that the discretion was not exercised properly. There is therefore no basis for this Court to intervene and substitute its discretion for that of the full</w:t>
      </w:r>
      <w:r w:rsidR="000A35FF" w:rsidRPr="005E0169">
        <w:rPr>
          <w:rFonts w:ascii="Arial" w:hAnsi="Arial" w:cs="Arial"/>
          <w:bCs/>
        </w:rPr>
        <w:t xml:space="preserve"> court.</w:t>
      </w:r>
    </w:p>
    <w:p w14:paraId="3B9B86FC" w14:textId="4774027B" w:rsidR="00CC0760" w:rsidRPr="005E0169"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3FA69BC4" w14:textId="120F318D" w:rsidR="003E72E3" w:rsidRPr="00837116" w:rsidRDefault="00537F59" w:rsidP="00CC0760">
      <w:pPr>
        <w:spacing w:after="0" w:line="360" w:lineRule="auto"/>
        <w:rPr>
          <w:rFonts w:ascii="Arial" w:hAnsi="Arial" w:cs="Arial"/>
          <w:b/>
          <w:bCs/>
          <w:sz w:val="24"/>
          <w:szCs w:val="24"/>
        </w:rPr>
      </w:pPr>
      <w:r w:rsidRPr="00837116">
        <w:rPr>
          <w:rFonts w:ascii="Arial" w:hAnsi="Arial" w:cs="Arial"/>
          <w:b/>
          <w:bCs/>
          <w:sz w:val="24"/>
          <w:szCs w:val="24"/>
        </w:rPr>
        <w:t>Prospects of success</w:t>
      </w:r>
    </w:p>
    <w:p w14:paraId="6142DD48" w14:textId="179213E1" w:rsidR="00E54D0C" w:rsidRPr="008D2D2C" w:rsidRDefault="002F0645" w:rsidP="00A85908">
      <w:pPr>
        <w:pStyle w:val="MEMONUMBERED"/>
        <w:numPr>
          <w:ilvl w:val="0"/>
          <w:numId w:val="2"/>
        </w:numPr>
        <w:kinsoku w:val="0"/>
        <w:overflowPunct w:val="0"/>
        <w:autoSpaceDE w:val="0"/>
        <w:autoSpaceDN w:val="0"/>
        <w:adjustRightInd w:val="0"/>
        <w:spacing w:line="360" w:lineRule="auto"/>
        <w:ind w:left="0" w:right="-7" w:firstLine="0"/>
        <w:rPr>
          <w:rFonts w:ascii="Arial" w:hAnsi="Arial" w:cs="Arial"/>
          <w:lang w:val="en-ZA"/>
        </w:rPr>
      </w:pPr>
      <w:bookmarkStart w:id="10" w:name="_Hlk105092114"/>
      <w:r w:rsidRPr="00837116">
        <w:rPr>
          <w:rFonts w:ascii="Arial" w:hAnsi="Arial" w:cs="Arial"/>
          <w:shd w:val="clear" w:color="auto" w:fill="FFFFFF"/>
        </w:rPr>
        <w:t>G</w:t>
      </w:r>
      <w:r w:rsidR="00442992" w:rsidRPr="00837116">
        <w:rPr>
          <w:rFonts w:ascii="Arial" w:hAnsi="Arial" w:cs="Arial"/>
          <w:shd w:val="clear" w:color="auto" w:fill="FFFFFF"/>
        </w:rPr>
        <w:t>ood prospects on the merits may compensate for poor explanation for the delay.</w:t>
      </w:r>
      <w:r w:rsidR="001071C2" w:rsidRPr="00837116">
        <w:rPr>
          <w:rStyle w:val="FootnoteReference"/>
          <w:rFonts w:ascii="Arial" w:hAnsi="Arial" w:cs="Arial"/>
          <w:shd w:val="clear" w:color="auto" w:fill="FFFFFF"/>
        </w:rPr>
        <w:footnoteReference w:id="7"/>
      </w:r>
      <w:r w:rsidR="00775D4D" w:rsidRPr="00837116">
        <w:rPr>
          <w:rFonts w:ascii="Arial" w:hAnsi="Arial" w:cs="Arial"/>
          <w:shd w:val="clear" w:color="auto" w:fill="FFFFFF"/>
        </w:rPr>
        <w:t xml:space="preserve"> </w:t>
      </w:r>
      <w:r w:rsidR="00F43D3B" w:rsidRPr="00837116">
        <w:rPr>
          <w:rFonts w:ascii="Arial" w:hAnsi="Arial" w:cs="Arial"/>
          <w:shd w:val="clear" w:color="auto" w:fill="FFFFFF"/>
        </w:rPr>
        <w:t>However, where special leave is sought, as here,</w:t>
      </w:r>
      <w:r w:rsidR="00F43D3B" w:rsidRPr="00837116">
        <w:rPr>
          <w:rFonts w:ascii="Arial" w:hAnsi="Arial" w:cs="Arial"/>
        </w:rPr>
        <w:t xml:space="preserve"> the existence of reasonable prospects of success is insufficient for the granting of special leave.</w:t>
      </w:r>
      <w:r w:rsidR="00F43D3B" w:rsidRPr="00837116">
        <w:rPr>
          <w:rFonts w:ascii="Arial" w:hAnsi="Arial" w:cs="Arial"/>
          <w:shd w:val="clear" w:color="auto" w:fill="FFFFFF"/>
        </w:rPr>
        <w:t xml:space="preserve"> </w:t>
      </w:r>
      <w:r w:rsidR="000B3FDB" w:rsidRPr="00837116">
        <w:rPr>
          <w:rFonts w:ascii="Arial" w:hAnsi="Arial" w:cs="Arial"/>
          <w:shd w:val="clear" w:color="auto" w:fill="FFFFFF"/>
        </w:rPr>
        <w:t xml:space="preserve">As pointed out in </w:t>
      </w:r>
      <w:bookmarkStart w:id="11" w:name="_Hlk106263630"/>
      <w:r w:rsidR="00F43D3B" w:rsidRPr="00837116">
        <w:rPr>
          <w:rFonts w:ascii="Arial" w:hAnsi="Arial" w:cs="Arial"/>
          <w:i/>
          <w:iCs/>
        </w:rPr>
        <w:t>Cook v Morrison and Another</w:t>
      </w:r>
      <w:r w:rsidR="00F43D3B" w:rsidRPr="00837116">
        <w:rPr>
          <w:rFonts w:ascii="Arial" w:hAnsi="Arial" w:cs="Arial"/>
        </w:rPr>
        <w:t xml:space="preserve"> </w:t>
      </w:r>
      <w:r w:rsidR="00C96F45" w:rsidRPr="00837116">
        <w:rPr>
          <w:rFonts w:ascii="Arial" w:hAnsi="Arial" w:cs="Arial"/>
        </w:rPr>
        <w:t xml:space="preserve">[2019] ZASCA 8; </w:t>
      </w:r>
      <w:r w:rsidR="00F43D3B" w:rsidRPr="00A85908">
        <w:rPr>
          <w:rFonts w:ascii="Arial" w:hAnsi="Arial" w:cs="Arial"/>
        </w:rPr>
        <w:t>2019 (5) SA 51 (SCA) para 8</w:t>
      </w:r>
      <w:r w:rsidR="000B3FDB" w:rsidRPr="00A85908">
        <w:rPr>
          <w:rFonts w:ascii="Arial" w:hAnsi="Arial" w:cs="Arial"/>
        </w:rPr>
        <w:t>,</w:t>
      </w:r>
      <w:r w:rsidR="00F43D3B" w:rsidRPr="00A85908">
        <w:rPr>
          <w:rFonts w:ascii="Arial" w:hAnsi="Arial" w:cs="Arial"/>
        </w:rPr>
        <w:t xml:space="preserve"> </w:t>
      </w:r>
      <w:r w:rsidR="00E54D0C" w:rsidRPr="00EC4EF5">
        <w:rPr>
          <w:rFonts w:ascii="Arial" w:hAnsi="Arial" w:cs="Arial"/>
        </w:rPr>
        <w:t>‘</w:t>
      </w:r>
      <w:r w:rsidR="000B3FDB" w:rsidRPr="00A85908">
        <w:rPr>
          <w:rFonts w:ascii="Arial" w:hAnsi="Arial" w:cs="Arial"/>
        </w:rPr>
        <w:t>s</w:t>
      </w:r>
      <w:r w:rsidR="00F43D3B" w:rsidRPr="00A85908">
        <w:rPr>
          <w:rFonts w:ascii="Arial" w:hAnsi="Arial" w:cs="Arial"/>
        </w:rPr>
        <w:t xml:space="preserve">omething more, by way of special circumstances, is </w:t>
      </w:r>
      <w:r w:rsidR="00F43D3B" w:rsidRPr="00CF1849">
        <w:rPr>
          <w:rFonts w:ascii="Arial" w:hAnsi="Arial" w:cs="Arial"/>
        </w:rPr>
        <w:t>needed</w:t>
      </w:r>
      <w:r w:rsidR="00E54D0C" w:rsidRPr="00EC4EF5">
        <w:rPr>
          <w:rFonts w:ascii="Arial" w:hAnsi="Arial" w:cs="Arial"/>
        </w:rPr>
        <w:t>’</w:t>
      </w:r>
      <w:r w:rsidR="00F43D3B" w:rsidRPr="00CF1849">
        <w:rPr>
          <w:rFonts w:ascii="Arial" w:hAnsi="Arial" w:cs="Arial"/>
        </w:rPr>
        <w:t>. Th</w:t>
      </w:r>
      <w:r w:rsidR="00E54D0C" w:rsidRPr="00EC4EF5">
        <w:rPr>
          <w:rFonts w:ascii="Arial" w:hAnsi="Arial" w:cs="Arial"/>
        </w:rPr>
        <w:t>is</w:t>
      </w:r>
      <w:r w:rsidR="00F43D3B" w:rsidRPr="00A85908">
        <w:rPr>
          <w:rFonts w:ascii="Arial" w:hAnsi="Arial" w:cs="Arial"/>
        </w:rPr>
        <w:t xml:space="preserve"> may include</w:t>
      </w:r>
      <w:r w:rsidR="00E54D0C">
        <w:rPr>
          <w:rFonts w:ascii="Arial" w:hAnsi="Arial" w:cs="Arial"/>
        </w:rPr>
        <w:t>:</w:t>
      </w:r>
      <w:r w:rsidR="00F43D3B" w:rsidRPr="00A85908">
        <w:rPr>
          <w:rFonts w:ascii="Arial" w:hAnsi="Arial" w:cs="Arial"/>
        </w:rPr>
        <w:t xml:space="preserve"> </w:t>
      </w:r>
    </w:p>
    <w:p w14:paraId="49E4FAB5" w14:textId="37F1C5D0" w:rsidR="00C96F45" w:rsidRPr="008D2D2C" w:rsidRDefault="00E54D0C" w:rsidP="008D2D2C">
      <w:pPr>
        <w:pStyle w:val="MEMONUMBERED"/>
        <w:kinsoku w:val="0"/>
        <w:overflowPunct w:val="0"/>
        <w:autoSpaceDE w:val="0"/>
        <w:autoSpaceDN w:val="0"/>
        <w:adjustRightInd w:val="0"/>
        <w:spacing w:line="360" w:lineRule="auto"/>
        <w:ind w:right="-7"/>
        <w:rPr>
          <w:rFonts w:ascii="Arial" w:hAnsi="Arial" w:cs="Arial"/>
          <w:lang w:val="en-ZA"/>
        </w:rPr>
      </w:pPr>
      <w:r>
        <w:rPr>
          <w:rFonts w:ascii="Arial" w:hAnsi="Arial" w:cs="Arial"/>
        </w:rPr>
        <w:t>‘</w:t>
      </w:r>
      <w:r w:rsidR="00F43D3B" w:rsidRPr="008D2D2C">
        <w:rPr>
          <w:rFonts w:ascii="Arial" w:hAnsi="Arial" w:cs="Arial"/>
          <w:sz w:val="22"/>
          <w:szCs w:val="22"/>
        </w:rPr>
        <w:t>that the appeal raises a substantial point of law; or that the prospects of success are so strong that a refusal of leave would result in a manifest denial of justice; or that the matter is of very great importance to the parties or to the public</w:t>
      </w:r>
      <w:bookmarkEnd w:id="11"/>
      <w:r w:rsidR="00F43D3B" w:rsidRPr="008D2D2C">
        <w:rPr>
          <w:rFonts w:ascii="Arial" w:hAnsi="Arial" w:cs="Arial"/>
          <w:sz w:val="22"/>
          <w:szCs w:val="22"/>
        </w:rPr>
        <w:t>.</w:t>
      </w:r>
      <w:r>
        <w:rPr>
          <w:rFonts w:ascii="Arial" w:hAnsi="Arial" w:cs="Arial"/>
          <w:sz w:val="22"/>
          <w:szCs w:val="22"/>
        </w:rPr>
        <w:t>’</w:t>
      </w:r>
      <w:r w:rsidR="000B3FDB" w:rsidRPr="008D2D2C">
        <w:rPr>
          <w:rStyle w:val="FootnoteReference"/>
          <w:rFonts w:ascii="Arial" w:hAnsi="Arial" w:cs="Arial"/>
          <w:sz w:val="22"/>
          <w:szCs w:val="22"/>
        </w:rPr>
        <w:footnoteReference w:id="8"/>
      </w:r>
      <w:r w:rsidR="00F43D3B" w:rsidRPr="008D2D2C">
        <w:rPr>
          <w:rFonts w:ascii="Arial" w:hAnsi="Arial" w:cs="Arial"/>
          <w:sz w:val="22"/>
          <w:szCs w:val="22"/>
        </w:rPr>
        <w:t xml:space="preserve"> </w:t>
      </w:r>
    </w:p>
    <w:p w14:paraId="50A6D10C" w14:textId="77777777" w:rsidR="00CC0760" w:rsidRPr="00837116" w:rsidRDefault="00CC0760" w:rsidP="00CC0760">
      <w:pPr>
        <w:pStyle w:val="MEMONUMBERED"/>
        <w:kinsoku w:val="0"/>
        <w:overflowPunct w:val="0"/>
        <w:autoSpaceDE w:val="0"/>
        <w:autoSpaceDN w:val="0"/>
        <w:adjustRightInd w:val="0"/>
        <w:spacing w:line="360" w:lineRule="auto"/>
        <w:ind w:right="-7"/>
        <w:rPr>
          <w:rFonts w:ascii="Arial" w:hAnsi="Arial" w:cs="Arial"/>
          <w:bCs/>
        </w:rPr>
      </w:pPr>
    </w:p>
    <w:bookmarkEnd w:id="10"/>
    <w:p w14:paraId="4A4716DA" w14:textId="60DBE008" w:rsidR="00A1208F" w:rsidRPr="00A85908" w:rsidRDefault="00807559" w:rsidP="00A85908">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shd w:val="clear" w:color="auto" w:fill="FFFFFF"/>
        </w:rPr>
        <w:t xml:space="preserve">The issue in this regard </w:t>
      </w:r>
      <w:r w:rsidR="00DA020A" w:rsidRPr="00837116">
        <w:rPr>
          <w:rFonts w:ascii="Arial" w:hAnsi="Arial" w:cs="Arial"/>
          <w:shd w:val="clear" w:color="auto" w:fill="FFFFFF"/>
        </w:rPr>
        <w:t xml:space="preserve">is whether the </w:t>
      </w:r>
      <w:r w:rsidR="00E86314" w:rsidRPr="009C627F">
        <w:rPr>
          <w:rFonts w:ascii="Arial" w:hAnsi="Arial" w:cs="Arial"/>
          <w:shd w:val="clear" w:color="auto" w:fill="FFFFFF"/>
        </w:rPr>
        <w:t>high</w:t>
      </w:r>
      <w:r w:rsidR="00E86314">
        <w:rPr>
          <w:rFonts w:ascii="Arial" w:hAnsi="Arial" w:cs="Arial"/>
          <w:shd w:val="clear" w:color="auto" w:fill="FFFFFF"/>
        </w:rPr>
        <w:t xml:space="preserve"> </w:t>
      </w:r>
      <w:r w:rsidR="00DA020A" w:rsidRPr="00837116">
        <w:rPr>
          <w:rFonts w:ascii="Arial" w:hAnsi="Arial" w:cs="Arial"/>
          <w:shd w:val="clear" w:color="auto" w:fill="FFFFFF"/>
        </w:rPr>
        <w:t xml:space="preserve">court was correct in its order that </w:t>
      </w:r>
      <w:r w:rsidR="005B6C6D" w:rsidRPr="00837116">
        <w:rPr>
          <w:rFonts w:ascii="Arial" w:hAnsi="Arial" w:cs="Arial"/>
          <w:shd w:val="clear" w:color="auto" w:fill="FFFFFF"/>
        </w:rPr>
        <w:t xml:space="preserve">the amount </w:t>
      </w:r>
      <w:r w:rsidR="00F24029" w:rsidRPr="00837116">
        <w:rPr>
          <w:rFonts w:ascii="Arial" w:hAnsi="Arial" w:cs="Arial"/>
          <w:shd w:val="clear" w:color="auto" w:fill="FFFFFF"/>
        </w:rPr>
        <w:t xml:space="preserve">donated to the </w:t>
      </w:r>
      <w:r w:rsidR="00697ABE">
        <w:rPr>
          <w:rFonts w:ascii="Arial" w:hAnsi="Arial" w:cs="Arial"/>
          <w:shd w:val="clear" w:color="auto" w:fill="FFFFFF"/>
        </w:rPr>
        <w:t>t</w:t>
      </w:r>
      <w:r w:rsidR="00F24029" w:rsidRPr="00837116">
        <w:rPr>
          <w:rFonts w:ascii="Arial" w:hAnsi="Arial" w:cs="Arial"/>
          <w:shd w:val="clear" w:color="auto" w:fill="FFFFFF"/>
        </w:rPr>
        <w:t xml:space="preserve">rust </w:t>
      </w:r>
      <w:r w:rsidR="00C62FBA">
        <w:rPr>
          <w:rFonts w:ascii="Arial" w:hAnsi="Arial" w:cs="Arial"/>
          <w:shd w:val="clear" w:color="auto" w:fill="FFFFFF"/>
        </w:rPr>
        <w:t xml:space="preserve">should </w:t>
      </w:r>
      <w:r w:rsidR="00CE155B" w:rsidRPr="00837116">
        <w:rPr>
          <w:rFonts w:ascii="Arial" w:hAnsi="Arial" w:cs="Arial"/>
          <w:shd w:val="clear" w:color="auto" w:fill="FFFFFF"/>
        </w:rPr>
        <w:t>be</w:t>
      </w:r>
      <w:r w:rsidR="00C137B7" w:rsidRPr="00837116">
        <w:rPr>
          <w:rFonts w:ascii="Arial" w:hAnsi="Arial" w:cs="Arial"/>
          <w:shd w:val="clear" w:color="auto" w:fill="FFFFFF"/>
        </w:rPr>
        <w:t xml:space="preserve"> deemed to be part of the applicant’s estate </w:t>
      </w:r>
      <w:r w:rsidR="00C62FBA">
        <w:rPr>
          <w:rFonts w:ascii="Arial" w:hAnsi="Arial" w:cs="Arial"/>
          <w:shd w:val="clear" w:color="auto" w:fill="FFFFFF"/>
        </w:rPr>
        <w:lastRenderedPageBreak/>
        <w:t xml:space="preserve">for the purpose of </w:t>
      </w:r>
      <w:r w:rsidR="00CE155B" w:rsidRPr="00837116">
        <w:rPr>
          <w:rFonts w:ascii="Arial" w:hAnsi="Arial" w:cs="Arial"/>
          <w:shd w:val="clear" w:color="auto" w:fill="FFFFFF"/>
        </w:rPr>
        <w:t>calculati</w:t>
      </w:r>
      <w:r w:rsidR="00C62FBA">
        <w:rPr>
          <w:rFonts w:ascii="Arial" w:hAnsi="Arial" w:cs="Arial"/>
          <w:shd w:val="clear" w:color="auto" w:fill="FFFFFF"/>
        </w:rPr>
        <w:t>ng</w:t>
      </w:r>
      <w:r w:rsidR="00CE155B" w:rsidRPr="00837116">
        <w:rPr>
          <w:rFonts w:ascii="Arial" w:hAnsi="Arial" w:cs="Arial"/>
          <w:shd w:val="clear" w:color="auto" w:fill="FFFFFF"/>
        </w:rPr>
        <w:t xml:space="preserve"> the accrual.</w:t>
      </w:r>
      <w:r w:rsidR="005B6C6D" w:rsidRPr="00837116">
        <w:rPr>
          <w:rFonts w:ascii="Arial" w:hAnsi="Arial" w:cs="Arial"/>
          <w:shd w:val="clear" w:color="auto" w:fill="FFFFFF"/>
        </w:rPr>
        <w:t xml:space="preserve"> </w:t>
      </w:r>
      <w:r w:rsidR="00A1208F" w:rsidRPr="00837116">
        <w:rPr>
          <w:rFonts w:ascii="Arial" w:eastAsia="Times New Roman" w:hAnsi="Arial" w:cs="Arial"/>
        </w:rPr>
        <w:t>The right to claim accrual is provided for in s</w:t>
      </w:r>
      <w:r w:rsidR="00A1208F" w:rsidRPr="00837116">
        <w:rPr>
          <w:rFonts w:ascii="Arial" w:hAnsi="Arial" w:cs="Arial"/>
          <w:bCs/>
        </w:rPr>
        <w:t xml:space="preserve"> 3 of </w:t>
      </w:r>
      <w:r w:rsidR="00A1208F" w:rsidRPr="00EC4EF5">
        <w:rPr>
          <w:rFonts w:ascii="Arial" w:hAnsi="Arial" w:cs="Arial"/>
        </w:rPr>
        <w:t xml:space="preserve">the </w:t>
      </w:r>
      <w:r w:rsidR="00A85908" w:rsidRPr="00EC4EF5">
        <w:rPr>
          <w:rFonts w:ascii="Arial" w:hAnsi="Arial" w:cs="Arial"/>
          <w:lang w:val="en-ZA"/>
        </w:rPr>
        <w:t>Matrimonial Property Act 88 of 1984</w:t>
      </w:r>
      <w:r w:rsidR="00697ABE" w:rsidRPr="00EC4EF5">
        <w:rPr>
          <w:rFonts w:ascii="Arial" w:hAnsi="Arial" w:cs="Arial"/>
          <w:lang w:val="en-ZA"/>
        </w:rPr>
        <w:t xml:space="preserve"> (</w:t>
      </w:r>
      <w:r w:rsidR="00647B33" w:rsidRPr="00CF1849">
        <w:rPr>
          <w:rFonts w:ascii="Arial" w:hAnsi="Arial" w:cs="Arial"/>
          <w:lang w:val="en-ZA"/>
        </w:rPr>
        <w:t xml:space="preserve">the </w:t>
      </w:r>
      <w:r w:rsidR="00A1208F" w:rsidRPr="00CF1849">
        <w:rPr>
          <w:rFonts w:ascii="Arial" w:hAnsi="Arial" w:cs="Arial"/>
        </w:rPr>
        <w:t>MPA</w:t>
      </w:r>
      <w:r w:rsidR="00697ABE" w:rsidRPr="00EC4EF5">
        <w:rPr>
          <w:rFonts w:ascii="Arial" w:hAnsi="Arial" w:cs="Arial"/>
        </w:rPr>
        <w:t>)</w:t>
      </w:r>
      <w:r w:rsidR="00A1208F" w:rsidRPr="00CF1849">
        <w:rPr>
          <w:rFonts w:ascii="Arial" w:hAnsi="Arial" w:cs="Arial"/>
        </w:rPr>
        <w:t>.</w:t>
      </w:r>
      <w:r w:rsidR="00A1208F" w:rsidRPr="00A85908">
        <w:rPr>
          <w:rFonts w:ascii="Arial" w:hAnsi="Arial" w:cs="Arial"/>
        </w:rPr>
        <w:t xml:space="preserve"> </w:t>
      </w:r>
      <w:r w:rsidR="009D18F9" w:rsidRPr="004B36B8">
        <w:rPr>
          <w:rFonts w:ascii="Arial" w:hAnsi="Arial" w:cs="Arial"/>
        </w:rPr>
        <w:t>That section</w:t>
      </w:r>
      <w:r w:rsidR="00A1208F" w:rsidRPr="00A85908">
        <w:rPr>
          <w:rFonts w:ascii="Arial" w:hAnsi="Arial" w:cs="Arial"/>
        </w:rPr>
        <w:t xml:space="preserve"> provides that at the dissolution of a marriage</w:t>
      </w:r>
      <w:r w:rsidR="00A85908">
        <w:rPr>
          <w:rFonts w:ascii="Arial" w:hAnsi="Arial" w:cs="Arial"/>
        </w:rPr>
        <w:t xml:space="preserve"> </w:t>
      </w:r>
      <w:r w:rsidR="00A1208F" w:rsidRPr="00A85908">
        <w:rPr>
          <w:rFonts w:ascii="Arial" w:hAnsi="Arial" w:cs="Arial"/>
        </w:rPr>
        <w:t>subject to the accrual system, the spouse whose estate shows no accrual or a smaller accrual than the estate of the other spouse, acquires a claim against the other spouse for an amount equal to half of the difference between the accrual of the respective estates of the spouses.</w:t>
      </w:r>
      <w:r w:rsidR="00A1208F" w:rsidRPr="00837116">
        <w:rPr>
          <w:rStyle w:val="FootnoteReference"/>
          <w:rFonts w:ascii="Arial" w:hAnsi="Arial" w:cs="Arial"/>
        </w:rPr>
        <w:footnoteReference w:id="9"/>
      </w:r>
    </w:p>
    <w:p w14:paraId="71CC82DA" w14:textId="4A2175A8" w:rsidR="00CC0760" w:rsidRPr="00837116"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744855C3" w14:textId="5A1278D2" w:rsidR="00906789" w:rsidRPr="00CC0760" w:rsidRDefault="00063F85"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rPr>
        <w:t>Where trust property is involved, the default position is that such property does not form part of the personal estate of the trustee, except in so far as he or she, as trust beneficiary, is entitled to the trust property.</w:t>
      </w:r>
      <w:r w:rsidRPr="00837116">
        <w:rPr>
          <w:rStyle w:val="FootnoteReference"/>
          <w:rFonts w:ascii="Arial" w:hAnsi="Arial" w:cs="Arial"/>
        </w:rPr>
        <w:footnoteReference w:id="10"/>
      </w:r>
      <w:r w:rsidR="00906789">
        <w:rPr>
          <w:rFonts w:ascii="Arial" w:hAnsi="Arial" w:cs="Arial"/>
        </w:rPr>
        <w:t xml:space="preserve"> A court can disregard this in two instances</w:t>
      </w:r>
      <w:r w:rsidR="006A1EB4">
        <w:rPr>
          <w:rFonts w:ascii="Arial" w:hAnsi="Arial" w:cs="Arial"/>
        </w:rPr>
        <w:t xml:space="preserve">: where </w:t>
      </w:r>
      <w:r w:rsidR="009B1822" w:rsidRPr="004B36B8">
        <w:rPr>
          <w:rFonts w:ascii="Arial" w:hAnsi="Arial" w:cs="Arial"/>
        </w:rPr>
        <w:t>it</w:t>
      </w:r>
      <w:r w:rsidR="006A1EB4" w:rsidRPr="00837116">
        <w:rPr>
          <w:rFonts w:ascii="Arial" w:hAnsi="Arial" w:cs="Arial"/>
        </w:rPr>
        <w:t xml:space="preserve"> finds that a trust is a sham or simulated</w:t>
      </w:r>
      <w:r w:rsidR="00A96A79" w:rsidRPr="00EC4EF5">
        <w:rPr>
          <w:rFonts w:ascii="Arial" w:hAnsi="Arial" w:cs="Arial"/>
        </w:rPr>
        <w:t>,</w:t>
      </w:r>
      <w:r w:rsidR="006A1EB4" w:rsidRPr="00CF1849">
        <w:rPr>
          <w:rFonts w:ascii="Arial" w:hAnsi="Arial" w:cs="Arial"/>
        </w:rPr>
        <w:t xml:space="preserve"> or when it finds that there has been abuse of the trust form. </w:t>
      </w:r>
      <w:r w:rsidR="00906789" w:rsidRPr="00CF1849">
        <w:rPr>
          <w:rFonts w:ascii="Arial" w:hAnsi="Arial" w:cs="Arial"/>
        </w:rPr>
        <w:t xml:space="preserve">In </w:t>
      </w:r>
      <w:r w:rsidR="00906789" w:rsidRPr="00CF1849">
        <w:rPr>
          <w:rFonts w:ascii="Arial" w:hAnsi="Arial" w:cs="Arial"/>
          <w:i/>
        </w:rPr>
        <w:t xml:space="preserve">Van Zyl NO </w:t>
      </w:r>
      <w:r w:rsidR="00F57786" w:rsidRPr="00EC4EF5">
        <w:rPr>
          <w:rFonts w:ascii="Arial" w:hAnsi="Arial" w:cs="Arial"/>
          <w:i/>
        </w:rPr>
        <w:t>and</w:t>
      </w:r>
      <w:r w:rsidR="00906789" w:rsidRPr="00CF1849">
        <w:rPr>
          <w:rFonts w:ascii="Arial" w:hAnsi="Arial" w:cs="Arial"/>
          <w:i/>
        </w:rPr>
        <w:t xml:space="preserve"> Another v Kaye NO </w:t>
      </w:r>
      <w:r w:rsidR="00F57786" w:rsidRPr="00EC4EF5">
        <w:rPr>
          <w:rFonts w:ascii="Arial" w:hAnsi="Arial" w:cs="Arial"/>
          <w:i/>
        </w:rPr>
        <w:t>and Others</w:t>
      </w:r>
      <w:r w:rsidR="00F57786">
        <w:rPr>
          <w:rFonts w:ascii="Arial" w:hAnsi="Arial" w:cs="Arial"/>
          <w:i/>
        </w:rPr>
        <w:t xml:space="preserve"> </w:t>
      </w:r>
      <w:r w:rsidR="00906789" w:rsidRPr="006A1EB4">
        <w:rPr>
          <w:rFonts w:ascii="Arial" w:hAnsi="Arial" w:cs="Arial"/>
        </w:rPr>
        <w:t xml:space="preserve">[2014] ZAWCHC 52; 2014 (4) SA 452 (WCC) para 16, it was explained that the notion of a trust being a sham is </w:t>
      </w:r>
      <w:r w:rsidR="00906789" w:rsidRPr="00C44C81">
        <w:rPr>
          <w:rFonts w:ascii="Arial" w:hAnsi="Arial" w:cs="Arial"/>
        </w:rPr>
        <w:t>premised upon the trust</w:t>
      </w:r>
      <w:r w:rsidR="00BD7F78">
        <w:rPr>
          <w:rFonts w:ascii="Arial" w:hAnsi="Arial" w:cs="Arial"/>
        </w:rPr>
        <w:t xml:space="preserve"> </w:t>
      </w:r>
      <w:r w:rsidR="00BD7F78" w:rsidRPr="004B36B8">
        <w:rPr>
          <w:rFonts w:ascii="Arial" w:hAnsi="Arial" w:cs="Arial"/>
        </w:rPr>
        <w:t>not existing</w:t>
      </w:r>
      <w:r w:rsidR="00906789" w:rsidRPr="004B36B8">
        <w:rPr>
          <w:rFonts w:ascii="Arial" w:hAnsi="Arial" w:cs="Arial"/>
        </w:rPr>
        <w:t>.</w:t>
      </w:r>
      <w:r w:rsidR="00906789" w:rsidRPr="006A1EB4">
        <w:rPr>
          <w:rFonts w:ascii="Arial" w:hAnsi="Arial" w:cs="Arial"/>
        </w:rPr>
        <w:t xml:space="preserve"> If it is found that a trust is a sham, the result is that no effect will be given to the transaction and the ‘founder’ will remain the owner of the ‘trust assets’ and neither the ‘trustee(s)’</w:t>
      </w:r>
      <w:r w:rsidR="00F57786">
        <w:rPr>
          <w:rFonts w:ascii="Arial" w:hAnsi="Arial" w:cs="Arial"/>
        </w:rPr>
        <w:t>,</w:t>
      </w:r>
      <w:r w:rsidR="00906789" w:rsidRPr="006A1EB4">
        <w:rPr>
          <w:rFonts w:ascii="Arial" w:hAnsi="Arial" w:cs="Arial"/>
        </w:rPr>
        <w:t xml:space="preserve"> nor the ‘beneficiaries’ will acquire any rights with regard to these assets.</w:t>
      </w:r>
      <w:r w:rsidR="00906789" w:rsidRPr="00837116">
        <w:rPr>
          <w:rStyle w:val="FootnoteReference"/>
          <w:rFonts w:ascii="Arial" w:hAnsi="Arial" w:cs="Arial"/>
        </w:rPr>
        <w:footnoteReference w:id="11"/>
      </w:r>
      <w:r w:rsidR="00906789" w:rsidRPr="006A1EB4">
        <w:rPr>
          <w:rFonts w:ascii="Arial" w:hAnsi="Arial" w:cs="Arial"/>
        </w:rPr>
        <w:t xml:space="preserve"> On the other hand, piercing the trust veneer implicitly recognises the validity of a trust in the legal sense, but finds that there may be a justification to disregard the ordinary consequences of its existence for a particular purpose.</w:t>
      </w:r>
      <w:r w:rsidR="00906789" w:rsidRPr="00837116">
        <w:rPr>
          <w:rStyle w:val="FootnoteReference"/>
          <w:rFonts w:ascii="Arial" w:hAnsi="Arial" w:cs="Arial"/>
        </w:rPr>
        <w:footnoteReference w:id="12"/>
      </w:r>
      <w:r w:rsidR="00FA7AE1" w:rsidRPr="00FA7AE1">
        <w:rPr>
          <w:rFonts w:ascii="Arial" w:hAnsi="Arial" w:cs="Arial"/>
        </w:rPr>
        <w:t xml:space="preserve"> </w:t>
      </w:r>
      <w:r w:rsidR="00FA7AE1" w:rsidRPr="00473FC4">
        <w:rPr>
          <w:rFonts w:ascii="Arial" w:hAnsi="Arial" w:cs="Arial"/>
        </w:rPr>
        <w:t>These two remedies are distinct from each other and should not be conflated.</w:t>
      </w:r>
    </w:p>
    <w:p w14:paraId="05E0FFDB" w14:textId="77777777" w:rsidR="00CC0760" w:rsidRPr="00FA7AE1"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0920D7CA" w14:textId="74836239" w:rsidR="0082023E" w:rsidRPr="00CC0760" w:rsidRDefault="00E51FEC"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rPr>
        <w:t xml:space="preserve">In her amended </w:t>
      </w:r>
      <w:r w:rsidR="00A606CF">
        <w:rPr>
          <w:rFonts w:ascii="Arial" w:hAnsi="Arial" w:cs="Arial"/>
        </w:rPr>
        <w:t>counterclaim</w:t>
      </w:r>
      <w:r w:rsidRPr="00837116">
        <w:rPr>
          <w:rFonts w:ascii="Arial" w:hAnsi="Arial" w:cs="Arial"/>
        </w:rPr>
        <w:t>,</w:t>
      </w:r>
      <w:r w:rsidR="006608A1" w:rsidRPr="00837116">
        <w:rPr>
          <w:rFonts w:ascii="Arial" w:hAnsi="Arial" w:cs="Arial"/>
        </w:rPr>
        <w:t xml:space="preserve"> </w:t>
      </w:r>
      <w:r w:rsidR="0082023E" w:rsidRPr="00837116">
        <w:rPr>
          <w:rFonts w:ascii="Arial" w:hAnsi="Arial" w:cs="Arial"/>
        </w:rPr>
        <w:t>the respondent</w:t>
      </w:r>
      <w:r w:rsidR="00482FF6" w:rsidRPr="00837116">
        <w:rPr>
          <w:rFonts w:ascii="Arial" w:hAnsi="Arial" w:cs="Arial"/>
        </w:rPr>
        <w:t xml:space="preserve"> accepted </w:t>
      </w:r>
      <w:r w:rsidR="0082023E" w:rsidRPr="00837116">
        <w:rPr>
          <w:rFonts w:ascii="Arial" w:hAnsi="Arial" w:cs="Arial"/>
        </w:rPr>
        <w:t xml:space="preserve">the </w:t>
      </w:r>
      <w:r w:rsidR="00482FF6" w:rsidRPr="00837116">
        <w:rPr>
          <w:rFonts w:ascii="Arial" w:hAnsi="Arial" w:cs="Arial"/>
        </w:rPr>
        <w:t xml:space="preserve">formalities in respect of the trust, namely: its </w:t>
      </w:r>
      <w:r w:rsidR="0082023E" w:rsidRPr="00837116">
        <w:rPr>
          <w:rFonts w:ascii="Arial" w:hAnsi="Arial" w:cs="Arial"/>
        </w:rPr>
        <w:t xml:space="preserve">formation in accordance with the laws of the </w:t>
      </w:r>
      <w:r w:rsidR="007C2BF9" w:rsidRPr="00837116">
        <w:rPr>
          <w:rFonts w:ascii="Arial" w:hAnsi="Arial" w:cs="Arial"/>
        </w:rPr>
        <w:t>British Virgin Islands</w:t>
      </w:r>
      <w:r w:rsidR="00482FF6" w:rsidRPr="00837116">
        <w:rPr>
          <w:rFonts w:ascii="Arial" w:hAnsi="Arial" w:cs="Arial"/>
        </w:rPr>
        <w:t>;</w:t>
      </w:r>
      <w:r w:rsidR="007C2BF9" w:rsidRPr="00837116">
        <w:rPr>
          <w:rFonts w:ascii="Arial" w:hAnsi="Arial" w:cs="Arial"/>
        </w:rPr>
        <w:t xml:space="preserve"> </w:t>
      </w:r>
      <w:r w:rsidR="00482FF6" w:rsidRPr="00837116">
        <w:rPr>
          <w:rFonts w:ascii="Arial" w:hAnsi="Arial" w:cs="Arial"/>
        </w:rPr>
        <w:t xml:space="preserve">that </w:t>
      </w:r>
      <w:r w:rsidR="007C2BF9" w:rsidRPr="00837116">
        <w:rPr>
          <w:rFonts w:ascii="Arial" w:hAnsi="Arial" w:cs="Arial"/>
        </w:rPr>
        <w:t xml:space="preserve">the applicant’s brother </w:t>
      </w:r>
      <w:r w:rsidR="00C44C81" w:rsidRPr="004B36B8">
        <w:rPr>
          <w:rFonts w:ascii="Arial" w:hAnsi="Arial" w:cs="Arial"/>
        </w:rPr>
        <w:t>wa</w:t>
      </w:r>
      <w:r w:rsidR="00482FF6" w:rsidRPr="00837116">
        <w:rPr>
          <w:rFonts w:ascii="Arial" w:hAnsi="Arial" w:cs="Arial"/>
        </w:rPr>
        <w:t>s</w:t>
      </w:r>
      <w:r w:rsidR="007C2BF9" w:rsidRPr="00837116">
        <w:rPr>
          <w:rFonts w:ascii="Arial" w:hAnsi="Arial" w:cs="Arial"/>
        </w:rPr>
        <w:t xml:space="preserve"> its sole trustee</w:t>
      </w:r>
      <w:r w:rsidR="00482FF6" w:rsidRPr="00837116">
        <w:rPr>
          <w:rFonts w:ascii="Arial" w:hAnsi="Arial" w:cs="Arial"/>
        </w:rPr>
        <w:t xml:space="preserve">; </w:t>
      </w:r>
      <w:r w:rsidR="007C2BF9" w:rsidRPr="00837116">
        <w:rPr>
          <w:rFonts w:ascii="Arial" w:hAnsi="Arial" w:cs="Arial"/>
        </w:rPr>
        <w:t xml:space="preserve">that the parties’ minor child was the sole beneficiary, with the applicant and the respondent as the residual </w:t>
      </w:r>
      <w:r w:rsidR="007C2BF9" w:rsidRPr="00837116">
        <w:rPr>
          <w:rFonts w:ascii="Arial" w:hAnsi="Arial" w:cs="Arial"/>
        </w:rPr>
        <w:lastRenderedPageBreak/>
        <w:t>beneficiaries;</w:t>
      </w:r>
      <w:r w:rsidR="00482FF6" w:rsidRPr="00837116">
        <w:rPr>
          <w:rFonts w:ascii="Arial" w:hAnsi="Arial" w:cs="Arial"/>
        </w:rPr>
        <w:t xml:space="preserve"> and that</w:t>
      </w:r>
      <w:r w:rsidR="007C2BF9" w:rsidRPr="00837116">
        <w:rPr>
          <w:rFonts w:ascii="Arial" w:hAnsi="Arial" w:cs="Arial"/>
        </w:rPr>
        <w:t xml:space="preserve"> the donation </w:t>
      </w:r>
      <w:r w:rsidR="00482FF6" w:rsidRPr="00837116">
        <w:rPr>
          <w:rFonts w:ascii="Arial" w:hAnsi="Arial" w:cs="Arial"/>
        </w:rPr>
        <w:t xml:space="preserve">was made </w:t>
      </w:r>
      <w:r w:rsidR="007C2BF9" w:rsidRPr="00837116">
        <w:rPr>
          <w:rFonts w:ascii="Arial" w:hAnsi="Arial" w:cs="Arial"/>
        </w:rPr>
        <w:t xml:space="preserve">to the trust and </w:t>
      </w:r>
      <w:r w:rsidR="00482FF6" w:rsidRPr="00837116">
        <w:rPr>
          <w:rFonts w:ascii="Arial" w:hAnsi="Arial" w:cs="Arial"/>
        </w:rPr>
        <w:t>was</w:t>
      </w:r>
      <w:r w:rsidR="007C2BF9" w:rsidRPr="00837116">
        <w:rPr>
          <w:rFonts w:ascii="Arial" w:hAnsi="Arial" w:cs="Arial"/>
        </w:rPr>
        <w:t xml:space="preserve"> accept</w:t>
      </w:r>
      <w:r w:rsidR="00482FF6" w:rsidRPr="00837116">
        <w:rPr>
          <w:rFonts w:ascii="Arial" w:hAnsi="Arial" w:cs="Arial"/>
        </w:rPr>
        <w:t>ed by</w:t>
      </w:r>
      <w:r w:rsidR="007C2BF9" w:rsidRPr="00837116">
        <w:rPr>
          <w:rFonts w:ascii="Arial" w:hAnsi="Arial" w:cs="Arial"/>
        </w:rPr>
        <w:t xml:space="preserve"> the applicant’s brother</w:t>
      </w:r>
      <w:r w:rsidR="00C96F45" w:rsidRPr="00837116">
        <w:rPr>
          <w:rFonts w:ascii="Arial" w:hAnsi="Arial" w:cs="Arial"/>
        </w:rPr>
        <w:t xml:space="preserve"> as the trustee</w:t>
      </w:r>
      <w:r w:rsidR="007C2BF9" w:rsidRPr="00837116">
        <w:rPr>
          <w:rFonts w:ascii="Arial" w:hAnsi="Arial" w:cs="Arial"/>
        </w:rPr>
        <w:t>.</w:t>
      </w:r>
      <w:r w:rsidR="00681466" w:rsidRPr="00837116">
        <w:rPr>
          <w:rFonts w:ascii="Arial" w:hAnsi="Arial" w:cs="Arial"/>
        </w:rPr>
        <w:t xml:space="preserve"> The upshot of these averments was that the trust was legitimately established, and that the applicant could never retrieve the donation made to the </w:t>
      </w:r>
      <w:r w:rsidR="004C592B" w:rsidRPr="00837116">
        <w:rPr>
          <w:rFonts w:ascii="Arial" w:hAnsi="Arial" w:cs="Arial"/>
        </w:rPr>
        <w:t>t</w:t>
      </w:r>
      <w:r w:rsidR="00681466" w:rsidRPr="00837116">
        <w:rPr>
          <w:rFonts w:ascii="Arial" w:hAnsi="Arial" w:cs="Arial"/>
        </w:rPr>
        <w:t xml:space="preserve">rust. Also, that the donation, being unconditional, would yield no </w:t>
      </w:r>
      <w:r w:rsidR="00681466" w:rsidRPr="00837116">
        <w:rPr>
          <w:rFonts w:ascii="Arial" w:hAnsi="Arial" w:cs="Arial"/>
          <w:i/>
          <w:iCs/>
        </w:rPr>
        <w:t>quid pro quo</w:t>
      </w:r>
      <w:r w:rsidR="00681466" w:rsidRPr="00837116">
        <w:rPr>
          <w:rFonts w:ascii="Arial" w:hAnsi="Arial" w:cs="Arial"/>
        </w:rPr>
        <w:t xml:space="preserve"> for the applicant, and that the parties’ minor daughter would benefit from the donation to the trust.</w:t>
      </w:r>
    </w:p>
    <w:p w14:paraId="1BDE6776" w14:textId="169C084D" w:rsidR="00CC0760" w:rsidRPr="00837116"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23498748" w14:textId="2F66DB2B" w:rsidR="006134B1" w:rsidRPr="00CC0760" w:rsidRDefault="00DE5A48"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shd w:val="clear" w:color="auto" w:fill="FFFFFF"/>
        </w:rPr>
        <w:t xml:space="preserve">It was submitted on behalf of the applicant that </w:t>
      </w:r>
      <w:r w:rsidR="00146B31" w:rsidRPr="00837116">
        <w:rPr>
          <w:rFonts w:ascii="Arial" w:hAnsi="Arial" w:cs="Arial"/>
          <w:shd w:val="clear" w:color="auto" w:fill="FFFFFF"/>
        </w:rPr>
        <w:t>given the</w:t>
      </w:r>
      <w:r w:rsidR="00681466" w:rsidRPr="00837116">
        <w:rPr>
          <w:rFonts w:ascii="Arial" w:hAnsi="Arial" w:cs="Arial"/>
          <w:shd w:val="clear" w:color="auto" w:fill="FFFFFF"/>
        </w:rPr>
        <w:t xml:space="preserve"> above</w:t>
      </w:r>
      <w:r w:rsidR="00146B31" w:rsidRPr="00837116">
        <w:rPr>
          <w:rFonts w:ascii="Arial" w:hAnsi="Arial" w:cs="Arial"/>
          <w:shd w:val="clear" w:color="auto" w:fill="FFFFFF"/>
        </w:rPr>
        <w:t xml:space="preserve"> admissions by the respondent in her pleadings</w:t>
      </w:r>
      <w:r w:rsidR="00681466" w:rsidRPr="00837116">
        <w:rPr>
          <w:rFonts w:ascii="Arial" w:hAnsi="Arial" w:cs="Arial"/>
          <w:shd w:val="clear" w:color="auto" w:fill="FFFFFF"/>
        </w:rPr>
        <w:t>,</w:t>
      </w:r>
      <w:r w:rsidR="00146B31" w:rsidRPr="00837116">
        <w:rPr>
          <w:rFonts w:ascii="Arial" w:hAnsi="Arial" w:cs="Arial"/>
          <w:shd w:val="clear" w:color="auto" w:fill="FFFFFF"/>
        </w:rPr>
        <w:t xml:space="preserve"> and the evidence led at the trial, the </w:t>
      </w:r>
      <w:r w:rsidR="00C62FBA">
        <w:rPr>
          <w:rFonts w:ascii="Arial" w:hAnsi="Arial" w:cs="Arial"/>
          <w:shd w:val="clear" w:color="auto" w:fill="FFFFFF"/>
        </w:rPr>
        <w:t xml:space="preserve">high </w:t>
      </w:r>
      <w:r w:rsidR="00146B31" w:rsidRPr="00837116">
        <w:rPr>
          <w:rFonts w:ascii="Arial" w:hAnsi="Arial" w:cs="Arial"/>
          <w:shd w:val="clear" w:color="auto" w:fill="FFFFFF"/>
        </w:rPr>
        <w:t>court was precluded from making the determination that the donation was made for the sole purpose of reducing the respondent’s accrual claim.</w:t>
      </w:r>
      <w:r w:rsidR="00681466" w:rsidRPr="00837116">
        <w:rPr>
          <w:rFonts w:ascii="Arial" w:hAnsi="Arial" w:cs="Arial"/>
          <w:shd w:val="clear" w:color="auto" w:fill="FFFFFF"/>
        </w:rPr>
        <w:t xml:space="preserve"> </w:t>
      </w:r>
      <w:r w:rsidR="003B0570" w:rsidRPr="00837116">
        <w:rPr>
          <w:rFonts w:ascii="Arial" w:hAnsi="Arial" w:cs="Arial"/>
        </w:rPr>
        <w:t xml:space="preserve">It was further submitted that during the trial it was never put to either the applicant or the trustee (his brother) that: the donation was simulated or that the trust was a sham; </w:t>
      </w:r>
      <w:r w:rsidR="00C44C81" w:rsidRPr="004B36B8">
        <w:rPr>
          <w:rFonts w:ascii="Arial" w:hAnsi="Arial" w:cs="Arial"/>
        </w:rPr>
        <w:t>n</w:t>
      </w:r>
      <w:r w:rsidR="003B0570" w:rsidRPr="00837116">
        <w:rPr>
          <w:rFonts w:ascii="Arial" w:hAnsi="Arial" w:cs="Arial"/>
        </w:rPr>
        <w:t>or was it ever suggested that the applicant still retained ownership of the money which was donated to the trust.</w:t>
      </w:r>
    </w:p>
    <w:p w14:paraId="77D68BC7" w14:textId="22D2BC5D" w:rsidR="00CC0760"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63CCCD2D" w14:textId="3094AE93" w:rsidR="00906789" w:rsidRPr="00CC0760" w:rsidRDefault="00681466"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6134B1">
        <w:rPr>
          <w:rFonts w:ascii="Arial" w:hAnsi="Arial" w:cs="Arial"/>
          <w:shd w:val="clear" w:color="auto" w:fill="FFFFFF"/>
        </w:rPr>
        <w:t>I</w:t>
      </w:r>
      <w:r w:rsidR="003B0570" w:rsidRPr="006134B1">
        <w:rPr>
          <w:rFonts w:ascii="Arial" w:hAnsi="Arial" w:cs="Arial"/>
          <w:shd w:val="clear" w:color="auto" w:fill="FFFFFF"/>
        </w:rPr>
        <w:t>n my view,</w:t>
      </w:r>
      <w:r w:rsidRPr="006134B1">
        <w:rPr>
          <w:rFonts w:ascii="Arial" w:hAnsi="Arial" w:cs="Arial"/>
          <w:shd w:val="clear" w:color="auto" w:fill="FFFFFF"/>
        </w:rPr>
        <w:t xml:space="preserve"> </w:t>
      </w:r>
      <w:r w:rsidR="003B0570" w:rsidRPr="006134B1">
        <w:rPr>
          <w:rFonts w:ascii="Arial" w:hAnsi="Arial" w:cs="Arial"/>
          <w:shd w:val="clear" w:color="auto" w:fill="FFFFFF"/>
        </w:rPr>
        <w:t>t</w:t>
      </w:r>
      <w:r w:rsidRPr="006134B1">
        <w:rPr>
          <w:rFonts w:ascii="Arial" w:hAnsi="Arial" w:cs="Arial"/>
          <w:shd w:val="clear" w:color="auto" w:fill="FFFFFF"/>
        </w:rPr>
        <w:t>h</w:t>
      </w:r>
      <w:r w:rsidR="003B0570" w:rsidRPr="006134B1">
        <w:rPr>
          <w:rFonts w:ascii="Arial" w:hAnsi="Arial" w:cs="Arial"/>
          <w:shd w:val="clear" w:color="auto" w:fill="FFFFFF"/>
        </w:rPr>
        <w:t>e</w:t>
      </w:r>
      <w:r w:rsidR="00A34216" w:rsidRPr="006134B1">
        <w:rPr>
          <w:rFonts w:ascii="Arial" w:hAnsi="Arial" w:cs="Arial"/>
          <w:shd w:val="clear" w:color="auto" w:fill="FFFFFF"/>
        </w:rPr>
        <w:t xml:space="preserve"> substance, rather than form, of the respondent’s claim</w:t>
      </w:r>
      <w:r w:rsidRPr="006134B1">
        <w:rPr>
          <w:rFonts w:ascii="Arial" w:hAnsi="Arial" w:cs="Arial"/>
          <w:shd w:val="clear" w:color="auto" w:fill="FFFFFF"/>
        </w:rPr>
        <w:t xml:space="preserve"> </w:t>
      </w:r>
      <w:r w:rsidR="00586267" w:rsidRPr="006134B1">
        <w:rPr>
          <w:rFonts w:ascii="Arial" w:hAnsi="Arial" w:cs="Arial"/>
          <w:shd w:val="clear" w:color="auto" w:fill="FFFFFF"/>
        </w:rPr>
        <w:t>must be considered</w:t>
      </w:r>
      <w:r w:rsidR="00A34216" w:rsidRPr="006134B1">
        <w:rPr>
          <w:rFonts w:ascii="Arial" w:hAnsi="Arial" w:cs="Arial"/>
          <w:shd w:val="clear" w:color="auto" w:fill="FFFFFF"/>
        </w:rPr>
        <w:t>.</w:t>
      </w:r>
      <w:r w:rsidR="00586267" w:rsidRPr="006134B1">
        <w:rPr>
          <w:rFonts w:ascii="Arial" w:hAnsi="Arial" w:cs="Arial"/>
          <w:shd w:val="clear" w:color="auto" w:fill="FFFFFF"/>
        </w:rPr>
        <w:t xml:space="preserve"> </w:t>
      </w:r>
      <w:r w:rsidR="00E25748" w:rsidRPr="006134B1">
        <w:rPr>
          <w:rFonts w:ascii="Arial" w:hAnsi="Arial" w:cs="Arial"/>
        </w:rPr>
        <w:t>Properly construed, the essence of the</w:t>
      </w:r>
      <w:r w:rsidR="00A34216" w:rsidRPr="006134B1">
        <w:rPr>
          <w:rFonts w:ascii="Arial" w:hAnsi="Arial" w:cs="Arial"/>
        </w:rPr>
        <w:t xml:space="preserve"> respondent’s</w:t>
      </w:r>
      <w:r w:rsidR="00E25748" w:rsidRPr="006134B1">
        <w:rPr>
          <w:rFonts w:ascii="Arial" w:hAnsi="Arial" w:cs="Arial"/>
        </w:rPr>
        <w:t xml:space="preserve"> allegations</w:t>
      </w:r>
      <w:r w:rsidR="00A34216" w:rsidRPr="006134B1">
        <w:rPr>
          <w:rFonts w:ascii="Arial" w:hAnsi="Arial" w:cs="Arial"/>
        </w:rPr>
        <w:t xml:space="preserve"> in para 26 of her </w:t>
      </w:r>
      <w:r w:rsidR="00A606CF">
        <w:rPr>
          <w:rFonts w:ascii="Arial" w:hAnsi="Arial" w:cs="Arial"/>
        </w:rPr>
        <w:t>counterclaim</w:t>
      </w:r>
      <w:r w:rsidR="002111BA" w:rsidRPr="006134B1">
        <w:rPr>
          <w:rFonts w:ascii="Arial" w:hAnsi="Arial" w:cs="Arial"/>
        </w:rPr>
        <w:t xml:space="preserve"> is this:</w:t>
      </w:r>
      <w:r w:rsidR="00E25748" w:rsidRPr="006134B1">
        <w:rPr>
          <w:rFonts w:ascii="Arial" w:hAnsi="Arial" w:cs="Arial"/>
        </w:rPr>
        <w:t xml:space="preserve"> </w:t>
      </w:r>
      <w:r w:rsidR="002111BA" w:rsidRPr="006134B1">
        <w:rPr>
          <w:rFonts w:ascii="Arial" w:hAnsi="Arial" w:cs="Arial"/>
        </w:rPr>
        <w:t xml:space="preserve">by creating the trust and making the donation to it, </w:t>
      </w:r>
      <w:r w:rsidR="00E25748" w:rsidRPr="006134B1">
        <w:rPr>
          <w:rFonts w:ascii="Arial" w:hAnsi="Arial" w:cs="Arial"/>
        </w:rPr>
        <w:t xml:space="preserve">the applicant abused the trust form to reduce </w:t>
      </w:r>
      <w:r w:rsidR="002111BA" w:rsidRPr="006134B1">
        <w:rPr>
          <w:rFonts w:ascii="Arial" w:hAnsi="Arial" w:cs="Arial"/>
        </w:rPr>
        <w:t xml:space="preserve">her </w:t>
      </w:r>
      <w:r w:rsidR="00E25748" w:rsidRPr="006134B1">
        <w:rPr>
          <w:rFonts w:ascii="Arial" w:hAnsi="Arial" w:cs="Arial"/>
        </w:rPr>
        <w:t xml:space="preserve">accrual claim. </w:t>
      </w:r>
      <w:r w:rsidR="002111BA" w:rsidRPr="006134B1">
        <w:rPr>
          <w:rFonts w:ascii="Arial" w:hAnsi="Arial" w:cs="Arial"/>
        </w:rPr>
        <w:t xml:space="preserve">Upon such premise, she requested the court to go behind the trust form, or ‘pierce the trust veneer’, and order that the value of the donation be taken into account when the accrual is determined. </w:t>
      </w:r>
    </w:p>
    <w:p w14:paraId="321F6C8E" w14:textId="311B885A" w:rsidR="00CC0760" w:rsidRPr="006134B1"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34EDC901" w14:textId="1E5E4E28" w:rsidR="00EF1607" w:rsidRPr="00CC0760" w:rsidRDefault="00BE3ACC"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rPr>
        <w:t>T</w:t>
      </w:r>
      <w:r w:rsidR="009E1CDE" w:rsidRPr="00837116">
        <w:rPr>
          <w:rFonts w:ascii="Arial" w:hAnsi="Arial" w:cs="Arial"/>
        </w:rPr>
        <w:t xml:space="preserve">he </w:t>
      </w:r>
      <w:r w:rsidR="007F3617" w:rsidRPr="00837116">
        <w:rPr>
          <w:rFonts w:ascii="Arial" w:hAnsi="Arial" w:cs="Arial"/>
        </w:rPr>
        <w:t>high</w:t>
      </w:r>
      <w:r w:rsidR="009E1CDE" w:rsidRPr="00837116">
        <w:rPr>
          <w:rFonts w:ascii="Arial" w:hAnsi="Arial" w:cs="Arial"/>
        </w:rPr>
        <w:t xml:space="preserve"> court </w:t>
      </w:r>
      <w:r w:rsidRPr="00837116">
        <w:rPr>
          <w:rFonts w:ascii="Arial" w:hAnsi="Arial" w:cs="Arial"/>
        </w:rPr>
        <w:t xml:space="preserve">was </w:t>
      </w:r>
      <w:r w:rsidR="009E1CDE" w:rsidRPr="00837116">
        <w:rPr>
          <w:rFonts w:ascii="Arial" w:hAnsi="Arial" w:cs="Arial"/>
        </w:rPr>
        <w:t>alive to this</w:t>
      </w:r>
      <w:r w:rsidR="007F3617" w:rsidRPr="00837116">
        <w:rPr>
          <w:rFonts w:ascii="Arial" w:hAnsi="Arial" w:cs="Arial"/>
        </w:rPr>
        <w:t>,</w:t>
      </w:r>
      <w:r w:rsidR="009E1CDE" w:rsidRPr="00837116">
        <w:rPr>
          <w:rFonts w:ascii="Arial" w:hAnsi="Arial" w:cs="Arial"/>
        </w:rPr>
        <w:t xml:space="preserve"> and it appears from </w:t>
      </w:r>
      <w:r w:rsidR="009E1CDE" w:rsidRPr="00097551">
        <w:rPr>
          <w:rFonts w:ascii="Arial" w:hAnsi="Arial" w:cs="Arial"/>
        </w:rPr>
        <w:t>r</w:t>
      </w:r>
      <w:r w:rsidR="009E1CDE" w:rsidRPr="00837116">
        <w:rPr>
          <w:rFonts w:ascii="Arial" w:hAnsi="Arial" w:cs="Arial"/>
        </w:rPr>
        <w:t xml:space="preserve">ecord that this was the basis on which </w:t>
      </w:r>
      <w:r w:rsidR="009E1CDE" w:rsidRPr="00EE48D4">
        <w:rPr>
          <w:rFonts w:ascii="Arial" w:hAnsi="Arial" w:cs="Arial"/>
        </w:rPr>
        <w:t>the trial</w:t>
      </w:r>
      <w:r w:rsidR="009E1CDE" w:rsidRPr="00837116">
        <w:rPr>
          <w:rFonts w:ascii="Arial" w:hAnsi="Arial" w:cs="Arial"/>
        </w:rPr>
        <w:t xml:space="preserve"> was conducted. </w:t>
      </w:r>
      <w:r w:rsidR="007F3617" w:rsidRPr="00837116">
        <w:rPr>
          <w:rFonts w:ascii="Arial" w:hAnsi="Arial" w:cs="Arial"/>
        </w:rPr>
        <w:t xml:space="preserve">This is also consistent </w:t>
      </w:r>
      <w:r w:rsidR="00E572AB" w:rsidRPr="00837116">
        <w:rPr>
          <w:rFonts w:ascii="Arial" w:hAnsi="Arial" w:cs="Arial"/>
        </w:rPr>
        <w:t>with the order it made, ie that the value of the donation to the trust be deemed to be part of the applicant’s assets for the purposes of calculating the accrual.</w:t>
      </w:r>
      <w:r w:rsidR="007F3617" w:rsidRPr="00837116">
        <w:rPr>
          <w:rFonts w:ascii="Arial" w:hAnsi="Arial" w:cs="Arial"/>
        </w:rPr>
        <w:t xml:space="preserve"> </w:t>
      </w:r>
      <w:r w:rsidR="00E572AB" w:rsidRPr="00837116">
        <w:rPr>
          <w:rFonts w:ascii="Arial" w:hAnsi="Arial" w:cs="Arial"/>
        </w:rPr>
        <w:t>This it could do only after piercing the trust veneer.</w:t>
      </w:r>
      <w:r w:rsidR="00EF1607" w:rsidRPr="00837116">
        <w:rPr>
          <w:rFonts w:ascii="Arial" w:hAnsi="Arial" w:cs="Arial"/>
        </w:rPr>
        <w:t xml:space="preserve"> </w:t>
      </w:r>
      <w:r w:rsidR="009E1CDE" w:rsidRPr="00837116">
        <w:rPr>
          <w:rFonts w:ascii="Arial" w:hAnsi="Arial" w:cs="Arial"/>
        </w:rPr>
        <w:t xml:space="preserve">The </w:t>
      </w:r>
      <w:r w:rsidR="00A974F8" w:rsidRPr="00837116">
        <w:rPr>
          <w:rFonts w:ascii="Arial" w:hAnsi="Arial" w:cs="Arial"/>
        </w:rPr>
        <w:t xml:space="preserve">result </w:t>
      </w:r>
      <w:r w:rsidR="009E1CDE" w:rsidRPr="00837116">
        <w:rPr>
          <w:rFonts w:ascii="Arial" w:hAnsi="Arial" w:cs="Arial"/>
        </w:rPr>
        <w:t xml:space="preserve">is that even if the respondent’s claim was not properly framed, </w:t>
      </w:r>
      <w:r w:rsidR="00E572AB" w:rsidRPr="00837116">
        <w:rPr>
          <w:rFonts w:ascii="Arial" w:hAnsi="Arial" w:cs="Arial"/>
        </w:rPr>
        <w:t xml:space="preserve">the question whether </w:t>
      </w:r>
      <w:r w:rsidR="009E1CDE" w:rsidRPr="00837116">
        <w:rPr>
          <w:rFonts w:ascii="Arial" w:hAnsi="Arial" w:cs="Arial"/>
        </w:rPr>
        <w:t xml:space="preserve">the </w:t>
      </w:r>
      <w:r w:rsidR="00E572AB" w:rsidRPr="00837116">
        <w:rPr>
          <w:rFonts w:ascii="Arial" w:hAnsi="Arial" w:cs="Arial"/>
        </w:rPr>
        <w:t xml:space="preserve">court should go beyond the trust form, or </w:t>
      </w:r>
      <w:r w:rsidR="009E1CDE" w:rsidRPr="00837116">
        <w:rPr>
          <w:rFonts w:ascii="Arial" w:hAnsi="Arial" w:cs="Arial"/>
        </w:rPr>
        <w:t>pierc</w:t>
      </w:r>
      <w:r w:rsidR="00E572AB" w:rsidRPr="00837116">
        <w:rPr>
          <w:rFonts w:ascii="Arial" w:hAnsi="Arial" w:cs="Arial"/>
        </w:rPr>
        <w:t>e</w:t>
      </w:r>
      <w:r w:rsidR="009E1CDE" w:rsidRPr="00837116">
        <w:rPr>
          <w:rFonts w:ascii="Arial" w:hAnsi="Arial" w:cs="Arial"/>
        </w:rPr>
        <w:t xml:space="preserve"> the trust veneer</w:t>
      </w:r>
      <w:r w:rsidR="00E572AB" w:rsidRPr="00837116">
        <w:rPr>
          <w:rFonts w:ascii="Arial" w:hAnsi="Arial" w:cs="Arial"/>
        </w:rPr>
        <w:t>,</w:t>
      </w:r>
      <w:r w:rsidR="009E1CDE" w:rsidRPr="00837116">
        <w:rPr>
          <w:rFonts w:ascii="Arial" w:hAnsi="Arial" w:cs="Arial"/>
        </w:rPr>
        <w:t xml:space="preserve"> was fully ventilated during the trial.</w:t>
      </w:r>
      <w:r w:rsidR="009E1CDE" w:rsidRPr="00837116">
        <w:rPr>
          <w:rFonts w:ascii="Arial" w:hAnsi="Arial" w:cs="Arial"/>
          <w:lang w:bidi="en-US"/>
        </w:rPr>
        <w:t xml:space="preserve"> </w:t>
      </w:r>
    </w:p>
    <w:p w14:paraId="362F9CB5" w14:textId="07B0CF70" w:rsidR="00CC0760" w:rsidRPr="00837116"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1B14A986" w14:textId="15CEC814" w:rsidR="008B1AF1" w:rsidRPr="00CC0760" w:rsidRDefault="009E1CDE"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lang w:bidi="en-US"/>
        </w:rPr>
        <w:t xml:space="preserve">It must be borne in mind that this Court has inherent jurisdiction to decide a matter even where it has not been pleaded, provided that such matter was ventilated </w:t>
      </w:r>
      <w:r w:rsidRPr="00837116">
        <w:rPr>
          <w:rFonts w:ascii="Arial" w:hAnsi="Arial" w:cs="Arial"/>
          <w:lang w:bidi="en-US"/>
        </w:rPr>
        <w:lastRenderedPageBreak/>
        <w:t>before it.</w:t>
      </w:r>
      <w:r w:rsidR="004D7CE8" w:rsidRPr="00EC4EF5">
        <w:rPr>
          <w:rStyle w:val="FootnoteReference"/>
          <w:rFonts w:ascii="Arial" w:hAnsi="Arial" w:cs="Arial"/>
          <w:lang w:bidi="en-US"/>
        </w:rPr>
        <w:footnoteReference w:id="13"/>
      </w:r>
      <w:r w:rsidRPr="00837116">
        <w:rPr>
          <w:rFonts w:ascii="Arial" w:hAnsi="Arial" w:cs="Arial"/>
          <w:lang w:bidi="en-US"/>
        </w:rPr>
        <w:t xml:space="preserve"> </w:t>
      </w:r>
      <w:r w:rsidRPr="00837116">
        <w:rPr>
          <w:rFonts w:ascii="Arial" w:hAnsi="Arial" w:cs="Arial"/>
          <w:iCs/>
          <w:lang w:bidi="en-US"/>
        </w:rPr>
        <w:t xml:space="preserve">Here, it is not a case of </w:t>
      </w:r>
      <w:r w:rsidR="00E572AB" w:rsidRPr="00837116">
        <w:rPr>
          <w:rFonts w:ascii="Arial" w:hAnsi="Arial" w:cs="Arial"/>
          <w:iCs/>
          <w:lang w:bidi="en-US"/>
        </w:rPr>
        <w:t xml:space="preserve">an issue </w:t>
      </w:r>
      <w:r w:rsidRPr="00837116">
        <w:rPr>
          <w:rFonts w:ascii="Arial" w:hAnsi="Arial" w:cs="Arial"/>
          <w:iCs/>
          <w:lang w:bidi="en-US"/>
        </w:rPr>
        <w:t xml:space="preserve">not </w:t>
      </w:r>
      <w:r w:rsidR="007E0D51" w:rsidRPr="00837116">
        <w:rPr>
          <w:rFonts w:ascii="Arial" w:hAnsi="Arial" w:cs="Arial"/>
          <w:iCs/>
          <w:lang w:bidi="en-US"/>
        </w:rPr>
        <w:t xml:space="preserve">having </w:t>
      </w:r>
      <w:r w:rsidRPr="00837116">
        <w:rPr>
          <w:rFonts w:ascii="Arial" w:hAnsi="Arial" w:cs="Arial"/>
          <w:iCs/>
          <w:lang w:bidi="en-US"/>
        </w:rPr>
        <w:t>be</w:t>
      </w:r>
      <w:r w:rsidR="00EF1607" w:rsidRPr="00837116">
        <w:rPr>
          <w:rFonts w:ascii="Arial" w:hAnsi="Arial" w:cs="Arial"/>
          <w:iCs/>
          <w:lang w:bidi="en-US"/>
        </w:rPr>
        <w:t>en</w:t>
      </w:r>
      <w:r w:rsidRPr="00837116">
        <w:rPr>
          <w:rFonts w:ascii="Arial" w:hAnsi="Arial" w:cs="Arial"/>
          <w:iCs/>
          <w:lang w:bidi="en-US"/>
        </w:rPr>
        <w:t xml:space="preserve"> pleaded</w:t>
      </w:r>
      <w:r w:rsidR="00F03C39">
        <w:rPr>
          <w:rFonts w:ascii="Arial" w:hAnsi="Arial" w:cs="Arial"/>
          <w:iCs/>
          <w:lang w:bidi="en-US"/>
        </w:rPr>
        <w:t>. It was pleaded,</w:t>
      </w:r>
      <w:r w:rsidR="00F174E9" w:rsidRPr="00837116">
        <w:rPr>
          <w:rFonts w:ascii="Arial" w:hAnsi="Arial" w:cs="Arial"/>
          <w:iCs/>
          <w:lang w:bidi="en-US"/>
        </w:rPr>
        <w:t xml:space="preserve"> </w:t>
      </w:r>
      <w:r w:rsidR="00F03C39">
        <w:rPr>
          <w:rFonts w:ascii="Arial" w:hAnsi="Arial" w:cs="Arial"/>
          <w:iCs/>
          <w:lang w:bidi="en-US"/>
        </w:rPr>
        <w:t xml:space="preserve">if </w:t>
      </w:r>
      <w:r w:rsidRPr="00837116">
        <w:rPr>
          <w:rFonts w:ascii="Arial" w:hAnsi="Arial" w:cs="Arial"/>
          <w:iCs/>
          <w:lang w:bidi="en-US"/>
        </w:rPr>
        <w:t xml:space="preserve">only </w:t>
      </w:r>
      <w:r w:rsidR="00F03C39">
        <w:rPr>
          <w:rFonts w:ascii="Arial" w:hAnsi="Arial" w:cs="Arial"/>
          <w:iCs/>
          <w:lang w:bidi="en-US"/>
        </w:rPr>
        <w:t>in</w:t>
      </w:r>
      <w:r w:rsidRPr="00837116">
        <w:rPr>
          <w:rFonts w:ascii="Arial" w:hAnsi="Arial" w:cs="Arial"/>
          <w:iCs/>
          <w:lang w:bidi="en-US"/>
        </w:rPr>
        <w:t>elegantly</w:t>
      </w:r>
      <w:r w:rsidR="00F03C39">
        <w:rPr>
          <w:rFonts w:ascii="Arial" w:hAnsi="Arial" w:cs="Arial"/>
          <w:iCs/>
          <w:lang w:bidi="en-US"/>
        </w:rPr>
        <w:t xml:space="preserve"> so</w:t>
      </w:r>
      <w:r w:rsidRPr="00837116">
        <w:rPr>
          <w:rFonts w:ascii="Arial" w:hAnsi="Arial" w:cs="Arial"/>
          <w:iCs/>
          <w:lang w:bidi="en-US"/>
        </w:rPr>
        <w:t xml:space="preserve">. </w:t>
      </w:r>
      <w:r w:rsidRPr="00837116">
        <w:rPr>
          <w:rFonts w:ascii="Arial" w:hAnsi="Arial" w:cs="Arial"/>
          <w:bCs/>
        </w:rPr>
        <w:t xml:space="preserve">As explained in </w:t>
      </w:r>
      <w:r w:rsidRPr="00837116">
        <w:rPr>
          <w:rFonts w:ascii="Arial" w:hAnsi="Arial" w:cs="Arial"/>
          <w:i/>
          <w:lang w:bidi="en-US"/>
        </w:rPr>
        <w:t>Van Mentz v Provident Assurance Corporation of Africa Ltd</w:t>
      </w:r>
      <w:r w:rsidR="00C321F8" w:rsidRPr="00837116">
        <w:rPr>
          <w:rFonts w:ascii="Arial" w:hAnsi="Arial" w:cs="Arial"/>
          <w:i/>
          <w:lang w:bidi="en-US"/>
        </w:rPr>
        <w:t xml:space="preserve"> </w:t>
      </w:r>
      <w:r w:rsidR="00C321F8" w:rsidRPr="00837116">
        <w:rPr>
          <w:rFonts w:ascii="Arial" w:hAnsi="Arial" w:cs="Arial"/>
          <w:lang w:bidi="en-US"/>
        </w:rPr>
        <w:t>1961 (1) SA 115 (A) at 12</w:t>
      </w:r>
      <w:r w:rsidR="00C321F8" w:rsidRPr="00141126">
        <w:rPr>
          <w:rFonts w:ascii="Arial" w:hAnsi="Arial" w:cs="Arial"/>
          <w:lang w:bidi="en-US"/>
        </w:rPr>
        <w:t>2</w:t>
      </w:r>
      <w:r w:rsidRPr="00837116">
        <w:rPr>
          <w:rFonts w:ascii="Arial" w:hAnsi="Arial" w:cs="Arial"/>
          <w:lang w:bidi="en-US"/>
        </w:rPr>
        <w:t>,</w:t>
      </w:r>
      <w:r w:rsidRPr="00837116">
        <w:rPr>
          <w:rFonts w:ascii="Arial" w:hAnsi="Arial" w:cs="Arial"/>
          <w:iCs/>
          <w:lang w:bidi="en-US"/>
        </w:rPr>
        <w:t xml:space="preserve"> </w:t>
      </w:r>
      <w:r w:rsidRPr="00837116">
        <w:rPr>
          <w:rFonts w:ascii="Arial" w:hAnsi="Arial" w:cs="Arial"/>
          <w:lang w:bidi="en-US"/>
        </w:rPr>
        <w:t>if the real issue emerges during the course of the trial, it would be proper to treat the issues as enlarged where this can be done without prejudice to the party against whom the enlargement is to be used.</w:t>
      </w:r>
      <w:r w:rsidRPr="00837116">
        <w:rPr>
          <w:rStyle w:val="FootnoteReference"/>
          <w:rFonts w:ascii="Arial" w:hAnsi="Arial" w:cs="Arial"/>
          <w:lang w:bidi="en-US"/>
        </w:rPr>
        <w:footnoteReference w:id="14"/>
      </w:r>
      <w:r w:rsidRPr="00837116">
        <w:rPr>
          <w:rFonts w:ascii="Arial" w:hAnsi="Arial" w:cs="Arial"/>
          <w:lang w:bidi="en-US"/>
        </w:rPr>
        <w:t xml:space="preserve"> Given the manner in which the trial was</w:t>
      </w:r>
      <w:r w:rsidR="00F174E9" w:rsidRPr="00837116">
        <w:rPr>
          <w:rFonts w:ascii="Arial" w:hAnsi="Arial" w:cs="Arial"/>
          <w:lang w:bidi="en-US"/>
        </w:rPr>
        <w:t xml:space="preserve"> conducted</w:t>
      </w:r>
      <w:r w:rsidRPr="00837116">
        <w:rPr>
          <w:rFonts w:ascii="Arial" w:hAnsi="Arial" w:cs="Arial"/>
          <w:lang w:bidi="en-US"/>
        </w:rPr>
        <w:t>, there can be no prejudice to the applicant.</w:t>
      </w:r>
    </w:p>
    <w:p w14:paraId="6B07618A" w14:textId="6F6D3869" w:rsidR="00CC0760" w:rsidRPr="00837116"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114730B4" w14:textId="22E907DC" w:rsidR="00B4386D" w:rsidRPr="00CC0760" w:rsidRDefault="00D84CC1"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bCs/>
        </w:rPr>
        <w:t xml:space="preserve">On behalf of the applicant, it was submitted that </w:t>
      </w:r>
      <w:r w:rsidRPr="00837116">
        <w:rPr>
          <w:rFonts w:ascii="Arial" w:hAnsi="Arial" w:cs="Arial"/>
        </w:rPr>
        <w:t xml:space="preserve">there </w:t>
      </w:r>
      <w:r w:rsidR="00214029" w:rsidRPr="00097551">
        <w:rPr>
          <w:rFonts w:ascii="Arial" w:hAnsi="Arial" w:cs="Arial"/>
        </w:rPr>
        <w:t>wa</w:t>
      </w:r>
      <w:r w:rsidRPr="00837116">
        <w:rPr>
          <w:rFonts w:ascii="Arial" w:hAnsi="Arial" w:cs="Arial"/>
        </w:rPr>
        <w:t xml:space="preserve">s no legal basis </w:t>
      </w:r>
      <w:r w:rsidR="00F03657" w:rsidRPr="00837116">
        <w:rPr>
          <w:rFonts w:ascii="Arial" w:hAnsi="Arial" w:cs="Arial"/>
        </w:rPr>
        <w:t xml:space="preserve">for </w:t>
      </w:r>
      <w:r w:rsidR="00F174E9" w:rsidRPr="00837116">
        <w:rPr>
          <w:rFonts w:ascii="Arial" w:hAnsi="Arial" w:cs="Arial"/>
        </w:rPr>
        <w:t xml:space="preserve">the </w:t>
      </w:r>
      <w:r w:rsidR="00F03657" w:rsidRPr="00837116">
        <w:rPr>
          <w:rFonts w:ascii="Arial" w:hAnsi="Arial" w:cs="Arial"/>
        </w:rPr>
        <w:t xml:space="preserve">order made by the </w:t>
      </w:r>
      <w:r w:rsidR="00F174E9" w:rsidRPr="00837116">
        <w:rPr>
          <w:rFonts w:ascii="Arial" w:hAnsi="Arial" w:cs="Arial"/>
        </w:rPr>
        <w:t>high</w:t>
      </w:r>
      <w:r w:rsidR="00F03657" w:rsidRPr="00837116">
        <w:rPr>
          <w:rFonts w:ascii="Arial" w:hAnsi="Arial" w:cs="Arial"/>
        </w:rPr>
        <w:t xml:space="preserve"> court</w:t>
      </w:r>
      <w:r w:rsidR="00F174E9" w:rsidRPr="00837116">
        <w:rPr>
          <w:rFonts w:ascii="Arial" w:hAnsi="Arial" w:cs="Arial"/>
        </w:rPr>
        <w:t xml:space="preserve">, ie that the value of the donation to the trust be deemed as an asset in the estate of the applicant for the purposes of calculating the accrual. </w:t>
      </w:r>
      <w:r w:rsidRPr="00837116">
        <w:rPr>
          <w:rFonts w:ascii="Arial" w:hAnsi="Arial" w:cs="Arial"/>
        </w:rPr>
        <w:t xml:space="preserve">For this proposition, </w:t>
      </w:r>
      <w:r w:rsidR="004F4515" w:rsidRPr="00837116">
        <w:rPr>
          <w:rFonts w:ascii="Arial" w:hAnsi="Arial" w:cs="Arial"/>
        </w:rPr>
        <w:t>heav</w:t>
      </w:r>
      <w:r w:rsidR="00A974F8" w:rsidRPr="00837116">
        <w:rPr>
          <w:rFonts w:ascii="Arial" w:hAnsi="Arial" w:cs="Arial"/>
        </w:rPr>
        <w:t>y reliance was placed upon</w:t>
      </w:r>
      <w:r w:rsidR="004F4515" w:rsidRPr="00837116">
        <w:rPr>
          <w:rFonts w:ascii="Arial" w:hAnsi="Arial" w:cs="Arial"/>
        </w:rPr>
        <w:t xml:space="preserve"> the decision in </w:t>
      </w:r>
      <w:bookmarkStart w:id="12" w:name="_Hlk104310381"/>
      <w:r w:rsidR="004F4515" w:rsidRPr="00837116">
        <w:rPr>
          <w:rFonts w:ascii="Arial" w:hAnsi="Arial" w:cs="Arial"/>
          <w:i/>
        </w:rPr>
        <w:t xml:space="preserve">MM </w:t>
      </w:r>
      <w:r w:rsidR="0044090A" w:rsidRPr="00EC4EF5">
        <w:rPr>
          <w:rFonts w:ascii="Arial" w:hAnsi="Arial" w:cs="Arial"/>
          <w:i/>
        </w:rPr>
        <w:t>and</w:t>
      </w:r>
      <w:r w:rsidR="004F4515" w:rsidRPr="00837116">
        <w:rPr>
          <w:rFonts w:ascii="Arial" w:hAnsi="Arial" w:cs="Arial"/>
          <w:i/>
        </w:rPr>
        <w:t xml:space="preserve"> Others v JM</w:t>
      </w:r>
      <w:r w:rsidR="004F4515" w:rsidRPr="00837116">
        <w:rPr>
          <w:rFonts w:ascii="Arial" w:hAnsi="Arial" w:cs="Arial"/>
        </w:rPr>
        <w:t xml:space="preserve"> </w:t>
      </w:r>
      <w:bookmarkEnd w:id="12"/>
      <w:r w:rsidR="004F4515" w:rsidRPr="00837116">
        <w:rPr>
          <w:rFonts w:ascii="Arial" w:hAnsi="Arial" w:cs="Arial"/>
        </w:rPr>
        <w:t>2014 (4) SA 384 (KZP)</w:t>
      </w:r>
      <w:r w:rsidR="00441590">
        <w:rPr>
          <w:rFonts w:ascii="Arial" w:hAnsi="Arial" w:cs="Arial"/>
        </w:rPr>
        <w:t xml:space="preserve"> (</w:t>
      </w:r>
      <w:r w:rsidR="00441590" w:rsidRPr="00EC4EF5">
        <w:rPr>
          <w:rFonts w:ascii="Arial" w:hAnsi="Arial" w:cs="Arial"/>
          <w:i/>
        </w:rPr>
        <w:t>MM v JM</w:t>
      </w:r>
      <w:r w:rsidR="00441590">
        <w:rPr>
          <w:rFonts w:ascii="Arial" w:hAnsi="Arial" w:cs="Arial"/>
          <w:iCs/>
        </w:rPr>
        <w:t>)</w:t>
      </w:r>
      <w:r w:rsidR="00F31B48" w:rsidRPr="00837116">
        <w:rPr>
          <w:rFonts w:ascii="Arial" w:hAnsi="Arial" w:cs="Arial"/>
        </w:rPr>
        <w:t xml:space="preserve">. There, the parties were married </w:t>
      </w:r>
      <w:r w:rsidR="00DE0023" w:rsidRPr="00837116">
        <w:rPr>
          <w:rFonts w:ascii="Arial" w:hAnsi="Arial" w:cs="Arial"/>
        </w:rPr>
        <w:t>out of</w:t>
      </w:r>
      <w:r w:rsidR="00F31B48" w:rsidRPr="00837116">
        <w:rPr>
          <w:rFonts w:ascii="Arial" w:hAnsi="Arial" w:cs="Arial"/>
        </w:rPr>
        <w:t xml:space="preserve"> community of property subject to the accrual system. In her</w:t>
      </w:r>
      <w:r w:rsidR="00F31B48" w:rsidRPr="00837116">
        <w:rPr>
          <w:rFonts w:ascii="Arial" w:eastAsia="Times New Roman" w:hAnsi="Arial" w:cs="Arial"/>
        </w:rPr>
        <w:t xml:space="preserve"> </w:t>
      </w:r>
      <w:r w:rsidR="00A606CF">
        <w:rPr>
          <w:rFonts w:ascii="Arial" w:eastAsia="Times New Roman" w:hAnsi="Arial" w:cs="Arial"/>
        </w:rPr>
        <w:t>counterclaim</w:t>
      </w:r>
      <w:r w:rsidR="00BA4D38">
        <w:rPr>
          <w:rFonts w:ascii="Arial" w:eastAsia="Times New Roman" w:hAnsi="Arial" w:cs="Arial"/>
        </w:rPr>
        <w:t>,</w:t>
      </w:r>
      <w:r w:rsidR="00F31B48" w:rsidRPr="00837116">
        <w:rPr>
          <w:rFonts w:ascii="Arial" w:eastAsia="Times New Roman" w:hAnsi="Arial" w:cs="Arial"/>
        </w:rPr>
        <w:t xml:space="preserve"> the defendant claimed that a family trust was the </w:t>
      </w:r>
      <w:r w:rsidR="00F31B48" w:rsidRPr="008D2D2C">
        <w:rPr>
          <w:rFonts w:ascii="Arial" w:eastAsia="Times New Roman" w:hAnsi="Arial" w:cs="Arial"/>
          <w:iCs/>
        </w:rPr>
        <w:t>alter ego</w:t>
      </w:r>
      <w:r w:rsidR="00F31B48" w:rsidRPr="00837116">
        <w:rPr>
          <w:rFonts w:ascii="Arial" w:eastAsia="Times New Roman" w:hAnsi="Arial" w:cs="Arial"/>
        </w:rPr>
        <w:t xml:space="preserve"> of the plaintiff</w:t>
      </w:r>
      <w:r w:rsidR="00647B33" w:rsidRPr="00EC4EF5">
        <w:rPr>
          <w:rFonts w:ascii="Arial" w:eastAsia="Times New Roman" w:hAnsi="Arial" w:cs="Arial"/>
        </w:rPr>
        <w:t>,</w:t>
      </w:r>
      <w:r w:rsidR="00F31B48" w:rsidRPr="00837116">
        <w:rPr>
          <w:rFonts w:ascii="Arial" w:eastAsia="Times New Roman" w:hAnsi="Arial" w:cs="Arial"/>
        </w:rPr>
        <w:t xml:space="preserve"> and that its assets should be deemed to form part of his assets for the purpose of determining the accrual of his estate. </w:t>
      </w:r>
      <w:r w:rsidR="0096782D" w:rsidRPr="00837116">
        <w:rPr>
          <w:rFonts w:ascii="Arial" w:eastAsia="Times New Roman" w:hAnsi="Arial" w:cs="Arial"/>
        </w:rPr>
        <w:t xml:space="preserve">The plaintiff excepted to the defendant’s </w:t>
      </w:r>
      <w:r w:rsidR="00A606CF">
        <w:rPr>
          <w:rFonts w:ascii="Arial" w:eastAsia="Times New Roman" w:hAnsi="Arial" w:cs="Arial"/>
        </w:rPr>
        <w:t>counterclaim</w:t>
      </w:r>
      <w:r w:rsidR="006B3677" w:rsidRPr="00837116">
        <w:rPr>
          <w:rFonts w:ascii="Arial" w:eastAsia="Times New Roman" w:hAnsi="Arial" w:cs="Arial"/>
        </w:rPr>
        <w:t xml:space="preserve"> on grounds, among others, that the claim lacked the averments necessary to sustain a cause of action.</w:t>
      </w:r>
    </w:p>
    <w:p w14:paraId="2923CECD" w14:textId="58ABA0FC" w:rsidR="00CC0760" w:rsidRPr="00837116"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46DF55C4" w14:textId="23DA9F83" w:rsidR="00CC0760" w:rsidRPr="00192E39" w:rsidRDefault="006B3677"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eastAsia="Times New Roman" w:hAnsi="Arial" w:cs="Arial"/>
        </w:rPr>
        <w:t xml:space="preserve">The exception found favour with </w:t>
      </w:r>
      <w:r w:rsidR="001A582B" w:rsidRPr="00837116">
        <w:rPr>
          <w:rFonts w:ascii="Arial" w:eastAsia="Times New Roman" w:hAnsi="Arial" w:cs="Arial"/>
        </w:rPr>
        <w:t xml:space="preserve">the court, </w:t>
      </w:r>
      <w:r w:rsidR="008222CF" w:rsidRPr="00837116">
        <w:rPr>
          <w:rFonts w:ascii="Arial" w:eastAsia="Times New Roman" w:hAnsi="Arial" w:cs="Arial"/>
        </w:rPr>
        <w:t>w</w:t>
      </w:r>
      <w:r w:rsidR="001A582B" w:rsidRPr="00837116">
        <w:rPr>
          <w:rFonts w:ascii="Arial" w:eastAsia="Times New Roman" w:hAnsi="Arial" w:cs="Arial"/>
        </w:rPr>
        <w:t>hich</w:t>
      </w:r>
      <w:r w:rsidR="0096782D" w:rsidRPr="00837116">
        <w:rPr>
          <w:rFonts w:ascii="Arial" w:eastAsia="Times New Roman" w:hAnsi="Arial" w:cs="Arial"/>
        </w:rPr>
        <w:t xml:space="preserve"> upheld </w:t>
      </w:r>
      <w:r w:rsidR="009A7C8D" w:rsidRPr="004B36B8">
        <w:rPr>
          <w:rFonts w:ascii="Arial" w:eastAsia="Times New Roman" w:hAnsi="Arial" w:cs="Arial"/>
        </w:rPr>
        <w:t>it</w:t>
      </w:r>
      <w:r w:rsidR="0096782D" w:rsidRPr="00837116">
        <w:rPr>
          <w:rFonts w:ascii="Arial" w:eastAsia="Times New Roman" w:hAnsi="Arial" w:cs="Arial"/>
        </w:rPr>
        <w:t xml:space="preserve"> on the basis that the defendant did not allege that </w:t>
      </w:r>
      <w:r w:rsidR="00F31B48" w:rsidRPr="00837116">
        <w:rPr>
          <w:rFonts w:ascii="Arial" w:eastAsia="Times New Roman" w:hAnsi="Arial" w:cs="Arial"/>
        </w:rPr>
        <w:t xml:space="preserve">the assets </w:t>
      </w:r>
      <w:r w:rsidR="0096782D" w:rsidRPr="00837116">
        <w:rPr>
          <w:rFonts w:ascii="Arial" w:eastAsia="Times New Roman" w:hAnsi="Arial" w:cs="Arial"/>
        </w:rPr>
        <w:t xml:space="preserve">of the trust </w:t>
      </w:r>
      <w:r w:rsidR="00F31B48" w:rsidRPr="00837116">
        <w:rPr>
          <w:rFonts w:ascii="Arial" w:eastAsia="Times New Roman" w:hAnsi="Arial" w:cs="Arial"/>
        </w:rPr>
        <w:t xml:space="preserve">were </w:t>
      </w:r>
      <w:r w:rsidR="0096782D" w:rsidRPr="00837116">
        <w:rPr>
          <w:rFonts w:ascii="Arial" w:eastAsia="Times New Roman" w:hAnsi="Arial" w:cs="Arial"/>
        </w:rPr>
        <w:t xml:space="preserve">the plaintiff’s </w:t>
      </w:r>
      <w:r w:rsidR="00F31B48" w:rsidRPr="00837116">
        <w:rPr>
          <w:rFonts w:ascii="Arial" w:eastAsia="Times New Roman" w:hAnsi="Arial" w:cs="Arial"/>
        </w:rPr>
        <w:t>property, nor that the trust was a sham</w:t>
      </w:r>
      <w:r w:rsidR="0096782D" w:rsidRPr="00837116">
        <w:rPr>
          <w:rFonts w:ascii="Arial" w:eastAsia="Times New Roman" w:hAnsi="Arial" w:cs="Arial"/>
        </w:rPr>
        <w:t>.</w:t>
      </w:r>
      <w:r w:rsidRPr="00837116">
        <w:rPr>
          <w:rFonts w:ascii="Arial" w:eastAsia="Times New Roman" w:hAnsi="Arial" w:cs="Arial"/>
        </w:rPr>
        <w:t xml:space="preserve"> </w:t>
      </w:r>
      <w:r w:rsidR="00310B82" w:rsidRPr="00837116">
        <w:rPr>
          <w:rFonts w:ascii="Arial" w:eastAsia="Times New Roman" w:hAnsi="Arial" w:cs="Arial"/>
        </w:rPr>
        <w:t>Ploos van Amstel J</w:t>
      </w:r>
      <w:r w:rsidR="008222CF" w:rsidRPr="00837116">
        <w:rPr>
          <w:rFonts w:ascii="Arial" w:eastAsia="Times New Roman" w:hAnsi="Arial" w:cs="Arial"/>
        </w:rPr>
        <w:t xml:space="preserve"> </w:t>
      </w:r>
      <w:r w:rsidR="002D0F69" w:rsidRPr="00837116">
        <w:rPr>
          <w:rFonts w:ascii="Arial" w:eastAsia="Times New Roman" w:hAnsi="Arial" w:cs="Arial"/>
        </w:rPr>
        <w:t>drew a distinction between a court</w:t>
      </w:r>
      <w:r w:rsidR="0057433E" w:rsidRPr="00837116">
        <w:rPr>
          <w:rFonts w:ascii="Arial" w:eastAsia="Times New Roman" w:hAnsi="Arial" w:cs="Arial"/>
        </w:rPr>
        <w:t>’s</w:t>
      </w:r>
      <w:r w:rsidR="002D0F69" w:rsidRPr="00837116">
        <w:rPr>
          <w:rFonts w:ascii="Arial" w:eastAsia="Times New Roman" w:hAnsi="Arial" w:cs="Arial"/>
        </w:rPr>
        <w:t xml:space="preserve"> consider</w:t>
      </w:r>
      <w:r w:rsidR="0057433E" w:rsidRPr="00837116">
        <w:rPr>
          <w:rFonts w:ascii="Arial" w:eastAsia="Times New Roman" w:hAnsi="Arial" w:cs="Arial"/>
        </w:rPr>
        <w:t>ation of</w:t>
      </w:r>
      <w:r w:rsidR="002D0F69" w:rsidRPr="00837116">
        <w:rPr>
          <w:rFonts w:ascii="Arial" w:eastAsia="Times New Roman" w:hAnsi="Arial" w:cs="Arial"/>
        </w:rPr>
        <w:t xml:space="preserve"> a</w:t>
      </w:r>
      <w:r w:rsidR="0057433E" w:rsidRPr="00837116">
        <w:rPr>
          <w:rFonts w:ascii="Arial" w:eastAsia="Times New Roman" w:hAnsi="Arial" w:cs="Arial"/>
        </w:rPr>
        <w:t xml:space="preserve"> claim for a</w:t>
      </w:r>
      <w:r w:rsidR="002D0F69" w:rsidRPr="00837116">
        <w:rPr>
          <w:rFonts w:ascii="Arial" w:eastAsia="Times New Roman" w:hAnsi="Arial" w:cs="Arial"/>
        </w:rPr>
        <w:t xml:space="preserve"> </w:t>
      </w:r>
      <w:r w:rsidR="00F31B48" w:rsidRPr="00837116">
        <w:rPr>
          <w:rFonts w:ascii="Arial" w:eastAsia="Times New Roman" w:hAnsi="Arial" w:cs="Arial"/>
        </w:rPr>
        <w:t xml:space="preserve">redistribution order in terms of s 7(3) of the Divorce Act </w:t>
      </w:r>
      <w:r w:rsidR="0078658C" w:rsidRPr="00837116">
        <w:rPr>
          <w:rFonts w:ascii="Arial" w:eastAsia="Times New Roman" w:hAnsi="Arial" w:cs="Arial"/>
        </w:rPr>
        <w:t xml:space="preserve">70 of 1979 (the Divorce Act) </w:t>
      </w:r>
      <w:r w:rsidR="00F31B48" w:rsidRPr="00837116">
        <w:rPr>
          <w:rFonts w:ascii="Arial" w:eastAsia="Times New Roman" w:hAnsi="Arial" w:cs="Arial"/>
        </w:rPr>
        <w:t xml:space="preserve">and </w:t>
      </w:r>
      <w:r w:rsidR="002D0F69" w:rsidRPr="00837116">
        <w:rPr>
          <w:rFonts w:ascii="Arial" w:eastAsia="Times New Roman" w:hAnsi="Arial" w:cs="Arial"/>
        </w:rPr>
        <w:t xml:space="preserve">when </w:t>
      </w:r>
      <w:r w:rsidR="00F03C39">
        <w:rPr>
          <w:rFonts w:ascii="Arial" w:eastAsia="Times New Roman" w:hAnsi="Arial" w:cs="Arial"/>
        </w:rPr>
        <w:t xml:space="preserve">it considers </w:t>
      </w:r>
      <w:r w:rsidR="00F31B48" w:rsidRPr="00837116">
        <w:rPr>
          <w:rFonts w:ascii="Arial" w:eastAsia="Times New Roman" w:hAnsi="Arial" w:cs="Arial"/>
        </w:rPr>
        <w:t xml:space="preserve">an accrual claim in terms of s 3 of the </w:t>
      </w:r>
      <w:r w:rsidR="0057433E" w:rsidRPr="00EC4EF5">
        <w:rPr>
          <w:rFonts w:ascii="Arial" w:eastAsia="Times New Roman" w:hAnsi="Arial" w:cs="Arial"/>
        </w:rPr>
        <w:t>M</w:t>
      </w:r>
      <w:r w:rsidR="0057433E" w:rsidRPr="00837116">
        <w:rPr>
          <w:rFonts w:ascii="Arial" w:eastAsia="Times New Roman" w:hAnsi="Arial" w:cs="Arial"/>
        </w:rPr>
        <w:t>PA</w:t>
      </w:r>
      <w:r w:rsidR="00F03C39">
        <w:rPr>
          <w:rFonts w:ascii="Arial" w:eastAsia="Times New Roman" w:hAnsi="Arial" w:cs="Arial"/>
        </w:rPr>
        <w:t>. The learned judge</w:t>
      </w:r>
      <w:r w:rsidR="00304CDD" w:rsidRPr="00837116">
        <w:rPr>
          <w:rFonts w:ascii="Arial" w:eastAsia="Times New Roman" w:hAnsi="Arial" w:cs="Arial"/>
        </w:rPr>
        <w:t xml:space="preserve"> made three propositions</w:t>
      </w:r>
      <w:r w:rsidR="00304CDD" w:rsidRPr="006128F6">
        <w:rPr>
          <w:rFonts w:ascii="Arial" w:eastAsia="Times New Roman" w:hAnsi="Arial" w:cs="Arial"/>
        </w:rPr>
        <w:t>.</w:t>
      </w:r>
      <w:r w:rsidR="00DE07F2" w:rsidRPr="00EC4EF5">
        <w:rPr>
          <w:rStyle w:val="FootnoteReference"/>
          <w:rFonts w:ascii="Arial" w:eastAsia="Times New Roman" w:hAnsi="Arial" w:cs="Arial"/>
        </w:rPr>
        <w:footnoteReference w:id="15"/>
      </w:r>
      <w:r w:rsidR="00304CDD" w:rsidRPr="00837116">
        <w:rPr>
          <w:rFonts w:ascii="Arial" w:eastAsia="Times New Roman" w:hAnsi="Arial" w:cs="Arial"/>
        </w:rPr>
        <w:t xml:space="preserve"> First, that an accrual claim</w:t>
      </w:r>
      <w:r w:rsidR="00F31B48" w:rsidRPr="00837116">
        <w:rPr>
          <w:rFonts w:ascii="Arial" w:eastAsia="Times New Roman" w:hAnsi="Arial" w:cs="Arial"/>
        </w:rPr>
        <w:t xml:space="preserve"> was determined on a </w:t>
      </w:r>
      <w:r w:rsidR="00F03C39">
        <w:rPr>
          <w:rFonts w:ascii="Arial" w:eastAsia="Times New Roman" w:hAnsi="Arial" w:cs="Arial"/>
        </w:rPr>
        <w:t>‘</w:t>
      </w:r>
      <w:r w:rsidR="00F31B48" w:rsidRPr="00837116">
        <w:rPr>
          <w:rFonts w:ascii="Arial" w:eastAsia="Times New Roman" w:hAnsi="Arial" w:cs="Arial"/>
        </w:rPr>
        <w:t>factual and mathematical basis</w:t>
      </w:r>
      <w:r w:rsidR="00F03C39">
        <w:rPr>
          <w:rFonts w:ascii="Arial" w:eastAsia="Times New Roman" w:hAnsi="Arial" w:cs="Arial"/>
        </w:rPr>
        <w:t>’</w:t>
      </w:r>
      <w:r w:rsidR="00F31B48" w:rsidRPr="00837116">
        <w:rPr>
          <w:rFonts w:ascii="Arial" w:eastAsia="Times New Roman" w:hAnsi="Arial" w:cs="Arial"/>
        </w:rPr>
        <w:t xml:space="preserve"> and was not a matter of discretion. </w:t>
      </w:r>
      <w:r w:rsidR="00304CDD" w:rsidRPr="00837116">
        <w:rPr>
          <w:rFonts w:ascii="Arial" w:eastAsia="Times New Roman" w:hAnsi="Arial" w:cs="Arial"/>
        </w:rPr>
        <w:t xml:space="preserve">Second, </w:t>
      </w:r>
      <w:r w:rsidR="00C205EE" w:rsidRPr="00837116">
        <w:rPr>
          <w:rFonts w:ascii="Arial" w:eastAsia="Times New Roman" w:hAnsi="Arial" w:cs="Arial"/>
        </w:rPr>
        <w:t>that</w:t>
      </w:r>
      <w:r w:rsidR="003D50EC" w:rsidRPr="00837116">
        <w:rPr>
          <w:rFonts w:ascii="Arial" w:eastAsia="Times New Roman" w:hAnsi="Arial" w:cs="Arial"/>
        </w:rPr>
        <w:t xml:space="preserve"> </w:t>
      </w:r>
      <w:r w:rsidR="00C205EE" w:rsidRPr="00837116">
        <w:rPr>
          <w:rFonts w:ascii="Arial" w:eastAsia="Times New Roman" w:hAnsi="Arial" w:cs="Arial"/>
        </w:rPr>
        <w:t>t</w:t>
      </w:r>
      <w:r w:rsidR="00F31B48" w:rsidRPr="00837116">
        <w:rPr>
          <w:rFonts w:ascii="Arial" w:eastAsia="Times New Roman" w:hAnsi="Arial" w:cs="Arial"/>
        </w:rPr>
        <w:t>here was</w:t>
      </w:r>
      <w:r w:rsidR="00C205EE" w:rsidRPr="00837116">
        <w:rPr>
          <w:rFonts w:ascii="Arial" w:eastAsia="Times New Roman" w:hAnsi="Arial" w:cs="Arial"/>
        </w:rPr>
        <w:t xml:space="preserve"> </w:t>
      </w:r>
      <w:r w:rsidR="00F31B48" w:rsidRPr="00837116">
        <w:rPr>
          <w:rFonts w:ascii="Arial" w:eastAsia="Times New Roman" w:hAnsi="Arial" w:cs="Arial"/>
        </w:rPr>
        <w:t xml:space="preserve">no authority in the MPA to have </w:t>
      </w:r>
      <w:bookmarkStart w:id="13" w:name="_Hlk104465657"/>
      <w:r w:rsidR="00F31B48" w:rsidRPr="00837116">
        <w:rPr>
          <w:rFonts w:ascii="Arial" w:eastAsia="Times New Roman" w:hAnsi="Arial" w:cs="Arial"/>
        </w:rPr>
        <w:t xml:space="preserve">regard to assets which did not form part of </w:t>
      </w:r>
      <w:r w:rsidR="002D0F69" w:rsidRPr="00837116">
        <w:rPr>
          <w:rFonts w:ascii="Arial" w:eastAsia="Times New Roman" w:hAnsi="Arial" w:cs="Arial"/>
        </w:rPr>
        <w:t xml:space="preserve">a spouse’s </w:t>
      </w:r>
      <w:r w:rsidR="00F31B48" w:rsidRPr="00837116">
        <w:rPr>
          <w:rFonts w:ascii="Arial" w:eastAsia="Times New Roman" w:hAnsi="Arial" w:cs="Arial"/>
        </w:rPr>
        <w:t xml:space="preserve">estate on the basis that it would be </w:t>
      </w:r>
      <w:r w:rsidR="00F03C39">
        <w:rPr>
          <w:rFonts w:ascii="Arial" w:eastAsia="Times New Roman" w:hAnsi="Arial" w:cs="Arial"/>
        </w:rPr>
        <w:t>‘</w:t>
      </w:r>
      <w:r w:rsidR="00F31B48" w:rsidRPr="00837116">
        <w:rPr>
          <w:rFonts w:ascii="Arial" w:eastAsia="Times New Roman" w:hAnsi="Arial" w:cs="Arial"/>
        </w:rPr>
        <w:t>just</w:t>
      </w:r>
      <w:r w:rsidR="00F03C39">
        <w:rPr>
          <w:rFonts w:ascii="Arial" w:eastAsia="Times New Roman" w:hAnsi="Arial" w:cs="Arial"/>
        </w:rPr>
        <w:t>’</w:t>
      </w:r>
      <w:r w:rsidR="00F31B48" w:rsidRPr="00837116">
        <w:rPr>
          <w:rFonts w:ascii="Arial" w:eastAsia="Times New Roman" w:hAnsi="Arial" w:cs="Arial"/>
        </w:rPr>
        <w:t xml:space="preserve"> to do so</w:t>
      </w:r>
      <w:bookmarkEnd w:id="13"/>
      <w:r w:rsidR="00304CDD" w:rsidRPr="00837116">
        <w:rPr>
          <w:rFonts w:ascii="Arial" w:eastAsia="Times New Roman" w:hAnsi="Arial" w:cs="Arial"/>
        </w:rPr>
        <w:t>. Lastly,</w:t>
      </w:r>
      <w:r w:rsidR="00F31B48" w:rsidRPr="00837116">
        <w:rPr>
          <w:rFonts w:ascii="Arial" w:eastAsia="Times New Roman" w:hAnsi="Arial" w:cs="Arial"/>
        </w:rPr>
        <w:t xml:space="preserve"> </w:t>
      </w:r>
      <w:r w:rsidR="00C205EE" w:rsidRPr="00837116">
        <w:rPr>
          <w:rFonts w:ascii="Arial" w:eastAsia="Times New Roman" w:hAnsi="Arial" w:cs="Arial"/>
        </w:rPr>
        <w:t xml:space="preserve">that </w:t>
      </w:r>
      <w:bookmarkStart w:id="14" w:name="_Hlk105143980"/>
      <w:r w:rsidR="00C205EE" w:rsidRPr="00837116">
        <w:rPr>
          <w:rFonts w:ascii="Arial" w:eastAsia="Times New Roman" w:hAnsi="Arial" w:cs="Arial"/>
        </w:rPr>
        <w:t xml:space="preserve">there </w:t>
      </w:r>
      <w:r w:rsidR="00F31B48" w:rsidRPr="00837116">
        <w:rPr>
          <w:rFonts w:ascii="Arial" w:eastAsia="Times New Roman" w:hAnsi="Arial" w:cs="Arial"/>
        </w:rPr>
        <w:t xml:space="preserve">was </w:t>
      </w:r>
      <w:r w:rsidR="00C205EE" w:rsidRPr="00837116">
        <w:rPr>
          <w:rFonts w:ascii="Arial" w:eastAsia="Times New Roman" w:hAnsi="Arial" w:cs="Arial"/>
        </w:rPr>
        <w:t xml:space="preserve">no </w:t>
      </w:r>
      <w:r w:rsidR="00F31B48" w:rsidRPr="00837116">
        <w:rPr>
          <w:rFonts w:ascii="Arial" w:eastAsia="Times New Roman" w:hAnsi="Arial" w:cs="Arial"/>
        </w:rPr>
        <w:t xml:space="preserve">legal basis for an order </w:t>
      </w:r>
      <w:bookmarkStart w:id="15" w:name="_Hlk104642705"/>
      <w:r w:rsidR="00F31B48" w:rsidRPr="00837116">
        <w:rPr>
          <w:rFonts w:ascii="Arial" w:eastAsia="Times New Roman" w:hAnsi="Arial" w:cs="Arial"/>
        </w:rPr>
        <w:t xml:space="preserve">that assets which in fact did not </w:t>
      </w:r>
      <w:r w:rsidR="00F31B48" w:rsidRPr="00837116">
        <w:rPr>
          <w:rFonts w:ascii="Arial" w:eastAsia="Times New Roman" w:hAnsi="Arial" w:cs="Arial"/>
        </w:rPr>
        <w:lastRenderedPageBreak/>
        <w:t xml:space="preserve">form part of </w:t>
      </w:r>
      <w:r w:rsidR="002D0F69" w:rsidRPr="00837116">
        <w:rPr>
          <w:rFonts w:ascii="Arial" w:eastAsia="Times New Roman" w:hAnsi="Arial" w:cs="Arial"/>
        </w:rPr>
        <w:t xml:space="preserve">a spouse’s </w:t>
      </w:r>
      <w:r w:rsidR="00F31B48" w:rsidRPr="00837116">
        <w:rPr>
          <w:rFonts w:ascii="Arial" w:eastAsia="Times New Roman" w:hAnsi="Arial" w:cs="Arial"/>
        </w:rPr>
        <w:t>estate should be deemed to form part of it for purposes of determining the</w:t>
      </w:r>
      <w:r w:rsidR="008222CF" w:rsidRPr="00837116">
        <w:rPr>
          <w:rFonts w:ascii="Arial" w:eastAsia="Times New Roman" w:hAnsi="Arial" w:cs="Arial"/>
        </w:rPr>
        <w:t xml:space="preserve"> </w:t>
      </w:r>
      <w:r w:rsidR="00F31B48" w:rsidRPr="00837116">
        <w:rPr>
          <w:rFonts w:ascii="Arial" w:eastAsia="Times New Roman" w:hAnsi="Arial" w:cs="Arial"/>
        </w:rPr>
        <w:t>accrual</w:t>
      </w:r>
      <w:bookmarkEnd w:id="15"/>
      <w:r w:rsidR="00F31B48" w:rsidRPr="00837116">
        <w:rPr>
          <w:rFonts w:ascii="Arial" w:eastAsia="Times New Roman" w:hAnsi="Arial" w:cs="Arial"/>
        </w:rPr>
        <w:t>.</w:t>
      </w:r>
    </w:p>
    <w:p w14:paraId="1348681A" w14:textId="77777777" w:rsidR="00192E39" w:rsidRPr="00F75718" w:rsidRDefault="00192E39" w:rsidP="00192E39">
      <w:pPr>
        <w:pStyle w:val="MEMONUMBERED"/>
        <w:kinsoku w:val="0"/>
        <w:overflowPunct w:val="0"/>
        <w:autoSpaceDE w:val="0"/>
        <w:autoSpaceDN w:val="0"/>
        <w:adjustRightInd w:val="0"/>
        <w:spacing w:line="360" w:lineRule="auto"/>
        <w:ind w:right="-7"/>
        <w:rPr>
          <w:rFonts w:ascii="Arial" w:hAnsi="Arial" w:cs="Arial"/>
          <w:bCs/>
        </w:rPr>
      </w:pPr>
    </w:p>
    <w:bookmarkEnd w:id="14"/>
    <w:p w14:paraId="125B8901" w14:textId="561A0347" w:rsidR="00310B82" w:rsidRPr="00837116" w:rsidRDefault="00740272"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rPr>
        <w:t xml:space="preserve">In </w:t>
      </w:r>
      <w:bookmarkStart w:id="16" w:name="_Hlk104647917"/>
      <w:r w:rsidRPr="00837116">
        <w:rPr>
          <w:rFonts w:ascii="Arial" w:hAnsi="Arial" w:cs="Arial"/>
          <w:i/>
        </w:rPr>
        <w:t xml:space="preserve">RP v DP </w:t>
      </w:r>
      <w:bookmarkEnd w:id="16"/>
      <w:r w:rsidRPr="00837116">
        <w:rPr>
          <w:rFonts w:ascii="Arial" w:hAnsi="Arial" w:cs="Arial"/>
          <w:i/>
        </w:rPr>
        <w:t>and Others</w:t>
      </w:r>
      <w:r w:rsidRPr="00837116">
        <w:rPr>
          <w:rFonts w:ascii="Arial" w:hAnsi="Arial" w:cs="Arial"/>
        </w:rPr>
        <w:t xml:space="preserve"> 2014 (6) SA 243 (ECP)</w:t>
      </w:r>
      <w:r w:rsidR="00E91515">
        <w:rPr>
          <w:rFonts w:ascii="Arial" w:hAnsi="Arial" w:cs="Arial"/>
        </w:rPr>
        <w:t xml:space="preserve"> (</w:t>
      </w:r>
      <w:r w:rsidR="00E91515" w:rsidRPr="00837116">
        <w:rPr>
          <w:rFonts w:ascii="Arial" w:hAnsi="Arial" w:cs="Arial"/>
          <w:i/>
        </w:rPr>
        <w:t>RP v DP</w:t>
      </w:r>
      <w:r w:rsidR="00E91515">
        <w:rPr>
          <w:rFonts w:ascii="Arial" w:hAnsi="Arial" w:cs="Arial"/>
        </w:rPr>
        <w:t>)</w:t>
      </w:r>
      <w:r w:rsidRPr="00837116">
        <w:rPr>
          <w:rFonts w:ascii="Arial" w:hAnsi="Arial" w:cs="Arial"/>
        </w:rPr>
        <w:t>, Alkema J took the opposite view. He embarked on a helpful analysis of the evolution of the court’s common law power to pierce the corporate veil and explained (at para 31):</w:t>
      </w:r>
    </w:p>
    <w:p w14:paraId="19050331" w14:textId="6A18F6C6" w:rsidR="00CC0760" w:rsidRDefault="00740272" w:rsidP="00CC0760">
      <w:pPr>
        <w:pStyle w:val="MEMONUMBERED"/>
        <w:kinsoku w:val="0"/>
        <w:overflowPunct w:val="0"/>
        <w:autoSpaceDE w:val="0"/>
        <w:autoSpaceDN w:val="0"/>
        <w:adjustRightInd w:val="0"/>
        <w:spacing w:line="360" w:lineRule="auto"/>
        <w:ind w:right="-7"/>
        <w:rPr>
          <w:rFonts w:ascii="Arial" w:hAnsi="Arial" w:cs="Arial"/>
          <w:sz w:val="22"/>
          <w:szCs w:val="22"/>
        </w:rPr>
      </w:pPr>
      <w:r w:rsidRPr="006128F6">
        <w:rPr>
          <w:rFonts w:ascii="Arial" w:hAnsi="Arial" w:cs="Arial"/>
          <w:sz w:val="22"/>
          <w:szCs w:val="22"/>
        </w:rPr>
        <w:t>‘</w:t>
      </w:r>
      <w:r w:rsidR="00DE07F2" w:rsidRPr="00EC4EF5">
        <w:rPr>
          <w:rFonts w:ascii="Arial" w:hAnsi="Arial" w:cs="Arial"/>
          <w:sz w:val="22"/>
          <w:szCs w:val="22"/>
        </w:rPr>
        <w:t>. . .</w:t>
      </w:r>
      <w:r w:rsidRPr="007F3924">
        <w:rPr>
          <w:rFonts w:ascii="Arial" w:hAnsi="Arial" w:cs="Arial"/>
          <w:sz w:val="22"/>
          <w:szCs w:val="22"/>
        </w:rPr>
        <w:t xml:space="preserve"> [T]he power of piercing either the corporate or the trust veil is derived from common law and not from any general discretion a court may have. It is a function quite separate from, for instance, the exercise of discretion in making a redistribution order under s 7 of the Divorce Act 70 of 1979 (the Divorce Act), and must not be confused or conflated with such power.’</w:t>
      </w:r>
    </w:p>
    <w:p w14:paraId="420DE6FB" w14:textId="77777777" w:rsidR="00CC0760" w:rsidRPr="007F3924" w:rsidRDefault="00CC0760" w:rsidP="00CC0760">
      <w:pPr>
        <w:pStyle w:val="MEMONUMBERED"/>
        <w:kinsoku w:val="0"/>
        <w:overflowPunct w:val="0"/>
        <w:autoSpaceDE w:val="0"/>
        <w:autoSpaceDN w:val="0"/>
        <w:adjustRightInd w:val="0"/>
        <w:spacing w:line="360" w:lineRule="auto"/>
        <w:ind w:right="-7"/>
        <w:rPr>
          <w:rFonts w:ascii="Arial" w:hAnsi="Arial" w:cs="Arial"/>
          <w:sz w:val="22"/>
          <w:szCs w:val="22"/>
        </w:rPr>
      </w:pPr>
    </w:p>
    <w:p w14:paraId="518887B4" w14:textId="16497898" w:rsidR="00515CA7" w:rsidRPr="00CC0760" w:rsidRDefault="00FB5C03"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eastAsia="Times New Roman" w:hAnsi="Arial" w:cs="Arial"/>
        </w:rPr>
        <w:t>Unqualified and v</w:t>
      </w:r>
      <w:r w:rsidR="00D24AB4" w:rsidRPr="00837116">
        <w:rPr>
          <w:rFonts w:ascii="Arial" w:eastAsia="Times New Roman" w:hAnsi="Arial" w:cs="Arial"/>
        </w:rPr>
        <w:t>iewed in isolation, t</w:t>
      </w:r>
      <w:r w:rsidR="002C0507" w:rsidRPr="00837116">
        <w:rPr>
          <w:rFonts w:ascii="Arial" w:eastAsia="Times New Roman" w:hAnsi="Arial" w:cs="Arial"/>
        </w:rPr>
        <w:t>he</w:t>
      </w:r>
      <w:r w:rsidR="0057433E" w:rsidRPr="00837116">
        <w:rPr>
          <w:rFonts w:ascii="Arial" w:eastAsia="Times New Roman" w:hAnsi="Arial" w:cs="Arial"/>
        </w:rPr>
        <w:t xml:space="preserve"> </w:t>
      </w:r>
      <w:r w:rsidR="002C0507" w:rsidRPr="00837116">
        <w:rPr>
          <w:rFonts w:ascii="Arial" w:eastAsia="Times New Roman" w:hAnsi="Arial" w:cs="Arial"/>
        </w:rPr>
        <w:t>propositions</w:t>
      </w:r>
      <w:r w:rsidR="00740272" w:rsidRPr="00837116">
        <w:rPr>
          <w:rFonts w:ascii="Arial" w:eastAsia="Times New Roman" w:hAnsi="Arial" w:cs="Arial"/>
        </w:rPr>
        <w:t xml:space="preserve"> expounded in </w:t>
      </w:r>
      <w:r w:rsidR="00740272" w:rsidRPr="00837116">
        <w:rPr>
          <w:rFonts w:ascii="Arial" w:eastAsia="Times New Roman" w:hAnsi="Arial" w:cs="Arial"/>
          <w:i/>
          <w:iCs/>
        </w:rPr>
        <w:t>MM v JM</w:t>
      </w:r>
      <w:r w:rsidR="002C0507" w:rsidRPr="00837116">
        <w:rPr>
          <w:rFonts w:ascii="Arial" w:eastAsia="Times New Roman" w:hAnsi="Arial" w:cs="Arial"/>
        </w:rPr>
        <w:t xml:space="preserve"> </w:t>
      </w:r>
      <w:r w:rsidR="00097551">
        <w:rPr>
          <w:rFonts w:ascii="Arial" w:eastAsia="Times New Roman" w:hAnsi="Arial" w:cs="Arial"/>
        </w:rPr>
        <w:t xml:space="preserve">appear </w:t>
      </w:r>
      <w:r w:rsidR="001A0A1D" w:rsidRPr="00097551">
        <w:rPr>
          <w:rFonts w:ascii="Arial" w:eastAsia="Times New Roman" w:hAnsi="Arial" w:cs="Arial"/>
        </w:rPr>
        <w:t>attractive</w:t>
      </w:r>
      <w:r w:rsidR="00D24AB4" w:rsidRPr="00837116">
        <w:rPr>
          <w:rFonts w:ascii="Arial" w:eastAsia="Times New Roman" w:hAnsi="Arial" w:cs="Arial"/>
        </w:rPr>
        <w:t xml:space="preserve">. </w:t>
      </w:r>
      <w:r w:rsidR="00304CDD" w:rsidRPr="00837116">
        <w:rPr>
          <w:rFonts w:ascii="Arial" w:eastAsia="Times New Roman" w:hAnsi="Arial" w:cs="Arial"/>
        </w:rPr>
        <w:t xml:space="preserve">But contextually, they do not bear scrutiny. </w:t>
      </w:r>
      <w:r w:rsidR="00EF1607" w:rsidRPr="00837116">
        <w:rPr>
          <w:rFonts w:ascii="Arial" w:hAnsi="Arial" w:cs="Arial"/>
        </w:rPr>
        <w:t>A</w:t>
      </w:r>
      <w:r w:rsidR="00F37F95" w:rsidRPr="00837116">
        <w:rPr>
          <w:rFonts w:ascii="Arial" w:hAnsi="Arial" w:cs="Arial"/>
        </w:rPr>
        <w:t>lthough the accrual claim only arises at the dissolution of the marriage</w:t>
      </w:r>
      <w:r w:rsidR="004B36B8">
        <w:rPr>
          <w:rFonts w:ascii="Arial" w:hAnsi="Arial" w:cs="Arial"/>
        </w:rPr>
        <w:t>,</w:t>
      </w:r>
      <w:r w:rsidR="00DE07F2">
        <w:rPr>
          <w:rStyle w:val="FootnoteReference"/>
          <w:rFonts w:ascii="Arial" w:hAnsi="Arial" w:cs="Arial"/>
        </w:rPr>
        <w:footnoteReference w:id="16"/>
      </w:r>
      <w:r w:rsidR="00F37F95" w:rsidRPr="00837116">
        <w:rPr>
          <w:rFonts w:ascii="Arial" w:hAnsi="Arial" w:cs="Arial"/>
        </w:rPr>
        <w:t xml:space="preserve"> both spouses acquire a protectable contingent </w:t>
      </w:r>
      <w:r w:rsidR="00DE6175" w:rsidRPr="00837116">
        <w:rPr>
          <w:rFonts w:ascii="Arial" w:hAnsi="Arial" w:cs="Arial"/>
        </w:rPr>
        <w:t xml:space="preserve">right </w:t>
      </w:r>
      <w:r w:rsidR="00F37F95" w:rsidRPr="00837116">
        <w:rPr>
          <w:rFonts w:ascii="Arial" w:hAnsi="Arial" w:cs="Arial"/>
        </w:rPr>
        <w:t>against each other during the subsistence of the marriage</w:t>
      </w:r>
      <w:r w:rsidR="00424A94" w:rsidRPr="00837116">
        <w:rPr>
          <w:rFonts w:ascii="Arial" w:hAnsi="Arial" w:cs="Arial"/>
        </w:rPr>
        <w:t>, which the law will protect in circumstances of irregularity and a lack of bona fides.</w:t>
      </w:r>
      <w:r w:rsidR="00630E74" w:rsidRPr="00837116">
        <w:rPr>
          <w:rStyle w:val="FootnoteReference"/>
          <w:rFonts w:ascii="Arial" w:hAnsi="Arial" w:cs="Arial"/>
        </w:rPr>
        <w:footnoteReference w:id="17"/>
      </w:r>
      <w:r w:rsidR="00F37F95" w:rsidRPr="00837116">
        <w:rPr>
          <w:rFonts w:ascii="Arial" w:hAnsi="Arial" w:cs="Arial"/>
        </w:rPr>
        <w:t xml:space="preserve"> </w:t>
      </w:r>
      <w:r w:rsidR="005D67DC">
        <w:rPr>
          <w:rFonts w:ascii="Arial" w:hAnsi="Arial" w:cs="Arial"/>
        </w:rPr>
        <w:t>Thus</w:t>
      </w:r>
      <w:r w:rsidR="00251CC5" w:rsidRPr="005D67DC">
        <w:rPr>
          <w:rFonts w:ascii="Arial" w:hAnsi="Arial" w:cs="Arial"/>
        </w:rPr>
        <w:t>, upon vesting of such right, there is a legal obligation on both spouses to satisfy the accrual claim (and hence to share in their respective gains) at the dissolution of their marriage.</w:t>
      </w:r>
      <w:r w:rsidR="004C3DBE" w:rsidRPr="00837116">
        <w:rPr>
          <w:rStyle w:val="FootnoteReference"/>
          <w:rFonts w:ascii="Arial" w:hAnsi="Arial" w:cs="Arial"/>
        </w:rPr>
        <w:footnoteReference w:id="18"/>
      </w:r>
      <w:r w:rsidR="00A442D4" w:rsidRPr="005D67DC">
        <w:rPr>
          <w:rFonts w:ascii="Arial" w:hAnsi="Arial" w:cs="Arial"/>
        </w:rPr>
        <w:t xml:space="preserve"> </w:t>
      </w:r>
      <w:r w:rsidR="00DE394D" w:rsidRPr="005D67DC">
        <w:rPr>
          <w:rFonts w:ascii="Arial" w:hAnsi="Arial" w:cs="Arial"/>
        </w:rPr>
        <w:t xml:space="preserve">Furthermore, s 7 of the MPA obliges </w:t>
      </w:r>
      <w:r w:rsidR="0083142A" w:rsidRPr="005D67DC">
        <w:rPr>
          <w:rFonts w:ascii="Arial" w:hAnsi="Arial" w:cs="Arial"/>
        </w:rPr>
        <w:t xml:space="preserve">both </w:t>
      </w:r>
      <w:r w:rsidR="00DE394D" w:rsidRPr="005D67DC">
        <w:rPr>
          <w:rFonts w:ascii="Arial" w:hAnsi="Arial" w:cs="Arial"/>
        </w:rPr>
        <w:t>spouses to furnish ‘full particulars of the value’ of their estates.</w:t>
      </w:r>
      <w:r w:rsidR="008742BD" w:rsidRPr="005D67DC">
        <w:rPr>
          <w:rFonts w:ascii="Arial" w:hAnsi="Arial" w:cs="Arial"/>
        </w:rPr>
        <w:t xml:space="preserve"> Therefore, an accurate reflection of the parties’ respective accruals is necessary to give effect to the intention behind the legislature’s provision of the accrual system in the first place.</w:t>
      </w:r>
      <w:r w:rsidR="008742BD" w:rsidRPr="00837116">
        <w:rPr>
          <w:rStyle w:val="FootnoteReference"/>
          <w:rFonts w:ascii="Arial" w:hAnsi="Arial" w:cs="Arial"/>
        </w:rPr>
        <w:footnoteReference w:id="19"/>
      </w:r>
    </w:p>
    <w:p w14:paraId="45775CF1" w14:textId="77777777" w:rsidR="00CC0760" w:rsidRPr="005D67DC"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387E6F58" w14:textId="50EC22BC" w:rsidR="00310B82" w:rsidRPr="00CC0760" w:rsidRDefault="00A46829"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rPr>
      </w:pPr>
      <w:r w:rsidRPr="00837116">
        <w:rPr>
          <w:rFonts w:ascii="Arial" w:eastAsia="Times New Roman" w:hAnsi="Arial" w:cs="Arial"/>
        </w:rPr>
        <w:t xml:space="preserve">Accordingly, </w:t>
      </w:r>
      <w:r w:rsidR="00E9260D" w:rsidRPr="00097551">
        <w:rPr>
          <w:rFonts w:ascii="Arial" w:eastAsia="Times New Roman" w:hAnsi="Arial" w:cs="Arial"/>
        </w:rPr>
        <w:t>where</w:t>
      </w:r>
      <w:r w:rsidR="00E9260D">
        <w:rPr>
          <w:rFonts w:ascii="Arial" w:eastAsia="Times New Roman" w:hAnsi="Arial" w:cs="Arial"/>
        </w:rPr>
        <w:t xml:space="preserve"> </w:t>
      </w:r>
      <w:r w:rsidR="00D174FB" w:rsidRPr="00837116">
        <w:rPr>
          <w:rFonts w:ascii="Arial" w:eastAsia="Times New Roman" w:hAnsi="Arial" w:cs="Arial"/>
        </w:rPr>
        <w:t>there is an allegation that one of the spouses ha</w:t>
      </w:r>
      <w:r w:rsidR="00280E88" w:rsidRPr="00837116">
        <w:rPr>
          <w:rFonts w:ascii="Arial" w:eastAsia="Times New Roman" w:hAnsi="Arial" w:cs="Arial"/>
        </w:rPr>
        <w:t>d</w:t>
      </w:r>
      <w:r w:rsidR="00D174FB" w:rsidRPr="00837116">
        <w:rPr>
          <w:rFonts w:ascii="Arial" w:eastAsia="Times New Roman" w:hAnsi="Arial" w:cs="Arial"/>
        </w:rPr>
        <w:t xml:space="preserve"> sought </w:t>
      </w:r>
      <w:r w:rsidR="00D174FB" w:rsidRPr="00837116">
        <w:rPr>
          <w:rFonts w:ascii="Arial" w:hAnsi="Arial" w:cs="Arial"/>
        </w:rPr>
        <w:t xml:space="preserve">to </w:t>
      </w:r>
      <w:r w:rsidR="00E925D7" w:rsidRPr="00837116">
        <w:rPr>
          <w:rFonts w:ascii="Arial" w:hAnsi="Arial" w:cs="Arial"/>
        </w:rPr>
        <w:t xml:space="preserve">evade this obligation </w:t>
      </w:r>
      <w:r w:rsidR="00D174FB" w:rsidRPr="00837116">
        <w:rPr>
          <w:rFonts w:ascii="Arial" w:hAnsi="Arial" w:cs="Arial"/>
        </w:rPr>
        <w:t>b</w:t>
      </w:r>
      <w:r w:rsidR="00E925D7" w:rsidRPr="00837116">
        <w:rPr>
          <w:rFonts w:ascii="Arial" w:hAnsi="Arial" w:cs="Arial"/>
        </w:rPr>
        <w:t>y</w:t>
      </w:r>
      <w:r w:rsidRPr="00837116">
        <w:rPr>
          <w:rFonts w:ascii="Arial" w:hAnsi="Arial" w:cs="Arial"/>
        </w:rPr>
        <w:t xml:space="preserve"> abusing the trust form, for example,</w:t>
      </w:r>
      <w:r w:rsidR="00D174FB" w:rsidRPr="00837116">
        <w:rPr>
          <w:rFonts w:ascii="Arial" w:hAnsi="Arial" w:cs="Arial"/>
        </w:rPr>
        <w:t xml:space="preserve"> </w:t>
      </w:r>
      <w:r w:rsidRPr="00837116">
        <w:rPr>
          <w:rFonts w:ascii="Arial" w:hAnsi="Arial" w:cs="Arial"/>
        </w:rPr>
        <w:t xml:space="preserve">by </w:t>
      </w:r>
      <w:r w:rsidR="00D174FB" w:rsidRPr="00837116">
        <w:rPr>
          <w:rFonts w:ascii="Arial" w:hAnsi="Arial" w:cs="Arial"/>
        </w:rPr>
        <w:t>transferring</w:t>
      </w:r>
      <w:r w:rsidR="00E925D7" w:rsidRPr="00837116">
        <w:rPr>
          <w:rFonts w:ascii="Arial" w:hAnsi="Arial" w:cs="Arial"/>
        </w:rPr>
        <w:t xml:space="preserve"> assets to a</w:t>
      </w:r>
      <w:r w:rsidR="00D174FB" w:rsidRPr="00837116">
        <w:rPr>
          <w:rFonts w:ascii="Arial" w:hAnsi="Arial" w:cs="Arial"/>
        </w:rPr>
        <w:t xml:space="preserve"> trust</w:t>
      </w:r>
      <w:r w:rsidR="00E925D7" w:rsidRPr="00837116">
        <w:rPr>
          <w:rFonts w:ascii="Arial" w:hAnsi="Arial" w:cs="Arial"/>
        </w:rPr>
        <w:t xml:space="preserve"> in order to reduce the value of their estate, and thus their accrual liability,</w:t>
      </w:r>
      <w:r w:rsidR="00D174FB" w:rsidRPr="00837116">
        <w:rPr>
          <w:rFonts w:ascii="Arial" w:hAnsi="Arial" w:cs="Arial"/>
        </w:rPr>
        <w:t xml:space="preserve"> </w:t>
      </w:r>
      <w:r w:rsidR="00D174FB" w:rsidRPr="00837116">
        <w:rPr>
          <w:rFonts w:ascii="Arial" w:hAnsi="Arial" w:cs="Arial"/>
          <w:shd w:val="clear" w:color="auto" w:fill="FFFFFF"/>
        </w:rPr>
        <w:t>a court</w:t>
      </w:r>
      <w:r w:rsidR="00E925D7" w:rsidRPr="00837116">
        <w:rPr>
          <w:rFonts w:ascii="Arial" w:hAnsi="Arial" w:cs="Arial"/>
          <w:shd w:val="clear" w:color="auto" w:fill="FFFFFF"/>
        </w:rPr>
        <w:t xml:space="preserve"> </w:t>
      </w:r>
      <w:r w:rsidR="002C6307" w:rsidRPr="00837116">
        <w:rPr>
          <w:rFonts w:ascii="Arial" w:hAnsi="Arial" w:cs="Arial"/>
          <w:shd w:val="clear" w:color="auto" w:fill="FFFFFF"/>
        </w:rPr>
        <w:t xml:space="preserve">is not </w:t>
      </w:r>
      <w:r w:rsidR="00E74B58" w:rsidRPr="00837116">
        <w:rPr>
          <w:rFonts w:ascii="Arial" w:hAnsi="Arial" w:cs="Arial"/>
          <w:shd w:val="clear" w:color="auto" w:fill="FFFFFF"/>
        </w:rPr>
        <w:t xml:space="preserve">precluded from enquiring into that issue. </w:t>
      </w:r>
      <w:r w:rsidRPr="00837116">
        <w:rPr>
          <w:rFonts w:ascii="Arial" w:hAnsi="Arial" w:cs="Arial"/>
          <w:shd w:val="clear" w:color="auto" w:fill="FFFFFF"/>
        </w:rPr>
        <w:t>It is</w:t>
      </w:r>
      <w:r w:rsidR="008D6955" w:rsidRPr="00837116">
        <w:rPr>
          <w:rFonts w:ascii="Arial" w:hAnsi="Arial" w:cs="Arial"/>
          <w:shd w:val="clear" w:color="auto" w:fill="FFFFFF"/>
        </w:rPr>
        <w:t xml:space="preserve"> </w:t>
      </w:r>
      <w:r w:rsidR="009E2B91" w:rsidRPr="00837116">
        <w:rPr>
          <w:rFonts w:ascii="Arial" w:hAnsi="Arial" w:cs="Arial"/>
          <w:shd w:val="clear" w:color="auto" w:fill="FFFFFF"/>
        </w:rPr>
        <w:t>empowered</w:t>
      </w:r>
      <w:r w:rsidR="008D6955" w:rsidRPr="00837116">
        <w:rPr>
          <w:rFonts w:ascii="Arial" w:hAnsi="Arial" w:cs="Arial"/>
          <w:shd w:val="clear" w:color="auto" w:fill="FFFFFF"/>
        </w:rPr>
        <w:t xml:space="preserve"> to </w:t>
      </w:r>
      <w:r w:rsidR="00280E88" w:rsidRPr="00837116">
        <w:rPr>
          <w:rFonts w:ascii="Arial" w:hAnsi="Arial" w:cs="Arial"/>
        </w:rPr>
        <w:t xml:space="preserve">conduct an in-depth examination of the facts to determine </w:t>
      </w:r>
      <w:r w:rsidR="00D174FB" w:rsidRPr="00837116">
        <w:rPr>
          <w:rFonts w:ascii="Arial" w:hAnsi="Arial" w:cs="Arial"/>
          <w:shd w:val="clear" w:color="auto" w:fill="FFFFFF"/>
        </w:rPr>
        <w:t>whether t</w:t>
      </w:r>
      <w:r w:rsidR="00F03414">
        <w:rPr>
          <w:rFonts w:ascii="Arial" w:hAnsi="Arial" w:cs="Arial"/>
          <w:shd w:val="clear" w:color="auto" w:fill="FFFFFF"/>
        </w:rPr>
        <w:t>rust form had been abused.</w:t>
      </w:r>
      <w:r w:rsidR="00D174FB" w:rsidRPr="00837116">
        <w:rPr>
          <w:rFonts w:ascii="Arial" w:hAnsi="Arial" w:cs="Arial"/>
          <w:shd w:val="clear" w:color="auto" w:fill="FFFFFF"/>
        </w:rPr>
        <w:t xml:space="preserve"> </w:t>
      </w:r>
      <w:r w:rsidR="00D428BB" w:rsidRPr="00837116">
        <w:rPr>
          <w:rFonts w:ascii="Arial" w:hAnsi="Arial" w:cs="Arial"/>
          <w:shd w:val="clear" w:color="auto" w:fill="FFFFFF"/>
        </w:rPr>
        <w:t>If this is established in that factual enquiry, t</w:t>
      </w:r>
      <w:r w:rsidR="003F5259" w:rsidRPr="00837116">
        <w:rPr>
          <w:rFonts w:ascii="Arial" w:hAnsi="Arial" w:cs="Arial"/>
          <w:shd w:val="clear" w:color="auto" w:fill="FFFFFF"/>
        </w:rPr>
        <w:t xml:space="preserve">he court </w:t>
      </w:r>
      <w:r w:rsidR="00D428BB" w:rsidRPr="00837116">
        <w:rPr>
          <w:rFonts w:ascii="Arial" w:hAnsi="Arial" w:cs="Arial"/>
          <w:shd w:val="clear" w:color="auto" w:fill="FFFFFF"/>
        </w:rPr>
        <w:t xml:space="preserve">is empowered to </w:t>
      </w:r>
      <w:r w:rsidR="002C6307" w:rsidRPr="00837116">
        <w:rPr>
          <w:rFonts w:ascii="Arial" w:eastAsia="Times New Roman" w:hAnsi="Arial" w:cs="Arial"/>
        </w:rPr>
        <w:t>pierc</w:t>
      </w:r>
      <w:r w:rsidR="00D428BB" w:rsidRPr="00837116">
        <w:rPr>
          <w:rFonts w:ascii="Arial" w:eastAsia="Times New Roman" w:hAnsi="Arial" w:cs="Arial"/>
        </w:rPr>
        <w:t>e</w:t>
      </w:r>
      <w:r w:rsidR="002C6307" w:rsidRPr="00837116">
        <w:rPr>
          <w:rFonts w:ascii="Arial" w:eastAsia="Times New Roman" w:hAnsi="Arial" w:cs="Arial"/>
        </w:rPr>
        <w:t xml:space="preserve"> the trust </w:t>
      </w:r>
      <w:r w:rsidR="002C6307" w:rsidRPr="00837116">
        <w:rPr>
          <w:rFonts w:ascii="Arial" w:eastAsia="Times New Roman" w:hAnsi="Arial" w:cs="Arial"/>
        </w:rPr>
        <w:lastRenderedPageBreak/>
        <w:t>veneer, and order</w:t>
      </w:r>
      <w:r w:rsidR="003F5259" w:rsidRPr="00837116">
        <w:rPr>
          <w:rFonts w:ascii="Arial" w:eastAsia="Times New Roman" w:hAnsi="Arial" w:cs="Arial"/>
        </w:rPr>
        <w:t xml:space="preserve"> that</w:t>
      </w:r>
      <w:r w:rsidR="002C6307" w:rsidRPr="00837116">
        <w:rPr>
          <w:rFonts w:ascii="Arial" w:eastAsia="Times New Roman" w:hAnsi="Arial" w:cs="Arial"/>
        </w:rPr>
        <w:t xml:space="preserve"> the value of such assets be taken into account </w:t>
      </w:r>
      <w:r w:rsidR="002C6307" w:rsidRPr="00837116">
        <w:rPr>
          <w:rFonts w:ascii="Arial" w:hAnsi="Arial" w:cs="Arial"/>
        </w:rPr>
        <w:t xml:space="preserve">in the </w:t>
      </w:r>
      <w:r w:rsidR="0083142A" w:rsidRPr="00837116">
        <w:rPr>
          <w:rFonts w:ascii="Arial" w:hAnsi="Arial" w:cs="Arial"/>
        </w:rPr>
        <w:t xml:space="preserve">calculation of the </w:t>
      </w:r>
      <w:r w:rsidR="00D428BB" w:rsidRPr="00837116">
        <w:rPr>
          <w:rFonts w:ascii="Arial" w:hAnsi="Arial" w:cs="Arial"/>
        </w:rPr>
        <w:t>accrual</w:t>
      </w:r>
      <w:r w:rsidR="002C6307" w:rsidRPr="00837116">
        <w:rPr>
          <w:rFonts w:ascii="Arial" w:hAnsi="Arial" w:cs="Arial"/>
        </w:rPr>
        <w:t xml:space="preserve">. </w:t>
      </w:r>
      <w:r w:rsidR="003F5259" w:rsidRPr="00837116">
        <w:rPr>
          <w:rFonts w:ascii="Arial" w:hAnsi="Arial" w:cs="Arial"/>
        </w:rPr>
        <w:t xml:space="preserve">This power is not based </w:t>
      </w:r>
      <w:r w:rsidR="002C6307" w:rsidRPr="00837116">
        <w:rPr>
          <w:rFonts w:ascii="Arial" w:hAnsi="Arial" w:cs="Arial"/>
        </w:rPr>
        <w:t>on the authority of the MPA or</w:t>
      </w:r>
      <w:r w:rsidR="003F5259" w:rsidRPr="00837116">
        <w:rPr>
          <w:rFonts w:ascii="Arial" w:hAnsi="Arial" w:cs="Arial"/>
        </w:rPr>
        <w:t xml:space="preserve"> in the exercise of </w:t>
      </w:r>
      <w:r w:rsidR="00307239" w:rsidRPr="00097551">
        <w:rPr>
          <w:rFonts w:ascii="Arial" w:hAnsi="Arial" w:cs="Arial"/>
        </w:rPr>
        <w:t>a</w:t>
      </w:r>
      <w:r w:rsidR="00307239">
        <w:rPr>
          <w:rFonts w:ascii="Arial" w:hAnsi="Arial" w:cs="Arial"/>
        </w:rPr>
        <w:t xml:space="preserve"> </w:t>
      </w:r>
      <w:r w:rsidR="003F5259" w:rsidRPr="00837116">
        <w:rPr>
          <w:rFonts w:ascii="Arial" w:hAnsi="Arial" w:cs="Arial"/>
        </w:rPr>
        <w:t>statutory discretion,</w:t>
      </w:r>
      <w:r w:rsidR="002C6307" w:rsidRPr="00837116">
        <w:rPr>
          <w:rFonts w:ascii="Arial" w:hAnsi="Arial" w:cs="Arial"/>
        </w:rPr>
        <w:t xml:space="preserve"> but on the basis that </w:t>
      </w:r>
      <w:r w:rsidR="00A720D7" w:rsidRPr="00837116">
        <w:rPr>
          <w:rFonts w:ascii="Arial" w:hAnsi="Arial" w:cs="Arial"/>
        </w:rPr>
        <w:t xml:space="preserve">a factual enquiry </w:t>
      </w:r>
      <w:r w:rsidR="00A720D7" w:rsidRPr="00307239">
        <w:rPr>
          <w:rFonts w:ascii="Arial" w:hAnsi="Arial" w:cs="Arial"/>
        </w:rPr>
        <w:t>has</w:t>
      </w:r>
      <w:r w:rsidR="00A720D7" w:rsidRPr="00837116">
        <w:rPr>
          <w:rFonts w:ascii="Arial" w:hAnsi="Arial" w:cs="Arial"/>
        </w:rPr>
        <w:t xml:space="preserve"> revealed trust form abuse, </w:t>
      </w:r>
      <w:r w:rsidR="00E74B58" w:rsidRPr="00837116">
        <w:rPr>
          <w:rFonts w:ascii="Arial" w:hAnsi="Arial" w:cs="Arial"/>
        </w:rPr>
        <w:t xml:space="preserve">upon which </w:t>
      </w:r>
      <w:r w:rsidR="00A720D7" w:rsidRPr="00837116">
        <w:rPr>
          <w:rFonts w:ascii="Arial" w:hAnsi="Arial" w:cs="Arial"/>
        </w:rPr>
        <w:t xml:space="preserve">the </w:t>
      </w:r>
      <w:r w:rsidR="00A720D7" w:rsidRPr="00837116">
        <w:rPr>
          <w:rFonts w:ascii="Arial" w:eastAsia="Times New Roman" w:hAnsi="Arial" w:cs="Arial"/>
        </w:rPr>
        <w:t xml:space="preserve">piercing </w:t>
      </w:r>
      <w:r w:rsidR="00A538F4" w:rsidRPr="00EC4EF5">
        <w:rPr>
          <w:rFonts w:ascii="Arial" w:eastAsia="Times New Roman" w:hAnsi="Arial" w:cs="Arial"/>
        </w:rPr>
        <w:t>of</w:t>
      </w:r>
      <w:r w:rsidR="00A538F4">
        <w:rPr>
          <w:rFonts w:ascii="Arial" w:eastAsia="Times New Roman" w:hAnsi="Arial" w:cs="Arial"/>
        </w:rPr>
        <w:t xml:space="preserve"> </w:t>
      </w:r>
      <w:r w:rsidR="00A720D7" w:rsidRPr="00837116">
        <w:rPr>
          <w:rFonts w:ascii="Arial" w:eastAsia="Times New Roman" w:hAnsi="Arial" w:cs="Arial"/>
        </w:rPr>
        <w:t>the trust veneer</w:t>
      </w:r>
      <w:r w:rsidR="00E74B58" w:rsidRPr="00837116">
        <w:rPr>
          <w:rFonts w:ascii="Arial" w:eastAsia="Times New Roman" w:hAnsi="Arial" w:cs="Arial"/>
        </w:rPr>
        <w:t xml:space="preserve"> follows</w:t>
      </w:r>
      <w:r w:rsidR="00A720D7" w:rsidRPr="00837116">
        <w:rPr>
          <w:rFonts w:ascii="Arial" w:eastAsia="Times New Roman" w:hAnsi="Arial" w:cs="Arial"/>
        </w:rPr>
        <w:t xml:space="preserve">. </w:t>
      </w:r>
    </w:p>
    <w:p w14:paraId="6897E2CE" w14:textId="77A57E68" w:rsidR="00CC0760" w:rsidRPr="00837116" w:rsidRDefault="00CC0760" w:rsidP="00CC0760">
      <w:pPr>
        <w:pStyle w:val="MEMONUMBERED"/>
        <w:kinsoku w:val="0"/>
        <w:overflowPunct w:val="0"/>
        <w:autoSpaceDE w:val="0"/>
        <w:autoSpaceDN w:val="0"/>
        <w:adjustRightInd w:val="0"/>
        <w:spacing w:line="360" w:lineRule="auto"/>
        <w:ind w:right="-7"/>
        <w:rPr>
          <w:rFonts w:ascii="Arial" w:hAnsi="Arial" w:cs="Arial"/>
        </w:rPr>
      </w:pPr>
    </w:p>
    <w:p w14:paraId="578F953B" w14:textId="4703BE74" w:rsidR="0083142A" w:rsidRPr="006128F6" w:rsidRDefault="00A720D7" w:rsidP="00F20F08">
      <w:pPr>
        <w:pStyle w:val="MEMONUMBERED"/>
        <w:numPr>
          <w:ilvl w:val="0"/>
          <w:numId w:val="2"/>
        </w:numPr>
        <w:kinsoku w:val="0"/>
        <w:overflowPunct w:val="0"/>
        <w:autoSpaceDE w:val="0"/>
        <w:autoSpaceDN w:val="0"/>
        <w:adjustRightInd w:val="0"/>
        <w:spacing w:line="360" w:lineRule="auto"/>
        <w:ind w:left="0" w:right="-7" w:firstLine="0"/>
        <w:rPr>
          <w:rFonts w:ascii="Arial" w:hAnsi="Arial" w:cs="Arial"/>
          <w:lang w:val="en-ZA"/>
        </w:rPr>
      </w:pPr>
      <w:r w:rsidRPr="00837116">
        <w:rPr>
          <w:rFonts w:ascii="Arial" w:hAnsi="Arial" w:cs="Arial"/>
        </w:rPr>
        <w:t xml:space="preserve"> </w:t>
      </w:r>
      <w:r w:rsidR="00A149EF" w:rsidRPr="00837116">
        <w:rPr>
          <w:rFonts w:ascii="Arial" w:hAnsi="Arial" w:cs="Arial"/>
        </w:rPr>
        <w:t xml:space="preserve">Viewed in this light, it is clear that when a court pierces the trust veneer, this has nothing to do with the exercise of a statutory discretion in terms of either the MPA or the Divorce Act. The court does so on the basis of its </w:t>
      </w:r>
      <w:r w:rsidR="00A149EF" w:rsidRPr="00F94B8B">
        <w:rPr>
          <w:rFonts w:ascii="Arial" w:hAnsi="Arial" w:cs="Arial"/>
        </w:rPr>
        <w:t>common law power</w:t>
      </w:r>
      <w:r w:rsidR="00A149EF" w:rsidRPr="00837116">
        <w:rPr>
          <w:rFonts w:ascii="Arial" w:hAnsi="Arial" w:cs="Arial"/>
        </w:rPr>
        <w:t>, which was transplanted from the principles of piercing the corporate veil in the realm of company law. See</w:t>
      </w:r>
      <w:bookmarkStart w:id="17" w:name="_Hlk104474425"/>
      <w:bookmarkStart w:id="18" w:name="_Hlk104299708"/>
      <w:r w:rsidR="00A149EF" w:rsidRPr="00837116">
        <w:rPr>
          <w:rFonts w:ascii="Arial" w:hAnsi="Arial" w:cs="Arial"/>
          <w:i/>
          <w:iCs/>
        </w:rPr>
        <w:t xml:space="preserve"> </w:t>
      </w:r>
      <w:bookmarkStart w:id="19" w:name="_Hlk104745062"/>
      <w:r w:rsidR="00A149EF" w:rsidRPr="00837116">
        <w:rPr>
          <w:rFonts w:ascii="Arial" w:hAnsi="Arial" w:cs="Arial"/>
          <w:i/>
          <w:iCs/>
        </w:rPr>
        <w:t>WT v KT</w:t>
      </w:r>
      <w:r w:rsidR="00A149EF" w:rsidRPr="00837116">
        <w:rPr>
          <w:rFonts w:ascii="Arial" w:hAnsi="Arial" w:cs="Arial"/>
        </w:rPr>
        <w:t xml:space="preserve"> </w:t>
      </w:r>
      <w:bookmarkStart w:id="20" w:name="_Hlk106671327"/>
      <w:bookmarkEnd w:id="17"/>
      <w:bookmarkEnd w:id="19"/>
      <w:r w:rsidR="00A24153" w:rsidRPr="00EC4EF5">
        <w:rPr>
          <w:rFonts w:ascii="Arial" w:hAnsi="Arial" w:cs="Arial"/>
          <w:lang w:val="en-ZA"/>
        </w:rPr>
        <w:t>[2015] ZASCA 9; 2015 (3) SA 574 (SCA)</w:t>
      </w:r>
      <w:r w:rsidR="00657552" w:rsidRPr="006128F6">
        <w:rPr>
          <w:rFonts w:ascii="Arial" w:hAnsi="Arial" w:cs="Arial"/>
          <w:lang w:val="en-ZA"/>
        </w:rPr>
        <w:t xml:space="preserve"> </w:t>
      </w:r>
      <w:bookmarkEnd w:id="20"/>
      <w:r w:rsidR="00657552" w:rsidRPr="00EC4EF5">
        <w:rPr>
          <w:rFonts w:ascii="Arial" w:hAnsi="Arial" w:cs="Arial"/>
          <w:lang w:val="en-ZA"/>
        </w:rPr>
        <w:t>(</w:t>
      </w:r>
      <w:r w:rsidR="00657552" w:rsidRPr="00EC4EF5">
        <w:rPr>
          <w:rFonts w:ascii="Arial" w:hAnsi="Arial" w:cs="Arial"/>
          <w:i/>
          <w:iCs/>
        </w:rPr>
        <w:t>WT v KT</w:t>
      </w:r>
      <w:r w:rsidR="00657552" w:rsidRPr="00EC4EF5">
        <w:rPr>
          <w:rFonts w:ascii="Arial" w:hAnsi="Arial" w:cs="Arial"/>
        </w:rPr>
        <w:t>)</w:t>
      </w:r>
      <w:r w:rsidR="00A24153" w:rsidRPr="006128F6">
        <w:rPr>
          <w:rFonts w:ascii="Arial" w:hAnsi="Arial" w:cs="Arial"/>
          <w:lang w:val="en-ZA"/>
        </w:rPr>
        <w:t xml:space="preserve"> </w:t>
      </w:r>
      <w:r w:rsidR="004707E2">
        <w:rPr>
          <w:rFonts w:ascii="Arial" w:hAnsi="Arial" w:cs="Arial"/>
        </w:rPr>
        <w:t>para </w:t>
      </w:r>
      <w:r w:rsidR="00A149EF" w:rsidRPr="006128F6">
        <w:rPr>
          <w:rFonts w:ascii="Arial" w:hAnsi="Arial" w:cs="Arial"/>
        </w:rPr>
        <w:t>31</w:t>
      </w:r>
      <w:bookmarkEnd w:id="18"/>
      <w:r w:rsidR="00A149EF" w:rsidRPr="006128F6">
        <w:rPr>
          <w:rFonts w:ascii="Arial" w:hAnsi="Arial" w:cs="Arial"/>
        </w:rPr>
        <w:t>.</w:t>
      </w:r>
      <w:r w:rsidR="000460CF" w:rsidRPr="006128F6">
        <w:rPr>
          <w:rStyle w:val="FootnoteReference"/>
          <w:rFonts w:ascii="Arial" w:hAnsi="Arial" w:cs="Arial"/>
        </w:rPr>
        <w:footnoteReference w:id="20"/>
      </w:r>
      <w:r w:rsidR="00A149EF" w:rsidRPr="006128F6">
        <w:rPr>
          <w:rFonts w:ascii="Arial" w:hAnsi="Arial" w:cs="Arial"/>
          <w:bCs/>
        </w:rPr>
        <w:t xml:space="preserve"> </w:t>
      </w:r>
      <w:bookmarkStart w:id="21" w:name="_Hlk104760801"/>
      <w:r w:rsidR="0083142A" w:rsidRPr="006128F6">
        <w:rPr>
          <w:rFonts w:ascii="Arial" w:hAnsi="Arial" w:cs="Arial"/>
        </w:rPr>
        <w:t>As Professor Smith puts it:</w:t>
      </w:r>
    </w:p>
    <w:bookmarkEnd w:id="21"/>
    <w:p w14:paraId="34642694" w14:textId="16FA20C3" w:rsidR="00B4386D" w:rsidRDefault="00310B82" w:rsidP="00CC0760">
      <w:pPr>
        <w:pStyle w:val="MEMONUMBERED"/>
        <w:kinsoku w:val="0"/>
        <w:overflowPunct w:val="0"/>
        <w:autoSpaceDE w:val="0"/>
        <w:autoSpaceDN w:val="0"/>
        <w:adjustRightInd w:val="0"/>
        <w:spacing w:line="360" w:lineRule="auto"/>
        <w:ind w:right="-7"/>
        <w:rPr>
          <w:rFonts w:ascii="Arial" w:hAnsi="Arial" w:cs="Arial"/>
          <w:sz w:val="22"/>
          <w:szCs w:val="22"/>
        </w:rPr>
      </w:pPr>
      <w:r w:rsidRPr="006128F6">
        <w:rPr>
          <w:rFonts w:ascii="Arial" w:hAnsi="Arial" w:cs="Arial"/>
          <w:sz w:val="22"/>
          <w:szCs w:val="22"/>
        </w:rPr>
        <w:t>‘</w:t>
      </w:r>
      <w:r w:rsidR="0083142A" w:rsidRPr="006128F6">
        <w:rPr>
          <w:rFonts w:ascii="Arial" w:hAnsi="Arial" w:cs="Arial"/>
          <w:sz w:val="22"/>
          <w:szCs w:val="22"/>
        </w:rPr>
        <w:t xml:space="preserve">In my view, </w:t>
      </w:r>
      <w:r w:rsidR="00BF40C8" w:rsidRPr="00EC4EF5">
        <w:rPr>
          <w:rFonts w:ascii="Arial" w:hAnsi="Arial" w:cs="Arial"/>
          <w:sz w:val="22"/>
          <w:szCs w:val="22"/>
        </w:rPr>
        <w:t>Ploos van Amstel</w:t>
      </w:r>
      <w:r w:rsidR="009F249D" w:rsidRPr="00EC4EF5">
        <w:rPr>
          <w:rFonts w:ascii="Arial" w:hAnsi="Arial" w:cs="Arial"/>
          <w:sz w:val="22"/>
          <w:szCs w:val="22"/>
        </w:rPr>
        <w:t xml:space="preserve"> J</w:t>
      </w:r>
      <w:r w:rsidR="00BF40C8" w:rsidRPr="00EC4EF5">
        <w:rPr>
          <w:rFonts w:ascii="Arial" w:hAnsi="Arial" w:cs="Arial"/>
          <w:sz w:val="22"/>
          <w:szCs w:val="22"/>
        </w:rPr>
        <w:t>’s</w:t>
      </w:r>
      <w:r w:rsidR="0083142A" w:rsidRPr="006128F6">
        <w:rPr>
          <w:rFonts w:ascii="Arial" w:hAnsi="Arial" w:cs="Arial"/>
          <w:sz w:val="22"/>
          <w:szCs w:val="22"/>
        </w:rPr>
        <w:t xml:space="preserve"> finding in </w:t>
      </w:r>
      <w:r w:rsidR="0083142A" w:rsidRPr="006128F6">
        <w:rPr>
          <w:rFonts w:ascii="Arial" w:hAnsi="Arial" w:cs="Arial"/>
          <w:i/>
          <w:iCs/>
          <w:sz w:val="22"/>
          <w:szCs w:val="22"/>
        </w:rPr>
        <w:t>MM v JM</w:t>
      </w:r>
      <w:r w:rsidR="0083142A" w:rsidRPr="006128F6">
        <w:rPr>
          <w:rFonts w:ascii="Arial" w:hAnsi="Arial" w:cs="Arial"/>
          <w:sz w:val="22"/>
          <w:szCs w:val="22"/>
        </w:rPr>
        <w:t xml:space="preserve"> to the effect that “the amount of the accrual claim is determined on a factual and mathematical basis and is not a matter of discretion” is an overly convenient explanation for refusing to consider the value of the assets of an </w:t>
      </w:r>
      <w:r w:rsidR="0083142A" w:rsidRPr="006128F6">
        <w:rPr>
          <w:rFonts w:ascii="Arial" w:hAnsi="Arial" w:cs="Arial"/>
          <w:i/>
          <w:sz w:val="22"/>
          <w:szCs w:val="22"/>
        </w:rPr>
        <w:t>alter ego</w:t>
      </w:r>
      <w:r w:rsidR="0083142A" w:rsidRPr="006128F6">
        <w:rPr>
          <w:rFonts w:ascii="Arial" w:hAnsi="Arial" w:cs="Arial"/>
          <w:sz w:val="22"/>
          <w:szCs w:val="22"/>
        </w:rPr>
        <w:t xml:space="preserve"> trust in assessing an accrual claim. This is because, in order for the contingent right to share in the assets of the other spouse to vest (and thus to ascertain whether the contingencies that establish the claim have materialised)</w:t>
      </w:r>
      <w:r w:rsidR="00BF40C8" w:rsidRPr="00EC4EF5">
        <w:rPr>
          <w:rFonts w:ascii="Arial" w:hAnsi="Arial" w:cs="Arial"/>
          <w:sz w:val="22"/>
          <w:szCs w:val="22"/>
        </w:rPr>
        <w:t>,</w:t>
      </w:r>
      <w:r w:rsidR="0083142A" w:rsidRPr="007F3924">
        <w:rPr>
          <w:rFonts w:ascii="Arial" w:hAnsi="Arial" w:cs="Arial"/>
          <w:sz w:val="22"/>
          <w:szCs w:val="22"/>
        </w:rPr>
        <w:t xml:space="preserve"> it is necessary for the divorce court to </w:t>
      </w:r>
      <w:bookmarkStart w:id="22" w:name="_Hlk104674304"/>
      <w:r w:rsidR="0083142A" w:rsidRPr="007F3924">
        <w:rPr>
          <w:rFonts w:ascii="Arial" w:hAnsi="Arial" w:cs="Arial"/>
          <w:sz w:val="22"/>
          <w:szCs w:val="22"/>
        </w:rPr>
        <w:t>conduct an in-depth assessment of the facts of the case</w:t>
      </w:r>
      <w:bookmarkEnd w:id="22"/>
      <w:r w:rsidR="0083142A" w:rsidRPr="007F3924">
        <w:rPr>
          <w:rFonts w:ascii="Arial" w:hAnsi="Arial" w:cs="Arial"/>
          <w:sz w:val="22"/>
          <w:szCs w:val="22"/>
        </w:rPr>
        <w:t>, based on the reciprocal obligation placed on both spouses “to furnish full particulars of the value” of their estates within a reasonable time of being requested to do so</w:t>
      </w:r>
      <w:r w:rsidR="00BF40C8">
        <w:rPr>
          <w:rFonts w:ascii="Arial" w:hAnsi="Arial" w:cs="Arial"/>
          <w:sz w:val="22"/>
          <w:szCs w:val="22"/>
        </w:rPr>
        <w:t>.</w:t>
      </w:r>
      <w:r w:rsidR="00B17565" w:rsidRPr="007F3924">
        <w:rPr>
          <w:rFonts w:ascii="Arial" w:hAnsi="Arial" w:cs="Arial"/>
          <w:sz w:val="22"/>
          <w:szCs w:val="22"/>
        </w:rPr>
        <w:t>’</w:t>
      </w:r>
      <w:r w:rsidR="00405F0F" w:rsidRPr="008D2D2C">
        <w:rPr>
          <w:rStyle w:val="FootnoteReference"/>
          <w:rFonts w:ascii="Arial" w:hAnsi="Arial" w:cs="Arial"/>
          <w:sz w:val="22"/>
          <w:szCs w:val="22"/>
        </w:rPr>
        <w:footnoteReference w:id="21"/>
      </w:r>
    </w:p>
    <w:p w14:paraId="1C775AC9" w14:textId="77777777" w:rsidR="00CC0760" w:rsidRPr="00D87BA8" w:rsidRDefault="00CC0760" w:rsidP="00CC0760">
      <w:pPr>
        <w:pStyle w:val="MEMONUMBERED"/>
        <w:kinsoku w:val="0"/>
        <w:overflowPunct w:val="0"/>
        <w:autoSpaceDE w:val="0"/>
        <w:autoSpaceDN w:val="0"/>
        <w:adjustRightInd w:val="0"/>
        <w:spacing w:line="360" w:lineRule="auto"/>
        <w:ind w:right="-7"/>
        <w:rPr>
          <w:rFonts w:ascii="Arial" w:hAnsi="Arial" w:cs="Arial"/>
          <w:sz w:val="22"/>
          <w:szCs w:val="22"/>
        </w:rPr>
      </w:pPr>
    </w:p>
    <w:p w14:paraId="1CD5C441" w14:textId="44C2F92D" w:rsidR="00CC0760" w:rsidRPr="007B15D6" w:rsidRDefault="004F5CE9" w:rsidP="00EC4EF5">
      <w:pPr>
        <w:pStyle w:val="MEMONUMBERED"/>
        <w:numPr>
          <w:ilvl w:val="0"/>
          <w:numId w:val="2"/>
        </w:numPr>
        <w:kinsoku w:val="0"/>
        <w:overflowPunct w:val="0"/>
        <w:autoSpaceDE w:val="0"/>
        <w:autoSpaceDN w:val="0"/>
        <w:adjustRightInd w:val="0"/>
        <w:spacing w:after="360" w:line="360" w:lineRule="auto"/>
        <w:ind w:left="0" w:right="-7" w:firstLine="0"/>
        <w:rPr>
          <w:rFonts w:ascii="Arial" w:hAnsi="Arial" w:cs="Arial"/>
        </w:rPr>
      </w:pPr>
      <w:r w:rsidRPr="00837116">
        <w:rPr>
          <w:rFonts w:ascii="Arial" w:hAnsi="Arial" w:cs="Arial"/>
        </w:rPr>
        <w:t xml:space="preserve">The learned author </w:t>
      </w:r>
      <w:r w:rsidR="005E0169">
        <w:rPr>
          <w:rFonts w:ascii="Arial" w:hAnsi="Arial" w:cs="Arial"/>
        </w:rPr>
        <w:t xml:space="preserve">further opines </w:t>
      </w:r>
      <w:r w:rsidR="00B17565" w:rsidRPr="00837116">
        <w:rPr>
          <w:rFonts w:ascii="Arial" w:hAnsi="Arial" w:cs="Arial"/>
        </w:rPr>
        <w:t>that</w:t>
      </w:r>
      <w:r w:rsidR="00F34F7F" w:rsidRPr="00837116">
        <w:rPr>
          <w:rFonts w:ascii="Arial" w:hAnsi="Arial" w:cs="Arial"/>
        </w:rPr>
        <w:t xml:space="preserve"> </w:t>
      </w:r>
      <w:r w:rsidR="00F34F7F" w:rsidRPr="00837116">
        <w:rPr>
          <w:rFonts w:ascii="Arial" w:hAnsi="Arial" w:cs="Arial"/>
          <w:i/>
          <w:iCs/>
        </w:rPr>
        <w:t>MM v JM</w:t>
      </w:r>
      <w:r w:rsidR="00F34F7F" w:rsidRPr="00837116">
        <w:rPr>
          <w:rFonts w:ascii="Arial" w:hAnsi="Arial" w:cs="Arial"/>
        </w:rPr>
        <w:t xml:space="preserve"> would</w:t>
      </w:r>
      <w:r w:rsidR="00EE60FA" w:rsidRPr="00837116">
        <w:rPr>
          <w:rFonts w:ascii="Arial" w:hAnsi="Arial" w:cs="Arial"/>
        </w:rPr>
        <w:t xml:space="preserve"> have the effect of</w:t>
      </w:r>
      <w:r w:rsidR="00F34F7F" w:rsidRPr="00837116">
        <w:rPr>
          <w:rFonts w:ascii="Arial" w:hAnsi="Arial" w:cs="Arial"/>
        </w:rPr>
        <w:t xml:space="preserve"> frustrat</w:t>
      </w:r>
      <w:r w:rsidR="00EE60FA" w:rsidRPr="00837116">
        <w:rPr>
          <w:rFonts w:ascii="Arial" w:hAnsi="Arial" w:cs="Arial"/>
        </w:rPr>
        <w:t>ing</w:t>
      </w:r>
      <w:r w:rsidR="00F34F7F" w:rsidRPr="00837116">
        <w:rPr>
          <w:rFonts w:ascii="Arial" w:hAnsi="Arial" w:cs="Arial"/>
        </w:rPr>
        <w:t xml:space="preserve"> the objective of the accrual system to achieve equal sharing and financial equality between spouses</w:t>
      </w:r>
      <w:r w:rsidR="00814A01" w:rsidRPr="00837116">
        <w:rPr>
          <w:rFonts w:ascii="Arial" w:hAnsi="Arial" w:cs="Arial"/>
        </w:rPr>
        <w:t xml:space="preserve"> </w:t>
      </w:r>
      <w:r w:rsidR="00F34F7F" w:rsidRPr="00837116">
        <w:rPr>
          <w:rFonts w:ascii="Arial" w:hAnsi="Arial" w:cs="Arial"/>
        </w:rPr>
        <w:t>who made financial and other contributions during the subsistence of the marriage</w:t>
      </w:r>
      <w:r w:rsidR="00814A01" w:rsidRPr="00837116">
        <w:rPr>
          <w:rFonts w:ascii="Arial" w:hAnsi="Arial" w:cs="Arial"/>
        </w:rPr>
        <w:t xml:space="preserve">. </w:t>
      </w:r>
      <w:r w:rsidR="00814A01" w:rsidRPr="006128F6">
        <w:rPr>
          <w:rFonts w:ascii="Arial" w:hAnsi="Arial" w:cs="Arial"/>
        </w:rPr>
        <w:t>This is so</w:t>
      </w:r>
      <w:r w:rsidR="005653D0" w:rsidRPr="00EC4EF5">
        <w:rPr>
          <w:rFonts w:ascii="Arial" w:hAnsi="Arial" w:cs="Arial"/>
        </w:rPr>
        <w:t>,</w:t>
      </w:r>
      <w:r w:rsidR="00814A01" w:rsidRPr="006128F6">
        <w:rPr>
          <w:rFonts w:ascii="Arial" w:hAnsi="Arial" w:cs="Arial"/>
        </w:rPr>
        <w:t xml:space="preserve"> as it would enable spouses</w:t>
      </w:r>
      <w:r w:rsidR="00F34F7F" w:rsidRPr="006128F6">
        <w:rPr>
          <w:rFonts w:ascii="Arial" w:hAnsi="Arial" w:cs="Arial"/>
        </w:rPr>
        <w:t xml:space="preserve"> to reduce the true value of </w:t>
      </w:r>
      <w:r w:rsidR="00814A01" w:rsidRPr="006128F6">
        <w:rPr>
          <w:rFonts w:ascii="Arial" w:hAnsi="Arial" w:cs="Arial"/>
        </w:rPr>
        <w:t xml:space="preserve">their </w:t>
      </w:r>
      <w:r w:rsidR="00F34F7F" w:rsidRPr="006128F6">
        <w:rPr>
          <w:rFonts w:ascii="Arial" w:hAnsi="Arial" w:cs="Arial"/>
        </w:rPr>
        <w:t>accrual by transferring assets</w:t>
      </w:r>
      <w:r w:rsidR="00814A01" w:rsidRPr="006128F6">
        <w:rPr>
          <w:rFonts w:ascii="Arial" w:hAnsi="Arial" w:cs="Arial"/>
        </w:rPr>
        <w:t xml:space="preserve"> </w:t>
      </w:r>
      <w:r w:rsidR="00F34F7F" w:rsidRPr="006128F6">
        <w:rPr>
          <w:rFonts w:ascii="Arial" w:hAnsi="Arial" w:cs="Arial"/>
        </w:rPr>
        <w:t>to a trust</w:t>
      </w:r>
      <w:r w:rsidR="00814A01" w:rsidRPr="006128F6">
        <w:rPr>
          <w:rFonts w:ascii="Arial" w:hAnsi="Arial" w:cs="Arial"/>
        </w:rPr>
        <w:t>.</w:t>
      </w:r>
      <w:r w:rsidR="00814A01" w:rsidRPr="006128F6">
        <w:rPr>
          <w:rStyle w:val="FootnoteReference"/>
          <w:rFonts w:ascii="Arial" w:hAnsi="Arial" w:cs="Arial"/>
        </w:rPr>
        <w:footnoteReference w:id="22"/>
      </w:r>
      <w:r w:rsidR="00814A01" w:rsidRPr="006128F6">
        <w:rPr>
          <w:rFonts w:ascii="Arial" w:hAnsi="Arial" w:cs="Arial"/>
        </w:rPr>
        <w:t xml:space="preserve"> See also </w:t>
      </w:r>
      <w:r w:rsidR="00814A01" w:rsidRPr="006128F6">
        <w:rPr>
          <w:rFonts w:ascii="Arial" w:hAnsi="Arial" w:cs="Arial"/>
          <w:i/>
          <w:iCs/>
        </w:rPr>
        <w:t xml:space="preserve">YB </w:t>
      </w:r>
      <w:r w:rsidR="00163136" w:rsidRPr="006128F6">
        <w:rPr>
          <w:rFonts w:ascii="Arial" w:hAnsi="Arial" w:cs="Arial"/>
          <w:i/>
          <w:iCs/>
        </w:rPr>
        <w:t>v</w:t>
      </w:r>
      <w:r w:rsidR="00814A01" w:rsidRPr="006128F6">
        <w:rPr>
          <w:rFonts w:ascii="Arial" w:hAnsi="Arial" w:cs="Arial"/>
          <w:i/>
          <w:iCs/>
        </w:rPr>
        <w:t xml:space="preserve"> SB and Others NNO</w:t>
      </w:r>
      <w:r w:rsidR="00814A01" w:rsidRPr="006128F6">
        <w:rPr>
          <w:rFonts w:ascii="Arial" w:hAnsi="Arial" w:cs="Arial"/>
        </w:rPr>
        <w:t xml:space="preserve"> 2016 (1) SA 47 (WCC) para 35</w:t>
      </w:r>
      <w:r w:rsidR="009E55C7" w:rsidRPr="00EC4EF5">
        <w:rPr>
          <w:rFonts w:ascii="Arial" w:hAnsi="Arial" w:cs="Arial"/>
        </w:rPr>
        <w:t>,</w:t>
      </w:r>
      <w:r w:rsidR="00814A01" w:rsidRPr="006128F6">
        <w:rPr>
          <w:rFonts w:ascii="Arial" w:hAnsi="Arial" w:cs="Arial"/>
        </w:rPr>
        <w:t xml:space="preserve"> where it was remarked that</w:t>
      </w:r>
      <w:r w:rsidR="009E55C7" w:rsidRPr="006128F6">
        <w:rPr>
          <w:rFonts w:ascii="Arial" w:hAnsi="Arial" w:cs="Arial"/>
        </w:rPr>
        <w:t xml:space="preserve"> </w:t>
      </w:r>
      <w:r w:rsidR="009E55C7" w:rsidRPr="00EC4EF5">
        <w:rPr>
          <w:rFonts w:ascii="Arial" w:hAnsi="Arial" w:cs="Arial"/>
        </w:rPr>
        <w:t>the viewpoint that</w:t>
      </w:r>
      <w:r w:rsidR="00814A01" w:rsidRPr="006128F6">
        <w:rPr>
          <w:rFonts w:ascii="Arial" w:hAnsi="Arial" w:cs="Arial"/>
          <w:b/>
          <w:bCs/>
        </w:rPr>
        <w:t xml:space="preserve"> </w:t>
      </w:r>
      <w:r w:rsidR="00814A01" w:rsidRPr="006128F6">
        <w:rPr>
          <w:rFonts w:ascii="Arial" w:hAnsi="Arial" w:cs="Arial"/>
          <w:shd w:val="clear" w:color="auto" w:fill="FFFFFF"/>
        </w:rPr>
        <w:t xml:space="preserve">the determination of an accrual claim </w:t>
      </w:r>
      <w:r w:rsidR="009E55C7" w:rsidRPr="00EC4EF5">
        <w:rPr>
          <w:rFonts w:ascii="Arial" w:hAnsi="Arial" w:cs="Arial"/>
          <w:shd w:val="clear" w:color="auto" w:fill="FFFFFF"/>
        </w:rPr>
        <w:t>‘</w:t>
      </w:r>
      <w:r w:rsidR="00814A01" w:rsidRPr="006128F6">
        <w:rPr>
          <w:rFonts w:ascii="Arial" w:hAnsi="Arial" w:cs="Arial"/>
          <w:shd w:val="clear" w:color="auto" w:fill="FFFFFF"/>
        </w:rPr>
        <w:t xml:space="preserve">involves purely an </w:t>
      </w:r>
      <w:r w:rsidR="009E55C7" w:rsidRPr="00EC4EF5">
        <w:rPr>
          <w:rFonts w:ascii="Arial" w:hAnsi="Arial" w:cs="Arial"/>
          <w:shd w:val="clear" w:color="auto" w:fill="FFFFFF"/>
        </w:rPr>
        <w:t>“</w:t>
      </w:r>
      <w:r w:rsidR="00814A01" w:rsidRPr="006128F6">
        <w:rPr>
          <w:rFonts w:ascii="Arial" w:hAnsi="Arial" w:cs="Arial"/>
          <w:shd w:val="clear" w:color="auto" w:fill="FFFFFF"/>
        </w:rPr>
        <w:t>arithmetical calculation</w:t>
      </w:r>
      <w:r w:rsidR="009E55C7" w:rsidRPr="00EC4EF5">
        <w:rPr>
          <w:rFonts w:ascii="Arial" w:hAnsi="Arial" w:cs="Arial"/>
          <w:shd w:val="clear" w:color="auto" w:fill="FFFFFF"/>
        </w:rPr>
        <w:t>”</w:t>
      </w:r>
      <w:r w:rsidR="00814A01" w:rsidRPr="00EC4EF5">
        <w:rPr>
          <w:rFonts w:ascii="Arial" w:hAnsi="Arial" w:cs="Arial"/>
          <w:shd w:val="clear" w:color="auto" w:fill="FFFFFF"/>
        </w:rPr>
        <w:t xml:space="preserve"> </w:t>
      </w:r>
      <w:r w:rsidR="00814A01" w:rsidRPr="009E55C7">
        <w:rPr>
          <w:rFonts w:ascii="Arial" w:hAnsi="Arial" w:cs="Arial"/>
          <w:shd w:val="clear" w:color="auto" w:fill="FFFFFF"/>
        </w:rPr>
        <w:t xml:space="preserve">is an over-simplification of the issue and can therefore not be correct’, as it fails to </w:t>
      </w:r>
      <w:r w:rsidR="00814A01" w:rsidRPr="009E55C7">
        <w:rPr>
          <w:rFonts w:ascii="Arial" w:hAnsi="Arial" w:cs="Arial"/>
          <w:shd w:val="clear" w:color="auto" w:fill="FFFFFF"/>
        </w:rPr>
        <w:lastRenderedPageBreak/>
        <w:t>consider the in-depth factual enquiry referred to earlier</w:t>
      </w:r>
      <w:r w:rsidR="00814A01" w:rsidRPr="008D2D2C">
        <w:rPr>
          <w:rFonts w:ascii="Arial" w:hAnsi="Arial" w:cs="Arial"/>
          <w:bCs/>
        </w:rPr>
        <w:t>.</w:t>
      </w:r>
      <w:r w:rsidR="00814A01" w:rsidRPr="00837116">
        <w:rPr>
          <w:rStyle w:val="FootnoteReference"/>
          <w:rFonts w:ascii="Arial" w:hAnsi="Arial" w:cs="Arial"/>
          <w:shd w:val="clear" w:color="auto" w:fill="FFFFFF"/>
        </w:rPr>
        <w:footnoteReference w:id="23"/>
      </w:r>
      <w:r w:rsidRPr="009E55C7">
        <w:rPr>
          <w:rFonts w:ascii="Arial" w:hAnsi="Arial" w:cs="Arial"/>
          <w:shd w:val="clear" w:color="auto" w:fill="FFFFFF"/>
        </w:rPr>
        <w:t xml:space="preserve"> I agree</w:t>
      </w:r>
      <w:r w:rsidR="00163136" w:rsidRPr="009E55C7">
        <w:rPr>
          <w:rFonts w:ascii="Arial" w:hAnsi="Arial" w:cs="Arial"/>
          <w:shd w:val="clear" w:color="auto" w:fill="FFFFFF"/>
        </w:rPr>
        <w:t xml:space="preserve"> with both observations.</w:t>
      </w:r>
    </w:p>
    <w:p w14:paraId="2C6375F6" w14:textId="770EC978" w:rsidR="0077430D" w:rsidRPr="00F75718" w:rsidRDefault="00B17565"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rPr>
      </w:pPr>
      <w:r w:rsidRPr="00837116">
        <w:rPr>
          <w:rFonts w:ascii="Arial" w:hAnsi="Arial" w:cs="Arial"/>
        </w:rPr>
        <w:t xml:space="preserve">In my view, the approach in </w:t>
      </w:r>
      <w:r w:rsidRPr="00837116">
        <w:rPr>
          <w:rFonts w:ascii="Arial" w:hAnsi="Arial" w:cs="Arial"/>
          <w:i/>
        </w:rPr>
        <w:t xml:space="preserve">RP v DP </w:t>
      </w:r>
      <w:r w:rsidR="00745BD9" w:rsidRPr="00837116">
        <w:rPr>
          <w:rFonts w:ascii="Arial" w:hAnsi="Arial" w:cs="Arial"/>
        </w:rPr>
        <w:t xml:space="preserve">that the power to pierce the </w:t>
      </w:r>
      <w:r w:rsidR="001358E2" w:rsidRPr="00837116">
        <w:rPr>
          <w:rFonts w:ascii="Arial" w:hAnsi="Arial" w:cs="Arial"/>
        </w:rPr>
        <w:t xml:space="preserve">trust </w:t>
      </w:r>
      <w:r w:rsidR="00745BD9" w:rsidRPr="00837116">
        <w:rPr>
          <w:rFonts w:ascii="Arial" w:hAnsi="Arial" w:cs="Arial"/>
        </w:rPr>
        <w:t xml:space="preserve">veneer </w:t>
      </w:r>
      <w:r w:rsidR="001358E2" w:rsidRPr="00837116">
        <w:rPr>
          <w:rFonts w:ascii="Arial" w:hAnsi="Arial" w:cs="Arial"/>
        </w:rPr>
        <w:t xml:space="preserve">is </w:t>
      </w:r>
      <w:r w:rsidR="001358E2" w:rsidRPr="00EE48D4">
        <w:rPr>
          <w:rFonts w:ascii="Arial" w:hAnsi="Arial" w:cs="Arial"/>
        </w:rPr>
        <w:t xml:space="preserve">founded in </w:t>
      </w:r>
      <w:r w:rsidR="00745BD9" w:rsidRPr="00EE48D4">
        <w:rPr>
          <w:rFonts w:ascii="Arial" w:hAnsi="Arial" w:cs="Arial"/>
        </w:rPr>
        <w:t>the common law and exists independently of the Divorce Act or the MPA</w:t>
      </w:r>
      <w:r w:rsidR="001358E2" w:rsidRPr="00EE48D4">
        <w:rPr>
          <w:rFonts w:ascii="Arial" w:hAnsi="Arial" w:cs="Arial"/>
        </w:rPr>
        <w:t xml:space="preserve">, and </w:t>
      </w:r>
      <w:r w:rsidR="00F20F08" w:rsidRPr="00EE48D4">
        <w:rPr>
          <w:rFonts w:ascii="Arial" w:hAnsi="Arial" w:cs="Arial"/>
        </w:rPr>
        <w:t xml:space="preserve">is </w:t>
      </w:r>
      <w:r w:rsidR="001358E2" w:rsidRPr="00EE48D4">
        <w:rPr>
          <w:rFonts w:ascii="Arial" w:hAnsi="Arial" w:cs="Arial"/>
        </w:rPr>
        <w:t>thus in principle applicable to marriages subject to the accrual system</w:t>
      </w:r>
      <w:r w:rsidR="001358E2" w:rsidRPr="00EE48D4">
        <w:rPr>
          <w:rFonts w:ascii="Arial" w:hAnsi="Arial" w:cs="Arial"/>
          <w:iCs/>
        </w:rPr>
        <w:t xml:space="preserve">, is to be preferred to that in </w:t>
      </w:r>
      <w:bookmarkStart w:id="23" w:name="_Hlk104678467"/>
      <w:r w:rsidR="001358E2" w:rsidRPr="00EE48D4">
        <w:rPr>
          <w:rFonts w:ascii="Arial" w:hAnsi="Arial" w:cs="Arial"/>
          <w:i/>
          <w:iCs/>
        </w:rPr>
        <w:t>MM v JM</w:t>
      </w:r>
      <w:bookmarkEnd w:id="23"/>
      <w:r w:rsidR="001358E2" w:rsidRPr="00EE48D4">
        <w:rPr>
          <w:rFonts w:ascii="Arial" w:hAnsi="Arial" w:cs="Arial"/>
        </w:rPr>
        <w:t>.</w:t>
      </w:r>
      <w:r w:rsidR="001358E2" w:rsidRPr="00837116">
        <w:rPr>
          <w:rFonts w:ascii="Arial" w:hAnsi="Arial" w:cs="Arial"/>
        </w:rPr>
        <w:t xml:space="preserve"> </w:t>
      </w:r>
      <w:r w:rsidRPr="00837116">
        <w:rPr>
          <w:rFonts w:ascii="Arial" w:hAnsi="Arial" w:cs="Arial"/>
        </w:rPr>
        <w:t>The latter</w:t>
      </w:r>
      <w:r w:rsidR="00EA75C7" w:rsidRPr="00837116">
        <w:rPr>
          <w:rFonts w:ascii="Arial" w:hAnsi="Arial" w:cs="Arial"/>
        </w:rPr>
        <w:t>’s approach</w:t>
      </w:r>
      <w:r w:rsidRPr="00837116">
        <w:rPr>
          <w:rFonts w:ascii="Arial" w:hAnsi="Arial" w:cs="Arial"/>
        </w:rPr>
        <w:t xml:space="preserve"> is rigid</w:t>
      </w:r>
      <w:r w:rsidR="00446088" w:rsidRPr="004B36B8">
        <w:rPr>
          <w:rFonts w:ascii="Arial" w:hAnsi="Arial" w:cs="Arial"/>
        </w:rPr>
        <w:t>,</w:t>
      </w:r>
      <w:r w:rsidR="00EA75C7" w:rsidRPr="00837116">
        <w:rPr>
          <w:rFonts w:ascii="Arial" w:hAnsi="Arial" w:cs="Arial"/>
        </w:rPr>
        <w:t xml:space="preserve"> </w:t>
      </w:r>
      <w:r w:rsidR="00446088" w:rsidRPr="004B36B8">
        <w:rPr>
          <w:rFonts w:ascii="Arial" w:hAnsi="Arial" w:cs="Arial"/>
        </w:rPr>
        <w:t>b</w:t>
      </w:r>
      <w:r w:rsidR="004F5CE9" w:rsidRPr="00837116">
        <w:rPr>
          <w:rFonts w:ascii="Arial" w:hAnsi="Arial" w:cs="Arial"/>
        </w:rPr>
        <w:t xml:space="preserve">y </w:t>
      </w:r>
      <w:r w:rsidRPr="00837116">
        <w:rPr>
          <w:rFonts w:ascii="Arial" w:hAnsi="Arial" w:cs="Arial"/>
        </w:rPr>
        <w:t xml:space="preserve">seeking to </w:t>
      </w:r>
      <w:r w:rsidR="00423509" w:rsidRPr="004B36B8">
        <w:rPr>
          <w:rFonts w:ascii="Arial" w:hAnsi="Arial" w:cs="Arial"/>
        </w:rPr>
        <w:t>confine</w:t>
      </w:r>
      <w:r w:rsidR="00423509">
        <w:rPr>
          <w:rFonts w:ascii="Arial" w:hAnsi="Arial" w:cs="Arial"/>
        </w:rPr>
        <w:t xml:space="preserve"> </w:t>
      </w:r>
      <w:r w:rsidRPr="00837116">
        <w:rPr>
          <w:rFonts w:ascii="Arial" w:hAnsi="Arial" w:cs="Arial"/>
        </w:rPr>
        <w:t xml:space="preserve">the court’s power </w:t>
      </w:r>
      <w:r w:rsidR="00446088" w:rsidRPr="004B36B8">
        <w:rPr>
          <w:rFonts w:ascii="Arial" w:hAnsi="Arial" w:cs="Arial"/>
        </w:rPr>
        <w:t>to</w:t>
      </w:r>
      <w:r w:rsidRPr="00837116">
        <w:rPr>
          <w:rFonts w:ascii="Arial" w:hAnsi="Arial" w:cs="Arial"/>
        </w:rPr>
        <w:t xml:space="preserve"> the MPA or the Divorce Act</w:t>
      </w:r>
      <w:r w:rsidR="00EA75C7" w:rsidRPr="00837116">
        <w:rPr>
          <w:rFonts w:ascii="Arial" w:hAnsi="Arial" w:cs="Arial"/>
        </w:rPr>
        <w:t xml:space="preserve">, </w:t>
      </w:r>
      <w:r w:rsidR="00F20F08" w:rsidRPr="00EC4EF5">
        <w:rPr>
          <w:rFonts w:ascii="Arial" w:hAnsi="Arial" w:cs="Arial"/>
        </w:rPr>
        <w:t>is</w:t>
      </w:r>
      <w:r w:rsidR="00F20F08">
        <w:rPr>
          <w:rFonts w:ascii="Arial" w:hAnsi="Arial" w:cs="Arial"/>
        </w:rPr>
        <w:t xml:space="preserve"> </w:t>
      </w:r>
      <w:r w:rsidR="00446088" w:rsidRPr="004B36B8">
        <w:rPr>
          <w:rFonts w:ascii="Arial" w:hAnsi="Arial" w:cs="Arial"/>
        </w:rPr>
        <w:t>unduly</w:t>
      </w:r>
      <w:r w:rsidR="00EA75C7" w:rsidRPr="00837116">
        <w:rPr>
          <w:rFonts w:ascii="Arial" w:hAnsi="Arial" w:cs="Arial"/>
        </w:rPr>
        <w:t xml:space="preserve"> constricting</w:t>
      </w:r>
      <w:r w:rsidR="00163136" w:rsidRPr="00837116">
        <w:rPr>
          <w:rFonts w:ascii="Arial" w:hAnsi="Arial" w:cs="Arial"/>
        </w:rPr>
        <w:t xml:space="preserve">. </w:t>
      </w:r>
      <w:r w:rsidR="00EA75C7" w:rsidRPr="00837116">
        <w:rPr>
          <w:rFonts w:ascii="Arial" w:hAnsi="Arial" w:cs="Arial"/>
        </w:rPr>
        <w:t>W</w:t>
      </w:r>
      <w:r w:rsidRPr="00837116">
        <w:rPr>
          <w:rFonts w:ascii="Arial" w:hAnsi="Arial" w:cs="Arial"/>
        </w:rPr>
        <w:t xml:space="preserve">here </w:t>
      </w:r>
      <w:r w:rsidR="00446088" w:rsidRPr="004B36B8">
        <w:rPr>
          <w:rFonts w:ascii="Arial" w:hAnsi="Arial" w:cs="Arial"/>
        </w:rPr>
        <w:t>the</w:t>
      </w:r>
      <w:r w:rsidR="00446088">
        <w:rPr>
          <w:rFonts w:ascii="Arial" w:hAnsi="Arial" w:cs="Arial"/>
        </w:rPr>
        <w:t xml:space="preserve"> </w:t>
      </w:r>
      <w:r w:rsidRPr="00837116">
        <w:rPr>
          <w:rFonts w:ascii="Arial" w:hAnsi="Arial" w:cs="Arial"/>
        </w:rPr>
        <w:t>trust form is abused</w:t>
      </w:r>
      <w:r w:rsidR="0077430D" w:rsidRPr="00837116">
        <w:rPr>
          <w:rFonts w:ascii="Arial" w:hAnsi="Arial" w:cs="Arial"/>
        </w:rPr>
        <w:t xml:space="preserve"> to prejudice an aggrieved spouse’s accrual claim, a court should </w:t>
      </w:r>
      <w:r w:rsidR="00EC4EF5" w:rsidRPr="004B36B8">
        <w:rPr>
          <w:rFonts w:ascii="Arial" w:hAnsi="Arial" w:cs="Arial"/>
        </w:rPr>
        <w:t xml:space="preserve">exercise its </w:t>
      </w:r>
      <w:r w:rsidR="0077430D" w:rsidRPr="004B36B8">
        <w:rPr>
          <w:rFonts w:ascii="Arial" w:hAnsi="Arial" w:cs="Arial"/>
        </w:rPr>
        <w:t>wider</w:t>
      </w:r>
      <w:r w:rsidR="0077430D" w:rsidRPr="006128F6">
        <w:rPr>
          <w:rFonts w:ascii="Arial" w:hAnsi="Arial" w:cs="Arial"/>
        </w:rPr>
        <w:t xml:space="preserve"> </w:t>
      </w:r>
      <w:r w:rsidR="0077430D" w:rsidRPr="00423509">
        <w:rPr>
          <w:rFonts w:ascii="Arial" w:hAnsi="Arial" w:cs="Arial"/>
        </w:rPr>
        <w:t>power</w:t>
      </w:r>
      <w:r w:rsidR="0077430D" w:rsidRPr="00837116">
        <w:rPr>
          <w:rFonts w:ascii="Arial" w:hAnsi="Arial" w:cs="Arial"/>
        </w:rPr>
        <w:t xml:space="preserve"> in terms of the common law to prevent such prejudice.</w:t>
      </w:r>
      <w:r w:rsidR="0077430D" w:rsidRPr="00837116">
        <w:rPr>
          <w:rFonts w:ascii="Arial" w:hAnsi="Arial" w:cs="Arial"/>
          <w:bCs/>
        </w:rPr>
        <w:t xml:space="preserve"> </w:t>
      </w:r>
    </w:p>
    <w:p w14:paraId="4A09DFA5" w14:textId="77777777" w:rsidR="00F75718" w:rsidRPr="00F75718" w:rsidRDefault="00F75718" w:rsidP="00F75718">
      <w:pPr>
        <w:pStyle w:val="MEMONUMBERED"/>
        <w:kinsoku w:val="0"/>
        <w:overflowPunct w:val="0"/>
        <w:autoSpaceDE w:val="0"/>
        <w:autoSpaceDN w:val="0"/>
        <w:adjustRightInd w:val="0"/>
        <w:spacing w:line="360" w:lineRule="auto"/>
        <w:ind w:right="-7"/>
        <w:rPr>
          <w:rFonts w:ascii="Arial" w:hAnsi="Arial" w:cs="Arial"/>
        </w:rPr>
      </w:pPr>
    </w:p>
    <w:p w14:paraId="5A38A97A" w14:textId="3480E7EE" w:rsidR="0077430D" w:rsidRPr="00F75718" w:rsidRDefault="00E02569" w:rsidP="008D2D2C">
      <w:pPr>
        <w:pStyle w:val="MEMONUMBERED"/>
        <w:numPr>
          <w:ilvl w:val="0"/>
          <w:numId w:val="2"/>
        </w:numPr>
        <w:kinsoku w:val="0"/>
        <w:overflowPunct w:val="0"/>
        <w:autoSpaceDE w:val="0"/>
        <w:autoSpaceDN w:val="0"/>
        <w:adjustRightInd w:val="0"/>
        <w:spacing w:line="360" w:lineRule="auto"/>
        <w:ind w:left="0" w:right="-7" w:firstLine="0"/>
        <w:rPr>
          <w:rFonts w:ascii="Arial" w:hAnsi="Arial" w:cs="Arial"/>
        </w:rPr>
      </w:pPr>
      <w:r w:rsidRPr="00F75718">
        <w:rPr>
          <w:rFonts w:ascii="Arial" w:hAnsi="Arial" w:cs="Arial"/>
        </w:rPr>
        <w:t>Lastly</w:t>
      </w:r>
      <w:r w:rsidRPr="006128F6">
        <w:rPr>
          <w:rFonts w:ascii="Arial" w:hAnsi="Arial" w:cs="Arial"/>
        </w:rPr>
        <w:t xml:space="preserve">, the holding in </w:t>
      </w:r>
      <w:bookmarkStart w:id="24" w:name="_Hlk104681109"/>
      <w:r w:rsidR="00B17565" w:rsidRPr="006128F6">
        <w:rPr>
          <w:rFonts w:ascii="Arial" w:hAnsi="Arial" w:cs="Arial"/>
          <w:i/>
          <w:iCs/>
        </w:rPr>
        <w:t>MM v JM</w:t>
      </w:r>
      <w:r w:rsidR="00B17565" w:rsidRPr="006128F6">
        <w:rPr>
          <w:rFonts w:ascii="Arial" w:hAnsi="Arial" w:cs="Arial"/>
        </w:rPr>
        <w:t xml:space="preserve"> </w:t>
      </w:r>
      <w:bookmarkEnd w:id="24"/>
      <w:r w:rsidRPr="006128F6">
        <w:rPr>
          <w:rFonts w:ascii="Arial" w:hAnsi="Arial" w:cs="Arial"/>
        </w:rPr>
        <w:t>that ‘</w:t>
      </w:r>
      <w:r w:rsidR="00405496" w:rsidRPr="00EC4EF5">
        <w:rPr>
          <w:rFonts w:ascii="Arial" w:hAnsi="Arial" w:cs="Arial"/>
        </w:rPr>
        <w:t>[</w:t>
      </w:r>
      <w:r w:rsidRPr="006128F6">
        <w:rPr>
          <w:rFonts w:ascii="Arial" w:eastAsia="Times New Roman" w:hAnsi="Arial" w:cs="Arial"/>
        </w:rPr>
        <w:t>there was no</w:t>
      </w:r>
      <w:r w:rsidR="00405496" w:rsidRPr="00EC4EF5">
        <w:rPr>
          <w:rFonts w:ascii="Arial" w:eastAsia="Times New Roman" w:hAnsi="Arial" w:cs="Arial"/>
        </w:rPr>
        <w:t>]</w:t>
      </w:r>
      <w:r w:rsidRPr="006128F6">
        <w:rPr>
          <w:rFonts w:ascii="Arial" w:eastAsia="Times New Roman" w:hAnsi="Arial" w:cs="Arial"/>
        </w:rPr>
        <w:t xml:space="preserve"> legal basis for an order that </w:t>
      </w:r>
      <w:r w:rsidR="00AE0D84" w:rsidRPr="00097551">
        <w:rPr>
          <w:rFonts w:ascii="Arial" w:eastAsia="Times New Roman" w:hAnsi="Arial" w:cs="Arial"/>
        </w:rPr>
        <w:t>[the values of]</w:t>
      </w:r>
      <w:r w:rsidR="00AE0D84">
        <w:rPr>
          <w:rFonts w:ascii="Arial" w:eastAsia="Times New Roman" w:hAnsi="Arial" w:cs="Arial"/>
        </w:rPr>
        <w:t xml:space="preserve"> </w:t>
      </w:r>
      <w:r w:rsidRPr="006128F6">
        <w:rPr>
          <w:rFonts w:ascii="Arial" w:eastAsia="Times New Roman" w:hAnsi="Arial" w:cs="Arial"/>
        </w:rPr>
        <w:t xml:space="preserve">assets which in fact </w:t>
      </w:r>
      <w:r w:rsidR="00405496" w:rsidRPr="00EC4EF5">
        <w:rPr>
          <w:rFonts w:ascii="Arial" w:eastAsia="Times New Roman" w:hAnsi="Arial" w:cs="Arial"/>
        </w:rPr>
        <w:t>[</w:t>
      </w:r>
      <w:r w:rsidRPr="006128F6">
        <w:rPr>
          <w:rFonts w:ascii="Arial" w:eastAsia="Times New Roman" w:hAnsi="Arial" w:cs="Arial"/>
        </w:rPr>
        <w:t>did</w:t>
      </w:r>
      <w:r w:rsidR="00405496" w:rsidRPr="00EC4EF5">
        <w:rPr>
          <w:rFonts w:ascii="Arial" w:eastAsia="Times New Roman" w:hAnsi="Arial" w:cs="Arial"/>
        </w:rPr>
        <w:t>]</w:t>
      </w:r>
      <w:r w:rsidRPr="006128F6">
        <w:rPr>
          <w:rFonts w:ascii="Arial" w:eastAsia="Times New Roman" w:hAnsi="Arial" w:cs="Arial"/>
        </w:rPr>
        <w:t xml:space="preserve"> not form part of a spouse’s estate should be deemed to form part of it for purposes of determining the accrual</w:t>
      </w:r>
      <w:r w:rsidRPr="00EC4EF5">
        <w:rPr>
          <w:rFonts w:ascii="Arial" w:eastAsia="Times New Roman" w:hAnsi="Arial" w:cs="Arial"/>
        </w:rPr>
        <w:t>’</w:t>
      </w:r>
      <w:r w:rsidR="00405496" w:rsidRPr="00EC4EF5">
        <w:rPr>
          <w:rFonts w:ascii="Arial" w:eastAsia="Times New Roman" w:hAnsi="Arial" w:cs="Arial"/>
        </w:rPr>
        <w:t>,</w:t>
      </w:r>
      <w:r w:rsidR="00405496" w:rsidRPr="00EC4EF5">
        <w:rPr>
          <w:rStyle w:val="FootnoteReference"/>
          <w:rFonts w:ascii="Arial" w:eastAsia="Times New Roman" w:hAnsi="Arial" w:cs="Arial"/>
        </w:rPr>
        <w:footnoteReference w:id="24"/>
      </w:r>
      <w:r w:rsidRPr="006128F6">
        <w:rPr>
          <w:rFonts w:ascii="Arial" w:hAnsi="Arial" w:cs="Arial"/>
          <w:bCs/>
        </w:rPr>
        <w:t xml:space="preserve"> </w:t>
      </w:r>
      <w:r w:rsidR="00A149EF" w:rsidRPr="006128F6">
        <w:rPr>
          <w:rFonts w:ascii="Arial" w:hAnsi="Arial" w:cs="Arial"/>
        </w:rPr>
        <w:t xml:space="preserve">must be considered to have been overturned </w:t>
      </w:r>
      <w:bookmarkStart w:id="25" w:name="_Hlk104641171"/>
      <w:r w:rsidR="00A149EF" w:rsidRPr="006128F6">
        <w:rPr>
          <w:rFonts w:ascii="Arial" w:hAnsi="Arial" w:cs="Arial"/>
        </w:rPr>
        <w:t>by</w:t>
      </w:r>
      <w:r w:rsidR="0077430D" w:rsidRPr="006128F6">
        <w:rPr>
          <w:rFonts w:ascii="Arial" w:hAnsi="Arial" w:cs="Arial"/>
        </w:rPr>
        <w:t xml:space="preserve"> the decision of this Court in</w:t>
      </w:r>
      <w:r w:rsidR="00A149EF" w:rsidRPr="006128F6">
        <w:rPr>
          <w:rFonts w:ascii="Arial" w:hAnsi="Arial" w:cs="Arial"/>
        </w:rPr>
        <w:t xml:space="preserve"> </w:t>
      </w:r>
      <w:bookmarkEnd w:id="25"/>
      <w:r w:rsidR="00A8364C" w:rsidRPr="006128F6">
        <w:rPr>
          <w:rFonts w:ascii="Arial" w:hAnsi="Arial" w:cs="Arial"/>
          <w:i/>
          <w:iCs/>
        </w:rPr>
        <w:t>REM v VM</w:t>
      </w:r>
      <w:r w:rsidR="00A8364C" w:rsidRPr="006128F6">
        <w:rPr>
          <w:rFonts w:ascii="Arial" w:hAnsi="Arial" w:cs="Arial"/>
        </w:rPr>
        <w:t xml:space="preserve"> </w:t>
      </w:r>
      <w:r w:rsidR="00A8364C" w:rsidRPr="006128F6">
        <w:rPr>
          <w:rFonts w:ascii="Arial" w:hAnsi="Arial" w:cs="Arial"/>
          <w:lang w:val="pt-BR"/>
        </w:rPr>
        <w:t>[201</w:t>
      </w:r>
      <w:r w:rsidR="00912234" w:rsidRPr="006128F6">
        <w:rPr>
          <w:rFonts w:ascii="Arial" w:hAnsi="Arial" w:cs="Arial"/>
          <w:lang w:val="pt-BR"/>
        </w:rPr>
        <w:t>6</w:t>
      </w:r>
      <w:r w:rsidR="00A8364C" w:rsidRPr="006128F6">
        <w:rPr>
          <w:rFonts w:ascii="Arial" w:hAnsi="Arial" w:cs="Arial"/>
          <w:lang w:val="pt-BR"/>
        </w:rPr>
        <w:t xml:space="preserve">] ZASCA 5; </w:t>
      </w:r>
      <w:r w:rsidR="00A8364C" w:rsidRPr="006128F6">
        <w:rPr>
          <w:rFonts w:ascii="Arial" w:hAnsi="Arial" w:cs="Arial"/>
        </w:rPr>
        <w:t xml:space="preserve">2017 </w:t>
      </w:r>
      <w:r w:rsidR="00405496" w:rsidRPr="00EC4EF5">
        <w:rPr>
          <w:rFonts w:ascii="Arial" w:hAnsi="Arial" w:cs="Arial"/>
        </w:rPr>
        <w:t>(</w:t>
      </w:r>
      <w:r w:rsidR="00A8364C" w:rsidRPr="006128F6">
        <w:rPr>
          <w:rFonts w:ascii="Arial" w:hAnsi="Arial" w:cs="Arial"/>
        </w:rPr>
        <w:t>3</w:t>
      </w:r>
      <w:r w:rsidR="00405496" w:rsidRPr="00EC4EF5">
        <w:rPr>
          <w:rFonts w:ascii="Arial" w:hAnsi="Arial" w:cs="Arial"/>
        </w:rPr>
        <w:t>)</w:t>
      </w:r>
      <w:r w:rsidR="00A8364C" w:rsidRPr="00F75718">
        <w:rPr>
          <w:rFonts w:ascii="Arial" w:hAnsi="Arial" w:cs="Arial"/>
        </w:rPr>
        <w:t xml:space="preserve"> SA 371 (SCA) </w:t>
      </w:r>
      <w:r w:rsidR="00447597" w:rsidRPr="00F75718">
        <w:rPr>
          <w:rFonts w:ascii="Arial" w:hAnsi="Arial" w:cs="Arial"/>
        </w:rPr>
        <w:t>(</w:t>
      </w:r>
      <w:r w:rsidR="00447597" w:rsidRPr="00F75718">
        <w:rPr>
          <w:rFonts w:ascii="Arial" w:hAnsi="Arial" w:cs="Arial"/>
          <w:i/>
          <w:iCs/>
        </w:rPr>
        <w:t>REM v VM</w:t>
      </w:r>
      <w:r w:rsidR="00447597" w:rsidRPr="00F75718">
        <w:rPr>
          <w:rFonts w:ascii="Arial" w:hAnsi="Arial" w:cs="Arial"/>
        </w:rPr>
        <w:t>)</w:t>
      </w:r>
      <w:r w:rsidRPr="00F75718">
        <w:rPr>
          <w:rFonts w:ascii="Arial" w:hAnsi="Arial" w:cs="Arial"/>
        </w:rPr>
        <w:t>.</w:t>
      </w:r>
      <w:r w:rsidR="00447597" w:rsidRPr="00F75718">
        <w:rPr>
          <w:rFonts w:ascii="Arial" w:hAnsi="Arial" w:cs="Arial"/>
        </w:rPr>
        <w:t xml:space="preserve"> </w:t>
      </w:r>
      <w:r w:rsidR="00A149EF" w:rsidRPr="00F75718">
        <w:rPr>
          <w:rFonts w:ascii="Arial" w:hAnsi="Arial" w:cs="Arial"/>
        </w:rPr>
        <w:t xml:space="preserve">Although no reference was made </w:t>
      </w:r>
      <w:r w:rsidR="0077430D" w:rsidRPr="00F75718">
        <w:rPr>
          <w:rFonts w:ascii="Arial" w:hAnsi="Arial" w:cs="Arial"/>
        </w:rPr>
        <w:t xml:space="preserve">there </w:t>
      </w:r>
      <w:r w:rsidR="00A149EF" w:rsidRPr="00F75718">
        <w:rPr>
          <w:rFonts w:ascii="Arial" w:hAnsi="Arial" w:cs="Arial"/>
        </w:rPr>
        <w:t xml:space="preserve">to </w:t>
      </w:r>
      <w:r w:rsidR="00A8364C" w:rsidRPr="00F75718">
        <w:rPr>
          <w:rFonts w:ascii="Arial" w:hAnsi="Arial" w:cs="Arial"/>
          <w:i/>
          <w:iCs/>
        </w:rPr>
        <w:t>MM v JM</w:t>
      </w:r>
      <w:r w:rsidR="00A149EF" w:rsidRPr="00F75718">
        <w:rPr>
          <w:rFonts w:ascii="Arial" w:hAnsi="Arial" w:cs="Arial"/>
        </w:rPr>
        <w:t>, this Court</w:t>
      </w:r>
      <w:r w:rsidR="007B463D" w:rsidRPr="00F75718">
        <w:rPr>
          <w:rFonts w:ascii="Arial" w:hAnsi="Arial" w:cs="Arial"/>
        </w:rPr>
        <w:t xml:space="preserve">, </w:t>
      </w:r>
      <w:r w:rsidR="00CF272A" w:rsidRPr="00F75718">
        <w:rPr>
          <w:rFonts w:ascii="Arial" w:hAnsi="Arial" w:cs="Arial"/>
        </w:rPr>
        <w:t xml:space="preserve">in principle, recognised </w:t>
      </w:r>
      <w:r w:rsidR="00A149EF" w:rsidRPr="00EC4EF5">
        <w:rPr>
          <w:rFonts w:ascii="Arial" w:hAnsi="Arial" w:cs="Arial"/>
        </w:rPr>
        <w:t>t</w:t>
      </w:r>
      <w:r w:rsidR="00A149EF" w:rsidRPr="006128F6">
        <w:rPr>
          <w:rFonts w:ascii="Arial" w:hAnsi="Arial" w:cs="Arial"/>
        </w:rPr>
        <w:t>hat</w:t>
      </w:r>
      <w:r w:rsidR="00A149EF" w:rsidRPr="00F75718">
        <w:rPr>
          <w:rFonts w:ascii="Arial" w:hAnsi="Arial" w:cs="Arial"/>
        </w:rPr>
        <w:t xml:space="preserve"> trust assets </w:t>
      </w:r>
      <w:r w:rsidR="00405496" w:rsidRPr="00EC4EF5">
        <w:rPr>
          <w:rFonts w:ascii="Arial" w:hAnsi="Arial" w:cs="Arial"/>
        </w:rPr>
        <w:t>may</w:t>
      </w:r>
      <w:r w:rsidR="00405496" w:rsidRPr="00F75718">
        <w:rPr>
          <w:rFonts w:ascii="Arial" w:hAnsi="Arial" w:cs="Arial"/>
        </w:rPr>
        <w:t xml:space="preserve"> </w:t>
      </w:r>
      <w:r w:rsidR="00A149EF" w:rsidRPr="00F75718">
        <w:rPr>
          <w:rFonts w:ascii="Arial" w:hAnsi="Arial" w:cs="Arial"/>
        </w:rPr>
        <w:t>be used to calculate the accrual of a trustee or founder spouse</w:t>
      </w:r>
      <w:r w:rsidR="00A149EF" w:rsidRPr="006128F6">
        <w:rPr>
          <w:rFonts w:ascii="Arial" w:hAnsi="Arial" w:cs="Arial"/>
        </w:rPr>
        <w:t>’</w:t>
      </w:r>
      <w:r w:rsidR="00405496" w:rsidRPr="00EC4EF5">
        <w:rPr>
          <w:rFonts w:ascii="Arial" w:hAnsi="Arial" w:cs="Arial"/>
        </w:rPr>
        <w:t>s</w:t>
      </w:r>
      <w:r w:rsidR="00A149EF" w:rsidRPr="00F75718">
        <w:rPr>
          <w:rFonts w:ascii="Arial" w:hAnsi="Arial" w:cs="Arial"/>
        </w:rPr>
        <w:t xml:space="preserve"> estate</w:t>
      </w:r>
      <w:r w:rsidR="00447E30" w:rsidRPr="00F75718">
        <w:rPr>
          <w:rFonts w:ascii="Arial" w:hAnsi="Arial" w:cs="Arial"/>
        </w:rPr>
        <w:t xml:space="preserve"> </w:t>
      </w:r>
      <w:r w:rsidR="00CF272A" w:rsidRPr="00F75718">
        <w:rPr>
          <w:rFonts w:ascii="Arial" w:hAnsi="Arial" w:cs="Arial"/>
        </w:rPr>
        <w:t>on the basis tha</w:t>
      </w:r>
      <w:r w:rsidR="003164A4" w:rsidRPr="00F75718">
        <w:rPr>
          <w:rFonts w:ascii="Arial" w:hAnsi="Arial" w:cs="Arial"/>
        </w:rPr>
        <w:t>t</w:t>
      </w:r>
      <w:r w:rsidR="00CF272A" w:rsidRPr="00F75718">
        <w:rPr>
          <w:rFonts w:ascii="Arial" w:hAnsi="Arial" w:cs="Arial"/>
        </w:rPr>
        <w:t xml:space="preserve"> the trust form had been abused to prejudice </w:t>
      </w:r>
      <w:r w:rsidR="00405496" w:rsidRPr="00EC4EF5">
        <w:rPr>
          <w:rFonts w:ascii="Arial" w:hAnsi="Arial" w:cs="Arial"/>
        </w:rPr>
        <w:t>the other spouse’s</w:t>
      </w:r>
      <w:r w:rsidR="00405496" w:rsidRPr="00F75718">
        <w:rPr>
          <w:rFonts w:ascii="Arial" w:hAnsi="Arial" w:cs="Arial"/>
        </w:rPr>
        <w:t xml:space="preserve"> </w:t>
      </w:r>
      <w:r w:rsidR="00CF272A" w:rsidRPr="00F75718">
        <w:rPr>
          <w:rFonts w:ascii="Arial" w:hAnsi="Arial" w:cs="Arial"/>
        </w:rPr>
        <w:t>accrual claim</w:t>
      </w:r>
      <w:r w:rsidR="007B463D" w:rsidRPr="00F75718">
        <w:rPr>
          <w:rFonts w:ascii="Arial" w:hAnsi="Arial" w:cs="Arial"/>
        </w:rPr>
        <w:t>.</w:t>
      </w:r>
      <w:r w:rsidR="007B463D" w:rsidRPr="00837116">
        <w:rPr>
          <w:rStyle w:val="FootnoteReference"/>
          <w:rFonts w:ascii="Arial" w:hAnsi="Arial" w:cs="Arial"/>
        </w:rPr>
        <w:footnoteReference w:id="25"/>
      </w:r>
      <w:r w:rsidR="007B463D" w:rsidRPr="00F75718">
        <w:rPr>
          <w:rFonts w:ascii="Arial" w:hAnsi="Arial" w:cs="Arial"/>
        </w:rPr>
        <w:t xml:space="preserve"> </w:t>
      </w:r>
      <w:r w:rsidR="007934D8" w:rsidRPr="00F75718">
        <w:rPr>
          <w:rFonts w:ascii="Arial" w:hAnsi="Arial" w:cs="Arial"/>
        </w:rPr>
        <w:t xml:space="preserve">In the process, </w:t>
      </w:r>
      <w:r w:rsidR="00960715" w:rsidRPr="00F75718">
        <w:rPr>
          <w:rFonts w:ascii="Arial" w:hAnsi="Arial" w:cs="Arial"/>
        </w:rPr>
        <w:t>th</w:t>
      </w:r>
      <w:r w:rsidR="007B463D" w:rsidRPr="00F75718">
        <w:rPr>
          <w:rFonts w:ascii="Arial" w:hAnsi="Arial" w:cs="Arial"/>
        </w:rPr>
        <w:t>e</w:t>
      </w:r>
      <w:r w:rsidR="00960715" w:rsidRPr="00F75718">
        <w:rPr>
          <w:rFonts w:ascii="Arial" w:hAnsi="Arial" w:cs="Arial"/>
        </w:rPr>
        <w:t xml:space="preserve"> </w:t>
      </w:r>
      <w:r w:rsidR="007B463D" w:rsidRPr="00F75718">
        <w:rPr>
          <w:rFonts w:ascii="Arial" w:hAnsi="Arial" w:cs="Arial"/>
        </w:rPr>
        <w:t>c</w:t>
      </w:r>
      <w:r w:rsidR="00960715" w:rsidRPr="00F75718">
        <w:rPr>
          <w:rFonts w:ascii="Arial" w:hAnsi="Arial" w:cs="Arial"/>
        </w:rPr>
        <w:t xml:space="preserve">ourt </w:t>
      </w:r>
      <w:r w:rsidR="007B463D" w:rsidRPr="006128F6">
        <w:rPr>
          <w:rFonts w:ascii="Arial" w:hAnsi="Arial" w:cs="Arial"/>
        </w:rPr>
        <w:t>disapproved</w:t>
      </w:r>
      <w:r w:rsidR="00960715" w:rsidRPr="006128F6">
        <w:rPr>
          <w:rFonts w:ascii="Arial" w:hAnsi="Arial" w:cs="Arial"/>
        </w:rPr>
        <w:t xml:space="preserve"> </w:t>
      </w:r>
      <w:r w:rsidR="00A03E9A" w:rsidRPr="00EC4EF5">
        <w:rPr>
          <w:rFonts w:ascii="Arial" w:hAnsi="Arial" w:cs="Arial"/>
        </w:rPr>
        <w:t>of</w:t>
      </w:r>
      <w:r w:rsidR="00A03E9A" w:rsidRPr="00F75718">
        <w:rPr>
          <w:rFonts w:ascii="Arial" w:hAnsi="Arial" w:cs="Arial"/>
        </w:rPr>
        <w:t xml:space="preserve"> </w:t>
      </w:r>
      <w:r w:rsidR="00960715" w:rsidRPr="00F75718">
        <w:rPr>
          <w:rFonts w:ascii="Arial" w:hAnsi="Arial" w:cs="Arial"/>
        </w:rPr>
        <w:t xml:space="preserve">a finding </w:t>
      </w:r>
      <w:r w:rsidR="007934D8" w:rsidRPr="006E05EE">
        <w:rPr>
          <w:rFonts w:ascii="Arial" w:hAnsi="Arial" w:cs="Arial"/>
        </w:rPr>
        <w:t>made</w:t>
      </w:r>
      <w:r w:rsidR="007934D8" w:rsidRPr="00F75718">
        <w:rPr>
          <w:rFonts w:ascii="Arial" w:hAnsi="Arial" w:cs="Arial"/>
        </w:rPr>
        <w:t xml:space="preserve"> in </w:t>
      </w:r>
      <w:r w:rsidR="00960715" w:rsidRPr="00F75718">
        <w:rPr>
          <w:rFonts w:ascii="Arial" w:hAnsi="Arial" w:cs="Arial"/>
          <w:i/>
          <w:iCs/>
        </w:rPr>
        <w:t>WT v KT</w:t>
      </w:r>
      <w:r w:rsidR="00960715" w:rsidRPr="00F75718">
        <w:rPr>
          <w:rFonts w:ascii="Arial" w:hAnsi="Arial" w:cs="Arial"/>
        </w:rPr>
        <w:t xml:space="preserve"> that</w:t>
      </w:r>
      <w:r w:rsidR="007934D8" w:rsidRPr="00F75718">
        <w:rPr>
          <w:rFonts w:ascii="Arial" w:hAnsi="Arial" w:cs="Arial"/>
          <w:shd w:val="clear" w:color="auto" w:fill="FFFFFF"/>
        </w:rPr>
        <w:t xml:space="preserve"> an aggrieved spouse, who was neither a beneficiary of the trust, nor a third party who had transacted with it, had no standing to impugn the management of a trust because no fiduciary duty was owed to such a spouse.</w:t>
      </w:r>
      <w:r w:rsidR="006629BC" w:rsidRPr="00837116">
        <w:rPr>
          <w:rStyle w:val="FootnoteReference"/>
          <w:rFonts w:ascii="Arial" w:hAnsi="Arial" w:cs="Arial"/>
          <w:shd w:val="clear" w:color="auto" w:fill="FFFFFF"/>
        </w:rPr>
        <w:footnoteReference w:id="26"/>
      </w:r>
    </w:p>
    <w:p w14:paraId="28964566" w14:textId="785239BC" w:rsidR="00CC0760" w:rsidRPr="00E02569"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4E8F9C27" w14:textId="5351C74E" w:rsidR="002A3F1B" w:rsidRPr="008D2D2C" w:rsidRDefault="007D0E91" w:rsidP="008D2D2C">
      <w:pPr>
        <w:pStyle w:val="MEMONUMBERED"/>
        <w:numPr>
          <w:ilvl w:val="0"/>
          <w:numId w:val="2"/>
        </w:numPr>
        <w:kinsoku w:val="0"/>
        <w:overflowPunct w:val="0"/>
        <w:autoSpaceDE w:val="0"/>
        <w:autoSpaceDN w:val="0"/>
        <w:adjustRightInd w:val="0"/>
        <w:spacing w:line="360" w:lineRule="auto"/>
        <w:ind w:left="0" w:right="-7" w:firstLine="0"/>
        <w:rPr>
          <w:rFonts w:ascii="Arial" w:hAnsi="Arial" w:cs="Arial"/>
          <w:lang w:val="en-ZA"/>
        </w:rPr>
      </w:pPr>
      <w:r w:rsidRPr="00837116">
        <w:rPr>
          <w:rFonts w:ascii="Arial" w:hAnsi="Arial" w:cs="Arial"/>
          <w:bCs/>
        </w:rPr>
        <w:t xml:space="preserve">The test whether trust </w:t>
      </w:r>
      <w:r w:rsidR="00CA0541" w:rsidRPr="00837116">
        <w:rPr>
          <w:rFonts w:ascii="Arial" w:hAnsi="Arial" w:cs="Arial"/>
          <w:bCs/>
        </w:rPr>
        <w:t xml:space="preserve">assets </w:t>
      </w:r>
      <w:r w:rsidRPr="00837116">
        <w:rPr>
          <w:rFonts w:ascii="Arial" w:hAnsi="Arial" w:cs="Arial"/>
          <w:bCs/>
        </w:rPr>
        <w:t xml:space="preserve">should </w:t>
      </w:r>
      <w:r w:rsidR="00CA0541" w:rsidRPr="00837116">
        <w:rPr>
          <w:rFonts w:ascii="Arial" w:hAnsi="Arial" w:cs="Arial"/>
          <w:bCs/>
        </w:rPr>
        <w:t xml:space="preserve">be taken into account </w:t>
      </w:r>
      <w:r w:rsidR="002A3F1B" w:rsidRPr="00837116">
        <w:rPr>
          <w:rFonts w:ascii="Arial" w:hAnsi="Arial" w:cs="Arial"/>
          <w:bCs/>
        </w:rPr>
        <w:t>when determining the</w:t>
      </w:r>
      <w:r w:rsidR="002A3F1B" w:rsidRPr="00837116">
        <w:rPr>
          <w:rFonts w:ascii="Arial" w:hAnsi="Arial" w:cs="Arial"/>
        </w:rPr>
        <w:t xml:space="preserve"> patrimonial consequences of a marriage</w:t>
      </w:r>
      <w:r w:rsidRPr="00837116">
        <w:rPr>
          <w:rFonts w:ascii="Arial" w:hAnsi="Arial" w:cs="Arial"/>
        </w:rPr>
        <w:t xml:space="preserve"> was enunciated by this Court</w:t>
      </w:r>
      <w:r w:rsidR="002A3F1B" w:rsidRPr="00837116">
        <w:rPr>
          <w:rFonts w:ascii="Arial" w:hAnsi="Arial" w:cs="Arial"/>
        </w:rPr>
        <w:t xml:space="preserve"> </w:t>
      </w:r>
      <w:r w:rsidRPr="00837116">
        <w:rPr>
          <w:rFonts w:ascii="Arial" w:hAnsi="Arial" w:cs="Arial"/>
          <w:bCs/>
        </w:rPr>
        <w:t>i</w:t>
      </w:r>
      <w:r w:rsidR="002A3F1B" w:rsidRPr="00837116">
        <w:rPr>
          <w:rFonts w:ascii="Arial" w:hAnsi="Arial" w:cs="Arial"/>
          <w:bCs/>
        </w:rPr>
        <w:t xml:space="preserve">n </w:t>
      </w:r>
      <w:r w:rsidR="002A3F1B" w:rsidRPr="00837116">
        <w:rPr>
          <w:rFonts w:ascii="Arial" w:hAnsi="Arial" w:cs="Arial"/>
          <w:i/>
          <w:iCs/>
        </w:rPr>
        <w:t>Badenhorst v Badenhorst</w:t>
      </w:r>
      <w:r w:rsidR="002A3F1B" w:rsidRPr="00837116">
        <w:rPr>
          <w:rFonts w:ascii="Arial" w:hAnsi="Arial" w:cs="Arial"/>
        </w:rPr>
        <w:t xml:space="preserve"> </w:t>
      </w:r>
      <w:r w:rsidR="00A03E9A" w:rsidRPr="00EC4EF5">
        <w:rPr>
          <w:rFonts w:ascii="Arial" w:hAnsi="Arial" w:cs="Arial"/>
          <w:lang w:val="en-ZA"/>
        </w:rPr>
        <w:t>[2005] ZASCA 116;</w:t>
      </w:r>
      <w:r w:rsidR="00A03E9A" w:rsidRPr="00A03E9A">
        <w:rPr>
          <w:rFonts w:ascii="Arial" w:hAnsi="Arial" w:cs="Arial"/>
          <w:lang w:val="en-ZA"/>
        </w:rPr>
        <w:t xml:space="preserve"> </w:t>
      </w:r>
      <w:r w:rsidR="002A3F1B" w:rsidRPr="00A03E9A">
        <w:rPr>
          <w:rFonts w:ascii="Arial" w:hAnsi="Arial" w:cs="Arial"/>
        </w:rPr>
        <w:t>2006 (2) SA 255 (SCA)</w:t>
      </w:r>
      <w:r w:rsidRPr="00A03E9A">
        <w:rPr>
          <w:rFonts w:ascii="Arial" w:hAnsi="Arial" w:cs="Arial"/>
        </w:rPr>
        <w:t xml:space="preserve"> para 9</w:t>
      </w:r>
      <w:r w:rsidR="00A03E9A" w:rsidRPr="00EC4EF5">
        <w:rPr>
          <w:rFonts w:ascii="Arial" w:hAnsi="Arial" w:cs="Arial"/>
        </w:rPr>
        <w:t>,</w:t>
      </w:r>
      <w:r w:rsidR="002A3F1B" w:rsidRPr="00A03E9A">
        <w:rPr>
          <w:rFonts w:ascii="Arial" w:hAnsi="Arial" w:cs="Arial"/>
        </w:rPr>
        <w:t xml:space="preserve"> </w:t>
      </w:r>
      <w:r w:rsidRPr="00A03E9A">
        <w:rPr>
          <w:rFonts w:ascii="Arial" w:hAnsi="Arial" w:cs="Arial"/>
        </w:rPr>
        <w:t xml:space="preserve">as </w:t>
      </w:r>
      <w:r w:rsidR="002A3F1B" w:rsidRPr="00A03E9A">
        <w:rPr>
          <w:rFonts w:ascii="Arial" w:hAnsi="Arial" w:cs="Arial"/>
        </w:rPr>
        <w:t>follow</w:t>
      </w:r>
      <w:r w:rsidRPr="00A03E9A">
        <w:rPr>
          <w:rFonts w:ascii="Arial" w:hAnsi="Arial" w:cs="Arial"/>
        </w:rPr>
        <w:t>s</w:t>
      </w:r>
      <w:r w:rsidR="002A3F1B" w:rsidRPr="00A03E9A">
        <w:rPr>
          <w:rFonts w:ascii="Arial" w:hAnsi="Arial" w:cs="Arial"/>
        </w:rPr>
        <w:t xml:space="preserve">: </w:t>
      </w:r>
    </w:p>
    <w:p w14:paraId="766675C2" w14:textId="14D0B93E" w:rsidR="002A3F1B" w:rsidRPr="005E0169" w:rsidRDefault="002A3F1B" w:rsidP="00CC0760">
      <w:pPr>
        <w:pStyle w:val="MEMONUMBERED"/>
        <w:kinsoku w:val="0"/>
        <w:overflowPunct w:val="0"/>
        <w:autoSpaceDE w:val="0"/>
        <w:autoSpaceDN w:val="0"/>
        <w:adjustRightInd w:val="0"/>
        <w:spacing w:line="360" w:lineRule="auto"/>
        <w:ind w:right="-7"/>
        <w:rPr>
          <w:rFonts w:ascii="Arial" w:hAnsi="Arial" w:cs="Arial"/>
          <w:sz w:val="22"/>
          <w:szCs w:val="22"/>
        </w:rPr>
      </w:pPr>
      <w:r w:rsidRPr="005E0169">
        <w:rPr>
          <w:rFonts w:ascii="Arial" w:hAnsi="Arial" w:cs="Arial"/>
          <w:bCs/>
          <w:sz w:val="22"/>
          <w:szCs w:val="22"/>
        </w:rPr>
        <w:t>‘</w:t>
      </w:r>
      <w:r w:rsidR="00A03E9A">
        <w:rPr>
          <w:rFonts w:ascii="Arial" w:hAnsi="Arial" w:cs="Arial"/>
          <w:bCs/>
          <w:sz w:val="22"/>
          <w:szCs w:val="22"/>
        </w:rPr>
        <w:t xml:space="preserve">. . . </w:t>
      </w:r>
      <w:r w:rsidRPr="005E0169">
        <w:rPr>
          <w:rFonts w:ascii="Arial" w:hAnsi="Arial" w:cs="Arial"/>
          <w:sz w:val="22"/>
          <w:szCs w:val="22"/>
        </w:rPr>
        <w:t xml:space="preserve">To succeed in a claim that </w:t>
      </w:r>
      <w:bookmarkStart w:id="28" w:name="_Hlk104759524"/>
      <w:r w:rsidRPr="005E0169">
        <w:rPr>
          <w:rFonts w:ascii="Arial" w:hAnsi="Arial" w:cs="Arial"/>
          <w:sz w:val="22"/>
          <w:szCs w:val="22"/>
        </w:rPr>
        <w:t xml:space="preserve">trust assets be included in the estate of one of the parties </w:t>
      </w:r>
      <w:bookmarkEnd w:id="28"/>
      <w:r w:rsidRPr="005E0169">
        <w:rPr>
          <w:rFonts w:ascii="Arial" w:hAnsi="Arial" w:cs="Arial"/>
          <w:sz w:val="22"/>
          <w:szCs w:val="22"/>
        </w:rPr>
        <w:t xml:space="preserve">to a marriage there needs to be evidence that such party controlled the trust and but for the trust would have acquired and owned the assets in his own name. Control must be </w:t>
      </w:r>
      <w:r w:rsidRPr="008D2D2C">
        <w:rPr>
          <w:rFonts w:ascii="Arial" w:hAnsi="Arial" w:cs="Arial"/>
          <w:i/>
          <w:sz w:val="22"/>
          <w:szCs w:val="22"/>
        </w:rPr>
        <w:t>de facto</w:t>
      </w:r>
      <w:r w:rsidRPr="005E0169">
        <w:rPr>
          <w:rFonts w:ascii="Arial" w:hAnsi="Arial" w:cs="Arial"/>
          <w:sz w:val="22"/>
          <w:szCs w:val="22"/>
        </w:rPr>
        <w:t xml:space="preserve"> and </w:t>
      </w:r>
      <w:r w:rsidRPr="005E0169">
        <w:rPr>
          <w:rFonts w:ascii="Arial" w:hAnsi="Arial" w:cs="Arial"/>
          <w:sz w:val="22"/>
          <w:szCs w:val="22"/>
        </w:rPr>
        <w:lastRenderedPageBreak/>
        <w:t xml:space="preserve">not necessarily </w:t>
      </w:r>
      <w:r w:rsidRPr="008D2D2C">
        <w:rPr>
          <w:rFonts w:ascii="Arial" w:hAnsi="Arial" w:cs="Arial"/>
          <w:i/>
          <w:sz w:val="22"/>
          <w:szCs w:val="22"/>
        </w:rPr>
        <w:t>de iure</w:t>
      </w:r>
      <w:r w:rsidRPr="005E0169">
        <w:rPr>
          <w:rFonts w:ascii="Arial" w:hAnsi="Arial" w:cs="Arial"/>
          <w:sz w:val="22"/>
          <w:szCs w:val="22"/>
        </w:rPr>
        <w:t xml:space="preserve">. A nominee of a sole shareholder may have </w:t>
      </w:r>
      <w:r w:rsidRPr="008D2D2C">
        <w:rPr>
          <w:rFonts w:ascii="Arial" w:hAnsi="Arial" w:cs="Arial"/>
          <w:i/>
          <w:sz w:val="22"/>
          <w:szCs w:val="22"/>
        </w:rPr>
        <w:t>de iure</w:t>
      </w:r>
      <w:r w:rsidRPr="005E0169">
        <w:rPr>
          <w:rFonts w:ascii="Arial" w:hAnsi="Arial" w:cs="Arial"/>
          <w:sz w:val="22"/>
          <w:szCs w:val="22"/>
        </w:rPr>
        <w:t xml:space="preserve"> control of the affairs of the company but the </w:t>
      </w:r>
      <w:r w:rsidRPr="008D2D2C">
        <w:rPr>
          <w:rFonts w:ascii="Arial" w:hAnsi="Arial" w:cs="Arial"/>
          <w:i/>
          <w:sz w:val="22"/>
          <w:szCs w:val="22"/>
        </w:rPr>
        <w:t>de facto</w:t>
      </w:r>
      <w:r w:rsidRPr="005E0169">
        <w:rPr>
          <w:rFonts w:ascii="Arial" w:hAnsi="Arial" w:cs="Arial"/>
          <w:sz w:val="22"/>
          <w:szCs w:val="22"/>
        </w:rPr>
        <w:t xml:space="preserve"> control rests with the shareholder. </w:t>
      </w:r>
      <w:r w:rsidRPr="008D2D2C">
        <w:rPr>
          <w:rFonts w:ascii="Arial" w:hAnsi="Arial" w:cs="Arial"/>
          <w:i/>
          <w:sz w:val="22"/>
          <w:szCs w:val="22"/>
        </w:rPr>
        <w:t>De iure</w:t>
      </w:r>
      <w:r w:rsidRPr="005E0169">
        <w:rPr>
          <w:rFonts w:ascii="Arial" w:hAnsi="Arial" w:cs="Arial"/>
          <w:sz w:val="22"/>
          <w:szCs w:val="22"/>
        </w:rPr>
        <w:t xml:space="preserve"> control of a trust is in the hands of the trustees but very often the founder in business or family trusts appoints close relatives or friends </w:t>
      </w:r>
      <w:bookmarkStart w:id="29" w:name="_Hlk104945751"/>
      <w:r w:rsidRPr="005E0169">
        <w:rPr>
          <w:rFonts w:ascii="Arial" w:hAnsi="Arial" w:cs="Arial"/>
          <w:sz w:val="22"/>
          <w:szCs w:val="22"/>
        </w:rPr>
        <w:t xml:space="preserve">who are either supine or do the bidding of their appointer. </w:t>
      </w:r>
      <w:bookmarkEnd w:id="29"/>
      <w:r w:rsidRPr="008D2D2C">
        <w:rPr>
          <w:rFonts w:ascii="Arial" w:hAnsi="Arial" w:cs="Arial"/>
          <w:i/>
          <w:sz w:val="22"/>
          <w:szCs w:val="22"/>
        </w:rPr>
        <w:t>De facto</w:t>
      </w:r>
      <w:r w:rsidRPr="005E0169">
        <w:rPr>
          <w:rFonts w:ascii="Arial" w:hAnsi="Arial" w:cs="Arial"/>
          <w:sz w:val="22"/>
          <w:szCs w:val="22"/>
        </w:rPr>
        <w:t xml:space="preserve"> the founder controls the trust. To determine whether a party has such control it is necessary to </w:t>
      </w:r>
      <w:bookmarkStart w:id="30" w:name="_Hlk104945853"/>
      <w:r w:rsidRPr="005E0169">
        <w:rPr>
          <w:rFonts w:ascii="Arial" w:hAnsi="Arial" w:cs="Arial"/>
          <w:sz w:val="22"/>
          <w:szCs w:val="22"/>
        </w:rPr>
        <w:t>first have regard to the terms of the trust deed, and secondly to consider the evidence of how the affairs of the trust were conducted during the marriage</w:t>
      </w:r>
      <w:r w:rsidR="00A03E9A">
        <w:rPr>
          <w:rFonts w:ascii="Arial" w:hAnsi="Arial" w:cs="Arial"/>
          <w:sz w:val="22"/>
          <w:szCs w:val="22"/>
        </w:rPr>
        <w:t>.</w:t>
      </w:r>
      <w:r w:rsidRPr="005E0169">
        <w:rPr>
          <w:rFonts w:ascii="Arial" w:hAnsi="Arial" w:cs="Arial"/>
          <w:sz w:val="22"/>
          <w:szCs w:val="22"/>
        </w:rPr>
        <w:t>’</w:t>
      </w:r>
    </w:p>
    <w:bookmarkEnd w:id="30"/>
    <w:p w14:paraId="72AAA315" w14:textId="77777777" w:rsidR="00796307" w:rsidRPr="00837116" w:rsidRDefault="00796307" w:rsidP="00796307">
      <w:pPr>
        <w:pStyle w:val="MEMONUMBERED"/>
        <w:kinsoku w:val="0"/>
        <w:overflowPunct w:val="0"/>
        <w:autoSpaceDE w:val="0"/>
        <w:autoSpaceDN w:val="0"/>
        <w:adjustRightInd w:val="0"/>
        <w:spacing w:line="360" w:lineRule="auto"/>
        <w:ind w:right="-7"/>
        <w:rPr>
          <w:rFonts w:ascii="Arial" w:hAnsi="Arial" w:cs="Arial"/>
          <w:bCs/>
        </w:rPr>
      </w:pPr>
    </w:p>
    <w:p w14:paraId="5D84DF63" w14:textId="4CAF098D" w:rsidR="00796307" w:rsidRPr="00097551" w:rsidRDefault="00796307" w:rsidP="00796307">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097551">
        <w:rPr>
          <w:rFonts w:ascii="Arial" w:hAnsi="Arial" w:cs="Arial"/>
          <w:bCs/>
          <w:i/>
          <w:iCs/>
        </w:rPr>
        <w:t>Badenhorst</w:t>
      </w:r>
      <w:r w:rsidRPr="00097551">
        <w:rPr>
          <w:rFonts w:ascii="Arial" w:hAnsi="Arial" w:cs="Arial"/>
          <w:bCs/>
        </w:rPr>
        <w:t xml:space="preserve"> concerned </w:t>
      </w:r>
      <w:r w:rsidRPr="00097551">
        <w:rPr>
          <w:rFonts w:ascii="Arial" w:hAnsi="Arial" w:cs="Arial"/>
        </w:rPr>
        <w:t>a redistribution order in terms of s 7(3) of the Divorce Act. The question is whether this test is limited to marriages subject to s 7(3) and thus excludes marriages subject to the accrual system. To my mind, there is no reason to confine this broad test in that way. I align myself with the view that the test is applicable to, among others, marriages subject to an accrual system.</w:t>
      </w:r>
      <w:r w:rsidRPr="00097551">
        <w:rPr>
          <w:rStyle w:val="FootnoteReference"/>
          <w:rFonts w:ascii="Arial" w:hAnsi="Arial" w:cs="Arial"/>
        </w:rPr>
        <w:footnoteReference w:id="27"/>
      </w:r>
      <w:r w:rsidRPr="00097551">
        <w:rPr>
          <w:rFonts w:ascii="Arial" w:hAnsi="Arial" w:cs="Arial"/>
        </w:rPr>
        <w:t xml:space="preserve"> Both the redistribution order in terms of s 7(3) of the Divorce Act and the accrual system in terms of s 3 of the MPA, have as their objective, equitable and fair patrimonial consequences of a marriage. </w:t>
      </w:r>
    </w:p>
    <w:p w14:paraId="47DEBCEC" w14:textId="77777777" w:rsidR="00796307" w:rsidRPr="00097551" w:rsidRDefault="00796307" w:rsidP="009C627F">
      <w:pPr>
        <w:pStyle w:val="MEMONUMBERED"/>
        <w:kinsoku w:val="0"/>
        <w:overflowPunct w:val="0"/>
        <w:autoSpaceDE w:val="0"/>
        <w:autoSpaceDN w:val="0"/>
        <w:adjustRightInd w:val="0"/>
        <w:spacing w:line="360" w:lineRule="auto"/>
        <w:ind w:right="-7"/>
        <w:rPr>
          <w:rFonts w:ascii="Arial" w:hAnsi="Arial" w:cs="Arial"/>
          <w:bCs/>
        </w:rPr>
      </w:pPr>
    </w:p>
    <w:p w14:paraId="6E1F871A" w14:textId="54C8253F" w:rsidR="00780825" w:rsidRPr="00097551" w:rsidRDefault="002A3F1B"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097551">
        <w:rPr>
          <w:rFonts w:ascii="Arial" w:hAnsi="Arial" w:cs="Arial"/>
          <w:bCs/>
        </w:rPr>
        <w:t xml:space="preserve">On the unique facts of the present case, the </w:t>
      </w:r>
      <w:r w:rsidR="001A1EA5" w:rsidRPr="00097551">
        <w:rPr>
          <w:rFonts w:ascii="Arial" w:hAnsi="Arial" w:cs="Arial"/>
          <w:bCs/>
          <w:i/>
          <w:iCs/>
        </w:rPr>
        <w:t>Badenhorst</w:t>
      </w:r>
      <w:r w:rsidR="001A1EA5">
        <w:rPr>
          <w:rFonts w:ascii="Arial" w:hAnsi="Arial" w:cs="Arial"/>
          <w:bCs/>
        </w:rPr>
        <w:t xml:space="preserve"> </w:t>
      </w:r>
      <w:r w:rsidRPr="00837116">
        <w:rPr>
          <w:rFonts w:ascii="Arial" w:hAnsi="Arial" w:cs="Arial"/>
          <w:bCs/>
        </w:rPr>
        <w:t>‘control test’ does not find application</w:t>
      </w:r>
      <w:r w:rsidR="00EF7D85" w:rsidRPr="00EC4EF5">
        <w:rPr>
          <w:rFonts w:ascii="Arial" w:hAnsi="Arial" w:cs="Arial"/>
          <w:bCs/>
        </w:rPr>
        <w:t>. This is</w:t>
      </w:r>
      <w:r w:rsidRPr="006128F6">
        <w:rPr>
          <w:rFonts w:ascii="Arial" w:hAnsi="Arial" w:cs="Arial"/>
          <w:bCs/>
        </w:rPr>
        <w:t xml:space="preserve"> because: the applicant does not seem </w:t>
      </w:r>
      <w:r w:rsidR="00EF7D85" w:rsidRPr="00EC4EF5">
        <w:rPr>
          <w:rFonts w:ascii="Arial" w:hAnsi="Arial" w:cs="Arial"/>
          <w:bCs/>
        </w:rPr>
        <w:t>to</w:t>
      </w:r>
      <w:r w:rsidR="00EF7D85" w:rsidRPr="006128F6">
        <w:rPr>
          <w:rFonts w:ascii="Arial" w:hAnsi="Arial" w:cs="Arial"/>
          <w:bCs/>
        </w:rPr>
        <w:t xml:space="preserve"> </w:t>
      </w:r>
      <w:r w:rsidRPr="006128F6">
        <w:rPr>
          <w:rFonts w:ascii="Arial" w:hAnsi="Arial" w:cs="Arial"/>
          <w:bCs/>
        </w:rPr>
        <w:t xml:space="preserve">have either the </w:t>
      </w:r>
      <w:r w:rsidRPr="006128F6">
        <w:rPr>
          <w:rFonts w:ascii="Arial" w:hAnsi="Arial" w:cs="Arial"/>
          <w:bCs/>
          <w:i/>
          <w:iCs/>
        </w:rPr>
        <w:t>de jure</w:t>
      </w:r>
      <w:r w:rsidRPr="006128F6">
        <w:rPr>
          <w:rFonts w:ascii="Arial" w:hAnsi="Arial" w:cs="Arial"/>
          <w:bCs/>
        </w:rPr>
        <w:t xml:space="preserve"> or the </w:t>
      </w:r>
      <w:r w:rsidRPr="006128F6">
        <w:rPr>
          <w:rFonts w:ascii="Arial" w:hAnsi="Arial" w:cs="Arial"/>
          <w:bCs/>
          <w:i/>
          <w:iCs/>
        </w:rPr>
        <w:t>de facto</w:t>
      </w:r>
      <w:r w:rsidRPr="006128F6">
        <w:rPr>
          <w:rFonts w:ascii="Arial" w:hAnsi="Arial" w:cs="Arial"/>
          <w:bCs/>
        </w:rPr>
        <w:t xml:space="preserve"> control of the trust; there is no evidence that the applicant’s brother is ‘</w:t>
      </w:r>
      <w:r w:rsidRPr="006128F6">
        <w:rPr>
          <w:rFonts w:ascii="Arial" w:hAnsi="Arial" w:cs="Arial"/>
        </w:rPr>
        <w:t>either supine or do[es] the bidding of’ the applicant; there is no ‘</w:t>
      </w:r>
      <w:r w:rsidRPr="00EC4EF5">
        <w:rPr>
          <w:rFonts w:ascii="Arial" w:hAnsi="Arial" w:cs="Arial"/>
        </w:rPr>
        <w:t>e</w:t>
      </w:r>
      <w:r w:rsidRPr="006128F6">
        <w:rPr>
          <w:rFonts w:ascii="Arial" w:hAnsi="Arial" w:cs="Arial"/>
        </w:rPr>
        <w:t>vidence of how the affairs of the trust were conducted during the marriage</w:t>
      </w:r>
      <w:r w:rsidR="00EF7D85" w:rsidRPr="00EC4EF5">
        <w:rPr>
          <w:rFonts w:ascii="Arial" w:hAnsi="Arial" w:cs="Arial"/>
        </w:rPr>
        <w:t>’</w:t>
      </w:r>
      <w:r w:rsidRPr="00EC4EF5">
        <w:rPr>
          <w:rFonts w:ascii="Arial" w:hAnsi="Arial" w:cs="Arial"/>
        </w:rPr>
        <w:t>,</w:t>
      </w:r>
      <w:r w:rsidRPr="00837116">
        <w:rPr>
          <w:rFonts w:ascii="Arial" w:hAnsi="Arial" w:cs="Arial"/>
        </w:rPr>
        <w:t xml:space="preserve"> as the trust was established shortly before the trial commenced; and there is nothing in the terms of the trust deed that points to possible gain or control of the trust by the applicant. </w:t>
      </w:r>
      <w:r w:rsidR="00FC4CDA" w:rsidRPr="00837116">
        <w:rPr>
          <w:rFonts w:ascii="Arial" w:hAnsi="Arial" w:cs="Arial"/>
        </w:rPr>
        <w:t>However,</w:t>
      </w:r>
      <w:r w:rsidRPr="00837116">
        <w:rPr>
          <w:rFonts w:ascii="Arial" w:hAnsi="Arial" w:cs="Arial"/>
        </w:rPr>
        <w:t xml:space="preserve"> th</w:t>
      </w:r>
      <w:r w:rsidR="00FC4CDA" w:rsidRPr="00837116">
        <w:rPr>
          <w:rFonts w:ascii="Arial" w:hAnsi="Arial" w:cs="Arial"/>
        </w:rPr>
        <w:t>at</w:t>
      </w:r>
      <w:r w:rsidRPr="00837116">
        <w:rPr>
          <w:rFonts w:ascii="Arial" w:hAnsi="Arial" w:cs="Arial"/>
        </w:rPr>
        <w:t xml:space="preserve"> is not decisive. </w:t>
      </w:r>
      <w:r w:rsidR="00FC4CDA" w:rsidRPr="00837116">
        <w:rPr>
          <w:rFonts w:ascii="Arial" w:hAnsi="Arial" w:cs="Arial"/>
        </w:rPr>
        <w:t xml:space="preserve">As explained earlier, </w:t>
      </w:r>
      <w:r w:rsidR="009B2EC3" w:rsidRPr="00097551">
        <w:rPr>
          <w:rFonts w:ascii="Arial" w:hAnsi="Arial" w:cs="Arial"/>
        </w:rPr>
        <w:t xml:space="preserve">where </w:t>
      </w:r>
      <w:r w:rsidR="00FC4CDA" w:rsidRPr="00097551">
        <w:rPr>
          <w:rFonts w:ascii="Arial" w:hAnsi="Arial" w:cs="Arial"/>
        </w:rPr>
        <w:t>there are allegations that the trust form has been abused to prejudice a spouse’s accrual claim, a court is empowered to enquire into that</w:t>
      </w:r>
      <w:r w:rsidR="00F26DD9" w:rsidRPr="00097551">
        <w:rPr>
          <w:rFonts w:ascii="Arial" w:hAnsi="Arial" w:cs="Arial"/>
        </w:rPr>
        <w:t xml:space="preserve"> and make a determination</w:t>
      </w:r>
      <w:r w:rsidR="00FC4CDA" w:rsidRPr="00097551">
        <w:rPr>
          <w:rFonts w:ascii="Arial" w:hAnsi="Arial" w:cs="Arial"/>
        </w:rPr>
        <w:t>.</w:t>
      </w:r>
      <w:r w:rsidR="00780825" w:rsidRPr="00097551">
        <w:rPr>
          <w:rFonts w:ascii="Arial" w:hAnsi="Arial" w:cs="Arial"/>
        </w:rPr>
        <w:t xml:space="preserve"> </w:t>
      </w:r>
    </w:p>
    <w:p w14:paraId="49516F6F" w14:textId="66FC9280" w:rsidR="00CC0760" w:rsidRPr="00097551" w:rsidRDefault="00CC0760" w:rsidP="00CC0760">
      <w:pPr>
        <w:pStyle w:val="MEMONUMBERED"/>
        <w:kinsoku w:val="0"/>
        <w:overflowPunct w:val="0"/>
        <w:autoSpaceDE w:val="0"/>
        <w:autoSpaceDN w:val="0"/>
        <w:adjustRightInd w:val="0"/>
        <w:spacing w:line="360" w:lineRule="auto"/>
        <w:ind w:right="-7"/>
        <w:rPr>
          <w:rFonts w:ascii="Arial" w:hAnsi="Arial" w:cs="Arial"/>
          <w:bCs/>
        </w:rPr>
      </w:pPr>
    </w:p>
    <w:p w14:paraId="3EA0F493" w14:textId="486E4667" w:rsidR="004E5FC6" w:rsidRPr="009C627F" w:rsidRDefault="00780825" w:rsidP="009C627F">
      <w:pPr>
        <w:pStyle w:val="MEMONUMBERED"/>
        <w:numPr>
          <w:ilvl w:val="0"/>
          <w:numId w:val="2"/>
        </w:numPr>
        <w:kinsoku w:val="0"/>
        <w:overflowPunct w:val="0"/>
        <w:autoSpaceDE w:val="0"/>
        <w:autoSpaceDN w:val="0"/>
        <w:adjustRightInd w:val="0"/>
        <w:spacing w:line="360" w:lineRule="auto"/>
        <w:ind w:left="0" w:right="-7" w:firstLine="0"/>
        <w:rPr>
          <w:rFonts w:ascii="Arial" w:hAnsi="Arial" w:cs="Arial"/>
        </w:rPr>
      </w:pPr>
      <w:r w:rsidRPr="00097551">
        <w:rPr>
          <w:rFonts w:ascii="Arial" w:hAnsi="Arial" w:cs="Arial"/>
        </w:rPr>
        <w:t xml:space="preserve">In other words, </w:t>
      </w:r>
      <w:r w:rsidR="002A3F1B" w:rsidRPr="00097551">
        <w:rPr>
          <w:rFonts w:ascii="Arial" w:hAnsi="Arial" w:cs="Arial"/>
        </w:rPr>
        <w:t xml:space="preserve">the absence of </w:t>
      </w:r>
      <w:r w:rsidR="00AD2B9C" w:rsidRPr="00097551">
        <w:rPr>
          <w:rFonts w:ascii="Arial" w:hAnsi="Arial" w:cs="Arial"/>
        </w:rPr>
        <w:t>‘</w:t>
      </w:r>
      <w:r w:rsidR="002A3F1B" w:rsidRPr="00097551">
        <w:rPr>
          <w:rFonts w:ascii="Arial" w:hAnsi="Arial" w:cs="Arial"/>
        </w:rPr>
        <w:t>control</w:t>
      </w:r>
      <w:r w:rsidR="00AD2B9C" w:rsidRPr="00097551">
        <w:rPr>
          <w:rFonts w:ascii="Arial" w:hAnsi="Arial" w:cs="Arial"/>
        </w:rPr>
        <w:t>’</w:t>
      </w:r>
      <w:r w:rsidR="002A3F1B" w:rsidRPr="00837116">
        <w:rPr>
          <w:rFonts w:ascii="Arial" w:hAnsi="Arial" w:cs="Arial"/>
        </w:rPr>
        <w:t xml:space="preserve"> does not necessarily exclude the possibility of </w:t>
      </w:r>
      <w:r w:rsidR="002A3F1B" w:rsidRPr="00EE48D4">
        <w:rPr>
          <w:rFonts w:ascii="Arial" w:hAnsi="Arial" w:cs="Arial"/>
        </w:rPr>
        <w:t>t</w:t>
      </w:r>
      <w:r w:rsidR="002A3F1B" w:rsidRPr="00837116">
        <w:rPr>
          <w:rFonts w:ascii="Arial" w:hAnsi="Arial" w:cs="Arial"/>
        </w:rPr>
        <w:t xml:space="preserve">rust form abuse. A court must vigilantly examine the facts in each case to determine allegations of </w:t>
      </w:r>
      <w:r w:rsidR="002A3F1B" w:rsidRPr="00EE48D4">
        <w:rPr>
          <w:rFonts w:ascii="Arial" w:hAnsi="Arial" w:cs="Arial"/>
        </w:rPr>
        <w:t>t</w:t>
      </w:r>
      <w:r w:rsidR="002A3F1B" w:rsidRPr="00837116">
        <w:rPr>
          <w:rFonts w:ascii="Arial" w:hAnsi="Arial" w:cs="Arial"/>
        </w:rPr>
        <w:t>rust for</w:t>
      </w:r>
      <w:r w:rsidR="00F26DD9">
        <w:rPr>
          <w:rFonts w:ascii="Arial" w:hAnsi="Arial" w:cs="Arial"/>
        </w:rPr>
        <w:t>m</w:t>
      </w:r>
      <w:r w:rsidR="002A3F1B" w:rsidRPr="00837116">
        <w:rPr>
          <w:rFonts w:ascii="Arial" w:hAnsi="Arial" w:cs="Arial"/>
        </w:rPr>
        <w:t xml:space="preserve"> abuse. If such abuse is established, a court is </w:t>
      </w:r>
      <w:r w:rsidR="002A3F1B" w:rsidRPr="00837116">
        <w:rPr>
          <w:rFonts w:ascii="Arial" w:hAnsi="Arial" w:cs="Arial"/>
        </w:rPr>
        <w:lastRenderedPageBreak/>
        <w:t>entitled to pierce the trust veneer, despite the absence of ‘control</w:t>
      </w:r>
      <w:r w:rsidRPr="00837116">
        <w:rPr>
          <w:rFonts w:ascii="Arial" w:hAnsi="Arial" w:cs="Arial"/>
        </w:rPr>
        <w:t>’</w:t>
      </w:r>
      <w:r w:rsidR="00EF7D85">
        <w:rPr>
          <w:rFonts w:ascii="Arial" w:hAnsi="Arial" w:cs="Arial"/>
        </w:rPr>
        <w:t>.</w:t>
      </w:r>
      <w:r w:rsidR="002A3F1B" w:rsidRPr="00837116">
        <w:rPr>
          <w:rFonts w:ascii="Arial" w:hAnsi="Arial" w:cs="Arial"/>
        </w:rPr>
        <w:t xml:space="preserve"> </w:t>
      </w:r>
      <w:r w:rsidR="002A3F1B" w:rsidRPr="006128F6">
        <w:rPr>
          <w:rFonts w:ascii="Arial" w:hAnsi="Arial" w:cs="Arial"/>
        </w:rPr>
        <w:t xml:space="preserve">As explained </w:t>
      </w:r>
      <w:r w:rsidR="002A3F1B" w:rsidRPr="006128F6">
        <w:rPr>
          <w:rFonts w:ascii="Arial" w:hAnsi="Arial" w:cs="Arial"/>
          <w:bCs/>
        </w:rPr>
        <w:t xml:space="preserve">in </w:t>
      </w:r>
      <w:r w:rsidR="00723E20" w:rsidRPr="00EC4EF5">
        <w:rPr>
          <w:rFonts w:ascii="Arial" w:hAnsi="Arial" w:cs="Arial"/>
          <w:bCs/>
          <w:i/>
          <w:iCs/>
          <w:lang w:val="en-ZA"/>
        </w:rPr>
        <w:t>Van Zyl NO v Kaye NO</w:t>
      </w:r>
      <w:r w:rsidR="00723E20" w:rsidRPr="006128F6">
        <w:rPr>
          <w:rFonts w:ascii="Arial" w:hAnsi="Arial" w:cs="Arial"/>
          <w:bCs/>
          <w:lang w:val="en-ZA"/>
        </w:rPr>
        <w:t xml:space="preserve"> </w:t>
      </w:r>
      <w:r w:rsidR="002A3F1B" w:rsidRPr="006128F6">
        <w:rPr>
          <w:rFonts w:ascii="Arial" w:eastAsia="Times New Roman" w:hAnsi="Arial" w:cs="Arial"/>
        </w:rPr>
        <w:t xml:space="preserve">para 22, </w:t>
      </w:r>
      <w:r w:rsidR="002A3F1B" w:rsidRPr="006128F6">
        <w:rPr>
          <w:rFonts w:ascii="Arial" w:hAnsi="Arial" w:cs="Arial"/>
          <w:bCs/>
        </w:rPr>
        <w:t xml:space="preserve">piercing the trust veneer is: </w:t>
      </w:r>
    </w:p>
    <w:p w14:paraId="7D2B1FC2" w14:textId="7FB9C5DD" w:rsidR="004E5FC6" w:rsidRPr="004E5FC6" w:rsidRDefault="002A3F1B" w:rsidP="004E5FC6">
      <w:pPr>
        <w:pStyle w:val="MEMONUMBERED"/>
        <w:kinsoku w:val="0"/>
        <w:overflowPunct w:val="0"/>
        <w:autoSpaceDE w:val="0"/>
        <w:autoSpaceDN w:val="0"/>
        <w:adjustRightInd w:val="0"/>
        <w:spacing w:line="360" w:lineRule="auto"/>
        <w:ind w:right="-7"/>
        <w:rPr>
          <w:rFonts w:ascii="Arial" w:hAnsi="Arial" w:cs="Arial"/>
          <w:bCs/>
        </w:rPr>
      </w:pPr>
      <w:r w:rsidRPr="004E5FC6">
        <w:rPr>
          <w:rFonts w:ascii="Arial" w:hAnsi="Arial" w:cs="Arial"/>
          <w:sz w:val="22"/>
          <w:szCs w:val="22"/>
        </w:rPr>
        <w:t>‘</w:t>
      </w:r>
      <w:r w:rsidR="00723E20" w:rsidRPr="004E5FC6">
        <w:rPr>
          <w:rFonts w:ascii="Arial" w:hAnsi="Arial" w:cs="Arial"/>
          <w:sz w:val="22"/>
          <w:szCs w:val="22"/>
        </w:rPr>
        <w:t>. . . [A]</w:t>
      </w:r>
      <w:r w:rsidRPr="004E5FC6">
        <w:rPr>
          <w:rFonts w:ascii="Arial" w:hAnsi="Arial" w:cs="Arial"/>
          <w:sz w:val="22"/>
          <w:szCs w:val="22"/>
        </w:rPr>
        <w:t xml:space="preserve">n equitable remedy </w:t>
      </w:r>
      <w:r w:rsidR="00723E20" w:rsidRPr="004E5FC6">
        <w:rPr>
          <w:rFonts w:ascii="Arial" w:hAnsi="Arial" w:cs="Arial"/>
          <w:sz w:val="22"/>
          <w:szCs w:val="22"/>
        </w:rPr>
        <w:t>. . .</w:t>
      </w:r>
      <w:r w:rsidRPr="004E5FC6">
        <w:rPr>
          <w:rFonts w:ascii="Arial" w:hAnsi="Arial" w:cs="Arial"/>
          <w:sz w:val="22"/>
          <w:szCs w:val="22"/>
        </w:rPr>
        <w:t xml:space="preserve"> one that lends itself to a flexible approach to fairly and justly address the consequences of an unconscionable abuse of the trust form in given circumstances. It is a remedy that will generally be given when the trust form is used in a dishonest or unconscionable manner to evade a liability, or avoid an obligation.’</w:t>
      </w:r>
      <w:r w:rsidRPr="004E5FC6">
        <w:rPr>
          <w:rStyle w:val="FootnoteReference"/>
          <w:rFonts w:ascii="Arial" w:hAnsi="Arial" w:cs="Arial"/>
          <w:sz w:val="22"/>
          <w:szCs w:val="22"/>
        </w:rPr>
        <w:t xml:space="preserve"> </w:t>
      </w:r>
    </w:p>
    <w:p w14:paraId="0E6AF632" w14:textId="64AA408D" w:rsidR="002A3F1B" w:rsidRPr="004E5FC6" w:rsidRDefault="002A3F1B" w:rsidP="004E5FC6">
      <w:pPr>
        <w:pStyle w:val="MEMONUMBERED"/>
        <w:kinsoku w:val="0"/>
        <w:overflowPunct w:val="0"/>
        <w:autoSpaceDE w:val="0"/>
        <w:autoSpaceDN w:val="0"/>
        <w:adjustRightInd w:val="0"/>
        <w:spacing w:line="360" w:lineRule="auto"/>
        <w:ind w:right="-7"/>
        <w:rPr>
          <w:rFonts w:ascii="Arial" w:hAnsi="Arial" w:cs="Arial"/>
          <w:bCs/>
        </w:rPr>
      </w:pPr>
      <w:r w:rsidRPr="004E5FC6">
        <w:rPr>
          <w:rFonts w:ascii="Arial" w:hAnsi="Arial" w:cs="Arial"/>
        </w:rPr>
        <w:t xml:space="preserve">This description received the imprimatur of this Court in </w:t>
      </w:r>
      <w:r w:rsidRPr="004E5FC6">
        <w:rPr>
          <w:rFonts w:ascii="Arial" w:hAnsi="Arial" w:cs="Arial"/>
          <w:i/>
          <w:iCs/>
        </w:rPr>
        <w:t>WT v KT</w:t>
      </w:r>
      <w:r w:rsidRPr="004E5FC6">
        <w:rPr>
          <w:rFonts w:ascii="Arial" w:hAnsi="Arial" w:cs="Arial"/>
        </w:rPr>
        <w:t xml:space="preserve"> para 3</w:t>
      </w:r>
      <w:r w:rsidR="00010C6C" w:rsidRPr="004E5FC6">
        <w:rPr>
          <w:rFonts w:ascii="Arial" w:hAnsi="Arial" w:cs="Arial"/>
        </w:rPr>
        <w:t>1</w:t>
      </w:r>
      <w:r w:rsidRPr="004E5FC6">
        <w:rPr>
          <w:rFonts w:ascii="Arial" w:hAnsi="Arial" w:cs="Arial"/>
        </w:rPr>
        <w:t xml:space="preserve"> and </w:t>
      </w:r>
      <w:r w:rsidRPr="004E5FC6">
        <w:rPr>
          <w:rFonts w:ascii="Arial" w:hAnsi="Arial" w:cs="Arial"/>
          <w:i/>
        </w:rPr>
        <w:t>REM v VM</w:t>
      </w:r>
      <w:r w:rsidR="000C3E1D" w:rsidRPr="004E5FC6">
        <w:rPr>
          <w:rFonts w:ascii="Arial" w:hAnsi="Arial" w:cs="Arial"/>
          <w:i/>
        </w:rPr>
        <w:t xml:space="preserve"> </w:t>
      </w:r>
      <w:r w:rsidRPr="004E5FC6">
        <w:rPr>
          <w:rFonts w:ascii="Arial" w:hAnsi="Arial" w:cs="Arial"/>
        </w:rPr>
        <w:t>para 17.</w:t>
      </w:r>
    </w:p>
    <w:p w14:paraId="426E2C26" w14:textId="77777777" w:rsidR="004E5FC6" w:rsidRDefault="004E5FC6" w:rsidP="004E5FC6">
      <w:pPr>
        <w:pStyle w:val="ListParagraph"/>
        <w:rPr>
          <w:rFonts w:ascii="Arial" w:hAnsi="Arial" w:cs="Arial"/>
          <w:bCs/>
        </w:rPr>
      </w:pPr>
    </w:p>
    <w:p w14:paraId="6C94D92B" w14:textId="3F0CA09E" w:rsidR="00A17442" w:rsidRPr="004E5FC6" w:rsidRDefault="002A3F1B" w:rsidP="004E5FC6">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4E5FC6">
        <w:rPr>
          <w:rFonts w:ascii="Arial" w:hAnsi="Arial" w:cs="Arial"/>
        </w:rPr>
        <w:t xml:space="preserve">What is more, even </w:t>
      </w:r>
      <w:r w:rsidR="00FB5C03" w:rsidRPr="004E5FC6">
        <w:rPr>
          <w:rFonts w:ascii="Arial" w:hAnsi="Arial" w:cs="Arial"/>
        </w:rPr>
        <w:t xml:space="preserve">in the absence of </w:t>
      </w:r>
      <w:r w:rsidRPr="004E5FC6">
        <w:rPr>
          <w:rFonts w:ascii="Arial" w:hAnsi="Arial" w:cs="Arial"/>
        </w:rPr>
        <w:t xml:space="preserve">‘control’, the piercing of the trust veneer is still a remedy on the basis of the proviso </w:t>
      </w:r>
      <w:r w:rsidR="00F26DD9" w:rsidRPr="004E5FC6">
        <w:rPr>
          <w:rFonts w:ascii="Arial" w:hAnsi="Arial" w:cs="Arial"/>
        </w:rPr>
        <w:t xml:space="preserve">in </w:t>
      </w:r>
      <w:r w:rsidRPr="004E5FC6">
        <w:rPr>
          <w:rFonts w:ascii="Arial" w:hAnsi="Arial" w:cs="Arial"/>
        </w:rPr>
        <w:t xml:space="preserve">the </w:t>
      </w:r>
      <w:r w:rsidR="00670618" w:rsidRPr="004E5FC6">
        <w:rPr>
          <w:rFonts w:ascii="Arial" w:hAnsi="Arial" w:cs="Arial"/>
          <w:i/>
          <w:iCs/>
        </w:rPr>
        <w:t>Badenhorst</w:t>
      </w:r>
      <w:r w:rsidR="00670618" w:rsidRPr="004E5FC6">
        <w:rPr>
          <w:rFonts w:ascii="Arial" w:hAnsi="Arial" w:cs="Arial"/>
        </w:rPr>
        <w:t xml:space="preserve"> ‘</w:t>
      </w:r>
      <w:r w:rsidRPr="004E5FC6">
        <w:rPr>
          <w:rFonts w:ascii="Arial" w:hAnsi="Arial" w:cs="Arial"/>
        </w:rPr>
        <w:t>control test,’ which was articulated as follows:</w:t>
      </w:r>
      <w:r w:rsidR="00010C6C" w:rsidRPr="00EC4EF5">
        <w:rPr>
          <w:rStyle w:val="FootnoteReference"/>
          <w:rFonts w:ascii="Arial" w:hAnsi="Arial" w:cs="Arial"/>
        </w:rPr>
        <w:footnoteReference w:id="28"/>
      </w:r>
      <w:r w:rsidRPr="004E5FC6">
        <w:rPr>
          <w:rFonts w:ascii="Arial" w:hAnsi="Arial" w:cs="Arial"/>
        </w:rPr>
        <w:t xml:space="preserve"> </w:t>
      </w:r>
    </w:p>
    <w:p w14:paraId="46909EC6" w14:textId="498FA92C" w:rsidR="002A3F1B" w:rsidRPr="00097551" w:rsidRDefault="00A17442" w:rsidP="00CC0760">
      <w:pPr>
        <w:pStyle w:val="MEMONUMBERED"/>
        <w:kinsoku w:val="0"/>
        <w:overflowPunct w:val="0"/>
        <w:autoSpaceDE w:val="0"/>
        <w:autoSpaceDN w:val="0"/>
        <w:adjustRightInd w:val="0"/>
        <w:spacing w:line="360" w:lineRule="auto"/>
        <w:ind w:right="-7"/>
        <w:rPr>
          <w:rFonts w:ascii="Arial" w:hAnsi="Arial" w:cs="Arial"/>
          <w:bCs/>
        </w:rPr>
      </w:pPr>
      <w:r w:rsidRPr="00010C6C">
        <w:rPr>
          <w:rFonts w:ascii="Arial" w:hAnsi="Arial" w:cs="Arial"/>
          <w:sz w:val="22"/>
          <w:szCs w:val="22"/>
        </w:rPr>
        <w:t>‘</w:t>
      </w:r>
      <w:r w:rsidR="00EE7B71">
        <w:rPr>
          <w:rFonts w:ascii="Arial" w:hAnsi="Arial" w:cs="Arial"/>
          <w:sz w:val="22"/>
          <w:szCs w:val="22"/>
        </w:rPr>
        <w:t xml:space="preserve">. . . </w:t>
      </w:r>
      <w:r w:rsidR="002A3F1B" w:rsidRPr="00010C6C">
        <w:rPr>
          <w:rFonts w:ascii="Arial" w:hAnsi="Arial" w:cs="Arial"/>
          <w:sz w:val="22"/>
          <w:szCs w:val="22"/>
        </w:rPr>
        <w:t>It may be that in terms of the trust deed some or all the assets are beyond the control of the founder, for instance where a vesting has taken place by a beneficiary, such as a charitable institution accepting the benefit. In such a case,</w:t>
      </w:r>
      <w:r w:rsidR="002A3F1B" w:rsidRPr="00010C6C">
        <w:rPr>
          <w:rFonts w:ascii="Arial" w:hAnsi="Arial" w:cs="Arial"/>
          <w:i/>
          <w:iCs/>
          <w:sz w:val="22"/>
          <w:szCs w:val="22"/>
        </w:rPr>
        <w:t xml:space="preserve"> provided the party had not made the bequest with the intention of frustrating the wife’s or husband’s claim</w:t>
      </w:r>
      <w:r w:rsidR="00EE7B71">
        <w:rPr>
          <w:rFonts w:ascii="Arial" w:hAnsi="Arial" w:cs="Arial"/>
          <w:iCs/>
          <w:sz w:val="22"/>
          <w:szCs w:val="22"/>
        </w:rPr>
        <w:t xml:space="preserve"> . . .</w:t>
      </w:r>
      <w:r w:rsidR="002A3F1B" w:rsidRPr="00010C6C">
        <w:rPr>
          <w:rFonts w:ascii="Arial" w:hAnsi="Arial" w:cs="Arial"/>
          <w:i/>
          <w:iCs/>
          <w:sz w:val="22"/>
          <w:szCs w:val="22"/>
        </w:rPr>
        <w:t xml:space="preserve"> </w:t>
      </w:r>
      <w:r w:rsidR="002A3F1B" w:rsidRPr="00010C6C">
        <w:rPr>
          <w:rFonts w:ascii="Arial" w:hAnsi="Arial" w:cs="Arial"/>
          <w:sz w:val="22"/>
          <w:szCs w:val="22"/>
        </w:rPr>
        <w:t>the asset or assets concerned c</w:t>
      </w:r>
      <w:r w:rsidR="00753450" w:rsidRPr="00010C6C">
        <w:rPr>
          <w:rFonts w:ascii="Arial" w:hAnsi="Arial" w:cs="Arial"/>
          <w:sz w:val="22"/>
          <w:szCs w:val="22"/>
        </w:rPr>
        <w:t xml:space="preserve">annot be taken into account.’ </w:t>
      </w:r>
      <w:r w:rsidR="002A3F1B" w:rsidRPr="00097551">
        <w:rPr>
          <w:rFonts w:ascii="Arial" w:hAnsi="Arial" w:cs="Arial"/>
          <w:sz w:val="22"/>
          <w:szCs w:val="22"/>
        </w:rPr>
        <w:t>(</w:t>
      </w:r>
      <w:r w:rsidR="005A39FA" w:rsidRPr="00097551">
        <w:rPr>
          <w:rFonts w:ascii="Arial" w:hAnsi="Arial" w:cs="Arial"/>
          <w:sz w:val="22"/>
          <w:szCs w:val="22"/>
        </w:rPr>
        <w:t>E</w:t>
      </w:r>
      <w:r w:rsidR="002A3F1B" w:rsidRPr="00097551">
        <w:rPr>
          <w:rFonts w:ascii="Arial" w:hAnsi="Arial" w:cs="Arial"/>
          <w:sz w:val="22"/>
          <w:szCs w:val="22"/>
        </w:rPr>
        <w:t>mphasis</w:t>
      </w:r>
      <w:r w:rsidR="005A39FA" w:rsidRPr="00097551">
        <w:rPr>
          <w:rFonts w:ascii="Arial" w:hAnsi="Arial" w:cs="Arial"/>
          <w:sz w:val="22"/>
          <w:szCs w:val="22"/>
        </w:rPr>
        <w:t xml:space="preserve"> added</w:t>
      </w:r>
      <w:r w:rsidR="002A3F1B" w:rsidRPr="00097551">
        <w:rPr>
          <w:rFonts w:ascii="Arial" w:hAnsi="Arial" w:cs="Arial"/>
          <w:sz w:val="22"/>
          <w:szCs w:val="22"/>
        </w:rPr>
        <w:t>.)</w:t>
      </w:r>
    </w:p>
    <w:p w14:paraId="0499034E" w14:textId="77777777" w:rsidR="00A17442" w:rsidRPr="00097551" w:rsidRDefault="00A17442" w:rsidP="00CC0760">
      <w:pPr>
        <w:pStyle w:val="MEMONUMBERED"/>
        <w:kinsoku w:val="0"/>
        <w:overflowPunct w:val="0"/>
        <w:autoSpaceDE w:val="0"/>
        <w:autoSpaceDN w:val="0"/>
        <w:adjustRightInd w:val="0"/>
        <w:spacing w:line="360" w:lineRule="auto"/>
        <w:ind w:right="-7"/>
        <w:rPr>
          <w:rFonts w:ascii="Arial" w:hAnsi="Arial" w:cs="Arial"/>
          <w:b/>
          <w:bCs/>
        </w:rPr>
      </w:pPr>
    </w:p>
    <w:p w14:paraId="6C3334A9" w14:textId="3A7F6640" w:rsidR="00F338FB" w:rsidRPr="00097551" w:rsidRDefault="00CA0541" w:rsidP="009C627F">
      <w:pPr>
        <w:pStyle w:val="MEMONUMBERED"/>
        <w:numPr>
          <w:ilvl w:val="0"/>
          <w:numId w:val="2"/>
        </w:numPr>
        <w:kinsoku w:val="0"/>
        <w:overflowPunct w:val="0"/>
        <w:autoSpaceDE w:val="0"/>
        <w:autoSpaceDN w:val="0"/>
        <w:adjustRightInd w:val="0"/>
        <w:spacing w:before="240" w:line="360" w:lineRule="auto"/>
        <w:ind w:left="0" w:right="-7" w:firstLine="0"/>
        <w:rPr>
          <w:rFonts w:ascii="Arial" w:hAnsi="Arial" w:cs="Arial"/>
        </w:rPr>
      </w:pPr>
      <w:r w:rsidRPr="00097551">
        <w:rPr>
          <w:rFonts w:ascii="Arial" w:hAnsi="Arial" w:cs="Arial"/>
          <w:shd w:val="clear" w:color="auto" w:fill="FFFFFF"/>
        </w:rPr>
        <w:t>I</w:t>
      </w:r>
      <w:r w:rsidR="00F26DD9" w:rsidRPr="00097551">
        <w:rPr>
          <w:rFonts w:ascii="Arial" w:hAnsi="Arial" w:cs="Arial"/>
          <w:shd w:val="clear" w:color="auto" w:fill="FFFFFF"/>
        </w:rPr>
        <w:t>n my view</w:t>
      </w:r>
      <w:r w:rsidR="0099511F" w:rsidRPr="00097551">
        <w:rPr>
          <w:rFonts w:ascii="Arial" w:hAnsi="Arial" w:cs="Arial"/>
          <w:shd w:val="clear" w:color="auto" w:fill="FFFFFF"/>
        </w:rPr>
        <w:t>,</w:t>
      </w:r>
      <w:r w:rsidR="00F26DD9" w:rsidRPr="00097551">
        <w:rPr>
          <w:rFonts w:ascii="Arial" w:hAnsi="Arial" w:cs="Arial"/>
          <w:shd w:val="clear" w:color="auto" w:fill="FFFFFF"/>
        </w:rPr>
        <w:t xml:space="preserve"> the</w:t>
      </w:r>
      <w:r w:rsidR="00136663" w:rsidRPr="00097551">
        <w:rPr>
          <w:rFonts w:ascii="Arial" w:hAnsi="Arial" w:cs="Arial"/>
          <w:shd w:val="clear" w:color="auto" w:fill="FFFFFF"/>
        </w:rPr>
        <w:t xml:space="preserve"> facts of the</w:t>
      </w:r>
      <w:r w:rsidR="00F26DD9" w:rsidRPr="00097551">
        <w:rPr>
          <w:rFonts w:ascii="Arial" w:hAnsi="Arial" w:cs="Arial"/>
          <w:shd w:val="clear" w:color="auto" w:fill="FFFFFF"/>
        </w:rPr>
        <w:t xml:space="preserve"> present case fall neatly within the proviso.</w:t>
      </w:r>
      <w:r w:rsidRPr="00097551">
        <w:rPr>
          <w:rFonts w:ascii="Arial" w:hAnsi="Arial" w:cs="Arial"/>
          <w:shd w:val="clear" w:color="auto" w:fill="FFFFFF"/>
        </w:rPr>
        <w:t xml:space="preserve"> </w:t>
      </w:r>
      <w:r w:rsidR="00F55733" w:rsidRPr="00097551">
        <w:rPr>
          <w:rFonts w:ascii="Arial" w:hAnsi="Arial" w:cs="Arial"/>
          <w:shd w:val="clear" w:color="auto" w:fill="FFFFFF"/>
        </w:rPr>
        <w:t>This brings me to t</w:t>
      </w:r>
      <w:r w:rsidR="003164A4" w:rsidRPr="00097551">
        <w:rPr>
          <w:rFonts w:ascii="Arial" w:hAnsi="Arial" w:cs="Arial"/>
          <w:shd w:val="clear" w:color="auto" w:fill="FFFFFF"/>
        </w:rPr>
        <w:t>he</w:t>
      </w:r>
      <w:r w:rsidR="0088109C" w:rsidRPr="00097551">
        <w:rPr>
          <w:rFonts w:ascii="Arial" w:hAnsi="Arial" w:cs="Arial"/>
          <w:shd w:val="clear" w:color="auto" w:fill="FFFFFF"/>
        </w:rPr>
        <w:t xml:space="preserve"> </w:t>
      </w:r>
      <w:r w:rsidR="00E86314" w:rsidRPr="00097551">
        <w:rPr>
          <w:rFonts w:ascii="Arial" w:hAnsi="Arial" w:cs="Arial"/>
          <w:shd w:val="clear" w:color="auto" w:fill="FFFFFF"/>
        </w:rPr>
        <w:t xml:space="preserve">high </w:t>
      </w:r>
      <w:r w:rsidR="003164A4" w:rsidRPr="00097551">
        <w:rPr>
          <w:rFonts w:ascii="Arial" w:hAnsi="Arial" w:cs="Arial"/>
          <w:shd w:val="clear" w:color="auto" w:fill="FFFFFF"/>
        </w:rPr>
        <w:t>court</w:t>
      </w:r>
      <w:r w:rsidR="00DF0F68" w:rsidRPr="00097551">
        <w:rPr>
          <w:rFonts w:ascii="Arial" w:hAnsi="Arial" w:cs="Arial"/>
          <w:shd w:val="clear" w:color="auto" w:fill="FFFFFF"/>
        </w:rPr>
        <w:t>’s</w:t>
      </w:r>
      <w:r w:rsidR="003164A4" w:rsidRPr="00097551">
        <w:rPr>
          <w:rFonts w:ascii="Arial" w:hAnsi="Arial" w:cs="Arial"/>
          <w:shd w:val="clear" w:color="auto" w:fill="FFFFFF"/>
        </w:rPr>
        <w:t xml:space="preserve"> </w:t>
      </w:r>
      <w:r w:rsidR="00DF0F68" w:rsidRPr="00097551">
        <w:rPr>
          <w:rFonts w:ascii="Arial" w:hAnsi="Arial" w:cs="Arial"/>
          <w:shd w:val="clear" w:color="auto" w:fill="FFFFFF"/>
        </w:rPr>
        <w:t xml:space="preserve">conclusion that the value of the donation to the trust </w:t>
      </w:r>
      <w:r w:rsidR="00F55733" w:rsidRPr="00097551">
        <w:rPr>
          <w:rFonts w:ascii="Arial" w:hAnsi="Arial" w:cs="Arial"/>
          <w:shd w:val="clear" w:color="auto" w:fill="FFFFFF"/>
        </w:rPr>
        <w:t xml:space="preserve">should </w:t>
      </w:r>
      <w:r w:rsidR="00DF0F68" w:rsidRPr="00097551">
        <w:rPr>
          <w:rFonts w:ascii="Arial" w:hAnsi="Arial" w:cs="Arial"/>
          <w:shd w:val="clear" w:color="auto" w:fill="FFFFFF"/>
        </w:rPr>
        <w:t>be deemed as part of the applicant’s assets for the purposes of calculating the accrual</w:t>
      </w:r>
      <w:r w:rsidR="00F55733" w:rsidRPr="00097551">
        <w:rPr>
          <w:rFonts w:ascii="Arial" w:hAnsi="Arial" w:cs="Arial"/>
          <w:shd w:val="clear" w:color="auto" w:fill="FFFFFF"/>
        </w:rPr>
        <w:t>. This conclusion</w:t>
      </w:r>
      <w:r w:rsidR="00DF0F68" w:rsidRPr="00097551">
        <w:rPr>
          <w:rFonts w:ascii="Arial" w:hAnsi="Arial" w:cs="Arial"/>
          <w:shd w:val="clear" w:color="auto" w:fill="FFFFFF"/>
        </w:rPr>
        <w:t xml:space="preserve"> rested on </w:t>
      </w:r>
      <w:r w:rsidR="00BD0C8D" w:rsidRPr="00097551">
        <w:rPr>
          <w:rFonts w:ascii="Arial" w:hAnsi="Arial" w:cs="Arial"/>
          <w:shd w:val="clear" w:color="auto" w:fill="FFFFFF"/>
        </w:rPr>
        <w:t xml:space="preserve">four </w:t>
      </w:r>
      <w:r w:rsidR="00DF0F68" w:rsidRPr="00097551">
        <w:rPr>
          <w:rFonts w:ascii="Arial" w:hAnsi="Arial" w:cs="Arial"/>
          <w:shd w:val="clear" w:color="auto" w:fill="FFFFFF"/>
        </w:rPr>
        <w:t>factors</w:t>
      </w:r>
      <w:r w:rsidR="00F84AD4" w:rsidRPr="00097551">
        <w:rPr>
          <w:rFonts w:ascii="Arial" w:hAnsi="Arial" w:cs="Arial"/>
          <w:shd w:val="clear" w:color="auto" w:fill="FFFFFF"/>
        </w:rPr>
        <w:t>, namely:</w:t>
      </w:r>
      <w:r w:rsidR="00DF0F68" w:rsidRPr="00097551">
        <w:rPr>
          <w:rFonts w:ascii="Arial" w:hAnsi="Arial" w:cs="Arial"/>
          <w:shd w:val="clear" w:color="auto" w:fill="FFFFFF"/>
        </w:rPr>
        <w:t xml:space="preserve"> </w:t>
      </w:r>
      <w:r w:rsidR="00BA1C10" w:rsidRPr="00097551">
        <w:rPr>
          <w:rFonts w:ascii="Arial" w:hAnsi="Arial" w:cs="Arial"/>
        </w:rPr>
        <w:t>(a) t</w:t>
      </w:r>
      <w:r w:rsidR="00F338FB" w:rsidRPr="00097551">
        <w:rPr>
          <w:rFonts w:ascii="Arial" w:hAnsi="Arial" w:cs="Arial"/>
        </w:rPr>
        <w:t xml:space="preserve">he timing of the creation of the trust and the donation made to it; </w:t>
      </w:r>
      <w:r w:rsidR="00BA1C10" w:rsidRPr="00097551">
        <w:rPr>
          <w:rFonts w:ascii="Arial" w:hAnsi="Arial" w:cs="Arial"/>
        </w:rPr>
        <w:t xml:space="preserve">(b) </w:t>
      </w:r>
      <w:r w:rsidR="00BA1C10" w:rsidRPr="00097551">
        <w:rPr>
          <w:rFonts w:ascii="Arial" w:hAnsi="Arial" w:cs="Arial"/>
          <w:shd w:val="clear" w:color="auto" w:fill="FFFFFF"/>
        </w:rPr>
        <w:t>t</w:t>
      </w:r>
      <w:r w:rsidR="00F338FB" w:rsidRPr="00097551">
        <w:rPr>
          <w:rFonts w:ascii="Arial" w:hAnsi="Arial" w:cs="Arial"/>
          <w:shd w:val="clear" w:color="auto" w:fill="FFFFFF"/>
        </w:rPr>
        <w:t>he fact that the trust was established in the British Virgin Islands;</w:t>
      </w:r>
      <w:r w:rsidR="00BA1C10" w:rsidRPr="00097551">
        <w:rPr>
          <w:rFonts w:ascii="Arial" w:hAnsi="Arial" w:cs="Arial"/>
          <w:shd w:val="clear" w:color="auto" w:fill="FFFFFF"/>
        </w:rPr>
        <w:t xml:space="preserve"> (c)</w:t>
      </w:r>
      <w:r w:rsidR="00BA1C10" w:rsidRPr="00097551">
        <w:rPr>
          <w:rFonts w:ascii="Arial" w:hAnsi="Arial" w:cs="Arial"/>
        </w:rPr>
        <w:t xml:space="preserve"> t</w:t>
      </w:r>
      <w:r w:rsidR="00F338FB" w:rsidRPr="00097551">
        <w:rPr>
          <w:rFonts w:ascii="Arial" w:hAnsi="Arial" w:cs="Arial"/>
        </w:rPr>
        <w:t xml:space="preserve">he applicant did not consult the respondent about the creation of the trust; and </w:t>
      </w:r>
      <w:r w:rsidR="00BA1C10" w:rsidRPr="00097551">
        <w:rPr>
          <w:rFonts w:ascii="Arial" w:hAnsi="Arial" w:cs="Arial"/>
        </w:rPr>
        <w:t xml:space="preserve">(d) </w:t>
      </w:r>
      <w:r w:rsidR="00F338FB" w:rsidRPr="00097551">
        <w:rPr>
          <w:rFonts w:ascii="Arial" w:hAnsi="Arial" w:cs="Arial"/>
        </w:rPr>
        <w:t>that there was no immediate need to provide for the maintenance of the child.</w:t>
      </w:r>
      <w:r w:rsidR="00BA1C10" w:rsidRPr="00097551">
        <w:rPr>
          <w:rFonts w:ascii="Arial" w:hAnsi="Arial" w:cs="Arial"/>
        </w:rPr>
        <w:t xml:space="preserve"> I consider each, in turn.</w:t>
      </w:r>
    </w:p>
    <w:p w14:paraId="3857419E" w14:textId="77777777" w:rsidR="00CC0760" w:rsidRPr="00097551" w:rsidRDefault="00CC0760" w:rsidP="00CC0760">
      <w:pPr>
        <w:pStyle w:val="MEMONUMBERED"/>
        <w:kinsoku w:val="0"/>
        <w:overflowPunct w:val="0"/>
        <w:autoSpaceDE w:val="0"/>
        <w:autoSpaceDN w:val="0"/>
        <w:adjustRightInd w:val="0"/>
        <w:spacing w:line="360" w:lineRule="auto"/>
        <w:ind w:right="-7"/>
        <w:rPr>
          <w:rFonts w:ascii="Arial" w:hAnsi="Arial" w:cs="Arial"/>
          <w:highlight w:val="yellow"/>
        </w:rPr>
      </w:pPr>
    </w:p>
    <w:p w14:paraId="34FB1E1F" w14:textId="438C350D" w:rsidR="00F84AD4" w:rsidRPr="009C627F" w:rsidRDefault="00F84AD4" w:rsidP="009C627F">
      <w:pPr>
        <w:kinsoku w:val="0"/>
        <w:overflowPunct w:val="0"/>
        <w:spacing w:after="0" w:line="360" w:lineRule="auto"/>
        <w:ind w:right="-7"/>
        <w:jc w:val="both"/>
        <w:rPr>
          <w:rFonts w:ascii="Arial" w:eastAsiaTheme="minorEastAsia" w:hAnsi="Arial" w:cs="Arial"/>
          <w:i/>
          <w:iCs/>
          <w:sz w:val="24"/>
          <w:szCs w:val="24"/>
          <w:lang w:val="en-US" w:eastAsia="en-ZA"/>
        </w:rPr>
      </w:pPr>
      <w:bookmarkStart w:id="31" w:name="_Hlk106375238"/>
      <w:r w:rsidRPr="00097551">
        <w:rPr>
          <w:rFonts w:ascii="Arial" w:hAnsi="Arial" w:cs="Arial"/>
          <w:i/>
          <w:iCs/>
          <w:sz w:val="24"/>
          <w:szCs w:val="24"/>
        </w:rPr>
        <w:t>T</w:t>
      </w:r>
      <w:r w:rsidR="009A65C7" w:rsidRPr="00097551">
        <w:rPr>
          <w:rFonts w:ascii="Arial" w:hAnsi="Arial" w:cs="Arial"/>
          <w:i/>
          <w:iCs/>
          <w:sz w:val="24"/>
          <w:szCs w:val="24"/>
        </w:rPr>
        <w:t xml:space="preserve">he timing </w:t>
      </w:r>
    </w:p>
    <w:bookmarkEnd w:id="31"/>
    <w:p w14:paraId="0FAB242E" w14:textId="604D5A85" w:rsidR="00BF5FEF" w:rsidRDefault="009A65C7" w:rsidP="00CC0760">
      <w:pPr>
        <w:numPr>
          <w:ilvl w:val="0"/>
          <w:numId w:val="2"/>
        </w:numPr>
        <w:kinsoku w:val="0"/>
        <w:overflowPunct w:val="0"/>
        <w:spacing w:after="0" w:line="360" w:lineRule="auto"/>
        <w:ind w:left="0" w:right="-7" w:firstLine="0"/>
        <w:jc w:val="both"/>
        <w:rPr>
          <w:rFonts w:ascii="Arial" w:eastAsiaTheme="minorEastAsia" w:hAnsi="Arial" w:cs="Arial"/>
          <w:sz w:val="24"/>
          <w:szCs w:val="24"/>
          <w:lang w:val="en-US" w:eastAsia="en-ZA"/>
        </w:rPr>
      </w:pPr>
      <w:r w:rsidRPr="00837116">
        <w:rPr>
          <w:rFonts w:ascii="Arial" w:hAnsi="Arial" w:cs="Arial"/>
          <w:sz w:val="24"/>
          <w:szCs w:val="24"/>
          <w:shd w:val="clear" w:color="auto" w:fill="FFFFFF"/>
        </w:rPr>
        <w:t>As mentioned already, t</w:t>
      </w:r>
      <w:r w:rsidR="00911C92" w:rsidRPr="00837116">
        <w:rPr>
          <w:rFonts w:ascii="Arial" w:hAnsi="Arial" w:cs="Arial"/>
          <w:sz w:val="24"/>
          <w:szCs w:val="24"/>
          <w:shd w:val="clear" w:color="auto" w:fill="FFFFFF"/>
        </w:rPr>
        <w:t>he trust was created</w:t>
      </w:r>
      <w:r w:rsidR="00193A2D" w:rsidRPr="00837116">
        <w:rPr>
          <w:rFonts w:ascii="Arial" w:hAnsi="Arial" w:cs="Arial"/>
          <w:sz w:val="24"/>
          <w:szCs w:val="24"/>
          <w:shd w:val="clear" w:color="auto" w:fill="FFFFFF"/>
        </w:rPr>
        <w:t>,</w:t>
      </w:r>
      <w:r w:rsidR="00911C92" w:rsidRPr="00837116">
        <w:rPr>
          <w:rFonts w:ascii="Arial" w:hAnsi="Arial" w:cs="Arial"/>
          <w:sz w:val="24"/>
          <w:szCs w:val="24"/>
          <w:shd w:val="clear" w:color="auto" w:fill="FFFFFF"/>
        </w:rPr>
        <w:t xml:space="preserve"> and the deed of donation concluded, only days before the trial commenced</w:t>
      </w:r>
      <w:r w:rsidRPr="00837116">
        <w:rPr>
          <w:rFonts w:ascii="Arial" w:hAnsi="Arial" w:cs="Arial"/>
          <w:sz w:val="24"/>
          <w:szCs w:val="24"/>
          <w:shd w:val="clear" w:color="auto" w:fill="FFFFFF"/>
        </w:rPr>
        <w:t xml:space="preserve">. One of the issues in dispute was the value of the applicant’s estate, upon which the accrual payable to the respondent was to be calculated. </w:t>
      </w:r>
      <w:r w:rsidR="00193A2D" w:rsidRPr="00837116">
        <w:rPr>
          <w:rFonts w:ascii="Arial" w:hAnsi="Arial" w:cs="Arial"/>
          <w:sz w:val="24"/>
          <w:szCs w:val="24"/>
          <w:shd w:val="clear" w:color="auto" w:fill="FFFFFF"/>
        </w:rPr>
        <w:t>The applicant offer</w:t>
      </w:r>
      <w:r w:rsidRPr="00837116">
        <w:rPr>
          <w:rFonts w:ascii="Arial" w:hAnsi="Arial" w:cs="Arial"/>
          <w:sz w:val="24"/>
          <w:szCs w:val="24"/>
          <w:shd w:val="clear" w:color="auto" w:fill="FFFFFF"/>
        </w:rPr>
        <w:t>ed</w:t>
      </w:r>
      <w:r w:rsidR="00193A2D" w:rsidRPr="00837116">
        <w:rPr>
          <w:rFonts w:ascii="Arial" w:hAnsi="Arial" w:cs="Arial"/>
          <w:sz w:val="24"/>
          <w:szCs w:val="24"/>
          <w:shd w:val="clear" w:color="auto" w:fill="FFFFFF"/>
        </w:rPr>
        <w:t xml:space="preserve"> no credible explanation for wh</w:t>
      </w:r>
      <w:r w:rsidR="00472E0D" w:rsidRPr="00837116">
        <w:rPr>
          <w:rFonts w:ascii="Arial" w:hAnsi="Arial" w:cs="Arial"/>
          <w:sz w:val="24"/>
          <w:szCs w:val="24"/>
          <w:shd w:val="clear" w:color="auto" w:fill="FFFFFF"/>
        </w:rPr>
        <w:t>y</w:t>
      </w:r>
      <w:r w:rsidR="00E85C4E" w:rsidRPr="00837116">
        <w:rPr>
          <w:rFonts w:ascii="Arial" w:eastAsiaTheme="minorEastAsia" w:hAnsi="Arial" w:cs="Arial"/>
          <w:sz w:val="24"/>
          <w:szCs w:val="24"/>
          <w:lang w:val="en-US" w:eastAsia="en-ZA"/>
        </w:rPr>
        <w:t xml:space="preserve"> he </w:t>
      </w:r>
      <w:r w:rsidR="00136663">
        <w:rPr>
          <w:rFonts w:ascii="Arial" w:eastAsiaTheme="minorEastAsia" w:hAnsi="Arial" w:cs="Arial"/>
          <w:sz w:val="24"/>
          <w:szCs w:val="24"/>
          <w:lang w:val="en-US" w:eastAsia="en-ZA"/>
        </w:rPr>
        <w:t xml:space="preserve">was </w:t>
      </w:r>
      <w:r w:rsidR="00E85C4E" w:rsidRPr="00837116">
        <w:rPr>
          <w:rFonts w:ascii="Arial" w:eastAsiaTheme="minorEastAsia" w:hAnsi="Arial" w:cs="Arial"/>
          <w:sz w:val="24"/>
          <w:szCs w:val="24"/>
          <w:lang w:val="en-US" w:eastAsia="en-ZA"/>
        </w:rPr>
        <w:lastRenderedPageBreak/>
        <w:t>genuinely motivated to create a trust for the parties’ daughter before the trial was due to start, where the issue</w:t>
      </w:r>
      <w:r w:rsidR="00136663">
        <w:rPr>
          <w:rFonts w:ascii="Arial" w:eastAsiaTheme="minorEastAsia" w:hAnsi="Arial" w:cs="Arial"/>
          <w:sz w:val="24"/>
          <w:szCs w:val="24"/>
          <w:lang w:val="en-US" w:eastAsia="en-ZA"/>
        </w:rPr>
        <w:t xml:space="preserve"> of maintenance for the child</w:t>
      </w:r>
      <w:r w:rsidR="00E85C4E" w:rsidRPr="00837116">
        <w:rPr>
          <w:rFonts w:ascii="Arial" w:eastAsiaTheme="minorEastAsia" w:hAnsi="Arial" w:cs="Arial"/>
          <w:sz w:val="24"/>
          <w:szCs w:val="24"/>
          <w:lang w:val="en-US" w:eastAsia="en-ZA"/>
        </w:rPr>
        <w:t xml:space="preserve"> was to be </w:t>
      </w:r>
      <w:r w:rsidR="002776C2" w:rsidRPr="00837116">
        <w:rPr>
          <w:rFonts w:ascii="Arial" w:eastAsiaTheme="minorEastAsia" w:hAnsi="Arial" w:cs="Arial"/>
          <w:sz w:val="24"/>
          <w:szCs w:val="24"/>
          <w:lang w:val="en-US" w:eastAsia="en-ZA"/>
        </w:rPr>
        <w:t xml:space="preserve">determined. What is more, although the quantum of maintenance was an issue in the divorce, the applicant had repeatedly stated that affordability was not </w:t>
      </w:r>
      <w:r w:rsidR="00136663">
        <w:rPr>
          <w:rFonts w:ascii="Arial" w:eastAsiaTheme="minorEastAsia" w:hAnsi="Arial" w:cs="Arial"/>
          <w:sz w:val="24"/>
          <w:szCs w:val="24"/>
          <w:lang w:val="en-US" w:eastAsia="en-ZA"/>
        </w:rPr>
        <w:t>a</w:t>
      </w:r>
      <w:r w:rsidR="002776C2" w:rsidRPr="00837116">
        <w:rPr>
          <w:rFonts w:ascii="Arial" w:eastAsiaTheme="minorEastAsia" w:hAnsi="Arial" w:cs="Arial"/>
          <w:sz w:val="24"/>
          <w:szCs w:val="24"/>
          <w:lang w:val="en-US" w:eastAsia="en-ZA"/>
        </w:rPr>
        <w:t>n issue and that he could pay whatever the court decided was reasonable.</w:t>
      </w:r>
    </w:p>
    <w:p w14:paraId="6A44145C" w14:textId="5DE3BB36" w:rsidR="00CC0760" w:rsidRPr="00837116" w:rsidRDefault="00CC0760" w:rsidP="00CC0760">
      <w:pPr>
        <w:kinsoku w:val="0"/>
        <w:overflowPunct w:val="0"/>
        <w:spacing w:after="0" w:line="360" w:lineRule="auto"/>
        <w:ind w:right="-7"/>
        <w:jc w:val="both"/>
        <w:rPr>
          <w:rFonts w:ascii="Arial" w:eastAsiaTheme="minorEastAsia" w:hAnsi="Arial" w:cs="Arial"/>
          <w:sz w:val="24"/>
          <w:szCs w:val="24"/>
          <w:lang w:val="en-US" w:eastAsia="en-ZA"/>
        </w:rPr>
      </w:pPr>
    </w:p>
    <w:p w14:paraId="65C6C35E" w14:textId="1C9B19DA" w:rsidR="00077C35" w:rsidRPr="00097551" w:rsidRDefault="00E74425" w:rsidP="00077C35">
      <w:pPr>
        <w:numPr>
          <w:ilvl w:val="0"/>
          <w:numId w:val="2"/>
        </w:numPr>
        <w:kinsoku w:val="0"/>
        <w:overflowPunct w:val="0"/>
        <w:spacing w:after="0" w:line="360" w:lineRule="auto"/>
        <w:ind w:left="0" w:right="-7" w:firstLine="0"/>
        <w:jc w:val="both"/>
        <w:rPr>
          <w:rFonts w:ascii="Arial" w:hAnsi="Arial" w:cs="Arial"/>
          <w:sz w:val="24"/>
          <w:szCs w:val="24"/>
          <w:shd w:val="clear" w:color="auto" w:fill="FFFFFF"/>
        </w:rPr>
      </w:pPr>
      <w:r w:rsidRPr="00097551">
        <w:rPr>
          <w:rFonts w:ascii="Arial" w:hAnsi="Arial" w:cs="Arial"/>
          <w:sz w:val="24"/>
          <w:szCs w:val="24"/>
        </w:rPr>
        <w:t>Closely allied to the timing of the creation of the trust and the donation to it,</w:t>
      </w:r>
      <w:r w:rsidR="003732AA" w:rsidRPr="00097551">
        <w:rPr>
          <w:rFonts w:ascii="Arial" w:hAnsi="Arial" w:cs="Arial"/>
          <w:sz w:val="24"/>
          <w:szCs w:val="24"/>
        </w:rPr>
        <w:t xml:space="preserve"> are two further considerations, namely </w:t>
      </w:r>
      <w:r w:rsidR="00077C35" w:rsidRPr="00097551">
        <w:rPr>
          <w:rFonts w:ascii="Arial" w:hAnsi="Arial" w:cs="Arial"/>
          <w:sz w:val="24"/>
          <w:szCs w:val="24"/>
        </w:rPr>
        <w:t xml:space="preserve">(a) </w:t>
      </w:r>
      <w:r w:rsidR="003732AA" w:rsidRPr="00097551">
        <w:rPr>
          <w:rFonts w:ascii="Arial" w:hAnsi="Arial" w:cs="Arial"/>
          <w:sz w:val="24"/>
          <w:szCs w:val="24"/>
        </w:rPr>
        <w:t>the</w:t>
      </w:r>
      <w:r w:rsidR="00077C35" w:rsidRPr="00097551">
        <w:rPr>
          <w:rFonts w:ascii="Arial" w:hAnsi="Arial" w:cs="Arial"/>
          <w:sz w:val="24"/>
          <w:szCs w:val="24"/>
        </w:rPr>
        <w:t xml:space="preserve"> motivation why</w:t>
      </w:r>
      <w:r w:rsidR="003732AA" w:rsidRPr="00097551">
        <w:rPr>
          <w:rFonts w:ascii="Arial" w:hAnsi="Arial" w:cs="Arial"/>
          <w:sz w:val="24"/>
          <w:szCs w:val="24"/>
        </w:rPr>
        <w:t xml:space="preserve"> the applicant </w:t>
      </w:r>
      <w:r w:rsidR="00077C35" w:rsidRPr="00097551">
        <w:rPr>
          <w:rFonts w:ascii="Arial" w:hAnsi="Arial" w:cs="Arial"/>
          <w:sz w:val="24"/>
          <w:szCs w:val="24"/>
        </w:rPr>
        <w:t xml:space="preserve">sought legal advice </w:t>
      </w:r>
      <w:r w:rsidR="00E214E0" w:rsidRPr="00097551">
        <w:rPr>
          <w:rFonts w:ascii="Arial" w:hAnsi="Arial" w:cs="Arial"/>
          <w:sz w:val="24"/>
          <w:szCs w:val="24"/>
        </w:rPr>
        <w:t>about the creation of the trust, and</w:t>
      </w:r>
      <w:r w:rsidR="00077C35" w:rsidRPr="00097551">
        <w:rPr>
          <w:rFonts w:ascii="Arial" w:hAnsi="Arial" w:cs="Arial"/>
          <w:sz w:val="24"/>
          <w:szCs w:val="24"/>
        </w:rPr>
        <w:t xml:space="preserve"> (b)</w:t>
      </w:r>
      <w:r w:rsidR="00E214E0" w:rsidRPr="00097551">
        <w:rPr>
          <w:rFonts w:ascii="Arial" w:hAnsi="Arial" w:cs="Arial"/>
          <w:sz w:val="24"/>
          <w:szCs w:val="24"/>
        </w:rPr>
        <w:t xml:space="preserve"> the transfer of funds to the applicant’s father. </w:t>
      </w:r>
      <w:r w:rsidR="00077C35" w:rsidRPr="00097551">
        <w:rPr>
          <w:rFonts w:ascii="Arial" w:hAnsi="Arial" w:cs="Arial"/>
          <w:sz w:val="24"/>
          <w:szCs w:val="24"/>
        </w:rPr>
        <w:t>T</w:t>
      </w:r>
      <w:r w:rsidR="00E214E0" w:rsidRPr="00097551">
        <w:rPr>
          <w:rFonts w:ascii="Arial" w:hAnsi="Arial" w:cs="Arial"/>
          <w:shd w:val="clear" w:color="auto" w:fill="FFFFFF"/>
        </w:rPr>
        <w:t xml:space="preserve">he fact that, </w:t>
      </w:r>
      <w:r w:rsidR="00E214E0" w:rsidRPr="00097551">
        <w:rPr>
          <w:rFonts w:ascii="Arial" w:hAnsi="Arial" w:cs="Arial"/>
        </w:rPr>
        <w:t>prior to the creation of the trust, the applicant had sought legal advice on his liability to the respondent in respect of the respondent’s accrual claim, weighed heavily with the full court.</w:t>
      </w:r>
      <w:r w:rsidR="00E214E0" w:rsidRPr="00097551">
        <w:rPr>
          <w:rFonts w:ascii="Arial" w:hAnsi="Arial" w:cs="Arial"/>
          <w:iCs/>
        </w:rPr>
        <w:t xml:space="preserve"> It had regard to an affidavit submitted by Stokes</w:t>
      </w:r>
      <w:r w:rsidR="00E214E0" w:rsidRPr="00097551">
        <w:rPr>
          <w:rFonts w:ascii="Arial" w:hAnsi="Arial" w:cs="Arial"/>
        </w:rPr>
        <w:t xml:space="preserve"> SC, in which he set out the context in which the applicant had sought the opinion from him. In paragraph 4 of the affidavit, he mentioned that during preceding consultations, it emerged that the applicant ‘was very concerned about the amount he was likely to have to pay [the respondent] in terms of her accrual claim’. Stokes SC further mentioned that the applicant had previously consulted with another counsel on the same issue, but that he wanted a second opinion. </w:t>
      </w:r>
      <w:r w:rsidR="00E214E0" w:rsidRPr="00097551">
        <w:rPr>
          <w:rFonts w:ascii="Arial" w:hAnsi="Arial" w:cs="Arial"/>
          <w:shd w:val="clear" w:color="auto" w:fill="FFFFFF"/>
        </w:rPr>
        <w:t>This is an important consideration. It sets the tone for the creation of the trust and the donation to it, as well as the payment to the applicant’s father.</w:t>
      </w:r>
    </w:p>
    <w:p w14:paraId="4AD35953" w14:textId="370C840A" w:rsidR="003732AA" w:rsidRPr="00097551" w:rsidRDefault="003732AA" w:rsidP="009C627F">
      <w:pPr>
        <w:kinsoku w:val="0"/>
        <w:overflowPunct w:val="0"/>
        <w:spacing w:after="0" w:line="360" w:lineRule="auto"/>
        <w:ind w:right="-7"/>
        <w:jc w:val="both"/>
        <w:rPr>
          <w:rFonts w:ascii="Arial" w:hAnsi="Arial" w:cs="Arial"/>
          <w:sz w:val="24"/>
          <w:szCs w:val="24"/>
          <w:shd w:val="clear" w:color="auto" w:fill="FFFFFF"/>
        </w:rPr>
      </w:pPr>
    </w:p>
    <w:p w14:paraId="3F4D5F86" w14:textId="73F2EC0B" w:rsidR="002032E5" w:rsidRPr="00097551" w:rsidRDefault="00077C35" w:rsidP="004B04EE">
      <w:pPr>
        <w:numPr>
          <w:ilvl w:val="0"/>
          <w:numId w:val="2"/>
        </w:numPr>
        <w:kinsoku w:val="0"/>
        <w:overflowPunct w:val="0"/>
        <w:spacing w:after="0" w:line="360" w:lineRule="auto"/>
        <w:ind w:left="0" w:right="-7" w:firstLine="0"/>
        <w:jc w:val="both"/>
        <w:rPr>
          <w:rFonts w:ascii="Arial" w:hAnsi="Arial" w:cs="Arial"/>
          <w:sz w:val="24"/>
          <w:szCs w:val="24"/>
          <w:shd w:val="clear" w:color="auto" w:fill="FFFFFF"/>
        </w:rPr>
      </w:pPr>
      <w:r w:rsidRPr="00097551">
        <w:rPr>
          <w:rFonts w:ascii="Arial" w:hAnsi="Arial" w:cs="Arial"/>
          <w:sz w:val="24"/>
          <w:szCs w:val="24"/>
        </w:rPr>
        <w:t xml:space="preserve">As to </w:t>
      </w:r>
      <w:r w:rsidR="00E74425" w:rsidRPr="00097551">
        <w:rPr>
          <w:rFonts w:ascii="Arial" w:hAnsi="Arial" w:cs="Arial"/>
          <w:sz w:val="24"/>
          <w:szCs w:val="24"/>
        </w:rPr>
        <w:t xml:space="preserve">the </w:t>
      </w:r>
      <w:r w:rsidR="00344FA8" w:rsidRPr="00097551">
        <w:rPr>
          <w:rFonts w:ascii="Arial" w:hAnsi="Arial" w:cs="Arial"/>
          <w:sz w:val="24"/>
          <w:szCs w:val="24"/>
        </w:rPr>
        <w:t xml:space="preserve">transfer of funds </w:t>
      </w:r>
      <w:r w:rsidR="00E74425" w:rsidRPr="00097551">
        <w:rPr>
          <w:rFonts w:ascii="Arial" w:hAnsi="Arial" w:cs="Arial"/>
          <w:sz w:val="24"/>
          <w:szCs w:val="24"/>
        </w:rPr>
        <w:t>to the applicant’s father</w:t>
      </w:r>
      <w:r w:rsidR="004B04EE" w:rsidRPr="00097551">
        <w:rPr>
          <w:rFonts w:ascii="Arial" w:hAnsi="Arial" w:cs="Arial"/>
          <w:sz w:val="24"/>
          <w:szCs w:val="24"/>
        </w:rPr>
        <w:t>,</w:t>
      </w:r>
      <w:r w:rsidR="002032E5" w:rsidRPr="00097551">
        <w:rPr>
          <w:rFonts w:ascii="Arial" w:hAnsi="Arial" w:cs="Arial"/>
          <w:sz w:val="24"/>
          <w:szCs w:val="24"/>
        </w:rPr>
        <w:t xml:space="preserve"> I mentioned earlier that</w:t>
      </w:r>
      <w:r w:rsidR="002032E5" w:rsidRPr="00097551">
        <w:rPr>
          <w:rFonts w:ascii="Arial" w:hAnsi="Arial" w:cs="Arial"/>
          <w:i/>
          <w:iCs/>
          <w:sz w:val="24"/>
          <w:szCs w:val="24"/>
        </w:rPr>
        <w:t xml:space="preserve"> </w:t>
      </w:r>
      <w:r w:rsidR="002032E5" w:rsidRPr="00097551">
        <w:rPr>
          <w:rFonts w:ascii="Arial" w:hAnsi="Arial" w:cs="Arial"/>
          <w:sz w:val="24"/>
          <w:szCs w:val="24"/>
          <w:shd w:val="clear" w:color="auto" w:fill="FFFFFF"/>
        </w:rPr>
        <w:t>the applicant abandoned the appeal in respect thereof before the full court. Despite this, it remains a relevant consideration in the overall assessment of the applicant’s</w:t>
      </w:r>
      <w:r w:rsidRPr="00097551">
        <w:rPr>
          <w:rFonts w:ascii="Arial" w:hAnsi="Arial" w:cs="Arial"/>
          <w:sz w:val="24"/>
          <w:szCs w:val="24"/>
          <w:shd w:val="clear" w:color="auto" w:fill="FFFFFF"/>
        </w:rPr>
        <w:t xml:space="preserve"> motive</w:t>
      </w:r>
      <w:r w:rsidR="002032E5" w:rsidRPr="00097551">
        <w:rPr>
          <w:rFonts w:ascii="Arial" w:hAnsi="Arial" w:cs="Arial"/>
          <w:sz w:val="24"/>
          <w:szCs w:val="24"/>
          <w:shd w:val="clear" w:color="auto" w:fill="FFFFFF"/>
        </w:rPr>
        <w:t xml:space="preserve">. The payment was made at the same time as the donation to the trust, and from the same funds. This aspect is particularly important for two reasons. First, before he reflected the ‘loan’ on his balance sheet for the first time before the trial commenced in February 2015, the applicant had not made any mention of it. As mentioned already, the parties were, during the subsistence of the marriage, transparent with each other on financial matters. If it was a genuine loan, the applicant would likely have informed the respondent about it. </w:t>
      </w:r>
      <w:r w:rsidR="00E74425" w:rsidRPr="00097551">
        <w:rPr>
          <w:rFonts w:ascii="Arial" w:hAnsi="Arial" w:cs="Arial"/>
          <w:sz w:val="24"/>
          <w:szCs w:val="24"/>
          <w:shd w:val="clear" w:color="auto" w:fill="FFFFFF"/>
        </w:rPr>
        <w:t>Second</w:t>
      </w:r>
      <w:r w:rsidR="002032E5" w:rsidRPr="00097551">
        <w:rPr>
          <w:rFonts w:ascii="Arial" w:hAnsi="Arial" w:cs="Arial"/>
          <w:sz w:val="24"/>
          <w:szCs w:val="24"/>
          <w:shd w:val="clear" w:color="auto" w:fill="FFFFFF"/>
        </w:rPr>
        <w:t xml:space="preserve">, there is no explanation as to why the loan had not been paid since 1990. It seems to be common cause that the applicant would have been able to repay it earlier. But he chose to repay it just before the respondent’s accrual claim was to be determined in court. Therefore, the timing of the applicant’s payment to his father strongly suggests that the ‘loan’, together with the donation to </w:t>
      </w:r>
      <w:r w:rsidR="002032E5" w:rsidRPr="00097551">
        <w:rPr>
          <w:rFonts w:ascii="Arial" w:hAnsi="Arial" w:cs="Arial"/>
          <w:sz w:val="24"/>
          <w:szCs w:val="24"/>
          <w:shd w:val="clear" w:color="auto" w:fill="FFFFFF"/>
        </w:rPr>
        <w:lastRenderedPageBreak/>
        <w:t>the trust, were both part of the applicant’s stratagem to reduce his accrual liability to the respondent.</w:t>
      </w:r>
    </w:p>
    <w:p w14:paraId="210982BC" w14:textId="77777777" w:rsidR="004B04EE" w:rsidRPr="00097551" w:rsidRDefault="004B04EE" w:rsidP="009C627F">
      <w:pPr>
        <w:kinsoku w:val="0"/>
        <w:overflowPunct w:val="0"/>
        <w:spacing w:after="0" w:line="360" w:lineRule="auto"/>
        <w:ind w:right="-7"/>
        <w:jc w:val="both"/>
        <w:rPr>
          <w:rFonts w:ascii="Arial" w:hAnsi="Arial" w:cs="Arial"/>
          <w:sz w:val="24"/>
          <w:szCs w:val="24"/>
          <w:shd w:val="clear" w:color="auto" w:fill="FFFFFF"/>
        </w:rPr>
      </w:pPr>
    </w:p>
    <w:p w14:paraId="6C8D0B41" w14:textId="053B8B0D" w:rsidR="00344FA8" w:rsidRPr="00097551" w:rsidRDefault="004B04EE" w:rsidP="004B04EE">
      <w:pPr>
        <w:numPr>
          <w:ilvl w:val="0"/>
          <w:numId w:val="2"/>
        </w:numPr>
        <w:kinsoku w:val="0"/>
        <w:overflowPunct w:val="0"/>
        <w:spacing w:after="360" w:line="360" w:lineRule="auto"/>
        <w:ind w:left="0" w:right="-7" w:firstLine="0"/>
        <w:jc w:val="both"/>
        <w:rPr>
          <w:rFonts w:ascii="Arial" w:hAnsi="Arial" w:cs="Arial"/>
          <w:sz w:val="24"/>
          <w:szCs w:val="24"/>
          <w:shd w:val="clear" w:color="auto" w:fill="FFFFFF"/>
        </w:rPr>
      </w:pPr>
      <w:r w:rsidRPr="00097551">
        <w:rPr>
          <w:rFonts w:ascii="Arial" w:eastAsiaTheme="minorEastAsia" w:hAnsi="Arial" w:cs="Arial"/>
          <w:sz w:val="24"/>
          <w:szCs w:val="24"/>
          <w:lang w:val="en-US" w:eastAsia="en-ZA"/>
        </w:rPr>
        <w:t xml:space="preserve">Although the timing of the creation is not decisive, given what is stated above, it is one of the most important considerations. The applicant has not explained why he could not create the trust after the finalisation of the divorce and payment of the respondent’s accrual. The inference is thus irresistible that the creation of the trust, and the hasty donation to it, were meant to thwart the respondent’s accrual claim. </w:t>
      </w:r>
    </w:p>
    <w:p w14:paraId="185D0113" w14:textId="7641373A" w:rsidR="00F84AD4" w:rsidRPr="00097551" w:rsidRDefault="00F84AD4" w:rsidP="009C627F">
      <w:pPr>
        <w:kinsoku w:val="0"/>
        <w:overflowPunct w:val="0"/>
        <w:spacing w:after="0" w:line="360" w:lineRule="auto"/>
        <w:ind w:right="-7"/>
        <w:jc w:val="both"/>
        <w:rPr>
          <w:rFonts w:ascii="Arial" w:eastAsiaTheme="minorEastAsia" w:hAnsi="Arial" w:cs="Arial"/>
          <w:i/>
          <w:iCs/>
          <w:sz w:val="24"/>
          <w:szCs w:val="24"/>
          <w:lang w:val="en-US" w:eastAsia="en-ZA"/>
        </w:rPr>
      </w:pPr>
      <w:bookmarkStart w:id="32" w:name="_Hlk106375325"/>
      <w:r w:rsidRPr="00097551">
        <w:rPr>
          <w:rFonts w:ascii="Arial" w:hAnsi="Arial" w:cs="Arial"/>
          <w:i/>
          <w:iCs/>
          <w:sz w:val="24"/>
          <w:szCs w:val="24"/>
          <w:shd w:val="clear" w:color="auto" w:fill="FFFFFF"/>
        </w:rPr>
        <w:t>T</w:t>
      </w:r>
      <w:r w:rsidR="006C6034" w:rsidRPr="00097551">
        <w:rPr>
          <w:rFonts w:ascii="Arial" w:hAnsi="Arial" w:cs="Arial"/>
          <w:i/>
          <w:iCs/>
          <w:sz w:val="24"/>
          <w:szCs w:val="24"/>
          <w:shd w:val="clear" w:color="auto" w:fill="FFFFFF"/>
        </w:rPr>
        <w:t xml:space="preserve">he </w:t>
      </w:r>
      <w:r w:rsidR="00A258FA" w:rsidRPr="00097551">
        <w:rPr>
          <w:rFonts w:ascii="Arial" w:hAnsi="Arial" w:cs="Arial"/>
          <w:i/>
          <w:iCs/>
          <w:sz w:val="24"/>
          <w:szCs w:val="24"/>
          <w:shd w:val="clear" w:color="auto" w:fill="FFFFFF"/>
        </w:rPr>
        <w:t xml:space="preserve">trust was established in </w:t>
      </w:r>
      <w:r w:rsidR="006C6034" w:rsidRPr="00097551">
        <w:rPr>
          <w:rFonts w:ascii="Arial" w:hAnsi="Arial" w:cs="Arial"/>
          <w:i/>
          <w:iCs/>
          <w:sz w:val="24"/>
          <w:szCs w:val="24"/>
          <w:shd w:val="clear" w:color="auto" w:fill="FFFFFF"/>
        </w:rPr>
        <w:t xml:space="preserve">the </w:t>
      </w:r>
      <w:r w:rsidR="00A258FA" w:rsidRPr="00097551">
        <w:rPr>
          <w:rFonts w:ascii="Arial" w:hAnsi="Arial" w:cs="Arial"/>
          <w:i/>
          <w:iCs/>
          <w:sz w:val="24"/>
          <w:szCs w:val="24"/>
          <w:shd w:val="clear" w:color="auto" w:fill="FFFFFF"/>
        </w:rPr>
        <w:t>British Virgin Islands</w:t>
      </w:r>
      <w:r w:rsidR="00F25D82" w:rsidRPr="00097551">
        <w:rPr>
          <w:rFonts w:ascii="Arial" w:hAnsi="Arial" w:cs="Arial"/>
          <w:i/>
          <w:iCs/>
          <w:sz w:val="24"/>
          <w:szCs w:val="24"/>
          <w:shd w:val="clear" w:color="auto" w:fill="FFFFFF"/>
        </w:rPr>
        <w:t xml:space="preserve"> </w:t>
      </w:r>
    </w:p>
    <w:bookmarkEnd w:id="32"/>
    <w:p w14:paraId="07C2F22C" w14:textId="6530B357" w:rsidR="005E0169" w:rsidRPr="00097551" w:rsidRDefault="006C6034" w:rsidP="00CC0760">
      <w:pPr>
        <w:numPr>
          <w:ilvl w:val="0"/>
          <w:numId w:val="2"/>
        </w:numPr>
        <w:kinsoku w:val="0"/>
        <w:overflowPunct w:val="0"/>
        <w:spacing w:after="0" w:line="360" w:lineRule="auto"/>
        <w:ind w:left="0" w:right="-7" w:firstLine="0"/>
        <w:jc w:val="both"/>
        <w:rPr>
          <w:rFonts w:ascii="Arial" w:eastAsiaTheme="minorEastAsia" w:hAnsi="Arial" w:cs="Arial"/>
          <w:sz w:val="24"/>
          <w:szCs w:val="24"/>
          <w:lang w:val="en-US" w:eastAsia="en-ZA"/>
        </w:rPr>
      </w:pPr>
      <w:r w:rsidRPr="00097551">
        <w:rPr>
          <w:rFonts w:ascii="Arial" w:hAnsi="Arial" w:cs="Arial"/>
          <w:sz w:val="24"/>
          <w:szCs w:val="24"/>
          <w:shd w:val="clear" w:color="auto" w:fill="FFFFFF"/>
        </w:rPr>
        <w:t>The high court considered this a relevant factor</w:t>
      </w:r>
      <w:r w:rsidR="0099511F" w:rsidRPr="00097551">
        <w:rPr>
          <w:rFonts w:ascii="Arial" w:hAnsi="Arial" w:cs="Arial"/>
          <w:sz w:val="24"/>
          <w:szCs w:val="24"/>
          <w:shd w:val="clear" w:color="auto" w:fill="FFFFFF"/>
        </w:rPr>
        <w:t>,</w:t>
      </w:r>
      <w:r w:rsidRPr="00097551">
        <w:rPr>
          <w:rFonts w:ascii="Arial" w:hAnsi="Arial" w:cs="Arial"/>
          <w:sz w:val="24"/>
          <w:szCs w:val="24"/>
          <w:shd w:val="clear" w:color="auto" w:fill="FFFFFF"/>
        </w:rPr>
        <w:t xml:space="preserve"> </w:t>
      </w:r>
      <w:r w:rsidR="00A258FA" w:rsidRPr="00097551">
        <w:rPr>
          <w:rFonts w:ascii="Arial" w:hAnsi="Arial" w:cs="Arial"/>
          <w:sz w:val="24"/>
          <w:szCs w:val="24"/>
          <w:shd w:val="clear" w:color="auto" w:fill="FFFFFF"/>
        </w:rPr>
        <w:t xml:space="preserve">because any attempt by the respondent to challenge the manner in which the trust was being managed or to seek to recover assets from it </w:t>
      </w:r>
      <w:r w:rsidR="00136663" w:rsidRPr="00097551">
        <w:rPr>
          <w:rFonts w:ascii="Arial" w:hAnsi="Arial" w:cs="Arial"/>
          <w:sz w:val="24"/>
          <w:szCs w:val="24"/>
          <w:shd w:val="clear" w:color="auto" w:fill="FFFFFF"/>
        </w:rPr>
        <w:t>wa</w:t>
      </w:r>
      <w:r w:rsidR="00A258FA" w:rsidRPr="00097551">
        <w:rPr>
          <w:rFonts w:ascii="Arial" w:hAnsi="Arial" w:cs="Arial"/>
          <w:sz w:val="24"/>
          <w:szCs w:val="24"/>
          <w:shd w:val="clear" w:color="auto" w:fill="FFFFFF"/>
        </w:rPr>
        <w:t>s made more difficult and expensive by the simple reason that it is in a foreign jurisdiction. It seems that the applicant’s wish was to place the trust and the donation made to it out of the respondent’s reach. There is no credible explanation why the trust could not be created in South Africa.</w:t>
      </w:r>
    </w:p>
    <w:p w14:paraId="29D488E8" w14:textId="14C00E39" w:rsidR="00CC0760" w:rsidRPr="00097551" w:rsidRDefault="00CC0760" w:rsidP="00CC0760">
      <w:pPr>
        <w:kinsoku w:val="0"/>
        <w:overflowPunct w:val="0"/>
        <w:spacing w:after="0" w:line="360" w:lineRule="auto"/>
        <w:ind w:right="-7"/>
        <w:jc w:val="both"/>
        <w:rPr>
          <w:rFonts w:ascii="Arial" w:eastAsiaTheme="minorEastAsia" w:hAnsi="Arial" w:cs="Arial"/>
          <w:sz w:val="24"/>
          <w:szCs w:val="24"/>
          <w:lang w:val="en-US" w:eastAsia="en-ZA"/>
        </w:rPr>
      </w:pPr>
    </w:p>
    <w:p w14:paraId="1CC0B99E" w14:textId="05BD7EEF" w:rsidR="00F84AD4" w:rsidRPr="00097551" w:rsidRDefault="00244487" w:rsidP="009C627F">
      <w:pPr>
        <w:kinsoku w:val="0"/>
        <w:overflowPunct w:val="0"/>
        <w:spacing w:after="0" w:line="360" w:lineRule="auto"/>
        <w:ind w:right="-7"/>
        <w:jc w:val="both"/>
        <w:rPr>
          <w:rFonts w:ascii="Arial" w:eastAsiaTheme="minorEastAsia" w:hAnsi="Arial" w:cs="Arial"/>
          <w:sz w:val="24"/>
          <w:szCs w:val="24"/>
          <w:lang w:val="en-US" w:eastAsia="en-ZA"/>
        </w:rPr>
      </w:pPr>
      <w:bookmarkStart w:id="33" w:name="_Hlk106375352"/>
      <w:r w:rsidRPr="00097551">
        <w:rPr>
          <w:rFonts w:ascii="Arial" w:hAnsi="Arial" w:cs="Arial"/>
          <w:i/>
          <w:iCs/>
          <w:sz w:val="24"/>
          <w:szCs w:val="24"/>
          <w:shd w:val="clear" w:color="auto" w:fill="FFFFFF"/>
        </w:rPr>
        <w:t>No</w:t>
      </w:r>
      <w:r w:rsidR="00911C92" w:rsidRPr="00097551">
        <w:rPr>
          <w:rFonts w:ascii="Arial" w:hAnsi="Arial" w:cs="Arial"/>
          <w:i/>
          <w:iCs/>
          <w:sz w:val="24"/>
          <w:szCs w:val="24"/>
          <w:shd w:val="clear" w:color="auto" w:fill="FFFFFF"/>
        </w:rPr>
        <w:t xml:space="preserve"> consult</w:t>
      </w:r>
      <w:r w:rsidRPr="00097551">
        <w:rPr>
          <w:rFonts w:ascii="Arial" w:hAnsi="Arial" w:cs="Arial"/>
          <w:i/>
          <w:iCs/>
          <w:sz w:val="24"/>
          <w:szCs w:val="24"/>
          <w:shd w:val="clear" w:color="auto" w:fill="FFFFFF"/>
        </w:rPr>
        <w:t>ation with</w:t>
      </w:r>
      <w:r w:rsidR="00911C92" w:rsidRPr="00097551">
        <w:rPr>
          <w:rFonts w:ascii="Arial" w:hAnsi="Arial" w:cs="Arial"/>
          <w:i/>
          <w:iCs/>
          <w:sz w:val="24"/>
          <w:szCs w:val="24"/>
          <w:shd w:val="clear" w:color="auto" w:fill="FFFFFF"/>
        </w:rPr>
        <w:t xml:space="preserve"> the respondent about the creation of the trust</w:t>
      </w:r>
      <w:r w:rsidR="007B6770" w:rsidRPr="00097551">
        <w:rPr>
          <w:rFonts w:ascii="Arial" w:hAnsi="Arial" w:cs="Arial"/>
          <w:sz w:val="24"/>
          <w:szCs w:val="24"/>
          <w:shd w:val="clear" w:color="auto" w:fill="FFFFFF"/>
        </w:rPr>
        <w:t xml:space="preserve"> </w:t>
      </w:r>
    </w:p>
    <w:bookmarkEnd w:id="33"/>
    <w:p w14:paraId="7CC450D8" w14:textId="7E0233CF" w:rsidR="0088109C" w:rsidRPr="00097551" w:rsidRDefault="00710126" w:rsidP="0088109C">
      <w:pPr>
        <w:numPr>
          <w:ilvl w:val="0"/>
          <w:numId w:val="2"/>
        </w:numPr>
        <w:kinsoku w:val="0"/>
        <w:overflowPunct w:val="0"/>
        <w:spacing w:after="0" w:line="360" w:lineRule="auto"/>
        <w:ind w:left="0" w:right="-7" w:firstLine="0"/>
        <w:jc w:val="both"/>
        <w:rPr>
          <w:rFonts w:ascii="Arial" w:eastAsiaTheme="minorEastAsia" w:hAnsi="Arial" w:cs="Arial"/>
          <w:sz w:val="24"/>
          <w:szCs w:val="24"/>
          <w:lang w:val="en-US" w:eastAsia="en-ZA"/>
        </w:rPr>
      </w:pPr>
      <w:r w:rsidRPr="00097551">
        <w:rPr>
          <w:rFonts w:ascii="Arial" w:hAnsi="Arial" w:cs="Arial"/>
          <w:sz w:val="24"/>
          <w:szCs w:val="24"/>
          <w:shd w:val="clear" w:color="auto" w:fill="FFFFFF"/>
        </w:rPr>
        <w:t>T</w:t>
      </w:r>
      <w:r w:rsidR="00A56398" w:rsidRPr="00097551">
        <w:rPr>
          <w:rFonts w:ascii="Arial" w:hAnsi="Arial" w:cs="Arial"/>
          <w:sz w:val="24"/>
          <w:szCs w:val="24"/>
          <w:shd w:val="clear" w:color="auto" w:fill="FFFFFF"/>
        </w:rPr>
        <w:t>he</w:t>
      </w:r>
      <w:r w:rsidR="007B6770" w:rsidRPr="00097551">
        <w:rPr>
          <w:rFonts w:ascii="Arial" w:hAnsi="Arial" w:cs="Arial"/>
          <w:sz w:val="24"/>
          <w:szCs w:val="24"/>
          <w:shd w:val="clear" w:color="auto" w:fill="FFFFFF"/>
        </w:rPr>
        <w:t xml:space="preserve"> applicant’s retort </w:t>
      </w:r>
      <w:r w:rsidRPr="00097551">
        <w:rPr>
          <w:rFonts w:ascii="Arial" w:hAnsi="Arial" w:cs="Arial"/>
          <w:sz w:val="24"/>
          <w:szCs w:val="24"/>
          <w:shd w:val="clear" w:color="auto" w:fill="FFFFFF"/>
        </w:rPr>
        <w:t xml:space="preserve">is </w:t>
      </w:r>
      <w:r w:rsidR="007B6770" w:rsidRPr="00097551">
        <w:rPr>
          <w:rFonts w:ascii="Arial" w:hAnsi="Arial" w:cs="Arial"/>
          <w:sz w:val="24"/>
          <w:szCs w:val="24"/>
          <w:shd w:val="clear" w:color="auto" w:fill="FFFFFF"/>
        </w:rPr>
        <w:t xml:space="preserve">that because </w:t>
      </w:r>
      <w:r w:rsidR="002F5BEB" w:rsidRPr="00097551">
        <w:rPr>
          <w:rFonts w:ascii="Arial" w:hAnsi="Arial" w:cs="Arial"/>
          <w:sz w:val="24"/>
          <w:szCs w:val="24"/>
          <w:shd w:val="clear" w:color="auto" w:fill="FFFFFF"/>
        </w:rPr>
        <w:t>the parties were married out of community of property, he was free to do as he pleased with his separate asset. However, this disregards the fact that the parties had historically</w:t>
      </w:r>
      <w:r w:rsidR="001011A7" w:rsidRPr="00097551">
        <w:rPr>
          <w:rFonts w:ascii="Arial" w:hAnsi="Arial" w:cs="Arial"/>
          <w:sz w:val="24"/>
          <w:szCs w:val="24"/>
          <w:shd w:val="clear" w:color="auto" w:fill="FFFFFF"/>
        </w:rPr>
        <w:t xml:space="preserve"> consulted each other in respect of major financial matters, including the acquisition and disposal of immovable property. Also, the parties had pooled assets and acquired many of them jointly. </w:t>
      </w:r>
      <w:r w:rsidR="0099511F" w:rsidRPr="00097551">
        <w:rPr>
          <w:rFonts w:ascii="Arial" w:hAnsi="Arial" w:cs="Arial"/>
          <w:sz w:val="24"/>
          <w:szCs w:val="24"/>
          <w:shd w:val="clear" w:color="auto" w:fill="FFFFFF"/>
        </w:rPr>
        <w:t xml:space="preserve">Furthermore, the trust and donation were purportedly made </w:t>
      </w:r>
      <w:r w:rsidR="00567508" w:rsidRPr="00097551">
        <w:rPr>
          <w:rFonts w:ascii="Arial" w:hAnsi="Arial" w:cs="Arial"/>
          <w:sz w:val="24"/>
          <w:szCs w:val="24"/>
          <w:shd w:val="clear" w:color="auto" w:fill="FFFFFF"/>
        </w:rPr>
        <w:t xml:space="preserve">for </w:t>
      </w:r>
      <w:r w:rsidR="0099511F" w:rsidRPr="00097551">
        <w:rPr>
          <w:rFonts w:ascii="Arial" w:hAnsi="Arial" w:cs="Arial"/>
          <w:sz w:val="24"/>
          <w:szCs w:val="24"/>
          <w:shd w:val="clear" w:color="auto" w:fill="FFFFFF"/>
        </w:rPr>
        <w:t xml:space="preserve">the benefit of their daughter. This is a </w:t>
      </w:r>
      <w:r w:rsidR="000A7721" w:rsidRPr="00097551">
        <w:rPr>
          <w:rFonts w:ascii="Arial" w:hAnsi="Arial" w:cs="Arial"/>
          <w:sz w:val="24"/>
          <w:szCs w:val="24"/>
          <w:shd w:val="clear" w:color="auto" w:fill="FFFFFF"/>
        </w:rPr>
        <w:t xml:space="preserve">significant </w:t>
      </w:r>
      <w:r w:rsidR="0099511F" w:rsidRPr="00097551">
        <w:rPr>
          <w:rFonts w:ascii="Arial" w:hAnsi="Arial" w:cs="Arial"/>
          <w:sz w:val="24"/>
          <w:szCs w:val="24"/>
          <w:shd w:val="clear" w:color="auto" w:fill="FFFFFF"/>
        </w:rPr>
        <w:t xml:space="preserve">financial decision affecting one’s child to which the mother would ordinarily have been privy. </w:t>
      </w:r>
      <w:r w:rsidR="001011A7" w:rsidRPr="00097551">
        <w:rPr>
          <w:rFonts w:ascii="Arial" w:hAnsi="Arial" w:cs="Arial"/>
          <w:sz w:val="24"/>
          <w:szCs w:val="24"/>
          <w:shd w:val="clear" w:color="auto" w:fill="FFFFFF"/>
        </w:rPr>
        <w:t>Given these considerations, the fact that the respondent was not consulted on the creation of the trust, stands out oddly, and assumes some importance</w:t>
      </w:r>
      <w:r w:rsidR="00356780" w:rsidRPr="00097551">
        <w:rPr>
          <w:rFonts w:ascii="Arial" w:hAnsi="Arial" w:cs="Arial"/>
          <w:sz w:val="24"/>
          <w:szCs w:val="24"/>
          <w:shd w:val="clear" w:color="auto" w:fill="FFFFFF"/>
        </w:rPr>
        <w:t xml:space="preserve">. This is </w:t>
      </w:r>
      <w:r w:rsidR="00772145" w:rsidRPr="00097551">
        <w:rPr>
          <w:rFonts w:ascii="Arial" w:hAnsi="Arial" w:cs="Arial"/>
          <w:sz w:val="24"/>
          <w:szCs w:val="24"/>
          <w:shd w:val="clear" w:color="auto" w:fill="FFFFFF"/>
        </w:rPr>
        <w:t xml:space="preserve">particularly </w:t>
      </w:r>
      <w:r w:rsidR="00356780" w:rsidRPr="00097551">
        <w:rPr>
          <w:rFonts w:ascii="Arial" w:hAnsi="Arial" w:cs="Arial"/>
          <w:sz w:val="24"/>
          <w:szCs w:val="24"/>
          <w:shd w:val="clear" w:color="auto" w:fill="FFFFFF"/>
        </w:rPr>
        <w:t xml:space="preserve">so in the light of the respondent’s contingent right to share in the accrual, as mentioned earlier. </w:t>
      </w:r>
    </w:p>
    <w:p w14:paraId="50996050" w14:textId="77777777" w:rsidR="00F84AD4" w:rsidRPr="00097551" w:rsidRDefault="00F84AD4" w:rsidP="009C627F">
      <w:pPr>
        <w:rPr>
          <w:rFonts w:ascii="Arial" w:hAnsi="Arial" w:cs="Arial"/>
          <w:sz w:val="24"/>
          <w:szCs w:val="24"/>
          <w:shd w:val="clear" w:color="auto" w:fill="FFFFFF"/>
        </w:rPr>
      </w:pPr>
    </w:p>
    <w:p w14:paraId="5B5EE830" w14:textId="3E0487E5" w:rsidR="00F84AD4" w:rsidRPr="00097551" w:rsidRDefault="00244487" w:rsidP="009C627F">
      <w:pPr>
        <w:kinsoku w:val="0"/>
        <w:overflowPunct w:val="0"/>
        <w:spacing w:after="0" w:line="360" w:lineRule="auto"/>
        <w:ind w:right="-7"/>
        <w:jc w:val="both"/>
        <w:rPr>
          <w:rFonts w:ascii="Arial" w:eastAsiaTheme="minorEastAsia" w:hAnsi="Arial" w:cs="Arial"/>
          <w:i/>
          <w:iCs/>
          <w:sz w:val="24"/>
          <w:szCs w:val="24"/>
          <w:lang w:val="en-US" w:eastAsia="en-ZA"/>
        </w:rPr>
      </w:pPr>
      <w:bookmarkStart w:id="34" w:name="_Hlk106375374"/>
      <w:r w:rsidRPr="00097551">
        <w:rPr>
          <w:rFonts w:ascii="Arial" w:hAnsi="Arial" w:cs="Arial"/>
          <w:i/>
          <w:iCs/>
          <w:sz w:val="24"/>
          <w:szCs w:val="24"/>
          <w:shd w:val="clear" w:color="auto" w:fill="FFFFFF"/>
        </w:rPr>
        <w:t>N</w:t>
      </w:r>
      <w:r w:rsidR="00911C92" w:rsidRPr="00097551">
        <w:rPr>
          <w:rFonts w:ascii="Arial" w:hAnsi="Arial" w:cs="Arial"/>
          <w:i/>
          <w:iCs/>
          <w:sz w:val="24"/>
          <w:szCs w:val="24"/>
          <w:shd w:val="clear" w:color="auto" w:fill="FFFFFF"/>
        </w:rPr>
        <w:t xml:space="preserve">o </w:t>
      </w:r>
      <w:r w:rsidR="000064EA" w:rsidRPr="00097551">
        <w:rPr>
          <w:rFonts w:ascii="Arial" w:hAnsi="Arial" w:cs="Arial"/>
          <w:i/>
          <w:iCs/>
          <w:sz w:val="24"/>
          <w:szCs w:val="24"/>
          <w:shd w:val="clear" w:color="auto" w:fill="FFFFFF"/>
        </w:rPr>
        <w:t xml:space="preserve">immediate </w:t>
      </w:r>
      <w:r w:rsidR="00911C92" w:rsidRPr="00097551">
        <w:rPr>
          <w:rFonts w:ascii="Arial" w:hAnsi="Arial" w:cs="Arial"/>
          <w:i/>
          <w:iCs/>
          <w:sz w:val="24"/>
          <w:szCs w:val="24"/>
          <w:shd w:val="clear" w:color="auto" w:fill="FFFFFF"/>
        </w:rPr>
        <w:t>need to provide for the maintenance of the child</w:t>
      </w:r>
    </w:p>
    <w:bookmarkEnd w:id="34"/>
    <w:p w14:paraId="157E2731" w14:textId="1CEFA1E1" w:rsidR="00CC0760" w:rsidRPr="00097551" w:rsidRDefault="002D6321" w:rsidP="00CC0760">
      <w:pPr>
        <w:numPr>
          <w:ilvl w:val="0"/>
          <w:numId w:val="2"/>
        </w:numPr>
        <w:kinsoku w:val="0"/>
        <w:overflowPunct w:val="0"/>
        <w:spacing w:after="0" w:line="360" w:lineRule="auto"/>
        <w:ind w:left="0" w:right="-7" w:firstLine="0"/>
        <w:jc w:val="both"/>
        <w:rPr>
          <w:rFonts w:ascii="Arial" w:eastAsiaTheme="minorEastAsia" w:hAnsi="Arial" w:cs="Arial"/>
          <w:sz w:val="24"/>
          <w:szCs w:val="24"/>
          <w:lang w:val="en-US" w:eastAsia="en-ZA"/>
        </w:rPr>
      </w:pPr>
      <w:r w:rsidRPr="00097551">
        <w:rPr>
          <w:rFonts w:ascii="Arial" w:hAnsi="Arial" w:cs="Arial"/>
          <w:sz w:val="24"/>
          <w:szCs w:val="24"/>
          <w:shd w:val="clear" w:color="auto" w:fill="FFFFFF"/>
        </w:rPr>
        <w:t>The applicant suggested that the creation of the trust was reasonable</w:t>
      </w:r>
      <w:r w:rsidR="000A7721" w:rsidRPr="00097551">
        <w:rPr>
          <w:rFonts w:ascii="Arial" w:hAnsi="Arial" w:cs="Arial"/>
          <w:sz w:val="24"/>
          <w:szCs w:val="24"/>
          <w:shd w:val="clear" w:color="auto" w:fill="FFFFFF"/>
        </w:rPr>
        <w:t>,</w:t>
      </w:r>
      <w:r w:rsidRPr="00097551">
        <w:rPr>
          <w:rFonts w:ascii="Arial" w:hAnsi="Arial" w:cs="Arial"/>
          <w:sz w:val="24"/>
          <w:szCs w:val="24"/>
          <w:shd w:val="clear" w:color="auto" w:fill="FFFFFF"/>
        </w:rPr>
        <w:t xml:space="preserve"> in case </w:t>
      </w:r>
      <w:r w:rsidR="006B2060" w:rsidRPr="00097551">
        <w:rPr>
          <w:rFonts w:ascii="Arial" w:hAnsi="Arial" w:cs="Arial"/>
          <w:sz w:val="24"/>
          <w:szCs w:val="24"/>
          <w:shd w:val="clear" w:color="auto" w:fill="FFFFFF"/>
        </w:rPr>
        <w:t xml:space="preserve">he </w:t>
      </w:r>
      <w:r w:rsidRPr="00097551">
        <w:rPr>
          <w:rFonts w:ascii="Arial" w:hAnsi="Arial" w:cs="Arial"/>
          <w:sz w:val="24"/>
          <w:szCs w:val="24"/>
          <w:shd w:val="clear" w:color="auto" w:fill="FFFFFF"/>
        </w:rPr>
        <w:t>had more children in the future</w:t>
      </w:r>
      <w:r w:rsidR="000A7721" w:rsidRPr="00097551">
        <w:rPr>
          <w:rFonts w:ascii="Arial" w:hAnsi="Arial" w:cs="Arial"/>
          <w:sz w:val="24"/>
          <w:szCs w:val="24"/>
          <w:shd w:val="clear" w:color="auto" w:fill="FFFFFF"/>
        </w:rPr>
        <w:t>,</w:t>
      </w:r>
      <w:r w:rsidRPr="00097551">
        <w:rPr>
          <w:rFonts w:ascii="Arial" w:hAnsi="Arial" w:cs="Arial"/>
          <w:sz w:val="24"/>
          <w:szCs w:val="24"/>
          <w:shd w:val="clear" w:color="auto" w:fill="FFFFFF"/>
        </w:rPr>
        <w:t xml:space="preserve"> or </w:t>
      </w:r>
      <w:r w:rsidR="000A7721" w:rsidRPr="00097551">
        <w:rPr>
          <w:rFonts w:ascii="Arial" w:hAnsi="Arial" w:cs="Arial"/>
          <w:sz w:val="24"/>
          <w:szCs w:val="24"/>
          <w:shd w:val="clear" w:color="auto" w:fill="FFFFFF"/>
        </w:rPr>
        <w:t xml:space="preserve">in the event that he </w:t>
      </w:r>
      <w:r w:rsidRPr="00097551">
        <w:rPr>
          <w:rFonts w:ascii="Arial" w:hAnsi="Arial" w:cs="Arial"/>
          <w:sz w:val="24"/>
          <w:szCs w:val="24"/>
          <w:shd w:val="clear" w:color="auto" w:fill="FFFFFF"/>
        </w:rPr>
        <w:t>might die</w:t>
      </w:r>
      <w:r w:rsidR="000A7721" w:rsidRPr="00097551">
        <w:rPr>
          <w:rFonts w:ascii="Arial" w:hAnsi="Arial" w:cs="Arial"/>
          <w:sz w:val="24"/>
          <w:szCs w:val="24"/>
          <w:shd w:val="clear" w:color="auto" w:fill="FFFFFF"/>
        </w:rPr>
        <w:t xml:space="preserve"> unexpectedly</w:t>
      </w:r>
      <w:r w:rsidRPr="00097551">
        <w:rPr>
          <w:rFonts w:ascii="Arial" w:hAnsi="Arial" w:cs="Arial"/>
          <w:sz w:val="24"/>
          <w:szCs w:val="24"/>
          <w:shd w:val="clear" w:color="auto" w:fill="FFFFFF"/>
        </w:rPr>
        <w:t xml:space="preserve">. This </w:t>
      </w:r>
      <w:r w:rsidR="000A7721" w:rsidRPr="00097551">
        <w:rPr>
          <w:rFonts w:ascii="Arial" w:hAnsi="Arial" w:cs="Arial"/>
          <w:sz w:val="24"/>
          <w:szCs w:val="24"/>
          <w:shd w:val="clear" w:color="auto" w:fill="FFFFFF"/>
        </w:rPr>
        <w:t>appears to be</w:t>
      </w:r>
      <w:r w:rsidRPr="00097551">
        <w:rPr>
          <w:rFonts w:ascii="Arial" w:hAnsi="Arial" w:cs="Arial"/>
          <w:sz w:val="24"/>
          <w:szCs w:val="24"/>
          <w:shd w:val="clear" w:color="auto" w:fill="FFFFFF"/>
        </w:rPr>
        <w:t xml:space="preserve"> disingenuous</w:t>
      </w:r>
      <w:r w:rsidR="00A56398" w:rsidRPr="00097551">
        <w:rPr>
          <w:rFonts w:ascii="Arial" w:hAnsi="Arial" w:cs="Arial"/>
          <w:sz w:val="24"/>
          <w:szCs w:val="24"/>
          <w:shd w:val="clear" w:color="auto" w:fill="FFFFFF"/>
        </w:rPr>
        <w:t xml:space="preserve">. </w:t>
      </w:r>
      <w:r w:rsidR="000A7721" w:rsidRPr="00097551">
        <w:rPr>
          <w:rFonts w:ascii="Arial" w:hAnsi="Arial" w:cs="Arial"/>
          <w:sz w:val="24"/>
          <w:szCs w:val="24"/>
          <w:shd w:val="clear" w:color="auto" w:fill="FFFFFF"/>
        </w:rPr>
        <w:t>And it</w:t>
      </w:r>
      <w:r w:rsidRPr="00097551">
        <w:rPr>
          <w:rFonts w:ascii="Arial" w:hAnsi="Arial" w:cs="Arial"/>
          <w:sz w:val="24"/>
          <w:szCs w:val="24"/>
          <w:shd w:val="clear" w:color="auto" w:fill="FFFFFF"/>
        </w:rPr>
        <w:t xml:space="preserve"> </w:t>
      </w:r>
      <w:r w:rsidR="000B480C" w:rsidRPr="00097551">
        <w:rPr>
          <w:rFonts w:ascii="Arial" w:hAnsi="Arial" w:cs="Arial"/>
          <w:sz w:val="24"/>
          <w:szCs w:val="24"/>
          <w:shd w:val="clear" w:color="auto" w:fill="FFFFFF"/>
        </w:rPr>
        <w:t>merely needs to be</w:t>
      </w:r>
      <w:r w:rsidRPr="00097551">
        <w:rPr>
          <w:rFonts w:ascii="Arial" w:hAnsi="Arial" w:cs="Arial"/>
          <w:sz w:val="24"/>
          <w:szCs w:val="24"/>
          <w:shd w:val="clear" w:color="auto" w:fill="FFFFFF"/>
        </w:rPr>
        <w:t xml:space="preserve"> mentioned to be rejected.</w:t>
      </w:r>
      <w:r w:rsidR="000B4BD1" w:rsidRPr="00097551">
        <w:rPr>
          <w:rFonts w:ascii="Arial" w:hAnsi="Arial" w:cs="Arial"/>
          <w:sz w:val="24"/>
          <w:szCs w:val="24"/>
          <w:shd w:val="clear" w:color="auto" w:fill="FFFFFF"/>
        </w:rPr>
        <w:t xml:space="preserve"> The </w:t>
      </w:r>
      <w:r w:rsidR="000B4BD1" w:rsidRPr="00097551">
        <w:rPr>
          <w:rFonts w:ascii="Arial" w:hAnsi="Arial" w:cs="Arial"/>
          <w:sz w:val="24"/>
          <w:szCs w:val="24"/>
          <w:shd w:val="clear" w:color="auto" w:fill="FFFFFF"/>
        </w:rPr>
        <w:lastRenderedPageBreak/>
        <w:t xml:space="preserve">fact of the matter is that the applicant was, in any event, obliged to maintain his daughter. </w:t>
      </w:r>
      <w:r w:rsidR="00B700A4" w:rsidRPr="00097551">
        <w:rPr>
          <w:rFonts w:ascii="Arial" w:hAnsi="Arial" w:cs="Arial"/>
          <w:sz w:val="24"/>
          <w:szCs w:val="24"/>
          <w:shd w:val="clear" w:color="auto" w:fill="FFFFFF"/>
        </w:rPr>
        <w:t xml:space="preserve">Had the donation not been made, the amount of the donation would have been available in the calculation of his accrual, and what the respondent was entitled to as her accrual share. </w:t>
      </w:r>
      <w:r w:rsidR="004B04EE" w:rsidRPr="00097551">
        <w:rPr>
          <w:rFonts w:ascii="Arial" w:hAnsi="Arial" w:cs="Arial"/>
          <w:sz w:val="24"/>
          <w:szCs w:val="24"/>
          <w:shd w:val="clear" w:color="auto" w:fill="FFFFFF"/>
        </w:rPr>
        <w:t>This would s</w:t>
      </w:r>
      <w:r w:rsidR="00DB6D6F" w:rsidRPr="00097551">
        <w:rPr>
          <w:rFonts w:ascii="Arial" w:hAnsi="Arial" w:cs="Arial"/>
          <w:sz w:val="24"/>
          <w:szCs w:val="24"/>
          <w:shd w:val="clear" w:color="auto" w:fill="FFFFFF"/>
        </w:rPr>
        <w:t>imilarly</w:t>
      </w:r>
      <w:r w:rsidR="004B04EE" w:rsidRPr="00097551">
        <w:rPr>
          <w:rFonts w:ascii="Arial" w:hAnsi="Arial" w:cs="Arial"/>
          <w:sz w:val="24"/>
          <w:szCs w:val="24"/>
          <w:shd w:val="clear" w:color="auto" w:fill="FFFFFF"/>
        </w:rPr>
        <w:t xml:space="preserve"> apply</w:t>
      </w:r>
      <w:r w:rsidR="000A7721" w:rsidRPr="00097551">
        <w:rPr>
          <w:rFonts w:ascii="Arial" w:hAnsi="Arial" w:cs="Arial"/>
          <w:sz w:val="24"/>
          <w:szCs w:val="24"/>
          <w:shd w:val="clear" w:color="auto" w:fill="FFFFFF"/>
        </w:rPr>
        <w:t xml:space="preserve"> in respect of the </w:t>
      </w:r>
      <w:r w:rsidR="00DB6D6F" w:rsidRPr="00097551">
        <w:rPr>
          <w:rFonts w:ascii="Arial" w:hAnsi="Arial" w:cs="Arial"/>
          <w:sz w:val="24"/>
          <w:szCs w:val="24"/>
          <w:shd w:val="clear" w:color="auto" w:fill="FFFFFF"/>
        </w:rPr>
        <w:t xml:space="preserve">deceased estate in the event of the applicant’s untimely passing. </w:t>
      </w:r>
    </w:p>
    <w:p w14:paraId="7CB2F97F" w14:textId="1EF575B0" w:rsidR="00344FA8" w:rsidRPr="00097551" w:rsidRDefault="00344FA8" w:rsidP="009C627F">
      <w:pPr>
        <w:pStyle w:val="MEMONUMBERED"/>
        <w:kinsoku w:val="0"/>
        <w:overflowPunct w:val="0"/>
        <w:autoSpaceDE w:val="0"/>
        <w:autoSpaceDN w:val="0"/>
        <w:adjustRightInd w:val="0"/>
        <w:spacing w:line="360" w:lineRule="auto"/>
        <w:ind w:right="-7"/>
        <w:rPr>
          <w:rFonts w:ascii="Arial" w:hAnsi="Arial" w:cs="Arial"/>
          <w:shd w:val="clear" w:color="auto" w:fill="FFFFFF"/>
        </w:rPr>
      </w:pPr>
    </w:p>
    <w:p w14:paraId="29FB0F70" w14:textId="3F435772" w:rsidR="00CC0760" w:rsidRPr="00097551" w:rsidRDefault="00344FA8" w:rsidP="00CC0760">
      <w:pPr>
        <w:kinsoku w:val="0"/>
        <w:overflowPunct w:val="0"/>
        <w:spacing w:after="0" w:line="360" w:lineRule="auto"/>
        <w:ind w:right="-7"/>
        <w:jc w:val="both"/>
        <w:rPr>
          <w:rFonts w:ascii="Arial" w:hAnsi="Arial" w:cs="Arial"/>
          <w:sz w:val="24"/>
          <w:szCs w:val="24"/>
          <w:shd w:val="clear" w:color="auto" w:fill="FFFFFF"/>
        </w:rPr>
      </w:pPr>
      <w:r w:rsidRPr="00097551">
        <w:rPr>
          <w:rFonts w:ascii="Arial" w:hAnsi="Arial" w:cs="Arial"/>
          <w:b/>
          <w:bCs/>
          <w:sz w:val="24"/>
          <w:szCs w:val="24"/>
          <w:shd w:val="clear" w:color="auto" w:fill="FFFFFF"/>
        </w:rPr>
        <w:t xml:space="preserve">Conclusion </w:t>
      </w:r>
    </w:p>
    <w:p w14:paraId="62116F5D" w14:textId="337B93BD" w:rsidR="00A17442" w:rsidRPr="00097551" w:rsidRDefault="00EE60FA" w:rsidP="00CC0760">
      <w:pPr>
        <w:numPr>
          <w:ilvl w:val="0"/>
          <w:numId w:val="2"/>
        </w:numPr>
        <w:kinsoku w:val="0"/>
        <w:overflowPunct w:val="0"/>
        <w:spacing w:after="0" w:line="360" w:lineRule="auto"/>
        <w:ind w:left="0" w:right="-7" w:firstLine="0"/>
        <w:jc w:val="both"/>
        <w:rPr>
          <w:rFonts w:ascii="Arial" w:hAnsi="Arial" w:cs="Arial"/>
          <w:bCs/>
          <w:sz w:val="24"/>
          <w:szCs w:val="24"/>
        </w:rPr>
      </w:pPr>
      <w:r w:rsidRPr="00097551">
        <w:rPr>
          <w:rFonts w:ascii="Arial" w:hAnsi="Arial" w:cs="Arial"/>
          <w:bCs/>
          <w:sz w:val="24"/>
          <w:szCs w:val="24"/>
        </w:rPr>
        <w:t xml:space="preserve">In </w:t>
      </w:r>
      <w:r w:rsidR="00DD143C" w:rsidRPr="00097551">
        <w:rPr>
          <w:rFonts w:ascii="Arial" w:hAnsi="Arial" w:cs="Arial"/>
          <w:bCs/>
          <w:sz w:val="24"/>
          <w:szCs w:val="24"/>
        </w:rPr>
        <w:t xml:space="preserve">all the circumstances, </w:t>
      </w:r>
      <w:r w:rsidRPr="00097551">
        <w:rPr>
          <w:rFonts w:ascii="Arial" w:hAnsi="Arial" w:cs="Arial"/>
          <w:bCs/>
          <w:sz w:val="24"/>
          <w:szCs w:val="24"/>
        </w:rPr>
        <w:t xml:space="preserve">upon a conspectus of </w:t>
      </w:r>
      <w:r w:rsidR="0080181C" w:rsidRPr="00097551">
        <w:rPr>
          <w:rFonts w:ascii="Arial" w:hAnsi="Arial" w:cs="Arial"/>
          <w:bCs/>
          <w:sz w:val="24"/>
          <w:szCs w:val="24"/>
        </w:rPr>
        <w:t xml:space="preserve">all the relevant </w:t>
      </w:r>
      <w:r w:rsidRPr="00097551">
        <w:rPr>
          <w:rFonts w:ascii="Arial" w:hAnsi="Arial" w:cs="Arial"/>
          <w:bCs/>
          <w:sz w:val="24"/>
          <w:szCs w:val="24"/>
        </w:rPr>
        <w:t xml:space="preserve">facts, </w:t>
      </w:r>
      <w:r w:rsidR="0080181C" w:rsidRPr="00097551">
        <w:rPr>
          <w:rFonts w:ascii="Arial" w:hAnsi="Arial" w:cs="Arial"/>
          <w:bCs/>
          <w:sz w:val="24"/>
          <w:szCs w:val="24"/>
        </w:rPr>
        <w:t xml:space="preserve">the </w:t>
      </w:r>
      <w:r w:rsidR="00270676" w:rsidRPr="00097551">
        <w:rPr>
          <w:rFonts w:ascii="Arial" w:hAnsi="Arial" w:cs="Arial"/>
          <w:bCs/>
          <w:sz w:val="24"/>
          <w:szCs w:val="24"/>
        </w:rPr>
        <w:t xml:space="preserve">high </w:t>
      </w:r>
      <w:r w:rsidRPr="00097551">
        <w:rPr>
          <w:rFonts w:ascii="Arial" w:hAnsi="Arial" w:cs="Arial"/>
          <w:bCs/>
          <w:sz w:val="24"/>
          <w:szCs w:val="24"/>
        </w:rPr>
        <w:t>court w</w:t>
      </w:r>
      <w:r w:rsidR="00DD143C" w:rsidRPr="00097551">
        <w:rPr>
          <w:rFonts w:ascii="Arial" w:hAnsi="Arial" w:cs="Arial"/>
          <w:bCs/>
          <w:sz w:val="24"/>
          <w:szCs w:val="24"/>
        </w:rPr>
        <w:t>as</w:t>
      </w:r>
      <w:r w:rsidRPr="00097551">
        <w:rPr>
          <w:rFonts w:ascii="Arial" w:hAnsi="Arial" w:cs="Arial"/>
          <w:bCs/>
          <w:sz w:val="24"/>
          <w:szCs w:val="24"/>
        </w:rPr>
        <w:t xml:space="preserve"> correct to conclude that </w:t>
      </w:r>
      <w:r w:rsidR="00B4428C" w:rsidRPr="00097551">
        <w:rPr>
          <w:rFonts w:ascii="Arial" w:hAnsi="Arial" w:cs="Arial"/>
          <w:bCs/>
          <w:sz w:val="24"/>
          <w:szCs w:val="24"/>
        </w:rPr>
        <w:t xml:space="preserve">it </w:t>
      </w:r>
      <w:r w:rsidR="00DD143C" w:rsidRPr="00097551">
        <w:rPr>
          <w:rFonts w:ascii="Arial" w:hAnsi="Arial" w:cs="Arial"/>
          <w:bCs/>
          <w:sz w:val="24"/>
          <w:szCs w:val="24"/>
        </w:rPr>
        <w:t xml:space="preserve">was </w:t>
      </w:r>
      <w:r w:rsidRPr="00097551">
        <w:rPr>
          <w:rFonts w:ascii="Arial" w:hAnsi="Arial" w:cs="Arial"/>
          <w:bCs/>
          <w:sz w:val="24"/>
          <w:szCs w:val="24"/>
        </w:rPr>
        <w:t xml:space="preserve">entitled to go behind the trust form and </w:t>
      </w:r>
      <w:r w:rsidR="00DD143C" w:rsidRPr="00097551">
        <w:rPr>
          <w:rFonts w:ascii="Arial" w:hAnsi="Arial" w:cs="Arial"/>
          <w:bCs/>
          <w:sz w:val="24"/>
          <w:szCs w:val="24"/>
        </w:rPr>
        <w:t>order</w:t>
      </w:r>
      <w:r w:rsidRPr="00097551">
        <w:rPr>
          <w:rFonts w:ascii="Arial" w:hAnsi="Arial" w:cs="Arial"/>
          <w:bCs/>
          <w:sz w:val="24"/>
          <w:szCs w:val="24"/>
        </w:rPr>
        <w:t xml:space="preserve"> that the value of the donation to the trust be taken into account as part of the applicant’s assets in calculating</w:t>
      </w:r>
      <w:r w:rsidR="00DD143C" w:rsidRPr="00097551">
        <w:rPr>
          <w:rFonts w:ascii="Arial" w:hAnsi="Arial" w:cs="Arial"/>
          <w:bCs/>
          <w:sz w:val="24"/>
          <w:szCs w:val="24"/>
        </w:rPr>
        <w:t xml:space="preserve"> the accrual. </w:t>
      </w:r>
      <w:r w:rsidR="008B0034" w:rsidRPr="00097551">
        <w:rPr>
          <w:rFonts w:ascii="Arial" w:hAnsi="Arial" w:cs="Arial"/>
          <w:bCs/>
          <w:sz w:val="24"/>
          <w:szCs w:val="24"/>
        </w:rPr>
        <w:t>The appeal was correctly dismissed</w:t>
      </w:r>
      <w:r w:rsidR="00BA1C10" w:rsidRPr="00097551">
        <w:rPr>
          <w:rFonts w:ascii="Arial" w:hAnsi="Arial" w:cs="Arial"/>
          <w:bCs/>
          <w:sz w:val="24"/>
          <w:szCs w:val="24"/>
        </w:rPr>
        <w:t>,</w:t>
      </w:r>
      <w:r w:rsidR="008B0034" w:rsidRPr="00097551">
        <w:rPr>
          <w:rFonts w:ascii="Arial" w:hAnsi="Arial" w:cs="Arial"/>
          <w:bCs/>
          <w:sz w:val="24"/>
          <w:szCs w:val="24"/>
        </w:rPr>
        <w:t xml:space="preserve"> and </w:t>
      </w:r>
      <w:r w:rsidR="00BA1C10" w:rsidRPr="00097551">
        <w:rPr>
          <w:rFonts w:ascii="Arial" w:hAnsi="Arial" w:cs="Arial"/>
          <w:bCs/>
          <w:sz w:val="24"/>
          <w:szCs w:val="24"/>
        </w:rPr>
        <w:t>accordingly</w:t>
      </w:r>
      <w:r w:rsidR="00244487" w:rsidRPr="00097551">
        <w:rPr>
          <w:rFonts w:ascii="Arial" w:hAnsi="Arial" w:cs="Arial"/>
          <w:bCs/>
          <w:sz w:val="24"/>
          <w:szCs w:val="24"/>
        </w:rPr>
        <w:t>,</w:t>
      </w:r>
      <w:r w:rsidR="00BA1C10" w:rsidRPr="00097551">
        <w:rPr>
          <w:rFonts w:ascii="Arial" w:hAnsi="Arial" w:cs="Arial"/>
          <w:bCs/>
          <w:sz w:val="24"/>
          <w:szCs w:val="24"/>
        </w:rPr>
        <w:t xml:space="preserve"> </w:t>
      </w:r>
      <w:r w:rsidR="00B732E4" w:rsidRPr="00097551">
        <w:rPr>
          <w:rFonts w:ascii="Arial" w:hAnsi="Arial" w:cs="Arial"/>
          <w:bCs/>
          <w:sz w:val="24"/>
          <w:szCs w:val="24"/>
        </w:rPr>
        <w:t>there</w:t>
      </w:r>
      <w:r w:rsidR="00BA1C10" w:rsidRPr="00097551">
        <w:rPr>
          <w:rFonts w:ascii="Arial" w:hAnsi="Arial" w:cs="Arial"/>
          <w:bCs/>
          <w:sz w:val="24"/>
          <w:szCs w:val="24"/>
        </w:rPr>
        <w:t xml:space="preserve"> are</w:t>
      </w:r>
      <w:r w:rsidR="008B0034" w:rsidRPr="00097551">
        <w:rPr>
          <w:rFonts w:ascii="Arial" w:hAnsi="Arial" w:cs="Arial"/>
          <w:bCs/>
          <w:sz w:val="24"/>
          <w:szCs w:val="24"/>
        </w:rPr>
        <w:t xml:space="preserve"> </w:t>
      </w:r>
      <w:r w:rsidR="00B732E4" w:rsidRPr="00097551">
        <w:rPr>
          <w:rFonts w:ascii="Arial" w:hAnsi="Arial" w:cs="Arial"/>
          <w:bCs/>
          <w:sz w:val="24"/>
          <w:szCs w:val="24"/>
        </w:rPr>
        <w:t xml:space="preserve">no prospects of success on the underlying legal issue. Coupled with the fact that there is no basis to interfere with the refusal to condone the applicant’s late prosecution of the appeal, it follows that </w:t>
      </w:r>
      <w:r w:rsidR="004348B2" w:rsidRPr="00097551">
        <w:rPr>
          <w:rFonts w:ascii="Arial" w:hAnsi="Arial" w:cs="Arial"/>
          <w:bCs/>
          <w:sz w:val="24"/>
          <w:szCs w:val="24"/>
        </w:rPr>
        <w:t>there are no special circumstances warranting the grant of special leave</w:t>
      </w:r>
      <w:r w:rsidR="00B4428C" w:rsidRPr="00097551">
        <w:rPr>
          <w:rFonts w:ascii="Arial" w:hAnsi="Arial" w:cs="Arial"/>
          <w:bCs/>
          <w:sz w:val="24"/>
          <w:szCs w:val="24"/>
        </w:rPr>
        <w:t xml:space="preserve"> to appeal</w:t>
      </w:r>
      <w:r w:rsidR="004348B2" w:rsidRPr="00097551">
        <w:rPr>
          <w:rFonts w:ascii="Arial" w:hAnsi="Arial" w:cs="Arial"/>
          <w:bCs/>
          <w:sz w:val="24"/>
          <w:szCs w:val="24"/>
        </w:rPr>
        <w:t>.</w:t>
      </w:r>
    </w:p>
    <w:p w14:paraId="0076A139" w14:textId="6B9B5FC5" w:rsidR="00CC0760" w:rsidRPr="00D87BA8" w:rsidRDefault="00CC0760" w:rsidP="00CC0760">
      <w:pPr>
        <w:kinsoku w:val="0"/>
        <w:overflowPunct w:val="0"/>
        <w:spacing w:after="0" w:line="360" w:lineRule="auto"/>
        <w:ind w:right="-7"/>
        <w:jc w:val="both"/>
        <w:rPr>
          <w:rFonts w:ascii="Arial" w:hAnsi="Arial" w:cs="Arial"/>
          <w:bCs/>
          <w:sz w:val="24"/>
          <w:szCs w:val="24"/>
        </w:rPr>
      </w:pPr>
    </w:p>
    <w:p w14:paraId="3C88AD43" w14:textId="445EE6F6" w:rsidR="00EB27D8" w:rsidRPr="00837116" w:rsidRDefault="00B732E4" w:rsidP="00CC0760">
      <w:pPr>
        <w:pStyle w:val="MEMONUMBERED"/>
        <w:numPr>
          <w:ilvl w:val="0"/>
          <w:numId w:val="2"/>
        </w:numPr>
        <w:kinsoku w:val="0"/>
        <w:overflowPunct w:val="0"/>
        <w:autoSpaceDE w:val="0"/>
        <w:autoSpaceDN w:val="0"/>
        <w:adjustRightInd w:val="0"/>
        <w:spacing w:line="360" w:lineRule="auto"/>
        <w:ind w:left="0" w:right="-7" w:firstLine="0"/>
        <w:rPr>
          <w:rFonts w:ascii="Arial" w:hAnsi="Arial" w:cs="Arial"/>
          <w:bCs/>
        </w:rPr>
      </w:pPr>
      <w:r w:rsidRPr="00837116">
        <w:rPr>
          <w:rFonts w:ascii="Arial" w:hAnsi="Arial" w:cs="Arial"/>
          <w:bCs/>
        </w:rPr>
        <w:t>In the result</w:t>
      </w:r>
      <w:r w:rsidR="00DB6D6F">
        <w:rPr>
          <w:rFonts w:ascii="Arial" w:hAnsi="Arial" w:cs="Arial"/>
          <w:bCs/>
        </w:rPr>
        <w:t>,</w:t>
      </w:r>
      <w:r w:rsidRPr="00837116">
        <w:rPr>
          <w:rFonts w:ascii="Arial" w:hAnsi="Arial" w:cs="Arial"/>
          <w:bCs/>
        </w:rPr>
        <w:t xml:space="preserve"> the </w:t>
      </w:r>
      <w:r w:rsidR="00EB27D8" w:rsidRPr="00837116">
        <w:rPr>
          <w:rFonts w:ascii="Arial" w:hAnsi="Arial" w:cs="Arial"/>
          <w:bCs/>
        </w:rPr>
        <w:t>following order is made:</w:t>
      </w:r>
    </w:p>
    <w:p w14:paraId="247C3D1F" w14:textId="5DFB3B63" w:rsidR="00023739" w:rsidRDefault="00EB27D8" w:rsidP="00CC0760">
      <w:pPr>
        <w:pStyle w:val="MEMONUMBERED"/>
        <w:kinsoku w:val="0"/>
        <w:overflowPunct w:val="0"/>
        <w:autoSpaceDE w:val="0"/>
        <w:autoSpaceDN w:val="0"/>
        <w:adjustRightInd w:val="0"/>
        <w:spacing w:line="360" w:lineRule="auto"/>
        <w:ind w:right="-7"/>
        <w:rPr>
          <w:rFonts w:ascii="Arial" w:hAnsi="Arial" w:cs="Arial"/>
          <w:bCs/>
        </w:rPr>
      </w:pPr>
      <w:bookmarkStart w:id="35" w:name="_Hlk106796354"/>
      <w:r w:rsidRPr="00837116">
        <w:rPr>
          <w:rFonts w:ascii="Arial" w:hAnsi="Arial" w:cs="Arial"/>
          <w:bCs/>
        </w:rPr>
        <w:t xml:space="preserve">The </w:t>
      </w:r>
      <w:r w:rsidR="00B732E4" w:rsidRPr="00837116">
        <w:rPr>
          <w:rFonts w:ascii="Arial" w:hAnsi="Arial" w:cs="Arial"/>
          <w:bCs/>
        </w:rPr>
        <w:t xml:space="preserve">application for special leave to appeal is </w:t>
      </w:r>
      <w:r w:rsidR="007E0D51" w:rsidRPr="00837116">
        <w:rPr>
          <w:rFonts w:ascii="Arial" w:hAnsi="Arial" w:cs="Arial"/>
          <w:bCs/>
        </w:rPr>
        <w:t xml:space="preserve">refused </w:t>
      </w:r>
      <w:r w:rsidR="00285460" w:rsidRPr="00837116">
        <w:rPr>
          <w:rFonts w:ascii="Arial" w:hAnsi="Arial" w:cs="Arial"/>
          <w:bCs/>
        </w:rPr>
        <w:t>with costs</w:t>
      </w:r>
      <w:r w:rsidR="00475C4A">
        <w:rPr>
          <w:rFonts w:ascii="Arial" w:hAnsi="Arial" w:cs="Arial"/>
          <w:bCs/>
        </w:rPr>
        <w:t>, including costs of two counsel, where so employed</w:t>
      </w:r>
      <w:r w:rsidR="00285460" w:rsidRPr="00837116">
        <w:rPr>
          <w:rFonts w:ascii="Arial" w:hAnsi="Arial" w:cs="Arial"/>
          <w:bCs/>
        </w:rPr>
        <w:t>.</w:t>
      </w:r>
      <w:r w:rsidR="004348B2" w:rsidRPr="00837116">
        <w:rPr>
          <w:rFonts w:ascii="Arial" w:hAnsi="Arial" w:cs="Arial"/>
          <w:bCs/>
        </w:rPr>
        <w:t xml:space="preserve">  </w:t>
      </w:r>
    </w:p>
    <w:bookmarkEnd w:id="35"/>
    <w:p w14:paraId="740A5932" w14:textId="4C0CCD99" w:rsidR="00F920E4" w:rsidRDefault="00F920E4" w:rsidP="00A17442">
      <w:pPr>
        <w:pStyle w:val="MEMONUMBERED"/>
        <w:kinsoku w:val="0"/>
        <w:overflowPunct w:val="0"/>
        <w:autoSpaceDE w:val="0"/>
        <w:autoSpaceDN w:val="0"/>
        <w:adjustRightInd w:val="0"/>
        <w:spacing w:before="1" w:line="360" w:lineRule="auto"/>
        <w:ind w:right="-7"/>
        <w:rPr>
          <w:rFonts w:ascii="Arial" w:hAnsi="Arial" w:cs="Arial"/>
          <w:bCs/>
        </w:rPr>
      </w:pPr>
    </w:p>
    <w:p w14:paraId="674B881D" w14:textId="48F105D8" w:rsidR="00023739" w:rsidRDefault="00023739" w:rsidP="00A17442">
      <w:pPr>
        <w:pStyle w:val="MEMONUMBERED"/>
        <w:kinsoku w:val="0"/>
        <w:overflowPunct w:val="0"/>
        <w:autoSpaceDE w:val="0"/>
        <w:autoSpaceDN w:val="0"/>
        <w:adjustRightInd w:val="0"/>
        <w:spacing w:before="1" w:line="360" w:lineRule="auto"/>
        <w:ind w:right="-7"/>
        <w:rPr>
          <w:rFonts w:ascii="Arial" w:hAnsi="Arial" w:cs="Arial"/>
          <w:bCs/>
        </w:rPr>
      </w:pPr>
    </w:p>
    <w:p w14:paraId="350A8D85" w14:textId="77777777" w:rsidR="0088109C" w:rsidRDefault="0088109C" w:rsidP="00285460">
      <w:pPr>
        <w:pStyle w:val="MEMONUMBERED"/>
        <w:kinsoku w:val="0"/>
        <w:overflowPunct w:val="0"/>
        <w:autoSpaceDE w:val="0"/>
        <w:autoSpaceDN w:val="0"/>
        <w:adjustRightInd w:val="0"/>
        <w:spacing w:before="1" w:line="360" w:lineRule="auto"/>
        <w:ind w:right="-7"/>
        <w:rPr>
          <w:rFonts w:ascii="Arial" w:hAnsi="Arial" w:cs="Arial"/>
          <w:bCs/>
        </w:rPr>
      </w:pPr>
    </w:p>
    <w:p w14:paraId="4846CA41" w14:textId="5ECA0058" w:rsidR="0088109C" w:rsidRDefault="0088109C" w:rsidP="00285460">
      <w:pPr>
        <w:pStyle w:val="MEMONUMBERED"/>
        <w:kinsoku w:val="0"/>
        <w:overflowPunct w:val="0"/>
        <w:autoSpaceDE w:val="0"/>
        <w:autoSpaceDN w:val="0"/>
        <w:adjustRightInd w:val="0"/>
        <w:spacing w:before="1" w:line="360" w:lineRule="auto"/>
        <w:ind w:right="-7"/>
        <w:rPr>
          <w:rFonts w:ascii="Arial" w:hAnsi="Arial" w:cs="Arial"/>
          <w:bCs/>
        </w:rPr>
      </w:pPr>
    </w:p>
    <w:p w14:paraId="067C1CEB" w14:textId="77777777" w:rsidR="0088109C" w:rsidRPr="00695690" w:rsidRDefault="0088109C" w:rsidP="00285460">
      <w:pPr>
        <w:pStyle w:val="MEMONUMBERED"/>
        <w:kinsoku w:val="0"/>
        <w:overflowPunct w:val="0"/>
        <w:autoSpaceDE w:val="0"/>
        <w:autoSpaceDN w:val="0"/>
        <w:adjustRightInd w:val="0"/>
        <w:spacing w:before="1" w:line="360" w:lineRule="auto"/>
        <w:ind w:right="-7"/>
        <w:rPr>
          <w:rFonts w:ascii="Arial" w:hAnsi="Arial" w:cs="Arial"/>
          <w:bCs/>
        </w:rPr>
      </w:pPr>
    </w:p>
    <w:p w14:paraId="4D05B38A" w14:textId="6AE5AED1" w:rsidR="002434EF" w:rsidRPr="008D2D2C" w:rsidRDefault="002434EF" w:rsidP="00CC0760">
      <w:pPr>
        <w:spacing w:after="120" w:line="240" w:lineRule="auto"/>
        <w:jc w:val="right"/>
        <w:rPr>
          <w:rFonts w:ascii="Arial" w:hAnsi="Arial" w:cs="Arial"/>
          <w:bCs/>
          <w:sz w:val="24"/>
          <w:szCs w:val="24"/>
        </w:rPr>
      </w:pPr>
      <w:r w:rsidRPr="008D2D2C">
        <w:rPr>
          <w:rFonts w:ascii="Arial" w:hAnsi="Arial" w:cs="Arial"/>
          <w:bCs/>
          <w:sz w:val="24"/>
          <w:szCs w:val="24"/>
        </w:rPr>
        <w:t>____</w:t>
      </w:r>
      <w:r w:rsidR="00CC0760">
        <w:rPr>
          <w:rFonts w:ascii="Arial" w:hAnsi="Arial" w:cs="Arial"/>
          <w:bCs/>
          <w:sz w:val="24"/>
          <w:szCs w:val="24"/>
        </w:rPr>
        <w:t>______________</w:t>
      </w:r>
    </w:p>
    <w:p w14:paraId="6EC59244" w14:textId="7E25CAD4" w:rsidR="002434EF" w:rsidRPr="009C627F" w:rsidRDefault="00753450" w:rsidP="00CC0760">
      <w:pPr>
        <w:spacing w:after="120" w:line="240" w:lineRule="auto"/>
        <w:jc w:val="right"/>
        <w:rPr>
          <w:rFonts w:ascii="Arial" w:hAnsi="Arial" w:cs="Arial"/>
          <w:b/>
          <w:bCs/>
          <w:sz w:val="24"/>
          <w:szCs w:val="24"/>
        </w:rPr>
      </w:pPr>
      <w:r w:rsidRPr="009C627F">
        <w:rPr>
          <w:rFonts w:ascii="Arial" w:hAnsi="Arial" w:cs="Arial"/>
          <w:b/>
          <w:bCs/>
          <w:sz w:val="24"/>
          <w:szCs w:val="24"/>
        </w:rPr>
        <w:t>T MAKGOKA</w:t>
      </w:r>
    </w:p>
    <w:p w14:paraId="1A8EF5DE" w14:textId="77777777" w:rsidR="00753450" w:rsidRPr="009C627F" w:rsidRDefault="00753450" w:rsidP="00CC0760">
      <w:pPr>
        <w:spacing w:after="120" w:line="240" w:lineRule="auto"/>
        <w:jc w:val="right"/>
        <w:rPr>
          <w:rFonts w:ascii="Arial" w:hAnsi="Arial" w:cs="Arial"/>
          <w:b/>
          <w:bCs/>
          <w:sz w:val="24"/>
          <w:szCs w:val="24"/>
        </w:rPr>
      </w:pPr>
      <w:r w:rsidRPr="009C627F">
        <w:rPr>
          <w:rFonts w:ascii="Arial" w:hAnsi="Arial" w:cs="Arial"/>
          <w:b/>
          <w:bCs/>
          <w:sz w:val="24"/>
          <w:szCs w:val="24"/>
        </w:rPr>
        <w:t>JUDGE OF APPEAL</w:t>
      </w:r>
    </w:p>
    <w:p w14:paraId="751D84DA" w14:textId="797AFFA4" w:rsidR="00A17442" w:rsidRPr="00837116" w:rsidRDefault="00A17442" w:rsidP="00CC0760">
      <w:pPr>
        <w:spacing w:after="120" w:line="240" w:lineRule="auto"/>
        <w:rPr>
          <w:rFonts w:ascii="Arial" w:hAnsi="Arial" w:cs="Arial"/>
          <w:b/>
          <w:bCs/>
          <w:sz w:val="24"/>
          <w:szCs w:val="24"/>
        </w:rPr>
      </w:pPr>
      <w:r w:rsidRPr="00837116">
        <w:rPr>
          <w:rFonts w:ascii="Arial" w:hAnsi="Arial" w:cs="Arial"/>
          <w:b/>
          <w:bCs/>
          <w:sz w:val="24"/>
          <w:szCs w:val="24"/>
        </w:rPr>
        <w:br w:type="page"/>
      </w:r>
    </w:p>
    <w:p w14:paraId="71A507E1" w14:textId="186115E2" w:rsidR="002B4EBE" w:rsidRDefault="00F920E4" w:rsidP="008D2D2C">
      <w:pPr>
        <w:spacing w:after="0" w:line="360" w:lineRule="auto"/>
        <w:jc w:val="both"/>
        <w:rPr>
          <w:rFonts w:ascii="Arial" w:eastAsia="Calibri" w:hAnsi="Arial" w:cs="Arial"/>
          <w:sz w:val="24"/>
          <w:szCs w:val="24"/>
        </w:rPr>
      </w:pPr>
      <w:r>
        <w:rPr>
          <w:rFonts w:ascii="Arial" w:eastAsia="Calibri" w:hAnsi="Arial" w:cs="Arial"/>
          <w:sz w:val="24"/>
          <w:szCs w:val="24"/>
        </w:rPr>
        <w:lastRenderedPageBreak/>
        <w:t>APPEARANCES</w:t>
      </w:r>
      <w:r w:rsidR="00F14D1E">
        <w:rPr>
          <w:rFonts w:ascii="Arial" w:eastAsia="Calibri" w:hAnsi="Arial" w:cs="Arial"/>
          <w:sz w:val="24"/>
          <w:szCs w:val="24"/>
        </w:rPr>
        <w:t>:</w:t>
      </w:r>
    </w:p>
    <w:p w14:paraId="442F7D62" w14:textId="02A201D2" w:rsidR="00F920E4" w:rsidRDefault="00F920E4" w:rsidP="008D2D2C">
      <w:pPr>
        <w:spacing w:after="0" w:line="360" w:lineRule="auto"/>
        <w:jc w:val="both"/>
        <w:rPr>
          <w:rFonts w:ascii="Arial" w:eastAsia="Calibri" w:hAnsi="Arial" w:cs="Arial"/>
          <w:sz w:val="24"/>
          <w:szCs w:val="24"/>
        </w:rPr>
      </w:pPr>
    </w:p>
    <w:p w14:paraId="18C3163F" w14:textId="729BE37B" w:rsidR="00285460" w:rsidRPr="00837116" w:rsidRDefault="00285460" w:rsidP="00695690">
      <w:pPr>
        <w:spacing w:after="0" w:line="360" w:lineRule="auto"/>
        <w:jc w:val="both"/>
        <w:rPr>
          <w:rFonts w:ascii="Arial" w:hAnsi="Arial" w:cs="Arial"/>
          <w:bCs/>
          <w:sz w:val="24"/>
          <w:szCs w:val="24"/>
        </w:rPr>
      </w:pPr>
      <w:r w:rsidRPr="00837116">
        <w:rPr>
          <w:rFonts w:ascii="Arial" w:eastAsia="Calibri" w:hAnsi="Arial" w:cs="Arial"/>
          <w:sz w:val="24"/>
          <w:szCs w:val="24"/>
        </w:rPr>
        <w:t>For applicant</w:t>
      </w:r>
      <w:r w:rsidR="002B4EBE">
        <w:rPr>
          <w:rFonts w:ascii="Arial" w:eastAsia="Calibri" w:hAnsi="Arial" w:cs="Arial"/>
          <w:sz w:val="24"/>
          <w:szCs w:val="24"/>
        </w:rPr>
        <w:t>:</w:t>
      </w:r>
      <w:r w:rsidRPr="00837116">
        <w:rPr>
          <w:rFonts w:ascii="Arial" w:eastAsia="Calibri" w:hAnsi="Arial" w:cs="Arial"/>
          <w:sz w:val="24"/>
          <w:szCs w:val="24"/>
        </w:rPr>
        <w:tab/>
      </w:r>
      <w:r w:rsidRPr="00837116">
        <w:rPr>
          <w:rFonts w:ascii="Arial" w:eastAsia="Calibri" w:hAnsi="Arial" w:cs="Arial"/>
          <w:sz w:val="24"/>
          <w:szCs w:val="24"/>
        </w:rPr>
        <w:tab/>
      </w:r>
      <w:r w:rsidRPr="00837116">
        <w:rPr>
          <w:rFonts w:ascii="Arial" w:eastAsia="Calibri" w:hAnsi="Arial" w:cs="Arial"/>
          <w:sz w:val="24"/>
          <w:szCs w:val="24"/>
        </w:rPr>
        <w:tab/>
      </w:r>
      <w:r w:rsidRPr="00837116">
        <w:rPr>
          <w:rFonts w:ascii="Arial" w:hAnsi="Arial" w:cs="Arial"/>
          <w:sz w:val="24"/>
          <w:szCs w:val="24"/>
        </w:rPr>
        <w:t>D Phillips SC (with him E S Law)</w:t>
      </w:r>
    </w:p>
    <w:p w14:paraId="0F392164" w14:textId="6172CEBB" w:rsidR="00285460" w:rsidRPr="00837116" w:rsidRDefault="00285460" w:rsidP="00C322E0">
      <w:pPr>
        <w:spacing w:after="0" w:line="360" w:lineRule="auto"/>
        <w:jc w:val="both"/>
        <w:rPr>
          <w:rFonts w:ascii="Arial" w:eastAsia="Calibri" w:hAnsi="Arial" w:cs="Arial"/>
          <w:sz w:val="24"/>
          <w:szCs w:val="24"/>
        </w:rPr>
      </w:pPr>
      <w:r w:rsidRPr="00837116">
        <w:rPr>
          <w:rFonts w:ascii="Arial" w:eastAsia="Calibri" w:hAnsi="Arial" w:cs="Arial"/>
          <w:sz w:val="24"/>
          <w:szCs w:val="24"/>
        </w:rPr>
        <w:t>Instructed by:</w:t>
      </w:r>
      <w:r w:rsidRPr="00837116">
        <w:rPr>
          <w:rFonts w:ascii="Arial" w:hAnsi="Arial" w:cs="Arial"/>
          <w:bCs/>
          <w:sz w:val="24"/>
          <w:szCs w:val="24"/>
        </w:rPr>
        <w:tab/>
      </w:r>
      <w:r w:rsidRPr="00837116">
        <w:rPr>
          <w:rFonts w:ascii="Arial" w:hAnsi="Arial" w:cs="Arial"/>
          <w:bCs/>
          <w:sz w:val="24"/>
          <w:szCs w:val="24"/>
        </w:rPr>
        <w:tab/>
      </w:r>
      <w:r w:rsidRPr="00837116">
        <w:rPr>
          <w:rFonts w:ascii="Arial" w:hAnsi="Arial" w:cs="Arial"/>
          <w:bCs/>
          <w:sz w:val="24"/>
          <w:szCs w:val="24"/>
        </w:rPr>
        <w:tab/>
        <w:t>Strauss Daly Attorneys, Umhlanga</w:t>
      </w:r>
    </w:p>
    <w:p w14:paraId="48EA7CC8" w14:textId="01D9C875" w:rsidR="00285460" w:rsidRPr="0088109C" w:rsidRDefault="00285460" w:rsidP="0088109C">
      <w:pPr>
        <w:spacing w:after="0" w:line="360" w:lineRule="auto"/>
        <w:ind w:left="3600"/>
        <w:jc w:val="both"/>
        <w:rPr>
          <w:rFonts w:ascii="Arial" w:hAnsi="Arial" w:cs="Arial"/>
          <w:sz w:val="24"/>
          <w:szCs w:val="24"/>
        </w:rPr>
      </w:pPr>
      <w:r w:rsidRPr="00837116">
        <w:rPr>
          <w:rFonts w:ascii="Arial" w:hAnsi="Arial" w:cs="Arial"/>
          <w:sz w:val="24"/>
          <w:szCs w:val="24"/>
        </w:rPr>
        <w:t>EG Cooper Majiedt Inc.,</w:t>
      </w:r>
      <w:r w:rsidR="00685B89" w:rsidRPr="00837116">
        <w:rPr>
          <w:rFonts w:ascii="Arial" w:hAnsi="Arial" w:cs="Arial"/>
          <w:sz w:val="24"/>
          <w:szCs w:val="24"/>
        </w:rPr>
        <w:t xml:space="preserve"> </w:t>
      </w:r>
      <w:r w:rsidRPr="00837116">
        <w:rPr>
          <w:rFonts w:ascii="Arial" w:hAnsi="Arial" w:cs="Arial"/>
          <w:sz w:val="24"/>
          <w:szCs w:val="24"/>
        </w:rPr>
        <w:t>Bloemfontein.</w:t>
      </w:r>
    </w:p>
    <w:p w14:paraId="09B24D67" w14:textId="77777777" w:rsidR="002B4EBE" w:rsidRPr="00837116" w:rsidRDefault="002B4EBE" w:rsidP="008D2D2C">
      <w:pPr>
        <w:spacing w:after="0" w:line="360" w:lineRule="auto"/>
        <w:jc w:val="both"/>
        <w:rPr>
          <w:rFonts w:ascii="Arial" w:hAnsi="Arial" w:cs="Arial"/>
          <w:sz w:val="24"/>
          <w:szCs w:val="24"/>
          <w:highlight w:val="green"/>
        </w:rPr>
      </w:pPr>
    </w:p>
    <w:p w14:paraId="66C1D7D3" w14:textId="63FFEFC1" w:rsidR="00285460" w:rsidRPr="00837116" w:rsidRDefault="00285460" w:rsidP="008D2D2C">
      <w:pPr>
        <w:spacing w:after="0" w:line="360" w:lineRule="auto"/>
        <w:ind w:left="3544" w:hanging="3544"/>
        <w:jc w:val="both"/>
        <w:rPr>
          <w:rFonts w:ascii="Arial" w:eastAsia="Calibri" w:hAnsi="Arial" w:cs="Arial"/>
          <w:sz w:val="24"/>
          <w:szCs w:val="24"/>
        </w:rPr>
      </w:pPr>
      <w:r w:rsidRPr="00837116">
        <w:rPr>
          <w:rFonts w:ascii="Arial" w:eastAsia="Calibri" w:hAnsi="Arial" w:cs="Arial"/>
          <w:sz w:val="24"/>
          <w:szCs w:val="24"/>
        </w:rPr>
        <w:t xml:space="preserve">For </w:t>
      </w:r>
      <w:r w:rsidRPr="00837116">
        <w:rPr>
          <w:rFonts w:ascii="Arial" w:hAnsi="Arial" w:cs="Arial"/>
          <w:sz w:val="24"/>
          <w:szCs w:val="24"/>
        </w:rPr>
        <w:t>respondent</w:t>
      </w:r>
      <w:r w:rsidRPr="00837116">
        <w:rPr>
          <w:rFonts w:ascii="Arial" w:eastAsia="Calibri" w:hAnsi="Arial" w:cs="Arial"/>
          <w:sz w:val="24"/>
          <w:szCs w:val="24"/>
        </w:rPr>
        <w:t>:</w:t>
      </w:r>
      <w:r w:rsidR="00235E98">
        <w:rPr>
          <w:rFonts w:ascii="Arial" w:eastAsia="Calibri" w:hAnsi="Arial" w:cs="Arial"/>
          <w:sz w:val="24"/>
          <w:szCs w:val="24"/>
        </w:rPr>
        <w:tab/>
      </w:r>
      <w:r w:rsidR="00235E98">
        <w:rPr>
          <w:rFonts w:ascii="Arial" w:eastAsia="Calibri" w:hAnsi="Arial" w:cs="Arial"/>
          <w:sz w:val="24"/>
          <w:szCs w:val="24"/>
        </w:rPr>
        <w:tab/>
      </w:r>
      <w:r w:rsidR="00685B89" w:rsidRPr="00837116">
        <w:rPr>
          <w:rFonts w:ascii="Arial" w:hAnsi="Arial" w:cs="Arial"/>
          <w:sz w:val="24"/>
          <w:szCs w:val="24"/>
        </w:rPr>
        <w:t>A M Annandale</w:t>
      </w:r>
      <w:r w:rsidRPr="00837116">
        <w:rPr>
          <w:rFonts w:ascii="Arial" w:hAnsi="Arial" w:cs="Arial"/>
          <w:sz w:val="24"/>
          <w:szCs w:val="24"/>
        </w:rPr>
        <w:t xml:space="preserve"> SC</w:t>
      </w:r>
      <w:r w:rsidR="00475C4A">
        <w:rPr>
          <w:rFonts w:ascii="Arial" w:hAnsi="Arial" w:cs="Arial"/>
          <w:sz w:val="24"/>
          <w:szCs w:val="24"/>
        </w:rPr>
        <w:t xml:space="preserve"> (with her SI Humphrey)</w:t>
      </w:r>
      <w:r w:rsidRPr="00837116">
        <w:rPr>
          <w:rFonts w:ascii="Arial" w:hAnsi="Arial" w:cs="Arial"/>
          <w:sz w:val="24"/>
          <w:szCs w:val="24"/>
        </w:rPr>
        <w:t xml:space="preserve"> </w:t>
      </w:r>
    </w:p>
    <w:p w14:paraId="3581AB52" w14:textId="008E162A" w:rsidR="00285460" w:rsidRPr="00837116" w:rsidRDefault="00285460" w:rsidP="00695690">
      <w:pPr>
        <w:widowControl w:val="0"/>
        <w:tabs>
          <w:tab w:val="left" w:pos="-1440"/>
        </w:tabs>
        <w:autoSpaceDE w:val="0"/>
        <w:autoSpaceDN w:val="0"/>
        <w:adjustRightInd w:val="0"/>
        <w:spacing w:after="0" w:line="360" w:lineRule="auto"/>
        <w:jc w:val="both"/>
        <w:rPr>
          <w:rFonts w:ascii="Arial" w:hAnsi="Arial" w:cs="Arial"/>
          <w:bCs/>
          <w:sz w:val="24"/>
          <w:szCs w:val="24"/>
        </w:rPr>
      </w:pPr>
      <w:r w:rsidRPr="00837116">
        <w:rPr>
          <w:rFonts w:ascii="Arial" w:eastAsia="Calibri" w:hAnsi="Arial" w:cs="Arial"/>
          <w:sz w:val="24"/>
          <w:szCs w:val="24"/>
        </w:rPr>
        <w:t>Instructed by:</w:t>
      </w:r>
      <w:r w:rsidRPr="00837116">
        <w:rPr>
          <w:rFonts w:ascii="Arial" w:eastAsia="Calibri" w:hAnsi="Arial" w:cs="Arial"/>
          <w:sz w:val="24"/>
          <w:szCs w:val="24"/>
        </w:rPr>
        <w:tab/>
      </w:r>
      <w:r w:rsidRPr="00837116">
        <w:rPr>
          <w:rFonts w:ascii="Arial" w:eastAsia="Calibri" w:hAnsi="Arial" w:cs="Arial"/>
          <w:sz w:val="24"/>
          <w:szCs w:val="24"/>
        </w:rPr>
        <w:tab/>
      </w:r>
      <w:r w:rsidRPr="00837116">
        <w:rPr>
          <w:rFonts w:ascii="Arial" w:eastAsia="Calibri" w:hAnsi="Arial" w:cs="Arial"/>
          <w:sz w:val="24"/>
          <w:szCs w:val="24"/>
        </w:rPr>
        <w:tab/>
      </w:r>
      <w:bookmarkStart w:id="36" w:name="_Hlk103591020"/>
      <w:r w:rsidR="00685B89" w:rsidRPr="00837116">
        <w:rPr>
          <w:rFonts w:ascii="Arial" w:hAnsi="Arial" w:cs="Arial"/>
          <w:bCs/>
          <w:sz w:val="24"/>
          <w:szCs w:val="24"/>
        </w:rPr>
        <w:t>Andrew</w:t>
      </w:r>
      <w:r w:rsidRPr="00837116">
        <w:rPr>
          <w:rFonts w:ascii="Arial" w:hAnsi="Arial" w:cs="Arial"/>
          <w:bCs/>
          <w:sz w:val="24"/>
          <w:szCs w:val="24"/>
        </w:rPr>
        <w:t xml:space="preserve"> Inc</w:t>
      </w:r>
      <w:r w:rsidR="00F14D1E">
        <w:rPr>
          <w:rFonts w:ascii="Arial" w:hAnsi="Arial" w:cs="Arial"/>
          <w:bCs/>
          <w:sz w:val="24"/>
          <w:szCs w:val="24"/>
        </w:rPr>
        <w:t>.,</w:t>
      </w:r>
      <w:r w:rsidR="00235E98">
        <w:rPr>
          <w:rFonts w:ascii="Arial" w:hAnsi="Arial" w:cs="Arial"/>
          <w:bCs/>
          <w:sz w:val="24"/>
          <w:szCs w:val="24"/>
        </w:rPr>
        <w:t xml:space="preserve"> Attorneys</w:t>
      </w:r>
      <w:r w:rsidRPr="00837116">
        <w:rPr>
          <w:rFonts w:ascii="Arial" w:hAnsi="Arial" w:cs="Arial"/>
          <w:bCs/>
          <w:sz w:val="24"/>
          <w:szCs w:val="24"/>
        </w:rPr>
        <w:t xml:space="preserve">, </w:t>
      </w:r>
      <w:r w:rsidR="00685B89" w:rsidRPr="00837116">
        <w:rPr>
          <w:rFonts w:ascii="Arial" w:hAnsi="Arial" w:cs="Arial"/>
          <w:bCs/>
          <w:sz w:val="24"/>
          <w:szCs w:val="24"/>
        </w:rPr>
        <w:t>Durban</w:t>
      </w:r>
    </w:p>
    <w:p w14:paraId="4A963152" w14:textId="1AEBF105" w:rsidR="00285460" w:rsidRPr="00837116" w:rsidRDefault="00285460" w:rsidP="00C322E0">
      <w:pPr>
        <w:widowControl w:val="0"/>
        <w:tabs>
          <w:tab w:val="left" w:pos="-1440"/>
        </w:tabs>
        <w:autoSpaceDE w:val="0"/>
        <w:autoSpaceDN w:val="0"/>
        <w:adjustRightInd w:val="0"/>
        <w:spacing w:after="0" w:line="360" w:lineRule="auto"/>
        <w:jc w:val="both"/>
        <w:rPr>
          <w:rFonts w:ascii="Arial" w:eastAsia="Calibri" w:hAnsi="Arial" w:cs="Arial"/>
          <w:sz w:val="24"/>
          <w:szCs w:val="24"/>
        </w:rPr>
      </w:pPr>
      <w:r w:rsidRPr="00837116">
        <w:rPr>
          <w:rFonts w:ascii="Arial" w:hAnsi="Arial" w:cs="Arial"/>
          <w:bCs/>
          <w:sz w:val="24"/>
          <w:szCs w:val="24"/>
        </w:rPr>
        <w:tab/>
      </w:r>
      <w:r w:rsidRPr="00837116">
        <w:rPr>
          <w:rFonts w:ascii="Arial" w:hAnsi="Arial" w:cs="Arial"/>
          <w:bCs/>
          <w:sz w:val="24"/>
          <w:szCs w:val="24"/>
        </w:rPr>
        <w:tab/>
      </w:r>
      <w:r w:rsidRPr="00837116">
        <w:rPr>
          <w:rFonts w:ascii="Arial" w:hAnsi="Arial" w:cs="Arial"/>
          <w:bCs/>
          <w:sz w:val="24"/>
          <w:szCs w:val="24"/>
        </w:rPr>
        <w:tab/>
      </w:r>
      <w:r w:rsidRPr="00837116">
        <w:rPr>
          <w:rFonts w:ascii="Arial" w:hAnsi="Arial" w:cs="Arial"/>
          <w:bCs/>
          <w:sz w:val="24"/>
          <w:szCs w:val="24"/>
        </w:rPr>
        <w:tab/>
      </w:r>
      <w:r w:rsidRPr="00837116">
        <w:rPr>
          <w:rFonts w:ascii="Arial" w:hAnsi="Arial" w:cs="Arial"/>
          <w:bCs/>
          <w:sz w:val="24"/>
          <w:szCs w:val="24"/>
        </w:rPr>
        <w:tab/>
      </w:r>
      <w:r w:rsidR="00685B89" w:rsidRPr="00837116">
        <w:rPr>
          <w:rFonts w:ascii="Arial" w:hAnsi="Arial" w:cs="Arial"/>
          <w:bCs/>
          <w:sz w:val="24"/>
          <w:szCs w:val="24"/>
        </w:rPr>
        <w:t xml:space="preserve">McIntyre Van </w:t>
      </w:r>
      <w:r w:rsidR="00235E98" w:rsidRPr="00EC4EF5">
        <w:rPr>
          <w:rFonts w:ascii="Arial" w:hAnsi="Arial" w:cs="Arial"/>
          <w:bCs/>
          <w:sz w:val="24"/>
          <w:szCs w:val="24"/>
        </w:rPr>
        <w:t>d</w:t>
      </w:r>
      <w:r w:rsidR="00685B89" w:rsidRPr="00837116">
        <w:rPr>
          <w:rFonts w:ascii="Arial" w:hAnsi="Arial" w:cs="Arial"/>
          <w:bCs/>
          <w:sz w:val="24"/>
          <w:szCs w:val="24"/>
        </w:rPr>
        <w:t>er Post,</w:t>
      </w:r>
      <w:r w:rsidRPr="00837116">
        <w:rPr>
          <w:rFonts w:ascii="Arial" w:hAnsi="Arial" w:cs="Arial"/>
          <w:bCs/>
          <w:sz w:val="24"/>
          <w:szCs w:val="24"/>
        </w:rPr>
        <w:t xml:space="preserve"> Bloemfontein</w:t>
      </w:r>
      <w:r w:rsidR="0088109C">
        <w:rPr>
          <w:rFonts w:ascii="Arial" w:hAnsi="Arial" w:cs="Arial"/>
          <w:bCs/>
          <w:sz w:val="24"/>
          <w:szCs w:val="24"/>
        </w:rPr>
        <w:t>.</w:t>
      </w:r>
    </w:p>
    <w:bookmarkEnd w:id="36"/>
    <w:p w14:paraId="2F34182C" w14:textId="253D5261" w:rsidR="00285460" w:rsidRPr="00753450" w:rsidRDefault="00285460" w:rsidP="00285460">
      <w:pPr>
        <w:pStyle w:val="MEMONUMBERED"/>
        <w:kinsoku w:val="0"/>
        <w:overflowPunct w:val="0"/>
        <w:autoSpaceDE w:val="0"/>
        <w:autoSpaceDN w:val="0"/>
        <w:adjustRightInd w:val="0"/>
        <w:spacing w:before="1" w:line="360" w:lineRule="auto"/>
        <w:ind w:right="-7"/>
        <w:rPr>
          <w:rFonts w:ascii="Arial" w:hAnsi="Arial" w:cs="Arial"/>
          <w:bCs/>
        </w:rPr>
      </w:pPr>
    </w:p>
    <w:p w14:paraId="03A8C00E" w14:textId="77777777" w:rsidR="00CC3A88" w:rsidRPr="00753450" w:rsidRDefault="00CC3A88" w:rsidP="00285460">
      <w:pPr>
        <w:pStyle w:val="MEMONUMBERED"/>
        <w:kinsoku w:val="0"/>
        <w:overflowPunct w:val="0"/>
        <w:autoSpaceDE w:val="0"/>
        <w:autoSpaceDN w:val="0"/>
        <w:adjustRightInd w:val="0"/>
        <w:spacing w:before="1" w:line="360" w:lineRule="auto"/>
        <w:ind w:right="-7"/>
        <w:rPr>
          <w:rFonts w:ascii="Arial" w:hAnsi="Arial" w:cs="Arial"/>
          <w:bCs/>
        </w:rPr>
      </w:pPr>
    </w:p>
    <w:p w14:paraId="57228C38" w14:textId="77777777" w:rsidR="00317AC8" w:rsidRDefault="00317AC8" w:rsidP="00960B49"/>
    <w:sectPr w:rsidR="00317AC8" w:rsidSect="000B7517">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1435B" w14:textId="77777777" w:rsidR="0033734A" w:rsidRDefault="0033734A" w:rsidP="007B580E">
      <w:pPr>
        <w:spacing w:after="0" w:line="240" w:lineRule="auto"/>
      </w:pPr>
      <w:r>
        <w:separator/>
      </w:r>
    </w:p>
  </w:endnote>
  <w:endnote w:type="continuationSeparator" w:id="0">
    <w:p w14:paraId="28200E3B" w14:textId="77777777" w:rsidR="0033734A" w:rsidRDefault="0033734A" w:rsidP="007B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42E34" w14:textId="77777777" w:rsidR="0033734A" w:rsidRDefault="0033734A" w:rsidP="007B580E">
      <w:pPr>
        <w:spacing w:after="0" w:line="240" w:lineRule="auto"/>
      </w:pPr>
      <w:r>
        <w:separator/>
      </w:r>
    </w:p>
  </w:footnote>
  <w:footnote w:type="continuationSeparator" w:id="0">
    <w:p w14:paraId="25F81793" w14:textId="77777777" w:rsidR="0033734A" w:rsidRDefault="0033734A" w:rsidP="007B580E">
      <w:pPr>
        <w:spacing w:after="0" w:line="240" w:lineRule="auto"/>
      </w:pPr>
      <w:r>
        <w:continuationSeparator/>
      </w:r>
    </w:p>
  </w:footnote>
  <w:footnote w:id="1">
    <w:p w14:paraId="3A3035A0" w14:textId="28433AC8" w:rsidR="00723E20" w:rsidRPr="00E00ADC" w:rsidRDefault="00723E20" w:rsidP="00071C6A">
      <w:pPr>
        <w:pStyle w:val="FootnoteText"/>
        <w:jc w:val="both"/>
        <w:rPr>
          <w:rFonts w:ascii="Arial" w:hAnsi="Arial" w:cs="Arial"/>
          <w:lang w:val="en-GB"/>
        </w:rPr>
      </w:pPr>
      <w:r w:rsidRPr="004D7CE8">
        <w:rPr>
          <w:rStyle w:val="FootnoteReference"/>
          <w:rFonts w:ascii="Arial" w:hAnsi="Arial" w:cs="Arial"/>
        </w:rPr>
        <w:footnoteRef/>
      </w:r>
      <w:r w:rsidRPr="004D7CE8">
        <w:rPr>
          <w:rFonts w:ascii="Arial" w:hAnsi="Arial" w:cs="Arial"/>
        </w:rPr>
        <w:t xml:space="preserve"> </w:t>
      </w:r>
      <w:bookmarkStart w:id="8" w:name="_Hlk103378880"/>
      <w:r w:rsidRPr="004D7CE8">
        <w:rPr>
          <w:rFonts w:ascii="Arial" w:hAnsi="Arial" w:cs="Arial"/>
          <w:i/>
          <w:iCs/>
        </w:rPr>
        <w:t xml:space="preserve">Melane v </w:t>
      </w:r>
      <w:r w:rsidRPr="00E00ADC">
        <w:rPr>
          <w:rFonts w:ascii="Arial" w:hAnsi="Arial" w:cs="Arial"/>
          <w:i/>
          <w:iCs/>
        </w:rPr>
        <w:t>S</w:t>
      </w:r>
      <w:r w:rsidRPr="00EC4EF5">
        <w:rPr>
          <w:rFonts w:ascii="Arial" w:hAnsi="Arial" w:cs="Arial"/>
          <w:i/>
          <w:iCs/>
        </w:rPr>
        <w:t>antam</w:t>
      </w:r>
      <w:r w:rsidRPr="00E00ADC">
        <w:rPr>
          <w:rFonts w:ascii="Arial" w:hAnsi="Arial" w:cs="Arial"/>
          <w:i/>
          <w:iCs/>
        </w:rPr>
        <w:t xml:space="preserve"> Insurance Co Ltd</w:t>
      </w:r>
      <w:r w:rsidRPr="00E00ADC">
        <w:rPr>
          <w:rFonts w:ascii="Arial" w:hAnsi="Arial" w:cs="Arial"/>
          <w:b/>
          <w:bCs/>
        </w:rPr>
        <w:t xml:space="preserve"> </w:t>
      </w:r>
      <w:r w:rsidRPr="00E00ADC">
        <w:rPr>
          <w:rFonts w:ascii="Arial" w:hAnsi="Arial" w:cs="Arial"/>
        </w:rPr>
        <w:t>1962 (4) SA 531 (A) at 532B-E.</w:t>
      </w:r>
    </w:p>
    <w:bookmarkEnd w:id="8"/>
  </w:footnote>
  <w:footnote w:id="2">
    <w:p w14:paraId="54991B37" w14:textId="1838EA7E" w:rsidR="00723E20" w:rsidRPr="00141126" w:rsidRDefault="00723E20" w:rsidP="008D2D2C">
      <w:pPr>
        <w:pStyle w:val="Heading2"/>
        <w:shd w:val="clear" w:color="auto" w:fill="FFFFFF"/>
        <w:spacing w:before="0" w:line="240" w:lineRule="auto"/>
        <w:jc w:val="both"/>
        <w:rPr>
          <w:rFonts w:ascii="Arial" w:hAnsi="Arial" w:cs="Arial"/>
          <w:color w:val="auto"/>
          <w:lang w:val="en-GB"/>
        </w:rPr>
      </w:pPr>
      <w:r w:rsidRPr="00E00ADC">
        <w:rPr>
          <w:rStyle w:val="FootnoteReference"/>
          <w:rFonts w:ascii="Arial" w:hAnsi="Arial" w:cs="Arial"/>
          <w:color w:val="auto"/>
          <w:sz w:val="20"/>
          <w:szCs w:val="20"/>
        </w:rPr>
        <w:footnoteRef/>
      </w:r>
      <w:r w:rsidRPr="00E00ADC">
        <w:rPr>
          <w:rFonts w:ascii="Arial" w:hAnsi="Arial" w:cs="Arial"/>
          <w:color w:val="auto"/>
          <w:sz w:val="20"/>
          <w:szCs w:val="20"/>
        </w:rPr>
        <w:t xml:space="preserve"> </w:t>
      </w:r>
      <w:r w:rsidRPr="00EC4EF5">
        <w:rPr>
          <w:rFonts w:ascii="Arial" w:hAnsi="Arial" w:cs="Arial"/>
          <w:color w:val="auto"/>
          <w:sz w:val="20"/>
          <w:szCs w:val="20"/>
        </w:rPr>
        <w:t>Ibid.</w:t>
      </w:r>
      <w:r w:rsidRPr="00F75718">
        <w:rPr>
          <w:rFonts w:ascii="Arial" w:hAnsi="Arial" w:cs="Arial"/>
          <w:color w:val="auto"/>
          <w:sz w:val="20"/>
          <w:szCs w:val="20"/>
        </w:rPr>
        <w:t xml:space="preserve"> </w:t>
      </w:r>
    </w:p>
  </w:footnote>
  <w:footnote w:id="3">
    <w:p w14:paraId="5F4F7A7B" w14:textId="5A88ACFA" w:rsidR="00723E20" w:rsidRPr="004D7CE8" w:rsidRDefault="00723E20">
      <w:pPr>
        <w:pStyle w:val="FootnoteText"/>
        <w:jc w:val="both"/>
        <w:rPr>
          <w:rFonts w:ascii="Arial" w:hAnsi="Arial" w:cs="Arial"/>
          <w:lang w:val="en-GB"/>
        </w:rPr>
      </w:pPr>
      <w:r w:rsidRPr="00BA4D38">
        <w:rPr>
          <w:rStyle w:val="FootnoteReference"/>
          <w:rFonts w:ascii="Arial" w:hAnsi="Arial" w:cs="Arial"/>
        </w:rPr>
        <w:footnoteRef/>
      </w:r>
      <w:r w:rsidRPr="00BA4D38">
        <w:rPr>
          <w:rFonts w:ascii="Arial" w:hAnsi="Arial" w:cs="Arial"/>
        </w:rPr>
        <w:t xml:space="preserve"> </w:t>
      </w:r>
      <w:r w:rsidRPr="00BA4D38">
        <w:rPr>
          <w:rFonts w:ascii="Arial" w:hAnsi="Arial" w:cs="Arial"/>
          <w:i/>
          <w:iCs/>
          <w:lang w:val="en-GB"/>
        </w:rPr>
        <w:t>P</w:t>
      </w:r>
      <w:r w:rsidRPr="004D7CE8">
        <w:rPr>
          <w:rFonts w:ascii="Arial" w:hAnsi="Arial" w:cs="Arial"/>
          <w:i/>
          <w:iCs/>
          <w:lang w:val="en-GB"/>
        </w:rPr>
        <w:t xml:space="preserve"> E Bosman Transport Works Committee </w:t>
      </w:r>
      <w:r w:rsidRPr="00EC4EF5">
        <w:rPr>
          <w:rFonts w:ascii="Arial" w:hAnsi="Arial" w:cs="Arial"/>
          <w:i/>
          <w:iCs/>
          <w:lang w:val="en-GB"/>
        </w:rPr>
        <w:t xml:space="preserve">and </w:t>
      </w:r>
      <w:r w:rsidR="007404F1" w:rsidRPr="00EC4EF5">
        <w:rPr>
          <w:rFonts w:ascii="Arial" w:hAnsi="Arial" w:cs="Arial"/>
          <w:i/>
          <w:iCs/>
          <w:lang w:val="en-GB"/>
        </w:rPr>
        <w:t>O</w:t>
      </w:r>
      <w:r w:rsidRPr="00EC4EF5">
        <w:rPr>
          <w:rFonts w:ascii="Arial" w:hAnsi="Arial" w:cs="Arial"/>
          <w:i/>
          <w:iCs/>
          <w:lang w:val="en-GB"/>
        </w:rPr>
        <w:t>thers</w:t>
      </w:r>
      <w:r w:rsidRPr="004D7CE8">
        <w:rPr>
          <w:rFonts w:ascii="Arial" w:hAnsi="Arial" w:cs="Arial"/>
          <w:i/>
          <w:iCs/>
          <w:lang w:val="en-GB"/>
        </w:rPr>
        <w:t xml:space="preserve"> v Piet Bosman Transport (Pty) Limited</w:t>
      </w:r>
      <w:r w:rsidRPr="004D7CE8">
        <w:rPr>
          <w:rFonts w:ascii="Arial" w:hAnsi="Arial" w:cs="Arial"/>
          <w:lang w:val="en-GB"/>
        </w:rPr>
        <w:t xml:space="preserve"> 1980 (4) SA 794 (A) at 800A-C.</w:t>
      </w:r>
    </w:p>
  </w:footnote>
  <w:footnote w:id="4">
    <w:p w14:paraId="23083096" w14:textId="7CF32105" w:rsidR="00723E20" w:rsidRPr="004D7CE8" w:rsidRDefault="00723E20">
      <w:pPr>
        <w:spacing w:after="0" w:line="240" w:lineRule="auto"/>
        <w:jc w:val="both"/>
        <w:rPr>
          <w:rFonts w:ascii="Arial" w:hAnsi="Arial" w:cs="Arial"/>
          <w:sz w:val="20"/>
          <w:szCs w:val="20"/>
        </w:rPr>
      </w:pPr>
      <w:r w:rsidRPr="00BA4D38">
        <w:rPr>
          <w:rStyle w:val="FootnoteReference"/>
          <w:rFonts w:ascii="Arial" w:hAnsi="Arial" w:cs="Arial"/>
          <w:sz w:val="20"/>
          <w:szCs w:val="20"/>
        </w:rPr>
        <w:footnoteRef/>
      </w:r>
      <w:r w:rsidRPr="00BA4D38">
        <w:rPr>
          <w:rFonts w:ascii="Arial" w:hAnsi="Arial" w:cs="Arial"/>
          <w:sz w:val="20"/>
          <w:szCs w:val="20"/>
        </w:rPr>
        <w:t xml:space="preserve"> </w:t>
      </w:r>
      <w:r w:rsidRPr="00BA4D38">
        <w:rPr>
          <w:rFonts w:ascii="Arial" w:eastAsia="Times New Roman" w:hAnsi="Arial" w:cs="Arial"/>
          <w:i/>
          <w:iCs/>
          <w:sz w:val="20"/>
          <w:szCs w:val="20"/>
          <w:lang w:eastAsia="en-ZA"/>
        </w:rPr>
        <w:t>Mabaso v Law Society of the Northern Provinces</w:t>
      </w:r>
      <w:r w:rsidRPr="004D7CE8">
        <w:rPr>
          <w:rFonts w:ascii="Arial" w:eastAsia="Times New Roman" w:hAnsi="Arial" w:cs="Arial"/>
          <w:sz w:val="20"/>
          <w:szCs w:val="20"/>
          <w:lang w:eastAsia="en-ZA"/>
        </w:rPr>
        <w:t xml:space="preserve"> </w:t>
      </w:r>
      <w:r w:rsidRPr="004D7CE8">
        <w:rPr>
          <w:rFonts w:ascii="Arial" w:hAnsi="Arial" w:cs="Arial"/>
          <w:sz w:val="20"/>
          <w:szCs w:val="20"/>
        </w:rPr>
        <w:t xml:space="preserve">[2004] ZACC 8; </w:t>
      </w:r>
      <w:r w:rsidRPr="004D7CE8">
        <w:rPr>
          <w:rFonts w:ascii="Arial" w:eastAsia="Times New Roman" w:hAnsi="Arial" w:cs="Arial"/>
          <w:sz w:val="20"/>
          <w:szCs w:val="20"/>
          <w:lang w:eastAsia="en-ZA"/>
        </w:rPr>
        <w:t>2005 (2) SA 117 (CC)</w:t>
      </w:r>
      <w:r w:rsidR="007B15D6">
        <w:rPr>
          <w:rFonts w:ascii="Arial" w:eastAsia="Times New Roman" w:hAnsi="Arial" w:cs="Arial"/>
          <w:sz w:val="20"/>
          <w:szCs w:val="20"/>
          <w:lang w:eastAsia="en-ZA"/>
        </w:rPr>
        <w:t xml:space="preserve"> </w:t>
      </w:r>
      <w:r w:rsidRPr="004D7CE8">
        <w:rPr>
          <w:rFonts w:ascii="Arial" w:eastAsia="Times New Roman" w:hAnsi="Arial" w:cs="Arial"/>
          <w:sz w:val="20"/>
          <w:szCs w:val="20"/>
          <w:lang w:eastAsia="en-ZA"/>
        </w:rPr>
        <w:t>para 20.</w:t>
      </w:r>
    </w:p>
  </w:footnote>
  <w:footnote w:id="5">
    <w:p w14:paraId="44B8C3DF" w14:textId="30F5FBCE" w:rsidR="00723E20" w:rsidRPr="00BA4D38" w:rsidRDefault="00723E20">
      <w:pPr>
        <w:spacing w:after="0" w:line="240" w:lineRule="auto"/>
        <w:jc w:val="both"/>
        <w:rPr>
          <w:rFonts w:ascii="Arial" w:hAnsi="Arial" w:cs="Arial"/>
          <w:i/>
          <w:iCs/>
          <w:sz w:val="20"/>
          <w:szCs w:val="20"/>
        </w:rPr>
      </w:pPr>
      <w:r w:rsidRPr="00BA4D38">
        <w:rPr>
          <w:rStyle w:val="FootnoteReference"/>
          <w:rFonts w:ascii="Arial" w:hAnsi="Arial" w:cs="Arial"/>
          <w:sz w:val="20"/>
          <w:szCs w:val="20"/>
        </w:rPr>
        <w:footnoteRef/>
      </w:r>
      <w:r w:rsidRPr="00BA4D38">
        <w:rPr>
          <w:rFonts w:ascii="Arial" w:hAnsi="Arial" w:cs="Arial"/>
          <w:sz w:val="20"/>
          <w:szCs w:val="20"/>
        </w:rPr>
        <w:t xml:space="preserve"> </w:t>
      </w:r>
      <w:r w:rsidRPr="00BA4D38">
        <w:rPr>
          <w:rFonts w:ascii="Arial" w:hAnsi="Arial" w:cs="Arial"/>
          <w:i/>
          <w:iCs/>
          <w:sz w:val="20"/>
          <w:szCs w:val="20"/>
        </w:rPr>
        <w:t>Glazer v Glazer NO</w:t>
      </w:r>
      <w:r w:rsidRPr="008D2D2C">
        <w:rPr>
          <w:rFonts w:ascii="Arial" w:hAnsi="Arial" w:cs="Arial"/>
          <w:iCs/>
          <w:sz w:val="20"/>
          <w:szCs w:val="20"/>
        </w:rPr>
        <w:t xml:space="preserve"> </w:t>
      </w:r>
      <w:r w:rsidRPr="00BA4D38">
        <w:rPr>
          <w:rFonts w:ascii="Arial" w:hAnsi="Arial" w:cs="Arial"/>
          <w:sz w:val="20"/>
          <w:szCs w:val="20"/>
        </w:rPr>
        <w:t>1963 (4) SA 694 (AD) at 702H.</w:t>
      </w:r>
    </w:p>
  </w:footnote>
  <w:footnote w:id="6">
    <w:p w14:paraId="2C24B0F7" w14:textId="0A9C219A" w:rsidR="00723E20" w:rsidRPr="004D7CE8" w:rsidRDefault="00723E20">
      <w:pPr>
        <w:pStyle w:val="FootnoteText"/>
        <w:jc w:val="both"/>
        <w:rPr>
          <w:rFonts w:ascii="Arial" w:hAnsi="Arial" w:cs="Arial"/>
        </w:rPr>
      </w:pPr>
      <w:r w:rsidRPr="00BA4D38">
        <w:rPr>
          <w:rStyle w:val="FootnoteReference"/>
          <w:rFonts w:ascii="Arial" w:hAnsi="Arial" w:cs="Arial"/>
        </w:rPr>
        <w:footnoteRef/>
      </w:r>
      <w:r w:rsidRPr="00BA4D38">
        <w:rPr>
          <w:rFonts w:ascii="Arial" w:hAnsi="Arial" w:cs="Arial"/>
        </w:rPr>
        <w:t xml:space="preserve"> </w:t>
      </w:r>
      <w:r w:rsidRPr="00BA4D38">
        <w:rPr>
          <w:rFonts w:ascii="Arial" w:hAnsi="Arial" w:cs="Arial"/>
          <w:i/>
          <w:iCs/>
        </w:rPr>
        <w:t>National Coalition for Gay and Lesbian Equality and Others v Minister of Home Affairs and Others</w:t>
      </w:r>
      <w:r w:rsidRPr="004D7CE8">
        <w:rPr>
          <w:rFonts w:ascii="Arial" w:hAnsi="Arial" w:cs="Arial"/>
        </w:rPr>
        <w:t xml:space="preserve"> 2000 (2) SA 1 (CC); 2000 (1) BCLR 39 (CC) para 11.  </w:t>
      </w:r>
    </w:p>
  </w:footnote>
  <w:footnote w:id="7">
    <w:p w14:paraId="254824B9" w14:textId="7E76D19E" w:rsidR="00723E20" w:rsidRPr="004D7CE8" w:rsidRDefault="00723E20">
      <w:pPr>
        <w:spacing w:after="0" w:line="240" w:lineRule="auto"/>
        <w:jc w:val="both"/>
        <w:rPr>
          <w:rFonts w:ascii="Arial" w:hAnsi="Arial" w:cs="Arial"/>
          <w:sz w:val="20"/>
          <w:szCs w:val="20"/>
        </w:rPr>
      </w:pPr>
      <w:r w:rsidRPr="00BA4D38">
        <w:rPr>
          <w:rStyle w:val="FootnoteReference"/>
          <w:rFonts w:ascii="Arial" w:hAnsi="Arial" w:cs="Arial"/>
          <w:sz w:val="20"/>
          <w:szCs w:val="20"/>
        </w:rPr>
        <w:footnoteRef/>
      </w:r>
      <w:r w:rsidRPr="00BA4D38">
        <w:rPr>
          <w:rFonts w:ascii="Arial" w:hAnsi="Arial" w:cs="Arial"/>
          <w:sz w:val="20"/>
          <w:szCs w:val="20"/>
        </w:rPr>
        <w:t xml:space="preserve"> </w:t>
      </w:r>
      <w:r w:rsidRPr="00BA4D38">
        <w:rPr>
          <w:rFonts w:ascii="Arial" w:hAnsi="Arial" w:cs="Arial"/>
          <w:i/>
          <w:sz w:val="20"/>
          <w:szCs w:val="20"/>
        </w:rPr>
        <w:t>United Plant Hire (Pty) Ltd v Hills and Others</w:t>
      </w:r>
      <w:r w:rsidRPr="004D7CE8">
        <w:rPr>
          <w:rFonts w:ascii="Arial" w:hAnsi="Arial" w:cs="Arial"/>
          <w:sz w:val="20"/>
          <w:szCs w:val="20"/>
        </w:rPr>
        <w:t xml:space="preserve"> </w:t>
      </w:r>
      <w:r w:rsidRPr="00BA4D38">
        <w:rPr>
          <w:rFonts w:ascii="Arial" w:hAnsi="Arial" w:cs="Arial"/>
          <w:sz w:val="20"/>
          <w:szCs w:val="20"/>
        </w:rPr>
        <w:t xml:space="preserve">1976 (1) SA 717 (A) at 720E-G; </w:t>
      </w:r>
      <w:r w:rsidRPr="004D7CE8">
        <w:rPr>
          <w:rFonts w:ascii="Arial" w:hAnsi="Arial" w:cs="Arial"/>
          <w:i/>
          <w:sz w:val="20"/>
          <w:szCs w:val="20"/>
        </w:rPr>
        <w:t>Darries v Sheriff, Magistrate’s Court, Wynberg and Another</w:t>
      </w:r>
      <w:r w:rsidRPr="004D7CE8">
        <w:rPr>
          <w:rFonts w:ascii="Arial" w:hAnsi="Arial" w:cs="Arial"/>
          <w:sz w:val="20"/>
          <w:szCs w:val="20"/>
        </w:rPr>
        <w:t xml:space="preserve"> 1998 (3) SA 34 (SCA) at 40H-41E; </w:t>
      </w:r>
      <w:r w:rsidRPr="004D7CE8">
        <w:rPr>
          <w:rFonts w:ascii="Arial" w:hAnsi="Arial" w:cs="Arial"/>
          <w:i/>
          <w:iCs/>
          <w:sz w:val="20"/>
          <w:szCs w:val="20"/>
        </w:rPr>
        <w:t>Valor IT v Premier, North West Province and Others</w:t>
      </w:r>
      <w:r w:rsidRPr="004D7CE8">
        <w:rPr>
          <w:rFonts w:ascii="Arial" w:hAnsi="Arial" w:cs="Arial"/>
          <w:sz w:val="20"/>
          <w:szCs w:val="20"/>
        </w:rPr>
        <w:t xml:space="preserve"> [2020] ZASCA 62; 2021 (1) SA 42 (SCA) para 38. </w:t>
      </w:r>
    </w:p>
  </w:footnote>
  <w:footnote w:id="8">
    <w:p w14:paraId="3663A320" w14:textId="199FAEF1" w:rsidR="00723E20" w:rsidRPr="004D7CE8" w:rsidRDefault="00723E20" w:rsidP="008D2D2C">
      <w:pPr>
        <w:pStyle w:val="MEMONUMBERED"/>
        <w:kinsoku w:val="0"/>
        <w:overflowPunct w:val="0"/>
        <w:autoSpaceDE w:val="0"/>
        <w:autoSpaceDN w:val="0"/>
        <w:adjustRightInd w:val="0"/>
        <w:spacing w:line="240" w:lineRule="auto"/>
        <w:ind w:right="-7"/>
        <w:rPr>
          <w:rFonts w:ascii="Arial" w:hAnsi="Arial" w:cs="Arial"/>
          <w:bCs/>
          <w:sz w:val="20"/>
          <w:szCs w:val="20"/>
        </w:rPr>
      </w:pPr>
      <w:r w:rsidRPr="00BA4D38">
        <w:rPr>
          <w:rStyle w:val="FootnoteReference"/>
          <w:rFonts w:ascii="Arial" w:hAnsi="Arial" w:cs="Arial"/>
          <w:sz w:val="20"/>
          <w:szCs w:val="20"/>
        </w:rPr>
        <w:footnoteRef/>
      </w:r>
      <w:r w:rsidRPr="00BA4D38">
        <w:rPr>
          <w:rFonts w:ascii="Arial" w:hAnsi="Arial" w:cs="Arial"/>
          <w:sz w:val="20"/>
          <w:szCs w:val="20"/>
        </w:rPr>
        <w:t xml:space="preserve"> This is not a closed list, as explained in </w:t>
      </w:r>
      <w:r w:rsidRPr="00BA4D38">
        <w:rPr>
          <w:rFonts w:ascii="Arial" w:hAnsi="Arial" w:cs="Arial"/>
          <w:i/>
          <w:iCs/>
          <w:sz w:val="20"/>
          <w:szCs w:val="20"/>
        </w:rPr>
        <w:t>Westinghouse Brake &amp; Equipment (Pty) Ltd v Bilger Engineering (Pty) Ltd</w:t>
      </w:r>
      <w:r w:rsidRPr="004D7CE8">
        <w:rPr>
          <w:rFonts w:ascii="Arial" w:hAnsi="Arial" w:cs="Arial"/>
          <w:sz w:val="20"/>
          <w:szCs w:val="20"/>
        </w:rPr>
        <w:t> </w:t>
      </w:r>
      <w:r w:rsidRPr="004D7CE8">
        <w:rPr>
          <w:rStyle w:val="Hyperlink"/>
          <w:rFonts w:ascii="Arial" w:hAnsi="Arial" w:cs="Arial"/>
          <w:color w:val="auto"/>
          <w:sz w:val="20"/>
          <w:szCs w:val="20"/>
          <w:u w:val="none"/>
        </w:rPr>
        <w:t>1986 (2) SA 555 (A)</w:t>
      </w:r>
      <w:r w:rsidRPr="004D7CE8">
        <w:rPr>
          <w:rFonts w:ascii="Arial" w:hAnsi="Arial" w:cs="Arial"/>
          <w:sz w:val="20"/>
          <w:szCs w:val="20"/>
        </w:rPr>
        <w:t> at 564H-565E. See also </w:t>
      </w:r>
      <w:r w:rsidRPr="004D7CE8">
        <w:rPr>
          <w:rFonts w:ascii="Arial" w:hAnsi="Arial" w:cs="Arial"/>
          <w:i/>
          <w:iCs/>
          <w:sz w:val="20"/>
          <w:szCs w:val="20"/>
        </w:rPr>
        <w:t>Director of Public Prosecutions, Gauteng Division, Pretoria v Moabi</w:t>
      </w:r>
      <w:r w:rsidRPr="004D7CE8">
        <w:rPr>
          <w:rFonts w:ascii="Arial" w:hAnsi="Arial" w:cs="Arial"/>
          <w:sz w:val="20"/>
          <w:szCs w:val="20"/>
        </w:rPr>
        <w:t> [2017] ZASCA 85; 2017 (2) SACR 384 (SCA) para 21.</w:t>
      </w:r>
    </w:p>
  </w:footnote>
  <w:footnote w:id="9">
    <w:p w14:paraId="0CA61088" w14:textId="4741826B" w:rsidR="00723E20" w:rsidRPr="004D7CE8" w:rsidRDefault="00723E20">
      <w:pPr>
        <w:pStyle w:val="FootnoteText"/>
        <w:jc w:val="both"/>
        <w:rPr>
          <w:rFonts w:ascii="Arial" w:hAnsi="Arial" w:cs="Arial"/>
        </w:rPr>
      </w:pPr>
      <w:r w:rsidRPr="00BA4D38">
        <w:rPr>
          <w:rStyle w:val="FootnoteReference"/>
          <w:rFonts w:ascii="Arial" w:hAnsi="Arial" w:cs="Arial"/>
        </w:rPr>
        <w:footnoteRef/>
      </w:r>
      <w:r w:rsidRPr="00BA4D38">
        <w:rPr>
          <w:rFonts w:ascii="Arial" w:hAnsi="Arial" w:cs="Arial"/>
        </w:rPr>
        <w:t xml:space="preserve"> This is subject to s 8(1) of the Matrimonial Property Act </w:t>
      </w:r>
      <w:r w:rsidRPr="00CF1849">
        <w:rPr>
          <w:rFonts w:ascii="Arial" w:hAnsi="Arial" w:cs="Arial"/>
        </w:rPr>
        <w:t>8</w:t>
      </w:r>
      <w:r w:rsidRPr="00EC4EF5">
        <w:rPr>
          <w:rFonts w:ascii="Arial" w:hAnsi="Arial" w:cs="Arial"/>
        </w:rPr>
        <w:t>8</w:t>
      </w:r>
      <w:r w:rsidRPr="00CF1849">
        <w:rPr>
          <w:rFonts w:ascii="Arial" w:hAnsi="Arial" w:cs="Arial"/>
        </w:rPr>
        <w:t xml:space="preserve"> of 198</w:t>
      </w:r>
      <w:r w:rsidRPr="00EC4EF5">
        <w:rPr>
          <w:rFonts w:ascii="Arial" w:hAnsi="Arial" w:cs="Arial"/>
        </w:rPr>
        <w:t>4</w:t>
      </w:r>
      <w:r w:rsidRPr="004D7CE8">
        <w:rPr>
          <w:rFonts w:ascii="Arial" w:hAnsi="Arial" w:cs="Arial"/>
        </w:rPr>
        <w:t>, which reads:</w:t>
      </w:r>
    </w:p>
    <w:p w14:paraId="59D4F97C" w14:textId="77777777" w:rsidR="00723E20" w:rsidRPr="00BA4D38" w:rsidRDefault="00723E20">
      <w:pPr>
        <w:pStyle w:val="FootnoteText"/>
        <w:jc w:val="both"/>
        <w:rPr>
          <w:rFonts w:ascii="Arial" w:hAnsi="Arial" w:cs="Arial"/>
        </w:rPr>
      </w:pPr>
      <w:r w:rsidRPr="008D2D2C">
        <w:rPr>
          <w:rFonts w:ascii="Arial" w:hAnsi="Arial" w:cs="Arial"/>
          <w:bCs/>
        </w:rPr>
        <w:t>‘Power of court to order division of accrual</w:t>
      </w:r>
      <w:r w:rsidRPr="00BA4D38">
        <w:rPr>
          <w:rFonts w:ascii="Arial" w:hAnsi="Arial" w:cs="Arial"/>
        </w:rPr>
        <w:t xml:space="preserve"> </w:t>
      </w:r>
    </w:p>
    <w:p w14:paraId="5A740035" w14:textId="77777777" w:rsidR="00723E20" w:rsidRPr="004D7CE8" w:rsidRDefault="00723E20">
      <w:pPr>
        <w:pStyle w:val="FootnoteText"/>
        <w:jc w:val="both"/>
        <w:rPr>
          <w:rFonts w:ascii="Arial" w:hAnsi="Arial" w:cs="Arial"/>
        </w:rPr>
      </w:pPr>
      <w:r w:rsidRPr="004D7CE8">
        <w:rPr>
          <w:rFonts w:ascii="Arial" w:hAnsi="Arial" w:cs="Arial"/>
        </w:rPr>
        <w:t>(1) A court may on the application of a spouse whose marriage is subject to the accrual system and who satisfies the court that his right to share in the accrual of the estate of the other spouse at the dissolution of the marriage is being or will probably be seriously prejudiced by the conduct or proposed conduct of the other spouse, and that other persons will not be prejudiced thereby, order the immediate division of the accrual concerned in accordance with the provisions of this Chapter or on such other basis as the court may deem just.’</w:t>
      </w:r>
    </w:p>
  </w:footnote>
  <w:footnote w:id="10">
    <w:p w14:paraId="3A18D3C5" w14:textId="77777777" w:rsidR="00723E20" w:rsidRPr="00BA4D38" w:rsidRDefault="00723E20">
      <w:pPr>
        <w:pStyle w:val="FootnoteText"/>
        <w:jc w:val="both"/>
        <w:rPr>
          <w:rFonts w:ascii="Arial" w:hAnsi="Arial" w:cs="Arial"/>
        </w:rPr>
      </w:pPr>
      <w:r w:rsidRPr="00BA4D38">
        <w:rPr>
          <w:rStyle w:val="FootnoteReference"/>
          <w:rFonts w:ascii="Arial" w:hAnsi="Arial" w:cs="Arial"/>
        </w:rPr>
        <w:footnoteRef/>
      </w:r>
      <w:r w:rsidRPr="00BA4D38">
        <w:rPr>
          <w:rFonts w:ascii="Arial" w:hAnsi="Arial" w:cs="Arial"/>
        </w:rPr>
        <w:t xml:space="preserve"> Section 12 of the Trust Property Control Act 57 of 1988.</w:t>
      </w:r>
    </w:p>
  </w:footnote>
  <w:footnote w:id="11">
    <w:p w14:paraId="28FF10DF" w14:textId="37350AA7" w:rsidR="00723E20" w:rsidRPr="004D7CE8" w:rsidRDefault="00723E20">
      <w:pPr>
        <w:pStyle w:val="FootnoteText"/>
        <w:jc w:val="both"/>
        <w:rPr>
          <w:rFonts w:ascii="Arial" w:hAnsi="Arial" w:cs="Arial"/>
        </w:rPr>
      </w:pPr>
      <w:r w:rsidRPr="00CF1849">
        <w:rPr>
          <w:rStyle w:val="FootnoteReference"/>
          <w:rFonts w:ascii="Arial" w:hAnsi="Arial" w:cs="Arial"/>
        </w:rPr>
        <w:footnoteRef/>
      </w:r>
      <w:r w:rsidRPr="00CF1849">
        <w:rPr>
          <w:rFonts w:ascii="Arial" w:hAnsi="Arial" w:cs="Arial"/>
          <w:i/>
          <w:iCs/>
        </w:rPr>
        <w:t xml:space="preserve"> Van Zyl </w:t>
      </w:r>
      <w:r w:rsidRPr="00EC4EF5">
        <w:rPr>
          <w:rFonts w:ascii="Arial" w:hAnsi="Arial" w:cs="Arial"/>
          <w:i/>
          <w:iCs/>
        </w:rPr>
        <w:t>NO</w:t>
      </w:r>
      <w:r w:rsidRPr="00CF1849">
        <w:rPr>
          <w:rFonts w:ascii="Arial" w:hAnsi="Arial" w:cs="Arial"/>
          <w:i/>
          <w:iCs/>
        </w:rPr>
        <w:t xml:space="preserve"> v Kaye </w:t>
      </w:r>
      <w:r w:rsidRPr="00EC4EF5">
        <w:rPr>
          <w:rFonts w:ascii="Arial" w:hAnsi="Arial" w:cs="Arial"/>
          <w:i/>
          <w:iCs/>
        </w:rPr>
        <w:t>NO</w:t>
      </w:r>
      <w:r w:rsidRPr="00CF1849">
        <w:rPr>
          <w:rFonts w:ascii="Arial" w:hAnsi="Arial" w:cs="Arial"/>
        </w:rPr>
        <w:t xml:space="preserve"> para</w:t>
      </w:r>
      <w:r w:rsidRPr="00EC4EF5">
        <w:rPr>
          <w:rFonts w:ascii="Arial" w:hAnsi="Arial" w:cs="Arial"/>
        </w:rPr>
        <w:t>s 16-22.</w:t>
      </w:r>
    </w:p>
  </w:footnote>
  <w:footnote w:id="12">
    <w:p w14:paraId="5C370723" w14:textId="08E682F6" w:rsidR="00723E20" w:rsidRPr="00BA4D38" w:rsidRDefault="00723E20">
      <w:pPr>
        <w:pStyle w:val="FootnoteText"/>
        <w:jc w:val="both"/>
        <w:rPr>
          <w:rFonts w:ascii="Arial" w:hAnsi="Arial" w:cs="Arial"/>
        </w:rPr>
      </w:pPr>
      <w:r w:rsidRPr="00BA4D38">
        <w:rPr>
          <w:rStyle w:val="FootnoteReference"/>
          <w:rFonts w:ascii="Arial" w:hAnsi="Arial" w:cs="Arial"/>
        </w:rPr>
        <w:footnoteRef/>
      </w:r>
      <w:r w:rsidRPr="00BA4D38">
        <w:rPr>
          <w:rFonts w:ascii="Arial" w:hAnsi="Arial" w:cs="Arial"/>
        </w:rPr>
        <w:t xml:space="preserve"> Ibid.</w:t>
      </w:r>
    </w:p>
  </w:footnote>
  <w:footnote w:id="13">
    <w:p w14:paraId="0D6C79CC" w14:textId="48D166C8" w:rsidR="00723E20" w:rsidRPr="006128F6" w:rsidRDefault="00723E20" w:rsidP="008D2D2C">
      <w:pPr>
        <w:pStyle w:val="FootnoteText"/>
        <w:jc w:val="both"/>
        <w:rPr>
          <w:rFonts w:ascii="Arial" w:hAnsi="Arial" w:cs="Arial"/>
        </w:rPr>
      </w:pPr>
      <w:r w:rsidRPr="008D2D2C">
        <w:rPr>
          <w:rStyle w:val="FootnoteReference"/>
          <w:rFonts w:ascii="Arial" w:hAnsi="Arial" w:cs="Arial"/>
        </w:rPr>
        <w:footnoteRef/>
      </w:r>
      <w:r w:rsidRPr="008D2D2C">
        <w:rPr>
          <w:rFonts w:ascii="Arial" w:hAnsi="Arial" w:cs="Arial"/>
        </w:rPr>
        <w:t xml:space="preserve"> </w:t>
      </w:r>
      <w:r w:rsidRPr="00BA4D38">
        <w:rPr>
          <w:rFonts w:ascii="Arial" w:hAnsi="Arial" w:cs="Arial"/>
          <w:lang w:bidi="en-US"/>
        </w:rPr>
        <w:t xml:space="preserve">See </w:t>
      </w:r>
      <w:r w:rsidRPr="006128F6">
        <w:rPr>
          <w:rFonts w:ascii="Arial" w:hAnsi="Arial" w:cs="Arial"/>
          <w:i/>
          <w:lang w:bidi="en-US"/>
        </w:rPr>
        <w:t xml:space="preserve">Shill v Milner </w:t>
      </w:r>
      <w:r w:rsidRPr="006128F6">
        <w:rPr>
          <w:rFonts w:ascii="Arial" w:hAnsi="Arial" w:cs="Arial"/>
          <w:lang w:bidi="en-US"/>
        </w:rPr>
        <w:t>1937 AD 101 (A) at 105.</w:t>
      </w:r>
    </w:p>
  </w:footnote>
  <w:footnote w:id="14">
    <w:p w14:paraId="4058A043" w14:textId="78F2BBA5" w:rsidR="00723E20" w:rsidRPr="006128F6" w:rsidRDefault="00723E20">
      <w:pPr>
        <w:tabs>
          <w:tab w:val="right" w:pos="720"/>
        </w:tabs>
        <w:spacing w:after="0" w:line="240" w:lineRule="auto"/>
        <w:jc w:val="both"/>
        <w:rPr>
          <w:rFonts w:ascii="Arial" w:hAnsi="Arial" w:cs="Arial"/>
          <w:sz w:val="20"/>
          <w:szCs w:val="20"/>
          <w:lang w:bidi="en-US"/>
        </w:rPr>
      </w:pPr>
      <w:r w:rsidRPr="006128F6">
        <w:rPr>
          <w:rStyle w:val="FootnoteReference"/>
          <w:rFonts w:ascii="Arial" w:hAnsi="Arial" w:cs="Arial"/>
          <w:sz w:val="20"/>
          <w:szCs w:val="20"/>
        </w:rPr>
        <w:footnoteRef/>
      </w:r>
      <w:r w:rsidRPr="006128F6">
        <w:rPr>
          <w:rFonts w:ascii="Arial" w:hAnsi="Arial" w:cs="Arial"/>
          <w:sz w:val="20"/>
          <w:szCs w:val="20"/>
        </w:rPr>
        <w:t xml:space="preserve"> </w:t>
      </w:r>
      <w:r w:rsidRPr="006128F6">
        <w:rPr>
          <w:rFonts w:ascii="Arial" w:hAnsi="Arial" w:cs="Arial"/>
          <w:sz w:val="20"/>
          <w:szCs w:val="20"/>
          <w:lang w:bidi="en-US"/>
        </w:rPr>
        <w:t xml:space="preserve">See also </w:t>
      </w:r>
      <w:r w:rsidRPr="006128F6">
        <w:rPr>
          <w:rFonts w:ascii="Arial" w:hAnsi="Arial" w:cs="Arial"/>
          <w:i/>
          <w:sz w:val="20"/>
          <w:szCs w:val="20"/>
          <w:lang w:bidi="en-US"/>
        </w:rPr>
        <w:t>Coll</w:t>
      </w:r>
      <w:r w:rsidRPr="00EC4EF5">
        <w:rPr>
          <w:rFonts w:ascii="Arial" w:hAnsi="Arial" w:cs="Arial"/>
          <w:i/>
          <w:sz w:val="20"/>
          <w:szCs w:val="20"/>
          <w:lang w:bidi="en-US"/>
        </w:rPr>
        <w:t>e</w:t>
      </w:r>
      <w:r w:rsidRPr="006128F6">
        <w:rPr>
          <w:rFonts w:ascii="Arial" w:hAnsi="Arial" w:cs="Arial"/>
          <w:i/>
          <w:sz w:val="20"/>
          <w:szCs w:val="20"/>
          <w:lang w:bidi="en-US"/>
        </w:rPr>
        <w:t>n v Rietfontein Engineering Works</w:t>
      </w:r>
      <w:r w:rsidRPr="006128F6">
        <w:rPr>
          <w:rFonts w:ascii="Arial" w:hAnsi="Arial" w:cs="Arial"/>
          <w:sz w:val="20"/>
          <w:szCs w:val="20"/>
          <w:lang w:bidi="en-US"/>
        </w:rPr>
        <w:t xml:space="preserve"> 1948 (1) SA 413 (A) at 433 and </w:t>
      </w:r>
      <w:r w:rsidRPr="006128F6">
        <w:rPr>
          <w:rFonts w:ascii="Arial" w:hAnsi="Arial" w:cs="Arial"/>
          <w:i/>
          <w:sz w:val="20"/>
          <w:szCs w:val="20"/>
          <w:lang w:bidi="en-US"/>
        </w:rPr>
        <w:t>Robinson v Randfontein Estates G</w:t>
      </w:r>
      <w:r w:rsidRPr="00EC4EF5">
        <w:rPr>
          <w:rFonts w:ascii="Arial" w:hAnsi="Arial" w:cs="Arial"/>
          <w:i/>
          <w:sz w:val="20"/>
          <w:szCs w:val="20"/>
          <w:lang w:bidi="en-US"/>
        </w:rPr>
        <w:t>old</w:t>
      </w:r>
      <w:r w:rsidRPr="006128F6">
        <w:rPr>
          <w:rFonts w:ascii="Arial" w:hAnsi="Arial" w:cs="Arial"/>
          <w:i/>
          <w:sz w:val="20"/>
          <w:szCs w:val="20"/>
          <w:lang w:bidi="en-US"/>
        </w:rPr>
        <w:t xml:space="preserve"> M</w:t>
      </w:r>
      <w:r w:rsidRPr="00EC4EF5">
        <w:rPr>
          <w:rFonts w:ascii="Arial" w:hAnsi="Arial" w:cs="Arial"/>
          <w:i/>
          <w:sz w:val="20"/>
          <w:szCs w:val="20"/>
          <w:lang w:bidi="en-US"/>
        </w:rPr>
        <w:t>ining</w:t>
      </w:r>
      <w:r w:rsidRPr="006128F6">
        <w:rPr>
          <w:rFonts w:ascii="Arial" w:hAnsi="Arial" w:cs="Arial"/>
          <w:i/>
          <w:sz w:val="20"/>
          <w:szCs w:val="20"/>
          <w:lang w:bidi="en-US"/>
        </w:rPr>
        <w:t xml:space="preserve"> Co Ltd</w:t>
      </w:r>
      <w:r w:rsidRPr="006128F6">
        <w:rPr>
          <w:rFonts w:ascii="Arial" w:hAnsi="Arial" w:cs="Arial"/>
          <w:sz w:val="20"/>
          <w:szCs w:val="20"/>
          <w:lang w:bidi="en-US"/>
        </w:rPr>
        <w:t xml:space="preserve"> 1925 AD 173 </w:t>
      </w:r>
      <w:r w:rsidRPr="00EC4EF5">
        <w:rPr>
          <w:rFonts w:ascii="Arial" w:hAnsi="Arial" w:cs="Arial"/>
          <w:sz w:val="20"/>
          <w:szCs w:val="20"/>
          <w:lang w:bidi="en-US"/>
        </w:rPr>
        <w:t>(A)</w:t>
      </w:r>
      <w:r w:rsidRPr="006128F6">
        <w:rPr>
          <w:rFonts w:ascii="Arial" w:hAnsi="Arial" w:cs="Arial"/>
          <w:sz w:val="20"/>
          <w:szCs w:val="20"/>
          <w:lang w:bidi="en-US"/>
        </w:rPr>
        <w:t xml:space="preserve"> at 198. </w:t>
      </w:r>
    </w:p>
  </w:footnote>
  <w:footnote w:id="15">
    <w:p w14:paraId="608016F9" w14:textId="629A07C2" w:rsidR="00723E20" w:rsidRPr="008D2D2C" w:rsidRDefault="00723E20" w:rsidP="008D2D2C">
      <w:pPr>
        <w:pStyle w:val="FootnoteText"/>
        <w:jc w:val="both"/>
        <w:rPr>
          <w:rFonts w:ascii="Arial" w:hAnsi="Arial" w:cs="Arial"/>
        </w:rPr>
      </w:pPr>
      <w:r w:rsidRPr="006128F6">
        <w:rPr>
          <w:rStyle w:val="FootnoteReference"/>
          <w:rFonts w:ascii="Arial" w:hAnsi="Arial" w:cs="Arial"/>
        </w:rPr>
        <w:footnoteRef/>
      </w:r>
      <w:r w:rsidRPr="006128F6">
        <w:rPr>
          <w:rFonts w:ascii="Arial" w:hAnsi="Arial" w:cs="Arial"/>
        </w:rPr>
        <w:t xml:space="preserve"> </w:t>
      </w:r>
      <w:r w:rsidRPr="006128F6">
        <w:rPr>
          <w:rFonts w:ascii="Arial" w:hAnsi="Arial" w:cs="Arial"/>
          <w:i/>
        </w:rPr>
        <w:t>MM and Others v JM</w:t>
      </w:r>
      <w:r w:rsidRPr="006128F6">
        <w:rPr>
          <w:rFonts w:ascii="Arial" w:hAnsi="Arial" w:cs="Arial"/>
        </w:rPr>
        <w:t xml:space="preserve"> para 19.</w:t>
      </w:r>
    </w:p>
  </w:footnote>
  <w:footnote w:id="16">
    <w:p w14:paraId="0B8FABDA" w14:textId="38A73A1B" w:rsidR="00723E20" w:rsidRPr="008D2D2C" w:rsidRDefault="00723E20" w:rsidP="008D2D2C">
      <w:pPr>
        <w:pStyle w:val="FootnoteText"/>
        <w:jc w:val="both"/>
        <w:rPr>
          <w:rFonts w:ascii="Arial" w:hAnsi="Arial" w:cs="Arial"/>
        </w:rPr>
      </w:pPr>
      <w:r w:rsidRPr="008D2D2C">
        <w:rPr>
          <w:rStyle w:val="FootnoteReference"/>
          <w:rFonts w:ascii="Arial" w:hAnsi="Arial" w:cs="Arial"/>
        </w:rPr>
        <w:footnoteRef/>
      </w:r>
      <w:r w:rsidRPr="008D2D2C">
        <w:rPr>
          <w:rFonts w:ascii="Arial" w:hAnsi="Arial" w:cs="Arial"/>
        </w:rPr>
        <w:t xml:space="preserve"> </w:t>
      </w:r>
      <w:r w:rsidRPr="00DE07F2">
        <w:rPr>
          <w:rFonts w:ascii="Arial" w:hAnsi="Arial" w:cs="Arial"/>
          <w:i/>
          <w:iCs/>
        </w:rPr>
        <w:t>Brookstein v Brookstein</w:t>
      </w:r>
      <w:r w:rsidRPr="00DE07F2">
        <w:rPr>
          <w:rFonts w:ascii="Arial" w:hAnsi="Arial" w:cs="Arial"/>
        </w:rPr>
        <w:t xml:space="preserve"> [2016] ZASCA 40; 2016 (5) SA 210 (SCA) para 19.</w:t>
      </w:r>
    </w:p>
  </w:footnote>
  <w:footnote w:id="17">
    <w:p w14:paraId="5C647FEC" w14:textId="1315AE04" w:rsidR="00723E20" w:rsidRPr="004D7CE8" w:rsidRDefault="00723E20">
      <w:pPr>
        <w:pStyle w:val="FootnoteText"/>
        <w:jc w:val="both"/>
        <w:rPr>
          <w:rFonts w:ascii="Arial" w:hAnsi="Arial" w:cs="Arial"/>
        </w:rPr>
      </w:pPr>
      <w:r w:rsidRPr="00BA4D38">
        <w:rPr>
          <w:rStyle w:val="FootnoteReference"/>
          <w:rFonts w:ascii="Arial" w:hAnsi="Arial" w:cs="Arial"/>
        </w:rPr>
        <w:footnoteRef/>
      </w:r>
      <w:r w:rsidRPr="00BA4D38">
        <w:rPr>
          <w:rFonts w:ascii="Arial" w:hAnsi="Arial" w:cs="Arial"/>
        </w:rPr>
        <w:t xml:space="preserve"> </w:t>
      </w:r>
      <w:r w:rsidRPr="00BA4D38">
        <w:rPr>
          <w:rFonts w:ascii="Arial" w:hAnsi="Arial" w:cs="Arial"/>
          <w:i/>
          <w:iCs/>
        </w:rPr>
        <w:t>Reeder v Softline Limited and Another</w:t>
      </w:r>
      <w:r w:rsidRPr="00BA4D38">
        <w:rPr>
          <w:rFonts w:ascii="Arial" w:hAnsi="Arial" w:cs="Arial"/>
        </w:rPr>
        <w:t xml:space="preserve"> 2001 (2) SA 844 (W) at 850-851; </w:t>
      </w:r>
      <w:r w:rsidRPr="00A538F4">
        <w:rPr>
          <w:rFonts w:ascii="Arial" w:hAnsi="Arial" w:cs="Arial"/>
          <w:i/>
          <w:iCs/>
        </w:rPr>
        <w:t>RS v MS</w:t>
      </w:r>
      <w:r w:rsidRPr="008D2D2C">
        <w:rPr>
          <w:rFonts w:ascii="Arial" w:hAnsi="Arial" w:cs="Arial"/>
          <w:i/>
        </w:rPr>
        <w:t xml:space="preserve"> </w:t>
      </w:r>
      <w:r w:rsidRPr="00EC4EF5">
        <w:rPr>
          <w:rFonts w:ascii="Arial" w:hAnsi="Arial" w:cs="Arial"/>
          <w:i/>
        </w:rPr>
        <w:t xml:space="preserve">and </w:t>
      </w:r>
      <w:r w:rsidR="009F249D" w:rsidRPr="00EC4EF5">
        <w:rPr>
          <w:rFonts w:ascii="Arial" w:hAnsi="Arial" w:cs="Arial"/>
          <w:i/>
        </w:rPr>
        <w:t>O</w:t>
      </w:r>
      <w:r w:rsidRPr="00EC4EF5">
        <w:rPr>
          <w:rFonts w:ascii="Arial" w:hAnsi="Arial" w:cs="Arial"/>
          <w:i/>
        </w:rPr>
        <w:t>thers</w:t>
      </w:r>
      <w:r>
        <w:rPr>
          <w:rFonts w:ascii="Arial" w:hAnsi="Arial" w:cs="Arial"/>
        </w:rPr>
        <w:t xml:space="preserve"> </w:t>
      </w:r>
      <w:r w:rsidRPr="004D7CE8">
        <w:rPr>
          <w:rFonts w:ascii="Arial" w:hAnsi="Arial" w:cs="Arial"/>
        </w:rPr>
        <w:t xml:space="preserve">2014 (2) SA 511 (GJ) para 13. </w:t>
      </w:r>
    </w:p>
  </w:footnote>
  <w:footnote w:id="18">
    <w:p w14:paraId="688690C8" w14:textId="1D9DCE81" w:rsidR="00723E20" w:rsidRPr="00BA4D38" w:rsidRDefault="00723E20">
      <w:pPr>
        <w:pStyle w:val="FootnoteText"/>
        <w:jc w:val="both"/>
        <w:rPr>
          <w:rFonts w:ascii="Arial" w:hAnsi="Arial" w:cs="Arial"/>
        </w:rPr>
      </w:pPr>
      <w:r w:rsidRPr="00BA4D38">
        <w:rPr>
          <w:rStyle w:val="FootnoteReference"/>
          <w:rFonts w:ascii="Arial" w:hAnsi="Arial" w:cs="Arial"/>
        </w:rPr>
        <w:footnoteRef/>
      </w:r>
      <w:r w:rsidRPr="00BA4D38">
        <w:rPr>
          <w:rFonts w:ascii="Arial" w:hAnsi="Arial" w:cs="Arial"/>
        </w:rPr>
        <w:t xml:space="preserve"> B</w:t>
      </w:r>
      <w:r>
        <w:rPr>
          <w:rFonts w:ascii="Arial" w:hAnsi="Arial" w:cs="Arial"/>
        </w:rPr>
        <w:t xml:space="preserve"> </w:t>
      </w:r>
      <w:r w:rsidRPr="00BA4D38">
        <w:rPr>
          <w:rFonts w:ascii="Arial" w:hAnsi="Arial" w:cs="Arial"/>
        </w:rPr>
        <w:t>S Smith ‘Statutory discretion or common law power? Some reflections on “veil piercing” and the consideration of (the value of) trust assets in dividing matrimonial property at divorce – Part Two.’</w:t>
      </w:r>
      <w:r>
        <w:rPr>
          <w:rFonts w:ascii="Arial" w:hAnsi="Arial" w:cs="Arial"/>
        </w:rPr>
        <w:t xml:space="preserve"> (</w:t>
      </w:r>
      <w:r w:rsidRPr="00BA4D38">
        <w:rPr>
          <w:rFonts w:ascii="Arial" w:hAnsi="Arial" w:cs="Arial"/>
        </w:rPr>
        <w:t>2017</w:t>
      </w:r>
      <w:r>
        <w:rPr>
          <w:rFonts w:ascii="Arial" w:hAnsi="Arial" w:cs="Arial"/>
        </w:rPr>
        <w:t xml:space="preserve">) </w:t>
      </w:r>
      <w:r w:rsidRPr="008D2D2C">
        <w:rPr>
          <w:rFonts w:ascii="Arial" w:hAnsi="Arial" w:cs="Arial"/>
          <w:i/>
        </w:rPr>
        <w:t>Journal for Juridical Science</w:t>
      </w:r>
      <w:r w:rsidRPr="00BA4D38">
        <w:rPr>
          <w:rFonts w:ascii="Arial" w:hAnsi="Arial" w:cs="Arial"/>
        </w:rPr>
        <w:t xml:space="preserve"> 42(1):1-18 UV/UFS.</w:t>
      </w:r>
    </w:p>
  </w:footnote>
  <w:footnote w:id="19">
    <w:p w14:paraId="2D6BA8B5" w14:textId="4A07F7E4" w:rsidR="00723E20" w:rsidRPr="00BA4D38" w:rsidRDefault="00723E20">
      <w:pPr>
        <w:pStyle w:val="FootnoteText"/>
        <w:jc w:val="both"/>
        <w:rPr>
          <w:rFonts w:ascii="Arial" w:hAnsi="Arial" w:cs="Arial"/>
        </w:rPr>
      </w:pPr>
      <w:r w:rsidRPr="00BA4D38">
        <w:rPr>
          <w:rStyle w:val="FootnoteReference"/>
          <w:rFonts w:ascii="Arial" w:hAnsi="Arial" w:cs="Arial"/>
        </w:rPr>
        <w:footnoteRef/>
      </w:r>
      <w:r w:rsidRPr="00BA4D38">
        <w:rPr>
          <w:rFonts w:ascii="Arial" w:hAnsi="Arial" w:cs="Arial"/>
        </w:rPr>
        <w:t xml:space="preserve"> </w:t>
      </w:r>
      <w:r>
        <w:rPr>
          <w:rFonts w:ascii="Arial" w:hAnsi="Arial" w:cs="Arial"/>
        </w:rPr>
        <w:t>Ibid</w:t>
      </w:r>
      <w:r w:rsidRPr="00BA4D38">
        <w:rPr>
          <w:rFonts w:ascii="Arial" w:hAnsi="Arial" w:cs="Arial"/>
        </w:rPr>
        <w:t>.</w:t>
      </w:r>
    </w:p>
  </w:footnote>
  <w:footnote w:id="20">
    <w:p w14:paraId="6C41BEC3" w14:textId="28646072" w:rsidR="00723E20" w:rsidRPr="004D7CE8" w:rsidRDefault="00723E20">
      <w:pPr>
        <w:pStyle w:val="FootnoteText"/>
        <w:jc w:val="both"/>
        <w:rPr>
          <w:rFonts w:ascii="Arial" w:hAnsi="Arial" w:cs="Arial"/>
        </w:rPr>
      </w:pPr>
      <w:r w:rsidRPr="00BA4D38">
        <w:rPr>
          <w:rStyle w:val="FootnoteReference"/>
          <w:rFonts w:ascii="Arial" w:hAnsi="Arial" w:cs="Arial"/>
        </w:rPr>
        <w:footnoteRef/>
      </w:r>
      <w:r w:rsidRPr="00BA4D38">
        <w:rPr>
          <w:rFonts w:ascii="Arial" w:hAnsi="Arial" w:cs="Arial"/>
        </w:rPr>
        <w:t xml:space="preserve"> See also M </w:t>
      </w:r>
      <w:r>
        <w:rPr>
          <w:rFonts w:ascii="Arial" w:hAnsi="Arial" w:cs="Arial"/>
        </w:rPr>
        <w:t>d</w:t>
      </w:r>
      <w:r w:rsidRPr="00BA4D38">
        <w:rPr>
          <w:rFonts w:ascii="Arial" w:hAnsi="Arial" w:cs="Arial"/>
        </w:rPr>
        <w:t xml:space="preserve">e Waal, P Solomon and E Cameron </w:t>
      </w:r>
      <w:r w:rsidRPr="00BA4D38">
        <w:rPr>
          <w:rFonts w:ascii="Arial" w:hAnsi="Arial" w:cs="Arial"/>
          <w:i/>
          <w:iCs/>
        </w:rPr>
        <w:t>Honor</w:t>
      </w:r>
      <w:r>
        <w:rPr>
          <w:rFonts w:ascii="Arial" w:hAnsi="Arial" w:cs="Arial"/>
          <w:i/>
          <w:iCs/>
        </w:rPr>
        <w:t>é</w:t>
      </w:r>
      <w:r w:rsidRPr="004D7CE8">
        <w:rPr>
          <w:rFonts w:ascii="Arial" w:hAnsi="Arial" w:cs="Arial"/>
          <w:i/>
          <w:iCs/>
        </w:rPr>
        <w:t>’s South African Law of Trusts</w:t>
      </w:r>
      <w:r w:rsidRPr="004D7CE8">
        <w:rPr>
          <w:rFonts w:ascii="Arial" w:hAnsi="Arial" w:cs="Arial"/>
        </w:rPr>
        <w:t xml:space="preserve"> 6 ed</w:t>
      </w:r>
      <w:r>
        <w:rPr>
          <w:rFonts w:ascii="Arial" w:hAnsi="Arial" w:cs="Arial"/>
        </w:rPr>
        <w:t xml:space="preserve"> </w:t>
      </w:r>
      <w:r w:rsidRPr="00EC4EF5">
        <w:rPr>
          <w:rFonts w:ascii="Arial" w:hAnsi="Arial" w:cs="Arial"/>
        </w:rPr>
        <w:t>(2018)</w:t>
      </w:r>
      <w:r>
        <w:rPr>
          <w:rFonts w:ascii="Arial" w:hAnsi="Arial" w:cs="Arial"/>
        </w:rPr>
        <w:t xml:space="preserve"> at</w:t>
      </w:r>
      <w:r w:rsidRPr="004D7CE8">
        <w:rPr>
          <w:rFonts w:ascii="Arial" w:hAnsi="Arial" w:cs="Arial"/>
        </w:rPr>
        <w:t xml:space="preserve"> 313-314.</w:t>
      </w:r>
    </w:p>
  </w:footnote>
  <w:footnote w:id="21">
    <w:p w14:paraId="77BED465" w14:textId="01DDCFB1" w:rsidR="00723E20" w:rsidRPr="00BA4D38" w:rsidRDefault="00723E20">
      <w:pPr>
        <w:pStyle w:val="FootnoteText"/>
        <w:jc w:val="both"/>
        <w:rPr>
          <w:rFonts w:ascii="Arial" w:hAnsi="Arial" w:cs="Arial"/>
        </w:rPr>
      </w:pPr>
      <w:r w:rsidRPr="00BA4D38">
        <w:rPr>
          <w:rStyle w:val="FootnoteReference"/>
          <w:rFonts w:ascii="Arial" w:hAnsi="Arial" w:cs="Arial"/>
        </w:rPr>
        <w:footnoteRef/>
      </w:r>
      <w:r w:rsidRPr="00BA4D38">
        <w:rPr>
          <w:rFonts w:ascii="Arial" w:hAnsi="Arial" w:cs="Arial"/>
        </w:rPr>
        <w:t xml:space="preserve"> Smith fn 19 above</w:t>
      </w:r>
      <w:r>
        <w:rPr>
          <w:rFonts w:ascii="Arial" w:hAnsi="Arial" w:cs="Arial"/>
        </w:rPr>
        <w:t xml:space="preserve"> at 10</w:t>
      </w:r>
      <w:r w:rsidRPr="00BA4D38">
        <w:rPr>
          <w:rFonts w:ascii="Arial" w:hAnsi="Arial" w:cs="Arial"/>
        </w:rPr>
        <w:t>.</w:t>
      </w:r>
    </w:p>
  </w:footnote>
  <w:footnote w:id="22">
    <w:p w14:paraId="50BF58E2" w14:textId="5185B80D" w:rsidR="00723E20" w:rsidRPr="00BA4D38" w:rsidRDefault="00723E20">
      <w:pPr>
        <w:pStyle w:val="FootnoteText"/>
        <w:jc w:val="both"/>
        <w:rPr>
          <w:rFonts w:ascii="Arial" w:hAnsi="Arial" w:cs="Arial"/>
        </w:rPr>
      </w:pPr>
      <w:r w:rsidRPr="00BA4D38">
        <w:rPr>
          <w:rStyle w:val="FootnoteReference"/>
          <w:rFonts w:ascii="Arial" w:hAnsi="Arial" w:cs="Arial"/>
        </w:rPr>
        <w:footnoteRef/>
      </w:r>
      <w:r w:rsidRPr="00BA4D38">
        <w:rPr>
          <w:rFonts w:ascii="Arial" w:hAnsi="Arial" w:cs="Arial"/>
        </w:rPr>
        <w:t xml:space="preserve"> Smith</w:t>
      </w:r>
      <w:r>
        <w:rPr>
          <w:rFonts w:ascii="Arial" w:hAnsi="Arial" w:cs="Arial"/>
        </w:rPr>
        <w:t xml:space="preserve"> </w:t>
      </w:r>
      <w:r w:rsidRPr="00BA4D38">
        <w:rPr>
          <w:rFonts w:ascii="Arial" w:hAnsi="Arial" w:cs="Arial"/>
        </w:rPr>
        <w:t>fn 19 above</w:t>
      </w:r>
      <w:r>
        <w:rPr>
          <w:rFonts w:ascii="Arial" w:hAnsi="Arial" w:cs="Arial"/>
        </w:rPr>
        <w:t xml:space="preserve"> at 11</w:t>
      </w:r>
      <w:r w:rsidRPr="00BA4D38">
        <w:rPr>
          <w:rFonts w:ascii="Arial" w:hAnsi="Arial" w:cs="Arial"/>
        </w:rPr>
        <w:t>.</w:t>
      </w:r>
    </w:p>
  </w:footnote>
  <w:footnote w:id="23">
    <w:p w14:paraId="07E291B8" w14:textId="116CC8D0" w:rsidR="00723E20" w:rsidRPr="008D2D2C" w:rsidRDefault="00723E20" w:rsidP="00860BD6">
      <w:pPr>
        <w:spacing w:after="0"/>
        <w:jc w:val="both"/>
        <w:rPr>
          <w:rFonts w:ascii="Arial" w:hAnsi="Arial" w:cs="Arial"/>
          <w:b/>
          <w:bCs/>
          <w:sz w:val="20"/>
          <w:szCs w:val="20"/>
        </w:rPr>
      </w:pPr>
      <w:r w:rsidRPr="00BA4D38">
        <w:rPr>
          <w:rStyle w:val="FootnoteReference"/>
          <w:rFonts w:ascii="Arial" w:hAnsi="Arial" w:cs="Arial"/>
          <w:sz w:val="20"/>
          <w:szCs w:val="20"/>
        </w:rPr>
        <w:footnoteRef/>
      </w:r>
      <w:r w:rsidRPr="00BA4D38">
        <w:rPr>
          <w:rFonts w:ascii="Arial" w:hAnsi="Arial" w:cs="Arial"/>
          <w:sz w:val="20"/>
          <w:szCs w:val="20"/>
        </w:rPr>
        <w:t xml:space="preserve"> See also </w:t>
      </w:r>
      <w:r w:rsidRPr="008D2D2C">
        <w:rPr>
          <w:rFonts w:ascii="Arial" w:hAnsi="Arial" w:cs="Arial"/>
          <w:i/>
          <w:iCs/>
          <w:sz w:val="20"/>
          <w:szCs w:val="20"/>
        </w:rPr>
        <w:t xml:space="preserve">BC v CC and </w:t>
      </w:r>
      <w:r w:rsidRPr="00A558FC">
        <w:rPr>
          <w:rFonts w:ascii="Arial" w:hAnsi="Arial" w:cs="Arial"/>
          <w:i/>
          <w:iCs/>
          <w:color w:val="000000"/>
          <w:sz w:val="20"/>
          <w:szCs w:val="20"/>
        </w:rPr>
        <w:t>O</w:t>
      </w:r>
      <w:r w:rsidRPr="008D2D2C">
        <w:rPr>
          <w:rFonts w:ascii="Arial" w:hAnsi="Arial" w:cs="Arial"/>
          <w:i/>
          <w:iCs/>
          <w:sz w:val="20"/>
          <w:szCs w:val="20"/>
        </w:rPr>
        <w:t>thers</w:t>
      </w:r>
      <w:r w:rsidRPr="008D2D2C">
        <w:rPr>
          <w:rFonts w:ascii="Arial" w:hAnsi="Arial" w:cs="Arial"/>
          <w:sz w:val="20"/>
          <w:szCs w:val="20"/>
        </w:rPr>
        <w:t> 2012 (5) SA 562 (ECP) para 9.</w:t>
      </w:r>
      <w:r w:rsidRPr="008D2D2C">
        <w:rPr>
          <w:rFonts w:ascii="Arial" w:hAnsi="Arial" w:cs="Arial"/>
          <w:b/>
          <w:bCs/>
          <w:sz w:val="20"/>
          <w:szCs w:val="20"/>
        </w:rPr>
        <w:t xml:space="preserve"> </w:t>
      </w:r>
    </w:p>
  </w:footnote>
  <w:footnote w:id="24">
    <w:p w14:paraId="26EC156B" w14:textId="0E6BEE71" w:rsidR="00723E20" w:rsidRPr="008D2D2C" w:rsidRDefault="00723E20" w:rsidP="008D2D2C">
      <w:pPr>
        <w:pStyle w:val="FootnoteText"/>
        <w:jc w:val="both"/>
        <w:rPr>
          <w:rFonts w:ascii="Arial" w:hAnsi="Arial" w:cs="Arial"/>
        </w:rPr>
      </w:pPr>
      <w:r w:rsidRPr="008D2D2C">
        <w:rPr>
          <w:rStyle w:val="FootnoteReference"/>
          <w:rFonts w:ascii="Arial" w:hAnsi="Arial" w:cs="Arial"/>
        </w:rPr>
        <w:footnoteRef/>
      </w:r>
      <w:r w:rsidRPr="008D2D2C">
        <w:rPr>
          <w:rFonts w:ascii="Arial" w:hAnsi="Arial" w:cs="Arial"/>
        </w:rPr>
        <w:t xml:space="preserve"> </w:t>
      </w:r>
      <w:r w:rsidRPr="00405496">
        <w:rPr>
          <w:rFonts w:ascii="Arial" w:hAnsi="Arial" w:cs="Arial"/>
          <w:i/>
          <w:iCs/>
        </w:rPr>
        <w:t>MM v JM</w:t>
      </w:r>
      <w:r w:rsidRPr="00405496">
        <w:rPr>
          <w:rFonts w:ascii="Arial" w:hAnsi="Arial" w:cs="Arial"/>
          <w:iCs/>
        </w:rPr>
        <w:t xml:space="preserve"> para 19.</w:t>
      </w:r>
    </w:p>
  </w:footnote>
  <w:footnote w:id="25">
    <w:p w14:paraId="01E5EF12" w14:textId="69941A32" w:rsidR="00723E20" w:rsidRPr="00BA4D38" w:rsidRDefault="00723E20">
      <w:pPr>
        <w:spacing w:after="0" w:line="240" w:lineRule="auto"/>
        <w:jc w:val="both"/>
        <w:rPr>
          <w:rFonts w:ascii="Arial" w:hAnsi="Arial" w:cs="Arial"/>
          <w:b/>
          <w:bCs/>
          <w:sz w:val="20"/>
          <w:szCs w:val="20"/>
        </w:rPr>
      </w:pPr>
      <w:r w:rsidRPr="00BA4D38">
        <w:rPr>
          <w:rStyle w:val="FootnoteReference"/>
          <w:rFonts w:ascii="Arial" w:hAnsi="Arial" w:cs="Arial"/>
          <w:sz w:val="20"/>
          <w:szCs w:val="20"/>
        </w:rPr>
        <w:footnoteRef/>
      </w:r>
      <w:bookmarkStart w:id="26" w:name="_Hlk105051364"/>
      <w:bookmarkStart w:id="27" w:name="_Hlk104681077"/>
      <w:r w:rsidRPr="00BA4D38">
        <w:rPr>
          <w:rFonts w:ascii="Arial" w:hAnsi="Arial" w:cs="Arial"/>
          <w:i/>
          <w:iCs/>
          <w:sz w:val="20"/>
          <w:szCs w:val="20"/>
        </w:rPr>
        <w:t xml:space="preserve"> REM v VM</w:t>
      </w:r>
      <w:r w:rsidRPr="00BA4D38">
        <w:rPr>
          <w:rFonts w:ascii="Arial" w:hAnsi="Arial" w:cs="Arial"/>
          <w:sz w:val="20"/>
          <w:szCs w:val="20"/>
        </w:rPr>
        <w:t xml:space="preserve"> </w:t>
      </w:r>
      <w:bookmarkEnd w:id="26"/>
      <w:bookmarkEnd w:id="27"/>
      <w:r w:rsidRPr="008D2D2C">
        <w:rPr>
          <w:rFonts w:ascii="Arial" w:hAnsi="Arial" w:cs="Arial"/>
          <w:sz w:val="20"/>
          <w:szCs w:val="20"/>
        </w:rPr>
        <w:t xml:space="preserve">paras 19 and 20. </w:t>
      </w:r>
    </w:p>
  </w:footnote>
  <w:footnote w:id="26">
    <w:p w14:paraId="5CB9AB18" w14:textId="6F01F1E1" w:rsidR="00723E20" w:rsidRPr="004D7CE8" w:rsidRDefault="00723E20">
      <w:pPr>
        <w:pStyle w:val="FootnoteText"/>
        <w:jc w:val="both"/>
        <w:rPr>
          <w:rFonts w:ascii="Arial" w:hAnsi="Arial" w:cs="Arial"/>
          <w:lang w:val="en-GB"/>
        </w:rPr>
      </w:pPr>
      <w:r w:rsidRPr="00BA4D38">
        <w:rPr>
          <w:rStyle w:val="FootnoteReference"/>
          <w:rFonts w:ascii="Arial" w:hAnsi="Arial" w:cs="Arial"/>
        </w:rPr>
        <w:footnoteRef/>
      </w:r>
      <w:r w:rsidRPr="00BA4D38">
        <w:rPr>
          <w:rFonts w:ascii="Arial" w:hAnsi="Arial" w:cs="Arial"/>
        </w:rPr>
        <w:t xml:space="preserve"> </w:t>
      </w:r>
      <w:r w:rsidRPr="00BA4D38">
        <w:rPr>
          <w:rFonts w:ascii="Arial" w:hAnsi="Arial" w:cs="Arial"/>
          <w:i/>
          <w:iCs/>
        </w:rPr>
        <w:t>REM v VM</w:t>
      </w:r>
      <w:r w:rsidRPr="004D7CE8">
        <w:rPr>
          <w:rFonts w:ascii="Arial" w:hAnsi="Arial" w:cs="Arial"/>
        </w:rPr>
        <w:t xml:space="preserve"> para 20.</w:t>
      </w:r>
    </w:p>
  </w:footnote>
  <w:footnote w:id="27">
    <w:p w14:paraId="72ED9F2A" w14:textId="77777777" w:rsidR="00796307" w:rsidRPr="008D2D2C" w:rsidRDefault="00796307" w:rsidP="00796307">
      <w:pPr>
        <w:pStyle w:val="MEMONUMBERED"/>
        <w:kinsoku w:val="0"/>
        <w:overflowPunct w:val="0"/>
        <w:autoSpaceDE w:val="0"/>
        <w:autoSpaceDN w:val="0"/>
        <w:adjustRightInd w:val="0"/>
        <w:spacing w:before="1" w:after="120" w:line="240" w:lineRule="auto"/>
        <w:ind w:right="-7"/>
        <w:rPr>
          <w:rFonts w:ascii="Arial" w:hAnsi="Arial" w:cs="Arial"/>
          <w:bCs/>
          <w:sz w:val="20"/>
          <w:szCs w:val="20"/>
        </w:rPr>
      </w:pPr>
      <w:r w:rsidRPr="00BA4D38">
        <w:rPr>
          <w:rStyle w:val="FootnoteReference"/>
          <w:rFonts w:ascii="Arial" w:hAnsi="Arial" w:cs="Arial"/>
          <w:sz w:val="20"/>
          <w:szCs w:val="20"/>
        </w:rPr>
        <w:footnoteRef/>
      </w:r>
      <w:r w:rsidRPr="00BA4D38">
        <w:rPr>
          <w:rFonts w:ascii="Arial" w:hAnsi="Arial" w:cs="Arial"/>
          <w:sz w:val="20"/>
          <w:szCs w:val="20"/>
        </w:rPr>
        <w:t xml:space="preserve"> See, for example, </w:t>
      </w:r>
      <w:r w:rsidRPr="008D2D2C">
        <w:rPr>
          <w:rFonts w:ascii="Arial" w:hAnsi="Arial" w:cs="Arial"/>
          <w:i/>
          <w:iCs/>
          <w:sz w:val="20"/>
          <w:szCs w:val="20"/>
        </w:rPr>
        <w:t xml:space="preserve">YB v SB and </w:t>
      </w:r>
      <w:r w:rsidRPr="006B2060">
        <w:rPr>
          <w:rFonts w:ascii="Arial" w:hAnsi="Arial" w:cs="Arial"/>
          <w:i/>
          <w:iCs/>
          <w:color w:val="000000"/>
          <w:sz w:val="20"/>
          <w:szCs w:val="20"/>
        </w:rPr>
        <w:t>O</w:t>
      </w:r>
      <w:r w:rsidRPr="008D2D2C">
        <w:rPr>
          <w:rFonts w:ascii="Arial" w:hAnsi="Arial" w:cs="Arial"/>
          <w:i/>
          <w:iCs/>
          <w:sz w:val="20"/>
          <w:szCs w:val="20"/>
        </w:rPr>
        <w:t>thers NNO</w:t>
      </w:r>
      <w:r w:rsidRPr="008D2D2C">
        <w:rPr>
          <w:rFonts w:ascii="Arial" w:hAnsi="Arial" w:cs="Arial"/>
          <w:sz w:val="20"/>
          <w:szCs w:val="20"/>
        </w:rPr>
        <w:t xml:space="preserve"> 2016 (1) SA 47 (WCC) para 49. </w:t>
      </w:r>
    </w:p>
  </w:footnote>
  <w:footnote w:id="28">
    <w:p w14:paraId="627A98D9" w14:textId="5D7BC220" w:rsidR="00010C6C" w:rsidRPr="008D2D2C" w:rsidRDefault="00010C6C" w:rsidP="008D2D2C">
      <w:pPr>
        <w:pStyle w:val="FootnoteText"/>
        <w:jc w:val="both"/>
        <w:rPr>
          <w:rFonts w:ascii="Arial" w:hAnsi="Arial" w:cs="Arial"/>
        </w:rPr>
      </w:pPr>
      <w:r w:rsidRPr="008D2D2C">
        <w:rPr>
          <w:rStyle w:val="FootnoteReference"/>
          <w:rFonts w:ascii="Arial" w:hAnsi="Arial" w:cs="Arial"/>
        </w:rPr>
        <w:footnoteRef/>
      </w:r>
      <w:r w:rsidRPr="008D2D2C">
        <w:rPr>
          <w:rFonts w:ascii="Arial" w:hAnsi="Arial" w:cs="Arial"/>
        </w:rPr>
        <w:t xml:space="preserve"> </w:t>
      </w:r>
      <w:r w:rsidRPr="00010C6C">
        <w:rPr>
          <w:rFonts w:ascii="Arial" w:hAnsi="Arial" w:cs="Arial"/>
          <w:i/>
          <w:iCs/>
        </w:rPr>
        <w:t>Badenhorst</w:t>
      </w:r>
      <w:r w:rsidRPr="00010C6C">
        <w:rPr>
          <w:rFonts w:ascii="Arial" w:hAnsi="Arial" w:cs="Arial"/>
          <w:iCs/>
        </w:rPr>
        <w:t xml:space="preserve"> para 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69106"/>
      <w:docPartObj>
        <w:docPartGallery w:val="Page Numbers (Top of Page)"/>
        <w:docPartUnique/>
      </w:docPartObj>
    </w:sdtPr>
    <w:sdtEndPr>
      <w:rPr>
        <w:noProof/>
      </w:rPr>
    </w:sdtEndPr>
    <w:sdtContent>
      <w:p w14:paraId="4A592547" w14:textId="6F28D41E" w:rsidR="00723E20" w:rsidRDefault="00723E20">
        <w:pPr>
          <w:pStyle w:val="Header"/>
          <w:jc w:val="right"/>
        </w:pPr>
        <w:r w:rsidRPr="0096491F">
          <w:rPr>
            <w:rFonts w:ascii="Arial" w:hAnsi="Arial" w:cs="Arial"/>
          </w:rPr>
          <w:fldChar w:fldCharType="begin"/>
        </w:r>
        <w:r w:rsidRPr="0096491F">
          <w:rPr>
            <w:rFonts w:ascii="Arial" w:hAnsi="Arial" w:cs="Arial"/>
          </w:rPr>
          <w:instrText xml:space="preserve"> PAGE   \* MERGEFORMAT </w:instrText>
        </w:r>
        <w:r w:rsidRPr="0096491F">
          <w:rPr>
            <w:rFonts w:ascii="Arial" w:hAnsi="Arial" w:cs="Arial"/>
          </w:rPr>
          <w:fldChar w:fldCharType="separate"/>
        </w:r>
        <w:r w:rsidR="00EE7B11">
          <w:rPr>
            <w:rFonts w:ascii="Arial" w:hAnsi="Arial" w:cs="Arial"/>
            <w:noProof/>
          </w:rPr>
          <w:t>21</w:t>
        </w:r>
        <w:r w:rsidRPr="0096491F">
          <w:rPr>
            <w:rFonts w:ascii="Arial" w:hAnsi="Arial" w:cs="Arial"/>
            <w:noProof/>
          </w:rPr>
          <w:fldChar w:fldCharType="end"/>
        </w:r>
      </w:p>
    </w:sdtContent>
  </w:sdt>
  <w:p w14:paraId="345FB966" w14:textId="77777777" w:rsidR="00723E20" w:rsidRDefault="00723E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18246A5A"/>
    <w:lvl w:ilvl="0" w:tplc="685ABFE8">
      <w:start w:val="1"/>
      <w:numFmt w:val="decimal"/>
      <w:pStyle w:val="JUDGMENTNUMBERED"/>
      <w:lvlText w:val="[%1]"/>
      <w:lvlJc w:val="left"/>
      <w:pPr>
        <w:ind w:left="2346"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E72E60BC">
      <w:start w:val="1"/>
      <w:numFmt w:val="decimal"/>
      <w:lvlText w:val="(%2)"/>
      <w:lvlJc w:val="left"/>
      <w:pPr>
        <w:ind w:left="4702" w:hanging="360"/>
      </w:pPr>
      <w:rPr>
        <w:rFonts w:cs="Times New Roman" w:hint="default"/>
      </w:rPr>
    </w:lvl>
    <w:lvl w:ilvl="2" w:tplc="12EA14DC">
      <w:start w:val="1"/>
      <w:numFmt w:val="decimal"/>
      <w:lvlText w:val="%3."/>
      <w:lvlJc w:val="left"/>
      <w:pPr>
        <w:ind w:left="6032" w:hanging="360"/>
      </w:pPr>
      <w:rPr>
        <w:rFonts w:ascii="Times New Roman" w:hAnsi="Times New Roman" w:cs="Times New Roman" w:hint="default"/>
        <w:i w:val="0"/>
        <w:strike w:val="0"/>
        <w:sz w:val="28"/>
        <w:szCs w:val="28"/>
      </w:rPr>
    </w:lvl>
    <w:lvl w:ilvl="3" w:tplc="E1B6A6B4">
      <w:start w:val="1"/>
      <w:numFmt w:val="lowerLetter"/>
      <w:lvlText w:val="(%4)"/>
      <w:lvlJc w:val="left"/>
      <w:pPr>
        <w:ind w:left="5512" w:hanging="720"/>
      </w:pPr>
      <w:rPr>
        <w:rFonts w:ascii="Arial" w:eastAsia="Times New Roman" w:hAnsi="Arial" w:cs="Arial" w:hint="default"/>
        <w:b w:val="0"/>
        <w:bCs/>
      </w:rPr>
    </w:lvl>
    <w:lvl w:ilvl="4" w:tplc="AC666328">
      <w:start w:val="1"/>
      <w:numFmt w:val="lowerLetter"/>
      <w:lvlText w:val="(%5)"/>
      <w:lvlJc w:val="left"/>
      <w:pPr>
        <w:ind w:left="6862" w:hanging="360"/>
      </w:pPr>
      <w:rPr>
        <w:rFonts w:cs="Times New Roman" w:hint="default"/>
      </w:rPr>
    </w:lvl>
    <w:lvl w:ilvl="5" w:tplc="0409001B">
      <w:start w:val="1"/>
      <w:numFmt w:val="lowerRoman"/>
      <w:lvlText w:val="%6."/>
      <w:lvlJc w:val="right"/>
      <w:pPr>
        <w:ind w:left="7582" w:hanging="180"/>
      </w:pPr>
      <w:rPr>
        <w:rFonts w:cs="Times New Roman"/>
      </w:rPr>
    </w:lvl>
    <w:lvl w:ilvl="6" w:tplc="0409000F" w:tentative="1">
      <w:start w:val="1"/>
      <w:numFmt w:val="decimal"/>
      <w:lvlText w:val="%7."/>
      <w:lvlJc w:val="left"/>
      <w:pPr>
        <w:ind w:left="8302" w:hanging="360"/>
      </w:pPr>
      <w:rPr>
        <w:rFonts w:cs="Times New Roman"/>
      </w:rPr>
    </w:lvl>
    <w:lvl w:ilvl="7" w:tplc="04090019" w:tentative="1">
      <w:start w:val="1"/>
      <w:numFmt w:val="lowerLetter"/>
      <w:lvlText w:val="%8."/>
      <w:lvlJc w:val="left"/>
      <w:pPr>
        <w:ind w:left="9022" w:hanging="360"/>
      </w:pPr>
      <w:rPr>
        <w:rFonts w:cs="Times New Roman"/>
      </w:rPr>
    </w:lvl>
    <w:lvl w:ilvl="8" w:tplc="0409001B" w:tentative="1">
      <w:start w:val="1"/>
      <w:numFmt w:val="lowerRoman"/>
      <w:lvlText w:val="%9."/>
      <w:lvlJc w:val="right"/>
      <w:pPr>
        <w:ind w:left="9742" w:hanging="180"/>
      </w:pPr>
      <w:rPr>
        <w:rFonts w:cs="Times New Roman"/>
      </w:rPr>
    </w:lvl>
  </w:abstractNum>
  <w:abstractNum w:abstractNumId="1" w15:restartNumberingAfterBreak="0">
    <w:nsid w:val="0C2636A3"/>
    <w:multiLevelType w:val="hybridMultilevel"/>
    <w:tmpl w:val="EF82129C"/>
    <w:lvl w:ilvl="0" w:tplc="8898DA4A">
      <w:start w:val="1"/>
      <w:numFmt w:val="decimal"/>
      <w:lvlText w:val="%1"/>
      <w:lvlJc w:val="left"/>
      <w:pPr>
        <w:ind w:left="2264" w:hanging="420"/>
      </w:pPr>
      <w:rPr>
        <w:rFonts w:hint="default"/>
      </w:rPr>
    </w:lvl>
    <w:lvl w:ilvl="1" w:tplc="1C090019" w:tentative="1">
      <w:start w:val="1"/>
      <w:numFmt w:val="lowerLetter"/>
      <w:lvlText w:val="%2."/>
      <w:lvlJc w:val="left"/>
      <w:pPr>
        <w:ind w:left="2924" w:hanging="360"/>
      </w:pPr>
    </w:lvl>
    <w:lvl w:ilvl="2" w:tplc="1C09001B" w:tentative="1">
      <w:start w:val="1"/>
      <w:numFmt w:val="lowerRoman"/>
      <w:lvlText w:val="%3."/>
      <w:lvlJc w:val="right"/>
      <w:pPr>
        <w:ind w:left="3644" w:hanging="180"/>
      </w:pPr>
    </w:lvl>
    <w:lvl w:ilvl="3" w:tplc="1C09000F" w:tentative="1">
      <w:start w:val="1"/>
      <w:numFmt w:val="decimal"/>
      <w:lvlText w:val="%4."/>
      <w:lvlJc w:val="left"/>
      <w:pPr>
        <w:ind w:left="4364" w:hanging="360"/>
      </w:pPr>
    </w:lvl>
    <w:lvl w:ilvl="4" w:tplc="1C090019" w:tentative="1">
      <w:start w:val="1"/>
      <w:numFmt w:val="lowerLetter"/>
      <w:lvlText w:val="%5."/>
      <w:lvlJc w:val="left"/>
      <w:pPr>
        <w:ind w:left="5084" w:hanging="360"/>
      </w:pPr>
    </w:lvl>
    <w:lvl w:ilvl="5" w:tplc="1C09001B" w:tentative="1">
      <w:start w:val="1"/>
      <w:numFmt w:val="lowerRoman"/>
      <w:lvlText w:val="%6."/>
      <w:lvlJc w:val="right"/>
      <w:pPr>
        <w:ind w:left="5804" w:hanging="180"/>
      </w:pPr>
    </w:lvl>
    <w:lvl w:ilvl="6" w:tplc="1C09000F" w:tentative="1">
      <w:start w:val="1"/>
      <w:numFmt w:val="decimal"/>
      <w:lvlText w:val="%7."/>
      <w:lvlJc w:val="left"/>
      <w:pPr>
        <w:ind w:left="6524" w:hanging="360"/>
      </w:pPr>
    </w:lvl>
    <w:lvl w:ilvl="7" w:tplc="1C090019" w:tentative="1">
      <w:start w:val="1"/>
      <w:numFmt w:val="lowerLetter"/>
      <w:lvlText w:val="%8."/>
      <w:lvlJc w:val="left"/>
      <w:pPr>
        <w:ind w:left="7244" w:hanging="360"/>
      </w:pPr>
    </w:lvl>
    <w:lvl w:ilvl="8" w:tplc="1C09001B" w:tentative="1">
      <w:start w:val="1"/>
      <w:numFmt w:val="lowerRoman"/>
      <w:lvlText w:val="%9."/>
      <w:lvlJc w:val="right"/>
      <w:pPr>
        <w:ind w:left="7964" w:hanging="180"/>
      </w:pPr>
    </w:lvl>
  </w:abstractNum>
  <w:abstractNum w:abstractNumId="2" w15:restartNumberingAfterBreak="0">
    <w:nsid w:val="16E04076"/>
    <w:multiLevelType w:val="hybridMultilevel"/>
    <w:tmpl w:val="6A2A324E"/>
    <w:lvl w:ilvl="0" w:tplc="238E73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5F3177"/>
    <w:multiLevelType w:val="hybridMultilevel"/>
    <w:tmpl w:val="FFFFFFFF"/>
    <w:lvl w:ilvl="0" w:tplc="E7786FB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15:restartNumberingAfterBreak="0">
    <w:nsid w:val="235D66B8"/>
    <w:multiLevelType w:val="hybridMultilevel"/>
    <w:tmpl w:val="FFFFFFFF"/>
    <w:lvl w:ilvl="0" w:tplc="4CA25B9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15:restartNumberingAfterBreak="0">
    <w:nsid w:val="3A533EBD"/>
    <w:multiLevelType w:val="multilevel"/>
    <w:tmpl w:val="317E33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1D13BD"/>
    <w:multiLevelType w:val="multilevel"/>
    <w:tmpl w:val="FFFFFFFF"/>
    <w:lvl w:ilvl="0">
      <w:start w:val="1"/>
      <w:numFmt w:val="decimal"/>
      <w:pStyle w:val="JUGMENTNUMBERED"/>
      <w:lvlText w:val="[%1]"/>
      <w:lvlJc w:val="left"/>
      <w:pPr>
        <w:tabs>
          <w:tab w:val="num" w:pos="1040"/>
        </w:tabs>
        <w:ind w:left="360"/>
      </w:pPr>
      <w:rPr>
        <w:rFonts w:hint="default"/>
        <w:sz w:val="26"/>
        <w:szCs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B4A297B"/>
    <w:multiLevelType w:val="hybridMultilevel"/>
    <w:tmpl w:val="FFFFFFFF"/>
    <w:lvl w:ilvl="0" w:tplc="CA64DA6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15:restartNumberingAfterBreak="0">
    <w:nsid w:val="4F9A1E73"/>
    <w:multiLevelType w:val="hybridMultilevel"/>
    <w:tmpl w:val="622EDFC8"/>
    <w:lvl w:ilvl="0" w:tplc="4CA25B9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15:restartNumberingAfterBreak="0">
    <w:nsid w:val="776A5FC7"/>
    <w:multiLevelType w:val="hybridMultilevel"/>
    <w:tmpl w:val="A81000FE"/>
    <w:lvl w:ilvl="0" w:tplc="150CC596">
      <w:start w:val="1"/>
      <w:numFmt w:val="decimal"/>
      <w:lvlText w:val="[%1]"/>
      <w:lvlJc w:val="left"/>
      <w:pPr>
        <w:ind w:left="2912" w:hanging="360"/>
      </w:pPr>
      <w:rPr>
        <w:rFonts w:cs="Times New Roman" w:hint="default"/>
      </w:rPr>
    </w:lvl>
    <w:lvl w:ilvl="1" w:tplc="1C090019">
      <w:start w:val="1"/>
      <w:numFmt w:val="lowerLetter"/>
      <w:lvlText w:val="%2."/>
      <w:lvlJc w:val="left"/>
      <w:pPr>
        <w:ind w:left="3632" w:hanging="360"/>
      </w:pPr>
      <w:rPr>
        <w:rFonts w:cs="Times New Roman"/>
      </w:rPr>
    </w:lvl>
    <w:lvl w:ilvl="2" w:tplc="1C09001B" w:tentative="1">
      <w:start w:val="1"/>
      <w:numFmt w:val="lowerRoman"/>
      <w:lvlText w:val="%3."/>
      <w:lvlJc w:val="right"/>
      <w:pPr>
        <w:ind w:left="4352" w:hanging="180"/>
      </w:pPr>
      <w:rPr>
        <w:rFonts w:cs="Times New Roman"/>
      </w:rPr>
    </w:lvl>
    <w:lvl w:ilvl="3" w:tplc="1C09000F" w:tentative="1">
      <w:start w:val="1"/>
      <w:numFmt w:val="decimal"/>
      <w:lvlText w:val="%4."/>
      <w:lvlJc w:val="left"/>
      <w:pPr>
        <w:ind w:left="5072" w:hanging="360"/>
      </w:pPr>
      <w:rPr>
        <w:rFonts w:cs="Times New Roman"/>
      </w:rPr>
    </w:lvl>
    <w:lvl w:ilvl="4" w:tplc="1C090019" w:tentative="1">
      <w:start w:val="1"/>
      <w:numFmt w:val="lowerLetter"/>
      <w:lvlText w:val="%5."/>
      <w:lvlJc w:val="left"/>
      <w:pPr>
        <w:ind w:left="5792" w:hanging="360"/>
      </w:pPr>
      <w:rPr>
        <w:rFonts w:cs="Times New Roman"/>
      </w:rPr>
    </w:lvl>
    <w:lvl w:ilvl="5" w:tplc="1C09001B" w:tentative="1">
      <w:start w:val="1"/>
      <w:numFmt w:val="lowerRoman"/>
      <w:lvlText w:val="%6."/>
      <w:lvlJc w:val="right"/>
      <w:pPr>
        <w:ind w:left="6512" w:hanging="180"/>
      </w:pPr>
      <w:rPr>
        <w:rFonts w:cs="Times New Roman"/>
      </w:rPr>
    </w:lvl>
    <w:lvl w:ilvl="6" w:tplc="1C09000F" w:tentative="1">
      <w:start w:val="1"/>
      <w:numFmt w:val="decimal"/>
      <w:lvlText w:val="%7."/>
      <w:lvlJc w:val="left"/>
      <w:pPr>
        <w:ind w:left="7232" w:hanging="360"/>
      </w:pPr>
      <w:rPr>
        <w:rFonts w:cs="Times New Roman"/>
      </w:rPr>
    </w:lvl>
    <w:lvl w:ilvl="7" w:tplc="1C090019" w:tentative="1">
      <w:start w:val="1"/>
      <w:numFmt w:val="lowerLetter"/>
      <w:lvlText w:val="%8."/>
      <w:lvlJc w:val="left"/>
      <w:pPr>
        <w:ind w:left="7952" w:hanging="360"/>
      </w:pPr>
      <w:rPr>
        <w:rFonts w:cs="Times New Roman"/>
      </w:rPr>
    </w:lvl>
    <w:lvl w:ilvl="8" w:tplc="1C09001B" w:tentative="1">
      <w:start w:val="1"/>
      <w:numFmt w:val="lowerRoman"/>
      <w:lvlText w:val="%9."/>
      <w:lvlJc w:val="right"/>
      <w:pPr>
        <w:ind w:left="8672" w:hanging="180"/>
      </w:pPr>
      <w:rPr>
        <w:rFonts w:cs="Times New Roman"/>
      </w:rPr>
    </w:lvl>
  </w:abstractNum>
  <w:num w:numId="1">
    <w:abstractNumId w:val="1"/>
  </w:num>
  <w:num w:numId="2">
    <w:abstractNumId w:val="0"/>
  </w:num>
  <w:num w:numId="3">
    <w:abstractNumId w:val="9"/>
  </w:num>
  <w:num w:numId="4">
    <w:abstractNumId w:val="8"/>
  </w:num>
  <w:num w:numId="5">
    <w:abstractNumId w:val="3"/>
  </w:num>
  <w:num w:numId="6">
    <w:abstractNumId w:val="4"/>
  </w:num>
  <w:num w:numId="7">
    <w:abstractNumId w:val="7"/>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49"/>
    <w:rsid w:val="00000AEF"/>
    <w:rsid w:val="000036F7"/>
    <w:rsid w:val="000064EA"/>
    <w:rsid w:val="00007927"/>
    <w:rsid w:val="00010C6C"/>
    <w:rsid w:val="000162A7"/>
    <w:rsid w:val="000213B8"/>
    <w:rsid w:val="00023739"/>
    <w:rsid w:val="00025836"/>
    <w:rsid w:val="00025C77"/>
    <w:rsid w:val="000274F3"/>
    <w:rsid w:val="00031770"/>
    <w:rsid w:val="000342F3"/>
    <w:rsid w:val="000446F4"/>
    <w:rsid w:val="000460CF"/>
    <w:rsid w:val="00047974"/>
    <w:rsid w:val="00052AB9"/>
    <w:rsid w:val="00053892"/>
    <w:rsid w:val="00063D5E"/>
    <w:rsid w:val="00063F85"/>
    <w:rsid w:val="00070C27"/>
    <w:rsid w:val="00071C6A"/>
    <w:rsid w:val="00077C35"/>
    <w:rsid w:val="00083CFD"/>
    <w:rsid w:val="00090E67"/>
    <w:rsid w:val="00091B83"/>
    <w:rsid w:val="0009641C"/>
    <w:rsid w:val="00097551"/>
    <w:rsid w:val="00097AD0"/>
    <w:rsid w:val="000A25A2"/>
    <w:rsid w:val="000A303E"/>
    <w:rsid w:val="000A35FF"/>
    <w:rsid w:val="000A531C"/>
    <w:rsid w:val="000A7721"/>
    <w:rsid w:val="000B07F3"/>
    <w:rsid w:val="000B1419"/>
    <w:rsid w:val="000B2B4A"/>
    <w:rsid w:val="000B3FDB"/>
    <w:rsid w:val="000B480C"/>
    <w:rsid w:val="000B4BD1"/>
    <w:rsid w:val="000B7517"/>
    <w:rsid w:val="000C0DA8"/>
    <w:rsid w:val="000C3E1D"/>
    <w:rsid w:val="000C799A"/>
    <w:rsid w:val="000D1970"/>
    <w:rsid w:val="000D1E11"/>
    <w:rsid w:val="000D4164"/>
    <w:rsid w:val="000D47A8"/>
    <w:rsid w:val="000D56CB"/>
    <w:rsid w:val="000F3183"/>
    <w:rsid w:val="000F3D25"/>
    <w:rsid w:val="000F44A8"/>
    <w:rsid w:val="000F5379"/>
    <w:rsid w:val="001011A7"/>
    <w:rsid w:val="001071C2"/>
    <w:rsid w:val="0011254F"/>
    <w:rsid w:val="00121115"/>
    <w:rsid w:val="00122F36"/>
    <w:rsid w:val="0013082F"/>
    <w:rsid w:val="00130E2F"/>
    <w:rsid w:val="001340D6"/>
    <w:rsid w:val="001358E2"/>
    <w:rsid w:val="00136663"/>
    <w:rsid w:val="00136F48"/>
    <w:rsid w:val="00141126"/>
    <w:rsid w:val="00141207"/>
    <w:rsid w:val="00146B31"/>
    <w:rsid w:val="00160138"/>
    <w:rsid w:val="00163136"/>
    <w:rsid w:val="00163EEE"/>
    <w:rsid w:val="001649B0"/>
    <w:rsid w:val="00165818"/>
    <w:rsid w:val="00167939"/>
    <w:rsid w:val="0017494A"/>
    <w:rsid w:val="00176130"/>
    <w:rsid w:val="001811D2"/>
    <w:rsid w:val="00181DDC"/>
    <w:rsid w:val="0018374C"/>
    <w:rsid w:val="00185F63"/>
    <w:rsid w:val="00186E33"/>
    <w:rsid w:val="00192E39"/>
    <w:rsid w:val="001939B7"/>
    <w:rsid w:val="00193A2D"/>
    <w:rsid w:val="001A0A1D"/>
    <w:rsid w:val="001A1EA5"/>
    <w:rsid w:val="001A582B"/>
    <w:rsid w:val="001B5199"/>
    <w:rsid w:val="001B6558"/>
    <w:rsid w:val="001B7635"/>
    <w:rsid w:val="001D5E52"/>
    <w:rsid w:val="001E1FD6"/>
    <w:rsid w:val="001E28F3"/>
    <w:rsid w:val="001E39B3"/>
    <w:rsid w:val="001F4166"/>
    <w:rsid w:val="001F565F"/>
    <w:rsid w:val="001F7BC8"/>
    <w:rsid w:val="002032E5"/>
    <w:rsid w:val="00204B49"/>
    <w:rsid w:val="002111BA"/>
    <w:rsid w:val="00214029"/>
    <w:rsid w:val="00221BA0"/>
    <w:rsid w:val="0022639D"/>
    <w:rsid w:val="00232BE6"/>
    <w:rsid w:val="00234588"/>
    <w:rsid w:val="00235E98"/>
    <w:rsid w:val="002434EF"/>
    <w:rsid w:val="00244487"/>
    <w:rsid w:val="00251CC5"/>
    <w:rsid w:val="00252ADD"/>
    <w:rsid w:val="00255995"/>
    <w:rsid w:val="00260B20"/>
    <w:rsid w:val="00261EDA"/>
    <w:rsid w:val="00270676"/>
    <w:rsid w:val="0027462E"/>
    <w:rsid w:val="00274FD4"/>
    <w:rsid w:val="00275635"/>
    <w:rsid w:val="002766D8"/>
    <w:rsid w:val="002776C2"/>
    <w:rsid w:val="00280E88"/>
    <w:rsid w:val="00281425"/>
    <w:rsid w:val="00282E0D"/>
    <w:rsid w:val="00285085"/>
    <w:rsid w:val="00285460"/>
    <w:rsid w:val="0028627D"/>
    <w:rsid w:val="002915CB"/>
    <w:rsid w:val="00291AE6"/>
    <w:rsid w:val="002932F3"/>
    <w:rsid w:val="002A189C"/>
    <w:rsid w:val="002A1E76"/>
    <w:rsid w:val="002A3F1B"/>
    <w:rsid w:val="002B1558"/>
    <w:rsid w:val="002B4EBE"/>
    <w:rsid w:val="002C0507"/>
    <w:rsid w:val="002C5515"/>
    <w:rsid w:val="002C6307"/>
    <w:rsid w:val="002C7FBB"/>
    <w:rsid w:val="002D0F69"/>
    <w:rsid w:val="002D26E9"/>
    <w:rsid w:val="002D6321"/>
    <w:rsid w:val="002D6AFA"/>
    <w:rsid w:val="002E732A"/>
    <w:rsid w:val="002E7AD2"/>
    <w:rsid w:val="002F02A8"/>
    <w:rsid w:val="002F0645"/>
    <w:rsid w:val="002F2ECB"/>
    <w:rsid w:val="002F3E8C"/>
    <w:rsid w:val="002F5BEB"/>
    <w:rsid w:val="00300418"/>
    <w:rsid w:val="00304CDD"/>
    <w:rsid w:val="0030632B"/>
    <w:rsid w:val="00307239"/>
    <w:rsid w:val="00310B82"/>
    <w:rsid w:val="00312D1F"/>
    <w:rsid w:val="00314B47"/>
    <w:rsid w:val="003164A4"/>
    <w:rsid w:val="00316F85"/>
    <w:rsid w:val="00317AC8"/>
    <w:rsid w:val="00320CBA"/>
    <w:rsid w:val="00325443"/>
    <w:rsid w:val="00325A9E"/>
    <w:rsid w:val="003269F9"/>
    <w:rsid w:val="00336A37"/>
    <w:rsid w:val="0033734A"/>
    <w:rsid w:val="00341049"/>
    <w:rsid w:val="00344FA8"/>
    <w:rsid w:val="00347AE5"/>
    <w:rsid w:val="00356780"/>
    <w:rsid w:val="0036323D"/>
    <w:rsid w:val="0036656A"/>
    <w:rsid w:val="003717EC"/>
    <w:rsid w:val="003732AA"/>
    <w:rsid w:val="00382A1C"/>
    <w:rsid w:val="00392F81"/>
    <w:rsid w:val="00394FD4"/>
    <w:rsid w:val="00395239"/>
    <w:rsid w:val="003A5AF7"/>
    <w:rsid w:val="003A6F48"/>
    <w:rsid w:val="003B0570"/>
    <w:rsid w:val="003B25D0"/>
    <w:rsid w:val="003B567D"/>
    <w:rsid w:val="003B6093"/>
    <w:rsid w:val="003C13C4"/>
    <w:rsid w:val="003C40A5"/>
    <w:rsid w:val="003C42B1"/>
    <w:rsid w:val="003C632D"/>
    <w:rsid w:val="003D0989"/>
    <w:rsid w:val="003D14E5"/>
    <w:rsid w:val="003D50EC"/>
    <w:rsid w:val="003D5117"/>
    <w:rsid w:val="003D5424"/>
    <w:rsid w:val="003E24D4"/>
    <w:rsid w:val="003E41C2"/>
    <w:rsid w:val="003E72E3"/>
    <w:rsid w:val="003F0685"/>
    <w:rsid w:val="003F1428"/>
    <w:rsid w:val="003F324B"/>
    <w:rsid w:val="003F5259"/>
    <w:rsid w:val="003F586E"/>
    <w:rsid w:val="003F6D68"/>
    <w:rsid w:val="003F7E00"/>
    <w:rsid w:val="00403DC8"/>
    <w:rsid w:val="0040489A"/>
    <w:rsid w:val="00405496"/>
    <w:rsid w:val="00405CCB"/>
    <w:rsid w:val="00405F0F"/>
    <w:rsid w:val="00412C6D"/>
    <w:rsid w:val="00421DB5"/>
    <w:rsid w:val="00423509"/>
    <w:rsid w:val="00424A94"/>
    <w:rsid w:val="00425B80"/>
    <w:rsid w:val="00431B5B"/>
    <w:rsid w:val="00432828"/>
    <w:rsid w:val="00433F60"/>
    <w:rsid w:val="004348B2"/>
    <w:rsid w:val="0043521F"/>
    <w:rsid w:val="00436C81"/>
    <w:rsid w:val="004376D3"/>
    <w:rsid w:val="00440693"/>
    <w:rsid w:val="0044090A"/>
    <w:rsid w:val="00441590"/>
    <w:rsid w:val="00442992"/>
    <w:rsid w:val="00446088"/>
    <w:rsid w:val="00447597"/>
    <w:rsid w:val="00447E30"/>
    <w:rsid w:val="00450424"/>
    <w:rsid w:val="00467650"/>
    <w:rsid w:val="004707E2"/>
    <w:rsid w:val="00470DA0"/>
    <w:rsid w:val="00472E0D"/>
    <w:rsid w:val="00473FC4"/>
    <w:rsid w:val="00475C4A"/>
    <w:rsid w:val="0048136A"/>
    <w:rsid w:val="00482FF6"/>
    <w:rsid w:val="00486A8B"/>
    <w:rsid w:val="00487EC1"/>
    <w:rsid w:val="004924A7"/>
    <w:rsid w:val="00496FAC"/>
    <w:rsid w:val="00497460"/>
    <w:rsid w:val="004A0870"/>
    <w:rsid w:val="004A09DF"/>
    <w:rsid w:val="004B04EE"/>
    <w:rsid w:val="004B36B8"/>
    <w:rsid w:val="004C3AF5"/>
    <w:rsid w:val="004C3DBE"/>
    <w:rsid w:val="004C592B"/>
    <w:rsid w:val="004D4C65"/>
    <w:rsid w:val="004D6F99"/>
    <w:rsid w:val="004D75A2"/>
    <w:rsid w:val="004D7CE8"/>
    <w:rsid w:val="004E5CE0"/>
    <w:rsid w:val="004E5FC6"/>
    <w:rsid w:val="004E7CEE"/>
    <w:rsid w:val="004F1708"/>
    <w:rsid w:val="004F28FF"/>
    <w:rsid w:val="004F38E6"/>
    <w:rsid w:val="004F41C1"/>
    <w:rsid w:val="004F4515"/>
    <w:rsid w:val="004F5CE9"/>
    <w:rsid w:val="0050271C"/>
    <w:rsid w:val="00512E8F"/>
    <w:rsid w:val="00513D1C"/>
    <w:rsid w:val="00515C9C"/>
    <w:rsid w:val="00515CA7"/>
    <w:rsid w:val="005229BA"/>
    <w:rsid w:val="00522A18"/>
    <w:rsid w:val="0052558A"/>
    <w:rsid w:val="00525F78"/>
    <w:rsid w:val="00531052"/>
    <w:rsid w:val="00532B2E"/>
    <w:rsid w:val="005338CD"/>
    <w:rsid w:val="00537E30"/>
    <w:rsid w:val="00537F59"/>
    <w:rsid w:val="00544B2B"/>
    <w:rsid w:val="00552D2F"/>
    <w:rsid w:val="00553CB7"/>
    <w:rsid w:val="005578ED"/>
    <w:rsid w:val="005653D0"/>
    <w:rsid w:val="00565546"/>
    <w:rsid w:val="00566509"/>
    <w:rsid w:val="00567508"/>
    <w:rsid w:val="00571DF4"/>
    <w:rsid w:val="0057433E"/>
    <w:rsid w:val="0057773C"/>
    <w:rsid w:val="00582411"/>
    <w:rsid w:val="00583778"/>
    <w:rsid w:val="00586267"/>
    <w:rsid w:val="005865AB"/>
    <w:rsid w:val="005904DB"/>
    <w:rsid w:val="0059253D"/>
    <w:rsid w:val="00594777"/>
    <w:rsid w:val="00596BC2"/>
    <w:rsid w:val="005A39FA"/>
    <w:rsid w:val="005A56AB"/>
    <w:rsid w:val="005B0317"/>
    <w:rsid w:val="005B6C6D"/>
    <w:rsid w:val="005C1C3C"/>
    <w:rsid w:val="005C2F15"/>
    <w:rsid w:val="005C7DAA"/>
    <w:rsid w:val="005D3A9E"/>
    <w:rsid w:val="005D5EBF"/>
    <w:rsid w:val="005D67DC"/>
    <w:rsid w:val="005D7300"/>
    <w:rsid w:val="005E0169"/>
    <w:rsid w:val="005E044D"/>
    <w:rsid w:val="005E0B61"/>
    <w:rsid w:val="005E1BE3"/>
    <w:rsid w:val="005E35C3"/>
    <w:rsid w:val="005E5AFB"/>
    <w:rsid w:val="005E5DE2"/>
    <w:rsid w:val="005E62EB"/>
    <w:rsid w:val="005E655D"/>
    <w:rsid w:val="005E774D"/>
    <w:rsid w:val="005F2E92"/>
    <w:rsid w:val="005F45DA"/>
    <w:rsid w:val="005F68AC"/>
    <w:rsid w:val="00600F02"/>
    <w:rsid w:val="00601E6C"/>
    <w:rsid w:val="006020BB"/>
    <w:rsid w:val="00603A00"/>
    <w:rsid w:val="006128F6"/>
    <w:rsid w:val="006134B1"/>
    <w:rsid w:val="00616B8E"/>
    <w:rsid w:val="00630E74"/>
    <w:rsid w:val="00632ABC"/>
    <w:rsid w:val="006403D0"/>
    <w:rsid w:val="0064076E"/>
    <w:rsid w:val="00642CD2"/>
    <w:rsid w:val="00647B33"/>
    <w:rsid w:val="006500D0"/>
    <w:rsid w:val="00651EF7"/>
    <w:rsid w:val="00657552"/>
    <w:rsid w:val="006608A1"/>
    <w:rsid w:val="006629BC"/>
    <w:rsid w:val="00662D23"/>
    <w:rsid w:val="00663F1F"/>
    <w:rsid w:val="00665C66"/>
    <w:rsid w:val="00670342"/>
    <w:rsid w:val="00670618"/>
    <w:rsid w:val="00681466"/>
    <w:rsid w:val="00685B89"/>
    <w:rsid w:val="006860A1"/>
    <w:rsid w:val="00690B65"/>
    <w:rsid w:val="00690C2E"/>
    <w:rsid w:val="00694815"/>
    <w:rsid w:val="00695690"/>
    <w:rsid w:val="006957AD"/>
    <w:rsid w:val="006970B9"/>
    <w:rsid w:val="00697ABE"/>
    <w:rsid w:val="00697C7D"/>
    <w:rsid w:val="006A11AA"/>
    <w:rsid w:val="006A1EB4"/>
    <w:rsid w:val="006A3BDB"/>
    <w:rsid w:val="006B2060"/>
    <w:rsid w:val="006B2E49"/>
    <w:rsid w:val="006B3677"/>
    <w:rsid w:val="006B48D3"/>
    <w:rsid w:val="006B65B0"/>
    <w:rsid w:val="006C46E7"/>
    <w:rsid w:val="006C4C19"/>
    <w:rsid w:val="006C541A"/>
    <w:rsid w:val="006C5777"/>
    <w:rsid w:val="006C6034"/>
    <w:rsid w:val="006D231F"/>
    <w:rsid w:val="006D38C3"/>
    <w:rsid w:val="006D55F9"/>
    <w:rsid w:val="006E05EE"/>
    <w:rsid w:val="006F5362"/>
    <w:rsid w:val="006F5908"/>
    <w:rsid w:val="00700681"/>
    <w:rsid w:val="007044BB"/>
    <w:rsid w:val="0070520D"/>
    <w:rsid w:val="00710126"/>
    <w:rsid w:val="007153C9"/>
    <w:rsid w:val="00720C82"/>
    <w:rsid w:val="00721CEC"/>
    <w:rsid w:val="00721ED8"/>
    <w:rsid w:val="00723E20"/>
    <w:rsid w:val="0073010D"/>
    <w:rsid w:val="00730513"/>
    <w:rsid w:val="00740272"/>
    <w:rsid w:val="007404F1"/>
    <w:rsid w:val="007446D7"/>
    <w:rsid w:val="007459FC"/>
    <w:rsid w:val="00745BD9"/>
    <w:rsid w:val="007512D6"/>
    <w:rsid w:val="00753450"/>
    <w:rsid w:val="00754038"/>
    <w:rsid w:val="00754431"/>
    <w:rsid w:val="00756295"/>
    <w:rsid w:val="00764774"/>
    <w:rsid w:val="00772145"/>
    <w:rsid w:val="0077422E"/>
    <w:rsid w:val="0077430D"/>
    <w:rsid w:val="00775D4D"/>
    <w:rsid w:val="007800EF"/>
    <w:rsid w:val="00780825"/>
    <w:rsid w:val="00783F04"/>
    <w:rsid w:val="0078658C"/>
    <w:rsid w:val="0078744A"/>
    <w:rsid w:val="007934D8"/>
    <w:rsid w:val="00794257"/>
    <w:rsid w:val="00795B6A"/>
    <w:rsid w:val="00796307"/>
    <w:rsid w:val="007A0DB5"/>
    <w:rsid w:val="007A0E74"/>
    <w:rsid w:val="007A7390"/>
    <w:rsid w:val="007B15D6"/>
    <w:rsid w:val="007B463D"/>
    <w:rsid w:val="007B4F73"/>
    <w:rsid w:val="007B580E"/>
    <w:rsid w:val="007B58EA"/>
    <w:rsid w:val="007B5E0F"/>
    <w:rsid w:val="007B6770"/>
    <w:rsid w:val="007C2BF9"/>
    <w:rsid w:val="007C3CDD"/>
    <w:rsid w:val="007C4FCD"/>
    <w:rsid w:val="007C5326"/>
    <w:rsid w:val="007C619F"/>
    <w:rsid w:val="007D0794"/>
    <w:rsid w:val="007D0E91"/>
    <w:rsid w:val="007D2A33"/>
    <w:rsid w:val="007E0D51"/>
    <w:rsid w:val="007E3126"/>
    <w:rsid w:val="007F1D36"/>
    <w:rsid w:val="007F3617"/>
    <w:rsid w:val="007F3924"/>
    <w:rsid w:val="007F48FB"/>
    <w:rsid w:val="0080181C"/>
    <w:rsid w:val="008031FD"/>
    <w:rsid w:val="00804A5C"/>
    <w:rsid w:val="00806AF3"/>
    <w:rsid w:val="00807559"/>
    <w:rsid w:val="00811338"/>
    <w:rsid w:val="00812F8B"/>
    <w:rsid w:val="00814A01"/>
    <w:rsid w:val="00817CFD"/>
    <w:rsid w:val="0082023E"/>
    <w:rsid w:val="00820322"/>
    <w:rsid w:val="00821835"/>
    <w:rsid w:val="0082198A"/>
    <w:rsid w:val="008222CF"/>
    <w:rsid w:val="008271E6"/>
    <w:rsid w:val="0083142A"/>
    <w:rsid w:val="008319AB"/>
    <w:rsid w:val="008328F6"/>
    <w:rsid w:val="008368B5"/>
    <w:rsid w:val="00837116"/>
    <w:rsid w:val="008410F7"/>
    <w:rsid w:val="008432CC"/>
    <w:rsid w:val="008440A2"/>
    <w:rsid w:val="00851EB2"/>
    <w:rsid w:val="00853FA0"/>
    <w:rsid w:val="008600DE"/>
    <w:rsid w:val="00860B82"/>
    <w:rsid w:val="00860BD6"/>
    <w:rsid w:val="00863E2A"/>
    <w:rsid w:val="008705A8"/>
    <w:rsid w:val="008730E6"/>
    <w:rsid w:val="008741A1"/>
    <w:rsid w:val="008742BD"/>
    <w:rsid w:val="008745FC"/>
    <w:rsid w:val="00877507"/>
    <w:rsid w:val="0088109C"/>
    <w:rsid w:val="00883DC8"/>
    <w:rsid w:val="008843F0"/>
    <w:rsid w:val="00895EA3"/>
    <w:rsid w:val="008A34F4"/>
    <w:rsid w:val="008A7064"/>
    <w:rsid w:val="008B0034"/>
    <w:rsid w:val="008B1543"/>
    <w:rsid w:val="008B1AF1"/>
    <w:rsid w:val="008B2F32"/>
    <w:rsid w:val="008B31CB"/>
    <w:rsid w:val="008B539E"/>
    <w:rsid w:val="008C16B8"/>
    <w:rsid w:val="008C3B00"/>
    <w:rsid w:val="008C4B8F"/>
    <w:rsid w:val="008C64F4"/>
    <w:rsid w:val="008C7AFF"/>
    <w:rsid w:val="008D2D2C"/>
    <w:rsid w:val="008D6955"/>
    <w:rsid w:val="008E0212"/>
    <w:rsid w:val="008E697F"/>
    <w:rsid w:val="008E792A"/>
    <w:rsid w:val="008F01B8"/>
    <w:rsid w:val="008F40BF"/>
    <w:rsid w:val="008F4929"/>
    <w:rsid w:val="008F7F45"/>
    <w:rsid w:val="009066B1"/>
    <w:rsid w:val="00906789"/>
    <w:rsid w:val="00906956"/>
    <w:rsid w:val="00911C92"/>
    <w:rsid w:val="00912234"/>
    <w:rsid w:val="00912493"/>
    <w:rsid w:val="00913A76"/>
    <w:rsid w:val="0091507B"/>
    <w:rsid w:val="00930A2E"/>
    <w:rsid w:val="00933A13"/>
    <w:rsid w:val="00942595"/>
    <w:rsid w:val="00946C60"/>
    <w:rsid w:val="00950EE9"/>
    <w:rsid w:val="009537E3"/>
    <w:rsid w:val="00953DF1"/>
    <w:rsid w:val="00960715"/>
    <w:rsid w:val="00960B49"/>
    <w:rsid w:val="0096491F"/>
    <w:rsid w:val="00966C92"/>
    <w:rsid w:val="0096782D"/>
    <w:rsid w:val="0097004C"/>
    <w:rsid w:val="00977B40"/>
    <w:rsid w:val="00984EB3"/>
    <w:rsid w:val="00986B59"/>
    <w:rsid w:val="0099511F"/>
    <w:rsid w:val="00996191"/>
    <w:rsid w:val="009A10F4"/>
    <w:rsid w:val="009A65C7"/>
    <w:rsid w:val="009A6C1F"/>
    <w:rsid w:val="009A7C8D"/>
    <w:rsid w:val="009B1822"/>
    <w:rsid w:val="009B2EC3"/>
    <w:rsid w:val="009B5614"/>
    <w:rsid w:val="009B69EF"/>
    <w:rsid w:val="009B6A6B"/>
    <w:rsid w:val="009B7015"/>
    <w:rsid w:val="009C627F"/>
    <w:rsid w:val="009D0DB3"/>
    <w:rsid w:val="009D18F9"/>
    <w:rsid w:val="009D3D61"/>
    <w:rsid w:val="009D671E"/>
    <w:rsid w:val="009D7935"/>
    <w:rsid w:val="009E1402"/>
    <w:rsid w:val="009E1CDE"/>
    <w:rsid w:val="009E2B91"/>
    <w:rsid w:val="009E368E"/>
    <w:rsid w:val="009E46FD"/>
    <w:rsid w:val="009E55C7"/>
    <w:rsid w:val="009F0E4A"/>
    <w:rsid w:val="009F249D"/>
    <w:rsid w:val="009F2919"/>
    <w:rsid w:val="00A03186"/>
    <w:rsid w:val="00A03E9A"/>
    <w:rsid w:val="00A06FB7"/>
    <w:rsid w:val="00A076F7"/>
    <w:rsid w:val="00A07936"/>
    <w:rsid w:val="00A1053D"/>
    <w:rsid w:val="00A1208F"/>
    <w:rsid w:val="00A129EA"/>
    <w:rsid w:val="00A13457"/>
    <w:rsid w:val="00A149EF"/>
    <w:rsid w:val="00A15C29"/>
    <w:rsid w:val="00A17442"/>
    <w:rsid w:val="00A21A5C"/>
    <w:rsid w:val="00A24153"/>
    <w:rsid w:val="00A24194"/>
    <w:rsid w:val="00A258FA"/>
    <w:rsid w:val="00A31BE8"/>
    <w:rsid w:val="00A32176"/>
    <w:rsid w:val="00A34216"/>
    <w:rsid w:val="00A3570C"/>
    <w:rsid w:val="00A37369"/>
    <w:rsid w:val="00A41B4B"/>
    <w:rsid w:val="00A43951"/>
    <w:rsid w:val="00A442D4"/>
    <w:rsid w:val="00A44FC7"/>
    <w:rsid w:val="00A46829"/>
    <w:rsid w:val="00A50A38"/>
    <w:rsid w:val="00A51F8D"/>
    <w:rsid w:val="00A529D3"/>
    <w:rsid w:val="00A52C78"/>
    <w:rsid w:val="00A538F4"/>
    <w:rsid w:val="00A558FC"/>
    <w:rsid w:val="00A56398"/>
    <w:rsid w:val="00A56B55"/>
    <w:rsid w:val="00A606CF"/>
    <w:rsid w:val="00A720D7"/>
    <w:rsid w:val="00A811E4"/>
    <w:rsid w:val="00A82906"/>
    <w:rsid w:val="00A8364C"/>
    <w:rsid w:val="00A85908"/>
    <w:rsid w:val="00A92F4F"/>
    <w:rsid w:val="00A94137"/>
    <w:rsid w:val="00A96A79"/>
    <w:rsid w:val="00A974F8"/>
    <w:rsid w:val="00AA1CA2"/>
    <w:rsid w:val="00AB15C5"/>
    <w:rsid w:val="00AB2426"/>
    <w:rsid w:val="00AB3752"/>
    <w:rsid w:val="00AD0AD2"/>
    <w:rsid w:val="00AD1B0A"/>
    <w:rsid w:val="00AD2B9C"/>
    <w:rsid w:val="00AD4CE0"/>
    <w:rsid w:val="00AD789A"/>
    <w:rsid w:val="00AE0D84"/>
    <w:rsid w:val="00AE4286"/>
    <w:rsid w:val="00AE4324"/>
    <w:rsid w:val="00AF0EE7"/>
    <w:rsid w:val="00AF2F7E"/>
    <w:rsid w:val="00AF55AD"/>
    <w:rsid w:val="00B0142D"/>
    <w:rsid w:val="00B139B4"/>
    <w:rsid w:val="00B13FA1"/>
    <w:rsid w:val="00B17068"/>
    <w:rsid w:val="00B17565"/>
    <w:rsid w:val="00B17A15"/>
    <w:rsid w:val="00B24F29"/>
    <w:rsid w:val="00B26738"/>
    <w:rsid w:val="00B31332"/>
    <w:rsid w:val="00B31B0F"/>
    <w:rsid w:val="00B33DFB"/>
    <w:rsid w:val="00B4386D"/>
    <w:rsid w:val="00B4428C"/>
    <w:rsid w:val="00B44B43"/>
    <w:rsid w:val="00B45E4C"/>
    <w:rsid w:val="00B46137"/>
    <w:rsid w:val="00B46ED9"/>
    <w:rsid w:val="00B5035F"/>
    <w:rsid w:val="00B50A05"/>
    <w:rsid w:val="00B53843"/>
    <w:rsid w:val="00B5760B"/>
    <w:rsid w:val="00B600ED"/>
    <w:rsid w:val="00B65460"/>
    <w:rsid w:val="00B656B2"/>
    <w:rsid w:val="00B671BD"/>
    <w:rsid w:val="00B700A4"/>
    <w:rsid w:val="00B732E4"/>
    <w:rsid w:val="00B8370C"/>
    <w:rsid w:val="00B85DE6"/>
    <w:rsid w:val="00B87368"/>
    <w:rsid w:val="00B90708"/>
    <w:rsid w:val="00B93D3D"/>
    <w:rsid w:val="00B9535A"/>
    <w:rsid w:val="00BA0EB3"/>
    <w:rsid w:val="00BA1929"/>
    <w:rsid w:val="00BA1C10"/>
    <w:rsid w:val="00BA2C03"/>
    <w:rsid w:val="00BA4D38"/>
    <w:rsid w:val="00BB3D4A"/>
    <w:rsid w:val="00BC566E"/>
    <w:rsid w:val="00BC6DDC"/>
    <w:rsid w:val="00BD0C8D"/>
    <w:rsid w:val="00BD7E72"/>
    <w:rsid w:val="00BD7F78"/>
    <w:rsid w:val="00BE151D"/>
    <w:rsid w:val="00BE3ACC"/>
    <w:rsid w:val="00BE6158"/>
    <w:rsid w:val="00BF1928"/>
    <w:rsid w:val="00BF1DD5"/>
    <w:rsid w:val="00BF24C1"/>
    <w:rsid w:val="00BF3A5A"/>
    <w:rsid w:val="00BF40C8"/>
    <w:rsid w:val="00BF5FEF"/>
    <w:rsid w:val="00BF62BF"/>
    <w:rsid w:val="00BF79F5"/>
    <w:rsid w:val="00C07895"/>
    <w:rsid w:val="00C11983"/>
    <w:rsid w:val="00C137B7"/>
    <w:rsid w:val="00C205EE"/>
    <w:rsid w:val="00C22505"/>
    <w:rsid w:val="00C25A28"/>
    <w:rsid w:val="00C27BE1"/>
    <w:rsid w:val="00C311D7"/>
    <w:rsid w:val="00C321F8"/>
    <w:rsid w:val="00C322E0"/>
    <w:rsid w:val="00C34F8C"/>
    <w:rsid w:val="00C4418A"/>
    <w:rsid w:val="00C44C81"/>
    <w:rsid w:val="00C46873"/>
    <w:rsid w:val="00C52F2A"/>
    <w:rsid w:val="00C559D4"/>
    <w:rsid w:val="00C57313"/>
    <w:rsid w:val="00C60BEB"/>
    <w:rsid w:val="00C62FBA"/>
    <w:rsid w:val="00C70D07"/>
    <w:rsid w:val="00C7160B"/>
    <w:rsid w:val="00C728B7"/>
    <w:rsid w:val="00C74B74"/>
    <w:rsid w:val="00C7556A"/>
    <w:rsid w:val="00C83BB6"/>
    <w:rsid w:val="00C868D1"/>
    <w:rsid w:val="00C931E7"/>
    <w:rsid w:val="00C943CA"/>
    <w:rsid w:val="00C96F45"/>
    <w:rsid w:val="00CA0541"/>
    <w:rsid w:val="00CA6527"/>
    <w:rsid w:val="00CA7751"/>
    <w:rsid w:val="00CA7AE6"/>
    <w:rsid w:val="00CC0760"/>
    <w:rsid w:val="00CC1FBA"/>
    <w:rsid w:val="00CC3A88"/>
    <w:rsid w:val="00CC4C83"/>
    <w:rsid w:val="00CC7AE5"/>
    <w:rsid w:val="00CD55C7"/>
    <w:rsid w:val="00CD5E14"/>
    <w:rsid w:val="00CD6829"/>
    <w:rsid w:val="00CE155B"/>
    <w:rsid w:val="00CE2B04"/>
    <w:rsid w:val="00CF1849"/>
    <w:rsid w:val="00CF272A"/>
    <w:rsid w:val="00CF2B16"/>
    <w:rsid w:val="00CF4B7C"/>
    <w:rsid w:val="00D00264"/>
    <w:rsid w:val="00D0644D"/>
    <w:rsid w:val="00D07E85"/>
    <w:rsid w:val="00D13928"/>
    <w:rsid w:val="00D14109"/>
    <w:rsid w:val="00D16C83"/>
    <w:rsid w:val="00D174FB"/>
    <w:rsid w:val="00D21F01"/>
    <w:rsid w:val="00D236D5"/>
    <w:rsid w:val="00D24AB4"/>
    <w:rsid w:val="00D26A7F"/>
    <w:rsid w:val="00D31CA6"/>
    <w:rsid w:val="00D33B9F"/>
    <w:rsid w:val="00D3644F"/>
    <w:rsid w:val="00D428BB"/>
    <w:rsid w:val="00D44CF7"/>
    <w:rsid w:val="00D52931"/>
    <w:rsid w:val="00D560CA"/>
    <w:rsid w:val="00D5673B"/>
    <w:rsid w:val="00D56AF3"/>
    <w:rsid w:val="00D572CB"/>
    <w:rsid w:val="00D67389"/>
    <w:rsid w:val="00D73789"/>
    <w:rsid w:val="00D74F7D"/>
    <w:rsid w:val="00D77894"/>
    <w:rsid w:val="00D80645"/>
    <w:rsid w:val="00D82571"/>
    <w:rsid w:val="00D84CC1"/>
    <w:rsid w:val="00D857A6"/>
    <w:rsid w:val="00D87263"/>
    <w:rsid w:val="00D87BA8"/>
    <w:rsid w:val="00D93318"/>
    <w:rsid w:val="00DA020A"/>
    <w:rsid w:val="00DA07B0"/>
    <w:rsid w:val="00DA0BA3"/>
    <w:rsid w:val="00DA70D4"/>
    <w:rsid w:val="00DB5D86"/>
    <w:rsid w:val="00DB6D6F"/>
    <w:rsid w:val="00DC2C5A"/>
    <w:rsid w:val="00DD143C"/>
    <w:rsid w:val="00DD55C4"/>
    <w:rsid w:val="00DE0023"/>
    <w:rsid w:val="00DE07F2"/>
    <w:rsid w:val="00DE394D"/>
    <w:rsid w:val="00DE555B"/>
    <w:rsid w:val="00DE5A48"/>
    <w:rsid w:val="00DE60AF"/>
    <w:rsid w:val="00DE6175"/>
    <w:rsid w:val="00DF0F68"/>
    <w:rsid w:val="00E00ADC"/>
    <w:rsid w:val="00E02569"/>
    <w:rsid w:val="00E02F3F"/>
    <w:rsid w:val="00E03515"/>
    <w:rsid w:val="00E07125"/>
    <w:rsid w:val="00E072CE"/>
    <w:rsid w:val="00E214E0"/>
    <w:rsid w:val="00E24244"/>
    <w:rsid w:val="00E24B79"/>
    <w:rsid w:val="00E25512"/>
    <w:rsid w:val="00E25748"/>
    <w:rsid w:val="00E358F7"/>
    <w:rsid w:val="00E374FB"/>
    <w:rsid w:val="00E42D6E"/>
    <w:rsid w:val="00E45C49"/>
    <w:rsid w:val="00E473E8"/>
    <w:rsid w:val="00E51FEC"/>
    <w:rsid w:val="00E5270C"/>
    <w:rsid w:val="00E54D0C"/>
    <w:rsid w:val="00E572AB"/>
    <w:rsid w:val="00E57685"/>
    <w:rsid w:val="00E578E8"/>
    <w:rsid w:val="00E57BB4"/>
    <w:rsid w:val="00E61963"/>
    <w:rsid w:val="00E7166C"/>
    <w:rsid w:val="00E74425"/>
    <w:rsid w:val="00E749FA"/>
    <w:rsid w:val="00E74B58"/>
    <w:rsid w:val="00E77EB6"/>
    <w:rsid w:val="00E80B35"/>
    <w:rsid w:val="00E845AF"/>
    <w:rsid w:val="00E85C4E"/>
    <w:rsid w:val="00E86314"/>
    <w:rsid w:val="00E908A3"/>
    <w:rsid w:val="00E91515"/>
    <w:rsid w:val="00E925D7"/>
    <w:rsid w:val="00E9260D"/>
    <w:rsid w:val="00EA04ED"/>
    <w:rsid w:val="00EA5390"/>
    <w:rsid w:val="00EA75C7"/>
    <w:rsid w:val="00EB263D"/>
    <w:rsid w:val="00EB27D8"/>
    <w:rsid w:val="00EB7B19"/>
    <w:rsid w:val="00EC4EF5"/>
    <w:rsid w:val="00EC6895"/>
    <w:rsid w:val="00ED4CF2"/>
    <w:rsid w:val="00EE0241"/>
    <w:rsid w:val="00EE0F2E"/>
    <w:rsid w:val="00EE1B01"/>
    <w:rsid w:val="00EE48D4"/>
    <w:rsid w:val="00EE5D09"/>
    <w:rsid w:val="00EE60FA"/>
    <w:rsid w:val="00EE7B11"/>
    <w:rsid w:val="00EE7B71"/>
    <w:rsid w:val="00EF1607"/>
    <w:rsid w:val="00EF6DF7"/>
    <w:rsid w:val="00EF7D85"/>
    <w:rsid w:val="00F03414"/>
    <w:rsid w:val="00F03657"/>
    <w:rsid w:val="00F03C39"/>
    <w:rsid w:val="00F0412F"/>
    <w:rsid w:val="00F14D1E"/>
    <w:rsid w:val="00F15521"/>
    <w:rsid w:val="00F174E9"/>
    <w:rsid w:val="00F20F08"/>
    <w:rsid w:val="00F238B4"/>
    <w:rsid w:val="00F24029"/>
    <w:rsid w:val="00F24C5D"/>
    <w:rsid w:val="00F25D82"/>
    <w:rsid w:val="00F26CE5"/>
    <w:rsid w:val="00F26DD9"/>
    <w:rsid w:val="00F27057"/>
    <w:rsid w:val="00F31B48"/>
    <w:rsid w:val="00F338FB"/>
    <w:rsid w:val="00F34F7F"/>
    <w:rsid w:val="00F36853"/>
    <w:rsid w:val="00F37F95"/>
    <w:rsid w:val="00F40A0C"/>
    <w:rsid w:val="00F41193"/>
    <w:rsid w:val="00F43D3B"/>
    <w:rsid w:val="00F44C28"/>
    <w:rsid w:val="00F44E68"/>
    <w:rsid w:val="00F452CC"/>
    <w:rsid w:val="00F47C16"/>
    <w:rsid w:val="00F546E1"/>
    <w:rsid w:val="00F55733"/>
    <w:rsid w:val="00F57786"/>
    <w:rsid w:val="00F57C1E"/>
    <w:rsid w:val="00F67F26"/>
    <w:rsid w:val="00F71BBB"/>
    <w:rsid w:val="00F754D3"/>
    <w:rsid w:val="00F756A4"/>
    <w:rsid w:val="00F75718"/>
    <w:rsid w:val="00F84AD4"/>
    <w:rsid w:val="00F84C1B"/>
    <w:rsid w:val="00F920E4"/>
    <w:rsid w:val="00F94B8B"/>
    <w:rsid w:val="00F968B9"/>
    <w:rsid w:val="00FA0BC8"/>
    <w:rsid w:val="00FA4FEB"/>
    <w:rsid w:val="00FA6383"/>
    <w:rsid w:val="00FA7AE1"/>
    <w:rsid w:val="00FB1C75"/>
    <w:rsid w:val="00FB5C03"/>
    <w:rsid w:val="00FB6BEA"/>
    <w:rsid w:val="00FC09ED"/>
    <w:rsid w:val="00FC4CDA"/>
    <w:rsid w:val="00FC70CD"/>
    <w:rsid w:val="00FD1A0B"/>
    <w:rsid w:val="00FD6F72"/>
    <w:rsid w:val="00FE3474"/>
    <w:rsid w:val="00FE499F"/>
    <w:rsid w:val="00FE5A18"/>
    <w:rsid w:val="00FF000A"/>
    <w:rsid w:val="00FF2A5B"/>
    <w:rsid w:val="00FF2CF8"/>
    <w:rsid w:val="00FF54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43C7"/>
  <w15:chartTrackingRefBased/>
  <w15:docId w15:val="{9CAA79B3-14C3-4C86-88D1-8D457F4A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A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2C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49"/>
    <w:pPr>
      <w:ind w:left="720"/>
      <w:contextualSpacing/>
    </w:pPr>
  </w:style>
  <w:style w:type="paragraph" w:customStyle="1" w:styleId="JUDGMENTNUMBERED">
    <w:name w:val="JUDGMENT NUMBERED"/>
    <w:basedOn w:val="Normal"/>
    <w:next w:val="Normal"/>
    <w:qFormat/>
    <w:rsid w:val="00317AC8"/>
    <w:pPr>
      <w:numPr>
        <w:numId w:val="2"/>
      </w:numPr>
      <w:spacing w:after="0" w:line="360" w:lineRule="auto"/>
      <w:jc w:val="both"/>
    </w:pPr>
    <w:rPr>
      <w:rFonts w:ascii="Times New Roman" w:eastAsiaTheme="minorEastAsia" w:hAnsi="Times New Roman" w:cs="Times New Roman"/>
      <w:sz w:val="26"/>
    </w:rPr>
  </w:style>
  <w:style w:type="paragraph" w:customStyle="1" w:styleId="MEMONUMBERED">
    <w:name w:val="MEMO NUMBERED"/>
    <w:basedOn w:val="Normal"/>
    <w:link w:val="MEMONUMBEREDChar"/>
    <w:qFormat/>
    <w:rsid w:val="00317AC8"/>
    <w:pPr>
      <w:spacing w:after="0" w:line="480" w:lineRule="auto"/>
      <w:jc w:val="both"/>
    </w:pPr>
    <w:rPr>
      <w:rFonts w:ascii="Times New Roman" w:eastAsiaTheme="minorEastAsia" w:hAnsi="Times New Roman" w:cs="Times New Roman"/>
      <w:sz w:val="24"/>
      <w:szCs w:val="24"/>
      <w:lang w:val="en-US" w:eastAsia="en-ZA"/>
    </w:rPr>
  </w:style>
  <w:style w:type="character" w:customStyle="1" w:styleId="MEMONUMBEREDChar">
    <w:name w:val="MEMO NUMBERED Char"/>
    <w:link w:val="MEMONUMBERED"/>
    <w:locked/>
    <w:rsid w:val="00317AC8"/>
    <w:rPr>
      <w:rFonts w:ascii="Times New Roman" w:eastAsiaTheme="minorEastAsia" w:hAnsi="Times New Roman" w:cs="Times New Roman"/>
      <w:sz w:val="24"/>
      <w:szCs w:val="24"/>
      <w:lang w:val="en-US" w:eastAsia="en-ZA"/>
    </w:rPr>
  </w:style>
  <w:style w:type="paragraph" w:styleId="NormalWeb">
    <w:name w:val="Normal (Web)"/>
    <w:basedOn w:val="Normal"/>
    <w:uiPriority w:val="99"/>
    <w:unhideWhenUsed/>
    <w:rsid w:val="00260B2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unhideWhenUsed/>
    <w:rsid w:val="007B580E"/>
    <w:pPr>
      <w:spacing w:after="0" w:line="240" w:lineRule="auto"/>
    </w:pPr>
    <w:rPr>
      <w:sz w:val="20"/>
      <w:szCs w:val="20"/>
    </w:rPr>
  </w:style>
  <w:style w:type="character" w:customStyle="1" w:styleId="FootnoteTextChar">
    <w:name w:val="Footnote Text Char"/>
    <w:basedOn w:val="DefaultParagraphFont"/>
    <w:link w:val="FootnoteText"/>
    <w:uiPriority w:val="99"/>
    <w:rsid w:val="007B580E"/>
    <w:rPr>
      <w:sz w:val="20"/>
      <w:szCs w:val="20"/>
    </w:rPr>
  </w:style>
  <w:style w:type="character" w:styleId="FootnoteReference">
    <w:name w:val="footnote reference"/>
    <w:basedOn w:val="DefaultParagraphFont"/>
    <w:uiPriority w:val="99"/>
    <w:unhideWhenUsed/>
    <w:rsid w:val="007B580E"/>
    <w:rPr>
      <w:vertAlign w:val="superscript"/>
    </w:rPr>
  </w:style>
  <w:style w:type="character" w:customStyle="1" w:styleId="mc">
    <w:name w:val="mc"/>
    <w:basedOn w:val="DefaultParagraphFont"/>
    <w:rsid w:val="00B31332"/>
  </w:style>
  <w:style w:type="character" w:styleId="Hyperlink">
    <w:name w:val="Hyperlink"/>
    <w:basedOn w:val="DefaultParagraphFont"/>
    <w:uiPriority w:val="99"/>
    <w:unhideWhenUsed/>
    <w:rsid w:val="00B31332"/>
    <w:rPr>
      <w:color w:val="0000FF"/>
      <w:u w:val="single"/>
    </w:rPr>
  </w:style>
  <w:style w:type="character" w:customStyle="1" w:styleId="g1">
    <w:name w:val="g1"/>
    <w:basedOn w:val="DefaultParagraphFont"/>
    <w:rsid w:val="00930A2E"/>
  </w:style>
  <w:style w:type="character" w:styleId="Strong">
    <w:name w:val="Strong"/>
    <w:basedOn w:val="DefaultParagraphFont"/>
    <w:uiPriority w:val="22"/>
    <w:qFormat/>
    <w:rsid w:val="00A50A38"/>
    <w:rPr>
      <w:b/>
      <w:bCs/>
    </w:rPr>
  </w:style>
  <w:style w:type="character" w:styleId="Emphasis">
    <w:name w:val="Emphasis"/>
    <w:basedOn w:val="DefaultParagraphFont"/>
    <w:uiPriority w:val="20"/>
    <w:qFormat/>
    <w:rsid w:val="00A50A38"/>
    <w:rPr>
      <w:i/>
      <w:iCs/>
    </w:rPr>
  </w:style>
  <w:style w:type="character" w:customStyle="1" w:styleId="Heading1Char">
    <w:name w:val="Heading 1 Char"/>
    <w:basedOn w:val="DefaultParagraphFont"/>
    <w:link w:val="Heading1"/>
    <w:uiPriority w:val="9"/>
    <w:rsid w:val="00A50A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2CF8"/>
    <w:rPr>
      <w:rFonts w:asciiTheme="majorHAnsi" w:eastAsiaTheme="majorEastAsia" w:hAnsiTheme="majorHAnsi" w:cstheme="majorBidi"/>
      <w:color w:val="2F5496" w:themeColor="accent1" w:themeShade="BF"/>
      <w:sz w:val="26"/>
      <w:szCs w:val="26"/>
    </w:rPr>
  </w:style>
  <w:style w:type="paragraph" w:customStyle="1" w:styleId="JUGMENTNUMBERED">
    <w:name w:val="JUGMENT NUMBERED"/>
    <w:basedOn w:val="Normal"/>
    <w:uiPriority w:val="99"/>
    <w:rsid w:val="00662D23"/>
    <w:pPr>
      <w:numPr>
        <w:numId w:val="8"/>
      </w:numPr>
      <w:spacing w:after="0" w:line="480" w:lineRule="auto"/>
      <w:jc w:val="both"/>
    </w:pPr>
    <w:rPr>
      <w:rFonts w:ascii="Times New Roman" w:eastAsiaTheme="minorEastAsia" w:hAnsi="Times New Roman" w:cs="Times New Roman"/>
      <w:sz w:val="26"/>
      <w:szCs w:val="26"/>
      <w:lang w:eastAsia="en-ZA"/>
    </w:rPr>
  </w:style>
  <w:style w:type="paragraph" w:styleId="Footer">
    <w:name w:val="footer"/>
    <w:basedOn w:val="Normal"/>
    <w:link w:val="FooterChar"/>
    <w:uiPriority w:val="99"/>
    <w:unhideWhenUsed/>
    <w:rsid w:val="00642CD2"/>
    <w:pPr>
      <w:tabs>
        <w:tab w:val="center" w:pos="4513"/>
        <w:tab w:val="right" w:pos="9026"/>
      </w:tabs>
      <w:spacing w:after="0" w:line="240" w:lineRule="auto"/>
    </w:pPr>
    <w:rPr>
      <w:rFonts w:ascii="Calibri" w:eastAsia="Times New Roman" w:hAnsi="Calibri" w:cs="Times New Roman"/>
      <w:lang w:val="en-GB"/>
    </w:rPr>
  </w:style>
  <w:style w:type="character" w:customStyle="1" w:styleId="FooterChar">
    <w:name w:val="Footer Char"/>
    <w:basedOn w:val="DefaultParagraphFont"/>
    <w:link w:val="Footer"/>
    <w:uiPriority w:val="99"/>
    <w:rsid w:val="00642CD2"/>
    <w:rPr>
      <w:rFonts w:ascii="Calibri" w:eastAsia="Times New Roman" w:hAnsi="Calibri" w:cs="Times New Roman"/>
      <w:lang w:val="en-GB"/>
    </w:rPr>
  </w:style>
  <w:style w:type="paragraph" w:styleId="Header">
    <w:name w:val="header"/>
    <w:basedOn w:val="Normal"/>
    <w:link w:val="HeaderChar"/>
    <w:uiPriority w:val="99"/>
    <w:unhideWhenUsed/>
    <w:rsid w:val="00F44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C28"/>
  </w:style>
  <w:style w:type="paragraph" w:styleId="Revision">
    <w:name w:val="Revision"/>
    <w:hidden/>
    <w:uiPriority w:val="99"/>
    <w:semiHidden/>
    <w:rsid w:val="000B7517"/>
    <w:pPr>
      <w:spacing w:after="0" w:line="240" w:lineRule="auto"/>
    </w:pPr>
  </w:style>
  <w:style w:type="character" w:styleId="CommentReference">
    <w:name w:val="annotation reference"/>
    <w:basedOn w:val="DefaultParagraphFont"/>
    <w:uiPriority w:val="99"/>
    <w:semiHidden/>
    <w:unhideWhenUsed/>
    <w:rsid w:val="00EE1B01"/>
    <w:rPr>
      <w:sz w:val="16"/>
      <w:szCs w:val="16"/>
    </w:rPr>
  </w:style>
  <w:style w:type="paragraph" w:styleId="CommentText">
    <w:name w:val="annotation text"/>
    <w:basedOn w:val="Normal"/>
    <w:link w:val="CommentTextChar"/>
    <w:uiPriority w:val="99"/>
    <w:semiHidden/>
    <w:unhideWhenUsed/>
    <w:rsid w:val="00EE1B01"/>
    <w:pPr>
      <w:spacing w:line="240" w:lineRule="auto"/>
    </w:pPr>
    <w:rPr>
      <w:sz w:val="20"/>
      <w:szCs w:val="20"/>
    </w:rPr>
  </w:style>
  <w:style w:type="character" w:customStyle="1" w:styleId="CommentTextChar">
    <w:name w:val="Comment Text Char"/>
    <w:basedOn w:val="DefaultParagraphFont"/>
    <w:link w:val="CommentText"/>
    <w:uiPriority w:val="99"/>
    <w:semiHidden/>
    <w:rsid w:val="00EE1B01"/>
    <w:rPr>
      <w:sz w:val="20"/>
      <w:szCs w:val="20"/>
    </w:rPr>
  </w:style>
  <w:style w:type="paragraph" w:styleId="CommentSubject">
    <w:name w:val="annotation subject"/>
    <w:basedOn w:val="CommentText"/>
    <w:next w:val="CommentText"/>
    <w:link w:val="CommentSubjectChar"/>
    <w:uiPriority w:val="99"/>
    <w:semiHidden/>
    <w:unhideWhenUsed/>
    <w:rsid w:val="00EE1B01"/>
    <w:rPr>
      <w:b/>
      <w:bCs/>
    </w:rPr>
  </w:style>
  <w:style w:type="character" w:customStyle="1" w:styleId="CommentSubjectChar">
    <w:name w:val="Comment Subject Char"/>
    <w:basedOn w:val="CommentTextChar"/>
    <w:link w:val="CommentSubject"/>
    <w:uiPriority w:val="99"/>
    <w:semiHidden/>
    <w:rsid w:val="00EE1B01"/>
    <w:rPr>
      <w:b/>
      <w:bCs/>
      <w:sz w:val="20"/>
      <w:szCs w:val="20"/>
    </w:rPr>
  </w:style>
  <w:style w:type="paragraph" w:styleId="BalloonText">
    <w:name w:val="Balloon Text"/>
    <w:basedOn w:val="Normal"/>
    <w:link w:val="BalloonTextChar"/>
    <w:uiPriority w:val="99"/>
    <w:semiHidden/>
    <w:unhideWhenUsed/>
    <w:rsid w:val="00EE1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5796">
      <w:bodyDiv w:val="1"/>
      <w:marLeft w:val="0"/>
      <w:marRight w:val="0"/>
      <w:marTop w:val="0"/>
      <w:marBottom w:val="0"/>
      <w:divBdr>
        <w:top w:val="none" w:sz="0" w:space="0" w:color="auto"/>
        <w:left w:val="none" w:sz="0" w:space="0" w:color="auto"/>
        <w:bottom w:val="none" w:sz="0" w:space="0" w:color="auto"/>
        <w:right w:val="none" w:sz="0" w:space="0" w:color="auto"/>
      </w:divBdr>
    </w:div>
    <w:div w:id="64769126">
      <w:bodyDiv w:val="1"/>
      <w:marLeft w:val="0"/>
      <w:marRight w:val="0"/>
      <w:marTop w:val="0"/>
      <w:marBottom w:val="0"/>
      <w:divBdr>
        <w:top w:val="none" w:sz="0" w:space="0" w:color="auto"/>
        <w:left w:val="none" w:sz="0" w:space="0" w:color="auto"/>
        <w:bottom w:val="none" w:sz="0" w:space="0" w:color="auto"/>
        <w:right w:val="none" w:sz="0" w:space="0" w:color="auto"/>
      </w:divBdr>
    </w:div>
    <w:div w:id="149562908">
      <w:bodyDiv w:val="1"/>
      <w:marLeft w:val="0"/>
      <w:marRight w:val="0"/>
      <w:marTop w:val="0"/>
      <w:marBottom w:val="0"/>
      <w:divBdr>
        <w:top w:val="none" w:sz="0" w:space="0" w:color="auto"/>
        <w:left w:val="none" w:sz="0" w:space="0" w:color="auto"/>
        <w:bottom w:val="none" w:sz="0" w:space="0" w:color="auto"/>
        <w:right w:val="none" w:sz="0" w:space="0" w:color="auto"/>
      </w:divBdr>
    </w:div>
    <w:div w:id="168643747">
      <w:bodyDiv w:val="1"/>
      <w:marLeft w:val="0"/>
      <w:marRight w:val="0"/>
      <w:marTop w:val="0"/>
      <w:marBottom w:val="0"/>
      <w:divBdr>
        <w:top w:val="none" w:sz="0" w:space="0" w:color="auto"/>
        <w:left w:val="none" w:sz="0" w:space="0" w:color="auto"/>
        <w:bottom w:val="none" w:sz="0" w:space="0" w:color="auto"/>
        <w:right w:val="none" w:sz="0" w:space="0" w:color="auto"/>
      </w:divBdr>
    </w:div>
    <w:div w:id="212738206">
      <w:bodyDiv w:val="1"/>
      <w:marLeft w:val="0"/>
      <w:marRight w:val="0"/>
      <w:marTop w:val="0"/>
      <w:marBottom w:val="0"/>
      <w:divBdr>
        <w:top w:val="none" w:sz="0" w:space="0" w:color="auto"/>
        <w:left w:val="none" w:sz="0" w:space="0" w:color="auto"/>
        <w:bottom w:val="none" w:sz="0" w:space="0" w:color="auto"/>
        <w:right w:val="none" w:sz="0" w:space="0" w:color="auto"/>
      </w:divBdr>
    </w:div>
    <w:div w:id="292448933">
      <w:bodyDiv w:val="1"/>
      <w:marLeft w:val="0"/>
      <w:marRight w:val="0"/>
      <w:marTop w:val="0"/>
      <w:marBottom w:val="0"/>
      <w:divBdr>
        <w:top w:val="none" w:sz="0" w:space="0" w:color="auto"/>
        <w:left w:val="none" w:sz="0" w:space="0" w:color="auto"/>
        <w:bottom w:val="none" w:sz="0" w:space="0" w:color="auto"/>
        <w:right w:val="none" w:sz="0" w:space="0" w:color="auto"/>
      </w:divBdr>
    </w:div>
    <w:div w:id="323120155">
      <w:bodyDiv w:val="1"/>
      <w:marLeft w:val="0"/>
      <w:marRight w:val="0"/>
      <w:marTop w:val="0"/>
      <w:marBottom w:val="0"/>
      <w:divBdr>
        <w:top w:val="none" w:sz="0" w:space="0" w:color="auto"/>
        <w:left w:val="none" w:sz="0" w:space="0" w:color="auto"/>
        <w:bottom w:val="none" w:sz="0" w:space="0" w:color="auto"/>
        <w:right w:val="none" w:sz="0" w:space="0" w:color="auto"/>
      </w:divBdr>
    </w:div>
    <w:div w:id="352001300">
      <w:bodyDiv w:val="1"/>
      <w:marLeft w:val="0"/>
      <w:marRight w:val="0"/>
      <w:marTop w:val="0"/>
      <w:marBottom w:val="0"/>
      <w:divBdr>
        <w:top w:val="none" w:sz="0" w:space="0" w:color="auto"/>
        <w:left w:val="none" w:sz="0" w:space="0" w:color="auto"/>
        <w:bottom w:val="none" w:sz="0" w:space="0" w:color="auto"/>
        <w:right w:val="none" w:sz="0" w:space="0" w:color="auto"/>
      </w:divBdr>
      <w:divsChild>
        <w:div w:id="1064337079">
          <w:marLeft w:val="0"/>
          <w:marRight w:val="0"/>
          <w:marTop w:val="120"/>
          <w:marBottom w:val="0"/>
          <w:divBdr>
            <w:top w:val="none" w:sz="0" w:space="0" w:color="auto"/>
            <w:left w:val="none" w:sz="0" w:space="0" w:color="auto"/>
            <w:bottom w:val="none" w:sz="0" w:space="0" w:color="auto"/>
            <w:right w:val="none" w:sz="0" w:space="0" w:color="auto"/>
          </w:divBdr>
        </w:div>
        <w:div w:id="1605454841">
          <w:marLeft w:val="0"/>
          <w:marRight w:val="0"/>
          <w:marTop w:val="240"/>
          <w:marBottom w:val="24"/>
          <w:divBdr>
            <w:top w:val="single" w:sz="8" w:space="2" w:color="808080"/>
            <w:left w:val="none" w:sz="0" w:space="0" w:color="auto"/>
            <w:bottom w:val="none" w:sz="0" w:space="0" w:color="auto"/>
            <w:right w:val="none" w:sz="0" w:space="0" w:color="auto"/>
          </w:divBdr>
        </w:div>
        <w:div w:id="747271467">
          <w:marLeft w:val="0"/>
          <w:marRight w:val="0"/>
          <w:marTop w:val="120"/>
          <w:marBottom w:val="0"/>
          <w:divBdr>
            <w:top w:val="none" w:sz="0" w:space="0" w:color="auto"/>
            <w:left w:val="none" w:sz="0" w:space="0" w:color="auto"/>
            <w:bottom w:val="none" w:sz="0" w:space="0" w:color="auto"/>
            <w:right w:val="none" w:sz="0" w:space="0" w:color="auto"/>
          </w:divBdr>
        </w:div>
        <w:div w:id="268898247">
          <w:marLeft w:val="0"/>
          <w:marRight w:val="0"/>
          <w:marTop w:val="120"/>
          <w:marBottom w:val="0"/>
          <w:divBdr>
            <w:top w:val="none" w:sz="0" w:space="0" w:color="auto"/>
            <w:left w:val="none" w:sz="0" w:space="0" w:color="auto"/>
            <w:bottom w:val="none" w:sz="0" w:space="0" w:color="auto"/>
            <w:right w:val="none" w:sz="0" w:space="0" w:color="auto"/>
          </w:divBdr>
        </w:div>
        <w:div w:id="1374774243">
          <w:marLeft w:val="0"/>
          <w:marRight w:val="0"/>
          <w:marTop w:val="120"/>
          <w:marBottom w:val="0"/>
          <w:divBdr>
            <w:top w:val="none" w:sz="0" w:space="0" w:color="auto"/>
            <w:left w:val="none" w:sz="0" w:space="0" w:color="auto"/>
            <w:bottom w:val="none" w:sz="0" w:space="0" w:color="auto"/>
            <w:right w:val="none" w:sz="0" w:space="0" w:color="auto"/>
          </w:divBdr>
        </w:div>
        <w:div w:id="493766793">
          <w:marLeft w:val="567"/>
          <w:marRight w:val="0"/>
          <w:marTop w:val="120"/>
          <w:marBottom w:val="0"/>
          <w:divBdr>
            <w:top w:val="none" w:sz="0" w:space="0" w:color="auto"/>
            <w:left w:val="none" w:sz="0" w:space="0" w:color="auto"/>
            <w:bottom w:val="none" w:sz="0" w:space="0" w:color="auto"/>
            <w:right w:val="none" w:sz="0" w:space="0" w:color="auto"/>
          </w:divBdr>
        </w:div>
        <w:div w:id="1353652561">
          <w:marLeft w:val="567"/>
          <w:marRight w:val="0"/>
          <w:marTop w:val="120"/>
          <w:marBottom w:val="0"/>
          <w:divBdr>
            <w:top w:val="none" w:sz="0" w:space="0" w:color="auto"/>
            <w:left w:val="none" w:sz="0" w:space="0" w:color="auto"/>
            <w:bottom w:val="none" w:sz="0" w:space="0" w:color="auto"/>
            <w:right w:val="none" w:sz="0" w:space="0" w:color="auto"/>
          </w:divBdr>
        </w:div>
        <w:div w:id="1174078339">
          <w:marLeft w:val="0"/>
          <w:marRight w:val="0"/>
          <w:marTop w:val="120"/>
          <w:marBottom w:val="0"/>
          <w:divBdr>
            <w:top w:val="none" w:sz="0" w:space="0" w:color="auto"/>
            <w:left w:val="none" w:sz="0" w:space="0" w:color="auto"/>
            <w:bottom w:val="none" w:sz="0" w:space="0" w:color="auto"/>
            <w:right w:val="none" w:sz="0" w:space="0" w:color="auto"/>
          </w:divBdr>
        </w:div>
        <w:div w:id="875388950">
          <w:marLeft w:val="567"/>
          <w:marRight w:val="0"/>
          <w:marTop w:val="120"/>
          <w:marBottom w:val="0"/>
          <w:divBdr>
            <w:top w:val="none" w:sz="0" w:space="0" w:color="auto"/>
            <w:left w:val="none" w:sz="0" w:space="0" w:color="auto"/>
            <w:bottom w:val="none" w:sz="0" w:space="0" w:color="auto"/>
            <w:right w:val="none" w:sz="0" w:space="0" w:color="auto"/>
          </w:divBdr>
        </w:div>
        <w:div w:id="1558323276">
          <w:marLeft w:val="0"/>
          <w:marRight w:val="0"/>
          <w:marTop w:val="120"/>
          <w:marBottom w:val="0"/>
          <w:divBdr>
            <w:top w:val="none" w:sz="0" w:space="0" w:color="auto"/>
            <w:left w:val="none" w:sz="0" w:space="0" w:color="auto"/>
            <w:bottom w:val="none" w:sz="0" w:space="0" w:color="auto"/>
            <w:right w:val="none" w:sz="0" w:space="0" w:color="auto"/>
          </w:divBdr>
        </w:div>
        <w:div w:id="55662417">
          <w:marLeft w:val="0"/>
          <w:marRight w:val="0"/>
          <w:marTop w:val="120"/>
          <w:marBottom w:val="0"/>
          <w:divBdr>
            <w:top w:val="none" w:sz="0" w:space="0" w:color="auto"/>
            <w:left w:val="none" w:sz="0" w:space="0" w:color="auto"/>
            <w:bottom w:val="none" w:sz="0" w:space="0" w:color="auto"/>
            <w:right w:val="none" w:sz="0" w:space="0" w:color="auto"/>
          </w:divBdr>
        </w:div>
        <w:div w:id="1901557873">
          <w:marLeft w:val="0"/>
          <w:marRight w:val="0"/>
          <w:marTop w:val="240"/>
          <w:marBottom w:val="24"/>
          <w:divBdr>
            <w:top w:val="single" w:sz="8" w:space="2" w:color="808080"/>
            <w:left w:val="none" w:sz="0" w:space="0" w:color="auto"/>
            <w:bottom w:val="none" w:sz="0" w:space="0" w:color="auto"/>
            <w:right w:val="none" w:sz="0" w:space="0" w:color="auto"/>
          </w:divBdr>
        </w:div>
        <w:div w:id="757215752">
          <w:marLeft w:val="0"/>
          <w:marRight w:val="0"/>
          <w:marTop w:val="120"/>
          <w:marBottom w:val="0"/>
          <w:divBdr>
            <w:top w:val="none" w:sz="0" w:space="0" w:color="auto"/>
            <w:left w:val="none" w:sz="0" w:space="0" w:color="auto"/>
            <w:bottom w:val="none" w:sz="0" w:space="0" w:color="auto"/>
            <w:right w:val="none" w:sz="0" w:space="0" w:color="auto"/>
          </w:divBdr>
        </w:div>
        <w:div w:id="2147238987">
          <w:marLeft w:val="0"/>
          <w:marRight w:val="0"/>
          <w:marTop w:val="120"/>
          <w:marBottom w:val="0"/>
          <w:divBdr>
            <w:top w:val="none" w:sz="0" w:space="0" w:color="auto"/>
            <w:left w:val="none" w:sz="0" w:space="0" w:color="auto"/>
            <w:bottom w:val="none" w:sz="0" w:space="0" w:color="auto"/>
            <w:right w:val="none" w:sz="0" w:space="0" w:color="auto"/>
          </w:divBdr>
        </w:div>
        <w:div w:id="410129777">
          <w:marLeft w:val="567"/>
          <w:marRight w:val="0"/>
          <w:marTop w:val="120"/>
          <w:marBottom w:val="0"/>
          <w:divBdr>
            <w:top w:val="none" w:sz="0" w:space="0" w:color="auto"/>
            <w:left w:val="none" w:sz="0" w:space="0" w:color="auto"/>
            <w:bottom w:val="none" w:sz="0" w:space="0" w:color="auto"/>
            <w:right w:val="none" w:sz="0" w:space="0" w:color="auto"/>
          </w:divBdr>
        </w:div>
        <w:div w:id="719204505">
          <w:marLeft w:val="567"/>
          <w:marRight w:val="0"/>
          <w:marTop w:val="120"/>
          <w:marBottom w:val="0"/>
          <w:divBdr>
            <w:top w:val="none" w:sz="0" w:space="0" w:color="auto"/>
            <w:left w:val="none" w:sz="0" w:space="0" w:color="auto"/>
            <w:bottom w:val="none" w:sz="0" w:space="0" w:color="auto"/>
            <w:right w:val="none" w:sz="0" w:space="0" w:color="auto"/>
          </w:divBdr>
        </w:div>
        <w:div w:id="1703552595">
          <w:marLeft w:val="0"/>
          <w:marRight w:val="0"/>
          <w:marTop w:val="120"/>
          <w:marBottom w:val="0"/>
          <w:divBdr>
            <w:top w:val="none" w:sz="0" w:space="0" w:color="auto"/>
            <w:left w:val="none" w:sz="0" w:space="0" w:color="auto"/>
            <w:bottom w:val="none" w:sz="0" w:space="0" w:color="auto"/>
            <w:right w:val="none" w:sz="0" w:space="0" w:color="auto"/>
          </w:divBdr>
        </w:div>
        <w:div w:id="1523590510">
          <w:marLeft w:val="0"/>
          <w:marRight w:val="0"/>
          <w:marTop w:val="240"/>
          <w:marBottom w:val="24"/>
          <w:divBdr>
            <w:top w:val="single" w:sz="8" w:space="2" w:color="808080"/>
            <w:left w:val="none" w:sz="0" w:space="0" w:color="auto"/>
            <w:bottom w:val="none" w:sz="0" w:space="0" w:color="auto"/>
            <w:right w:val="none" w:sz="0" w:space="0" w:color="auto"/>
          </w:divBdr>
        </w:div>
        <w:div w:id="125704146">
          <w:marLeft w:val="0"/>
          <w:marRight w:val="0"/>
          <w:marTop w:val="120"/>
          <w:marBottom w:val="0"/>
          <w:divBdr>
            <w:top w:val="none" w:sz="0" w:space="0" w:color="auto"/>
            <w:left w:val="none" w:sz="0" w:space="0" w:color="auto"/>
            <w:bottom w:val="none" w:sz="0" w:space="0" w:color="auto"/>
            <w:right w:val="none" w:sz="0" w:space="0" w:color="auto"/>
          </w:divBdr>
        </w:div>
        <w:div w:id="1658456236">
          <w:marLeft w:val="0"/>
          <w:marRight w:val="0"/>
          <w:marTop w:val="120"/>
          <w:marBottom w:val="0"/>
          <w:divBdr>
            <w:top w:val="none" w:sz="0" w:space="0" w:color="auto"/>
            <w:left w:val="none" w:sz="0" w:space="0" w:color="auto"/>
            <w:bottom w:val="none" w:sz="0" w:space="0" w:color="auto"/>
            <w:right w:val="none" w:sz="0" w:space="0" w:color="auto"/>
          </w:divBdr>
        </w:div>
        <w:div w:id="1199124112">
          <w:marLeft w:val="0"/>
          <w:marRight w:val="0"/>
          <w:marTop w:val="120"/>
          <w:marBottom w:val="0"/>
          <w:divBdr>
            <w:top w:val="none" w:sz="0" w:space="0" w:color="auto"/>
            <w:left w:val="none" w:sz="0" w:space="0" w:color="auto"/>
            <w:bottom w:val="none" w:sz="0" w:space="0" w:color="auto"/>
            <w:right w:val="none" w:sz="0" w:space="0" w:color="auto"/>
          </w:divBdr>
        </w:div>
        <w:div w:id="1670792666">
          <w:marLeft w:val="0"/>
          <w:marRight w:val="0"/>
          <w:marTop w:val="120"/>
          <w:marBottom w:val="0"/>
          <w:divBdr>
            <w:top w:val="none" w:sz="0" w:space="0" w:color="auto"/>
            <w:left w:val="none" w:sz="0" w:space="0" w:color="auto"/>
            <w:bottom w:val="none" w:sz="0" w:space="0" w:color="auto"/>
            <w:right w:val="none" w:sz="0" w:space="0" w:color="auto"/>
          </w:divBdr>
        </w:div>
        <w:div w:id="1375153724">
          <w:marLeft w:val="0"/>
          <w:marRight w:val="0"/>
          <w:marTop w:val="120"/>
          <w:marBottom w:val="0"/>
          <w:divBdr>
            <w:top w:val="none" w:sz="0" w:space="0" w:color="auto"/>
            <w:left w:val="none" w:sz="0" w:space="0" w:color="auto"/>
            <w:bottom w:val="none" w:sz="0" w:space="0" w:color="auto"/>
            <w:right w:val="none" w:sz="0" w:space="0" w:color="auto"/>
          </w:divBdr>
        </w:div>
        <w:div w:id="1231698513">
          <w:marLeft w:val="0"/>
          <w:marRight w:val="0"/>
          <w:marTop w:val="120"/>
          <w:marBottom w:val="0"/>
          <w:divBdr>
            <w:top w:val="none" w:sz="0" w:space="0" w:color="auto"/>
            <w:left w:val="none" w:sz="0" w:space="0" w:color="auto"/>
            <w:bottom w:val="none" w:sz="0" w:space="0" w:color="auto"/>
            <w:right w:val="none" w:sz="0" w:space="0" w:color="auto"/>
          </w:divBdr>
        </w:div>
        <w:div w:id="1326787340">
          <w:marLeft w:val="0"/>
          <w:marRight w:val="0"/>
          <w:marTop w:val="240"/>
          <w:marBottom w:val="24"/>
          <w:divBdr>
            <w:top w:val="single" w:sz="8" w:space="2" w:color="808080"/>
            <w:left w:val="none" w:sz="0" w:space="0" w:color="auto"/>
            <w:bottom w:val="none" w:sz="0" w:space="0" w:color="auto"/>
            <w:right w:val="none" w:sz="0" w:space="0" w:color="auto"/>
          </w:divBdr>
        </w:div>
        <w:div w:id="141121473">
          <w:marLeft w:val="0"/>
          <w:marRight w:val="0"/>
          <w:marTop w:val="120"/>
          <w:marBottom w:val="0"/>
          <w:divBdr>
            <w:top w:val="none" w:sz="0" w:space="0" w:color="auto"/>
            <w:left w:val="none" w:sz="0" w:space="0" w:color="auto"/>
            <w:bottom w:val="none" w:sz="0" w:space="0" w:color="auto"/>
            <w:right w:val="none" w:sz="0" w:space="0" w:color="auto"/>
          </w:divBdr>
        </w:div>
        <w:div w:id="765153413">
          <w:marLeft w:val="0"/>
          <w:marRight w:val="0"/>
          <w:marTop w:val="120"/>
          <w:marBottom w:val="0"/>
          <w:divBdr>
            <w:top w:val="none" w:sz="0" w:space="0" w:color="auto"/>
            <w:left w:val="none" w:sz="0" w:space="0" w:color="auto"/>
            <w:bottom w:val="none" w:sz="0" w:space="0" w:color="auto"/>
            <w:right w:val="none" w:sz="0" w:space="0" w:color="auto"/>
          </w:divBdr>
        </w:div>
      </w:divsChild>
    </w:div>
    <w:div w:id="408843198">
      <w:bodyDiv w:val="1"/>
      <w:marLeft w:val="0"/>
      <w:marRight w:val="0"/>
      <w:marTop w:val="0"/>
      <w:marBottom w:val="0"/>
      <w:divBdr>
        <w:top w:val="none" w:sz="0" w:space="0" w:color="auto"/>
        <w:left w:val="none" w:sz="0" w:space="0" w:color="auto"/>
        <w:bottom w:val="none" w:sz="0" w:space="0" w:color="auto"/>
        <w:right w:val="none" w:sz="0" w:space="0" w:color="auto"/>
      </w:divBdr>
      <w:divsChild>
        <w:div w:id="48262940">
          <w:marLeft w:val="0"/>
          <w:marRight w:val="0"/>
          <w:marTop w:val="0"/>
          <w:marBottom w:val="0"/>
          <w:divBdr>
            <w:top w:val="none" w:sz="0" w:space="0" w:color="auto"/>
            <w:left w:val="none" w:sz="0" w:space="0" w:color="auto"/>
            <w:bottom w:val="none" w:sz="0" w:space="0" w:color="auto"/>
            <w:right w:val="none" w:sz="0" w:space="0" w:color="auto"/>
          </w:divBdr>
          <w:divsChild>
            <w:div w:id="894658427">
              <w:marLeft w:val="0"/>
              <w:marRight w:val="0"/>
              <w:marTop w:val="0"/>
              <w:marBottom w:val="0"/>
              <w:divBdr>
                <w:top w:val="none" w:sz="0" w:space="0" w:color="auto"/>
                <w:left w:val="none" w:sz="0" w:space="0" w:color="auto"/>
                <w:bottom w:val="none" w:sz="0" w:space="0" w:color="auto"/>
                <w:right w:val="none" w:sz="0" w:space="0" w:color="auto"/>
              </w:divBdr>
              <w:divsChild>
                <w:div w:id="189880501">
                  <w:marLeft w:val="0"/>
                  <w:marRight w:val="400"/>
                  <w:marTop w:val="0"/>
                  <w:marBottom w:val="400"/>
                  <w:divBdr>
                    <w:top w:val="none" w:sz="0" w:space="0" w:color="auto"/>
                    <w:left w:val="none" w:sz="0" w:space="0" w:color="auto"/>
                    <w:bottom w:val="single" w:sz="6" w:space="24" w:color="F3F3F3"/>
                    <w:right w:val="none" w:sz="0" w:space="0" w:color="auto"/>
                  </w:divBdr>
                  <w:divsChild>
                    <w:div w:id="1313680961">
                      <w:marLeft w:val="0"/>
                      <w:marRight w:val="0"/>
                      <w:marTop w:val="0"/>
                      <w:marBottom w:val="0"/>
                      <w:divBdr>
                        <w:top w:val="none" w:sz="0" w:space="0" w:color="auto"/>
                        <w:left w:val="none" w:sz="0" w:space="0" w:color="auto"/>
                        <w:bottom w:val="none" w:sz="0" w:space="0" w:color="auto"/>
                        <w:right w:val="none" w:sz="0" w:space="0" w:color="auto"/>
                      </w:divBdr>
                      <w:divsChild>
                        <w:div w:id="20568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0143">
          <w:marLeft w:val="0"/>
          <w:marRight w:val="0"/>
          <w:marTop w:val="0"/>
          <w:marBottom w:val="0"/>
          <w:divBdr>
            <w:top w:val="none" w:sz="0" w:space="0" w:color="auto"/>
            <w:left w:val="none" w:sz="0" w:space="0" w:color="auto"/>
            <w:bottom w:val="none" w:sz="0" w:space="0" w:color="auto"/>
            <w:right w:val="none" w:sz="0" w:space="0" w:color="auto"/>
          </w:divBdr>
          <w:divsChild>
            <w:div w:id="407584056">
              <w:marLeft w:val="0"/>
              <w:marRight w:val="0"/>
              <w:marTop w:val="0"/>
              <w:marBottom w:val="0"/>
              <w:divBdr>
                <w:top w:val="none" w:sz="0" w:space="0" w:color="auto"/>
                <w:left w:val="none" w:sz="0" w:space="0" w:color="auto"/>
                <w:bottom w:val="none" w:sz="0" w:space="0" w:color="auto"/>
                <w:right w:val="none" w:sz="0" w:space="0" w:color="auto"/>
              </w:divBdr>
              <w:divsChild>
                <w:div w:id="1232040161">
                  <w:marLeft w:val="0"/>
                  <w:marRight w:val="400"/>
                  <w:marTop w:val="0"/>
                  <w:marBottom w:val="400"/>
                  <w:divBdr>
                    <w:top w:val="none" w:sz="0" w:space="0" w:color="auto"/>
                    <w:left w:val="none" w:sz="0" w:space="0" w:color="auto"/>
                    <w:bottom w:val="none" w:sz="0" w:space="0" w:color="auto"/>
                    <w:right w:val="none" w:sz="0" w:space="0" w:color="auto"/>
                  </w:divBdr>
                  <w:divsChild>
                    <w:div w:id="155534363">
                      <w:marLeft w:val="0"/>
                      <w:marRight w:val="0"/>
                      <w:marTop w:val="0"/>
                      <w:marBottom w:val="0"/>
                      <w:divBdr>
                        <w:top w:val="none" w:sz="0" w:space="0" w:color="auto"/>
                        <w:left w:val="none" w:sz="0" w:space="0" w:color="auto"/>
                        <w:bottom w:val="none" w:sz="0" w:space="0" w:color="auto"/>
                        <w:right w:val="none" w:sz="0" w:space="0" w:color="auto"/>
                      </w:divBdr>
                      <w:divsChild>
                        <w:div w:id="6172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88601">
      <w:bodyDiv w:val="1"/>
      <w:marLeft w:val="0"/>
      <w:marRight w:val="0"/>
      <w:marTop w:val="0"/>
      <w:marBottom w:val="0"/>
      <w:divBdr>
        <w:top w:val="none" w:sz="0" w:space="0" w:color="auto"/>
        <w:left w:val="none" w:sz="0" w:space="0" w:color="auto"/>
        <w:bottom w:val="none" w:sz="0" w:space="0" w:color="auto"/>
        <w:right w:val="none" w:sz="0" w:space="0" w:color="auto"/>
      </w:divBdr>
    </w:div>
    <w:div w:id="578757647">
      <w:bodyDiv w:val="1"/>
      <w:marLeft w:val="0"/>
      <w:marRight w:val="0"/>
      <w:marTop w:val="0"/>
      <w:marBottom w:val="0"/>
      <w:divBdr>
        <w:top w:val="none" w:sz="0" w:space="0" w:color="auto"/>
        <w:left w:val="none" w:sz="0" w:space="0" w:color="auto"/>
        <w:bottom w:val="none" w:sz="0" w:space="0" w:color="auto"/>
        <w:right w:val="none" w:sz="0" w:space="0" w:color="auto"/>
      </w:divBdr>
    </w:div>
    <w:div w:id="600142819">
      <w:bodyDiv w:val="1"/>
      <w:marLeft w:val="0"/>
      <w:marRight w:val="0"/>
      <w:marTop w:val="0"/>
      <w:marBottom w:val="0"/>
      <w:divBdr>
        <w:top w:val="none" w:sz="0" w:space="0" w:color="auto"/>
        <w:left w:val="none" w:sz="0" w:space="0" w:color="auto"/>
        <w:bottom w:val="none" w:sz="0" w:space="0" w:color="auto"/>
        <w:right w:val="none" w:sz="0" w:space="0" w:color="auto"/>
      </w:divBdr>
      <w:divsChild>
        <w:div w:id="434711783">
          <w:marLeft w:val="0"/>
          <w:marRight w:val="0"/>
          <w:marTop w:val="0"/>
          <w:marBottom w:val="0"/>
          <w:divBdr>
            <w:top w:val="none" w:sz="0" w:space="0" w:color="auto"/>
            <w:left w:val="none" w:sz="0" w:space="0" w:color="auto"/>
            <w:bottom w:val="none" w:sz="0" w:space="0" w:color="auto"/>
            <w:right w:val="none" w:sz="0" w:space="0" w:color="auto"/>
          </w:divBdr>
        </w:div>
        <w:div w:id="1092354144">
          <w:marLeft w:val="0"/>
          <w:marRight w:val="0"/>
          <w:marTop w:val="0"/>
          <w:marBottom w:val="0"/>
          <w:divBdr>
            <w:top w:val="none" w:sz="0" w:space="0" w:color="auto"/>
            <w:left w:val="none" w:sz="0" w:space="0" w:color="auto"/>
            <w:bottom w:val="none" w:sz="0" w:space="0" w:color="auto"/>
            <w:right w:val="none" w:sz="0" w:space="0" w:color="auto"/>
          </w:divBdr>
        </w:div>
        <w:div w:id="1934238467">
          <w:marLeft w:val="0"/>
          <w:marRight w:val="0"/>
          <w:marTop w:val="240"/>
          <w:marBottom w:val="24"/>
          <w:divBdr>
            <w:top w:val="single" w:sz="8" w:space="2" w:color="808080"/>
            <w:left w:val="none" w:sz="0" w:space="0" w:color="auto"/>
            <w:bottom w:val="none" w:sz="0" w:space="0" w:color="auto"/>
            <w:right w:val="none" w:sz="0" w:space="0" w:color="auto"/>
          </w:divBdr>
        </w:div>
        <w:div w:id="1066613278">
          <w:marLeft w:val="0"/>
          <w:marRight w:val="0"/>
          <w:marTop w:val="0"/>
          <w:marBottom w:val="0"/>
          <w:divBdr>
            <w:top w:val="none" w:sz="0" w:space="0" w:color="auto"/>
            <w:left w:val="none" w:sz="0" w:space="0" w:color="auto"/>
            <w:bottom w:val="none" w:sz="0" w:space="0" w:color="auto"/>
            <w:right w:val="none" w:sz="0" w:space="0" w:color="auto"/>
          </w:divBdr>
        </w:div>
      </w:divsChild>
    </w:div>
    <w:div w:id="632636963">
      <w:bodyDiv w:val="1"/>
      <w:marLeft w:val="0"/>
      <w:marRight w:val="0"/>
      <w:marTop w:val="0"/>
      <w:marBottom w:val="0"/>
      <w:divBdr>
        <w:top w:val="none" w:sz="0" w:space="0" w:color="auto"/>
        <w:left w:val="none" w:sz="0" w:space="0" w:color="auto"/>
        <w:bottom w:val="none" w:sz="0" w:space="0" w:color="auto"/>
        <w:right w:val="none" w:sz="0" w:space="0" w:color="auto"/>
      </w:divBdr>
    </w:div>
    <w:div w:id="761343179">
      <w:bodyDiv w:val="1"/>
      <w:marLeft w:val="0"/>
      <w:marRight w:val="0"/>
      <w:marTop w:val="0"/>
      <w:marBottom w:val="0"/>
      <w:divBdr>
        <w:top w:val="none" w:sz="0" w:space="0" w:color="auto"/>
        <w:left w:val="none" w:sz="0" w:space="0" w:color="auto"/>
        <w:bottom w:val="none" w:sz="0" w:space="0" w:color="auto"/>
        <w:right w:val="none" w:sz="0" w:space="0" w:color="auto"/>
      </w:divBdr>
    </w:div>
    <w:div w:id="780758041">
      <w:bodyDiv w:val="1"/>
      <w:marLeft w:val="0"/>
      <w:marRight w:val="0"/>
      <w:marTop w:val="0"/>
      <w:marBottom w:val="0"/>
      <w:divBdr>
        <w:top w:val="none" w:sz="0" w:space="0" w:color="auto"/>
        <w:left w:val="none" w:sz="0" w:space="0" w:color="auto"/>
        <w:bottom w:val="none" w:sz="0" w:space="0" w:color="auto"/>
        <w:right w:val="none" w:sz="0" w:space="0" w:color="auto"/>
      </w:divBdr>
    </w:div>
    <w:div w:id="801387049">
      <w:bodyDiv w:val="1"/>
      <w:marLeft w:val="0"/>
      <w:marRight w:val="0"/>
      <w:marTop w:val="0"/>
      <w:marBottom w:val="0"/>
      <w:divBdr>
        <w:top w:val="none" w:sz="0" w:space="0" w:color="auto"/>
        <w:left w:val="none" w:sz="0" w:space="0" w:color="auto"/>
        <w:bottom w:val="none" w:sz="0" w:space="0" w:color="auto"/>
        <w:right w:val="none" w:sz="0" w:space="0" w:color="auto"/>
      </w:divBdr>
      <w:divsChild>
        <w:div w:id="291715008">
          <w:marLeft w:val="0"/>
          <w:marRight w:val="0"/>
          <w:marTop w:val="180"/>
          <w:marBottom w:val="0"/>
          <w:divBdr>
            <w:top w:val="none" w:sz="0" w:space="0" w:color="auto"/>
            <w:left w:val="none" w:sz="0" w:space="0" w:color="auto"/>
            <w:bottom w:val="none" w:sz="0" w:space="0" w:color="auto"/>
            <w:right w:val="none" w:sz="0" w:space="0" w:color="auto"/>
          </w:divBdr>
        </w:div>
        <w:div w:id="1789813637">
          <w:marLeft w:val="0"/>
          <w:marRight w:val="0"/>
          <w:marTop w:val="240"/>
          <w:marBottom w:val="24"/>
          <w:divBdr>
            <w:top w:val="single" w:sz="8" w:space="2" w:color="808080"/>
            <w:left w:val="none" w:sz="0" w:space="0" w:color="auto"/>
            <w:bottom w:val="none" w:sz="0" w:space="0" w:color="auto"/>
            <w:right w:val="none" w:sz="0" w:space="0" w:color="auto"/>
          </w:divBdr>
        </w:div>
        <w:div w:id="2067099262">
          <w:marLeft w:val="0"/>
          <w:marRight w:val="0"/>
          <w:marTop w:val="180"/>
          <w:marBottom w:val="0"/>
          <w:divBdr>
            <w:top w:val="none" w:sz="0" w:space="0" w:color="auto"/>
            <w:left w:val="none" w:sz="0" w:space="0" w:color="auto"/>
            <w:bottom w:val="none" w:sz="0" w:space="0" w:color="auto"/>
            <w:right w:val="none" w:sz="0" w:space="0" w:color="auto"/>
          </w:divBdr>
        </w:div>
        <w:div w:id="1910143036">
          <w:marLeft w:val="0"/>
          <w:marRight w:val="0"/>
          <w:marTop w:val="180"/>
          <w:marBottom w:val="0"/>
          <w:divBdr>
            <w:top w:val="none" w:sz="0" w:space="0" w:color="auto"/>
            <w:left w:val="none" w:sz="0" w:space="0" w:color="auto"/>
            <w:bottom w:val="none" w:sz="0" w:space="0" w:color="auto"/>
            <w:right w:val="none" w:sz="0" w:space="0" w:color="auto"/>
          </w:divBdr>
        </w:div>
      </w:divsChild>
    </w:div>
    <w:div w:id="826633847">
      <w:bodyDiv w:val="1"/>
      <w:marLeft w:val="0"/>
      <w:marRight w:val="0"/>
      <w:marTop w:val="0"/>
      <w:marBottom w:val="0"/>
      <w:divBdr>
        <w:top w:val="none" w:sz="0" w:space="0" w:color="auto"/>
        <w:left w:val="none" w:sz="0" w:space="0" w:color="auto"/>
        <w:bottom w:val="none" w:sz="0" w:space="0" w:color="auto"/>
        <w:right w:val="none" w:sz="0" w:space="0" w:color="auto"/>
      </w:divBdr>
    </w:div>
    <w:div w:id="851191111">
      <w:bodyDiv w:val="1"/>
      <w:marLeft w:val="0"/>
      <w:marRight w:val="0"/>
      <w:marTop w:val="0"/>
      <w:marBottom w:val="0"/>
      <w:divBdr>
        <w:top w:val="none" w:sz="0" w:space="0" w:color="auto"/>
        <w:left w:val="none" w:sz="0" w:space="0" w:color="auto"/>
        <w:bottom w:val="none" w:sz="0" w:space="0" w:color="auto"/>
        <w:right w:val="none" w:sz="0" w:space="0" w:color="auto"/>
      </w:divBdr>
    </w:div>
    <w:div w:id="878664630">
      <w:bodyDiv w:val="1"/>
      <w:marLeft w:val="0"/>
      <w:marRight w:val="0"/>
      <w:marTop w:val="0"/>
      <w:marBottom w:val="0"/>
      <w:divBdr>
        <w:top w:val="none" w:sz="0" w:space="0" w:color="auto"/>
        <w:left w:val="none" w:sz="0" w:space="0" w:color="auto"/>
        <w:bottom w:val="none" w:sz="0" w:space="0" w:color="auto"/>
        <w:right w:val="none" w:sz="0" w:space="0" w:color="auto"/>
      </w:divBdr>
    </w:div>
    <w:div w:id="891619223">
      <w:bodyDiv w:val="1"/>
      <w:marLeft w:val="0"/>
      <w:marRight w:val="0"/>
      <w:marTop w:val="0"/>
      <w:marBottom w:val="0"/>
      <w:divBdr>
        <w:top w:val="none" w:sz="0" w:space="0" w:color="auto"/>
        <w:left w:val="none" w:sz="0" w:space="0" w:color="auto"/>
        <w:bottom w:val="none" w:sz="0" w:space="0" w:color="auto"/>
        <w:right w:val="none" w:sz="0" w:space="0" w:color="auto"/>
      </w:divBdr>
    </w:div>
    <w:div w:id="970936665">
      <w:bodyDiv w:val="1"/>
      <w:marLeft w:val="0"/>
      <w:marRight w:val="0"/>
      <w:marTop w:val="0"/>
      <w:marBottom w:val="0"/>
      <w:divBdr>
        <w:top w:val="none" w:sz="0" w:space="0" w:color="auto"/>
        <w:left w:val="none" w:sz="0" w:space="0" w:color="auto"/>
        <w:bottom w:val="none" w:sz="0" w:space="0" w:color="auto"/>
        <w:right w:val="none" w:sz="0" w:space="0" w:color="auto"/>
      </w:divBdr>
    </w:div>
    <w:div w:id="1004168526">
      <w:bodyDiv w:val="1"/>
      <w:marLeft w:val="0"/>
      <w:marRight w:val="0"/>
      <w:marTop w:val="0"/>
      <w:marBottom w:val="0"/>
      <w:divBdr>
        <w:top w:val="none" w:sz="0" w:space="0" w:color="auto"/>
        <w:left w:val="none" w:sz="0" w:space="0" w:color="auto"/>
        <w:bottom w:val="none" w:sz="0" w:space="0" w:color="auto"/>
        <w:right w:val="none" w:sz="0" w:space="0" w:color="auto"/>
      </w:divBdr>
    </w:div>
    <w:div w:id="1139111570">
      <w:bodyDiv w:val="1"/>
      <w:marLeft w:val="0"/>
      <w:marRight w:val="0"/>
      <w:marTop w:val="0"/>
      <w:marBottom w:val="0"/>
      <w:divBdr>
        <w:top w:val="none" w:sz="0" w:space="0" w:color="auto"/>
        <w:left w:val="none" w:sz="0" w:space="0" w:color="auto"/>
        <w:bottom w:val="none" w:sz="0" w:space="0" w:color="auto"/>
        <w:right w:val="none" w:sz="0" w:space="0" w:color="auto"/>
      </w:divBdr>
    </w:div>
    <w:div w:id="1267498338">
      <w:bodyDiv w:val="1"/>
      <w:marLeft w:val="0"/>
      <w:marRight w:val="0"/>
      <w:marTop w:val="0"/>
      <w:marBottom w:val="0"/>
      <w:divBdr>
        <w:top w:val="none" w:sz="0" w:space="0" w:color="auto"/>
        <w:left w:val="none" w:sz="0" w:space="0" w:color="auto"/>
        <w:bottom w:val="none" w:sz="0" w:space="0" w:color="auto"/>
        <w:right w:val="none" w:sz="0" w:space="0" w:color="auto"/>
      </w:divBdr>
    </w:div>
    <w:div w:id="1304887862">
      <w:bodyDiv w:val="1"/>
      <w:marLeft w:val="0"/>
      <w:marRight w:val="0"/>
      <w:marTop w:val="0"/>
      <w:marBottom w:val="0"/>
      <w:divBdr>
        <w:top w:val="none" w:sz="0" w:space="0" w:color="auto"/>
        <w:left w:val="none" w:sz="0" w:space="0" w:color="auto"/>
        <w:bottom w:val="none" w:sz="0" w:space="0" w:color="auto"/>
        <w:right w:val="none" w:sz="0" w:space="0" w:color="auto"/>
      </w:divBdr>
      <w:divsChild>
        <w:div w:id="843713103">
          <w:marLeft w:val="0"/>
          <w:marRight w:val="0"/>
          <w:marTop w:val="0"/>
          <w:marBottom w:val="0"/>
          <w:divBdr>
            <w:top w:val="none" w:sz="0" w:space="0" w:color="auto"/>
            <w:left w:val="none" w:sz="0" w:space="0" w:color="auto"/>
            <w:bottom w:val="none" w:sz="0" w:space="0" w:color="auto"/>
            <w:right w:val="none" w:sz="0" w:space="0" w:color="auto"/>
          </w:divBdr>
        </w:div>
        <w:div w:id="2005621281">
          <w:marLeft w:val="0"/>
          <w:marRight w:val="0"/>
          <w:marTop w:val="0"/>
          <w:marBottom w:val="0"/>
          <w:divBdr>
            <w:top w:val="none" w:sz="0" w:space="0" w:color="auto"/>
            <w:left w:val="none" w:sz="0" w:space="0" w:color="auto"/>
            <w:bottom w:val="none" w:sz="0" w:space="0" w:color="auto"/>
            <w:right w:val="none" w:sz="0" w:space="0" w:color="auto"/>
          </w:divBdr>
        </w:div>
      </w:divsChild>
    </w:div>
    <w:div w:id="1385566228">
      <w:bodyDiv w:val="1"/>
      <w:marLeft w:val="0"/>
      <w:marRight w:val="0"/>
      <w:marTop w:val="0"/>
      <w:marBottom w:val="0"/>
      <w:divBdr>
        <w:top w:val="none" w:sz="0" w:space="0" w:color="auto"/>
        <w:left w:val="none" w:sz="0" w:space="0" w:color="auto"/>
        <w:bottom w:val="none" w:sz="0" w:space="0" w:color="auto"/>
        <w:right w:val="none" w:sz="0" w:space="0" w:color="auto"/>
      </w:divBdr>
    </w:div>
    <w:div w:id="1515462439">
      <w:bodyDiv w:val="1"/>
      <w:marLeft w:val="0"/>
      <w:marRight w:val="0"/>
      <w:marTop w:val="0"/>
      <w:marBottom w:val="0"/>
      <w:divBdr>
        <w:top w:val="none" w:sz="0" w:space="0" w:color="auto"/>
        <w:left w:val="none" w:sz="0" w:space="0" w:color="auto"/>
        <w:bottom w:val="none" w:sz="0" w:space="0" w:color="auto"/>
        <w:right w:val="none" w:sz="0" w:space="0" w:color="auto"/>
      </w:divBdr>
    </w:div>
    <w:div w:id="1535774011">
      <w:bodyDiv w:val="1"/>
      <w:marLeft w:val="0"/>
      <w:marRight w:val="0"/>
      <w:marTop w:val="0"/>
      <w:marBottom w:val="0"/>
      <w:divBdr>
        <w:top w:val="none" w:sz="0" w:space="0" w:color="auto"/>
        <w:left w:val="none" w:sz="0" w:space="0" w:color="auto"/>
        <w:bottom w:val="none" w:sz="0" w:space="0" w:color="auto"/>
        <w:right w:val="none" w:sz="0" w:space="0" w:color="auto"/>
      </w:divBdr>
    </w:div>
    <w:div w:id="1579292501">
      <w:bodyDiv w:val="1"/>
      <w:marLeft w:val="0"/>
      <w:marRight w:val="0"/>
      <w:marTop w:val="0"/>
      <w:marBottom w:val="0"/>
      <w:divBdr>
        <w:top w:val="none" w:sz="0" w:space="0" w:color="auto"/>
        <w:left w:val="none" w:sz="0" w:space="0" w:color="auto"/>
        <w:bottom w:val="none" w:sz="0" w:space="0" w:color="auto"/>
        <w:right w:val="none" w:sz="0" w:space="0" w:color="auto"/>
      </w:divBdr>
    </w:div>
    <w:div w:id="1723207306">
      <w:bodyDiv w:val="1"/>
      <w:marLeft w:val="0"/>
      <w:marRight w:val="0"/>
      <w:marTop w:val="0"/>
      <w:marBottom w:val="0"/>
      <w:divBdr>
        <w:top w:val="none" w:sz="0" w:space="0" w:color="auto"/>
        <w:left w:val="none" w:sz="0" w:space="0" w:color="auto"/>
        <w:bottom w:val="none" w:sz="0" w:space="0" w:color="auto"/>
        <w:right w:val="none" w:sz="0" w:space="0" w:color="auto"/>
      </w:divBdr>
    </w:div>
    <w:div w:id="1766610646">
      <w:bodyDiv w:val="1"/>
      <w:marLeft w:val="0"/>
      <w:marRight w:val="0"/>
      <w:marTop w:val="0"/>
      <w:marBottom w:val="0"/>
      <w:divBdr>
        <w:top w:val="none" w:sz="0" w:space="0" w:color="auto"/>
        <w:left w:val="none" w:sz="0" w:space="0" w:color="auto"/>
        <w:bottom w:val="none" w:sz="0" w:space="0" w:color="auto"/>
        <w:right w:val="none" w:sz="0" w:space="0" w:color="auto"/>
      </w:divBdr>
    </w:div>
    <w:div w:id="1781997317">
      <w:bodyDiv w:val="1"/>
      <w:marLeft w:val="0"/>
      <w:marRight w:val="0"/>
      <w:marTop w:val="0"/>
      <w:marBottom w:val="0"/>
      <w:divBdr>
        <w:top w:val="none" w:sz="0" w:space="0" w:color="auto"/>
        <w:left w:val="none" w:sz="0" w:space="0" w:color="auto"/>
        <w:bottom w:val="none" w:sz="0" w:space="0" w:color="auto"/>
        <w:right w:val="none" w:sz="0" w:space="0" w:color="auto"/>
      </w:divBdr>
    </w:div>
    <w:div w:id="1828475829">
      <w:bodyDiv w:val="1"/>
      <w:marLeft w:val="0"/>
      <w:marRight w:val="0"/>
      <w:marTop w:val="0"/>
      <w:marBottom w:val="0"/>
      <w:divBdr>
        <w:top w:val="none" w:sz="0" w:space="0" w:color="auto"/>
        <w:left w:val="none" w:sz="0" w:space="0" w:color="auto"/>
        <w:bottom w:val="none" w:sz="0" w:space="0" w:color="auto"/>
        <w:right w:val="none" w:sz="0" w:space="0" w:color="auto"/>
      </w:divBdr>
    </w:div>
    <w:div w:id="1851065326">
      <w:bodyDiv w:val="1"/>
      <w:marLeft w:val="0"/>
      <w:marRight w:val="0"/>
      <w:marTop w:val="0"/>
      <w:marBottom w:val="0"/>
      <w:divBdr>
        <w:top w:val="none" w:sz="0" w:space="0" w:color="auto"/>
        <w:left w:val="none" w:sz="0" w:space="0" w:color="auto"/>
        <w:bottom w:val="none" w:sz="0" w:space="0" w:color="auto"/>
        <w:right w:val="none" w:sz="0" w:space="0" w:color="auto"/>
      </w:divBdr>
    </w:div>
    <w:div w:id="2026978187">
      <w:bodyDiv w:val="1"/>
      <w:marLeft w:val="0"/>
      <w:marRight w:val="0"/>
      <w:marTop w:val="0"/>
      <w:marBottom w:val="0"/>
      <w:divBdr>
        <w:top w:val="none" w:sz="0" w:space="0" w:color="auto"/>
        <w:left w:val="none" w:sz="0" w:space="0" w:color="auto"/>
        <w:bottom w:val="none" w:sz="0" w:space="0" w:color="auto"/>
        <w:right w:val="none" w:sz="0" w:space="0" w:color="auto"/>
      </w:divBdr>
      <w:divsChild>
        <w:div w:id="1922060986">
          <w:marLeft w:val="0"/>
          <w:marRight w:val="0"/>
          <w:marTop w:val="120"/>
          <w:marBottom w:val="0"/>
          <w:divBdr>
            <w:top w:val="none" w:sz="0" w:space="0" w:color="auto"/>
            <w:left w:val="none" w:sz="0" w:space="0" w:color="auto"/>
            <w:bottom w:val="none" w:sz="0" w:space="0" w:color="auto"/>
            <w:right w:val="none" w:sz="0" w:space="0" w:color="auto"/>
          </w:divBdr>
        </w:div>
        <w:div w:id="1389963138">
          <w:marLeft w:val="1134"/>
          <w:marRight w:val="0"/>
          <w:marTop w:val="120"/>
          <w:marBottom w:val="0"/>
          <w:divBdr>
            <w:top w:val="none" w:sz="0" w:space="0" w:color="auto"/>
            <w:left w:val="none" w:sz="0" w:space="0" w:color="auto"/>
            <w:bottom w:val="none" w:sz="0" w:space="0" w:color="auto"/>
            <w:right w:val="none" w:sz="0" w:space="0" w:color="auto"/>
          </w:divBdr>
        </w:div>
        <w:div w:id="944120810">
          <w:marLeft w:val="1134"/>
          <w:marRight w:val="0"/>
          <w:marTop w:val="120"/>
          <w:marBottom w:val="0"/>
          <w:divBdr>
            <w:top w:val="none" w:sz="0" w:space="0" w:color="auto"/>
            <w:left w:val="none" w:sz="0" w:space="0" w:color="auto"/>
            <w:bottom w:val="none" w:sz="0" w:space="0" w:color="auto"/>
            <w:right w:val="none" w:sz="0" w:space="0" w:color="auto"/>
          </w:divBdr>
        </w:div>
        <w:div w:id="1319572366">
          <w:marLeft w:val="1134"/>
          <w:marRight w:val="0"/>
          <w:marTop w:val="120"/>
          <w:marBottom w:val="0"/>
          <w:divBdr>
            <w:top w:val="none" w:sz="0" w:space="0" w:color="auto"/>
            <w:left w:val="none" w:sz="0" w:space="0" w:color="auto"/>
            <w:bottom w:val="none" w:sz="0" w:space="0" w:color="auto"/>
            <w:right w:val="none" w:sz="0" w:space="0" w:color="auto"/>
          </w:divBdr>
        </w:div>
        <w:div w:id="887884764">
          <w:marLeft w:val="1134"/>
          <w:marRight w:val="0"/>
          <w:marTop w:val="120"/>
          <w:marBottom w:val="0"/>
          <w:divBdr>
            <w:top w:val="none" w:sz="0" w:space="0" w:color="auto"/>
            <w:left w:val="none" w:sz="0" w:space="0" w:color="auto"/>
            <w:bottom w:val="none" w:sz="0" w:space="0" w:color="auto"/>
            <w:right w:val="none" w:sz="0" w:space="0" w:color="auto"/>
          </w:divBdr>
        </w:div>
        <w:div w:id="107244863">
          <w:marLeft w:val="1134"/>
          <w:marRight w:val="0"/>
          <w:marTop w:val="120"/>
          <w:marBottom w:val="0"/>
          <w:divBdr>
            <w:top w:val="none" w:sz="0" w:space="0" w:color="auto"/>
            <w:left w:val="none" w:sz="0" w:space="0" w:color="auto"/>
            <w:bottom w:val="none" w:sz="0" w:space="0" w:color="auto"/>
            <w:right w:val="none" w:sz="0" w:space="0" w:color="auto"/>
          </w:divBdr>
        </w:div>
        <w:div w:id="874079825">
          <w:marLeft w:val="1134"/>
          <w:marRight w:val="0"/>
          <w:marTop w:val="120"/>
          <w:marBottom w:val="0"/>
          <w:divBdr>
            <w:top w:val="none" w:sz="0" w:space="0" w:color="auto"/>
            <w:left w:val="none" w:sz="0" w:space="0" w:color="auto"/>
            <w:bottom w:val="none" w:sz="0" w:space="0" w:color="auto"/>
            <w:right w:val="none" w:sz="0" w:space="0" w:color="auto"/>
          </w:divBdr>
        </w:div>
        <w:div w:id="1262101079">
          <w:marLeft w:val="1134"/>
          <w:marRight w:val="0"/>
          <w:marTop w:val="120"/>
          <w:marBottom w:val="0"/>
          <w:divBdr>
            <w:top w:val="none" w:sz="0" w:space="0" w:color="auto"/>
            <w:left w:val="none" w:sz="0" w:space="0" w:color="auto"/>
            <w:bottom w:val="none" w:sz="0" w:space="0" w:color="auto"/>
            <w:right w:val="none" w:sz="0" w:space="0" w:color="auto"/>
          </w:divBdr>
        </w:div>
        <w:div w:id="1971552040">
          <w:marLeft w:val="1134"/>
          <w:marRight w:val="0"/>
          <w:marTop w:val="120"/>
          <w:marBottom w:val="0"/>
          <w:divBdr>
            <w:top w:val="none" w:sz="0" w:space="0" w:color="auto"/>
            <w:left w:val="none" w:sz="0" w:space="0" w:color="auto"/>
            <w:bottom w:val="none" w:sz="0" w:space="0" w:color="auto"/>
            <w:right w:val="none" w:sz="0" w:space="0" w:color="auto"/>
          </w:divBdr>
        </w:div>
        <w:div w:id="1560288772">
          <w:marLeft w:val="1134"/>
          <w:marRight w:val="0"/>
          <w:marTop w:val="120"/>
          <w:marBottom w:val="0"/>
          <w:divBdr>
            <w:top w:val="none" w:sz="0" w:space="0" w:color="auto"/>
            <w:left w:val="none" w:sz="0" w:space="0" w:color="auto"/>
            <w:bottom w:val="none" w:sz="0" w:space="0" w:color="auto"/>
            <w:right w:val="none" w:sz="0" w:space="0" w:color="auto"/>
          </w:divBdr>
        </w:div>
        <w:div w:id="586308855">
          <w:marLeft w:val="1134"/>
          <w:marRight w:val="0"/>
          <w:marTop w:val="120"/>
          <w:marBottom w:val="0"/>
          <w:divBdr>
            <w:top w:val="none" w:sz="0" w:space="0" w:color="auto"/>
            <w:left w:val="none" w:sz="0" w:space="0" w:color="auto"/>
            <w:bottom w:val="none" w:sz="0" w:space="0" w:color="auto"/>
            <w:right w:val="none" w:sz="0" w:space="0" w:color="auto"/>
          </w:divBdr>
        </w:div>
        <w:div w:id="497692832">
          <w:marLeft w:val="0"/>
          <w:marRight w:val="0"/>
          <w:marTop w:val="240"/>
          <w:marBottom w:val="24"/>
          <w:divBdr>
            <w:top w:val="single" w:sz="8" w:space="2" w:color="808080"/>
            <w:left w:val="none" w:sz="0" w:space="0" w:color="auto"/>
            <w:bottom w:val="none" w:sz="0" w:space="0" w:color="auto"/>
            <w:right w:val="none" w:sz="0" w:space="0" w:color="auto"/>
          </w:divBdr>
        </w:div>
        <w:div w:id="1867407525">
          <w:marLeft w:val="0"/>
          <w:marRight w:val="0"/>
          <w:marTop w:val="120"/>
          <w:marBottom w:val="0"/>
          <w:divBdr>
            <w:top w:val="none" w:sz="0" w:space="0" w:color="auto"/>
            <w:left w:val="none" w:sz="0" w:space="0" w:color="auto"/>
            <w:bottom w:val="none" w:sz="0" w:space="0" w:color="auto"/>
            <w:right w:val="none" w:sz="0" w:space="0" w:color="auto"/>
          </w:divBdr>
        </w:div>
        <w:div w:id="1117287915">
          <w:marLeft w:val="1134"/>
          <w:marRight w:val="0"/>
          <w:marTop w:val="120"/>
          <w:marBottom w:val="0"/>
          <w:divBdr>
            <w:top w:val="none" w:sz="0" w:space="0" w:color="auto"/>
            <w:left w:val="none" w:sz="0" w:space="0" w:color="auto"/>
            <w:bottom w:val="none" w:sz="0" w:space="0" w:color="auto"/>
            <w:right w:val="none" w:sz="0" w:space="0" w:color="auto"/>
          </w:divBdr>
        </w:div>
        <w:div w:id="1427380522">
          <w:marLeft w:val="1134"/>
          <w:marRight w:val="0"/>
          <w:marTop w:val="120"/>
          <w:marBottom w:val="0"/>
          <w:divBdr>
            <w:top w:val="none" w:sz="0" w:space="0" w:color="auto"/>
            <w:left w:val="none" w:sz="0" w:space="0" w:color="auto"/>
            <w:bottom w:val="none" w:sz="0" w:space="0" w:color="auto"/>
            <w:right w:val="none" w:sz="0" w:space="0" w:color="auto"/>
          </w:divBdr>
        </w:div>
        <w:div w:id="1874538387">
          <w:marLeft w:val="1134"/>
          <w:marRight w:val="0"/>
          <w:marTop w:val="120"/>
          <w:marBottom w:val="0"/>
          <w:divBdr>
            <w:top w:val="none" w:sz="0" w:space="0" w:color="auto"/>
            <w:left w:val="none" w:sz="0" w:space="0" w:color="auto"/>
            <w:bottom w:val="none" w:sz="0" w:space="0" w:color="auto"/>
            <w:right w:val="none" w:sz="0" w:space="0" w:color="auto"/>
          </w:divBdr>
        </w:div>
        <w:div w:id="997804562">
          <w:marLeft w:val="1134"/>
          <w:marRight w:val="0"/>
          <w:marTop w:val="120"/>
          <w:marBottom w:val="0"/>
          <w:divBdr>
            <w:top w:val="none" w:sz="0" w:space="0" w:color="auto"/>
            <w:left w:val="none" w:sz="0" w:space="0" w:color="auto"/>
            <w:bottom w:val="none" w:sz="0" w:space="0" w:color="auto"/>
            <w:right w:val="none" w:sz="0" w:space="0" w:color="auto"/>
          </w:divBdr>
        </w:div>
        <w:div w:id="1121148512">
          <w:marLeft w:val="1134"/>
          <w:marRight w:val="0"/>
          <w:marTop w:val="120"/>
          <w:marBottom w:val="0"/>
          <w:divBdr>
            <w:top w:val="none" w:sz="0" w:space="0" w:color="auto"/>
            <w:left w:val="none" w:sz="0" w:space="0" w:color="auto"/>
            <w:bottom w:val="none" w:sz="0" w:space="0" w:color="auto"/>
            <w:right w:val="none" w:sz="0" w:space="0" w:color="auto"/>
          </w:divBdr>
        </w:div>
        <w:div w:id="1015886526">
          <w:marLeft w:val="1134"/>
          <w:marRight w:val="0"/>
          <w:marTop w:val="120"/>
          <w:marBottom w:val="0"/>
          <w:divBdr>
            <w:top w:val="none" w:sz="0" w:space="0" w:color="auto"/>
            <w:left w:val="none" w:sz="0" w:space="0" w:color="auto"/>
            <w:bottom w:val="none" w:sz="0" w:space="0" w:color="auto"/>
            <w:right w:val="none" w:sz="0" w:space="0" w:color="auto"/>
          </w:divBdr>
        </w:div>
        <w:div w:id="737478006">
          <w:marLeft w:val="113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ACDDD-7E4F-4CB5-B78F-296EF35B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6394</Words>
  <Characters>36446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T Makgoka</dc:creator>
  <cp:keywords/>
  <dc:description/>
  <cp:lastModifiedBy>Ayanda Mdletshe</cp:lastModifiedBy>
  <cp:revision>2</cp:revision>
  <dcterms:created xsi:type="dcterms:W3CDTF">2022-06-22T13:11:00Z</dcterms:created>
  <dcterms:modified xsi:type="dcterms:W3CDTF">2022-06-22T13:11:00Z</dcterms:modified>
</cp:coreProperties>
</file>