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7198" w14:textId="48DCEBD8" w:rsidR="00003363" w:rsidRPr="00E2374C" w:rsidRDefault="00003363" w:rsidP="006760AC">
      <w:pPr>
        <w:pStyle w:val="Heading3"/>
      </w:pPr>
    </w:p>
    <w:p w14:paraId="0E4184ED" w14:textId="77777777" w:rsidR="00003363" w:rsidRPr="00E2374C" w:rsidRDefault="00003363">
      <w:pPr>
        <w:jc w:val="center"/>
        <w:rPr>
          <w:b/>
          <w:bCs/>
          <w:sz w:val="28"/>
          <w:szCs w:val="28"/>
        </w:rPr>
      </w:pPr>
    </w:p>
    <w:p w14:paraId="1AD785A7" w14:textId="77777777" w:rsidR="00003363" w:rsidRPr="00E2374C" w:rsidRDefault="00003363">
      <w:pPr>
        <w:jc w:val="center"/>
        <w:rPr>
          <w:b/>
          <w:bCs/>
          <w:sz w:val="28"/>
          <w:szCs w:val="28"/>
        </w:rPr>
      </w:pPr>
    </w:p>
    <w:p w14:paraId="02952E20" w14:textId="35211100" w:rsidR="00003363" w:rsidRPr="00D953BF" w:rsidRDefault="00817CD4" w:rsidP="00003363">
      <w:pPr>
        <w:jc w:val="center"/>
        <w:rPr>
          <w:b/>
          <w:bCs/>
          <w:sz w:val="28"/>
          <w:szCs w:val="28"/>
        </w:rPr>
      </w:pPr>
      <w:r w:rsidRPr="00D953BF">
        <w:rPr>
          <w:noProof/>
          <w:lang w:val="en-ZA" w:eastAsia="en-ZA"/>
        </w:rPr>
        <w:drawing>
          <wp:anchor distT="0" distB="0" distL="114300" distR="114300" simplePos="0" relativeHeight="251659776" behindDoc="0" locked="0" layoutInCell="1" allowOverlap="1" wp14:anchorId="0CDD6908" wp14:editId="41077F27">
            <wp:simplePos x="0" y="0"/>
            <wp:positionH relativeFrom="page">
              <wp:align>center</wp:align>
            </wp:positionH>
            <wp:positionV relativeFrom="paragraph">
              <wp:posOffset>-683895</wp:posOffset>
            </wp:positionV>
            <wp:extent cx="799200" cy="913371"/>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592F079F" w14:textId="77777777" w:rsidR="00003363" w:rsidRPr="00D953BF" w:rsidRDefault="00003363" w:rsidP="00003363">
      <w:pPr>
        <w:spacing w:line="360" w:lineRule="auto"/>
        <w:jc w:val="center"/>
        <w:rPr>
          <w:b/>
          <w:bCs/>
          <w:sz w:val="28"/>
          <w:szCs w:val="28"/>
        </w:rPr>
      </w:pPr>
    </w:p>
    <w:p w14:paraId="301733AE" w14:textId="77777777" w:rsidR="00003363" w:rsidRPr="00D953BF" w:rsidRDefault="00003363" w:rsidP="00003363">
      <w:pPr>
        <w:spacing w:line="360" w:lineRule="auto"/>
        <w:jc w:val="center"/>
        <w:rPr>
          <w:b/>
          <w:bCs/>
          <w:sz w:val="28"/>
          <w:szCs w:val="28"/>
        </w:rPr>
      </w:pPr>
      <w:r w:rsidRPr="00D953BF">
        <w:rPr>
          <w:b/>
          <w:bCs/>
          <w:sz w:val="28"/>
          <w:szCs w:val="28"/>
        </w:rPr>
        <w:t>THE SUPREME COURT OF APPEAL OF SOUTH AFRICA</w:t>
      </w:r>
    </w:p>
    <w:p w14:paraId="05265A95" w14:textId="77777777" w:rsidR="00003363" w:rsidRPr="00D953BF" w:rsidRDefault="00003363" w:rsidP="00003363">
      <w:pPr>
        <w:pStyle w:val="Heading3"/>
        <w:jc w:val="center"/>
        <w:rPr>
          <w:rFonts w:ascii="Times New Roman" w:hAnsi="Times New Roman" w:cs="Times New Roman"/>
          <w:b/>
          <w:i w:val="0"/>
          <w:szCs w:val="28"/>
        </w:rPr>
      </w:pPr>
      <w:r w:rsidRPr="00D953BF">
        <w:rPr>
          <w:rFonts w:ascii="Times New Roman" w:hAnsi="Times New Roman" w:cs="Times New Roman"/>
          <w:b/>
          <w:i w:val="0"/>
          <w:szCs w:val="28"/>
        </w:rPr>
        <w:t>JUDGMENT</w:t>
      </w:r>
    </w:p>
    <w:p w14:paraId="2B6DAB5F" w14:textId="1318B32C" w:rsidR="00003363" w:rsidRPr="00D953BF" w:rsidRDefault="00003363" w:rsidP="00003363">
      <w:pPr>
        <w:spacing w:line="360" w:lineRule="auto"/>
        <w:jc w:val="center"/>
        <w:rPr>
          <w:b/>
          <w:bCs/>
          <w:sz w:val="28"/>
          <w:szCs w:val="28"/>
        </w:rPr>
      </w:pPr>
    </w:p>
    <w:p w14:paraId="2954198E" w14:textId="111C15BF" w:rsidR="00003363" w:rsidRPr="00D953BF" w:rsidRDefault="00003363" w:rsidP="00003363">
      <w:pPr>
        <w:spacing w:line="360" w:lineRule="auto"/>
        <w:jc w:val="right"/>
        <w:rPr>
          <w:b/>
          <w:sz w:val="28"/>
          <w:szCs w:val="28"/>
        </w:rPr>
      </w:pPr>
      <w:r w:rsidRPr="00D953BF">
        <w:rPr>
          <w:b/>
          <w:sz w:val="28"/>
          <w:szCs w:val="28"/>
        </w:rPr>
        <w:t>Not Reportable</w:t>
      </w:r>
    </w:p>
    <w:p w14:paraId="1A651F5A" w14:textId="469C28F6" w:rsidR="00003363" w:rsidRPr="00D953BF" w:rsidRDefault="00003363" w:rsidP="00003363">
      <w:pPr>
        <w:spacing w:line="360" w:lineRule="auto"/>
        <w:jc w:val="right"/>
        <w:rPr>
          <w:sz w:val="28"/>
          <w:szCs w:val="28"/>
        </w:rPr>
      </w:pPr>
      <w:r w:rsidRPr="00D953BF">
        <w:rPr>
          <w:sz w:val="28"/>
          <w:szCs w:val="28"/>
        </w:rPr>
        <w:t xml:space="preserve">Case no: </w:t>
      </w:r>
      <w:r w:rsidR="004474BF" w:rsidRPr="00D953BF">
        <w:rPr>
          <w:sz w:val="28"/>
          <w:szCs w:val="28"/>
        </w:rPr>
        <w:t>382</w:t>
      </w:r>
      <w:r w:rsidR="00595447" w:rsidRPr="00D953BF">
        <w:rPr>
          <w:sz w:val="28"/>
          <w:szCs w:val="28"/>
        </w:rPr>
        <w:t>/</w:t>
      </w:r>
      <w:r w:rsidR="00EF4F05" w:rsidRPr="00D953BF">
        <w:rPr>
          <w:sz w:val="28"/>
          <w:szCs w:val="28"/>
        </w:rPr>
        <w:t>20</w:t>
      </w:r>
      <w:r w:rsidR="004474BF" w:rsidRPr="00D953BF">
        <w:rPr>
          <w:sz w:val="28"/>
          <w:szCs w:val="28"/>
        </w:rPr>
        <w:t>2</w:t>
      </w:r>
      <w:r w:rsidR="00595447" w:rsidRPr="00D953BF">
        <w:rPr>
          <w:sz w:val="28"/>
          <w:szCs w:val="28"/>
        </w:rPr>
        <w:t>1</w:t>
      </w:r>
    </w:p>
    <w:p w14:paraId="34706D1A" w14:textId="57AA0ECB" w:rsidR="00003363" w:rsidRPr="00D953BF" w:rsidRDefault="0082193F" w:rsidP="0082193F">
      <w:pPr>
        <w:tabs>
          <w:tab w:val="left" w:pos="2520"/>
        </w:tabs>
        <w:spacing w:line="360" w:lineRule="auto"/>
        <w:jc w:val="both"/>
        <w:rPr>
          <w:sz w:val="28"/>
          <w:szCs w:val="28"/>
        </w:rPr>
      </w:pPr>
      <w:r w:rsidRPr="00D953BF">
        <w:rPr>
          <w:sz w:val="28"/>
          <w:szCs w:val="28"/>
        </w:rPr>
        <w:tab/>
      </w:r>
    </w:p>
    <w:p w14:paraId="58165B21" w14:textId="71708300" w:rsidR="00003363" w:rsidRPr="00D953BF" w:rsidRDefault="00003363" w:rsidP="0082193F">
      <w:pPr>
        <w:spacing w:line="276" w:lineRule="auto"/>
        <w:jc w:val="both"/>
        <w:rPr>
          <w:sz w:val="28"/>
          <w:szCs w:val="28"/>
        </w:rPr>
      </w:pPr>
      <w:r w:rsidRPr="00D953BF">
        <w:rPr>
          <w:sz w:val="28"/>
          <w:szCs w:val="28"/>
        </w:rPr>
        <w:t>In the matter between:</w:t>
      </w:r>
    </w:p>
    <w:p w14:paraId="045E885F" w14:textId="77777777" w:rsidR="00EF4F05" w:rsidRPr="00D953BF" w:rsidRDefault="00EF4F05" w:rsidP="0082193F">
      <w:pPr>
        <w:spacing w:line="276" w:lineRule="auto"/>
        <w:jc w:val="both"/>
        <w:rPr>
          <w:sz w:val="28"/>
          <w:szCs w:val="28"/>
        </w:rPr>
      </w:pPr>
    </w:p>
    <w:p w14:paraId="6CB2F546" w14:textId="6F2765F2" w:rsidR="00003363" w:rsidRPr="00D953BF" w:rsidRDefault="004474BF" w:rsidP="0082193F">
      <w:pPr>
        <w:spacing w:line="276" w:lineRule="auto"/>
        <w:jc w:val="both"/>
        <w:rPr>
          <w:b/>
          <w:sz w:val="28"/>
          <w:szCs w:val="28"/>
        </w:rPr>
      </w:pPr>
      <w:r w:rsidRPr="00D953BF">
        <w:rPr>
          <w:b/>
          <w:bCs/>
          <w:sz w:val="28"/>
          <w:szCs w:val="28"/>
        </w:rPr>
        <w:t>NATIONAL CREDIT REGULATOR</w:t>
      </w:r>
      <w:r w:rsidR="001D3864" w:rsidRPr="00D953BF">
        <w:rPr>
          <w:b/>
          <w:bCs/>
          <w:sz w:val="28"/>
          <w:szCs w:val="28"/>
        </w:rPr>
        <w:t xml:space="preserve"> </w:t>
      </w:r>
      <w:r w:rsidRPr="00D953BF">
        <w:rPr>
          <w:b/>
          <w:bCs/>
          <w:sz w:val="28"/>
          <w:szCs w:val="28"/>
        </w:rPr>
        <w:tab/>
      </w:r>
      <w:r w:rsidRPr="00D953BF">
        <w:rPr>
          <w:b/>
          <w:bCs/>
          <w:sz w:val="28"/>
          <w:szCs w:val="28"/>
        </w:rPr>
        <w:tab/>
      </w:r>
      <w:r w:rsidR="00E556CD" w:rsidRPr="00D953BF">
        <w:rPr>
          <w:b/>
          <w:bCs/>
          <w:sz w:val="28"/>
          <w:szCs w:val="28"/>
        </w:rPr>
        <w:t xml:space="preserve">      </w:t>
      </w:r>
      <w:r w:rsidR="00FE5D59" w:rsidRPr="00D953BF">
        <w:rPr>
          <w:b/>
          <w:bCs/>
          <w:sz w:val="28"/>
          <w:szCs w:val="28"/>
        </w:rPr>
        <w:t xml:space="preserve">          </w:t>
      </w:r>
      <w:r w:rsidR="00003363" w:rsidRPr="00D953BF">
        <w:rPr>
          <w:b/>
          <w:sz w:val="28"/>
          <w:szCs w:val="28"/>
        </w:rPr>
        <w:t>APPELLANT</w:t>
      </w:r>
    </w:p>
    <w:p w14:paraId="7FE40AE6" w14:textId="77777777" w:rsidR="00EF4F05" w:rsidRPr="00D953BF" w:rsidRDefault="00EF4F05" w:rsidP="0082193F">
      <w:pPr>
        <w:spacing w:line="276" w:lineRule="auto"/>
        <w:jc w:val="both"/>
        <w:rPr>
          <w:b/>
          <w:sz w:val="28"/>
          <w:szCs w:val="28"/>
        </w:rPr>
      </w:pPr>
    </w:p>
    <w:p w14:paraId="28787B0A" w14:textId="7662F87A" w:rsidR="00003363" w:rsidRPr="00D953BF" w:rsidRDefault="00003363" w:rsidP="0082193F">
      <w:pPr>
        <w:spacing w:line="276" w:lineRule="auto"/>
        <w:jc w:val="both"/>
        <w:rPr>
          <w:sz w:val="28"/>
          <w:szCs w:val="28"/>
        </w:rPr>
      </w:pPr>
      <w:r w:rsidRPr="00D953BF">
        <w:rPr>
          <w:sz w:val="28"/>
          <w:szCs w:val="28"/>
        </w:rPr>
        <w:t>and</w:t>
      </w:r>
    </w:p>
    <w:p w14:paraId="4DE351E9" w14:textId="77777777" w:rsidR="00EF4F05" w:rsidRPr="00D953BF" w:rsidRDefault="00EF4F05" w:rsidP="0082193F">
      <w:pPr>
        <w:spacing w:line="276" w:lineRule="auto"/>
        <w:jc w:val="both"/>
        <w:rPr>
          <w:sz w:val="28"/>
          <w:szCs w:val="28"/>
        </w:rPr>
      </w:pPr>
    </w:p>
    <w:p w14:paraId="335F657E" w14:textId="4E73882F" w:rsidR="004A492C" w:rsidRPr="00D953BF" w:rsidRDefault="00E556CD" w:rsidP="0082193F">
      <w:pPr>
        <w:spacing w:line="276" w:lineRule="auto"/>
        <w:jc w:val="both"/>
        <w:rPr>
          <w:b/>
          <w:bCs/>
          <w:sz w:val="28"/>
          <w:szCs w:val="28"/>
        </w:rPr>
      </w:pPr>
      <w:r w:rsidRPr="00D953BF">
        <w:rPr>
          <w:b/>
          <w:bCs/>
          <w:sz w:val="28"/>
          <w:szCs w:val="28"/>
        </w:rPr>
        <w:t>DACQUP FINANCES CC t</w:t>
      </w:r>
      <w:r w:rsidR="00FE5D59" w:rsidRPr="00D953BF">
        <w:rPr>
          <w:b/>
          <w:bCs/>
          <w:sz w:val="28"/>
          <w:szCs w:val="28"/>
        </w:rPr>
        <w:t xml:space="preserve">rading </w:t>
      </w:r>
      <w:r w:rsidRPr="00D953BF">
        <w:rPr>
          <w:b/>
          <w:bCs/>
          <w:sz w:val="28"/>
          <w:szCs w:val="28"/>
        </w:rPr>
        <w:t>a</w:t>
      </w:r>
      <w:r w:rsidR="00FE5D59" w:rsidRPr="00D953BF">
        <w:rPr>
          <w:b/>
          <w:bCs/>
          <w:sz w:val="28"/>
          <w:szCs w:val="28"/>
        </w:rPr>
        <w:t>s</w:t>
      </w:r>
      <w:r w:rsidR="004A492C" w:rsidRPr="00D953BF">
        <w:rPr>
          <w:b/>
          <w:bCs/>
          <w:sz w:val="28"/>
          <w:szCs w:val="28"/>
        </w:rPr>
        <w:t xml:space="preserve"> ABC </w:t>
      </w:r>
    </w:p>
    <w:p w14:paraId="3114E4CF" w14:textId="148906CB" w:rsidR="00003363" w:rsidRPr="00D953BF" w:rsidRDefault="00EE4065" w:rsidP="0082193F">
      <w:pPr>
        <w:spacing w:line="276" w:lineRule="auto"/>
        <w:jc w:val="both"/>
        <w:rPr>
          <w:b/>
          <w:sz w:val="28"/>
          <w:szCs w:val="28"/>
        </w:rPr>
      </w:pPr>
      <w:r w:rsidRPr="00D953BF">
        <w:rPr>
          <w:b/>
          <w:bCs/>
          <w:sz w:val="28"/>
          <w:szCs w:val="28"/>
        </w:rPr>
        <w:t xml:space="preserve">FINANCIAL SERVICES </w:t>
      </w:r>
      <w:r w:rsidRPr="00D953BF">
        <w:rPr>
          <w:b/>
          <w:sz w:val="28"/>
          <w:szCs w:val="28"/>
        </w:rPr>
        <w:t xml:space="preserve">– </w:t>
      </w:r>
      <w:r w:rsidR="004A492C" w:rsidRPr="00D953BF">
        <w:rPr>
          <w:b/>
          <w:bCs/>
          <w:sz w:val="28"/>
          <w:szCs w:val="28"/>
        </w:rPr>
        <w:t>PINETOWN</w:t>
      </w:r>
      <w:r w:rsidR="004A492C" w:rsidRPr="00D953BF">
        <w:rPr>
          <w:b/>
          <w:bCs/>
          <w:sz w:val="28"/>
          <w:szCs w:val="28"/>
        </w:rPr>
        <w:tab/>
      </w:r>
      <w:r w:rsidR="004A492C" w:rsidRPr="00D953BF">
        <w:rPr>
          <w:b/>
          <w:bCs/>
          <w:sz w:val="28"/>
          <w:szCs w:val="28"/>
        </w:rPr>
        <w:tab/>
      </w:r>
      <w:r w:rsidR="00FE5D59" w:rsidRPr="00D953BF">
        <w:rPr>
          <w:b/>
          <w:bCs/>
          <w:sz w:val="28"/>
          <w:szCs w:val="28"/>
        </w:rPr>
        <w:t xml:space="preserve"> </w:t>
      </w:r>
      <w:r w:rsidR="00003363" w:rsidRPr="00D953BF">
        <w:rPr>
          <w:b/>
          <w:bCs/>
          <w:sz w:val="28"/>
          <w:szCs w:val="28"/>
        </w:rPr>
        <w:t xml:space="preserve">FIRST </w:t>
      </w:r>
      <w:r w:rsidR="00003363" w:rsidRPr="00D953BF">
        <w:rPr>
          <w:b/>
          <w:sz w:val="28"/>
          <w:szCs w:val="28"/>
        </w:rPr>
        <w:t>RESPONDENT</w:t>
      </w:r>
    </w:p>
    <w:p w14:paraId="70FF4B60" w14:textId="77777777" w:rsidR="00EF4F05" w:rsidRPr="00D953BF" w:rsidRDefault="00EF4F05" w:rsidP="0082193F">
      <w:pPr>
        <w:spacing w:line="276" w:lineRule="auto"/>
        <w:jc w:val="both"/>
        <w:rPr>
          <w:b/>
          <w:sz w:val="28"/>
          <w:szCs w:val="28"/>
        </w:rPr>
      </w:pPr>
    </w:p>
    <w:p w14:paraId="586D047C" w14:textId="77777777" w:rsidR="00744058" w:rsidRPr="00D953BF" w:rsidRDefault="00744058" w:rsidP="0082193F">
      <w:pPr>
        <w:spacing w:line="276" w:lineRule="auto"/>
        <w:jc w:val="both"/>
        <w:rPr>
          <w:b/>
          <w:sz w:val="28"/>
          <w:szCs w:val="28"/>
        </w:rPr>
      </w:pPr>
      <w:r w:rsidRPr="00D953BF">
        <w:rPr>
          <w:b/>
          <w:sz w:val="28"/>
          <w:szCs w:val="28"/>
        </w:rPr>
        <w:t xml:space="preserve">THE NATIONAL CONSUMER </w:t>
      </w:r>
    </w:p>
    <w:p w14:paraId="099A9931" w14:textId="630A326E" w:rsidR="00003363" w:rsidRPr="00D953BF" w:rsidRDefault="00744058" w:rsidP="0082193F">
      <w:pPr>
        <w:spacing w:line="276" w:lineRule="auto"/>
        <w:jc w:val="both"/>
        <w:rPr>
          <w:b/>
          <w:sz w:val="28"/>
          <w:szCs w:val="28"/>
        </w:rPr>
      </w:pPr>
      <w:r w:rsidRPr="00D953BF">
        <w:rPr>
          <w:b/>
          <w:sz w:val="28"/>
          <w:szCs w:val="28"/>
        </w:rPr>
        <w:t>TRIBUNAL</w:t>
      </w:r>
      <w:r w:rsidRPr="00D953BF">
        <w:rPr>
          <w:b/>
          <w:sz w:val="28"/>
          <w:szCs w:val="28"/>
        </w:rPr>
        <w:tab/>
      </w:r>
      <w:r w:rsidRPr="00D953BF">
        <w:rPr>
          <w:b/>
          <w:sz w:val="28"/>
          <w:szCs w:val="28"/>
        </w:rPr>
        <w:tab/>
      </w:r>
      <w:r w:rsidRPr="00D953BF">
        <w:rPr>
          <w:b/>
          <w:sz w:val="28"/>
          <w:szCs w:val="28"/>
        </w:rPr>
        <w:tab/>
      </w:r>
      <w:r w:rsidRPr="00D953BF">
        <w:rPr>
          <w:b/>
          <w:sz w:val="28"/>
          <w:szCs w:val="28"/>
        </w:rPr>
        <w:tab/>
      </w:r>
      <w:r w:rsidRPr="00D953BF">
        <w:rPr>
          <w:b/>
          <w:sz w:val="28"/>
          <w:szCs w:val="28"/>
        </w:rPr>
        <w:tab/>
        <w:t xml:space="preserve">      </w:t>
      </w:r>
      <w:r w:rsidR="00003363" w:rsidRPr="00D953BF">
        <w:rPr>
          <w:b/>
          <w:sz w:val="28"/>
          <w:szCs w:val="28"/>
        </w:rPr>
        <w:t>SECOND RESPONDENT</w:t>
      </w:r>
    </w:p>
    <w:p w14:paraId="400ACD72" w14:textId="77777777" w:rsidR="00003363" w:rsidRPr="00D953BF" w:rsidRDefault="00003363" w:rsidP="00003363">
      <w:pPr>
        <w:pStyle w:val="FootnoteText"/>
        <w:spacing w:line="360" w:lineRule="auto"/>
        <w:rPr>
          <w:sz w:val="28"/>
          <w:szCs w:val="28"/>
        </w:rPr>
      </w:pPr>
    </w:p>
    <w:p w14:paraId="797874D6" w14:textId="0B318AFD" w:rsidR="00003363" w:rsidRPr="00D953BF" w:rsidRDefault="00003363" w:rsidP="00003363">
      <w:pPr>
        <w:spacing w:line="360" w:lineRule="auto"/>
        <w:ind w:left="2160" w:hanging="2160"/>
        <w:rPr>
          <w:sz w:val="28"/>
          <w:szCs w:val="28"/>
        </w:rPr>
      </w:pPr>
      <w:r w:rsidRPr="00D953BF">
        <w:rPr>
          <w:b/>
          <w:bCs/>
          <w:sz w:val="28"/>
          <w:szCs w:val="28"/>
        </w:rPr>
        <w:t>Neutral citation:</w:t>
      </w:r>
      <w:r w:rsidRPr="00D953BF">
        <w:rPr>
          <w:b/>
          <w:bCs/>
          <w:sz w:val="28"/>
          <w:szCs w:val="28"/>
        </w:rPr>
        <w:tab/>
      </w:r>
      <w:r w:rsidR="00A27B1A" w:rsidRPr="00D953BF">
        <w:rPr>
          <w:bCs/>
          <w:i/>
          <w:sz w:val="28"/>
          <w:szCs w:val="28"/>
        </w:rPr>
        <w:t>National Credit Regulator</w:t>
      </w:r>
      <w:r w:rsidR="00595447" w:rsidRPr="00D953BF">
        <w:rPr>
          <w:bCs/>
          <w:i/>
          <w:sz w:val="28"/>
          <w:szCs w:val="28"/>
        </w:rPr>
        <w:t xml:space="preserve"> v </w:t>
      </w:r>
      <w:r w:rsidR="002E4BF5" w:rsidRPr="00D953BF">
        <w:rPr>
          <w:bCs/>
          <w:i/>
          <w:sz w:val="28"/>
          <w:szCs w:val="28"/>
        </w:rPr>
        <w:t>Dacqup Finances</w:t>
      </w:r>
      <w:r w:rsidR="004841FA" w:rsidRPr="00D953BF">
        <w:rPr>
          <w:bCs/>
          <w:i/>
          <w:sz w:val="28"/>
          <w:szCs w:val="28"/>
        </w:rPr>
        <w:t xml:space="preserve"> CC</w:t>
      </w:r>
      <w:r w:rsidR="002E4BF5" w:rsidRPr="00D953BF">
        <w:rPr>
          <w:bCs/>
          <w:i/>
          <w:sz w:val="28"/>
          <w:szCs w:val="28"/>
        </w:rPr>
        <w:t xml:space="preserve"> </w:t>
      </w:r>
      <w:r w:rsidR="00AA05B0" w:rsidRPr="00D953BF">
        <w:rPr>
          <w:bCs/>
          <w:i/>
          <w:sz w:val="28"/>
          <w:szCs w:val="28"/>
        </w:rPr>
        <w:t xml:space="preserve">trading as </w:t>
      </w:r>
      <w:r w:rsidR="00EE4065" w:rsidRPr="00D953BF">
        <w:rPr>
          <w:bCs/>
          <w:i/>
          <w:sz w:val="28"/>
          <w:szCs w:val="28"/>
        </w:rPr>
        <w:t>ABC Financial Services</w:t>
      </w:r>
      <w:r w:rsidR="00EE4065" w:rsidRPr="00D953BF">
        <w:rPr>
          <w:sz w:val="28"/>
          <w:szCs w:val="28"/>
        </w:rPr>
        <w:t xml:space="preserve"> – </w:t>
      </w:r>
      <w:r w:rsidR="002E4BF5" w:rsidRPr="00D953BF">
        <w:rPr>
          <w:bCs/>
          <w:i/>
          <w:sz w:val="28"/>
          <w:szCs w:val="28"/>
        </w:rPr>
        <w:t xml:space="preserve">Pinetown </w:t>
      </w:r>
      <w:r w:rsidR="00D06059" w:rsidRPr="00D953BF">
        <w:rPr>
          <w:bCs/>
          <w:i/>
          <w:sz w:val="28"/>
          <w:szCs w:val="28"/>
        </w:rPr>
        <w:t>and</w:t>
      </w:r>
      <w:r w:rsidR="002E4BF5" w:rsidRPr="00D953BF">
        <w:rPr>
          <w:bCs/>
          <w:i/>
          <w:sz w:val="28"/>
          <w:szCs w:val="28"/>
        </w:rPr>
        <w:t xml:space="preserve"> Anot</w:t>
      </w:r>
      <w:r w:rsidR="00595447" w:rsidRPr="00D953BF">
        <w:rPr>
          <w:bCs/>
          <w:i/>
          <w:sz w:val="28"/>
          <w:szCs w:val="28"/>
        </w:rPr>
        <w:t xml:space="preserve">her </w:t>
      </w:r>
      <w:r w:rsidR="00595447" w:rsidRPr="00D953BF">
        <w:rPr>
          <w:bCs/>
          <w:sz w:val="28"/>
          <w:szCs w:val="28"/>
        </w:rPr>
        <w:t>(</w:t>
      </w:r>
      <w:r w:rsidR="00283A1F" w:rsidRPr="00D953BF">
        <w:rPr>
          <w:bCs/>
          <w:sz w:val="28"/>
          <w:szCs w:val="28"/>
        </w:rPr>
        <w:t>382</w:t>
      </w:r>
      <w:r w:rsidR="00595447" w:rsidRPr="00D953BF">
        <w:rPr>
          <w:bCs/>
          <w:sz w:val="28"/>
          <w:szCs w:val="28"/>
        </w:rPr>
        <w:t>/</w:t>
      </w:r>
      <w:r w:rsidR="00283A1F" w:rsidRPr="00D953BF">
        <w:rPr>
          <w:bCs/>
          <w:sz w:val="28"/>
          <w:szCs w:val="28"/>
        </w:rPr>
        <w:t>2</w:t>
      </w:r>
      <w:r w:rsidR="00595447" w:rsidRPr="00D953BF">
        <w:rPr>
          <w:bCs/>
          <w:sz w:val="28"/>
          <w:szCs w:val="28"/>
        </w:rPr>
        <w:t>1)</w:t>
      </w:r>
      <w:r w:rsidR="00D06059" w:rsidRPr="00D953BF">
        <w:rPr>
          <w:bCs/>
          <w:sz w:val="28"/>
          <w:szCs w:val="28"/>
        </w:rPr>
        <w:t xml:space="preserve"> </w:t>
      </w:r>
      <w:r w:rsidR="00595447" w:rsidRPr="00D953BF">
        <w:rPr>
          <w:bCs/>
          <w:sz w:val="28"/>
          <w:szCs w:val="28"/>
        </w:rPr>
        <w:t>[20</w:t>
      </w:r>
      <w:r w:rsidR="00283A1F" w:rsidRPr="00D953BF">
        <w:rPr>
          <w:bCs/>
          <w:sz w:val="28"/>
          <w:szCs w:val="28"/>
        </w:rPr>
        <w:t xml:space="preserve">22] ZASCA </w:t>
      </w:r>
      <w:r w:rsidR="00D953BF" w:rsidRPr="00D953BF">
        <w:rPr>
          <w:bCs/>
          <w:sz w:val="28"/>
          <w:szCs w:val="28"/>
        </w:rPr>
        <w:t>104</w:t>
      </w:r>
      <w:r w:rsidR="00595447" w:rsidRPr="00D953BF">
        <w:rPr>
          <w:bCs/>
          <w:sz w:val="28"/>
          <w:szCs w:val="28"/>
        </w:rPr>
        <w:t xml:space="preserve"> </w:t>
      </w:r>
      <w:r w:rsidR="00721196" w:rsidRPr="00D953BF">
        <w:rPr>
          <w:bCs/>
          <w:sz w:val="28"/>
          <w:szCs w:val="28"/>
        </w:rPr>
        <w:t>(</w:t>
      </w:r>
      <w:r w:rsidR="00D953BF" w:rsidRPr="00D953BF">
        <w:rPr>
          <w:bCs/>
          <w:sz w:val="28"/>
          <w:szCs w:val="28"/>
        </w:rPr>
        <w:t>24</w:t>
      </w:r>
      <w:r w:rsidR="00283A1F" w:rsidRPr="00D953BF">
        <w:rPr>
          <w:bCs/>
          <w:sz w:val="28"/>
          <w:szCs w:val="28"/>
        </w:rPr>
        <w:t xml:space="preserve"> </w:t>
      </w:r>
      <w:r w:rsidR="00B86E84" w:rsidRPr="00D953BF">
        <w:rPr>
          <w:bCs/>
          <w:sz w:val="28"/>
          <w:szCs w:val="28"/>
        </w:rPr>
        <w:t>June</w:t>
      </w:r>
      <w:r w:rsidR="00283A1F" w:rsidRPr="00D953BF">
        <w:rPr>
          <w:bCs/>
          <w:sz w:val="28"/>
          <w:szCs w:val="28"/>
        </w:rPr>
        <w:t xml:space="preserve"> 2022</w:t>
      </w:r>
      <w:r w:rsidR="00595447" w:rsidRPr="00D953BF">
        <w:rPr>
          <w:bCs/>
          <w:sz w:val="28"/>
          <w:szCs w:val="28"/>
        </w:rPr>
        <w:t>)</w:t>
      </w:r>
    </w:p>
    <w:p w14:paraId="1D274190" w14:textId="5007B621" w:rsidR="00003363" w:rsidRPr="00D953BF" w:rsidRDefault="00003363" w:rsidP="00721196">
      <w:pPr>
        <w:spacing w:line="360" w:lineRule="auto"/>
        <w:ind w:left="1440" w:hanging="1440"/>
        <w:jc w:val="both"/>
        <w:rPr>
          <w:b/>
          <w:bCs/>
          <w:i/>
          <w:iCs/>
          <w:sz w:val="28"/>
          <w:szCs w:val="28"/>
        </w:rPr>
      </w:pPr>
      <w:r w:rsidRPr="00D953BF">
        <w:rPr>
          <w:b/>
          <w:bCs/>
          <w:sz w:val="28"/>
          <w:szCs w:val="28"/>
        </w:rPr>
        <w:t>Coram:</w:t>
      </w:r>
      <w:r w:rsidRPr="00D953BF">
        <w:rPr>
          <w:sz w:val="28"/>
          <w:szCs w:val="28"/>
        </w:rPr>
        <w:tab/>
      </w:r>
      <w:r w:rsidR="00721196" w:rsidRPr="00D953BF">
        <w:rPr>
          <w:sz w:val="28"/>
          <w:szCs w:val="28"/>
        </w:rPr>
        <w:t>MA</w:t>
      </w:r>
      <w:r w:rsidR="00F62F9F" w:rsidRPr="00D953BF">
        <w:rPr>
          <w:sz w:val="28"/>
          <w:szCs w:val="28"/>
        </w:rPr>
        <w:t>KGOKA</w:t>
      </w:r>
      <w:r w:rsidR="00721196" w:rsidRPr="00D953BF">
        <w:rPr>
          <w:sz w:val="28"/>
          <w:szCs w:val="28"/>
        </w:rPr>
        <w:t>,</w:t>
      </w:r>
      <w:r w:rsidR="00F62F9F" w:rsidRPr="00D953BF">
        <w:rPr>
          <w:sz w:val="28"/>
          <w:szCs w:val="28"/>
        </w:rPr>
        <w:t xml:space="preserve"> NICHOLLS </w:t>
      </w:r>
      <w:r w:rsidR="00721196" w:rsidRPr="00D953BF">
        <w:rPr>
          <w:sz w:val="28"/>
          <w:szCs w:val="28"/>
        </w:rPr>
        <w:t xml:space="preserve">and </w:t>
      </w:r>
      <w:r w:rsidR="00FA4E2A" w:rsidRPr="00D953BF">
        <w:rPr>
          <w:sz w:val="28"/>
          <w:szCs w:val="28"/>
        </w:rPr>
        <w:t>GORVEN</w:t>
      </w:r>
      <w:r w:rsidR="00721196" w:rsidRPr="00D953BF">
        <w:rPr>
          <w:sz w:val="28"/>
          <w:szCs w:val="28"/>
        </w:rPr>
        <w:t xml:space="preserve"> JJA</w:t>
      </w:r>
      <w:r w:rsidR="00FA4E2A" w:rsidRPr="00D953BF">
        <w:rPr>
          <w:sz w:val="28"/>
          <w:szCs w:val="28"/>
        </w:rPr>
        <w:t xml:space="preserve"> and PHATSHOANE and SAVAGE AJJA</w:t>
      </w:r>
    </w:p>
    <w:p w14:paraId="060AE2B2" w14:textId="67B3B9C4" w:rsidR="00003363" w:rsidRPr="00D953BF" w:rsidRDefault="00003363" w:rsidP="00003363">
      <w:pPr>
        <w:spacing w:line="360" w:lineRule="auto"/>
        <w:rPr>
          <w:b/>
          <w:bCs/>
          <w:sz w:val="28"/>
          <w:szCs w:val="28"/>
        </w:rPr>
      </w:pPr>
      <w:r w:rsidRPr="00D953BF">
        <w:rPr>
          <w:b/>
          <w:bCs/>
          <w:sz w:val="28"/>
          <w:szCs w:val="28"/>
        </w:rPr>
        <w:t>Heard</w:t>
      </w:r>
      <w:r w:rsidRPr="00D953BF">
        <w:rPr>
          <w:b/>
          <w:sz w:val="28"/>
          <w:szCs w:val="28"/>
        </w:rPr>
        <w:t>:</w:t>
      </w:r>
      <w:r w:rsidRPr="00D953BF">
        <w:rPr>
          <w:sz w:val="28"/>
          <w:szCs w:val="28"/>
        </w:rPr>
        <w:tab/>
      </w:r>
      <w:r w:rsidR="00A27B1A" w:rsidRPr="00D953BF">
        <w:rPr>
          <w:sz w:val="28"/>
          <w:szCs w:val="28"/>
        </w:rPr>
        <w:t>25 May 2022</w:t>
      </w:r>
      <w:r w:rsidRPr="00D953BF">
        <w:rPr>
          <w:sz w:val="28"/>
          <w:szCs w:val="28"/>
        </w:rPr>
        <w:t xml:space="preserve"> </w:t>
      </w:r>
    </w:p>
    <w:p w14:paraId="6AA76EAC" w14:textId="47325271" w:rsidR="00003363" w:rsidRPr="00D953BF" w:rsidRDefault="00003363" w:rsidP="00003363">
      <w:pPr>
        <w:spacing w:line="360" w:lineRule="auto"/>
        <w:rPr>
          <w:b/>
          <w:bCs/>
          <w:sz w:val="28"/>
          <w:szCs w:val="28"/>
        </w:rPr>
      </w:pPr>
      <w:r w:rsidRPr="00D953BF">
        <w:rPr>
          <w:b/>
          <w:bCs/>
          <w:sz w:val="28"/>
          <w:szCs w:val="28"/>
        </w:rPr>
        <w:t>Delivered</w:t>
      </w:r>
      <w:r w:rsidRPr="00D953BF">
        <w:rPr>
          <w:b/>
          <w:sz w:val="28"/>
          <w:szCs w:val="28"/>
        </w:rPr>
        <w:t>:</w:t>
      </w:r>
      <w:r w:rsidRPr="00D953BF">
        <w:rPr>
          <w:sz w:val="28"/>
          <w:szCs w:val="28"/>
        </w:rPr>
        <w:tab/>
      </w:r>
      <w:r w:rsidR="00D953BF" w:rsidRPr="00D953BF">
        <w:rPr>
          <w:sz w:val="28"/>
          <w:szCs w:val="28"/>
        </w:rPr>
        <w:t>24</w:t>
      </w:r>
      <w:r w:rsidR="00A27B1A" w:rsidRPr="00D953BF">
        <w:rPr>
          <w:sz w:val="28"/>
          <w:szCs w:val="28"/>
        </w:rPr>
        <w:t xml:space="preserve"> </w:t>
      </w:r>
      <w:r w:rsidR="00AA05B0" w:rsidRPr="00D953BF">
        <w:rPr>
          <w:sz w:val="28"/>
          <w:szCs w:val="28"/>
        </w:rPr>
        <w:t xml:space="preserve">June </w:t>
      </w:r>
      <w:r w:rsidR="00A27B1A" w:rsidRPr="00D953BF">
        <w:rPr>
          <w:sz w:val="28"/>
          <w:szCs w:val="28"/>
        </w:rPr>
        <w:t>2022</w:t>
      </w:r>
    </w:p>
    <w:p w14:paraId="25EECF48" w14:textId="57729318" w:rsidR="00003363" w:rsidRPr="00D953BF" w:rsidRDefault="00003363" w:rsidP="003A1434">
      <w:pPr>
        <w:spacing w:line="360" w:lineRule="auto"/>
        <w:jc w:val="both"/>
        <w:rPr>
          <w:b/>
          <w:bCs/>
          <w:sz w:val="28"/>
          <w:szCs w:val="28"/>
        </w:rPr>
        <w:sectPr w:rsidR="00003363" w:rsidRPr="00D953BF" w:rsidSect="007C6735">
          <w:headerReference w:type="even" r:id="rId9"/>
          <w:headerReference w:type="default" r:id="rId10"/>
          <w:headerReference w:type="first" r:id="rId11"/>
          <w:pgSz w:w="12240" w:h="15840"/>
          <w:pgMar w:top="1440" w:right="1800" w:bottom="1440" w:left="1800" w:header="720" w:footer="720" w:gutter="0"/>
          <w:cols w:space="720"/>
          <w:titlePg/>
          <w:docGrid w:linePitch="360"/>
        </w:sectPr>
      </w:pPr>
      <w:r w:rsidRPr="00D953BF">
        <w:rPr>
          <w:b/>
          <w:bCs/>
          <w:sz w:val="28"/>
          <w:szCs w:val="28"/>
        </w:rPr>
        <w:lastRenderedPageBreak/>
        <w:t xml:space="preserve">Summary: </w:t>
      </w:r>
      <w:r w:rsidR="00DC256C" w:rsidRPr="00D953BF">
        <w:rPr>
          <w:sz w:val="28"/>
          <w:szCs w:val="28"/>
        </w:rPr>
        <w:t>Nation</w:t>
      </w:r>
      <w:r w:rsidR="00F34420" w:rsidRPr="00D953BF">
        <w:rPr>
          <w:sz w:val="28"/>
          <w:szCs w:val="28"/>
        </w:rPr>
        <w:t>al</w:t>
      </w:r>
      <w:r w:rsidR="00DC256C" w:rsidRPr="00D953BF">
        <w:rPr>
          <w:sz w:val="28"/>
          <w:szCs w:val="28"/>
        </w:rPr>
        <w:t xml:space="preserve"> Credit Act 34 of 2005 (the NCA)</w:t>
      </w:r>
      <w:r w:rsidR="00CD1370" w:rsidRPr="00D953BF">
        <w:rPr>
          <w:sz w:val="28"/>
          <w:szCs w:val="28"/>
        </w:rPr>
        <w:t xml:space="preserve"> – </w:t>
      </w:r>
      <w:r w:rsidR="00DC256C" w:rsidRPr="00D953BF">
        <w:rPr>
          <w:sz w:val="28"/>
          <w:szCs w:val="28"/>
        </w:rPr>
        <w:t xml:space="preserve">what constitutes reasonable suspicion </w:t>
      </w:r>
      <w:r w:rsidR="003A1434" w:rsidRPr="00D953BF">
        <w:rPr>
          <w:sz w:val="28"/>
          <w:szCs w:val="28"/>
        </w:rPr>
        <w:t>for National Credit Regulator to</w:t>
      </w:r>
      <w:r w:rsidR="00DC256C" w:rsidRPr="00D953BF">
        <w:rPr>
          <w:sz w:val="28"/>
          <w:szCs w:val="28"/>
        </w:rPr>
        <w:t xml:space="preserve"> initiate a complaint </w:t>
      </w:r>
      <w:r w:rsidR="007A3FBA" w:rsidRPr="00D953BF">
        <w:rPr>
          <w:sz w:val="28"/>
          <w:szCs w:val="28"/>
        </w:rPr>
        <w:t>in terms of s </w:t>
      </w:r>
      <w:r w:rsidR="003A1434" w:rsidRPr="00D953BF">
        <w:rPr>
          <w:sz w:val="28"/>
          <w:szCs w:val="28"/>
        </w:rPr>
        <w:t>136 of</w:t>
      </w:r>
      <w:r w:rsidR="007A3FBA" w:rsidRPr="00D953BF">
        <w:rPr>
          <w:sz w:val="28"/>
          <w:szCs w:val="28"/>
        </w:rPr>
        <w:t xml:space="preserve"> the</w:t>
      </w:r>
      <w:r w:rsidR="003A1434" w:rsidRPr="00D953BF">
        <w:rPr>
          <w:sz w:val="28"/>
          <w:szCs w:val="28"/>
        </w:rPr>
        <w:t xml:space="preserve"> NCA</w:t>
      </w:r>
      <w:r w:rsidR="00DC256C" w:rsidRPr="00D953BF">
        <w:rPr>
          <w:sz w:val="28"/>
          <w:szCs w:val="28"/>
        </w:rPr>
        <w:t xml:space="preserve"> </w:t>
      </w:r>
      <w:r w:rsidR="00F34420" w:rsidRPr="00D953BF">
        <w:rPr>
          <w:sz w:val="28"/>
          <w:szCs w:val="28"/>
        </w:rPr>
        <w:t>–</w:t>
      </w:r>
      <w:r w:rsidR="00DC256C" w:rsidRPr="00D953BF">
        <w:rPr>
          <w:sz w:val="28"/>
          <w:szCs w:val="28"/>
        </w:rPr>
        <w:t xml:space="preserve"> </w:t>
      </w:r>
      <w:r w:rsidR="00F34420" w:rsidRPr="00D953BF">
        <w:rPr>
          <w:sz w:val="28"/>
          <w:szCs w:val="28"/>
        </w:rPr>
        <w:t>competen</w:t>
      </w:r>
      <w:r w:rsidR="000D58E1" w:rsidRPr="00D953BF">
        <w:rPr>
          <w:sz w:val="28"/>
          <w:szCs w:val="28"/>
        </w:rPr>
        <w:t>ce</w:t>
      </w:r>
      <w:r w:rsidR="00F34420" w:rsidRPr="00D953BF">
        <w:rPr>
          <w:sz w:val="28"/>
          <w:szCs w:val="28"/>
        </w:rPr>
        <w:t xml:space="preserve"> </w:t>
      </w:r>
      <w:r w:rsidR="000D58E1" w:rsidRPr="00D953BF">
        <w:rPr>
          <w:sz w:val="28"/>
          <w:szCs w:val="28"/>
        </w:rPr>
        <w:t>of</w:t>
      </w:r>
      <w:r w:rsidR="00F34420" w:rsidRPr="00D953BF">
        <w:rPr>
          <w:sz w:val="28"/>
          <w:szCs w:val="28"/>
        </w:rPr>
        <w:t xml:space="preserve"> </w:t>
      </w:r>
      <w:r w:rsidR="003A1434" w:rsidRPr="00D953BF">
        <w:rPr>
          <w:sz w:val="28"/>
          <w:szCs w:val="28"/>
        </w:rPr>
        <w:t>National Consumer Tribunal (the</w:t>
      </w:r>
      <w:r w:rsidR="00574B30" w:rsidRPr="00D953BF">
        <w:rPr>
          <w:sz w:val="28"/>
          <w:szCs w:val="28"/>
        </w:rPr>
        <w:t> </w:t>
      </w:r>
      <w:r w:rsidR="00F34420" w:rsidRPr="00D953BF">
        <w:rPr>
          <w:sz w:val="28"/>
          <w:szCs w:val="28"/>
        </w:rPr>
        <w:t>Tribunal</w:t>
      </w:r>
      <w:r w:rsidR="003A1434" w:rsidRPr="00D953BF">
        <w:rPr>
          <w:sz w:val="28"/>
          <w:szCs w:val="28"/>
        </w:rPr>
        <w:t>)</w:t>
      </w:r>
      <w:r w:rsidR="00F34420" w:rsidRPr="00D953BF">
        <w:rPr>
          <w:sz w:val="28"/>
          <w:szCs w:val="28"/>
        </w:rPr>
        <w:t xml:space="preserve"> to order the appointment of an independent auditor to assess extent of </w:t>
      </w:r>
      <w:r w:rsidR="00574B30" w:rsidRPr="00D953BF">
        <w:rPr>
          <w:sz w:val="28"/>
          <w:szCs w:val="28"/>
        </w:rPr>
        <w:t>first respondent</w:t>
      </w:r>
      <w:r w:rsidR="003B4050" w:rsidRPr="00D953BF">
        <w:rPr>
          <w:sz w:val="28"/>
          <w:szCs w:val="28"/>
        </w:rPr>
        <w:t>’</w:t>
      </w:r>
      <w:r w:rsidR="00F34420" w:rsidRPr="00D953BF">
        <w:rPr>
          <w:sz w:val="28"/>
          <w:szCs w:val="28"/>
        </w:rPr>
        <w:t xml:space="preserve">s overcharging </w:t>
      </w:r>
      <w:r w:rsidR="00CD1370" w:rsidRPr="00D953BF">
        <w:rPr>
          <w:sz w:val="28"/>
          <w:szCs w:val="28"/>
        </w:rPr>
        <w:t>–</w:t>
      </w:r>
      <w:r w:rsidR="00F34420" w:rsidRPr="00D953BF">
        <w:rPr>
          <w:sz w:val="28"/>
          <w:szCs w:val="28"/>
        </w:rPr>
        <w:t xml:space="preserve"> appeal </w:t>
      </w:r>
      <w:r w:rsidR="003A1434" w:rsidRPr="00D953BF">
        <w:rPr>
          <w:sz w:val="28"/>
          <w:szCs w:val="28"/>
        </w:rPr>
        <w:t xml:space="preserve">upheld – order of </w:t>
      </w:r>
      <w:r w:rsidR="00CD1370" w:rsidRPr="00D953BF">
        <w:rPr>
          <w:sz w:val="28"/>
          <w:szCs w:val="28"/>
        </w:rPr>
        <w:t xml:space="preserve">the </w:t>
      </w:r>
      <w:r w:rsidR="003A1434" w:rsidRPr="00D953BF">
        <w:rPr>
          <w:sz w:val="28"/>
          <w:szCs w:val="28"/>
        </w:rPr>
        <w:t xml:space="preserve">Tribunal reinstated. </w:t>
      </w:r>
      <w:r w:rsidR="00F34420" w:rsidRPr="00D953BF">
        <w:rPr>
          <w:sz w:val="28"/>
          <w:szCs w:val="28"/>
        </w:rPr>
        <w:t xml:space="preserve">  </w:t>
      </w:r>
      <w:bookmarkStart w:id="0" w:name="_GoBack"/>
      <w:bookmarkEnd w:id="0"/>
    </w:p>
    <w:p w14:paraId="5BC81D55" w14:textId="1E952E87" w:rsidR="002C5A84" w:rsidRPr="00D953BF" w:rsidRDefault="002C5A84" w:rsidP="002C5A84">
      <w:pPr>
        <w:spacing w:line="480" w:lineRule="auto"/>
        <w:jc w:val="both"/>
        <w:rPr>
          <w:bCs/>
          <w:sz w:val="28"/>
          <w:szCs w:val="28"/>
        </w:rPr>
      </w:pPr>
      <w:r w:rsidRPr="00D953BF">
        <w:rPr>
          <w:bCs/>
          <w:sz w:val="28"/>
          <w:szCs w:val="28"/>
        </w:rPr>
        <w:lastRenderedPageBreak/>
        <w:t>_____________________________________________________________</w:t>
      </w:r>
    </w:p>
    <w:p w14:paraId="271A38F8" w14:textId="77777777" w:rsidR="002C5A84" w:rsidRPr="00D953BF" w:rsidRDefault="002C5A84" w:rsidP="002C5A84">
      <w:pPr>
        <w:tabs>
          <w:tab w:val="right" w:pos="8197"/>
        </w:tabs>
        <w:ind w:left="720" w:right="26" w:hanging="720"/>
        <w:jc w:val="center"/>
        <w:rPr>
          <w:b/>
          <w:bCs/>
          <w:sz w:val="28"/>
          <w:szCs w:val="28"/>
        </w:rPr>
      </w:pPr>
      <w:r w:rsidRPr="00D953BF">
        <w:rPr>
          <w:b/>
          <w:bCs/>
          <w:sz w:val="28"/>
          <w:szCs w:val="28"/>
        </w:rPr>
        <w:t>ORDER</w:t>
      </w:r>
    </w:p>
    <w:p w14:paraId="34085BEF" w14:textId="558485D1" w:rsidR="002C5A84" w:rsidRPr="00D953BF" w:rsidRDefault="002C5A84" w:rsidP="002C5A84">
      <w:pPr>
        <w:ind w:right="26"/>
        <w:jc w:val="both"/>
        <w:rPr>
          <w:bCs/>
          <w:sz w:val="28"/>
          <w:szCs w:val="28"/>
        </w:rPr>
      </w:pPr>
      <w:r w:rsidRPr="00D953BF">
        <w:rPr>
          <w:bCs/>
          <w:sz w:val="28"/>
          <w:szCs w:val="28"/>
        </w:rPr>
        <w:t>_____________________________________________________________</w:t>
      </w:r>
    </w:p>
    <w:p w14:paraId="3E0D8F3A" w14:textId="77777777" w:rsidR="00460C89" w:rsidRPr="00D953BF" w:rsidRDefault="00460C89" w:rsidP="00460C89">
      <w:pPr>
        <w:spacing w:line="360" w:lineRule="auto"/>
        <w:jc w:val="both"/>
        <w:rPr>
          <w:b/>
          <w:bCs/>
          <w:szCs w:val="28"/>
        </w:rPr>
      </w:pPr>
    </w:p>
    <w:p w14:paraId="136B9E00" w14:textId="0587F6E1" w:rsidR="00003363" w:rsidRPr="00D953BF" w:rsidRDefault="00003363" w:rsidP="004B1F2B">
      <w:pPr>
        <w:spacing w:line="360" w:lineRule="auto"/>
        <w:jc w:val="both"/>
        <w:rPr>
          <w:bCs/>
          <w:sz w:val="28"/>
          <w:szCs w:val="28"/>
        </w:rPr>
      </w:pPr>
      <w:r w:rsidRPr="00D953BF">
        <w:rPr>
          <w:b/>
          <w:bCs/>
          <w:sz w:val="28"/>
          <w:szCs w:val="28"/>
        </w:rPr>
        <w:t xml:space="preserve">On appeal from: </w:t>
      </w:r>
      <w:r w:rsidR="00FC13B7" w:rsidRPr="00D953BF">
        <w:rPr>
          <w:bCs/>
          <w:sz w:val="28"/>
          <w:szCs w:val="28"/>
        </w:rPr>
        <w:t>Gauteng</w:t>
      </w:r>
      <w:r w:rsidR="00595447" w:rsidRPr="00D953BF">
        <w:rPr>
          <w:bCs/>
          <w:sz w:val="28"/>
          <w:szCs w:val="28"/>
        </w:rPr>
        <w:t xml:space="preserve"> Division of the High Court, </w:t>
      </w:r>
      <w:r w:rsidR="00FC13B7" w:rsidRPr="00D953BF">
        <w:rPr>
          <w:bCs/>
          <w:sz w:val="28"/>
          <w:szCs w:val="28"/>
        </w:rPr>
        <w:t>Pretoria</w:t>
      </w:r>
      <w:r w:rsidR="00595447" w:rsidRPr="00D953BF">
        <w:rPr>
          <w:bCs/>
          <w:sz w:val="28"/>
          <w:szCs w:val="28"/>
        </w:rPr>
        <w:t xml:space="preserve"> (</w:t>
      </w:r>
      <w:r w:rsidR="00FC13B7" w:rsidRPr="00D953BF">
        <w:rPr>
          <w:bCs/>
          <w:sz w:val="28"/>
          <w:szCs w:val="28"/>
        </w:rPr>
        <w:t>Neukircher</w:t>
      </w:r>
      <w:r w:rsidR="00265036" w:rsidRPr="00D953BF">
        <w:rPr>
          <w:bCs/>
          <w:sz w:val="28"/>
          <w:szCs w:val="28"/>
        </w:rPr>
        <w:t> </w:t>
      </w:r>
      <w:r w:rsidR="004F56AC" w:rsidRPr="00D953BF">
        <w:rPr>
          <w:bCs/>
          <w:sz w:val="28"/>
          <w:szCs w:val="28"/>
        </w:rPr>
        <w:t>and</w:t>
      </w:r>
      <w:r w:rsidR="007C2FF4" w:rsidRPr="00D953BF">
        <w:rPr>
          <w:bCs/>
          <w:sz w:val="28"/>
          <w:szCs w:val="28"/>
        </w:rPr>
        <w:t xml:space="preserve"> Teffo </w:t>
      </w:r>
      <w:r w:rsidR="00FE5D59" w:rsidRPr="00D953BF">
        <w:rPr>
          <w:bCs/>
          <w:sz w:val="28"/>
          <w:szCs w:val="28"/>
        </w:rPr>
        <w:t>J</w:t>
      </w:r>
      <w:r w:rsidR="007C2FF4" w:rsidRPr="00D953BF">
        <w:rPr>
          <w:bCs/>
          <w:sz w:val="28"/>
          <w:szCs w:val="28"/>
        </w:rPr>
        <w:t>J</w:t>
      </w:r>
      <w:r w:rsidR="00595447" w:rsidRPr="00D953BF">
        <w:rPr>
          <w:bCs/>
          <w:sz w:val="28"/>
          <w:szCs w:val="28"/>
        </w:rPr>
        <w:t xml:space="preserve">, sitting as court of </w:t>
      </w:r>
      <w:r w:rsidR="00265036" w:rsidRPr="00D953BF">
        <w:rPr>
          <w:bCs/>
          <w:sz w:val="28"/>
          <w:szCs w:val="28"/>
        </w:rPr>
        <w:t>appeal</w:t>
      </w:r>
      <w:r w:rsidR="00595447" w:rsidRPr="00D953BF">
        <w:rPr>
          <w:bCs/>
          <w:sz w:val="28"/>
          <w:szCs w:val="28"/>
        </w:rPr>
        <w:t xml:space="preserve">): </w:t>
      </w:r>
    </w:p>
    <w:p w14:paraId="65036E1F" w14:textId="1C2A98C1" w:rsidR="00D06059" w:rsidRPr="00D953BF" w:rsidRDefault="00D06059" w:rsidP="00D06059">
      <w:pPr>
        <w:pStyle w:val="ListParagraph"/>
        <w:numPr>
          <w:ilvl w:val="0"/>
          <w:numId w:val="9"/>
        </w:numPr>
        <w:spacing w:line="360" w:lineRule="auto"/>
        <w:ind w:left="0" w:firstLine="0"/>
        <w:jc w:val="both"/>
        <w:rPr>
          <w:sz w:val="28"/>
          <w:szCs w:val="28"/>
        </w:rPr>
      </w:pPr>
      <w:r w:rsidRPr="00D953BF">
        <w:rPr>
          <w:sz w:val="28"/>
          <w:szCs w:val="28"/>
        </w:rPr>
        <w:t xml:space="preserve">The appeal is upheld with costs. </w:t>
      </w:r>
    </w:p>
    <w:p w14:paraId="4FA47793" w14:textId="760A9E77" w:rsidR="00D06059" w:rsidRPr="00D953BF" w:rsidRDefault="00D06059" w:rsidP="00CD6C27">
      <w:pPr>
        <w:pStyle w:val="ListParagraph"/>
        <w:numPr>
          <w:ilvl w:val="0"/>
          <w:numId w:val="9"/>
        </w:numPr>
        <w:spacing w:line="360" w:lineRule="auto"/>
        <w:ind w:left="0" w:firstLine="0"/>
        <w:jc w:val="both"/>
        <w:rPr>
          <w:sz w:val="28"/>
          <w:szCs w:val="28"/>
        </w:rPr>
      </w:pPr>
      <w:r w:rsidRPr="00D953BF">
        <w:rPr>
          <w:sz w:val="28"/>
          <w:szCs w:val="28"/>
        </w:rPr>
        <w:t>The order of the high court is set</w:t>
      </w:r>
      <w:r w:rsidR="00640CAE" w:rsidRPr="00D953BF">
        <w:rPr>
          <w:sz w:val="28"/>
          <w:szCs w:val="28"/>
        </w:rPr>
        <w:t xml:space="preserve"> aside and substituted with the </w:t>
      </w:r>
      <w:r w:rsidRPr="00D953BF">
        <w:rPr>
          <w:sz w:val="28"/>
          <w:szCs w:val="28"/>
        </w:rPr>
        <w:t>following:</w:t>
      </w:r>
    </w:p>
    <w:p w14:paraId="7AF33B22" w14:textId="167EE0BC" w:rsidR="00AE1868" w:rsidRPr="00D953BF" w:rsidRDefault="00D06059" w:rsidP="0082193F">
      <w:pPr>
        <w:pStyle w:val="ListParagraph"/>
        <w:spacing w:line="360" w:lineRule="auto"/>
        <w:ind w:left="0" w:firstLine="720"/>
        <w:jc w:val="both"/>
        <w:rPr>
          <w:sz w:val="28"/>
          <w:szCs w:val="28"/>
        </w:rPr>
      </w:pPr>
      <w:r w:rsidRPr="00D953BF">
        <w:rPr>
          <w:sz w:val="28"/>
          <w:szCs w:val="28"/>
        </w:rPr>
        <w:t>‘The appeal is dismissed with costs</w:t>
      </w:r>
      <w:r w:rsidR="00541A89" w:rsidRPr="00D953BF">
        <w:rPr>
          <w:sz w:val="28"/>
          <w:szCs w:val="28"/>
        </w:rPr>
        <w:t>.</w:t>
      </w:r>
      <w:r w:rsidRPr="00D953BF">
        <w:rPr>
          <w:sz w:val="28"/>
          <w:szCs w:val="28"/>
        </w:rPr>
        <w:t>’</w:t>
      </w:r>
    </w:p>
    <w:p w14:paraId="205FB7C8" w14:textId="77777777" w:rsidR="00D06059" w:rsidRPr="00D953BF" w:rsidRDefault="00D06059" w:rsidP="00D06059">
      <w:pPr>
        <w:spacing w:line="480" w:lineRule="auto"/>
        <w:jc w:val="both"/>
        <w:rPr>
          <w:bCs/>
          <w:sz w:val="28"/>
          <w:szCs w:val="28"/>
        </w:rPr>
      </w:pPr>
      <w:r w:rsidRPr="00D953BF">
        <w:rPr>
          <w:bCs/>
          <w:sz w:val="28"/>
          <w:szCs w:val="28"/>
        </w:rPr>
        <w:t>_____________________________________________________________</w:t>
      </w:r>
    </w:p>
    <w:p w14:paraId="0C6C3DD8" w14:textId="5099D752" w:rsidR="00D06059" w:rsidRPr="00D953BF" w:rsidRDefault="00D06059" w:rsidP="00D06059">
      <w:pPr>
        <w:tabs>
          <w:tab w:val="right" w:pos="8197"/>
        </w:tabs>
        <w:ind w:left="720" w:right="26" w:hanging="720"/>
        <w:jc w:val="center"/>
        <w:rPr>
          <w:b/>
          <w:bCs/>
          <w:sz w:val="28"/>
          <w:szCs w:val="28"/>
        </w:rPr>
      </w:pPr>
      <w:r w:rsidRPr="00D953BF">
        <w:rPr>
          <w:b/>
          <w:bCs/>
          <w:sz w:val="28"/>
          <w:szCs w:val="28"/>
        </w:rPr>
        <w:t>JUDGMENT</w:t>
      </w:r>
    </w:p>
    <w:p w14:paraId="6F4A7EC7" w14:textId="77777777" w:rsidR="00D06059" w:rsidRPr="00D953BF" w:rsidRDefault="00D06059" w:rsidP="00D06059">
      <w:pPr>
        <w:ind w:right="26"/>
        <w:jc w:val="both"/>
        <w:rPr>
          <w:bCs/>
          <w:sz w:val="28"/>
          <w:szCs w:val="28"/>
        </w:rPr>
      </w:pPr>
      <w:r w:rsidRPr="00D953BF">
        <w:rPr>
          <w:bCs/>
          <w:sz w:val="28"/>
          <w:szCs w:val="28"/>
        </w:rPr>
        <w:t>_____________________________________________________________</w:t>
      </w:r>
    </w:p>
    <w:p w14:paraId="5CADE6E6" w14:textId="77777777" w:rsidR="00D06059" w:rsidRPr="00D953BF" w:rsidRDefault="00D06059" w:rsidP="0082193F">
      <w:pPr>
        <w:spacing w:line="360" w:lineRule="auto"/>
        <w:rPr>
          <w:b/>
          <w:sz w:val="16"/>
          <w:szCs w:val="16"/>
        </w:rPr>
      </w:pPr>
    </w:p>
    <w:p w14:paraId="56157A27" w14:textId="735ACF83" w:rsidR="00E33E63" w:rsidRPr="00D953BF" w:rsidRDefault="00486A17" w:rsidP="00CD6C27">
      <w:pPr>
        <w:spacing w:line="360" w:lineRule="auto"/>
        <w:rPr>
          <w:sz w:val="28"/>
          <w:szCs w:val="28"/>
        </w:rPr>
      </w:pPr>
      <w:r w:rsidRPr="00D953BF">
        <w:rPr>
          <w:b/>
          <w:sz w:val="28"/>
          <w:szCs w:val="28"/>
        </w:rPr>
        <w:t>Nicholls JA</w:t>
      </w:r>
      <w:r w:rsidR="004D0981" w:rsidRPr="00D953BF">
        <w:rPr>
          <w:b/>
          <w:sz w:val="28"/>
          <w:szCs w:val="28"/>
        </w:rPr>
        <w:t xml:space="preserve"> (</w:t>
      </w:r>
      <w:r w:rsidR="00B70DB8" w:rsidRPr="00D953BF">
        <w:rPr>
          <w:b/>
          <w:sz w:val="28"/>
          <w:szCs w:val="28"/>
        </w:rPr>
        <w:t>Makgoka and Gorven JJA and Phatshoane a</w:t>
      </w:r>
      <w:r w:rsidR="00EE4065" w:rsidRPr="00D953BF">
        <w:rPr>
          <w:b/>
          <w:sz w:val="28"/>
          <w:szCs w:val="28"/>
        </w:rPr>
        <w:t xml:space="preserve">nd Savage </w:t>
      </w:r>
      <w:r w:rsidR="00B70DB8" w:rsidRPr="00D953BF">
        <w:rPr>
          <w:b/>
          <w:sz w:val="28"/>
          <w:szCs w:val="28"/>
        </w:rPr>
        <w:t xml:space="preserve">AJJA </w:t>
      </w:r>
      <w:r w:rsidR="00CD6C27" w:rsidRPr="00D953BF">
        <w:rPr>
          <w:b/>
          <w:sz w:val="28"/>
          <w:szCs w:val="28"/>
        </w:rPr>
        <w:t>concurring</w:t>
      </w:r>
      <w:r w:rsidR="004D0981" w:rsidRPr="00D953BF">
        <w:rPr>
          <w:b/>
          <w:sz w:val="28"/>
          <w:szCs w:val="28"/>
        </w:rPr>
        <w:t>)</w:t>
      </w:r>
      <w:r w:rsidR="00CD6C27" w:rsidRPr="00D953BF">
        <w:rPr>
          <w:b/>
          <w:sz w:val="28"/>
          <w:szCs w:val="28"/>
        </w:rPr>
        <w:t>:</w:t>
      </w:r>
    </w:p>
    <w:p w14:paraId="6EF58527" w14:textId="5C0C73F9" w:rsidR="00635E36" w:rsidRPr="00D953BF" w:rsidRDefault="001022ED" w:rsidP="00C23BF9">
      <w:pPr>
        <w:pStyle w:val="ListParagraph"/>
        <w:numPr>
          <w:ilvl w:val="0"/>
          <w:numId w:val="2"/>
        </w:numPr>
        <w:spacing w:line="360" w:lineRule="auto"/>
        <w:jc w:val="both"/>
        <w:rPr>
          <w:sz w:val="28"/>
          <w:szCs w:val="28"/>
        </w:rPr>
      </w:pPr>
      <w:r w:rsidRPr="00D953BF">
        <w:rPr>
          <w:sz w:val="28"/>
          <w:szCs w:val="28"/>
        </w:rPr>
        <w:t xml:space="preserve">The </w:t>
      </w:r>
      <w:r w:rsidR="00FD0666" w:rsidRPr="00D953BF">
        <w:rPr>
          <w:sz w:val="28"/>
          <w:szCs w:val="28"/>
        </w:rPr>
        <w:t xml:space="preserve">central </w:t>
      </w:r>
      <w:r w:rsidRPr="00D953BF">
        <w:rPr>
          <w:sz w:val="28"/>
          <w:szCs w:val="28"/>
        </w:rPr>
        <w:t>question in this appeal is what constitutes a sufficient trigger for the appellant, the National Credit Regulator (</w:t>
      </w:r>
      <w:r w:rsidR="00516B30" w:rsidRPr="00D953BF">
        <w:rPr>
          <w:sz w:val="28"/>
          <w:szCs w:val="28"/>
        </w:rPr>
        <w:t xml:space="preserve">the </w:t>
      </w:r>
      <w:r w:rsidRPr="00D953BF">
        <w:rPr>
          <w:sz w:val="28"/>
          <w:szCs w:val="28"/>
        </w:rPr>
        <w:t>NCR) to initiate a complaint into alleged contraventions of the Nation</w:t>
      </w:r>
      <w:r w:rsidR="00F34420" w:rsidRPr="00D953BF">
        <w:rPr>
          <w:sz w:val="28"/>
          <w:szCs w:val="28"/>
        </w:rPr>
        <w:t>al</w:t>
      </w:r>
      <w:r w:rsidRPr="00D953BF">
        <w:rPr>
          <w:sz w:val="28"/>
          <w:szCs w:val="28"/>
        </w:rPr>
        <w:t xml:space="preserve"> Credit Act 34 of 2005 (the NCA). The NCR has </w:t>
      </w:r>
      <w:r w:rsidR="0088147B" w:rsidRPr="00D953BF">
        <w:rPr>
          <w:sz w:val="28"/>
          <w:szCs w:val="28"/>
        </w:rPr>
        <w:t>a</w:t>
      </w:r>
      <w:r w:rsidRPr="00D953BF">
        <w:rPr>
          <w:sz w:val="28"/>
          <w:szCs w:val="28"/>
        </w:rPr>
        <w:t xml:space="preserve"> statutory responsibility to ensure compliance with the NCA. </w:t>
      </w:r>
      <w:r w:rsidR="00FD0666" w:rsidRPr="00D953BF">
        <w:rPr>
          <w:sz w:val="28"/>
          <w:szCs w:val="28"/>
        </w:rPr>
        <w:t>It</w:t>
      </w:r>
      <w:r w:rsidRPr="00D953BF">
        <w:rPr>
          <w:sz w:val="28"/>
          <w:szCs w:val="28"/>
        </w:rPr>
        <w:t xml:space="preserve"> initiated a complaint against the first respondent, Dacqup Finances CC trading as ABC Financial Services</w:t>
      </w:r>
      <w:r w:rsidR="00EE4065" w:rsidRPr="00D953BF">
        <w:rPr>
          <w:sz w:val="28"/>
          <w:szCs w:val="28"/>
        </w:rPr>
        <w:t xml:space="preserve"> – </w:t>
      </w:r>
      <w:r w:rsidRPr="00D953BF">
        <w:rPr>
          <w:sz w:val="28"/>
          <w:szCs w:val="28"/>
        </w:rPr>
        <w:t>Pinetown (Dacqup), which is a registered credit provider. I</w:t>
      </w:r>
      <w:r w:rsidR="00716C7A" w:rsidRPr="00D953BF">
        <w:rPr>
          <w:sz w:val="28"/>
          <w:szCs w:val="28"/>
        </w:rPr>
        <w:t>t</w:t>
      </w:r>
      <w:r w:rsidRPr="00D953BF">
        <w:rPr>
          <w:sz w:val="28"/>
          <w:szCs w:val="28"/>
        </w:rPr>
        <w:t xml:space="preserve"> advances micro-loans of up to R8000</w:t>
      </w:r>
      <w:r w:rsidR="00635E36" w:rsidRPr="00D953BF">
        <w:rPr>
          <w:sz w:val="28"/>
          <w:szCs w:val="28"/>
        </w:rPr>
        <w:t xml:space="preserve">. </w:t>
      </w:r>
    </w:p>
    <w:p w14:paraId="5AC54E68" w14:textId="77777777" w:rsidR="00635E36" w:rsidRPr="00D953BF" w:rsidRDefault="00635E36" w:rsidP="00C23BF9">
      <w:pPr>
        <w:pStyle w:val="ListParagraph"/>
        <w:spacing w:line="360" w:lineRule="auto"/>
        <w:ind w:left="0"/>
        <w:jc w:val="both"/>
        <w:rPr>
          <w:sz w:val="28"/>
          <w:szCs w:val="28"/>
        </w:rPr>
      </w:pPr>
    </w:p>
    <w:p w14:paraId="352A1BF5" w14:textId="2A80C1AC" w:rsidR="001022ED" w:rsidRPr="00D953BF" w:rsidRDefault="001022ED" w:rsidP="00C23BF9">
      <w:pPr>
        <w:pStyle w:val="ListParagraph"/>
        <w:numPr>
          <w:ilvl w:val="0"/>
          <w:numId w:val="2"/>
        </w:numPr>
        <w:spacing w:line="360" w:lineRule="auto"/>
        <w:jc w:val="both"/>
        <w:rPr>
          <w:sz w:val="28"/>
          <w:szCs w:val="28"/>
        </w:rPr>
      </w:pPr>
      <w:r w:rsidRPr="00D953BF">
        <w:rPr>
          <w:sz w:val="28"/>
          <w:szCs w:val="28"/>
        </w:rPr>
        <w:t xml:space="preserve">The complaint was considered by the second respondent, the National Consumer Tribunal (the Tribunal), an independent adjudicative body. </w:t>
      </w:r>
      <w:r w:rsidR="00FD0666" w:rsidRPr="00D953BF">
        <w:rPr>
          <w:sz w:val="28"/>
          <w:szCs w:val="28"/>
        </w:rPr>
        <w:t>The Tribunal</w:t>
      </w:r>
      <w:r w:rsidRPr="00D953BF">
        <w:rPr>
          <w:sz w:val="28"/>
          <w:szCs w:val="28"/>
        </w:rPr>
        <w:t xml:space="preserve"> found that Dacqup had contravened various sections of the NCA and had engaged in repeated prohibited conduct. It ordered Dacqup to pay a</w:t>
      </w:r>
      <w:r w:rsidR="00EE33E6" w:rsidRPr="00D953BF">
        <w:rPr>
          <w:sz w:val="28"/>
          <w:szCs w:val="28"/>
        </w:rPr>
        <w:t xml:space="preserve"> fine</w:t>
      </w:r>
      <w:r w:rsidRPr="00D953BF">
        <w:rPr>
          <w:sz w:val="28"/>
          <w:szCs w:val="28"/>
        </w:rPr>
        <w:t xml:space="preserve"> </w:t>
      </w:r>
      <w:r w:rsidRPr="00D953BF">
        <w:rPr>
          <w:sz w:val="28"/>
          <w:szCs w:val="28"/>
        </w:rPr>
        <w:lastRenderedPageBreak/>
        <w:t xml:space="preserve">and </w:t>
      </w:r>
      <w:r w:rsidR="00426D9C" w:rsidRPr="00D953BF">
        <w:rPr>
          <w:sz w:val="28"/>
          <w:szCs w:val="28"/>
        </w:rPr>
        <w:t xml:space="preserve">that all </w:t>
      </w:r>
      <w:r w:rsidRPr="00D953BF">
        <w:rPr>
          <w:sz w:val="28"/>
          <w:szCs w:val="28"/>
        </w:rPr>
        <w:t>Dacqup</w:t>
      </w:r>
      <w:r w:rsidR="00EE33E6" w:rsidRPr="00D953BF">
        <w:rPr>
          <w:sz w:val="28"/>
          <w:szCs w:val="28"/>
        </w:rPr>
        <w:t>’s</w:t>
      </w:r>
      <w:r w:rsidRPr="00D953BF">
        <w:rPr>
          <w:sz w:val="28"/>
          <w:szCs w:val="28"/>
        </w:rPr>
        <w:t xml:space="preserve"> credit agreements </w:t>
      </w:r>
      <w:r w:rsidR="00EE33E6" w:rsidRPr="00D953BF">
        <w:rPr>
          <w:sz w:val="28"/>
          <w:szCs w:val="28"/>
        </w:rPr>
        <w:t>for</w:t>
      </w:r>
      <w:r w:rsidR="000B5D95" w:rsidRPr="00D953BF">
        <w:rPr>
          <w:sz w:val="28"/>
          <w:szCs w:val="28"/>
        </w:rPr>
        <w:t xml:space="preserve"> a certain</w:t>
      </w:r>
      <w:r w:rsidR="00EE33E6" w:rsidRPr="00D953BF">
        <w:rPr>
          <w:sz w:val="28"/>
          <w:szCs w:val="28"/>
        </w:rPr>
        <w:t xml:space="preserve"> period </w:t>
      </w:r>
      <w:r w:rsidRPr="00D953BF">
        <w:rPr>
          <w:sz w:val="28"/>
          <w:szCs w:val="28"/>
        </w:rPr>
        <w:t xml:space="preserve">be assessed by an independent auditor. Dacqup successfully appealed against those orders </w:t>
      </w:r>
      <w:r w:rsidR="00365248" w:rsidRPr="00D953BF">
        <w:rPr>
          <w:sz w:val="28"/>
          <w:szCs w:val="28"/>
        </w:rPr>
        <w:t xml:space="preserve">in </w:t>
      </w:r>
      <w:r w:rsidRPr="00D953BF">
        <w:rPr>
          <w:sz w:val="28"/>
          <w:szCs w:val="28"/>
        </w:rPr>
        <w:t xml:space="preserve">the Gauteng Division of the High Court, Pretoria (the high court). The high court did not consider the merits of the appeal, as it found in favour of Dacqup on a point </w:t>
      </w:r>
      <w:r w:rsidRPr="00D953BF">
        <w:rPr>
          <w:i/>
          <w:iCs/>
          <w:sz w:val="28"/>
          <w:szCs w:val="28"/>
        </w:rPr>
        <w:t>in limine</w:t>
      </w:r>
      <w:r w:rsidRPr="00D953BF">
        <w:rPr>
          <w:sz w:val="28"/>
          <w:szCs w:val="28"/>
        </w:rPr>
        <w:t>. The appeal is with the leave of the high court.</w:t>
      </w:r>
      <w:r w:rsidR="00C647F3" w:rsidRPr="00D953BF">
        <w:rPr>
          <w:rStyle w:val="FootnoteReference"/>
          <w:sz w:val="28"/>
          <w:szCs w:val="28"/>
        </w:rPr>
        <w:footnoteReference w:id="1"/>
      </w:r>
    </w:p>
    <w:p w14:paraId="3F27E05C" w14:textId="77777777" w:rsidR="00F93DCD" w:rsidRPr="00D953BF" w:rsidRDefault="00F93DCD" w:rsidP="00C23BF9">
      <w:pPr>
        <w:pStyle w:val="ListParagraph"/>
        <w:spacing w:line="360" w:lineRule="auto"/>
        <w:ind w:left="0"/>
        <w:jc w:val="both"/>
      </w:pPr>
    </w:p>
    <w:p w14:paraId="0D2608C6" w14:textId="17669331" w:rsidR="005E19B0" w:rsidRPr="00D953BF" w:rsidRDefault="00426D9C" w:rsidP="00C23BF9">
      <w:pPr>
        <w:pStyle w:val="ListParagraph"/>
        <w:numPr>
          <w:ilvl w:val="0"/>
          <w:numId w:val="2"/>
        </w:numPr>
        <w:spacing w:line="360" w:lineRule="auto"/>
        <w:jc w:val="both"/>
        <w:rPr>
          <w:sz w:val="28"/>
          <w:szCs w:val="28"/>
        </w:rPr>
      </w:pPr>
      <w:r w:rsidRPr="00D953BF">
        <w:rPr>
          <w:sz w:val="28"/>
          <w:szCs w:val="28"/>
        </w:rPr>
        <w:t>It is necessary to p</w:t>
      </w:r>
      <w:r w:rsidR="001D32AA" w:rsidRPr="00D953BF">
        <w:rPr>
          <w:sz w:val="28"/>
          <w:szCs w:val="28"/>
        </w:rPr>
        <w:t>lace</w:t>
      </w:r>
      <w:r w:rsidRPr="00D953BF">
        <w:rPr>
          <w:sz w:val="28"/>
          <w:szCs w:val="28"/>
        </w:rPr>
        <w:t xml:space="preserve"> the regulatory environment in context. </w:t>
      </w:r>
      <w:r w:rsidR="005E19B0" w:rsidRPr="00D953BF">
        <w:rPr>
          <w:sz w:val="28"/>
          <w:szCs w:val="28"/>
        </w:rPr>
        <w:t xml:space="preserve">The NCA came into operation on 1 June 2006, replacing the Usury Act 73 of 1968 and the Credit Agreements Act 75 of 1980. </w:t>
      </w:r>
      <w:r w:rsidRPr="00D953BF">
        <w:rPr>
          <w:sz w:val="28"/>
          <w:szCs w:val="28"/>
        </w:rPr>
        <w:t>At that time</w:t>
      </w:r>
      <w:r w:rsidR="00C23BF9" w:rsidRPr="00D953BF">
        <w:rPr>
          <w:sz w:val="28"/>
          <w:szCs w:val="28"/>
        </w:rPr>
        <w:t>,</w:t>
      </w:r>
      <w:r w:rsidRPr="00D953BF">
        <w:rPr>
          <w:sz w:val="28"/>
          <w:szCs w:val="28"/>
        </w:rPr>
        <w:t xml:space="preserve"> the credit market was characterised by discrimination, lack of transparency, high costs of credit and limited consumer protection</w:t>
      </w:r>
      <w:r w:rsidR="00D22223" w:rsidRPr="00D953BF">
        <w:rPr>
          <w:sz w:val="28"/>
          <w:szCs w:val="28"/>
        </w:rPr>
        <w:t xml:space="preserve">. This was particularly prevalent </w:t>
      </w:r>
      <w:r w:rsidRPr="00D953BF">
        <w:rPr>
          <w:sz w:val="28"/>
          <w:szCs w:val="28"/>
        </w:rPr>
        <w:t xml:space="preserve">in </w:t>
      </w:r>
      <w:r w:rsidR="0088147B" w:rsidRPr="00D953BF">
        <w:rPr>
          <w:sz w:val="28"/>
          <w:szCs w:val="28"/>
        </w:rPr>
        <w:t xml:space="preserve">the </w:t>
      </w:r>
      <w:r w:rsidRPr="00D953BF">
        <w:rPr>
          <w:sz w:val="28"/>
          <w:szCs w:val="28"/>
        </w:rPr>
        <w:t>micro-finan</w:t>
      </w:r>
      <w:r w:rsidR="00D22223" w:rsidRPr="00D953BF">
        <w:rPr>
          <w:sz w:val="28"/>
          <w:szCs w:val="28"/>
        </w:rPr>
        <w:t>cing</w:t>
      </w:r>
      <w:r w:rsidRPr="00D953BF">
        <w:rPr>
          <w:sz w:val="28"/>
          <w:szCs w:val="28"/>
        </w:rPr>
        <w:t xml:space="preserve"> </w:t>
      </w:r>
      <w:r w:rsidR="0088147B" w:rsidRPr="00D953BF">
        <w:rPr>
          <w:sz w:val="28"/>
          <w:szCs w:val="28"/>
        </w:rPr>
        <w:t>industry</w:t>
      </w:r>
      <w:r w:rsidR="00C23BF9" w:rsidRPr="00D953BF">
        <w:rPr>
          <w:sz w:val="28"/>
          <w:szCs w:val="28"/>
        </w:rPr>
        <w:t>,</w:t>
      </w:r>
      <w:r w:rsidR="0088147B" w:rsidRPr="00D953BF">
        <w:rPr>
          <w:sz w:val="28"/>
          <w:szCs w:val="28"/>
        </w:rPr>
        <w:t xml:space="preserve"> </w:t>
      </w:r>
      <w:r w:rsidRPr="00D953BF">
        <w:rPr>
          <w:sz w:val="28"/>
          <w:szCs w:val="28"/>
        </w:rPr>
        <w:t>which</w:t>
      </w:r>
      <w:r w:rsidR="009A2121" w:rsidRPr="00D953BF">
        <w:rPr>
          <w:sz w:val="28"/>
          <w:szCs w:val="28"/>
        </w:rPr>
        <w:t xml:space="preserve"> capitalised on vulnerable markets</w:t>
      </w:r>
      <w:r w:rsidR="00384CE6" w:rsidRPr="00D953BF">
        <w:rPr>
          <w:sz w:val="28"/>
          <w:szCs w:val="28"/>
        </w:rPr>
        <w:t xml:space="preserve"> </w:t>
      </w:r>
      <w:r w:rsidR="00FD161A" w:rsidRPr="00D953BF">
        <w:rPr>
          <w:sz w:val="28"/>
          <w:szCs w:val="28"/>
        </w:rPr>
        <w:t>ch</w:t>
      </w:r>
      <w:r w:rsidR="00954501" w:rsidRPr="00D953BF">
        <w:rPr>
          <w:sz w:val="28"/>
          <w:szCs w:val="28"/>
        </w:rPr>
        <w:t>aracteri</w:t>
      </w:r>
      <w:r w:rsidR="00FD161A" w:rsidRPr="00D953BF">
        <w:rPr>
          <w:sz w:val="28"/>
          <w:szCs w:val="28"/>
        </w:rPr>
        <w:t xml:space="preserve">sed </w:t>
      </w:r>
      <w:r w:rsidR="00384CE6" w:rsidRPr="00D953BF">
        <w:rPr>
          <w:sz w:val="28"/>
          <w:szCs w:val="28"/>
        </w:rPr>
        <w:t>by overpriced debt repayments</w:t>
      </w:r>
      <w:r w:rsidRPr="00D953BF">
        <w:rPr>
          <w:sz w:val="28"/>
          <w:szCs w:val="28"/>
        </w:rPr>
        <w:t>.</w:t>
      </w:r>
      <w:r w:rsidR="00D22223" w:rsidRPr="00D953BF">
        <w:rPr>
          <w:sz w:val="28"/>
          <w:szCs w:val="28"/>
        </w:rPr>
        <w:t xml:space="preserve"> </w:t>
      </w:r>
      <w:r w:rsidR="005E19B0" w:rsidRPr="00D953BF">
        <w:rPr>
          <w:sz w:val="28"/>
          <w:szCs w:val="28"/>
        </w:rPr>
        <w:t>The</w:t>
      </w:r>
      <w:r w:rsidR="00E00E90" w:rsidRPr="00D953BF">
        <w:rPr>
          <w:sz w:val="28"/>
          <w:szCs w:val="28"/>
        </w:rPr>
        <w:t xml:space="preserve"> major </w:t>
      </w:r>
      <w:r w:rsidR="005E19B0" w:rsidRPr="00D953BF">
        <w:rPr>
          <w:sz w:val="28"/>
          <w:szCs w:val="28"/>
        </w:rPr>
        <w:t xml:space="preserve">reason for </w:t>
      </w:r>
      <w:r w:rsidR="00D22223" w:rsidRPr="00D953BF">
        <w:rPr>
          <w:sz w:val="28"/>
          <w:szCs w:val="28"/>
        </w:rPr>
        <w:t>the NCA’s</w:t>
      </w:r>
      <w:r w:rsidR="005E19B0" w:rsidRPr="00D953BF">
        <w:rPr>
          <w:sz w:val="28"/>
          <w:szCs w:val="28"/>
        </w:rPr>
        <w:t xml:space="preserve"> enactment was to protect consumers from unscrupulous lenders and to create an accessible and affordable credit market with mechanisms to protect the consumers from reckless credit and over-indebtedness.</w:t>
      </w:r>
      <w:r w:rsidR="005E19B0" w:rsidRPr="00D953BF">
        <w:rPr>
          <w:rStyle w:val="FootnoteReference"/>
          <w:sz w:val="28"/>
          <w:szCs w:val="28"/>
        </w:rPr>
        <w:footnoteReference w:id="2"/>
      </w:r>
      <w:r w:rsidR="005E19B0" w:rsidRPr="00D953BF">
        <w:rPr>
          <w:sz w:val="28"/>
          <w:szCs w:val="28"/>
        </w:rPr>
        <w:t xml:space="preserve"> </w:t>
      </w:r>
    </w:p>
    <w:p w14:paraId="58080B2A" w14:textId="77777777" w:rsidR="00D30AD2" w:rsidRPr="00D953BF" w:rsidRDefault="00D30AD2" w:rsidP="00C23BF9">
      <w:pPr>
        <w:pStyle w:val="ListParagraph"/>
        <w:spacing w:line="360" w:lineRule="auto"/>
        <w:ind w:left="0"/>
        <w:jc w:val="both"/>
        <w:rPr>
          <w:sz w:val="28"/>
          <w:szCs w:val="28"/>
        </w:rPr>
      </w:pPr>
    </w:p>
    <w:p w14:paraId="6F33C1C2" w14:textId="1BF5F689" w:rsidR="00AA2F66" w:rsidRPr="00D953BF" w:rsidRDefault="00AA2F66" w:rsidP="00C23BF9">
      <w:pPr>
        <w:pStyle w:val="ListParagraph"/>
        <w:numPr>
          <w:ilvl w:val="0"/>
          <w:numId w:val="2"/>
        </w:numPr>
        <w:spacing w:line="360" w:lineRule="auto"/>
        <w:jc w:val="both"/>
        <w:rPr>
          <w:sz w:val="28"/>
          <w:szCs w:val="28"/>
        </w:rPr>
      </w:pPr>
      <w:r w:rsidRPr="00D953BF">
        <w:rPr>
          <w:sz w:val="28"/>
          <w:szCs w:val="28"/>
        </w:rPr>
        <w:t xml:space="preserve">It is against this backdrop that the relevant </w:t>
      </w:r>
      <w:r w:rsidR="00426D9C" w:rsidRPr="00D953BF">
        <w:rPr>
          <w:sz w:val="28"/>
          <w:szCs w:val="28"/>
        </w:rPr>
        <w:t>sections</w:t>
      </w:r>
      <w:r w:rsidR="00722CE7" w:rsidRPr="00D953BF">
        <w:rPr>
          <w:sz w:val="28"/>
          <w:szCs w:val="28"/>
        </w:rPr>
        <w:t xml:space="preserve"> of the NCA</w:t>
      </w:r>
      <w:r w:rsidRPr="00D953BF">
        <w:rPr>
          <w:sz w:val="28"/>
          <w:szCs w:val="28"/>
        </w:rPr>
        <w:t xml:space="preserve"> should be considered. Section 136 provides that any person may submit a complaint of reckless credit, alternatively the NCR may submit a complaint in its own name. Reckless credit is dealt with in ss 80 and 81 of the NCA. Section 81(3) prohibits a credit provider from entering into a reckless credit agreement with a prospective customer. In terms of s 81(2)</w:t>
      </w:r>
      <w:r w:rsidRPr="00D953BF">
        <w:rPr>
          <w:i/>
          <w:sz w:val="28"/>
          <w:szCs w:val="28"/>
        </w:rPr>
        <w:t>(a)</w:t>
      </w:r>
      <w:r w:rsidRPr="00D953BF">
        <w:rPr>
          <w:sz w:val="28"/>
          <w:szCs w:val="28"/>
        </w:rPr>
        <w:t>(i)</w:t>
      </w:r>
      <w:r w:rsidR="00FB6385" w:rsidRPr="00D953BF">
        <w:rPr>
          <w:sz w:val="28"/>
          <w:szCs w:val="28"/>
        </w:rPr>
        <w:t>,</w:t>
      </w:r>
      <w:r w:rsidRPr="00D953BF">
        <w:rPr>
          <w:sz w:val="28"/>
          <w:szCs w:val="28"/>
        </w:rPr>
        <w:t xml:space="preserve"> a credit provider cannot enter </w:t>
      </w:r>
      <w:r w:rsidRPr="00D953BF">
        <w:rPr>
          <w:sz w:val="28"/>
          <w:szCs w:val="28"/>
        </w:rPr>
        <w:lastRenderedPageBreak/>
        <w:t>into a credit agreement without first taking reasonable steps to assess the consumer’s general understanding and appreciation of the risks and costs of the proposed credit. In terms of s 81(2)</w:t>
      </w:r>
      <w:r w:rsidRPr="00D953BF">
        <w:rPr>
          <w:i/>
          <w:sz w:val="28"/>
          <w:szCs w:val="28"/>
        </w:rPr>
        <w:t>(a)</w:t>
      </w:r>
      <w:r w:rsidRPr="00D953BF">
        <w:rPr>
          <w:sz w:val="28"/>
          <w:szCs w:val="28"/>
        </w:rPr>
        <w:t>(ii), the credit provider is obliged to take into account the debt repayment history of the consumer, and in terms of s 81(2)</w:t>
      </w:r>
      <w:r w:rsidRPr="00D953BF">
        <w:rPr>
          <w:i/>
          <w:sz w:val="28"/>
          <w:szCs w:val="28"/>
        </w:rPr>
        <w:t>(a)</w:t>
      </w:r>
      <w:r w:rsidRPr="00D953BF">
        <w:rPr>
          <w:sz w:val="28"/>
          <w:szCs w:val="28"/>
        </w:rPr>
        <w:t>(iii), the consumer’s existing financial means, prospects and obligations. In terms of s 80(1)</w:t>
      </w:r>
      <w:r w:rsidRPr="00D953BF">
        <w:rPr>
          <w:i/>
          <w:sz w:val="28"/>
          <w:szCs w:val="28"/>
        </w:rPr>
        <w:t>(a)</w:t>
      </w:r>
      <w:r w:rsidRPr="00D953BF">
        <w:rPr>
          <w:sz w:val="28"/>
          <w:szCs w:val="28"/>
        </w:rPr>
        <w:t xml:space="preserve">, a credit agreement </w:t>
      </w:r>
      <w:r w:rsidR="00FD6349" w:rsidRPr="00D953BF">
        <w:rPr>
          <w:sz w:val="28"/>
          <w:szCs w:val="28"/>
        </w:rPr>
        <w:t>is</w:t>
      </w:r>
      <w:r w:rsidR="00FD161A" w:rsidRPr="00D953BF">
        <w:rPr>
          <w:sz w:val="28"/>
          <w:szCs w:val="28"/>
        </w:rPr>
        <w:t xml:space="preserve"> </w:t>
      </w:r>
      <w:r w:rsidRPr="00D953BF">
        <w:rPr>
          <w:sz w:val="28"/>
          <w:szCs w:val="28"/>
        </w:rPr>
        <w:t>reckless if the credit provider failed to conduct an assessment as required by s 81(2), irrespective of the outcome had the proper assessment been made at the time. In terms of s 80(1)</w:t>
      </w:r>
      <w:r w:rsidRPr="00D953BF">
        <w:rPr>
          <w:i/>
          <w:sz w:val="28"/>
          <w:szCs w:val="28"/>
        </w:rPr>
        <w:t>(b)</w:t>
      </w:r>
      <w:r w:rsidRPr="00D953BF">
        <w:rPr>
          <w:sz w:val="28"/>
          <w:szCs w:val="28"/>
        </w:rPr>
        <w:t>, a credit agreement is</w:t>
      </w:r>
      <w:r w:rsidR="00A5380B" w:rsidRPr="00D953BF">
        <w:rPr>
          <w:sz w:val="28"/>
          <w:szCs w:val="28"/>
        </w:rPr>
        <w:t xml:space="preserve"> </w:t>
      </w:r>
      <w:r w:rsidRPr="00D953BF">
        <w:rPr>
          <w:sz w:val="28"/>
          <w:szCs w:val="28"/>
        </w:rPr>
        <w:t>reckless if, having conducted the assessment, the information points to the probability that the consumer did not fully understand and appreciate the risks, or that she would be over-indebted if she entered into the credit agreement.</w:t>
      </w:r>
    </w:p>
    <w:p w14:paraId="42463C53" w14:textId="77777777" w:rsidR="00AA2F66" w:rsidRPr="00D953BF" w:rsidRDefault="00AA2F66" w:rsidP="00C23BF9">
      <w:pPr>
        <w:pStyle w:val="ListParagraph"/>
        <w:spacing w:line="360" w:lineRule="auto"/>
        <w:ind w:left="0"/>
        <w:jc w:val="both"/>
        <w:rPr>
          <w:rFonts w:eastAsia="Calibri"/>
          <w:sz w:val="28"/>
          <w:szCs w:val="28"/>
        </w:rPr>
      </w:pPr>
    </w:p>
    <w:p w14:paraId="5A4705E7" w14:textId="665A9E6F" w:rsidR="005E19B0" w:rsidRPr="00D953BF" w:rsidRDefault="00AA2F66" w:rsidP="00C23BF9">
      <w:pPr>
        <w:numPr>
          <w:ilvl w:val="0"/>
          <w:numId w:val="2"/>
        </w:numPr>
        <w:spacing w:line="360" w:lineRule="auto"/>
        <w:jc w:val="both"/>
        <w:rPr>
          <w:sz w:val="28"/>
          <w:szCs w:val="28"/>
        </w:rPr>
      </w:pPr>
      <w:r w:rsidRPr="00D953BF">
        <w:rPr>
          <w:sz w:val="28"/>
          <w:szCs w:val="28"/>
        </w:rPr>
        <w:t>Importantly, the NCA affords the NCR certain investigative and referral powers. Once a complaint has been initiated by either the NCR or any other person in terms of s 136, the NCR may direct an inspector to investigate the complaint, and appoint others to assist. At any time during the investigation</w:t>
      </w:r>
      <w:r w:rsidR="00C23BF9" w:rsidRPr="00D953BF">
        <w:rPr>
          <w:sz w:val="28"/>
          <w:szCs w:val="28"/>
        </w:rPr>
        <w:t>,</w:t>
      </w:r>
      <w:r w:rsidRPr="00D953BF">
        <w:rPr>
          <w:sz w:val="28"/>
          <w:szCs w:val="28"/>
        </w:rPr>
        <w:t xml:space="preserve"> the NCR may summons a person to appear under oath before the NCR, or subpoena any document, provided that no self-incriminating evidence will be admissible in a criminal trial.</w:t>
      </w:r>
      <w:r w:rsidRPr="00D953BF">
        <w:rPr>
          <w:rStyle w:val="FootnoteReference"/>
          <w:sz w:val="28"/>
          <w:szCs w:val="28"/>
        </w:rPr>
        <w:footnoteReference w:id="3"/>
      </w:r>
      <w:r w:rsidRPr="00D953BF">
        <w:rPr>
          <w:sz w:val="28"/>
          <w:szCs w:val="28"/>
        </w:rPr>
        <w:t xml:space="preserve"> </w:t>
      </w:r>
      <w:r w:rsidR="005E19B0" w:rsidRPr="00D953BF">
        <w:rPr>
          <w:sz w:val="28"/>
          <w:szCs w:val="28"/>
        </w:rPr>
        <w:t xml:space="preserve">As part of its mandatory </w:t>
      </w:r>
      <w:r w:rsidR="00FD161A" w:rsidRPr="00D953BF">
        <w:rPr>
          <w:sz w:val="28"/>
          <w:szCs w:val="28"/>
        </w:rPr>
        <w:t xml:space="preserve">oversight and </w:t>
      </w:r>
      <w:r w:rsidR="005E19B0" w:rsidRPr="00D953BF">
        <w:rPr>
          <w:sz w:val="28"/>
          <w:szCs w:val="28"/>
        </w:rPr>
        <w:t>enforcement functions, the NCA mandates the NCR to attend to ‘monitoring the consumer credit market and industry to ensure that prohibited conduct is prevented or detected and prosecuted’.</w:t>
      </w:r>
      <w:r w:rsidR="005E19B0" w:rsidRPr="00D953BF">
        <w:rPr>
          <w:sz w:val="28"/>
          <w:szCs w:val="28"/>
          <w:vertAlign w:val="superscript"/>
        </w:rPr>
        <w:footnoteReference w:id="4"/>
      </w:r>
      <w:r w:rsidR="005E19B0" w:rsidRPr="00D953BF">
        <w:rPr>
          <w:sz w:val="28"/>
          <w:szCs w:val="28"/>
        </w:rPr>
        <w:t xml:space="preserve"> Pursuant thereto and as part of its monitoring functions, the NCR sends personnel to different parts of the country on so-called ‘scouting exercises’.</w:t>
      </w:r>
    </w:p>
    <w:p w14:paraId="71BA5258" w14:textId="77777777" w:rsidR="005E19B0" w:rsidRPr="00D953BF" w:rsidRDefault="005E19B0" w:rsidP="00C23BF9">
      <w:pPr>
        <w:spacing w:line="360" w:lineRule="auto"/>
        <w:jc w:val="both"/>
        <w:rPr>
          <w:sz w:val="28"/>
          <w:szCs w:val="28"/>
        </w:rPr>
      </w:pPr>
    </w:p>
    <w:p w14:paraId="198F9F9E" w14:textId="03D621CD" w:rsidR="005E19B0" w:rsidRPr="00D953BF" w:rsidRDefault="005E19B0" w:rsidP="00C23BF9">
      <w:pPr>
        <w:pStyle w:val="ListParagraph"/>
        <w:numPr>
          <w:ilvl w:val="0"/>
          <w:numId w:val="2"/>
        </w:numPr>
        <w:spacing w:line="360" w:lineRule="auto"/>
        <w:jc w:val="both"/>
        <w:rPr>
          <w:sz w:val="28"/>
          <w:szCs w:val="28"/>
        </w:rPr>
      </w:pPr>
      <w:r w:rsidRPr="00D953BF">
        <w:rPr>
          <w:sz w:val="28"/>
          <w:szCs w:val="28"/>
        </w:rPr>
        <w:t>It was o</w:t>
      </w:r>
      <w:r w:rsidR="00F17078" w:rsidRPr="00D953BF">
        <w:rPr>
          <w:sz w:val="28"/>
          <w:szCs w:val="28"/>
        </w:rPr>
        <w:t>n</w:t>
      </w:r>
      <w:r w:rsidRPr="00D953BF">
        <w:rPr>
          <w:sz w:val="28"/>
          <w:szCs w:val="28"/>
        </w:rPr>
        <w:t xml:space="preserve"> one such ‘scouting exercise’ during 2018, that an NCR inspector, Ms Muhanganei </w:t>
      </w:r>
      <w:r w:rsidR="00D22223" w:rsidRPr="00D953BF">
        <w:rPr>
          <w:sz w:val="28"/>
          <w:szCs w:val="28"/>
        </w:rPr>
        <w:t>Mbedzi</w:t>
      </w:r>
      <w:r w:rsidR="00C23BF9" w:rsidRPr="00D953BF">
        <w:rPr>
          <w:sz w:val="28"/>
          <w:szCs w:val="28"/>
        </w:rPr>
        <w:t>,</w:t>
      </w:r>
      <w:r w:rsidR="00D22223" w:rsidRPr="00D953BF">
        <w:rPr>
          <w:sz w:val="28"/>
          <w:szCs w:val="28"/>
        </w:rPr>
        <w:t xml:space="preserve"> </w:t>
      </w:r>
      <w:r w:rsidRPr="00D953BF">
        <w:rPr>
          <w:sz w:val="28"/>
          <w:szCs w:val="28"/>
        </w:rPr>
        <w:t>noticed a signboard outside Dacqup’s premises advertising ‘instant loans’. This aroused her suspicion for a variety of reasons. If the loans were ‘instant’, it would be difficult to comply with the onerous affordability assessments required by the NCA. Conversely, if they were not ‘instant’, the advertisement breached the NCA’s prohibition on misleading and deceptive advertising of credit. Posing as a potential customer, the inspector entered the premises to inquire about a prospective loan. Upon enquiry about the interest rate, she was informed that an interest rate of 30% per month was levied on short-term loans, which amount far exceeded the statutory maximum permissible.</w:t>
      </w:r>
    </w:p>
    <w:p w14:paraId="35EB3BA1" w14:textId="77777777" w:rsidR="005E19B0" w:rsidRPr="00D953BF" w:rsidRDefault="005E19B0" w:rsidP="00C23BF9">
      <w:pPr>
        <w:spacing w:line="360" w:lineRule="auto"/>
        <w:jc w:val="both"/>
        <w:rPr>
          <w:sz w:val="28"/>
          <w:szCs w:val="28"/>
        </w:rPr>
      </w:pPr>
    </w:p>
    <w:p w14:paraId="4ACE926A" w14:textId="3692FF7C" w:rsidR="007465F1" w:rsidRPr="00D953BF" w:rsidRDefault="00890181" w:rsidP="00C23BF9">
      <w:pPr>
        <w:pStyle w:val="ListParagraph"/>
        <w:numPr>
          <w:ilvl w:val="0"/>
          <w:numId w:val="2"/>
        </w:numPr>
        <w:spacing w:line="360" w:lineRule="auto"/>
        <w:jc w:val="both"/>
        <w:rPr>
          <w:sz w:val="28"/>
          <w:szCs w:val="28"/>
        </w:rPr>
      </w:pPr>
      <w:r w:rsidRPr="00D953BF">
        <w:rPr>
          <w:sz w:val="28"/>
          <w:szCs w:val="28"/>
        </w:rPr>
        <w:t xml:space="preserve">The scouting exercise led to the NCR initiating an investigation in its own name into possible contraventions of the NCA by Dacqup. </w:t>
      </w:r>
      <w:r w:rsidR="00635E36" w:rsidRPr="00D953BF">
        <w:rPr>
          <w:sz w:val="28"/>
          <w:szCs w:val="28"/>
        </w:rPr>
        <w:t>I</w:t>
      </w:r>
      <w:r w:rsidRPr="00D953BF">
        <w:rPr>
          <w:sz w:val="28"/>
          <w:szCs w:val="28"/>
        </w:rPr>
        <w:t>t conducted an on</w:t>
      </w:r>
      <w:r w:rsidR="00FC7983" w:rsidRPr="00D953BF">
        <w:rPr>
          <w:sz w:val="28"/>
          <w:szCs w:val="28"/>
        </w:rPr>
        <w:t>-</w:t>
      </w:r>
      <w:r w:rsidRPr="00D953BF">
        <w:rPr>
          <w:sz w:val="28"/>
          <w:szCs w:val="28"/>
        </w:rPr>
        <w:t>site investigation</w:t>
      </w:r>
      <w:r w:rsidR="00365248" w:rsidRPr="00D953BF">
        <w:rPr>
          <w:sz w:val="28"/>
          <w:szCs w:val="28"/>
        </w:rPr>
        <w:t xml:space="preserve">, during which </w:t>
      </w:r>
      <w:r w:rsidRPr="00D953BF">
        <w:rPr>
          <w:sz w:val="28"/>
          <w:szCs w:val="28"/>
        </w:rPr>
        <w:t>ten credit agreements</w:t>
      </w:r>
      <w:r w:rsidR="00365248" w:rsidRPr="00D953BF">
        <w:rPr>
          <w:sz w:val="28"/>
          <w:szCs w:val="28"/>
        </w:rPr>
        <w:t xml:space="preserve"> were assessed, where loans of between R510 and R3000 were granted. Following the assessment, </w:t>
      </w:r>
      <w:r w:rsidRPr="00D953BF">
        <w:rPr>
          <w:sz w:val="28"/>
          <w:szCs w:val="28"/>
        </w:rPr>
        <w:t>a report was compiled</w:t>
      </w:r>
      <w:r w:rsidR="00C23BF9" w:rsidRPr="00D953BF">
        <w:rPr>
          <w:sz w:val="28"/>
          <w:szCs w:val="28"/>
        </w:rPr>
        <w:t>,</w:t>
      </w:r>
      <w:r w:rsidRPr="00D953BF">
        <w:rPr>
          <w:sz w:val="28"/>
          <w:szCs w:val="28"/>
        </w:rPr>
        <w:t xml:space="preserve"> </w:t>
      </w:r>
      <w:r w:rsidR="00365248" w:rsidRPr="00D953BF">
        <w:rPr>
          <w:sz w:val="28"/>
          <w:szCs w:val="28"/>
        </w:rPr>
        <w:t xml:space="preserve">in which it was </w:t>
      </w:r>
      <w:r w:rsidR="00CD6A82" w:rsidRPr="00D953BF">
        <w:rPr>
          <w:sz w:val="28"/>
          <w:szCs w:val="28"/>
        </w:rPr>
        <w:t>found</w:t>
      </w:r>
      <w:r w:rsidRPr="00D953BF">
        <w:rPr>
          <w:sz w:val="28"/>
          <w:szCs w:val="28"/>
        </w:rPr>
        <w:t xml:space="preserve"> that Dacqup had failed to properly assess the financial means of the </w:t>
      </w:r>
      <w:r w:rsidR="00006CF0" w:rsidRPr="00D953BF">
        <w:rPr>
          <w:sz w:val="28"/>
          <w:szCs w:val="28"/>
        </w:rPr>
        <w:t xml:space="preserve">respective </w:t>
      </w:r>
      <w:r w:rsidRPr="00D953BF">
        <w:rPr>
          <w:sz w:val="28"/>
          <w:szCs w:val="28"/>
        </w:rPr>
        <w:t xml:space="preserve">consumers and their debt </w:t>
      </w:r>
      <w:r w:rsidR="00FA799B" w:rsidRPr="00D953BF">
        <w:rPr>
          <w:sz w:val="28"/>
          <w:szCs w:val="28"/>
        </w:rPr>
        <w:t>repayment</w:t>
      </w:r>
      <w:r w:rsidRPr="00D953BF">
        <w:rPr>
          <w:sz w:val="28"/>
          <w:szCs w:val="28"/>
        </w:rPr>
        <w:t xml:space="preserve"> history. </w:t>
      </w:r>
      <w:r w:rsidR="004F2057" w:rsidRPr="00D953BF">
        <w:rPr>
          <w:sz w:val="28"/>
          <w:szCs w:val="28"/>
        </w:rPr>
        <w:t>T</w:t>
      </w:r>
      <w:r w:rsidRPr="00D953BF">
        <w:rPr>
          <w:sz w:val="28"/>
          <w:szCs w:val="28"/>
        </w:rPr>
        <w:t>he NCR concluded that the granting of credit had been reckless as defined in</w:t>
      </w:r>
      <w:r w:rsidR="004E5ABD" w:rsidRPr="00D953BF">
        <w:rPr>
          <w:sz w:val="28"/>
          <w:szCs w:val="28"/>
        </w:rPr>
        <w:t xml:space="preserve"> s </w:t>
      </w:r>
      <w:r w:rsidR="00CC6486" w:rsidRPr="00D953BF">
        <w:rPr>
          <w:sz w:val="28"/>
          <w:szCs w:val="28"/>
        </w:rPr>
        <w:t xml:space="preserve">80 of the NCA. In addition, </w:t>
      </w:r>
      <w:r w:rsidR="00044714" w:rsidRPr="00D953BF">
        <w:rPr>
          <w:sz w:val="28"/>
          <w:szCs w:val="28"/>
        </w:rPr>
        <w:t xml:space="preserve">the NCR </w:t>
      </w:r>
      <w:r w:rsidR="0088147B" w:rsidRPr="00D953BF">
        <w:rPr>
          <w:sz w:val="28"/>
          <w:szCs w:val="28"/>
        </w:rPr>
        <w:t>found</w:t>
      </w:r>
      <w:r w:rsidR="00044714" w:rsidRPr="00D953BF">
        <w:rPr>
          <w:sz w:val="28"/>
          <w:szCs w:val="28"/>
        </w:rPr>
        <w:t xml:space="preserve"> that </w:t>
      </w:r>
      <w:r w:rsidRPr="00D953BF">
        <w:rPr>
          <w:sz w:val="28"/>
          <w:szCs w:val="28"/>
        </w:rPr>
        <w:t>Dacqup had</w:t>
      </w:r>
      <w:r w:rsidR="00D20B0B" w:rsidRPr="00D953BF">
        <w:rPr>
          <w:sz w:val="28"/>
          <w:szCs w:val="28"/>
        </w:rPr>
        <w:t xml:space="preserve"> </w:t>
      </w:r>
      <w:r w:rsidRPr="00D953BF">
        <w:rPr>
          <w:sz w:val="28"/>
          <w:szCs w:val="28"/>
        </w:rPr>
        <w:t xml:space="preserve">overcharged on interest </w:t>
      </w:r>
      <w:r w:rsidR="00D20B0B" w:rsidRPr="00D953BF">
        <w:rPr>
          <w:sz w:val="28"/>
          <w:szCs w:val="28"/>
        </w:rPr>
        <w:t>and on initiation fees in some instances, and had</w:t>
      </w:r>
      <w:r w:rsidRPr="00D953BF">
        <w:rPr>
          <w:sz w:val="28"/>
          <w:szCs w:val="28"/>
        </w:rPr>
        <w:t xml:space="preserve"> not provided customers with pre-agreement statements</w:t>
      </w:r>
      <w:r w:rsidR="005528F9" w:rsidRPr="00D953BF">
        <w:rPr>
          <w:sz w:val="28"/>
          <w:szCs w:val="28"/>
        </w:rPr>
        <w:t xml:space="preserve">. </w:t>
      </w:r>
    </w:p>
    <w:p w14:paraId="0E7B2490" w14:textId="77777777" w:rsidR="00716C7A" w:rsidRPr="00D953BF" w:rsidRDefault="00716C7A" w:rsidP="00C23BF9">
      <w:pPr>
        <w:pStyle w:val="ListParagraph"/>
        <w:spacing w:line="360" w:lineRule="auto"/>
        <w:ind w:left="0"/>
        <w:jc w:val="both"/>
        <w:rPr>
          <w:sz w:val="28"/>
          <w:szCs w:val="28"/>
        </w:rPr>
      </w:pPr>
    </w:p>
    <w:p w14:paraId="2B23E974" w14:textId="07E3CC96" w:rsidR="00F911B9" w:rsidRPr="00D953BF" w:rsidRDefault="00926AB9" w:rsidP="00C23BF9">
      <w:pPr>
        <w:pStyle w:val="ListParagraph"/>
        <w:numPr>
          <w:ilvl w:val="0"/>
          <w:numId w:val="2"/>
        </w:numPr>
        <w:spacing w:line="360" w:lineRule="auto"/>
        <w:jc w:val="both"/>
        <w:rPr>
          <w:sz w:val="28"/>
          <w:szCs w:val="28"/>
          <w:lang w:val="en-US"/>
        </w:rPr>
      </w:pPr>
      <w:r w:rsidRPr="00D953BF">
        <w:rPr>
          <w:sz w:val="28"/>
          <w:szCs w:val="28"/>
        </w:rPr>
        <w:t xml:space="preserve">On the strength of these </w:t>
      </w:r>
      <w:r w:rsidR="00D20B0B" w:rsidRPr="00D953BF">
        <w:rPr>
          <w:sz w:val="28"/>
          <w:szCs w:val="28"/>
        </w:rPr>
        <w:t>findings</w:t>
      </w:r>
      <w:r w:rsidR="007F4A77" w:rsidRPr="00D953BF">
        <w:rPr>
          <w:sz w:val="28"/>
          <w:szCs w:val="28"/>
        </w:rPr>
        <w:t>,</w:t>
      </w:r>
      <w:r w:rsidRPr="00D953BF">
        <w:rPr>
          <w:sz w:val="28"/>
          <w:szCs w:val="28"/>
        </w:rPr>
        <w:t xml:space="preserve"> t</w:t>
      </w:r>
      <w:r w:rsidR="007465F1" w:rsidRPr="00D953BF">
        <w:rPr>
          <w:sz w:val="28"/>
          <w:szCs w:val="28"/>
        </w:rPr>
        <w:t>he NCR made an application to the Tribunal that Dacqup be deregistered as a credit</w:t>
      </w:r>
      <w:r w:rsidR="00CD6A82" w:rsidRPr="00D953BF">
        <w:rPr>
          <w:sz w:val="28"/>
          <w:szCs w:val="28"/>
        </w:rPr>
        <w:t xml:space="preserve"> provider</w:t>
      </w:r>
      <w:r w:rsidR="005528F9" w:rsidRPr="00D953BF">
        <w:rPr>
          <w:sz w:val="28"/>
          <w:szCs w:val="28"/>
        </w:rPr>
        <w:t>,</w:t>
      </w:r>
      <w:r w:rsidR="00CD6A82" w:rsidRPr="00D953BF">
        <w:rPr>
          <w:sz w:val="28"/>
          <w:szCs w:val="28"/>
        </w:rPr>
        <w:t xml:space="preserve"> as well as</w:t>
      </w:r>
      <w:r w:rsidR="007465F1" w:rsidRPr="00D953BF">
        <w:rPr>
          <w:sz w:val="28"/>
          <w:szCs w:val="28"/>
        </w:rPr>
        <w:t xml:space="preserve"> other ancillary relief. </w:t>
      </w:r>
      <w:r w:rsidR="00C61B75" w:rsidRPr="00D953BF">
        <w:rPr>
          <w:sz w:val="28"/>
          <w:szCs w:val="28"/>
        </w:rPr>
        <w:t>The NCR’s founding affidavit was deposed to by</w:t>
      </w:r>
      <w:r w:rsidR="00C61B75" w:rsidRPr="00D953BF">
        <w:rPr>
          <w:sz w:val="28"/>
          <w:szCs w:val="28"/>
          <w:lang w:val="en-US"/>
        </w:rPr>
        <w:t xml:space="preserve"> </w:t>
      </w:r>
      <w:r w:rsidR="00C61B75" w:rsidRPr="00D953BF">
        <w:rPr>
          <w:sz w:val="28"/>
          <w:szCs w:val="28"/>
          <w:lang w:val="en-US"/>
        </w:rPr>
        <w:lastRenderedPageBreak/>
        <w:t>Ms</w:t>
      </w:r>
      <w:r w:rsidR="00FB6385" w:rsidRPr="00D953BF">
        <w:rPr>
          <w:sz w:val="28"/>
          <w:szCs w:val="28"/>
          <w:lang w:val="en-US"/>
        </w:rPr>
        <w:t> </w:t>
      </w:r>
      <w:r w:rsidR="00C61B75" w:rsidRPr="00D953BF">
        <w:rPr>
          <w:sz w:val="28"/>
          <w:szCs w:val="28"/>
        </w:rPr>
        <w:t>Jacqueline</w:t>
      </w:r>
      <w:r w:rsidR="00C61B75" w:rsidRPr="00D953BF">
        <w:rPr>
          <w:sz w:val="28"/>
          <w:szCs w:val="28"/>
          <w:lang w:val="en-US"/>
        </w:rPr>
        <w:t xml:space="preserve"> Peters, the manageress in its Investigations and Enforcement Department. </w:t>
      </w:r>
      <w:r w:rsidR="00F911B9" w:rsidRPr="00D953BF">
        <w:rPr>
          <w:sz w:val="28"/>
          <w:szCs w:val="28"/>
          <w:lang w:val="en-US"/>
        </w:rPr>
        <w:t xml:space="preserve">She explained that Dacqup had contravened the NCA in the following respects: (a) by using the phrase ‘instant loans’, Daqup may not be conducting proper affordability assessments; (b) the phrase may be viewed as misleading and deceptive, as it indicated to consumers that they potentially need not provide the necessary documentation of proof of income; (c) the inspector, on entering the premises, was told that the interest rate was charged at 30% per month, which </w:t>
      </w:r>
      <w:r w:rsidR="00F911B9" w:rsidRPr="00D953BF">
        <w:rPr>
          <w:sz w:val="28"/>
          <w:szCs w:val="28"/>
        </w:rPr>
        <w:t>far exceeded the statutory maximum permissible.</w:t>
      </w:r>
      <w:r w:rsidR="00F911B9" w:rsidRPr="00D953BF">
        <w:rPr>
          <w:sz w:val="28"/>
          <w:szCs w:val="28"/>
          <w:lang w:val="en-US"/>
        </w:rPr>
        <w:t xml:space="preserve"> The inspector, Ms Mbedzi, confirmed this in a confirmatory affidavit. </w:t>
      </w:r>
    </w:p>
    <w:p w14:paraId="1BBFC4F6" w14:textId="77777777" w:rsidR="00F911B9" w:rsidRPr="00D953BF" w:rsidRDefault="00F911B9" w:rsidP="00C23BF9">
      <w:pPr>
        <w:spacing w:line="360" w:lineRule="auto"/>
        <w:jc w:val="both"/>
        <w:rPr>
          <w:sz w:val="28"/>
          <w:szCs w:val="28"/>
        </w:rPr>
      </w:pPr>
    </w:p>
    <w:p w14:paraId="02435884" w14:textId="32C4282D" w:rsidR="00235743" w:rsidRPr="00D953BF" w:rsidRDefault="004E5ABD" w:rsidP="00C23BF9">
      <w:pPr>
        <w:pStyle w:val="ListParagraph"/>
        <w:numPr>
          <w:ilvl w:val="0"/>
          <w:numId w:val="2"/>
        </w:numPr>
        <w:spacing w:line="360" w:lineRule="auto"/>
        <w:jc w:val="both"/>
        <w:rPr>
          <w:sz w:val="28"/>
          <w:szCs w:val="28"/>
        </w:rPr>
      </w:pPr>
      <w:r w:rsidRPr="00D953BF">
        <w:rPr>
          <w:sz w:val="28"/>
          <w:szCs w:val="28"/>
        </w:rPr>
        <w:t xml:space="preserve">The Tribunal found that </w:t>
      </w:r>
      <w:r w:rsidR="00BC6F12" w:rsidRPr="00D953BF">
        <w:rPr>
          <w:sz w:val="28"/>
          <w:szCs w:val="28"/>
        </w:rPr>
        <w:t>Dacqup</w:t>
      </w:r>
      <w:r w:rsidR="00BC6F12" w:rsidRPr="00D953BF" w:rsidDel="00BC6F12">
        <w:rPr>
          <w:sz w:val="28"/>
          <w:szCs w:val="28"/>
        </w:rPr>
        <w:t xml:space="preserve"> </w:t>
      </w:r>
      <w:r w:rsidRPr="00D953BF">
        <w:rPr>
          <w:sz w:val="28"/>
          <w:szCs w:val="28"/>
        </w:rPr>
        <w:t>had engaged in repeated prohibited conduct</w:t>
      </w:r>
      <w:r w:rsidR="00915777" w:rsidRPr="00D953BF">
        <w:rPr>
          <w:sz w:val="28"/>
          <w:szCs w:val="28"/>
        </w:rPr>
        <w:t xml:space="preserve">. </w:t>
      </w:r>
      <w:r w:rsidR="00EC1DEA" w:rsidRPr="00D953BF">
        <w:rPr>
          <w:sz w:val="28"/>
          <w:szCs w:val="28"/>
        </w:rPr>
        <w:t xml:space="preserve">It </w:t>
      </w:r>
      <w:r w:rsidR="00EB7FA1" w:rsidRPr="00D953BF">
        <w:rPr>
          <w:sz w:val="28"/>
          <w:szCs w:val="28"/>
        </w:rPr>
        <w:t xml:space="preserve">further </w:t>
      </w:r>
      <w:r w:rsidR="00FC0BF8" w:rsidRPr="00D953BF">
        <w:rPr>
          <w:sz w:val="28"/>
          <w:szCs w:val="28"/>
        </w:rPr>
        <w:t xml:space="preserve">found that </w:t>
      </w:r>
      <w:r w:rsidR="00EC1DEA" w:rsidRPr="00D953BF">
        <w:rPr>
          <w:sz w:val="28"/>
          <w:szCs w:val="28"/>
        </w:rPr>
        <w:t>Dacqup</w:t>
      </w:r>
      <w:r w:rsidR="00235743" w:rsidRPr="00D953BF">
        <w:rPr>
          <w:sz w:val="28"/>
          <w:szCs w:val="28"/>
        </w:rPr>
        <w:t xml:space="preserve"> had merely engaged in a ‘tick box exercise</w:t>
      </w:r>
      <w:r w:rsidR="00062055" w:rsidRPr="00D953BF">
        <w:rPr>
          <w:sz w:val="28"/>
          <w:szCs w:val="28"/>
        </w:rPr>
        <w:t>’</w:t>
      </w:r>
      <w:r w:rsidR="00235743" w:rsidRPr="00D953BF">
        <w:rPr>
          <w:sz w:val="28"/>
          <w:szCs w:val="28"/>
        </w:rPr>
        <w:t xml:space="preserve"> to create the impression of complying with the NCA when</w:t>
      </w:r>
      <w:r w:rsidR="000712A8" w:rsidRPr="00D953BF">
        <w:rPr>
          <w:sz w:val="28"/>
          <w:szCs w:val="28"/>
        </w:rPr>
        <w:t>,</w:t>
      </w:r>
      <w:r w:rsidR="00235743" w:rsidRPr="00D953BF">
        <w:rPr>
          <w:sz w:val="28"/>
          <w:szCs w:val="28"/>
        </w:rPr>
        <w:t xml:space="preserve"> in reality</w:t>
      </w:r>
      <w:r w:rsidR="000712A8" w:rsidRPr="00D953BF">
        <w:rPr>
          <w:sz w:val="28"/>
          <w:szCs w:val="28"/>
        </w:rPr>
        <w:t>,</w:t>
      </w:r>
      <w:r w:rsidR="00235743" w:rsidRPr="00D953BF">
        <w:rPr>
          <w:sz w:val="28"/>
          <w:szCs w:val="28"/>
        </w:rPr>
        <w:t xml:space="preserve"> it did not comply with the </w:t>
      </w:r>
      <w:r w:rsidR="000712A8" w:rsidRPr="00D953BF">
        <w:rPr>
          <w:sz w:val="28"/>
          <w:szCs w:val="28"/>
        </w:rPr>
        <w:t xml:space="preserve">stringent </w:t>
      </w:r>
      <w:r w:rsidR="007465F1" w:rsidRPr="00D953BF">
        <w:rPr>
          <w:sz w:val="28"/>
          <w:szCs w:val="28"/>
        </w:rPr>
        <w:t xml:space="preserve">assessment </w:t>
      </w:r>
      <w:r w:rsidR="00235743" w:rsidRPr="00D953BF">
        <w:rPr>
          <w:sz w:val="28"/>
          <w:szCs w:val="28"/>
        </w:rPr>
        <w:t xml:space="preserve">requirements and did not conduct proper affordability assessments. </w:t>
      </w:r>
      <w:r w:rsidR="003D41BE" w:rsidRPr="00D953BF">
        <w:rPr>
          <w:sz w:val="28"/>
          <w:szCs w:val="28"/>
        </w:rPr>
        <w:t xml:space="preserve">At the Tribunal </w:t>
      </w:r>
      <w:r w:rsidR="001B7B65" w:rsidRPr="00D953BF">
        <w:rPr>
          <w:sz w:val="28"/>
          <w:szCs w:val="28"/>
        </w:rPr>
        <w:t xml:space="preserve">Dacqup raised two points </w:t>
      </w:r>
      <w:r w:rsidR="001B7B65" w:rsidRPr="00D953BF">
        <w:rPr>
          <w:i/>
          <w:sz w:val="28"/>
          <w:szCs w:val="28"/>
        </w:rPr>
        <w:t>in limine</w:t>
      </w:r>
      <w:r w:rsidR="0088147B" w:rsidRPr="00D953BF">
        <w:rPr>
          <w:iCs/>
          <w:sz w:val="28"/>
          <w:szCs w:val="28"/>
        </w:rPr>
        <w:t>. F</w:t>
      </w:r>
      <w:r w:rsidR="003D41BE" w:rsidRPr="00D953BF">
        <w:rPr>
          <w:iCs/>
          <w:sz w:val="28"/>
          <w:szCs w:val="28"/>
        </w:rPr>
        <w:t>irstly,</w:t>
      </w:r>
      <w:r w:rsidR="001B7B65" w:rsidRPr="00D953BF">
        <w:rPr>
          <w:iCs/>
          <w:sz w:val="28"/>
          <w:szCs w:val="28"/>
        </w:rPr>
        <w:t xml:space="preserve"> that the NCR did not have a reasonable basis for </w:t>
      </w:r>
      <w:r w:rsidR="000B5D95" w:rsidRPr="00D953BF">
        <w:rPr>
          <w:iCs/>
          <w:sz w:val="28"/>
          <w:szCs w:val="28"/>
        </w:rPr>
        <w:t>initiating</w:t>
      </w:r>
      <w:r w:rsidR="001B7B65" w:rsidRPr="00D953BF">
        <w:rPr>
          <w:iCs/>
          <w:sz w:val="28"/>
          <w:szCs w:val="28"/>
        </w:rPr>
        <w:t xml:space="preserve"> a complaint and an investigation. Secondly, that the NCR should have afforded Dacqup an opportunity to respond to the charges before referring the matter to the Tribunal. </w:t>
      </w:r>
      <w:r w:rsidR="003D41BE" w:rsidRPr="00D953BF">
        <w:rPr>
          <w:sz w:val="28"/>
          <w:szCs w:val="28"/>
        </w:rPr>
        <w:t xml:space="preserve">Both points </w:t>
      </w:r>
      <w:r w:rsidR="003D41BE" w:rsidRPr="00D953BF">
        <w:rPr>
          <w:i/>
          <w:iCs/>
          <w:sz w:val="28"/>
          <w:szCs w:val="28"/>
        </w:rPr>
        <w:t>in limine</w:t>
      </w:r>
      <w:r w:rsidR="003D41BE" w:rsidRPr="00D953BF">
        <w:rPr>
          <w:sz w:val="28"/>
          <w:szCs w:val="28"/>
        </w:rPr>
        <w:t xml:space="preserve"> </w:t>
      </w:r>
      <w:r w:rsidR="000B5D95" w:rsidRPr="00D953BF">
        <w:rPr>
          <w:sz w:val="28"/>
          <w:szCs w:val="28"/>
        </w:rPr>
        <w:t>were dismissed by the Tribunal</w:t>
      </w:r>
      <w:r w:rsidR="007424D3" w:rsidRPr="00D953BF">
        <w:rPr>
          <w:sz w:val="28"/>
          <w:szCs w:val="28"/>
        </w:rPr>
        <w:t>,</w:t>
      </w:r>
      <w:r w:rsidR="000B5D95" w:rsidRPr="00D953BF">
        <w:rPr>
          <w:sz w:val="28"/>
          <w:szCs w:val="28"/>
        </w:rPr>
        <w:t xml:space="preserve"> which</w:t>
      </w:r>
      <w:r w:rsidR="00D86145" w:rsidRPr="00D953BF">
        <w:rPr>
          <w:sz w:val="28"/>
          <w:szCs w:val="28"/>
        </w:rPr>
        <w:t xml:space="preserve"> </w:t>
      </w:r>
      <w:r w:rsidR="00235743" w:rsidRPr="00D953BF">
        <w:rPr>
          <w:sz w:val="28"/>
          <w:szCs w:val="28"/>
        </w:rPr>
        <w:t>declar</w:t>
      </w:r>
      <w:r w:rsidR="000712A8" w:rsidRPr="00D953BF">
        <w:rPr>
          <w:sz w:val="28"/>
          <w:szCs w:val="28"/>
        </w:rPr>
        <w:t>ed that all ten sampled agreements amounted to</w:t>
      </w:r>
      <w:r w:rsidR="00B75464" w:rsidRPr="00D953BF">
        <w:rPr>
          <w:sz w:val="28"/>
          <w:szCs w:val="28"/>
        </w:rPr>
        <w:t xml:space="preserve"> the granting of</w:t>
      </w:r>
      <w:r w:rsidR="00235743" w:rsidRPr="00D953BF">
        <w:rPr>
          <w:sz w:val="28"/>
          <w:szCs w:val="28"/>
        </w:rPr>
        <w:t xml:space="preserve"> reckless credit.</w:t>
      </w:r>
      <w:r w:rsidR="00915777" w:rsidRPr="00D953BF">
        <w:rPr>
          <w:sz w:val="28"/>
          <w:szCs w:val="28"/>
        </w:rPr>
        <w:t xml:space="preserve"> The Tribunal did not cancel Dacqup’s registration, as requested by the NCR. Instead, </w:t>
      </w:r>
      <w:r w:rsidR="00D20B0B" w:rsidRPr="00D953BF">
        <w:rPr>
          <w:sz w:val="28"/>
          <w:szCs w:val="28"/>
        </w:rPr>
        <w:t xml:space="preserve">it </w:t>
      </w:r>
      <w:r w:rsidRPr="00D953BF">
        <w:rPr>
          <w:sz w:val="28"/>
          <w:szCs w:val="28"/>
        </w:rPr>
        <w:t xml:space="preserve">ordered </w:t>
      </w:r>
      <w:r w:rsidR="00D20B0B" w:rsidRPr="00D953BF">
        <w:rPr>
          <w:sz w:val="28"/>
          <w:szCs w:val="28"/>
        </w:rPr>
        <w:t xml:space="preserve">Dacqup </w:t>
      </w:r>
      <w:r w:rsidRPr="00D953BF">
        <w:rPr>
          <w:sz w:val="28"/>
          <w:szCs w:val="28"/>
        </w:rPr>
        <w:t xml:space="preserve">to pay an administrative fine of R300 000. In addition, </w:t>
      </w:r>
      <w:r w:rsidR="00F911B9" w:rsidRPr="00D953BF">
        <w:rPr>
          <w:sz w:val="28"/>
          <w:szCs w:val="28"/>
        </w:rPr>
        <w:t>the Tribunal</w:t>
      </w:r>
      <w:r w:rsidR="007F4A77" w:rsidRPr="00D953BF">
        <w:rPr>
          <w:sz w:val="28"/>
          <w:szCs w:val="28"/>
        </w:rPr>
        <w:t xml:space="preserve"> </w:t>
      </w:r>
      <w:r w:rsidRPr="00D953BF">
        <w:rPr>
          <w:sz w:val="28"/>
          <w:szCs w:val="28"/>
        </w:rPr>
        <w:t xml:space="preserve">ordered </w:t>
      </w:r>
      <w:r w:rsidR="002F1CC9" w:rsidRPr="00D953BF">
        <w:rPr>
          <w:sz w:val="28"/>
          <w:szCs w:val="28"/>
        </w:rPr>
        <w:t xml:space="preserve">Dacqup </w:t>
      </w:r>
      <w:r w:rsidRPr="00D953BF">
        <w:rPr>
          <w:sz w:val="28"/>
          <w:szCs w:val="28"/>
        </w:rPr>
        <w:t xml:space="preserve">to appoint an auditor, at its own cost, to assess all credit agreements for the three years </w:t>
      </w:r>
      <w:r w:rsidR="002F1CC9" w:rsidRPr="00D953BF">
        <w:rPr>
          <w:sz w:val="28"/>
          <w:szCs w:val="28"/>
        </w:rPr>
        <w:t xml:space="preserve">prior to the investigation, </w:t>
      </w:r>
      <w:r w:rsidRPr="00D953BF">
        <w:rPr>
          <w:sz w:val="28"/>
          <w:szCs w:val="28"/>
        </w:rPr>
        <w:t>and to reimburse overpaid fees and charges to the relevant consumers.</w:t>
      </w:r>
      <w:r w:rsidR="00C3687A" w:rsidRPr="00D953BF">
        <w:rPr>
          <w:sz w:val="28"/>
          <w:szCs w:val="28"/>
        </w:rPr>
        <w:t xml:space="preserve"> </w:t>
      </w:r>
    </w:p>
    <w:p w14:paraId="5A114BF4" w14:textId="77777777" w:rsidR="00CE26E1" w:rsidRPr="00D953BF" w:rsidRDefault="00CE26E1" w:rsidP="00C23BF9">
      <w:pPr>
        <w:spacing w:line="360" w:lineRule="auto"/>
        <w:jc w:val="both"/>
        <w:rPr>
          <w:sz w:val="28"/>
          <w:szCs w:val="28"/>
        </w:rPr>
      </w:pPr>
    </w:p>
    <w:p w14:paraId="0D42E974" w14:textId="4CB49177" w:rsidR="00503E41" w:rsidRPr="00D953BF" w:rsidRDefault="002F1CC9" w:rsidP="00C23BF9">
      <w:pPr>
        <w:pStyle w:val="ListParagraph"/>
        <w:numPr>
          <w:ilvl w:val="0"/>
          <w:numId w:val="2"/>
        </w:numPr>
        <w:spacing w:line="360" w:lineRule="auto"/>
        <w:jc w:val="both"/>
        <w:rPr>
          <w:sz w:val="28"/>
          <w:szCs w:val="28"/>
          <w:lang w:val="en-US"/>
        </w:rPr>
      </w:pPr>
      <w:r w:rsidRPr="00D953BF">
        <w:rPr>
          <w:sz w:val="28"/>
          <w:szCs w:val="28"/>
        </w:rPr>
        <w:lastRenderedPageBreak/>
        <w:t xml:space="preserve">In its appeal to the high court, Dacqup </w:t>
      </w:r>
      <w:r w:rsidR="00FD0666" w:rsidRPr="00D953BF">
        <w:rPr>
          <w:sz w:val="28"/>
          <w:szCs w:val="28"/>
        </w:rPr>
        <w:t>did not appeal the merits</w:t>
      </w:r>
      <w:r w:rsidR="00F827C4" w:rsidRPr="00D953BF">
        <w:rPr>
          <w:sz w:val="28"/>
          <w:szCs w:val="28"/>
        </w:rPr>
        <w:t xml:space="preserve">. It raised </w:t>
      </w:r>
      <w:r w:rsidR="00C43033" w:rsidRPr="00D953BF">
        <w:rPr>
          <w:sz w:val="28"/>
          <w:szCs w:val="28"/>
        </w:rPr>
        <w:t xml:space="preserve">four points </w:t>
      </w:r>
      <w:r w:rsidR="00C43033" w:rsidRPr="00D953BF">
        <w:rPr>
          <w:i/>
          <w:iCs/>
          <w:sz w:val="28"/>
          <w:szCs w:val="28"/>
        </w:rPr>
        <w:t>in limine</w:t>
      </w:r>
      <w:r w:rsidR="00F827C4" w:rsidRPr="00D953BF">
        <w:rPr>
          <w:i/>
          <w:iCs/>
          <w:sz w:val="28"/>
          <w:szCs w:val="28"/>
        </w:rPr>
        <w:t xml:space="preserve">, </w:t>
      </w:r>
      <w:r w:rsidR="00F827C4" w:rsidRPr="00D953BF">
        <w:rPr>
          <w:sz w:val="28"/>
          <w:szCs w:val="28"/>
        </w:rPr>
        <w:t>tw</w:t>
      </w:r>
      <w:r w:rsidR="004B20D5" w:rsidRPr="00D953BF">
        <w:rPr>
          <w:sz w:val="28"/>
          <w:szCs w:val="28"/>
        </w:rPr>
        <w:t xml:space="preserve">o of </w:t>
      </w:r>
      <w:r w:rsidR="00F827C4" w:rsidRPr="00D953BF">
        <w:rPr>
          <w:sz w:val="28"/>
          <w:szCs w:val="28"/>
        </w:rPr>
        <w:t>which</w:t>
      </w:r>
      <w:r w:rsidR="004B20D5" w:rsidRPr="00D953BF">
        <w:rPr>
          <w:sz w:val="28"/>
          <w:szCs w:val="28"/>
        </w:rPr>
        <w:t xml:space="preserve"> were </w:t>
      </w:r>
      <w:r w:rsidR="00C43033" w:rsidRPr="00D953BF">
        <w:rPr>
          <w:sz w:val="28"/>
          <w:szCs w:val="28"/>
        </w:rPr>
        <w:t>abandoned</w:t>
      </w:r>
      <w:r w:rsidR="003D41BE" w:rsidRPr="00D953BF">
        <w:rPr>
          <w:sz w:val="28"/>
          <w:szCs w:val="28"/>
        </w:rPr>
        <w:t>,</w:t>
      </w:r>
      <w:r w:rsidR="00C43033" w:rsidRPr="00D953BF">
        <w:rPr>
          <w:sz w:val="28"/>
          <w:szCs w:val="28"/>
        </w:rPr>
        <w:t xml:space="preserve"> </w:t>
      </w:r>
      <w:r w:rsidR="004A0D50" w:rsidRPr="00D953BF">
        <w:rPr>
          <w:sz w:val="28"/>
          <w:szCs w:val="28"/>
        </w:rPr>
        <w:t xml:space="preserve">including whether the NCR should have afforded </w:t>
      </w:r>
      <w:r w:rsidR="009F6A58" w:rsidRPr="00D953BF">
        <w:rPr>
          <w:sz w:val="28"/>
          <w:szCs w:val="28"/>
        </w:rPr>
        <w:t>D</w:t>
      </w:r>
      <w:r w:rsidR="00FD161A" w:rsidRPr="00D953BF">
        <w:rPr>
          <w:sz w:val="28"/>
          <w:szCs w:val="28"/>
        </w:rPr>
        <w:t xml:space="preserve">acqup </w:t>
      </w:r>
      <w:r w:rsidR="00EB7FA1" w:rsidRPr="00D953BF">
        <w:rPr>
          <w:sz w:val="28"/>
          <w:szCs w:val="28"/>
        </w:rPr>
        <w:t>the right to be heard</w:t>
      </w:r>
      <w:r w:rsidR="009F6A58" w:rsidRPr="00D953BF">
        <w:rPr>
          <w:sz w:val="28"/>
          <w:szCs w:val="28"/>
        </w:rPr>
        <w:t xml:space="preserve"> in its initial investigation. Accordingly,</w:t>
      </w:r>
      <w:r w:rsidR="004B20D5" w:rsidRPr="00D953BF">
        <w:rPr>
          <w:sz w:val="28"/>
          <w:szCs w:val="28"/>
        </w:rPr>
        <w:t xml:space="preserve"> the only issues </w:t>
      </w:r>
      <w:r w:rsidR="009F6A58" w:rsidRPr="00D953BF">
        <w:rPr>
          <w:sz w:val="28"/>
          <w:szCs w:val="28"/>
        </w:rPr>
        <w:t xml:space="preserve">that </w:t>
      </w:r>
      <w:r w:rsidR="004B20D5" w:rsidRPr="00D953BF">
        <w:rPr>
          <w:sz w:val="28"/>
          <w:szCs w:val="28"/>
        </w:rPr>
        <w:t>the high court was</w:t>
      </w:r>
      <w:r w:rsidR="007424D3" w:rsidRPr="00D953BF">
        <w:rPr>
          <w:sz w:val="28"/>
          <w:szCs w:val="28"/>
        </w:rPr>
        <w:t xml:space="preserve"> called upon to determine were</w:t>
      </w:r>
      <w:r w:rsidR="004B20D5" w:rsidRPr="00D953BF">
        <w:rPr>
          <w:sz w:val="28"/>
          <w:szCs w:val="28"/>
        </w:rPr>
        <w:t xml:space="preserve"> whether the </w:t>
      </w:r>
      <w:r w:rsidRPr="00D953BF">
        <w:rPr>
          <w:sz w:val="28"/>
          <w:szCs w:val="28"/>
        </w:rPr>
        <w:t xml:space="preserve">NCR </w:t>
      </w:r>
      <w:r w:rsidR="004B20D5" w:rsidRPr="00D953BF">
        <w:rPr>
          <w:sz w:val="28"/>
          <w:szCs w:val="28"/>
        </w:rPr>
        <w:t>had a</w:t>
      </w:r>
      <w:r w:rsidRPr="00D953BF">
        <w:rPr>
          <w:sz w:val="28"/>
          <w:szCs w:val="28"/>
        </w:rPr>
        <w:t xml:space="preserve"> reasonable suspicion </w:t>
      </w:r>
      <w:r w:rsidR="004B20D5" w:rsidRPr="00D953BF">
        <w:rPr>
          <w:sz w:val="28"/>
          <w:szCs w:val="28"/>
        </w:rPr>
        <w:t>to initiate an</w:t>
      </w:r>
      <w:r w:rsidRPr="00D953BF">
        <w:rPr>
          <w:sz w:val="28"/>
          <w:szCs w:val="28"/>
        </w:rPr>
        <w:t xml:space="preserve"> investigation</w:t>
      </w:r>
      <w:r w:rsidR="004B20D5" w:rsidRPr="00D953BF">
        <w:rPr>
          <w:sz w:val="28"/>
          <w:szCs w:val="28"/>
        </w:rPr>
        <w:t xml:space="preserve"> and whether the order of the Tribunal </w:t>
      </w:r>
      <w:r w:rsidR="00503E41" w:rsidRPr="00D953BF">
        <w:rPr>
          <w:sz w:val="28"/>
          <w:szCs w:val="28"/>
        </w:rPr>
        <w:t>to appoint an auditor</w:t>
      </w:r>
      <w:r w:rsidR="004B20D5" w:rsidRPr="00D953BF">
        <w:rPr>
          <w:sz w:val="28"/>
          <w:szCs w:val="28"/>
        </w:rPr>
        <w:t xml:space="preserve"> was </w:t>
      </w:r>
      <w:r w:rsidR="004B20D5" w:rsidRPr="00D953BF">
        <w:rPr>
          <w:i/>
          <w:iCs/>
          <w:sz w:val="28"/>
          <w:szCs w:val="28"/>
        </w:rPr>
        <w:t>ultra vires</w:t>
      </w:r>
      <w:r w:rsidRPr="00D953BF">
        <w:rPr>
          <w:sz w:val="28"/>
          <w:szCs w:val="28"/>
        </w:rPr>
        <w:t>.</w:t>
      </w:r>
      <w:r w:rsidR="000D110B" w:rsidRPr="00D953BF">
        <w:rPr>
          <w:i/>
          <w:iCs/>
          <w:sz w:val="28"/>
          <w:szCs w:val="28"/>
        </w:rPr>
        <w:t xml:space="preserve"> </w:t>
      </w:r>
      <w:r w:rsidR="00503E41" w:rsidRPr="00D953BF">
        <w:rPr>
          <w:sz w:val="28"/>
          <w:szCs w:val="28"/>
        </w:rPr>
        <w:t xml:space="preserve">Because the high court found in Dacqup’s favour in respect of the first point </w:t>
      </w:r>
      <w:r w:rsidR="00503E41" w:rsidRPr="00D953BF">
        <w:rPr>
          <w:i/>
          <w:iCs/>
          <w:sz w:val="28"/>
          <w:szCs w:val="28"/>
        </w:rPr>
        <w:t>in limine</w:t>
      </w:r>
      <w:r w:rsidR="00503E41" w:rsidRPr="00D953BF">
        <w:rPr>
          <w:sz w:val="28"/>
          <w:szCs w:val="28"/>
        </w:rPr>
        <w:t xml:space="preserve">, it did not consider the </w:t>
      </w:r>
      <w:r w:rsidR="009F6A58" w:rsidRPr="00D953BF">
        <w:rPr>
          <w:sz w:val="28"/>
          <w:szCs w:val="28"/>
        </w:rPr>
        <w:t>question of the appointment of an auditor</w:t>
      </w:r>
      <w:r w:rsidR="00503E41" w:rsidRPr="00D953BF">
        <w:rPr>
          <w:sz w:val="28"/>
          <w:szCs w:val="28"/>
        </w:rPr>
        <w:t xml:space="preserve">. </w:t>
      </w:r>
    </w:p>
    <w:p w14:paraId="5B02BA64" w14:textId="77777777" w:rsidR="00503E41" w:rsidRPr="00D953BF" w:rsidRDefault="00503E41" w:rsidP="00C23BF9">
      <w:pPr>
        <w:spacing w:line="360" w:lineRule="auto"/>
        <w:jc w:val="both"/>
        <w:rPr>
          <w:sz w:val="28"/>
          <w:szCs w:val="28"/>
        </w:rPr>
      </w:pPr>
    </w:p>
    <w:p w14:paraId="19A353B2" w14:textId="6465AA29" w:rsidR="00870132" w:rsidRPr="00D953BF" w:rsidRDefault="00503E41" w:rsidP="00C23BF9">
      <w:pPr>
        <w:pStyle w:val="ListParagraph"/>
        <w:numPr>
          <w:ilvl w:val="0"/>
          <w:numId w:val="2"/>
        </w:numPr>
        <w:spacing w:line="360" w:lineRule="auto"/>
        <w:jc w:val="both"/>
        <w:rPr>
          <w:sz w:val="28"/>
          <w:szCs w:val="28"/>
          <w:lang w:val="en-US"/>
        </w:rPr>
      </w:pPr>
      <w:r w:rsidRPr="00D953BF">
        <w:rPr>
          <w:sz w:val="28"/>
          <w:szCs w:val="28"/>
          <w:lang w:val="en-US"/>
        </w:rPr>
        <w:t>Dacqup’s argument</w:t>
      </w:r>
      <w:r w:rsidR="00FB6385" w:rsidRPr="00D953BF">
        <w:rPr>
          <w:sz w:val="28"/>
          <w:szCs w:val="28"/>
          <w:lang w:val="en-US"/>
        </w:rPr>
        <w:t>,</w:t>
      </w:r>
      <w:r w:rsidRPr="00D953BF">
        <w:rPr>
          <w:sz w:val="28"/>
          <w:szCs w:val="28"/>
          <w:lang w:val="en-US"/>
        </w:rPr>
        <w:t xml:space="preserve"> which found favour w</w:t>
      </w:r>
      <w:r w:rsidR="00803357" w:rsidRPr="00D953BF">
        <w:rPr>
          <w:sz w:val="28"/>
          <w:szCs w:val="28"/>
          <w:lang w:val="en-US"/>
        </w:rPr>
        <w:t>i</w:t>
      </w:r>
      <w:r w:rsidRPr="00D953BF">
        <w:rPr>
          <w:sz w:val="28"/>
          <w:szCs w:val="28"/>
          <w:lang w:val="en-US"/>
        </w:rPr>
        <w:t>th the high court</w:t>
      </w:r>
      <w:r w:rsidR="00FB6385" w:rsidRPr="00D953BF">
        <w:rPr>
          <w:sz w:val="28"/>
          <w:szCs w:val="28"/>
          <w:lang w:val="en-US"/>
        </w:rPr>
        <w:t>,</w:t>
      </w:r>
      <w:r w:rsidRPr="00D953BF">
        <w:rPr>
          <w:sz w:val="28"/>
          <w:szCs w:val="28"/>
          <w:lang w:val="en-US"/>
        </w:rPr>
        <w:t xml:space="preserve"> </w:t>
      </w:r>
      <w:r w:rsidR="00803357" w:rsidRPr="00D953BF">
        <w:rPr>
          <w:sz w:val="28"/>
          <w:szCs w:val="28"/>
          <w:lang w:val="en-US"/>
        </w:rPr>
        <w:t xml:space="preserve">was </w:t>
      </w:r>
      <w:r w:rsidR="00855F59" w:rsidRPr="00D953BF">
        <w:rPr>
          <w:sz w:val="28"/>
          <w:szCs w:val="28"/>
          <w:lang w:val="en-US"/>
        </w:rPr>
        <w:t>that the words ‘instant loans’ could not objectively trigger a reasonable suspicion, as the phrase could reasonably be understood to mean that Dacqup acts ‘</w:t>
      </w:r>
      <w:r w:rsidR="00855F59" w:rsidRPr="00D953BF">
        <w:rPr>
          <w:sz w:val="28"/>
          <w:szCs w:val="28"/>
        </w:rPr>
        <w:t>promptly, swiftly or speedily</w:t>
      </w:r>
      <w:r w:rsidR="00855F59" w:rsidRPr="00D953BF">
        <w:rPr>
          <w:sz w:val="28"/>
          <w:szCs w:val="28"/>
          <w:lang w:val="en-US"/>
        </w:rPr>
        <w:t xml:space="preserve">’, yet lawfully. Although the high court noted that the words literally meant ‘happening or coming immediately’, this, it </w:t>
      </w:r>
      <w:r w:rsidR="000D110B" w:rsidRPr="00D953BF">
        <w:rPr>
          <w:sz w:val="28"/>
          <w:szCs w:val="28"/>
          <w:lang w:val="en-US"/>
        </w:rPr>
        <w:t>held</w:t>
      </w:r>
      <w:r w:rsidR="00855F59" w:rsidRPr="00D953BF">
        <w:rPr>
          <w:sz w:val="28"/>
          <w:szCs w:val="28"/>
          <w:lang w:val="en-US"/>
        </w:rPr>
        <w:t xml:space="preserve">, reasonably meant nothing more than acting swiftly. The high court </w:t>
      </w:r>
      <w:r w:rsidR="00870132" w:rsidRPr="00D953BF">
        <w:rPr>
          <w:sz w:val="28"/>
          <w:szCs w:val="28"/>
          <w:lang w:val="en-US"/>
        </w:rPr>
        <w:t xml:space="preserve">further reasoned </w:t>
      </w:r>
      <w:r w:rsidR="00855F59" w:rsidRPr="00D953BF">
        <w:rPr>
          <w:sz w:val="28"/>
          <w:szCs w:val="28"/>
          <w:lang w:val="en-US"/>
        </w:rPr>
        <w:t>that if the NCR wanted to establish whether Dacqup’s conduct was unlawful, Ms Mbedzi should have requested a loan, posing as a customer.</w:t>
      </w:r>
      <w:r w:rsidR="00855F59" w:rsidRPr="00D953BF">
        <w:rPr>
          <w:sz w:val="28"/>
          <w:szCs w:val="28"/>
        </w:rPr>
        <w:t xml:space="preserve"> This would have established precisely what was meant by the words ‘instant loans’, and thus whether an investigation should have been conducted. </w:t>
      </w:r>
    </w:p>
    <w:p w14:paraId="36E64811" w14:textId="77777777" w:rsidR="00CE15B4" w:rsidRPr="00D953BF" w:rsidRDefault="00CE15B4" w:rsidP="00C23BF9">
      <w:pPr>
        <w:pStyle w:val="ListParagraph"/>
        <w:spacing w:line="360" w:lineRule="auto"/>
        <w:ind w:left="0"/>
        <w:jc w:val="both"/>
        <w:rPr>
          <w:sz w:val="28"/>
          <w:szCs w:val="28"/>
        </w:rPr>
      </w:pPr>
    </w:p>
    <w:p w14:paraId="27A14316" w14:textId="4B42FD2B" w:rsidR="00870132" w:rsidRPr="00D953BF" w:rsidRDefault="00870132" w:rsidP="00C23BF9">
      <w:pPr>
        <w:pStyle w:val="ListParagraph"/>
        <w:numPr>
          <w:ilvl w:val="0"/>
          <w:numId w:val="2"/>
        </w:numPr>
        <w:spacing w:line="360" w:lineRule="auto"/>
        <w:jc w:val="both"/>
        <w:rPr>
          <w:sz w:val="28"/>
          <w:szCs w:val="28"/>
          <w:lang w:val="en-US"/>
        </w:rPr>
      </w:pPr>
      <w:r w:rsidRPr="00D953BF">
        <w:rPr>
          <w:sz w:val="28"/>
          <w:szCs w:val="28"/>
          <w:lang w:val="en-US"/>
        </w:rPr>
        <w:t>The high court accepted Dacqup’s argument that the complaint was initiated only on the memorandum of Ms Mbedzi, who conducted the scouting exercise</w:t>
      </w:r>
      <w:r w:rsidR="001B1EBE" w:rsidRPr="00D953BF">
        <w:rPr>
          <w:sz w:val="28"/>
          <w:szCs w:val="28"/>
          <w:lang w:val="en-US"/>
        </w:rPr>
        <w:t xml:space="preserve"> </w:t>
      </w:r>
      <w:r w:rsidRPr="00D953BF">
        <w:rPr>
          <w:sz w:val="28"/>
          <w:szCs w:val="28"/>
          <w:lang w:val="en-US"/>
        </w:rPr>
        <w:t xml:space="preserve">and that the contents of the founding affidavit were not relevant in this regard. Ms Mbedzi’s memorandum, dated 23 October 2018, only made mention of two grounds of suspicion: the words ‘instant loans’ and that </w:t>
      </w:r>
      <w:r w:rsidR="00D74F7A" w:rsidRPr="00D953BF">
        <w:rPr>
          <w:sz w:val="28"/>
          <w:szCs w:val="28"/>
          <w:lang w:val="en-US"/>
        </w:rPr>
        <w:t xml:space="preserve">she had been told </w:t>
      </w:r>
      <w:r w:rsidR="00846F95" w:rsidRPr="00D953BF">
        <w:rPr>
          <w:sz w:val="28"/>
          <w:szCs w:val="28"/>
          <w:lang w:val="en-US"/>
        </w:rPr>
        <w:t>on enquiry</w:t>
      </w:r>
      <w:r w:rsidR="00D74F7A" w:rsidRPr="00D953BF">
        <w:rPr>
          <w:sz w:val="28"/>
          <w:szCs w:val="28"/>
          <w:lang w:val="en-US"/>
        </w:rPr>
        <w:t xml:space="preserve"> that </w:t>
      </w:r>
      <w:r w:rsidRPr="00D953BF">
        <w:rPr>
          <w:sz w:val="28"/>
          <w:szCs w:val="28"/>
          <w:lang w:val="en-US"/>
        </w:rPr>
        <w:t>the interest rate was 30%.</w:t>
      </w:r>
    </w:p>
    <w:p w14:paraId="7B60EE4B" w14:textId="0D2A0CEC" w:rsidR="00870132" w:rsidRPr="00D953BF" w:rsidRDefault="001B1EBE" w:rsidP="00C23BF9">
      <w:pPr>
        <w:pStyle w:val="ListParagraph"/>
        <w:numPr>
          <w:ilvl w:val="0"/>
          <w:numId w:val="2"/>
        </w:numPr>
        <w:spacing w:line="360" w:lineRule="auto"/>
        <w:jc w:val="both"/>
        <w:rPr>
          <w:sz w:val="28"/>
          <w:szCs w:val="28"/>
          <w:lang w:val="en-US"/>
        </w:rPr>
      </w:pPr>
      <w:r w:rsidRPr="00D953BF">
        <w:rPr>
          <w:sz w:val="28"/>
          <w:szCs w:val="28"/>
          <w:lang w:val="en-US"/>
        </w:rPr>
        <w:lastRenderedPageBreak/>
        <w:t xml:space="preserve">Regarding the allegation that </w:t>
      </w:r>
      <w:r w:rsidR="00870132" w:rsidRPr="00D953BF">
        <w:rPr>
          <w:sz w:val="28"/>
          <w:szCs w:val="28"/>
          <w:lang w:val="en-US"/>
        </w:rPr>
        <w:t>Dacqup was charging 30% per month in interest</w:t>
      </w:r>
      <w:r w:rsidRPr="00D953BF">
        <w:rPr>
          <w:sz w:val="28"/>
          <w:szCs w:val="28"/>
          <w:lang w:val="en-US"/>
        </w:rPr>
        <w:t xml:space="preserve">, the high court was of the view that this complaint </w:t>
      </w:r>
      <w:r w:rsidR="00870132" w:rsidRPr="00D953BF">
        <w:rPr>
          <w:sz w:val="28"/>
          <w:szCs w:val="28"/>
          <w:lang w:val="en-US"/>
        </w:rPr>
        <w:t>was not the basis on which the investigation was initiated</w:t>
      </w:r>
      <w:r w:rsidR="008D44A2" w:rsidRPr="00D953BF">
        <w:rPr>
          <w:sz w:val="28"/>
          <w:szCs w:val="28"/>
          <w:lang w:val="en-US"/>
        </w:rPr>
        <w:t>. However, t</w:t>
      </w:r>
      <w:r w:rsidR="003B63C2" w:rsidRPr="00D953BF">
        <w:rPr>
          <w:sz w:val="28"/>
          <w:szCs w:val="28"/>
          <w:lang w:val="en-US"/>
        </w:rPr>
        <w:t>his is not borne out by the facts</w:t>
      </w:r>
      <w:r w:rsidR="008D44A2" w:rsidRPr="00D953BF">
        <w:rPr>
          <w:sz w:val="28"/>
          <w:szCs w:val="28"/>
          <w:lang w:val="en-US"/>
        </w:rPr>
        <w:t>.</w:t>
      </w:r>
      <w:r w:rsidR="00721795" w:rsidRPr="00D953BF">
        <w:rPr>
          <w:sz w:val="28"/>
          <w:szCs w:val="28"/>
          <w:lang w:val="en-US"/>
        </w:rPr>
        <w:t xml:space="preserve"> T</w:t>
      </w:r>
      <w:r w:rsidR="00870132" w:rsidRPr="00D953BF">
        <w:rPr>
          <w:sz w:val="28"/>
          <w:szCs w:val="28"/>
          <w:lang w:val="en-US"/>
        </w:rPr>
        <w:t xml:space="preserve">he 30% interest rate was set out </w:t>
      </w:r>
      <w:r w:rsidR="00721795" w:rsidRPr="00D953BF">
        <w:rPr>
          <w:sz w:val="28"/>
          <w:szCs w:val="28"/>
          <w:lang w:val="en-US"/>
        </w:rPr>
        <w:t xml:space="preserve">both in Ms Mbdezi’s memorandum and </w:t>
      </w:r>
      <w:r w:rsidR="00870132" w:rsidRPr="00D953BF">
        <w:rPr>
          <w:sz w:val="28"/>
          <w:szCs w:val="28"/>
          <w:lang w:val="en-US"/>
        </w:rPr>
        <w:t>in</w:t>
      </w:r>
      <w:r w:rsidR="00DB6505" w:rsidRPr="00D953BF">
        <w:rPr>
          <w:sz w:val="28"/>
          <w:szCs w:val="28"/>
          <w:lang w:val="en-US"/>
        </w:rPr>
        <w:t xml:space="preserve"> another internal memorandum</w:t>
      </w:r>
      <w:r w:rsidR="009F545F" w:rsidRPr="00D953BF">
        <w:rPr>
          <w:sz w:val="28"/>
          <w:szCs w:val="28"/>
          <w:lang w:val="en-US"/>
        </w:rPr>
        <w:t xml:space="preserve"> by</w:t>
      </w:r>
      <w:r w:rsidR="00BD3D90" w:rsidRPr="00D953BF">
        <w:rPr>
          <w:sz w:val="28"/>
          <w:szCs w:val="28"/>
          <w:lang w:val="en-US"/>
        </w:rPr>
        <w:t xml:space="preserve"> a junior inspector</w:t>
      </w:r>
      <w:r w:rsidR="008D44A2" w:rsidRPr="00D953BF">
        <w:rPr>
          <w:sz w:val="28"/>
          <w:szCs w:val="28"/>
          <w:lang w:val="en-US"/>
        </w:rPr>
        <w:t>,</w:t>
      </w:r>
      <w:r w:rsidR="009F545F" w:rsidRPr="00D953BF">
        <w:rPr>
          <w:sz w:val="28"/>
          <w:szCs w:val="28"/>
          <w:lang w:val="en-US"/>
        </w:rPr>
        <w:t xml:space="preserve"> </w:t>
      </w:r>
      <w:r w:rsidR="00846F95" w:rsidRPr="00D953BF">
        <w:rPr>
          <w:sz w:val="28"/>
          <w:szCs w:val="28"/>
          <w:lang w:val="en-US"/>
        </w:rPr>
        <w:t>dated 18 December 2018</w:t>
      </w:r>
      <w:r w:rsidR="0011407D" w:rsidRPr="00D953BF">
        <w:rPr>
          <w:sz w:val="28"/>
          <w:szCs w:val="28"/>
          <w:lang w:val="en-US"/>
        </w:rPr>
        <w:t xml:space="preserve">, </w:t>
      </w:r>
      <w:r w:rsidR="00870132" w:rsidRPr="00D953BF">
        <w:rPr>
          <w:sz w:val="28"/>
          <w:szCs w:val="28"/>
          <w:lang w:val="en-US"/>
        </w:rPr>
        <w:t>requesting an investigation</w:t>
      </w:r>
      <w:r w:rsidR="00721795" w:rsidRPr="00D953BF">
        <w:rPr>
          <w:sz w:val="28"/>
          <w:szCs w:val="28"/>
          <w:lang w:val="en-US"/>
        </w:rPr>
        <w:t>. This was in addition to the</w:t>
      </w:r>
      <w:r w:rsidR="00870132" w:rsidRPr="00D953BF">
        <w:rPr>
          <w:sz w:val="28"/>
          <w:szCs w:val="28"/>
          <w:lang w:val="en-US"/>
        </w:rPr>
        <w:t xml:space="preserve"> founding affidavit of Ms Peters before the Tribunal. Nonetheless, according to the high court, the complaint was not initiated on the basis of prohibited advertising, nor the 30% interest rate charged on short-term loans, but merely on the advertising board. </w:t>
      </w:r>
    </w:p>
    <w:p w14:paraId="50A2B0C0" w14:textId="0BF6DEB4" w:rsidR="00870132" w:rsidRPr="00D953BF" w:rsidRDefault="00870132" w:rsidP="00C23BF9">
      <w:pPr>
        <w:pStyle w:val="ListParagraph"/>
        <w:spacing w:line="360" w:lineRule="auto"/>
        <w:ind w:left="0"/>
        <w:jc w:val="both"/>
        <w:rPr>
          <w:sz w:val="28"/>
          <w:szCs w:val="28"/>
          <w:lang w:val="en-US"/>
        </w:rPr>
      </w:pPr>
    </w:p>
    <w:p w14:paraId="0C63992F" w14:textId="77777777" w:rsidR="00870132" w:rsidRPr="00D953BF" w:rsidRDefault="00870132" w:rsidP="00C23BF9">
      <w:pPr>
        <w:pStyle w:val="ListParagraph"/>
        <w:numPr>
          <w:ilvl w:val="0"/>
          <w:numId w:val="2"/>
        </w:numPr>
        <w:spacing w:line="360" w:lineRule="auto"/>
        <w:jc w:val="both"/>
        <w:rPr>
          <w:sz w:val="28"/>
          <w:szCs w:val="28"/>
          <w:lang w:val="en-US"/>
        </w:rPr>
      </w:pPr>
      <w:r w:rsidRPr="00D953BF">
        <w:rPr>
          <w:sz w:val="28"/>
          <w:szCs w:val="28"/>
          <w:lang w:val="en-US"/>
        </w:rPr>
        <w:t>On the basis of the above, the high court concluded:</w:t>
      </w:r>
    </w:p>
    <w:p w14:paraId="1066BF53" w14:textId="1AC57695" w:rsidR="00855F59" w:rsidRPr="00D953BF" w:rsidRDefault="00870132" w:rsidP="00C23BF9">
      <w:pPr>
        <w:pStyle w:val="ListParagraph"/>
        <w:spacing w:line="360" w:lineRule="auto"/>
        <w:ind w:left="0"/>
        <w:jc w:val="both"/>
        <w:rPr>
          <w:lang w:val="en-US"/>
        </w:rPr>
      </w:pPr>
      <w:r w:rsidRPr="00D953BF">
        <w:rPr>
          <w:lang w:val="en-US"/>
        </w:rPr>
        <w:t>‘To allow the NCRA to initiate an investigation, such as the one in this matter, on a mere signage, sets the bar so low that it offends the sensibility of what should be good practice. It also offends the notion of what should constitute a reasonable suspicion. If indeed, a reasonable suspicion is formed objectively then there must be objective facts which support it – such as the inspector attempted to ascertain the procedure by which the loan application would take place and, indeed, how quickly a loan would be advanced. If [Dacqup’s] procedures are streamlined, and on the face of it, comply with the provisions of the Act, and the loan is advanced “promptly”, “swiftly” or “speedily” then (objectively speaking) there cannot be a “reasonable suspicion” that</w:t>
      </w:r>
      <w:r w:rsidR="008039FA" w:rsidRPr="00D953BF">
        <w:rPr>
          <w:lang w:val="en-US"/>
        </w:rPr>
        <w:t xml:space="preserve"> the Act is being contravened.’</w:t>
      </w:r>
    </w:p>
    <w:p w14:paraId="1FABBEDA" w14:textId="77777777" w:rsidR="008039FA" w:rsidRPr="00D953BF" w:rsidRDefault="008039FA" w:rsidP="00C23BF9">
      <w:pPr>
        <w:pStyle w:val="ListParagraph"/>
        <w:spacing w:line="360" w:lineRule="auto"/>
        <w:ind w:left="0"/>
        <w:jc w:val="both"/>
        <w:rPr>
          <w:lang w:val="en-US"/>
        </w:rPr>
      </w:pPr>
    </w:p>
    <w:p w14:paraId="08D51B54" w14:textId="77777777" w:rsidR="00301B5A" w:rsidRPr="00D953BF" w:rsidRDefault="00301B5A" w:rsidP="00C23BF9">
      <w:pPr>
        <w:pStyle w:val="ListParagraph"/>
        <w:numPr>
          <w:ilvl w:val="0"/>
          <w:numId w:val="2"/>
        </w:numPr>
        <w:spacing w:line="360" w:lineRule="auto"/>
        <w:jc w:val="both"/>
        <w:rPr>
          <w:sz w:val="28"/>
          <w:szCs w:val="28"/>
        </w:rPr>
      </w:pPr>
      <w:r w:rsidRPr="00D953BF">
        <w:rPr>
          <w:sz w:val="28"/>
          <w:szCs w:val="28"/>
        </w:rPr>
        <w:t xml:space="preserve">Accordingly, without considering the merits as to whether Dacqup had contravened the NCA in material respects, the high court upheld Dacqup’s appeal with costs. </w:t>
      </w:r>
    </w:p>
    <w:p w14:paraId="1C574702" w14:textId="77777777" w:rsidR="00301B5A" w:rsidRPr="00D953BF" w:rsidRDefault="00301B5A" w:rsidP="00C23BF9">
      <w:pPr>
        <w:pStyle w:val="ListParagraph"/>
        <w:spacing w:line="360" w:lineRule="auto"/>
        <w:ind w:left="0"/>
        <w:jc w:val="both"/>
        <w:rPr>
          <w:sz w:val="28"/>
          <w:szCs w:val="28"/>
        </w:rPr>
      </w:pPr>
    </w:p>
    <w:p w14:paraId="57A91DB4" w14:textId="24845352" w:rsidR="00C26334" w:rsidRPr="00D953BF" w:rsidRDefault="00301B5A" w:rsidP="00C23BF9">
      <w:pPr>
        <w:pStyle w:val="ListParagraph"/>
        <w:numPr>
          <w:ilvl w:val="0"/>
          <w:numId w:val="2"/>
        </w:numPr>
        <w:spacing w:line="360" w:lineRule="auto"/>
        <w:jc w:val="both"/>
        <w:rPr>
          <w:sz w:val="28"/>
          <w:szCs w:val="28"/>
        </w:rPr>
      </w:pPr>
      <w:r w:rsidRPr="00D953BF">
        <w:rPr>
          <w:sz w:val="28"/>
          <w:szCs w:val="28"/>
        </w:rPr>
        <w:t xml:space="preserve"> </w:t>
      </w:r>
      <w:r w:rsidR="008A2904" w:rsidRPr="00D953BF">
        <w:rPr>
          <w:sz w:val="28"/>
          <w:szCs w:val="28"/>
        </w:rPr>
        <w:t xml:space="preserve">In this Court, the </w:t>
      </w:r>
      <w:r w:rsidR="006256D1" w:rsidRPr="00D953BF">
        <w:rPr>
          <w:sz w:val="28"/>
          <w:szCs w:val="28"/>
        </w:rPr>
        <w:t xml:space="preserve">parties agreed that the </w:t>
      </w:r>
      <w:r w:rsidR="007465F1" w:rsidRPr="00D953BF">
        <w:rPr>
          <w:sz w:val="28"/>
          <w:szCs w:val="28"/>
        </w:rPr>
        <w:t>appeal hinge</w:t>
      </w:r>
      <w:r w:rsidR="001B1EBE" w:rsidRPr="00D953BF">
        <w:rPr>
          <w:sz w:val="28"/>
          <w:szCs w:val="28"/>
        </w:rPr>
        <w:t>d</w:t>
      </w:r>
      <w:r w:rsidR="004E5ABD" w:rsidRPr="00D953BF">
        <w:rPr>
          <w:sz w:val="28"/>
          <w:szCs w:val="28"/>
        </w:rPr>
        <w:t xml:space="preserve"> </w:t>
      </w:r>
      <w:r w:rsidR="009F6A58" w:rsidRPr="00D953BF">
        <w:rPr>
          <w:sz w:val="28"/>
          <w:szCs w:val="28"/>
        </w:rPr>
        <w:t xml:space="preserve">exclusively </w:t>
      </w:r>
      <w:r w:rsidR="004E5ABD" w:rsidRPr="00D953BF">
        <w:rPr>
          <w:sz w:val="28"/>
          <w:szCs w:val="28"/>
        </w:rPr>
        <w:t>on whether the</w:t>
      </w:r>
      <w:r w:rsidR="008A2904" w:rsidRPr="00D953BF">
        <w:rPr>
          <w:sz w:val="28"/>
          <w:szCs w:val="28"/>
        </w:rPr>
        <w:t xml:space="preserve"> high court was correct in upholding</w:t>
      </w:r>
      <w:r w:rsidR="004E5ABD" w:rsidRPr="00D953BF">
        <w:rPr>
          <w:sz w:val="28"/>
          <w:szCs w:val="28"/>
        </w:rPr>
        <w:t xml:space="preserve"> Dacqup</w:t>
      </w:r>
      <w:r w:rsidR="008A2904" w:rsidRPr="00D953BF">
        <w:rPr>
          <w:sz w:val="28"/>
          <w:szCs w:val="28"/>
        </w:rPr>
        <w:t xml:space="preserve">’s point </w:t>
      </w:r>
      <w:r w:rsidR="008A2904" w:rsidRPr="00D953BF">
        <w:rPr>
          <w:i/>
          <w:iCs/>
          <w:sz w:val="28"/>
          <w:szCs w:val="28"/>
        </w:rPr>
        <w:t>in limine</w:t>
      </w:r>
      <w:r w:rsidR="009F6A58" w:rsidRPr="00D953BF">
        <w:rPr>
          <w:sz w:val="28"/>
          <w:szCs w:val="28"/>
        </w:rPr>
        <w:t xml:space="preserve"> that </w:t>
      </w:r>
      <w:r w:rsidR="009F6A58" w:rsidRPr="00D953BF">
        <w:rPr>
          <w:sz w:val="28"/>
          <w:szCs w:val="28"/>
        </w:rPr>
        <w:lastRenderedPageBreak/>
        <w:t>there was no reasonable suspicion to initiate an investigation</w:t>
      </w:r>
      <w:r w:rsidR="008A2904" w:rsidRPr="00D953BF">
        <w:rPr>
          <w:sz w:val="28"/>
          <w:szCs w:val="28"/>
        </w:rPr>
        <w:t>.</w:t>
      </w:r>
      <w:r w:rsidR="004E5ABD" w:rsidRPr="00D953BF">
        <w:rPr>
          <w:sz w:val="28"/>
          <w:szCs w:val="28"/>
        </w:rPr>
        <w:t xml:space="preserve"> </w:t>
      </w:r>
      <w:r w:rsidR="00CE26E1" w:rsidRPr="00D953BF">
        <w:rPr>
          <w:sz w:val="28"/>
          <w:szCs w:val="28"/>
        </w:rPr>
        <w:t xml:space="preserve">If that is answered in the affirmative, the secondary issue is </w:t>
      </w:r>
      <w:r w:rsidR="004E5ABD" w:rsidRPr="00D953BF">
        <w:rPr>
          <w:sz w:val="28"/>
          <w:szCs w:val="28"/>
        </w:rPr>
        <w:t xml:space="preserve">whether the Tribunal had the power to </w:t>
      </w:r>
      <w:r w:rsidR="00CE26E1" w:rsidRPr="00D953BF">
        <w:rPr>
          <w:sz w:val="28"/>
          <w:szCs w:val="28"/>
        </w:rPr>
        <w:t xml:space="preserve">make the </w:t>
      </w:r>
      <w:r w:rsidR="00C3687A" w:rsidRPr="00D953BF">
        <w:rPr>
          <w:sz w:val="28"/>
          <w:szCs w:val="28"/>
        </w:rPr>
        <w:t xml:space="preserve">audit order. </w:t>
      </w:r>
    </w:p>
    <w:p w14:paraId="16DB2CBC" w14:textId="6E85477B" w:rsidR="00A60568" w:rsidRPr="00D953BF" w:rsidRDefault="00A60568" w:rsidP="00C23BF9">
      <w:pPr>
        <w:pStyle w:val="ListParagraph"/>
        <w:spacing w:line="360" w:lineRule="auto"/>
        <w:ind w:left="0"/>
        <w:jc w:val="both"/>
        <w:rPr>
          <w:b/>
          <w:sz w:val="28"/>
          <w:szCs w:val="28"/>
          <w:lang w:val="en-US"/>
        </w:rPr>
      </w:pPr>
    </w:p>
    <w:p w14:paraId="00852E37" w14:textId="2C7E5838" w:rsidR="00811E81" w:rsidRPr="00D953BF" w:rsidRDefault="00A13A42" w:rsidP="00C23BF9">
      <w:pPr>
        <w:numPr>
          <w:ilvl w:val="0"/>
          <w:numId w:val="2"/>
        </w:numPr>
        <w:spacing w:line="360" w:lineRule="auto"/>
        <w:jc w:val="both"/>
        <w:rPr>
          <w:sz w:val="28"/>
          <w:szCs w:val="28"/>
        </w:rPr>
      </w:pPr>
      <w:r w:rsidRPr="00D953BF">
        <w:rPr>
          <w:sz w:val="28"/>
          <w:szCs w:val="28"/>
          <w:lang w:val="en-US"/>
        </w:rPr>
        <w:t>Before dealing with the main issue, a related submission advance</w:t>
      </w:r>
      <w:r w:rsidR="004D1EAC" w:rsidRPr="00D953BF">
        <w:rPr>
          <w:sz w:val="28"/>
          <w:szCs w:val="28"/>
          <w:lang w:val="en-US"/>
        </w:rPr>
        <w:t>d</w:t>
      </w:r>
      <w:r w:rsidRPr="00D953BF">
        <w:rPr>
          <w:sz w:val="28"/>
          <w:szCs w:val="28"/>
          <w:lang w:val="en-US"/>
        </w:rPr>
        <w:t xml:space="preserve"> by Dacqup should be disposed of. </w:t>
      </w:r>
      <w:r w:rsidR="00C7147E" w:rsidRPr="00D953BF">
        <w:rPr>
          <w:sz w:val="28"/>
          <w:szCs w:val="28"/>
        </w:rPr>
        <w:t>Th</w:t>
      </w:r>
      <w:r w:rsidRPr="00D953BF">
        <w:rPr>
          <w:sz w:val="28"/>
          <w:szCs w:val="28"/>
        </w:rPr>
        <w:t>is concerned</w:t>
      </w:r>
      <w:r w:rsidR="00A97863" w:rsidRPr="00D953BF">
        <w:rPr>
          <w:sz w:val="28"/>
          <w:szCs w:val="28"/>
        </w:rPr>
        <w:t xml:space="preserve"> the admissibility of </w:t>
      </w:r>
      <w:r w:rsidR="00C7147E" w:rsidRPr="00D953BF">
        <w:rPr>
          <w:sz w:val="28"/>
          <w:szCs w:val="28"/>
        </w:rPr>
        <w:t>Ms</w:t>
      </w:r>
      <w:r w:rsidR="00D968E5" w:rsidRPr="00D953BF">
        <w:rPr>
          <w:sz w:val="28"/>
          <w:szCs w:val="28"/>
        </w:rPr>
        <w:t> </w:t>
      </w:r>
      <w:r w:rsidR="00C7147E" w:rsidRPr="00D953BF">
        <w:rPr>
          <w:sz w:val="28"/>
          <w:szCs w:val="28"/>
        </w:rPr>
        <w:t>Mbedzi’s memorandum</w:t>
      </w:r>
      <w:r w:rsidR="00A97863" w:rsidRPr="00D953BF">
        <w:rPr>
          <w:sz w:val="28"/>
          <w:szCs w:val="28"/>
        </w:rPr>
        <w:t>.</w:t>
      </w:r>
      <w:r w:rsidR="00C7147E" w:rsidRPr="00D953BF">
        <w:rPr>
          <w:sz w:val="28"/>
          <w:szCs w:val="28"/>
        </w:rPr>
        <w:t xml:space="preserve"> </w:t>
      </w:r>
      <w:r w:rsidR="000B3CCB" w:rsidRPr="00D953BF">
        <w:rPr>
          <w:sz w:val="28"/>
          <w:szCs w:val="28"/>
        </w:rPr>
        <w:t xml:space="preserve">It </w:t>
      </w:r>
      <w:r w:rsidR="00C7147E" w:rsidRPr="00D953BF">
        <w:rPr>
          <w:sz w:val="28"/>
          <w:szCs w:val="28"/>
        </w:rPr>
        <w:t xml:space="preserve">was </w:t>
      </w:r>
      <w:r w:rsidR="000B3CCB" w:rsidRPr="00D953BF">
        <w:rPr>
          <w:sz w:val="28"/>
          <w:szCs w:val="28"/>
        </w:rPr>
        <w:t xml:space="preserve">contended that the memorandum was </w:t>
      </w:r>
      <w:r w:rsidR="00C7147E" w:rsidRPr="00D953BF">
        <w:rPr>
          <w:sz w:val="28"/>
          <w:szCs w:val="28"/>
        </w:rPr>
        <w:t xml:space="preserve">inadmissible hearsay evidence which could not be cured by a confirmatory affidavit attached to the founding affidavit of the NCR. </w:t>
      </w:r>
      <w:r w:rsidR="00811E81" w:rsidRPr="00D953BF">
        <w:rPr>
          <w:sz w:val="28"/>
          <w:szCs w:val="28"/>
        </w:rPr>
        <w:t xml:space="preserve">This Court in </w:t>
      </w:r>
      <w:r w:rsidR="00811E81" w:rsidRPr="00D953BF">
        <w:rPr>
          <w:i/>
          <w:sz w:val="28"/>
          <w:szCs w:val="28"/>
        </w:rPr>
        <w:t>Competition Commission v Yara</w:t>
      </w:r>
      <w:r w:rsidR="00D968E5" w:rsidRPr="00D953BF">
        <w:rPr>
          <w:iCs/>
          <w:sz w:val="28"/>
          <w:szCs w:val="28"/>
        </w:rPr>
        <w:t>,</w:t>
      </w:r>
      <w:r w:rsidR="00811E81" w:rsidRPr="00D953BF">
        <w:rPr>
          <w:rStyle w:val="FootnoteReference"/>
          <w:sz w:val="28"/>
          <w:szCs w:val="28"/>
        </w:rPr>
        <w:footnoteReference w:id="5"/>
      </w:r>
      <w:r w:rsidR="00811E81" w:rsidRPr="00D953BF">
        <w:rPr>
          <w:sz w:val="28"/>
          <w:szCs w:val="28"/>
        </w:rPr>
        <w:t xml:space="preserve"> observed that the initiation of a complaint was an ‘awkward concept’ which start</w:t>
      </w:r>
      <w:r w:rsidR="003B63C2" w:rsidRPr="00D953BF">
        <w:rPr>
          <w:sz w:val="28"/>
          <w:szCs w:val="28"/>
        </w:rPr>
        <w:t>ed</w:t>
      </w:r>
      <w:r w:rsidR="00811E81" w:rsidRPr="00D953BF">
        <w:rPr>
          <w:sz w:val="28"/>
          <w:szCs w:val="28"/>
        </w:rPr>
        <w:t xml:space="preserve"> a process by directing an investigation which may, or may not, lead to a referral of the compla</w:t>
      </w:r>
      <w:r w:rsidR="00721795" w:rsidRPr="00D953BF">
        <w:rPr>
          <w:sz w:val="28"/>
          <w:szCs w:val="28"/>
        </w:rPr>
        <w:t xml:space="preserve">int to the Tribunal. It does so </w:t>
      </w:r>
      <w:r w:rsidR="00811E81" w:rsidRPr="00D953BF">
        <w:rPr>
          <w:sz w:val="28"/>
          <w:szCs w:val="28"/>
        </w:rPr>
        <w:t>on the basis of information received from an informant; or what it gathers from media reports; or what it discovers in the process of investigating a different complaint. The decision to open a case can be informal or tacit.</w:t>
      </w:r>
    </w:p>
    <w:p w14:paraId="060B2E3F" w14:textId="4CD347FF" w:rsidR="008D44A2" w:rsidRPr="00D953BF" w:rsidRDefault="008D44A2" w:rsidP="008D44A2">
      <w:pPr>
        <w:spacing w:line="360" w:lineRule="auto"/>
        <w:jc w:val="both"/>
        <w:rPr>
          <w:sz w:val="28"/>
          <w:szCs w:val="28"/>
        </w:rPr>
      </w:pPr>
    </w:p>
    <w:p w14:paraId="7F63939E" w14:textId="38ACD6C7" w:rsidR="00C7147E" w:rsidRPr="00D953BF" w:rsidRDefault="00C7147E" w:rsidP="00C23BF9">
      <w:pPr>
        <w:pStyle w:val="ListParagraph"/>
        <w:numPr>
          <w:ilvl w:val="0"/>
          <w:numId w:val="2"/>
        </w:numPr>
        <w:spacing w:line="360" w:lineRule="auto"/>
        <w:jc w:val="both"/>
        <w:rPr>
          <w:sz w:val="22"/>
          <w:szCs w:val="22"/>
          <w:lang w:val="en-US"/>
        </w:rPr>
      </w:pPr>
      <w:r w:rsidRPr="00D953BF">
        <w:rPr>
          <w:sz w:val="28"/>
          <w:szCs w:val="28"/>
        </w:rPr>
        <w:t xml:space="preserve">It would therefore be wholly incorrect to confine reasonable suspicion to what is set out in the memorandum of Ms Mbedzi. </w:t>
      </w:r>
      <w:r w:rsidR="003B63C2" w:rsidRPr="00D953BF">
        <w:rPr>
          <w:sz w:val="28"/>
          <w:szCs w:val="28"/>
        </w:rPr>
        <w:t>In any event</w:t>
      </w:r>
      <w:r w:rsidR="00D968E5" w:rsidRPr="00D953BF">
        <w:rPr>
          <w:sz w:val="28"/>
          <w:szCs w:val="28"/>
        </w:rPr>
        <w:t>,</w:t>
      </w:r>
      <w:r w:rsidR="00BE206C" w:rsidRPr="00D953BF">
        <w:rPr>
          <w:sz w:val="28"/>
          <w:szCs w:val="28"/>
        </w:rPr>
        <w:t xml:space="preserve"> </w:t>
      </w:r>
      <w:r w:rsidRPr="00D953BF">
        <w:rPr>
          <w:sz w:val="28"/>
          <w:szCs w:val="28"/>
        </w:rPr>
        <w:t>hearsay evidence is sufficient to ground a reasonable suspicion. Whether the evidence is later found to be inadmissible in a court of law is irrelevant for determining whether an arresting officer had a reasonable suspicion.</w:t>
      </w:r>
      <w:r w:rsidR="000B3CCB" w:rsidRPr="00D953BF">
        <w:rPr>
          <w:rStyle w:val="FootnoteReference"/>
          <w:sz w:val="28"/>
          <w:szCs w:val="28"/>
        </w:rPr>
        <w:footnoteReference w:id="6"/>
      </w:r>
      <w:r w:rsidRPr="00D953BF">
        <w:rPr>
          <w:sz w:val="28"/>
          <w:szCs w:val="28"/>
        </w:rPr>
        <w:t xml:space="preserve"> </w:t>
      </w:r>
    </w:p>
    <w:p w14:paraId="0ADB53C3" w14:textId="77777777" w:rsidR="0007572C" w:rsidRPr="00D953BF" w:rsidRDefault="0007572C" w:rsidP="00C23BF9">
      <w:pPr>
        <w:pStyle w:val="ListParagraph"/>
        <w:spacing w:line="360" w:lineRule="auto"/>
        <w:ind w:left="0"/>
        <w:jc w:val="both"/>
        <w:rPr>
          <w:sz w:val="22"/>
          <w:szCs w:val="22"/>
          <w:lang w:val="en-US"/>
        </w:rPr>
      </w:pPr>
    </w:p>
    <w:p w14:paraId="5B2282E2" w14:textId="39A47B87" w:rsidR="00044848" w:rsidRPr="00D953BF" w:rsidRDefault="0063308E" w:rsidP="00C23BF9">
      <w:pPr>
        <w:pStyle w:val="ListParagraph"/>
        <w:numPr>
          <w:ilvl w:val="0"/>
          <w:numId w:val="2"/>
        </w:numPr>
        <w:spacing w:line="360" w:lineRule="auto"/>
        <w:jc w:val="both"/>
        <w:rPr>
          <w:sz w:val="22"/>
          <w:szCs w:val="22"/>
          <w:lang w:val="en-US"/>
        </w:rPr>
      </w:pPr>
      <w:r w:rsidRPr="00D953BF">
        <w:rPr>
          <w:sz w:val="28"/>
          <w:szCs w:val="28"/>
          <w:lang w:val="en-US"/>
        </w:rPr>
        <w:t xml:space="preserve">The concept of </w:t>
      </w:r>
      <w:r w:rsidR="00000906" w:rsidRPr="00D953BF">
        <w:rPr>
          <w:sz w:val="28"/>
          <w:szCs w:val="28"/>
          <w:lang w:val="en-US"/>
        </w:rPr>
        <w:t>‘</w:t>
      </w:r>
      <w:r w:rsidRPr="00D953BF">
        <w:rPr>
          <w:sz w:val="28"/>
          <w:szCs w:val="28"/>
          <w:lang w:val="en-US"/>
        </w:rPr>
        <w:t>reasonable suspicion</w:t>
      </w:r>
      <w:r w:rsidR="00000906" w:rsidRPr="00D953BF">
        <w:rPr>
          <w:sz w:val="28"/>
          <w:szCs w:val="28"/>
          <w:lang w:val="en-US"/>
        </w:rPr>
        <w:t>’</w:t>
      </w:r>
      <w:r w:rsidRPr="00D953BF">
        <w:rPr>
          <w:sz w:val="28"/>
          <w:szCs w:val="28"/>
          <w:lang w:val="en-US"/>
        </w:rPr>
        <w:t xml:space="preserve"> is common</w:t>
      </w:r>
      <w:r w:rsidR="0002356D" w:rsidRPr="00D953BF">
        <w:rPr>
          <w:sz w:val="28"/>
          <w:szCs w:val="28"/>
          <w:lang w:val="en-US"/>
        </w:rPr>
        <w:t>place</w:t>
      </w:r>
      <w:r w:rsidR="0011007E" w:rsidRPr="00D953BF">
        <w:rPr>
          <w:sz w:val="28"/>
          <w:szCs w:val="28"/>
          <w:lang w:val="en-US"/>
        </w:rPr>
        <w:t xml:space="preserve"> in our law. W</w:t>
      </w:r>
      <w:r w:rsidR="0035221A" w:rsidRPr="00D953BF">
        <w:rPr>
          <w:sz w:val="28"/>
          <w:szCs w:val="28"/>
          <w:lang w:val="en-US"/>
        </w:rPr>
        <w:t xml:space="preserve">hether the suspicion is reasonable </w:t>
      </w:r>
      <w:r w:rsidR="00E6678A" w:rsidRPr="00D953BF">
        <w:rPr>
          <w:sz w:val="28"/>
          <w:szCs w:val="28"/>
          <w:lang w:val="en-US"/>
        </w:rPr>
        <w:t xml:space="preserve">is </w:t>
      </w:r>
      <w:r w:rsidRPr="00D953BF">
        <w:rPr>
          <w:sz w:val="28"/>
          <w:szCs w:val="28"/>
          <w:lang w:val="en-US"/>
        </w:rPr>
        <w:t xml:space="preserve">objectively determined. </w:t>
      </w:r>
      <w:r w:rsidR="00044848" w:rsidRPr="00D953BF">
        <w:rPr>
          <w:sz w:val="28"/>
          <w:szCs w:val="28"/>
          <w:lang w:val="en-US"/>
        </w:rPr>
        <w:t xml:space="preserve">This Court has </w:t>
      </w:r>
      <w:r w:rsidR="00044848" w:rsidRPr="00D953BF">
        <w:rPr>
          <w:sz w:val="28"/>
          <w:szCs w:val="28"/>
          <w:lang w:val="en-US"/>
        </w:rPr>
        <w:lastRenderedPageBreak/>
        <w:t>on a number of occasions</w:t>
      </w:r>
      <w:r w:rsidR="00044848" w:rsidRPr="00D953BF">
        <w:rPr>
          <w:rStyle w:val="FootnoteReference"/>
          <w:sz w:val="28"/>
          <w:szCs w:val="28"/>
          <w:lang w:val="en-US"/>
        </w:rPr>
        <w:footnoteReference w:id="7"/>
      </w:r>
      <w:r w:rsidR="00044848" w:rsidRPr="00D953BF">
        <w:rPr>
          <w:sz w:val="28"/>
          <w:szCs w:val="28"/>
          <w:lang w:val="en-US"/>
        </w:rPr>
        <w:t xml:space="preserve"> endorsed </w:t>
      </w:r>
      <w:r w:rsidR="00A0693D" w:rsidRPr="00D953BF">
        <w:rPr>
          <w:sz w:val="28"/>
          <w:szCs w:val="28"/>
          <w:lang w:val="en-US"/>
        </w:rPr>
        <w:t>Lord Devlin</w:t>
      </w:r>
      <w:r w:rsidR="00044848" w:rsidRPr="00D953BF">
        <w:rPr>
          <w:sz w:val="28"/>
          <w:szCs w:val="28"/>
          <w:lang w:val="en-US"/>
        </w:rPr>
        <w:t>’s test of</w:t>
      </w:r>
      <w:r w:rsidR="00A0693D" w:rsidRPr="00D953BF">
        <w:rPr>
          <w:sz w:val="28"/>
          <w:szCs w:val="28"/>
          <w:lang w:val="en-US"/>
        </w:rPr>
        <w:t xml:space="preserve"> reasonable suspicion as</w:t>
      </w:r>
      <w:r w:rsidR="00044848" w:rsidRPr="00D953BF">
        <w:rPr>
          <w:sz w:val="28"/>
          <w:szCs w:val="28"/>
          <w:lang w:val="en-US"/>
        </w:rPr>
        <w:t>:</w:t>
      </w:r>
    </w:p>
    <w:p w14:paraId="78097507" w14:textId="24CBE4A6" w:rsidR="00661381" w:rsidRPr="00D953BF" w:rsidRDefault="00661381" w:rsidP="00C23BF9">
      <w:pPr>
        <w:pStyle w:val="ListParagraph"/>
        <w:spacing w:line="360" w:lineRule="auto"/>
        <w:ind w:left="0"/>
        <w:jc w:val="both"/>
        <w:rPr>
          <w:lang w:val="en-US"/>
        </w:rPr>
      </w:pPr>
      <w:r w:rsidRPr="00D953BF">
        <w:rPr>
          <w:lang w:val="en-US"/>
        </w:rPr>
        <w:t>‘</w:t>
      </w:r>
      <w:r w:rsidR="00044848" w:rsidRPr="00D953BF">
        <w:rPr>
          <w:lang w:val="en-US"/>
        </w:rPr>
        <w:t xml:space="preserve">Suspicion in its ordinary meaning is a state of conjecture </w:t>
      </w:r>
      <w:r w:rsidR="00E6678A" w:rsidRPr="00D953BF">
        <w:rPr>
          <w:lang w:val="en-US"/>
        </w:rPr>
        <w:t xml:space="preserve">or surmise </w:t>
      </w:r>
      <w:r w:rsidR="00044848" w:rsidRPr="00D953BF">
        <w:rPr>
          <w:lang w:val="en-US"/>
        </w:rPr>
        <w:t>where proof is lacking</w:t>
      </w:r>
      <w:r w:rsidR="00E6678A" w:rsidRPr="00D953BF">
        <w:rPr>
          <w:lang w:val="en-US"/>
        </w:rPr>
        <w:t>;</w:t>
      </w:r>
      <w:r w:rsidR="00044848" w:rsidRPr="00D953BF">
        <w:rPr>
          <w:lang w:val="en-US"/>
        </w:rPr>
        <w:t xml:space="preserve"> </w:t>
      </w:r>
      <w:r w:rsidR="00E6678A" w:rsidRPr="00D953BF">
        <w:rPr>
          <w:lang w:val="en-US"/>
        </w:rPr>
        <w:t>“</w:t>
      </w:r>
      <w:r w:rsidR="00044848" w:rsidRPr="00D953BF">
        <w:rPr>
          <w:lang w:val="en-US"/>
        </w:rPr>
        <w:t>I su</w:t>
      </w:r>
      <w:r w:rsidR="00076E9E" w:rsidRPr="00D953BF">
        <w:rPr>
          <w:lang w:val="en-US"/>
        </w:rPr>
        <w:t>s</w:t>
      </w:r>
      <w:r w:rsidR="00044848" w:rsidRPr="00D953BF">
        <w:rPr>
          <w:lang w:val="en-US"/>
        </w:rPr>
        <w:t>pect but I cannot prove</w:t>
      </w:r>
      <w:r w:rsidR="00E6678A" w:rsidRPr="00D953BF">
        <w:rPr>
          <w:lang w:val="en-US"/>
        </w:rPr>
        <w:t>”</w:t>
      </w:r>
      <w:r w:rsidR="00044848" w:rsidRPr="00D953BF">
        <w:rPr>
          <w:lang w:val="en-US"/>
        </w:rPr>
        <w:t>. Suspicion arises</w:t>
      </w:r>
      <w:r w:rsidR="00A0693D" w:rsidRPr="00D953BF">
        <w:rPr>
          <w:lang w:val="en-US"/>
        </w:rPr>
        <w:t xml:space="preserve"> at or near the starting</w:t>
      </w:r>
      <w:r w:rsidR="00E6678A" w:rsidRPr="00D953BF">
        <w:rPr>
          <w:lang w:val="en-US"/>
        </w:rPr>
        <w:t xml:space="preserve"> </w:t>
      </w:r>
      <w:r w:rsidR="00A0693D" w:rsidRPr="00D953BF">
        <w:rPr>
          <w:lang w:val="en-US"/>
        </w:rPr>
        <w:t xml:space="preserve">point of an investigation of which the obtaining of </w:t>
      </w:r>
      <w:r w:rsidR="00A0693D" w:rsidRPr="00D953BF">
        <w:rPr>
          <w:i/>
          <w:lang w:val="en-US"/>
        </w:rPr>
        <w:t>prima facie</w:t>
      </w:r>
      <w:r w:rsidR="00A0693D" w:rsidRPr="00D953BF">
        <w:rPr>
          <w:lang w:val="en-US"/>
        </w:rPr>
        <w:t xml:space="preserve"> proof is the end.</w:t>
      </w:r>
      <w:r w:rsidRPr="00D953BF">
        <w:rPr>
          <w:lang w:val="en-US"/>
        </w:rPr>
        <w:t>’</w:t>
      </w:r>
      <w:r w:rsidR="00324185" w:rsidRPr="00D953BF">
        <w:rPr>
          <w:rStyle w:val="FootnoteReference"/>
          <w:lang w:val="en-US"/>
        </w:rPr>
        <w:footnoteReference w:id="8"/>
      </w:r>
    </w:p>
    <w:p w14:paraId="3D0F7737" w14:textId="77777777" w:rsidR="0007572C" w:rsidRPr="00D953BF" w:rsidRDefault="0007572C" w:rsidP="00C23BF9">
      <w:pPr>
        <w:pStyle w:val="ListParagraph"/>
        <w:spacing w:line="360" w:lineRule="auto"/>
        <w:ind w:left="0"/>
        <w:jc w:val="both"/>
        <w:rPr>
          <w:lang w:val="en-US"/>
        </w:rPr>
      </w:pPr>
    </w:p>
    <w:p w14:paraId="5A0B10ED" w14:textId="578CB8C3" w:rsidR="0007572C" w:rsidRPr="00D953BF" w:rsidRDefault="0007572C" w:rsidP="00C23BF9">
      <w:pPr>
        <w:pStyle w:val="ListParagraph"/>
        <w:numPr>
          <w:ilvl w:val="0"/>
          <w:numId w:val="2"/>
        </w:numPr>
        <w:spacing w:line="360" w:lineRule="auto"/>
        <w:jc w:val="both"/>
        <w:rPr>
          <w:sz w:val="28"/>
          <w:szCs w:val="28"/>
          <w:lang w:val="en-US"/>
        </w:rPr>
      </w:pPr>
      <w:r w:rsidRPr="00D953BF">
        <w:rPr>
          <w:sz w:val="28"/>
          <w:szCs w:val="28"/>
          <w:lang w:val="en-US"/>
        </w:rPr>
        <w:t>While suspicion falls short of actual proof, there must be some factual basis on which the suspicion is grounded.</w:t>
      </w:r>
      <w:r w:rsidRPr="00D953BF">
        <w:rPr>
          <w:rStyle w:val="FootnoteReference"/>
          <w:sz w:val="28"/>
          <w:szCs w:val="28"/>
          <w:lang w:val="en-US"/>
        </w:rPr>
        <w:footnoteReference w:id="9"/>
      </w:r>
      <w:r w:rsidRPr="00D953BF">
        <w:rPr>
          <w:sz w:val="28"/>
          <w:szCs w:val="28"/>
          <w:lang w:val="en-US"/>
        </w:rPr>
        <w:t xml:space="preserve"> It must be emphasised that the </w:t>
      </w:r>
      <w:r w:rsidRPr="00D953BF">
        <w:rPr>
          <w:sz w:val="28"/>
          <w:szCs w:val="28"/>
        </w:rPr>
        <w:t>standard of reasonable suspicion is very low – it must be more than a hunch and an unparticularised suspicion.</w:t>
      </w:r>
      <w:r w:rsidRPr="00D953BF">
        <w:rPr>
          <w:rStyle w:val="FootnoteReference"/>
          <w:sz w:val="28"/>
          <w:szCs w:val="28"/>
        </w:rPr>
        <w:footnoteReference w:id="10"/>
      </w:r>
    </w:p>
    <w:p w14:paraId="2001C00E" w14:textId="77777777" w:rsidR="008D3DAC" w:rsidRPr="00D953BF" w:rsidRDefault="008D3DAC" w:rsidP="00C23BF9">
      <w:pPr>
        <w:pStyle w:val="ListParagraph"/>
        <w:spacing w:line="360" w:lineRule="auto"/>
        <w:ind w:left="0"/>
        <w:jc w:val="both"/>
        <w:rPr>
          <w:sz w:val="28"/>
          <w:szCs w:val="28"/>
        </w:rPr>
      </w:pPr>
    </w:p>
    <w:p w14:paraId="461D68BA" w14:textId="4D3D155D" w:rsidR="004344E3" w:rsidRPr="00D953BF" w:rsidRDefault="001B7E8A" w:rsidP="00C23BF9">
      <w:pPr>
        <w:numPr>
          <w:ilvl w:val="0"/>
          <w:numId w:val="2"/>
        </w:numPr>
        <w:spacing w:line="360" w:lineRule="auto"/>
        <w:jc w:val="both"/>
      </w:pPr>
      <w:r w:rsidRPr="00D953BF">
        <w:rPr>
          <w:sz w:val="28"/>
          <w:szCs w:val="28"/>
        </w:rPr>
        <w:t>The initiation of a complaint is an earlier point than the start of the investigation</w:t>
      </w:r>
      <w:r w:rsidR="00E63A45" w:rsidRPr="00D953BF">
        <w:rPr>
          <w:sz w:val="28"/>
          <w:szCs w:val="28"/>
        </w:rPr>
        <w:t>.</w:t>
      </w:r>
      <w:r w:rsidRPr="00D953BF">
        <w:rPr>
          <w:sz w:val="28"/>
          <w:szCs w:val="28"/>
        </w:rPr>
        <w:t xml:space="preserve"> </w:t>
      </w:r>
      <w:r w:rsidR="00E63A45" w:rsidRPr="00D953BF">
        <w:rPr>
          <w:sz w:val="28"/>
          <w:szCs w:val="28"/>
        </w:rPr>
        <w:t>I</w:t>
      </w:r>
      <w:r w:rsidRPr="00D953BF">
        <w:rPr>
          <w:sz w:val="28"/>
          <w:szCs w:val="28"/>
        </w:rPr>
        <w:t>t merely triggers the investigation, which may o</w:t>
      </w:r>
      <w:r w:rsidR="008D3DAC" w:rsidRPr="00D953BF">
        <w:rPr>
          <w:sz w:val="28"/>
          <w:szCs w:val="28"/>
        </w:rPr>
        <w:t xml:space="preserve">r may not </w:t>
      </w:r>
      <w:r w:rsidRPr="00D953BF">
        <w:rPr>
          <w:sz w:val="28"/>
          <w:szCs w:val="28"/>
        </w:rPr>
        <w:t xml:space="preserve">result in a referral to the Tribunal. This </w:t>
      </w:r>
      <w:r w:rsidR="00BD499D" w:rsidRPr="00D953BF">
        <w:rPr>
          <w:sz w:val="28"/>
          <w:szCs w:val="28"/>
        </w:rPr>
        <w:t>C</w:t>
      </w:r>
      <w:r w:rsidRPr="00D953BF">
        <w:rPr>
          <w:sz w:val="28"/>
          <w:szCs w:val="28"/>
        </w:rPr>
        <w:t>ourt</w:t>
      </w:r>
      <w:r w:rsidR="00BE206C" w:rsidRPr="00D953BF">
        <w:rPr>
          <w:sz w:val="28"/>
          <w:szCs w:val="28"/>
        </w:rPr>
        <w:t xml:space="preserve"> in</w:t>
      </w:r>
      <w:r w:rsidRPr="00D953BF">
        <w:rPr>
          <w:i/>
          <w:sz w:val="28"/>
          <w:szCs w:val="28"/>
        </w:rPr>
        <w:t xml:space="preserve"> Yara</w:t>
      </w:r>
      <w:r w:rsidR="00BD499D" w:rsidRPr="00D953BF">
        <w:rPr>
          <w:sz w:val="28"/>
          <w:szCs w:val="28"/>
        </w:rPr>
        <w:t>,</w:t>
      </w:r>
      <w:r w:rsidRPr="00D953BF">
        <w:rPr>
          <w:rStyle w:val="FootnoteReference"/>
          <w:sz w:val="28"/>
          <w:szCs w:val="28"/>
        </w:rPr>
        <w:footnoteReference w:id="11"/>
      </w:r>
      <w:r w:rsidRPr="00D953BF">
        <w:rPr>
          <w:sz w:val="28"/>
          <w:szCs w:val="28"/>
        </w:rPr>
        <w:t xml:space="preserve"> </w:t>
      </w:r>
      <w:r w:rsidR="00D35A76" w:rsidRPr="00D953BF">
        <w:rPr>
          <w:sz w:val="28"/>
          <w:szCs w:val="28"/>
        </w:rPr>
        <w:t>dealt extensively with what initiating a complaint meant in competition law</w:t>
      </w:r>
      <w:r w:rsidR="004344E3" w:rsidRPr="00D953BF">
        <w:rPr>
          <w:sz w:val="28"/>
          <w:szCs w:val="28"/>
        </w:rPr>
        <w:t xml:space="preserve">, and </w:t>
      </w:r>
      <w:r w:rsidR="00D35A76" w:rsidRPr="00D953BF">
        <w:rPr>
          <w:sz w:val="28"/>
          <w:szCs w:val="28"/>
        </w:rPr>
        <w:t>observed</w:t>
      </w:r>
      <w:r w:rsidR="004344E3" w:rsidRPr="00D953BF">
        <w:rPr>
          <w:sz w:val="28"/>
          <w:szCs w:val="28"/>
        </w:rPr>
        <w:t>:</w:t>
      </w:r>
      <w:r w:rsidR="00D35A76" w:rsidRPr="00D953BF">
        <w:rPr>
          <w:sz w:val="28"/>
          <w:szCs w:val="28"/>
        </w:rPr>
        <w:t xml:space="preserve"> </w:t>
      </w:r>
    </w:p>
    <w:p w14:paraId="4FB5CEAB" w14:textId="6909AFF6" w:rsidR="0091031A" w:rsidRPr="00D953BF" w:rsidRDefault="00A058E3" w:rsidP="00C23BF9">
      <w:pPr>
        <w:spacing w:line="360" w:lineRule="auto"/>
        <w:jc w:val="both"/>
      </w:pPr>
      <w:r w:rsidRPr="00D953BF">
        <w:t>‘</w:t>
      </w:r>
      <w:r w:rsidR="0047260A" w:rsidRPr="00D953BF">
        <w:t>. . . [T]</w:t>
      </w:r>
      <w:r w:rsidR="008D3DAC" w:rsidRPr="00D953BF">
        <w:t xml:space="preserve">he purpose of </w:t>
      </w:r>
      <w:r w:rsidR="0047260A" w:rsidRPr="00D953BF">
        <w:t xml:space="preserve">the </w:t>
      </w:r>
      <w:r w:rsidRPr="00D953BF">
        <w:t xml:space="preserve">initiating complaint is to trigger an investigation which might eventually lead to a referral. It is merely the preliminary step of a process that does not affect the respondent’s rights. Conversely stated, the purpose of an initiating complaint, and the investigation that follows upon it, is not to offer the suspect firm </w:t>
      </w:r>
      <w:r w:rsidR="0047260A" w:rsidRPr="00D953BF">
        <w:t xml:space="preserve">an opportunity </w:t>
      </w:r>
      <w:r w:rsidRPr="00D953BF">
        <w:t xml:space="preserve">to put </w:t>
      </w:r>
      <w:r w:rsidR="0047260A" w:rsidRPr="00D953BF">
        <w:t xml:space="preserve">[forward] </w:t>
      </w:r>
      <w:r w:rsidRPr="00D953BF">
        <w:t>its case.</w:t>
      </w:r>
      <w:r w:rsidR="007471E0" w:rsidRPr="00D953BF">
        <w:t xml:space="preserve"> T</w:t>
      </w:r>
      <w:r w:rsidRPr="00D953BF">
        <w:t xml:space="preserve">he </w:t>
      </w:r>
      <w:r w:rsidR="007471E0" w:rsidRPr="00D953BF">
        <w:t xml:space="preserve">Commission </w:t>
      </w:r>
      <w:r w:rsidRPr="00D953BF">
        <w:t>i</w:t>
      </w:r>
      <w:r w:rsidR="007471E0" w:rsidRPr="00D953BF">
        <w:t>s</w:t>
      </w:r>
      <w:r w:rsidRPr="00D953BF">
        <w:t xml:space="preserve"> not even required to give notice of the complaint and of its investigation to the suspect</w:t>
      </w:r>
      <w:r w:rsidR="0047260A" w:rsidRPr="00D953BF">
        <w:t>.</w:t>
      </w:r>
      <w:r w:rsidRPr="00D953BF">
        <w:t xml:space="preserve"> Least of all is the Commission required to </w:t>
      </w:r>
      <w:r w:rsidR="007471E0" w:rsidRPr="00D953BF">
        <w:t xml:space="preserve">engage </w:t>
      </w:r>
      <w:r w:rsidR="007471E0" w:rsidRPr="00D953BF">
        <w:lastRenderedPageBreak/>
        <w:t xml:space="preserve">with the suspect on </w:t>
      </w:r>
      <w:r w:rsidR="0047260A" w:rsidRPr="00D953BF">
        <w:t xml:space="preserve">the question </w:t>
      </w:r>
      <w:r w:rsidR="007471E0" w:rsidRPr="00D953BF">
        <w:t xml:space="preserve">whether its suspicions are justified. The principles of administrative justice are observed in the referral and </w:t>
      </w:r>
      <w:r w:rsidR="0047260A" w:rsidRPr="00D953BF">
        <w:t xml:space="preserve">the </w:t>
      </w:r>
      <w:r w:rsidR="007471E0" w:rsidRPr="00D953BF">
        <w:t>hearing before the Tribunal.’</w:t>
      </w:r>
      <w:r w:rsidR="004344E3" w:rsidRPr="00D953BF">
        <w:rPr>
          <w:rStyle w:val="FootnoteReference"/>
          <w:sz w:val="28"/>
          <w:szCs w:val="28"/>
        </w:rPr>
        <w:t xml:space="preserve"> </w:t>
      </w:r>
      <w:r w:rsidR="004344E3" w:rsidRPr="00D953BF">
        <w:rPr>
          <w:rStyle w:val="FootnoteReference"/>
          <w:sz w:val="28"/>
          <w:szCs w:val="28"/>
        </w:rPr>
        <w:footnoteReference w:id="12"/>
      </w:r>
    </w:p>
    <w:p w14:paraId="34C5997E" w14:textId="77777777" w:rsidR="00B61945" w:rsidRPr="00D953BF" w:rsidRDefault="00B61945" w:rsidP="00C23BF9">
      <w:pPr>
        <w:spacing w:line="360" w:lineRule="auto"/>
        <w:jc w:val="both"/>
        <w:rPr>
          <w:sz w:val="28"/>
          <w:szCs w:val="28"/>
        </w:rPr>
      </w:pPr>
    </w:p>
    <w:p w14:paraId="008E5CDF" w14:textId="77777777" w:rsidR="008D44A2" w:rsidRPr="00D953BF" w:rsidRDefault="00B61945" w:rsidP="00C23BF9">
      <w:pPr>
        <w:numPr>
          <w:ilvl w:val="0"/>
          <w:numId w:val="2"/>
        </w:numPr>
        <w:spacing w:line="360" w:lineRule="auto"/>
        <w:jc w:val="both"/>
        <w:rPr>
          <w:sz w:val="28"/>
          <w:szCs w:val="28"/>
        </w:rPr>
      </w:pPr>
      <w:r w:rsidRPr="00D953BF">
        <w:rPr>
          <w:sz w:val="28"/>
          <w:szCs w:val="28"/>
        </w:rPr>
        <w:t>From the above</w:t>
      </w:r>
      <w:r w:rsidR="000C2300" w:rsidRPr="00D953BF">
        <w:rPr>
          <w:sz w:val="28"/>
          <w:szCs w:val="28"/>
        </w:rPr>
        <w:t>,</w:t>
      </w:r>
      <w:r w:rsidRPr="00D953BF">
        <w:rPr>
          <w:sz w:val="28"/>
          <w:szCs w:val="28"/>
        </w:rPr>
        <w:t xml:space="preserve"> it is apparent that the bar has been set </w:t>
      </w:r>
      <w:r w:rsidR="00A5625B" w:rsidRPr="00D953BF">
        <w:rPr>
          <w:sz w:val="28"/>
          <w:szCs w:val="28"/>
        </w:rPr>
        <w:t xml:space="preserve">relatively </w:t>
      </w:r>
      <w:r w:rsidRPr="00D953BF">
        <w:rPr>
          <w:sz w:val="28"/>
          <w:szCs w:val="28"/>
        </w:rPr>
        <w:t>low for the initiation of a complaint in a regulatory environment</w:t>
      </w:r>
      <w:r w:rsidR="004D6D0A" w:rsidRPr="00D953BF">
        <w:rPr>
          <w:sz w:val="28"/>
          <w:szCs w:val="28"/>
        </w:rPr>
        <w:t>,</w:t>
      </w:r>
      <w:r w:rsidRPr="00D953BF">
        <w:rPr>
          <w:sz w:val="28"/>
          <w:szCs w:val="28"/>
        </w:rPr>
        <w:t xml:space="preserve"> such as the area of competition law.</w:t>
      </w:r>
      <w:r w:rsidR="002A2786" w:rsidRPr="00D953BF">
        <w:rPr>
          <w:rStyle w:val="FootnoteReference"/>
          <w:sz w:val="28"/>
          <w:szCs w:val="28"/>
        </w:rPr>
        <w:footnoteReference w:id="13"/>
      </w:r>
      <w:r w:rsidRPr="00D953BF">
        <w:rPr>
          <w:sz w:val="28"/>
          <w:szCs w:val="28"/>
        </w:rPr>
        <w:t xml:space="preserve"> </w:t>
      </w:r>
      <w:r w:rsidR="00804B92" w:rsidRPr="00D953BF">
        <w:rPr>
          <w:sz w:val="28"/>
          <w:szCs w:val="28"/>
        </w:rPr>
        <w:t>Even in the context of search and seizure operations in competition matters, it has been found that there is a low bar required for obtaining a warrant, which is ‘merely one of the starting points of the investigative process’.</w:t>
      </w:r>
      <w:r w:rsidR="00804B92" w:rsidRPr="00D953BF">
        <w:rPr>
          <w:sz w:val="28"/>
          <w:szCs w:val="28"/>
          <w:vertAlign w:val="superscript"/>
        </w:rPr>
        <w:footnoteReference w:id="14"/>
      </w:r>
    </w:p>
    <w:p w14:paraId="61AC9C5D" w14:textId="2B83F658" w:rsidR="004344E3" w:rsidRPr="00D953BF" w:rsidRDefault="00804B92" w:rsidP="008D44A2">
      <w:pPr>
        <w:spacing w:line="360" w:lineRule="auto"/>
        <w:jc w:val="both"/>
        <w:rPr>
          <w:sz w:val="28"/>
          <w:szCs w:val="28"/>
        </w:rPr>
      </w:pPr>
      <w:r w:rsidRPr="00D953BF">
        <w:rPr>
          <w:sz w:val="28"/>
          <w:szCs w:val="28"/>
        </w:rPr>
        <w:t xml:space="preserve"> </w:t>
      </w:r>
    </w:p>
    <w:p w14:paraId="24E9F876" w14:textId="22C1A57B" w:rsidR="00FD2DFF" w:rsidRPr="00D953BF" w:rsidRDefault="00FD2DFF" w:rsidP="00C23BF9">
      <w:pPr>
        <w:numPr>
          <w:ilvl w:val="0"/>
          <w:numId w:val="2"/>
        </w:numPr>
        <w:spacing w:line="360" w:lineRule="auto"/>
        <w:jc w:val="both"/>
        <w:rPr>
          <w:sz w:val="28"/>
          <w:szCs w:val="28"/>
        </w:rPr>
      </w:pPr>
      <w:r w:rsidRPr="00D953BF">
        <w:rPr>
          <w:sz w:val="28"/>
          <w:szCs w:val="28"/>
        </w:rPr>
        <w:t>The present case deals with the initiation of a complaint in the regulatory environment of the credit provision industry. Moreover,</w:t>
      </w:r>
      <w:r w:rsidR="00C0472A" w:rsidRPr="00D953BF">
        <w:rPr>
          <w:sz w:val="28"/>
          <w:szCs w:val="28"/>
        </w:rPr>
        <w:t xml:space="preserve"> the NCA is</w:t>
      </w:r>
      <w:r w:rsidRPr="00D953BF">
        <w:rPr>
          <w:sz w:val="28"/>
          <w:szCs w:val="28"/>
        </w:rPr>
        <w:t xml:space="preserve"> social legislation designed to protect the poor and vulnerable against predatory lending practices. </w:t>
      </w:r>
      <w:r w:rsidR="00B76805" w:rsidRPr="00D953BF">
        <w:rPr>
          <w:sz w:val="28"/>
          <w:szCs w:val="28"/>
        </w:rPr>
        <w:t xml:space="preserve">There is </w:t>
      </w:r>
      <w:r w:rsidR="00721795" w:rsidRPr="00D953BF">
        <w:rPr>
          <w:sz w:val="28"/>
          <w:szCs w:val="28"/>
        </w:rPr>
        <w:t>an argument to be made that in such matters</w:t>
      </w:r>
      <w:r w:rsidR="00B76805" w:rsidRPr="00D953BF">
        <w:rPr>
          <w:sz w:val="28"/>
          <w:szCs w:val="28"/>
        </w:rPr>
        <w:t xml:space="preserve"> the bar should be set even lower.</w:t>
      </w:r>
    </w:p>
    <w:p w14:paraId="3F31043A" w14:textId="77777777" w:rsidR="006C3A06" w:rsidRPr="00D953BF" w:rsidRDefault="006C3A06" w:rsidP="00C23BF9">
      <w:pPr>
        <w:spacing w:line="360" w:lineRule="auto"/>
        <w:jc w:val="both"/>
        <w:rPr>
          <w:sz w:val="28"/>
          <w:szCs w:val="28"/>
        </w:rPr>
      </w:pPr>
    </w:p>
    <w:p w14:paraId="2DB993F7" w14:textId="11D323ED" w:rsidR="00FD2DFF" w:rsidRPr="00D953BF" w:rsidRDefault="008D44A2" w:rsidP="00C23BF9">
      <w:pPr>
        <w:pStyle w:val="ListParagraph"/>
        <w:numPr>
          <w:ilvl w:val="0"/>
          <w:numId w:val="2"/>
        </w:numPr>
        <w:spacing w:line="360" w:lineRule="auto"/>
        <w:jc w:val="both"/>
        <w:rPr>
          <w:sz w:val="22"/>
          <w:szCs w:val="22"/>
          <w:lang w:val="en-US"/>
        </w:rPr>
      </w:pPr>
      <w:r w:rsidRPr="00D953BF">
        <w:rPr>
          <w:sz w:val="28"/>
          <w:szCs w:val="28"/>
          <w:lang w:val="en-US"/>
        </w:rPr>
        <w:t>Insofar as it</w:t>
      </w:r>
      <w:r w:rsidR="00BE206C" w:rsidRPr="00D953BF">
        <w:rPr>
          <w:sz w:val="28"/>
          <w:szCs w:val="28"/>
          <w:lang w:val="en-US"/>
        </w:rPr>
        <w:t xml:space="preserve"> may be argued that there is any constitutional impediment to initiating </w:t>
      </w:r>
      <w:r w:rsidR="00B21675" w:rsidRPr="00D953BF">
        <w:rPr>
          <w:sz w:val="28"/>
          <w:szCs w:val="28"/>
          <w:lang w:val="en-US"/>
        </w:rPr>
        <w:t>the</w:t>
      </w:r>
      <w:r w:rsidR="00BE206C" w:rsidRPr="00D953BF">
        <w:rPr>
          <w:sz w:val="28"/>
          <w:szCs w:val="28"/>
          <w:lang w:val="en-US"/>
        </w:rPr>
        <w:t xml:space="preserve"> complaint, t</w:t>
      </w:r>
      <w:r w:rsidR="00FD2DFF" w:rsidRPr="00D953BF">
        <w:rPr>
          <w:sz w:val="28"/>
          <w:szCs w:val="28"/>
          <w:lang w:val="en-US"/>
        </w:rPr>
        <w:t xml:space="preserve">he Constitutional Court has recognised that the right to privacy exists on a continuum. On one side is the sanctum of the personal home life, where privacy should be afforded the maximum protection. On the other is the right to privacy in commercial contexts, where the right is considerably attenuated. In this regard, it is trite that ‘[t]he more public the undertaking and the more closely regulated, the more attenuated </w:t>
      </w:r>
      <w:r w:rsidR="00FD2DFF" w:rsidRPr="00D953BF">
        <w:rPr>
          <w:sz w:val="28"/>
          <w:szCs w:val="28"/>
          <w:lang w:val="en-US"/>
        </w:rPr>
        <w:lastRenderedPageBreak/>
        <w:t xml:space="preserve">would the right to privacy be and the less intense any possible invasion. . . In the case of any regulated enterprise, the proprietor’s expectation of privacy . . . must be attenuated by the obligation to comply with reasonable regulations and to tolerate the administrative inspections that are an inseparable part of an effective regime of regulation. The greater the potential hazards to the public, the less invasive the inspection. </w:t>
      </w:r>
      <w:r w:rsidR="00FD2DFF" w:rsidRPr="00D953BF">
        <w:rPr>
          <w:sz w:val="28"/>
          <w:szCs w:val="28"/>
        </w:rPr>
        <w:t>People involved in such undertakings must be taken to know from the outset that their activities will be monitored</w:t>
      </w:r>
      <w:r w:rsidR="00FD2DFF" w:rsidRPr="00D953BF">
        <w:rPr>
          <w:sz w:val="28"/>
          <w:szCs w:val="28"/>
          <w:lang w:val="en-US"/>
        </w:rPr>
        <w:t>’.</w:t>
      </w:r>
      <w:r w:rsidR="00FD2DFF" w:rsidRPr="00D953BF">
        <w:rPr>
          <w:rStyle w:val="FootnoteReference"/>
          <w:sz w:val="28"/>
          <w:szCs w:val="28"/>
          <w:lang w:val="en-US"/>
        </w:rPr>
        <w:footnoteReference w:id="15"/>
      </w:r>
      <w:r w:rsidR="00FD2DFF" w:rsidRPr="00D953BF">
        <w:rPr>
          <w:sz w:val="28"/>
          <w:szCs w:val="28"/>
          <w:lang w:val="en-US"/>
        </w:rPr>
        <w:t xml:space="preserve"> In fact, participants in closely controlled and regulated industries should expect regular inspections.</w:t>
      </w:r>
      <w:r w:rsidR="00FD2DFF" w:rsidRPr="00D953BF">
        <w:rPr>
          <w:rStyle w:val="FootnoteReference"/>
          <w:sz w:val="28"/>
          <w:szCs w:val="28"/>
          <w:lang w:val="en-US"/>
        </w:rPr>
        <w:footnoteReference w:id="16"/>
      </w:r>
      <w:r w:rsidR="00FD2DFF" w:rsidRPr="00D953BF">
        <w:rPr>
          <w:sz w:val="28"/>
          <w:szCs w:val="28"/>
          <w:lang w:val="en-US"/>
        </w:rPr>
        <w:t xml:space="preserve"> </w:t>
      </w:r>
      <w:r w:rsidR="00FD2DFF" w:rsidRPr="00D953BF">
        <w:rPr>
          <w:sz w:val="28"/>
          <w:szCs w:val="28"/>
        </w:rPr>
        <w:t>Consequently, the right to privacy in respect of business activities in the context of a highly regulated environment, such as the credit provision industry, is greatly attenuated.</w:t>
      </w:r>
    </w:p>
    <w:p w14:paraId="5C856E1B" w14:textId="77777777" w:rsidR="008B72D5" w:rsidRPr="00D953BF" w:rsidRDefault="008B72D5" w:rsidP="00C23BF9">
      <w:pPr>
        <w:spacing w:line="360" w:lineRule="auto"/>
        <w:jc w:val="both"/>
        <w:rPr>
          <w:sz w:val="28"/>
          <w:szCs w:val="28"/>
        </w:rPr>
      </w:pPr>
    </w:p>
    <w:p w14:paraId="3EED3A63" w14:textId="1639E1D5" w:rsidR="008810A3" w:rsidRPr="00D953BF" w:rsidRDefault="008B72D5" w:rsidP="00C23BF9">
      <w:pPr>
        <w:numPr>
          <w:ilvl w:val="0"/>
          <w:numId w:val="2"/>
        </w:numPr>
        <w:spacing w:line="360" w:lineRule="auto"/>
        <w:jc w:val="both"/>
        <w:rPr>
          <w:sz w:val="28"/>
          <w:szCs w:val="28"/>
        </w:rPr>
      </w:pPr>
      <w:r w:rsidRPr="00D953BF">
        <w:rPr>
          <w:sz w:val="28"/>
          <w:szCs w:val="28"/>
        </w:rPr>
        <w:t>Turning to</w:t>
      </w:r>
      <w:r w:rsidR="00B61945" w:rsidRPr="00D953BF">
        <w:rPr>
          <w:sz w:val="28"/>
          <w:szCs w:val="28"/>
        </w:rPr>
        <w:t xml:space="preserve"> con</w:t>
      </w:r>
      <w:r w:rsidR="00C0067B" w:rsidRPr="00D953BF">
        <w:rPr>
          <w:sz w:val="28"/>
          <w:szCs w:val="28"/>
        </w:rPr>
        <w:t>sider the facts</w:t>
      </w:r>
      <w:r w:rsidRPr="00D953BF">
        <w:rPr>
          <w:sz w:val="28"/>
          <w:szCs w:val="28"/>
        </w:rPr>
        <w:t xml:space="preserve"> of this case</w:t>
      </w:r>
      <w:r w:rsidR="00C0067B" w:rsidRPr="00D953BF">
        <w:rPr>
          <w:sz w:val="28"/>
          <w:szCs w:val="28"/>
        </w:rPr>
        <w:t>. Ms Mbedzi saw</w:t>
      </w:r>
      <w:r w:rsidR="00B61945" w:rsidRPr="00D953BF">
        <w:rPr>
          <w:sz w:val="28"/>
          <w:szCs w:val="28"/>
        </w:rPr>
        <w:t xml:space="preserve"> the sign </w:t>
      </w:r>
      <w:r w:rsidR="00C0067B" w:rsidRPr="00D953BF">
        <w:rPr>
          <w:sz w:val="28"/>
          <w:szCs w:val="28"/>
        </w:rPr>
        <w:t>advertising ‘</w:t>
      </w:r>
      <w:r w:rsidR="00B61945" w:rsidRPr="00D953BF">
        <w:rPr>
          <w:sz w:val="28"/>
          <w:szCs w:val="28"/>
        </w:rPr>
        <w:t>instant loan</w:t>
      </w:r>
      <w:r w:rsidR="00C0067B" w:rsidRPr="00D953BF">
        <w:rPr>
          <w:sz w:val="28"/>
          <w:szCs w:val="28"/>
        </w:rPr>
        <w:t>s’ and</w:t>
      </w:r>
      <w:r w:rsidR="0014204D" w:rsidRPr="00D953BF">
        <w:rPr>
          <w:sz w:val="28"/>
          <w:szCs w:val="28"/>
        </w:rPr>
        <w:t>, upon enquiry,</w:t>
      </w:r>
      <w:r w:rsidR="00C0067B" w:rsidRPr="00D953BF">
        <w:rPr>
          <w:sz w:val="28"/>
          <w:szCs w:val="28"/>
        </w:rPr>
        <w:t xml:space="preserve"> was informed</w:t>
      </w:r>
      <w:r w:rsidR="00B61945" w:rsidRPr="00D953BF">
        <w:rPr>
          <w:sz w:val="28"/>
          <w:szCs w:val="28"/>
        </w:rPr>
        <w:t xml:space="preserve"> </w:t>
      </w:r>
      <w:r w:rsidRPr="00D953BF">
        <w:rPr>
          <w:sz w:val="28"/>
          <w:szCs w:val="28"/>
        </w:rPr>
        <w:t xml:space="preserve">by an employee of </w:t>
      </w:r>
      <w:r w:rsidR="00DC26D7" w:rsidRPr="00D953BF">
        <w:rPr>
          <w:sz w:val="28"/>
          <w:szCs w:val="28"/>
        </w:rPr>
        <w:t xml:space="preserve">Dacqup </w:t>
      </w:r>
      <w:r w:rsidR="00B61945" w:rsidRPr="00D953BF">
        <w:rPr>
          <w:sz w:val="28"/>
          <w:szCs w:val="28"/>
        </w:rPr>
        <w:t xml:space="preserve">that the interest rate </w:t>
      </w:r>
      <w:r w:rsidRPr="00D953BF">
        <w:rPr>
          <w:sz w:val="28"/>
          <w:szCs w:val="28"/>
        </w:rPr>
        <w:t xml:space="preserve">charged </w:t>
      </w:r>
      <w:r w:rsidR="00B61945" w:rsidRPr="00D953BF">
        <w:rPr>
          <w:sz w:val="28"/>
          <w:szCs w:val="28"/>
        </w:rPr>
        <w:t>was 30%</w:t>
      </w:r>
      <w:r w:rsidRPr="00D953BF">
        <w:rPr>
          <w:sz w:val="28"/>
          <w:szCs w:val="28"/>
        </w:rPr>
        <w:t xml:space="preserve"> per month</w:t>
      </w:r>
      <w:r w:rsidR="00B61945" w:rsidRPr="00D953BF">
        <w:rPr>
          <w:sz w:val="28"/>
          <w:szCs w:val="28"/>
        </w:rPr>
        <w:t xml:space="preserve">. Whether </w:t>
      </w:r>
      <w:r w:rsidRPr="00D953BF">
        <w:rPr>
          <w:sz w:val="28"/>
          <w:szCs w:val="28"/>
        </w:rPr>
        <w:t xml:space="preserve">or not </w:t>
      </w:r>
      <w:r w:rsidR="00B61945" w:rsidRPr="00D953BF">
        <w:rPr>
          <w:sz w:val="28"/>
          <w:szCs w:val="28"/>
        </w:rPr>
        <w:t>this was later found to be factually incorrect does not detract from the fact that she had a suspicion that the</w:t>
      </w:r>
      <w:r w:rsidRPr="00D953BF">
        <w:rPr>
          <w:sz w:val="28"/>
          <w:szCs w:val="28"/>
        </w:rPr>
        <w:t xml:space="preserve">se practices by </w:t>
      </w:r>
      <w:r w:rsidR="00DC26D7" w:rsidRPr="00D953BF">
        <w:rPr>
          <w:sz w:val="28"/>
          <w:szCs w:val="28"/>
        </w:rPr>
        <w:t>Dacqup</w:t>
      </w:r>
      <w:r w:rsidR="00B61945" w:rsidRPr="00D953BF">
        <w:rPr>
          <w:sz w:val="28"/>
          <w:szCs w:val="28"/>
        </w:rPr>
        <w:t xml:space="preserve"> were contraventions of the NCA. </w:t>
      </w:r>
      <w:r w:rsidR="001B15E2" w:rsidRPr="00D953BF">
        <w:rPr>
          <w:sz w:val="28"/>
          <w:szCs w:val="28"/>
        </w:rPr>
        <w:t>Ms Mbedzi</w:t>
      </w:r>
      <w:r w:rsidR="00B61945" w:rsidRPr="00D953BF">
        <w:rPr>
          <w:sz w:val="28"/>
          <w:szCs w:val="28"/>
        </w:rPr>
        <w:t xml:space="preserve"> stated this in her report to initiate an investigation</w:t>
      </w:r>
      <w:r w:rsidR="0014204D" w:rsidRPr="00D953BF">
        <w:rPr>
          <w:sz w:val="28"/>
          <w:szCs w:val="28"/>
        </w:rPr>
        <w:t>,</w:t>
      </w:r>
      <w:r w:rsidR="00B61945" w:rsidRPr="00D953BF">
        <w:rPr>
          <w:sz w:val="28"/>
          <w:szCs w:val="28"/>
        </w:rPr>
        <w:t xml:space="preserve"> and in the confirmatory affidavit attached to the founding papers. </w:t>
      </w:r>
      <w:r w:rsidR="00301B5A" w:rsidRPr="00D953BF">
        <w:rPr>
          <w:sz w:val="28"/>
          <w:szCs w:val="28"/>
        </w:rPr>
        <w:t>Th</w:t>
      </w:r>
      <w:r w:rsidR="00B61945" w:rsidRPr="00D953BF">
        <w:rPr>
          <w:sz w:val="28"/>
          <w:szCs w:val="28"/>
        </w:rPr>
        <w:t xml:space="preserve">ere is nothing to gainsay Ms Mbedzi’s suspicion on the basis of the two contraventions </w:t>
      </w:r>
      <w:r w:rsidR="007B3379" w:rsidRPr="00D953BF">
        <w:rPr>
          <w:sz w:val="28"/>
          <w:szCs w:val="28"/>
        </w:rPr>
        <w:t xml:space="preserve">that </w:t>
      </w:r>
      <w:r w:rsidR="00B61945" w:rsidRPr="00D953BF">
        <w:rPr>
          <w:sz w:val="28"/>
          <w:szCs w:val="28"/>
        </w:rPr>
        <w:t xml:space="preserve">she </w:t>
      </w:r>
      <w:r w:rsidR="00E11F9A" w:rsidRPr="00D953BF">
        <w:rPr>
          <w:sz w:val="28"/>
          <w:szCs w:val="28"/>
        </w:rPr>
        <w:t>recorded</w:t>
      </w:r>
      <w:r w:rsidR="0014204D" w:rsidRPr="00D953BF">
        <w:rPr>
          <w:sz w:val="28"/>
          <w:szCs w:val="28"/>
        </w:rPr>
        <w:t>:</w:t>
      </w:r>
      <w:r w:rsidR="00E11F9A" w:rsidRPr="00D953BF">
        <w:rPr>
          <w:sz w:val="28"/>
          <w:szCs w:val="28"/>
        </w:rPr>
        <w:t xml:space="preserve"> the 30% interest </w:t>
      </w:r>
      <w:r w:rsidR="0014204D" w:rsidRPr="00D953BF">
        <w:rPr>
          <w:sz w:val="28"/>
          <w:szCs w:val="28"/>
        </w:rPr>
        <w:t xml:space="preserve">rate </w:t>
      </w:r>
      <w:r w:rsidR="00E11F9A" w:rsidRPr="00D953BF">
        <w:rPr>
          <w:sz w:val="28"/>
          <w:szCs w:val="28"/>
        </w:rPr>
        <w:t>and the advertisement for ‘instant loans’</w:t>
      </w:r>
      <w:r w:rsidR="00B61945" w:rsidRPr="00D953BF">
        <w:rPr>
          <w:sz w:val="28"/>
          <w:szCs w:val="28"/>
        </w:rPr>
        <w:t xml:space="preserve">. </w:t>
      </w:r>
    </w:p>
    <w:p w14:paraId="07910296" w14:textId="77777777" w:rsidR="00E11F9A" w:rsidRPr="00D953BF" w:rsidRDefault="00E11F9A" w:rsidP="00C23BF9">
      <w:pPr>
        <w:spacing w:line="360" w:lineRule="auto"/>
        <w:jc w:val="both"/>
        <w:rPr>
          <w:sz w:val="28"/>
          <w:szCs w:val="28"/>
        </w:rPr>
      </w:pPr>
    </w:p>
    <w:p w14:paraId="7E642C82" w14:textId="1CE4EFCE" w:rsidR="00CF5614" w:rsidRPr="00D953BF" w:rsidRDefault="0014204D" w:rsidP="00C23BF9">
      <w:pPr>
        <w:numPr>
          <w:ilvl w:val="0"/>
          <w:numId w:val="2"/>
        </w:numPr>
        <w:spacing w:line="360" w:lineRule="auto"/>
        <w:jc w:val="both"/>
        <w:rPr>
          <w:sz w:val="28"/>
          <w:szCs w:val="28"/>
        </w:rPr>
      </w:pPr>
      <w:r w:rsidRPr="00D953BF">
        <w:rPr>
          <w:sz w:val="28"/>
          <w:szCs w:val="28"/>
        </w:rPr>
        <w:lastRenderedPageBreak/>
        <w:t>While t</w:t>
      </w:r>
      <w:r w:rsidR="00EE7555" w:rsidRPr="00D953BF">
        <w:rPr>
          <w:sz w:val="28"/>
          <w:szCs w:val="28"/>
        </w:rPr>
        <w:t>he phrase</w:t>
      </w:r>
      <w:r w:rsidR="008810A3" w:rsidRPr="00D953BF">
        <w:rPr>
          <w:sz w:val="28"/>
          <w:szCs w:val="28"/>
        </w:rPr>
        <w:t xml:space="preserve"> </w:t>
      </w:r>
      <w:r w:rsidR="00EE7555" w:rsidRPr="00D953BF">
        <w:rPr>
          <w:sz w:val="28"/>
          <w:szCs w:val="28"/>
        </w:rPr>
        <w:t>‘</w:t>
      </w:r>
      <w:r w:rsidR="008810A3" w:rsidRPr="00D953BF">
        <w:rPr>
          <w:sz w:val="28"/>
          <w:szCs w:val="28"/>
        </w:rPr>
        <w:t>instant loan</w:t>
      </w:r>
      <w:r w:rsidRPr="00D953BF">
        <w:rPr>
          <w:sz w:val="28"/>
          <w:szCs w:val="28"/>
        </w:rPr>
        <w:t>s</w:t>
      </w:r>
      <w:r w:rsidR="00EE7555" w:rsidRPr="00D953BF">
        <w:rPr>
          <w:sz w:val="28"/>
          <w:szCs w:val="28"/>
        </w:rPr>
        <w:t>’</w:t>
      </w:r>
      <w:r w:rsidR="008810A3" w:rsidRPr="00D953BF">
        <w:rPr>
          <w:sz w:val="28"/>
          <w:szCs w:val="28"/>
        </w:rPr>
        <w:t xml:space="preserve"> may merely mean </w:t>
      </w:r>
      <w:r w:rsidR="00F75402" w:rsidRPr="00D953BF">
        <w:rPr>
          <w:sz w:val="28"/>
          <w:szCs w:val="28"/>
        </w:rPr>
        <w:t>‘</w:t>
      </w:r>
      <w:r w:rsidR="008810A3" w:rsidRPr="00D953BF">
        <w:rPr>
          <w:sz w:val="28"/>
          <w:szCs w:val="28"/>
        </w:rPr>
        <w:t>swiftly</w:t>
      </w:r>
      <w:r w:rsidR="00F75402" w:rsidRPr="00D953BF">
        <w:rPr>
          <w:sz w:val="28"/>
          <w:szCs w:val="28"/>
        </w:rPr>
        <w:t>’</w:t>
      </w:r>
      <w:r w:rsidR="00EE7555" w:rsidRPr="00D953BF">
        <w:rPr>
          <w:sz w:val="28"/>
          <w:szCs w:val="28"/>
        </w:rPr>
        <w:t xml:space="preserve">, </w:t>
      </w:r>
      <w:r w:rsidR="00065415" w:rsidRPr="00D953BF">
        <w:rPr>
          <w:sz w:val="28"/>
          <w:szCs w:val="28"/>
        </w:rPr>
        <w:t xml:space="preserve">it </w:t>
      </w:r>
      <w:r w:rsidR="008810A3" w:rsidRPr="00D953BF">
        <w:rPr>
          <w:sz w:val="28"/>
          <w:szCs w:val="28"/>
        </w:rPr>
        <w:t xml:space="preserve">could </w:t>
      </w:r>
      <w:r w:rsidRPr="00D953BF">
        <w:rPr>
          <w:sz w:val="28"/>
          <w:szCs w:val="28"/>
        </w:rPr>
        <w:t xml:space="preserve">reasonably </w:t>
      </w:r>
      <w:r w:rsidR="0047786D" w:rsidRPr="00D953BF">
        <w:rPr>
          <w:sz w:val="28"/>
          <w:szCs w:val="28"/>
        </w:rPr>
        <w:t xml:space="preserve">be </w:t>
      </w:r>
      <w:r w:rsidR="008810A3" w:rsidRPr="00D953BF">
        <w:rPr>
          <w:sz w:val="28"/>
          <w:szCs w:val="28"/>
        </w:rPr>
        <w:t>suggest</w:t>
      </w:r>
      <w:r w:rsidR="0047786D" w:rsidRPr="00D953BF">
        <w:rPr>
          <w:sz w:val="28"/>
          <w:szCs w:val="28"/>
        </w:rPr>
        <w:t xml:space="preserve">ive of </w:t>
      </w:r>
      <w:r w:rsidR="008810A3" w:rsidRPr="00D953BF">
        <w:rPr>
          <w:sz w:val="28"/>
          <w:szCs w:val="28"/>
        </w:rPr>
        <w:t>a curtailed or less onerous loan application process</w:t>
      </w:r>
      <w:r w:rsidR="004F1684" w:rsidRPr="00D953BF">
        <w:rPr>
          <w:sz w:val="28"/>
          <w:szCs w:val="28"/>
        </w:rPr>
        <w:t>,</w:t>
      </w:r>
      <w:r w:rsidR="008810A3" w:rsidRPr="00D953BF">
        <w:rPr>
          <w:sz w:val="28"/>
          <w:szCs w:val="28"/>
        </w:rPr>
        <w:t xml:space="preserve"> as </w:t>
      </w:r>
      <w:r w:rsidR="004F1684" w:rsidRPr="00D953BF">
        <w:rPr>
          <w:sz w:val="28"/>
          <w:szCs w:val="28"/>
        </w:rPr>
        <w:t xml:space="preserve">was </w:t>
      </w:r>
      <w:r w:rsidR="00E959FB" w:rsidRPr="00D953BF">
        <w:rPr>
          <w:sz w:val="28"/>
          <w:szCs w:val="28"/>
        </w:rPr>
        <w:t>held</w:t>
      </w:r>
      <w:r w:rsidR="008810A3" w:rsidRPr="00D953BF">
        <w:rPr>
          <w:sz w:val="28"/>
          <w:szCs w:val="28"/>
        </w:rPr>
        <w:t xml:space="preserve"> by the Tribunal. The meaning of </w:t>
      </w:r>
      <w:r w:rsidR="00F75402" w:rsidRPr="00D953BF">
        <w:rPr>
          <w:sz w:val="28"/>
          <w:szCs w:val="28"/>
        </w:rPr>
        <w:t>‘</w:t>
      </w:r>
      <w:r w:rsidR="008810A3" w:rsidRPr="00D953BF">
        <w:rPr>
          <w:sz w:val="28"/>
          <w:szCs w:val="28"/>
        </w:rPr>
        <w:t>instant</w:t>
      </w:r>
      <w:r w:rsidR="00F75402" w:rsidRPr="00D953BF">
        <w:rPr>
          <w:sz w:val="28"/>
          <w:szCs w:val="28"/>
        </w:rPr>
        <w:t>’</w:t>
      </w:r>
      <w:r w:rsidR="008810A3" w:rsidRPr="00D953BF">
        <w:rPr>
          <w:sz w:val="28"/>
          <w:szCs w:val="28"/>
        </w:rPr>
        <w:t xml:space="preserve"> </w:t>
      </w:r>
      <w:r w:rsidR="00954501" w:rsidRPr="00D953BF">
        <w:rPr>
          <w:sz w:val="28"/>
          <w:szCs w:val="28"/>
        </w:rPr>
        <w:t>is defined as</w:t>
      </w:r>
      <w:r w:rsidRPr="00D953BF">
        <w:rPr>
          <w:sz w:val="28"/>
          <w:szCs w:val="28"/>
        </w:rPr>
        <w:t xml:space="preserve"> </w:t>
      </w:r>
      <w:r w:rsidR="00872EF9" w:rsidRPr="00D953BF">
        <w:rPr>
          <w:sz w:val="28"/>
          <w:szCs w:val="28"/>
        </w:rPr>
        <w:t>‘</w:t>
      </w:r>
      <w:r w:rsidR="008810A3" w:rsidRPr="00D953BF">
        <w:rPr>
          <w:sz w:val="28"/>
          <w:szCs w:val="28"/>
        </w:rPr>
        <w:t>happening immediately, without any delay</w:t>
      </w:r>
      <w:r w:rsidR="00872EF9" w:rsidRPr="00D953BF">
        <w:rPr>
          <w:sz w:val="28"/>
          <w:szCs w:val="28"/>
        </w:rPr>
        <w:t>’</w:t>
      </w:r>
      <w:r w:rsidR="008810A3" w:rsidRPr="00D953BF">
        <w:rPr>
          <w:sz w:val="28"/>
          <w:szCs w:val="28"/>
        </w:rPr>
        <w:t>.</w:t>
      </w:r>
      <w:r w:rsidR="008810A3" w:rsidRPr="00D953BF">
        <w:rPr>
          <w:rStyle w:val="FootnoteReference"/>
          <w:sz w:val="28"/>
          <w:szCs w:val="28"/>
        </w:rPr>
        <w:footnoteReference w:id="17"/>
      </w:r>
      <w:r w:rsidR="008810A3" w:rsidRPr="00D953BF">
        <w:rPr>
          <w:sz w:val="28"/>
          <w:szCs w:val="28"/>
        </w:rPr>
        <w:t xml:space="preserve"> </w:t>
      </w:r>
      <w:r w:rsidR="00C5426D" w:rsidRPr="00D953BF">
        <w:rPr>
          <w:sz w:val="28"/>
          <w:szCs w:val="28"/>
        </w:rPr>
        <w:t>Even i</w:t>
      </w:r>
      <w:r w:rsidR="0047786D" w:rsidRPr="00D953BF">
        <w:rPr>
          <w:sz w:val="28"/>
          <w:szCs w:val="28"/>
        </w:rPr>
        <w:t xml:space="preserve">f </w:t>
      </w:r>
      <w:r w:rsidR="00E959FB" w:rsidRPr="00D953BF">
        <w:rPr>
          <w:sz w:val="28"/>
          <w:szCs w:val="28"/>
        </w:rPr>
        <w:t xml:space="preserve">one accepts </w:t>
      </w:r>
      <w:r w:rsidR="00065415" w:rsidRPr="00D953BF">
        <w:rPr>
          <w:sz w:val="28"/>
          <w:szCs w:val="28"/>
        </w:rPr>
        <w:t>th</w:t>
      </w:r>
      <w:r w:rsidR="004C651B" w:rsidRPr="00D953BF">
        <w:rPr>
          <w:sz w:val="28"/>
          <w:szCs w:val="28"/>
        </w:rPr>
        <w:t>e</w:t>
      </w:r>
      <w:r w:rsidR="00C5426D" w:rsidRPr="00D953BF">
        <w:rPr>
          <w:sz w:val="28"/>
          <w:szCs w:val="28"/>
        </w:rPr>
        <w:t xml:space="preserve"> meaning attributed to the phrase</w:t>
      </w:r>
      <w:r w:rsidR="004C651B" w:rsidRPr="00D953BF">
        <w:rPr>
          <w:sz w:val="28"/>
          <w:szCs w:val="28"/>
        </w:rPr>
        <w:t xml:space="preserve"> by </w:t>
      </w:r>
      <w:r w:rsidR="00E959FB" w:rsidRPr="00D953BF">
        <w:rPr>
          <w:sz w:val="28"/>
          <w:szCs w:val="28"/>
        </w:rPr>
        <w:t>the high court,</w:t>
      </w:r>
      <w:r w:rsidR="008810A3" w:rsidRPr="00D953BF">
        <w:rPr>
          <w:sz w:val="28"/>
          <w:szCs w:val="28"/>
        </w:rPr>
        <w:t xml:space="preserve"> it is sufficient that the meaning </w:t>
      </w:r>
      <w:r w:rsidR="00697BC2" w:rsidRPr="00D953BF">
        <w:rPr>
          <w:sz w:val="28"/>
          <w:szCs w:val="28"/>
        </w:rPr>
        <w:t xml:space="preserve">could have other </w:t>
      </w:r>
      <w:r w:rsidR="00065415" w:rsidRPr="00D953BF">
        <w:rPr>
          <w:sz w:val="28"/>
          <w:szCs w:val="28"/>
        </w:rPr>
        <w:t xml:space="preserve">reasonable </w:t>
      </w:r>
      <w:r w:rsidR="00697BC2" w:rsidRPr="00D953BF">
        <w:rPr>
          <w:sz w:val="28"/>
          <w:szCs w:val="28"/>
        </w:rPr>
        <w:t xml:space="preserve">connotations. </w:t>
      </w:r>
      <w:r w:rsidR="003060E3" w:rsidRPr="00D953BF">
        <w:rPr>
          <w:sz w:val="28"/>
          <w:szCs w:val="28"/>
        </w:rPr>
        <w:t xml:space="preserve">If the meaning ascribed to </w:t>
      </w:r>
      <w:r w:rsidR="002A2786" w:rsidRPr="00D953BF">
        <w:rPr>
          <w:sz w:val="28"/>
          <w:szCs w:val="28"/>
        </w:rPr>
        <w:t>‘</w:t>
      </w:r>
      <w:r w:rsidR="003060E3" w:rsidRPr="00D953BF">
        <w:rPr>
          <w:sz w:val="28"/>
          <w:szCs w:val="28"/>
        </w:rPr>
        <w:t>instant loan</w:t>
      </w:r>
      <w:r w:rsidRPr="00D953BF">
        <w:rPr>
          <w:sz w:val="28"/>
          <w:szCs w:val="28"/>
        </w:rPr>
        <w:t>s</w:t>
      </w:r>
      <w:r w:rsidR="002A2786" w:rsidRPr="00D953BF">
        <w:rPr>
          <w:sz w:val="28"/>
          <w:szCs w:val="28"/>
        </w:rPr>
        <w:t>’</w:t>
      </w:r>
      <w:r w:rsidR="003060E3" w:rsidRPr="00D953BF">
        <w:rPr>
          <w:sz w:val="28"/>
          <w:szCs w:val="28"/>
        </w:rPr>
        <w:t xml:space="preserve"> by Ms </w:t>
      </w:r>
      <w:r w:rsidR="00D708E2" w:rsidRPr="00D953BF">
        <w:rPr>
          <w:sz w:val="28"/>
          <w:szCs w:val="28"/>
        </w:rPr>
        <w:t>Mbedzi</w:t>
      </w:r>
      <w:r w:rsidR="003060E3" w:rsidRPr="00D953BF">
        <w:rPr>
          <w:sz w:val="28"/>
          <w:szCs w:val="28"/>
        </w:rPr>
        <w:t xml:space="preserve"> was a reasonable one</w:t>
      </w:r>
      <w:r w:rsidR="00E959FB" w:rsidRPr="00D953BF">
        <w:rPr>
          <w:sz w:val="28"/>
          <w:szCs w:val="28"/>
        </w:rPr>
        <w:t xml:space="preserve">, </w:t>
      </w:r>
      <w:r w:rsidR="003060E3" w:rsidRPr="00D953BF">
        <w:rPr>
          <w:sz w:val="28"/>
          <w:szCs w:val="28"/>
        </w:rPr>
        <w:t xml:space="preserve">then it cannot be said that she did not have a reasonable suspicion. </w:t>
      </w:r>
      <w:r w:rsidR="00E959FB" w:rsidRPr="00D953BF">
        <w:rPr>
          <w:sz w:val="28"/>
          <w:szCs w:val="28"/>
        </w:rPr>
        <w:t>In my view</w:t>
      </w:r>
      <w:r w:rsidR="00065415" w:rsidRPr="00D953BF">
        <w:rPr>
          <w:sz w:val="28"/>
          <w:szCs w:val="28"/>
        </w:rPr>
        <w:t>,</w:t>
      </w:r>
      <w:r w:rsidR="00E959FB" w:rsidRPr="00D953BF">
        <w:rPr>
          <w:sz w:val="28"/>
          <w:szCs w:val="28"/>
        </w:rPr>
        <w:t xml:space="preserve"> not only </w:t>
      </w:r>
      <w:r w:rsidR="004C651B" w:rsidRPr="00D953BF">
        <w:rPr>
          <w:sz w:val="28"/>
          <w:szCs w:val="28"/>
        </w:rPr>
        <w:t>was Ms</w:t>
      </w:r>
      <w:r w:rsidR="007B3379" w:rsidRPr="00D953BF">
        <w:rPr>
          <w:sz w:val="28"/>
          <w:szCs w:val="28"/>
        </w:rPr>
        <w:t> </w:t>
      </w:r>
      <w:r w:rsidR="004C651B" w:rsidRPr="00D953BF">
        <w:rPr>
          <w:sz w:val="28"/>
          <w:szCs w:val="28"/>
        </w:rPr>
        <w:t>Mbedzi’s</w:t>
      </w:r>
      <w:r w:rsidR="00E959FB" w:rsidRPr="00D953BF">
        <w:rPr>
          <w:sz w:val="28"/>
          <w:szCs w:val="28"/>
        </w:rPr>
        <w:t xml:space="preserve"> interpretation</w:t>
      </w:r>
      <w:r w:rsidR="004C651B" w:rsidRPr="00D953BF">
        <w:rPr>
          <w:sz w:val="28"/>
          <w:szCs w:val="28"/>
        </w:rPr>
        <w:t xml:space="preserve"> a reasonable one</w:t>
      </w:r>
      <w:r w:rsidR="00E959FB" w:rsidRPr="00D953BF">
        <w:rPr>
          <w:sz w:val="28"/>
          <w:szCs w:val="28"/>
        </w:rPr>
        <w:t>, but a more probable one</w:t>
      </w:r>
      <w:r w:rsidR="00065415" w:rsidRPr="00D953BF">
        <w:rPr>
          <w:sz w:val="28"/>
          <w:szCs w:val="28"/>
        </w:rPr>
        <w:t xml:space="preserve"> in the context of the micro-lending industry</w:t>
      </w:r>
      <w:r w:rsidR="00E959FB" w:rsidRPr="00D953BF">
        <w:rPr>
          <w:sz w:val="28"/>
          <w:szCs w:val="28"/>
        </w:rPr>
        <w:t xml:space="preserve">. </w:t>
      </w:r>
    </w:p>
    <w:p w14:paraId="33D3D5F3" w14:textId="77777777" w:rsidR="007B3379" w:rsidRPr="00D953BF" w:rsidRDefault="007B3379" w:rsidP="00C23BF9">
      <w:pPr>
        <w:spacing w:line="360" w:lineRule="auto"/>
        <w:jc w:val="both"/>
        <w:rPr>
          <w:sz w:val="28"/>
          <w:szCs w:val="28"/>
        </w:rPr>
      </w:pPr>
    </w:p>
    <w:p w14:paraId="16FB786F" w14:textId="13B9FDA7" w:rsidR="007B3379" w:rsidRPr="00D953BF" w:rsidRDefault="00AF0EA2" w:rsidP="00C23BF9">
      <w:pPr>
        <w:pStyle w:val="ListParagraph"/>
        <w:numPr>
          <w:ilvl w:val="0"/>
          <w:numId w:val="2"/>
        </w:numPr>
        <w:spacing w:line="360" w:lineRule="auto"/>
        <w:jc w:val="both"/>
        <w:rPr>
          <w:sz w:val="28"/>
          <w:szCs w:val="28"/>
        </w:rPr>
      </w:pPr>
      <w:r w:rsidRPr="00D953BF">
        <w:rPr>
          <w:sz w:val="28"/>
          <w:szCs w:val="28"/>
          <w:lang w:val="en-US"/>
        </w:rPr>
        <w:t>In addition, t</w:t>
      </w:r>
      <w:r w:rsidR="00CF5614" w:rsidRPr="00D953BF">
        <w:rPr>
          <w:sz w:val="28"/>
          <w:szCs w:val="28"/>
          <w:lang w:val="en-US"/>
        </w:rPr>
        <w:t xml:space="preserve">he approach taken by the high court conflated the notion of a reasonable suspicion with </w:t>
      </w:r>
      <w:r w:rsidR="00CF5614" w:rsidRPr="00D953BF">
        <w:rPr>
          <w:i/>
          <w:iCs/>
          <w:sz w:val="28"/>
          <w:szCs w:val="28"/>
          <w:lang w:val="en-US"/>
        </w:rPr>
        <w:t>prima facie</w:t>
      </w:r>
      <w:r w:rsidR="00CF5614" w:rsidRPr="00D953BF">
        <w:rPr>
          <w:sz w:val="28"/>
          <w:szCs w:val="28"/>
          <w:lang w:val="en-US"/>
        </w:rPr>
        <w:t xml:space="preserve"> evidence. As our courts have repeatedly stated, a reasonable suspicion contemplates a lesser burden than that of </w:t>
      </w:r>
      <w:r w:rsidR="00CF5614" w:rsidRPr="00D953BF">
        <w:rPr>
          <w:i/>
          <w:iCs/>
          <w:sz w:val="28"/>
          <w:szCs w:val="28"/>
          <w:lang w:val="en-US"/>
        </w:rPr>
        <w:t>prima facie</w:t>
      </w:r>
      <w:r w:rsidR="00CF5614" w:rsidRPr="00D953BF">
        <w:rPr>
          <w:sz w:val="28"/>
          <w:szCs w:val="28"/>
          <w:lang w:val="en-US"/>
        </w:rPr>
        <w:t xml:space="preserve"> evidence.</w:t>
      </w:r>
      <w:r w:rsidR="00CF5614" w:rsidRPr="00D953BF">
        <w:rPr>
          <w:rStyle w:val="FootnoteReference"/>
          <w:sz w:val="28"/>
          <w:szCs w:val="28"/>
          <w:lang w:val="en-US"/>
        </w:rPr>
        <w:footnoteReference w:id="18"/>
      </w:r>
      <w:r w:rsidR="00CF5614" w:rsidRPr="00D953BF">
        <w:rPr>
          <w:sz w:val="28"/>
          <w:szCs w:val="28"/>
          <w:lang w:val="en-US"/>
        </w:rPr>
        <w:t xml:space="preserve"> To require an inspector to actually obtain a loan in order to establish </w:t>
      </w:r>
      <w:r w:rsidR="00E00E90" w:rsidRPr="00D953BF">
        <w:rPr>
          <w:sz w:val="28"/>
          <w:szCs w:val="28"/>
          <w:lang w:val="en-US"/>
        </w:rPr>
        <w:t>a reasonable suspicion w</w:t>
      </w:r>
      <w:r w:rsidR="00CF5614" w:rsidRPr="00D953BF">
        <w:rPr>
          <w:sz w:val="28"/>
          <w:szCs w:val="28"/>
          <w:lang w:val="en-US"/>
        </w:rPr>
        <w:t xml:space="preserve">ould be tantamount to requiring </w:t>
      </w:r>
      <w:r w:rsidR="00CF5614" w:rsidRPr="00D953BF">
        <w:rPr>
          <w:i/>
          <w:iCs/>
          <w:sz w:val="28"/>
          <w:szCs w:val="28"/>
          <w:lang w:val="en-US"/>
        </w:rPr>
        <w:t>prima facie</w:t>
      </w:r>
      <w:r w:rsidR="00CF5614" w:rsidRPr="00D953BF">
        <w:rPr>
          <w:sz w:val="28"/>
          <w:szCs w:val="28"/>
          <w:lang w:val="en-US"/>
        </w:rPr>
        <w:t xml:space="preserve"> proof.</w:t>
      </w:r>
    </w:p>
    <w:p w14:paraId="6144B041" w14:textId="3198310D" w:rsidR="00E7020F" w:rsidRPr="00D953BF" w:rsidRDefault="00E7020F" w:rsidP="00E7020F">
      <w:pPr>
        <w:pStyle w:val="ListParagraph"/>
        <w:spacing w:line="360" w:lineRule="auto"/>
        <w:ind w:left="0"/>
        <w:jc w:val="both"/>
        <w:rPr>
          <w:sz w:val="28"/>
          <w:szCs w:val="28"/>
        </w:rPr>
      </w:pPr>
    </w:p>
    <w:p w14:paraId="63B5A575" w14:textId="096BECAD" w:rsidR="00C44077" w:rsidRPr="00D953BF" w:rsidRDefault="00C44077" w:rsidP="00C23BF9">
      <w:pPr>
        <w:numPr>
          <w:ilvl w:val="0"/>
          <w:numId w:val="2"/>
        </w:numPr>
        <w:spacing w:line="360" w:lineRule="auto"/>
        <w:jc w:val="both"/>
        <w:rPr>
          <w:sz w:val="28"/>
          <w:szCs w:val="28"/>
        </w:rPr>
      </w:pPr>
      <w:r w:rsidRPr="00D953BF">
        <w:rPr>
          <w:sz w:val="28"/>
          <w:szCs w:val="28"/>
        </w:rPr>
        <w:t>In all the circumstances, I am satisfied that the NCR has shown that it had a reasonable suspicion to initiate an investigation into the activities of Dacqup. These suspicions are set out in the memorandum of Ms Mbedzi and amplified in the NCR’s founding affidavit.</w:t>
      </w:r>
    </w:p>
    <w:p w14:paraId="0C6358AD" w14:textId="77777777" w:rsidR="00C44077" w:rsidRPr="00D953BF" w:rsidRDefault="00C44077" w:rsidP="00C23BF9">
      <w:pPr>
        <w:spacing w:line="360" w:lineRule="auto"/>
        <w:jc w:val="both"/>
        <w:rPr>
          <w:sz w:val="28"/>
          <w:szCs w:val="28"/>
        </w:rPr>
      </w:pPr>
    </w:p>
    <w:p w14:paraId="06E59DA2" w14:textId="6B81AEC6" w:rsidR="00C44077" w:rsidRPr="00D953BF" w:rsidRDefault="001C58B9" w:rsidP="00C23BF9">
      <w:pPr>
        <w:numPr>
          <w:ilvl w:val="0"/>
          <w:numId w:val="2"/>
        </w:numPr>
        <w:spacing w:line="360" w:lineRule="auto"/>
        <w:jc w:val="both"/>
        <w:rPr>
          <w:sz w:val="28"/>
          <w:szCs w:val="28"/>
        </w:rPr>
      </w:pPr>
      <w:r w:rsidRPr="00D953BF">
        <w:rPr>
          <w:sz w:val="28"/>
          <w:szCs w:val="28"/>
        </w:rPr>
        <w:lastRenderedPageBreak/>
        <w:t xml:space="preserve">What remains is the question of whether it was competent for the Tribunal to make an order that Dacqup appoint an auditor to assess the amount that consumers had been overcharged. The high court, </w:t>
      </w:r>
      <w:r w:rsidR="00AF0EA2" w:rsidRPr="00D953BF">
        <w:rPr>
          <w:sz w:val="28"/>
          <w:szCs w:val="28"/>
        </w:rPr>
        <w:t>having found that there was no reasonable suspicion to initiate a complaint</w:t>
      </w:r>
      <w:r w:rsidRPr="00D953BF">
        <w:rPr>
          <w:sz w:val="28"/>
          <w:szCs w:val="28"/>
        </w:rPr>
        <w:t>, did not deem it necessary to address this question.</w:t>
      </w:r>
      <w:r w:rsidRPr="00D953BF">
        <w:rPr>
          <w:sz w:val="28"/>
          <w:szCs w:val="28"/>
          <w:lang w:val="en-US"/>
        </w:rPr>
        <w:t xml:space="preserve"> </w:t>
      </w:r>
      <w:r w:rsidR="004B6100" w:rsidRPr="00D953BF">
        <w:rPr>
          <w:sz w:val="28"/>
          <w:szCs w:val="28"/>
          <w:lang w:val="en-US"/>
        </w:rPr>
        <w:t xml:space="preserve">Ordinarily, this Court would remit the matter to the high court to consider the issue. </w:t>
      </w:r>
      <w:r w:rsidRPr="00D953BF">
        <w:rPr>
          <w:sz w:val="28"/>
          <w:szCs w:val="28"/>
        </w:rPr>
        <w:t xml:space="preserve">However, the issue before this Court has narrowed considerably. </w:t>
      </w:r>
      <w:r w:rsidRPr="00D953BF">
        <w:rPr>
          <w:sz w:val="28"/>
          <w:szCs w:val="28"/>
          <w:lang w:val="en-US"/>
        </w:rPr>
        <w:t xml:space="preserve">As emerged during the hearing, </w:t>
      </w:r>
      <w:r w:rsidRPr="00D953BF">
        <w:rPr>
          <w:sz w:val="28"/>
          <w:szCs w:val="28"/>
        </w:rPr>
        <w:t>Dacqup now accepts that an auditor should be appointed</w:t>
      </w:r>
      <w:r w:rsidRPr="00D953BF">
        <w:rPr>
          <w:sz w:val="28"/>
          <w:szCs w:val="28"/>
          <w:lang w:val="en-US"/>
        </w:rPr>
        <w:t xml:space="preserve"> to assess the extent of overcharging and the amount to be reimburse</w:t>
      </w:r>
      <w:r w:rsidR="006256D1" w:rsidRPr="00D953BF">
        <w:rPr>
          <w:sz w:val="28"/>
          <w:szCs w:val="28"/>
          <w:lang w:val="en-US"/>
        </w:rPr>
        <w:t>d</w:t>
      </w:r>
      <w:r w:rsidRPr="00D953BF">
        <w:rPr>
          <w:sz w:val="28"/>
          <w:szCs w:val="28"/>
          <w:lang w:val="en-US"/>
        </w:rPr>
        <w:t xml:space="preserve"> to consumers. </w:t>
      </w:r>
      <w:r w:rsidR="004B6100" w:rsidRPr="00D953BF">
        <w:rPr>
          <w:sz w:val="28"/>
          <w:szCs w:val="28"/>
          <w:lang w:val="en-US"/>
        </w:rPr>
        <w:t>Dacqup only objects to th</w:t>
      </w:r>
      <w:r w:rsidR="006256D1" w:rsidRPr="00D953BF">
        <w:rPr>
          <w:sz w:val="28"/>
          <w:szCs w:val="28"/>
          <w:lang w:val="en-US"/>
        </w:rPr>
        <w:t>at</w:t>
      </w:r>
      <w:r w:rsidR="004B6100" w:rsidRPr="00D953BF">
        <w:rPr>
          <w:sz w:val="28"/>
          <w:szCs w:val="28"/>
          <w:lang w:val="en-US"/>
        </w:rPr>
        <w:t xml:space="preserve"> part of the order </w:t>
      </w:r>
      <w:r w:rsidR="00265D27" w:rsidRPr="00D953BF">
        <w:rPr>
          <w:sz w:val="28"/>
          <w:szCs w:val="28"/>
          <w:lang w:val="en-US"/>
        </w:rPr>
        <w:t xml:space="preserve">requiring </w:t>
      </w:r>
      <w:r w:rsidR="004B6100" w:rsidRPr="00D953BF">
        <w:rPr>
          <w:sz w:val="28"/>
          <w:szCs w:val="28"/>
          <w:lang w:val="en-US"/>
        </w:rPr>
        <w:t xml:space="preserve">it </w:t>
      </w:r>
      <w:r w:rsidR="00265D27" w:rsidRPr="00D953BF">
        <w:rPr>
          <w:sz w:val="28"/>
          <w:szCs w:val="28"/>
          <w:lang w:val="en-US"/>
        </w:rPr>
        <w:t xml:space="preserve">to </w:t>
      </w:r>
      <w:r w:rsidR="004B6100" w:rsidRPr="00D953BF">
        <w:rPr>
          <w:sz w:val="28"/>
          <w:szCs w:val="28"/>
          <w:lang w:val="en-US"/>
        </w:rPr>
        <w:t xml:space="preserve">bear the cost of </w:t>
      </w:r>
      <w:r w:rsidRPr="00D953BF">
        <w:rPr>
          <w:sz w:val="28"/>
          <w:szCs w:val="28"/>
          <w:lang w:val="en-US"/>
        </w:rPr>
        <w:t>the auditor</w:t>
      </w:r>
      <w:r w:rsidR="00265D27" w:rsidRPr="00D953BF">
        <w:rPr>
          <w:sz w:val="28"/>
          <w:szCs w:val="28"/>
          <w:lang w:val="en-US"/>
        </w:rPr>
        <w:t>, and contends that the NCR should bear that cost. No purpose would therefore be served by remitting the matter to the high court.</w:t>
      </w:r>
      <w:r w:rsidR="00265D27" w:rsidRPr="00D953BF">
        <w:rPr>
          <w:sz w:val="28"/>
          <w:szCs w:val="28"/>
        </w:rPr>
        <w:t xml:space="preserve"> The Constitutional Court has found that remittal in certain circumstances would be a waste of judicial resources and inconsistent with the principle that there must be finality in litigation.</w:t>
      </w:r>
      <w:r w:rsidR="00265D27" w:rsidRPr="00D953BF">
        <w:rPr>
          <w:rStyle w:val="FootnoteReference"/>
          <w:sz w:val="28"/>
          <w:szCs w:val="28"/>
        </w:rPr>
        <w:footnoteReference w:id="19"/>
      </w:r>
      <w:r w:rsidR="00265D27" w:rsidRPr="00D953BF">
        <w:rPr>
          <w:sz w:val="28"/>
          <w:szCs w:val="28"/>
        </w:rPr>
        <w:t xml:space="preserve"> Because of its nar</w:t>
      </w:r>
      <w:r w:rsidR="002C2060" w:rsidRPr="00D953BF">
        <w:rPr>
          <w:sz w:val="28"/>
          <w:szCs w:val="28"/>
        </w:rPr>
        <w:t>row ambit, this is such a case.</w:t>
      </w:r>
    </w:p>
    <w:p w14:paraId="41F70803" w14:textId="77777777" w:rsidR="00202346" w:rsidRPr="00D953BF" w:rsidRDefault="00202346" w:rsidP="00C23BF9">
      <w:pPr>
        <w:spacing w:line="360" w:lineRule="auto"/>
        <w:jc w:val="both"/>
        <w:rPr>
          <w:sz w:val="28"/>
          <w:szCs w:val="28"/>
        </w:rPr>
      </w:pPr>
    </w:p>
    <w:p w14:paraId="29FD5854" w14:textId="7082818C" w:rsidR="00C44077" w:rsidRPr="00D953BF" w:rsidRDefault="00C44077" w:rsidP="00C23BF9">
      <w:pPr>
        <w:numPr>
          <w:ilvl w:val="0"/>
          <w:numId w:val="2"/>
        </w:numPr>
        <w:spacing w:line="360" w:lineRule="auto"/>
        <w:jc w:val="both"/>
        <w:rPr>
          <w:sz w:val="28"/>
          <w:szCs w:val="28"/>
        </w:rPr>
      </w:pPr>
      <w:r w:rsidRPr="00D953BF">
        <w:rPr>
          <w:sz w:val="28"/>
          <w:szCs w:val="28"/>
          <w:lang w:val="en-US"/>
        </w:rPr>
        <w:t>There are several cases where an order has been made that an entity appoint an independent auditor to ascertain the extent of unlawfully obtained profit.</w:t>
      </w:r>
      <w:r w:rsidRPr="00D953BF">
        <w:rPr>
          <w:rStyle w:val="FootnoteReference"/>
          <w:sz w:val="28"/>
          <w:szCs w:val="28"/>
          <w:lang w:val="en-US"/>
        </w:rPr>
        <w:footnoteReference w:id="20"/>
      </w:r>
      <w:r w:rsidRPr="00D953BF">
        <w:rPr>
          <w:sz w:val="28"/>
          <w:szCs w:val="28"/>
          <w:lang w:val="en-US"/>
        </w:rPr>
        <w:t xml:space="preserve"> Implicit in these orders is that the relevant entity is to pay the costs of the auditor. There is no reason why cases involving the NCR should be any </w:t>
      </w:r>
      <w:r w:rsidRPr="00D953BF">
        <w:rPr>
          <w:sz w:val="28"/>
          <w:szCs w:val="28"/>
          <w:lang w:val="en-US"/>
        </w:rPr>
        <w:lastRenderedPageBreak/>
        <w:t xml:space="preserve">different, especially bearing in mind the </w:t>
      </w:r>
      <w:r w:rsidRPr="00D953BF">
        <w:rPr>
          <w:sz w:val="28"/>
          <w:szCs w:val="28"/>
        </w:rPr>
        <w:t>wide-ranging powers afforded to the Tribunal in making any appropriate order in relation to prohibited conduct.</w:t>
      </w:r>
      <w:r w:rsidRPr="00D953BF">
        <w:rPr>
          <w:rStyle w:val="FootnoteReference"/>
          <w:sz w:val="28"/>
          <w:szCs w:val="28"/>
        </w:rPr>
        <w:footnoteReference w:id="21"/>
      </w:r>
    </w:p>
    <w:p w14:paraId="78F76763" w14:textId="77777777" w:rsidR="00202346" w:rsidRPr="00D953BF" w:rsidRDefault="00202346" w:rsidP="00C23BF9">
      <w:pPr>
        <w:spacing w:line="360" w:lineRule="auto"/>
        <w:jc w:val="both"/>
        <w:rPr>
          <w:sz w:val="28"/>
          <w:szCs w:val="28"/>
        </w:rPr>
      </w:pPr>
    </w:p>
    <w:p w14:paraId="76ECC584" w14:textId="5C987602" w:rsidR="002857D5" w:rsidRPr="00D953BF" w:rsidRDefault="00256DA9" w:rsidP="00C23BF9">
      <w:pPr>
        <w:numPr>
          <w:ilvl w:val="0"/>
          <w:numId w:val="2"/>
        </w:numPr>
        <w:spacing w:line="360" w:lineRule="auto"/>
        <w:jc w:val="both"/>
        <w:rPr>
          <w:sz w:val="28"/>
          <w:szCs w:val="28"/>
        </w:rPr>
      </w:pPr>
      <w:r w:rsidRPr="00D953BF">
        <w:rPr>
          <w:sz w:val="28"/>
          <w:szCs w:val="28"/>
        </w:rPr>
        <w:t xml:space="preserve">Accordingly, the appeal must succeed. </w:t>
      </w:r>
      <w:r w:rsidR="00301298" w:rsidRPr="00D953BF">
        <w:rPr>
          <w:sz w:val="28"/>
          <w:szCs w:val="28"/>
        </w:rPr>
        <w:t xml:space="preserve">Costs </w:t>
      </w:r>
      <w:r w:rsidR="00747FDC" w:rsidRPr="00D953BF">
        <w:rPr>
          <w:sz w:val="28"/>
          <w:szCs w:val="28"/>
        </w:rPr>
        <w:t xml:space="preserve">should </w:t>
      </w:r>
      <w:r w:rsidR="00301298" w:rsidRPr="00D953BF">
        <w:rPr>
          <w:sz w:val="28"/>
          <w:szCs w:val="28"/>
        </w:rPr>
        <w:t>follow the result</w:t>
      </w:r>
      <w:r w:rsidR="00CC4FDA" w:rsidRPr="00D953BF">
        <w:rPr>
          <w:sz w:val="28"/>
          <w:szCs w:val="28"/>
        </w:rPr>
        <w:t xml:space="preserve">. Nevertheless, it </w:t>
      </w:r>
      <w:r w:rsidR="00301298" w:rsidRPr="00D953BF">
        <w:rPr>
          <w:sz w:val="28"/>
          <w:szCs w:val="28"/>
        </w:rPr>
        <w:t xml:space="preserve">is </w:t>
      </w:r>
      <w:r w:rsidR="00747FDC" w:rsidRPr="00D953BF">
        <w:rPr>
          <w:sz w:val="28"/>
          <w:szCs w:val="28"/>
        </w:rPr>
        <w:t xml:space="preserve">necessary to briefly comment on how the high court dealt with the issue of costs. As mentioned already, it ordered the NCR to pay Dacqup’s costs. </w:t>
      </w:r>
      <w:r w:rsidR="00301298" w:rsidRPr="00D953BF">
        <w:rPr>
          <w:sz w:val="28"/>
          <w:szCs w:val="28"/>
        </w:rPr>
        <w:t xml:space="preserve">It is a long-established principle in our law </w:t>
      </w:r>
      <w:r w:rsidR="003656CC" w:rsidRPr="00D953BF">
        <w:rPr>
          <w:sz w:val="28"/>
          <w:szCs w:val="28"/>
        </w:rPr>
        <w:t xml:space="preserve">that </w:t>
      </w:r>
      <w:r w:rsidR="00301298" w:rsidRPr="00D953BF">
        <w:rPr>
          <w:sz w:val="28"/>
          <w:szCs w:val="28"/>
        </w:rPr>
        <w:t xml:space="preserve">where a statutory body is </w:t>
      </w:r>
      <w:r w:rsidR="003656CC" w:rsidRPr="00D953BF">
        <w:rPr>
          <w:sz w:val="28"/>
          <w:szCs w:val="28"/>
        </w:rPr>
        <w:t xml:space="preserve">fulfilling its statutory duties, costs should not be awarded against it, even if it acted incorrectly, </w:t>
      </w:r>
      <w:r w:rsidR="00152FE4" w:rsidRPr="00D953BF">
        <w:rPr>
          <w:sz w:val="28"/>
          <w:szCs w:val="28"/>
        </w:rPr>
        <w:t xml:space="preserve">as long as its conduct </w:t>
      </w:r>
      <w:r w:rsidR="003656CC" w:rsidRPr="00D953BF">
        <w:rPr>
          <w:sz w:val="28"/>
          <w:szCs w:val="28"/>
        </w:rPr>
        <w:t xml:space="preserve">was not </w:t>
      </w:r>
      <w:r w:rsidR="003656CC" w:rsidRPr="00D953BF">
        <w:rPr>
          <w:i/>
          <w:iCs/>
          <w:sz w:val="28"/>
          <w:szCs w:val="28"/>
        </w:rPr>
        <w:t>mal</w:t>
      </w:r>
      <w:r w:rsidR="00747FDC" w:rsidRPr="00D953BF">
        <w:rPr>
          <w:i/>
          <w:iCs/>
          <w:sz w:val="28"/>
          <w:szCs w:val="28"/>
        </w:rPr>
        <w:t>a</w:t>
      </w:r>
      <w:r w:rsidR="00900B99" w:rsidRPr="00D953BF">
        <w:rPr>
          <w:i/>
          <w:iCs/>
          <w:sz w:val="28"/>
          <w:szCs w:val="28"/>
        </w:rPr>
        <w:t> </w:t>
      </w:r>
      <w:r w:rsidR="003656CC" w:rsidRPr="00D953BF">
        <w:rPr>
          <w:i/>
          <w:iCs/>
          <w:sz w:val="28"/>
          <w:szCs w:val="28"/>
        </w:rPr>
        <w:t>fide</w:t>
      </w:r>
      <w:r w:rsidR="003656CC" w:rsidRPr="00D953BF">
        <w:rPr>
          <w:sz w:val="28"/>
          <w:szCs w:val="28"/>
        </w:rPr>
        <w:t>.</w:t>
      </w:r>
      <w:r w:rsidR="003656CC" w:rsidRPr="00D953BF">
        <w:rPr>
          <w:rStyle w:val="FootnoteReference"/>
          <w:sz w:val="28"/>
          <w:szCs w:val="28"/>
        </w:rPr>
        <w:footnoteReference w:id="22"/>
      </w:r>
      <w:r w:rsidR="002A2786" w:rsidRPr="00D953BF">
        <w:rPr>
          <w:sz w:val="28"/>
          <w:szCs w:val="28"/>
        </w:rPr>
        <w:t xml:space="preserve"> </w:t>
      </w:r>
      <w:r w:rsidR="001C58B9" w:rsidRPr="00D953BF">
        <w:rPr>
          <w:sz w:val="28"/>
          <w:szCs w:val="28"/>
        </w:rPr>
        <w:t>The high court failed to observe this salutary principle</w:t>
      </w:r>
      <w:r w:rsidR="00E7020F" w:rsidRPr="00D953BF">
        <w:rPr>
          <w:sz w:val="28"/>
          <w:szCs w:val="28"/>
        </w:rPr>
        <w:t>,</w:t>
      </w:r>
      <w:r w:rsidR="006256D1" w:rsidRPr="00D953BF">
        <w:rPr>
          <w:sz w:val="28"/>
          <w:szCs w:val="28"/>
        </w:rPr>
        <w:t xml:space="preserve"> as there was </w:t>
      </w:r>
      <w:r w:rsidR="00747FDC" w:rsidRPr="00D953BF">
        <w:rPr>
          <w:sz w:val="28"/>
          <w:szCs w:val="28"/>
        </w:rPr>
        <w:t xml:space="preserve">no suggestion that </w:t>
      </w:r>
      <w:r w:rsidR="006256D1" w:rsidRPr="00D953BF">
        <w:rPr>
          <w:sz w:val="28"/>
          <w:szCs w:val="28"/>
        </w:rPr>
        <w:t>the NCR’s</w:t>
      </w:r>
      <w:r w:rsidR="00747FDC" w:rsidRPr="00D953BF">
        <w:rPr>
          <w:sz w:val="28"/>
          <w:szCs w:val="28"/>
        </w:rPr>
        <w:t xml:space="preserve"> conduct had been actuated by mal</w:t>
      </w:r>
      <w:r w:rsidR="006256D1" w:rsidRPr="00D953BF">
        <w:rPr>
          <w:sz w:val="28"/>
          <w:szCs w:val="28"/>
        </w:rPr>
        <w:t>ice</w:t>
      </w:r>
      <w:r w:rsidR="00CC4FDA" w:rsidRPr="00D953BF">
        <w:rPr>
          <w:sz w:val="28"/>
          <w:szCs w:val="28"/>
        </w:rPr>
        <w:t>.</w:t>
      </w:r>
      <w:r w:rsidR="001C58B9" w:rsidRPr="00D953BF">
        <w:rPr>
          <w:sz w:val="28"/>
          <w:szCs w:val="28"/>
        </w:rPr>
        <w:t xml:space="preserve"> Even on the view it took to dismiss the appeal, it should not have ordered the NCR to pay costs.</w:t>
      </w:r>
    </w:p>
    <w:p w14:paraId="5D4C0501" w14:textId="77777777" w:rsidR="008168BD" w:rsidRPr="00D953BF" w:rsidRDefault="008168BD" w:rsidP="00C23BF9">
      <w:pPr>
        <w:spacing w:line="360" w:lineRule="auto"/>
        <w:jc w:val="both"/>
        <w:rPr>
          <w:sz w:val="28"/>
          <w:szCs w:val="28"/>
        </w:rPr>
      </w:pPr>
    </w:p>
    <w:p w14:paraId="67F43140" w14:textId="1F5F2D86" w:rsidR="003060E3" w:rsidRPr="00D953BF" w:rsidRDefault="003060E3" w:rsidP="00C23BF9">
      <w:pPr>
        <w:numPr>
          <w:ilvl w:val="0"/>
          <w:numId w:val="2"/>
        </w:numPr>
        <w:spacing w:line="360" w:lineRule="auto"/>
        <w:jc w:val="both"/>
        <w:rPr>
          <w:sz w:val="28"/>
          <w:szCs w:val="28"/>
        </w:rPr>
      </w:pPr>
      <w:r w:rsidRPr="00D953BF">
        <w:rPr>
          <w:sz w:val="28"/>
          <w:szCs w:val="28"/>
        </w:rPr>
        <w:t>In the result</w:t>
      </w:r>
      <w:r w:rsidR="0007774F" w:rsidRPr="00D953BF">
        <w:rPr>
          <w:sz w:val="28"/>
          <w:szCs w:val="28"/>
        </w:rPr>
        <w:t>,</w:t>
      </w:r>
      <w:r w:rsidRPr="00D953BF">
        <w:rPr>
          <w:sz w:val="28"/>
          <w:szCs w:val="28"/>
        </w:rPr>
        <w:t xml:space="preserve"> the following order is made</w:t>
      </w:r>
      <w:r w:rsidR="0007774F" w:rsidRPr="00D953BF">
        <w:rPr>
          <w:sz w:val="28"/>
          <w:szCs w:val="28"/>
        </w:rPr>
        <w:t>:</w:t>
      </w:r>
    </w:p>
    <w:p w14:paraId="75BD4FA0" w14:textId="77777777" w:rsidR="0007774F" w:rsidRPr="00D953BF" w:rsidRDefault="0007774F" w:rsidP="00C23BF9">
      <w:pPr>
        <w:spacing w:line="360" w:lineRule="auto"/>
        <w:jc w:val="both"/>
        <w:rPr>
          <w:sz w:val="28"/>
          <w:szCs w:val="28"/>
        </w:rPr>
      </w:pPr>
      <w:r w:rsidRPr="00D953BF">
        <w:rPr>
          <w:sz w:val="28"/>
          <w:szCs w:val="28"/>
        </w:rPr>
        <w:t>1</w:t>
      </w:r>
      <w:r w:rsidRPr="00D953BF">
        <w:rPr>
          <w:sz w:val="28"/>
          <w:szCs w:val="28"/>
        </w:rPr>
        <w:tab/>
      </w:r>
      <w:r w:rsidR="003060E3" w:rsidRPr="00D953BF">
        <w:rPr>
          <w:sz w:val="28"/>
          <w:szCs w:val="28"/>
        </w:rPr>
        <w:t>The appeal is upheld with costs</w:t>
      </w:r>
      <w:r w:rsidRPr="00D953BF">
        <w:rPr>
          <w:sz w:val="28"/>
          <w:szCs w:val="28"/>
        </w:rPr>
        <w:t>.</w:t>
      </w:r>
    </w:p>
    <w:p w14:paraId="01F5AA38" w14:textId="250390D5" w:rsidR="00E7020F" w:rsidRPr="00D953BF" w:rsidRDefault="0007774F" w:rsidP="00C23BF9">
      <w:pPr>
        <w:spacing w:line="360" w:lineRule="auto"/>
        <w:jc w:val="both"/>
        <w:rPr>
          <w:sz w:val="28"/>
          <w:szCs w:val="28"/>
        </w:rPr>
      </w:pPr>
      <w:r w:rsidRPr="00D953BF">
        <w:rPr>
          <w:sz w:val="28"/>
          <w:szCs w:val="28"/>
        </w:rPr>
        <w:t xml:space="preserve">2 </w:t>
      </w:r>
      <w:r w:rsidRPr="00D953BF">
        <w:rPr>
          <w:sz w:val="28"/>
          <w:szCs w:val="28"/>
        </w:rPr>
        <w:tab/>
      </w:r>
      <w:r w:rsidR="003060E3" w:rsidRPr="00D953BF">
        <w:rPr>
          <w:sz w:val="28"/>
          <w:szCs w:val="28"/>
        </w:rPr>
        <w:t>The order of the high court is set</w:t>
      </w:r>
      <w:r w:rsidR="00640CAE" w:rsidRPr="00D953BF">
        <w:rPr>
          <w:sz w:val="28"/>
          <w:szCs w:val="28"/>
        </w:rPr>
        <w:t xml:space="preserve"> aside and substituted with the </w:t>
      </w:r>
      <w:r w:rsidR="003060E3" w:rsidRPr="00D953BF">
        <w:rPr>
          <w:sz w:val="28"/>
          <w:szCs w:val="28"/>
        </w:rPr>
        <w:t>following:</w:t>
      </w:r>
    </w:p>
    <w:p w14:paraId="21712975" w14:textId="6E3F0026" w:rsidR="000A0F65" w:rsidRPr="00D953BF" w:rsidRDefault="003060E3" w:rsidP="00C23BF9">
      <w:pPr>
        <w:spacing w:line="360" w:lineRule="auto"/>
        <w:jc w:val="both"/>
        <w:rPr>
          <w:sz w:val="28"/>
          <w:szCs w:val="28"/>
        </w:rPr>
      </w:pPr>
      <w:r w:rsidRPr="00D953BF">
        <w:rPr>
          <w:sz w:val="28"/>
          <w:szCs w:val="28"/>
        </w:rPr>
        <w:t>‘The appeal is dismissed with cost</w:t>
      </w:r>
      <w:r w:rsidR="005820CD" w:rsidRPr="00D953BF">
        <w:rPr>
          <w:sz w:val="28"/>
          <w:szCs w:val="28"/>
        </w:rPr>
        <w:t>s</w:t>
      </w:r>
      <w:r w:rsidR="00541A89" w:rsidRPr="00D953BF">
        <w:rPr>
          <w:sz w:val="28"/>
          <w:szCs w:val="28"/>
        </w:rPr>
        <w:t>.</w:t>
      </w:r>
      <w:r w:rsidR="005820CD" w:rsidRPr="00D953BF">
        <w:rPr>
          <w:sz w:val="28"/>
          <w:szCs w:val="28"/>
        </w:rPr>
        <w:t>’</w:t>
      </w:r>
    </w:p>
    <w:p w14:paraId="0A4E18CB" w14:textId="7119CDEE" w:rsidR="00A567D6" w:rsidRPr="00D953BF" w:rsidRDefault="00A567D6" w:rsidP="00C23BF9">
      <w:pPr>
        <w:spacing w:line="360" w:lineRule="auto"/>
        <w:jc w:val="both"/>
        <w:rPr>
          <w:sz w:val="28"/>
          <w:szCs w:val="28"/>
        </w:rPr>
      </w:pPr>
    </w:p>
    <w:p w14:paraId="1EF7A873" w14:textId="34833F20" w:rsidR="00541A89" w:rsidRPr="00D953BF" w:rsidRDefault="00476F3A" w:rsidP="00C23BF9">
      <w:pPr>
        <w:spacing w:line="360" w:lineRule="auto"/>
        <w:jc w:val="right"/>
        <w:rPr>
          <w:sz w:val="28"/>
          <w:szCs w:val="28"/>
        </w:rPr>
      </w:pPr>
      <w:r w:rsidRPr="00D953BF">
        <w:rPr>
          <w:sz w:val="28"/>
          <w:szCs w:val="28"/>
        </w:rPr>
        <w:t>_</w:t>
      </w:r>
      <w:r w:rsidR="00541A89" w:rsidRPr="00D953BF">
        <w:rPr>
          <w:sz w:val="28"/>
          <w:szCs w:val="28"/>
        </w:rPr>
        <w:softHyphen/>
      </w:r>
      <w:r w:rsidR="00541A89" w:rsidRPr="00D953BF">
        <w:rPr>
          <w:sz w:val="28"/>
          <w:szCs w:val="28"/>
        </w:rPr>
        <w:softHyphen/>
      </w:r>
      <w:r w:rsidR="00541A89" w:rsidRPr="00D953BF">
        <w:rPr>
          <w:sz w:val="28"/>
          <w:szCs w:val="28"/>
        </w:rPr>
        <w:softHyphen/>
      </w:r>
      <w:r w:rsidR="00541A89" w:rsidRPr="00D953BF">
        <w:rPr>
          <w:sz w:val="28"/>
          <w:szCs w:val="28"/>
        </w:rPr>
        <w:softHyphen/>
      </w:r>
      <w:r w:rsidR="00541A89" w:rsidRPr="00D953BF">
        <w:rPr>
          <w:sz w:val="28"/>
          <w:szCs w:val="28"/>
        </w:rPr>
        <w:softHyphen/>
      </w:r>
      <w:r w:rsidRPr="00D953BF">
        <w:rPr>
          <w:sz w:val="28"/>
          <w:szCs w:val="28"/>
        </w:rPr>
        <w:t>_____________</w:t>
      </w:r>
      <w:r w:rsidR="00641615" w:rsidRPr="00D953BF">
        <w:rPr>
          <w:sz w:val="28"/>
          <w:szCs w:val="28"/>
        </w:rPr>
        <w:t>_</w:t>
      </w:r>
      <w:r w:rsidRPr="00D953BF">
        <w:rPr>
          <w:sz w:val="28"/>
          <w:szCs w:val="28"/>
        </w:rPr>
        <w:t>____</w:t>
      </w:r>
      <w:r w:rsidR="00541A89" w:rsidRPr="00D953BF">
        <w:rPr>
          <w:sz w:val="28"/>
          <w:szCs w:val="28"/>
        </w:rPr>
        <w:t>__</w:t>
      </w:r>
      <w:r w:rsidRPr="00D953BF">
        <w:rPr>
          <w:sz w:val="28"/>
          <w:szCs w:val="28"/>
        </w:rPr>
        <w:t>_</w:t>
      </w:r>
      <w:r w:rsidR="00541A89" w:rsidRPr="00D953BF">
        <w:rPr>
          <w:sz w:val="28"/>
          <w:szCs w:val="28"/>
        </w:rPr>
        <w:softHyphen/>
      </w:r>
      <w:r w:rsidR="00541A89" w:rsidRPr="00D953BF">
        <w:rPr>
          <w:sz w:val="28"/>
          <w:szCs w:val="28"/>
        </w:rPr>
        <w:softHyphen/>
      </w:r>
    </w:p>
    <w:p w14:paraId="25A4D517" w14:textId="0835F97F" w:rsidR="00476F3A" w:rsidRPr="00D953BF" w:rsidRDefault="00541A89" w:rsidP="00C23BF9">
      <w:pPr>
        <w:spacing w:line="360" w:lineRule="auto"/>
        <w:jc w:val="right"/>
        <w:rPr>
          <w:sz w:val="28"/>
          <w:szCs w:val="28"/>
        </w:rPr>
      </w:pPr>
      <w:r w:rsidRPr="00D953BF">
        <w:rPr>
          <w:sz w:val="28"/>
          <w:szCs w:val="28"/>
        </w:rPr>
        <w:t xml:space="preserve">C </w:t>
      </w:r>
      <w:r w:rsidR="00485284" w:rsidRPr="00D953BF">
        <w:rPr>
          <w:sz w:val="28"/>
          <w:szCs w:val="28"/>
        </w:rPr>
        <w:t>HEATON</w:t>
      </w:r>
      <w:r w:rsidRPr="00D953BF">
        <w:rPr>
          <w:sz w:val="28"/>
          <w:szCs w:val="28"/>
        </w:rPr>
        <w:t xml:space="preserve"> </w:t>
      </w:r>
      <w:r w:rsidR="00486A17" w:rsidRPr="00D953BF">
        <w:rPr>
          <w:sz w:val="28"/>
          <w:szCs w:val="28"/>
        </w:rPr>
        <w:t>NICHOLLS</w:t>
      </w:r>
    </w:p>
    <w:p w14:paraId="2B095056" w14:textId="2C0A164C" w:rsidR="00476F3A" w:rsidRPr="00D953BF" w:rsidRDefault="00476F3A" w:rsidP="00C23BF9">
      <w:pPr>
        <w:spacing w:line="360" w:lineRule="auto"/>
        <w:jc w:val="right"/>
        <w:rPr>
          <w:sz w:val="28"/>
          <w:szCs w:val="28"/>
        </w:rPr>
      </w:pPr>
      <w:r w:rsidRPr="00D953BF">
        <w:rPr>
          <w:sz w:val="28"/>
          <w:szCs w:val="28"/>
        </w:rPr>
        <w:t>JUDGE OF APPEAL</w:t>
      </w:r>
    </w:p>
    <w:p w14:paraId="75284B1F" w14:textId="77777777" w:rsidR="00C23BF9" w:rsidRPr="00D953BF" w:rsidRDefault="001B1493" w:rsidP="00C23BF9">
      <w:pPr>
        <w:spacing w:line="360" w:lineRule="auto"/>
        <w:jc w:val="both"/>
        <w:rPr>
          <w:sz w:val="28"/>
          <w:szCs w:val="28"/>
        </w:rPr>
      </w:pPr>
      <w:r w:rsidRPr="00D953BF">
        <w:rPr>
          <w:sz w:val="28"/>
          <w:szCs w:val="28"/>
        </w:rPr>
        <w:br w:type="page"/>
      </w:r>
      <w:r w:rsidRPr="00D953BF">
        <w:rPr>
          <w:sz w:val="28"/>
          <w:szCs w:val="28"/>
        </w:rPr>
        <w:lastRenderedPageBreak/>
        <w:t>Appearances</w:t>
      </w:r>
    </w:p>
    <w:p w14:paraId="3E4159F1" w14:textId="2A64B95F" w:rsidR="001B1493" w:rsidRPr="00D953BF" w:rsidRDefault="001B1493" w:rsidP="00C23BF9">
      <w:pPr>
        <w:spacing w:line="360" w:lineRule="auto"/>
        <w:jc w:val="both"/>
        <w:rPr>
          <w:sz w:val="28"/>
          <w:szCs w:val="28"/>
        </w:rPr>
      </w:pPr>
      <w:r w:rsidRPr="00D953BF">
        <w:rPr>
          <w:sz w:val="28"/>
          <w:szCs w:val="28"/>
        </w:rPr>
        <w:t xml:space="preserve"> </w:t>
      </w:r>
    </w:p>
    <w:p w14:paraId="6C24420C" w14:textId="239B20C1" w:rsidR="001B1493" w:rsidRPr="00D953BF" w:rsidRDefault="001B1493" w:rsidP="00C23BF9">
      <w:pPr>
        <w:spacing w:line="360" w:lineRule="auto"/>
        <w:jc w:val="both"/>
        <w:rPr>
          <w:sz w:val="28"/>
          <w:szCs w:val="28"/>
        </w:rPr>
      </w:pPr>
      <w:r w:rsidRPr="00D953BF">
        <w:rPr>
          <w:sz w:val="28"/>
          <w:szCs w:val="28"/>
        </w:rPr>
        <w:t>For appellant:</w:t>
      </w:r>
      <w:r w:rsidRPr="00D953BF">
        <w:rPr>
          <w:sz w:val="28"/>
          <w:szCs w:val="28"/>
        </w:rPr>
        <w:tab/>
      </w:r>
      <w:r w:rsidR="00CB61DD" w:rsidRPr="00D953BF">
        <w:rPr>
          <w:sz w:val="28"/>
          <w:szCs w:val="28"/>
        </w:rPr>
        <w:tab/>
      </w:r>
      <w:r w:rsidR="00154ACF" w:rsidRPr="00D953BF">
        <w:rPr>
          <w:sz w:val="28"/>
          <w:szCs w:val="28"/>
        </w:rPr>
        <w:t>M Mbikiwa</w:t>
      </w:r>
    </w:p>
    <w:p w14:paraId="4606BBD9" w14:textId="2250FE8E" w:rsidR="001B1493" w:rsidRPr="00D953BF" w:rsidRDefault="00154ACF" w:rsidP="00C23BF9">
      <w:pPr>
        <w:spacing w:line="360" w:lineRule="auto"/>
        <w:jc w:val="both"/>
        <w:rPr>
          <w:bCs/>
          <w:sz w:val="28"/>
          <w:szCs w:val="28"/>
        </w:rPr>
      </w:pPr>
      <w:r w:rsidRPr="00D953BF">
        <w:rPr>
          <w:bCs/>
          <w:sz w:val="28"/>
          <w:szCs w:val="28"/>
        </w:rPr>
        <w:t>Instructed by:</w:t>
      </w:r>
      <w:r w:rsidRPr="00D953BF">
        <w:rPr>
          <w:bCs/>
          <w:sz w:val="28"/>
          <w:szCs w:val="28"/>
        </w:rPr>
        <w:tab/>
      </w:r>
      <w:r w:rsidR="00CB61DD" w:rsidRPr="00D953BF">
        <w:rPr>
          <w:bCs/>
          <w:sz w:val="28"/>
          <w:szCs w:val="28"/>
        </w:rPr>
        <w:tab/>
      </w:r>
      <w:r w:rsidR="00956A28" w:rsidRPr="00D953BF">
        <w:rPr>
          <w:bCs/>
          <w:sz w:val="28"/>
          <w:szCs w:val="28"/>
        </w:rPr>
        <w:t>M</w:t>
      </w:r>
      <w:r w:rsidR="00CB61DD" w:rsidRPr="00D953BF">
        <w:rPr>
          <w:bCs/>
          <w:sz w:val="28"/>
          <w:szCs w:val="28"/>
        </w:rPr>
        <w:t xml:space="preserve"> </w:t>
      </w:r>
      <w:r w:rsidR="00956A28" w:rsidRPr="00D953BF">
        <w:rPr>
          <w:bCs/>
          <w:sz w:val="28"/>
          <w:szCs w:val="28"/>
        </w:rPr>
        <w:t>Incorporated Attorneys</w:t>
      </w:r>
      <w:r w:rsidR="009D0FEC" w:rsidRPr="00D953BF">
        <w:rPr>
          <w:bCs/>
          <w:sz w:val="28"/>
          <w:szCs w:val="28"/>
        </w:rPr>
        <w:t>, Sandton</w:t>
      </w:r>
    </w:p>
    <w:p w14:paraId="0B61467B" w14:textId="29F85ECE" w:rsidR="001B1493" w:rsidRPr="00D953BF" w:rsidRDefault="009D0FEC" w:rsidP="00C23BF9">
      <w:pPr>
        <w:spacing w:line="360" w:lineRule="auto"/>
        <w:ind w:left="1179" w:firstLine="1701"/>
        <w:jc w:val="both"/>
        <w:rPr>
          <w:bCs/>
          <w:sz w:val="28"/>
          <w:szCs w:val="28"/>
        </w:rPr>
      </w:pPr>
      <w:r w:rsidRPr="00D953BF">
        <w:rPr>
          <w:bCs/>
          <w:sz w:val="28"/>
          <w:szCs w:val="28"/>
        </w:rPr>
        <w:t xml:space="preserve">Matsepes </w:t>
      </w:r>
      <w:r w:rsidR="009C1F3A" w:rsidRPr="00D953BF">
        <w:rPr>
          <w:bCs/>
          <w:sz w:val="28"/>
          <w:szCs w:val="28"/>
        </w:rPr>
        <w:t>Incorporated</w:t>
      </w:r>
      <w:r w:rsidR="0007774F" w:rsidRPr="00D953BF">
        <w:rPr>
          <w:bCs/>
          <w:sz w:val="28"/>
          <w:szCs w:val="28"/>
        </w:rPr>
        <w:t>,</w:t>
      </w:r>
      <w:r w:rsidR="00541A89" w:rsidRPr="00D953BF">
        <w:rPr>
          <w:bCs/>
          <w:sz w:val="28"/>
          <w:szCs w:val="28"/>
        </w:rPr>
        <w:t xml:space="preserve"> </w:t>
      </w:r>
      <w:r w:rsidR="001B1493" w:rsidRPr="00D953BF">
        <w:rPr>
          <w:bCs/>
          <w:sz w:val="28"/>
          <w:szCs w:val="28"/>
        </w:rPr>
        <w:t>Bloemfontein</w:t>
      </w:r>
    </w:p>
    <w:p w14:paraId="2DD99D93" w14:textId="7449E2A9" w:rsidR="001B1493" w:rsidRPr="00D953BF" w:rsidRDefault="001B1493" w:rsidP="00C23BF9">
      <w:pPr>
        <w:spacing w:line="360" w:lineRule="auto"/>
        <w:jc w:val="both"/>
        <w:rPr>
          <w:bCs/>
          <w:sz w:val="28"/>
          <w:szCs w:val="28"/>
        </w:rPr>
      </w:pPr>
    </w:p>
    <w:p w14:paraId="107ECF6C" w14:textId="5A97AF05" w:rsidR="001B1493" w:rsidRPr="00D953BF" w:rsidRDefault="001B1493" w:rsidP="00C23BF9">
      <w:pPr>
        <w:spacing w:line="360" w:lineRule="auto"/>
        <w:jc w:val="both"/>
        <w:rPr>
          <w:sz w:val="28"/>
          <w:szCs w:val="28"/>
        </w:rPr>
      </w:pPr>
      <w:r w:rsidRPr="00D953BF">
        <w:rPr>
          <w:sz w:val="28"/>
          <w:szCs w:val="28"/>
        </w:rPr>
        <w:t xml:space="preserve">For </w:t>
      </w:r>
      <w:r w:rsidR="003A6610" w:rsidRPr="00D953BF">
        <w:rPr>
          <w:sz w:val="28"/>
          <w:szCs w:val="28"/>
        </w:rPr>
        <w:t xml:space="preserve">first </w:t>
      </w:r>
      <w:r w:rsidRPr="00D953BF">
        <w:rPr>
          <w:sz w:val="28"/>
          <w:szCs w:val="28"/>
        </w:rPr>
        <w:t>respondent:</w:t>
      </w:r>
      <w:r w:rsidRPr="00D953BF">
        <w:rPr>
          <w:sz w:val="28"/>
          <w:szCs w:val="28"/>
        </w:rPr>
        <w:tab/>
      </w:r>
      <w:r w:rsidR="003A6610" w:rsidRPr="00D953BF">
        <w:rPr>
          <w:sz w:val="28"/>
          <w:szCs w:val="28"/>
        </w:rPr>
        <w:t>R Michau SC</w:t>
      </w:r>
    </w:p>
    <w:p w14:paraId="6BE80C7E" w14:textId="55CF608C" w:rsidR="001B1493" w:rsidRPr="00D953BF" w:rsidRDefault="001B1493" w:rsidP="00C23BF9">
      <w:pPr>
        <w:spacing w:line="360" w:lineRule="auto"/>
        <w:jc w:val="both"/>
        <w:rPr>
          <w:bCs/>
          <w:sz w:val="28"/>
          <w:szCs w:val="28"/>
        </w:rPr>
      </w:pPr>
      <w:r w:rsidRPr="00D953BF">
        <w:rPr>
          <w:bCs/>
          <w:sz w:val="28"/>
          <w:szCs w:val="28"/>
        </w:rPr>
        <w:t>Instructed by:</w:t>
      </w:r>
      <w:r w:rsidR="009D0FEC" w:rsidRPr="00D953BF">
        <w:rPr>
          <w:bCs/>
          <w:sz w:val="28"/>
          <w:szCs w:val="28"/>
        </w:rPr>
        <w:tab/>
      </w:r>
      <w:r w:rsidR="009D0FEC" w:rsidRPr="00D953BF">
        <w:rPr>
          <w:bCs/>
          <w:sz w:val="28"/>
          <w:szCs w:val="28"/>
        </w:rPr>
        <w:tab/>
        <w:t>LLR Inc</w:t>
      </w:r>
      <w:r w:rsidR="009C1F3A" w:rsidRPr="00D953BF">
        <w:rPr>
          <w:bCs/>
          <w:sz w:val="28"/>
          <w:szCs w:val="28"/>
        </w:rPr>
        <w:t>orporated</w:t>
      </w:r>
      <w:r w:rsidR="00256DA9" w:rsidRPr="00D953BF">
        <w:rPr>
          <w:bCs/>
          <w:sz w:val="28"/>
          <w:szCs w:val="28"/>
        </w:rPr>
        <w:t xml:space="preserve"> </w:t>
      </w:r>
      <w:r w:rsidR="009D0FEC" w:rsidRPr="00D953BF">
        <w:rPr>
          <w:bCs/>
          <w:sz w:val="28"/>
          <w:szCs w:val="28"/>
        </w:rPr>
        <w:t>Attorneys, Pretoria</w:t>
      </w:r>
    </w:p>
    <w:p w14:paraId="49AFAA3C" w14:textId="5A6A8989" w:rsidR="00D82BFE" w:rsidRPr="009C1F3A" w:rsidRDefault="00892A0B" w:rsidP="009C1F3A">
      <w:pPr>
        <w:spacing w:line="360" w:lineRule="auto"/>
        <w:ind w:left="1179" w:firstLine="1701"/>
        <w:jc w:val="both"/>
        <w:rPr>
          <w:bCs/>
          <w:sz w:val="28"/>
          <w:szCs w:val="28"/>
        </w:rPr>
      </w:pPr>
      <w:r w:rsidRPr="00D953BF">
        <w:rPr>
          <w:bCs/>
          <w:sz w:val="28"/>
          <w:szCs w:val="28"/>
        </w:rPr>
        <w:t>Webbers Attorneys</w:t>
      </w:r>
      <w:r w:rsidR="001B1493" w:rsidRPr="00D953BF">
        <w:rPr>
          <w:bCs/>
          <w:sz w:val="28"/>
          <w:szCs w:val="28"/>
        </w:rPr>
        <w:t>, Bloemfontein</w:t>
      </w:r>
    </w:p>
    <w:sectPr w:rsidR="00D82BFE" w:rsidRPr="009C1F3A" w:rsidSect="00715D07">
      <w:headerReference w:type="even" r:id="rId12"/>
      <w:headerReference w:type="default" r:id="rId13"/>
      <w:pgSz w:w="12240" w:h="15840"/>
      <w:pgMar w:top="1440" w:right="1800" w:bottom="1440" w:left="180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0C86" w14:textId="77777777" w:rsidR="006A23F9" w:rsidRDefault="006A23F9" w:rsidP="00A91C4B">
      <w:r>
        <w:separator/>
      </w:r>
    </w:p>
  </w:endnote>
  <w:endnote w:type="continuationSeparator" w:id="0">
    <w:p w14:paraId="0BC69CD2" w14:textId="77777777" w:rsidR="006A23F9" w:rsidRDefault="006A23F9"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8BE8" w14:textId="77777777" w:rsidR="006A23F9" w:rsidRDefault="006A23F9" w:rsidP="00A91C4B">
      <w:r>
        <w:separator/>
      </w:r>
    </w:p>
  </w:footnote>
  <w:footnote w:type="continuationSeparator" w:id="0">
    <w:p w14:paraId="1D1C9110" w14:textId="77777777" w:rsidR="006A23F9" w:rsidRDefault="006A23F9" w:rsidP="00A91C4B">
      <w:r>
        <w:continuationSeparator/>
      </w:r>
    </w:p>
  </w:footnote>
  <w:footnote w:id="1">
    <w:p w14:paraId="5E610BFB" w14:textId="4EE97183" w:rsidR="00C647F3" w:rsidRPr="00D953BF" w:rsidRDefault="00C647F3" w:rsidP="008D44A2">
      <w:pPr>
        <w:jc w:val="both"/>
        <w:rPr>
          <w:sz w:val="20"/>
          <w:szCs w:val="20"/>
        </w:rPr>
      </w:pPr>
      <w:r w:rsidRPr="00D953BF">
        <w:rPr>
          <w:rStyle w:val="FootnoteReference"/>
          <w:sz w:val="20"/>
          <w:szCs w:val="20"/>
        </w:rPr>
        <w:footnoteRef/>
      </w:r>
      <w:r w:rsidRPr="00D953BF">
        <w:rPr>
          <w:sz w:val="20"/>
          <w:szCs w:val="20"/>
        </w:rPr>
        <w:t xml:space="preserve"> There was initially some uncertainty as to whether </w:t>
      </w:r>
      <w:r w:rsidR="0051596C" w:rsidRPr="00D953BF">
        <w:rPr>
          <w:sz w:val="20"/>
          <w:szCs w:val="20"/>
        </w:rPr>
        <w:t>decisions of the high court under s 148(2)</w:t>
      </w:r>
      <w:r w:rsidR="0051596C" w:rsidRPr="00D953BF">
        <w:rPr>
          <w:i/>
          <w:sz w:val="20"/>
          <w:szCs w:val="20"/>
        </w:rPr>
        <w:t>(b)</w:t>
      </w:r>
      <w:r w:rsidR="0051596C" w:rsidRPr="00D953BF">
        <w:rPr>
          <w:sz w:val="20"/>
          <w:szCs w:val="20"/>
        </w:rPr>
        <w:t xml:space="preserve"> of the NCA come to this Court by way of leave granted by the high court or by special leave of this Court. This issue was settled in </w:t>
      </w:r>
      <w:r w:rsidR="009F1347" w:rsidRPr="00D953BF">
        <w:rPr>
          <w:i/>
          <w:iCs/>
          <w:sz w:val="20"/>
          <w:szCs w:val="20"/>
        </w:rPr>
        <w:t>National Credit Regulator v Lewis Stores (Pty) Ltd and Another</w:t>
      </w:r>
      <w:r w:rsidR="009F1347" w:rsidRPr="00D953BF">
        <w:rPr>
          <w:sz w:val="20"/>
          <w:szCs w:val="20"/>
        </w:rPr>
        <w:t xml:space="preserve"> [2019] ZASCA 190; 2020 (2) SA 390 (SCA); [2020] 2 All SA 31 (SCA) para 56.</w:t>
      </w:r>
    </w:p>
  </w:footnote>
  <w:footnote w:id="2">
    <w:p w14:paraId="63A7A162" w14:textId="09792E87" w:rsidR="005E19B0" w:rsidRPr="00D953BF" w:rsidRDefault="005E19B0" w:rsidP="008D44A2">
      <w:pPr>
        <w:pStyle w:val="FootnoteText"/>
        <w:jc w:val="both"/>
        <w:rPr>
          <w:lang w:val="en-ZA"/>
        </w:rPr>
      </w:pPr>
      <w:r w:rsidRPr="00D953BF">
        <w:rPr>
          <w:rStyle w:val="FootnoteReference"/>
        </w:rPr>
        <w:footnoteRef/>
      </w:r>
      <w:r w:rsidRPr="00D953BF">
        <w:t xml:space="preserve"> </w:t>
      </w:r>
      <w:r w:rsidR="00F17078" w:rsidRPr="00D953BF">
        <w:t>See</w:t>
      </w:r>
      <w:r w:rsidR="00FB6385" w:rsidRPr="00D953BF">
        <w:t xml:space="preserve"> the</w:t>
      </w:r>
      <w:r w:rsidR="00F17078" w:rsidRPr="00D953BF">
        <w:t xml:space="preserve"> preamble to </w:t>
      </w:r>
      <w:r w:rsidR="00EE4065" w:rsidRPr="00D953BF">
        <w:t xml:space="preserve">the </w:t>
      </w:r>
      <w:r w:rsidR="00F17078" w:rsidRPr="00D953BF">
        <w:t xml:space="preserve">NCA and </w:t>
      </w:r>
      <w:r w:rsidR="00EE4065" w:rsidRPr="00D953BF">
        <w:rPr>
          <w:lang w:val="en-ZA"/>
        </w:rPr>
        <w:t>s</w:t>
      </w:r>
      <w:r w:rsidRPr="00D953BF">
        <w:rPr>
          <w:lang w:val="en-ZA"/>
        </w:rPr>
        <w:t>ection 3 of the NCA</w:t>
      </w:r>
      <w:r w:rsidR="00EE4065" w:rsidRPr="00D953BF">
        <w:rPr>
          <w:lang w:val="en-ZA"/>
        </w:rPr>
        <w:t>,</w:t>
      </w:r>
      <w:r w:rsidRPr="00D953BF">
        <w:rPr>
          <w:lang w:val="en-ZA"/>
        </w:rPr>
        <w:t xml:space="preserve"> </w:t>
      </w:r>
      <w:r w:rsidR="00FB6385" w:rsidRPr="00D953BF">
        <w:rPr>
          <w:lang w:val="en-ZA"/>
        </w:rPr>
        <w:t xml:space="preserve">which </w:t>
      </w:r>
      <w:r w:rsidRPr="00D953BF">
        <w:rPr>
          <w:lang w:val="en-ZA"/>
        </w:rPr>
        <w:t>prov</w:t>
      </w:r>
      <w:r w:rsidR="00EE4065" w:rsidRPr="00D953BF">
        <w:rPr>
          <w:lang w:val="en-ZA"/>
        </w:rPr>
        <w:t>ides for the purposes of the NCA</w:t>
      </w:r>
      <w:r w:rsidRPr="00D953BF">
        <w:rPr>
          <w:lang w:val="en-ZA"/>
        </w:rPr>
        <w:t xml:space="preserve"> in great detail.</w:t>
      </w:r>
    </w:p>
  </w:footnote>
  <w:footnote w:id="3">
    <w:p w14:paraId="49911118" w14:textId="77777777" w:rsidR="00AA2F66" w:rsidRPr="00D953BF" w:rsidRDefault="00AA2F66" w:rsidP="008D44A2">
      <w:pPr>
        <w:pStyle w:val="FootnoteText"/>
        <w:jc w:val="both"/>
      </w:pPr>
      <w:r w:rsidRPr="00D953BF">
        <w:rPr>
          <w:rStyle w:val="FootnoteReference"/>
        </w:rPr>
        <w:footnoteRef/>
      </w:r>
      <w:r w:rsidRPr="00D953BF">
        <w:t xml:space="preserve"> Sections 139(3) and (5) of the NCA.</w:t>
      </w:r>
    </w:p>
  </w:footnote>
  <w:footnote w:id="4">
    <w:p w14:paraId="4DBC1116" w14:textId="77777777" w:rsidR="005E19B0" w:rsidRPr="00D953BF" w:rsidRDefault="005E19B0" w:rsidP="008D44A2">
      <w:pPr>
        <w:pStyle w:val="FootnoteText"/>
        <w:jc w:val="both"/>
        <w:rPr>
          <w:lang w:val="en-US"/>
        </w:rPr>
      </w:pPr>
      <w:r w:rsidRPr="00D953BF">
        <w:rPr>
          <w:rStyle w:val="FootnoteReference"/>
        </w:rPr>
        <w:footnoteRef/>
      </w:r>
      <w:r w:rsidRPr="00D953BF">
        <w:t xml:space="preserve"> </w:t>
      </w:r>
      <w:r w:rsidRPr="00D953BF">
        <w:rPr>
          <w:lang w:val="en-US"/>
        </w:rPr>
        <w:t>Section 15</w:t>
      </w:r>
      <w:r w:rsidRPr="00D953BF">
        <w:rPr>
          <w:i/>
          <w:lang w:val="en-US"/>
        </w:rPr>
        <w:t>(c)</w:t>
      </w:r>
      <w:r w:rsidRPr="00D953BF">
        <w:rPr>
          <w:lang w:val="en-US"/>
        </w:rPr>
        <w:t xml:space="preserve"> of the NCA.</w:t>
      </w:r>
    </w:p>
  </w:footnote>
  <w:footnote w:id="5">
    <w:p w14:paraId="6734F62E" w14:textId="284C3D5C" w:rsidR="00811E81" w:rsidRPr="00D953BF" w:rsidRDefault="00811E81" w:rsidP="008D44A2">
      <w:pPr>
        <w:pStyle w:val="FootnoteText"/>
        <w:jc w:val="both"/>
        <w:rPr>
          <w:i/>
          <w:lang w:val="en-ZA"/>
        </w:rPr>
      </w:pPr>
      <w:r w:rsidRPr="00D953BF">
        <w:rPr>
          <w:rStyle w:val="FootnoteReference"/>
        </w:rPr>
        <w:footnoteRef/>
      </w:r>
      <w:r w:rsidRPr="00D953BF">
        <w:t xml:space="preserve"> </w:t>
      </w:r>
      <w:r w:rsidRPr="00D953BF">
        <w:rPr>
          <w:i/>
        </w:rPr>
        <w:t>Competition Commission v Yara</w:t>
      </w:r>
      <w:r w:rsidRPr="00D953BF">
        <w:rPr>
          <w:b/>
          <w:bCs/>
          <w:lang w:val="en-ZA" w:eastAsia="en-ZA"/>
        </w:rPr>
        <w:t xml:space="preserve"> </w:t>
      </w:r>
      <w:r w:rsidRPr="00D953BF">
        <w:rPr>
          <w:i/>
          <w:lang w:val="en-ZA"/>
        </w:rPr>
        <w:t>(South Africa) (Pty) Ltd and Others</w:t>
      </w:r>
      <w:r w:rsidRPr="00D953BF">
        <w:t xml:space="preserve"> [2013] ZASCA 107; [2013] 4 All SA 302 (SCA); 2013 (6) SA 404 (SCA)</w:t>
      </w:r>
      <w:r w:rsidR="002021DC" w:rsidRPr="00D953BF">
        <w:t xml:space="preserve"> para 21</w:t>
      </w:r>
      <w:r w:rsidRPr="00D953BF">
        <w:t>.</w:t>
      </w:r>
    </w:p>
  </w:footnote>
  <w:footnote w:id="6">
    <w:p w14:paraId="14F09C81" w14:textId="5CAFB861" w:rsidR="000B3CCB" w:rsidRPr="00D953BF" w:rsidRDefault="000B3CCB" w:rsidP="008D44A2">
      <w:pPr>
        <w:pStyle w:val="FootnoteText"/>
        <w:jc w:val="both"/>
      </w:pPr>
      <w:r w:rsidRPr="00D953BF">
        <w:rPr>
          <w:rStyle w:val="FootnoteReference"/>
        </w:rPr>
        <w:footnoteRef/>
      </w:r>
      <w:r w:rsidRPr="00D953BF">
        <w:t xml:space="preserve"> </w:t>
      </w:r>
      <w:r w:rsidRPr="00D953BF">
        <w:rPr>
          <w:i/>
          <w:lang w:val="en-ZA"/>
        </w:rPr>
        <w:t>Biyela v Minister of Police</w:t>
      </w:r>
      <w:r w:rsidRPr="00D953BF">
        <w:rPr>
          <w:lang w:val="en-ZA"/>
        </w:rPr>
        <w:t xml:space="preserve"> [2022] ZASCA 36 (SCA) paras 31-35.</w:t>
      </w:r>
    </w:p>
  </w:footnote>
  <w:footnote w:id="7">
    <w:p w14:paraId="31E1F16E" w14:textId="0507E2BF" w:rsidR="00E13716" w:rsidRPr="00D953BF" w:rsidRDefault="00E13716" w:rsidP="008D44A2">
      <w:pPr>
        <w:pStyle w:val="FootnoteText"/>
        <w:jc w:val="both"/>
        <w:rPr>
          <w:lang w:val="en-ZA"/>
        </w:rPr>
      </w:pPr>
      <w:r w:rsidRPr="00D953BF">
        <w:rPr>
          <w:rStyle w:val="FootnoteReference"/>
        </w:rPr>
        <w:footnoteRef/>
      </w:r>
      <w:r w:rsidRPr="00D953BF">
        <w:t xml:space="preserve"> </w:t>
      </w:r>
      <w:r w:rsidRPr="00D953BF">
        <w:rPr>
          <w:i/>
          <w:lang w:val="en-ZA"/>
        </w:rPr>
        <w:t>South African Reserve Bank v Leathern N O and Others</w:t>
      </w:r>
      <w:r w:rsidRPr="00D953BF">
        <w:rPr>
          <w:lang w:val="en-ZA"/>
        </w:rPr>
        <w:t xml:space="preserve"> [2021] ZASCA 102; 2021 (5) SA 543 (SCA); [2021] 4 All SA 368 (SCA) para 15; </w:t>
      </w:r>
      <w:r w:rsidRPr="00D953BF">
        <w:rPr>
          <w:i/>
          <w:lang w:val="en-ZA"/>
        </w:rPr>
        <w:t>Duncan v Minister of Law and Order</w:t>
      </w:r>
      <w:r w:rsidRPr="00D953BF">
        <w:rPr>
          <w:lang w:val="en-ZA"/>
        </w:rPr>
        <w:t xml:space="preserve"> [</w:t>
      </w:r>
      <w:r w:rsidRPr="00D953BF">
        <w:t>1986] 2 All SA 241</w:t>
      </w:r>
      <w:r w:rsidRPr="00D953BF">
        <w:rPr>
          <w:lang w:val="en-ZA"/>
        </w:rPr>
        <w:t xml:space="preserve"> (A); 1986 (2) SA 805 (A) at 819I; </w:t>
      </w:r>
      <w:r w:rsidRPr="00D953BF">
        <w:rPr>
          <w:i/>
          <w:lang w:val="en-ZA"/>
        </w:rPr>
        <w:t xml:space="preserve">Minister of Law and Order v Kader </w:t>
      </w:r>
      <w:r w:rsidRPr="00D953BF">
        <w:rPr>
          <w:bCs/>
        </w:rPr>
        <w:t>[1991] 1 All SA 256 (A)</w:t>
      </w:r>
      <w:r w:rsidRPr="00D953BF">
        <w:rPr>
          <w:lang w:val="en-ZA"/>
        </w:rPr>
        <w:t xml:space="preserve">; 1991 (1) SA 41 (A) at 50H-I; </w:t>
      </w:r>
      <w:r w:rsidRPr="00D953BF">
        <w:rPr>
          <w:i/>
          <w:lang w:val="en-ZA"/>
        </w:rPr>
        <w:t>BTR Industries South Africa (Pty) Ltd and Others v Metal and Allied Workers’ Union and Another</w:t>
      </w:r>
      <w:r w:rsidRPr="00D953BF">
        <w:rPr>
          <w:lang w:val="en-ZA"/>
        </w:rPr>
        <w:t xml:space="preserve"> [1992] ZASCA 85; </w:t>
      </w:r>
      <w:r w:rsidRPr="00D953BF">
        <w:rPr>
          <w:bCs/>
        </w:rPr>
        <w:t>[1992] 4 All SA 701 (A)</w:t>
      </w:r>
      <w:r w:rsidRPr="00D953BF">
        <w:rPr>
          <w:lang w:val="en-ZA"/>
        </w:rPr>
        <w:t xml:space="preserve">; 1992 (3) SA 673 (A) at 690G-H; </w:t>
      </w:r>
      <w:r w:rsidRPr="00D953BF">
        <w:rPr>
          <w:i/>
          <w:lang w:val="en-ZA"/>
        </w:rPr>
        <w:t>Powell N O and Others v Van der Merwe N O and Others</w:t>
      </w:r>
      <w:r w:rsidRPr="00D953BF">
        <w:rPr>
          <w:lang w:val="en-ZA"/>
        </w:rPr>
        <w:t xml:space="preserve"> [2005] 1 All SA 149 (SCA); 2005 (5) SA 62 (SCA) para 36.</w:t>
      </w:r>
    </w:p>
  </w:footnote>
  <w:footnote w:id="8">
    <w:p w14:paraId="45A4219F" w14:textId="35C6180D" w:rsidR="00E13716" w:rsidRPr="00D953BF" w:rsidRDefault="00E13716" w:rsidP="008D44A2">
      <w:pPr>
        <w:pStyle w:val="FootnoteText"/>
        <w:jc w:val="both"/>
        <w:rPr>
          <w:lang w:val="en-ZA"/>
        </w:rPr>
      </w:pPr>
      <w:r w:rsidRPr="00D953BF">
        <w:rPr>
          <w:rStyle w:val="FootnoteReference"/>
        </w:rPr>
        <w:footnoteRef/>
      </w:r>
      <w:r w:rsidRPr="00D953BF">
        <w:t xml:space="preserve"> </w:t>
      </w:r>
      <w:r w:rsidRPr="00D953BF">
        <w:rPr>
          <w:i/>
          <w:lang w:val="en-ZA"/>
        </w:rPr>
        <w:t>Shaaban bin Hussien and others v Chong Fook Kam and another</w:t>
      </w:r>
      <w:r w:rsidRPr="00D953BF">
        <w:rPr>
          <w:lang w:val="en-ZA"/>
        </w:rPr>
        <w:t xml:space="preserve"> </w:t>
      </w:r>
      <w:r w:rsidRPr="00D953BF">
        <w:t xml:space="preserve">[1969] UKPC 26, [1969] 3 All ER 1626, [1970] 2 WLR 441, </w:t>
      </w:r>
      <w:r w:rsidRPr="00D953BF">
        <w:rPr>
          <w:lang w:val="en-ZA"/>
        </w:rPr>
        <w:t>[1970] AC 942 at 948B.</w:t>
      </w:r>
    </w:p>
  </w:footnote>
  <w:footnote w:id="9">
    <w:p w14:paraId="77E4A24F" w14:textId="77777777" w:rsidR="0007572C" w:rsidRPr="00D953BF" w:rsidRDefault="0007572C" w:rsidP="008D44A2">
      <w:pPr>
        <w:pStyle w:val="FootnoteText"/>
        <w:jc w:val="both"/>
        <w:rPr>
          <w:lang w:val="en-ZA"/>
        </w:rPr>
      </w:pPr>
      <w:r w:rsidRPr="00D953BF">
        <w:rPr>
          <w:rStyle w:val="FootnoteReference"/>
        </w:rPr>
        <w:footnoteRef/>
      </w:r>
      <w:r w:rsidRPr="00D953BF">
        <w:t xml:space="preserve"> </w:t>
      </w:r>
      <w:r w:rsidRPr="00D953BF">
        <w:rPr>
          <w:i/>
          <w:lang w:val="en-ZA"/>
        </w:rPr>
        <w:t>George v Rockett</w:t>
      </w:r>
      <w:r w:rsidRPr="00D953BF">
        <w:rPr>
          <w:lang w:val="en-ZA"/>
        </w:rPr>
        <w:t xml:space="preserve"> </w:t>
      </w:r>
      <w:r w:rsidRPr="00D953BF">
        <w:t>[1990] HCA 26; 170 CLR 104;</w:t>
      </w:r>
      <w:r w:rsidRPr="00D953BF">
        <w:rPr>
          <w:lang w:val="en-ZA"/>
        </w:rPr>
        <w:t xml:space="preserve"> 64 ALJR 384; </w:t>
      </w:r>
      <w:r w:rsidRPr="00D953BF">
        <w:t>93 ALR 483</w:t>
      </w:r>
      <w:r w:rsidRPr="00D953BF">
        <w:rPr>
          <w:lang w:val="en-ZA"/>
        </w:rPr>
        <w:t>.</w:t>
      </w:r>
    </w:p>
  </w:footnote>
  <w:footnote w:id="10">
    <w:p w14:paraId="1933B2DA" w14:textId="25D58DE9" w:rsidR="0007572C" w:rsidRPr="00D953BF" w:rsidRDefault="0007572C" w:rsidP="008D44A2">
      <w:pPr>
        <w:pStyle w:val="FootnoteText"/>
        <w:jc w:val="both"/>
        <w:rPr>
          <w:lang w:val="en-ZA"/>
        </w:rPr>
      </w:pPr>
      <w:r w:rsidRPr="00D953BF">
        <w:rPr>
          <w:rStyle w:val="FootnoteReference"/>
        </w:rPr>
        <w:footnoteRef/>
      </w:r>
      <w:r w:rsidRPr="00D953BF">
        <w:t xml:space="preserve"> </w:t>
      </w:r>
      <w:r w:rsidRPr="00D953BF">
        <w:rPr>
          <w:i/>
          <w:lang w:val="en-ZA"/>
        </w:rPr>
        <w:t xml:space="preserve">Biyela </w:t>
      </w:r>
      <w:r w:rsidR="000B3CCB" w:rsidRPr="00D953BF">
        <w:rPr>
          <w:iCs/>
          <w:lang w:val="en-ZA"/>
        </w:rPr>
        <w:t xml:space="preserve">fn </w:t>
      </w:r>
      <w:r w:rsidR="00DC736C" w:rsidRPr="00D953BF">
        <w:rPr>
          <w:iCs/>
          <w:lang w:val="en-ZA"/>
        </w:rPr>
        <w:t>6</w:t>
      </w:r>
      <w:r w:rsidR="000B3CCB" w:rsidRPr="00D953BF">
        <w:rPr>
          <w:iCs/>
          <w:lang w:val="en-ZA"/>
        </w:rPr>
        <w:t xml:space="preserve"> above</w:t>
      </w:r>
      <w:r w:rsidR="000B3CCB" w:rsidRPr="00D953BF">
        <w:rPr>
          <w:i/>
          <w:lang w:val="en-ZA"/>
        </w:rPr>
        <w:t>.</w:t>
      </w:r>
    </w:p>
  </w:footnote>
  <w:footnote w:id="11">
    <w:p w14:paraId="0B02A42A" w14:textId="7F1FD0C9" w:rsidR="00E13716" w:rsidRPr="00D953BF" w:rsidRDefault="00E13716" w:rsidP="008D44A2">
      <w:pPr>
        <w:pStyle w:val="FootnoteText"/>
        <w:jc w:val="both"/>
        <w:rPr>
          <w:i/>
          <w:lang w:val="en-ZA"/>
        </w:rPr>
      </w:pPr>
      <w:r w:rsidRPr="00D953BF">
        <w:rPr>
          <w:rStyle w:val="FootnoteReference"/>
        </w:rPr>
        <w:footnoteRef/>
      </w:r>
      <w:r w:rsidRPr="00D953BF">
        <w:t xml:space="preserve"> </w:t>
      </w:r>
      <w:r w:rsidRPr="00D953BF">
        <w:rPr>
          <w:i/>
        </w:rPr>
        <w:t>Competition Commission v Yara</w:t>
      </w:r>
      <w:r w:rsidRPr="00D953BF">
        <w:rPr>
          <w:b/>
          <w:bCs/>
          <w:lang w:val="en-ZA" w:eastAsia="en-ZA"/>
        </w:rPr>
        <w:t xml:space="preserve"> </w:t>
      </w:r>
      <w:r w:rsidRPr="00D953BF">
        <w:rPr>
          <w:i/>
          <w:lang w:val="en-ZA"/>
        </w:rPr>
        <w:t>(South Africa) (Pty) Ltd and Others</w:t>
      </w:r>
      <w:r w:rsidRPr="00D953BF">
        <w:t xml:space="preserve"> [2013] ZASCA 107; [2013] 4 All SA 302 (SCA); 2013 (6) SA 404 (SCA).</w:t>
      </w:r>
    </w:p>
  </w:footnote>
  <w:footnote w:id="12">
    <w:p w14:paraId="41D4AF98" w14:textId="39DE06DA" w:rsidR="004344E3" w:rsidRPr="00D953BF" w:rsidRDefault="004344E3" w:rsidP="008D44A2">
      <w:pPr>
        <w:pStyle w:val="FootnoteText"/>
        <w:jc w:val="both"/>
      </w:pPr>
      <w:r w:rsidRPr="00D953BF">
        <w:rPr>
          <w:rStyle w:val="FootnoteReference"/>
        </w:rPr>
        <w:footnoteRef/>
      </w:r>
      <w:r w:rsidRPr="00D953BF">
        <w:t xml:space="preserve"> </w:t>
      </w:r>
      <w:r w:rsidR="007B3379" w:rsidRPr="00D953BF">
        <w:t xml:space="preserve">Ibid </w:t>
      </w:r>
      <w:r w:rsidRPr="00D953BF">
        <w:t>para 24.</w:t>
      </w:r>
    </w:p>
  </w:footnote>
  <w:footnote w:id="13">
    <w:p w14:paraId="5B9919F3" w14:textId="40F51355" w:rsidR="00E13716" w:rsidRPr="00D953BF" w:rsidRDefault="00E13716" w:rsidP="008D44A2">
      <w:pPr>
        <w:pStyle w:val="FootnoteText"/>
        <w:jc w:val="both"/>
      </w:pPr>
      <w:r w:rsidRPr="00D953BF">
        <w:rPr>
          <w:rStyle w:val="FootnoteReference"/>
        </w:rPr>
        <w:footnoteRef/>
      </w:r>
      <w:r w:rsidRPr="00D953BF">
        <w:t xml:space="preserve"> See also </w:t>
      </w:r>
      <w:r w:rsidRPr="00D953BF">
        <w:rPr>
          <w:i/>
        </w:rPr>
        <w:t xml:space="preserve">Competition Commission of South Africa v Standard Bank of South Africa Limited; </w:t>
      </w:r>
      <w:r w:rsidRPr="00D953BF">
        <w:rPr>
          <w:i/>
          <w:lang w:val="en-ZA"/>
        </w:rPr>
        <w:t>Competition Commission of South Africa v Standard Bank of South Africa Limited; Competition Commission of South Africa v Waco Africa (Pty) Limited and Others</w:t>
      </w:r>
      <w:r w:rsidRPr="00D953BF">
        <w:rPr>
          <w:lang w:val="en-ZA"/>
        </w:rPr>
        <w:t xml:space="preserve"> [2020] ZACC 2; 2020 (4) BCLR 429 (CC) para 19.</w:t>
      </w:r>
    </w:p>
  </w:footnote>
  <w:footnote w:id="14">
    <w:p w14:paraId="5A9A52A3" w14:textId="77777777" w:rsidR="00804B92" w:rsidRPr="00D953BF" w:rsidRDefault="00804B92" w:rsidP="008D44A2">
      <w:pPr>
        <w:pStyle w:val="FootnoteText"/>
        <w:jc w:val="both"/>
      </w:pPr>
      <w:r w:rsidRPr="00D953BF">
        <w:rPr>
          <w:rStyle w:val="FootnoteReference"/>
        </w:rPr>
        <w:footnoteRef/>
      </w:r>
      <w:r w:rsidRPr="00D953BF">
        <w:t xml:space="preserve"> </w:t>
      </w:r>
      <w:r w:rsidRPr="00D953BF">
        <w:rPr>
          <w:i/>
        </w:rPr>
        <w:t>Farmers Trust v Competition Commission of South Africa</w:t>
      </w:r>
      <w:r w:rsidRPr="00D953BF">
        <w:t xml:space="preserve"> [2017] ZAGPPHC 488; 2020 (4) SA 541 (GP) para 30. </w:t>
      </w:r>
    </w:p>
  </w:footnote>
  <w:footnote w:id="15">
    <w:p w14:paraId="744CF49E" w14:textId="77777777" w:rsidR="00FD2DFF" w:rsidRPr="00D953BF" w:rsidRDefault="00FD2DFF" w:rsidP="008D44A2">
      <w:pPr>
        <w:pStyle w:val="FootnoteText"/>
        <w:jc w:val="both"/>
        <w:rPr>
          <w:lang w:val="en-ZA"/>
        </w:rPr>
      </w:pPr>
      <w:r w:rsidRPr="00D953BF">
        <w:rPr>
          <w:rStyle w:val="FootnoteReference"/>
        </w:rPr>
        <w:footnoteRef/>
      </w:r>
      <w:r w:rsidRPr="00D953BF">
        <w:t xml:space="preserve"> </w:t>
      </w:r>
      <w:r w:rsidRPr="00D953BF">
        <w:rPr>
          <w:i/>
        </w:rPr>
        <w:t>Mistry v Interim National Medical and Dental Council of South Africa and Others</w:t>
      </w:r>
      <w:r w:rsidRPr="00D953BF">
        <w:t xml:space="preserve"> 1998 (7) BCLR 880 (CC); 1998 (4) SA 1127 (CC) para 27 quoted with approval in </w:t>
      </w:r>
      <w:r w:rsidRPr="00D953BF">
        <w:rPr>
          <w:i/>
        </w:rPr>
        <w:t>Magajane v Chairperson, North West Gambling Board and Others</w:t>
      </w:r>
      <w:r w:rsidRPr="00D953BF">
        <w:t xml:space="preserve"> [</w:t>
      </w:r>
      <w:r w:rsidRPr="00D953BF">
        <w:rPr>
          <w:lang w:val="en-ZA"/>
        </w:rPr>
        <w:t xml:space="preserve">2006] ZACC 8; 2006 (10) BCLR 1133 (CC); 2006 (5) SA 250 (CC); 2006 (2) SACR 447 (CC) </w:t>
      </w:r>
      <w:r w:rsidRPr="00D953BF">
        <w:t>para 46.</w:t>
      </w:r>
    </w:p>
  </w:footnote>
  <w:footnote w:id="16">
    <w:p w14:paraId="47515652" w14:textId="77777777" w:rsidR="00FD2DFF" w:rsidRPr="00D953BF" w:rsidRDefault="00FD2DFF" w:rsidP="008D44A2">
      <w:pPr>
        <w:pStyle w:val="FootnoteText"/>
        <w:jc w:val="both"/>
      </w:pPr>
      <w:r w:rsidRPr="00D953BF">
        <w:rPr>
          <w:rStyle w:val="FootnoteReference"/>
        </w:rPr>
        <w:footnoteRef/>
      </w:r>
      <w:r w:rsidRPr="00D953BF">
        <w:t xml:space="preserve"> </w:t>
      </w:r>
      <w:r w:rsidRPr="00D953BF">
        <w:rPr>
          <w:i/>
        </w:rPr>
        <w:t>Gaertner and Others v Minister of Finance and Others</w:t>
      </w:r>
      <w:r w:rsidRPr="00D953BF">
        <w:t xml:space="preserve"> [2013] ZACC 38; 2014 (1) SA 442 (CC); 2014 (1) BCLR 38 (CC) para 63.</w:t>
      </w:r>
    </w:p>
  </w:footnote>
  <w:footnote w:id="17">
    <w:p w14:paraId="52C44711" w14:textId="77777777" w:rsidR="00E13716" w:rsidRPr="00D953BF" w:rsidRDefault="00E13716" w:rsidP="008D44A2">
      <w:pPr>
        <w:pStyle w:val="FootnoteText"/>
        <w:jc w:val="both"/>
        <w:rPr>
          <w:lang w:val="en-ZA"/>
        </w:rPr>
      </w:pPr>
      <w:r w:rsidRPr="00D953BF">
        <w:rPr>
          <w:rStyle w:val="FootnoteReference"/>
        </w:rPr>
        <w:footnoteRef/>
      </w:r>
      <w:r w:rsidRPr="00D953BF">
        <w:t xml:space="preserve"> </w:t>
      </w:r>
      <w:r w:rsidRPr="00D953BF">
        <w:rPr>
          <w:lang w:val="en-ZA"/>
        </w:rPr>
        <w:t xml:space="preserve">Cambridge English Dictionary online. </w:t>
      </w:r>
    </w:p>
    <w:p w14:paraId="71EE8025" w14:textId="673FE174" w:rsidR="00E13716" w:rsidRPr="00D953BF" w:rsidRDefault="00E13716" w:rsidP="008D44A2">
      <w:pPr>
        <w:pStyle w:val="FootnoteText"/>
        <w:jc w:val="both"/>
        <w:rPr>
          <w:lang w:val="en-ZA"/>
        </w:rPr>
      </w:pPr>
      <w:r w:rsidRPr="00D953BF">
        <w:rPr>
          <w:lang w:val="en-ZA"/>
        </w:rPr>
        <w:t xml:space="preserve">Available at </w:t>
      </w:r>
      <w:r w:rsidRPr="00D953BF">
        <w:rPr>
          <w:i/>
        </w:rPr>
        <w:t>https://dictionary.cambridge.org/dictionary/english/instant</w:t>
      </w:r>
      <w:r w:rsidRPr="00D953BF">
        <w:rPr>
          <w:lang w:val="en-ZA"/>
        </w:rPr>
        <w:t xml:space="preserve"> Accessed on 10 June 2022.</w:t>
      </w:r>
    </w:p>
  </w:footnote>
  <w:footnote w:id="18">
    <w:p w14:paraId="7FB2F7C8" w14:textId="77777777" w:rsidR="00CF5614" w:rsidRPr="00D953BF" w:rsidRDefault="00CF5614" w:rsidP="008D44A2">
      <w:pPr>
        <w:pStyle w:val="FootnoteText"/>
        <w:jc w:val="both"/>
      </w:pPr>
      <w:r w:rsidRPr="00D953BF">
        <w:rPr>
          <w:rStyle w:val="FootnoteReference"/>
        </w:rPr>
        <w:footnoteRef/>
      </w:r>
      <w:r w:rsidRPr="00D953BF">
        <w:t xml:space="preserve"> </w:t>
      </w:r>
      <w:r w:rsidRPr="00D953BF">
        <w:rPr>
          <w:i/>
        </w:rPr>
        <w:t>Bruwil Konstruksie (Edms) Bpk v Whitson N O and Another</w:t>
      </w:r>
      <w:r w:rsidRPr="00D953BF">
        <w:t xml:space="preserve"> </w:t>
      </w:r>
      <w:r w:rsidRPr="00D953BF">
        <w:rPr>
          <w:bCs/>
        </w:rPr>
        <w:t>[1980] 2 All SA 478 (T)</w:t>
      </w:r>
      <w:r w:rsidRPr="00D953BF">
        <w:t xml:space="preserve">; 1980 (4) SA 703 (T) at 711A-E. </w:t>
      </w:r>
    </w:p>
  </w:footnote>
  <w:footnote w:id="19">
    <w:p w14:paraId="72BC2281" w14:textId="77777777" w:rsidR="00265D27" w:rsidRPr="00D953BF" w:rsidRDefault="00265D27" w:rsidP="008D44A2">
      <w:pPr>
        <w:pStyle w:val="FootnoteText"/>
        <w:jc w:val="both"/>
        <w:rPr>
          <w:lang w:val="en-ZA"/>
        </w:rPr>
      </w:pPr>
      <w:r w:rsidRPr="00D953BF">
        <w:rPr>
          <w:rStyle w:val="FootnoteReference"/>
        </w:rPr>
        <w:footnoteRef/>
      </w:r>
      <w:r w:rsidRPr="00D953BF">
        <w:t xml:space="preserve"> </w:t>
      </w:r>
      <w:r w:rsidRPr="00D953BF">
        <w:rPr>
          <w:i/>
          <w:lang w:val="en-ZA"/>
        </w:rPr>
        <w:t>Spilhaus Property Holdings (Pty) Ltd and Others v MTN (Pty) Ltd and Another</w:t>
      </w:r>
      <w:r w:rsidRPr="00D953BF">
        <w:rPr>
          <w:lang w:val="en-ZA"/>
        </w:rPr>
        <w:t xml:space="preserve"> [2019] ZACC 16; 2019 (6) BCLR 772 (CC); 2019 (4) SA 406 (CC) paras 44-46.</w:t>
      </w:r>
    </w:p>
  </w:footnote>
  <w:footnote w:id="20">
    <w:p w14:paraId="35E440E1" w14:textId="77777777" w:rsidR="00C44077" w:rsidRPr="00D953BF" w:rsidRDefault="00C44077" w:rsidP="008D44A2">
      <w:pPr>
        <w:pStyle w:val="FootnoteText"/>
        <w:jc w:val="both"/>
      </w:pPr>
      <w:r w:rsidRPr="00D953BF">
        <w:rPr>
          <w:rStyle w:val="FootnoteReference"/>
        </w:rPr>
        <w:footnoteRef/>
      </w:r>
      <w:r w:rsidRPr="00D953BF">
        <w:rPr>
          <w:i/>
        </w:rPr>
        <w:t xml:space="preserve"> Allpay Consolidated Investment Holdings (Pty) Ltd and Others v Chief Executive Officer of the South African Social Security Agency and Others (No 2)</w:t>
      </w:r>
      <w:r w:rsidRPr="00D953BF">
        <w:t xml:space="preserve"> [2014] ZACC 12; 2014 (6) BCLR 641 (CC); 2014 (4) SA 179 (CC); </w:t>
      </w:r>
      <w:r w:rsidRPr="00D953BF">
        <w:rPr>
          <w:i/>
        </w:rPr>
        <w:t>South African Social Security Agency and Another v Minister of Social Development and Others</w:t>
      </w:r>
      <w:r w:rsidRPr="00D953BF">
        <w:t xml:space="preserve"> [2018] ZACC 26; 2018 (10) BCLR 1291 (CC); </w:t>
      </w:r>
      <w:r w:rsidRPr="00D953BF">
        <w:rPr>
          <w:i/>
        </w:rPr>
        <w:t>Cash Paymaster Services (Pty) Ltd and Others v Freedom Under Law NPC and Others</w:t>
      </w:r>
      <w:r w:rsidRPr="00D953BF">
        <w:t xml:space="preserve"> [2022] ZACC 2; 2022 (6) BCLR 661 (CC); </w:t>
      </w:r>
      <w:r w:rsidRPr="00D953BF">
        <w:rPr>
          <w:i/>
        </w:rPr>
        <w:t>IGS Consulting Engineers CC and Another v Transnet Soc Limited</w:t>
      </w:r>
      <w:r w:rsidRPr="00D953BF">
        <w:t xml:space="preserve"> [2022] ZASCA 63 (SCA); </w:t>
      </w:r>
      <w:r w:rsidRPr="00D953BF">
        <w:rPr>
          <w:i/>
        </w:rPr>
        <w:t>Mining Qualifications Authority v IFU Training Institute (Pty) Ltd</w:t>
      </w:r>
      <w:r w:rsidRPr="00D953BF">
        <w:t xml:space="preserve"> [2018] ZAGPJHC 455 (GJ) para 41.</w:t>
      </w:r>
    </w:p>
  </w:footnote>
  <w:footnote w:id="21">
    <w:p w14:paraId="1099C451" w14:textId="77777777" w:rsidR="00C44077" w:rsidRPr="00D953BF" w:rsidRDefault="00C44077" w:rsidP="008D44A2">
      <w:pPr>
        <w:pStyle w:val="FootnoteText"/>
        <w:jc w:val="both"/>
        <w:rPr>
          <w:lang w:val="en-ZA"/>
        </w:rPr>
      </w:pPr>
      <w:r w:rsidRPr="00D953BF">
        <w:rPr>
          <w:rStyle w:val="FootnoteReference"/>
        </w:rPr>
        <w:footnoteRef/>
      </w:r>
      <w:r w:rsidRPr="00D953BF">
        <w:t xml:space="preserve"> </w:t>
      </w:r>
      <w:r w:rsidRPr="00D953BF">
        <w:rPr>
          <w:lang w:val="en-ZA"/>
        </w:rPr>
        <w:t>See, in particular, s 150</w:t>
      </w:r>
      <w:r w:rsidRPr="00D953BF">
        <w:rPr>
          <w:i/>
          <w:lang w:val="en-ZA"/>
        </w:rPr>
        <w:t>(i)</w:t>
      </w:r>
      <w:r w:rsidRPr="00D953BF">
        <w:rPr>
          <w:lang w:val="en-ZA"/>
        </w:rPr>
        <w:t xml:space="preserve"> of the NCA.</w:t>
      </w:r>
    </w:p>
  </w:footnote>
  <w:footnote w:id="22">
    <w:p w14:paraId="698E630E" w14:textId="073DDF44" w:rsidR="00E13716" w:rsidRPr="0025711E" w:rsidRDefault="00E13716" w:rsidP="008D44A2">
      <w:pPr>
        <w:pStyle w:val="FootnoteText"/>
        <w:jc w:val="both"/>
        <w:rPr>
          <w:lang w:val="en-ZA"/>
        </w:rPr>
      </w:pPr>
      <w:r w:rsidRPr="00D953BF">
        <w:rPr>
          <w:rStyle w:val="FootnoteReference"/>
        </w:rPr>
        <w:footnoteRef/>
      </w:r>
      <w:r w:rsidRPr="00D953BF">
        <w:t xml:space="preserve"> </w:t>
      </w:r>
      <w:r w:rsidRPr="00D953BF">
        <w:rPr>
          <w:i/>
        </w:rPr>
        <w:t xml:space="preserve">National Credit Regulator v Southern African Fraud Prevention Services NPC </w:t>
      </w:r>
      <w:r w:rsidRPr="00D953BF">
        <w:rPr>
          <w:lang w:val="en-ZA"/>
        </w:rPr>
        <w:t xml:space="preserve">[2019] ZASCA 92; </w:t>
      </w:r>
      <w:r w:rsidRPr="00D953BF">
        <w:t>[2019] 3 All SA 378 (SCA);</w:t>
      </w:r>
      <w:r w:rsidRPr="00D953BF">
        <w:rPr>
          <w:b/>
          <w:bCs/>
          <w:lang w:val="en-ZA" w:eastAsia="en-ZA"/>
        </w:rPr>
        <w:t xml:space="preserve"> </w:t>
      </w:r>
      <w:r w:rsidRPr="00D953BF">
        <w:rPr>
          <w:lang w:val="en-ZA"/>
        </w:rPr>
        <w:t>2019 (5) SA 103 (SCA)</w:t>
      </w:r>
      <w:r w:rsidRPr="00D953BF">
        <w:t xml:space="preserve"> paras 42-45; </w:t>
      </w:r>
      <w:r w:rsidRPr="00D953BF">
        <w:rPr>
          <w:i/>
        </w:rPr>
        <w:t>Coetzeestroom Estate and Gold Mining Co v Registrar of Deeds</w:t>
      </w:r>
      <w:r w:rsidRPr="00D953BF">
        <w:t xml:space="preserve"> 1902 TS 216 at 223-224; </w:t>
      </w:r>
      <w:r w:rsidRPr="00D953BF">
        <w:rPr>
          <w:i/>
        </w:rPr>
        <w:t>Deneysville Estates Ltd v Surveyor-General</w:t>
      </w:r>
      <w:r w:rsidRPr="00D953BF">
        <w:t xml:space="preserve"> </w:t>
      </w:r>
      <w:r w:rsidRPr="00D953BF">
        <w:rPr>
          <w:bCs/>
        </w:rPr>
        <w:t>[1951] 2 All SA 202 (C)</w:t>
      </w:r>
      <w:r w:rsidRPr="00D953BF">
        <w:t xml:space="preserve">; 1951 (2) SA 68 (C) at 81D-H; </w:t>
      </w:r>
      <w:r w:rsidRPr="00D953BF">
        <w:rPr>
          <w:i/>
        </w:rPr>
        <w:t xml:space="preserve">Competition Commission of South Africa v Pioneer Hi-Bred International Inc and Others </w:t>
      </w:r>
      <w:r w:rsidRPr="00D953BF">
        <w:t>[</w:t>
      </w:r>
      <w:r w:rsidRPr="00D953BF">
        <w:rPr>
          <w:lang w:val="en-ZA"/>
        </w:rPr>
        <w:t xml:space="preserve">2013] ZACC 50; 2014 (3) BCLR 251 (CC); </w:t>
      </w:r>
      <w:r w:rsidRPr="00D953BF">
        <w:t>2014 (2) SA 480 (CC) para 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6F3D" w14:textId="46FBE3D7" w:rsidR="00E13716" w:rsidRDefault="00E13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56C">
      <w:rPr>
        <w:rStyle w:val="PageNumber"/>
        <w:noProof/>
      </w:rPr>
      <w:t>2</w:t>
    </w:r>
    <w:r>
      <w:rPr>
        <w:rStyle w:val="PageNumber"/>
      </w:rPr>
      <w:fldChar w:fldCharType="end"/>
    </w:r>
  </w:p>
  <w:p w14:paraId="2CC06096" w14:textId="77777777" w:rsidR="00E13716" w:rsidRDefault="00E1371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2F21" w14:textId="679B840D" w:rsidR="00E13716" w:rsidRDefault="00E13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744">
      <w:rPr>
        <w:rStyle w:val="PageNumber"/>
        <w:noProof/>
      </w:rPr>
      <w:t>2</w:t>
    </w:r>
    <w:r>
      <w:rPr>
        <w:rStyle w:val="PageNumber"/>
      </w:rPr>
      <w:fldChar w:fldCharType="end"/>
    </w:r>
  </w:p>
  <w:p w14:paraId="6637FAD9" w14:textId="77777777" w:rsidR="00E13716" w:rsidRDefault="00E13716">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C783" w14:textId="432EB12C" w:rsidR="00957E7C" w:rsidRPr="00715D07" w:rsidRDefault="00715D07">
    <w:pPr>
      <w:pStyle w:val="Header"/>
      <w:rPr>
        <w:lang w:val="en-ZA"/>
      </w:rPr>
    </w:pPr>
    <w:r>
      <w:rPr>
        <w:lang w:val="en-ZA"/>
      </w:rPr>
      <w:t xml:space="preserve">                                                                                                               </w:t>
    </w:r>
    <w:r w:rsidR="00450328">
      <w:rPr>
        <w:lang w:val="en-ZA"/>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B954" w14:textId="77777777" w:rsidR="00E13716" w:rsidRDefault="00E13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82AB" w14:textId="77777777" w:rsidR="00E13716" w:rsidRDefault="00E13716">
    <w:pPr>
      <w:pStyle w:val="Header"/>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0CF2" w14:textId="7EE842FD" w:rsidR="00E13716" w:rsidRDefault="00E13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744">
      <w:rPr>
        <w:rStyle w:val="PageNumber"/>
        <w:noProof/>
      </w:rPr>
      <w:t>4</w:t>
    </w:r>
    <w:r>
      <w:rPr>
        <w:rStyle w:val="PageNumber"/>
      </w:rPr>
      <w:fldChar w:fldCharType="end"/>
    </w:r>
  </w:p>
  <w:p w14:paraId="07508080" w14:textId="77777777" w:rsidR="00E13716" w:rsidRDefault="00E1371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753A8E9A"/>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1EC6"/>
    <w:multiLevelType w:val="hybridMultilevel"/>
    <w:tmpl w:val="9710B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A62CA"/>
    <w:multiLevelType w:val="hybridMultilevel"/>
    <w:tmpl w:val="FF840D62"/>
    <w:lvl w:ilvl="0" w:tplc="C58E82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7C7B69"/>
    <w:multiLevelType w:val="hybridMultilevel"/>
    <w:tmpl w:val="6BD2DA3A"/>
    <w:lvl w:ilvl="0" w:tplc="FCCA6A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5" w15:restartNumberingAfterBreak="0">
    <w:nsid w:val="620D4AF9"/>
    <w:multiLevelType w:val="hybridMultilevel"/>
    <w:tmpl w:val="A74C80D0"/>
    <w:lvl w:ilvl="0" w:tplc="C2FA903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69D139A0"/>
    <w:multiLevelType w:val="hybridMultilevel"/>
    <w:tmpl w:val="B434A6CE"/>
    <w:lvl w:ilvl="0" w:tplc="40C068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2817D3D"/>
    <w:multiLevelType w:val="hybridMultilevel"/>
    <w:tmpl w:val="3A18122A"/>
    <w:lvl w:ilvl="0" w:tplc="6DDAE0D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5"/>
  </w:num>
  <w:num w:numId="6">
    <w:abstractNumId w:val="6"/>
  </w:num>
  <w:num w:numId="7">
    <w:abstractNumId w:val="7"/>
  </w:num>
  <w:num w:numId="8">
    <w:abstractNumId w:val="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0906"/>
    <w:rsid w:val="00001A3B"/>
    <w:rsid w:val="00003363"/>
    <w:rsid w:val="00003D86"/>
    <w:rsid w:val="00006CF0"/>
    <w:rsid w:val="00007546"/>
    <w:rsid w:val="00007CAA"/>
    <w:rsid w:val="0001153A"/>
    <w:rsid w:val="00012622"/>
    <w:rsid w:val="000157A4"/>
    <w:rsid w:val="00016292"/>
    <w:rsid w:val="00016B03"/>
    <w:rsid w:val="000213DF"/>
    <w:rsid w:val="00021CE5"/>
    <w:rsid w:val="00022FF9"/>
    <w:rsid w:val="0002356D"/>
    <w:rsid w:val="000249C8"/>
    <w:rsid w:val="000253A6"/>
    <w:rsid w:val="00026F55"/>
    <w:rsid w:val="00030C14"/>
    <w:rsid w:val="00035127"/>
    <w:rsid w:val="0004140F"/>
    <w:rsid w:val="00041BA4"/>
    <w:rsid w:val="0004213D"/>
    <w:rsid w:val="00044714"/>
    <w:rsid w:val="00044848"/>
    <w:rsid w:val="00045431"/>
    <w:rsid w:val="00045F53"/>
    <w:rsid w:val="00046CFB"/>
    <w:rsid w:val="00051D30"/>
    <w:rsid w:val="00056099"/>
    <w:rsid w:val="000607D3"/>
    <w:rsid w:val="00062055"/>
    <w:rsid w:val="0006261A"/>
    <w:rsid w:val="00065415"/>
    <w:rsid w:val="000712A8"/>
    <w:rsid w:val="00075344"/>
    <w:rsid w:val="0007572C"/>
    <w:rsid w:val="00076E9E"/>
    <w:rsid w:val="0007774F"/>
    <w:rsid w:val="00086621"/>
    <w:rsid w:val="00086BAF"/>
    <w:rsid w:val="000912CF"/>
    <w:rsid w:val="000922CD"/>
    <w:rsid w:val="000A0F65"/>
    <w:rsid w:val="000B3CCB"/>
    <w:rsid w:val="000B3EF8"/>
    <w:rsid w:val="000B5D95"/>
    <w:rsid w:val="000C2300"/>
    <w:rsid w:val="000C2ACA"/>
    <w:rsid w:val="000C72E6"/>
    <w:rsid w:val="000D110B"/>
    <w:rsid w:val="000D196E"/>
    <w:rsid w:val="000D58E1"/>
    <w:rsid w:val="000E0A0D"/>
    <w:rsid w:val="000E685D"/>
    <w:rsid w:val="001022ED"/>
    <w:rsid w:val="0011007E"/>
    <w:rsid w:val="001107D3"/>
    <w:rsid w:val="00110969"/>
    <w:rsid w:val="0011407D"/>
    <w:rsid w:val="00114BAB"/>
    <w:rsid w:val="0011708A"/>
    <w:rsid w:val="00120529"/>
    <w:rsid w:val="001217BC"/>
    <w:rsid w:val="0012494F"/>
    <w:rsid w:val="00132C74"/>
    <w:rsid w:val="001335A5"/>
    <w:rsid w:val="00135D7E"/>
    <w:rsid w:val="00135FEE"/>
    <w:rsid w:val="001406AF"/>
    <w:rsid w:val="0014204D"/>
    <w:rsid w:val="00142E26"/>
    <w:rsid w:val="00145199"/>
    <w:rsid w:val="00145505"/>
    <w:rsid w:val="0014760B"/>
    <w:rsid w:val="00150155"/>
    <w:rsid w:val="00152B40"/>
    <w:rsid w:val="00152FE4"/>
    <w:rsid w:val="0015461F"/>
    <w:rsid w:val="00154ACF"/>
    <w:rsid w:val="00181F23"/>
    <w:rsid w:val="00182950"/>
    <w:rsid w:val="001830D3"/>
    <w:rsid w:val="00186A13"/>
    <w:rsid w:val="00192198"/>
    <w:rsid w:val="00194CC2"/>
    <w:rsid w:val="001950A8"/>
    <w:rsid w:val="001A5B1D"/>
    <w:rsid w:val="001A72FB"/>
    <w:rsid w:val="001B1493"/>
    <w:rsid w:val="001B15E2"/>
    <w:rsid w:val="001B1EBE"/>
    <w:rsid w:val="001B404E"/>
    <w:rsid w:val="001B4DEE"/>
    <w:rsid w:val="001B7B65"/>
    <w:rsid w:val="001B7E8A"/>
    <w:rsid w:val="001C2031"/>
    <w:rsid w:val="001C58B9"/>
    <w:rsid w:val="001C6198"/>
    <w:rsid w:val="001C786E"/>
    <w:rsid w:val="001D32AA"/>
    <w:rsid w:val="001D3864"/>
    <w:rsid w:val="001D4826"/>
    <w:rsid w:val="001D4B97"/>
    <w:rsid w:val="001D7A30"/>
    <w:rsid w:val="001D7B5C"/>
    <w:rsid w:val="001E0B6E"/>
    <w:rsid w:val="001E2B82"/>
    <w:rsid w:val="001E4E1C"/>
    <w:rsid w:val="001E6929"/>
    <w:rsid w:val="001E719D"/>
    <w:rsid w:val="001F1461"/>
    <w:rsid w:val="001F1570"/>
    <w:rsid w:val="001F3073"/>
    <w:rsid w:val="002000E0"/>
    <w:rsid w:val="002021DC"/>
    <w:rsid w:val="00202346"/>
    <w:rsid w:val="00202FA0"/>
    <w:rsid w:val="002053E2"/>
    <w:rsid w:val="00205720"/>
    <w:rsid w:val="00207AA0"/>
    <w:rsid w:val="00210AD0"/>
    <w:rsid w:val="002111D3"/>
    <w:rsid w:val="002128FC"/>
    <w:rsid w:val="00215632"/>
    <w:rsid w:val="002202D6"/>
    <w:rsid w:val="00221B8D"/>
    <w:rsid w:val="00222149"/>
    <w:rsid w:val="00222C6C"/>
    <w:rsid w:val="00232B2F"/>
    <w:rsid w:val="00235743"/>
    <w:rsid w:val="00240ED0"/>
    <w:rsid w:val="00252FD4"/>
    <w:rsid w:val="00255FD5"/>
    <w:rsid w:val="00256DA9"/>
    <w:rsid w:val="0025711E"/>
    <w:rsid w:val="00257593"/>
    <w:rsid w:val="002577CE"/>
    <w:rsid w:val="00260878"/>
    <w:rsid w:val="00261C5E"/>
    <w:rsid w:val="00265036"/>
    <w:rsid w:val="00265253"/>
    <w:rsid w:val="002656DD"/>
    <w:rsid w:val="00265987"/>
    <w:rsid w:val="00265D27"/>
    <w:rsid w:val="00270090"/>
    <w:rsid w:val="002726AC"/>
    <w:rsid w:val="0027274A"/>
    <w:rsid w:val="002737BF"/>
    <w:rsid w:val="0027490C"/>
    <w:rsid w:val="00277725"/>
    <w:rsid w:val="00283A1F"/>
    <w:rsid w:val="002857D5"/>
    <w:rsid w:val="00287D53"/>
    <w:rsid w:val="00291D87"/>
    <w:rsid w:val="00292B3B"/>
    <w:rsid w:val="002930D1"/>
    <w:rsid w:val="00295610"/>
    <w:rsid w:val="002A2786"/>
    <w:rsid w:val="002A2D1B"/>
    <w:rsid w:val="002A4E9D"/>
    <w:rsid w:val="002A58FA"/>
    <w:rsid w:val="002B0112"/>
    <w:rsid w:val="002B08FA"/>
    <w:rsid w:val="002B4FDD"/>
    <w:rsid w:val="002C1FEE"/>
    <w:rsid w:val="002C2060"/>
    <w:rsid w:val="002C505B"/>
    <w:rsid w:val="002C5A84"/>
    <w:rsid w:val="002D202C"/>
    <w:rsid w:val="002D7B01"/>
    <w:rsid w:val="002E1E8B"/>
    <w:rsid w:val="002E2957"/>
    <w:rsid w:val="002E4880"/>
    <w:rsid w:val="002E4BF5"/>
    <w:rsid w:val="002E71CC"/>
    <w:rsid w:val="002F17DB"/>
    <w:rsid w:val="002F1CC9"/>
    <w:rsid w:val="002F1DF7"/>
    <w:rsid w:val="002F34A9"/>
    <w:rsid w:val="0030050C"/>
    <w:rsid w:val="00301298"/>
    <w:rsid w:val="00301B5A"/>
    <w:rsid w:val="003060E3"/>
    <w:rsid w:val="003070BA"/>
    <w:rsid w:val="003077FD"/>
    <w:rsid w:val="0031095E"/>
    <w:rsid w:val="003126B3"/>
    <w:rsid w:val="003137CC"/>
    <w:rsid w:val="0031762E"/>
    <w:rsid w:val="00324185"/>
    <w:rsid w:val="0032784E"/>
    <w:rsid w:val="00331D70"/>
    <w:rsid w:val="00334A11"/>
    <w:rsid w:val="00344C9F"/>
    <w:rsid w:val="0035221A"/>
    <w:rsid w:val="00365248"/>
    <w:rsid w:val="0036524E"/>
    <w:rsid w:val="003656CC"/>
    <w:rsid w:val="00366FA5"/>
    <w:rsid w:val="0037374A"/>
    <w:rsid w:val="00380806"/>
    <w:rsid w:val="00380BED"/>
    <w:rsid w:val="00380C9A"/>
    <w:rsid w:val="00381222"/>
    <w:rsid w:val="0038124C"/>
    <w:rsid w:val="00381542"/>
    <w:rsid w:val="00384CE6"/>
    <w:rsid w:val="003951DE"/>
    <w:rsid w:val="003969E2"/>
    <w:rsid w:val="003A0D70"/>
    <w:rsid w:val="003A1434"/>
    <w:rsid w:val="003A6610"/>
    <w:rsid w:val="003B1D8E"/>
    <w:rsid w:val="003B4050"/>
    <w:rsid w:val="003B63C2"/>
    <w:rsid w:val="003B77D0"/>
    <w:rsid w:val="003C19DB"/>
    <w:rsid w:val="003C1C73"/>
    <w:rsid w:val="003C2703"/>
    <w:rsid w:val="003C2AC0"/>
    <w:rsid w:val="003C3595"/>
    <w:rsid w:val="003C4C5A"/>
    <w:rsid w:val="003D07D2"/>
    <w:rsid w:val="003D30DB"/>
    <w:rsid w:val="003D41BE"/>
    <w:rsid w:val="003D4B1D"/>
    <w:rsid w:val="003D663E"/>
    <w:rsid w:val="003D6C61"/>
    <w:rsid w:val="003E22D3"/>
    <w:rsid w:val="003E277B"/>
    <w:rsid w:val="003E6796"/>
    <w:rsid w:val="003F3906"/>
    <w:rsid w:val="003F4E2C"/>
    <w:rsid w:val="00402010"/>
    <w:rsid w:val="004050FA"/>
    <w:rsid w:val="004076B5"/>
    <w:rsid w:val="00411744"/>
    <w:rsid w:val="00411755"/>
    <w:rsid w:val="00425095"/>
    <w:rsid w:val="0042596F"/>
    <w:rsid w:val="00426D9C"/>
    <w:rsid w:val="00431ABE"/>
    <w:rsid w:val="00431C94"/>
    <w:rsid w:val="0043346B"/>
    <w:rsid w:val="004344E3"/>
    <w:rsid w:val="004438D5"/>
    <w:rsid w:val="004474BF"/>
    <w:rsid w:val="00450328"/>
    <w:rsid w:val="00450C18"/>
    <w:rsid w:val="00457137"/>
    <w:rsid w:val="00457A71"/>
    <w:rsid w:val="004606E8"/>
    <w:rsid w:val="00460C89"/>
    <w:rsid w:val="004636C6"/>
    <w:rsid w:val="00465FF6"/>
    <w:rsid w:val="004663CA"/>
    <w:rsid w:val="00466DC2"/>
    <w:rsid w:val="00467FDD"/>
    <w:rsid w:val="00470BDE"/>
    <w:rsid w:val="0047260A"/>
    <w:rsid w:val="0047379C"/>
    <w:rsid w:val="00476F3A"/>
    <w:rsid w:val="004775B8"/>
    <w:rsid w:val="004777A3"/>
    <w:rsid w:val="0047786D"/>
    <w:rsid w:val="00482E4A"/>
    <w:rsid w:val="004841FA"/>
    <w:rsid w:val="00485284"/>
    <w:rsid w:val="00486A17"/>
    <w:rsid w:val="00486A98"/>
    <w:rsid w:val="00486E2E"/>
    <w:rsid w:val="00487261"/>
    <w:rsid w:val="00487D4F"/>
    <w:rsid w:val="00491926"/>
    <w:rsid w:val="00491F86"/>
    <w:rsid w:val="004A0D50"/>
    <w:rsid w:val="004A1D0B"/>
    <w:rsid w:val="004A42BE"/>
    <w:rsid w:val="004A492C"/>
    <w:rsid w:val="004A6F74"/>
    <w:rsid w:val="004B1F2B"/>
    <w:rsid w:val="004B20D5"/>
    <w:rsid w:val="004B3D87"/>
    <w:rsid w:val="004B5BC0"/>
    <w:rsid w:val="004B6100"/>
    <w:rsid w:val="004C0211"/>
    <w:rsid w:val="004C08B8"/>
    <w:rsid w:val="004C1D84"/>
    <w:rsid w:val="004C5DB7"/>
    <w:rsid w:val="004C6457"/>
    <w:rsid w:val="004C651B"/>
    <w:rsid w:val="004D0562"/>
    <w:rsid w:val="004D0981"/>
    <w:rsid w:val="004D1EAC"/>
    <w:rsid w:val="004D33E1"/>
    <w:rsid w:val="004D6D0A"/>
    <w:rsid w:val="004E478D"/>
    <w:rsid w:val="004E5ABD"/>
    <w:rsid w:val="004F0105"/>
    <w:rsid w:val="004F1684"/>
    <w:rsid w:val="004F1B04"/>
    <w:rsid w:val="004F2057"/>
    <w:rsid w:val="004F303C"/>
    <w:rsid w:val="004F406C"/>
    <w:rsid w:val="004F4762"/>
    <w:rsid w:val="004F56AC"/>
    <w:rsid w:val="00500789"/>
    <w:rsid w:val="0050107D"/>
    <w:rsid w:val="005027EC"/>
    <w:rsid w:val="00503E41"/>
    <w:rsid w:val="005070FA"/>
    <w:rsid w:val="0051596C"/>
    <w:rsid w:val="00515A2F"/>
    <w:rsid w:val="00516B30"/>
    <w:rsid w:val="0052119C"/>
    <w:rsid w:val="00522872"/>
    <w:rsid w:val="00524297"/>
    <w:rsid w:val="00524564"/>
    <w:rsid w:val="00524C47"/>
    <w:rsid w:val="00532B72"/>
    <w:rsid w:val="00535A20"/>
    <w:rsid w:val="00540D8A"/>
    <w:rsid w:val="00540EDD"/>
    <w:rsid w:val="00541A89"/>
    <w:rsid w:val="00541B96"/>
    <w:rsid w:val="00544AD4"/>
    <w:rsid w:val="00551B1F"/>
    <w:rsid w:val="005528F9"/>
    <w:rsid w:val="005530CA"/>
    <w:rsid w:val="00554314"/>
    <w:rsid w:val="00561AE2"/>
    <w:rsid w:val="00561E91"/>
    <w:rsid w:val="00564403"/>
    <w:rsid w:val="00565F05"/>
    <w:rsid w:val="00566E85"/>
    <w:rsid w:val="00571596"/>
    <w:rsid w:val="0057193F"/>
    <w:rsid w:val="00571E73"/>
    <w:rsid w:val="00574B30"/>
    <w:rsid w:val="00575EFE"/>
    <w:rsid w:val="005770BC"/>
    <w:rsid w:val="005820CD"/>
    <w:rsid w:val="00582187"/>
    <w:rsid w:val="00585385"/>
    <w:rsid w:val="00590570"/>
    <w:rsid w:val="005913DC"/>
    <w:rsid w:val="005946C6"/>
    <w:rsid w:val="00595447"/>
    <w:rsid w:val="005A26CF"/>
    <w:rsid w:val="005A37A4"/>
    <w:rsid w:val="005B0A97"/>
    <w:rsid w:val="005C0344"/>
    <w:rsid w:val="005C039B"/>
    <w:rsid w:val="005C0AF7"/>
    <w:rsid w:val="005C27CE"/>
    <w:rsid w:val="005C29C6"/>
    <w:rsid w:val="005E19B0"/>
    <w:rsid w:val="005E73EA"/>
    <w:rsid w:val="005F0CB6"/>
    <w:rsid w:val="005F290D"/>
    <w:rsid w:val="00604FE0"/>
    <w:rsid w:val="006119A9"/>
    <w:rsid w:val="00612326"/>
    <w:rsid w:val="00612753"/>
    <w:rsid w:val="00613262"/>
    <w:rsid w:val="006206C4"/>
    <w:rsid w:val="0062089D"/>
    <w:rsid w:val="00624D5C"/>
    <w:rsid w:val="006256D1"/>
    <w:rsid w:val="00626824"/>
    <w:rsid w:val="00627BD7"/>
    <w:rsid w:val="0063308E"/>
    <w:rsid w:val="00635363"/>
    <w:rsid w:val="00635E36"/>
    <w:rsid w:val="00636A3F"/>
    <w:rsid w:val="00640CAE"/>
    <w:rsid w:val="00641615"/>
    <w:rsid w:val="00642AD2"/>
    <w:rsid w:val="00646079"/>
    <w:rsid w:val="006461F0"/>
    <w:rsid w:val="0064622E"/>
    <w:rsid w:val="0064701C"/>
    <w:rsid w:val="00651C9B"/>
    <w:rsid w:val="0065250D"/>
    <w:rsid w:val="00661381"/>
    <w:rsid w:val="006614CD"/>
    <w:rsid w:val="00671A65"/>
    <w:rsid w:val="00674883"/>
    <w:rsid w:val="006760AC"/>
    <w:rsid w:val="006809A0"/>
    <w:rsid w:val="00681B99"/>
    <w:rsid w:val="00683BCC"/>
    <w:rsid w:val="00692009"/>
    <w:rsid w:val="00692C5A"/>
    <w:rsid w:val="00692CE0"/>
    <w:rsid w:val="00694B7C"/>
    <w:rsid w:val="00697BC2"/>
    <w:rsid w:val="006A23F9"/>
    <w:rsid w:val="006A732E"/>
    <w:rsid w:val="006B31A6"/>
    <w:rsid w:val="006B66D3"/>
    <w:rsid w:val="006C0712"/>
    <w:rsid w:val="006C3A06"/>
    <w:rsid w:val="006C656C"/>
    <w:rsid w:val="006D00CB"/>
    <w:rsid w:val="006D40A7"/>
    <w:rsid w:val="006D57A1"/>
    <w:rsid w:val="006D5D75"/>
    <w:rsid w:val="006D71E7"/>
    <w:rsid w:val="006E12F1"/>
    <w:rsid w:val="006E6040"/>
    <w:rsid w:val="006E6C31"/>
    <w:rsid w:val="006E7528"/>
    <w:rsid w:val="006F0ABA"/>
    <w:rsid w:val="006F2A40"/>
    <w:rsid w:val="006F2F40"/>
    <w:rsid w:val="00702A5A"/>
    <w:rsid w:val="00715D07"/>
    <w:rsid w:val="00716C7A"/>
    <w:rsid w:val="00717248"/>
    <w:rsid w:val="00717DDC"/>
    <w:rsid w:val="00721196"/>
    <w:rsid w:val="007216F3"/>
    <w:rsid w:val="00721795"/>
    <w:rsid w:val="00722CE7"/>
    <w:rsid w:val="00724CCD"/>
    <w:rsid w:val="007273A4"/>
    <w:rsid w:val="00737C2C"/>
    <w:rsid w:val="00740241"/>
    <w:rsid w:val="007424D3"/>
    <w:rsid w:val="00744058"/>
    <w:rsid w:val="007465F1"/>
    <w:rsid w:val="007471E0"/>
    <w:rsid w:val="00747DDB"/>
    <w:rsid w:val="00747FDC"/>
    <w:rsid w:val="00750221"/>
    <w:rsid w:val="0075144D"/>
    <w:rsid w:val="00760F4B"/>
    <w:rsid w:val="00762934"/>
    <w:rsid w:val="00764290"/>
    <w:rsid w:val="00767781"/>
    <w:rsid w:val="00767D8F"/>
    <w:rsid w:val="00773ADE"/>
    <w:rsid w:val="007749C2"/>
    <w:rsid w:val="007776B7"/>
    <w:rsid w:val="00780839"/>
    <w:rsid w:val="00783C1D"/>
    <w:rsid w:val="00787EF7"/>
    <w:rsid w:val="00790830"/>
    <w:rsid w:val="0079217A"/>
    <w:rsid w:val="00796CF0"/>
    <w:rsid w:val="007A3FBA"/>
    <w:rsid w:val="007A6BD6"/>
    <w:rsid w:val="007A6F03"/>
    <w:rsid w:val="007A76F6"/>
    <w:rsid w:val="007B3379"/>
    <w:rsid w:val="007C2FF4"/>
    <w:rsid w:val="007C3643"/>
    <w:rsid w:val="007C451F"/>
    <w:rsid w:val="007C6735"/>
    <w:rsid w:val="007C6D5C"/>
    <w:rsid w:val="007D36E6"/>
    <w:rsid w:val="007D42B6"/>
    <w:rsid w:val="007D4EB7"/>
    <w:rsid w:val="007D5E6C"/>
    <w:rsid w:val="007D69B4"/>
    <w:rsid w:val="007F4A77"/>
    <w:rsid w:val="007F6182"/>
    <w:rsid w:val="007F72ED"/>
    <w:rsid w:val="00800D8B"/>
    <w:rsid w:val="00802F12"/>
    <w:rsid w:val="00803357"/>
    <w:rsid w:val="008039FA"/>
    <w:rsid w:val="00803A5A"/>
    <w:rsid w:val="008040B2"/>
    <w:rsid w:val="00804B92"/>
    <w:rsid w:val="00806BDB"/>
    <w:rsid w:val="00811E81"/>
    <w:rsid w:val="008168BD"/>
    <w:rsid w:val="00817CD4"/>
    <w:rsid w:val="00817E72"/>
    <w:rsid w:val="0082193F"/>
    <w:rsid w:val="0083334E"/>
    <w:rsid w:val="00842BC7"/>
    <w:rsid w:val="00846F95"/>
    <w:rsid w:val="0085169B"/>
    <w:rsid w:val="00855F59"/>
    <w:rsid w:val="00865724"/>
    <w:rsid w:val="008658AE"/>
    <w:rsid w:val="00870132"/>
    <w:rsid w:val="00872EF9"/>
    <w:rsid w:val="008737F0"/>
    <w:rsid w:val="00875DF8"/>
    <w:rsid w:val="00877015"/>
    <w:rsid w:val="008810A3"/>
    <w:rsid w:val="0088147B"/>
    <w:rsid w:val="00881D3B"/>
    <w:rsid w:val="00890181"/>
    <w:rsid w:val="00892A0B"/>
    <w:rsid w:val="00896A40"/>
    <w:rsid w:val="00897140"/>
    <w:rsid w:val="008A2904"/>
    <w:rsid w:val="008A4DB2"/>
    <w:rsid w:val="008A5E8E"/>
    <w:rsid w:val="008B13A2"/>
    <w:rsid w:val="008B2D9A"/>
    <w:rsid w:val="008B50D4"/>
    <w:rsid w:val="008B72D5"/>
    <w:rsid w:val="008C0FEB"/>
    <w:rsid w:val="008C2E0F"/>
    <w:rsid w:val="008C79E0"/>
    <w:rsid w:val="008D21C1"/>
    <w:rsid w:val="008D3DAC"/>
    <w:rsid w:val="008D44A2"/>
    <w:rsid w:val="008D4BB8"/>
    <w:rsid w:val="008D6613"/>
    <w:rsid w:val="008D6AA1"/>
    <w:rsid w:val="008E067C"/>
    <w:rsid w:val="008E079F"/>
    <w:rsid w:val="008E1A24"/>
    <w:rsid w:val="008E2D4B"/>
    <w:rsid w:val="008E5529"/>
    <w:rsid w:val="008E64F1"/>
    <w:rsid w:val="00900B99"/>
    <w:rsid w:val="009021FC"/>
    <w:rsid w:val="0091031A"/>
    <w:rsid w:val="00911BD0"/>
    <w:rsid w:val="00914604"/>
    <w:rsid w:val="00915777"/>
    <w:rsid w:val="0091642B"/>
    <w:rsid w:val="009169F8"/>
    <w:rsid w:val="00917893"/>
    <w:rsid w:val="00921B97"/>
    <w:rsid w:val="00921F98"/>
    <w:rsid w:val="00923C5B"/>
    <w:rsid w:val="00926AB9"/>
    <w:rsid w:val="00927773"/>
    <w:rsid w:val="00930481"/>
    <w:rsid w:val="00931E16"/>
    <w:rsid w:val="00933521"/>
    <w:rsid w:val="00942435"/>
    <w:rsid w:val="00942BD7"/>
    <w:rsid w:val="00946B95"/>
    <w:rsid w:val="0095007D"/>
    <w:rsid w:val="009505D3"/>
    <w:rsid w:val="0095196A"/>
    <w:rsid w:val="0095211B"/>
    <w:rsid w:val="00954501"/>
    <w:rsid w:val="00956A28"/>
    <w:rsid w:val="009576F7"/>
    <w:rsid w:val="00957E7C"/>
    <w:rsid w:val="00965DEC"/>
    <w:rsid w:val="009672E2"/>
    <w:rsid w:val="00970531"/>
    <w:rsid w:val="009711FB"/>
    <w:rsid w:val="0097146C"/>
    <w:rsid w:val="009725BD"/>
    <w:rsid w:val="00973175"/>
    <w:rsid w:val="00980980"/>
    <w:rsid w:val="0099408A"/>
    <w:rsid w:val="009A0D62"/>
    <w:rsid w:val="009A12F1"/>
    <w:rsid w:val="009A2121"/>
    <w:rsid w:val="009A2902"/>
    <w:rsid w:val="009A3BE5"/>
    <w:rsid w:val="009A64BF"/>
    <w:rsid w:val="009A6F62"/>
    <w:rsid w:val="009B2A94"/>
    <w:rsid w:val="009C0470"/>
    <w:rsid w:val="009C100C"/>
    <w:rsid w:val="009C1A1A"/>
    <w:rsid w:val="009C1F3A"/>
    <w:rsid w:val="009C2701"/>
    <w:rsid w:val="009C66A9"/>
    <w:rsid w:val="009C7885"/>
    <w:rsid w:val="009D0750"/>
    <w:rsid w:val="009D0FEC"/>
    <w:rsid w:val="009D18A6"/>
    <w:rsid w:val="009D2D74"/>
    <w:rsid w:val="009D4644"/>
    <w:rsid w:val="009D6785"/>
    <w:rsid w:val="009D6914"/>
    <w:rsid w:val="009E0C1B"/>
    <w:rsid w:val="009E2814"/>
    <w:rsid w:val="009E5557"/>
    <w:rsid w:val="009F1347"/>
    <w:rsid w:val="009F545F"/>
    <w:rsid w:val="009F54B4"/>
    <w:rsid w:val="009F6A58"/>
    <w:rsid w:val="00A02AAB"/>
    <w:rsid w:val="00A03183"/>
    <w:rsid w:val="00A04C04"/>
    <w:rsid w:val="00A05231"/>
    <w:rsid w:val="00A058E3"/>
    <w:rsid w:val="00A05E28"/>
    <w:rsid w:val="00A0693D"/>
    <w:rsid w:val="00A11717"/>
    <w:rsid w:val="00A13A42"/>
    <w:rsid w:val="00A14491"/>
    <w:rsid w:val="00A156B7"/>
    <w:rsid w:val="00A170EC"/>
    <w:rsid w:val="00A21570"/>
    <w:rsid w:val="00A25073"/>
    <w:rsid w:val="00A27B1A"/>
    <w:rsid w:val="00A27F01"/>
    <w:rsid w:val="00A33A2B"/>
    <w:rsid w:val="00A33ECE"/>
    <w:rsid w:val="00A41862"/>
    <w:rsid w:val="00A42D9B"/>
    <w:rsid w:val="00A4512C"/>
    <w:rsid w:val="00A45F0F"/>
    <w:rsid w:val="00A475A3"/>
    <w:rsid w:val="00A50A1B"/>
    <w:rsid w:val="00A52824"/>
    <w:rsid w:val="00A5380B"/>
    <w:rsid w:val="00A5425D"/>
    <w:rsid w:val="00A552AD"/>
    <w:rsid w:val="00A5625B"/>
    <w:rsid w:val="00A567D6"/>
    <w:rsid w:val="00A60114"/>
    <w:rsid w:val="00A60568"/>
    <w:rsid w:val="00A73964"/>
    <w:rsid w:val="00A7736E"/>
    <w:rsid w:val="00A773E9"/>
    <w:rsid w:val="00A91C4B"/>
    <w:rsid w:val="00A91C92"/>
    <w:rsid w:val="00A97863"/>
    <w:rsid w:val="00AA05B0"/>
    <w:rsid w:val="00AA0973"/>
    <w:rsid w:val="00AA25E2"/>
    <w:rsid w:val="00AA2F66"/>
    <w:rsid w:val="00AA5F15"/>
    <w:rsid w:val="00AB553C"/>
    <w:rsid w:val="00AC6141"/>
    <w:rsid w:val="00AD429C"/>
    <w:rsid w:val="00AD73B8"/>
    <w:rsid w:val="00AE1868"/>
    <w:rsid w:val="00AE1A78"/>
    <w:rsid w:val="00AE2549"/>
    <w:rsid w:val="00AE3C2F"/>
    <w:rsid w:val="00AF0EA2"/>
    <w:rsid w:val="00AF584F"/>
    <w:rsid w:val="00AF61D7"/>
    <w:rsid w:val="00B04769"/>
    <w:rsid w:val="00B0518E"/>
    <w:rsid w:val="00B06CF5"/>
    <w:rsid w:val="00B073CF"/>
    <w:rsid w:val="00B16A24"/>
    <w:rsid w:val="00B16D78"/>
    <w:rsid w:val="00B21675"/>
    <w:rsid w:val="00B21D1B"/>
    <w:rsid w:val="00B2200C"/>
    <w:rsid w:val="00B24B54"/>
    <w:rsid w:val="00B24C67"/>
    <w:rsid w:val="00B31210"/>
    <w:rsid w:val="00B31A39"/>
    <w:rsid w:val="00B323DF"/>
    <w:rsid w:val="00B32EB8"/>
    <w:rsid w:val="00B330D8"/>
    <w:rsid w:val="00B37814"/>
    <w:rsid w:val="00B43C08"/>
    <w:rsid w:val="00B448D8"/>
    <w:rsid w:val="00B55F93"/>
    <w:rsid w:val="00B57348"/>
    <w:rsid w:val="00B61945"/>
    <w:rsid w:val="00B61F45"/>
    <w:rsid w:val="00B637AE"/>
    <w:rsid w:val="00B65142"/>
    <w:rsid w:val="00B6673E"/>
    <w:rsid w:val="00B70DB8"/>
    <w:rsid w:val="00B727D8"/>
    <w:rsid w:val="00B74A6E"/>
    <w:rsid w:val="00B75464"/>
    <w:rsid w:val="00B76805"/>
    <w:rsid w:val="00B777C8"/>
    <w:rsid w:val="00B80793"/>
    <w:rsid w:val="00B8307B"/>
    <w:rsid w:val="00B86E84"/>
    <w:rsid w:val="00B92B3C"/>
    <w:rsid w:val="00B94B25"/>
    <w:rsid w:val="00B97461"/>
    <w:rsid w:val="00B97F84"/>
    <w:rsid w:val="00BA7329"/>
    <w:rsid w:val="00BB0019"/>
    <w:rsid w:val="00BC0998"/>
    <w:rsid w:val="00BC1823"/>
    <w:rsid w:val="00BC4B53"/>
    <w:rsid w:val="00BC6F12"/>
    <w:rsid w:val="00BD387C"/>
    <w:rsid w:val="00BD3D90"/>
    <w:rsid w:val="00BD499D"/>
    <w:rsid w:val="00BD6CFD"/>
    <w:rsid w:val="00BE206C"/>
    <w:rsid w:val="00BE296F"/>
    <w:rsid w:val="00BE45A8"/>
    <w:rsid w:val="00BF2B16"/>
    <w:rsid w:val="00BF35DB"/>
    <w:rsid w:val="00BF46A1"/>
    <w:rsid w:val="00BF7770"/>
    <w:rsid w:val="00C0067B"/>
    <w:rsid w:val="00C00BB2"/>
    <w:rsid w:val="00C01366"/>
    <w:rsid w:val="00C028E2"/>
    <w:rsid w:val="00C0472A"/>
    <w:rsid w:val="00C070A4"/>
    <w:rsid w:val="00C11677"/>
    <w:rsid w:val="00C21E23"/>
    <w:rsid w:val="00C2258A"/>
    <w:rsid w:val="00C22DE3"/>
    <w:rsid w:val="00C23BF9"/>
    <w:rsid w:val="00C26334"/>
    <w:rsid w:val="00C26A7A"/>
    <w:rsid w:val="00C3353C"/>
    <w:rsid w:val="00C350A1"/>
    <w:rsid w:val="00C35E3F"/>
    <w:rsid w:val="00C3687A"/>
    <w:rsid w:val="00C3703E"/>
    <w:rsid w:val="00C37FBE"/>
    <w:rsid w:val="00C43033"/>
    <w:rsid w:val="00C44077"/>
    <w:rsid w:val="00C5052F"/>
    <w:rsid w:val="00C51406"/>
    <w:rsid w:val="00C5301D"/>
    <w:rsid w:val="00C53C80"/>
    <w:rsid w:val="00C5426D"/>
    <w:rsid w:val="00C5754F"/>
    <w:rsid w:val="00C61B75"/>
    <w:rsid w:val="00C647F3"/>
    <w:rsid w:val="00C704A3"/>
    <w:rsid w:val="00C7147E"/>
    <w:rsid w:val="00C71E74"/>
    <w:rsid w:val="00C728A1"/>
    <w:rsid w:val="00C7374B"/>
    <w:rsid w:val="00C7485C"/>
    <w:rsid w:val="00C75111"/>
    <w:rsid w:val="00C77FEC"/>
    <w:rsid w:val="00C80C71"/>
    <w:rsid w:val="00C81FCF"/>
    <w:rsid w:val="00C822EC"/>
    <w:rsid w:val="00C82FFA"/>
    <w:rsid w:val="00C87DA3"/>
    <w:rsid w:val="00C87F9E"/>
    <w:rsid w:val="00C90580"/>
    <w:rsid w:val="00C9351A"/>
    <w:rsid w:val="00C9390B"/>
    <w:rsid w:val="00C9466D"/>
    <w:rsid w:val="00C94A69"/>
    <w:rsid w:val="00C951B9"/>
    <w:rsid w:val="00C95EC6"/>
    <w:rsid w:val="00CB0381"/>
    <w:rsid w:val="00CB42C3"/>
    <w:rsid w:val="00CB5F3E"/>
    <w:rsid w:val="00CB61DD"/>
    <w:rsid w:val="00CB66DD"/>
    <w:rsid w:val="00CC0728"/>
    <w:rsid w:val="00CC0F51"/>
    <w:rsid w:val="00CC35E3"/>
    <w:rsid w:val="00CC4FDA"/>
    <w:rsid w:val="00CC6486"/>
    <w:rsid w:val="00CD1165"/>
    <w:rsid w:val="00CD1370"/>
    <w:rsid w:val="00CD3C59"/>
    <w:rsid w:val="00CD6A82"/>
    <w:rsid w:val="00CD6C27"/>
    <w:rsid w:val="00CE0D25"/>
    <w:rsid w:val="00CE1535"/>
    <w:rsid w:val="00CE15B4"/>
    <w:rsid w:val="00CE26E1"/>
    <w:rsid w:val="00CE3D56"/>
    <w:rsid w:val="00CF13CF"/>
    <w:rsid w:val="00CF19E3"/>
    <w:rsid w:val="00CF5614"/>
    <w:rsid w:val="00CF6D9E"/>
    <w:rsid w:val="00CF7B66"/>
    <w:rsid w:val="00D030F5"/>
    <w:rsid w:val="00D03EA9"/>
    <w:rsid w:val="00D06059"/>
    <w:rsid w:val="00D11A0A"/>
    <w:rsid w:val="00D15A73"/>
    <w:rsid w:val="00D20B0B"/>
    <w:rsid w:val="00D22223"/>
    <w:rsid w:val="00D22DCA"/>
    <w:rsid w:val="00D2316D"/>
    <w:rsid w:val="00D2368F"/>
    <w:rsid w:val="00D23A98"/>
    <w:rsid w:val="00D261E0"/>
    <w:rsid w:val="00D27042"/>
    <w:rsid w:val="00D30AD2"/>
    <w:rsid w:val="00D35A76"/>
    <w:rsid w:val="00D3605A"/>
    <w:rsid w:val="00D40085"/>
    <w:rsid w:val="00D428B3"/>
    <w:rsid w:val="00D4366E"/>
    <w:rsid w:val="00D4750A"/>
    <w:rsid w:val="00D47F43"/>
    <w:rsid w:val="00D56921"/>
    <w:rsid w:val="00D56CB4"/>
    <w:rsid w:val="00D63A27"/>
    <w:rsid w:val="00D6444B"/>
    <w:rsid w:val="00D7009F"/>
    <w:rsid w:val="00D708E2"/>
    <w:rsid w:val="00D722CC"/>
    <w:rsid w:val="00D737CD"/>
    <w:rsid w:val="00D74F7A"/>
    <w:rsid w:val="00D75512"/>
    <w:rsid w:val="00D82BFE"/>
    <w:rsid w:val="00D83075"/>
    <w:rsid w:val="00D86145"/>
    <w:rsid w:val="00D87F23"/>
    <w:rsid w:val="00D91023"/>
    <w:rsid w:val="00D92409"/>
    <w:rsid w:val="00D9296C"/>
    <w:rsid w:val="00D953BF"/>
    <w:rsid w:val="00D960E7"/>
    <w:rsid w:val="00D96425"/>
    <w:rsid w:val="00D968E5"/>
    <w:rsid w:val="00D96BC9"/>
    <w:rsid w:val="00D96CB8"/>
    <w:rsid w:val="00DA1F08"/>
    <w:rsid w:val="00DA4BEC"/>
    <w:rsid w:val="00DA60A5"/>
    <w:rsid w:val="00DB03B1"/>
    <w:rsid w:val="00DB07B8"/>
    <w:rsid w:val="00DB0B25"/>
    <w:rsid w:val="00DB2E97"/>
    <w:rsid w:val="00DB30AE"/>
    <w:rsid w:val="00DB56F6"/>
    <w:rsid w:val="00DB6505"/>
    <w:rsid w:val="00DB6FDD"/>
    <w:rsid w:val="00DC184C"/>
    <w:rsid w:val="00DC256C"/>
    <w:rsid w:val="00DC26D7"/>
    <w:rsid w:val="00DC46B5"/>
    <w:rsid w:val="00DC736C"/>
    <w:rsid w:val="00DD26B5"/>
    <w:rsid w:val="00DD49CE"/>
    <w:rsid w:val="00DD4A71"/>
    <w:rsid w:val="00DD6428"/>
    <w:rsid w:val="00DE34BE"/>
    <w:rsid w:val="00DE5105"/>
    <w:rsid w:val="00DF2FC5"/>
    <w:rsid w:val="00DF4C10"/>
    <w:rsid w:val="00DF712B"/>
    <w:rsid w:val="00DF7F9C"/>
    <w:rsid w:val="00E00E90"/>
    <w:rsid w:val="00E01AB1"/>
    <w:rsid w:val="00E035DF"/>
    <w:rsid w:val="00E11F9A"/>
    <w:rsid w:val="00E13716"/>
    <w:rsid w:val="00E14767"/>
    <w:rsid w:val="00E2374C"/>
    <w:rsid w:val="00E270A8"/>
    <w:rsid w:val="00E30F53"/>
    <w:rsid w:val="00E33E63"/>
    <w:rsid w:val="00E3485C"/>
    <w:rsid w:val="00E37414"/>
    <w:rsid w:val="00E440A5"/>
    <w:rsid w:val="00E46098"/>
    <w:rsid w:val="00E50F79"/>
    <w:rsid w:val="00E51C28"/>
    <w:rsid w:val="00E556CD"/>
    <w:rsid w:val="00E628BC"/>
    <w:rsid w:val="00E63A45"/>
    <w:rsid w:val="00E65F3E"/>
    <w:rsid w:val="00E6678A"/>
    <w:rsid w:val="00E67D70"/>
    <w:rsid w:val="00E7020F"/>
    <w:rsid w:val="00E70CAA"/>
    <w:rsid w:val="00E72FDF"/>
    <w:rsid w:val="00E7442A"/>
    <w:rsid w:val="00E748B1"/>
    <w:rsid w:val="00E766FD"/>
    <w:rsid w:val="00E813DE"/>
    <w:rsid w:val="00E86710"/>
    <w:rsid w:val="00E90B3F"/>
    <w:rsid w:val="00E90BA9"/>
    <w:rsid w:val="00E954DA"/>
    <w:rsid w:val="00E959FB"/>
    <w:rsid w:val="00E97CFA"/>
    <w:rsid w:val="00EA3B42"/>
    <w:rsid w:val="00EB7FA1"/>
    <w:rsid w:val="00EC02B0"/>
    <w:rsid w:val="00EC1DEA"/>
    <w:rsid w:val="00EC2829"/>
    <w:rsid w:val="00EC6901"/>
    <w:rsid w:val="00EE33E6"/>
    <w:rsid w:val="00EE4065"/>
    <w:rsid w:val="00EE4B1F"/>
    <w:rsid w:val="00EE6BF2"/>
    <w:rsid w:val="00EE7555"/>
    <w:rsid w:val="00EF4F05"/>
    <w:rsid w:val="00F017F6"/>
    <w:rsid w:val="00F0305C"/>
    <w:rsid w:val="00F066F6"/>
    <w:rsid w:val="00F11C38"/>
    <w:rsid w:val="00F1569F"/>
    <w:rsid w:val="00F17078"/>
    <w:rsid w:val="00F17DB2"/>
    <w:rsid w:val="00F20039"/>
    <w:rsid w:val="00F23E95"/>
    <w:rsid w:val="00F24EC4"/>
    <w:rsid w:val="00F2509D"/>
    <w:rsid w:val="00F304C5"/>
    <w:rsid w:val="00F30CC1"/>
    <w:rsid w:val="00F31332"/>
    <w:rsid w:val="00F34420"/>
    <w:rsid w:val="00F431B1"/>
    <w:rsid w:val="00F60187"/>
    <w:rsid w:val="00F608C8"/>
    <w:rsid w:val="00F6168B"/>
    <w:rsid w:val="00F62F9F"/>
    <w:rsid w:val="00F647CA"/>
    <w:rsid w:val="00F73FAE"/>
    <w:rsid w:val="00F75402"/>
    <w:rsid w:val="00F827C4"/>
    <w:rsid w:val="00F86188"/>
    <w:rsid w:val="00F911B9"/>
    <w:rsid w:val="00F93DCD"/>
    <w:rsid w:val="00F95B7F"/>
    <w:rsid w:val="00F97A6D"/>
    <w:rsid w:val="00FA1C1A"/>
    <w:rsid w:val="00FA233D"/>
    <w:rsid w:val="00FA23D4"/>
    <w:rsid w:val="00FA4E2A"/>
    <w:rsid w:val="00FA799B"/>
    <w:rsid w:val="00FB614A"/>
    <w:rsid w:val="00FB6385"/>
    <w:rsid w:val="00FB74BC"/>
    <w:rsid w:val="00FC0BF8"/>
    <w:rsid w:val="00FC13B7"/>
    <w:rsid w:val="00FC19BD"/>
    <w:rsid w:val="00FC7983"/>
    <w:rsid w:val="00FD0073"/>
    <w:rsid w:val="00FD0666"/>
    <w:rsid w:val="00FD161A"/>
    <w:rsid w:val="00FD2DFF"/>
    <w:rsid w:val="00FD3262"/>
    <w:rsid w:val="00FD6349"/>
    <w:rsid w:val="00FE0896"/>
    <w:rsid w:val="00FE18EA"/>
    <w:rsid w:val="00FE2621"/>
    <w:rsid w:val="00FE3117"/>
    <w:rsid w:val="00FE41B7"/>
    <w:rsid w:val="00FE4528"/>
    <w:rsid w:val="00FE5D59"/>
    <w:rsid w:val="00FE7170"/>
    <w:rsid w:val="00FF26A4"/>
    <w:rsid w:val="00FF305B"/>
    <w:rsid w:val="00FF6004"/>
    <w:rsid w:val="00FF66D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C5D05BF1-3437-4C80-AA88-412DE23A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4B"/>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unhideWhenUsed/>
    <w:locked/>
    <w:rsid w:val="00260878"/>
  </w:style>
  <w:style w:type="character" w:customStyle="1" w:styleId="CommentTextChar">
    <w:name w:val="Comment Text Char"/>
    <w:basedOn w:val="DefaultParagraphFont"/>
    <w:link w:val="CommentText"/>
    <w:uiPriority w:val="99"/>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Footer">
    <w:name w:val="footer"/>
    <w:basedOn w:val="Normal"/>
    <w:link w:val="FooterChar"/>
    <w:uiPriority w:val="99"/>
    <w:unhideWhenUsed/>
    <w:locked/>
    <w:rsid w:val="000C2300"/>
    <w:pPr>
      <w:tabs>
        <w:tab w:val="center" w:pos="4513"/>
        <w:tab w:val="right" w:pos="9026"/>
      </w:tabs>
    </w:pPr>
  </w:style>
  <w:style w:type="character" w:customStyle="1" w:styleId="FooterChar">
    <w:name w:val="Footer Char"/>
    <w:basedOn w:val="DefaultParagraphFont"/>
    <w:link w:val="Footer"/>
    <w:uiPriority w:val="99"/>
    <w:rsid w:val="000C2300"/>
    <w:rPr>
      <w:rFonts w:ascii="Times New Roman" w:eastAsia="Times New Roman" w:hAnsi="Times New Roman"/>
      <w:sz w:val="24"/>
      <w:szCs w:val="24"/>
      <w:lang w:val="en-GB" w:eastAsia="en-US"/>
    </w:rPr>
  </w:style>
  <w:style w:type="paragraph" w:styleId="Revision">
    <w:name w:val="Revision"/>
    <w:hidden/>
    <w:uiPriority w:val="99"/>
    <w:semiHidden/>
    <w:rsid w:val="0082193F"/>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5352">
      <w:bodyDiv w:val="1"/>
      <w:marLeft w:val="0"/>
      <w:marRight w:val="0"/>
      <w:marTop w:val="0"/>
      <w:marBottom w:val="0"/>
      <w:divBdr>
        <w:top w:val="none" w:sz="0" w:space="0" w:color="auto"/>
        <w:left w:val="none" w:sz="0" w:space="0" w:color="auto"/>
        <w:bottom w:val="none" w:sz="0" w:space="0" w:color="auto"/>
        <w:right w:val="none" w:sz="0" w:space="0" w:color="auto"/>
      </w:divBdr>
    </w:div>
    <w:div w:id="78604584">
      <w:bodyDiv w:val="1"/>
      <w:marLeft w:val="0"/>
      <w:marRight w:val="0"/>
      <w:marTop w:val="0"/>
      <w:marBottom w:val="0"/>
      <w:divBdr>
        <w:top w:val="none" w:sz="0" w:space="0" w:color="auto"/>
        <w:left w:val="none" w:sz="0" w:space="0" w:color="auto"/>
        <w:bottom w:val="none" w:sz="0" w:space="0" w:color="auto"/>
        <w:right w:val="none" w:sz="0" w:space="0" w:color="auto"/>
      </w:divBdr>
    </w:div>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309483928">
      <w:bodyDiv w:val="1"/>
      <w:marLeft w:val="0"/>
      <w:marRight w:val="0"/>
      <w:marTop w:val="0"/>
      <w:marBottom w:val="0"/>
      <w:divBdr>
        <w:top w:val="none" w:sz="0" w:space="0" w:color="auto"/>
        <w:left w:val="none" w:sz="0" w:space="0" w:color="auto"/>
        <w:bottom w:val="none" w:sz="0" w:space="0" w:color="auto"/>
        <w:right w:val="none" w:sz="0" w:space="0" w:color="auto"/>
      </w:divBdr>
    </w:div>
    <w:div w:id="406656168">
      <w:bodyDiv w:val="1"/>
      <w:marLeft w:val="0"/>
      <w:marRight w:val="0"/>
      <w:marTop w:val="0"/>
      <w:marBottom w:val="0"/>
      <w:divBdr>
        <w:top w:val="none" w:sz="0" w:space="0" w:color="auto"/>
        <w:left w:val="none" w:sz="0" w:space="0" w:color="auto"/>
        <w:bottom w:val="none" w:sz="0" w:space="0" w:color="auto"/>
        <w:right w:val="none" w:sz="0" w:space="0" w:color="auto"/>
      </w:divBdr>
      <w:divsChild>
        <w:div w:id="2094620730">
          <w:marLeft w:val="0"/>
          <w:marRight w:val="0"/>
          <w:marTop w:val="0"/>
          <w:marBottom w:val="225"/>
          <w:divBdr>
            <w:top w:val="single" w:sz="24" w:space="0" w:color="auto"/>
            <w:left w:val="single" w:sz="24" w:space="0" w:color="auto"/>
            <w:bottom w:val="single" w:sz="36" w:space="0" w:color="003300"/>
            <w:right w:val="single" w:sz="24" w:space="0" w:color="auto"/>
          </w:divBdr>
          <w:divsChild>
            <w:div w:id="467478343">
              <w:marLeft w:val="0"/>
              <w:marRight w:val="0"/>
              <w:marTop w:val="0"/>
              <w:marBottom w:val="0"/>
              <w:divBdr>
                <w:top w:val="none" w:sz="0" w:space="0" w:color="auto"/>
                <w:left w:val="none" w:sz="0" w:space="0" w:color="auto"/>
                <w:bottom w:val="none" w:sz="0" w:space="0" w:color="auto"/>
                <w:right w:val="none" w:sz="0" w:space="0" w:color="auto"/>
              </w:divBdr>
            </w:div>
          </w:divsChild>
        </w:div>
        <w:div w:id="624317123">
          <w:marLeft w:val="0"/>
          <w:marRight w:val="0"/>
          <w:marTop w:val="0"/>
          <w:marBottom w:val="0"/>
          <w:divBdr>
            <w:top w:val="none" w:sz="0" w:space="0" w:color="auto"/>
            <w:left w:val="none" w:sz="0" w:space="0" w:color="auto"/>
            <w:bottom w:val="none" w:sz="0" w:space="0" w:color="auto"/>
            <w:right w:val="none" w:sz="0" w:space="0" w:color="auto"/>
          </w:divBdr>
          <w:divsChild>
            <w:div w:id="1646621345">
              <w:marLeft w:val="0"/>
              <w:marRight w:val="0"/>
              <w:marTop w:val="0"/>
              <w:marBottom w:val="0"/>
              <w:divBdr>
                <w:top w:val="none" w:sz="0" w:space="0" w:color="auto"/>
                <w:left w:val="none" w:sz="0" w:space="0" w:color="auto"/>
                <w:bottom w:val="none" w:sz="0" w:space="0" w:color="auto"/>
                <w:right w:val="none" w:sz="0" w:space="0" w:color="auto"/>
              </w:divBdr>
              <w:divsChild>
                <w:div w:id="561796028">
                  <w:marLeft w:val="0"/>
                  <w:marRight w:val="0"/>
                  <w:marTop w:val="0"/>
                  <w:marBottom w:val="0"/>
                  <w:divBdr>
                    <w:top w:val="none" w:sz="0" w:space="0" w:color="auto"/>
                    <w:left w:val="none" w:sz="0" w:space="0" w:color="auto"/>
                    <w:bottom w:val="none" w:sz="0" w:space="0" w:color="auto"/>
                    <w:right w:val="none" w:sz="0" w:space="0" w:color="auto"/>
                  </w:divBdr>
                  <w:divsChild>
                    <w:div w:id="646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5800">
      <w:bodyDiv w:val="1"/>
      <w:marLeft w:val="0"/>
      <w:marRight w:val="0"/>
      <w:marTop w:val="0"/>
      <w:marBottom w:val="0"/>
      <w:divBdr>
        <w:top w:val="none" w:sz="0" w:space="0" w:color="auto"/>
        <w:left w:val="none" w:sz="0" w:space="0" w:color="auto"/>
        <w:bottom w:val="none" w:sz="0" w:space="0" w:color="auto"/>
        <w:right w:val="none" w:sz="0" w:space="0" w:color="auto"/>
      </w:divBdr>
    </w:div>
    <w:div w:id="1061712000">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1223445601">
      <w:bodyDiv w:val="1"/>
      <w:marLeft w:val="0"/>
      <w:marRight w:val="0"/>
      <w:marTop w:val="0"/>
      <w:marBottom w:val="0"/>
      <w:divBdr>
        <w:top w:val="none" w:sz="0" w:space="0" w:color="auto"/>
        <w:left w:val="none" w:sz="0" w:space="0" w:color="auto"/>
        <w:bottom w:val="none" w:sz="0" w:space="0" w:color="auto"/>
        <w:right w:val="none" w:sz="0" w:space="0" w:color="auto"/>
      </w:divBdr>
    </w:div>
    <w:div w:id="1245915254">
      <w:bodyDiv w:val="1"/>
      <w:marLeft w:val="0"/>
      <w:marRight w:val="0"/>
      <w:marTop w:val="0"/>
      <w:marBottom w:val="0"/>
      <w:divBdr>
        <w:top w:val="none" w:sz="0" w:space="0" w:color="auto"/>
        <w:left w:val="none" w:sz="0" w:space="0" w:color="auto"/>
        <w:bottom w:val="none" w:sz="0" w:space="0" w:color="auto"/>
        <w:right w:val="none" w:sz="0" w:space="0" w:color="auto"/>
      </w:divBdr>
    </w:div>
    <w:div w:id="1260796695">
      <w:bodyDiv w:val="1"/>
      <w:marLeft w:val="0"/>
      <w:marRight w:val="0"/>
      <w:marTop w:val="0"/>
      <w:marBottom w:val="0"/>
      <w:divBdr>
        <w:top w:val="none" w:sz="0" w:space="0" w:color="auto"/>
        <w:left w:val="none" w:sz="0" w:space="0" w:color="auto"/>
        <w:bottom w:val="none" w:sz="0" w:space="0" w:color="auto"/>
        <w:right w:val="none" w:sz="0" w:space="0" w:color="auto"/>
      </w:divBdr>
    </w:div>
    <w:div w:id="1394088329">
      <w:bodyDiv w:val="1"/>
      <w:marLeft w:val="0"/>
      <w:marRight w:val="0"/>
      <w:marTop w:val="0"/>
      <w:marBottom w:val="0"/>
      <w:divBdr>
        <w:top w:val="none" w:sz="0" w:space="0" w:color="auto"/>
        <w:left w:val="none" w:sz="0" w:space="0" w:color="auto"/>
        <w:bottom w:val="none" w:sz="0" w:space="0" w:color="auto"/>
        <w:right w:val="none" w:sz="0" w:space="0" w:color="auto"/>
      </w:divBdr>
    </w:div>
    <w:div w:id="1437287332">
      <w:bodyDiv w:val="1"/>
      <w:marLeft w:val="0"/>
      <w:marRight w:val="0"/>
      <w:marTop w:val="0"/>
      <w:marBottom w:val="0"/>
      <w:divBdr>
        <w:top w:val="none" w:sz="0" w:space="0" w:color="auto"/>
        <w:left w:val="none" w:sz="0" w:space="0" w:color="auto"/>
        <w:bottom w:val="none" w:sz="0" w:space="0" w:color="auto"/>
        <w:right w:val="none" w:sz="0" w:space="0" w:color="auto"/>
      </w:divBdr>
    </w:div>
    <w:div w:id="1521970691">
      <w:bodyDiv w:val="1"/>
      <w:marLeft w:val="0"/>
      <w:marRight w:val="0"/>
      <w:marTop w:val="0"/>
      <w:marBottom w:val="0"/>
      <w:divBdr>
        <w:top w:val="none" w:sz="0" w:space="0" w:color="auto"/>
        <w:left w:val="none" w:sz="0" w:space="0" w:color="auto"/>
        <w:bottom w:val="none" w:sz="0" w:space="0" w:color="auto"/>
        <w:right w:val="none" w:sz="0" w:space="0" w:color="auto"/>
      </w:divBdr>
    </w:div>
    <w:div w:id="1685404248">
      <w:bodyDiv w:val="1"/>
      <w:marLeft w:val="0"/>
      <w:marRight w:val="0"/>
      <w:marTop w:val="0"/>
      <w:marBottom w:val="0"/>
      <w:divBdr>
        <w:top w:val="none" w:sz="0" w:space="0" w:color="auto"/>
        <w:left w:val="none" w:sz="0" w:space="0" w:color="auto"/>
        <w:bottom w:val="none" w:sz="0" w:space="0" w:color="auto"/>
        <w:right w:val="none" w:sz="0" w:space="0" w:color="auto"/>
      </w:divBdr>
      <w:divsChild>
        <w:div w:id="919872081">
          <w:marLeft w:val="0"/>
          <w:marRight w:val="0"/>
          <w:marTop w:val="240"/>
          <w:marBottom w:val="0"/>
          <w:divBdr>
            <w:top w:val="none" w:sz="0" w:space="0" w:color="auto"/>
            <w:left w:val="none" w:sz="0" w:space="0" w:color="auto"/>
            <w:bottom w:val="none" w:sz="0" w:space="0" w:color="auto"/>
            <w:right w:val="none" w:sz="0" w:space="0" w:color="auto"/>
          </w:divBdr>
        </w:div>
        <w:div w:id="492837707">
          <w:marLeft w:val="0"/>
          <w:marRight w:val="0"/>
          <w:marTop w:val="120"/>
          <w:marBottom w:val="0"/>
          <w:divBdr>
            <w:top w:val="none" w:sz="0" w:space="0" w:color="auto"/>
            <w:left w:val="none" w:sz="0" w:space="0" w:color="auto"/>
            <w:bottom w:val="none" w:sz="0" w:space="0" w:color="auto"/>
            <w:right w:val="none" w:sz="0" w:space="0" w:color="auto"/>
          </w:divBdr>
        </w:div>
        <w:div w:id="529534717">
          <w:marLeft w:val="1134"/>
          <w:marRight w:val="0"/>
          <w:marTop w:val="60"/>
          <w:marBottom w:val="0"/>
          <w:divBdr>
            <w:top w:val="none" w:sz="0" w:space="0" w:color="auto"/>
            <w:left w:val="none" w:sz="0" w:space="0" w:color="auto"/>
            <w:bottom w:val="none" w:sz="0" w:space="0" w:color="auto"/>
            <w:right w:val="none" w:sz="0" w:space="0" w:color="auto"/>
          </w:divBdr>
        </w:div>
        <w:div w:id="481771424">
          <w:marLeft w:val="1985"/>
          <w:marRight w:val="0"/>
          <w:marTop w:val="60"/>
          <w:marBottom w:val="0"/>
          <w:divBdr>
            <w:top w:val="none" w:sz="0" w:space="0" w:color="auto"/>
            <w:left w:val="none" w:sz="0" w:space="0" w:color="auto"/>
            <w:bottom w:val="none" w:sz="0" w:space="0" w:color="auto"/>
            <w:right w:val="none" w:sz="0" w:space="0" w:color="auto"/>
          </w:divBdr>
        </w:div>
        <w:div w:id="2078475216">
          <w:marLeft w:val="1985"/>
          <w:marRight w:val="0"/>
          <w:marTop w:val="60"/>
          <w:marBottom w:val="0"/>
          <w:divBdr>
            <w:top w:val="none" w:sz="0" w:space="0" w:color="auto"/>
            <w:left w:val="none" w:sz="0" w:space="0" w:color="auto"/>
            <w:bottom w:val="none" w:sz="0" w:space="0" w:color="auto"/>
            <w:right w:val="none" w:sz="0" w:space="0" w:color="auto"/>
          </w:divBdr>
        </w:div>
        <w:div w:id="1100445283">
          <w:marLeft w:val="1134"/>
          <w:marRight w:val="0"/>
          <w:marTop w:val="60"/>
          <w:marBottom w:val="0"/>
          <w:divBdr>
            <w:top w:val="none" w:sz="0" w:space="0" w:color="auto"/>
            <w:left w:val="none" w:sz="0" w:space="0" w:color="auto"/>
            <w:bottom w:val="none" w:sz="0" w:space="0" w:color="auto"/>
            <w:right w:val="none" w:sz="0" w:space="0" w:color="auto"/>
          </w:divBdr>
        </w:div>
        <w:div w:id="1375084460">
          <w:marLeft w:val="1134"/>
          <w:marRight w:val="0"/>
          <w:marTop w:val="60"/>
          <w:marBottom w:val="0"/>
          <w:divBdr>
            <w:top w:val="none" w:sz="0" w:space="0" w:color="auto"/>
            <w:left w:val="none" w:sz="0" w:space="0" w:color="auto"/>
            <w:bottom w:val="none" w:sz="0" w:space="0" w:color="auto"/>
            <w:right w:val="none" w:sz="0" w:space="0" w:color="auto"/>
          </w:divBdr>
        </w:div>
        <w:div w:id="511145873">
          <w:marLeft w:val="0"/>
          <w:marRight w:val="0"/>
          <w:marTop w:val="120"/>
          <w:marBottom w:val="0"/>
          <w:divBdr>
            <w:top w:val="none" w:sz="0" w:space="0" w:color="auto"/>
            <w:left w:val="none" w:sz="0" w:space="0" w:color="auto"/>
            <w:bottom w:val="none" w:sz="0" w:space="0" w:color="auto"/>
            <w:right w:val="none" w:sz="0" w:space="0" w:color="auto"/>
          </w:divBdr>
        </w:div>
        <w:div w:id="722752763">
          <w:marLeft w:val="0"/>
          <w:marRight w:val="0"/>
          <w:marTop w:val="120"/>
          <w:marBottom w:val="0"/>
          <w:divBdr>
            <w:top w:val="none" w:sz="0" w:space="0" w:color="auto"/>
            <w:left w:val="none" w:sz="0" w:space="0" w:color="auto"/>
            <w:bottom w:val="none" w:sz="0" w:space="0" w:color="auto"/>
            <w:right w:val="none" w:sz="0" w:space="0" w:color="auto"/>
          </w:divBdr>
        </w:div>
        <w:div w:id="965088292">
          <w:marLeft w:val="0"/>
          <w:marRight w:val="0"/>
          <w:marTop w:val="120"/>
          <w:marBottom w:val="0"/>
          <w:divBdr>
            <w:top w:val="none" w:sz="0" w:space="0" w:color="auto"/>
            <w:left w:val="none" w:sz="0" w:space="0" w:color="auto"/>
            <w:bottom w:val="none" w:sz="0" w:space="0" w:color="auto"/>
            <w:right w:val="none" w:sz="0" w:space="0" w:color="auto"/>
          </w:divBdr>
        </w:div>
        <w:div w:id="1107967239">
          <w:marLeft w:val="1134"/>
          <w:marRight w:val="0"/>
          <w:marTop w:val="60"/>
          <w:marBottom w:val="0"/>
          <w:divBdr>
            <w:top w:val="none" w:sz="0" w:space="0" w:color="auto"/>
            <w:left w:val="none" w:sz="0" w:space="0" w:color="auto"/>
            <w:bottom w:val="none" w:sz="0" w:space="0" w:color="auto"/>
            <w:right w:val="none" w:sz="0" w:space="0" w:color="auto"/>
          </w:divBdr>
        </w:div>
        <w:div w:id="1082022371">
          <w:marLeft w:val="1134"/>
          <w:marRight w:val="0"/>
          <w:marTop w:val="60"/>
          <w:marBottom w:val="0"/>
          <w:divBdr>
            <w:top w:val="none" w:sz="0" w:space="0" w:color="auto"/>
            <w:left w:val="none" w:sz="0" w:space="0" w:color="auto"/>
            <w:bottom w:val="none" w:sz="0" w:space="0" w:color="auto"/>
            <w:right w:val="none" w:sz="0" w:space="0" w:color="auto"/>
          </w:divBdr>
        </w:div>
        <w:div w:id="1943802629">
          <w:marLeft w:val="1134"/>
          <w:marRight w:val="0"/>
          <w:marTop w:val="60"/>
          <w:marBottom w:val="0"/>
          <w:divBdr>
            <w:top w:val="none" w:sz="0" w:space="0" w:color="auto"/>
            <w:left w:val="none" w:sz="0" w:space="0" w:color="auto"/>
            <w:bottom w:val="none" w:sz="0" w:space="0" w:color="auto"/>
            <w:right w:val="none" w:sz="0" w:space="0" w:color="auto"/>
          </w:divBdr>
        </w:div>
        <w:div w:id="1033270041">
          <w:marLeft w:val="1985"/>
          <w:marRight w:val="0"/>
          <w:marTop w:val="60"/>
          <w:marBottom w:val="0"/>
          <w:divBdr>
            <w:top w:val="none" w:sz="0" w:space="0" w:color="auto"/>
            <w:left w:val="none" w:sz="0" w:space="0" w:color="auto"/>
            <w:bottom w:val="none" w:sz="0" w:space="0" w:color="auto"/>
            <w:right w:val="none" w:sz="0" w:space="0" w:color="auto"/>
          </w:divBdr>
        </w:div>
        <w:div w:id="838538770">
          <w:marLeft w:val="1985"/>
          <w:marRight w:val="0"/>
          <w:marTop w:val="60"/>
          <w:marBottom w:val="0"/>
          <w:divBdr>
            <w:top w:val="none" w:sz="0" w:space="0" w:color="auto"/>
            <w:left w:val="none" w:sz="0" w:space="0" w:color="auto"/>
            <w:bottom w:val="none" w:sz="0" w:space="0" w:color="auto"/>
            <w:right w:val="none" w:sz="0" w:space="0" w:color="auto"/>
          </w:divBdr>
        </w:div>
        <w:div w:id="1195970752">
          <w:marLeft w:val="1985"/>
          <w:marRight w:val="0"/>
          <w:marTop w:val="60"/>
          <w:marBottom w:val="0"/>
          <w:divBdr>
            <w:top w:val="none" w:sz="0" w:space="0" w:color="auto"/>
            <w:left w:val="none" w:sz="0" w:space="0" w:color="auto"/>
            <w:bottom w:val="none" w:sz="0" w:space="0" w:color="auto"/>
            <w:right w:val="none" w:sz="0" w:space="0" w:color="auto"/>
          </w:divBdr>
        </w:div>
        <w:div w:id="443623426">
          <w:marLeft w:val="1134"/>
          <w:marRight w:val="0"/>
          <w:marTop w:val="60"/>
          <w:marBottom w:val="0"/>
          <w:divBdr>
            <w:top w:val="none" w:sz="0" w:space="0" w:color="auto"/>
            <w:left w:val="none" w:sz="0" w:space="0" w:color="auto"/>
            <w:bottom w:val="none" w:sz="0" w:space="0" w:color="auto"/>
            <w:right w:val="none" w:sz="0" w:space="0" w:color="auto"/>
          </w:divBdr>
        </w:div>
        <w:div w:id="1463226874">
          <w:marLeft w:val="1985"/>
          <w:marRight w:val="0"/>
          <w:marTop w:val="60"/>
          <w:marBottom w:val="0"/>
          <w:divBdr>
            <w:top w:val="none" w:sz="0" w:space="0" w:color="auto"/>
            <w:left w:val="none" w:sz="0" w:space="0" w:color="auto"/>
            <w:bottom w:val="none" w:sz="0" w:space="0" w:color="auto"/>
            <w:right w:val="none" w:sz="0" w:space="0" w:color="auto"/>
          </w:divBdr>
        </w:div>
        <w:div w:id="539436792">
          <w:marLeft w:val="1985"/>
          <w:marRight w:val="0"/>
          <w:marTop w:val="60"/>
          <w:marBottom w:val="0"/>
          <w:divBdr>
            <w:top w:val="none" w:sz="0" w:space="0" w:color="auto"/>
            <w:left w:val="none" w:sz="0" w:space="0" w:color="auto"/>
            <w:bottom w:val="none" w:sz="0" w:space="0" w:color="auto"/>
            <w:right w:val="none" w:sz="0" w:space="0" w:color="auto"/>
          </w:divBdr>
        </w:div>
        <w:div w:id="48651854">
          <w:marLeft w:val="1985"/>
          <w:marRight w:val="0"/>
          <w:marTop w:val="60"/>
          <w:marBottom w:val="0"/>
          <w:divBdr>
            <w:top w:val="none" w:sz="0" w:space="0" w:color="auto"/>
            <w:left w:val="none" w:sz="0" w:space="0" w:color="auto"/>
            <w:bottom w:val="none" w:sz="0" w:space="0" w:color="auto"/>
            <w:right w:val="none" w:sz="0" w:space="0" w:color="auto"/>
          </w:divBdr>
        </w:div>
        <w:div w:id="144859196">
          <w:marLeft w:val="1985"/>
          <w:marRight w:val="0"/>
          <w:marTop w:val="60"/>
          <w:marBottom w:val="0"/>
          <w:divBdr>
            <w:top w:val="none" w:sz="0" w:space="0" w:color="auto"/>
            <w:left w:val="none" w:sz="0" w:space="0" w:color="auto"/>
            <w:bottom w:val="none" w:sz="0" w:space="0" w:color="auto"/>
            <w:right w:val="none" w:sz="0" w:space="0" w:color="auto"/>
          </w:divBdr>
        </w:div>
        <w:div w:id="153449645">
          <w:marLeft w:val="0"/>
          <w:marRight w:val="0"/>
          <w:marTop w:val="120"/>
          <w:marBottom w:val="0"/>
          <w:divBdr>
            <w:top w:val="none" w:sz="0" w:space="0" w:color="auto"/>
            <w:left w:val="none" w:sz="0" w:space="0" w:color="auto"/>
            <w:bottom w:val="none" w:sz="0" w:space="0" w:color="auto"/>
            <w:right w:val="none" w:sz="0" w:space="0" w:color="auto"/>
          </w:divBdr>
        </w:div>
        <w:div w:id="959917473">
          <w:marLeft w:val="0"/>
          <w:marRight w:val="0"/>
          <w:marTop w:val="120"/>
          <w:marBottom w:val="0"/>
          <w:divBdr>
            <w:top w:val="none" w:sz="0" w:space="0" w:color="auto"/>
            <w:left w:val="none" w:sz="0" w:space="0" w:color="auto"/>
            <w:bottom w:val="none" w:sz="0" w:space="0" w:color="auto"/>
            <w:right w:val="none" w:sz="0" w:space="0" w:color="auto"/>
          </w:divBdr>
        </w:div>
        <w:div w:id="359740555">
          <w:marLeft w:val="1134"/>
          <w:marRight w:val="0"/>
          <w:marTop w:val="60"/>
          <w:marBottom w:val="0"/>
          <w:divBdr>
            <w:top w:val="none" w:sz="0" w:space="0" w:color="auto"/>
            <w:left w:val="none" w:sz="0" w:space="0" w:color="auto"/>
            <w:bottom w:val="none" w:sz="0" w:space="0" w:color="auto"/>
            <w:right w:val="none" w:sz="0" w:space="0" w:color="auto"/>
          </w:divBdr>
        </w:div>
        <w:div w:id="1632129715">
          <w:marLeft w:val="1134"/>
          <w:marRight w:val="0"/>
          <w:marTop w:val="60"/>
          <w:marBottom w:val="0"/>
          <w:divBdr>
            <w:top w:val="none" w:sz="0" w:space="0" w:color="auto"/>
            <w:left w:val="none" w:sz="0" w:space="0" w:color="auto"/>
            <w:bottom w:val="none" w:sz="0" w:space="0" w:color="auto"/>
            <w:right w:val="none" w:sz="0" w:space="0" w:color="auto"/>
          </w:divBdr>
        </w:div>
        <w:div w:id="1234659818">
          <w:marLeft w:val="0"/>
          <w:marRight w:val="0"/>
          <w:marTop w:val="120"/>
          <w:marBottom w:val="0"/>
          <w:divBdr>
            <w:top w:val="none" w:sz="0" w:space="0" w:color="auto"/>
            <w:left w:val="none" w:sz="0" w:space="0" w:color="auto"/>
            <w:bottom w:val="none" w:sz="0" w:space="0" w:color="auto"/>
            <w:right w:val="none" w:sz="0" w:space="0" w:color="auto"/>
          </w:divBdr>
        </w:div>
      </w:divsChild>
    </w:div>
    <w:div w:id="1792213221">
      <w:bodyDiv w:val="1"/>
      <w:marLeft w:val="0"/>
      <w:marRight w:val="0"/>
      <w:marTop w:val="0"/>
      <w:marBottom w:val="0"/>
      <w:divBdr>
        <w:top w:val="none" w:sz="0" w:space="0" w:color="auto"/>
        <w:left w:val="none" w:sz="0" w:space="0" w:color="auto"/>
        <w:bottom w:val="none" w:sz="0" w:space="0" w:color="auto"/>
        <w:right w:val="none" w:sz="0" w:space="0" w:color="auto"/>
      </w:divBdr>
    </w:div>
    <w:div w:id="1961837405">
      <w:bodyDiv w:val="1"/>
      <w:marLeft w:val="0"/>
      <w:marRight w:val="0"/>
      <w:marTop w:val="0"/>
      <w:marBottom w:val="0"/>
      <w:divBdr>
        <w:top w:val="none" w:sz="0" w:space="0" w:color="auto"/>
        <w:left w:val="none" w:sz="0" w:space="0" w:color="auto"/>
        <w:bottom w:val="none" w:sz="0" w:space="0" w:color="auto"/>
        <w:right w:val="none" w:sz="0" w:space="0" w:color="auto"/>
      </w:divBdr>
      <w:divsChild>
        <w:div w:id="1182747520">
          <w:marLeft w:val="0"/>
          <w:marRight w:val="0"/>
          <w:marTop w:val="0"/>
          <w:marBottom w:val="0"/>
          <w:divBdr>
            <w:top w:val="none" w:sz="0" w:space="0" w:color="auto"/>
            <w:left w:val="none" w:sz="0" w:space="0" w:color="auto"/>
            <w:bottom w:val="none" w:sz="0" w:space="0" w:color="auto"/>
            <w:right w:val="none" w:sz="0" w:space="0" w:color="auto"/>
          </w:divBdr>
        </w:div>
        <w:div w:id="385419372">
          <w:marLeft w:val="0"/>
          <w:marRight w:val="0"/>
          <w:marTop w:val="0"/>
          <w:marBottom w:val="0"/>
          <w:divBdr>
            <w:top w:val="none" w:sz="0" w:space="0" w:color="auto"/>
            <w:left w:val="none" w:sz="0" w:space="0" w:color="auto"/>
            <w:bottom w:val="none" w:sz="0" w:space="0" w:color="auto"/>
            <w:right w:val="none" w:sz="0" w:space="0" w:color="auto"/>
          </w:divBdr>
        </w:div>
        <w:div w:id="825753979">
          <w:marLeft w:val="0"/>
          <w:marRight w:val="0"/>
          <w:marTop w:val="0"/>
          <w:marBottom w:val="0"/>
          <w:divBdr>
            <w:top w:val="none" w:sz="0" w:space="0" w:color="auto"/>
            <w:left w:val="none" w:sz="0" w:space="0" w:color="auto"/>
            <w:bottom w:val="none" w:sz="0" w:space="0" w:color="auto"/>
            <w:right w:val="none" w:sz="0" w:space="0" w:color="auto"/>
          </w:divBdr>
        </w:div>
        <w:div w:id="1270628826">
          <w:marLeft w:val="0"/>
          <w:marRight w:val="0"/>
          <w:marTop w:val="0"/>
          <w:marBottom w:val="0"/>
          <w:divBdr>
            <w:top w:val="none" w:sz="0" w:space="0" w:color="auto"/>
            <w:left w:val="none" w:sz="0" w:space="0" w:color="auto"/>
            <w:bottom w:val="none" w:sz="0" w:space="0" w:color="auto"/>
            <w:right w:val="none" w:sz="0" w:space="0" w:color="auto"/>
          </w:divBdr>
        </w:div>
        <w:div w:id="1433623539">
          <w:marLeft w:val="0"/>
          <w:marRight w:val="0"/>
          <w:marTop w:val="0"/>
          <w:marBottom w:val="0"/>
          <w:divBdr>
            <w:top w:val="none" w:sz="0" w:space="0" w:color="auto"/>
            <w:left w:val="none" w:sz="0" w:space="0" w:color="auto"/>
            <w:bottom w:val="none" w:sz="0" w:space="0" w:color="auto"/>
            <w:right w:val="none" w:sz="0" w:space="0" w:color="auto"/>
          </w:divBdr>
        </w:div>
        <w:div w:id="632709773">
          <w:marLeft w:val="0"/>
          <w:marRight w:val="0"/>
          <w:marTop w:val="0"/>
          <w:marBottom w:val="0"/>
          <w:divBdr>
            <w:top w:val="none" w:sz="0" w:space="0" w:color="auto"/>
            <w:left w:val="none" w:sz="0" w:space="0" w:color="auto"/>
            <w:bottom w:val="none" w:sz="0" w:space="0" w:color="auto"/>
            <w:right w:val="none" w:sz="0" w:space="0" w:color="auto"/>
          </w:divBdr>
        </w:div>
        <w:div w:id="1573927122">
          <w:marLeft w:val="0"/>
          <w:marRight w:val="0"/>
          <w:marTop w:val="0"/>
          <w:marBottom w:val="0"/>
          <w:divBdr>
            <w:top w:val="none" w:sz="0" w:space="0" w:color="auto"/>
            <w:left w:val="none" w:sz="0" w:space="0" w:color="auto"/>
            <w:bottom w:val="none" w:sz="0" w:space="0" w:color="auto"/>
            <w:right w:val="none" w:sz="0" w:space="0" w:color="auto"/>
          </w:divBdr>
        </w:div>
        <w:div w:id="2018270921">
          <w:marLeft w:val="0"/>
          <w:marRight w:val="0"/>
          <w:marTop w:val="0"/>
          <w:marBottom w:val="0"/>
          <w:divBdr>
            <w:top w:val="none" w:sz="0" w:space="0" w:color="auto"/>
            <w:left w:val="none" w:sz="0" w:space="0" w:color="auto"/>
            <w:bottom w:val="none" w:sz="0" w:space="0" w:color="auto"/>
            <w:right w:val="none" w:sz="0" w:space="0" w:color="auto"/>
          </w:divBdr>
        </w:div>
        <w:div w:id="1445347542">
          <w:marLeft w:val="0"/>
          <w:marRight w:val="0"/>
          <w:marTop w:val="0"/>
          <w:marBottom w:val="0"/>
          <w:divBdr>
            <w:top w:val="none" w:sz="0" w:space="0" w:color="auto"/>
            <w:left w:val="none" w:sz="0" w:space="0" w:color="auto"/>
            <w:bottom w:val="none" w:sz="0" w:space="0" w:color="auto"/>
            <w:right w:val="none" w:sz="0" w:space="0" w:color="auto"/>
          </w:divBdr>
        </w:div>
      </w:divsChild>
    </w:div>
    <w:div w:id="2020034832">
      <w:bodyDiv w:val="1"/>
      <w:marLeft w:val="0"/>
      <w:marRight w:val="0"/>
      <w:marTop w:val="0"/>
      <w:marBottom w:val="0"/>
      <w:divBdr>
        <w:top w:val="none" w:sz="0" w:space="0" w:color="auto"/>
        <w:left w:val="none" w:sz="0" w:space="0" w:color="auto"/>
        <w:bottom w:val="none" w:sz="0" w:space="0" w:color="auto"/>
        <w:right w:val="none" w:sz="0" w:space="0" w:color="auto"/>
      </w:divBdr>
    </w:div>
    <w:div w:id="2057048877">
      <w:bodyDiv w:val="1"/>
      <w:marLeft w:val="0"/>
      <w:marRight w:val="0"/>
      <w:marTop w:val="0"/>
      <w:marBottom w:val="0"/>
      <w:divBdr>
        <w:top w:val="none" w:sz="0" w:space="0" w:color="auto"/>
        <w:left w:val="none" w:sz="0" w:space="0" w:color="auto"/>
        <w:bottom w:val="none" w:sz="0" w:space="0" w:color="auto"/>
        <w:right w:val="none" w:sz="0" w:space="0" w:color="auto"/>
      </w:divBdr>
    </w:div>
    <w:div w:id="21451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00DE-7D7A-40DB-8B19-C263E4D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3433</Words>
  <Characters>19574</Characters>
  <Application>Microsoft Office Word</Application>
  <DocSecurity>0</DocSecurity>
  <Lines>163</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Lewis</dc:creator>
  <cp:lastModifiedBy>Ayanda Mdletshe</cp:lastModifiedBy>
  <cp:revision>2</cp:revision>
  <cp:lastPrinted>2022-06-24T08:24:00Z</cp:lastPrinted>
  <dcterms:created xsi:type="dcterms:W3CDTF">2022-06-24T08:31:00Z</dcterms:created>
  <dcterms:modified xsi:type="dcterms:W3CDTF">2022-06-24T08:31:00Z</dcterms:modified>
</cp:coreProperties>
</file>