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ED" w:rsidRPr="00DF641F" w:rsidRDefault="00176CED" w:rsidP="007277A2">
      <w:pPr>
        <w:pStyle w:val="Heading1"/>
        <w:spacing w:before="0" w:after="0"/>
        <w:ind w:left="4125" w:right="1714" w:hanging="2513"/>
        <w:jc w:val="center"/>
        <w:rPr>
          <w:rFonts w:cs="Arial"/>
          <w:szCs w:val="24"/>
        </w:rPr>
      </w:pPr>
      <w:bookmarkStart w:id="0" w:name="_GoBack"/>
      <w:bookmarkEnd w:id="0"/>
      <w:r w:rsidRPr="00DF641F">
        <w:rPr>
          <w:rFonts w:cs="Arial"/>
          <w:noProof/>
          <w:szCs w:val="24"/>
          <w:lang w:eastAsia="en-ZA"/>
        </w:rPr>
        <w:drawing>
          <wp:inline distT="0" distB="0" distL="0" distR="0" wp14:anchorId="663AB1E5" wp14:editId="74C7977F">
            <wp:extent cx="799465" cy="914400"/>
            <wp:effectExtent l="0" t="0" r="635"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799465" cy="914400"/>
                    </a:xfrm>
                    <a:prstGeom prst="rect">
                      <a:avLst/>
                    </a:prstGeom>
                  </pic:spPr>
                </pic:pic>
              </a:graphicData>
            </a:graphic>
          </wp:inline>
        </w:drawing>
      </w:r>
    </w:p>
    <w:p w:rsidR="00176CED" w:rsidRPr="00DF641F" w:rsidRDefault="00176CED" w:rsidP="007277A2">
      <w:pPr>
        <w:pStyle w:val="Heading1"/>
        <w:spacing w:before="0" w:after="0"/>
        <w:ind w:right="-46"/>
        <w:jc w:val="center"/>
        <w:rPr>
          <w:rFonts w:cs="Arial"/>
          <w:szCs w:val="24"/>
        </w:rPr>
      </w:pPr>
      <w:r w:rsidRPr="00DF641F">
        <w:rPr>
          <w:rFonts w:cs="Arial"/>
          <w:szCs w:val="24"/>
        </w:rPr>
        <w:t xml:space="preserve">THE SUPREME COURT OF APPEAL OF SOUTH AFRICA </w:t>
      </w:r>
      <w:r w:rsidRPr="00DF641F">
        <w:rPr>
          <w:rFonts w:cs="Arial"/>
          <w:szCs w:val="24"/>
        </w:rPr>
        <w:br/>
        <w:t>JUDGMENT</w:t>
      </w:r>
    </w:p>
    <w:p w:rsidR="007277A2" w:rsidRPr="00DF641F" w:rsidRDefault="007277A2" w:rsidP="007277A2"/>
    <w:p w:rsidR="00176CED" w:rsidRPr="00DF641F" w:rsidRDefault="00176CED" w:rsidP="000F00C4">
      <w:pPr>
        <w:pStyle w:val="BodyText"/>
        <w:spacing w:before="1"/>
        <w:ind w:right="26"/>
        <w:jc w:val="right"/>
        <w:rPr>
          <w:rFonts w:cs="Arial"/>
          <w:b/>
          <w:szCs w:val="24"/>
        </w:rPr>
      </w:pPr>
      <w:r w:rsidRPr="00DF641F">
        <w:rPr>
          <w:rFonts w:cs="Arial"/>
          <w:b/>
          <w:szCs w:val="24"/>
        </w:rPr>
        <w:t>Non-reportable</w:t>
      </w:r>
    </w:p>
    <w:p w:rsidR="00176CED" w:rsidRPr="00DF641F" w:rsidRDefault="00176CED" w:rsidP="000F00C4">
      <w:pPr>
        <w:pStyle w:val="Heading2"/>
        <w:shd w:val="clear" w:color="auto" w:fill="FFFFFF"/>
        <w:spacing w:before="0"/>
        <w:ind w:left="5760" w:right="26" w:firstLine="720"/>
        <w:jc w:val="right"/>
        <w:rPr>
          <w:rFonts w:ascii="Arial" w:hAnsi="Arial" w:cs="Arial"/>
          <w:color w:val="auto"/>
          <w:sz w:val="24"/>
          <w:szCs w:val="24"/>
        </w:rPr>
      </w:pPr>
      <w:r w:rsidRPr="00DF641F">
        <w:rPr>
          <w:rFonts w:ascii="Arial" w:hAnsi="Arial" w:cs="Arial"/>
          <w:color w:val="auto"/>
          <w:sz w:val="24"/>
          <w:szCs w:val="24"/>
        </w:rPr>
        <w:t>Case</w:t>
      </w:r>
      <w:r w:rsidRPr="00DF641F">
        <w:rPr>
          <w:rFonts w:ascii="Arial" w:hAnsi="Arial" w:cs="Arial"/>
          <w:color w:val="auto"/>
          <w:spacing w:val="-3"/>
          <w:sz w:val="24"/>
          <w:szCs w:val="24"/>
        </w:rPr>
        <w:t xml:space="preserve"> </w:t>
      </w:r>
      <w:r w:rsidRPr="00DF641F">
        <w:rPr>
          <w:rFonts w:ascii="Arial" w:hAnsi="Arial" w:cs="Arial"/>
          <w:color w:val="auto"/>
          <w:sz w:val="24"/>
          <w:szCs w:val="24"/>
        </w:rPr>
        <w:t>No:</w:t>
      </w:r>
      <w:r w:rsidRPr="00DF641F">
        <w:rPr>
          <w:rFonts w:ascii="Arial" w:hAnsi="Arial" w:cs="Arial"/>
          <w:color w:val="auto"/>
          <w:spacing w:val="-5"/>
          <w:sz w:val="24"/>
          <w:szCs w:val="24"/>
        </w:rPr>
        <w:t xml:space="preserve"> </w:t>
      </w:r>
      <w:r w:rsidR="0016768D" w:rsidRPr="00DF641F">
        <w:rPr>
          <w:rFonts w:ascii="Arial" w:hAnsi="Arial" w:cs="Arial"/>
          <w:color w:val="auto"/>
          <w:spacing w:val="-5"/>
          <w:sz w:val="24"/>
          <w:szCs w:val="24"/>
        </w:rPr>
        <w:t>1107/2020</w:t>
      </w:r>
    </w:p>
    <w:tbl>
      <w:tblPr>
        <w:tblW w:w="9095" w:type="dxa"/>
        <w:tblInd w:w="-95" w:type="dxa"/>
        <w:tblLook w:val="04A0" w:firstRow="1" w:lastRow="0" w:firstColumn="1" w:lastColumn="0" w:noHBand="0" w:noVBand="1"/>
      </w:tblPr>
      <w:tblGrid>
        <w:gridCol w:w="6758"/>
        <w:gridCol w:w="2337"/>
      </w:tblGrid>
      <w:tr w:rsidR="000A0787" w:rsidRPr="00DF641F" w:rsidTr="000F00C4">
        <w:tc>
          <w:tcPr>
            <w:tcW w:w="6758" w:type="dxa"/>
            <w:hideMark/>
          </w:tcPr>
          <w:p w:rsidR="00176CED" w:rsidRPr="00DF641F" w:rsidRDefault="00176CED" w:rsidP="003B7288">
            <w:pPr>
              <w:ind w:right="28"/>
              <w:rPr>
                <w:rFonts w:eastAsia="Times New Roman" w:cs="Arial"/>
                <w:iCs/>
                <w:szCs w:val="24"/>
                <w:lang w:eastAsia="en-ZA"/>
              </w:rPr>
            </w:pPr>
            <w:r w:rsidRPr="00DF641F">
              <w:rPr>
                <w:rFonts w:eastAsia="Times New Roman" w:cs="Arial"/>
                <w:iCs/>
                <w:szCs w:val="24"/>
                <w:lang w:eastAsia="en-ZA"/>
              </w:rPr>
              <w:t>In the matter between:</w:t>
            </w:r>
          </w:p>
          <w:p w:rsidR="000949A2" w:rsidRPr="00DF641F" w:rsidRDefault="000949A2" w:rsidP="003B7288">
            <w:pPr>
              <w:ind w:right="28"/>
              <w:rPr>
                <w:rFonts w:eastAsia="Times New Roman" w:cs="Arial"/>
                <w:iCs/>
                <w:szCs w:val="24"/>
                <w:lang w:eastAsia="en-ZA"/>
              </w:rPr>
            </w:pPr>
          </w:p>
        </w:tc>
        <w:tc>
          <w:tcPr>
            <w:tcW w:w="2337" w:type="dxa"/>
          </w:tcPr>
          <w:p w:rsidR="00176CED" w:rsidRPr="00DF641F" w:rsidRDefault="00176CED" w:rsidP="003B7288">
            <w:pPr>
              <w:ind w:right="28"/>
              <w:rPr>
                <w:rFonts w:eastAsia="Times New Roman" w:cs="Arial"/>
                <w:iCs/>
                <w:szCs w:val="24"/>
                <w:lang w:eastAsia="en-ZA"/>
              </w:rPr>
            </w:pPr>
          </w:p>
        </w:tc>
      </w:tr>
      <w:tr w:rsidR="000A0787" w:rsidRPr="00DF641F" w:rsidTr="000F00C4">
        <w:tc>
          <w:tcPr>
            <w:tcW w:w="6758" w:type="dxa"/>
            <w:hideMark/>
          </w:tcPr>
          <w:p w:rsidR="00176CED" w:rsidRPr="00DF641F" w:rsidRDefault="0016768D" w:rsidP="003B7288">
            <w:pPr>
              <w:ind w:right="28"/>
              <w:rPr>
                <w:rFonts w:eastAsia="Times New Roman" w:cs="Arial"/>
                <w:b/>
                <w:iCs/>
                <w:caps/>
                <w:szCs w:val="24"/>
                <w:lang w:eastAsia="en-ZA"/>
              </w:rPr>
            </w:pPr>
            <w:r w:rsidRPr="00DF641F">
              <w:rPr>
                <w:rFonts w:eastAsia="Times New Roman" w:cs="Arial"/>
                <w:b/>
                <w:iCs/>
                <w:caps/>
                <w:szCs w:val="24"/>
                <w:lang w:eastAsia="en-ZA"/>
              </w:rPr>
              <w:t>AZWIFANELI GEORGE MPHANAMA</w:t>
            </w:r>
            <w:r w:rsidR="00176CED" w:rsidRPr="00DF641F">
              <w:rPr>
                <w:rFonts w:eastAsia="Times New Roman" w:cs="Arial"/>
                <w:b/>
                <w:iCs/>
                <w:caps/>
                <w:szCs w:val="24"/>
                <w:lang w:eastAsia="en-ZA"/>
              </w:rPr>
              <w:t xml:space="preserve"> </w:t>
            </w:r>
          </w:p>
        </w:tc>
        <w:tc>
          <w:tcPr>
            <w:tcW w:w="2337" w:type="dxa"/>
            <w:hideMark/>
          </w:tcPr>
          <w:p w:rsidR="00176CED" w:rsidRPr="00DF641F" w:rsidRDefault="008856C7" w:rsidP="000F00C4">
            <w:pPr>
              <w:ind w:right="-108"/>
              <w:jc w:val="right"/>
              <w:rPr>
                <w:rFonts w:eastAsia="Times New Roman" w:cs="Arial"/>
                <w:b/>
                <w:iCs/>
                <w:szCs w:val="24"/>
                <w:lang w:eastAsia="en-ZA"/>
              </w:rPr>
            </w:pPr>
            <w:r w:rsidRPr="00DF641F">
              <w:rPr>
                <w:rFonts w:eastAsia="Times New Roman" w:cs="Arial"/>
                <w:b/>
                <w:iCs/>
                <w:szCs w:val="24"/>
                <w:lang w:eastAsia="en-ZA"/>
              </w:rPr>
              <w:t>APPELLANT</w:t>
            </w:r>
          </w:p>
        </w:tc>
      </w:tr>
      <w:tr w:rsidR="00665905" w:rsidRPr="00DF641F" w:rsidTr="000F00C4">
        <w:tc>
          <w:tcPr>
            <w:tcW w:w="6758" w:type="dxa"/>
          </w:tcPr>
          <w:p w:rsidR="00665905" w:rsidRPr="00DF641F" w:rsidRDefault="00665905" w:rsidP="003B7288">
            <w:pPr>
              <w:ind w:right="28"/>
              <w:rPr>
                <w:rFonts w:eastAsia="Times New Roman" w:cs="Arial"/>
                <w:b/>
                <w:iCs/>
                <w:caps/>
                <w:szCs w:val="24"/>
                <w:lang w:eastAsia="en-ZA"/>
              </w:rPr>
            </w:pPr>
          </w:p>
        </w:tc>
        <w:tc>
          <w:tcPr>
            <w:tcW w:w="2337" w:type="dxa"/>
          </w:tcPr>
          <w:p w:rsidR="00665905" w:rsidRPr="00DF641F" w:rsidRDefault="00665905" w:rsidP="003B7288">
            <w:pPr>
              <w:ind w:right="28"/>
              <w:jc w:val="right"/>
              <w:rPr>
                <w:rFonts w:eastAsia="Times New Roman" w:cs="Arial"/>
                <w:iCs/>
                <w:szCs w:val="24"/>
                <w:lang w:eastAsia="en-ZA"/>
              </w:rPr>
            </w:pPr>
          </w:p>
        </w:tc>
      </w:tr>
      <w:tr w:rsidR="000A0787" w:rsidRPr="00DF641F" w:rsidTr="000F00C4">
        <w:tc>
          <w:tcPr>
            <w:tcW w:w="9095" w:type="dxa"/>
            <w:gridSpan w:val="2"/>
            <w:hideMark/>
          </w:tcPr>
          <w:p w:rsidR="00176CED" w:rsidRPr="00DF641F" w:rsidRDefault="00176CED" w:rsidP="003B7288">
            <w:pPr>
              <w:ind w:right="28"/>
              <w:rPr>
                <w:rFonts w:eastAsia="Times New Roman" w:cs="Arial"/>
                <w:iCs/>
                <w:szCs w:val="24"/>
                <w:lang w:eastAsia="en-ZA"/>
              </w:rPr>
            </w:pPr>
            <w:r w:rsidRPr="00DF641F">
              <w:rPr>
                <w:rFonts w:eastAsia="Times New Roman" w:cs="Arial"/>
                <w:iCs/>
                <w:szCs w:val="24"/>
                <w:lang w:eastAsia="en-ZA"/>
              </w:rPr>
              <w:t>and</w:t>
            </w:r>
          </w:p>
        </w:tc>
      </w:tr>
      <w:tr w:rsidR="00665905" w:rsidRPr="00DF641F" w:rsidTr="000F00C4">
        <w:tc>
          <w:tcPr>
            <w:tcW w:w="9095" w:type="dxa"/>
            <w:gridSpan w:val="2"/>
          </w:tcPr>
          <w:p w:rsidR="00665905" w:rsidRPr="00DF641F" w:rsidRDefault="00665905" w:rsidP="003B7288">
            <w:pPr>
              <w:ind w:right="28"/>
              <w:rPr>
                <w:rFonts w:eastAsia="Times New Roman" w:cs="Arial"/>
                <w:iCs/>
                <w:szCs w:val="24"/>
                <w:lang w:eastAsia="en-ZA"/>
              </w:rPr>
            </w:pPr>
          </w:p>
        </w:tc>
      </w:tr>
      <w:tr w:rsidR="000A0787" w:rsidRPr="00DF641F" w:rsidTr="000F00C4">
        <w:tc>
          <w:tcPr>
            <w:tcW w:w="6758" w:type="dxa"/>
            <w:hideMark/>
          </w:tcPr>
          <w:p w:rsidR="00176CED" w:rsidRPr="00DF641F" w:rsidRDefault="0016768D" w:rsidP="003B7288">
            <w:pPr>
              <w:ind w:right="28"/>
              <w:rPr>
                <w:rFonts w:eastAsia="Times New Roman" w:cs="Arial"/>
                <w:b/>
                <w:iCs/>
                <w:caps/>
                <w:szCs w:val="24"/>
                <w:lang w:eastAsia="en-ZA"/>
              </w:rPr>
            </w:pPr>
            <w:r w:rsidRPr="00DF641F">
              <w:rPr>
                <w:rFonts w:eastAsia="Times New Roman" w:cs="Arial"/>
                <w:b/>
                <w:iCs/>
                <w:caps/>
                <w:szCs w:val="24"/>
                <w:lang w:eastAsia="en-ZA"/>
              </w:rPr>
              <w:t>the state</w:t>
            </w:r>
          </w:p>
        </w:tc>
        <w:tc>
          <w:tcPr>
            <w:tcW w:w="2337" w:type="dxa"/>
            <w:hideMark/>
          </w:tcPr>
          <w:p w:rsidR="00176CED" w:rsidRPr="00DF641F" w:rsidRDefault="008856C7" w:rsidP="000F00C4">
            <w:pPr>
              <w:ind w:right="-108"/>
              <w:jc w:val="right"/>
              <w:rPr>
                <w:rFonts w:eastAsia="Times New Roman" w:cs="Arial"/>
                <w:b/>
                <w:iCs/>
                <w:szCs w:val="24"/>
                <w:lang w:eastAsia="en-ZA"/>
              </w:rPr>
            </w:pPr>
            <w:r w:rsidRPr="00DF641F">
              <w:rPr>
                <w:rFonts w:eastAsia="Times New Roman" w:cs="Arial"/>
                <w:b/>
                <w:iCs/>
                <w:szCs w:val="24"/>
                <w:lang w:eastAsia="en-ZA"/>
              </w:rPr>
              <w:t>RESPONDENT</w:t>
            </w:r>
          </w:p>
        </w:tc>
      </w:tr>
    </w:tbl>
    <w:p w:rsidR="006D18DD" w:rsidRPr="00DF641F" w:rsidRDefault="006D18DD" w:rsidP="006D18DD">
      <w:pPr>
        <w:pStyle w:val="BodyText"/>
        <w:spacing w:before="120"/>
        <w:ind w:left="2160" w:hanging="2160"/>
        <w:rPr>
          <w:rFonts w:cs="Arial"/>
          <w:b/>
          <w:szCs w:val="24"/>
        </w:rPr>
      </w:pPr>
    </w:p>
    <w:p w:rsidR="00176CED" w:rsidRPr="00DF641F" w:rsidRDefault="00176CED" w:rsidP="00B72B7F">
      <w:pPr>
        <w:pStyle w:val="BodyText"/>
        <w:spacing w:after="0"/>
        <w:ind w:left="2160" w:hanging="2160"/>
        <w:rPr>
          <w:bCs/>
        </w:rPr>
      </w:pPr>
      <w:r w:rsidRPr="00DF641F">
        <w:rPr>
          <w:rFonts w:cs="Arial"/>
          <w:b/>
          <w:szCs w:val="24"/>
        </w:rPr>
        <w:t>Neutral citation:</w:t>
      </w:r>
      <w:r w:rsidRPr="00DF641F">
        <w:rPr>
          <w:rFonts w:cs="Arial"/>
          <w:szCs w:val="24"/>
        </w:rPr>
        <w:tab/>
      </w:r>
      <w:r w:rsidR="006D18DD" w:rsidRPr="00DF641F">
        <w:rPr>
          <w:bCs/>
          <w:i/>
        </w:rPr>
        <w:t xml:space="preserve">Mphanama v The State </w:t>
      </w:r>
      <w:r w:rsidR="006D18DD" w:rsidRPr="00DF641F">
        <w:rPr>
          <w:bCs/>
        </w:rPr>
        <w:t>(1107/2020) [202</w:t>
      </w:r>
      <w:r w:rsidR="00837C58">
        <w:rPr>
          <w:bCs/>
        </w:rPr>
        <w:t>2</w:t>
      </w:r>
      <w:r w:rsidR="006D18DD" w:rsidRPr="00DF641F">
        <w:rPr>
          <w:bCs/>
        </w:rPr>
        <w:t xml:space="preserve">] ZASCA </w:t>
      </w:r>
      <w:r w:rsidR="00837C58">
        <w:rPr>
          <w:bCs/>
        </w:rPr>
        <w:t>11</w:t>
      </w:r>
      <w:r w:rsidR="006D18DD" w:rsidRPr="00DF641F">
        <w:rPr>
          <w:bCs/>
        </w:rPr>
        <w:t xml:space="preserve"> (</w:t>
      </w:r>
      <w:r w:rsidR="00837C58">
        <w:rPr>
          <w:bCs/>
        </w:rPr>
        <w:t>24</w:t>
      </w:r>
      <w:r w:rsidR="006D18DD" w:rsidRPr="00DF641F">
        <w:rPr>
          <w:bCs/>
        </w:rPr>
        <w:t xml:space="preserve"> </w:t>
      </w:r>
      <w:r w:rsidR="00155E2F" w:rsidRPr="00DF641F">
        <w:rPr>
          <w:bCs/>
        </w:rPr>
        <w:t>January 2022</w:t>
      </w:r>
      <w:r w:rsidR="006D18DD" w:rsidRPr="00DF641F">
        <w:rPr>
          <w:bCs/>
        </w:rPr>
        <w:t>)</w:t>
      </w:r>
    </w:p>
    <w:p w:rsidR="00B72B7F" w:rsidRPr="00DF641F" w:rsidRDefault="00B72B7F" w:rsidP="00B72B7F">
      <w:pPr>
        <w:pStyle w:val="BodyText"/>
        <w:spacing w:after="0"/>
        <w:ind w:left="2160" w:hanging="2160"/>
        <w:rPr>
          <w:bCs/>
        </w:rPr>
      </w:pPr>
    </w:p>
    <w:p w:rsidR="00176CED" w:rsidRPr="00DF641F" w:rsidRDefault="00176CED" w:rsidP="006D18DD">
      <w:pPr>
        <w:spacing w:before="120" w:after="120"/>
        <w:rPr>
          <w:rFonts w:cs="Arial"/>
          <w:szCs w:val="24"/>
        </w:rPr>
      </w:pPr>
      <w:r w:rsidRPr="00DF641F">
        <w:rPr>
          <w:rFonts w:cs="Arial"/>
          <w:b/>
          <w:szCs w:val="24"/>
        </w:rPr>
        <w:t>Coram:</w:t>
      </w:r>
      <w:r w:rsidRPr="00DF641F">
        <w:rPr>
          <w:rFonts w:cs="Arial"/>
          <w:szCs w:val="24"/>
        </w:rPr>
        <w:tab/>
      </w:r>
      <w:r w:rsidRPr="00DF641F">
        <w:rPr>
          <w:rFonts w:cs="Arial"/>
          <w:szCs w:val="24"/>
        </w:rPr>
        <w:tab/>
      </w:r>
      <w:r w:rsidR="006D18DD" w:rsidRPr="00DF641F">
        <w:rPr>
          <w:rFonts w:cs="Arial"/>
          <w:szCs w:val="24"/>
        </w:rPr>
        <w:t>Zondi and Hughes JJA and</w:t>
      </w:r>
      <w:r w:rsidR="005C5F53" w:rsidRPr="00DF641F">
        <w:rPr>
          <w:rFonts w:cs="Arial"/>
          <w:szCs w:val="24"/>
        </w:rPr>
        <w:t xml:space="preserve"> Weiner, </w:t>
      </w:r>
      <w:r w:rsidR="00155E2F" w:rsidRPr="00DF641F">
        <w:rPr>
          <w:rFonts w:cs="Arial"/>
          <w:szCs w:val="24"/>
        </w:rPr>
        <w:t xml:space="preserve">Unterhalter and </w:t>
      </w:r>
      <w:r w:rsidR="005C5F53" w:rsidRPr="00DF641F">
        <w:rPr>
          <w:rFonts w:cs="Arial"/>
          <w:szCs w:val="24"/>
        </w:rPr>
        <w:t>Molefe AJJA</w:t>
      </w:r>
    </w:p>
    <w:p w:rsidR="006D18DD" w:rsidRPr="00DF641F" w:rsidRDefault="006D18DD" w:rsidP="006D18DD">
      <w:pPr>
        <w:rPr>
          <w:rFonts w:cs="Arial"/>
          <w:szCs w:val="24"/>
        </w:rPr>
      </w:pPr>
    </w:p>
    <w:p w:rsidR="00176CED" w:rsidRPr="00DF641F" w:rsidRDefault="00176CED" w:rsidP="006D18DD">
      <w:pPr>
        <w:ind w:left="2160" w:hanging="2160"/>
        <w:rPr>
          <w:rFonts w:cs="Arial"/>
          <w:szCs w:val="24"/>
        </w:rPr>
      </w:pPr>
      <w:r w:rsidRPr="00DF641F">
        <w:rPr>
          <w:rFonts w:cs="Arial"/>
          <w:b/>
          <w:szCs w:val="24"/>
        </w:rPr>
        <w:t>Delivered:</w:t>
      </w:r>
      <w:r w:rsidRPr="00DF641F">
        <w:rPr>
          <w:rFonts w:cs="Arial"/>
          <w:szCs w:val="24"/>
        </w:rPr>
        <w:tab/>
        <w:t>This judgment was handed down electronically by circulation to the parties' representatives via email, publication on the Supreme Court of Appeal website and release to SAFLII. The date and time for hand-down is deemed to be 1</w:t>
      </w:r>
      <w:r w:rsidR="00393FF7">
        <w:rPr>
          <w:rFonts w:cs="Arial"/>
          <w:szCs w:val="24"/>
        </w:rPr>
        <w:t>1</w:t>
      </w:r>
      <w:r w:rsidRPr="00DF641F">
        <w:rPr>
          <w:rFonts w:cs="Arial"/>
          <w:szCs w:val="24"/>
        </w:rPr>
        <w:t xml:space="preserve">h00 on </w:t>
      </w:r>
      <w:r w:rsidR="00393FF7">
        <w:rPr>
          <w:rFonts w:cs="Arial"/>
          <w:szCs w:val="24"/>
        </w:rPr>
        <w:t>24 January</w:t>
      </w:r>
      <w:r w:rsidR="006D18DD" w:rsidRPr="00DF641F">
        <w:rPr>
          <w:rFonts w:cs="Arial"/>
          <w:szCs w:val="24"/>
        </w:rPr>
        <w:t xml:space="preserve"> 202</w:t>
      </w:r>
      <w:r w:rsidR="00393FF7">
        <w:rPr>
          <w:rFonts w:cs="Arial"/>
          <w:szCs w:val="24"/>
        </w:rPr>
        <w:t>2</w:t>
      </w:r>
      <w:r w:rsidR="006D18DD" w:rsidRPr="00DF641F">
        <w:rPr>
          <w:rFonts w:cs="Arial"/>
          <w:szCs w:val="24"/>
        </w:rPr>
        <w:t>.</w:t>
      </w:r>
    </w:p>
    <w:p w:rsidR="006D18DD" w:rsidRPr="00DF641F" w:rsidRDefault="006D18DD" w:rsidP="006D18DD">
      <w:pPr>
        <w:ind w:left="2160" w:hanging="2160"/>
        <w:rPr>
          <w:rFonts w:cs="Arial"/>
          <w:szCs w:val="24"/>
        </w:rPr>
      </w:pPr>
    </w:p>
    <w:p w:rsidR="002831D5" w:rsidRPr="00DF641F" w:rsidRDefault="002831D5" w:rsidP="006D18DD">
      <w:pPr>
        <w:ind w:left="2160" w:hanging="2160"/>
        <w:rPr>
          <w:rFonts w:cs="Arial"/>
          <w:szCs w:val="24"/>
        </w:rPr>
      </w:pPr>
      <w:r w:rsidRPr="00DF641F">
        <w:rPr>
          <w:rFonts w:cs="Arial"/>
          <w:b/>
          <w:szCs w:val="24"/>
        </w:rPr>
        <w:t>Summary:</w:t>
      </w:r>
      <w:r w:rsidRPr="00DF641F">
        <w:rPr>
          <w:rFonts w:cs="Arial"/>
          <w:szCs w:val="24"/>
        </w:rPr>
        <w:tab/>
      </w:r>
      <w:r w:rsidR="006D18DD" w:rsidRPr="00DF641F">
        <w:rPr>
          <w:rFonts w:cs="Arial"/>
          <w:szCs w:val="24"/>
        </w:rPr>
        <w:t>Criminal law –</w:t>
      </w:r>
      <w:r w:rsidR="00947FE4" w:rsidRPr="00DF641F">
        <w:rPr>
          <w:rFonts w:cs="Arial"/>
          <w:szCs w:val="24"/>
        </w:rPr>
        <w:t xml:space="preserve"> fraud </w:t>
      </w:r>
      <w:r w:rsidR="006D18DD" w:rsidRPr="00DF641F">
        <w:rPr>
          <w:rFonts w:cs="Arial"/>
          <w:szCs w:val="24"/>
        </w:rPr>
        <w:t>–</w:t>
      </w:r>
      <w:r w:rsidRPr="00DF641F">
        <w:rPr>
          <w:rFonts w:cs="Arial"/>
          <w:szCs w:val="24"/>
        </w:rPr>
        <w:t xml:space="preserve"> submission by appellant, a </w:t>
      </w:r>
      <w:r w:rsidR="00947FE4" w:rsidRPr="00DF641F">
        <w:rPr>
          <w:rFonts w:cs="Arial"/>
          <w:szCs w:val="24"/>
        </w:rPr>
        <w:t>m</w:t>
      </w:r>
      <w:r w:rsidRPr="00DF641F">
        <w:rPr>
          <w:rFonts w:cs="Arial"/>
          <w:szCs w:val="24"/>
        </w:rPr>
        <w:t>agistrate</w:t>
      </w:r>
      <w:r w:rsidR="00947FE4" w:rsidRPr="00DF641F">
        <w:rPr>
          <w:rFonts w:cs="Arial"/>
          <w:szCs w:val="24"/>
        </w:rPr>
        <w:t>,</w:t>
      </w:r>
      <w:r w:rsidRPr="00DF641F">
        <w:rPr>
          <w:rFonts w:cs="Arial"/>
          <w:szCs w:val="24"/>
        </w:rPr>
        <w:t xml:space="preserve"> of false claims in terms of</w:t>
      </w:r>
      <w:r w:rsidR="006D18DD" w:rsidRPr="00DF641F">
        <w:rPr>
          <w:rFonts w:cs="Arial"/>
          <w:szCs w:val="24"/>
        </w:rPr>
        <w:t xml:space="preserve"> motor vehicle benefit scheme –</w:t>
      </w:r>
      <w:r w:rsidR="00155E2F" w:rsidRPr="00DF641F">
        <w:rPr>
          <w:rFonts w:cs="Arial"/>
          <w:szCs w:val="24"/>
        </w:rPr>
        <w:t xml:space="preserve"> prima facie evidence</w:t>
      </w:r>
      <w:r w:rsidRPr="00DF641F">
        <w:rPr>
          <w:rFonts w:cs="Arial"/>
          <w:szCs w:val="24"/>
        </w:rPr>
        <w:t>– approach of court discussed – appellant choosing not to testify – court finding that he had a case to answer. Defeating/obstructing the course of justice – reducing traffic fine before trial after prosecutor refused to do so</w:t>
      </w:r>
      <w:r w:rsidR="00947FE4" w:rsidRPr="00DF641F">
        <w:rPr>
          <w:rFonts w:cs="Arial"/>
          <w:szCs w:val="24"/>
        </w:rPr>
        <w:t xml:space="preserve"> –</w:t>
      </w:r>
      <w:r w:rsidRPr="00DF641F">
        <w:rPr>
          <w:rFonts w:cs="Arial"/>
          <w:szCs w:val="24"/>
        </w:rPr>
        <w:t xml:space="preserve"> not proven beyond a reasonable doubt</w:t>
      </w:r>
      <w:r w:rsidR="00947FE4" w:rsidRPr="00DF641F">
        <w:rPr>
          <w:rFonts w:cs="Arial"/>
          <w:szCs w:val="24"/>
        </w:rPr>
        <w:t>.</w:t>
      </w:r>
    </w:p>
    <w:tbl>
      <w:tblPr>
        <w:tblW w:w="90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00"/>
      </w:tblGrid>
      <w:tr w:rsidR="000A0787" w:rsidRPr="00DF641F" w:rsidTr="000F00C4">
        <w:tc>
          <w:tcPr>
            <w:tcW w:w="9000" w:type="dxa"/>
            <w:tcBorders>
              <w:top w:val="single" w:sz="4" w:space="0" w:color="auto"/>
              <w:left w:val="nil"/>
              <w:bottom w:val="single" w:sz="4" w:space="0" w:color="auto"/>
              <w:right w:val="nil"/>
            </w:tcBorders>
            <w:hideMark/>
          </w:tcPr>
          <w:p w:rsidR="00176CED" w:rsidRPr="00DF641F" w:rsidRDefault="00176CED" w:rsidP="00E01D72">
            <w:pPr>
              <w:spacing w:before="480" w:after="480" w:line="240" w:lineRule="exact"/>
              <w:ind w:right="28"/>
              <w:jc w:val="center"/>
              <w:rPr>
                <w:rFonts w:eastAsia="Times New Roman" w:cs="Arial"/>
                <w:b/>
                <w:i/>
                <w:iCs/>
                <w:szCs w:val="24"/>
                <w:lang w:eastAsia="en-ZA"/>
              </w:rPr>
            </w:pPr>
            <w:r w:rsidRPr="00DF641F">
              <w:rPr>
                <w:rFonts w:eastAsia="Times New Roman" w:cs="Arial"/>
                <w:b/>
                <w:iCs/>
                <w:szCs w:val="24"/>
                <w:lang w:eastAsia="en-ZA"/>
              </w:rPr>
              <w:lastRenderedPageBreak/>
              <w:t xml:space="preserve">ORDER </w:t>
            </w:r>
          </w:p>
        </w:tc>
      </w:tr>
    </w:tbl>
    <w:p w:rsidR="00176CED" w:rsidRPr="00DF641F" w:rsidRDefault="00176CED" w:rsidP="003B7288">
      <w:pPr>
        <w:pStyle w:val="Heading1"/>
        <w:rPr>
          <w:rFonts w:cs="Arial"/>
          <w:b w:val="0"/>
          <w:szCs w:val="24"/>
        </w:rPr>
      </w:pPr>
      <w:r w:rsidRPr="00DF641F">
        <w:rPr>
          <w:rFonts w:cs="Arial"/>
          <w:szCs w:val="24"/>
        </w:rPr>
        <w:t>On appeal from:</w:t>
      </w:r>
      <w:r w:rsidRPr="00DF641F">
        <w:rPr>
          <w:rFonts w:cs="Arial"/>
          <w:b w:val="0"/>
          <w:szCs w:val="24"/>
        </w:rPr>
        <w:t xml:space="preserve"> </w:t>
      </w:r>
      <w:r w:rsidR="00614626" w:rsidRPr="00DF641F">
        <w:rPr>
          <w:rFonts w:cs="Arial"/>
          <w:b w:val="0"/>
          <w:szCs w:val="24"/>
        </w:rPr>
        <w:t>Full Court of Limpopo Division</w:t>
      </w:r>
      <w:r w:rsidR="00954F99" w:rsidRPr="00DF641F">
        <w:rPr>
          <w:rFonts w:cs="Arial"/>
          <w:b w:val="0"/>
          <w:szCs w:val="24"/>
        </w:rPr>
        <w:t xml:space="preserve"> of the High Court</w:t>
      </w:r>
      <w:r w:rsidR="00614626" w:rsidRPr="00DF641F">
        <w:rPr>
          <w:rFonts w:cs="Arial"/>
          <w:b w:val="0"/>
          <w:szCs w:val="24"/>
        </w:rPr>
        <w:t>, Polokwane</w:t>
      </w:r>
      <w:r w:rsidR="0077734E" w:rsidRPr="00DF641F">
        <w:rPr>
          <w:rFonts w:cs="Arial"/>
          <w:b w:val="0"/>
          <w:szCs w:val="24"/>
        </w:rPr>
        <w:t xml:space="preserve"> (Semenya J, Makgoba JP and Kaganyago J concurring):</w:t>
      </w:r>
    </w:p>
    <w:p w:rsidR="00650B77" w:rsidRPr="00DF641F" w:rsidRDefault="006D18DD" w:rsidP="006D18DD">
      <w:pPr>
        <w:rPr>
          <w:rFonts w:cs="Arial"/>
          <w:szCs w:val="24"/>
          <w:shd w:val="clear" w:color="auto" w:fill="FFFFFF"/>
        </w:rPr>
      </w:pPr>
      <w:r w:rsidRPr="00DF641F">
        <w:rPr>
          <w:rFonts w:cs="Arial"/>
          <w:szCs w:val="24"/>
          <w:shd w:val="clear" w:color="auto" w:fill="FFFFFF"/>
        </w:rPr>
        <w:t>1</w:t>
      </w:r>
      <w:r w:rsidRPr="00DF641F">
        <w:rPr>
          <w:rFonts w:cs="Arial"/>
          <w:szCs w:val="24"/>
          <w:shd w:val="clear" w:color="auto" w:fill="FFFFFF"/>
        </w:rPr>
        <w:tab/>
      </w:r>
      <w:r w:rsidR="00650B77" w:rsidRPr="00DF641F">
        <w:rPr>
          <w:rFonts w:cs="Arial"/>
          <w:szCs w:val="24"/>
          <w:shd w:val="clear" w:color="auto" w:fill="FFFFFF"/>
        </w:rPr>
        <w:t>The appeal against the convictions on counts 15</w:t>
      </w:r>
      <w:r w:rsidR="00B5091B" w:rsidRPr="00DF641F">
        <w:rPr>
          <w:rFonts w:cs="Arial"/>
          <w:szCs w:val="24"/>
          <w:shd w:val="clear" w:color="auto" w:fill="FFFFFF"/>
        </w:rPr>
        <w:t xml:space="preserve"> – </w:t>
      </w:r>
      <w:r w:rsidR="00650B77" w:rsidRPr="00DF641F">
        <w:rPr>
          <w:rFonts w:cs="Arial"/>
          <w:szCs w:val="24"/>
          <w:shd w:val="clear" w:color="auto" w:fill="FFFFFF"/>
        </w:rPr>
        <w:t>18 is dismissed.</w:t>
      </w:r>
    </w:p>
    <w:p w:rsidR="00650B77" w:rsidRPr="00DF641F" w:rsidRDefault="006D18DD" w:rsidP="000F00C4">
      <w:pPr>
        <w:ind w:left="720" w:hanging="720"/>
        <w:rPr>
          <w:rFonts w:cs="Arial"/>
          <w:szCs w:val="24"/>
          <w:shd w:val="clear" w:color="auto" w:fill="FFFFFF"/>
        </w:rPr>
      </w:pPr>
      <w:r w:rsidRPr="00DF641F">
        <w:rPr>
          <w:rFonts w:cs="Arial"/>
          <w:szCs w:val="24"/>
          <w:shd w:val="clear" w:color="auto" w:fill="FFFFFF"/>
        </w:rPr>
        <w:t>2</w:t>
      </w:r>
      <w:r w:rsidRPr="00DF641F">
        <w:rPr>
          <w:rFonts w:cs="Arial"/>
          <w:szCs w:val="24"/>
          <w:shd w:val="clear" w:color="auto" w:fill="FFFFFF"/>
        </w:rPr>
        <w:tab/>
      </w:r>
      <w:r w:rsidR="00650B77" w:rsidRPr="00DF641F">
        <w:rPr>
          <w:rFonts w:cs="Arial"/>
          <w:szCs w:val="24"/>
          <w:shd w:val="clear" w:color="auto" w:fill="FFFFFF"/>
        </w:rPr>
        <w:t xml:space="preserve">The appeal against the conviction on count 21 is upheld and the conviction is set aside. </w:t>
      </w:r>
    </w:p>
    <w:p w:rsidR="00671E47" w:rsidRPr="00DF641F" w:rsidRDefault="00671E47" w:rsidP="00CC2949">
      <w:pPr>
        <w:rPr>
          <w:rFonts w:cs="Arial"/>
          <w:szCs w:val="24"/>
          <w:shd w:val="clear" w:color="auto" w:fill="FFFFFF"/>
        </w:rPr>
      </w:pPr>
    </w:p>
    <w:tbl>
      <w:tblPr>
        <w:tblW w:w="90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00"/>
      </w:tblGrid>
      <w:tr w:rsidR="000A0787" w:rsidRPr="00DF641F" w:rsidTr="000F00C4">
        <w:tc>
          <w:tcPr>
            <w:tcW w:w="9000" w:type="dxa"/>
            <w:tcBorders>
              <w:top w:val="single" w:sz="4" w:space="0" w:color="auto"/>
              <w:left w:val="nil"/>
              <w:bottom w:val="single" w:sz="4" w:space="0" w:color="auto"/>
              <w:right w:val="nil"/>
            </w:tcBorders>
            <w:hideMark/>
          </w:tcPr>
          <w:p w:rsidR="00176CED" w:rsidRPr="00DF641F" w:rsidRDefault="00176CED" w:rsidP="007277A2">
            <w:pPr>
              <w:spacing w:before="240" w:after="480" w:line="240" w:lineRule="exact"/>
              <w:ind w:right="28"/>
              <w:jc w:val="center"/>
              <w:rPr>
                <w:rFonts w:eastAsia="Times New Roman" w:cs="Arial"/>
                <w:b/>
                <w:i/>
                <w:iCs/>
                <w:szCs w:val="24"/>
                <w:lang w:eastAsia="en-ZA"/>
              </w:rPr>
            </w:pPr>
            <w:r w:rsidRPr="00DF641F">
              <w:rPr>
                <w:rFonts w:eastAsia="Times New Roman" w:cs="Arial"/>
                <w:b/>
                <w:iCs/>
                <w:szCs w:val="24"/>
                <w:lang w:eastAsia="en-ZA"/>
              </w:rPr>
              <w:t xml:space="preserve">JUDGMENT </w:t>
            </w:r>
          </w:p>
        </w:tc>
      </w:tr>
    </w:tbl>
    <w:p w:rsidR="00B72B7F" w:rsidRPr="00DF641F" w:rsidRDefault="00B72B7F" w:rsidP="00B72B7F">
      <w:pPr>
        <w:pStyle w:val="Heading1"/>
        <w:spacing w:before="0" w:after="0"/>
        <w:rPr>
          <w:rFonts w:cs="Arial"/>
          <w:szCs w:val="24"/>
        </w:rPr>
      </w:pPr>
    </w:p>
    <w:p w:rsidR="00176CED" w:rsidRPr="00DF641F" w:rsidRDefault="00176CED" w:rsidP="00B72B7F">
      <w:pPr>
        <w:pStyle w:val="Heading1"/>
        <w:spacing w:before="0" w:after="0"/>
        <w:rPr>
          <w:rFonts w:cs="Arial"/>
          <w:szCs w:val="24"/>
        </w:rPr>
      </w:pPr>
      <w:r w:rsidRPr="00DF641F">
        <w:rPr>
          <w:rFonts w:cs="Arial"/>
          <w:szCs w:val="24"/>
        </w:rPr>
        <w:t xml:space="preserve">Weiner </w:t>
      </w:r>
      <w:r w:rsidR="00952C6B" w:rsidRPr="00DF641F">
        <w:rPr>
          <w:rFonts w:cs="Arial"/>
          <w:szCs w:val="24"/>
        </w:rPr>
        <w:t>A</w:t>
      </w:r>
      <w:r w:rsidRPr="00DF641F">
        <w:rPr>
          <w:rFonts w:cs="Arial"/>
          <w:szCs w:val="24"/>
        </w:rPr>
        <w:t>J (</w:t>
      </w:r>
      <w:r w:rsidR="00E3740F" w:rsidRPr="00DF641F">
        <w:rPr>
          <w:rFonts w:cs="Arial"/>
          <w:szCs w:val="24"/>
        </w:rPr>
        <w:t xml:space="preserve">Zondi, </w:t>
      </w:r>
      <w:r w:rsidR="00AC3664" w:rsidRPr="00DF641F">
        <w:rPr>
          <w:rFonts w:cs="Arial"/>
          <w:szCs w:val="24"/>
        </w:rPr>
        <w:t>H</w:t>
      </w:r>
      <w:r w:rsidR="00E3740F" w:rsidRPr="00DF641F">
        <w:rPr>
          <w:rFonts w:cs="Arial"/>
          <w:szCs w:val="24"/>
        </w:rPr>
        <w:t>ug</w:t>
      </w:r>
      <w:r w:rsidR="00CC2949" w:rsidRPr="00DF641F">
        <w:rPr>
          <w:rFonts w:cs="Arial"/>
          <w:szCs w:val="24"/>
        </w:rPr>
        <w:t>h</w:t>
      </w:r>
      <w:r w:rsidR="00E3740F" w:rsidRPr="00DF641F">
        <w:rPr>
          <w:rFonts w:cs="Arial"/>
          <w:szCs w:val="24"/>
        </w:rPr>
        <w:t>es JJA</w:t>
      </w:r>
      <w:r w:rsidR="00155E2F" w:rsidRPr="00DF641F">
        <w:rPr>
          <w:rFonts w:cs="Arial"/>
          <w:szCs w:val="24"/>
        </w:rPr>
        <w:t>,</w:t>
      </w:r>
      <w:r w:rsidR="00E3740F" w:rsidRPr="00DF641F">
        <w:rPr>
          <w:rFonts w:cs="Arial"/>
          <w:szCs w:val="24"/>
        </w:rPr>
        <w:t xml:space="preserve"> Molefe</w:t>
      </w:r>
      <w:r w:rsidR="00952C6B" w:rsidRPr="00DF641F">
        <w:rPr>
          <w:rFonts w:cs="Arial"/>
          <w:szCs w:val="24"/>
        </w:rPr>
        <w:t xml:space="preserve"> </w:t>
      </w:r>
      <w:r w:rsidR="00155E2F" w:rsidRPr="00DF641F">
        <w:rPr>
          <w:rFonts w:cs="Arial"/>
          <w:szCs w:val="24"/>
        </w:rPr>
        <w:t xml:space="preserve">and Unterhalter </w:t>
      </w:r>
      <w:r w:rsidR="00952C6B" w:rsidRPr="00DF641F">
        <w:rPr>
          <w:rFonts w:cs="Arial"/>
          <w:szCs w:val="24"/>
        </w:rPr>
        <w:t>A</w:t>
      </w:r>
      <w:r w:rsidR="00E3740F" w:rsidRPr="00DF641F">
        <w:rPr>
          <w:rFonts w:cs="Arial"/>
          <w:szCs w:val="24"/>
        </w:rPr>
        <w:t>J</w:t>
      </w:r>
      <w:r w:rsidR="00952C6B" w:rsidRPr="00DF641F">
        <w:rPr>
          <w:rFonts w:cs="Arial"/>
          <w:szCs w:val="24"/>
        </w:rPr>
        <w:t xml:space="preserve">JA </w:t>
      </w:r>
      <w:r w:rsidRPr="00DF641F">
        <w:rPr>
          <w:rFonts w:cs="Arial"/>
          <w:szCs w:val="24"/>
        </w:rPr>
        <w:t>concurring)</w:t>
      </w:r>
    </w:p>
    <w:p w:rsidR="00176CED" w:rsidRPr="00DF641F" w:rsidRDefault="00176CED" w:rsidP="00952C6B">
      <w:pPr>
        <w:spacing w:before="240"/>
        <w:rPr>
          <w:rFonts w:cs="Arial"/>
          <w:b/>
          <w:szCs w:val="24"/>
        </w:rPr>
      </w:pPr>
      <w:r w:rsidRPr="00DF641F">
        <w:rPr>
          <w:rFonts w:cs="Arial"/>
          <w:b/>
          <w:szCs w:val="24"/>
        </w:rPr>
        <w:t>Introduction</w:t>
      </w:r>
    </w:p>
    <w:p w:rsidR="005C5F53" w:rsidRPr="00DF641F" w:rsidRDefault="003C27E4" w:rsidP="00952C6B">
      <w:pPr>
        <w:rPr>
          <w:rFonts w:cs="Arial"/>
          <w:szCs w:val="24"/>
          <w:shd w:val="clear" w:color="auto" w:fill="FFFFFF"/>
        </w:rPr>
      </w:pPr>
      <w:r w:rsidRPr="00DF641F">
        <w:rPr>
          <w:rFonts w:cs="Arial"/>
          <w:szCs w:val="24"/>
        </w:rPr>
        <w:t>[1]</w:t>
      </w:r>
      <w:r w:rsidRPr="00DF641F">
        <w:rPr>
          <w:rFonts w:cs="Arial"/>
          <w:szCs w:val="24"/>
        </w:rPr>
        <w:tab/>
      </w:r>
      <w:r w:rsidR="00AE628F" w:rsidRPr="00DF641F">
        <w:rPr>
          <w:rFonts w:cs="Arial"/>
          <w:szCs w:val="24"/>
        </w:rPr>
        <w:t>The appellant</w:t>
      </w:r>
      <w:r w:rsidR="00665905" w:rsidRPr="00DF641F">
        <w:rPr>
          <w:rFonts w:cs="Arial"/>
          <w:szCs w:val="24"/>
        </w:rPr>
        <w:t>, Azwifaneli Mphanama,</w:t>
      </w:r>
      <w:r w:rsidR="00AE628F" w:rsidRPr="00DF641F">
        <w:rPr>
          <w:rFonts w:cs="Arial"/>
          <w:szCs w:val="24"/>
        </w:rPr>
        <w:t xml:space="preserve"> was charged with three other accused, being Arnold Tshililo Mabirimisa (</w:t>
      </w:r>
      <w:r w:rsidR="002E23CD" w:rsidRPr="00DF641F">
        <w:rPr>
          <w:rFonts w:cs="Arial"/>
          <w:szCs w:val="24"/>
        </w:rPr>
        <w:t xml:space="preserve">Mr </w:t>
      </w:r>
      <w:r w:rsidR="00AE628F" w:rsidRPr="00DF641F">
        <w:rPr>
          <w:rFonts w:cs="Arial"/>
          <w:szCs w:val="24"/>
        </w:rPr>
        <w:t>Mabirimisa), Makhubu Harriet Phiri (</w:t>
      </w:r>
      <w:r w:rsidR="002E23CD" w:rsidRPr="00DF641F">
        <w:rPr>
          <w:rFonts w:cs="Arial"/>
          <w:szCs w:val="24"/>
        </w:rPr>
        <w:t xml:space="preserve">Ms </w:t>
      </w:r>
      <w:r w:rsidR="007464D5" w:rsidRPr="00DF641F">
        <w:rPr>
          <w:rFonts w:cs="Arial"/>
          <w:szCs w:val="24"/>
        </w:rPr>
        <w:t>Phiri</w:t>
      </w:r>
      <w:r w:rsidR="00AE628F" w:rsidRPr="00DF641F">
        <w:rPr>
          <w:rFonts w:cs="Arial"/>
          <w:szCs w:val="24"/>
        </w:rPr>
        <w:t xml:space="preserve">) and Mabirimisa Bus Service (Pty) Ltd (MBS). The appellant was accused 1, </w:t>
      </w:r>
      <w:r w:rsidR="002E23CD" w:rsidRPr="00DF641F">
        <w:rPr>
          <w:rFonts w:cs="Arial"/>
          <w:szCs w:val="24"/>
        </w:rPr>
        <w:t xml:space="preserve">Mr </w:t>
      </w:r>
      <w:r w:rsidR="00AE628F" w:rsidRPr="00DF641F">
        <w:rPr>
          <w:rFonts w:cs="Arial"/>
          <w:szCs w:val="24"/>
        </w:rPr>
        <w:t xml:space="preserve">Mabirimisa was accused 2, </w:t>
      </w:r>
      <w:r w:rsidR="002E23CD" w:rsidRPr="00DF641F">
        <w:rPr>
          <w:rFonts w:cs="Arial"/>
          <w:szCs w:val="24"/>
        </w:rPr>
        <w:t xml:space="preserve">Ms </w:t>
      </w:r>
      <w:r w:rsidR="007464D5" w:rsidRPr="00DF641F">
        <w:rPr>
          <w:rFonts w:cs="Arial"/>
          <w:szCs w:val="24"/>
        </w:rPr>
        <w:t>Phiri</w:t>
      </w:r>
      <w:r w:rsidR="00AE628F" w:rsidRPr="00DF641F">
        <w:rPr>
          <w:rFonts w:cs="Arial"/>
          <w:szCs w:val="24"/>
        </w:rPr>
        <w:t xml:space="preserve"> was accused 3, and MBS was accused 4.</w:t>
      </w:r>
    </w:p>
    <w:p w:rsidR="006D18DD" w:rsidRPr="00DF641F" w:rsidRDefault="006D18DD" w:rsidP="00B72B7F">
      <w:pPr>
        <w:rPr>
          <w:rFonts w:cs="Arial"/>
          <w:szCs w:val="24"/>
          <w:shd w:val="clear" w:color="auto" w:fill="FFFFFF"/>
        </w:rPr>
      </w:pPr>
    </w:p>
    <w:p w:rsidR="00AE628F" w:rsidRPr="00DF641F" w:rsidRDefault="003C27E4" w:rsidP="003C27E4">
      <w:pPr>
        <w:rPr>
          <w:rFonts w:cs="Arial"/>
          <w:szCs w:val="24"/>
          <w:shd w:val="clear" w:color="auto" w:fill="FFFFFF"/>
        </w:rPr>
      </w:pPr>
      <w:r w:rsidRPr="00DF641F">
        <w:rPr>
          <w:rFonts w:cs="Arial"/>
          <w:szCs w:val="24"/>
        </w:rPr>
        <w:t>[2]</w:t>
      </w:r>
      <w:r w:rsidRPr="00DF641F">
        <w:rPr>
          <w:rFonts w:cs="Arial"/>
          <w:szCs w:val="24"/>
        </w:rPr>
        <w:tab/>
      </w:r>
      <w:r w:rsidR="007464D5" w:rsidRPr="00DF641F">
        <w:rPr>
          <w:rFonts w:cs="Arial"/>
          <w:szCs w:val="24"/>
        </w:rPr>
        <w:t>They</w:t>
      </w:r>
      <w:r w:rsidR="00AE628F" w:rsidRPr="00DF641F">
        <w:rPr>
          <w:rFonts w:cs="Arial"/>
          <w:szCs w:val="24"/>
        </w:rPr>
        <w:t xml:space="preserve"> were charged with 21 counts in respect of </w:t>
      </w:r>
      <w:r w:rsidR="00324876" w:rsidRPr="00DF641F">
        <w:rPr>
          <w:rFonts w:cs="Arial"/>
          <w:szCs w:val="24"/>
        </w:rPr>
        <w:t xml:space="preserve">the </w:t>
      </w:r>
      <w:r w:rsidR="00AE628F" w:rsidRPr="00DF641F">
        <w:rPr>
          <w:rFonts w:cs="Arial"/>
          <w:szCs w:val="24"/>
        </w:rPr>
        <w:t>offences of corruption in contravention of s 8 of the Prevention and Combating of Corrupt Activities Act 12 of 2004 (counts 1</w:t>
      </w:r>
      <w:r w:rsidR="00251FEB" w:rsidRPr="00DF641F">
        <w:rPr>
          <w:rFonts w:cs="Arial"/>
          <w:szCs w:val="24"/>
        </w:rPr>
        <w:t>-</w:t>
      </w:r>
      <w:r w:rsidR="00AE628F" w:rsidRPr="00DF641F">
        <w:rPr>
          <w:rFonts w:cs="Arial"/>
          <w:szCs w:val="24"/>
        </w:rPr>
        <w:t>8);</w:t>
      </w:r>
      <w:r w:rsidR="00303A02" w:rsidRPr="00DF641F">
        <w:rPr>
          <w:rFonts w:cs="Arial"/>
          <w:szCs w:val="24"/>
        </w:rPr>
        <w:t xml:space="preserve"> fraud (counts 9</w:t>
      </w:r>
      <w:r w:rsidR="00251FEB" w:rsidRPr="00DF641F">
        <w:rPr>
          <w:rFonts w:cs="Arial"/>
          <w:szCs w:val="24"/>
        </w:rPr>
        <w:t>-</w:t>
      </w:r>
      <w:r w:rsidR="00303A02" w:rsidRPr="00DF641F">
        <w:rPr>
          <w:rFonts w:cs="Arial"/>
          <w:szCs w:val="24"/>
        </w:rPr>
        <w:t>18); money laundering in contravention of s</w:t>
      </w:r>
      <w:r w:rsidR="006E1481" w:rsidRPr="00DF641F">
        <w:rPr>
          <w:rFonts w:cs="Arial"/>
          <w:szCs w:val="24"/>
        </w:rPr>
        <w:t> </w:t>
      </w:r>
      <w:r w:rsidR="00303A02" w:rsidRPr="00DF641F">
        <w:rPr>
          <w:rFonts w:cs="Arial"/>
          <w:szCs w:val="24"/>
        </w:rPr>
        <w:t>4 of the Prevention of Organised Crime Act 121 of 1999 (counts 19</w:t>
      </w:r>
      <w:r w:rsidR="00251FEB" w:rsidRPr="00DF641F">
        <w:rPr>
          <w:rFonts w:cs="Arial"/>
          <w:szCs w:val="24"/>
        </w:rPr>
        <w:t>-</w:t>
      </w:r>
      <w:r w:rsidR="00303A02" w:rsidRPr="00DF641F">
        <w:rPr>
          <w:rFonts w:cs="Arial"/>
          <w:szCs w:val="24"/>
        </w:rPr>
        <w:t>20)</w:t>
      </w:r>
      <w:r w:rsidR="00DA343D" w:rsidRPr="00DF641F">
        <w:rPr>
          <w:rFonts w:cs="Arial"/>
          <w:szCs w:val="24"/>
        </w:rPr>
        <w:t>,</w:t>
      </w:r>
      <w:r w:rsidR="00303A02" w:rsidRPr="00DF641F">
        <w:rPr>
          <w:rFonts w:cs="Arial"/>
          <w:szCs w:val="24"/>
        </w:rPr>
        <w:t xml:space="preserve"> and defeating the ends of justice (count 21).</w:t>
      </w:r>
    </w:p>
    <w:p w:rsidR="006D18DD" w:rsidRPr="00DF641F" w:rsidRDefault="006D18DD" w:rsidP="00B72B7F">
      <w:pPr>
        <w:rPr>
          <w:rFonts w:cs="Arial"/>
          <w:szCs w:val="24"/>
          <w:shd w:val="clear" w:color="auto" w:fill="FFFFFF"/>
        </w:rPr>
      </w:pPr>
    </w:p>
    <w:p w:rsidR="00614626" w:rsidRPr="00DF641F" w:rsidRDefault="003C27E4" w:rsidP="003C27E4">
      <w:pPr>
        <w:rPr>
          <w:rFonts w:cs="Arial"/>
          <w:szCs w:val="24"/>
          <w:shd w:val="clear" w:color="auto" w:fill="FFFFFF"/>
        </w:rPr>
      </w:pPr>
      <w:r w:rsidRPr="00DF641F">
        <w:rPr>
          <w:rFonts w:cs="Arial"/>
          <w:szCs w:val="24"/>
        </w:rPr>
        <w:t>[3]</w:t>
      </w:r>
      <w:r w:rsidRPr="00DF641F">
        <w:rPr>
          <w:rFonts w:cs="Arial"/>
          <w:szCs w:val="24"/>
        </w:rPr>
        <w:tab/>
      </w:r>
      <w:r w:rsidR="00303A02" w:rsidRPr="00DF641F">
        <w:rPr>
          <w:rFonts w:cs="Arial"/>
          <w:szCs w:val="24"/>
        </w:rPr>
        <w:t xml:space="preserve">The </w:t>
      </w:r>
      <w:r w:rsidR="005C5F53" w:rsidRPr="00DF641F">
        <w:rPr>
          <w:rFonts w:cs="Arial"/>
          <w:szCs w:val="24"/>
        </w:rPr>
        <w:t>trial</w:t>
      </w:r>
      <w:r w:rsidR="00C56144" w:rsidRPr="00DF641F">
        <w:rPr>
          <w:rFonts w:cs="Arial"/>
          <w:szCs w:val="24"/>
        </w:rPr>
        <w:t xml:space="preserve"> took place </w:t>
      </w:r>
      <w:r w:rsidR="00303A02" w:rsidRPr="00DF641F">
        <w:rPr>
          <w:rFonts w:cs="Arial"/>
          <w:szCs w:val="24"/>
        </w:rPr>
        <w:t xml:space="preserve">in </w:t>
      </w:r>
      <w:r w:rsidR="00954F99" w:rsidRPr="00DF641F">
        <w:rPr>
          <w:rFonts w:cs="Arial"/>
          <w:szCs w:val="24"/>
        </w:rPr>
        <w:t xml:space="preserve">the Limpopo Division of the High Court, Thohoyandou </w:t>
      </w:r>
      <w:r w:rsidR="00C56144" w:rsidRPr="00DF641F">
        <w:rPr>
          <w:rFonts w:cs="Arial"/>
          <w:szCs w:val="24"/>
        </w:rPr>
        <w:t>(</w:t>
      </w:r>
      <w:r w:rsidR="00954F99" w:rsidRPr="00DF641F">
        <w:rPr>
          <w:rFonts w:cs="Arial"/>
          <w:szCs w:val="24"/>
        </w:rPr>
        <w:t>the trial court</w:t>
      </w:r>
      <w:r w:rsidR="00C56144" w:rsidRPr="00DF641F">
        <w:rPr>
          <w:rFonts w:cs="Arial"/>
          <w:szCs w:val="24"/>
        </w:rPr>
        <w:t>)</w:t>
      </w:r>
      <w:r w:rsidR="005C5F53" w:rsidRPr="00DF641F">
        <w:rPr>
          <w:rFonts w:cs="Arial"/>
          <w:szCs w:val="24"/>
        </w:rPr>
        <w:t xml:space="preserve"> in February 2016.</w:t>
      </w:r>
      <w:r w:rsidR="00303A02" w:rsidRPr="00DF641F">
        <w:rPr>
          <w:rFonts w:cs="Arial"/>
          <w:szCs w:val="24"/>
        </w:rPr>
        <w:t xml:space="preserve"> The appellant was granted a discharge in terms of s</w:t>
      </w:r>
      <w:r w:rsidR="006E1481" w:rsidRPr="00DF641F">
        <w:rPr>
          <w:rFonts w:cs="Arial"/>
          <w:szCs w:val="24"/>
        </w:rPr>
        <w:t> </w:t>
      </w:r>
      <w:r w:rsidR="00303A02" w:rsidRPr="00DF641F">
        <w:rPr>
          <w:rFonts w:cs="Arial"/>
          <w:szCs w:val="24"/>
        </w:rPr>
        <w:t xml:space="preserve">174 of the Criminal Procedure Act </w:t>
      </w:r>
      <w:r w:rsidR="00680BF3" w:rsidRPr="00DF641F">
        <w:rPr>
          <w:rFonts w:cs="Arial"/>
          <w:szCs w:val="24"/>
        </w:rPr>
        <w:t>51 of 1977 (the CPA)</w:t>
      </w:r>
      <w:r w:rsidR="00303A02" w:rsidRPr="00DF641F">
        <w:rPr>
          <w:rFonts w:cs="Arial"/>
          <w:szCs w:val="24"/>
        </w:rPr>
        <w:t xml:space="preserve"> in respect o</w:t>
      </w:r>
      <w:r w:rsidR="0077734E" w:rsidRPr="00DF641F">
        <w:rPr>
          <w:rFonts w:cs="Arial"/>
          <w:szCs w:val="24"/>
        </w:rPr>
        <w:t xml:space="preserve">f all charges, save for counts </w:t>
      </w:r>
      <w:r w:rsidR="00614626" w:rsidRPr="00DF641F">
        <w:rPr>
          <w:rFonts w:cs="Arial"/>
          <w:szCs w:val="24"/>
        </w:rPr>
        <w:t>15</w:t>
      </w:r>
      <w:r w:rsidR="00251FEB" w:rsidRPr="00DF641F">
        <w:rPr>
          <w:rFonts w:cs="Arial"/>
          <w:szCs w:val="24"/>
        </w:rPr>
        <w:t>-</w:t>
      </w:r>
      <w:r w:rsidR="00303A02" w:rsidRPr="00DF641F">
        <w:rPr>
          <w:rFonts w:cs="Arial"/>
          <w:szCs w:val="24"/>
        </w:rPr>
        <w:t xml:space="preserve">18 and count 21. He was convicted </w:t>
      </w:r>
      <w:r w:rsidR="00614626" w:rsidRPr="00DF641F">
        <w:rPr>
          <w:rFonts w:cs="Arial"/>
          <w:szCs w:val="24"/>
        </w:rPr>
        <w:t xml:space="preserve">on </w:t>
      </w:r>
      <w:r w:rsidR="00CE1CCD" w:rsidRPr="00DF641F">
        <w:rPr>
          <w:rFonts w:cs="Arial"/>
          <w:szCs w:val="24"/>
        </w:rPr>
        <w:t>counts 15</w:t>
      </w:r>
      <w:r w:rsidR="00251FEB" w:rsidRPr="00DF641F">
        <w:rPr>
          <w:rFonts w:cs="Arial"/>
          <w:szCs w:val="24"/>
        </w:rPr>
        <w:t>-</w:t>
      </w:r>
      <w:r w:rsidR="00CE1CCD" w:rsidRPr="00DF641F">
        <w:rPr>
          <w:rFonts w:cs="Arial"/>
          <w:szCs w:val="24"/>
        </w:rPr>
        <w:t xml:space="preserve">18 </w:t>
      </w:r>
      <w:r w:rsidR="00303A02" w:rsidRPr="00DF641F">
        <w:rPr>
          <w:rFonts w:cs="Arial"/>
          <w:szCs w:val="24"/>
        </w:rPr>
        <w:t>and sentenced to 18 months</w:t>
      </w:r>
      <w:r w:rsidR="006E1481" w:rsidRPr="00DF641F">
        <w:rPr>
          <w:rFonts w:cs="Arial"/>
          <w:szCs w:val="24"/>
        </w:rPr>
        <w:t>’</w:t>
      </w:r>
      <w:r w:rsidR="00303A02" w:rsidRPr="00DF641F">
        <w:rPr>
          <w:rFonts w:cs="Arial"/>
          <w:szCs w:val="24"/>
        </w:rPr>
        <w:t xml:space="preserve"> imprisonment</w:t>
      </w:r>
      <w:r w:rsidR="006E1481" w:rsidRPr="00DF641F">
        <w:rPr>
          <w:rFonts w:cs="Arial"/>
          <w:szCs w:val="24"/>
        </w:rPr>
        <w:t>,</w:t>
      </w:r>
      <w:r w:rsidR="00303A02" w:rsidRPr="00DF641F">
        <w:rPr>
          <w:rFonts w:cs="Arial"/>
          <w:szCs w:val="24"/>
        </w:rPr>
        <w:t xml:space="preserve"> suspended for three years </w:t>
      </w:r>
      <w:r w:rsidR="00614626" w:rsidRPr="00DF641F">
        <w:rPr>
          <w:rFonts w:cs="Arial"/>
          <w:szCs w:val="24"/>
        </w:rPr>
        <w:t xml:space="preserve">on condition that </w:t>
      </w:r>
      <w:r w:rsidR="00F47498" w:rsidRPr="00DF641F">
        <w:rPr>
          <w:rFonts w:cs="Arial"/>
          <w:szCs w:val="24"/>
        </w:rPr>
        <w:t>he</w:t>
      </w:r>
      <w:r w:rsidR="00614626" w:rsidRPr="00DF641F">
        <w:rPr>
          <w:rFonts w:cs="Arial"/>
          <w:szCs w:val="24"/>
        </w:rPr>
        <w:t>:</w:t>
      </w:r>
    </w:p>
    <w:p w:rsidR="006D18DD" w:rsidRPr="00DF641F" w:rsidRDefault="006D18DD" w:rsidP="003C27E4">
      <w:pPr>
        <w:rPr>
          <w:rFonts w:cs="Arial"/>
          <w:sz w:val="22"/>
          <w:shd w:val="clear" w:color="auto" w:fill="FFFFFF"/>
        </w:rPr>
      </w:pPr>
      <w:r w:rsidRPr="00DF641F">
        <w:rPr>
          <w:rFonts w:cs="Arial"/>
          <w:sz w:val="22"/>
        </w:rPr>
        <w:t>‘</w:t>
      </w:r>
      <w:r w:rsidR="00251FEB" w:rsidRPr="00DF641F">
        <w:rPr>
          <w:rFonts w:cs="Arial"/>
          <w:sz w:val="22"/>
        </w:rPr>
        <w:t>1)</w:t>
      </w:r>
      <w:r w:rsidRPr="00DF641F">
        <w:rPr>
          <w:rFonts w:cs="Arial"/>
          <w:sz w:val="22"/>
        </w:rPr>
        <w:tab/>
      </w:r>
      <w:r w:rsidR="00251FEB" w:rsidRPr="00DF641F">
        <w:rPr>
          <w:rFonts w:cs="Arial"/>
          <w:sz w:val="22"/>
        </w:rPr>
        <w:t>. . . r</w:t>
      </w:r>
      <w:r w:rsidR="0077734E" w:rsidRPr="00DF641F">
        <w:rPr>
          <w:rFonts w:cs="Arial"/>
          <w:sz w:val="22"/>
        </w:rPr>
        <w:t>epays</w:t>
      </w:r>
      <w:r w:rsidR="00614626" w:rsidRPr="00DF641F">
        <w:rPr>
          <w:rFonts w:cs="Arial"/>
          <w:sz w:val="22"/>
        </w:rPr>
        <w:t xml:space="preserve"> the amount of R3 638.95 to the Registrar of </w:t>
      </w:r>
      <w:r w:rsidR="00251FEB" w:rsidRPr="00DF641F">
        <w:rPr>
          <w:rFonts w:cs="Arial"/>
          <w:sz w:val="22"/>
        </w:rPr>
        <w:t>[</w:t>
      </w:r>
      <w:r w:rsidR="00614626" w:rsidRPr="00DF641F">
        <w:rPr>
          <w:rFonts w:cs="Arial"/>
          <w:sz w:val="22"/>
        </w:rPr>
        <w:t>the</w:t>
      </w:r>
      <w:r w:rsidR="00251FEB" w:rsidRPr="00DF641F">
        <w:rPr>
          <w:rFonts w:cs="Arial"/>
          <w:sz w:val="22"/>
        </w:rPr>
        <w:t>]</w:t>
      </w:r>
      <w:r w:rsidR="00614626" w:rsidRPr="00DF641F">
        <w:rPr>
          <w:rFonts w:cs="Arial"/>
          <w:sz w:val="22"/>
        </w:rPr>
        <w:t xml:space="preserve"> </w:t>
      </w:r>
      <w:r w:rsidR="00251FEB" w:rsidRPr="00DF641F">
        <w:rPr>
          <w:rFonts w:cs="Arial"/>
          <w:sz w:val="22"/>
        </w:rPr>
        <w:t>c</w:t>
      </w:r>
      <w:r w:rsidR="00614626" w:rsidRPr="00DF641F">
        <w:rPr>
          <w:rFonts w:cs="Arial"/>
          <w:sz w:val="22"/>
        </w:rPr>
        <w:t>ourt on or before 7</w:t>
      </w:r>
      <w:r w:rsidR="00DA343D" w:rsidRPr="00DF641F">
        <w:rPr>
          <w:rFonts w:cs="Arial"/>
          <w:sz w:val="22"/>
        </w:rPr>
        <w:t> </w:t>
      </w:r>
      <w:r w:rsidR="00614626" w:rsidRPr="00DF641F">
        <w:rPr>
          <w:rFonts w:cs="Arial"/>
          <w:sz w:val="22"/>
        </w:rPr>
        <w:t>September 2017; and</w:t>
      </w:r>
    </w:p>
    <w:p w:rsidR="00251FEB" w:rsidRPr="00DF641F" w:rsidRDefault="00251FEB" w:rsidP="003C27E4">
      <w:pPr>
        <w:rPr>
          <w:rFonts w:cs="Arial"/>
          <w:sz w:val="22"/>
        </w:rPr>
      </w:pPr>
      <w:r w:rsidRPr="00DF641F">
        <w:rPr>
          <w:rFonts w:cs="Arial"/>
          <w:sz w:val="22"/>
          <w:shd w:val="clear" w:color="auto" w:fill="FFFFFF"/>
        </w:rPr>
        <w:lastRenderedPageBreak/>
        <w:t>2)</w:t>
      </w:r>
      <w:r w:rsidR="006D18DD" w:rsidRPr="00DF641F">
        <w:rPr>
          <w:rFonts w:cs="Arial"/>
          <w:sz w:val="22"/>
          <w:shd w:val="clear" w:color="auto" w:fill="FFFFFF"/>
        </w:rPr>
        <w:tab/>
      </w:r>
      <w:r w:rsidRPr="00DF641F">
        <w:rPr>
          <w:rFonts w:cs="Arial"/>
          <w:sz w:val="22"/>
          <w:shd w:val="clear" w:color="auto" w:fill="FFFFFF"/>
        </w:rPr>
        <w:t xml:space="preserve">. . . </w:t>
      </w:r>
      <w:r w:rsidR="0077734E" w:rsidRPr="00DF641F">
        <w:rPr>
          <w:rFonts w:cs="Arial"/>
          <w:sz w:val="22"/>
        </w:rPr>
        <w:t>i</w:t>
      </w:r>
      <w:r w:rsidR="00614626" w:rsidRPr="00DF641F">
        <w:rPr>
          <w:rFonts w:cs="Arial"/>
          <w:sz w:val="22"/>
        </w:rPr>
        <w:t xml:space="preserve">s not convicted of an offence of which dishonesty is an element and in respect of which the </w:t>
      </w:r>
      <w:r w:rsidRPr="00DF641F">
        <w:rPr>
          <w:rFonts w:cs="Arial"/>
          <w:sz w:val="22"/>
        </w:rPr>
        <w:t>[</w:t>
      </w:r>
      <w:r w:rsidR="00614626" w:rsidRPr="00DF641F">
        <w:rPr>
          <w:rFonts w:cs="Arial"/>
          <w:sz w:val="22"/>
        </w:rPr>
        <w:t>appellant</w:t>
      </w:r>
      <w:r w:rsidRPr="00DF641F">
        <w:rPr>
          <w:rFonts w:cs="Arial"/>
          <w:sz w:val="22"/>
        </w:rPr>
        <w:t>]</w:t>
      </w:r>
      <w:r w:rsidR="00614626" w:rsidRPr="00DF641F">
        <w:rPr>
          <w:rFonts w:cs="Arial"/>
          <w:sz w:val="22"/>
        </w:rPr>
        <w:t xml:space="preserve"> is sentenced to imprisonment without the option of a fine</w:t>
      </w:r>
      <w:r w:rsidR="00CE1CCD" w:rsidRPr="00DF641F">
        <w:rPr>
          <w:rFonts w:cs="Arial"/>
          <w:sz w:val="22"/>
        </w:rPr>
        <w:t>.</w:t>
      </w:r>
      <w:r w:rsidR="006D18DD" w:rsidRPr="00DF641F">
        <w:rPr>
          <w:rFonts w:cs="Arial"/>
          <w:sz w:val="22"/>
        </w:rPr>
        <w:t xml:space="preserve">’ </w:t>
      </w:r>
    </w:p>
    <w:p w:rsidR="006D18DD" w:rsidRPr="00DF641F" w:rsidRDefault="00CE1CCD" w:rsidP="003C27E4">
      <w:pPr>
        <w:rPr>
          <w:rFonts w:cs="Arial"/>
          <w:szCs w:val="24"/>
        </w:rPr>
      </w:pPr>
      <w:r w:rsidRPr="00DF641F">
        <w:rPr>
          <w:rFonts w:cs="Arial"/>
          <w:szCs w:val="24"/>
        </w:rPr>
        <w:t xml:space="preserve">On </w:t>
      </w:r>
      <w:r w:rsidR="00DA343D" w:rsidRPr="00DF641F">
        <w:rPr>
          <w:rFonts w:cs="Arial"/>
          <w:szCs w:val="24"/>
        </w:rPr>
        <w:t>c</w:t>
      </w:r>
      <w:r w:rsidRPr="00DF641F">
        <w:rPr>
          <w:rFonts w:cs="Arial"/>
          <w:szCs w:val="24"/>
        </w:rPr>
        <w:t>ount 21</w:t>
      </w:r>
      <w:r w:rsidR="00EE139D" w:rsidRPr="00DF641F">
        <w:rPr>
          <w:rFonts w:cs="Arial"/>
          <w:szCs w:val="24"/>
        </w:rPr>
        <w:t>,</w:t>
      </w:r>
      <w:r w:rsidRPr="00DF641F">
        <w:rPr>
          <w:rFonts w:cs="Arial"/>
          <w:szCs w:val="24"/>
        </w:rPr>
        <w:t xml:space="preserve"> </w:t>
      </w:r>
      <w:r w:rsidR="00DA343D" w:rsidRPr="00DF641F">
        <w:rPr>
          <w:rFonts w:cs="Arial"/>
          <w:szCs w:val="24"/>
        </w:rPr>
        <w:t>t</w:t>
      </w:r>
      <w:r w:rsidRPr="00DF641F">
        <w:rPr>
          <w:rFonts w:cs="Arial"/>
          <w:szCs w:val="24"/>
        </w:rPr>
        <w:t xml:space="preserve">he </w:t>
      </w:r>
      <w:r w:rsidR="00DA343D" w:rsidRPr="00DF641F">
        <w:rPr>
          <w:rFonts w:cs="Arial"/>
          <w:szCs w:val="24"/>
        </w:rPr>
        <w:t xml:space="preserve">appellant </w:t>
      </w:r>
      <w:r w:rsidRPr="00DF641F">
        <w:rPr>
          <w:rFonts w:cs="Arial"/>
          <w:szCs w:val="24"/>
        </w:rPr>
        <w:t>was convicted and fined R12</w:t>
      </w:r>
      <w:r w:rsidR="00DA343D" w:rsidRPr="00DF641F">
        <w:rPr>
          <w:rFonts w:cs="Arial"/>
          <w:szCs w:val="24"/>
        </w:rPr>
        <w:t> </w:t>
      </w:r>
      <w:r w:rsidRPr="00DF641F">
        <w:rPr>
          <w:rFonts w:cs="Arial"/>
          <w:szCs w:val="24"/>
        </w:rPr>
        <w:t>000</w:t>
      </w:r>
      <w:r w:rsidR="00DA343D" w:rsidRPr="00DF641F">
        <w:rPr>
          <w:rFonts w:cs="Arial"/>
          <w:szCs w:val="24"/>
        </w:rPr>
        <w:t xml:space="preserve"> </w:t>
      </w:r>
      <w:r w:rsidRPr="00DF641F">
        <w:rPr>
          <w:rFonts w:cs="Arial"/>
          <w:szCs w:val="24"/>
        </w:rPr>
        <w:t xml:space="preserve">or </w:t>
      </w:r>
      <w:r w:rsidR="00303A02" w:rsidRPr="00DF641F">
        <w:rPr>
          <w:rFonts w:cs="Arial"/>
          <w:szCs w:val="24"/>
        </w:rPr>
        <w:t>six months</w:t>
      </w:r>
      <w:r w:rsidR="006E1481" w:rsidRPr="00DF641F">
        <w:rPr>
          <w:rFonts w:cs="Arial"/>
          <w:szCs w:val="24"/>
        </w:rPr>
        <w:t>’</w:t>
      </w:r>
      <w:r w:rsidR="00303A02" w:rsidRPr="00DF641F">
        <w:rPr>
          <w:rFonts w:cs="Arial"/>
          <w:szCs w:val="24"/>
        </w:rPr>
        <w:t xml:space="preserve"> imprisonment</w:t>
      </w:r>
      <w:r w:rsidR="00DA343D" w:rsidRPr="00DF641F">
        <w:rPr>
          <w:rFonts w:cs="Arial"/>
          <w:szCs w:val="24"/>
        </w:rPr>
        <w:t>,</w:t>
      </w:r>
      <w:r w:rsidR="00303A02" w:rsidRPr="00DF641F">
        <w:rPr>
          <w:rFonts w:cs="Arial"/>
          <w:szCs w:val="24"/>
        </w:rPr>
        <w:t xml:space="preserve"> </w:t>
      </w:r>
      <w:r w:rsidRPr="00DF641F">
        <w:rPr>
          <w:rFonts w:cs="Arial"/>
          <w:szCs w:val="24"/>
        </w:rPr>
        <w:t xml:space="preserve">which fine was to be paid in </w:t>
      </w:r>
      <w:r w:rsidR="00DA343D" w:rsidRPr="00DF641F">
        <w:rPr>
          <w:rFonts w:cs="Arial"/>
          <w:szCs w:val="24"/>
        </w:rPr>
        <w:t xml:space="preserve">four </w:t>
      </w:r>
      <w:r w:rsidRPr="00DF641F">
        <w:rPr>
          <w:rFonts w:cs="Arial"/>
          <w:szCs w:val="24"/>
        </w:rPr>
        <w:t>instalments of R3</w:t>
      </w:r>
      <w:r w:rsidR="00DA343D" w:rsidRPr="00DF641F">
        <w:rPr>
          <w:rFonts w:cs="Arial"/>
          <w:szCs w:val="24"/>
        </w:rPr>
        <w:t> </w:t>
      </w:r>
      <w:r w:rsidRPr="00DF641F">
        <w:rPr>
          <w:rFonts w:cs="Arial"/>
          <w:szCs w:val="24"/>
        </w:rPr>
        <w:t>000 each</w:t>
      </w:r>
      <w:r w:rsidR="00303A02" w:rsidRPr="00DF641F">
        <w:rPr>
          <w:rFonts w:cs="Arial"/>
          <w:szCs w:val="24"/>
        </w:rPr>
        <w:t>.</w:t>
      </w:r>
      <w:r w:rsidR="006D18DD" w:rsidRPr="00DF641F">
        <w:rPr>
          <w:rFonts w:cs="Arial"/>
          <w:szCs w:val="24"/>
        </w:rPr>
        <w:t xml:space="preserve"> </w:t>
      </w:r>
    </w:p>
    <w:p w:rsidR="006D18DD" w:rsidRPr="00DF641F" w:rsidRDefault="006D18DD" w:rsidP="00B72B7F">
      <w:pPr>
        <w:rPr>
          <w:rFonts w:cs="Arial"/>
          <w:szCs w:val="24"/>
        </w:rPr>
      </w:pPr>
    </w:p>
    <w:p w:rsidR="00303A02" w:rsidRPr="00DF641F" w:rsidRDefault="006D18DD" w:rsidP="003C27E4">
      <w:pPr>
        <w:rPr>
          <w:rFonts w:cs="Arial"/>
          <w:szCs w:val="24"/>
        </w:rPr>
      </w:pPr>
      <w:r w:rsidRPr="00DF641F">
        <w:rPr>
          <w:rFonts w:cs="Arial"/>
          <w:szCs w:val="24"/>
        </w:rPr>
        <w:t>[</w:t>
      </w:r>
      <w:r w:rsidR="000F00C4" w:rsidRPr="00DF641F">
        <w:rPr>
          <w:rFonts w:cs="Arial"/>
          <w:szCs w:val="24"/>
        </w:rPr>
        <w:t>4</w:t>
      </w:r>
      <w:r w:rsidRPr="00DF641F">
        <w:rPr>
          <w:rFonts w:cs="Arial"/>
          <w:szCs w:val="24"/>
        </w:rPr>
        <w:t>]</w:t>
      </w:r>
      <w:r w:rsidRPr="00DF641F">
        <w:rPr>
          <w:rFonts w:cs="Arial"/>
          <w:szCs w:val="24"/>
        </w:rPr>
        <w:tab/>
      </w:r>
      <w:r w:rsidR="00303A02" w:rsidRPr="00DF641F">
        <w:rPr>
          <w:rFonts w:cs="Arial"/>
          <w:szCs w:val="24"/>
        </w:rPr>
        <w:t xml:space="preserve">An appeal </w:t>
      </w:r>
      <w:r w:rsidR="0077734E" w:rsidRPr="00DF641F">
        <w:rPr>
          <w:rFonts w:cs="Arial"/>
          <w:szCs w:val="24"/>
        </w:rPr>
        <w:t>to</w:t>
      </w:r>
      <w:r w:rsidR="00303A02" w:rsidRPr="00DF641F">
        <w:rPr>
          <w:rFonts w:cs="Arial"/>
          <w:szCs w:val="24"/>
        </w:rPr>
        <w:t xml:space="preserve"> the Full Court of the Limpopo Division of the High Court</w:t>
      </w:r>
      <w:r w:rsidR="005C5F53" w:rsidRPr="00DF641F">
        <w:rPr>
          <w:rFonts w:cs="Arial"/>
          <w:szCs w:val="24"/>
        </w:rPr>
        <w:t xml:space="preserve"> </w:t>
      </w:r>
      <w:r w:rsidR="00E63703" w:rsidRPr="00DF641F">
        <w:rPr>
          <w:rFonts w:cs="Arial"/>
          <w:szCs w:val="24"/>
        </w:rPr>
        <w:t>was dismissed on 6 May 2020</w:t>
      </w:r>
      <w:r w:rsidR="00303A02" w:rsidRPr="00DF641F">
        <w:rPr>
          <w:rFonts w:cs="Arial"/>
          <w:szCs w:val="24"/>
        </w:rPr>
        <w:t>. Specia</w:t>
      </w:r>
      <w:r w:rsidR="00F47498" w:rsidRPr="00DF641F">
        <w:rPr>
          <w:rFonts w:cs="Arial"/>
          <w:szCs w:val="24"/>
        </w:rPr>
        <w:t xml:space="preserve">l leave to appeal to this Court </w:t>
      </w:r>
      <w:r w:rsidR="00303A02" w:rsidRPr="00DF641F">
        <w:rPr>
          <w:rFonts w:cs="Arial"/>
          <w:szCs w:val="24"/>
        </w:rPr>
        <w:t>was granted on 25</w:t>
      </w:r>
      <w:r w:rsidR="0031611C" w:rsidRPr="00DF641F">
        <w:rPr>
          <w:rFonts w:cs="Arial"/>
          <w:szCs w:val="24"/>
        </w:rPr>
        <w:t> </w:t>
      </w:r>
      <w:r w:rsidR="00303A02" w:rsidRPr="00DF641F">
        <w:rPr>
          <w:rFonts w:cs="Arial"/>
          <w:szCs w:val="24"/>
        </w:rPr>
        <w:t>August 2020.</w:t>
      </w:r>
    </w:p>
    <w:p w:rsidR="007277A2" w:rsidRPr="00DF641F" w:rsidRDefault="007277A2" w:rsidP="003C27E4">
      <w:pPr>
        <w:rPr>
          <w:rFonts w:cs="Arial"/>
          <w:szCs w:val="24"/>
        </w:rPr>
      </w:pPr>
    </w:p>
    <w:p w:rsidR="000502B9" w:rsidRPr="00DF641F" w:rsidRDefault="006619B8" w:rsidP="003C27E4">
      <w:pPr>
        <w:rPr>
          <w:rFonts w:cs="Arial"/>
          <w:b/>
          <w:szCs w:val="24"/>
          <w:shd w:val="clear" w:color="auto" w:fill="FFFFFF"/>
        </w:rPr>
      </w:pPr>
      <w:r w:rsidRPr="00DF641F">
        <w:rPr>
          <w:rFonts w:cs="Arial"/>
          <w:b/>
          <w:szCs w:val="24"/>
        </w:rPr>
        <w:t xml:space="preserve">The </w:t>
      </w:r>
      <w:r w:rsidR="006E1481" w:rsidRPr="00DF641F">
        <w:rPr>
          <w:rFonts w:cs="Arial"/>
          <w:b/>
          <w:szCs w:val="24"/>
        </w:rPr>
        <w:t>i</w:t>
      </w:r>
      <w:r w:rsidR="000502B9" w:rsidRPr="00DF641F">
        <w:rPr>
          <w:rFonts w:cs="Arial"/>
          <w:b/>
          <w:szCs w:val="24"/>
        </w:rPr>
        <w:t>ndictment</w:t>
      </w:r>
    </w:p>
    <w:p w:rsidR="006D18DD" w:rsidRPr="00DF641F" w:rsidRDefault="006D18DD"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5</w:t>
      </w:r>
      <w:r w:rsidRPr="00DF641F">
        <w:rPr>
          <w:rFonts w:cs="Arial"/>
          <w:szCs w:val="24"/>
          <w:shd w:val="clear" w:color="auto" w:fill="FFFFFF"/>
        </w:rPr>
        <w:t>]</w:t>
      </w:r>
      <w:r w:rsidRPr="00DF641F">
        <w:rPr>
          <w:rFonts w:cs="Arial"/>
          <w:szCs w:val="24"/>
          <w:shd w:val="clear" w:color="auto" w:fill="FFFFFF"/>
        </w:rPr>
        <w:tab/>
      </w:r>
      <w:r w:rsidR="00CE1CCD" w:rsidRPr="00DF641F">
        <w:rPr>
          <w:rFonts w:cs="Arial"/>
          <w:szCs w:val="24"/>
          <w:shd w:val="clear" w:color="auto" w:fill="FFFFFF"/>
        </w:rPr>
        <w:t>On counts 9</w:t>
      </w:r>
      <w:r w:rsidR="00251FEB" w:rsidRPr="00DF641F">
        <w:rPr>
          <w:rFonts w:cs="Arial"/>
          <w:szCs w:val="24"/>
          <w:shd w:val="clear" w:color="auto" w:fill="FFFFFF"/>
        </w:rPr>
        <w:t>-</w:t>
      </w:r>
      <w:r w:rsidR="00CE1CCD" w:rsidRPr="00DF641F">
        <w:rPr>
          <w:rFonts w:cs="Arial"/>
          <w:szCs w:val="24"/>
          <w:shd w:val="clear" w:color="auto" w:fill="FFFFFF"/>
        </w:rPr>
        <w:t xml:space="preserve">18, it was alleged that </w:t>
      </w:r>
      <w:r w:rsidR="006619B8" w:rsidRPr="00DF641F">
        <w:rPr>
          <w:rFonts w:cs="Arial"/>
          <w:szCs w:val="24"/>
          <w:shd w:val="clear" w:color="auto" w:fill="FFFFFF"/>
        </w:rPr>
        <w:t>t</w:t>
      </w:r>
      <w:r w:rsidR="000502B9" w:rsidRPr="00DF641F">
        <w:rPr>
          <w:rFonts w:cs="Arial"/>
          <w:szCs w:val="24"/>
          <w:shd w:val="clear" w:color="auto" w:fill="FFFFFF"/>
        </w:rPr>
        <w:t>he appellant</w:t>
      </w:r>
      <w:r w:rsidR="0077734E" w:rsidRPr="00DF641F">
        <w:rPr>
          <w:rFonts w:cs="Arial"/>
          <w:szCs w:val="24"/>
          <w:shd w:val="clear" w:color="auto" w:fill="FFFFFF"/>
        </w:rPr>
        <w:t>,</w:t>
      </w:r>
      <w:r w:rsidR="000502B9" w:rsidRPr="00DF641F">
        <w:rPr>
          <w:rFonts w:cs="Arial"/>
          <w:szCs w:val="24"/>
          <w:shd w:val="clear" w:color="auto" w:fill="FFFFFF"/>
        </w:rPr>
        <w:t xml:space="preserve"> </w:t>
      </w:r>
      <w:r w:rsidR="0077734E" w:rsidRPr="00DF641F">
        <w:rPr>
          <w:rFonts w:cs="Arial"/>
          <w:szCs w:val="24"/>
          <w:shd w:val="clear" w:color="auto" w:fill="FFFFFF"/>
        </w:rPr>
        <w:t xml:space="preserve">in the period </w:t>
      </w:r>
      <w:r w:rsidR="008165F8" w:rsidRPr="00DF641F">
        <w:rPr>
          <w:rFonts w:cs="Arial"/>
          <w:szCs w:val="24"/>
          <w:shd w:val="clear" w:color="auto" w:fill="FFFFFF"/>
        </w:rPr>
        <w:t xml:space="preserve">from </w:t>
      </w:r>
      <w:r w:rsidR="000502B9" w:rsidRPr="00DF641F">
        <w:rPr>
          <w:rFonts w:cs="Arial"/>
          <w:szCs w:val="24"/>
          <w:shd w:val="clear" w:color="auto" w:fill="FFFFFF"/>
        </w:rPr>
        <w:t xml:space="preserve">May 2008 </w:t>
      </w:r>
      <w:r w:rsidR="0095412B" w:rsidRPr="00DF641F">
        <w:rPr>
          <w:rFonts w:cs="Arial"/>
          <w:szCs w:val="24"/>
          <w:shd w:val="clear" w:color="auto" w:fill="FFFFFF"/>
        </w:rPr>
        <w:t xml:space="preserve">to </w:t>
      </w:r>
      <w:r w:rsidR="000502B9" w:rsidRPr="00DF641F">
        <w:rPr>
          <w:rFonts w:cs="Arial"/>
          <w:szCs w:val="24"/>
          <w:shd w:val="clear" w:color="auto" w:fill="FFFFFF"/>
        </w:rPr>
        <w:t>March 2009</w:t>
      </w:r>
      <w:r w:rsidR="00C45D3D" w:rsidRPr="00DF641F">
        <w:rPr>
          <w:rFonts w:cs="Arial"/>
          <w:szCs w:val="24"/>
          <w:shd w:val="clear" w:color="auto" w:fill="FFFFFF"/>
        </w:rPr>
        <w:t xml:space="preserve"> (the period)</w:t>
      </w:r>
      <w:r w:rsidR="000502B9" w:rsidRPr="00DF641F">
        <w:rPr>
          <w:rFonts w:cs="Arial"/>
          <w:szCs w:val="24"/>
          <w:shd w:val="clear" w:color="auto" w:fill="FFFFFF"/>
        </w:rPr>
        <w:t xml:space="preserve">, in the Regional Division of Limpopo, </w:t>
      </w:r>
      <w:r w:rsidR="00F12ED5" w:rsidRPr="00DF641F">
        <w:rPr>
          <w:rFonts w:cs="Arial"/>
          <w:szCs w:val="24"/>
          <w:shd w:val="clear" w:color="auto" w:fill="FFFFFF"/>
        </w:rPr>
        <w:t>‘</w:t>
      </w:r>
      <w:r w:rsidR="000502B9" w:rsidRPr="00DF641F">
        <w:rPr>
          <w:rFonts w:cs="Arial"/>
          <w:szCs w:val="24"/>
          <w:shd w:val="clear" w:color="auto" w:fill="FFFFFF"/>
        </w:rPr>
        <w:t>in his capacity as the Head of Office at Dzanani Magistrates</w:t>
      </w:r>
      <w:r w:rsidR="0095412B" w:rsidRPr="00DF641F">
        <w:rPr>
          <w:rFonts w:cs="Arial"/>
          <w:szCs w:val="24"/>
          <w:shd w:val="clear" w:color="auto" w:fill="FFFFFF"/>
        </w:rPr>
        <w:t>’</w:t>
      </w:r>
      <w:r w:rsidR="000502B9" w:rsidRPr="00DF641F">
        <w:rPr>
          <w:rFonts w:cs="Arial"/>
          <w:szCs w:val="24"/>
          <w:shd w:val="clear" w:color="auto" w:fill="FFFFFF"/>
        </w:rPr>
        <w:t xml:space="preserve"> Court, unlawfully and falsely</w:t>
      </w:r>
      <w:r w:rsidR="006619B8" w:rsidRPr="00DF641F">
        <w:rPr>
          <w:rFonts w:cs="Arial"/>
          <w:szCs w:val="24"/>
          <w:shd w:val="clear" w:color="auto" w:fill="FFFFFF"/>
        </w:rPr>
        <w:t>,</w:t>
      </w:r>
      <w:r w:rsidR="000502B9" w:rsidRPr="00DF641F">
        <w:rPr>
          <w:rFonts w:cs="Arial"/>
          <w:szCs w:val="24"/>
          <w:shd w:val="clear" w:color="auto" w:fill="FFFFFF"/>
        </w:rPr>
        <w:t xml:space="preserve"> and with the intention to defraud, gave out and pretended to the Department of Justice and Constitutional Development and/or the Department of Justice and Correctional Services</w:t>
      </w:r>
      <w:r w:rsidR="00C45D3D" w:rsidRPr="00DF641F">
        <w:rPr>
          <w:rFonts w:cs="Arial"/>
          <w:szCs w:val="24"/>
          <w:shd w:val="clear" w:color="auto" w:fill="FFFFFF"/>
        </w:rPr>
        <w:t>’</w:t>
      </w:r>
      <w:r w:rsidR="000502B9" w:rsidRPr="00DF641F">
        <w:rPr>
          <w:rFonts w:cs="Arial"/>
          <w:szCs w:val="24"/>
          <w:shd w:val="clear" w:color="auto" w:fill="FFFFFF"/>
        </w:rPr>
        <w:t xml:space="preserve"> (the Department) that:</w:t>
      </w:r>
    </w:p>
    <w:p w:rsidR="003519F8" w:rsidRPr="00DF641F" w:rsidRDefault="003519F8" w:rsidP="00671E47">
      <w:pPr>
        <w:pStyle w:val="ListParagraph"/>
        <w:numPr>
          <w:ilvl w:val="0"/>
          <w:numId w:val="20"/>
        </w:numPr>
        <w:ind w:left="709" w:hanging="709"/>
        <w:rPr>
          <w:rFonts w:cs="Arial"/>
          <w:szCs w:val="24"/>
          <w:shd w:val="clear" w:color="auto" w:fill="FFFFFF"/>
        </w:rPr>
      </w:pPr>
      <w:r w:rsidRPr="00DF641F">
        <w:rPr>
          <w:rFonts w:cs="Arial"/>
          <w:szCs w:val="24"/>
          <w:shd w:val="clear" w:color="auto" w:fill="FFFFFF"/>
        </w:rPr>
        <w:t>When undertaking official trips during the</w:t>
      </w:r>
      <w:r w:rsidR="00C45D3D" w:rsidRPr="00DF641F">
        <w:rPr>
          <w:rFonts w:cs="Arial"/>
          <w:szCs w:val="24"/>
          <w:shd w:val="clear" w:color="auto" w:fill="FFFFFF"/>
        </w:rPr>
        <w:t xml:space="preserve"> </w:t>
      </w:r>
      <w:r w:rsidR="00E515CA" w:rsidRPr="00DF641F">
        <w:rPr>
          <w:rFonts w:cs="Arial"/>
          <w:szCs w:val="24"/>
          <w:shd w:val="clear" w:color="auto" w:fill="FFFFFF"/>
        </w:rPr>
        <w:t xml:space="preserve">period </w:t>
      </w:r>
      <w:r w:rsidR="00C45D3D" w:rsidRPr="00DF641F">
        <w:rPr>
          <w:rFonts w:cs="Arial"/>
          <w:szCs w:val="24"/>
          <w:shd w:val="clear" w:color="auto" w:fill="FFFFFF"/>
        </w:rPr>
        <w:t>appellant</w:t>
      </w:r>
      <w:r w:rsidRPr="00DF641F">
        <w:rPr>
          <w:rFonts w:cs="Arial"/>
          <w:szCs w:val="24"/>
          <w:shd w:val="clear" w:color="auto" w:fill="FFFFFF"/>
        </w:rPr>
        <w:t xml:space="preserve"> utilised a Toyota RAV4 1800cc petrol multi-purpose vehicle</w:t>
      </w:r>
      <w:r w:rsidR="00C45D3D" w:rsidRPr="00DF641F">
        <w:rPr>
          <w:rFonts w:cs="Arial"/>
          <w:szCs w:val="24"/>
          <w:shd w:val="clear" w:color="auto" w:fill="FFFFFF"/>
        </w:rPr>
        <w:t>, a</w:t>
      </w:r>
      <w:r w:rsidRPr="00DF641F">
        <w:rPr>
          <w:rFonts w:cs="Arial"/>
          <w:szCs w:val="24"/>
          <w:shd w:val="clear" w:color="auto" w:fill="FFFFFF"/>
        </w:rPr>
        <w:t xml:space="preserve"> RAV4</w:t>
      </w:r>
      <w:r w:rsidR="00C45D3D" w:rsidRPr="00DF641F">
        <w:rPr>
          <w:rFonts w:cs="Arial"/>
          <w:szCs w:val="24"/>
          <w:shd w:val="clear" w:color="auto" w:fill="FFFFFF"/>
        </w:rPr>
        <w:t xml:space="preserve"> (the RAV 4)</w:t>
      </w:r>
      <w:r w:rsidRPr="00DF641F">
        <w:rPr>
          <w:rFonts w:cs="Arial"/>
          <w:szCs w:val="24"/>
          <w:shd w:val="clear" w:color="auto" w:fill="FFFFFF"/>
        </w:rPr>
        <w:t xml:space="preserve">; and/or </w:t>
      </w:r>
    </w:p>
    <w:p w:rsidR="003519F8" w:rsidRPr="00DF641F" w:rsidRDefault="00C45D3D" w:rsidP="00671E47">
      <w:pPr>
        <w:pStyle w:val="ListParagraph"/>
        <w:numPr>
          <w:ilvl w:val="0"/>
          <w:numId w:val="20"/>
        </w:numPr>
        <w:ind w:left="709" w:hanging="709"/>
        <w:rPr>
          <w:rFonts w:cs="Arial"/>
          <w:szCs w:val="24"/>
          <w:shd w:val="clear" w:color="auto" w:fill="FFFFFF"/>
        </w:rPr>
      </w:pPr>
      <w:r w:rsidRPr="00DF641F">
        <w:rPr>
          <w:rFonts w:cs="Arial"/>
          <w:szCs w:val="24"/>
          <w:shd w:val="clear" w:color="auto" w:fill="FFFFFF"/>
        </w:rPr>
        <w:t>He</w:t>
      </w:r>
      <w:r w:rsidR="003519F8" w:rsidRPr="00DF641F">
        <w:rPr>
          <w:rFonts w:cs="Arial"/>
          <w:szCs w:val="24"/>
          <w:shd w:val="clear" w:color="auto" w:fill="FFFFFF"/>
        </w:rPr>
        <w:t xml:space="preserve"> was entitled to be compensated by the Department in terms of </w:t>
      </w:r>
      <w:r w:rsidR="00671E47" w:rsidRPr="00DF641F">
        <w:rPr>
          <w:rFonts w:cs="Arial"/>
          <w:szCs w:val="24"/>
          <w:shd w:val="clear" w:color="auto" w:fill="FFFFFF"/>
        </w:rPr>
        <w:t xml:space="preserve">General minute 19 of 2008 </w:t>
      </w:r>
      <w:r w:rsidR="003519F8" w:rsidRPr="00DF641F">
        <w:rPr>
          <w:rFonts w:cs="Arial"/>
          <w:szCs w:val="24"/>
          <w:shd w:val="clear" w:color="auto" w:fill="FFFFFF"/>
        </w:rPr>
        <w:t xml:space="preserve">for official trips undertaken during </w:t>
      </w:r>
      <w:r w:rsidRPr="00DF641F">
        <w:rPr>
          <w:rFonts w:cs="Arial"/>
          <w:szCs w:val="24"/>
          <w:shd w:val="clear" w:color="auto" w:fill="FFFFFF"/>
        </w:rPr>
        <w:t>the period</w:t>
      </w:r>
      <w:r w:rsidR="003519F8" w:rsidRPr="00DF641F">
        <w:rPr>
          <w:rFonts w:cs="Arial"/>
          <w:szCs w:val="24"/>
          <w:shd w:val="clear" w:color="auto" w:fill="FFFFFF"/>
        </w:rPr>
        <w:t xml:space="preserve"> in terms of the prescribed tariffs for </w:t>
      </w:r>
      <w:r w:rsidRPr="00DF641F">
        <w:rPr>
          <w:rFonts w:cs="Arial"/>
          <w:szCs w:val="24"/>
          <w:shd w:val="clear" w:color="auto" w:fill="FFFFFF"/>
        </w:rPr>
        <w:t>the</w:t>
      </w:r>
      <w:r w:rsidR="003519F8" w:rsidRPr="00DF641F">
        <w:rPr>
          <w:rFonts w:cs="Arial"/>
          <w:szCs w:val="24"/>
          <w:shd w:val="clear" w:color="auto" w:fill="FFFFFF"/>
        </w:rPr>
        <w:t xml:space="preserve"> RAV4; and/or</w:t>
      </w:r>
    </w:p>
    <w:p w:rsidR="003519F8" w:rsidRPr="00DF641F" w:rsidRDefault="003519F8" w:rsidP="00671E47">
      <w:pPr>
        <w:pStyle w:val="ListParagraph"/>
        <w:numPr>
          <w:ilvl w:val="0"/>
          <w:numId w:val="20"/>
        </w:numPr>
        <w:ind w:left="709" w:hanging="709"/>
        <w:rPr>
          <w:rFonts w:cs="Arial"/>
          <w:szCs w:val="24"/>
          <w:shd w:val="clear" w:color="auto" w:fill="FFFFFF"/>
        </w:rPr>
      </w:pPr>
      <w:r w:rsidRPr="00DF641F">
        <w:rPr>
          <w:rFonts w:cs="Arial"/>
          <w:szCs w:val="24"/>
          <w:shd w:val="clear" w:color="auto" w:fill="FFFFFF"/>
        </w:rPr>
        <w:t xml:space="preserve">The claims submitted by the appellant for </w:t>
      </w:r>
      <w:r w:rsidR="00C45D3D" w:rsidRPr="00DF641F">
        <w:rPr>
          <w:rFonts w:cs="Arial"/>
          <w:szCs w:val="24"/>
          <w:shd w:val="clear" w:color="auto" w:fill="FFFFFF"/>
        </w:rPr>
        <w:t xml:space="preserve">the </w:t>
      </w:r>
      <w:r w:rsidRPr="00DF641F">
        <w:rPr>
          <w:rFonts w:cs="Arial"/>
          <w:szCs w:val="24"/>
          <w:shd w:val="clear" w:color="auto" w:fill="FFFFFF"/>
        </w:rPr>
        <w:t>kilometres driven</w:t>
      </w:r>
      <w:r w:rsidR="00C45D3D" w:rsidRPr="00DF641F">
        <w:rPr>
          <w:rFonts w:cs="Arial"/>
          <w:szCs w:val="24"/>
          <w:shd w:val="clear" w:color="auto" w:fill="FFFFFF"/>
        </w:rPr>
        <w:t xml:space="preserve"> </w:t>
      </w:r>
      <w:r w:rsidRPr="00DF641F">
        <w:rPr>
          <w:rFonts w:cs="Arial"/>
          <w:szCs w:val="24"/>
          <w:shd w:val="clear" w:color="auto" w:fill="FFFFFF"/>
        </w:rPr>
        <w:t xml:space="preserve">were supposed to be calculated in terms of the prescribed tariffs for </w:t>
      </w:r>
      <w:r w:rsidR="00C45D3D" w:rsidRPr="00DF641F">
        <w:rPr>
          <w:rFonts w:cs="Arial"/>
          <w:szCs w:val="24"/>
          <w:shd w:val="clear" w:color="auto" w:fill="FFFFFF"/>
        </w:rPr>
        <w:t xml:space="preserve">the </w:t>
      </w:r>
      <w:r w:rsidRPr="00DF641F">
        <w:rPr>
          <w:rFonts w:cs="Arial"/>
          <w:szCs w:val="24"/>
          <w:shd w:val="clear" w:color="auto" w:fill="FFFFFF"/>
        </w:rPr>
        <w:t>RAV4; and</w:t>
      </w:r>
    </w:p>
    <w:p w:rsidR="003519F8" w:rsidRPr="00DF641F" w:rsidRDefault="00C45D3D" w:rsidP="00671E47">
      <w:pPr>
        <w:pStyle w:val="ListParagraph"/>
        <w:numPr>
          <w:ilvl w:val="0"/>
          <w:numId w:val="20"/>
        </w:numPr>
        <w:ind w:left="709" w:hanging="709"/>
        <w:rPr>
          <w:rFonts w:cs="Arial"/>
          <w:szCs w:val="24"/>
          <w:shd w:val="clear" w:color="auto" w:fill="FFFFFF"/>
        </w:rPr>
      </w:pPr>
      <w:r w:rsidRPr="00DF641F">
        <w:rPr>
          <w:rFonts w:cs="Arial"/>
          <w:szCs w:val="24"/>
          <w:shd w:val="clear" w:color="auto" w:fill="FFFFFF"/>
        </w:rPr>
        <w:t>W</w:t>
      </w:r>
      <w:r w:rsidR="003519F8" w:rsidRPr="00DF641F">
        <w:rPr>
          <w:rFonts w:cs="Arial"/>
          <w:szCs w:val="24"/>
          <w:shd w:val="clear" w:color="auto" w:fill="FFFFFF"/>
        </w:rPr>
        <w:t>hen making the representations, the appellant knew that:</w:t>
      </w:r>
    </w:p>
    <w:p w:rsidR="003519F8" w:rsidRPr="00DF641F" w:rsidRDefault="003519F8" w:rsidP="00697E07">
      <w:pPr>
        <w:pStyle w:val="ListParagraph"/>
        <w:numPr>
          <w:ilvl w:val="0"/>
          <w:numId w:val="21"/>
        </w:numPr>
        <w:rPr>
          <w:rFonts w:cs="Arial"/>
          <w:szCs w:val="24"/>
          <w:shd w:val="clear" w:color="auto" w:fill="FFFFFF"/>
        </w:rPr>
      </w:pPr>
      <w:r w:rsidRPr="00DF641F">
        <w:rPr>
          <w:rFonts w:cs="Arial"/>
          <w:szCs w:val="24"/>
          <w:shd w:val="clear" w:color="auto" w:fill="FFFFFF"/>
        </w:rPr>
        <w:t xml:space="preserve">The vehicle which </w:t>
      </w:r>
      <w:r w:rsidR="00697E07" w:rsidRPr="00DF641F">
        <w:rPr>
          <w:rFonts w:cs="Arial"/>
          <w:szCs w:val="24"/>
          <w:shd w:val="clear" w:color="auto" w:fill="FFFFFF"/>
        </w:rPr>
        <w:t>he</w:t>
      </w:r>
      <w:r w:rsidRPr="00DF641F">
        <w:rPr>
          <w:rFonts w:cs="Arial"/>
          <w:szCs w:val="24"/>
          <w:shd w:val="clear" w:color="auto" w:fill="FFFFFF"/>
        </w:rPr>
        <w:t xml:space="preserve"> used to undertake </w:t>
      </w:r>
      <w:r w:rsidR="00C45D3D" w:rsidRPr="00DF641F">
        <w:rPr>
          <w:rFonts w:cs="Arial"/>
          <w:szCs w:val="24"/>
          <w:shd w:val="clear" w:color="auto" w:fill="FFFFFF"/>
        </w:rPr>
        <w:t xml:space="preserve">the </w:t>
      </w:r>
      <w:r w:rsidRPr="00DF641F">
        <w:rPr>
          <w:rFonts w:cs="Arial"/>
          <w:szCs w:val="24"/>
          <w:shd w:val="clear" w:color="auto" w:fill="FFFFFF"/>
        </w:rPr>
        <w:t>official trips during the period was a Cadillac 200cc petrol sedan</w:t>
      </w:r>
      <w:r w:rsidR="00C45D3D" w:rsidRPr="00DF641F">
        <w:rPr>
          <w:rFonts w:cs="Arial"/>
          <w:szCs w:val="24"/>
          <w:shd w:val="clear" w:color="auto" w:fill="FFFFFF"/>
        </w:rPr>
        <w:t xml:space="preserve"> (the Cadillac)</w:t>
      </w:r>
      <w:r w:rsidRPr="00DF641F">
        <w:rPr>
          <w:rFonts w:cs="Arial"/>
          <w:szCs w:val="24"/>
          <w:shd w:val="clear" w:color="auto" w:fill="FFFFFF"/>
        </w:rPr>
        <w:t xml:space="preserve"> and not the RAV4</w:t>
      </w:r>
      <w:r w:rsidR="00C45D3D" w:rsidRPr="00DF641F">
        <w:rPr>
          <w:rFonts w:cs="Arial"/>
          <w:szCs w:val="24"/>
          <w:shd w:val="clear" w:color="auto" w:fill="FFFFFF"/>
        </w:rPr>
        <w:t xml:space="preserve"> and he</w:t>
      </w:r>
      <w:r w:rsidRPr="00DF641F">
        <w:rPr>
          <w:rFonts w:cs="Arial"/>
          <w:szCs w:val="24"/>
          <w:shd w:val="clear" w:color="auto" w:fill="FFFFFF"/>
        </w:rPr>
        <w:t xml:space="preserve"> was not entitled to submit claims on the tariff applicable to the RAV4, as he did not utilise that vehicle for undertaking official trips</w:t>
      </w:r>
      <w:r w:rsidR="00C45D3D" w:rsidRPr="00DF641F">
        <w:rPr>
          <w:rFonts w:cs="Arial"/>
          <w:szCs w:val="24"/>
          <w:shd w:val="clear" w:color="auto" w:fill="FFFFFF"/>
        </w:rPr>
        <w:t>;</w:t>
      </w:r>
    </w:p>
    <w:p w:rsidR="003519F8" w:rsidRPr="00DF641F" w:rsidRDefault="003519F8" w:rsidP="00697E07">
      <w:pPr>
        <w:pStyle w:val="ListParagraph"/>
        <w:numPr>
          <w:ilvl w:val="0"/>
          <w:numId w:val="21"/>
        </w:numPr>
        <w:rPr>
          <w:rFonts w:cs="Arial"/>
          <w:szCs w:val="24"/>
          <w:shd w:val="clear" w:color="auto" w:fill="FFFFFF"/>
        </w:rPr>
      </w:pPr>
      <w:r w:rsidRPr="00DF641F">
        <w:rPr>
          <w:rFonts w:cs="Arial"/>
          <w:szCs w:val="24"/>
          <w:shd w:val="clear" w:color="auto" w:fill="FFFFFF"/>
        </w:rPr>
        <w:t xml:space="preserve">The amounts that </w:t>
      </w:r>
      <w:r w:rsidR="00C45D3D" w:rsidRPr="00DF641F">
        <w:rPr>
          <w:rFonts w:cs="Arial"/>
          <w:szCs w:val="24"/>
          <w:shd w:val="clear" w:color="auto" w:fill="FFFFFF"/>
        </w:rPr>
        <w:t xml:space="preserve">he </w:t>
      </w:r>
      <w:r w:rsidRPr="00DF641F">
        <w:rPr>
          <w:rFonts w:cs="Arial"/>
          <w:szCs w:val="24"/>
          <w:shd w:val="clear" w:color="auto" w:fill="FFFFFF"/>
        </w:rPr>
        <w:t xml:space="preserve">was entitled to claim and receive from the Department as compensation for </w:t>
      </w:r>
      <w:r w:rsidR="00C45D3D" w:rsidRPr="00DF641F">
        <w:rPr>
          <w:rFonts w:cs="Arial"/>
          <w:szCs w:val="24"/>
          <w:shd w:val="clear" w:color="auto" w:fill="FFFFFF"/>
        </w:rPr>
        <w:t xml:space="preserve">the </w:t>
      </w:r>
      <w:r w:rsidRPr="00DF641F">
        <w:rPr>
          <w:rFonts w:cs="Arial"/>
          <w:szCs w:val="24"/>
          <w:shd w:val="clear" w:color="auto" w:fill="FFFFFF"/>
        </w:rPr>
        <w:t>official trips undertaken</w:t>
      </w:r>
      <w:r w:rsidR="00C45D3D" w:rsidRPr="00DF641F">
        <w:rPr>
          <w:rFonts w:cs="Arial"/>
          <w:szCs w:val="24"/>
          <w:shd w:val="clear" w:color="auto" w:fill="FFFFFF"/>
        </w:rPr>
        <w:t xml:space="preserve"> during the period</w:t>
      </w:r>
      <w:r w:rsidRPr="00DF641F">
        <w:rPr>
          <w:rFonts w:cs="Arial"/>
          <w:szCs w:val="24"/>
          <w:shd w:val="clear" w:color="auto" w:fill="FFFFFF"/>
        </w:rPr>
        <w:t xml:space="preserve"> were supposed to have been calculated in terms of the tariffs prescribed for </w:t>
      </w:r>
      <w:r w:rsidR="00C45D3D" w:rsidRPr="00DF641F">
        <w:rPr>
          <w:rFonts w:cs="Arial"/>
          <w:szCs w:val="24"/>
          <w:shd w:val="clear" w:color="auto" w:fill="FFFFFF"/>
        </w:rPr>
        <w:t xml:space="preserve">the </w:t>
      </w:r>
      <w:r w:rsidRPr="00DF641F">
        <w:rPr>
          <w:rFonts w:cs="Arial"/>
          <w:szCs w:val="24"/>
          <w:shd w:val="clear" w:color="auto" w:fill="FFFFFF"/>
        </w:rPr>
        <w:t>Cadillac</w:t>
      </w:r>
      <w:r w:rsidR="00C45D3D" w:rsidRPr="00DF641F">
        <w:rPr>
          <w:rFonts w:cs="Arial"/>
          <w:szCs w:val="24"/>
          <w:shd w:val="clear" w:color="auto" w:fill="FFFFFF"/>
        </w:rPr>
        <w:t>.</w:t>
      </w:r>
    </w:p>
    <w:p w:rsidR="003519F8" w:rsidRPr="00DF641F" w:rsidRDefault="00697E07" w:rsidP="003519F8">
      <w:pPr>
        <w:ind w:left="720" w:hanging="720"/>
        <w:rPr>
          <w:rFonts w:cs="Arial"/>
          <w:szCs w:val="24"/>
          <w:shd w:val="clear" w:color="auto" w:fill="FFFFFF"/>
        </w:rPr>
      </w:pPr>
      <w:r w:rsidRPr="00DF641F">
        <w:rPr>
          <w:rFonts w:cs="Arial"/>
          <w:szCs w:val="24"/>
          <w:shd w:val="clear" w:color="auto" w:fill="FFFFFF"/>
        </w:rPr>
        <w:t>(e)</w:t>
      </w:r>
      <w:r w:rsidR="003519F8" w:rsidRPr="00DF641F">
        <w:rPr>
          <w:rFonts w:cs="Arial"/>
          <w:szCs w:val="24"/>
          <w:shd w:val="clear" w:color="auto" w:fill="FFFFFF"/>
        </w:rPr>
        <w:tab/>
      </w:r>
      <w:r w:rsidR="007C197A" w:rsidRPr="00DF641F">
        <w:rPr>
          <w:rFonts w:cs="Arial"/>
          <w:szCs w:val="24"/>
          <w:shd w:val="clear" w:color="auto" w:fill="FFFFFF"/>
        </w:rPr>
        <w:t>As</w:t>
      </w:r>
      <w:r w:rsidR="003519F8" w:rsidRPr="00DF641F">
        <w:rPr>
          <w:rFonts w:cs="Arial"/>
          <w:szCs w:val="24"/>
          <w:shd w:val="clear" w:color="auto" w:fill="FFFFFF"/>
        </w:rPr>
        <w:t xml:space="preserve"> a result of the aforesaid misrepresentations,</w:t>
      </w:r>
      <w:r w:rsidR="00CD5C90" w:rsidRPr="00DF641F">
        <w:rPr>
          <w:rFonts w:cs="Arial"/>
          <w:szCs w:val="24"/>
          <w:shd w:val="clear" w:color="auto" w:fill="FFFFFF"/>
        </w:rPr>
        <w:t xml:space="preserve"> which the </w:t>
      </w:r>
      <w:r w:rsidR="007C197A" w:rsidRPr="00DF641F">
        <w:rPr>
          <w:rFonts w:cs="Arial"/>
          <w:szCs w:val="24"/>
          <w:shd w:val="clear" w:color="auto" w:fill="FFFFFF"/>
        </w:rPr>
        <w:t xml:space="preserve">Department </w:t>
      </w:r>
      <w:r w:rsidR="003519F8" w:rsidRPr="00DF641F">
        <w:rPr>
          <w:rFonts w:cs="Arial"/>
          <w:szCs w:val="24"/>
          <w:shd w:val="clear" w:color="auto" w:fill="FFFFFF"/>
        </w:rPr>
        <w:t>accept</w:t>
      </w:r>
      <w:r w:rsidR="007C197A" w:rsidRPr="00DF641F">
        <w:rPr>
          <w:rFonts w:cs="Arial"/>
          <w:szCs w:val="24"/>
          <w:shd w:val="clear" w:color="auto" w:fill="FFFFFF"/>
        </w:rPr>
        <w:t>ed</w:t>
      </w:r>
      <w:r w:rsidRPr="00DF641F">
        <w:rPr>
          <w:rFonts w:cs="Arial"/>
          <w:szCs w:val="24"/>
          <w:shd w:val="clear" w:color="auto" w:fill="FFFFFF"/>
        </w:rPr>
        <w:t>,</w:t>
      </w:r>
      <w:r w:rsidR="003519F8" w:rsidRPr="00DF641F">
        <w:rPr>
          <w:rFonts w:cs="Arial"/>
          <w:szCs w:val="24"/>
          <w:shd w:val="clear" w:color="auto" w:fill="FFFFFF"/>
        </w:rPr>
        <w:t xml:space="preserve"> </w:t>
      </w:r>
      <w:r w:rsidR="00CD5C90" w:rsidRPr="00DF641F">
        <w:rPr>
          <w:rFonts w:cs="Arial"/>
          <w:szCs w:val="24"/>
          <w:shd w:val="clear" w:color="auto" w:fill="FFFFFF"/>
        </w:rPr>
        <w:t xml:space="preserve">it </w:t>
      </w:r>
      <w:r w:rsidR="003519F8" w:rsidRPr="00DF641F">
        <w:rPr>
          <w:rFonts w:cs="Arial"/>
          <w:szCs w:val="24"/>
          <w:shd w:val="clear" w:color="auto" w:fill="FFFFFF"/>
        </w:rPr>
        <w:t>process</w:t>
      </w:r>
      <w:r w:rsidR="007C197A" w:rsidRPr="00DF641F">
        <w:rPr>
          <w:rFonts w:cs="Arial"/>
          <w:szCs w:val="24"/>
          <w:shd w:val="clear" w:color="auto" w:fill="FFFFFF"/>
        </w:rPr>
        <w:t>ed</w:t>
      </w:r>
      <w:r w:rsidRPr="00DF641F">
        <w:rPr>
          <w:rFonts w:cs="Arial"/>
          <w:szCs w:val="24"/>
          <w:shd w:val="clear" w:color="auto" w:fill="FFFFFF"/>
        </w:rPr>
        <w:t xml:space="preserve"> the claims </w:t>
      </w:r>
      <w:r w:rsidR="007C197A" w:rsidRPr="00DF641F">
        <w:rPr>
          <w:rFonts w:cs="Arial"/>
          <w:szCs w:val="24"/>
          <w:shd w:val="clear" w:color="auto" w:fill="FFFFFF"/>
        </w:rPr>
        <w:t xml:space="preserve">and paid the appellant </w:t>
      </w:r>
      <w:r w:rsidRPr="00DF641F">
        <w:rPr>
          <w:rFonts w:cs="Arial"/>
          <w:szCs w:val="24"/>
          <w:shd w:val="clear" w:color="auto" w:fill="FFFFFF"/>
        </w:rPr>
        <w:t>i</w:t>
      </w:r>
      <w:r w:rsidR="003519F8" w:rsidRPr="00DF641F">
        <w:rPr>
          <w:rFonts w:cs="Arial"/>
          <w:szCs w:val="24"/>
          <w:shd w:val="clear" w:color="auto" w:fill="FFFFFF"/>
        </w:rPr>
        <w:t xml:space="preserve">n terms of the tariff </w:t>
      </w:r>
      <w:r w:rsidR="003519F8" w:rsidRPr="00DF641F">
        <w:rPr>
          <w:rFonts w:cs="Arial"/>
          <w:szCs w:val="24"/>
          <w:shd w:val="clear" w:color="auto" w:fill="FFFFFF"/>
        </w:rPr>
        <w:lastRenderedPageBreak/>
        <w:t>applicable to the RAV4, instead of processing the claims in terms of the tariffs prescribed for the Cadillac</w:t>
      </w:r>
      <w:r w:rsidR="007C197A" w:rsidRPr="00DF641F">
        <w:rPr>
          <w:rFonts w:cs="Arial"/>
          <w:szCs w:val="24"/>
          <w:shd w:val="clear" w:color="auto" w:fill="FFFFFF"/>
        </w:rPr>
        <w:t xml:space="preserve">. This was </w:t>
      </w:r>
      <w:r w:rsidR="003519F8" w:rsidRPr="00DF641F">
        <w:rPr>
          <w:rFonts w:cs="Arial"/>
          <w:szCs w:val="24"/>
          <w:shd w:val="clear" w:color="auto" w:fill="FFFFFF"/>
        </w:rPr>
        <w:t xml:space="preserve">to the </w:t>
      </w:r>
      <w:r w:rsidR="007C197A" w:rsidRPr="00DF641F">
        <w:rPr>
          <w:rFonts w:cs="Arial"/>
          <w:szCs w:val="24"/>
          <w:shd w:val="clear" w:color="auto" w:fill="FFFFFF"/>
        </w:rPr>
        <w:t>p</w:t>
      </w:r>
      <w:r w:rsidR="003519F8" w:rsidRPr="00DF641F">
        <w:rPr>
          <w:rFonts w:cs="Arial"/>
          <w:szCs w:val="24"/>
          <w:shd w:val="clear" w:color="auto" w:fill="FFFFFF"/>
        </w:rPr>
        <w:t xml:space="preserve">rejudice of the Department in </w:t>
      </w:r>
      <w:r w:rsidR="007C197A" w:rsidRPr="00DF641F">
        <w:rPr>
          <w:rFonts w:cs="Arial"/>
          <w:szCs w:val="24"/>
          <w:shd w:val="clear" w:color="auto" w:fill="FFFFFF"/>
        </w:rPr>
        <w:t xml:space="preserve">that </w:t>
      </w:r>
      <w:r w:rsidR="003519F8" w:rsidRPr="00DF641F">
        <w:rPr>
          <w:rFonts w:cs="Arial"/>
          <w:szCs w:val="24"/>
          <w:shd w:val="clear" w:color="auto" w:fill="FFFFFF"/>
        </w:rPr>
        <w:t>the</w:t>
      </w:r>
      <w:r w:rsidR="007C197A" w:rsidRPr="00DF641F">
        <w:rPr>
          <w:rFonts w:cs="Arial"/>
          <w:szCs w:val="24"/>
          <w:shd w:val="clear" w:color="auto" w:fill="FFFFFF"/>
        </w:rPr>
        <w:t xml:space="preserve"> difference between the amount</w:t>
      </w:r>
      <w:r w:rsidR="003519F8" w:rsidRPr="00DF641F">
        <w:rPr>
          <w:rFonts w:cs="Arial"/>
          <w:szCs w:val="24"/>
          <w:shd w:val="clear" w:color="auto" w:fill="FFFFFF"/>
        </w:rPr>
        <w:t xml:space="preserve"> claimed and received, and the amount</w:t>
      </w:r>
      <w:r w:rsidR="007C197A" w:rsidRPr="00DF641F">
        <w:rPr>
          <w:rFonts w:cs="Arial"/>
          <w:szCs w:val="24"/>
          <w:shd w:val="clear" w:color="auto" w:fill="FFFFFF"/>
        </w:rPr>
        <w:t xml:space="preserve"> which should have been claimed </w:t>
      </w:r>
      <w:r w:rsidRPr="00DF641F">
        <w:rPr>
          <w:rFonts w:cs="Arial"/>
          <w:szCs w:val="24"/>
          <w:shd w:val="clear" w:color="auto" w:fill="FFFFFF"/>
        </w:rPr>
        <w:t xml:space="preserve">and paid out </w:t>
      </w:r>
      <w:r w:rsidR="007C197A" w:rsidRPr="00DF641F">
        <w:rPr>
          <w:rFonts w:cs="Arial"/>
          <w:szCs w:val="24"/>
          <w:shd w:val="clear" w:color="auto" w:fill="FFFFFF"/>
        </w:rPr>
        <w:t>was R10 353.09.</w:t>
      </w:r>
    </w:p>
    <w:p w:rsidR="00B933F1" w:rsidRPr="00DF641F" w:rsidRDefault="003519F8" w:rsidP="00CC2949">
      <w:pPr>
        <w:rPr>
          <w:rFonts w:cs="Arial"/>
          <w:szCs w:val="24"/>
          <w:shd w:val="clear" w:color="auto" w:fill="FFFFFF"/>
        </w:rPr>
      </w:pPr>
      <w:r w:rsidRPr="00DF641F" w:rsidDel="003519F8">
        <w:rPr>
          <w:rFonts w:cs="Arial"/>
          <w:szCs w:val="24"/>
          <w:shd w:val="clear" w:color="auto" w:fill="FFFFFF"/>
        </w:rPr>
        <w:t xml:space="preserve"> </w:t>
      </w:r>
    </w:p>
    <w:p w:rsidR="00944AEC" w:rsidRPr="00DF641F" w:rsidRDefault="002F2003" w:rsidP="00B933F1">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6</w:t>
      </w:r>
      <w:r w:rsidRPr="00DF641F">
        <w:rPr>
          <w:rFonts w:cs="Arial"/>
          <w:szCs w:val="24"/>
          <w:shd w:val="clear" w:color="auto" w:fill="FFFFFF"/>
        </w:rPr>
        <w:t>]</w:t>
      </w:r>
      <w:r w:rsidRPr="00DF641F">
        <w:rPr>
          <w:rFonts w:cs="Arial"/>
          <w:szCs w:val="24"/>
          <w:shd w:val="clear" w:color="auto" w:fill="FFFFFF"/>
        </w:rPr>
        <w:tab/>
      </w:r>
      <w:r w:rsidR="006619B8" w:rsidRPr="00DF641F">
        <w:rPr>
          <w:rFonts w:cs="Arial"/>
          <w:szCs w:val="24"/>
          <w:shd w:val="clear" w:color="auto" w:fill="FFFFFF"/>
        </w:rPr>
        <w:t xml:space="preserve">In respect of count 21 </w:t>
      </w:r>
      <w:r w:rsidR="00CB5700" w:rsidRPr="00DF641F">
        <w:rPr>
          <w:rFonts w:cs="Arial"/>
          <w:szCs w:val="24"/>
          <w:shd w:val="clear" w:color="auto" w:fill="FFFFFF"/>
        </w:rPr>
        <w:t>–</w:t>
      </w:r>
      <w:r w:rsidR="00944AEC" w:rsidRPr="00DF641F">
        <w:rPr>
          <w:rFonts w:cs="Arial"/>
          <w:szCs w:val="24"/>
          <w:shd w:val="clear" w:color="auto" w:fill="FFFFFF"/>
        </w:rPr>
        <w:t xml:space="preserve"> defeating or obstructing the course of justice</w:t>
      </w:r>
      <w:r w:rsidR="00CB5700" w:rsidRPr="00DF641F">
        <w:rPr>
          <w:rFonts w:cs="Arial"/>
          <w:szCs w:val="24"/>
          <w:shd w:val="clear" w:color="auto" w:fill="FFFFFF"/>
        </w:rPr>
        <w:t xml:space="preserve"> – </w:t>
      </w:r>
      <w:r w:rsidR="00944AEC" w:rsidRPr="00DF641F">
        <w:rPr>
          <w:rFonts w:cs="Arial"/>
          <w:szCs w:val="24"/>
          <w:shd w:val="clear" w:color="auto" w:fill="FFFFFF"/>
        </w:rPr>
        <w:t xml:space="preserve">the appellant was indicted on the </w:t>
      </w:r>
      <w:r w:rsidR="001B4BFC" w:rsidRPr="00DF641F">
        <w:rPr>
          <w:rFonts w:cs="Arial"/>
          <w:szCs w:val="24"/>
          <w:shd w:val="clear" w:color="auto" w:fill="FFFFFF"/>
        </w:rPr>
        <w:t>following facts. D</w:t>
      </w:r>
      <w:r w:rsidR="00944AEC" w:rsidRPr="00DF641F">
        <w:rPr>
          <w:rFonts w:cs="Arial"/>
          <w:szCs w:val="24"/>
          <w:shd w:val="clear" w:color="auto" w:fill="FFFFFF"/>
        </w:rPr>
        <w:t xml:space="preserve">uring or about May </w:t>
      </w:r>
      <w:r w:rsidR="00CE1CCD" w:rsidRPr="00DF641F">
        <w:rPr>
          <w:rFonts w:cs="Arial"/>
          <w:szCs w:val="24"/>
          <w:shd w:val="clear" w:color="auto" w:fill="FFFFFF"/>
        </w:rPr>
        <w:t>2009</w:t>
      </w:r>
      <w:r w:rsidR="007B6DF1" w:rsidRPr="00DF641F">
        <w:rPr>
          <w:rFonts w:cs="Arial"/>
          <w:szCs w:val="24"/>
          <w:shd w:val="clear" w:color="auto" w:fill="FFFFFF"/>
        </w:rPr>
        <w:t>,</w:t>
      </w:r>
      <w:r w:rsidR="00CE1CCD" w:rsidRPr="00DF641F">
        <w:rPr>
          <w:rFonts w:cs="Arial"/>
          <w:szCs w:val="24"/>
          <w:shd w:val="clear" w:color="auto" w:fill="FFFFFF"/>
        </w:rPr>
        <w:t xml:space="preserve"> </w:t>
      </w:r>
      <w:r w:rsidR="007C197A" w:rsidRPr="00DF641F">
        <w:rPr>
          <w:rFonts w:cs="Arial"/>
          <w:szCs w:val="24"/>
          <w:shd w:val="clear" w:color="auto" w:fill="FFFFFF"/>
        </w:rPr>
        <w:t xml:space="preserve">the appellant, </w:t>
      </w:r>
      <w:r w:rsidR="00944AEC" w:rsidRPr="00DF641F">
        <w:rPr>
          <w:rFonts w:cs="Arial"/>
          <w:szCs w:val="24"/>
          <w:shd w:val="clear" w:color="auto" w:fill="FFFFFF"/>
        </w:rPr>
        <w:t>in his capacity a</w:t>
      </w:r>
      <w:r w:rsidR="006619B8" w:rsidRPr="00DF641F">
        <w:rPr>
          <w:rFonts w:cs="Arial"/>
          <w:szCs w:val="24"/>
          <w:shd w:val="clear" w:color="auto" w:fill="FFFFFF"/>
        </w:rPr>
        <w:t>s a</w:t>
      </w:r>
      <w:r w:rsidR="007C197A" w:rsidRPr="00DF641F">
        <w:rPr>
          <w:rFonts w:cs="Arial"/>
          <w:szCs w:val="24"/>
          <w:shd w:val="clear" w:color="auto" w:fill="FFFFFF"/>
        </w:rPr>
        <w:t xml:space="preserve"> magistrate, </w:t>
      </w:r>
      <w:r w:rsidR="00A7345C" w:rsidRPr="00DF641F">
        <w:rPr>
          <w:rFonts w:cs="Arial"/>
          <w:szCs w:val="24"/>
          <w:shd w:val="clear" w:color="auto" w:fill="FFFFFF"/>
        </w:rPr>
        <w:t>unlawfully and with the intent to defeat or obstruct the course of justice, reduced a fine of R1 000 to an amount of R700 in respect of a written notice issued by a traffic official to one Herman M</w:t>
      </w:r>
      <w:r w:rsidR="001B4BFC" w:rsidRPr="00DF641F">
        <w:rPr>
          <w:rFonts w:cs="Arial"/>
          <w:szCs w:val="24"/>
          <w:shd w:val="clear" w:color="auto" w:fill="FFFFFF"/>
        </w:rPr>
        <w:t>u</w:t>
      </w:r>
      <w:r w:rsidR="00697E07" w:rsidRPr="00DF641F">
        <w:rPr>
          <w:rFonts w:cs="Arial"/>
          <w:szCs w:val="24"/>
          <w:shd w:val="clear" w:color="auto" w:fill="FFFFFF"/>
        </w:rPr>
        <w:t>dau</w:t>
      </w:r>
      <w:r w:rsidR="00C567DD" w:rsidRPr="00DF641F">
        <w:rPr>
          <w:rFonts w:cs="Arial"/>
          <w:szCs w:val="24"/>
          <w:shd w:val="clear" w:color="auto" w:fill="FFFFFF"/>
        </w:rPr>
        <w:t xml:space="preserve">. </w:t>
      </w:r>
      <w:r w:rsidR="00697E07" w:rsidRPr="00DF641F">
        <w:rPr>
          <w:rFonts w:cs="Arial"/>
          <w:szCs w:val="24"/>
          <w:shd w:val="clear" w:color="auto" w:fill="FFFFFF"/>
        </w:rPr>
        <w:t xml:space="preserve">Mr </w:t>
      </w:r>
      <w:r w:rsidR="007C197A" w:rsidRPr="00DF641F">
        <w:rPr>
          <w:rFonts w:cs="Arial"/>
          <w:szCs w:val="24"/>
          <w:shd w:val="clear" w:color="auto" w:fill="FFFFFF"/>
        </w:rPr>
        <w:t>Mudau</w:t>
      </w:r>
      <w:r w:rsidR="00F21CAD" w:rsidRPr="00DF641F">
        <w:rPr>
          <w:rFonts w:cs="Arial"/>
          <w:szCs w:val="24"/>
          <w:shd w:val="clear" w:color="auto" w:fill="FFFFFF"/>
        </w:rPr>
        <w:t xml:space="preserve"> had </w:t>
      </w:r>
      <w:r w:rsidR="00253698" w:rsidRPr="00DF641F">
        <w:rPr>
          <w:rFonts w:cs="Arial"/>
          <w:szCs w:val="24"/>
          <w:shd w:val="clear" w:color="auto" w:fill="FFFFFF"/>
        </w:rPr>
        <w:t>approached the office of the prosecutor with an application for a reduction of the amount of the fine</w:t>
      </w:r>
      <w:r w:rsidR="00F21CAD" w:rsidRPr="00DF641F">
        <w:rPr>
          <w:rFonts w:cs="Arial"/>
          <w:szCs w:val="24"/>
          <w:shd w:val="clear" w:color="auto" w:fill="FFFFFF"/>
        </w:rPr>
        <w:t xml:space="preserve">, </w:t>
      </w:r>
      <w:r w:rsidR="00253698" w:rsidRPr="00DF641F">
        <w:rPr>
          <w:rFonts w:cs="Arial"/>
          <w:szCs w:val="24"/>
          <w:shd w:val="clear" w:color="auto" w:fill="FFFFFF"/>
        </w:rPr>
        <w:t xml:space="preserve">and the application was rejected by the prosecutor. </w:t>
      </w:r>
    </w:p>
    <w:p w:rsidR="002F2003" w:rsidRPr="00DF641F" w:rsidRDefault="002F2003" w:rsidP="00B72B7F">
      <w:pPr>
        <w:rPr>
          <w:rFonts w:cs="Arial"/>
          <w:szCs w:val="24"/>
          <w:shd w:val="clear" w:color="auto" w:fill="FFFFFF"/>
        </w:rPr>
      </w:pPr>
    </w:p>
    <w:p w:rsidR="00680BF3" w:rsidRPr="00DF641F" w:rsidRDefault="00680BF3" w:rsidP="003C27E4">
      <w:pPr>
        <w:rPr>
          <w:rFonts w:cs="Arial"/>
          <w:b/>
          <w:szCs w:val="24"/>
          <w:shd w:val="clear" w:color="auto" w:fill="FFFFFF"/>
        </w:rPr>
      </w:pPr>
      <w:r w:rsidRPr="00DF641F">
        <w:rPr>
          <w:rFonts w:cs="Arial"/>
          <w:b/>
          <w:szCs w:val="24"/>
          <w:shd w:val="clear" w:color="auto" w:fill="FFFFFF"/>
        </w:rPr>
        <w:t>Admissions made in terms of s 220 of the CPA</w:t>
      </w:r>
    </w:p>
    <w:p w:rsidR="001B4BFC" w:rsidRPr="00DF641F" w:rsidRDefault="002F2003"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7</w:t>
      </w:r>
      <w:r w:rsidRPr="00DF641F">
        <w:rPr>
          <w:rFonts w:cs="Arial"/>
          <w:szCs w:val="24"/>
          <w:shd w:val="clear" w:color="auto" w:fill="FFFFFF"/>
        </w:rPr>
        <w:t>]</w:t>
      </w:r>
      <w:r w:rsidRPr="00DF641F">
        <w:rPr>
          <w:rFonts w:cs="Arial"/>
          <w:szCs w:val="24"/>
          <w:shd w:val="clear" w:color="auto" w:fill="FFFFFF"/>
        </w:rPr>
        <w:tab/>
      </w:r>
      <w:r w:rsidR="00680BF3" w:rsidRPr="00DF641F">
        <w:rPr>
          <w:rFonts w:cs="Arial"/>
          <w:szCs w:val="24"/>
          <w:shd w:val="clear" w:color="auto" w:fill="FFFFFF"/>
        </w:rPr>
        <w:t>The admissions made by the appellant which are relevant to this appeal include the following:</w:t>
      </w:r>
    </w:p>
    <w:p w:rsidR="00680BF3" w:rsidRPr="00DF641F" w:rsidRDefault="002F2003" w:rsidP="00CC2949">
      <w:pPr>
        <w:ind w:left="720" w:hanging="720"/>
        <w:rPr>
          <w:rFonts w:cs="Arial"/>
          <w:sz w:val="22"/>
          <w:shd w:val="clear" w:color="auto" w:fill="FFFFFF"/>
        </w:rPr>
      </w:pPr>
      <w:r w:rsidRPr="00DF641F">
        <w:rPr>
          <w:rFonts w:cs="Arial"/>
          <w:sz w:val="22"/>
          <w:shd w:val="clear" w:color="auto" w:fill="FFFFFF"/>
        </w:rPr>
        <w:t>‘</w:t>
      </w:r>
      <w:r w:rsidR="001B4BFC" w:rsidRPr="00DF641F">
        <w:rPr>
          <w:rFonts w:cs="Arial"/>
          <w:sz w:val="22"/>
          <w:shd w:val="clear" w:color="auto" w:fill="FFFFFF"/>
        </w:rPr>
        <w:t>1.6</w:t>
      </w:r>
      <w:r w:rsidRPr="00DF641F">
        <w:rPr>
          <w:rFonts w:cs="Arial"/>
          <w:sz w:val="22"/>
          <w:shd w:val="clear" w:color="auto" w:fill="FFFFFF"/>
        </w:rPr>
        <w:tab/>
      </w:r>
      <w:r w:rsidR="00680BF3" w:rsidRPr="00DF641F">
        <w:rPr>
          <w:rFonts w:cs="Arial"/>
          <w:sz w:val="22"/>
          <w:shd w:val="clear" w:color="auto" w:fill="FFFFFF"/>
        </w:rPr>
        <w:t xml:space="preserve">By virtue of his position as Head of </w:t>
      </w:r>
      <w:r w:rsidR="001B4BFC" w:rsidRPr="00DF641F">
        <w:rPr>
          <w:rFonts w:cs="Arial"/>
          <w:sz w:val="22"/>
          <w:shd w:val="clear" w:color="auto" w:fill="FFFFFF"/>
        </w:rPr>
        <w:t xml:space="preserve">the </w:t>
      </w:r>
      <w:r w:rsidR="00680BF3" w:rsidRPr="00DF641F">
        <w:rPr>
          <w:rFonts w:cs="Arial"/>
          <w:sz w:val="22"/>
          <w:shd w:val="clear" w:color="auto" w:fill="FFFFFF"/>
        </w:rPr>
        <w:t xml:space="preserve">Office, </w:t>
      </w:r>
      <w:r w:rsidR="001B4BFC" w:rsidRPr="00DF641F">
        <w:rPr>
          <w:rFonts w:cs="Arial"/>
          <w:sz w:val="22"/>
          <w:shd w:val="clear" w:color="auto" w:fill="FFFFFF"/>
        </w:rPr>
        <w:t>[</w:t>
      </w:r>
      <w:r w:rsidR="00680BF3" w:rsidRPr="00DF641F">
        <w:rPr>
          <w:rFonts w:cs="Arial"/>
          <w:sz w:val="22"/>
          <w:shd w:val="clear" w:color="auto" w:fill="FFFFFF"/>
        </w:rPr>
        <w:t>the appellant</w:t>
      </w:r>
      <w:r w:rsidR="001B4BFC" w:rsidRPr="00DF641F">
        <w:rPr>
          <w:rFonts w:cs="Arial"/>
          <w:sz w:val="22"/>
          <w:shd w:val="clear" w:color="auto" w:fill="FFFFFF"/>
        </w:rPr>
        <w:t>]</w:t>
      </w:r>
      <w:r w:rsidR="00671E47" w:rsidRPr="00DF641F">
        <w:rPr>
          <w:rFonts w:cs="Arial"/>
          <w:sz w:val="22"/>
          <w:shd w:val="clear" w:color="auto" w:fill="FFFFFF"/>
        </w:rPr>
        <w:t xml:space="preserve"> </w:t>
      </w:r>
      <w:r w:rsidR="00680BF3" w:rsidRPr="00DF641F">
        <w:rPr>
          <w:rFonts w:cs="Arial"/>
          <w:sz w:val="22"/>
          <w:shd w:val="clear" w:color="auto" w:fill="FFFFFF"/>
        </w:rPr>
        <w:t xml:space="preserve">was </w:t>
      </w:r>
      <w:r w:rsidR="001B4BFC" w:rsidRPr="00DF641F">
        <w:rPr>
          <w:rFonts w:cs="Arial"/>
          <w:sz w:val="22"/>
          <w:shd w:val="clear" w:color="auto" w:fill="FFFFFF"/>
        </w:rPr>
        <w:t xml:space="preserve">in terms of the motor vehicle financing benefit for magistrates </w:t>
      </w:r>
      <w:r w:rsidR="00680BF3" w:rsidRPr="00DF641F">
        <w:rPr>
          <w:rFonts w:cs="Arial"/>
          <w:sz w:val="22"/>
          <w:shd w:val="clear" w:color="auto" w:fill="FFFFFF"/>
        </w:rPr>
        <w:t xml:space="preserve">entitled to be reimbursed for kilometres travelled </w:t>
      </w:r>
      <w:r w:rsidR="007F216A" w:rsidRPr="00DF641F">
        <w:rPr>
          <w:rFonts w:cs="Arial"/>
          <w:sz w:val="22"/>
          <w:shd w:val="clear" w:color="auto" w:fill="FFFFFF"/>
        </w:rPr>
        <w:t>[</w:t>
      </w:r>
      <w:r w:rsidR="00680BF3" w:rsidRPr="00DF641F">
        <w:rPr>
          <w:rFonts w:cs="Arial"/>
          <w:sz w:val="22"/>
          <w:shd w:val="clear" w:color="auto" w:fill="FFFFFF"/>
        </w:rPr>
        <w:t>on official business</w:t>
      </w:r>
      <w:r w:rsidR="007F216A" w:rsidRPr="00DF641F">
        <w:rPr>
          <w:rFonts w:cs="Arial"/>
          <w:sz w:val="22"/>
          <w:shd w:val="clear" w:color="auto" w:fill="FFFFFF"/>
        </w:rPr>
        <w:t>]</w:t>
      </w:r>
      <w:r w:rsidR="00680BF3" w:rsidRPr="00DF641F">
        <w:rPr>
          <w:rFonts w:cs="Arial"/>
          <w:sz w:val="22"/>
          <w:shd w:val="clear" w:color="auto" w:fill="FFFFFF"/>
        </w:rPr>
        <w:t>;</w:t>
      </w:r>
    </w:p>
    <w:p w:rsidR="00680BF3" w:rsidRPr="00DF641F" w:rsidRDefault="007F216A" w:rsidP="00CC2949">
      <w:pPr>
        <w:ind w:left="720" w:hanging="720"/>
        <w:rPr>
          <w:rFonts w:cs="Arial"/>
          <w:sz w:val="22"/>
          <w:shd w:val="clear" w:color="auto" w:fill="FFFFFF"/>
        </w:rPr>
      </w:pPr>
      <w:r w:rsidRPr="00DF641F">
        <w:rPr>
          <w:rFonts w:cs="Arial"/>
          <w:sz w:val="22"/>
          <w:shd w:val="clear" w:color="auto" w:fill="FFFFFF"/>
        </w:rPr>
        <w:t>1.7</w:t>
      </w:r>
      <w:r w:rsidR="002F2003" w:rsidRPr="00DF641F">
        <w:rPr>
          <w:rFonts w:cs="Arial"/>
          <w:sz w:val="22"/>
          <w:shd w:val="clear" w:color="auto" w:fill="FFFFFF"/>
        </w:rPr>
        <w:tab/>
      </w:r>
      <w:r w:rsidR="00680BF3" w:rsidRPr="00DF641F">
        <w:rPr>
          <w:rFonts w:cs="Arial"/>
          <w:sz w:val="22"/>
          <w:shd w:val="clear" w:color="auto" w:fill="FFFFFF"/>
        </w:rPr>
        <w:t xml:space="preserve">General </w:t>
      </w:r>
      <w:r w:rsidRPr="00DF641F">
        <w:rPr>
          <w:rFonts w:cs="Arial"/>
          <w:sz w:val="22"/>
          <w:shd w:val="clear" w:color="auto" w:fill="FFFFFF"/>
        </w:rPr>
        <w:t>m</w:t>
      </w:r>
      <w:r w:rsidR="00680BF3" w:rsidRPr="00DF641F">
        <w:rPr>
          <w:rFonts w:cs="Arial"/>
          <w:sz w:val="22"/>
          <w:shd w:val="clear" w:color="auto" w:fill="FFFFFF"/>
        </w:rPr>
        <w:t>inute</w:t>
      </w:r>
      <w:r w:rsidRPr="00DF641F">
        <w:rPr>
          <w:rFonts w:cs="Arial"/>
          <w:sz w:val="22"/>
          <w:shd w:val="clear" w:color="auto" w:fill="FFFFFF"/>
        </w:rPr>
        <w:t xml:space="preserve"> 19 of 2008 . . . </w:t>
      </w:r>
      <w:r w:rsidR="00680BF3" w:rsidRPr="00DF641F">
        <w:rPr>
          <w:rFonts w:cs="Arial"/>
          <w:sz w:val="22"/>
          <w:shd w:val="clear" w:color="auto" w:fill="FFFFFF"/>
        </w:rPr>
        <w:t xml:space="preserve">makes provision for the amounts that </w:t>
      </w:r>
      <w:r w:rsidRPr="00DF641F">
        <w:rPr>
          <w:rFonts w:cs="Arial"/>
          <w:sz w:val="22"/>
          <w:shd w:val="clear" w:color="auto" w:fill="FFFFFF"/>
        </w:rPr>
        <w:t>M</w:t>
      </w:r>
      <w:r w:rsidR="00680BF3" w:rsidRPr="00DF641F">
        <w:rPr>
          <w:rFonts w:cs="Arial"/>
          <w:sz w:val="22"/>
          <w:shd w:val="clear" w:color="auto" w:fill="FFFFFF"/>
        </w:rPr>
        <w:t>agistrates can claim in respect of kilometres travelled;</w:t>
      </w:r>
    </w:p>
    <w:p w:rsidR="00680BF3" w:rsidRPr="00DF641F" w:rsidRDefault="00064135" w:rsidP="00CC2949">
      <w:pPr>
        <w:ind w:left="720" w:hanging="720"/>
        <w:rPr>
          <w:rFonts w:cs="Arial"/>
          <w:sz w:val="22"/>
          <w:shd w:val="clear" w:color="auto" w:fill="FFFFFF"/>
        </w:rPr>
      </w:pPr>
      <w:r w:rsidRPr="00DF641F">
        <w:rPr>
          <w:rFonts w:cs="Arial"/>
          <w:sz w:val="22"/>
          <w:shd w:val="clear" w:color="auto" w:fill="FFFFFF"/>
        </w:rPr>
        <w:t>1.8</w:t>
      </w:r>
      <w:r w:rsidR="002F2003" w:rsidRPr="00DF641F">
        <w:rPr>
          <w:rFonts w:cs="Arial"/>
          <w:sz w:val="22"/>
          <w:shd w:val="clear" w:color="auto" w:fill="FFFFFF"/>
        </w:rPr>
        <w:tab/>
      </w:r>
      <w:r w:rsidR="007F216A" w:rsidRPr="00DF641F">
        <w:rPr>
          <w:rFonts w:cs="Arial"/>
          <w:sz w:val="22"/>
          <w:shd w:val="clear" w:color="auto" w:fill="FFFFFF"/>
        </w:rPr>
        <w:t xml:space="preserve">The General minute further prescribes tariffs for different categories </w:t>
      </w:r>
      <w:r w:rsidR="00680BF3" w:rsidRPr="00DF641F">
        <w:rPr>
          <w:rFonts w:cs="Arial"/>
          <w:sz w:val="22"/>
          <w:shd w:val="clear" w:color="auto" w:fill="FFFFFF"/>
        </w:rPr>
        <w:t>of vehicles</w:t>
      </w:r>
      <w:r w:rsidR="007F216A" w:rsidRPr="00DF641F">
        <w:rPr>
          <w:rFonts w:cs="Arial"/>
          <w:sz w:val="22"/>
          <w:shd w:val="clear" w:color="auto" w:fill="FFFFFF"/>
        </w:rPr>
        <w:t xml:space="preserve"> in terms of which the amount to be claimed as compensation for official trips undertaken by the Magistrates are determined</w:t>
      </w:r>
      <w:r w:rsidR="00680BF3" w:rsidRPr="00DF641F">
        <w:rPr>
          <w:rFonts w:cs="Arial"/>
          <w:sz w:val="22"/>
          <w:shd w:val="clear" w:color="auto" w:fill="FFFFFF"/>
        </w:rPr>
        <w:t>;</w:t>
      </w:r>
    </w:p>
    <w:p w:rsidR="00680BF3" w:rsidRPr="00DF641F" w:rsidRDefault="00064135" w:rsidP="00CC2949">
      <w:pPr>
        <w:ind w:left="720" w:hanging="720"/>
        <w:rPr>
          <w:rFonts w:cs="Arial"/>
          <w:sz w:val="22"/>
          <w:shd w:val="clear" w:color="auto" w:fill="FFFFFF"/>
        </w:rPr>
      </w:pPr>
      <w:bookmarkStart w:id="1" w:name="_Ref89769982"/>
      <w:r w:rsidRPr="00DF641F">
        <w:rPr>
          <w:rFonts w:cs="Arial"/>
          <w:sz w:val="22"/>
          <w:shd w:val="clear" w:color="auto" w:fill="FFFFFF"/>
        </w:rPr>
        <w:t>1.9</w:t>
      </w:r>
      <w:r w:rsidR="002F2003" w:rsidRPr="00DF641F">
        <w:rPr>
          <w:rFonts w:cs="Arial"/>
          <w:sz w:val="22"/>
          <w:shd w:val="clear" w:color="auto" w:fill="FFFFFF"/>
        </w:rPr>
        <w:tab/>
      </w:r>
      <w:r w:rsidR="007F216A" w:rsidRPr="00DF641F">
        <w:rPr>
          <w:rFonts w:cs="Arial"/>
          <w:sz w:val="22"/>
          <w:shd w:val="clear" w:color="auto" w:fill="FFFFFF"/>
        </w:rPr>
        <w:t xml:space="preserve">A </w:t>
      </w:r>
      <w:r w:rsidR="00680BF3" w:rsidRPr="00DF641F">
        <w:rPr>
          <w:rFonts w:cs="Arial"/>
          <w:sz w:val="22"/>
          <w:shd w:val="clear" w:color="auto" w:fill="FFFFFF"/>
        </w:rPr>
        <w:t>Magistrate</w:t>
      </w:r>
      <w:r w:rsidR="007F216A" w:rsidRPr="00DF641F">
        <w:rPr>
          <w:rFonts w:cs="Arial"/>
          <w:sz w:val="22"/>
          <w:shd w:val="clear" w:color="auto" w:fill="FFFFFF"/>
        </w:rPr>
        <w:t xml:space="preserve"> who qualifies for the travelling allowance is</w:t>
      </w:r>
      <w:r w:rsidR="00680BF3" w:rsidRPr="00DF641F">
        <w:rPr>
          <w:rFonts w:cs="Arial"/>
          <w:sz w:val="22"/>
          <w:shd w:val="clear" w:color="auto" w:fill="FFFFFF"/>
        </w:rPr>
        <w:t xml:space="preserve"> obliged to submit particulars of the vehicle </w:t>
      </w:r>
      <w:r w:rsidR="007F216A" w:rsidRPr="00DF641F">
        <w:rPr>
          <w:rFonts w:cs="Arial"/>
          <w:sz w:val="22"/>
          <w:shd w:val="clear" w:color="auto" w:fill="FFFFFF"/>
        </w:rPr>
        <w:t>he/she</w:t>
      </w:r>
      <w:r w:rsidR="00680BF3" w:rsidRPr="00DF641F">
        <w:rPr>
          <w:rFonts w:cs="Arial"/>
          <w:sz w:val="22"/>
          <w:shd w:val="clear" w:color="auto" w:fill="FFFFFF"/>
        </w:rPr>
        <w:t xml:space="preserve"> intend</w:t>
      </w:r>
      <w:r w:rsidR="007F216A" w:rsidRPr="00DF641F">
        <w:rPr>
          <w:rFonts w:cs="Arial"/>
          <w:sz w:val="22"/>
          <w:shd w:val="clear" w:color="auto" w:fill="FFFFFF"/>
        </w:rPr>
        <w:t>s</w:t>
      </w:r>
      <w:r w:rsidR="00680BF3" w:rsidRPr="00DF641F">
        <w:rPr>
          <w:rFonts w:cs="Arial"/>
          <w:sz w:val="22"/>
          <w:shd w:val="clear" w:color="auto" w:fill="FFFFFF"/>
        </w:rPr>
        <w:t xml:space="preserve"> to u</w:t>
      </w:r>
      <w:r w:rsidR="007F216A" w:rsidRPr="00DF641F">
        <w:rPr>
          <w:rFonts w:cs="Arial"/>
          <w:sz w:val="22"/>
          <w:shd w:val="clear" w:color="auto" w:fill="FFFFFF"/>
        </w:rPr>
        <w:t>tilise</w:t>
      </w:r>
      <w:r w:rsidR="00680BF3" w:rsidRPr="00DF641F">
        <w:rPr>
          <w:rFonts w:cs="Arial"/>
          <w:sz w:val="22"/>
          <w:shd w:val="clear" w:color="auto" w:fill="FFFFFF"/>
        </w:rPr>
        <w:t xml:space="preserve"> </w:t>
      </w:r>
      <w:r w:rsidR="007F216A" w:rsidRPr="00DF641F">
        <w:rPr>
          <w:rFonts w:cs="Arial"/>
          <w:sz w:val="22"/>
          <w:shd w:val="clear" w:color="auto" w:fill="FFFFFF"/>
        </w:rPr>
        <w:t>for official trips to the Department;</w:t>
      </w:r>
      <w:bookmarkEnd w:id="1"/>
    </w:p>
    <w:p w:rsidR="002F2003" w:rsidRPr="00DF641F" w:rsidRDefault="00064135" w:rsidP="00CC2949">
      <w:pPr>
        <w:ind w:left="720" w:hanging="720"/>
        <w:rPr>
          <w:rFonts w:cs="Arial"/>
          <w:sz w:val="22"/>
          <w:shd w:val="clear" w:color="auto" w:fill="FFFFFF"/>
        </w:rPr>
      </w:pPr>
      <w:r w:rsidRPr="00DF641F">
        <w:rPr>
          <w:rFonts w:cs="Arial"/>
          <w:sz w:val="22"/>
          <w:shd w:val="clear" w:color="auto" w:fill="FFFFFF"/>
        </w:rPr>
        <w:t>1.10</w:t>
      </w:r>
      <w:r w:rsidR="002F2003" w:rsidRPr="00DF641F">
        <w:rPr>
          <w:rFonts w:cs="Arial"/>
          <w:sz w:val="22"/>
          <w:shd w:val="clear" w:color="auto" w:fill="FFFFFF"/>
        </w:rPr>
        <w:tab/>
      </w:r>
      <w:r w:rsidR="00680BF3" w:rsidRPr="00DF641F">
        <w:rPr>
          <w:rFonts w:cs="Arial"/>
          <w:sz w:val="22"/>
          <w:shd w:val="clear" w:color="auto" w:fill="FFFFFF"/>
        </w:rPr>
        <w:t xml:space="preserve">A </w:t>
      </w:r>
      <w:r w:rsidR="007F216A" w:rsidRPr="00DF641F">
        <w:rPr>
          <w:rFonts w:cs="Arial"/>
          <w:sz w:val="22"/>
          <w:shd w:val="clear" w:color="auto" w:fill="FFFFFF"/>
        </w:rPr>
        <w:t>M</w:t>
      </w:r>
      <w:r w:rsidR="00680BF3" w:rsidRPr="00DF641F">
        <w:rPr>
          <w:rFonts w:cs="Arial"/>
          <w:sz w:val="22"/>
          <w:shd w:val="clear" w:color="auto" w:fill="FFFFFF"/>
        </w:rPr>
        <w:t>agistrate cannot with</w:t>
      </w:r>
      <w:r w:rsidR="00F47498" w:rsidRPr="00DF641F">
        <w:rPr>
          <w:rFonts w:cs="Arial"/>
          <w:sz w:val="22"/>
          <w:shd w:val="clear" w:color="auto" w:fill="FFFFFF"/>
        </w:rPr>
        <w:t>out</w:t>
      </w:r>
      <w:r w:rsidR="00680BF3" w:rsidRPr="00DF641F">
        <w:rPr>
          <w:rFonts w:cs="Arial"/>
          <w:sz w:val="22"/>
          <w:shd w:val="clear" w:color="auto" w:fill="FFFFFF"/>
        </w:rPr>
        <w:t xml:space="preserve"> the authority of the </w:t>
      </w:r>
      <w:r w:rsidR="007F216A" w:rsidRPr="00DF641F">
        <w:rPr>
          <w:rFonts w:cs="Arial"/>
          <w:sz w:val="22"/>
          <w:shd w:val="clear" w:color="auto" w:fill="FFFFFF"/>
        </w:rPr>
        <w:t xml:space="preserve">Department </w:t>
      </w:r>
      <w:r w:rsidR="00680BF3" w:rsidRPr="00DF641F">
        <w:rPr>
          <w:rFonts w:cs="Arial"/>
          <w:sz w:val="22"/>
          <w:shd w:val="clear" w:color="auto" w:fill="FFFFFF"/>
        </w:rPr>
        <w:t xml:space="preserve">utilise a vehicle other than the one </w:t>
      </w:r>
      <w:r w:rsidRPr="00DF641F">
        <w:rPr>
          <w:rFonts w:cs="Arial"/>
          <w:sz w:val="22"/>
          <w:shd w:val="clear" w:color="auto" w:fill="FFFFFF"/>
        </w:rPr>
        <w:t xml:space="preserve">in respect of which the particulars were submitted </w:t>
      </w:r>
      <w:r w:rsidR="002F2003" w:rsidRPr="00DF641F">
        <w:rPr>
          <w:rFonts w:cs="Arial"/>
          <w:sz w:val="22"/>
          <w:shd w:val="clear" w:color="auto" w:fill="FFFFFF"/>
        </w:rPr>
        <w:t>to the Department</w:t>
      </w:r>
      <w:r w:rsidRPr="00DF641F">
        <w:rPr>
          <w:rFonts w:cs="Arial"/>
          <w:sz w:val="22"/>
          <w:shd w:val="clear" w:color="auto" w:fill="FFFFFF"/>
        </w:rPr>
        <w:t xml:space="preserve"> when undertaking an official trip</w:t>
      </w:r>
      <w:r w:rsidR="002F2003" w:rsidRPr="00DF641F">
        <w:rPr>
          <w:rFonts w:cs="Arial"/>
          <w:sz w:val="22"/>
          <w:shd w:val="clear" w:color="auto" w:fill="FFFFFF"/>
        </w:rPr>
        <w:t>.’</w:t>
      </w:r>
    </w:p>
    <w:p w:rsidR="00B72B7F" w:rsidRPr="00DF641F" w:rsidRDefault="00B72B7F" w:rsidP="00B72B7F">
      <w:pPr>
        <w:rPr>
          <w:rFonts w:cs="Arial"/>
          <w:b/>
          <w:szCs w:val="24"/>
          <w:shd w:val="clear" w:color="auto" w:fill="FFFFFF"/>
        </w:rPr>
      </w:pPr>
    </w:p>
    <w:p w:rsidR="003F4BE3" w:rsidRPr="00DF641F" w:rsidRDefault="003F4BE3" w:rsidP="00B72B7F">
      <w:pPr>
        <w:rPr>
          <w:rFonts w:cs="Arial"/>
          <w:b/>
          <w:szCs w:val="24"/>
          <w:shd w:val="clear" w:color="auto" w:fill="FFFFFF"/>
        </w:rPr>
      </w:pPr>
      <w:r w:rsidRPr="00DF641F">
        <w:rPr>
          <w:rFonts w:cs="Arial"/>
          <w:b/>
          <w:szCs w:val="24"/>
          <w:shd w:val="clear" w:color="auto" w:fill="FFFFFF"/>
        </w:rPr>
        <w:t>Evidence</w:t>
      </w:r>
      <w:r w:rsidR="00680BF3" w:rsidRPr="00DF641F">
        <w:rPr>
          <w:rFonts w:cs="Arial"/>
          <w:b/>
          <w:szCs w:val="24"/>
          <w:shd w:val="clear" w:color="auto" w:fill="FFFFFF"/>
        </w:rPr>
        <w:t xml:space="preserve"> of the </w:t>
      </w:r>
      <w:r w:rsidR="00EE139D" w:rsidRPr="00DF641F">
        <w:rPr>
          <w:rFonts w:cs="Arial"/>
          <w:b/>
          <w:szCs w:val="24"/>
          <w:shd w:val="clear" w:color="auto" w:fill="FFFFFF"/>
        </w:rPr>
        <w:t>S</w:t>
      </w:r>
      <w:r w:rsidR="00680BF3" w:rsidRPr="00DF641F">
        <w:rPr>
          <w:rFonts w:cs="Arial"/>
          <w:b/>
          <w:szCs w:val="24"/>
          <w:shd w:val="clear" w:color="auto" w:fill="FFFFFF"/>
        </w:rPr>
        <w:t>tate</w:t>
      </w:r>
    </w:p>
    <w:p w:rsidR="007C197A" w:rsidRPr="00DF641F" w:rsidRDefault="008B3951" w:rsidP="00B72B7F">
      <w:pPr>
        <w:rPr>
          <w:rFonts w:cs="Arial"/>
          <w:b/>
          <w:i/>
          <w:szCs w:val="24"/>
          <w:shd w:val="clear" w:color="auto" w:fill="FFFFFF"/>
        </w:rPr>
      </w:pPr>
      <w:r w:rsidRPr="00DF641F">
        <w:rPr>
          <w:rFonts w:cs="Arial"/>
          <w:b/>
          <w:i/>
          <w:szCs w:val="24"/>
          <w:shd w:val="clear" w:color="auto" w:fill="FFFFFF"/>
        </w:rPr>
        <w:t xml:space="preserve">Magistrate </w:t>
      </w:r>
      <w:r w:rsidR="007C197A" w:rsidRPr="00DF641F">
        <w:rPr>
          <w:rFonts w:cs="Arial"/>
          <w:b/>
          <w:i/>
          <w:szCs w:val="24"/>
          <w:shd w:val="clear" w:color="auto" w:fill="FFFFFF"/>
        </w:rPr>
        <w:t xml:space="preserve">Nditsheni Baldwin Makamela </w:t>
      </w:r>
    </w:p>
    <w:p w:rsidR="001D260E" w:rsidRPr="00DF641F" w:rsidRDefault="002F2003" w:rsidP="003C27E4">
      <w:pPr>
        <w:rPr>
          <w:rFonts w:cs="Arial"/>
          <w:b/>
          <w:szCs w:val="24"/>
        </w:rPr>
      </w:pPr>
      <w:r w:rsidRPr="00DF641F">
        <w:rPr>
          <w:rFonts w:cs="Arial"/>
          <w:szCs w:val="24"/>
          <w:shd w:val="clear" w:color="auto" w:fill="FFFFFF"/>
        </w:rPr>
        <w:t>[</w:t>
      </w:r>
      <w:r w:rsidR="00AC38E5" w:rsidRPr="00DF641F">
        <w:rPr>
          <w:rFonts w:cs="Arial"/>
          <w:szCs w:val="24"/>
          <w:shd w:val="clear" w:color="auto" w:fill="FFFFFF"/>
        </w:rPr>
        <w:t>8</w:t>
      </w:r>
      <w:r w:rsidRPr="00DF641F">
        <w:rPr>
          <w:rFonts w:cs="Arial"/>
          <w:szCs w:val="24"/>
          <w:shd w:val="clear" w:color="auto" w:fill="FFFFFF"/>
        </w:rPr>
        <w:t>]</w:t>
      </w:r>
      <w:r w:rsidRPr="00DF641F">
        <w:rPr>
          <w:rFonts w:cs="Arial"/>
          <w:szCs w:val="24"/>
          <w:shd w:val="clear" w:color="auto" w:fill="FFFFFF"/>
        </w:rPr>
        <w:tab/>
      </w:r>
      <w:r w:rsidR="007C197A" w:rsidRPr="00DF641F">
        <w:rPr>
          <w:rFonts w:cs="Arial"/>
          <w:szCs w:val="24"/>
          <w:shd w:val="clear" w:color="auto" w:fill="FFFFFF"/>
        </w:rPr>
        <w:t>Mr Makamela</w:t>
      </w:r>
      <w:r w:rsidR="003F4BE3" w:rsidRPr="00DF641F">
        <w:rPr>
          <w:rFonts w:cs="Arial"/>
          <w:szCs w:val="24"/>
          <w:shd w:val="clear" w:color="auto" w:fill="FFFFFF"/>
        </w:rPr>
        <w:t xml:space="preserve"> was employed by the </w:t>
      </w:r>
      <w:r w:rsidR="007C197A" w:rsidRPr="00DF641F">
        <w:rPr>
          <w:rFonts w:cs="Arial"/>
          <w:szCs w:val="24"/>
          <w:shd w:val="clear" w:color="auto" w:fill="FFFFFF"/>
        </w:rPr>
        <w:t xml:space="preserve">Department </w:t>
      </w:r>
      <w:r w:rsidR="003F4BE3" w:rsidRPr="00DF641F">
        <w:rPr>
          <w:rFonts w:cs="Arial"/>
          <w:szCs w:val="24"/>
          <w:shd w:val="clear" w:color="auto" w:fill="FFFFFF"/>
        </w:rPr>
        <w:t xml:space="preserve">as a </w:t>
      </w:r>
      <w:r w:rsidR="003F4E16" w:rsidRPr="00DF641F">
        <w:rPr>
          <w:rFonts w:cs="Arial"/>
          <w:szCs w:val="24"/>
          <w:shd w:val="clear" w:color="auto" w:fill="FFFFFF"/>
        </w:rPr>
        <w:t>m</w:t>
      </w:r>
      <w:r w:rsidR="003F4BE3" w:rsidRPr="00DF641F">
        <w:rPr>
          <w:rFonts w:cs="Arial"/>
          <w:szCs w:val="24"/>
          <w:shd w:val="clear" w:color="auto" w:fill="FFFFFF"/>
        </w:rPr>
        <w:t xml:space="preserve">agistrate. He was the </w:t>
      </w:r>
      <w:r w:rsidR="00AD7197" w:rsidRPr="00DF641F">
        <w:rPr>
          <w:rFonts w:cs="Arial"/>
          <w:szCs w:val="24"/>
          <w:shd w:val="clear" w:color="auto" w:fill="FFFFFF"/>
        </w:rPr>
        <w:t>A</w:t>
      </w:r>
      <w:r w:rsidR="003F4BE3" w:rsidRPr="00DF641F">
        <w:rPr>
          <w:rFonts w:cs="Arial"/>
          <w:szCs w:val="24"/>
          <w:shd w:val="clear" w:color="auto" w:fill="FFFFFF"/>
        </w:rPr>
        <w:t xml:space="preserve">cting </w:t>
      </w:r>
      <w:r w:rsidR="00AD7197" w:rsidRPr="00DF641F">
        <w:rPr>
          <w:rFonts w:cs="Arial"/>
          <w:szCs w:val="24"/>
          <w:shd w:val="clear" w:color="auto" w:fill="FFFFFF"/>
        </w:rPr>
        <w:t>H</w:t>
      </w:r>
      <w:r w:rsidR="003F4BE3" w:rsidRPr="00DF641F">
        <w:rPr>
          <w:rFonts w:cs="Arial"/>
          <w:szCs w:val="24"/>
          <w:shd w:val="clear" w:color="auto" w:fill="FFFFFF"/>
        </w:rPr>
        <w:t xml:space="preserve">ead of </w:t>
      </w:r>
      <w:r w:rsidR="0015471A" w:rsidRPr="00DF641F">
        <w:rPr>
          <w:rFonts w:cs="Arial"/>
          <w:szCs w:val="24"/>
          <w:shd w:val="clear" w:color="auto" w:fill="FFFFFF"/>
        </w:rPr>
        <w:t xml:space="preserve">Office at </w:t>
      </w:r>
      <w:r w:rsidR="003F4BE3" w:rsidRPr="00DF641F">
        <w:rPr>
          <w:rFonts w:cs="Arial"/>
          <w:szCs w:val="24"/>
          <w:shd w:val="clear" w:color="auto" w:fill="FFFFFF"/>
        </w:rPr>
        <w:t xml:space="preserve">the Magistrate’s Court at Dzanani, to which position he was </w:t>
      </w:r>
      <w:r w:rsidR="003F4BE3" w:rsidRPr="00DF641F">
        <w:rPr>
          <w:rFonts w:cs="Arial"/>
          <w:szCs w:val="24"/>
          <w:shd w:val="clear" w:color="auto" w:fill="FFFFFF"/>
        </w:rPr>
        <w:lastRenderedPageBreak/>
        <w:t xml:space="preserve">appointed in March 2015. Prior to his appointment, the </w:t>
      </w:r>
      <w:r w:rsidR="00AD7197" w:rsidRPr="00DF641F">
        <w:rPr>
          <w:rFonts w:cs="Arial"/>
          <w:szCs w:val="24"/>
          <w:shd w:val="clear" w:color="auto" w:fill="FFFFFF"/>
        </w:rPr>
        <w:t>H</w:t>
      </w:r>
      <w:r w:rsidR="003F4BE3" w:rsidRPr="00DF641F">
        <w:rPr>
          <w:rFonts w:cs="Arial"/>
          <w:szCs w:val="24"/>
          <w:shd w:val="clear" w:color="auto" w:fill="FFFFFF"/>
        </w:rPr>
        <w:t xml:space="preserve">ead of </w:t>
      </w:r>
      <w:r w:rsidR="00AD7197" w:rsidRPr="00DF641F">
        <w:rPr>
          <w:rFonts w:cs="Arial"/>
          <w:szCs w:val="24"/>
          <w:shd w:val="clear" w:color="auto" w:fill="FFFFFF"/>
        </w:rPr>
        <w:t>O</w:t>
      </w:r>
      <w:r w:rsidR="003F4BE3" w:rsidRPr="00DF641F">
        <w:rPr>
          <w:rFonts w:cs="Arial"/>
          <w:szCs w:val="24"/>
          <w:shd w:val="clear" w:color="auto" w:fill="FFFFFF"/>
        </w:rPr>
        <w:t xml:space="preserve">ffice was the appellant. </w:t>
      </w:r>
    </w:p>
    <w:p w:rsidR="002F2003" w:rsidRPr="00DF641F" w:rsidRDefault="002F2003" w:rsidP="00B72B7F">
      <w:pPr>
        <w:rPr>
          <w:rFonts w:cs="Arial"/>
          <w:b/>
          <w:szCs w:val="24"/>
          <w:shd w:val="clear" w:color="auto" w:fill="FFFFFF"/>
        </w:rPr>
      </w:pPr>
    </w:p>
    <w:p w:rsidR="001B6BB7" w:rsidRPr="00DF641F" w:rsidRDefault="002F2003" w:rsidP="003C27E4">
      <w:pPr>
        <w:rPr>
          <w:rFonts w:cs="Arial"/>
          <w:szCs w:val="24"/>
        </w:rPr>
      </w:pPr>
      <w:r w:rsidRPr="00DF641F">
        <w:rPr>
          <w:rFonts w:cs="Arial"/>
          <w:szCs w:val="24"/>
          <w:shd w:val="clear" w:color="auto" w:fill="FFFFFF"/>
        </w:rPr>
        <w:t>[</w:t>
      </w:r>
      <w:r w:rsidR="00041FBA" w:rsidRPr="00DF641F">
        <w:rPr>
          <w:rFonts w:cs="Arial"/>
          <w:szCs w:val="24"/>
          <w:shd w:val="clear" w:color="auto" w:fill="FFFFFF"/>
        </w:rPr>
        <w:t>9</w:t>
      </w:r>
      <w:r w:rsidRPr="00DF641F">
        <w:rPr>
          <w:rFonts w:cs="Arial"/>
          <w:szCs w:val="24"/>
          <w:shd w:val="clear" w:color="auto" w:fill="FFFFFF"/>
        </w:rPr>
        <w:t>]</w:t>
      </w:r>
      <w:r w:rsidRPr="00DF641F">
        <w:rPr>
          <w:rFonts w:cs="Arial"/>
          <w:szCs w:val="24"/>
          <w:shd w:val="clear" w:color="auto" w:fill="FFFFFF"/>
        </w:rPr>
        <w:tab/>
      </w:r>
      <w:r w:rsidR="002E23CD" w:rsidRPr="00DF641F">
        <w:rPr>
          <w:rFonts w:cs="Arial"/>
          <w:szCs w:val="24"/>
          <w:shd w:val="clear" w:color="auto" w:fill="FFFFFF"/>
        </w:rPr>
        <w:t xml:space="preserve">Mr </w:t>
      </w:r>
      <w:r w:rsidR="003F4BE3" w:rsidRPr="00DF641F">
        <w:rPr>
          <w:rFonts w:cs="Arial"/>
          <w:szCs w:val="24"/>
          <w:shd w:val="clear" w:color="auto" w:fill="FFFFFF"/>
        </w:rPr>
        <w:t xml:space="preserve">Makamela </w:t>
      </w:r>
      <w:r w:rsidR="006619B8" w:rsidRPr="00DF641F">
        <w:rPr>
          <w:rFonts w:cs="Arial"/>
          <w:szCs w:val="24"/>
          <w:shd w:val="clear" w:color="auto" w:fill="FFFFFF"/>
        </w:rPr>
        <w:t>testified</w:t>
      </w:r>
      <w:r w:rsidR="003F4BE3" w:rsidRPr="00DF641F">
        <w:rPr>
          <w:rFonts w:cs="Arial"/>
          <w:szCs w:val="24"/>
          <w:shd w:val="clear" w:color="auto" w:fill="FFFFFF"/>
        </w:rPr>
        <w:t xml:space="preserve"> that</w:t>
      </w:r>
      <w:r w:rsidR="00AD7197" w:rsidRPr="00DF641F">
        <w:rPr>
          <w:rFonts w:cs="Arial"/>
          <w:szCs w:val="24"/>
          <w:shd w:val="clear" w:color="auto" w:fill="FFFFFF"/>
        </w:rPr>
        <w:t>,</w:t>
      </w:r>
      <w:r w:rsidR="003F4BE3" w:rsidRPr="00DF641F">
        <w:rPr>
          <w:rFonts w:cs="Arial"/>
          <w:szCs w:val="24"/>
          <w:shd w:val="clear" w:color="auto" w:fill="FFFFFF"/>
        </w:rPr>
        <w:t xml:space="preserve"> prior to April 2008, the appellant had driven </w:t>
      </w:r>
      <w:r w:rsidR="00680BF3" w:rsidRPr="00DF641F">
        <w:rPr>
          <w:rFonts w:cs="Arial"/>
          <w:szCs w:val="24"/>
          <w:shd w:val="clear" w:color="auto" w:fill="FFFFFF"/>
        </w:rPr>
        <w:t xml:space="preserve">a </w:t>
      </w:r>
      <w:r w:rsidR="003F4BE3" w:rsidRPr="00DF641F">
        <w:rPr>
          <w:rFonts w:cs="Arial"/>
          <w:szCs w:val="24"/>
          <w:shd w:val="clear" w:color="auto" w:fill="FFFFFF"/>
        </w:rPr>
        <w:t>RAV</w:t>
      </w:r>
      <w:r w:rsidR="006619B8" w:rsidRPr="00DF641F">
        <w:rPr>
          <w:rFonts w:cs="Arial"/>
          <w:szCs w:val="24"/>
          <w:shd w:val="clear" w:color="auto" w:fill="FFFFFF"/>
        </w:rPr>
        <w:t>4</w:t>
      </w:r>
      <w:r w:rsidR="003F4BE3" w:rsidRPr="00DF641F">
        <w:rPr>
          <w:rFonts w:cs="Arial"/>
          <w:szCs w:val="24"/>
          <w:shd w:val="clear" w:color="auto" w:fill="FFFFFF"/>
        </w:rPr>
        <w:t xml:space="preserve"> for all </w:t>
      </w:r>
      <w:r w:rsidR="00324876" w:rsidRPr="00DF641F">
        <w:rPr>
          <w:rFonts w:cs="Arial"/>
          <w:szCs w:val="24"/>
          <w:shd w:val="clear" w:color="auto" w:fill="FFFFFF"/>
        </w:rPr>
        <w:t xml:space="preserve">his </w:t>
      </w:r>
      <w:r w:rsidR="003F4BE3" w:rsidRPr="00DF641F">
        <w:rPr>
          <w:rFonts w:cs="Arial"/>
          <w:szCs w:val="24"/>
          <w:shd w:val="clear" w:color="auto" w:fill="FFFFFF"/>
        </w:rPr>
        <w:t xml:space="preserve">official duties. </w:t>
      </w:r>
      <w:r w:rsidR="0082798E" w:rsidRPr="00DF641F">
        <w:rPr>
          <w:rFonts w:cs="Arial"/>
          <w:szCs w:val="24"/>
          <w:shd w:val="clear" w:color="auto" w:fill="FFFFFF"/>
        </w:rPr>
        <w:t xml:space="preserve">However, in approximately late April or early May 2008, the appellant informed him that he had bought the Cadillac vehicle. </w:t>
      </w:r>
      <w:r w:rsidR="001D260E" w:rsidRPr="00DF641F">
        <w:rPr>
          <w:rFonts w:cs="Arial"/>
          <w:szCs w:val="24"/>
          <w:shd w:val="clear" w:color="auto" w:fill="FFFFFF"/>
        </w:rPr>
        <w:t>Mr Makamela</w:t>
      </w:r>
      <w:r w:rsidR="0082798E" w:rsidRPr="00DF641F">
        <w:rPr>
          <w:rFonts w:cs="Arial"/>
          <w:szCs w:val="24"/>
          <w:shd w:val="clear" w:color="auto" w:fill="FFFFFF"/>
        </w:rPr>
        <w:t xml:space="preserve"> and Mr </w:t>
      </w:r>
      <w:r w:rsidR="0082798E" w:rsidRPr="00DF641F">
        <w:rPr>
          <w:rFonts w:cs="Arial"/>
          <w:szCs w:val="24"/>
        </w:rPr>
        <w:t>Nduambi, a messenger</w:t>
      </w:r>
      <w:r w:rsidR="003F4E16" w:rsidRPr="00DF641F">
        <w:rPr>
          <w:rFonts w:cs="Arial"/>
          <w:szCs w:val="24"/>
        </w:rPr>
        <w:t>,</w:t>
      </w:r>
      <w:r w:rsidR="0082798E" w:rsidRPr="00DF641F">
        <w:rPr>
          <w:rFonts w:cs="Arial"/>
          <w:szCs w:val="24"/>
        </w:rPr>
        <w:t xml:space="preserve"> went outside to see the Cadillac. </w:t>
      </w:r>
      <w:r w:rsidR="0082798E" w:rsidRPr="00DF641F">
        <w:rPr>
          <w:rFonts w:cs="Arial"/>
          <w:szCs w:val="24"/>
          <w:shd w:val="clear" w:color="auto" w:fill="FFFFFF"/>
        </w:rPr>
        <w:t xml:space="preserve">From late April 2008, the appellant only drove the Cadillac. The appellant </w:t>
      </w:r>
      <w:r w:rsidR="00041FBA" w:rsidRPr="00DF641F">
        <w:rPr>
          <w:rFonts w:cs="Arial"/>
          <w:szCs w:val="24"/>
          <w:shd w:val="clear" w:color="auto" w:fill="FFFFFF"/>
        </w:rPr>
        <w:t>informed Mr Makamela</w:t>
      </w:r>
      <w:r w:rsidR="001B6BB7" w:rsidRPr="00DF641F">
        <w:rPr>
          <w:rFonts w:cs="Arial"/>
          <w:szCs w:val="24"/>
          <w:shd w:val="clear" w:color="auto" w:fill="FFFFFF"/>
        </w:rPr>
        <w:t xml:space="preserve"> </w:t>
      </w:r>
      <w:r w:rsidR="00EA6C62" w:rsidRPr="00DF641F">
        <w:rPr>
          <w:rFonts w:cs="Arial"/>
          <w:szCs w:val="24"/>
          <w:shd w:val="clear" w:color="auto" w:fill="FFFFFF"/>
        </w:rPr>
        <w:t>that</w:t>
      </w:r>
      <w:r w:rsidR="0082798E" w:rsidRPr="00DF641F">
        <w:rPr>
          <w:rFonts w:cs="Arial"/>
          <w:szCs w:val="24"/>
          <w:shd w:val="clear" w:color="auto" w:fill="FFFFFF"/>
        </w:rPr>
        <w:t xml:space="preserve"> he had sold the RAV4 to Ms Phiri. After that date, Mr Makamela never saw the appellant driving the RAV4 again</w:t>
      </w:r>
      <w:r w:rsidR="00064135" w:rsidRPr="00DF641F">
        <w:rPr>
          <w:rFonts w:cs="Arial"/>
          <w:szCs w:val="24"/>
          <w:shd w:val="clear" w:color="auto" w:fill="FFFFFF"/>
        </w:rPr>
        <w:t xml:space="preserve"> – </w:t>
      </w:r>
      <w:r w:rsidR="0082798E" w:rsidRPr="00DF641F">
        <w:rPr>
          <w:rFonts w:cs="Arial"/>
          <w:szCs w:val="24"/>
        </w:rPr>
        <w:t xml:space="preserve">it was no longer in his possession; it was in the possession of Ms Phiri. </w:t>
      </w:r>
    </w:p>
    <w:p w:rsidR="002F2003" w:rsidRPr="00DF641F" w:rsidRDefault="002F2003" w:rsidP="00B72B7F">
      <w:pPr>
        <w:rPr>
          <w:rFonts w:cs="Arial"/>
          <w:szCs w:val="24"/>
        </w:rPr>
      </w:pPr>
    </w:p>
    <w:p w:rsidR="00174DE9" w:rsidRPr="00DF641F" w:rsidRDefault="002F2003" w:rsidP="003C27E4">
      <w:pPr>
        <w:rPr>
          <w:rFonts w:cs="Arial"/>
          <w:szCs w:val="24"/>
          <w:shd w:val="clear" w:color="auto" w:fill="FFFFFF"/>
        </w:rPr>
      </w:pPr>
      <w:r w:rsidRPr="00DF641F">
        <w:rPr>
          <w:rFonts w:cs="Arial"/>
          <w:szCs w:val="24"/>
          <w:shd w:val="clear" w:color="auto" w:fill="FFFFFF"/>
        </w:rPr>
        <w:t>[1</w:t>
      </w:r>
      <w:r w:rsidR="001B6BB7" w:rsidRPr="00DF641F">
        <w:rPr>
          <w:rFonts w:cs="Arial"/>
          <w:szCs w:val="24"/>
          <w:shd w:val="clear" w:color="auto" w:fill="FFFFFF"/>
        </w:rPr>
        <w:t>0]</w:t>
      </w:r>
      <w:r w:rsidRPr="00DF641F">
        <w:rPr>
          <w:rFonts w:cs="Arial"/>
          <w:szCs w:val="24"/>
          <w:shd w:val="clear" w:color="auto" w:fill="FFFFFF"/>
        </w:rPr>
        <w:tab/>
      </w:r>
      <w:r w:rsidR="002E23CD" w:rsidRPr="00DF641F">
        <w:rPr>
          <w:rFonts w:cs="Arial"/>
          <w:szCs w:val="24"/>
          <w:shd w:val="clear" w:color="auto" w:fill="FFFFFF"/>
        </w:rPr>
        <w:t xml:space="preserve">Mr </w:t>
      </w:r>
      <w:r w:rsidR="00034C87" w:rsidRPr="00DF641F">
        <w:rPr>
          <w:rFonts w:cs="Arial"/>
          <w:szCs w:val="24"/>
          <w:shd w:val="clear" w:color="auto" w:fill="FFFFFF"/>
        </w:rPr>
        <w:t>Makamela was questioned</w:t>
      </w:r>
      <w:r w:rsidR="00DE26F7" w:rsidRPr="00DF641F">
        <w:rPr>
          <w:rFonts w:cs="Arial"/>
          <w:szCs w:val="24"/>
          <w:shd w:val="clear" w:color="auto" w:fill="FFFFFF"/>
        </w:rPr>
        <w:t xml:space="preserve"> by the appellant’s counsel</w:t>
      </w:r>
      <w:r w:rsidR="00034C87" w:rsidRPr="00DF641F">
        <w:rPr>
          <w:rFonts w:cs="Arial"/>
          <w:szCs w:val="24"/>
          <w:shd w:val="clear" w:color="auto" w:fill="FFFFFF"/>
        </w:rPr>
        <w:t xml:space="preserve"> as to whether or not the sub-regional head at Thohoyandou, Magistrate Mudau</w:t>
      </w:r>
      <w:r w:rsidR="00697E07" w:rsidRPr="00DF641F">
        <w:rPr>
          <w:rStyle w:val="FootnoteReference"/>
          <w:rFonts w:cs="Arial"/>
          <w:szCs w:val="24"/>
          <w:shd w:val="clear" w:color="auto" w:fill="FFFFFF"/>
        </w:rPr>
        <w:footnoteReference w:id="1"/>
      </w:r>
      <w:r w:rsidR="00034C87" w:rsidRPr="00DF641F">
        <w:rPr>
          <w:rFonts w:cs="Arial"/>
          <w:szCs w:val="24"/>
          <w:shd w:val="clear" w:color="auto" w:fill="FFFFFF"/>
        </w:rPr>
        <w:t xml:space="preserve">, would have approved claims from the appellant if he did not see the appellant </w:t>
      </w:r>
      <w:r w:rsidR="002E23CD" w:rsidRPr="00DF641F">
        <w:rPr>
          <w:rFonts w:cs="Arial"/>
          <w:szCs w:val="24"/>
          <w:shd w:val="clear" w:color="auto" w:fill="FFFFFF"/>
        </w:rPr>
        <w:t xml:space="preserve">drive </w:t>
      </w:r>
      <w:r w:rsidR="00034C87" w:rsidRPr="00DF641F">
        <w:rPr>
          <w:rFonts w:cs="Arial"/>
          <w:szCs w:val="24"/>
          <w:shd w:val="clear" w:color="auto" w:fill="FFFFFF"/>
        </w:rPr>
        <w:t xml:space="preserve">the vehicle </w:t>
      </w:r>
      <w:r w:rsidR="00DE26F7" w:rsidRPr="00DF641F">
        <w:rPr>
          <w:rFonts w:cs="Arial"/>
          <w:szCs w:val="24"/>
          <w:shd w:val="clear" w:color="auto" w:fill="FFFFFF"/>
        </w:rPr>
        <w:t xml:space="preserve">in respect of </w:t>
      </w:r>
      <w:r w:rsidR="00034C87" w:rsidRPr="00DF641F">
        <w:rPr>
          <w:rFonts w:cs="Arial"/>
          <w:szCs w:val="24"/>
          <w:shd w:val="clear" w:color="auto" w:fill="FFFFFF"/>
        </w:rPr>
        <w:t xml:space="preserve">which the claim was made. </w:t>
      </w:r>
      <w:r w:rsidR="00697E07" w:rsidRPr="00DF641F">
        <w:rPr>
          <w:rFonts w:cs="Arial"/>
          <w:szCs w:val="24"/>
          <w:shd w:val="clear" w:color="auto" w:fill="FFFFFF"/>
        </w:rPr>
        <w:t xml:space="preserve">Mr Makamela responded that Magistrate </w:t>
      </w:r>
      <w:r w:rsidR="00034C87" w:rsidRPr="00DF641F">
        <w:rPr>
          <w:rFonts w:cs="Arial"/>
          <w:szCs w:val="24"/>
          <w:shd w:val="clear" w:color="auto" w:fill="FFFFFF"/>
        </w:rPr>
        <w:t xml:space="preserve">Mudau was not present, and did not see the vehicle that the appellant was driving, as the appellant would </w:t>
      </w:r>
      <w:r w:rsidR="00BD0F5B" w:rsidRPr="00DF641F">
        <w:rPr>
          <w:rFonts w:cs="Arial"/>
          <w:szCs w:val="24"/>
          <w:shd w:val="clear" w:color="auto" w:fill="FFFFFF"/>
        </w:rPr>
        <w:t xml:space="preserve">travel from Dzanani, where he was based, </w:t>
      </w:r>
      <w:r w:rsidR="00034C87" w:rsidRPr="00DF641F">
        <w:rPr>
          <w:rFonts w:cs="Arial"/>
          <w:szCs w:val="24"/>
          <w:shd w:val="clear" w:color="auto" w:fill="FFFFFF"/>
        </w:rPr>
        <w:t xml:space="preserve">to </w:t>
      </w:r>
      <w:r w:rsidR="007A29F8" w:rsidRPr="00DF641F">
        <w:rPr>
          <w:rFonts w:cs="Arial"/>
          <w:szCs w:val="24"/>
          <w:shd w:val="clear" w:color="auto" w:fill="FFFFFF"/>
        </w:rPr>
        <w:t>Louis Trichardt</w:t>
      </w:r>
      <w:r w:rsidR="003F4E16" w:rsidRPr="00DF641F">
        <w:rPr>
          <w:rFonts w:cs="Arial"/>
          <w:szCs w:val="24"/>
          <w:shd w:val="clear" w:color="auto" w:fill="FFFFFF"/>
        </w:rPr>
        <w:t>,</w:t>
      </w:r>
      <w:r w:rsidR="007A29F8" w:rsidRPr="00DF641F">
        <w:rPr>
          <w:rStyle w:val="FootnoteReference"/>
          <w:rFonts w:cs="Arial"/>
          <w:szCs w:val="24"/>
          <w:shd w:val="clear" w:color="auto" w:fill="FFFFFF"/>
        </w:rPr>
        <w:footnoteReference w:id="2"/>
      </w:r>
      <w:r w:rsidR="003B7288" w:rsidRPr="00DF641F">
        <w:rPr>
          <w:rFonts w:cs="Arial"/>
          <w:szCs w:val="24"/>
          <w:shd w:val="clear" w:color="auto" w:fill="FFFFFF"/>
        </w:rPr>
        <w:t xml:space="preserve"> </w:t>
      </w:r>
      <w:r w:rsidR="00034C87" w:rsidRPr="00DF641F">
        <w:rPr>
          <w:rFonts w:cs="Arial"/>
          <w:szCs w:val="24"/>
          <w:shd w:val="clear" w:color="auto" w:fill="FFFFFF"/>
        </w:rPr>
        <w:t xml:space="preserve">where he was assisting Magistrate </w:t>
      </w:r>
      <w:r w:rsidR="00520BC8" w:rsidRPr="00DF641F">
        <w:rPr>
          <w:rFonts w:cs="Arial"/>
          <w:szCs w:val="24"/>
          <w:shd w:val="clear" w:color="auto" w:fill="FFFFFF"/>
        </w:rPr>
        <w:t>Molokomme</w:t>
      </w:r>
      <w:r w:rsidR="00307C45" w:rsidRPr="00DF641F">
        <w:rPr>
          <w:rFonts w:cs="Arial"/>
          <w:szCs w:val="24"/>
          <w:shd w:val="clear" w:color="auto" w:fill="FFFFFF"/>
        </w:rPr>
        <w:t>,</w:t>
      </w:r>
      <w:r w:rsidR="00034C87" w:rsidRPr="00DF641F">
        <w:rPr>
          <w:rFonts w:cs="Arial"/>
          <w:szCs w:val="24"/>
          <w:shd w:val="clear" w:color="auto" w:fill="FFFFFF"/>
        </w:rPr>
        <w:t xml:space="preserve"> </w:t>
      </w:r>
      <w:r w:rsidR="00BD0F5B" w:rsidRPr="00DF641F">
        <w:rPr>
          <w:rFonts w:cs="Arial"/>
          <w:szCs w:val="24"/>
          <w:shd w:val="clear" w:color="auto" w:fill="FFFFFF"/>
        </w:rPr>
        <w:t xml:space="preserve">who was new. On each occasion, the appellant was seen driving the Cadillac. </w:t>
      </w:r>
      <w:r w:rsidR="00697E07" w:rsidRPr="00DF641F">
        <w:rPr>
          <w:rFonts w:cs="Arial"/>
          <w:szCs w:val="24"/>
          <w:shd w:val="clear" w:color="auto" w:fill="FFFFFF"/>
        </w:rPr>
        <w:t xml:space="preserve">Magistrate </w:t>
      </w:r>
      <w:r w:rsidR="00034C87" w:rsidRPr="00DF641F">
        <w:rPr>
          <w:rFonts w:cs="Arial"/>
          <w:szCs w:val="24"/>
          <w:shd w:val="clear" w:color="auto" w:fill="FFFFFF"/>
        </w:rPr>
        <w:t xml:space="preserve">Mudau remained in Thohoyandou. </w:t>
      </w:r>
    </w:p>
    <w:p w:rsidR="00174DE9" w:rsidRPr="00DF641F" w:rsidRDefault="00174DE9" w:rsidP="003C27E4">
      <w:pPr>
        <w:rPr>
          <w:rFonts w:cs="Arial"/>
          <w:szCs w:val="24"/>
          <w:shd w:val="clear" w:color="auto" w:fill="FFFFFF"/>
        </w:rPr>
      </w:pPr>
    </w:p>
    <w:p w:rsidR="003F4BE3" w:rsidRPr="00DF641F" w:rsidRDefault="00174DE9" w:rsidP="003C27E4">
      <w:pPr>
        <w:rPr>
          <w:rFonts w:cs="Arial"/>
          <w:szCs w:val="24"/>
          <w:shd w:val="clear" w:color="auto" w:fill="FFFFFF"/>
        </w:rPr>
      </w:pPr>
      <w:r w:rsidRPr="00DF641F">
        <w:rPr>
          <w:rFonts w:cs="Arial"/>
          <w:szCs w:val="24"/>
          <w:shd w:val="clear" w:color="auto" w:fill="FFFFFF"/>
        </w:rPr>
        <w:t>[11]</w:t>
      </w:r>
      <w:r w:rsidRPr="00DF641F">
        <w:rPr>
          <w:rFonts w:cs="Arial"/>
          <w:szCs w:val="24"/>
          <w:shd w:val="clear" w:color="auto" w:fill="FFFFFF"/>
        </w:rPr>
        <w:tab/>
        <w:t>Mr M</w:t>
      </w:r>
      <w:r w:rsidR="007C197A" w:rsidRPr="00DF641F">
        <w:rPr>
          <w:rFonts w:cs="Arial"/>
          <w:szCs w:val="24"/>
          <w:shd w:val="clear" w:color="auto" w:fill="FFFFFF"/>
        </w:rPr>
        <w:t>a</w:t>
      </w:r>
      <w:r w:rsidRPr="00DF641F">
        <w:rPr>
          <w:rFonts w:cs="Arial"/>
          <w:szCs w:val="24"/>
          <w:shd w:val="clear" w:color="auto" w:fill="FFFFFF"/>
        </w:rPr>
        <w:t>kamela stated that</w:t>
      </w:r>
      <w:r w:rsidR="00000E74" w:rsidRPr="00DF641F">
        <w:rPr>
          <w:rFonts w:cs="Arial"/>
          <w:szCs w:val="24"/>
          <w:shd w:val="clear" w:color="auto" w:fill="FFFFFF"/>
        </w:rPr>
        <w:t xml:space="preserve"> the</w:t>
      </w:r>
      <w:r w:rsidR="00034C87" w:rsidRPr="00DF641F">
        <w:rPr>
          <w:rFonts w:cs="Arial"/>
          <w:szCs w:val="24"/>
          <w:shd w:val="clear" w:color="auto" w:fill="FFFFFF"/>
        </w:rPr>
        <w:t xml:space="preserve"> claim form</w:t>
      </w:r>
      <w:r w:rsidR="00BC069F" w:rsidRPr="00DF641F">
        <w:rPr>
          <w:rFonts w:cs="Arial"/>
          <w:szCs w:val="24"/>
          <w:shd w:val="clear" w:color="auto" w:fill="FFFFFF"/>
        </w:rPr>
        <w:t>s are certified by the claimant. T</w:t>
      </w:r>
      <w:r w:rsidR="00BC069F" w:rsidRPr="00DF641F">
        <w:rPr>
          <w:rFonts w:cs="Arial"/>
          <w:szCs w:val="24"/>
        </w:rPr>
        <w:t xml:space="preserve">he appellant would not take the motor vehicle to </w:t>
      </w:r>
      <w:r w:rsidR="00697E07" w:rsidRPr="00DF641F">
        <w:rPr>
          <w:rFonts w:cs="Arial"/>
          <w:szCs w:val="24"/>
        </w:rPr>
        <w:t xml:space="preserve">Magistrate </w:t>
      </w:r>
      <w:r w:rsidR="00BC069F" w:rsidRPr="00DF641F">
        <w:rPr>
          <w:rFonts w:cs="Arial"/>
          <w:szCs w:val="24"/>
        </w:rPr>
        <w:t>Mudau</w:t>
      </w:r>
      <w:r w:rsidR="00307C45" w:rsidRPr="00DF641F">
        <w:rPr>
          <w:rFonts w:cs="Arial"/>
          <w:szCs w:val="24"/>
          <w:shd w:val="clear" w:color="auto" w:fill="FFFFFF"/>
        </w:rPr>
        <w:t>.</w:t>
      </w:r>
      <w:r w:rsidR="0015471A" w:rsidRPr="00DF641F">
        <w:rPr>
          <w:rFonts w:cs="Arial"/>
          <w:szCs w:val="24"/>
          <w:shd w:val="clear" w:color="auto" w:fill="FFFFFF"/>
        </w:rPr>
        <w:t xml:space="preserve"> </w:t>
      </w:r>
      <w:r w:rsidR="00BC069F" w:rsidRPr="00DF641F">
        <w:rPr>
          <w:rFonts w:cs="Arial"/>
          <w:szCs w:val="24"/>
        </w:rPr>
        <w:t>The messenger of the c</w:t>
      </w:r>
      <w:r w:rsidR="00697E07" w:rsidRPr="00DF641F">
        <w:rPr>
          <w:rFonts w:cs="Arial"/>
          <w:szCs w:val="24"/>
        </w:rPr>
        <w:t xml:space="preserve">ourt would take the forms to Magistrate </w:t>
      </w:r>
      <w:r w:rsidR="00BC069F" w:rsidRPr="00DF641F">
        <w:rPr>
          <w:rFonts w:cs="Arial"/>
          <w:szCs w:val="24"/>
        </w:rPr>
        <w:t xml:space="preserve">Mudau for approval. He would </w:t>
      </w:r>
      <w:r w:rsidR="00BC069F" w:rsidRPr="00DF641F">
        <w:rPr>
          <w:rFonts w:cs="Arial"/>
          <w:szCs w:val="24"/>
          <w:shd w:val="clear" w:color="auto" w:fill="FFFFFF"/>
        </w:rPr>
        <w:t>certify</w:t>
      </w:r>
      <w:r w:rsidR="00034C87" w:rsidRPr="00DF641F">
        <w:rPr>
          <w:rFonts w:cs="Arial"/>
          <w:szCs w:val="24"/>
          <w:shd w:val="clear" w:color="auto" w:fill="FFFFFF"/>
        </w:rPr>
        <w:t xml:space="preserve"> them without inspecting the actual vehicle </w:t>
      </w:r>
      <w:r w:rsidR="008A02E2" w:rsidRPr="00DF641F">
        <w:rPr>
          <w:rFonts w:cs="Arial"/>
          <w:szCs w:val="24"/>
          <w:shd w:val="clear" w:color="auto" w:fill="FFFFFF"/>
        </w:rPr>
        <w:t xml:space="preserve">which </w:t>
      </w:r>
      <w:r w:rsidR="00034C87" w:rsidRPr="00DF641F">
        <w:rPr>
          <w:rFonts w:cs="Arial"/>
          <w:szCs w:val="24"/>
          <w:shd w:val="clear" w:color="auto" w:fill="FFFFFF"/>
        </w:rPr>
        <w:t>was used.</w:t>
      </w:r>
      <w:r w:rsidR="002E23CD" w:rsidRPr="00DF641F">
        <w:rPr>
          <w:rFonts w:cs="Arial"/>
          <w:szCs w:val="24"/>
          <w:shd w:val="clear" w:color="auto" w:fill="FFFFFF"/>
        </w:rPr>
        <w:t xml:space="preserve"> </w:t>
      </w:r>
      <w:r w:rsidR="00BD0F5B" w:rsidRPr="00DF641F">
        <w:rPr>
          <w:rFonts w:cs="Arial"/>
          <w:szCs w:val="24"/>
          <w:shd w:val="clear" w:color="auto" w:fill="FFFFFF"/>
        </w:rPr>
        <w:t xml:space="preserve">There is a declaration attached to the claim forms </w:t>
      </w:r>
      <w:r w:rsidR="0077734E" w:rsidRPr="00DF641F">
        <w:rPr>
          <w:rFonts w:cs="Arial"/>
          <w:szCs w:val="24"/>
          <w:shd w:val="clear" w:color="auto" w:fill="FFFFFF"/>
        </w:rPr>
        <w:t>which would</w:t>
      </w:r>
      <w:r w:rsidR="007A29F8" w:rsidRPr="00DF641F">
        <w:rPr>
          <w:rFonts w:cs="Arial"/>
          <w:szCs w:val="24"/>
          <w:shd w:val="clear" w:color="auto" w:fill="FFFFFF"/>
        </w:rPr>
        <w:t xml:space="preserve"> be</w:t>
      </w:r>
      <w:r w:rsidR="0077734E" w:rsidRPr="00DF641F">
        <w:rPr>
          <w:rFonts w:cs="Arial"/>
          <w:szCs w:val="24"/>
          <w:shd w:val="clear" w:color="auto" w:fill="FFFFFF"/>
        </w:rPr>
        <w:t xml:space="preserve"> signed by the claimant </w:t>
      </w:r>
      <w:r w:rsidR="00BD0F5B" w:rsidRPr="00DF641F">
        <w:rPr>
          <w:rFonts w:cs="Arial"/>
          <w:szCs w:val="24"/>
          <w:shd w:val="clear" w:color="auto" w:fill="FFFFFF"/>
        </w:rPr>
        <w:t>and an element of honesty was</w:t>
      </w:r>
      <w:r w:rsidR="002E23CD" w:rsidRPr="00DF641F">
        <w:rPr>
          <w:rFonts w:cs="Arial"/>
          <w:szCs w:val="24"/>
          <w:shd w:val="clear" w:color="auto" w:fill="FFFFFF"/>
        </w:rPr>
        <w:t xml:space="preserve"> </w:t>
      </w:r>
      <w:r w:rsidR="0015471A" w:rsidRPr="00DF641F">
        <w:rPr>
          <w:rFonts w:cs="Arial"/>
          <w:szCs w:val="24"/>
          <w:shd w:val="clear" w:color="auto" w:fill="FFFFFF"/>
        </w:rPr>
        <w:t>expected</w:t>
      </w:r>
      <w:r w:rsidR="00BD0F5B" w:rsidRPr="00DF641F">
        <w:rPr>
          <w:rFonts w:cs="Arial"/>
          <w:szCs w:val="24"/>
          <w:shd w:val="clear" w:color="auto" w:fill="FFFFFF"/>
        </w:rPr>
        <w:t xml:space="preserve"> from a claimant.</w:t>
      </w:r>
    </w:p>
    <w:p w:rsidR="002F2003" w:rsidRPr="00DF641F" w:rsidRDefault="002F2003" w:rsidP="00B72B7F">
      <w:pPr>
        <w:rPr>
          <w:rFonts w:cs="Arial"/>
          <w:i/>
          <w:szCs w:val="24"/>
          <w:shd w:val="clear" w:color="auto" w:fill="FFFFFF"/>
        </w:rPr>
      </w:pPr>
    </w:p>
    <w:p w:rsidR="007C197A" w:rsidRPr="00DF641F" w:rsidRDefault="008B3951" w:rsidP="003C27E4">
      <w:pPr>
        <w:rPr>
          <w:rFonts w:cs="Arial"/>
          <w:b/>
          <w:i/>
          <w:szCs w:val="24"/>
          <w:shd w:val="clear" w:color="auto" w:fill="FFFFFF"/>
        </w:rPr>
      </w:pPr>
      <w:r w:rsidRPr="00DF641F">
        <w:rPr>
          <w:rFonts w:cs="Arial"/>
          <w:b/>
          <w:i/>
          <w:szCs w:val="24"/>
          <w:shd w:val="clear" w:color="auto" w:fill="FFFFFF"/>
        </w:rPr>
        <w:t xml:space="preserve">Magistrate </w:t>
      </w:r>
      <w:r w:rsidR="007C197A" w:rsidRPr="00DF641F">
        <w:rPr>
          <w:rFonts w:cs="Arial"/>
          <w:b/>
          <w:i/>
          <w:szCs w:val="24"/>
          <w:shd w:val="clear" w:color="auto" w:fill="FFFFFF"/>
        </w:rPr>
        <w:t xml:space="preserve">Bernard Jacques Stapelberg </w:t>
      </w:r>
    </w:p>
    <w:p w:rsidR="00800E73" w:rsidRPr="00DF641F" w:rsidRDefault="002F2003" w:rsidP="003C27E4">
      <w:pPr>
        <w:rPr>
          <w:rFonts w:cs="Arial"/>
          <w:szCs w:val="24"/>
          <w:shd w:val="clear" w:color="auto" w:fill="FFFFFF"/>
        </w:rPr>
      </w:pPr>
      <w:r w:rsidRPr="00DF641F">
        <w:rPr>
          <w:rFonts w:cs="Arial"/>
          <w:szCs w:val="24"/>
          <w:shd w:val="clear" w:color="auto" w:fill="FFFFFF"/>
        </w:rPr>
        <w:t>[1</w:t>
      </w:r>
      <w:r w:rsidR="000F00C4" w:rsidRPr="00DF641F">
        <w:rPr>
          <w:rFonts w:cs="Arial"/>
          <w:szCs w:val="24"/>
          <w:shd w:val="clear" w:color="auto" w:fill="FFFFFF"/>
        </w:rPr>
        <w:t>2</w:t>
      </w:r>
      <w:r w:rsidRPr="00DF641F">
        <w:rPr>
          <w:rFonts w:cs="Arial"/>
          <w:szCs w:val="24"/>
          <w:shd w:val="clear" w:color="auto" w:fill="FFFFFF"/>
        </w:rPr>
        <w:t>]</w:t>
      </w:r>
      <w:r w:rsidRPr="00DF641F">
        <w:rPr>
          <w:rFonts w:cs="Arial"/>
          <w:szCs w:val="24"/>
          <w:shd w:val="clear" w:color="auto" w:fill="FFFFFF"/>
        </w:rPr>
        <w:tab/>
      </w:r>
      <w:r w:rsidR="007C197A" w:rsidRPr="00DF641F">
        <w:rPr>
          <w:rFonts w:cs="Arial"/>
          <w:szCs w:val="24"/>
          <w:shd w:val="clear" w:color="auto" w:fill="FFFFFF"/>
        </w:rPr>
        <w:t xml:space="preserve"> </w:t>
      </w:r>
      <w:r w:rsidR="001D260E" w:rsidRPr="00DF641F">
        <w:rPr>
          <w:rFonts w:cs="Arial"/>
          <w:szCs w:val="24"/>
          <w:shd w:val="clear" w:color="auto" w:fill="FFFFFF"/>
        </w:rPr>
        <w:t xml:space="preserve">Mr </w:t>
      </w:r>
      <w:r w:rsidR="007C197A" w:rsidRPr="00DF641F">
        <w:rPr>
          <w:rFonts w:cs="Arial"/>
          <w:szCs w:val="24"/>
          <w:shd w:val="clear" w:color="auto" w:fill="FFFFFF"/>
        </w:rPr>
        <w:t>Stapelberg</w:t>
      </w:r>
      <w:r w:rsidR="00800E73" w:rsidRPr="00DF641F">
        <w:rPr>
          <w:rFonts w:cs="Arial"/>
          <w:szCs w:val="24"/>
          <w:shd w:val="clear" w:color="auto" w:fill="FFFFFF"/>
        </w:rPr>
        <w:t xml:space="preserve"> was a magistrate with</w:t>
      </w:r>
      <w:r w:rsidR="003F4BE3" w:rsidRPr="00DF641F">
        <w:rPr>
          <w:rFonts w:cs="Arial"/>
          <w:szCs w:val="24"/>
          <w:shd w:val="clear" w:color="auto" w:fill="FFFFFF"/>
        </w:rPr>
        <w:t xml:space="preserve"> the Judicial Quality Assurance Office, situated </w:t>
      </w:r>
      <w:r w:rsidR="0038573C" w:rsidRPr="00DF641F">
        <w:rPr>
          <w:rFonts w:cs="Arial"/>
          <w:szCs w:val="24"/>
          <w:shd w:val="clear" w:color="auto" w:fill="FFFFFF"/>
        </w:rPr>
        <w:t>at</w:t>
      </w:r>
      <w:r w:rsidR="00800E73" w:rsidRPr="00DF641F">
        <w:rPr>
          <w:rFonts w:cs="Arial"/>
          <w:szCs w:val="24"/>
          <w:shd w:val="clear" w:color="auto" w:fill="FFFFFF"/>
        </w:rPr>
        <w:t xml:space="preserve"> the</w:t>
      </w:r>
      <w:r w:rsidR="003F4BE3" w:rsidRPr="00DF641F">
        <w:rPr>
          <w:rFonts w:cs="Arial"/>
          <w:szCs w:val="24"/>
          <w:shd w:val="clear" w:color="auto" w:fill="FFFFFF"/>
        </w:rPr>
        <w:t xml:space="preserve"> Magistrates Commission in Pretoria</w:t>
      </w:r>
      <w:r w:rsidR="00800E73" w:rsidRPr="00DF641F">
        <w:rPr>
          <w:rFonts w:cs="Arial"/>
          <w:szCs w:val="24"/>
          <w:shd w:val="clear" w:color="auto" w:fill="FFFFFF"/>
        </w:rPr>
        <w:t>.</w:t>
      </w:r>
      <w:r w:rsidR="003F4BE3" w:rsidRPr="00DF641F">
        <w:rPr>
          <w:rFonts w:cs="Arial"/>
          <w:szCs w:val="24"/>
          <w:shd w:val="clear" w:color="auto" w:fill="FFFFFF"/>
        </w:rPr>
        <w:t xml:space="preserve"> </w:t>
      </w:r>
      <w:r w:rsidR="00800E73" w:rsidRPr="00DF641F">
        <w:rPr>
          <w:rFonts w:cs="Arial"/>
          <w:szCs w:val="24"/>
          <w:shd w:val="clear" w:color="auto" w:fill="FFFFFF"/>
        </w:rPr>
        <w:t xml:space="preserve">Part of the functions of his office </w:t>
      </w:r>
      <w:r w:rsidR="00800E73" w:rsidRPr="00DF641F">
        <w:rPr>
          <w:rFonts w:cs="Arial"/>
          <w:szCs w:val="24"/>
          <w:shd w:val="clear" w:color="auto" w:fill="FFFFFF"/>
        </w:rPr>
        <w:lastRenderedPageBreak/>
        <w:t xml:space="preserve">was to deal with the conduct of magistrates. He </w:t>
      </w:r>
      <w:r w:rsidR="0038573C" w:rsidRPr="00DF641F">
        <w:rPr>
          <w:rFonts w:cs="Arial"/>
          <w:szCs w:val="24"/>
          <w:shd w:val="clear" w:color="auto" w:fill="FFFFFF"/>
        </w:rPr>
        <w:t>was appointed to investigate</w:t>
      </w:r>
      <w:r w:rsidR="00800E73" w:rsidRPr="00DF641F">
        <w:rPr>
          <w:rFonts w:cs="Arial"/>
          <w:szCs w:val="24"/>
          <w:shd w:val="clear" w:color="auto" w:fill="FFFFFF"/>
        </w:rPr>
        <w:t xml:space="preserve"> various complaints lodged against the appellant. </w:t>
      </w:r>
    </w:p>
    <w:p w:rsidR="002F2003" w:rsidRPr="00DF641F" w:rsidRDefault="002F2003" w:rsidP="00B72B7F">
      <w:pPr>
        <w:rPr>
          <w:rFonts w:cs="Arial"/>
          <w:szCs w:val="24"/>
          <w:shd w:val="clear" w:color="auto" w:fill="FFFFFF"/>
        </w:rPr>
      </w:pPr>
    </w:p>
    <w:p w:rsidR="002F2003" w:rsidRPr="00DF641F" w:rsidRDefault="002F2003" w:rsidP="003C27E4">
      <w:pPr>
        <w:rPr>
          <w:rFonts w:cs="Arial"/>
          <w:szCs w:val="24"/>
          <w:shd w:val="clear" w:color="auto" w:fill="FFFFFF"/>
        </w:rPr>
      </w:pPr>
      <w:r w:rsidRPr="00DF641F">
        <w:rPr>
          <w:rFonts w:cs="Arial"/>
          <w:szCs w:val="24"/>
          <w:shd w:val="clear" w:color="auto" w:fill="FFFFFF"/>
        </w:rPr>
        <w:t>[1</w:t>
      </w:r>
      <w:r w:rsidR="000F00C4" w:rsidRPr="00DF641F">
        <w:rPr>
          <w:rFonts w:cs="Arial"/>
          <w:szCs w:val="24"/>
          <w:shd w:val="clear" w:color="auto" w:fill="FFFFFF"/>
        </w:rPr>
        <w:t>3</w:t>
      </w:r>
      <w:r w:rsidRPr="00DF641F">
        <w:rPr>
          <w:rFonts w:cs="Arial"/>
          <w:szCs w:val="24"/>
          <w:shd w:val="clear" w:color="auto" w:fill="FFFFFF"/>
        </w:rPr>
        <w:t>]</w:t>
      </w:r>
      <w:r w:rsidRPr="00DF641F">
        <w:rPr>
          <w:rFonts w:cs="Arial"/>
          <w:szCs w:val="24"/>
          <w:shd w:val="clear" w:color="auto" w:fill="FFFFFF"/>
        </w:rPr>
        <w:tab/>
      </w:r>
      <w:r w:rsidR="00DE26F7" w:rsidRPr="00DF641F">
        <w:rPr>
          <w:rFonts w:cs="Arial"/>
          <w:szCs w:val="24"/>
          <w:shd w:val="clear" w:color="auto" w:fill="FFFFFF"/>
        </w:rPr>
        <w:t xml:space="preserve">Mr Stapelberg </w:t>
      </w:r>
      <w:r w:rsidR="00DB4E8D" w:rsidRPr="00DF641F">
        <w:rPr>
          <w:rFonts w:cs="Arial"/>
          <w:szCs w:val="24"/>
          <w:shd w:val="clear" w:color="auto" w:fill="FFFFFF"/>
        </w:rPr>
        <w:t>disputed that</w:t>
      </w:r>
      <w:r w:rsidR="00D501A0" w:rsidRPr="00DF641F">
        <w:rPr>
          <w:rFonts w:cs="Arial"/>
          <w:szCs w:val="24"/>
          <w:shd w:val="clear" w:color="auto" w:fill="FFFFFF"/>
        </w:rPr>
        <w:t>,</w:t>
      </w:r>
      <w:r w:rsidR="00DB4E8D" w:rsidRPr="00DF641F">
        <w:rPr>
          <w:rFonts w:cs="Arial"/>
          <w:szCs w:val="24"/>
          <w:shd w:val="clear" w:color="auto" w:fill="FFFFFF"/>
        </w:rPr>
        <w:t xml:space="preserve"> in order to submit a claim for travel expenses</w:t>
      </w:r>
      <w:r w:rsidR="00DE26F7" w:rsidRPr="00DF641F">
        <w:rPr>
          <w:rFonts w:cs="Arial"/>
          <w:szCs w:val="24"/>
          <w:shd w:val="clear" w:color="auto" w:fill="FFFFFF"/>
        </w:rPr>
        <w:t>,</w:t>
      </w:r>
      <w:r w:rsidR="00DB4E8D" w:rsidRPr="00DF641F">
        <w:rPr>
          <w:rFonts w:cs="Arial"/>
          <w:szCs w:val="24"/>
          <w:shd w:val="clear" w:color="auto" w:fill="FFFFFF"/>
        </w:rPr>
        <w:t xml:space="preserve"> the particulars of that motor vehicle have to be registered with the Department. He stated that one could use any vehicle, as long as the correct claim was made. He further stated that there would be nothing irregular in interchanging motor vehicles, as long as the kilometres claimed and the tariff used belonged to the vehicle being used. </w:t>
      </w:r>
    </w:p>
    <w:p w:rsidR="003B7288" w:rsidRPr="00DF641F" w:rsidRDefault="0015471A" w:rsidP="003C27E4">
      <w:pPr>
        <w:rPr>
          <w:rFonts w:cs="Arial"/>
          <w:szCs w:val="24"/>
          <w:shd w:val="clear" w:color="auto" w:fill="FFFFFF"/>
        </w:rPr>
      </w:pPr>
      <w:r w:rsidRPr="00DF641F">
        <w:rPr>
          <w:rFonts w:cs="Arial"/>
          <w:szCs w:val="24"/>
          <w:shd w:val="clear" w:color="auto" w:fill="FFFFFF"/>
        </w:rPr>
        <w:t xml:space="preserve">Mr Stapelberg </w:t>
      </w:r>
      <w:r w:rsidR="003B7288" w:rsidRPr="00DF641F">
        <w:rPr>
          <w:rFonts w:cs="Arial"/>
          <w:szCs w:val="24"/>
          <w:shd w:val="clear" w:color="auto" w:fill="FFFFFF"/>
        </w:rPr>
        <w:t xml:space="preserve">referred to the claim forms submitted, which showed that the appellant </w:t>
      </w:r>
      <w:r w:rsidR="0077734E" w:rsidRPr="00DF641F">
        <w:rPr>
          <w:rFonts w:cs="Arial"/>
          <w:szCs w:val="24"/>
          <w:shd w:val="clear" w:color="auto" w:fill="FFFFFF"/>
        </w:rPr>
        <w:t>would often travel</w:t>
      </w:r>
      <w:r w:rsidR="003B7288" w:rsidRPr="00DF641F">
        <w:rPr>
          <w:rFonts w:cs="Arial"/>
          <w:szCs w:val="24"/>
          <w:shd w:val="clear" w:color="auto" w:fill="FFFFFF"/>
        </w:rPr>
        <w:t xml:space="preserve"> to Louis Trichard</w:t>
      </w:r>
      <w:r w:rsidR="00DE224A" w:rsidRPr="00DF641F">
        <w:rPr>
          <w:rFonts w:cs="Arial"/>
          <w:szCs w:val="24"/>
          <w:shd w:val="clear" w:color="auto" w:fill="FFFFFF"/>
        </w:rPr>
        <w:t>t</w:t>
      </w:r>
      <w:r w:rsidR="00337CA3" w:rsidRPr="00DF641F">
        <w:rPr>
          <w:rFonts w:cs="Arial"/>
          <w:szCs w:val="24"/>
          <w:shd w:val="clear" w:color="auto" w:fill="FFFFFF"/>
        </w:rPr>
        <w:t>.</w:t>
      </w:r>
      <w:r w:rsidR="003B7288" w:rsidRPr="00DF641F">
        <w:rPr>
          <w:rFonts w:cs="Arial"/>
          <w:szCs w:val="24"/>
          <w:shd w:val="clear" w:color="auto" w:fill="FFFFFF"/>
        </w:rPr>
        <w:t xml:space="preserve"> This evidence was confirmed by both Mr Makamela and Mr </w:t>
      </w:r>
      <w:r w:rsidR="00520BC8" w:rsidRPr="00DF641F">
        <w:rPr>
          <w:rFonts w:cs="Arial"/>
          <w:szCs w:val="24"/>
          <w:shd w:val="clear" w:color="auto" w:fill="FFFFFF"/>
        </w:rPr>
        <w:t>Molokomme</w:t>
      </w:r>
      <w:r w:rsidR="003B7288" w:rsidRPr="00DF641F">
        <w:rPr>
          <w:rFonts w:cs="Arial"/>
          <w:szCs w:val="24"/>
          <w:shd w:val="clear" w:color="auto" w:fill="FFFFFF"/>
        </w:rPr>
        <w:t xml:space="preserve">. </w:t>
      </w:r>
    </w:p>
    <w:p w:rsidR="00DE224A" w:rsidRPr="00DF641F" w:rsidRDefault="00DE224A" w:rsidP="00B72B7F">
      <w:pPr>
        <w:rPr>
          <w:rFonts w:cs="Arial"/>
          <w:szCs w:val="24"/>
          <w:shd w:val="clear" w:color="auto" w:fill="FFFFFF"/>
        </w:rPr>
      </w:pPr>
    </w:p>
    <w:p w:rsidR="0015471A" w:rsidRPr="00DF641F" w:rsidRDefault="002F2003" w:rsidP="003C27E4">
      <w:pPr>
        <w:rPr>
          <w:rFonts w:cs="Arial"/>
          <w:szCs w:val="24"/>
          <w:shd w:val="clear" w:color="auto" w:fill="FFFFFF"/>
        </w:rPr>
      </w:pPr>
      <w:r w:rsidRPr="00DF641F">
        <w:rPr>
          <w:rFonts w:cs="Arial"/>
          <w:szCs w:val="24"/>
          <w:shd w:val="clear" w:color="auto" w:fill="FFFFFF"/>
        </w:rPr>
        <w:t>[1</w:t>
      </w:r>
      <w:r w:rsidR="00D96023" w:rsidRPr="00DF641F">
        <w:rPr>
          <w:rFonts w:cs="Arial"/>
          <w:szCs w:val="24"/>
          <w:shd w:val="clear" w:color="auto" w:fill="FFFFFF"/>
        </w:rPr>
        <w:t>4</w:t>
      </w:r>
      <w:r w:rsidRPr="00DF641F">
        <w:rPr>
          <w:rFonts w:cs="Arial"/>
          <w:szCs w:val="24"/>
          <w:shd w:val="clear" w:color="auto" w:fill="FFFFFF"/>
        </w:rPr>
        <w:t>]</w:t>
      </w:r>
      <w:r w:rsidRPr="00DF641F">
        <w:rPr>
          <w:rFonts w:cs="Arial"/>
          <w:szCs w:val="24"/>
          <w:shd w:val="clear" w:color="auto" w:fill="FFFFFF"/>
        </w:rPr>
        <w:tab/>
      </w:r>
      <w:r w:rsidR="003B7288" w:rsidRPr="00DF641F">
        <w:rPr>
          <w:rFonts w:cs="Arial"/>
          <w:szCs w:val="24"/>
          <w:shd w:val="clear" w:color="auto" w:fill="FFFFFF"/>
        </w:rPr>
        <w:t xml:space="preserve">Mr Stapleberg </w:t>
      </w:r>
      <w:r w:rsidR="0015471A" w:rsidRPr="00DF641F">
        <w:rPr>
          <w:rFonts w:cs="Arial"/>
          <w:szCs w:val="24"/>
          <w:shd w:val="clear" w:color="auto" w:fill="FFFFFF"/>
        </w:rPr>
        <w:t xml:space="preserve">handed in a letter which the appellant had written </w:t>
      </w:r>
      <w:r w:rsidR="00D71A79" w:rsidRPr="00DF641F">
        <w:rPr>
          <w:rFonts w:cs="Arial"/>
          <w:szCs w:val="24"/>
          <w:shd w:val="clear" w:color="auto" w:fill="FFFFFF"/>
        </w:rPr>
        <w:t xml:space="preserve">on 19 October 2009 (the October letter) </w:t>
      </w:r>
      <w:r w:rsidR="0015471A" w:rsidRPr="00DF641F">
        <w:rPr>
          <w:rFonts w:cs="Arial"/>
          <w:szCs w:val="24"/>
          <w:shd w:val="clear" w:color="auto" w:fill="FFFFFF"/>
        </w:rPr>
        <w:t>in response to the complaints made against him. Th</w:t>
      </w:r>
      <w:r w:rsidR="007A29F8" w:rsidRPr="00DF641F">
        <w:rPr>
          <w:rFonts w:cs="Arial"/>
          <w:szCs w:val="24"/>
          <w:shd w:val="clear" w:color="auto" w:fill="FFFFFF"/>
        </w:rPr>
        <w:t>is</w:t>
      </w:r>
      <w:r w:rsidR="0015471A" w:rsidRPr="00DF641F">
        <w:rPr>
          <w:rFonts w:cs="Arial"/>
          <w:szCs w:val="24"/>
          <w:shd w:val="clear" w:color="auto" w:fill="FFFFFF"/>
        </w:rPr>
        <w:t xml:space="preserve"> letter refers to complaints made by ‘an anonymous concerned citizen’ as well the minute of the Chief Magistrate dated 15 October 2009. In dealing with the complaint</w:t>
      </w:r>
      <w:r w:rsidR="00D71A79" w:rsidRPr="00DF641F">
        <w:rPr>
          <w:rFonts w:cs="Arial"/>
          <w:szCs w:val="24"/>
          <w:shd w:val="clear" w:color="auto" w:fill="FFFFFF"/>
        </w:rPr>
        <w:t>s</w:t>
      </w:r>
      <w:r w:rsidR="0015471A" w:rsidRPr="00DF641F">
        <w:rPr>
          <w:rFonts w:cs="Arial"/>
          <w:szCs w:val="24"/>
          <w:shd w:val="clear" w:color="auto" w:fill="FFFFFF"/>
        </w:rPr>
        <w:t xml:space="preserve">, </w:t>
      </w:r>
      <w:r w:rsidR="00D71A79" w:rsidRPr="00DF641F">
        <w:rPr>
          <w:rFonts w:cs="Arial"/>
          <w:szCs w:val="24"/>
          <w:shd w:val="clear" w:color="auto" w:fill="FFFFFF"/>
        </w:rPr>
        <w:t>t</w:t>
      </w:r>
      <w:r w:rsidR="0015471A" w:rsidRPr="00DF641F">
        <w:rPr>
          <w:rFonts w:cs="Arial"/>
          <w:szCs w:val="24"/>
          <w:shd w:val="clear" w:color="auto" w:fill="FFFFFF"/>
        </w:rPr>
        <w:t>he</w:t>
      </w:r>
      <w:r w:rsidR="00D71A79" w:rsidRPr="00DF641F">
        <w:rPr>
          <w:rFonts w:cs="Arial"/>
          <w:szCs w:val="24"/>
          <w:shd w:val="clear" w:color="auto" w:fill="FFFFFF"/>
        </w:rPr>
        <w:t xml:space="preserve"> appellant stated</w:t>
      </w:r>
      <w:r w:rsidR="0015471A" w:rsidRPr="00DF641F">
        <w:rPr>
          <w:rFonts w:cs="Arial"/>
          <w:szCs w:val="24"/>
          <w:shd w:val="clear" w:color="auto" w:fill="FFFFFF"/>
        </w:rPr>
        <w:t xml:space="preserve"> the following in regard to the utilisation of a vehicle and the claims made:</w:t>
      </w:r>
    </w:p>
    <w:p w:rsidR="0015471A" w:rsidRPr="00DF641F" w:rsidRDefault="0015471A" w:rsidP="003C27E4">
      <w:pPr>
        <w:rPr>
          <w:rFonts w:cs="Arial"/>
          <w:sz w:val="22"/>
          <w:shd w:val="clear" w:color="auto" w:fill="FFFFFF"/>
        </w:rPr>
      </w:pPr>
      <w:r w:rsidRPr="00DF641F">
        <w:rPr>
          <w:rFonts w:cs="Arial"/>
          <w:sz w:val="22"/>
          <w:shd w:val="clear" w:color="auto" w:fill="FFFFFF"/>
        </w:rPr>
        <w:t xml:space="preserve">‘I find it very strange for a magistrate who to date does not understand how the motor financing scheme works. I suggest he reads the guidelines on the manual for a better understanding. During the period under review, I owned a RAV4 1.8 and a black Cadillac 2 litre engine, of which I had submitted registration certificate for a RAV4 to the </w:t>
      </w:r>
      <w:r w:rsidR="00DE224A" w:rsidRPr="00DF641F">
        <w:rPr>
          <w:rFonts w:cs="Arial"/>
          <w:sz w:val="22"/>
          <w:shd w:val="clear" w:color="auto" w:fill="FFFFFF"/>
        </w:rPr>
        <w:t>S</w:t>
      </w:r>
      <w:r w:rsidRPr="00DF641F">
        <w:rPr>
          <w:rFonts w:cs="Arial"/>
          <w:sz w:val="22"/>
          <w:shd w:val="clear" w:color="auto" w:fill="FFFFFF"/>
        </w:rPr>
        <w:t>ub-</w:t>
      </w:r>
      <w:r w:rsidR="00DE224A" w:rsidRPr="00DF641F">
        <w:rPr>
          <w:rFonts w:cs="Arial"/>
          <w:sz w:val="22"/>
          <w:shd w:val="clear" w:color="auto" w:fill="FFFFFF"/>
        </w:rPr>
        <w:t>R</w:t>
      </w:r>
      <w:r w:rsidRPr="00DF641F">
        <w:rPr>
          <w:rFonts w:cs="Arial"/>
          <w:sz w:val="22"/>
          <w:shd w:val="clear" w:color="auto" w:fill="FFFFFF"/>
        </w:rPr>
        <w:t xml:space="preserve">egional </w:t>
      </w:r>
      <w:r w:rsidR="00DE224A" w:rsidRPr="00DF641F">
        <w:rPr>
          <w:rFonts w:cs="Arial"/>
          <w:sz w:val="22"/>
          <w:shd w:val="clear" w:color="auto" w:fill="FFFFFF"/>
        </w:rPr>
        <w:t>H</w:t>
      </w:r>
      <w:r w:rsidRPr="00DF641F">
        <w:rPr>
          <w:rFonts w:cs="Arial"/>
          <w:sz w:val="22"/>
          <w:shd w:val="clear" w:color="auto" w:fill="FFFFFF"/>
        </w:rPr>
        <w:t>ead for official use. I used to interchange the two motor vehicle, although the two motor vehicles differed in their engine capacity, I never took a chance of claiming with the 2 litre engine, as I kn</w:t>
      </w:r>
      <w:r w:rsidR="00DE224A" w:rsidRPr="00DF641F">
        <w:rPr>
          <w:rFonts w:cs="Arial"/>
          <w:sz w:val="22"/>
          <w:shd w:val="clear" w:color="auto" w:fill="FFFFFF"/>
        </w:rPr>
        <w:t>o</w:t>
      </w:r>
      <w:r w:rsidRPr="00DF641F">
        <w:rPr>
          <w:rFonts w:cs="Arial"/>
          <w:sz w:val="22"/>
          <w:shd w:val="clear" w:color="auto" w:fill="FFFFFF"/>
        </w:rPr>
        <w:t xml:space="preserve">w I would be defrauding the state neither would the </w:t>
      </w:r>
      <w:r w:rsidR="00DE224A" w:rsidRPr="00DF641F">
        <w:rPr>
          <w:rFonts w:cs="Arial"/>
          <w:sz w:val="22"/>
          <w:shd w:val="clear" w:color="auto" w:fill="FFFFFF"/>
        </w:rPr>
        <w:t>S</w:t>
      </w:r>
      <w:r w:rsidRPr="00DF641F">
        <w:rPr>
          <w:rFonts w:cs="Arial"/>
          <w:sz w:val="22"/>
          <w:shd w:val="clear" w:color="auto" w:fill="FFFFFF"/>
        </w:rPr>
        <w:t>ub-</w:t>
      </w:r>
      <w:r w:rsidR="00DE224A" w:rsidRPr="00DF641F">
        <w:rPr>
          <w:rFonts w:cs="Arial"/>
          <w:sz w:val="22"/>
          <w:shd w:val="clear" w:color="auto" w:fill="FFFFFF"/>
        </w:rPr>
        <w:t>R</w:t>
      </w:r>
      <w:r w:rsidRPr="00DF641F">
        <w:rPr>
          <w:rFonts w:cs="Arial"/>
          <w:sz w:val="22"/>
          <w:shd w:val="clear" w:color="auto" w:fill="FFFFFF"/>
        </w:rPr>
        <w:t xml:space="preserve">egional </w:t>
      </w:r>
      <w:r w:rsidR="00DE224A" w:rsidRPr="00DF641F">
        <w:rPr>
          <w:rFonts w:cs="Arial"/>
          <w:sz w:val="22"/>
          <w:shd w:val="clear" w:color="auto" w:fill="FFFFFF"/>
        </w:rPr>
        <w:t>H</w:t>
      </w:r>
      <w:r w:rsidRPr="00DF641F">
        <w:rPr>
          <w:rFonts w:cs="Arial"/>
          <w:sz w:val="22"/>
          <w:shd w:val="clear" w:color="auto" w:fill="FFFFFF"/>
        </w:rPr>
        <w:t>ead approve my claims. The sub-regional head approved my genuine claims as he knew the vehicle which I had submitted its certificate. The months September, October, November, the RAV4 was still my property.’</w:t>
      </w:r>
    </w:p>
    <w:p w:rsidR="00D71A79" w:rsidRPr="00DF641F" w:rsidRDefault="00D71A79" w:rsidP="003C27E4">
      <w:pPr>
        <w:rPr>
          <w:rFonts w:cs="Arial"/>
          <w:szCs w:val="24"/>
          <w:shd w:val="clear" w:color="auto" w:fill="FFFFFF"/>
        </w:rPr>
      </w:pPr>
      <w:r w:rsidRPr="00DF641F">
        <w:rPr>
          <w:rFonts w:cs="Arial"/>
          <w:szCs w:val="24"/>
          <w:shd w:val="clear" w:color="auto" w:fill="FFFFFF"/>
        </w:rPr>
        <w:t xml:space="preserve">The reference to the magistrate who does not understand how the scheme works, is </w:t>
      </w:r>
      <w:r w:rsidR="00337CA3" w:rsidRPr="00DF641F">
        <w:rPr>
          <w:rFonts w:cs="Arial"/>
          <w:szCs w:val="24"/>
          <w:shd w:val="clear" w:color="auto" w:fill="FFFFFF"/>
        </w:rPr>
        <w:t xml:space="preserve">a reference </w:t>
      </w:r>
      <w:r w:rsidRPr="00DF641F">
        <w:rPr>
          <w:rFonts w:cs="Arial"/>
          <w:szCs w:val="24"/>
          <w:shd w:val="clear" w:color="auto" w:fill="FFFFFF"/>
        </w:rPr>
        <w:t>to Mr Makamela</w:t>
      </w:r>
      <w:r w:rsidR="00337CA3" w:rsidRPr="00DF641F">
        <w:rPr>
          <w:rFonts w:cs="Arial"/>
          <w:szCs w:val="24"/>
          <w:shd w:val="clear" w:color="auto" w:fill="FFFFFF"/>
        </w:rPr>
        <w:t>.</w:t>
      </w:r>
    </w:p>
    <w:p w:rsidR="00CD5C90" w:rsidRPr="00DF641F" w:rsidRDefault="00CD5C90" w:rsidP="003C27E4">
      <w:pPr>
        <w:rPr>
          <w:rFonts w:cs="Arial"/>
          <w:b/>
          <w:i/>
          <w:szCs w:val="24"/>
        </w:rPr>
      </w:pPr>
    </w:p>
    <w:p w:rsidR="007C197A" w:rsidRPr="00DF641F" w:rsidRDefault="008B3951" w:rsidP="003C27E4">
      <w:pPr>
        <w:rPr>
          <w:rFonts w:cs="Arial"/>
          <w:b/>
          <w:i/>
          <w:szCs w:val="24"/>
          <w:shd w:val="clear" w:color="auto" w:fill="FFFFFF"/>
        </w:rPr>
      </w:pPr>
      <w:r w:rsidRPr="00DF641F">
        <w:rPr>
          <w:rFonts w:cs="Arial"/>
          <w:b/>
          <w:i/>
          <w:szCs w:val="24"/>
        </w:rPr>
        <w:t xml:space="preserve">Magistrate </w:t>
      </w:r>
      <w:r w:rsidR="007C197A" w:rsidRPr="00DF641F">
        <w:rPr>
          <w:rFonts w:cs="Arial"/>
          <w:b/>
          <w:i/>
          <w:szCs w:val="24"/>
        </w:rPr>
        <w:t>Luxon Ramavhale</w:t>
      </w:r>
      <w:r w:rsidR="007C197A" w:rsidRPr="00DF641F">
        <w:rPr>
          <w:rFonts w:cs="Arial"/>
          <w:b/>
          <w:i/>
          <w:szCs w:val="24"/>
          <w:shd w:val="clear" w:color="auto" w:fill="FFFFFF"/>
        </w:rPr>
        <w:t xml:space="preserve"> </w:t>
      </w:r>
    </w:p>
    <w:p w:rsidR="002F2003" w:rsidRPr="00DF641F" w:rsidRDefault="002F2003" w:rsidP="003C27E4">
      <w:pPr>
        <w:rPr>
          <w:rFonts w:cs="Arial"/>
          <w:szCs w:val="24"/>
          <w:shd w:val="clear" w:color="auto" w:fill="FFFFFF"/>
        </w:rPr>
      </w:pPr>
      <w:r w:rsidRPr="00DF641F">
        <w:rPr>
          <w:rFonts w:cs="Arial"/>
          <w:szCs w:val="24"/>
          <w:shd w:val="clear" w:color="auto" w:fill="FFFFFF"/>
        </w:rPr>
        <w:t>[1</w:t>
      </w:r>
      <w:r w:rsidR="00D96023" w:rsidRPr="00DF641F">
        <w:rPr>
          <w:rFonts w:cs="Arial"/>
          <w:szCs w:val="24"/>
          <w:shd w:val="clear" w:color="auto" w:fill="FFFFFF"/>
        </w:rPr>
        <w:t>5]</w:t>
      </w:r>
      <w:r w:rsidRPr="00DF641F">
        <w:rPr>
          <w:rFonts w:cs="Arial"/>
          <w:szCs w:val="24"/>
          <w:shd w:val="clear" w:color="auto" w:fill="FFFFFF"/>
        </w:rPr>
        <w:tab/>
      </w:r>
      <w:r w:rsidR="00D25D96" w:rsidRPr="00DF641F">
        <w:rPr>
          <w:rFonts w:cs="Arial"/>
          <w:szCs w:val="24"/>
        </w:rPr>
        <w:t>Mr Ramavhale</w:t>
      </w:r>
      <w:r w:rsidR="00D25D96" w:rsidRPr="00DF641F" w:rsidDel="00D25D96">
        <w:rPr>
          <w:rFonts w:cs="Arial"/>
          <w:szCs w:val="24"/>
          <w:shd w:val="clear" w:color="auto" w:fill="FFFFFF"/>
        </w:rPr>
        <w:t xml:space="preserve"> </w:t>
      </w:r>
      <w:r w:rsidR="00DB4E8D" w:rsidRPr="00DF641F">
        <w:rPr>
          <w:rFonts w:cs="Arial"/>
          <w:szCs w:val="24"/>
          <w:shd w:val="clear" w:color="auto" w:fill="FFFFFF"/>
        </w:rPr>
        <w:t xml:space="preserve">was appointed as the acting sub-cluster head at Thohoyandou, under </w:t>
      </w:r>
      <w:r w:rsidR="00697E07" w:rsidRPr="00DF641F">
        <w:rPr>
          <w:rFonts w:cs="Arial"/>
          <w:szCs w:val="24"/>
          <w:shd w:val="clear" w:color="auto" w:fill="FFFFFF"/>
        </w:rPr>
        <w:t>Magistrate</w:t>
      </w:r>
      <w:r w:rsidR="004537C8" w:rsidRPr="00DF641F">
        <w:rPr>
          <w:rFonts w:cs="Arial"/>
          <w:szCs w:val="24"/>
          <w:shd w:val="clear" w:color="auto" w:fill="FFFFFF"/>
        </w:rPr>
        <w:t xml:space="preserve"> </w:t>
      </w:r>
      <w:r w:rsidR="007C197A" w:rsidRPr="00DF641F">
        <w:rPr>
          <w:rFonts w:cs="Arial"/>
          <w:szCs w:val="24"/>
          <w:shd w:val="clear" w:color="auto" w:fill="FFFFFF"/>
        </w:rPr>
        <w:t>Mudau, who was the cluster-head. He testified that</w:t>
      </w:r>
      <w:r w:rsidR="00DB4E8D" w:rsidRPr="00DF641F">
        <w:rPr>
          <w:rFonts w:cs="Arial"/>
          <w:szCs w:val="24"/>
          <w:shd w:val="clear" w:color="auto" w:fill="FFFFFF"/>
        </w:rPr>
        <w:t xml:space="preserve"> magistrates participating in the vehicle scheme </w:t>
      </w:r>
      <w:r w:rsidR="002943ED" w:rsidRPr="00DF641F">
        <w:rPr>
          <w:rFonts w:cs="Arial"/>
          <w:szCs w:val="24"/>
          <w:shd w:val="clear" w:color="auto" w:fill="FFFFFF"/>
        </w:rPr>
        <w:t xml:space="preserve">had to </w:t>
      </w:r>
      <w:r w:rsidR="00DB4E8D" w:rsidRPr="00DF641F">
        <w:rPr>
          <w:rFonts w:cs="Arial"/>
          <w:szCs w:val="24"/>
          <w:shd w:val="clear" w:color="auto" w:fill="FFFFFF"/>
        </w:rPr>
        <w:t xml:space="preserve">indicate which motor vehicle they </w:t>
      </w:r>
      <w:r w:rsidR="002943ED" w:rsidRPr="00DF641F">
        <w:rPr>
          <w:rFonts w:cs="Arial"/>
          <w:szCs w:val="24"/>
          <w:shd w:val="clear" w:color="auto" w:fill="FFFFFF"/>
        </w:rPr>
        <w:t xml:space="preserve">would </w:t>
      </w:r>
      <w:r w:rsidR="00DB4E8D" w:rsidRPr="00DF641F">
        <w:rPr>
          <w:rFonts w:cs="Arial"/>
          <w:szCs w:val="24"/>
          <w:shd w:val="clear" w:color="auto" w:fill="FFFFFF"/>
        </w:rPr>
        <w:t xml:space="preserve">be using by forwarding a certificate to the sub-cluster office, indicating </w:t>
      </w:r>
      <w:r w:rsidR="00064135" w:rsidRPr="00DF641F">
        <w:rPr>
          <w:rFonts w:cs="Arial"/>
          <w:szCs w:val="24"/>
          <w:shd w:val="clear" w:color="auto" w:fill="FFFFFF"/>
        </w:rPr>
        <w:t>which</w:t>
      </w:r>
      <w:r w:rsidR="00DB4E8D" w:rsidRPr="00DF641F">
        <w:rPr>
          <w:rFonts w:cs="Arial"/>
          <w:szCs w:val="24"/>
          <w:shd w:val="clear" w:color="auto" w:fill="FFFFFF"/>
        </w:rPr>
        <w:t xml:space="preserve"> motor </w:t>
      </w:r>
      <w:r w:rsidR="00DB4E8D" w:rsidRPr="00DF641F">
        <w:rPr>
          <w:rFonts w:cs="Arial"/>
          <w:szCs w:val="24"/>
          <w:shd w:val="clear" w:color="auto" w:fill="FFFFFF"/>
        </w:rPr>
        <w:lastRenderedPageBreak/>
        <w:t xml:space="preserve">vehicle </w:t>
      </w:r>
      <w:r w:rsidR="004A63AF" w:rsidRPr="00DF641F">
        <w:rPr>
          <w:rFonts w:cs="Arial"/>
          <w:szCs w:val="24"/>
          <w:shd w:val="clear" w:color="auto" w:fill="FFFFFF"/>
        </w:rPr>
        <w:t>they</w:t>
      </w:r>
      <w:r w:rsidR="00DB4E8D" w:rsidRPr="00DF641F">
        <w:rPr>
          <w:rFonts w:cs="Arial"/>
          <w:szCs w:val="24"/>
          <w:shd w:val="clear" w:color="auto" w:fill="FFFFFF"/>
        </w:rPr>
        <w:t xml:space="preserve"> </w:t>
      </w:r>
      <w:r w:rsidR="002943ED" w:rsidRPr="00DF641F">
        <w:rPr>
          <w:rFonts w:cs="Arial"/>
          <w:szCs w:val="24"/>
          <w:shd w:val="clear" w:color="auto" w:fill="FFFFFF"/>
        </w:rPr>
        <w:t xml:space="preserve">would </w:t>
      </w:r>
      <w:r w:rsidR="00DB4E8D" w:rsidRPr="00DF641F">
        <w:rPr>
          <w:rFonts w:cs="Arial"/>
          <w:szCs w:val="24"/>
          <w:shd w:val="clear" w:color="auto" w:fill="FFFFFF"/>
        </w:rPr>
        <w:t xml:space="preserve">be using. The registration certificate was required in terms of the circular to prevent fraudulent claims. In order to use another motor vehicle, an application was to be made by the magistrate, attaching the licence, and this application would go to the office of the sub-cluster head, who would forward it to the office of the Chief Magistrate. </w:t>
      </w:r>
    </w:p>
    <w:p w:rsidR="002F2003" w:rsidRPr="00DF641F" w:rsidRDefault="002F2003" w:rsidP="00B72B7F">
      <w:pPr>
        <w:rPr>
          <w:rFonts w:cs="Arial"/>
          <w:szCs w:val="24"/>
          <w:shd w:val="clear" w:color="auto" w:fill="FFFFFF"/>
        </w:rPr>
      </w:pPr>
    </w:p>
    <w:p w:rsidR="002F2003" w:rsidRPr="00DF641F" w:rsidRDefault="002F2003"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1</w:t>
      </w:r>
      <w:r w:rsidR="007F036F" w:rsidRPr="00DF641F">
        <w:rPr>
          <w:rFonts w:cs="Arial"/>
          <w:szCs w:val="24"/>
          <w:shd w:val="clear" w:color="auto" w:fill="FFFFFF"/>
        </w:rPr>
        <w:t>6</w:t>
      </w:r>
      <w:r w:rsidRPr="00DF641F">
        <w:rPr>
          <w:rFonts w:cs="Arial"/>
          <w:szCs w:val="24"/>
          <w:shd w:val="clear" w:color="auto" w:fill="FFFFFF"/>
        </w:rPr>
        <w:t>]</w:t>
      </w:r>
      <w:r w:rsidRPr="00DF641F">
        <w:rPr>
          <w:rFonts w:cs="Arial"/>
          <w:szCs w:val="24"/>
          <w:shd w:val="clear" w:color="auto" w:fill="FFFFFF"/>
        </w:rPr>
        <w:tab/>
      </w:r>
      <w:r w:rsidR="00DB4E8D" w:rsidRPr="00DF641F">
        <w:rPr>
          <w:rFonts w:cs="Arial"/>
          <w:szCs w:val="24"/>
          <w:shd w:val="clear" w:color="auto" w:fill="FFFFFF"/>
        </w:rPr>
        <w:t xml:space="preserve">It </w:t>
      </w:r>
      <w:r w:rsidR="002943ED" w:rsidRPr="00DF641F">
        <w:rPr>
          <w:rFonts w:cs="Arial"/>
          <w:szCs w:val="24"/>
          <w:shd w:val="clear" w:color="auto" w:fill="FFFFFF"/>
        </w:rPr>
        <w:t xml:space="preserve">was </w:t>
      </w:r>
      <w:r w:rsidR="00DB4E8D" w:rsidRPr="00DF641F">
        <w:rPr>
          <w:rFonts w:cs="Arial"/>
          <w:szCs w:val="24"/>
          <w:shd w:val="clear" w:color="auto" w:fill="FFFFFF"/>
        </w:rPr>
        <w:t>permissible to use two motor vehicles, as long as the registration</w:t>
      </w:r>
      <w:r w:rsidR="00580ED9" w:rsidRPr="00DF641F">
        <w:rPr>
          <w:rFonts w:cs="Arial"/>
          <w:szCs w:val="24"/>
          <w:shd w:val="clear" w:color="auto" w:fill="FFFFFF"/>
        </w:rPr>
        <w:t xml:space="preserve"> particulars </w:t>
      </w:r>
      <w:r w:rsidR="002943ED" w:rsidRPr="00DF641F">
        <w:rPr>
          <w:rFonts w:cs="Arial"/>
          <w:szCs w:val="24"/>
          <w:shd w:val="clear" w:color="auto" w:fill="FFFFFF"/>
        </w:rPr>
        <w:t xml:space="preserve">were </w:t>
      </w:r>
      <w:r w:rsidR="00580ED9" w:rsidRPr="00DF641F">
        <w:rPr>
          <w:rFonts w:cs="Arial"/>
          <w:szCs w:val="24"/>
          <w:shd w:val="clear" w:color="auto" w:fill="FFFFFF"/>
        </w:rPr>
        <w:t xml:space="preserve">forwarded to the office of the sub-cluster head. </w:t>
      </w:r>
      <w:r w:rsidR="004537C8" w:rsidRPr="00DF641F">
        <w:rPr>
          <w:rFonts w:cs="Arial"/>
          <w:szCs w:val="24"/>
          <w:shd w:val="clear" w:color="auto" w:fill="FFFFFF"/>
        </w:rPr>
        <w:t xml:space="preserve">Mr </w:t>
      </w:r>
      <w:r w:rsidR="0049348F" w:rsidRPr="00DF641F">
        <w:rPr>
          <w:rFonts w:cs="Arial"/>
          <w:szCs w:val="24"/>
          <w:shd w:val="clear" w:color="auto" w:fill="FFFFFF"/>
        </w:rPr>
        <w:t>Ramavhale</w:t>
      </w:r>
      <w:r w:rsidR="003611DA" w:rsidRPr="00DF641F">
        <w:rPr>
          <w:rFonts w:cs="Arial"/>
          <w:szCs w:val="24"/>
          <w:shd w:val="clear" w:color="auto" w:fill="FFFFFF"/>
        </w:rPr>
        <w:t xml:space="preserve"> </w:t>
      </w:r>
      <w:r w:rsidR="00580ED9" w:rsidRPr="00DF641F">
        <w:rPr>
          <w:rFonts w:cs="Arial"/>
          <w:szCs w:val="24"/>
          <w:shd w:val="clear" w:color="auto" w:fill="FFFFFF"/>
        </w:rPr>
        <w:t xml:space="preserve">also testified that the </w:t>
      </w:r>
      <w:r w:rsidR="004A63AF" w:rsidRPr="00DF641F">
        <w:rPr>
          <w:rFonts w:cs="Arial"/>
          <w:szCs w:val="24"/>
          <w:shd w:val="clear" w:color="auto" w:fill="FFFFFF"/>
        </w:rPr>
        <w:t>H</w:t>
      </w:r>
      <w:r w:rsidR="00580ED9" w:rsidRPr="00DF641F">
        <w:rPr>
          <w:rFonts w:cs="Arial"/>
          <w:szCs w:val="24"/>
          <w:shd w:val="clear" w:color="auto" w:fill="FFFFFF"/>
        </w:rPr>
        <w:t xml:space="preserve">ead of the Magistrates Office would sign the trip authorisations and would approve these authorisations for the subordinates. All heads of office would submit the trip </w:t>
      </w:r>
      <w:r w:rsidR="007C197A" w:rsidRPr="00DF641F">
        <w:rPr>
          <w:rFonts w:cs="Arial"/>
          <w:szCs w:val="24"/>
          <w:shd w:val="clear" w:color="auto" w:fill="FFFFFF"/>
        </w:rPr>
        <w:t>authorisations</w:t>
      </w:r>
      <w:r w:rsidR="00580ED9" w:rsidRPr="00DF641F">
        <w:rPr>
          <w:rFonts w:cs="Arial"/>
          <w:szCs w:val="24"/>
          <w:shd w:val="clear" w:color="auto" w:fill="FFFFFF"/>
        </w:rPr>
        <w:t xml:space="preserve"> to the sub-cluster head for approval of their trips. These authorisations were submitted through the messenger of the court</w:t>
      </w:r>
      <w:r w:rsidR="004A63AF" w:rsidRPr="00DF641F">
        <w:rPr>
          <w:rFonts w:cs="Arial"/>
          <w:szCs w:val="24"/>
          <w:shd w:val="clear" w:color="auto" w:fill="FFFFFF"/>
        </w:rPr>
        <w:t>,</w:t>
      </w:r>
      <w:r w:rsidR="004537C8" w:rsidRPr="00DF641F">
        <w:rPr>
          <w:rFonts w:cs="Arial"/>
          <w:szCs w:val="24"/>
          <w:shd w:val="clear" w:color="auto" w:fill="FFFFFF"/>
        </w:rPr>
        <w:t xml:space="preserve"> and not in person</w:t>
      </w:r>
      <w:r w:rsidR="00580ED9" w:rsidRPr="00DF641F">
        <w:rPr>
          <w:rFonts w:cs="Arial"/>
          <w:szCs w:val="24"/>
          <w:shd w:val="clear" w:color="auto" w:fill="FFFFFF"/>
        </w:rPr>
        <w:t>.</w:t>
      </w:r>
      <w:r w:rsidR="004537C8" w:rsidRPr="00DF641F">
        <w:rPr>
          <w:rFonts w:cs="Arial"/>
          <w:szCs w:val="24"/>
          <w:shd w:val="clear" w:color="auto" w:fill="FFFFFF"/>
        </w:rPr>
        <w:t xml:space="preserve"> </w:t>
      </w:r>
    </w:p>
    <w:p w:rsidR="002F2003" w:rsidRPr="00DF641F" w:rsidRDefault="002F2003" w:rsidP="00B72B7F">
      <w:pPr>
        <w:rPr>
          <w:rFonts w:cs="Arial"/>
          <w:szCs w:val="24"/>
          <w:shd w:val="clear" w:color="auto" w:fill="FFFFFF"/>
        </w:rPr>
      </w:pPr>
    </w:p>
    <w:p w:rsidR="00580ED9" w:rsidRPr="00DF641F" w:rsidRDefault="002F2003"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1</w:t>
      </w:r>
      <w:r w:rsidR="00F77C16" w:rsidRPr="00DF641F">
        <w:rPr>
          <w:rFonts w:cs="Arial"/>
          <w:szCs w:val="24"/>
          <w:shd w:val="clear" w:color="auto" w:fill="FFFFFF"/>
        </w:rPr>
        <w:t>7</w:t>
      </w:r>
      <w:r w:rsidRPr="00DF641F">
        <w:rPr>
          <w:rFonts w:cs="Arial"/>
          <w:szCs w:val="24"/>
          <w:shd w:val="clear" w:color="auto" w:fill="FFFFFF"/>
        </w:rPr>
        <w:t>]</w:t>
      </w:r>
      <w:r w:rsidRPr="00DF641F">
        <w:rPr>
          <w:rFonts w:cs="Arial"/>
          <w:szCs w:val="24"/>
          <w:shd w:val="clear" w:color="auto" w:fill="FFFFFF"/>
        </w:rPr>
        <w:tab/>
      </w:r>
      <w:r w:rsidR="00580ED9" w:rsidRPr="00DF641F">
        <w:rPr>
          <w:rFonts w:cs="Arial"/>
          <w:szCs w:val="24"/>
          <w:shd w:val="clear" w:color="auto" w:fill="FFFFFF"/>
        </w:rPr>
        <w:t xml:space="preserve">According to </w:t>
      </w:r>
      <w:r w:rsidR="0015471A" w:rsidRPr="00DF641F">
        <w:rPr>
          <w:rFonts w:cs="Arial"/>
          <w:szCs w:val="24"/>
          <w:shd w:val="clear" w:color="auto" w:fill="FFFFFF"/>
        </w:rPr>
        <w:t xml:space="preserve">Mr </w:t>
      </w:r>
      <w:r w:rsidR="00580ED9" w:rsidRPr="00DF641F">
        <w:rPr>
          <w:rFonts w:cs="Arial"/>
          <w:szCs w:val="24"/>
          <w:shd w:val="clear" w:color="auto" w:fill="FFFFFF"/>
        </w:rPr>
        <w:t>Rama</w:t>
      </w:r>
      <w:r w:rsidR="003611DA" w:rsidRPr="00DF641F">
        <w:rPr>
          <w:rFonts w:cs="Arial"/>
          <w:szCs w:val="24"/>
          <w:shd w:val="clear" w:color="auto" w:fill="FFFFFF"/>
        </w:rPr>
        <w:t>vh</w:t>
      </w:r>
      <w:r w:rsidR="00580ED9" w:rsidRPr="00DF641F">
        <w:rPr>
          <w:rFonts w:cs="Arial"/>
          <w:szCs w:val="24"/>
          <w:shd w:val="clear" w:color="auto" w:fill="FFFFFF"/>
        </w:rPr>
        <w:t xml:space="preserve">ale, it was not possible to verify whether the </w:t>
      </w:r>
      <w:r w:rsidR="004A63AF" w:rsidRPr="00DF641F">
        <w:rPr>
          <w:rFonts w:cs="Arial"/>
          <w:szCs w:val="24"/>
          <w:shd w:val="clear" w:color="auto" w:fill="FFFFFF"/>
        </w:rPr>
        <w:t xml:space="preserve">particular </w:t>
      </w:r>
      <w:r w:rsidR="00580ED9" w:rsidRPr="00DF641F">
        <w:rPr>
          <w:rFonts w:cs="Arial"/>
          <w:szCs w:val="24"/>
          <w:shd w:val="clear" w:color="auto" w:fill="FFFFFF"/>
        </w:rPr>
        <w:t xml:space="preserve">magistrate had indeed undertaken the trip, or which vehicle </w:t>
      </w:r>
      <w:r w:rsidR="004A63AF" w:rsidRPr="00DF641F">
        <w:rPr>
          <w:rFonts w:cs="Arial"/>
          <w:szCs w:val="24"/>
          <w:shd w:val="clear" w:color="auto" w:fill="FFFFFF"/>
        </w:rPr>
        <w:t xml:space="preserve">they </w:t>
      </w:r>
      <w:r w:rsidR="00580ED9" w:rsidRPr="00DF641F">
        <w:rPr>
          <w:rFonts w:cs="Arial"/>
          <w:szCs w:val="24"/>
          <w:shd w:val="clear" w:color="auto" w:fill="FFFFFF"/>
        </w:rPr>
        <w:t xml:space="preserve">had used. They would rely on their honesty. He was unaware as to whether </w:t>
      </w:r>
      <w:r w:rsidR="00697E07" w:rsidRPr="00DF641F">
        <w:rPr>
          <w:rFonts w:cs="Arial"/>
          <w:szCs w:val="24"/>
          <w:shd w:val="clear" w:color="auto" w:fill="FFFFFF"/>
        </w:rPr>
        <w:t>Magistrate</w:t>
      </w:r>
      <w:r w:rsidR="004537C8" w:rsidRPr="00DF641F">
        <w:rPr>
          <w:rFonts w:cs="Arial"/>
          <w:szCs w:val="24"/>
          <w:shd w:val="clear" w:color="auto" w:fill="FFFFFF"/>
        </w:rPr>
        <w:t xml:space="preserve"> </w:t>
      </w:r>
      <w:r w:rsidR="00580ED9" w:rsidRPr="00DF641F">
        <w:rPr>
          <w:rFonts w:cs="Arial"/>
          <w:szCs w:val="24"/>
          <w:shd w:val="clear" w:color="auto" w:fill="FFFFFF"/>
        </w:rPr>
        <w:t>Mudau, who was the sub-cluster head, followed the rules meticulously in regard to whether both motor vehicles must be registered. He could only give evidence as to what the procedure should have been, not what procedure was followed</w:t>
      </w:r>
      <w:r w:rsidR="00FF0963" w:rsidRPr="00DF641F">
        <w:rPr>
          <w:rFonts w:cs="Arial"/>
          <w:szCs w:val="24"/>
          <w:shd w:val="clear" w:color="auto" w:fill="FFFFFF"/>
        </w:rPr>
        <w:t xml:space="preserve"> by </w:t>
      </w:r>
      <w:r w:rsidR="00697E07" w:rsidRPr="00DF641F">
        <w:rPr>
          <w:rFonts w:cs="Arial"/>
          <w:szCs w:val="24"/>
          <w:shd w:val="clear" w:color="auto" w:fill="FFFFFF"/>
        </w:rPr>
        <w:t>Magistrate</w:t>
      </w:r>
      <w:r w:rsidR="00FF0963" w:rsidRPr="00DF641F">
        <w:rPr>
          <w:rFonts w:cs="Arial"/>
          <w:szCs w:val="24"/>
          <w:shd w:val="clear" w:color="auto" w:fill="FFFFFF"/>
        </w:rPr>
        <w:t xml:space="preserve"> Mudau</w:t>
      </w:r>
      <w:r w:rsidR="00580ED9" w:rsidRPr="00DF641F">
        <w:rPr>
          <w:rFonts w:cs="Arial"/>
          <w:szCs w:val="24"/>
          <w:shd w:val="clear" w:color="auto" w:fill="FFFFFF"/>
        </w:rPr>
        <w:t>.</w:t>
      </w:r>
    </w:p>
    <w:p w:rsidR="00B72B7F" w:rsidRPr="00DF641F" w:rsidRDefault="00B72B7F" w:rsidP="00697E07">
      <w:pPr>
        <w:rPr>
          <w:rFonts w:cs="Arial"/>
          <w:b/>
          <w:i/>
          <w:szCs w:val="24"/>
        </w:rPr>
      </w:pPr>
    </w:p>
    <w:p w:rsidR="00671E47" w:rsidRPr="00DF641F" w:rsidRDefault="008B3951" w:rsidP="00697E07">
      <w:pPr>
        <w:rPr>
          <w:rFonts w:cs="Arial"/>
          <w:b/>
          <w:i/>
          <w:szCs w:val="24"/>
        </w:rPr>
      </w:pPr>
      <w:r w:rsidRPr="00DF641F">
        <w:rPr>
          <w:rFonts w:cs="Arial"/>
          <w:b/>
          <w:i/>
          <w:szCs w:val="24"/>
        </w:rPr>
        <w:t xml:space="preserve">Magistrate </w:t>
      </w:r>
      <w:r w:rsidR="00697E07" w:rsidRPr="00DF641F">
        <w:rPr>
          <w:rFonts w:cs="Arial"/>
          <w:b/>
          <w:i/>
          <w:szCs w:val="24"/>
        </w:rPr>
        <w:t>Kwena Moses Molokomme</w:t>
      </w:r>
    </w:p>
    <w:p w:rsidR="002F2003" w:rsidRPr="00DF641F" w:rsidRDefault="002F2003" w:rsidP="003C27E4">
      <w:pPr>
        <w:rPr>
          <w:rFonts w:cs="Arial"/>
          <w:szCs w:val="24"/>
          <w:shd w:val="clear" w:color="auto" w:fill="FFFFFF"/>
        </w:rPr>
      </w:pPr>
      <w:r w:rsidRPr="00DF641F">
        <w:rPr>
          <w:rFonts w:cs="Arial"/>
          <w:szCs w:val="24"/>
          <w:shd w:val="clear" w:color="auto" w:fill="FFFFFF"/>
        </w:rPr>
        <w:t>[</w:t>
      </w:r>
      <w:r w:rsidR="00F77C16" w:rsidRPr="00DF641F">
        <w:rPr>
          <w:rFonts w:cs="Arial"/>
          <w:szCs w:val="24"/>
          <w:shd w:val="clear" w:color="auto" w:fill="FFFFFF"/>
        </w:rPr>
        <w:t>18</w:t>
      </w:r>
      <w:r w:rsidRPr="00DF641F">
        <w:rPr>
          <w:rFonts w:cs="Arial"/>
          <w:szCs w:val="24"/>
          <w:shd w:val="clear" w:color="auto" w:fill="FFFFFF"/>
        </w:rPr>
        <w:t>]</w:t>
      </w:r>
      <w:r w:rsidRPr="00DF641F">
        <w:rPr>
          <w:rFonts w:cs="Arial"/>
          <w:szCs w:val="24"/>
          <w:shd w:val="clear" w:color="auto" w:fill="FFFFFF"/>
        </w:rPr>
        <w:tab/>
      </w:r>
      <w:r w:rsidR="00D25D96" w:rsidRPr="00DF641F">
        <w:rPr>
          <w:rFonts w:cs="Arial"/>
          <w:szCs w:val="24"/>
        </w:rPr>
        <w:t xml:space="preserve">Mr </w:t>
      </w:r>
      <w:r w:rsidR="00697E07" w:rsidRPr="00DF641F">
        <w:rPr>
          <w:rFonts w:cs="Arial"/>
          <w:szCs w:val="24"/>
        </w:rPr>
        <w:t>Molokomme</w:t>
      </w:r>
      <w:r w:rsidR="00E515CA" w:rsidRPr="00DF641F">
        <w:rPr>
          <w:rFonts w:cs="Arial"/>
          <w:szCs w:val="24"/>
        </w:rPr>
        <w:t xml:space="preserve"> </w:t>
      </w:r>
      <w:r w:rsidR="00FF0963" w:rsidRPr="00DF641F">
        <w:rPr>
          <w:rFonts w:cs="Arial"/>
          <w:szCs w:val="24"/>
          <w:shd w:val="clear" w:color="auto" w:fill="FFFFFF"/>
        </w:rPr>
        <w:t>also</w:t>
      </w:r>
      <w:r w:rsidR="00580ED9" w:rsidRPr="00DF641F">
        <w:rPr>
          <w:rFonts w:cs="Arial"/>
          <w:szCs w:val="24"/>
          <w:shd w:val="clear" w:color="auto" w:fill="FFFFFF"/>
        </w:rPr>
        <w:t xml:space="preserve"> testified in regard to the manner in which the magistrates</w:t>
      </w:r>
      <w:r w:rsidR="004537C8" w:rsidRPr="00DF641F">
        <w:rPr>
          <w:rFonts w:cs="Arial"/>
          <w:szCs w:val="24"/>
          <w:shd w:val="clear" w:color="auto" w:fill="FFFFFF"/>
        </w:rPr>
        <w:t>’</w:t>
      </w:r>
      <w:r w:rsidR="00580ED9" w:rsidRPr="00DF641F">
        <w:rPr>
          <w:rFonts w:cs="Arial"/>
          <w:szCs w:val="24"/>
          <w:shd w:val="clear" w:color="auto" w:fill="FFFFFF"/>
        </w:rPr>
        <w:t xml:space="preserve"> motor vehicle finance scheme operated. His evidence corroborated that of </w:t>
      </w:r>
      <w:r w:rsidR="004537C8" w:rsidRPr="00DF641F">
        <w:rPr>
          <w:rFonts w:cs="Arial"/>
          <w:szCs w:val="24"/>
          <w:shd w:val="clear" w:color="auto" w:fill="FFFFFF"/>
        </w:rPr>
        <w:t xml:space="preserve">Mr </w:t>
      </w:r>
      <w:r w:rsidR="00580ED9" w:rsidRPr="00DF641F">
        <w:rPr>
          <w:rFonts w:cs="Arial"/>
          <w:szCs w:val="24"/>
          <w:shd w:val="clear" w:color="auto" w:fill="FFFFFF"/>
        </w:rPr>
        <w:t xml:space="preserve">Makamela and </w:t>
      </w:r>
      <w:r w:rsidR="004537C8" w:rsidRPr="00DF641F">
        <w:rPr>
          <w:rFonts w:cs="Arial"/>
          <w:szCs w:val="24"/>
          <w:shd w:val="clear" w:color="auto" w:fill="FFFFFF"/>
        </w:rPr>
        <w:t xml:space="preserve">Mr </w:t>
      </w:r>
      <w:r w:rsidR="00580ED9" w:rsidRPr="00DF641F">
        <w:rPr>
          <w:rFonts w:cs="Arial"/>
          <w:szCs w:val="24"/>
          <w:shd w:val="clear" w:color="auto" w:fill="FFFFFF"/>
        </w:rPr>
        <w:t>Rama</w:t>
      </w:r>
      <w:r w:rsidR="0049348F" w:rsidRPr="00DF641F">
        <w:rPr>
          <w:rFonts w:cs="Arial"/>
          <w:szCs w:val="24"/>
          <w:shd w:val="clear" w:color="auto" w:fill="FFFFFF"/>
        </w:rPr>
        <w:t>vh</w:t>
      </w:r>
      <w:r w:rsidR="00580ED9" w:rsidRPr="00DF641F">
        <w:rPr>
          <w:rFonts w:cs="Arial"/>
          <w:szCs w:val="24"/>
          <w:shd w:val="clear" w:color="auto" w:fill="FFFFFF"/>
        </w:rPr>
        <w:t xml:space="preserve">ale, but </w:t>
      </w:r>
      <w:r w:rsidR="004537C8" w:rsidRPr="00DF641F">
        <w:rPr>
          <w:rFonts w:cs="Arial"/>
          <w:szCs w:val="24"/>
          <w:shd w:val="clear" w:color="auto" w:fill="FFFFFF"/>
        </w:rPr>
        <w:t>was</w:t>
      </w:r>
      <w:r w:rsidR="00EF797C" w:rsidRPr="00DF641F">
        <w:rPr>
          <w:rFonts w:cs="Arial"/>
          <w:szCs w:val="24"/>
          <w:shd w:val="clear" w:color="auto" w:fill="FFFFFF"/>
        </w:rPr>
        <w:t xml:space="preserve">, in certain respects, </w:t>
      </w:r>
      <w:r w:rsidR="004537C8" w:rsidRPr="00DF641F">
        <w:rPr>
          <w:rFonts w:cs="Arial"/>
          <w:szCs w:val="24"/>
          <w:shd w:val="clear" w:color="auto" w:fill="FFFFFF"/>
        </w:rPr>
        <w:t>different to</w:t>
      </w:r>
      <w:r w:rsidR="00580ED9" w:rsidRPr="00DF641F">
        <w:rPr>
          <w:rFonts w:cs="Arial"/>
          <w:szCs w:val="24"/>
          <w:shd w:val="clear" w:color="auto" w:fill="FFFFFF"/>
        </w:rPr>
        <w:t xml:space="preserve"> that of </w:t>
      </w:r>
      <w:r w:rsidR="004537C8" w:rsidRPr="00DF641F">
        <w:rPr>
          <w:rFonts w:cs="Arial"/>
          <w:szCs w:val="24"/>
          <w:shd w:val="clear" w:color="auto" w:fill="FFFFFF"/>
        </w:rPr>
        <w:t>Mr</w:t>
      </w:r>
      <w:r w:rsidR="002943ED" w:rsidRPr="00DF641F">
        <w:rPr>
          <w:rFonts w:cs="Arial"/>
          <w:szCs w:val="24"/>
          <w:shd w:val="clear" w:color="auto" w:fill="FFFFFF"/>
        </w:rPr>
        <w:t> </w:t>
      </w:r>
      <w:r w:rsidR="004537C8" w:rsidRPr="00DF641F">
        <w:rPr>
          <w:rFonts w:cs="Arial"/>
          <w:szCs w:val="24"/>
          <w:shd w:val="clear" w:color="auto" w:fill="FFFFFF"/>
        </w:rPr>
        <w:t>Stapelberg</w:t>
      </w:r>
      <w:r w:rsidR="002943ED" w:rsidRPr="00DF641F">
        <w:rPr>
          <w:rFonts w:cs="Arial"/>
          <w:szCs w:val="24"/>
          <w:shd w:val="clear" w:color="auto" w:fill="FFFFFF"/>
        </w:rPr>
        <w:t xml:space="preserve"> – </w:t>
      </w:r>
      <w:r w:rsidR="004537C8" w:rsidRPr="00DF641F">
        <w:rPr>
          <w:rFonts w:cs="Arial"/>
          <w:szCs w:val="24"/>
          <w:shd w:val="clear" w:color="auto" w:fill="FFFFFF"/>
        </w:rPr>
        <w:t xml:space="preserve">but not in any material respect as to whether or not the correct claims were made. </w:t>
      </w:r>
      <w:r w:rsidR="00EF797C" w:rsidRPr="00DF641F">
        <w:rPr>
          <w:rFonts w:cs="Arial"/>
          <w:szCs w:val="24"/>
          <w:shd w:val="clear" w:color="auto" w:fill="FFFFFF"/>
        </w:rPr>
        <w:t xml:space="preserve">This issue did not form part of the appellant’s defence. The admissions made by the appellant in terms of s 220 of the CPA were the ones taken into account in this regard. It was common cause that a magistrate is required to submit claims for compensation only on the tariff of the vehicle actually used. No claims were made in respect of the Cadillac. </w:t>
      </w:r>
    </w:p>
    <w:p w:rsidR="002F2003" w:rsidRPr="00DF641F" w:rsidRDefault="002F2003" w:rsidP="00B72B7F">
      <w:pPr>
        <w:rPr>
          <w:rFonts w:cs="Arial"/>
          <w:szCs w:val="24"/>
          <w:shd w:val="clear" w:color="auto" w:fill="FFFFFF"/>
        </w:rPr>
      </w:pPr>
    </w:p>
    <w:p w:rsidR="004537C8" w:rsidRPr="00DF641F" w:rsidRDefault="002F2003" w:rsidP="003C27E4">
      <w:pPr>
        <w:rPr>
          <w:rFonts w:cs="Arial"/>
          <w:szCs w:val="24"/>
          <w:shd w:val="clear" w:color="auto" w:fill="FFFFFF"/>
        </w:rPr>
      </w:pPr>
      <w:r w:rsidRPr="00DF641F">
        <w:rPr>
          <w:rFonts w:cs="Arial"/>
          <w:szCs w:val="24"/>
          <w:shd w:val="clear" w:color="auto" w:fill="FFFFFF"/>
        </w:rPr>
        <w:t>[</w:t>
      </w:r>
      <w:r w:rsidR="00F77C16" w:rsidRPr="00DF641F">
        <w:rPr>
          <w:rFonts w:cs="Arial"/>
          <w:szCs w:val="24"/>
          <w:shd w:val="clear" w:color="auto" w:fill="FFFFFF"/>
        </w:rPr>
        <w:t>19</w:t>
      </w:r>
      <w:r w:rsidRPr="00DF641F">
        <w:rPr>
          <w:rFonts w:cs="Arial"/>
          <w:szCs w:val="24"/>
          <w:shd w:val="clear" w:color="auto" w:fill="FFFFFF"/>
        </w:rPr>
        <w:t>]</w:t>
      </w:r>
      <w:r w:rsidRPr="00DF641F">
        <w:rPr>
          <w:rFonts w:cs="Arial"/>
          <w:szCs w:val="24"/>
          <w:shd w:val="clear" w:color="auto" w:fill="FFFFFF"/>
        </w:rPr>
        <w:tab/>
      </w:r>
      <w:r w:rsidR="00A26DF7" w:rsidRPr="00DF641F">
        <w:rPr>
          <w:rFonts w:cs="Arial"/>
          <w:szCs w:val="24"/>
          <w:shd w:val="clear" w:color="auto" w:fill="FFFFFF"/>
        </w:rPr>
        <w:t xml:space="preserve">Mr </w:t>
      </w:r>
      <w:r w:rsidR="00520BC8" w:rsidRPr="00DF641F">
        <w:rPr>
          <w:rFonts w:cs="Arial"/>
          <w:szCs w:val="24"/>
          <w:shd w:val="clear" w:color="auto" w:fill="FFFFFF"/>
        </w:rPr>
        <w:t>Molokomme</w:t>
      </w:r>
      <w:r w:rsidR="00A26DF7" w:rsidRPr="00DF641F">
        <w:rPr>
          <w:rFonts w:cs="Arial"/>
          <w:szCs w:val="24"/>
          <w:shd w:val="clear" w:color="auto" w:fill="FFFFFF"/>
        </w:rPr>
        <w:t xml:space="preserve"> confirmed the version of Mr Makamela</w:t>
      </w:r>
      <w:r w:rsidR="004A7659" w:rsidRPr="00DF641F">
        <w:rPr>
          <w:rFonts w:cs="Arial"/>
          <w:szCs w:val="24"/>
          <w:shd w:val="clear" w:color="auto" w:fill="FFFFFF"/>
        </w:rPr>
        <w:t>,</w:t>
      </w:r>
      <w:r w:rsidR="00A26DF7" w:rsidRPr="00DF641F">
        <w:rPr>
          <w:rFonts w:cs="Arial"/>
          <w:szCs w:val="24"/>
          <w:shd w:val="clear" w:color="auto" w:fill="FFFFFF"/>
        </w:rPr>
        <w:t xml:space="preserve"> in that he testified that during October 2008, after </w:t>
      </w:r>
      <w:r w:rsidR="00837FEA" w:rsidRPr="00DF641F">
        <w:rPr>
          <w:rFonts w:cs="Arial"/>
          <w:szCs w:val="24"/>
          <w:shd w:val="clear" w:color="auto" w:fill="FFFFFF"/>
        </w:rPr>
        <w:t xml:space="preserve">Mr </w:t>
      </w:r>
      <w:r w:rsidR="00520BC8" w:rsidRPr="00DF641F">
        <w:rPr>
          <w:rFonts w:cs="Arial"/>
          <w:szCs w:val="24"/>
          <w:shd w:val="clear" w:color="auto" w:fill="FFFFFF"/>
        </w:rPr>
        <w:t>Molokomme</w:t>
      </w:r>
      <w:r w:rsidR="00837FEA" w:rsidRPr="00DF641F">
        <w:rPr>
          <w:rFonts w:cs="Arial"/>
          <w:szCs w:val="24"/>
          <w:shd w:val="clear" w:color="auto" w:fill="FFFFFF"/>
        </w:rPr>
        <w:t>’s</w:t>
      </w:r>
      <w:r w:rsidR="00A26DF7" w:rsidRPr="00DF641F">
        <w:rPr>
          <w:rFonts w:cs="Arial"/>
          <w:szCs w:val="24"/>
          <w:shd w:val="clear" w:color="auto" w:fill="FFFFFF"/>
        </w:rPr>
        <w:t xml:space="preserve"> appointment </w:t>
      </w:r>
      <w:r w:rsidR="00837FEA" w:rsidRPr="00DF641F">
        <w:rPr>
          <w:rFonts w:cs="Arial"/>
          <w:szCs w:val="24"/>
          <w:shd w:val="clear" w:color="auto" w:fill="FFFFFF"/>
        </w:rPr>
        <w:t>in</w:t>
      </w:r>
      <w:r w:rsidR="00A26DF7" w:rsidRPr="00DF641F">
        <w:rPr>
          <w:rFonts w:cs="Arial"/>
          <w:szCs w:val="24"/>
          <w:shd w:val="clear" w:color="auto" w:fill="FFFFFF"/>
        </w:rPr>
        <w:t xml:space="preserve"> the </w:t>
      </w:r>
      <w:r w:rsidR="00837FEA" w:rsidRPr="00DF641F">
        <w:rPr>
          <w:rFonts w:cs="Arial"/>
          <w:szCs w:val="24"/>
          <w:shd w:val="clear" w:color="auto" w:fill="FFFFFF"/>
        </w:rPr>
        <w:t>Makhado</w:t>
      </w:r>
      <w:r w:rsidR="00A26DF7" w:rsidRPr="00DF641F">
        <w:rPr>
          <w:rFonts w:cs="Arial"/>
          <w:szCs w:val="24"/>
          <w:shd w:val="clear" w:color="auto" w:fill="FFFFFF"/>
        </w:rPr>
        <w:t xml:space="preserve"> </w:t>
      </w:r>
      <w:r w:rsidR="004A7659" w:rsidRPr="00DF641F">
        <w:rPr>
          <w:rFonts w:cs="Arial"/>
          <w:szCs w:val="24"/>
          <w:shd w:val="clear" w:color="auto" w:fill="FFFFFF"/>
        </w:rPr>
        <w:t>C</w:t>
      </w:r>
      <w:r w:rsidR="00A26DF7" w:rsidRPr="00DF641F">
        <w:rPr>
          <w:rFonts w:cs="Arial"/>
          <w:szCs w:val="24"/>
          <w:shd w:val="clear" w:color="auto" w:fill="FFFFFF"/>
        </w:rPr>
        <w:t>ourt</w:t>
      </w:r>
      <w:r w:rsidR="00837FEA" w:rsidRPr="00DF641F">
        <w:rPr>
          <w:rFonts w:cs="Arial"/>
          <w:szCs w:val="24"/>
          <w:shd w:val="clear" w:color="auto" w:fill="FFFFFF"/>
        </w:rPr>
        <w:t xml:space="preserve">, where the appellant was </w:t>
      </w:r>
      <w:r w:rsidR="004A7659" w:rsidRPr="00DF641F">
        <w:rPr>
          <w:rFonts w:cs="Arial"/>
          <w:szCs w:val="24"/>
          <w:shd w:val="clear" w:color="auto" w:fill="FFFFFF"/>
        </w:rPr>
        <w:t>the A</w:t>
      </w:r>
      <w:r w:rsidR="00837FEA" w:rsidRPr="00DF641F">
        <w:rPr>
          <w:rFonts w:cs="Arial"/>
          <w:szCs w:val="24"/>
          <w:shd w:val="clear" w:color="auto" w:fill="FFFFFF"/>
        </w:rPr>
        <w:t xml:space="preserve">cting </w:t>
      </w:r>
      <w:r w:rsidR="004A7659" w:rsidRPr="00DF641F">
        <w:rPr>
          <w:rFonts w:cs="Arial"/>
          <w:szCs w:val="24"/>
          <w:shd w:val="clear" w:color="auto" w:fill="FFFFFF"/>
        </w:rPr>
        <w:t>H</w:t>
      </w:r>
      <w:r w:rsidR="00837FEA" w:rsidRPr="00DF641F">
        <w:rPr>
          <w:rFonts w:cs="Arial"/>
          <w:szCs w:val="24"/>
          <w:shd w:val="clear" w:color="auto" w:fill="FFFFFF"/>
        </w:rPr>
        <w:t xml:space="preserve">ead, the appellant assisted him in looking for </w:t>
      </w:r>
      <w:r w:rsidR="00837FEA" w:rsidRPr="00DF641F">
        <w:rPr>
          <w:rFonts w:cs="Arial"/>
          <w:szCs w:val="24"/>
          <w:shd w:val="clear" w:color="auto" w:fill="FFFFFF"/>
        </w:rPr>
        <w:lastRenderedPageBreak/>
        <w:t>accommodation. He followed the appellant in his own vehicle, whi</w:t>
      </w:r>
      <w:r w:rsidR="004A7659" w:rsidRPr="00DF641F">
        <w:rPr>
          <w:rFonts w:cs="Arial"/>
          <w:szCs w:val="24"/>
          <w:shd w:val="clear" w:color="auto" w:fill="FFFFFF"/>
        </w:rPr>
        <w:t>l</w:t>
      </w:r>
      <w:r w:rsidR="00837FEA" w:rsidRPr="00DF641F">
        <w:rPr>
          <w:rFonts w:cs="Arial"/>
          <w:szCs w:val="24"/>
          <w:shd w:val="clear" w:color="auto" w:fill="FFFFFF"/>
        </w:rPr>
        <w:t>st the appellant drove the Cadillac.</w:t>
      </w:r>
      <w:r w:rsidR="00160E11" w:rsidRPr="00DF641F">
        <w:rPr>
          <w:rFonts w:cs="Arial"/>
          <w:szCs w:val="24"/>
          <w:shd w:val="clear" w:color="auto" w:fill="FFFFFF"/>
        </w:rPr>
        <w:t xml:space="preserve"> </w:t>
      </w:r>
      <w:r w:rsidR="00BD0F5B" w:rsidRPr="00DF641F">
        <w:rPr>
          <w:rFonts w:cs="Arial"/>
          <w:szCs w:val="24"/>
          <w:shd w:val="clear" w:color="auto" w:fill="FFFFFF"/>
        </w:rPr>
        <w:t xml:space="preserve">The appellant would often come from Dzanani to assist him in Makhado and he was always driving the Cadillac. </w:t>
      </w:r>
    </w:p>
    <w:p w:rsidR="002F2003" w:rsidRPr="00DF641F" w:rsidRDefault="002F2003" w:rsidP="00B72B7F">
      <w:pPr>
        <w:rPr>
          <w:rFonts w:cs="Arial"/>
          <w:szCs w:val="24"/>
          <w:shd w:val="clear" w:color="auto" w:fill="FFFFFF"/>
        </w:rPr>
      </w:pPr>
    </w:p>
    <w:p w:rsidR="004537C8" w:rsidRPr="00DF641F" w:rsidRDefault="004537C8" w:rsidP="003C27E4">
      <w:pPr>
        <w:rPr>
          <w:rFonts w:cs="Arial"/>
          <w:b/>
          <w:szCs w:val="24"/>
          <w:shd w:val="clear" w:color="auto" w:fill="FFFFFF"/>
        </w:rPr>
      </w:pPr>
      <w:r w:rsidRPr="00DF641F">
        <w:rPr>
          <w:rFonts w:cs="Arial"/>
          <w:b/>
          <w:szCs w:val="24"/>
          <w:shd w:val="clear" w:color="auto" w:fill="FFFFFF"/>
        </w:rPr>
        <w:t>The appellant’s version</w:t>
      </w:r>
    </w:p>
    <w:p w:rsidR="00F20611" w:rsidRPr="00DF641F" w:rsidRDefault="002F2003" w:rsidP="003C27E4">
      <w:pPr>
        <w:rPr>
          <w:rFonts w:cs="Arial"/>
          <w:szCs w:val="24"/>
          <w:shd w:val="clear" w:color="auto" w:fill="FFFFFF"/>
        </w:rPr>
      </w:pPr>
      <w:r w:rsidRPr="00DF641F">
        <w:rPr>
          <w:rFonts w:cs="Arial"/>
          <w:szCs w:val="24"/>
          <w:shd w:val="clear" w:color="auto" w:fill="FFFFFF"/>
        </w:rPr>
        <w:t>[2</w:t>
      </w:r>
      <w:r w:rsidR="00F77C16" w:rsidRPr="00DF641F">
        <w:rPr>
          <w:rFonts w:cs="Arial"/>
          <w:szCs w:val="24"/>
          <w:shd w:val="clear" w:color="auto" w:fill="FFFFFF"/>
        </w:rPr>
        <w:t>0</w:t>
      </w:r>
      <w:r w:rsidRPr="00DF641F">
        <w:rPr>
          <w:rFonts w:cs="Arial"/>
          <w:szCs w:val="24"/>
          <w:shd w:val="clear" w:color="auto" w:fill="FFFFFF"/>
        </w:rPr>
        <w:t>]</w:t>
      </w:r>
      <w:r w:rsidRPr="00DF641F">
        <w:rPr>
          <w:rFonts w:cs="Arial"/>
          <w:szCs w:val="24"/>
          <w:shd w:val="clear" w:color="auto" w:fill="FFFFFF"/>
        </w:rPr>
        <w:tab/>
      </w:r>
      <w:r w:rsidR="004537C8" w:rsidRPr="00DF641F">
        <w:rPr>
          <w:rFonts w:cs="Arial"/>
          <w:szCs w:val="24"/>
          <w:shd w:val="clear" w:color="auto" w:fill="FFFFFF"/>
        </w:rPr>
        <w:t>Various aspects of the appellant’s version were put to Mr Makamela</w:t>
      </w:r>
      <w:r w:rsidR="0015471A" w:rsidRPr="00DF641F">
        <w:rPr>
          <w:rFonts w:cs="Arial"/>
          <w:szCs w:val="24"/>
          <w:shd w:val="clear" w:color="auto" w:fill="FFFFFF"/>
        </w:rPr>
        <w:t xml:space="preserve">, Mr Stapelberg, Mr </w:t>
      </w:r>
      <w:r w:rsidR="0049348F" w:rsidRPr="00DF641F">
        <w:rPr>
          <w:rFonts w:cs="Arial"/>
          <w:szCs w:val="24"/>
          <w:shd w:val="clear" w:color="auto" w:fill="FFFFFF"/>
        </w:rPr>
        <w:t>Ramavhale</w:t>
      </w:r>
      <w:r w:rsidR="003611DA" w:rsidRPr="00DF641F">
        <w:rPr>
          <w:rFonts w:cs="Arial"/>
          <w:szCs w:val="24"/>
          <w:shd w:val="clear" w:color="auto" w:fill="FFFFFF"/>
        </w:rPr>
        <w:t xml:space="preserve"> </w:t>
      </w:r>
      <w:r w:rsidR="0015471A" w:rsidRPr="00DF641F">
        <w:rPr>
          <w:rFonts w:cs="Arial"/>
          <w:szCs w:val="24"/>
          <w:shd w:val="clear" w:color="auto" w:fill="FFFFFF"/>
        </w:rPr>
        <w:t xml:space="preserve">and Mr </w:t>
      </w:r>
      <w:r w:rsidR="00520BC8" w:rsidRPr="00DF641F">
        <w:rPr>
          <w:rFonts w:cs="Arial"/>
          <w:szCs w:val="24"/>
          <w:shd w:val="clear" w:color="auto" w:fill="FFFFFF"/>
        </w:rPr>
        <w:t>Molokomme</w:t>
      </w:r>
      <w:r w:rsidR="0015471A" w:rsidRPr="00DF641F">
        <w:rPr>
          <w:rFonts w:cs="Arial"/>
          <w:szCs w:val="24"/>
          <w:shd w:val="clear" w:color="auto" w:fill="FFFFFF"/>
        </w:rPr>
        <w:t xml:space="preserve">. </w:t>
      </w:r>
      <w:r w:rsidR="004537C8" w:rsidRPr="00DF641F">
        <w:rPr>
          <w:rFonts w:cs="Arial"/>
          <w:szCs w:val="24"/>
          <w:shd w:val="clear" w:color="auto" w:fill="FFFFFF"/>
        </w:rPr>
        <w:t xml:space="preserve">The appellant’s version (which was not confirmed under oath, </w:t>
      </w:r>
      <w:r w:rsidR="00F4426B" w:rsidRPr="00DF641F">
        <w:rPr>
          <w:rFonts w:cs="Arial"/>
          <w:szCs w:val="24"/>
          <w:shd w:val="clear" w:color="auto" w:fill="FFFFFF"/>
        </w:rPr>
        <w:t xml:space="preserve">nor tested in cross examination, thus having no evidentiary value </w:t>
      </w:r>
      <w:r w:rsidR="004537C8" w:rsidRPr="00DF641F">
        <w:rPr>
          <w:rFonts w:cs="Arial"/>
          <w:szCs w:val="24"/>
          <w:shd w:val="clear" w:color="auto" w:fill="FFFFFF"/>
        </w:rPr>
        <w:t xml:space="preserve">as the </w:t>
      </w:r>
      <w:r w:rsidR="0015471A" w:rsidRPr="00DF641F">
        <w:rPr>
          <w:rFonts w:cs="Arial"/>
          <w:szCs w:val="24"/>
          <w:shd w:val="clear" w:color="auto" w:fill="FFFFFF"/>
        </w:rPr>
        <w:t>appellant chose not to testify) was</w:t>
      </w:r>
      <w:r w:rsidR="004A7659" w:rsidRPr="00DF641F">
        <w:rPr>
          <w:rFonts w:cs="Arial"/>
          <w:szCs w:val="24"/>
          <w:shd w:val="clear" w:color="auto" w:fill="FFFFFF"/>
        </w:rPr>
        <w:t>,</w:t>
      </w:r>
      <w:r w:rsidR="004537C8" w:rsidRPr="00DF641F">
        <w:rPr>
          <w:rFonts w:cs="Arial"/>
          <w:szCs w:val="24"/>
          <w:shd w:val="clear" w:color="auto" w:fill="FFFFFF"/>
        </w:rPr>
        <w:t xml:space="preserve"> in summary</w:t>
      </w:r>
      <w:r w:rsidR="004A7659" w:rsidRPr="00DF641F">
        <w:rPr>
          <w:rFonts w:cs="Arial"/>
          <w:szCs w:val="24"/>
          <w:shd w:val="clear" w:color="auto" w:fill="FFFFFF"/>
        </w:rPr>
        <w:t>,</w:t>
      </w:r>
      <w:r w:rsidR="004537C8" w:rsidRPr="00DF641F">
        <w:rPr>
          <w:rFonts w:cs="Arial"/>
          <w:szCs w:val="24"/>
          <w:shd w:val="clear" w:color="auto" w:fill="FFFFFF"/>
        </w:rPr>
        <w:t xml:space="preserve"> the following:</w:t>
      </w:r>
    </w:p>
    <w:p w:rsidR="00F20611" w:rsidRPr="00DF641F" w:rsidRDefault="00B82C06" w:rsidP="003C27E4">
      <w:pPr>
        <w:rPr>
          <w:rFonts w:cs="Arial"/>
          <w:szCs w:val="24"/>
          <w:shd w:val="clear" w:color="auto" w:fill="FFFFFF"/>
        </w:rPr>
      </w:pPr>
      <w:r w:rsidRPr="00DF641F">
        <w:rPr>
          <w:rFonts w:cs="Arial"/>
          <w:szCs w:val="24"/>
          <w:shd w:val="clear" w:color="auto" w:fill="FFFFFF"/>
        </w:rPr>
        <w:t>(</w:t>
      </w:r>
      <w:r w:rsidR="00F20611" w:rsidRPr="00DF641F">
        <w:rPr>
          <w:rFonts w:cs="Arial"/>
          <w:szCs w:val="24"/>
          <w:shd w:val="clear" w:color="auto" w:fill="FFFFFF"/>
        </w:rPr>
        <w:t>a)</w:t>
      </w:r>
      <w:r w:rsidR="0043753E" w:rsidRPr="00DF641F">
        <w:rPr>
          <w:rFonts w:cs="Arial"/>
          <w:szCs w:val="24"/>
          <w:shd w:val="clear" w:color="auto" w:fill="FFFFFF"/>
        </w:rPr>
        <w:t xml:space="preserve"> </w:t>
      </w:r>
      <w:r w:rsidR="00EF797C" w:rsidRPr="00DF641F">
        <w:rPr>
          <w:rFonts w:cs="Arial"/>
          <w:szCs w:val="24"/>
          <w:shd w:val="clear" w:color="auto" w:fill="FFFFFF"/>
        </w:rPr>
        <w:t xml:space="preserve">The appellant test drove the Cadillac from April to May 2008. </w:t>
      </w:r>
    </w:p>
    <w:p w:rsidR="00F20611" w:rsidRPr="00DF641F" w:rsidRDefault="00F20611" w:rsidP="003C27E4">
      <w:pPr>
        <w:rPr>
          <w:rFonts w:cs="Arial"/>
          <w:szCs w:val="24"/>
          <w:shd w:val="clear" w:color="auto" w:fill="FFFFFF"/>
        </w:rPr>
      </w:pPr>
      <w:r w:rsidRPr="00DF641F">
        <w:rPr>
          <w:rFonts w:cs="Arial"/>
          <w:szCs w:val="24"/>
          <w:shd w:val="clear" w:color="auto" w:fill="FFFFFF"/>
        </w:rPr>
        <w:t>(b)</w:t>
      </w:r>
      <w:r w:rsidR="0043753E" w:rsidRPr="00DF641F">
        <w:rPr>
          <w:rFonts w:cs="Arial"/>
          <w:szCs w:val="24"/>
          <w:shd w:val="clear" w:color="auto" w:fill="FFFFFF"/>
        </w:rPr>
        <w:t xml:space="preserve"> </w:t>
      </w:r>
      <w:r w:rsidR="00EF797C" w:rsidRPr="00DF641F">
        <w:rPr>
          <w:rFonts w:cs="Arial"/>
          <w:szCs w:val="24"/>
          <w:shd w:val="clear" w:color="auto" w:fill="FFFFFF"/>
        </w:rPr>
        <w:t xml:space="preserve">He would drive the RAV4 and the Cadillac, but he only claimed </w:t>
      </w:r>
      <w:r w:rsidR="002943ED" w:rsidRPr="00DF641F">
        <w:rPr>
          <w:rFonts w:cs="Arial"/>
          <w:szCs w:val="24"/>
          <w:shd w:val="clear" w:color="auto" w:fill="FFFFFF"/>
        </w:rPr>
        <w:t xml:space="preserve">for </w:t>
      </w:r>
      <w:r w:rsidR="00EF797C" w:rsidRPr="00DF641F">
        <w:rPr>
          <w:rFonts w:cs="Arial"/>
          <w:szCs w:val="24"/>
          <w:shd w:val="clear" w:color="auto" w:fill="FFFFFF"/>
        </w:rPr>
        <w:t>when he drove the RAV4</w:t>
      </w:r>
      <w:r w:rsidR="002943ED" w:rsidRPr="00DF641F">
        <w:rPr>
          <w:rFonts w:cs="Arial"/>
          <w:szCs w:val="24"/>
          <w:shd w:val="clear" w:color="auto" w:fill="FFFFFF"/>
        </w:rPr>
        <w:t>,</w:t>
      </w:r>
      <w:r w:rsidR="00EF797C" w:rsidRPr="00DF641F">
        <w:rPr>
          <w:rFonts w:cs="Arial"/>
          <w:szCs w:val="24"/>
          <w:shd w:val="clear" w:color="auto" w:fill="FFFFFF"/>
        </w:rPr>
        <w:t xml:space="preserve"> as it was the vehicle registered with the Department. </w:t>
      </w:r>
    </w:p>
    <w:p w:rsidR="00F20611" w:rsidRPr="00DF641F" w:rsidRDefault="00F20611" w:rsidP="003C27E4">
      <w:pPr>
        <w:rPr>
          <w:rFonts w:cs="Arial"/>
          <w:szCs w:val="24"/>
          <w:shd w:val="clear" w:color="auto" w:fill="FFFFFF"/>
        </w:rPr>
      </w:pPr>
      <w:r w:rsidRPr="00DF641F">
        <w:rPr>
          <w:rFonts w:cs="Arial"/>
          <w:szCs w:val="24"/>
          <w:shd w:val="clear" w:color="auto" w:fill="FFFFFF"/>
        </w:rPr>
        <w:t>(c)</w:t>
      </w:r>
      <w:r w:rsidR="0043753E" w:rsidRPr="00DF641F">
        <w:rPr>
          <w:rFonts w:cs="Arial"/>
          <w:szCs w:val="24"/>
          <w:shd w:val="clear" w:color="auto" w:fill="FFFFFF"/>
        </w:rPr>
        <w:t xml:space="preserve"> </w:t>
      </w:r>
      <w:r w:rsidR="00EF797C" w:rsidRPr="00DF641F">
        <w:rPr>
          <w:rFonts w:cs="Arial"/>
          <w:szCs w:val="24"/>
          <w:shd w:val="clear" w:color="auto" w:fill="FFFFFF"/>
        </w:rPr>
        <w:t>He sold the RAV4 to Ms Phiri in September 2008. There was an agreement between Ms Phiri and the appellant that the appellant could continue using the RAV4, even after he had sold it to her.</w:t>
      </w:r>
    </w:p>
    <w:p w:rsidR="00F20611" w:rsidRPr="00DF641F" w:rsidRDefault="00F20611" w:rsidP="003C27E4">
      <w:pPr>
        <w:rPr>
          <w:rFonts w:cs="Arial"/>
          <w:szCs w:val="24"/>
          <w:shd w:val="clear" w:color="auto" w:fill="FFFFFF"/>
        </w:rPr>
      </w:pPr>
      <w:r w:rsidRPr="00DF641F">
        <w:rPr>
          <w:rFonts w:cs="Arial"/>
          <w:szCs w:val="24"/>
          <w:shd w:val="clear" w:color="auto" w:fill="FFFFFF"/>
        </w:rPr>
        <w:t>(d)</w:t>
      </w:r>
      <w:r w:rsidR="0043753E" w:rsidRPr="00DF641F">
        <w:rPr>
          <w:rFonts w:cs="Arial"/>
          <w:szCs w:val="24"/>
          <w:shd w:val="clear" w:color="auto" w:fill="FFFFFF"/>
        </w:rPr>
        <w:t xml:space="preserve"> </w:t>
      </w:r>
      <w:r w:rsidR="00697E07" w:rsidRPr="00DF641F">
        <w:rPr>
          <w:rFonts w:cs="Arial"/>
          <w:szCs w:val="24"/>
          <w:shd w:val="clear" w:color="auto" w:fill="FFFFFF"/>
        </w:rPr>
        <w:t>Magistrate</w:t>
      </w:r>
      <w:r w:rsidR="00EF797C" w:rsidRPr="00DF641F">
        <w:rPr>
          <w:rFonts w:cs="Arial"/>
          <w:szCs w:val="24"/>
          <w:shd w:val="clear" w:color="auto" w:fill="FFFFFF"/>
        </w:rPr>
        <w:t xml:space="preserve"> Mudau would not have certified </w:t>
      </w:r>
      <w:r w:rsidR="002943ED" w:rsidRPr="00DF641F">
        <w:rPr>
          <w:rFonts w:cs="Arial"/>
          <w:szCs w:val="24"/>
          <w:shd w:val="clear" w:color="auto" w:fill="FFFFFF"/>
        </w:rPr>
        <w:t xml:space="preserve">the appellant’s </w:t>
      </w:r>
      <w:r w:rsidR="00EF797C" w:rsidRPr="00DF641F">
        <w:rPr>
          <w:rFonts w:cs="Arial"/>
          <w:szCs w:val="24"/>
          <w:shd w:val="clear" w:color="auto" w:fill="FFFFFF"/>
        </w:rPr>
        <w:t>claims</w:t>
      </w:r>
      <w:r w:rsidR="002943ED" w:rsidRPr="00DF641F">
        <w:rPr>
          <w:rFonts w:cs="Arial"/>
          <w:szCs w:val="24"/>
        </w:rPr>
        <w:t xml:space="preserve"> </w:t>
      </w:r>
      <w:r w:rsidR="002943ED" w:rsidRPr="00DF641F">
        <w:rPr>
          <w:rFonts w:cs="Arial"/>
          <w:szCs w:val="24"/>
          <w:shd w:val="clear" w:color="auto" w:fill="FFFFFF"/>
        </w:rPr>
        <w:t>in respect of the claims for May to December 2008,</w:t>
      </w:r>
      <w:r w:rsidR="00EF797C" w:rsidRPr="00DF641F">
        <w:rPr>
          <w:rFonts w:cs="Arial"/>
          <w:szCs w:val="24"/>
          <w:shd w:val="clear" w:color="auto" w:fill="FFFFFF"/>
        </w:rPr>
        <w:t xml:space="preserve"> unless he was satisfied that the appellant was driving the RAV4.</w:t>
      </w:r>
    </w:p>
    <w:p w:rsidR="00F20611" w:rsidRPr="00DF641F" w:rsidRDefault="00F20611" w:rsidP="003C27E4">
      <w:pPr>
        <w:rPr>
          <w:rFonts w:cs="Arial"/>
          <w:szCs w:val="24"/>
          <w:shd w:val="clear" w:color="auto" w:fill="FFFFFF"/>
        </w:rPr>
      </w:pPr>
      <w:r w:rsidRPr="00DF641F">
        <w:rPr>
          <w:rFonts w:cs="Arial"/>
          <w:szCs w:val="24"/>
          <w:shd w:val="clear" w:color="auto" w:fill="FFFFFF"/>
        </w:rPr>
        <w:t>(e)</w:t>
      </w:r>
      <w:r w:rsidR="0043753E" w:rsidRPr="00DF641F">
        <w:rPr>
          <w:rFonts w:cs="Arial"/>
          <w:szCs w:val="24"/>
          <w:shd w:val="clear" w:color="auto" w:fill="FFFFFF"/>
        </w:rPr>
        <w:t xml:space="preserve"> </w:t>
      </w:r>
      <w:r w:rsidR="00EF797C" w:rsidRPr="00DF641F">
        <w:rPr>
          <w:rFonts w:cs="Arial"/>
          <w:szCs w:val="24"/>
          <w:shd w:val="clear" w:color="auto" w:fill="FFFFFF"/>
        </w:rPr>
        <w:t xml:space="preserve">He borrowed the RAV4 from Ms Phiri for the period of January 2009 to March 2009. </w:t>
      </w:r>
    </w:p>
    <w:p w:rsidR="00EF797C" w:rsidRPr="00DF641F" w:rsidRDefault="00F20611" w:rsidP="003C27E4">
      <w:pPr>
        <w:rPr>
          <w:rFonts w:cs="Arial"/>
          <w:szCs w:val="24"/>
          <w:shd w:val="clear" w:color="auto" w:fill="FFFFFF"/>
        </w:rPr>
      </w:pPr>
      <w:r w:rsidRPr="00DF641F">
        <w:rPr>
          <w:rFonts w:cs="Arial"/>
          <w:szCs w:val="24"/>
          <w:shd w:val="clear" w:color="auto" w:fill="FFFFFF"/>
        </w:rPr>
        <w:t>(f)</w:t>
      </w:r>
      <w:r w:rsidR="0043753E" w:rsidRPr="00DF641F">
        <w:rPr>
          <w:rFonts w:cs="Arial"/>
          <w:szCs w:val="24"/>
          <w:shd w:val="clear" w:color="auto" w:fill="FFFFFF"/>
        </w:rPr>
        <w:t xml:space="preserve"> </w:t>
      </w:r>
      <w:r w:rsidR="00EF797C" w:rsidRPr="00DF641F">
        <w:rPr>
          <w:rFonts w:cs="Arial"/>
          <w:szCs w:val="24"/>
          <w:shd w:val="clear" w:color="auto" w:fill="FFFFFF"/>
        </w:rPr>
        <w:t xml:space="preserve">He did not change the particulars of the vehicle registered for official trips with the Department </w:t>
      </w:r>
      <w:r w:rsidR="00EF797C" w:rsidRPr="00DF641F">
        <w:rPr>
          <w:rFonts w:cs="Arial"/>
          <w:szCs w:val="24"/>
        </w:rPr>
        <w:t xml:space="preserve">because he borrowed the </w:t>
      </w:r>
      <w:r w:rsidR="00E4792D" w:rsidRPr="00DF641F">
        <w:rPr>
          <w:rFonts w:cs="Arial"/>
          <w:szCs w:val="24"/>
        </w:rPr>
        <w:t>RAV4</w:t>
      </w:r>
      <w:r w:rsidR="00EF797C" w:rsidRPr="00DF641F">
        <w:rPr>
          <w:rFonts w:cs="Arial"/>
          <w:szCs w:val="24"/>
        </w:rPr>
        <w:t xml:space="preserve"> from Ms Phiri for all official trips.</w:t>
      </w:r>
      <w:r w:rsidR="0043753E" w:rsidRPr="00DF641F" w:rsidDel="0043753E">
        <w:rPr>
          <w:rFonts w:cs="Arial"/>
          <w:szCs w:val="24"/>
        </w:rPr>
        <w:t xml:space="preserve"> </w:t>
      </w:r>
    </w:p>
    <w:p w:rsidR="00F20611" w:rsidRPr="00DF641F" w:rsidRDefault="00F20611" w:rsidP="00CC2949">
      <w:pPr>
        <w:rPr>
          <w:rFonts w:cs="Arial"/>
          <w:b/>
          <w:szCs w:val="24"/>
        </w:rPr>
      </w:pPr>
    </w:p>
    <w:p w:rsidR="00F13211" w:rsidRPr="00DF641F" w:rsidRDefault="00643242" w:rsidP="003C27E4">
      <w:pPr>
        <w:rPr>
          <w:rFonts w:cs="Arial"/>
          <w:b/>
          <w:szCs w:val="24"/>
          <w:shd w:val="clear" w:color="auto" w:fill="FFFFFF"/>
        </w:rPr>
      </w:pPr>
      <w:r w:rsidRPr="00DF641F">
        <w:rPr>
          <w:rFonts w:cs="Arial"/>
          <w:b/>
          <w:szCs w:val="24"/>
        </w:rPr>
        <w:t xml:space="preserve">The </w:t>
      </w:r>
      <w:r w:rsidR="006F6B53" w:rsidRPr="00DF641F">
        <w:rPr>
          <w:rFonts w:cs="Arial"/>
          <w:b/>
          <w:szCs w:val="24"/>
        </w:rPr>
        <w:t>t</w:t>
      </w:r>
      <w:r w:rsidRPr="00DF641F">
        <w:rPr>
          <w:rFonts w:cs="Arial"/>
          <w:b/>
          <w:szCs w:val="24"/>
        </w:rPr>
        <w:t xml:space="preserve">rial </w:t>
      </w:r>
      <w:r w:rsidR="006F6B53" w:rsidRPr="00DF641F">
        <w:rPr>
          <w:rFonts w:cs="Arial"/>
          <w:b/>
          <w:szCs w:val="24"/>
        </w:rPr>
        <w:t>c</w:t>
      </w:r>
      <w:r w:rsidRPr="00DF641F">
        <w:rPr>
          <w:rFonts w:cs="Arial"/>
          <w:b/>
          <w:szCs w:val="24"/>
        </w:rPr>
        <w:t>ourt</w:t>
      </w:r>
    </w:p>
    <w:p w:rsidR="00F20611" w:rsidRPr="00DF641F" w:rsidRDefault="00F20611" w:rsidP="003C27E4">
      <w:pPr>
        <w:rPr>
          <w:rFonts w:cs="Arial"/>
          <w:szCs w:val="24"/>
          <w:shd w:val="clear" w:color="auto" w:fill="FFFFFF"/>
        </w:rPr>
      </w:pPr>
      <w:r w:rsidRPr="00DF641F">
        <w:rPr>
          <w:rFonts w:cs="Arial"/>
          <w:szCs w:val="24"/>
          <w:shd w:val="clear" w:color="auto" w:fill="FFFFFF"/>
        </w:rPr>
        <w:t>[2</w:t>
      </w:r>
      <w:r w:rsidR="000A4866" w:rsidRPr="00DF641F">
        <w:rPr>
          <w:rFonts w:cs="Arial"/>
          <w:szCs w:val="24"/>
          <w:shd w:val="clear" w:color="auto" w:fill="FFFFFF"/>
        </w:rPr>
        <w:t>1</w:t>
      </w:r>
      <w:r w:rsidRPr="00DF641F">
        <w:rPr>
          <w:rFonts w:cs="Arial"/>
          <w:szCs w:val="24"/>
          <w:shd w:val="clear" w:color="auto" w:fill="FFFFFF"/>
        </w:rPr>
        <w:t>]</w:t>
      </w:r>
      <w:r w:rsidRPr="00DF641F">
        <w:rPr>
          <w:rFonts w:cs="Arial"/>
          <w:szCs w:val="24"/>
          <w:shd w:val="clear" w:color="auto" w:fill="FFFFFF"/>
        </w:rPr>
        <w:tab/>
      </w:r>
      <w:r w:rsidR="00EF797C" w:rsidRPr="00DF641F">
        <w:rPr>
          <w:rFonts w:cs="Arial"/>
          <w:szCs w:val="24"/>
          <w:shd w:val="clear" w:color="auto" w:fill="FFFFFF"/>
        </w:rPr>
        <w:t>The trial court found that paragraph 5 of the October letter contained an admission by the appellant that he owned</w:t>
      </w:r>
      <w:r w:rsidR="00BE0DF3" w:rsidRPr="00DF641F">
        <w:rPr>
          <w:rFonts w:cs="Arial"/>
          <w:szCs w:val="24"/>
          <w:shd w:val="clear" w:color="auto" w:fill="FFFFFF"/>
        </w:rPr>
        <w:t xml:space="preserve"> </w:t>
      </w:r>
      <w:r w:rsidR="00EF797C" w:rsidRPr="00DF641F">
        <w:rPr>
          <w:rFonts w:cs="Arial"/>
          <w:szCs w:val="24"/>
          <w:shd w:val="clear" w:color="auto" w:fill="FFFFFF"/>
        </w:rPr>
        <w:t>both vehicles and used them ‘interchangeably’, even though they had different engine capacities. The appellant stated that he owned t</w:t>
      </w:r>
      <w:r w:rsidR="008C3413" w:rsidRPr="00DF641F">
        <w:rPr>
          <w:rFonts w:cs="Arial"/>
          <w:szCs w:val="24"/>
          <w:shd w:val="clear" w:color="auto" w:fill="FFFFFF"/>
        </w:rPr>
        <w:t>he RAV</w:t>
      </w:r>
      <w:r w:rsidR="00EF797C" w:rsidRPr="00DF641F">
        <w:rPr>
          <w:rFonts w:cs="Arial"/>
          <w:szCs w:val="24"/>
          <w:shd w:val="clear" w:color="auto" w:fill="FFFFFF"/>
        </w:rPr>
        <w:t>4 until November 2008, but he was also the owner of the Cad</w:t>
      </w:r>
      <w:r w:rsidR="008C3413" w:rsidRPr="00DF641F">
        <w:rPr>
          <w:rFonts w:cs="Arial"/>
          <w:szCs w:val="24"/>
          <w:shd w:val="clear" w:color="auto" w:fill="FFFFFF"/>
        </w:rPr>
        <w:t>illac before that time. The RAV</w:t>
      </w:r>
      <w:r w:rsidR="00EF797C" w:rsidRPr="00DF641F">
        <w:rPr>
          <w:rFonts w:cs="Arial"/>
          <w:szCs w:val="24"/>
          <w:shd w:val="clear" w:color="auto" w:fill="FFFFFF"/>
        </w:rPr>
        <w:t>4 was registered with the Department for official trips</w:t>
      </w:r>
      <w:r w:rsidR="0043753E" w:rsidRPr="00DF641F">
        <w:rPr>
          <w:rFonts w:cs="Arial"/>
          <w:szCs w:val="24"/>
          <w:shd w:val="clear" w:color="auto" w:fill="FFFFFF"/>
        </w:rPr>
        <w:t xml:space="preserve"> however, </w:t>
      </w:r>
      <w:r w:rsidR="00EF797C" w:rsidRPr="00DF641F">
        <w:rPr>
          <w:rFonts w:cs="Arial"/>
          <w:szCs w:val="24"/>
          <w:shd w:val="clear" w:color="auto" w:fill="FFFFFF"/>
        </w:rPr>
        <w:t>he only claimed on the tariff of the RAV4 as the Cadillac was not registered</w:t>
      </w:r>
      <w:r w:rsidR="0043753E" w:rsidRPr="00DF641F">
        <w:rPr>
          <w:rFonts w:cs="Arial"/>
          <w:szCs w:val="24"/>
          <w:shd w:val="clear" w:color="auto" w:fill="FFFFFF"/>
        </w:rPr>
        <w:t xml:space="preserve">. As a result, claiming on the Cadillac tariff </w:t>
      </w:r>
      <w:r w:rsidR="00EF797C" w:rsidRPr="00DF641F">
        <w:rPr>
          <w:rFonts w:cs="Arial"/>
          <w:szCs w:val="24"/>
          <w:shd w:val="clear" w:color="auto" w:fill="FFFFFF"/>
        </w:rPr>
        <w:t>would be fraudulent and would not be approved. The trial court found that the appellant ‘laboured</w:t>
      </w:r>
      <w:r w:rsidR="006F4D8D" w:rsidRPr="00DF641F">
        <w:rPr>
          <w:rFonts w:cs="Arial"/>
          <w:szCs w:val="24"/>
          <w:shd w:val="clear" w:color="auto" w:fill="FFFFFF"/>
        </w:rPr>
        <w:t xml:space="preserve"> . . .</w:t>
      </w:r>
      <w:r w:rsidR="00EF797C" w:rsidRPr="00DF641F">
        <w:rPr>
          <w:rFonts w:cs="Arial"/>
          <w:szCs w:val="24"/>
          <w:shd w:val="clear" w:color="auto" w:fill="FFFFFF"/>
        </w:rPr>
        <w:t xml:space="preserve"> under the apprehension</w:t>
      </w:r>
      <w:r w:rsidR="006F4D8D" w:rsidRPr="00DF641F">
        <w:rPr>
          <w:rFonts w:cs="Arial"/>
          <w:szCs w:val="24"/>
          <w:shd w:val="clear" w:color="auto" w:fill="FFFFFF"/>
        </w:rPr>
        <w:t xml:space="preserve">. . . </w:t>
      </w:r>
      <w:r w:rsidR="00EF797C" w:rsidRPr="00DF641F">
        <w:rPr>
          <w:rFonts w:cs="Arial"/>
          <w:szCs w:val="24"/>
          <w:shd w:val="clear" w:color="auto" w:fill="FFFFFF"/>
        </w:rPr>
        <w:t xml:space="preserve">’ that he could use the Cadillac, but </w:t>
      </w:r>
      <w:r w:rsidR="00155655" w:rsidRPr="00DF641F">
        <w:rPr>
          <w:rFonts w:cs="Arial"/>
          <w:szCs w:val="24"/>
          <w:shd w:val="clear" w:color="auto" w:fill="FFFFFF"/>
        </w:rPr>
        <w:t>should only claim on t</w:t>
      </w:r>
      <w:r w:rsidR="008C3413" w:rsidRPr="00DF641F">
        <w:rPr>
          <w:rFonts w:cs="Arial"/>
          <w:szCs w:val="24"/>
          <w:shd w:val="clear" w:color="auto" w:fill="FFFFFF"/>
        </w:rPr>
        <w:t>he tariff applicable to the RAV</w:t>
      </w:r>
      <w:r w:rsidR="00155655" w:rsidRPr="00DF641F">
        <w:rPr>
          <w:rFonts w:cs="Arial"/>
          <w:szCs w:val="24"/>
          <w:shd w:val="clear" w:color="auto" w:fill="FFFFFF"/>
        </w:rPr>
        <w:t>4</w:t>
      </w:r>
      <w:r w:rsidR="00EF797C" w:rsidRPr="00DF641F">
        <w:rPr>
          <w:rFonts w:cs="Arial"/>
          <w:szCs w:val="24"/>
          <w:shd w:val="clear" w:color="auto" w:fill="FFFFFF"/>
        </w:rPr>
        <w:t xml:space="preserve">, as it was the official registered vehicle. </w:t>
      </w:r>
      <w:r w:rsidR="00F505B2" w:rsidRPr="00DF641F">
        <w:rPr>
          <w:rFonts w:cs="Arial"/>
          <w:szCs w:val="24"/>
          <w:shd w:val="clear" w:color="auto" w:fill="FFFFFF"/>
        </w:rPr>
        <w:t xml:space="preserve">This explanation, the trial court found, is ‘a far cry from the defence put up by the </w:t>
      </w:r>
      <w:r w:rsidR="006F4D8D" w:rsidRPr="00DF641F">
        <w:rPr>
          <w:rFonts w:cs="Arial"/>
          <w:szCs w:val="24"/>
          <w:shd w:val="clear" w:color="auto" w:fill="FFFFFF"/>
        </w:rPr>
        <w:t>[</w:t>
      </w:r>
      <w:r w:rsidR="00F505B2" w:rsidRPr="00DF641F">
        <w:rPr>
          <w:rFonts w:cs="Arial"/>
          <w:szCs w:val="24"/>
          <w:shd w:val="clear" w:color="auto" w:fill="FFFFFF"/>
        </w:rPr>
        <w:t>appellant</w:t>
      </w:r>
      <w:r w:rsidR="006F4D8D" w:rsidRPr="00DF641F">
        <w:rPr>
          <w:rFonts w:cs="Arial"/>
          <w:szCs w:val="24"/>
          <w:shd w:val="clear" w:color="auto" w:fill="FFFFFF"/>
        </w:rPr>
        <w:t>]</w:t>
      </w:r>
      <w:r w:rsidR="009858CD" w:rsidRPr="00DF641F">
        <w:rPr>
          <w:rFonts w:cs="Arial"/>
          <w:szCs w:val="24"/>
          <w:shd w:val="clear" w:color="auto" w:fill="FFFFFF"/>
        </w:rPr>
        <w:t>’</w:t>
      </w:r>
      <w:r w:rsidR="006F4D8D" w:rsidRPr="00DF641F">
        <w:rPr>
          <w:rFonts w:cs="Arial"/>
          <w:szCs w:val="24"/>
          <w:shd w:val="clear" w:color="auto" w:fill="FFFFFF"/>
        </w:rPr>
        <w:t>.</w:t>
      </w:r>
      <w:r w:rsidR="00F505B2" w:rsidRPr="00DF641F">
        <w:rPr>
          <w:rFonts w:cs="Arial"/>
          <w:szCs w:val="24"/>
          <w:shd w:val="clear" w:color="auto" w:fill="FFFFFF"/>
        </w:rPr>
        <w:t xml:space="preserve"> </w:t>
      </w:r>
      <w:r w:rsidR="00155655" w:rsidRPr="00DF641F">
        <w:rPr>
          <w:rFonts w:cs="Arial"/>
          <w:szCs w:val="24"/>
          <w:shd w:val="clear" w:color="auto" w:fill="FFFFFF"/>
        </w:rPr>
        <w:t xml:space="preserve">There is no </w:t>
      </w:r>
      <w:r w:rsidR="00155655" w:rsidRPr="00DF641F">
        <w:rPr>
          <w:rFonts w:cs="Arial"/>
          <w:szCs w:val="24"/>
          <w:shd w:val="clear" w:color="auto" w:fill="FFFFFF"/>
        </w:rPr>
        <w:lastRenderedPageBreak/>
        <w:t>reference in the letter to his version that he borrowed the RAV4 from Ms Phiri</w:t>
      </w:r>
      <w:r w:rsidR="006F4D8D" w:rsidRPr="00DF641F">
        <w:rPr>
          <w:rFonts w:cs="Arial"/>
          <w:szCs w:val="24"/>
          <w:shd w:val="clear" w:color="auto" w:fill="FFFFFF"/>
        </w:rPr>
        <w:t>,</w:t>
      </w:r>
      <w:r w:rsidR="00155655" w:rsidRPr="00DF641F">
        <w:rPr>
          <w:rFonts w:cs="Arial"/>
          <w:szCs w:val="24"/>
          <w:shd w:val="clear" w:color="auto" w:fill="FFFFFF"/>
        </w:rPr>
        <w:t xml:space="preserve"> either from the period </w:t>
      </w:r>
      <w:r w:rsidR="00F505B2" w:rsidRPr="00DF641F">
        <w:rPr>
          <w:rFonts w:cs="Arial"/>
          <w:szCs w:val="24"/>
          <w:shd w:val="clear" w:color="auto" w:fill="FFFFFF"/>
        </w:rPr>
        <w:t>May 2008</w:t>
      </w:r>
      <w:r w:rsidR="00155655" w:rsidRPr="00DF641F">
        <w:rPr>
          <w:rFonts w:cs="Arial"/>
          <w:szCs w:val="24"/>
          <w:shd w:val="clear" w:color="auto" w:fill="FFFFFF"/>
        </w:rPr>
        <w:t xml:space="preserve"> to March 2009</w:t>
      </w:r>
      <w:r w:rsidR="00F505B2" w:rsidRPr="00DF641F">
        <w:rPr>
          <w:rFonts w:cs="Arial"/>
          <w:szCs w:val="24"/>
          <w:shd w:val="clear" w:color="auto" w:fill="FFFFFF"/>
        </w:rPr>
        <w:t>,</w:t>
      </w:r>
      <w:r w:rsidR="00155655" w:rsidRPr="00DF641F">
        <w:rPr>
          <w:rFonts w:cs="Arial"/>
          <w:szCs w:val="24"/>
          <w:shd w:val="clear" w:color="auto" w:fill="FFFFFF"/>
        </w:rPr>
        <w:t xml:space="preserve"> or </w:t>
      </w:r>
      <w:r w:rsidR="00F505B2" w:rsidRPr="00DF641F">
        <w:rPr>
          <w:rFonts w:cs="Arial"/>
          <w:szCs w:val="24"/>
          <w:shd w:val="clear" w:color="auto" w:fill="FFFFFF"/>
        </w:rPr>
        <w:t>at all.</w:t>
      </w:r>
    </w:p>
    <w:p w:rsidR="00F20611" w:rsidRPr="00DF641F" w:rsidRDefault="00F20611" w:rsidP="00B72B7F">
      <w:pPr>
        <w:rPr>
          <w:rFonts w:cs="Arial"/>
          <w:szCs w:val="24"/>
          <w:shd w:val="clear" w:color="auto" w:fill="FFFFFF"/>
        </w:rPr>
      </w:pPr>
    </w:p>
    <w:p w:rsidR="00F20611" w:rsidRPr="00DF641F" w:rsidRDefault="00F20611" w:rsidP="003C27E4">
      <w:pPr>
        <w:rPr>
          <w:rFonts w:cs="Arial"/>
          <w:szCs w:val="24"/>
          <w:shd w:val="clear" w:color="auto" w:fill="FFFFFF"/>
        </w:rPr>
      </w:pPr>
      <w:r w:rsidRPr="00DF641F">
        <w:rPr>
          <w:rFonts w:cs="Arial"/>
          <w:szCs w:val="24"/>
          <w:shd w:val="clear" w:color="auto" w:fill="FFFFFF"/>
        </w:rPr>
        <w:t>[2</w:t>
      </w:r>
      <w:r w:rsidR="000A4866" w:rsidRPr="00DF641F">
        <w:rPr>
          <w:rFonts w:cs="Arial"/>
          <w:szCs w:val="24"/>
          <w:shd w:val="clear" w:color="auto" w:fill="FFFFFF"/>
        </w:rPr>
        <w:t>2</w:t>
      </w:r>
      <w:r w:rsidRPr="00DF641F">
        <w:rPr>
          <w:rFonts w:cs="Arial"/>
          <w:szCs w:val="24"/>
          <w:shd w:val="clear" w:color="auto" w:fill="FFFFFF"/>
        </w:rPr>
        <w:t>]</w:t>
      </w:r>
      <w:r w:rsidRPr="00DF641F">
        <w:rPr>
          <w:rFonts w:cs="Arial"/>
          <w:szCs w:val="24"/>
          <w:shd w:val="clear" w:color="auto" w:fill="FFFFFF"/>
        </w:rPr>
        <w:tab/>
      </w:r>
      <w:r w:rsidR="00EF797C" w:rsidRPr="00DF641F">
        <w:rPr>
          <w:rFonts w:cs="Arial"/>
          <w:szCs w:val="24"/>
          <w:shd w:val="clear" w:color="auto" w:fill="FFFFFF"/>
        </w:rPr>
        <w:t xml:space="preserve">The version of the appellant which was put to the witnesses was that </w:t>
      </w:r>
      <w:r w:rsidR="00EF797C" w:rsidRPr="00DF641F">
        <w:rPr>
          <w:rFonts w:cs="Arial"/>
          <w:szCs w:val="24"/>
        </w:rPr>
        <w:t xml:space="preserve">he could use either vehicle, but could only make a claim when he drove the RAV4, because that was the one that was registered with the Department. It was argued that there was no proof before the </w:t>
      </w:r>
      <w:r w:rsidR="006F4D8D" w:rsidRPr="00DF641F">
        <w:rPr>
          <w:rFonts w:cs="Arial"/>
          <w:szCs w:val="24"/>
        </w:rPr>
        <w:t xml:space="preserve">trial </w:t>
      </w:r>
      <w:r w:rsidR="00EF797C" w:rsidRPr="00DF641F">
        <w:rPr>
          <w:rFonts w:cs="Arial"/>
          <w:szCs w:val="24"/>
        </w:rPr>
        <w:t>court that he used the Cadillac for official trips. He was test</w:t>
      </w:r>
      <w:r w:rsidR="00EA6C62" w:rsidRPr="00DF641F">
        <w:rPr>
          <w:rFonts w:cs="Arial"/>
          <w:szCs w:val="24"/>
        </w:rPr>
        <w:t>-</w:t>
      </w:r>
      <w:r w:rsidR="00EF797C" w:rsidRPr="00DF641F">
        <w:rPr>
          <w:rFonts w:cs="Arial"/>
          <w:szCs w:val="24"/>
        </w:rPr>
        <w:t xml:space="preserve">driving the vehicle during April and May 2008. What was not put to the witnesses was what the situation with the Cadillac was for the balance of 2008, as according to the </w:t>
      </w:r>
      <w:r w:rsidR="00A764C9" w:rsidRPr="00DF641F">
        <w:rPr>
          <w:rFonts w:cs="Arial"/>
          <w:szCs w:val="24"/>
        </w:rPr>
        <w:t>s</w:t>
      </w:r>
      <w:r w:rsidR="00EF797C" w:rsidRPr="00DF641F">
        <w:rPr>
          <w:rFonts w:cs="Arial"/>
          <w:szCs w:val="24"/>
        </w:rPr>
        <w:t xml:space="preserve">tate witnesses, the appellant continued to drive the Cadillac until March 2009. </w:t>
      </w:r>
    </w:p>
    <w:p w:rsidR="00F20611" w:rsidRPr="00DF641F" w:rsidRDefault="00F20611" w:rsidP="00B72B7F">
      <w:pPr>
        <w:rPr>
          <w:rFonts w:cs="Arial"/>
          <w:szCs w:val="24"/>
          <w:shd w:val="clear" w:color="auto" w:fill="FFFFFF"/>
        </w:rPr>
      </w:pPr>
    </w:p>
    <w:p w:rsidR="00F20611" w:rsidRPr="00DF641F" w:rsidRDefault="00F20611"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2</w:t>
      </w:r>
      <w:r w:rsidR="000A4866" w:rsidRPr="00DF641F">
        <w:rPr>
          <w:rFonts w:cs="Arial"/>
          <w:szCs w:val="24"/>
          <w:shd w:val="clear" w:color="auto" w:fill="FFFFFF"/>
        </w:rPr>
        <w:t>3</w:t>
      </w:r>
      <w:r w:rsidRPr="00DF641F">
        <w:rPr>
          <w:rFonts w:cs="Arial"/>
          <w:szCs w:val="24"/>
          <w:shd w:val="clear" w:color="auto" w:fill="FFFFFF"/>
        </w:rPr>
        <w:t>]</w:t>
      </w:r>
      <w:r w:rsidRPr="00DF641F">
        <w:rPr>
          <w:rFonts w:cs="Arial"/>
          <w:szCs w:val="24"/>
          <w:shd w:val="clear" w:color="auto" w:fill="FFFFFF"/>
        </w:rPr>
        <w:tab/>
      </w:r>
      <w:r w:rsidR="004537C8" w:rsidRPr="00DF641F">
        <w:rPr>
          <w:rFonts w:cs="Arial"/>
          <w:szCs w:val="24"/>
          <w:shd w:val="clear" w:color="auto" w:fill="FFFFFF"/>
        </w:rPr>
        <w:t>The trial court</w:t>
      </w:r>
      <w:r w:rsidR="00A764C9" w:rsidRPr="00DF641F">
        <w:rPr>
          <w:rFonts w:cs="Arial"/>
          <w:szCs w:val="24"/>
          <w:shd w:val="clear" w:color="auto" w:fill="FFFFFF"/>
        </w:rPr>
        <w:t>,</w:t>
      </w:r>
      <w:r w:rsidR="004537C8" w:rsidRPr="00DF641F">
        <w:rPr>
          <w:rFonts w:cs="Arial"/>
          <w:szCs w:val="24"/>
          <w:shd w:val="clear" w:color="auto" w:fill="FFFFFF"/>
        </w:rPr>
        <w:t xml:space="preserve"> </w:t>
      </w:r>
      <w:r w:rsidR="00160E11" w:rsidRPr="00DF641F">
        <w:rPr>
          <w:rFonts w:cs="Arial"/>
          <w:szCs w:val="24"/>
          <w:shd w:val="clear" w:color="auto" w:fill="FFFFFF"/>
        </w:rPr>
        <w:t>in dealing with</w:t>
      </w:r>
      <w:r w:rsidR="00271FFF" w:rsidRPr="00DF641F">
        <w:rPr>
          <w:rFonts w:cs="Arial"/>
          <w:szCs w:val="24"/>
          <w:shd w:val="clear" w:color="auto" w:fill="FFFFFF"/>
        </w:rPr>
        <w:t xml:space="preserve"> counts 9</w:t>
      </w:r>
      <w:r w:rsidR="006F4D8D" w:rsidRPr="00DF641F">
        <w:rPr>
          <w:rFonts w:cs="Arial"/>
          <w:szCs w:val="24"/>
          <w:shd w:val="clear" w:color="auto" w:fill="FFFFFF"/>
        </w:rPr>
        <w:t>-</w:t>
      </w:r>
      <w:r w:rsidR="00271FFF" w:rsidRPr="00DF641F">
        <w:rPr>
          <w:rFonts w:cs="Arial"/>
          <w:szCs w:val="24"/>
          <w:shd w:val="clear" w:color="auto" w:fill="FFFFFF"/>
        </w:rPr>
        <w:t>14</w:t>
      </w:r>
      <w:r w:rsidR="00A764C9" w:rsidRPr="00DF641F">
        <w:rPr>
          <w:rFonts w:cs="Arial"/>
          <w:szCs w:val="24"/>
          <w:shd w:val="clear" w:color="auto" w:fill="FFFFFF"/>
        </w:rPr>
        <w:t>,</w:t>
      </w:r>
      <w:r w:rsidR="00271FFF" w:rsidRPr="00DF641F">
        <w:rPr>
          <w:rFonts w:cs="Arial"/>
          <w:szCs w:val="24"/>
          <w:shd w:val="clear" w:color="auto" w:fill="FFFFFF"/>
        </w:rPr>
        <w:t xml:space="preserve"> found that</w:t>
      </w:r>
      <w:r w:rsidR="004537C8" w:rsidRPr="00DF641F">
        <w:rPr>
          <w:rFonts w:cs="Arial"/>
          <w:szCs w:val="24"/>
          <w:shd w:val="clear" w:color="auto" w:fill="FFFFFF"/>
        </w:rPr>
        <w:t>:</w:t>
      </w:r>
    </w:p>
    <w:p w:rsidR="00271FFF" w:rsidRPr="00DF641F" w:rsidRDefault="00580ED9" w:rsidP="003C27E4">
      <w:pPr>
        <w:rPr>
          <w:rFonts w:cs="Arial"/>
          <w:sz w:val="22"/>
          <w:shd w:val="clear" w:color="auto" w:fill="FFFFFF"/>
        </w:rPr>
      </w:pPr>
      <w:r w:rsidRPr="00DF641F">
        <w:rPr>
          <w:rFonts w:cs="Arial"/>
          <w:sz w:val="22"/>
          <w:shd w:val="clear" w:color="auto" w:fill="FFFFFF"/>
        </w:rPr>
        <w:t xml:space="preserve">‘However accepting that each of the counts 9 </w:t>
      </w:r>
      <w:r w:rsidR="00520BC8" w:rsidRPr="00DF641F">
        <w:rPr>
          <w:rFonts w:cs="Arial"/>
          <w:sz w:val="22"/>
          <w:shd w:val="clear" w:color="auto" w:fill="FFFFFF"/>
        </w:rPr>
        <w:t xml:space="preserve">to </w:t>
      </w:r>
      <w:r w:rsidRPr="00DF641F">
        <w:rPr>
          <w:rFonts w:cs="Arial"/>
          <w:sz w:val="22"/>
          <w:shd w:val="clear" w:color="auto" w:fill="FFFFFF"/>
        </w:rPr>
        <w:t>18 is a com</w:t>
      </w:r>
      <w:r w:rsidR="00520BC8" w:rsidRPr="00DF641F">
        <w:rPr>
          <w:rFonts w:cs="Arial"/>
          <w:sz w:val="22"/>
          <w:shd w:val="clear" w:color="auto" w:fill="FFFFFF"/>
        </w:rPr>
        <w:t>pensat</w:t>
      </w:r>
      <w:r w:rsidR="00E67615" w:rsidRPr="00DF641F">
        <w:rPr>
          <w:rFonts w:cs="Arial"/>
          <w:sz w:val="22"/>
          <w:shd w:val="clear" w:color="auto" w:fill="FFFFFF"/>
        </w:rPr>
        <w:t>ion</w:t>
      </w:r>
      <w:r w:rsidRPr="00DF641F">
        <w:rPr>
          <w:rFonts w:cs="Arial"/>
          <w:sz w:val="22"/>
          <w:shd w:val="clear" w:color="auto" w:fill="FFFFFF"/>
        </w:rPr>
        <w:t xml:space="preserve"> claim of various trips undertaken, the sum of which were, on the accused’s version, undertaken with the </w:t>
      </w:r>
      <w:r w:rsidR="004537C8" w:rsidRPr="00DF641F">
        <w:rPr>
          <w:rFonts w:cs="Arial"/>
          <w:sz w:val="22"/>
          <w:shd w:val="clear" w:color="auto" w:fill="FFFFFF"/>
        </w:rPr>
        <w:t>Cadillac and some with the RAV4, i</w:t>
      </w:r>
      <w:r w:rsidRPr="00DF641F">
        <w:rPr>
          <w:rFonts w:cs="Arial"/>
          <w:sz w:val="22"/>
          <w:shd w:val="clear" w:color="auto" w:fill="FFFFFF"/>
        </w:rPr>
        <w:t>t is impossible on the evidence presented, or the evidence of the witness who testified</w:t>
      </w:r>
      <w:r w:rsidR="00E91D15" w:rsidRPr="00DF641F">
        <w:rPr>
          <w:rFonts w:cs="Arial"/>
          <w:sz w:val="22"/>
          <w:shd w:val="clear" w:color="auto" w:fill="FFFFFF"/>
        </w:rPr>
        <w:t xml:space="preserve"> </w:t>
      </w:r>
      <w:r w:rsidR="003C27E4" w:rsidRPr="00DF641F">
        <w:rPr>
          <w:rFonts w:cs="Arial"/>
          <w:sz w:val="22"/>
          <w:shd w:val="clear" w:color="auto" w:fill="FFFFFF"/>
        </w:rPr>
        <w:t xml:space="preserve">. . . </w:t>
      </w:r>
      <w:r w:rsidR="00E91D15" w:rsidRPr="00DF641F">
        <w:rPr>
          <w:rFonts w:cs="Arial"/>
          <w:sz w:val="22"/>
          <w:shd w:val="clear" w:color="auto" w:fill="FFFFFF"/>
        </w:rPr>
        <w:t xml:space="preserve">to determine on which occasion he used the </w:t>
      </w:r>
      <w:r w:rsidR="00271FFF" w:rsidRPr="00DF641F">
        <w:rPr>
          <w:rFonts w:cs="Arial"/>
          <w:sz w:val="22"/>
          <w:shd w:val="clear" w:color="auto" w:fill="FFFFFF"/>
        </w:rPr>
        <w:t xml:space="preserve">Cadillac and on which occasion, the </w:t>
      </w:r>
      <w:r w:rsidR="00E91D15" w:rsidRPr="00DF641F">
        <w:rPr>
          <w:rFonts w:cs="Arial"/>
          <w:sz w:val="22"/>
          <w:shd w:val="clear" w:color="auto" w:fill="FFFFFF"/>
        </w:rPr>
        <w:t>RAV4. I am not prepared to convict the accused on speculation.</w:t>
      </w:r>
      <w:r w:rsidR="008D6880" w:rsidRPr="00DF641F">
        <w:rPr>
          <w:rFonts w:cs="Arial"/>
          <w:sz w:val="22"/>
          <w:shd w:val="clear" w:color="auto" w:fill="FFFFFF"/>
        </w:rPr>
        <w:t>’</w:t>
      </w:r>
    </w:p>
    <w:p w:rsidR="00F20611" w:rsidRPr="00DF641F" w:rsidRDefault="00F20611" w:rsidP="00B72B7F">
      <w:pPr>
        <w:rPr>
          <w:rFonts w:cs="Arial"/>
          <w:szCs w:val="24"/>
          <w:shd w:val="clear" w:color="auto" w:fill="FFFFFF"/>
        </w:rPr>
      </w:pPr>
    </w:p>
    <w:p w:rsidR="00F20611" w:rsidRPr="00DF641F" w:rsidRDefault="00F20611" w:rsidP="003C27E4">
      <w:pPr>
        <w:rPr>
          <w:rFonts w:cs="Arial"/>
          <w:szCs w:val="24"/>
        </w:rPr>
      </w:pPr>
      <w:r w:rsidRPr="00DF641F">
        <w:rPr>
          <w:rFonts w:cs="Arial"/>
          <w:szCs w:val="24"/>
          <w:shd w:val="clear" w:color="auto" w:fill="FFFFFF"/>
        </w:rPr>
        <w:t>[2</w:t>
      </w:r>
      <w:r w:rsidR="000A4866" w:rsidRPr="00DF641F">
        <w:rPr>
          <w:rFonts w:cs="Arial"/>
          <w:szCs w:val="24"/>
          <w:shd w:val="clear" w:color="auto" w:fill="FFFFFF"/>
        </w:rPr>
        <w:t>4</w:t>
      </w:r>
      <w:r w:rsidRPr="00DF641F">
        <w:rPr>
          <w:rFonts w:cs="Arial"/>
          <w:szCs w:val="24"/>
          <w:shd w:val="clear" w:color="auto" w:fill="FFFFFF"/>
        </w:rPr>
        <w:t>]</w:t>
      </w:r>
      <w:r w:rsidRPr="00DF641F">
        <w:rPr>
          <w:rFonts w:cs="Arial"/>
          <w:szCs w:val="24"/>
          <w:shd w:val="clear" w:color="auto" w:fill="FFFFFF"/>
        </w:rPr>
        <w:tab/>
      </w:r>
      <w:r w:rsidR="00271FFF" w:rsidRPr="00DF641F">
        <w:rPr>
          <w:rFonts w:cs="Arial"/>
          <w:szCs w:val="24"/>
          <w:shd w:val="clear" w:color="auto" w:fill="FFFFFF"/>
        </w:rPr>
        <w:t xml:space="preserve">In regard to </w:t>
      </w:r>
      <w:r w:rsidR="008D6880" w:rsidRPr="00DF641F">
        <w:rPr>
          <w:rFonts w:cs="Arial"/>
          <w:szCs w:val="24"/>
          <w:shd w:val="clear" w:color="auto" w:fill="FFFFFF"/>
        </w:rPr>
        <w:t>c</w:t>
      </w:r>
      <w:r w:rsidR="00271FFF" w:rsidRPr="00DF641F">
        <w:rPr>
          <w:rFonts w:cs="Arial"/>
          <w:szCs w:val="24"/>
          <w:shd w:val="clear" w:color="auto" w:fill="FFFFFF"/>
        </w:rPr>
        <w:t>ounts 15</w:t>
      </w:r>
      <w:r w:rsidR="00520BC8" w:rsidRPr="00DF641F">
        <w:rPr>
          <w:rFonts w:cs="Arial"/>
          <w:szCs w:val="24"/>
          <w:shd w:val="clear" w:color="auto" w:fill="FFFFFF"/>
        </w:rPr>
        <w:t>-</w:t>
      </w:r>
      <w:r w:rsidR="00271FFF" w:rsidRPr="00DF641F">
        <w:rPr>
          <w:rFonts w:cs="Arial"/>
          <w:szCs w:val="24"/>
          <w:shd w:val="clear" w:color="auto" w:fill="FFFFFF"/>
        </w:rPr>
        <w:t>18, dealing with the claims from December 2008 until March 2009, the</w:t>
      </w:r>
      <w:r w:rsidR="00895062" w:rsidRPr="00DF641F">
        <w:rPr>
          <w:rFonts w:cs="Arial"/>
          <w:szCs w:val="24"/>
          <w:shd w:val="clear" w:color="auto" w:fill="FFFFFF"/>
        </w:rPr>
        <w:t xml:space="preserve"> </w:t>
      </w:r>
      <w:r w:rsidR="00271FFF" w:rsidRPr="00DF641F">
        <w:rPr>
          <w:rFonts w:cs="Arial"/>
          <w:szCs w:val="24"/>
          <w:shd w:val="clear" w:color="auto" w:fill="FFFFFF"/>
        </w:rPr>
        <w:t xml:space="preserve">trial court found that the appellant claimed as if he used the RAV4 when he was no longer the owner </w:t>
      </w:r>
      <w:r w:rsidR="00895062" w:rsidRPr="00DF641F">
        <w:rPr>
          <w:rFonts w:cs="Arial"/>
          <w:szCs w:val="24"/>
          <w:shd w:val="clear" w:color="auto" w:fill="FFFFFF"/>
        </w:rPr>
        <w:t>or in possession of it, as it was by then owned by</w:t>
      </w:r>
      <w:r w:rsidR="008D6880" w:rsidRPr="00DF641F">
        <w:rPr>
          <w:rFonts w:cs="Arial"/>
          <w:szCs w:val="24"/>
          <w:shd w:val="clear" w:color="auto" w:fill="FFFFFF"/>
        </w:rPr>
        <w:t>,</w:t>
      </w:r>
      <w:r w:rsidR="00895062" w:rsidRPr="00DF641F">
        <w:rPr>
          <w:rFonts w:cs="Arial"/>
          <w:szCs w:val="24"/>
          <w:shd w:val="clear" w:color="auto" w:fill="FFFFFF"/>
        </w:rPr>
        <w:t xml:space="preserve"> and in the possession of</w:t>
      </w:r>
      <w:r w:rsidR="008D6880" w:rsidRPr="00DF641F">
        <w:rPr>
          <w:rFonts w:cs="Arial"/>
          <w:szCs w:val="24"/>
          <w:shd w:val="clear" w:color="auto" w:fill="FFFFFF"/>
        </w:rPr>
        <w:t>,</w:t>
      </w:r>
      <w:r w:rsidR="00895062" w:rsidRPr="00DF641F">
        <w:rPr>
          <w:rFonts w:cs="Arial"/>
          <w:szCs w:val="24"/>
          <w:shd w:val="clear" w:color="auto" w:fill="FFFFFF"/>
        </w:rPr>
        <w:t xml:space="preserve"> Ms Phiri. </w:t>
      </w:r>
      <w:r w:rsidR="00895062" w:rsidRPr="00DF641F">
        <w:rPr>
          <w:rFonts w:cs="Arial"/>
          <w:szCs w:val="24"/>
        </w:rPr>
        <w:t>The version that he borrowed the vehicle from Ms Phiri over this period was, according to the trial court</w:t>
      </w:r>
      <w:r w:rsidR="008D6880" w:rsidRPr="00DF641F">
        <w:rPr>
          <w:rFonts w:cs="Arial"/>
          <w:szCs w:val="24"/>
        </w:rPr>
        <w:t>,</w:t>
      </w:r>
      <w:r w:rsidR="00895062" w:rsidRPr="00DF641F">
        <w:rPr>
          <w:rFonts w:cs="Arial"/>
          <w:szCs w:val="24"/>
        </w:rPr>
        <w:t xml:space="preserve"> an afterthought and did not amount to evidence. </w:t>
      </w:r>
    </w:p>
    <w:p w:rsidR="00F20611" w:rsidRPr="00DF641F" w:rsidRDefault="00F20611" w:rsidP="00B72B7F">
      <w:pPr>
        <w:rPr>
          <w:rFonts w:cs="Arial"/>
          <w:szCs w:val="24"/>
        </w:rPr>
      </w:pPr>
    </w:p>
    <w:p w:rsidR="00F20611" w:rsidRPr="00DF641F" w:rsidRDefault="00F20611" w:rsidP="003C27E4">
      <w:pPr>
        <w:rPr>
          <w:rFonts w:cs="Arial"/>
          <w:szCs w:val="24"/>
        </w:rPr>
      </w:pPr>
      <w:r w:rsidRPr="00DF641F">
        <w:rPr>
          <w:rFonts w:cs="Arial"/>
          <w:szCs w:val="24"/>
        </w:rPr>
        <w:t>[2</w:t>
      </w:r>
      <w:r w:rsidR="000A4866" w:rsidRPr="00DF641F">
        <w:rPr>
          <w:rFonts w:cs="Arial"/>
          <w:szCs w:val="24"/>
        </w:rPr>
        <w:t>5</w:t>
      </w:r>
      <w:r w:rsidRPr="00DF641F">
        <w:rPr>
          <w:rFonts w:cs="Arial"/>
          <w:szCs w:val="24"/>
        </w:rPr>
        <w:t>]</w:t>
      </w:r>
      <w:r w:rsidRPr="00DF641F">
        <w:rPr>
          <w:rFonts w:cs="Arial"/>
          <w:szCs w:val="24"/>
        </w:rPr>
        <w:tab/>
      </w:r>
      <w:r w:rsidR="00160E11" w:rsidRPr="00DF641F">
        <w:rPr>
          <w:rFonts w:cs="Arial"/>
          <w:szCs w:val="24"/>
        </w:rPr>
        <w:t xml:space="preserve">The appellant, in the appeal before the </w:t>
      </w:r>
      <w:r w:rsidR="00E67615" w:rsidRPr="00DF641F">
        <w:rPr>
          <w:rFonts w:cs="Arial"/>
          <w:szCs w:val="24"/>
        </w:rPr>
        <w:t>f</w:t>
      </w:r>
      <w:r w:rsidR="00160E11" w:rsidRPr="00DF641F">
        <w:rPr>
          <w:rFonts w:cs="Arial"/>
          <w:szCs w:val="24"/>
        </w:rPr>
        <w:t xml:space="preserve">ull </w:t>
      </w:r>
      <w:r w:rsidR="00E67615" w:rsidRPr="00DF641F">
        <w:rPr>
          <w:rFonts w:cs="Arial"/>
          <w:szCs w:val="24"/>
        </w:rPr>
        <w:t>c</w:t>
      </w:r>
      <w:r w:rsidR="00160E11" w:rsidRPr="00DF641F">
        <w:rPr>
          <w:rFonts w:cs="Arial"/>
          <w:szCs w:val="24"/>
        </w:rPr>
        <w:t>ourt, criticised this approach. He submitted that the reasoning applicable to counts 9</w:t>
      </w:r>
      <w:r w:rsidR="00520BC8" w:rsidRPr="00DF641F">
        <w:rPr>
          <w:rFonts w:cs="Arial"/>
          <w:szCs w:val="24"/>
        </w:rPr>
        <w:t>-</w:t>
      </w:r>
      <w:r w:rsidR="00160E11" w:rsidRPr="00DF641F">
        <w:rPr>
          <w:rFonts w:cs="Arial"/>
          <w:szCs w:val="24"/>
        </w:rPr>
        <w:t>14 should have applied equally to counts 15</w:t>
      </w:r>
      <w:r w:rsidR="00520BC8" w:rsidRPr="00DF641F">
        <w:rPr>
          <w:rFonts w:cs="Arial"/>
          <w:szCs w:val="24"/>
        </w:rPr>
        <w:t>-</w:t>
      </w:r>
      <w:r w:rsidR="00160E11" w:rsidRPr="00DF641F">
        <w:rPr>
          <w:rFonts w:cs="Arial"/>
          <w:szCs w:val="24"/>
        </w:rPr>
        <w:t xml:space="preserve">18, as it was mere speculation by the </w:t>
      </w:r>
      <w:r w:rsidR="00520BC8" w:rsidRPr="00DF641F">
        <w:rPr>
          <w:rFonts w:cs="Arial"/>
          <w:szCs w:val="24"/>
        </w:rPr>
        <w:t>S</w:t>
      </w:r>
      <w:r w:rsidR="00160E11" w:rsidRPr="00DF641F">
        <w:rPr>
          <w:rFonts w:cs="Arial"/>
          <w:szCs w:val="24"/>
        </w:rPr>
        <w:t>tate that he only used the Cadillac for that period.</w:t>
      </w:r>
      <w:r w:rsidRPr="00DF641F">
        <w:rPr>
          <w:rFonts w:cs="Arial"/>
          <w:szCs w:val="24"/>
        </w:rPr>
        <w:t xml:space="preserve"> </w:t>
      </w:r>
      <w:r w:rsidR="00160E11" w:rsidRPr="00DF641F">
        <w:rPr>
          <w:rFonts w:cs="Arial"/>
          <w:szCs w:val="24"/>
        </w:rPr>
        <w:t xml:space="preserve">However, the </w:t>
      </w:r>
      <w:r w:rsidR="00A349E4" w:rsidRPr="00DF641F">
        <w:rPr>
          <w:rFonts w:cs="Arial"/>
          <w:szCs w:val="24"/>
        </w:rPr>
        <w:t xml:space="preserve">trial court’s </w:t>
      </w:r>
      <w:r w:rsidR="00160E11" w:rsidRPr="00DF641F">
        <w:rPr>
          <w:rFonts w:cs="Arial"/>
          <w:szCs w:val="24"/>
        </w:rPr>
        <w:t>reasoning cannot be faulted</w:t>
      </w:r>
      <w:r w:rsidR="00EB5AB8" w:rsidRPr="00DF641F">
        <w:rPr>
          <w:rFonts w:cs="Arial"/>
          <w:szCs w:val="24"/>
        </w:rPr>
        <w:t>,</w:t>
      </w:r>
      <w:r w:rsidR="00160E11" w:rsidRPr="00DF641F">
        <w:rPr>
          <w:rFonts w:cs="Arial"/>
          <w:szCs w:val="24"/>
        </w:rPr>
        <w:t xml:space="preserve"> based upon the </w:t>
      </w:r>
      <w:r w:rsidR="00520BC8" w:rsidRPr="00DF641F">
        <w:rPr>
          <w:rFonts w:cs="Arial"/>
          <w:szCs w:val="24"/>
        </w:rPr>
        <w:t>S</w:t>
      </w:r>
      <w:r w:rsidR="00160E11" w:rsidRPr="00DF641F">
        <w:rPr>
          <w:rFonts w:cs="Arial"/>
          <w:szCs w:val="24"/>
        </w:rPr>
        <w:t>tate’s evidence and the appellant’s own version.</w:t>
      </w:r>
      <w:r w:rsidR="003B7288" w:rsidRPr="00DF641F">
        <w:rPr>
          <w:rFonts w:cs="Arial"/>
          <w:szCs w:val="24"/>
        </w:rPr>
        <w:t xml:space="preserve"> </w:t>
      </w:r>
      <w:r w:rsidR="00160E11" w:rsidRPr="00DF641F">
        <w:rPr>
          <w:rFonts w:cs="Arial"/>
          <w:szCs w:val="24"/>
        </w:rPr>
        <w:t xml:space="preserve">From </w:t>
      </w:r>
      <w:r w:rsidR="00246DF2" w:rsidRPr="00DF641F">
        <w:rPr>
          <w:rFonts w:cs="Arial"/>
          <w:szCs w:val="24"/>
        </w:rPr>
        <w:t xml:space="preserve">September 2008, or </w:t>
      </w:r>
      <w:r w:rsidR="00F505B2" w:rsidRPr="00DF641F">
        <w:rPr>
          <w:rFonts w:cs="Arial"/>
          <w:szCs w:val="24"/>
        </w:rPr>
        <w:t xml:space="preserve">at the latest December </w:t>
      </w:r>
      <w:r w:rsidR="00EB5AB8" w:rsidRPr="00DF641F">
        <w:rPr>
          <w:rFonts w:cs="Arial"/>
          <w:szCs w:val="24"/>
        </w:rPr>
        <w:t>2008</w:t>
      </w:r>
      <w:r w:rsidR="00246DF2" w:rsidRPr="00DF641F">
        <w:rPr>
          <w:rFonts w:cs="Arial"/>
          <w:szCs w:val="24"/>
        </w:rPr>
        <w:t>,</w:t>
      </w:r>
      <w:r w:rsidR="00EB5AB8" w:rsidRPr="00DF641F">
        <w:rPr>
          <w:rFonts w:cs="Arial"/>
          <w:szCs w:val="24"/>
        </w:rPr>
        <w:t xml:space="preserve"> </w:t>
      </w:r>
      <w:r w:rsidR="00160E11" w:rsidRPr="00DF641F">
        <w:rPr>
          <w:rFonts w:cs="Arial"/>
          <w:szCs w:val="24"/>
        </w:rPr>
        <w:t xml:space="preserve">he was no </w:t>
      </w:r>
      <w:r w:rsidR="003B7288" w:rsidRPr="00DF641F">
        <w:rPr>
          <w:rFonts w:cs="Arial"/>
          <w:szCs w:val="24"/>
        </w:rPr>
        <w:t>l</w:t>
      </w:r>
      <w:r w:rsidR="00160E11" w:rsidRPr="00DF641F">
        <w:rPr>
          <w:rFonts w:cs="Arial"/>
          <w:szCs w:val="24"/>
        </w:rPr>
        <w:t>onger in possession of the RAV4. More critically, he failed to mention in the October</w:t>
      </w:r>
      <w:r w:rsidR="00E4792D" w:rsidRPr="00DF641F">
        <w:rPr>
          <w:rFonts w:cs="Arial"/>
          <w:szCs w:val="24"/>
        </w:rPr>
        <w:t xml:space="preserve"> letter that he used to borrow</w:t>
      </w:r>
      <w:r w:rsidR="00160E11" w:rsidRPr="00DF641F">
        <w:rPr>
          <w:rFonts w:cs="Arial"/>
          <w:szCs w:val="24"/>
        </w:rPr>
        <w:t xml:space="preserve"> the RAV4 on each a</w:t>
      </w:r>
      <w:r w:rsidR="003B7288" w:rsidRPr="00DF641F">
        <w:rPr>
          <w:rFonts w:cs="Arial"/>
          <w:szCs w:val="24"/>
        </w:rPr>
        <w:t>nd every occasion that he went</w:t>
      </w:r>
      <w:r w:rsidR="00F505B2" w:rsidRPr="00DF641F">
        <w:rPr>
          <w:rFonts w:cs="Arial"/>
          <w:szCs w:val="24"/>
        </w:rPr>
        <w:t xml:space="preserve"> on an official trip during this period.</w:t>
      </w:r>
    </w:p>
    <w:p w:rsidR="00F20611" w:rsidRPr="00DF641F" w:rsidRDefault="00F20611" w:rsidP="003C27E4">
      <w:pPr>
        <w:spacing w:before="240"/>
        <w:rPr>
          <w:rFonts w:cs="Arial"/>
          <w:szCs w:val="24"/>
        </w:rPr>
      </w:pPr>
    </w:p>
    <w:p w:rsidR="00F505B2" w:rsidRPr="00DF641F" w:rsidRDefault="00F20611" w:rsidP="003C27E4">
      <w:pPr>
        <w:rPr>
          <w:rFonts w:cs="Arial"/>
          <w:szCs w:val="24"/>
          <w:shd w:val="clear" w:color="auto" w:fill="FFFFFF"/>
        </w:rPr>
      </w:pPr>
      <w:r w:rsidRPr="00DF641F">
        <w:rPr>
          <w:rFonts w:cs="Arial"/>
          <w:szCs w:val="24"/>
        </w:rPr>
        <w:lastRenderedPageBreak/>
        <w:t>[2</w:t>
      </w:r>
      <w:r w:rsidR="000A4866" w:rsidRPr="00DF641F">
        <w:rPr>
          <w:rFonts w:cs="Arial"/>
          <w:szCs w:val="24"/>
        </w:rPr>
        <w:t>6</w:t>
      </w:r>
      <w:r w:rsidRPr="00DF641F">
        <w:rPr>
          <w:rFonts w:cs="Arial"/>
          <w:szCs w:val="24"/>
        </w:rPr>
        <w:t>]</w:t>
      </w:r>
      <w:r w:rsidRPr="00DF641F">
        <w:rPr>
          <w:rFonts w:cs="Arial"/>
          <w:szCs w:val="24"/>
        </w:rPr>
        <w:tab/>
      </w:r>
      <w:r w:rsidR="00F505B2" w:rsidRPr="00DF641F">
        <w:rPr>
          <w:rFonts w:cs="Arial"/>
          <w:szCs w:val="24"/>
          <w:shd w:val="clear" w:color="auto" w:fill="FFFFFF"/>
        </w:rPr>
        <w:t>For the reasons set out above, the trial court was not prepared to convict the appellant on speculation in respect of the period from May 2008 to November 2008. However, it did find that from December 2008 until March 2009, the appellant was no longer the owner of the RAV4, and that he had given no explanation for using the RAV</w:t>
      </w:r>
      <w:r w:rsidR="006059BC" w:rsidRPr="00DF641F">
        <w:rPr>
          <w:rFonts w:cs="Arial"/>
          <w:szCs w:val="24"/>
          <w:shd w:val="clear" w:color="auto" w:fill="FFFFFF"/>
        </w:rPr>
        <w:t>4. T</w:t>
      </w:r>
      <w:r w:rsidR="00F505B2" w:rsidRPr="00DF641F">
        <w:rPr>
          <w:rFonts w:cs="Arial"/>
          <w:szCs w:val="24"/>
          <w:shd w:val="clear" w:color="auto" w:fill="FFFFFF"/>
        </w:rPr>
        <w:t xml:space="preserve">herefore, he was convicted on the counts relevant to those months. </w:t>
      </w:r>
    </w:p>
    <w:p w:rsidR="00F505B2" w:rsidRPr="00DF641F" w:rsidRDefault="00F505B2" w:rsidP="00B72B7F">
      <w:pPr>
        <w:rPr>
          <w:rFonts w:cs="Arial"/>
          <w:szCs w:val="24"/>
          <w:shd w:val="clear" w:color="auto" w:fill="FFFFFF"/>
        </w:rPr>
      </w:pPr>
    </w:p>
    <w:p w:rsidR="00895062" w:rsidRPr="00DF641F" w:rsidRDefault="00895062" w:rsidP="003C27E4">
      <w:pPr>
        <w:rPr>
          <w:rFonts w:cs="Arial"/>
          <w:b/>
          <w:szCs w:val="24"/>
          <w:shd w:val="clear" w:color="auto" w:fill="FFFFFF"/>
        </w:rPr>
      </w:pPr>
      <w:r w:rsidRPr="00DF641F">
        <w:rPr>
          <w:rFonts w:cs="Arial"/>
          <w:b/>
          <w:szCs w:val="24"/>
          <w:shd w:val="clear" w:color="auto" w:fill="FFFFFF"/>
        </w:rPr>
        <w:t xml:space="preserve">The </w:t>
      </w:r>
      <w:r w:rsidR="003611DA" w:rsidRPr="00DF641F">
        <w:rPr>
          <w:rFonts w:cs="Arial"/>
          <w:b/>
          <w:szCs w:val="24"/>
          <w:shd w:val="clear" w:color="auto" w:fill="FFFFFF"/>
        </w:rPr>
        <w:t>f</w:t>
      </w:r>
      <w:r w:rsidRPr="00DF641F">
        <w:rPr>
          <w:rFonts w:cs="Arial"/>
          <w:b/>
          <w:szCs w:val="24"/>
          <w:shd w:val="clear" w:color="auto" w:fill="FFFFFF"/>
        </w:rPr>
        <w:t xml:space="preserve">ull </w:t>
      </w:r>
      <w:r w:rsidR="003611DA" w:rsidRPr="00DF641F">
        <w:rPr>
          <w:rFonts w:cs="Arial"/>
          <w:b/>
          <w:szCs w:val="24"/>
          <w:shd w:val="clear" w:color="auto" w:fill="FFFFFF"/>
        </w:rPr>
        <w:t>c</w:t>
      </w:r>
      <w:r w:rsidRPr="00DF641F">
        <w:rPr>
          <w:rFonts w:cs="Arial"/>
          <w:b/>
          <w:szCs w:val="24"/>
          <w:shd w:val="clear" w:color="auto" w:fill="FFFFFF"/>
        </w:rPr>
        <w:t>ourt</w:t>
      </w:r>
    </w:p>
    <w:p w:rsidR="00F20611" w:rsidRPr="00DF641F" w:rsidRDefault="00F20611"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2</w:t>
      </w:r>
      <w:r w:rsidR="000A4866" w:rsidRPr="00DF641F">
        <w:rPr>
          <w:rFonts w:cs="Arial"/>
          <w:szCs w:val="24"/>
          <w:shd w:val="clear" w:color="auto" w:fill="FFFFFF"/>
        </w:rPr>
        <w:t>7</w:t>
      </w:r>
      <w:r w:rsidRPr="00DF641F">
        <w:rPr>
          <w:rFonts w:cs="Arial"/>
          <w:szCs w:val="24"/>
          <w:shd w:val="clear" w:color="auto" w:fill="FFFFFF"/>
        </w:rPr>
        <w:t>]</w:t>
      </w:r>
      <w:r w:rsidRPr="00DF641F">
        <w:rPr>
          <w:rFonts w:cs="Arial"/>
          <w:szCs w:val="24"/>
          <w:shd w:val="clear" w:color="auto" w:fill="FFFFFF"/>
        </w:rPr>
        <w:tab/>
      </w:r>
      <w:r w:rsidR="00E91D15" w:rsidRPr="00DF641F">
        <w:rPr>
          <w:rFonts w:cs="Arial"/>
          <w:szCs w:val="24"/>
          <w:shd w:val="clear" w:color="auto" w:fill="FFFFFF"/>
        </w:rPr>
        <w:t xml:space="preserve">The </w:t>
      </w:r>
      <w:r w:rsidR="00520BC8" w:rsidRPr="00DF641F">
        <w:rPr>
          <w:rFonts w:cs="Arial"/>
          <w:szCs w:val="24"/>
          <w:shd w:val="clear" w:color="auto" w:fill="FFFFFF"/>
        </w:rPr>
        <w:t>f</w:t>
      </w:r>
      <w:r w:rsidR="00E91D15" w:rsidRPr="00DF641F">
        <w:rPr>
          <w:rFonts w:cs="Arial"/>
          <w:szCs w:val="24"/>
          <w:shd w:val="clear" w:color="auto" w:fill="FFFFFF"/>
        </w:rPr>
        <w:t xml:space="preserve">ull </w:t>
      </w:r>
      <w:r w:rsidR="00520BC8" w:rsidRPr="00DF641F">
        <w:rPr>
          <w:rFonts w:cs="Arial"/>
          <w:szCs w:val="24"/>
          <w:shd w:val="clear" w:color="auto" w:fill="FFFFFF"/>
        </w:rPr>
        <w:t>c</w:t>
      </w:r>
      <w:r w:rsidR="00E91D15" w:rsidRPr="00DF641F">
        <w:rPr>
          <w:rFonts w:cs="Arial"/>
          <w:szCs w:val="24"/>
          <w:shd w:val="clear" w:color="auto" w:fill="FFFFFF"/>
        </w:rPr>
        <w:t>ourt</w:t>
      </w:r>
      <w:r w:rsidR="008D6880" w:rsidRPr="00DF641F">
        <w:rPr>
          <w:rFonts w:cs="Arial"/>
          <w:szCs w:val="24"/>
          <w:shd w:val="clear" w:color="auto" w:fill="FFFFFF"/>
        </w:rPr>
        <w:t>,</w:t>
      </w:r>
      <w:r w:rsidR="00E91D15" w:rsidRPr="00DF641F">
        <w:rPr>
          <w:rFonts w:cs="Arial"/>
          <w:szCs w:val="24"/>
          <w:shd w:val="clear" w:color="auto" w:fill="FFFFFF"/>
        </w:rPr>
        <w:t xml:space="preserve"> </w:t>
      </w:r>
      <w:r w:rsidR="00895062" w:rsidRPr="00DF641F">
        <w:rPr>
          <w:rFonts w:cs="Arial"/>
          <w:szCs w:val="24"/>
          <w:shd w:val="clear" w:color="auto" w:fill="FFFFFF"/>
        </w:rPr>
        <w:t>in dismissing the appeal,</w:t>
      </w:r>
      <w:r w:rsidR="00F505B2" w:rsidRPr="00DF641F">
        <w:rPr>
          <w:rFonts w:cs="Arial"/>
          <w:szCs w:val="24"/>
          <w:shd w:val="clear" w:color="auto" w:fill="FFFFFF"/>
        </w:rPr>
        <w:t xml:space="preserve"> agreed with the conclusion reached by the trial court.</w:t>
      </w:r>
      <w:r w:rsidR="00895062" w:rsidRPr="00DF641F">
        <w:rPr>
          <w:rFonts w:cs="Arial"/>
          <w:szCs w:val="24"/>
          <w:shd w:val="clear" w:color="auto" w:fill="FFFFFF"/>
        </w:rPr>
        <w:t xml:space="preserve"> </w:t>
      </w:r>
      <w:r w:rsidR="00F505B2" w:rsidRPr="00DF641F">
        <w:rPr>
          <w:rFonts w:cs="Arial"/>
          <w:szCs w:val="24"/>
          <w:shd w:val="clear" w:color="auto" w:fill="FFFFFF"/>
        </w:rPr>
        <w:t xml:space="preserve">It </w:t>
      </w:r>
      <w:r w:rsidR="00E91D15" w:rsidRPr="00DF641F">
        <w:rPr>
          <w:rFonts w:cs="Arial"/>
          <w:szCs w:val="24"/>
          <w:shd w:val="clear" w:color="auto" w:fill="FFFFFF"/>
        </w:rPr>
        <w:t>held that the appellant did not dispute, either by way of cross-examination, or evidence under oath, the version of</w:t>
      </w:r>
      <w:r w:rsidR="00895062" w:rsidRPr="00DF641F">
        <w:rPr>
          <w:rFonts w:cs="Arial"/>
          <w:szCs w:val="24"/>
          <w:shd w:val="clear" w:color="auto" w:fill="FFFFFF"/>
        </w:rPr>
        <w:t xml:space="preserve"> Mr</w:t>
      </w:r>
      <w:r w:rsidR="00EB5AB8" w:rsidRPr="00DF641F">
        <w:rPr>
          <w:rFonts w:cs="Arial"/>
          <w:szCs w:val="24"/>
          <w:shd w:val="clear" w:color="auto" w:fill="FFFFFF"/>
        </w:rPr>
        <w:t> </w:t>
      </w:r>
      <w:r w:rsidR="00E91D15" w:rsidRPr="00DF641F">
        <w:rPr>
          <w:rFonts w:cs="Arial"/>
          <w:szCs w:val="24"/>
          <w:shd w:val="clear" w:color="auto" w:fill="FFFFFF"/>
        </w:rPr>
        <w:t xml:space="preserve">Makamela and the other </w:t>
      </w:r>
      <w:r w:rsidR="00520BC8" w:rsidRPr="00DF641F">
        <w:rPr>
          <w:rFonts w:cs="Arial"/>
          <w:szCs w:val="24"/>
          <w:shd w:val="clear" w:color="auto" w:fill="FFFFFF"/>
        </w:rPr>
        <w:t>S</w:t>
      </w:r>
      <w:r w:rsidR="00E91D15" w:rsidRPr="00DF641F">
        <w:rPr>
          <w:rFonts w:cs="Arial"/>
          <w:szCs w:val="24"/>
          <w:shd w:val="clear" w:color="auto" w:fill="FFFFFF"/>
        </w:rPr>
        <w:t>tate witnesses that</w:t>
      </w:r>
      <w:r w:rsidR="00EB5AB8" w:rsidRPr="00DF641F">
        <w:rPr>
          <w:rFonts w:cs="Arial"/>
          <w:szCs w:val="24"/>
          <w:shd w:val="clear" w:color="auto" w:fill="FFFFFF"/>
        </w:rPr>
        <w:t>:</w:t>
      </w:r>
      <w:r w:rsidR="00E91D15" w:rsidRPr="00DF641F">
        <w:rPr>
          <w:rFonts w:cs="Arial"/>
          <w:szCs w:val="24"/>
          <w:shd w:val="clear" w:color="auto" w:fill="FFFFFF"/>
        </w:rPr>
        <w:t xml:space="preserve"> he was driving the Cadillac at all </w:t>
      </w:r>
      <w:r w:rsidR="00895062" w:rsidRPr="00DF641F">
        <w:rPr>
          <w:rFonts w:cs="Arial"/>
          <w:szCs w:val="24"/>
          <w:shd w:val="clear" w:color="auto" w:fill="FFFFFF"/>
        </w:rPr>
        <w:t xml:space="preserve">material </w:t>
      </w:r>
      <w:r w:rsidR="00E91D15" w:rsidRPr="00DF641F">
        <w:rPr>
          <w:rFonts w:cs="Arial"/>
          <w:szCs w:val="24"/>
          <w:shd w:val="clear" w:color="auto" w:fill="FFFFFF"/>
        </w:rPr>
        <w:t xml:space="preserve">times; that he had sold the RAV4 to </w:t>
      </w:r>
      <w:r w:rsidR="00895062" w:rsidRPr="00DF641F">
        <w:rPr>
          <w:rFonts w:cs="Arial"/>
          <w:szCs w:val="24"/>
          <w:shd w:val="clear" w:color="auto" w:fill="FFFFFF"/>
        </w:rPr>
        <w:t>Ms Phiri</w:t>
      </w:r>
      <w:r w:rsidR="00E91D15" w:rsidRPr="00DF641F">
        <w:rPr>
          <w:rFonts w:cs="Arial"/>
          <w:szCs w:val="24"/>
          <w:shd w:val="clear" w:color="auto" w:fill="FFFFFF"/>
        </w:rPr>
        <w:t xml:space="preserve">; and that he was no longer in possession thereof during the </w:t>
      </w:r>
      <w:r w:rsidR="00895062" w:rsidRPr="00DF641F">
        <w:rPr>
          <w:rFonts w:cs="Arial"/>
          <w:szCs w:val="24"/>
          <w:shd w:val="clear" w:color="auto" w:fill="FFFFFF"/>
        </w:rPr>
        <w:t>period referred to in counts 15</w:t>
      </w:r>
      <w:r w:rsidR="0049348F" w:rsidRPr="00DF641F">
        <w:rPr>
          <w:rFonts w:cs="Arial"/>
          <w:szCs w:val="24"/>
          <w:shd w:val="clear" w:color="auto" w:fill="FFFFFF"/>
        </w:rPr>
        <w:t>-</w:t>
      </w:r>
      <w:r w:rsidR="00E91D15" w:rsidRPr="00DF641F">
        <w:rPr>
          <w:rFonts w:cs="Arial"/>
          <w:szCs w:val="24"/>
          <w:shd w:val="clear" w:color="auto" w:fill="FFFFFF"/>
        </w:rPr>
        <w:t xml:space="preserve">18. The version put to </w:t>
      </w:r>
      <w:r w:rsidR="00895062" w:rsidRPr="00DF641F">
        <w:rPr>
          <w:rFonts w:cs="Arial"/>
          <w:szCs w:val="24"/>
          <w:shd w:val="clear" w:color="auto" w:fill="FFFFFF"/>
        </w:rPr>
        <w:t xml:space="preserve">Mr </w:t>
      </w:r>
      <w:r w:rsidR="00E91D15" w:rsidRPr="00DF641F">
        <w:rPr>
          <w:rFonts w:cs="Arial"/>
          <w:szCs w:val="24"/>
          <w:shd w:val="clear" w:color="auto" w:fill="FFFFFF"/>
        </w:rPr>
        <w:t xml:space="preserve">Makamela </w:t>
      </w:r>
      <w:r w:rsidR="00F505B2" w:rsidRPr="00DF641F">
        <w:rPr>
          <w:rFonts w:cs="Arial"/>
          <w:szCs w:val="24"/>
          <w:shd w:val="clear" w:color="auto" w:fill="FFFFFF"/>
        </w:rPr>
        <w:t>and Mr Molokom</w:t>
      </w:r>
      <w:r w:rsidR="00520BC8" w:rsidRPr="00DF641F">
        <w:rPr>
          <w:rFonts w:cs="Arial"/>
          <w:szCs w:val="24"/>
          <w:shd w:val="clear" w:color="auto" w:fill="FFFFFF"/>
        </w:rPr>
        <w:t>m</w:t>
      </w:r>
      <w:r w:rsidR="00F505B2" w:rsidRPr="00DF641F">
        <w:rPr>
          <w:rFonts w:cs="Arial"/>
          <w:szCs w:val="24"/>
          <w:shd w:val="clear" w:color="auto" w:fill="FFFFFF"/>
        </w:rPr>
        <w:t xml:space="preserve">e </w:t>
      </w:r>
      <w:r w:rsidR="00E91D15" w:rsidRPr="00DF641F">
        <w:rPr>
          <w:rFonts w:cs="Arial"/>
          <w:szCs w:val="24"/>
          <w:shd w:val="clear" w:color="auto" w:fill="FFFFFF"/>
        </w:rPr>
        <w:t>that the appellant had borrowed the RAV4 from Ms Phiri and used it in each and every instance</w:t>
      </w:r>
      <w:r w:rsidR="00895062" w:rsidRPr="00DF641F">
        <w:rPr>
          <w:rFonts w:cs="Arial"/>
          <w:szCs w:val="24"/>
          <w:shd w:val="clear" w:color="auto" w:fill="FFFFFF"/>
        </w:rPr>
        <w:t xml:space="preserve"> that he was on an official trip</w:t>
      </w:r>
      <w:r w:rsidR="00E91D15" w:rsidRPr="00DF641F">
        <w:rPr>
          <w:rFonts w:cs="Arial"/>
          <w:szCs w:val="24"/>
          <w:shd w:val="clear" w:color="auto" w:fill="FFFFFF"/>
        </w:rPr>
        <w:t xml:space="preserve">, because he had not submitted particulars of the Cadillac to the sub-regional head, was not repeated under oath </w:t>
      </w:r>
      <w:r w:rsidR="00B9396B" w:rsidRPr="00DF641F">
        <w:rPr>
          <w:rFonts w:cs="Arial"/>
          <w:szCs w:val="24"/>
          <w:shd w:val="clear" w:color="auto" w:fill="FFFFFF"/>
        </w:rPr>
        <w:t xml:space="preserve">– </w:t>
      </w:r>
      <w:r w:rsidR="00E91D15" w:rsidRPr="00DF641F">
        <w:rPr>
          <w:rFonts w:cs="Arial"/>
          <w:szCs w:val="24"/>
          <w:shd w:val="clear" w:color="auto" w:fill="FFFFFF"/>
        </w:rPr>
        <w:t xml:space="preserve">despite the fact that this version was denied by </w:t>
      </w:r>
      <w:r w:rsidR="00F505B2" w:rsidRPr="00DF641F">
        <w:rPr>
          <w:rFonts w:cs="Arial"/>
          <w:szCs w:val="24"/>
          <w:shd w:val="clear" w:color="auto" w:fill="FFFFFF"/>
        </w:rPr>
        <w:t xml:space="preserve">the </w:t>
      </w:r>
      <w:r w:rsidR="0049348F" w:rsidRPr="00DF641F">
        <w:rPr>
          <w:rFonts w:cs="Arial"/>
          <w:szCs w:val="24"/>
          <w:shd w:val="clear" w:color="auto" w:fill="FFFFFF"/>
        </w:rPr>
        <w:t>S</w:t>
      </w:r>
      <w:r w:rsidR="00F505B2" w:rsidRPr="00DF641F">
        <w:rPr>
          <w:rFonts w:cs="Arial"/>
          <w:szCs w:val="24"/>
          <w:shd w:val="clear" w:color="auto" w:fill="FFFFFF"/>
        </w:rPr>
        <w:t>tate witnesses.</w:t>
      </w:r>
      <w:r w:rsidRPr="00DF641F">
        <w:rPr>
          <w:rFonts w:cs="Arial"/>
          <w:szCs w:val="24"/>
          <w:shd w:val="clear" w:color="auto" w:fill="FFFFFF"/>
        </w:rPr>
        <w:t xml:space="preserve"> </w:t>
      </w:r>
      <w:r w:rsidR="00AE0510" w:rsidRPr="00DF641F">
        <w:rPr>
          <w:rFonts w:cs="Arial"/>
          <w:szCs w:val="24"/>
          <w:shd w:val="clear" w:color="auto" w:fill="FFFFFF"/>
        </w:rPr>
        <w:t xml:space="preserve">Both witnesses confirmed that during that period, he was seen </w:t>
      </w:r>
      <w:r w:rsidR="00854EE6" w:rsidRPr="00DF641F">
        <w:rPr>
          <w:rFonts w:cs="Arial"/>
          <w:szCs w:val="24"/>
          <w:shd w:val="clear" w:color="auto" w:fill="FFFFFF"/>
        </w:rPr>
        <w:t>only d</w:t>
      </w:r>
      <w:r w:rsidR="00E67615" w:rsidRPr="00DF641F">
        <w:rPr>
          <w:rFonts w:cs="Arial"/>
          <w:szCs w:val="24"/>
          <w:shd w:val="clear" w:color="auto" w:fill="FFFFFF"/>
        </w:rPr>
        <w:t>riving</w:t>
      </w:r>
      <w:r w:rsidR="00854EE6" w:rsidRPr="00DF641F">
        <w:rPr>
          <w:rFonts w:cs="Arial"/>
          <w:szCs w:val="24"/>
          <w:shd w:val="clear" w:color="auto" w:fill="FFFFFF"/>
        </w:rPr>
        <w:t xml:space="preserve"> the Cadillac.</w:t>
      </w:r>
    </w:p>
    <w:p w:rsidR="00B72B7F" w:rsidRPr="00DF641F" w:rsidRDefault="00B72B7F" w:rsidP="003C27E4">
      <w:pPr>
        <w:rPr>
          <w:rFonts w:cs="Arial"/>
          <w:szCs w:val="24"/>
          <w:shd w:val="clear" w:color="auto" w:fill="FFFFFF"/>
        </w:rPr>
      </w:pPr>
    </w:p>
    <w:p w:rsidR="00F20611" w:rsidRPr="00DF641F" w:rsidRDefault="00F20611" w:rsidP="00B72B7F">
      <w:pPr>
        <w:rPr>
          <w:rFonts w:cs="Arial"/>
          <w:szCs w:val="24"/>
          <w:shd w:val="clear" w:color="auto" w:fill="FFFFFF"/>
        </w:rPr>
      </w:pPr>
      <w:r w:rsidRPr="00DF641F">
        <w:rPr>
          <w:rFonts w:cs="Arial"/>
          <w:szCs w:val="24"/>
          <w:shd w:val="clear" w:color="auto" w:fill="FFFFFF"/>
        </w:rPr>
        <w:t>[</w:t>
      </w:r>
      <w:r w:rsidR="000A4866" w:rsidRPr="00DF641F">
        <w:rPr>
          <w:rFonts w:cs="Arial"/>
          <w:szCs w:val="24"/>
          <w:shd w:val="clear" w:color="auto" w:fill="FFFFFF"/>
        </w:rPr>
        <w:t>28</w:t>
      </w:r>
      <w:r w:rsidRPr="00DF641F">
        <w:rPr>
          <w:rFonts w:cs="Arial"/>
          <w:szCs w:val="24"/>
          <w:shd w:val="clear" w:color="auto" w:fill="FFFFFF"/>
        </w:rPr>
        <w:t>]</w:t>
      </w:r>
      <w:r w:rsidRPr="00DF641F">
        <w:rPr>
          <w:rFonts w:cs="Arial"/>
          <w:szCs w:val="24"/>
          <w:shd w:val="clear" w:color="auto" w:fill="FFFFFF"/>
        </w:rPr>
        <w:tab/>
      </w:r>
      <w:r w:rsidR="00E4792D" w:rsidRPr="00DF641F">
        <w:rPr>
          <w:rFonts w:cs="Arial"/>
          <w:szCs w:val="24"/>
          <w:shd w:val="clear" w:color="auto" w:fill="FFFFFF"/>
        </w:rPr>
        <w:t xml:space="preserve">The version that the appellant used the vehicle that he borrowed </w:t>
      </w:r>
      <w:r w:rsidR="00125848" w:rsidRPr="00DF641F">
        <w:rPr>
          <w:rFonts w:cs="Arial"/>
          <w:szCs w:val="24"/>
          <w:shd w:val="clear" w:color="auto" w:fill="FFFFFF"/>
        </w:rPr>
        <w:t xml:space="preserve">from Ms Phiri is </w:t>
      </w:r>
      <w:r w:rsidR="00895062" w:rsidRPr="00DF641F">
        <w:rPr>
          <w:rFonts w:cs="Arial"/>
          <w:szCs w:val="24"/>
          <w:shd w:val="clear" w:color="auto" w:fill="FFFFFF"/>
        </w:rPr>
        <w:t xml:space="preserve">not </w:t>
      </w:r>
      <w:r w:rsidR="006E1D5D" w:rsidRPr="00DF641F">
        <w:rPr>
          <w:rFonts w:cs="Arial"/>
          <w:szCs w:val="24"/>
          <w:shd w:val="clear" w:color="auto" w:fill="FFFFFF"/>
        </w:rPr>
        <w:t>evidence</w:t>
      </w:r>
      <w:r w:rsidR="00F4426B" w:rsidRPr="00DF641F">
        <w:rPr>
          <w:rFonts w:cs="Arial"/>
          <w:szCs w:val="24"/>
          <w:shd w:val="clear" w:color="auto" w:fill="FFFFFF"/>
        </w:rPr>
        <w:t>. As stated above, he</w:t>
      </w:r>
      <w:r w:rsidR="00F4426B" w:rsidRPr="00DF641F">
        <w:rPr>
          <w:rFonts w:cs="Arial"/>
          <w:szCs w:val="24"/>
        </w:rPr>
        <w:t xml:space="preserve"> chose not to give evidence, and thus his version has no evidentiary value. He neither confirmed it under oath nor offered himself for cross</w:t>
      </w:r>
      <w:r w:rsidR="00A764C9" w:rsidRPr="00DF641F">
        <w:rPr>
          <w:rFonts w:cs="Arial"/>
          <w:szCs w:val="24"/>
        </w:rPr>
        <w:t>-</w:t>
      </w:r>
      <w:r w:rsidR="00F4426B" w:rsidRPr="00DF641F">
        <w:rPr>
          <w:rFonts w:cs="Arial"/>
          <w:szCs w:val="24"/>
        </w:rPr>
        <w:t xml:space="preserve">examination on the version put to the </w:t>
      </w:r>
      <w:r w:rsidR="0049348F" w:rsidRPr="00DF641F">
        <w:rPr>
          <w:rFonts w:cs="Arial"/>
          <w:szCs w:val="24"/>
        </w:rPr>
        <w:t>S</w:t>
      </w:r>
      <w:r w:rsidR="00F4426B" w:rsidRPr="00DF641F">
        <w:rPr>
          <w:rFonts w:cs="Arial"/>
          <w:szCs w:val="24"/>
        </w:rPr>
        <w:t>tate’s witnesses.</w:t>
      </w:r>
      <w:r w:rsidR="00D557C6" w:rsidRPr="00DF641F">
        <w:rPr>
          <w:rFonts w:cs="Arial"/>
          <w:szCs w:val="24"/>
          <w:shd w:val="clear" w:color="auto" w:fill="FFFFFF"/>
        </w:rPr>
        <w:t xml:space="preserve"> </w:t>
      </w:r>
      <w:r w:rsidR="00727BA4" w:rsidRPr="00DF641F">
        <w:rPr>
          <w:rFonts w:cs="Arial"/>
          <w:szCs w:val="24"/>
          <w:shd w:val="clear" w:color="auto" w:fill="FFFFFF"/>
        </w:rPr>
        <w:t xml:space="preserve">None of the </w:t>
      </w:r>
      <w:r w:rsidR="0049348F" w:rsidRPr="00DF641F">
        <w:rPr>
          <w:rFonts w:cs="Arial"/>
          <w:szCs w:val="24"/>
          <w:shd w:val="clear" w:color="auto" w:fill="FFFFFF"/>
        </w:rPr>
        <w:t>S</w:t>
      </w:r>
      <w:r w:rsidR="00727BA4" w:rsidRPr="00DF641F">
        <w:rPr>
          <w:rFonts w:cs="Arial"/>
          <w:szCs w:val="24"/>
          <w:shd w:val="clear" w:color="auto" w:fill="FFFFFF"/>
        </w:rPr>
        <w:t xml:space="preserve">tate witnesses conceded that his version was correct. In addition, </w:t>
      </w:r>
      <w:r w:rsidR="00D557C6" w:rsidRPr="00DF641F">
        <w:rPr>
          <w:rFonts w:cs="Arial"/>
          <w:szCs w:val="24"/>
          <w:shd w:val="clear" w:color="auto" w:fill="FFFFFF"/>
        </w:rPr>
        <w:t>Ms Phiri could have been called to confirm his version, but she was not.</w:t>
      </w:r>
      <w:r w:rsidR="00125848" w:rsidRPr="00DF641F">
        <w:rPr>
          <w:rFonts w:cs="Arial"/>
          <w:szCs w:val="24"/>
          <w:shd w:val="clear" w:color="auto" w:fill="FFFFFF"/>
        </w:rPr>
        <w:t xml:space="preserve"> </w:t>
      </w:r>
      <w:r w:rsidR="00F4426B" w:rsidRPr="00DF641F">
        <w:rPr>
          <w:rFonts w:cs="Arial"/>
          <w:szCs w:val="24"/>
          <w:shd w:val="clear" w:color="auto" w:fill="FFFFFF"/>
        </w:rPr>
        <w:t>T</w:t>
      </w:r>
      <w:r w:rsidR="00125848" w:rsidRPr="00DF641F">
        <w:rPr>
          <w:rFonts w:cs="Arial"/>
          <w:szCs w:val="24"/>
          <w:shd w:val="clear" w:color="auto" w:fill="FFFFFF"/>
        </w:rPr>
        <w:t>herefore</w:t>
      </w:r>
      <w:r w:rsidR="00A764C9" w:rsidRPr="00DF641F">
        <w:rPr>
          <w:rFonts w:cs="Arial"/>
          <w:szCs w:val="24"/>
          <w:shd w:val="clear" w:color="auto" w:fill="FFFFFF"/>
        </w:rPr>
        <w:t>,</w:t>
      </w:r>
      <w:r w:rsidR="00125848" w:rsidRPr="00DF641F">
        <w:rPr>
          <w:rFonts w:cs="Arial"/>
          <w:szCs w:val="24"/>
          <w:shd w:val="clear" w:color="auto" w:fill="FFFFFF"/>
        </w:rPr>
        <w:t xml:space="preserve"> the </w:t>
      </w:r>
      <w:r w:rsidR="00F505B2" w:rsidRPr="00DF641F">
        <w:rPr>
          <w:rFonts w:cs="Arial"/>
          <w:szCs w:val="24"/>
          <w:shd w:val="clear" w:color="auto" w:fill="FFFFFF"/>
        </w:rPr>
        <w:t xml:space="preserve">claims during the </w:t>
      </w:r>
      <w:r w:rsidR="00125848" w:rsidRPr="00DF641F">
        <w:rPr>
          <w:rFonts w:cs="Arial"/>
          <w:szCs w:val="24"/>
          <w:shd w:val="clear" w:color="auto" w:fill="FFFFFF"/>
        </w:rPr>
        <w:t>period from Decemb</w:t>
      </w:r>
      <w:r w:rsidR="00F505B2" w:rsidRPr="00DF641F">
        <w:rPr>
          <w:rFonts w:cs="Arial"/>
          <w:szCs w:val="24"/>
          <w:shd w:val="clear" w:color="auto" w:fill="FFFFFF"/>
        </w:rPr>
        <w:t>er 2008 until March 2009 remain</w:t>
      </w:r>
      <w:r w:rsidR="00125848" w:rsidRPr="00DF641F">
        <w:rPr>
          <w:rFonts w:cs="Arial"/>
          <w:szCs w:val="24"/>
          <w:shd w:val="clear" w:color="auto" w:fill="FFFFFF"/>
        </w:rPr>
        <w:t xml:space="preserve"> unexplained</w:t>
      </w:r>
      <w:r w:rsidR="00895062" w:rsidRPr="00DF641F">
        <w:rPr>
          <w:rFonts w:cs="Arial"/>
          <w:szCs w:val="24"/>
          <w:shd w:val="clear" w:color="auto" w:fill="FFFFFF"/>
        </w:rPr>
        <w:t>.</w:t>
      </w:r>
      <w:r w:rsidR="00125848" w:rsidRPr="00DF641F">
        <w:rPr>
          <w:rFonts w:cs="Arial"/>
          <w:szCs w:val="24"/>
          <w:shd w:val="clear" w:color="auto" w:fill="FFFFFF"/>
        </w:rPr>
        <w:t xml:space="preserve"> </w:t>
      </w:r>
      <w:r w:rsidR="00895062" w:rsidRPr="00DF641F">
        <w:rPr>
          <w:rFonts w:cs="Arial"/>
          <w:szCs w:val="24"/>
          <w:shd w:val="clear" w:color="auto" w:fill="FFFFFF"/>
        </w:rPr>
        <w:t>It is also</w:t>
      </w:r>
      <w:r w:rsidR="00125848" w:rsidRPr="00DF641F">
        <w:rPr>
          <w:rFonts w:cs="Arial"/>
          <w:szCs w:val="24"/>
          <w:shd w:val="clear" w:color="auto" w:fill="FFFFFF"/>
        </w:rPr>
        <w:t xml:space="preserve"> common cause that the appellant made no attempt to substitute the Cadillac for the RAV4 as his official vehicle after he sold the RAV4.</w:t>
      </w:r>
    </w:p>
    <w:p w:rsidR="00B72B7F" w:rsidRPr="00DF641F" w:rsidRDefault="00B72B7F" w:rsidP="00B72B7F">
      <w:pPr>
        <w:rPr>
          <w:rFonts w:cs="Arial"/>
          <w:szCs w:val="24"/>
          <w:shd w:val="clear" w:color="auto" w:fill="FFFFFF"/>
        </w:rPr>
      </w:pPr>
    </w:p>
    <w:p w:rsidR="00B72B7F" w:rsidRPr="00DF641F" w:rsidRDefault="00F20611" w:rsidP="003C27E4">
      <w:pPr>
        <w:rPr>
          <w:rFonts w:cs="Arial"/>
          <w:szCs w:val="24"/>
          <w:shd w:val="clear" w:color="auto" w:fill="FFFFFF"/>
        </w:rPr>
      </w:pPr>
      <w:r w:rsidRPr="00DF641F">
        <w:rPr>
          <w:rFonts w:cs="Arial"/>
          <w:szCs w:val="24"/>
          <w:shd w:val="clear" w:color="auto" w:fill="FFFFFF"/>
        </w:rPr>
        <w:t>[</w:t>
      </w:r>
      <w:r w:rsidR="000A4866" w:rsidRPr="00DF641F">
        <w:rPr>
          <w:rFonts w:cs="Arial"/>
          <w:szCs w:val="24"/>
          <w:shd w:val="clear" w:color="auto" w:fill="FFFFFF"/>
        </w:rPr>
        <w:t>29</w:t>
      </w:r>
      <w:r w:rsidRPr="00DF641F">
        <w:rPr>
          <w:rFonts w:cs="Arial"/>
          <w:szCs w:val="24"/>
          <w:shd w:val="clear" w:color="auto" w:fill="FFFFFF"/>
        </w:rPr>
        <w:t>]</w:t>
      </w:r>
      <w:r w:rsidRPr="00DF641F">
        <w:rPr>
          <w:rFonts w:cs="Arial"/>
          <w:szCs w:val="24"/>
          <w:shd w:val="clear" w:color="auto" w:fill="FFFFFF"/>
        </w:rPr>
        <w:tab/>
      </w:r>
      <w:r w:rsidR="00E4792D" w:rsidRPr="00DF641F">
        <w:rPr>
          <w:rFonts w:cs="Arial"/>
          <w:szCs w:val="24"/>
          <w:shd w:val="clear" w:color="auto" w:fill="FFFFFF"/>
        </w:rPr>
        <w:t xml:space="preserve">The trial </w:t>
      </w:r>
      <w:r w:rsidR="0049348F" w:rsidRPr="00DF641F">
        <w:rPr>
          <w:rFonts w:cs="Arial"/>
          <w:szCs w:val="24"/>
          <w:shd w:val="clear" w:color="auto" w:fill="FFFFFF"/>
        </w:rPr>
        <w:t>c</w:t>
      </w:r>
      <w:r w:rsidR="00125848" w:rsidRPr="00DF641F">
        <w:rPr>
          <w:rFonts w:cs="Arial"/>
          <w:szCs w:val="24"/>
          <w:shd w:val="clear" w:color="auto" w:fill="FFFFFF"/>
        </w:rPr>
        <w:t xml:space="preserve">ourt and the </w:t>
      </w:r>
      <w:r w:rsidR="0049348F" w:rsidRPr="00DF641F">
        <w:rPr>
          <w:rFonts w:cs="Arial"/>
          <w:szCs w:val="24"/>
          <w:shd w:val="clear" w:color="auto" w:fill="FFFFFF"/>
        </w:rPr>
        <w:t>f</w:t>
      </w:r>
      <w:r w:rsidR="00125848" w:rsidRPr="00DF641F">
        <w:rPr>
          <w:rFonts w:cs="Arial"/>
          <w:szCs w:val="24"/>
          <w:shd w:val="clear" w:color="auto" w:fill="FFFFFF"/>
        </w:rPr>
        <w:t xml:space="preserve">ull </w:t>
      </w:r>
      <w:r w:rsidR="0049348F" w:rsidRPr="00DF641F">
        <w:rPr>
          <w:rFonts w:cs="Arial"/>
          <w:szCs w:val="24"/>
          <w:shd w:val="clear" w:color="auto" w:fill="FFFFFF"/>
        </w:rPr>
        <w:t>c</w:t>
      </w:r>
      <w:r w:rsidR="00125848" w:rsidRPr="00DF641F">
        <w:rPr>
          <w:rFonts w:cs="Arial"/>
          <w:szCs w:val="24"/>
          <w:shd w:val="clear" w:color="auto" w:fill="FFFFFF"/>
        </w:rPr>
        <w:t xml:space="preserve">ourt therefore found that the </w:t>
      </w:r>
      <w:r w:rsidR="0049348F" w:rsidRPr="00DF641F">
        <w:rPr>
          <w:rFonts w:cs="Arial"/>
          <w:szCs w:val="24"/>
          <w:shd w:val="clear" w:color="auto" w:fill="FFFFFF"/>
        </w:rPr>
        <w:t>S</w:t>
      </w:r>
      <w:r w:rsidR="00125848" w:rsidRPr="00DF641F">
        <w:rPr>
          <w:rFonts w:cs="Arial"/>
          <w:szCs w:val="24"/>
          <w:shd w:val="clear" w:color="auto" w:fill="FFFFFF"/>
        </w:rPr>
        <w:t>tate had proved</w:t>
      </w:r>
      <w:r w:rsidR="00A764C9" w:rsidRPr="00DF641F">
        <w:rPr>
          <w:rFonts w:cs="Arial"/>
          <w:szCs w:val="24"/>
          <w:shd w:val="clear" w:color="auto" w:fill="FFFFFF"/>
        </w:rPr>
        <w:t>,</w:t>
      </w:r>
      <w:r w:rsidR="00125848" w:rsidRPr="00DF641F">
        <w:rPr>
          <w:rFonts w:cs="Arial"/>
          <w:szCs w:val="24"/>
          <w:shd w:val="clear" w:color="auto" w:fill="FFFFFF"/>
        </w:rPr>
        <w:t xml:space="preserve"> beyond a reasonable doubt</w:t>
      </w:r>
      <w:r w:rsidR="00A764C9" w:rsidRPr="00DF641F">
        <w:rPr>
          <w:rFonts w:cs="Arial"/>
          <w:szCs w:val="24"/>
          <w:shd w:val="clear" w:color="auto" w:fill="FFFFFF"/>
        </w:rPr>
        <w:t>,</w:t>
      </w:r>
      <w:r w:rsidR="00125848" w:rsidRPr="00DF641F">
        <w:rPr>
          <w:rFonts w:cs="Arial"/>
          <w:szCs w:val="24"/>
          <w:shd w:val="clear" w:color="auto" w:fill="FFFFFF"/>
        </w:rPr>
        <w:t xml:space="preserve"> that the appellant was guilty of submitting false claims for </w:t>
      </w:r>
      <w:r w:rsidR="00895062" w:rsidRPr="00DF641F">
        <w:rPr>
          <w:rFonts w:cs="Arial"/>
          <w:szCs w:val="24"/>
          <w:shd w:val="clear" w:color="auto" w:fill="FFFFFF"/>
        </w:rPr>
        <w:t xml:space="preserve">the </w:t>
      </w:r>
      <w:r w:rsidR="00125848" w:rsidRPr="00DF641F">
        <w:rPr>
          <w:rFonts w:cs="Arial"/>
          <w:szCs w:val="24"/>
          <w:shd w:val="clear" w:color="auto" w:fill="FFFFFF"/>
        </w:rPr>
        <w:t>period of December 2008 to March 2009, and that he was guilty of counts 15</w:t>
      </w:r>
      <w:r w:rsidR="0049348F" w:rsidRPr="00DF641F">
        <w:rPr>
          <w:rFonts w:cs="Arial"/>
          <w:szCs w:val="24"/>
          <w:shd w:val="clear" w:color="auto" w:fill="FFFFFF"/>
        </w:rPr>
        <w:t>-</w:t>
      </w:r>
      <w:r w:rsidR="00125848" w:rsidRPr="00DF641F">
        <w:rPr>
          <w:rFonts w:cs="Arial"/>
          <w:szCs w:val="24"/>
          <w:shd w:val="clear" w:color="auto" w:fill="FFFFFF"/>
        </w:rPr>
        <w:t xml:space="preserve">18. </w:t>
      </w:r>
    </w:p>
    <w:p w:rsidR="00B72B7F" w:rsidRPr="00DF641F" w:rsidRDefault="00B72B7F" w:rsidP="003C27E4">
      <w:pPr>
        <w:rPr>
          <w:rFonts w:cs="Arial"/>
          <w:szCs w:val="24"/>
          <w:shd w:val="clear" w:color="auto" w:fill="FFFFFF"/>
        </w:rPr>
      </w:pPr>
    </w:p>
    <w:p w:rsidR="00B72B7F" w:rsidRPr="00DF641F" w:rsidRDefault="00B72B7F" w:rsidP="003C27E4">
      <w:pPr>
        <w:rPr>
          <w:rFonts w:cs="Arial"/>
          <w:szCs w:val="24"/>
          <w:shd w:val="clear" w:color="auto" w:fill="FFFFFF"/>
        </w:rPr>
      </w:pPr>
    </w:p>
    <w:p w:rsidR="007277A2" w:rsidRPr="00DF641F" w:rsidRDefault="00F505B2" w:rsidP="003C27E4">
      <w:pPr>
        <w:rPr>
          <w:rFonts w:cs="Arial"/>
          <w:b/>
          <w:szCs w:val="24"/>
          <w:shd w:val="clear" w:color="auto" w:fill="FFFFFF"/>
        </w:rPr>
      </w:pPr>
      <w:r w:rsidRPr="00DF641F">
        <w:rPr>
          <w:rFonts w:cs="Arial"/>
          <w:b/>
          <w:szCs w:val="24"/>
          <w:shd w:val="clear" w:color="auto" w:fill="FFFFFF"/>
        </w:rPr>
        <w:lastRenderedPageBreak/>
        <w:t>Legal Principles</w:t>
      </w:r>
    </w:p>
    <w:p w:rsidR="00A54EFF" w:rsidRPr="00DF641F" w:rsidRDefault="00F20611" w:rsidP="003C27E4">
      <w:pPr>
        <w:rPr>
          <w:rFonts w:cs="Arial"/>
          <w:bCs/>
          <w:szCs w:val="24"/>
        </w:rPr>
      </w:pPr>
      <w:r w:rsidRPr="00DF641F">
        <w:rPr>
          <w:rFonts w:cs="Arial"/>
          <w:szCs w:val="24"/>
          <w:shd w:val="clear" w:color="auto" w:fill="FFFFFF"/>
        </w:rPr>
        <w:t>[3</w:t>
      </w:r>
      <w:r w:rsidR="000A4866" w:rsidRPr="00DF641F">
        <w:rPr>
          <w:rFonts w:cs="Arial"/>
          <w:szCs w:val="24"/>
          <w:shd w:val="clear" w:color="auto" w:fill="FFFFFF"/>
        </w:rPr>
        <w:t>0</w:t>
      </w:r>
      <w:r w:rsidRPr="00DF641F">
        <w:rPr>
          <w:rFonts w:cs="Arial"/>
          <w:szCs w:val="24"/>
          <w:shd w:val="clear" w:color="auto" w:fill="FFFFFF"/>
        </w:rPr>
        <w:t>]</w:t>
      </w:r>
      <w:r w:rsidRPr="00DF641F">
        <w:rPr>
          <w:rFonts w:cs="Arial"/>
          <w:szCs w:val="24"/>
          <w:shd w:val="clear" w:color="auto" w:fill="FFFFFF"/>
        </w:rPr>
        <w:tab/>
      </w:r>
      <w:r w:rsidR="00190115" w:rsidRPr="00DF641F">
        <w:rPr>
          <w:rFonts w:cs="Arial"/>
          <w:szCs w:val="24"/>
          <w:shd w:val="clear" w:color="auto" w:fill="FFFFFF"/>
        </w:rPr>
        <w:t xml:space="preserve">It is trite that the </w:t>
      </w:r>
      <w:r w:rsidR="002F7BEC" w:rsidRPr="00DF641F">
        <w:rPr>
          <w:rFonts w:cs="Arial"/>
          <w:szCs w:val="24"/>
          <w:shd w:val="clear" w:color="auto" w:fill="FFFFFF"/>
        </w:rPr>
        <w:t>S</w:t>
      </w:r>
      <w:r w:rsidR="00190115" w:rsidRPr="00DF641F">
        <w:rPr>
          <w:rFonts w:cs="Arial"/>
          <w:szCs w:val="24"/>
          <w:shd w:val="clear" w:color="auto" w:fill="FFFFFF"/>
        </w:rPr>
        <w:t xml:space="preserve">tate bears the onus of proving the guilt of an accused beyond </w:t>
      </w:r>
      <w:r w:rsidR="002F7BEC" w:rsidRPr="00DF641F">
        <w:rPr>
          <w:rFonts w:cs="Arial"/>
          <w:szCs w:val="24"/>
          <w:shd w:val="clear" w:color="auto" w:fill="FFFFFF"/>
        </w:rPr>
        <w:t xml:space="preserve">a </w:t>
      </w:r>
      <w:r w:rsidR="00190115" w:rsidRPr="00DF641F">
        <w:rPr>
          <w:rFonts w:cs="Arial"/>
          <w:szCs w:val="24"/>
          <w:shd w:val="clear" w:color="auto" w:fill="FFFFFF"/>
        </w:rPr>
        <w:t>reasonable doubt.</w:t>
      </w:r>
      <w:r w:rsidR="00190115" w:rsidRPr="00DF641F">
        <w:rPr>
          <w:rStyle w:val="FootnoteReference"/>
          <w:rFonts w:cs="Arial"/>
          <w:szCs w:val="24"/>
          <w:shd w:val="clear" w:color="auto" w:fill="FFFFFF"/>
        </w:rPr>
        <w:footnoteReference w:id="3"/>
      </w:r>
      <w:r w:rsidR="00190115" w:rsidRPr="00DF641F">
        <w:rPr>
          <w:rFonts w:cs="Arial"/>
          <w:szCs w:val="24"/>
          <w:shd w:val="clear" w:color="auto" w:fill="FFFFFF"/>
        </w:rPr>
        <w:t xml:space="preserve"> </w:t>
      </w:r>
      <w:r w:rsidR="00190E22" w:rsidRPr="00DF641F">
        <w:rPr>
          <w:rFonts w:cs="Arial"/>
          <w:szCs w:val="24"/>
          <w:shd w:val="clear" w:color="auto" w:fill="FFFFFF"/>
        </w:rPr>
        <w:t xml:space="preserve">However, the </w:t>
      </w:r>
      <w:r w:rsidR="00E67615" w:rsidRPr="00DF641F">
        <w:rPr>
          <w:rFonts w:cs="Arial"/>
          <w:szCs w:val="24"/>
          <w:shd w:val="clear" w:color="auto" w:fill="FFFFFF"/>
        </w:rPr>
        <w:t>S</w:t>
      </w:r>
      <w:r w:rsidR="00190E22" w:rsidRPr="00DF641F">
        <w:rPr>
          <w:rFonts w:cs="Arial"/>
          <w:szCs w:val="24"/>
          <w:shd w:val="clear" w:color="auto" w:fill="FFFFFF"/>
        </w:rPr>
        <w:t>tate does not need to prove the guilt beyond any shadow of a doubt</w:t>
      </w:r>
      <w:r w:rsidR="00A54EFF" w:rsidRPr="00DF641F">
        <w:rPr>
          <w:rFonts w:cs="Arial"/>
          <w:szCs w:val="24"/>
          <w:shd w:val="clear" w:color="auto" w:fill="FFFFFF"/>
        </w:rPr>
        <w:t xml:space="preserve">. In </w:t>
      </w:r>
      <w:r w:rsidR="00A54EFF" w:rsidRPr="00DF641F">
        <w:rPr>
          <w:rFonts w:cs="Arial"/>
          <w:bCs/>
          <w:i/>
          <w:szCs w:val="24"/>
        </w:rPr>
        <w:t>S v Phallo</w:t>
      </w:r>
      <w:r w:rsidR="00EB5AB8" w:rsidRPr="00DF641F">
        <w:rPr>
          <w:rFonts w:cs="Arial"/>
          <w:bCs/>
          <w:szCs w:val="24"/>
          <w:u w:val="single"/>
        </w:rPr>
        <w:t>,</w:t>
      </w:r>
      <w:r w:rsidR="00CC206B" w:rsidRPr="00DF641F">
        <w:rPr>
          <w:rStyle w:val="FootnoteReference"/>
          <w:rFonts w:cs="Arial"/>
          <w:bCs/>
          <w:szCs w:val="24"/>
        </w:rPr>
        <w:footnoteReference w:id="4"/>
      </w:r>
      <w:r w:rsidR="00D54D54" w:rsidRPr="00DF641F">
        <w:rPr>
          <w:rFonts w:cs="Arial"/>
          <w:b/>
          <w:bCs/>
          <w:szCs w:val="24"/>
        </w:rPr>
        <w:t xml:space="preserve"> </w:t>
      </w:r>
      <w:r w:rsidR="00D54D54" w:rsidRPr="00DF641F">
        <w:rPr>
          <w:rFonts w:cs="Arial"/>
          <w:bCs/>
          <w:szCs w:val="24"/>
        </w:rPr>
        <w:t xml:space="preserve">this </w:t>
      </w:r>
      <w:r w:rsidR="002F7BEC" w:rsidRPr="00DF641F">
        <w:rPr>
          <w:rFonts w:cs="Arial"/>
          <w:bCs/>
          <w:szCs w:val="24"/>
        </w:rPr>
        <w:t>C</w:t>
      </w:r>
      <w:r w:rsidR="00D54D54" w:rsidRPr="00DF641F">
        <w:rPr>
          <w:rFonts w:cs="Arial"/>
          <w:bCs/>
          <w:szCs w:val="24"/>
        </w:rPr>
        <w:t>ourt analysed the position as follows:</w:t>
      </w:r>
    </w:p>
    <w:p w:rsidR="00EB5AB8" w:rsidRPr="00DF641F" w:rsidRDefault="00EB5AB8" w:rsidP="003C27E4">
      <w:pPr>
        <w:rPr>
          <w:rFonts w:cs="Arial"/>
          <w:sz w:val="22"/>
          <w:shd w:val="clear" w:color="auto" w:fill="FFFFFF"/>
        </w:rPr>
      </w:pPr>
      <w:r w:rsidRPr="00DF641F">
        <w:rPr>
          <w:rFonts w:cs="Arial"/>
          <w:sz w:val="22"/>
          <w:shd w:val="clear" w:color="auto" w:fill="FFFFFF"/>
        </w:rPr>
        <w:t xml:space="preserve">‘On the basis of this evidence it was argued that the State had at best, proved its case on a balance of probabilities but not beyond reasonable doubt. Where does one draw a line between proof beyond reasonable doubt and proof on a balance of probabilities? In our law, the classic decision is that of Malan JA in </w:t>
      </w:r>
      <w:r w:rsidRPr="00DF641F">
        <w:rPr>
          <w:rFonts w:cs="Arial"/>
          <w:i/>
          <w:sz w:val="22"/>
          <w:shd w:val="clear" w:color="auto" w:fill="FFFFFF"/>
        </w:rPr>
        <w:t>R v Mlambo</w:t>
      </w:r>
      <w:r w:rsidRPr="00DF641F">
        <w:rPr>
          <w:rFonts w:cs="Arial"/>
          <w:sz w:val="22"/>
          <w:shd w:val="clear" w:color="auto" w:fill="FFFFFF"/>
        </w:rPr>
        <w:t xml:space="preserve"> 1957 (4) SA 727 (A). The learned judge deals, at 737 F - H, with an argument (popular at the Bar then) that proof beyond reasonable doubt requires the prosecution to eliminate every hypothesis which is inconsistent with the accused’s guilt or which, as it is also expressed, is consistent with his innocence. Malan JA rejected this approach, preferring to adh</w:t>
      </w:r>
      <w:r w:rsidR="00F20611" w:rsidRPr="00DF641F">
        <w:rPr>
          <w:rFonts w:cs="Arial"/>
          <w:sz w:val="22"/>
          <w:shd w:val="clear" w:color="auto" w:fill="FFFFFF"/>
        </w:rPr>
        <w:t xml:space="preserve">ere to the approach which “. . . </w:t>
      </w:r>
      <w:r w:rsidRPr="00DF641F">
        <w:rPr>
          <w:rFonts w:cs="Arial"/>
          <w:sz w:val="22"/>
          <w:shd w:val="clear" w:color="auto" w:fill="FFFFFF"/>
        </w:rPr>
        <w:t>at one time found almost universal favour and which has served the purpose so successfully for generations” (at 738 A). This approach was then formulated by the learned judge as follows (at 738 A - B):</w:t>
      </w:r>
    </w:p>
    <w:p w:rsidR="00F20611" w:rsidRPr="00DF641F" w:rsidRDefault="00EB5AB8" w:rsidP="003C27E4">
      <w:pPr>
        <w:rPr>
          <w:rFonts w:cs="Arial"/>
          <w:sz w:val="22"/>
          <w:shd w:val="clear" w:color="auto" w:fill="FFFFFF"/>
        </w:rPr>
      </w:pPr>
      <w:r w:rsidRPr="00DF641F">
        <w:rPr>
          <w:rFonts w:cs="Arial"/>
          <w:sz w:val="22"/>
          <w:shd w:val="clear" w:color="auto" w:fill="FFFFFF"/>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rsidR="00EB5AB8" w:rsidRPr="00DF641F" w:rsidRDefault="00EB5AB8" w:rsidP="003C27E4">
      <w:pPr>
        <w:rPr>
          <w:rFonts w:cs="Arial"/>
          <w:sz w:val="22"/>
          <w:shd w:val="clear" w:color="auto" w:fill="FFFFFF"/>
        </w:rPr>
      </w:pPr>
      <w:r w:rsidRPr="00DF641F">
        <w:rPr>
          <w:rFonts w:cs="Arial"/>
          <w:sz w:val="22"/>
          <w:shd w:val="clear" w:color="auto" w:fill="FFFFFF"/>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p>
    <w:p w:rsidR="00F20611" w:rsidRPr="00DF641F" w:rsidRDefault="00F20611" w:rsidP="003C27E4">
      <w:pPr>
        <w:rPr>
          <w:rFonts w:cs="Arial"/>
          <w:sz w:val="22"/>
          <w:shd w:val="clear" w:color="auto" w:fill="FFFFFF"/>
        </w:rPr>
      </w:pPr>
      <w:r w:rsidRPr="00DF641F">
        <w:rPr>
          <w:rFonts w:cs="Arial"/>
          <w:sz w:val="22"/>
          <w:shd w:val="clear" w:color="auto" w:fill="FFFFFF"/>
        </w:rPr>
        <w:t>. . .</w:t>
      </w:r>
    </w:p>
    <w:p w:rsidR="00F20611" w:rsidRPr="00DF641F" w:rsidRDefault="00EB5AB8" w:rsidP="003C27E4">
      <w:pPr>
        <w:rPr>
          <w:rFonts w:cs="Arial"/>
          <w:sz w:val="22"/>
          <w:shd w:val="clear" w:color="auto" w:fill="FFFFFF"/>
        </w:rPr>
      </w:pPr>
      <w:r w:rsidRPr="00DF641F">
        <w:rPr>
          <w:rFonts w:cs="Arial"/>
          <w:sz w:val="22"/>
          <w:lang w:val="en-GB"/>
        </w:rPr>
        <w:t xml:space="preserve">The approach of our law as represented by </w:t>
      </w:r>
      <w:r w:rsidRPr="00DF641F">
        <w:rPr>
          <w:rFonts w:cs="Arial"/>
          <w:i/>
          <w:sz w:val="22"/>
          <w:lang w:val="en-GB"/>
        </w:rPr>
        <w:t>R v Mlambo</w:t>
      </w:r>
      <w:r w:rsidRPr="00DF641F">
        <w:rPr>
          <w:rFonts w:cs="Arial"/>
          <w:sz w:val="22"/>
          <w:lang w:val="en-GB"/>
        </w:rPr>
        <w:t xml:space="preserve">, </w:t>
      </w:r>
      <w:r w:rsidRPr="00DF641F">
        <w:rPr>
          <w:rFonts w:cs="Arial"/>
          <w:i/>
          <w:sz w:val="22"/>
          <w:lang w:val="en-GB"/>
        </w:rPr>
        <w:t>supra</w:t>
      </w:r>
      <w:r w:rsidRPr="00DF641F">
        <w:rPr>
          <w:rFonts w:cs="Arial"/>
          <w:sz w:val="22"/>
          <w:lang w:val="en-GB"/>
        </w:rPr>
        <w:t xml:space="preserve">, corresponds with that of the English courts. In </w:t>
      </w:r>
      <w:r w:rsidRPr="00DF641F">
        <w:rPr>
          <w:rFonts w:cs="Arial"/>
          <w:i/>
          <w:sz w:val="22"/>
          <w:lang w:val="en-GB"/>
        </w:rPr>
        <w:t>Miller v Minister of Pensions</w:t>
      </w:r>
      <w:r w:rsidRPr="00DF641F">
        <w:rPr>
          <w:rFonts w:cs="Arial"/>
          <w:sz w:val="22"/>
          <w:lang w:val="en-GB"/>
        </w:rPr>
        <w:t xml:space="preserve"> [1947] 2 All ER 372 (King’s Bench) it was said at 373 H by Denning J:</w:t>
      </w:r>
    </w:p>
    <w:p w:rsidR="00F20611" w:rsidRPr="00DF641F" w:rsidRDefault="003F6B5B" w:rsidP="003C27E4">
      <w:pPr>
        <w:rPr>
          <w:rFonts w:cs="Arial"/>
          <w:sz w:val="22"/>
          <w:shd w:val="clear" w:color="auto" w:fill="FFFFFF"/>
        </w:rPr>
      </w:pPr>
      <w:r w:rsidRPr="00DF641F">
        <w:rPr>
          <w:rFonts w:cs="Arial"/>
          <w:sz w:val="22"/>
          <w:lang w:val="en-GB"/>
        </w:rPr>
        <w:t>“</w:t>
      </w:r>
      <w:r w:rsidR="002F7BEC" w:rsidRPr="00DF641F">
        <w:rPr>
          <w:rFonts w:cs="Arial"/>
          <w:sz w:val="22"/>
          <w:lang w:val="en-GB"/>
        </w:rPr>
        <w:t xml:space="preserve">. . . </w:t>
      </w:r>
      <w:r w:rsidR="00EB5AB8" w:rsidRPr="00DF641F">
        <w:rPr>
          <w:rFonts w:cs="Arial"/>
          <w:sz w:val="22"/>
          <w:lang w:val="en-GB"/>
        </w:rPr>
        <w:t>the evidence must reach the same degree of cogency as is required in a criminal case before an accused person is found guilty. That degree is well settled. It need not reach certainty, but it must carry a high degree of probability. Proof beyond reasonable doubt does not mean proof beyond the shadow of a doubt. The law would fail to protect the community if it admitted fanciful possibilities to deflect the cause of justice.</w:t>
      </w:r>
    </w:p>
    <w:p w:rsidR="00EB5AB8" w:rsidRPr="00DF641F" w:rsidRDefault="00EB5AB8" w:rsidP="003C27E4">
      <w:pPr>
        <w:rPr>
          <w:rFonts w:cs="Arial"/>
          <w:sz w:val="22"/>
          <w:shd w:val="clear" w:color="auto" w:fill="FFFFFF"/>
        </w:rPr>
      </w:pPr>
      <w:r w:rsidRPr="00DF641F">
        <w:rPr>
          <w:rFonts w:cs="Arial"/>
          <w:sz w:val="22"/>
          <w:lang w:val="en-GB"/>
        </w:rPr>
        <w:t>If the evidence is so strong against a man as to leave only a remote possibility in his favour, which can be dismissed with the sentence ‘of course it’s possible but not in the least probable’, the case is proved beyond reasonable doubt, but nothing short of that will suffice.</w:t>
      </w:r>
      <w:r w:rsidR="003F6B5B" w:rsidRPr="00DF641F">
        <w:rPr>
          <w:rFonts w:cs="Arial"/>
          <w:sz w:val="22"/>
          <w:lang w:val="en-GB"/>
        </w:rPr>
        <w:t>”</w:t>
      </w:r>
      <w:r w:rsidR="00E67615" w:rsidRPr="00DF641F">
        <w:rPr>
          <w:rFonts w:cs="Arial"/>
          <w:sz w:val="22"/>
          <w:lang w:val="en-GB"/>
        </w:rPr>
        <w:t>’</w:t>
      </w:r>
      <w:r w:rsidR="003F6B5B" w:rsidRPr="00DF641F">
        <w:rPr>
          <w:rFonts w:cs="Arial"/>
          <w:sz w:val="22"/>
          <w:lang w:val="en-GB"/>
        </w:rPr>
        <w:t>’</w:t>
      </w:r>
    </w:p>
    <w:p w:rsidR="00F20611" w:rsidRPr="00DF641F" w:rsidRDefault="00F20611" w:rsidP="00B72B7F">
      <w:pPr>
        <w:rPr>
          <w:rFonts w:cs="Arial"/>
          <w:szCs w:val="24"/>
          <w:shd w:val="clear" w:color="auto" w:fill="FFFFFF"/>
        </w:rPr>
      </w:pPr>
    </w:p>
    <w:p w:rsidR="00D54D54" w:rsidRPr="00DF641F" w:rsidRDefault="00F20611" w:rsidP="003C27E4">
      <w:pPr>
        <w:rPr>
          <w:rFonts w:cs="Arial"/>
          <w:szCs w:val="24"/>
          <w:shd w:val="clear" w:color="auto" w:fill="FFFFFF"/>
        </w:rPr>
      </w:pPr>
      <w:r w:rsidRPr="00DF641F">
        <w:rPr>
          <w:rFonts w:cs="Arial"/>
          <w:szCs w:val="24"/>
          <w:shd w:val="clear" w:color="auto" w:fill="FFFFFF"/>
        </w:rPr>
        <w:t>[3</w:t>
      </w:r>
      <w:r w:rsidR="00F1133D" w:rsidRPr="00DF641F">
        <w:rPr>
          <w:rFonts w:cs="Arial"/>
          <w:szCs w:val="24"/>
          <w:shd w:val="clear" w:color="auto" w:fill="FFFFFF"/>
        </w:rPr>
        <w:t>1</w:t>
      </w:r>
      <w:r w:rsidRPr="00DF641F">
        <w:rPr>
          <w:rFonts w:cs="Arial"/>
          <w:szCs w:val="24"/>
          <w:shd w:val="clear" w:color="auto" w:fill="FFFFFF"/>
        </w:rPr>
        <w:t>]</w:t>
      </w:r>
      <w:r w:rsidRPr="00DF641F">
        <w:rPr>
          <w:rFonts w:cs="Arial"/>
          <w:szCs w:val="24"/>
          <w:shd w:val="clear" w:color="auto" w:fill="FFFFFF"/>
        </w:rPr>
        <w:tab/>
      </w:r>
      <w:r w:rsidR="00190E22" w:rsidRPr="00DF641F">
        <w:rPr>
          <w:rFonts w:cs="Arial"/>
          <w:szCs w:val="24"/>
          <w:shd w:val="clear" w:color="auto" w:fill="FFFFFF"/>
        </w:rPr>
        <w:t xml:space="preserve">In respect of all the counts upon which the appellant was convicted, both the trial </w:t>
      </w:r>
      <w:r w:rsidR="005C34F0" w:rsidRPr="00DF641F">
        <w:rPr>
          <w:rFonts w:cs="Arial"/>
          <w:szCs w:val="24"/>
          <w:shd w:val="clear" w:color="auto" w:fill="FFFFFF"/>
        </w:rPr>
        <w:t>c</w:t>
      </w:r>
      <w:r w:rsidR="00190E22" w:rsidRPr="00DF641F">
        <w:rPr>
          <w:rFonts w:cs="Arial"/>
          <w:szCs w:val="24"/>
          <w:shd w:val="clear" w:color="auto" w:fill="FFFFFF"/>
        </w:rPr>
        <w:t xml:space="preserve">ourt and the </w:t>
      </w:r>
      <w:r w:rsidR="002F7BEC" w:rsidRPr="00DF641F">
        <w:rPr>
          <w:rFonts w:cs="Arial"/>
          <w:szCs w:val="24"/>
          <w:shd w:val="clear" w:color="auto" w:fill="FFFFFF"/>
        </w:rPr>
        <w:t>f</w:t>
      </w:r>
      <w:r w:rsidR="00190E22" w:rsidRPr="00DF641F">
        <w:rPr>
          <w:rFonts w:cs="Arial"/>
          <w:szCs w:val="24"/>
          <w:shd w:val="clear" w:color="auto" w:fill="FFFFFF"/>
        </w:rPr>
        <w:t xml:space="preserve">ull </w:t>
      </w:r>
      <w:r w:rsidR="002F7BEC" w:rsidRPr="00DF641F">
        <w:rPr>
          <w:rFonts w:cs="Arial"/>
          <w:szCs w:val="24"/>
          <w:shd w:val="clear" w:color="auto" w:fill="FFFFFF"/>
        </w:rPr>
        <w:t>c</w:t>
      </w:r>
      <w:r w:rsidR="00190E22" w:rsidRPr="00DF641F">
        <w:rPr>
          <w:rFonts w:cs="Arial"/>
          <w:szCs w:val="24"/>
          <w:shd w:val="clear" w:color="auto" w:fill="FFFFFF"/>
        </w:rPr>
        <w:t xml:space="preserve">ourt </w:t>
      </w:r>
      <w:r w:rsidR="00190115" w:rsidRPr="00DF641F">
        <w:rPr>
          <w:rFonts w:cs="Arial"/>
          <w:szCs w:val="24"/>
          <w:shd w:val="clear" w:color="auto" w:fill="FFFFFF"/>
        </w:rPr>
        <w:t>concluded</w:t>
      </w:r>
      <w:r w:rsidR="00190E22" w:rsidRPr="00DF641F">
        <w:rPr>
          <w:rFonts w:cs="Arial"/>
          <w:szCs w:val="24"/>
          <w:shd w:val="clear" w:color="auto" w:fill="FFFFFF"/>
        </w:rPr>
        <w:t xml:space="preserve"> that the version </w:t>
      </w:r>
      <w:r w:rsidR="00D54D54" w:rsidRPr="00DF641F">
        <w:rPr>
          <w:rFonts w:cs="Arial"/>
          <w:szCs w:val="24"/>
          <w:shd w:val="clear" w:color="auto" w:fill="FFFFFF"/>
        </w:rPr>
        <w:t xml:space="preserve">of the appellant was improbable. </w:t>
      </w:r>
      <w:r w:rsidR="00190E22" w:rsidRPr="00DF641F">
        <w:rPr>
          <w:rFonts w:cs="Arial"/>
          <w:szCs w:val="24"/>
          <w:shd w:val="clear" w:color="auto" w:fill="FFFFFF"/>
        </w:rPr>
        <w:t xml:space="preserve">The </w:t>
      </w:r>
      <w:r w:rsidR="002F7BEC" w:rsidRPr="00DF641F">
        <w:rPr>
          <w:rFonts w:cs="Arial"/>
          <w:szCs w:val="24"/>
          <w:shd w:val="clear" w:color="auto" w:fill="FFFFFF"/>
        </w:rPr>
        <w:t>f</w:t>
      </w:r>
      <w:r w:rsidR="00190E22" w:rsidRPr="00DF641F">
        <w:rPr>
          <w:rFonts w:cs="Arial"/>
          <w:szCs w:val="24"/>
          <w:shd w:val="clear" w:color="auto" w:fill="FFFFFF"/>
        </w:rPr>
        <w:t xml:space="preserve">ull </w:t>
      </w:r>
      <w:r w:rsidR="002F7BEC" w:rsidRPr="00DF641F">
        <w:rPr>
          <w:rFonts w:cs="Arial"/>
          <w:szCs w:val="24"/>
          <w:shd w:val="clear" w:color="auto" w:fill="FFFFFF"/>
        </w:rPr>
        <w:t>c</w:t>
      </w:r>
      <w:r w:rsidR="00190E22" w:rsidRPr="00DF641F">
        <w:rPr>
          <w:rFonts w:cs="Arial"/>
          <w:szCs w:val="24"/>
          <w:shd w:val="clear" w:color="auto" w:fill="FFFFFF"/>
        </w:rPr>
        <w:t xml:space="preserve">ourt found that the trial court had correctly </w:t>
      </w:r>
      <w:r w:rsidR="00190115" w:rsidRPr="00DF641F">
        <w:rPr>
          <w:rFonts w:cs="Arial"/>
          <w:szCs w:val="24"/>
          <w:shd w:val="clear" w:color="auto" w:fill="FFFFFF"/>
        </w:rPr>
        <w:t>held</w:t>
      </w:r>
      <w:r w:rsidR="00190E22" w:rsidRPr="00DF641F">
        <w:rPr>
          <w:rFonts w:cs="Arial"/>
          <w:szCs w:val="24"/>
          <w:shd w:val="clear" w:color="auto" w:fill="FFFFFF"/>
        </w:rPr>
        <w:t xml:space="preserve"> that there was a </w:t>
      </w:r>
      <w:r w:rsidR="00190E22" w:rsidRPr="00DF641F">
        <w:rPr>
          <w:rFonts w:cs="Arial"/>
          <w:i/>
          <w:szCs w:val="24"/>
          <w:shd w:val="clear" w:color="auto" w:fill="FFFFFF"/>
        </w:rPr>
        <w:t xml:space="preserve">prima facie </w:t>
      </w:r>
      <w:r w:rsidR="00190E22" w:rsidRPr="00DF641F">
        <w:rPr>
          <w:rFonts w:cs="Arial"/>
          <w:szCs w:val="24"/>
          <w:shd w:val="clear" w:color="auto" w:fill="FFFFFF"/>
        </w:rPr>
        <w:t xml:space="preserve">case that called for an answer from the appellant at the close of the </w:t>
      </w:r>
      <w:r w:rsidR="002F7BEC" w:rsidRPr="00DF641F">
        <w:rPr>
          <w:rFonts w:cs="Arial"/>
          <w:szCs w:val="24"/>
          <w:shd w:val="clear" w:color="auto" w:fill="FFFFFF"/>
        </w:rPr>
        <w:t>S</w:t>
      </w:r>
      <w:r w:rsidR="00190E22" w:rsidRPr="00DF641F">
        <w:rPr>
          <w:rFonts w:cs="Arial"/>
          <w:szCs w:val="24"/>
          <w:shd w:val="clear" w:color="auto" w:fill="FFFFFF"/>
        </w:rPr>
        <w:t xml:space="preserve">tate’s case. </w:t>
      </w:r>
    </w:p>
    <w:p w:rsidR="002F7BEC" w:rsidRPr="00DF641F" w:rsidRDefault="002F7BEC" w:rsidP="00B72B7F">
      <w:pPr>
        <w:rPr>
          <w:rFonts w:cs="Arial"/>
          <w:szCs w:val="24"/>
          <w:shd w:val="clear" w:color="auto" w:fill="FFFFFF"/>
        </w:rPr>
      </w:pPr>
    </w:p>
    <w:p w:rsidR="00190E22" w:rsidRPr="00DF641F" w:rsidRDefault="00F20611" w:rsidP="003C27E4">
      <w:pPr>
        <w:rPr>
          <w:rFonts w:cs="Arial"/>
          <w:szCs w:val="24"/>
          <w:shd w:val="clear" w:color="auto" w:fill="FFFFFF"/>
        </w:rPr>
      </w:pPr>
      <w:r w:rsidRPr="00DF641F">
        <w:rPr>
          <w:rFonts w:cs="Arial"/>
          <w:szCs w:val="24"/>
          <w:shd w:val="clear" w:color="auto" w:fill="FFFFFF"/>
        </w:rPr>
        <w:t>[3</w:t>
      </w:r>
      <w:r w:rsidR="00F1133D" w:rsidRPr="00DF641F">
        <w:rPr>
          <w:rFonts w:cs="Arial"/>
          <w:szCs w:val="24"/>
          <w:shd w:val="clear" w:color="auto" w:fill="FFFFFF"/>
        </w:rPr>
        <w:t>2</w:t>
      </w:r>
      <w:r w:rsidRPr="00DF641F">
        <w:rPr>
          <w:rFonts w:cs="Arial"/>
          <w:szCs w:val="24"/>
          <w:shd w:val="clear" w:color="auto" w:fill="FFFFFF"/>
        </w:rPr>
        <w:t>]</w:t>
      </w:r>
      <w:r w:rsidRPr="00DF641F">
        <w:rPr>
          <w:rFonts w:cs="Arial"/>
          <w:szCs w:val="24"/>
          <w:shd w:val="clear" w:color="auto" w:fill="FFFFFF"/>
        </w:rPr>
        <w:tab/>
      </w:r>
      <w:r w:rsidR="00190E22" w:rsidRPr="00DF641F">
        <w:rPr>
          <w:rFonts w:cs="Arial"/>
          <w:szCs w:val="24"/>
          <w:shd w:val="clear" w:color="auto" w:fill="FFFFFF"/>
        </w:rPr>
        <w:t xml:space="preserve">In </w:t>
      </w:r>
      <w:r w:rsidR="00190E22" w:rsidRPr="00DF641F">
        <w:rPr>
          <w:rFonts w:cs="Arial"/>
          <w:i/>
          <w:szCs w:val="24"/>
          <w:shd w:val="clear" w:color="auto" w:fill="FFFFFF"/>
        </w:rPr>
        <w:t>S v Boesak</w:t>
      </w:r>
      <w:r w:rsidR="005C34F0" w:rsidRPr="00DF641F">
        <w:rPr>
          <w:rFonts w:cs="Arial"/>
          <w:szCs w:val="24"/>
          <w:shd w:val="clear" w:color="auto" w:fill="FFFFFF"/>
        </w:rPr>
        <w:t>,</w:t>
      </w:r>
      <w:r w:rsidR="00190E22" w:rsidRPr="00DF641F">
        <w:rPr>
          <w:rStyle w:val="FootnoteReference"/>
          <w:rFonts w:cs="Arial"/>
          <w:szCs w:val="24"/>
          <w:shd w:val="clear" w:color="auto" w:fill="FFFFFF"/>
        </w:rPr>
        <w:footnoteReference w:id="5"/>
      </w:r>
      <w:r w:rsidR="00190E22" w:rsidRPr="00DF641F">
        <w:rPr>
          <w:rFonts w:cs="Arial"/>
          <w:i/>
          <w:szCs w:val="24"/>
          <w:shd w:val="clear" w:color="auto" w:fill="FFFFFF"/>
        </w:rPr>
        <w:t xml:space="preserve"> </w:t>
      </w:r>
      <w:r w:rsidR="00190E22" w:rsidRPr="00DF641F">
        <w:rPr>
          <w:rFonts w:cs="Arial"/>
          <w:szCs w:val="24"/>
          <w:shd w:val="clear" w:color="auto" w:fill="FFFFFF"/>
        </w:rPr>
        <w:t>Langa DP, writing for the Constitutional</w:t>
      </w:r>
      <w:r w:rsidR="00190E22" w:rsidRPr="00DF641F">
        <w:rPr>
          <w:rFonts w:cs="Arial"/>
          <w:szCs w:val="24"/>
        </w:rPr>
        <w:t xml:space="preserve"> Court held:</w:t>
      </w:r>
    </w:p>
    <w:p w:rsidR="00F20611" w:rsidRPr="00DF641F" w:rsidRDefault="005C34F0" w:rsidP="003C27E4">
      <w:pPr>
        <w:rPr>
          <w:rFonts w:eastAsia="Times New Roman" w:cs="Arial"/>
          <w:sz w:val="22"/>
          <w:lang w:eastAsia="en-ZA"/>
        </w:rPr>
      </w:pPr>
      <w:r w:rsidRPr="00DF641F">
        <w:rPr>
          <w:rFonts w:eastAsia="Times New Roman" w:cs="Arial"/>
          <w:sz w:val="22"/>
          <w:lang w:eastAsia="en-ZA"/>
        </w:rPr>
        <w:t>‘The right to remain silent has application at different stages of a criminal prosecution. An arrested person is entitled to remain silent and may not be compelled to make any confession or admission that could be used in evidence against that person. It arises again at the trial stage when an accused has the right to be presumed innocent, to remain silent, and not to testify during the proceedings. 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in the absence of an explanation to prove the guilt of the accused. Whether such a conclusion is justified will depend on the weight of the evidence. What is stated above is consistent with the remarks of Madala J, writing for the Court, in</w:t>
      </w:r>
      <w:r w:rsidR="007277A2" w:rsidRPr="00DF641F">
        <w:rPr>
          <w:rFonts w:eastAsia="Times New Roman" w:cs="Arial"/>
          <w:i/>
          <w:sz w:val="22"/>
          <w:lang w:eastAsia="en-ZA"/>
        </w:rPr>
        <w:t xml:space="preserve"> Osman and Another v </w:t>
      </w:r>
      <w:r w:rsidRPr="00DF641F">
        <w:rPr>
          <w:rFonts w:eastAsia="Times New Roman" w:cs="Arial"/>
          <w:i/>
          <w:sz w:val="22"/>
          <w:lang w:eastAsia="en-ZA"/>
        </w:rPr>
        <w:t xml:space="preserve">Attorney-General, Transvaal </w:t>
      </w:r>
      <w:r w:rsidRPr="00DF641F">
        <w:rPr>
          <w:rFonts w:eastAsia="Times New Roman" w:cs="Arial"/>
          <w:sz w:val="22"/>
          <w:lang w:eastAsia="en-ZA"/>
        </w:rPr>
        <w:t>[1998 (2) SACR 493 (CC)], when he said the following:</w:t>
      </w:r>
    </w:p>
    <w:p w:rsidR="005C34F0" w:rsidRPr="00DF641F" w:rsidRDefault="005C34F0" w:rsidP="003C27E4">
      <w:pPr>
        <w:rPr>
          <w:rFonts w:eastAsia="Times New Roman" w:cs="Arial"/>
          <w:sz w:val="22"/>
          <w:lang w:eastAsia="en-ZA"/>
        </w:rPr>
      </w:pPr>
      <w:r w:rsidRPr="00DF641F">
        <w:rPr>
          <w:rFonts w:eastAsia="Times New Roman" w:cs="Arial"/>
          <w:sz w:val="22"/>
          <w:lang w:eastAsia="en-ZA"/>
        </w:rPr>
        <w:t xml:space="preserve">“Our legal system is an adversarial one. Once the prosecution has produced evidence sufficient to establish a </w:t>
      </w:r>
      <w:r w:rsidRPr="00DF641F">
        <w:rPr>
          <w:rFonts w:eastAsia="Times New Roman" w:cs="Arial"/>
          <w:i/>
          <w:sz w:val="22"/>
          <w:lang w:eastAsia="en-ZA"/>
        </w:rPr>
        <w:t>prima facie</w:t>
      </w:r>
      <w:r w:rsidRPr="00DF641F">
        <w:rPr>
          <w:rFonts w:eastAsia="Times New Roman" w:cs="Arial"/>
          <w:sz w:val="22"/>
          <w:lang w:eastAsia="en-ZA"/>
        </w:rPr>
        <w:t xml:space="preserve"> case, an accused who fails to produce evidence to rebut that case is at risk. The failure to testify does not relieve the prosecution of its duty to prove guilt beyond reasonable doubt. An accused, however, always runs the risk that, absent any rebuttal, the prosecution's case may be sufficient to prove the elements of the offence. The fact that an accused has to make such an election is not a breach of the right to silence. If the right to silence were to be so interpreted, it would destroy the fundamental nature of our adversarial system of criminal justice.”</w:t>
      </w:r>
      <w:r w:rsidR="002F1441" w:rsidRPr="00DF641F">
        <w:rPr>
          <w:rFonts w:eastAsia="Times New Roman" w:cs="Arial"/>
          <w:sz w:val="22"/>
          <w:lang w:eastAsia="en-ZA"/>
        </w:rPr>
        <w:t>.</w:t>
      </w:r>
      <w:r w:rsidRPr="00DF641F">
        <w:rPr>
          <w:rFonts w:eastAsia="Times New Roman" w:cs="Arial"/>
          <w:sz w:val="22"/>
          <w:lang w:eastAsia="en-ZA"/>
        </w:rPr>
        <w:t>’</w:t>
      </w:r>
    </w:p>
    <w:p w:rsidR="00F20611" w:rsidRPr="00DF641F" w:rsidRDefault="00F20611" w:rsidP="00B72B7F">
      <w:pPr>
        <w:rPr>
          <w:rFonts w:cs="Arial"/>
          <w:szCs w:val="24"/>
          <w:shd w:val="clear" w:color="auto" w:fill="FFFFFF"/>
        </w:rPr>
      </w:pPr>
      <w:bookmarkStart w:id="2" w:name="0-0-0-112815"/>
      <w:bookmarkStart w:id="3" w:name="0-0-0-112819"/>
      <w:bookmarkEnd w:id="2"/>
      <w:bookmarkEnd w:id="3"/>
    </w:p>
    <w:p w:rsidR="00F20611" w:rsidRPr="00DF641F" w:rsidRDefault="00F20611" w:rsidP="003C27E4">
      <w:pPr>
        <w:rPr>
          <w:rFonts w:cs="Arial"/>
          <w:szCs w:val="24"/>
          <w:shd w:val="clear" w:color="auto" w:fill="FFFFFF"/>
        </w:rPr>
      </w:pPr>
      <w:r w:rsidRPr="00DF641F">
        <w:rPr>
          <w:rFonts w:cs="Arial"/>
          <w:szCs w:val="24"/>
          <w:shd w:val="clear" w:color="auto" w:fill="FFFFFF"/>
        </w:rPr>
        <w:t>[3</w:t>
      </w:r>
      <w:r w:rsidR="00F1133D" w:rsidRPr="00DF641F">
        <w:rPr>
          <w:rFonts w:cs="Arial"/>
          <w:szCs w:val="24"/>
          <w:shd w:val="clear" w:color="auto" w:fill="FFFFFF"/>
        </w:rPr>
        <w:t>3</w:t>
      </w:r>
      <w:r w:rsidRPr="00DF641F">
        <w:rPr>
          <w:rFonts w:cs="Arial"/>
          <w:szCs w:val="24"/>
          <w:shd w:val="clear" w:color="auto" w:fill="FFFFFF"/>
        </w:rPr>
        <w:t>]</w:t>
      </w:r>
      <w:r w:rsidRPr="00DF641F">
        <w:rPr>
          <w:rFonts w:cs="Arial"/>
          <w:szCs w:val="24"/>
          <w:shd w:val="clear" w:color="auto" w:fill="FFFFFF"/>
        </w:rPr>
        <w:tab/>
      </w:r>
      <w:r w:rsidR="00837FEA" w:rsidRPr="00DF641F">
        <w:rPr>
          <w:rFonts w:cs="Arial"/>
          <w:szCs w:val="24"/>
          <w:shd w:val="clear" w:color="auto" w:fill="FFFFFF"/>
        </w:rPr>
        <w:t xml:space="preserve">The appellant’s reliance on cases such as </w:t>
      </w:r>
      <w:r w:rsidR="00837FEA" w:rsidRPr="00DF641F">
        <w:rPr>
          <w:rFonts w:cs="Arial"/>
          <w:i/>
          <w:szCs w:val="24"/>
          <w:shd w:val="clear" w:color="auto" w:fill="FFFFFF"/>
        </w:rPr>
        <w:t>R v Blom</w:t>
      </w:r>
      <w:r w:rsidR="00837FEA" w:rsidRPr="00DF641F">
        <w:rPr>
          <w:rFonts w:cs="Arial"/>
          <w:szCs w:val="24"/>
          <w:shd w:val="clear" w:color="auto" w:fill="FFFFFF"/>
        </w:rPr>
        <w:t xml:space="preserve"> and </w:t>
      </w:r>
      <w:r w:rsidR="00837FEA" w:rsidRPr="00DF641F">
        <w:rPr>
          <w:rFonts w:cs="Arial"/>
          <w:i/>
          <w:szCs w:val="24"/>
          <w:shd w:val="clear" w:color="auto" w:fill="FFFFFF"/>
        </w:rPr>
        <w:t xml:space="preserve">S v Reddy </w:t>
      </w:r>
      <w:r w:rsidR="00D54D54" w:rsidRPr="00DF641F">
        <w:rPr>
          <w:rFonts w:cs="Arial"/>
          <w:szCs w:val="24"/>
          <w:shd w:val="clear" w:color="auto" w:fill="FFFFFF"/>
        </w:rPr>
        <w:t xml:space="preserve">was </w:t>
      </w:r>
      <w:r w:rsidR="00837FEA" w:rsidRPr="00DF641F">
        <w:rPr>
          <w:rFonts w:cs="Arial"/>
          <w:szCs w:val="24"/>
          <w:shd w:val="clear" w:color="auto" w:fill="FFFFFF"/>
        </w:rPr>
        <w:t>misplaced.</w:t>
      </w:r>
      <w:r w:rsidR="005C34F0" w:rsidRPr="00DF641F">
        <w:rPr>
          <w:rStyle w:val="FootnoteReference"/>
          <w:rFonts w:cs="Arial"/>
          <w:szCs w:val="24"/>
          <w:shd w:val="clear" w:color="auto" w:fill="FFFFFF"/>
        </w:rPr>
        <w:footnoteReference w:id="6"/>
      </w:r>
      <w:r w:rsidR="00837FEA" w:rsidRPr="00DF641F">
        <w:rPr>
          <w:rFonts w:cs="Arial"/>
          <w:szCs w:val="24"/>
          <w:shd w:val="clear" w:color="auto" w:fill="FFFFFF"/>
        </w:rPr>
        <w:t xml:space="preserve"> Th</w:t>
      </w:r>
      <w:r w:rsidR="005C34F0" w:rsidRPr="00DF641F">
        <w:rPr>
          <w:rFonts w:cs="Arial"/>
          <w:szCs w:val="24"/>
          <w:shd w:val="clear" w:color="auto" w:fill="FFFFFF"/>
        </w:rPr>
        <w:t>e</w:t>
      </w:r>
      <w:r w:rsidR="00837FEA" w:rsidRPr="00DF641F">
        <w:rPr>
          <w:rFonts w:cs="Arial"/>
          <w:szCs w:val="24"/>
          <w:shd w:val="clear" w:color="auto" w:fill="FFFFFF"/>
        </w:rPr>
        <w:t>se cases dealt with convictions based on circumstantial evidence. The present case is based on direct evidence – the submission of invoices based upon the usage of the RAV</w:t>
      </w:r>
      <w:r w:rsidR="00D54D54" w:rsidRPr="00DF641F">
        <w:rPr>
          <w:rFonts w:cs="Arial"/>
          <w:szCs w:val="24"/>
          <w:shd w:val="clear" w:color="auto" w:fill="FFFFFF"/>
        </w:rPr>
        <w:t xml:space="preserve">4 and the testimony of the </w:t>
      </w:r>
      <w:r w:rsidR="00F512D6" w:rsidRPr="00DF641F">
        <w:rPr>
          <w:rFonts w:cs="Arial"/>
          <w:szCs w:val="24"/>
          <w:shd w:val="clear" w:color="auto" w:fill="FFFFFF"/>
        </w:rPr>
        <w:t>S</w:t>
      </w:r>
      <w:r w:rsidR="00D54D54" w:rsidRPr="00DF641F">
        <w:rPr>
          <w:rFonts w:cs="Arial"/>
          <w:szCs w:val="24"/>
          <w:shd w:val="clear" w:color="auto" w:fill="FFFFFF"/>
        </w:rPr>
        <w:t>tate witnesses.</w:t>
      </w:r>
      <w:r w:rsidRPr="00DF641F">
        <w:rPr>
          <w:rFonts w:cs="Arial"/>
          <w:szCs w:val="24"/>
          <w:shd w:val="clear" w:color="auto" w:fill="FFFFFF"/>
        </w:rPr>
        <w:t xml:space="preserve"> </w:t>
      </w:r>
    </w:p>
    <w:p w:rsidR="00F20611" w:rsidRPr="00DF641F" w:rsidRDefault="00F20611" w:rsidP="00B72B7F">
      <w:pPr>
        <w:rPr>
          <w:rFonts w:cs="Arial"/>
          <w:szCs w:val="24"/>
          <w:shd w:val="clear" w:color="auto" w:fill="FFFFFF"/>
        </w:rPr>
      </w:pPr>
    </w:p>
    <w:p w:rsidR="00F20611" w:rsidRPr="00DF641F" w:rsidRDefault="00F20611" w:rsidP="003C27E4">
      <w:pPr>
        <w:rPr>
          <w:rFonts w:cs="Arial"/>
          <w:szCs w:val="24"/>
          <w:shd w:val="clear" w:color="auto" w:fill="FFFFFF"/>
        </w:rPr>
      </w:pPr>
      <w:r w:rsidRPr="00DF641F">
        <w:rPr>
          <w:rFonts w:cs="Arial"/>
          <w:szCs w:val="24"/>
          <w:shd w:val="clear" w:color="auto" w:fill="FFFFFF"/>
        </w:rPr>
        <w:t>[3</w:t>
      </w:r>
      <w:r w:rsidR="00F1133D" w:rsidRPr="00DF641F">
        <w:rPr>
          <w:rFonts w:cs="Arial"/>
          <w:szCs w:val="24"/>
          <w:shd w:val="clear" w:color="auto" w:fill="FFFFFF"/>
        </w:rPr>
        <w:t>4</w:t>
      </w:r>
      <w:r w:rsidRPr="00DF641F">
        <w:rPr>
          <w:rFonts w:cs="Arial"/>
          <w:szCs w:val="24"/>
          <w:shd w:val="clear" w:color="auto" w:fill="FFFFFF"/>
        </w:rPr>
        <w:t>]</w:t>
      </w:r>
      <w:r w:rsidRPr="00DF641F">
        <w:rPr>
          <w:rFonts w:cs="Arial"/>
          <w:szCs w:val="24"/>
          <w:shd w:val="clear" w:color="auto" w:fill="FFFFFF"/>
        </w:rPr>
        <w:tab/>
      </w:r>
      <w:r w:rsidR="00837FEA" w:rsidRPr="00DF641F">
        <w:rPr>
          <w:rFonts w:cs="Arial"/>
          <w:szCs w:val="24"/>
          <w:shd w:val="clear" w:color="auto" w:fill="FFFFFF"/>
        </w:rPr>
        <w:t xml:space="preserve">The </w:t>
      </w:r>
      <w:r w:rsidR="00F512D6" w:rsidRPr="00DF641F">
        <w:rPr>
          <w:rFonts w:cs="Arial"/>
          <w:szCs w:val="24"/>
          <w:shd w:val="clear" w:color="auto" w:fill="FFFFFF"/>
        </w:rPr>
        <w:t>S</w:t>
      </w:r>
      <w:r w:rsidR="00837FEA" w:rsidRPr="00DF641F">
        <w:rPr>
          <w:rFonts w:cs="Arial"/>
          <w:szCs w:val="24"/>
          <w:shd w:val="clear" w:color="auto" w:fill="FFFFFF"/>
        </w:rPr>
        <w:t>tate submitted that it had produced sufficient evidence to demonstrate that the appellant, in submitting the claims for the RAV4 from December 2008 to March 2009,</w:t>
      </w:r>
      <w:r w:rsidR="00CB34C8" w:rsidRPr="00DF641F">
        <w:rPr>
          <w:rFonts w:cs="Arial"/>
          <w:szCs w:val="24"/>
          <w:shd w:val="clear" w:color="auto" w:fill="FFFFFF"/>
        </w:rPr>
        <w:t xml:space="preserve"> whilst he knowingly used the Cadillac, amounted to fraud.</w:t>
      </w:r>
      <w:r w:rsidR="00CB34C8" w:rsidRPr="00DF641F">
        <w:rPr>
          <w:rFonts w:cs="Arial"/>
          <w:szCs w:val="24"/>
        </w:rPr>
        <w:t xml:space="preserve"> </w:t>
      </w:r>
      <w:r w:rsidR="00190115" w:rsidRPr="00DF641F">
        <w:rPr>
          <w:rFonts w:cs="Arial"/>
          <w:szCs w:val="24"/>
        </w:rPr>
        <w:t>The version that</w:t>
      </w:r>
      <w:r w:rsidR="006E1D5D" w:rsidRPr="00DF641F">
        <w:rPr>
          <w:rFonts w:cs="Arial"/>
          <w:szCs w:val="24"/>
          <w:shd w:val="clear" w:color="auto" w:fill="FFFFFF"/>
        </w:rPr>
        <w:t xml:space="preserve"> appellant had borrowed the RAV4 from Ms Phiri and used it in each and every instance that he was on an official trip, was not repeated under oath</w:t>
      </w:r>
      <w:r w:rsidR="004D1F6F" w:rsidRPr="00DF641F">
        <w:rPr>
          <w:rFonts w:cs="Arial"/>
          <w:szCs w:val="24"/>
          <w:shd w:val="clear" w:color="auto" w:fill="FFFFFF"/>
        </w:rPr>
        <w:t xml:space="preserve"> –</w:t>
      </w:r>
      <w:r w:rsidR="006E1D5D" w:rsidRPr="00DF641F">
        <w:rPr>
          <w:rFonts w:cs="Arial"/>
          <w:szCs w:val="24"/>
          <w:shd w:val="clear" w:color="auto" w:fill="FFFFFF"/>
        </w:rPr>
        <w:t xml:space="preserve"> despite the fact that </w:t>
      </w:r>
      <w:r w:rsidR="00747770" w:rsidRPr="00DF641F">
        <w:rPr>
          <w:rFonts w:cs="Arial"/>
          <w:szCs w:val="24"/>
          <w:shd w:val="clear" w:color="auto" w:fill="FFFFFF"/>
        </w:rPr>
        <w:t>it</w:t>
      </w:r>
      <w:r w:rsidR="006E1D5D" w:rsidRPr="00DF641F">
        <w:rPr>
          <w:rFonts w:cs="Arial"/>
          <w:szCs w:val="24"/>
          <w:shd w:val="clear" w:color="auto" w:fill="FFFFFF"/>
        </w:rPr>
        <w:t xml:space="preserve"> was denied by </w:t>
      </w:r>
      <w:r w:rsidR="00D54D54" w:rsidRPr="00DF641F">
        <w:rPr>
          <w:rFonts w:cs="Arial"/>
          <w:szCs w:val="24"/>
          <w:shd w:val="clear" w:color="auto" w:fill="FFFFFF"/>
        </w:rPr>
        <w:t xml:space="preserve">the </w:t>
      </w:r>
      <w:r w:rsidR="00F512D6" w:rsidRPr="00DF641F">
        <w:rPr>
          <w:rFonts w:cs="Arial"/>
          <w:szCs w:val="24"/>
          <w:shd w:val="clear" w:color="auto" w:fill="FFFFFF"/>
        </w:rPr>
        <w:t>S</w:t>
      </w:r>
      <w:r w:rsidR="00D54D54" w:rsidRPr="00DF641F">
        <w:rPr>
          <w:rFonts w:cs="Arial"/>
          <w:szCs w:val="24"/>
          <w:shd w:val="clear" w:color="auto" w:fill="FFFFFF"/>
        </w:rPr>
        <w:t>tate witnesses</w:t>
      </w:r>
      <w:r w:rsidR="004D1F6F" w:rsidRPr="00DF641F">
        <w:rPr>
          <w:rFonts w:cs="Arial"/>
          <w:szCs w:val="24"/>
          <w:shd w:val="clear" w:color="auto" w:fill="FFFFFF"/>
        </w:rPr>
        <w:t>,</w:t>
      </w:r>
      <w:r w:rsidR="006E1D5D" w:rsidRPr="00DF641F">
        <w:rPr>
          <w:rFonts w:cs="Arial"/>
          <w:szCs w:val="24"/>
          <w:shd w:val="clear" w:color="auto" w:fill="FFFFFF"/>
        </w:rPr>
        <w:t xml:space="preserve"> and was contrary to the version put up in the</w:t>
      </w:r>
      <w:r w:rsidR="007A29F8" w:rsidRPr="00DF641F">
        <w:rPr>
          <w:rFonts w:cs="Arial"/>
          <w:szCs w:val="24"/>
          <w:shd w:val="clear" w:color="auto" w:fill="FFFFFF"/>
        </w:rPr>
        <w:t xml:space="preserve"> October </w:t>
      </w:r>
      <w:r w:rsidR="006E1D5D" w:rsidRPr="00DF641F">
        <w:rPr>
          <w:rFonts w:cs="Arial"/>
          <w:szCs w:val="24"/>
          <w:shd w:val="clear" w:color="auto" w:fill="FFFFFF"/>
        </w:rPr>
        <w:t>letter</w:t>
      </w:r>
      <w:r w:rsidR="00747770" w:rsidRPr="00DF641F">
        <w:rPr>
          <w:rFonts w:cs="Arial"/>
          <w:szCs w:val="24"/>
          <w:shd w:val="clear" w:color="auto" w:fill="FFFFFF"/>
        </w:rPr>
        <w:t>.</w:t>
      </w:r>
    </w:p>
    <w:p w:rsidR="00F20611" w:rsidRPr="00DF641F" w:rsidRDefault="00840DE1" w:rsidP="003C27E4">
      <w:pPr>
        <w:rPr>
          <w:rFonts w:cs="Arial"/>
          <w:szCs w:val="24"/>
          <w:shd w:val="clear" w:color="auto" w:fill="FFFFFF"/>
        </w:rPr>
      </w:pPr>
      <w:r w:rsidRPr="00DF641F">
        <w:rPr>
          <w:rFonts w:cs="Arial"/>
          <w:szCs w:val="24"/>
          <w:shd w:val="clear" w:color="auto" w:fill="FFFFFF"/>
        </w:rPr>
        <w:t xml:space="preserve"> </w:t>
      </w:r>
    </w:p>
    <w:p w:rsidR="00EA723C" w:rsidRPr="00DF641F" w:rsidRDefault="00F20611" w:rsidP="003C27E4">
      <w:pPr>
        <w:rPr>
          <w:rFonts w:cs="Arial"/>
          <w:szCs w:val="24"/>
          <w:shd w:val="clear" w:color="auto" w:fill="FFFFFF"/>
        </w:rPr>
      </w:pPr>
      <w:r w:rsidRPr="00DF641F">
        <w:rPr>
          <w:rFonts w:cs="Arial"/>
          <w:szCs w:val="24"/>
          <w:shd w:val="clear" w:color="auto" w:fill="FFFFFF"/>
        </w:rPr>
        <w:t>[3</w:t>
      </w:r>
      <w:r w:rsidR="00F1133D" w:rsidRPr="00DF641F">
        <w:rPr>
          <w:rFonts w:cs="Arial"/>
          <w:szCs w:val="24"/>
          <w:shd w:val="clear" w:color="auto" w:fill="FFFFFF"/>
        </w:rPr>
        <w:t>5</w:t>
      </w:r>
      <w:r w:rsidRPr="00DF641F">
        <w:rPr>
          <w:rFonts w:cs="Arial"/>
          <w:szCs w:val="24"/>
          <w:shd w:val="clear" w:color="auto" w:fill="FFFFFF"/>
        </w:rPr>
        <w:t>]</w:t>
      </w:r>
      <w:r w:rsidRPr="00DF641F">
        <w:rPr>
          <w:rFonts w:cs="Arial"/>
          <w:szCs w:val="24"/>
          <w:shd w:val="clear" w:color="auto" w:fill="FFFFFF"/>
        </w:rPr>
        <w:tab/>
      </w:r>
      <w:r w:rsidR="00CB34C8" w:rsidRPr="00DF641F">
        <w:rPr>
          <w:rFonts w:cs="Arial"/>
          <w:szCs w:val="24"/>
        </w:rPr>
        <w:t xml:space="preserve">In </w:t>
      </w:r>
      <w:r w:rsidR="00CB34C8" w:rsidRPr="00DF641F">
        <w:rPr>
          <w:rFonts w:cs="Arial"/>
          <w:i/>
          <w:szCs w:val="24"/>
        </w:rPr>
        <w:t>Ndwambi v The State</w:t>
      </w:r>
      <w:r w:rsidR="004D1F6F" w:rsidRPr="00DF641F">
        <w:rPr>
          <w:rFonts w:cs="Arial"/>
          <w:szCs w:val="24"/>
        </w:rPr>
        <w:t>,</w:t>
      </w:r>
      <w:r w:rsidR="00CB34C8" w:rsidRPr="00DF641F">
        <w:rPr>
          <w:rStyle w:val="FootnoteReference"/>
          <w:rFonts w:cs="Arial"/>
          <w:szCs w:val="24"/>
        </w:rPr>
        <w:footnoteReference w:id="7"/>
      </w:r>
      <w:r w:rsidR="00747770" w:rsidRPr="00DF641F">
        <w:rPr>
          <w:rFonts w:cs="Arial"/>
          <w:szCs w:val="24"/>
        </w:rPr>
        <w:t xml:space="preserve"> Navsa ADP referred to </w:t>
      </w:r>
      <w:r w:rsidR="00747770" w:rsidRPr="00DF641F">
        <w:rPr>
          <w:rFonts w:cs="Arial"/>
          <w:i/>
          <w:szCs w:val="24"/>
        </w:rPr>
        <w:t>R v Dyonta</w:t>
      </w:r>
      <w:r w:rsidR="00747770" w:rsidRPr="00DF641F">
        <w:rPr>
          <w:rFonts w:cs="Arial"/>
          <w:szCs w:val="24"/>
        </w:rPr>
        <w:t>,</w:t>
      </w:r>
      <w:r w:rsidR="00EA723C" w:rsidRPr="00DF641F">
        <w:rPr>
          <w:rStyle w:val="FootnoteReference"/>
          <w:rFonts w:cs="Arial"/>
          <w:szCs w:val="24"/>
        </w:rPr>
        <w:footnoteReference w:id="8"/>
      </w:r>
      <w:r w:rsidR="00747770" w:rsidRPr="00DF641F">
        <w:rPr>
          <w:rFonts w:cs="Arial"/>
          <w:szCs w:val="24"/>
        </w:rPr>
        <w:t xml:space="preserve"> where the accused were convicted of fraud</w:t>
      </w:r>
      <w:r w:rsidR="00B9456A" w:rsidRPr="00DF641F">
        <w:rPr>
          <w:rFonts w:cs="Arial"/>
          <w:szCs w:val="24"/>
        </w:rPr>
        <w:t>,</w:t>
      </w:r>
      <w:r w:rsidR="00747770" w:rsidRPr="00DF641F">
        <w:rPr>
          <w:rFonts w:cs="Arial"/>
          <w:szCs w:val="24"/>
        </w:rPr>
        <w:t xml:space="preserve"> in that they falsely pretended to a Mr</w:t>
      </w:r>
      <w:r w:rsidR="00DA7C45" w:rsidRPr="00DF641F">
        <w:rPr>
          <w:rFonts w:cs="Arial"/>
          <w:szCs w:val="24"/>
        </w:rPr>
        <w:t> </w:t>
      </w:r>
      <w:r w:rsidR="00747770" w:rsidRPr="00DF641F">
        <w:rPr>
          <w:rFonts w:cs="Arial"/>
          <w:szCs w:val="24"/>
        </w:rPr>
        <w:t>Potgieter that certain stones were diamonds in order to induce the buyer to pay a certain price for the stones. The accused had been arrested immediately after they had handed the stones to Mr Potgieter who, although he had pretended to be buying, had no intention of buying them. Navsa DJP</w:t>
      </w:r>
      <w:r w:rsidR="00A764C9" w:rsidRPr="00DF641F">
        <w:rPr>
          <w:rFonts w:cs="Arial"/>
          <w:szCs w:val="24"/>
        </w:rPr>
        <w:t xml:space="preserve">, citing </w:t>
      </w:r>
      <w:r w:rsidR="00146DBC" w:rsidRPr="00DF641F">
        <w:rPr>
          <w:rFonts w:cs="Arial"/>
          <w:i/>
          <w:szCs w:val="24"/>
        </w:rPr>
        <w:t>Dyonta</w:t>
      </w:r>
      <w:r w:rsidR="00747770" w:rsidRPr="00DF641F">
        <w:rPr>
          <w:rFonts w:cs="Arial"/>
          <w:szCs w:val="24"/>
        </w:rPr>
        <w:t xml:space="preserve">, </w:t>
      </w:r>
      <w:r w:rsidR="00A764C9" w:rsidRPr="00DF641F">
        <w:rPr>
          <w:rFonts w:cs="Arial"/>
          <w:szCs w:val="24"/>
        </w:rPr>
        <w:t xml:space="preserve">stated </w:t>
      </w:r>
      <w:r w:rsidR="00EA723C" w:rsidRPr="00DF641F">
        <w:rPr>
          <w:rFonts w:cs="Arial"/>
          <w:szCs w:val="24"/>
        </w:rPr>
        <w:t>as follows:</w:t>
      </w:r>
      <w:r w:rsidR="00146DBC" w:rsidRPr="00DF641F">
        <w:rPr>
          <w:rStyle w:val="FootnoteReference"/>
          <w:rFonts w:cs="Arial"/>
          <w:szCs w:val="24"/>
        </w:rPr>
        <w:footnoteReference w:id="9"/>
      </w:r>
      <w:r w:rsidR="00EA723C" w:rsidRPr="00DF641F">
        <w:rPr>
          <w:rFonts w:cs="Arial"/>
          <w:szCs w:val="24"/>
        </w:rPr>
        <w:t xml:space="preserve"> </w:t>
      </w:r>
    </w:p>
    <w:p w:rsidR="00EA723C" w:rsidRPr="00DF641F" w:rsidRDefault="00EA723C" w:rsidP="003C27E4">
      <w:pPr>
        <w:rPr>
          <w:rFonts w:cs="Arial"/>
          <w:sz w:val="22"/>
        </w:rPr>
      </w:pPr>
      <w:r w:rsidRPr="00DF641F">
        <w:rPr>
          <w:rFonts w:cs="Arial"/>
          <w:sz w:val="22"/>
        </w:rPr>
        <w:t>‘Wessels CJ, in delivering the unanimous judgment of the court, reaffirmed the law as laid down in two previous judgments of this court, thus (at 57):</w:t>
      </w:r>
    </w:p>
    <w:p w:rsidR="00840DE1" w:rsidRPr="00DF641F" w:rsidRDefault="00EA723C" w:rsidP="003C27E4">
      <w:pPr>
        <w:rPr>
          <w:rFonts w:cs="Arial"/>
          <w:sz w:val="22"/>
        </w:rPr>
      </w:pPr>
      <w:r w:rsidRPr="00DF641F">
        <w:rPr>
          <w:rFonts w:cs="Arial"/>
          <w:sz w:val="22"/>
        </w:rPr>
        <w:t>“If the misrepresentation is one which in the ordinary course is capable of deceiving a person, and thus enabling the accused to achieve his object, the fact that the person to whom the representation is made has knowledge or a special state of mind which effectually protects him from all danger of prejudice does not entitle the accused to say that the false representation was not calculated to prejudice.”</w:t>
      </w:r>
    </w:p>
    <w:p w:rsidR="00840DE1" w:rsidRPr="00DF641F" w:rsidRDefault="00EA723C" w:rsidP="003C27E4">
      <w:pPr>
        <w:rPr>
          <w:rFonts w:cs="Arial"/>
          <w:sz w:val="22"/>
        </w:rPr>
      </w:pPr>
      <w:r w:rsidRPr="00DF641F">
        <w:rPr>
          <w:rFonts w:cs="Arial"/>
          <w:sz w:val="22"/>
        </w:rPr>
        <w:t xml:space="preserve">And, in answering the point of law in favour of the </w:t>
      </w:r>
      <w:r w:rsidR="00B9456A" w:rsidRPr="00DF641F">
        <w:rPr>
          <w:rFonts w:cs="Arial"/>
          <w:sz w:val="22"/>
        </w:rPr>
        <w:t>S</w:t>
      </w:r>
      <w:r w:rsidRPr="00DF641F">
        <w:rPr>
          <w:rFonts w:cs="Arial"/>
          <w:sz w:val="22"/>
        </w:rPr>
        <w:t>tate, he concluded as follows (at 57):</w:t>
      </w:r>
    </w:p>
    <w:p w:rsidR="00EA723C" w:rsidRPr="00DF641F" w:rsidRDefault="00EA723C" w:rsidP="003C27E4">
      <w:pPr>
        <w:rPr>
          <w:rFonts w:cs="Arial"/>
          <w:sz w:val="22"/>
        </w:rPr>
      </w:pPr>
      <w:r w:rsidRPr="00DF641F">
        <w:rPr>
          <w:rFonts w:cs="Arial"/>
          <w:sz w:val="22"/>
        </w:rPr>
        <w:t>“The law looks at the matter from the point of view of the deceiver. If he intended to deceive, it is immaterial whether the person to be deceived is actually deceived or whether his prejudice is only potential.”’</w:t>
      </w:r>
    </w:p>
    <w:p w:rsidR="00840DE1" w:rsidRPr="00DF641F" w:rsidRDefault="00840DE1" w:rsidP="00B72B7F">
      <w:pPr>
        <w:rPr>
          <w:rFonts w:cs="Arial"/>
          <w:szCs w:val="24"/>
        </w:rPr>
      </w:pPr>
    </w:p>
    <w:p w:rsidR="00453265" w:rsidRPr="00DF641F" w:rsidRDefault="00840DE1" w:rsidP="003C27E4">
      <w:pPr>
        <w:rPr>
          <w:rFonts w:cs="Arial"/>
          <w:szCs w:val="24"/>
        </w:rPr>
      </w:pPr>
      <w:r w:rsidRPr="00DF641F">
        <w:rPr>
          <w:rFonts w:cs="Arial"/>
          <w:szCs w:val="24"/>
        </w:rPr>
        <w:t>[3</w:t>
      </w:r>
      <w:r w:rsidR="00F1133D" w:rsidRPr="00DF641F">
        <w:rPr>
          <w:rFonts w:cs="Arial"/>
          <w:szCs w:val="24"/>
        </w:rPr>
        <w:t>6</w:t>
      </w:r>
      <w:r w:rsidRPr="00DF641F">
        <w:rPr>
          <w:rFonts w:cs="Arial"/>
          <w:szCs w:val="24"/>
        </w:rPr>
        <w:t>]</w:t>
      </w:r>
      <w:r w:rsidRPr="00DF641F">
        <w:rPr>
          <w:rFonts w:cs="Arial"/>
          <w:szCs w:val="24"/>
        </w:rPr>
        <w:tab/>
      </w:r>
      <w:r w:rsidR="00453265" w:rsidRPr="00DF641F">
        <w:rPr>
          <w:rFonts w:cs="Arial"/>
          <w:szCs w:val="24"/>
        </w:rPr>
        <w:t>The trial court gave the appellant the benefit of the doubt in acquitting him on counts 9</w:t>
      </w:r>
      <w:r w:rsidR="006C7B3C" w:rsidRPr="00DF641F">
        <w:rPr>
          <w:rFonts w:cs="Arial"/>
          <w:szCs w:val="24"/>
        </w:rPr>
        <w:t>-</w:t>
      </w:r>
      <w:r w:rsidR="00453265" w:rsidRPr="00DF641F">
        <w:rPr>
          <w:rFonts w:cs="Arial"/>
          <w:szCs w:val="24"/>
        </w:rPr>
        <w:t>14, but found</w:t>
      </w:r>
      <w:r w:rsidR="00F512D6" w:rsidRPr="00DF641F">
        <w:rPr>
          <w:rFonts w:cs="Arial"/>
          <w:szCs w:val="24"/>
        </w:rPr>
        <w:t>,</w:t>
      </w:r>
      <w:r w:rsidR="00453265" w:rsidRPr="00DF641F">
        <w:rPr>
          <w:rFonts w:cs="Arial"/>
          <w:szCs w:val="24"/>
        </w:rPr>
        <w:t xml:space="preserve"> in respect of counts 15</w:t>
      </w:r>
      <w:r w:rsidR="006C7B3C" w:rsidRPr="00DF641F">
        <w:rPr>
          <w:rFonts w:cs="Arial"/>
          <w:szCs w:val="24"/>
        </w:rPr>
        <w:t>-</w:t>
      </w:r>
      <w:r w:rsidR="00453265" w:rsidRPr="00DF641F">
        <w:rPr>
          <w:rFonts w:cs="Arial"/>
          <w:szCs w:val="24"/>
        </w:rPr>
        <w:t>18, that the appellant had claimed for official trips using the particulars of the RAV4 while the vehicle was no longer in his possession. From the October letter</w:t>
      </w:r>
      <w:r w:rsidR="006C7B3C" w:rsidRPr="00DF641F">
        <w:rPr>
          <w:rFonts w:cs="Arial"/>
          <w:szCs w:val="24"/>
        </w:rPr>
        <w:t>,</w:t>
      </w:r>
      <w:r w:rsidR="00453265" w:rsidRPr="00DF641F">
        <w:rPr>
          <w:rFonts w:cs="Arial"/>
          <w:szCs w:val="24"/>
        </w:rPr>
        <w:t xml:space="preserve"> it is clear that the appellant admitted that he was using the two vehicles interchangeably</w:t>
      </w:r>
      <w:r w:rsidR="00576E6C" w:rsidRPr="00DF641F">
        <w:rPr>
          <w:rFonts w:cs="Arial"/>
          <w:szCs w:val="24"/>
        </w:rPr>
        <w:t>;</w:t>
      </w:r>
      <w:r w:rsidR="00453265" w:rsidRPr="00DF641F">
        <w:rPr>
          <w:rFonts w:cs="Arial"/>
          <w:szCs w:val="24"/>
        </w:rPr>
        <w:t xml:space="preserve"> but the </w:t>
      </w:r>
      <w:r w:rsidR="006C7B3C" w:rsidRPr="00DF641F">
        <w:rPr>
          <w:rFonts w:cs="Arial"/>
          <w:szCs w:val="24"/>
        </w:rPr>
        <w:t>S</w:t>
      </w:r>
      <w:r w:rsidR="00453265" w:rsidRPr="00DF641F">
        <w:rPr>
          <w:rFonts w:cs="Arial"/>
          <w:szCs w:val="24"/>
        </w:rPr>
        <w:t>tate showed, through its witnesses, that this was not possible</w:t>
      </w:r>
      <w:r w:rsidR="00576E6C" w:rsidRPr="00DF641F">
        <w:rPr>
          <w:rFonts w:cs="Arial"/>
          <w:szCs w:val="24"/>
        </w:rPr>
        <w:t xml:space="preserve"> after November 2008 as, from that date, the sale of the RAV4 to Ms Phiri was complete – as was the sale of the Cadillac</w:t>
      </w:r>
      <w:r w:rsidR="00F512D6" w:rsidRPr="00DF641F">
        <w:rPr>
          <w:rFonts w:cs="Arial"/>
          <w:szCs w:val="24"/>
        </w:rPr>
        <w:t xml:space="preserve"> to the appellant</w:t>
      </w:r>
      <w:r w:rsidR="00576E6C" w:rsidRPr="00DF641F">
        <w:rPr>
          <w:rFonts w:cs="Arial"/>
          <w:szCs w:val="24"/>
        </w:rPr>
        <w:t>. It is also noteworthy that the appellant’s counsel put to Mr Makamela that the RAV4 vehicle was sold to Ms Phiri in September 2008. As found by the trial court, ‘</w:t>
      </w:r>
      <w:r w:rsidR="006C7B3C" w:rsidRPr="00DF641F">
        <w:rPr>
          <w:rFonts w:cs="Arial"/>
          <w:szCs w:val="24"/>
        </w:rPr>
        <w:t>[</w:t>
      </w:r>
      <w:r w:rsidR="00576E6C" w:rsidRPr="00DF641F">
        <w:rPr>
          <w:rFonts w:cs="Arial"/>
          <w:szCs w:val="24"/>
        </w:rPr>
        <w:t>n</w:t>
      </w:r>
      <w:r w:rsidR="006C7B3C" w:rsidRPr="00DF641F">
        <w:rPr>
          <w:rFonts w:cs="Arial"/>
          <w:szCs w:val="24"/>
        </w:rPr>
        <w:t>]</w:t>
      </w:r>
      <w:r w:rsidR="00576E6C" w:rsidRPr="00DF641F">
        <w:rPr>
          <w:rFonts w:cs="Arial"/>
          <w:szCs w:val="24"/>
        </w:rPr>
        <w:t>o explanation is provided in the letter that he borrowed the RAV4 vehicle from accused 3 for the period December 2008 to March 2009’</w:t>
      </w:r>
      <w:r w:rsidR="006C7B3C" w:rsidRPr="00DF641F">
        <w:rPr>
          <w:rFonts w:cs="Arial"/>
          <w:szCs w:val="24"/>
        </w:rPr>
        <w:t>.</w:t>
      </w:r>
    </w:p>
    <w:p w:rsidR="00840DE1" w:rsidRPr="00DF641F" w:rsidRDefault="00840DE1" w:rsidP="00B72B7F">
      <w:pPr>
        <w:rPr>
          <w:rFonts w:cs="Arial"/>
          <w:szCs w:val="24"/>
        </w:rPr>
      </w:pPr>
    </w:p>
    <w:p w:rsidR="00840DE1" w:rsidRPr="00DF641F" w:rsidRDefault="00840DE1" w:rsidP="003C27E4">
      <w:pPr>
        <w:rPr>
          <w:rFonts w:cs="Arial"/>
          <w:szCs w:val="24"/>
        </w:rPr>
      </w:pPr>
      <w:r w:rsidRPr="00DF641F">
        <w:rPr>
          <w:rFonts w:cs="Arial"/>
          <w:szCs w:val="24"/>
        </w:rPr>
        <w:t>[</w:t>
      </w:r>
      <w:r w:rsidR="000F00C4" w:rsidRPr="00DF641F">
        <w:rPr>
          <w:rFonts w:cs="Arial"/>
          <w:szCs w:val="24"/>
        </w:rPr>
        <w:t>3</w:t>
      </w:r>
      <w:r w:rsidR="00F1133D" w:rsidRPr="00DF641F">
        <w:rPr>
          <w:rFonts w:cs="Arial"/>
          <w:szCs w:val="24"/>
        </w:rPr>
        <w:t>7</w:t>
      </w:r>
      <w:r w:rsidRPr="00DF641F">
        <w:rPr>
          <w:rFonts w:cs="Arial"/>
          <w:szCs w:val="24"/>
        </w:rPr>
        <w:t>]</w:t>
      </w:r>
      <w:r w:rsidRPr="00DF641F">
        <w:rPr>
          <w:rFonts w:cs="Arial"/>
          <w:szCs w:val="24"/>
        </w:rPr>
        <w:tab/>
      </w:r>
      <w:r w:rsidR="00576E6C" w:rsidRPr="00DF641F">
        <w:rPr>
          <w:rFonts w:cs="Arial"/>
          <w:szCs w:val="24"/>
        </w:rPr>
        <w:t>It is clear that both the trial court</w:t>
      </w:r>
      <w:r w:rsidR="006A785D" w:rsidRPr="00DF641F">
        <w:rPr>
          <w:rFonts w:cs="Arial"/>
          <w:szCs w:val="24"/>
        </w:rPr>
        <w:t xml:space="preserve"> </w:t>
      </w:r>
      <w:r w:rsidR="00576E6C" w:rsidRPr="00DF641F">
        <w:rPr>
          <w:rFonts w:cs="Arial"/>
          <w:szCs w:val="24"/>
        </w:rPr>
        <w:t xml:space="preserve">and the </w:t>
      </w:r>
      <w:r w:rsidR="006C7B3C" w:rsidRPr="00DF641F">
        <w:rPr>
          <w:rFonts w:cs="Arial"/>
          <w:szCs w:val="24"/>
        </w:rPr>
        <w:t>f</w:t>
      </w:r>
      <w:r w:rsidR="00576E6C" w:rsidRPr="00DF641F">
        <w:rPr>
          <w:rFonts w:cs="Arial"/>
          <w:szCs w:val="24"/>
        </w:rPr>
        <w:t xml:space="preserve">ull </w:t>
      </w:r>
      <w:r w:rsidR="006C7B3C" w:rsidRPr="00DF641F">
        <w:rPr>
          <w:rFonts w:cs="Arial"/>
          <w:szCs w:val="24"/>
        </w:rPr>
        <w:t>c</w:t>
      </w:r>
      <w:r w:rsidR="00576E6C" w:rsidRPr="00DF641F">
        <w:rPr>
          <w:rFonts w:cs="Arial"/>
          <w:szCs w:val="24"/>
        </w:rPr>
        <w:t xml:space="preserve">ourt applied the principles crystallised in </w:t>
      </w:r>
      <w:r w:rsidR="00576E6C" w:rsidRPr="00DF641F">
        <w:rPr>
          <w:rFonts w:cs="Arial"/>
          <w:i/>
          <w:szCs w:val="24"/>
        </w:rPr>
        <w:t xml:space="preserve">S v </w:t>
      </w:r>
      <w:r w:rsidR="00F512D6" w:rsidRPr="00DF641F">
        <w:rPr>
          <w:rFonts w:cs="Arial"/>
          <w:i/>
          <w:szCs w:val="24"/>
        </w:rPr>
        <w:t>V</w:t>
      </w:r>
      <w:r w:rsidR="00576E6C" w:rsidRPr="00DF641F">
        <w:rPr>
          <w:rFonts w:cs="Arial"/>
          <w:i/>
          <w:szCs w:val="24"/>
        </w:rPr>
        <w:t>an der Meyden</w:t>
      </w:r>
      <w:r w:rsidR="00576E6C" w:rsidRPr="00DF641F">
        <w:rPr>
          <w:rStyle w:val="FootnoteReference"/>
          <w:rFonts w:cs="Arial"/>
          <w:szCs w:val="24"/>
        </w:rPr>
        <w:footnoteReference w:id="10"/>
      </w:r>
      <w:r w:rsidR="00576E6C" w:rsidRPr="00DF641F">
        <w:rPr>
          <w:rFonts w:cs="Arial"/>
          <w:szCs w:val="24"/>
        </w:rPr>
        <w:t xml:space="preserve"> in analysing the evidence adduced by the </w:t>
      </w:r>
      <w:r w:rsidR="006C7B3C" w:rsidRPr="00DF641F">
        <w:rPr>
          <w:rFonts w:cs="Arial"/>
          <w:szCs w:val="24"/>
        </w:rPr>
        <w:t>S</w:t>
      </w:r>
      <w:r w:rsidR="00576E6C" w:rsidRPr="00DF641F">
        <w:rPr>
          <w:rFonts w:cs="Arial"/>
          <w:szCs w:val="24"/>
        </w:rPr>
        <w:t>tate, which the appellant chose not to rebut, as well as the October letter which formed the basis of the exculpatory evidence in favour of the appellant in relation to counts 9</w:t>
      </w:r>
      <w:r w:rsidR="006C7B3C" w:rsidRPr="00DF641F">
        <w:rPr>
          <w:rFonts w:cs="Arial"/>
          <w:szCs w:val="24"/>
        </w:rPr>
        <w:t>-</w:t>
      </w:r>
      <w:r w:rsidR="00576E6C" w:rsidRPr="00DF641F">
        <w:rPr>
          <w:rFonts w:cs="Arial"/>
          <w:szCs w:val="24"/>
        </w:rPr>
        <w:t xml:space="preserve">14. In analysing the evidence as such, the trial court and </w:t>
      </w:r>
      <w:r w:rsidR="006C7B3C" w:rsidRPr="00DF641F">
        <w:rPr>
          <w:rFonts w:cs="Arial"/>
          <w:szCs w:val="24"/>
        </w:rPr>
        <w:t>f</w:t>
      </w:r>
      <w:r w:rsidR="00576E6C" w:rsidRPr="00DF641F">
        <w:rPr>
          <w:rFonts w:cs="Arial"/>
          <w:szCs w:val="24"/>
        </w:rPr>
        <w:t xml:space="preserve">ull </w:t>
      </w:r>
      <w:r w:rsidR="006C7B3C" w:rsidRPr="00DF641F">
        <w:rPr>
          <w:rFonts w:cs="Arial"/>
          <w:szCs w:val="24"/>
        </w:rPr>
        <w:t>c</w:t>
      </w:r>
      <w:r w:rsidR="00576E6C" w:rsidRPr="00DF641F">
        <w:rPr>
          <w:rFonts w:cs="Arial"/>
          <w:szCs w:val="24"/>
        </w:rPr>
        <w:t>ourt correctly found that the benefit of the doubt only related to counts 9</w:t>
      </w:r>
      <w:r w:rsidR="006C7B3C" w:rsidRPr="00DF641F">
        <w:rPr>
          <w:rFonts w:cs="Arial"/>
          <w:szCs w:val="24"/>
        </w:rPr>
        <w:t>-</w:t>
      </w:r>
      <w:r w:rsidR="00576E6C" w:rsidRPr="00DF641F">
        <w:rPr>
          <w:rFonts w:cs="Arial"/>
          <w:szCs w:val="24"/>
        </w:rPr>
        <w:t xml:space="preserve">14 and that, in terms of the principles applicable to fraud, potential prejudice is sufficient to satisfy the requirements </w:t>
      </w:r>
      <w:r w:rsidR="00687B9F" w:rsidRPr="00DF641F">
        <w:rPr>
          <w:rFonts w:cs="Arial"/>
          <w:szCs w:val="24"/>
        </w:rPr>
        <w:t>of the offence of fraud. Whether the defrauded party would ultimately have suffered the prejudice anyway, is irrelevant.</w:t>
      </w:r>
      <w:r w:rsidR="00687B9F" w:rsidRPr="00DF641F">
        <w:rPr>
          <w:rStyle w:val="FootnoteReference"/>
          <w:rFonts w:cs="Arial"/>
          <w:szCs w:val="24"/>
        </w:rPr>
        <w:footnoteReference w:id="11"/>
      </w:r>
      <w:r w:rsidR="00F4426B" w:rsidRPr="00DF641F">
        <w:rPr>
          <w:rFonts w:cs="Arial"/>
          <w:szCs w:val="24"/>
        </w:rPr>
        <w:t xml:space="preserve"> In any event, there is actual prejudice</w:t>
      </w:r>
      <w:r w:rsidR="003E3E51" w:rsidRPr="00DF641F">
        <w:rPr>
          <w:rFonts w:cs="Arial"/>
          <w:szCs w:val="24"/>
        </w:rPr>
        <w:t>:</w:t>
      </w:r>
      <w:r w:rsidR="00F4426B" w:rsidRPr="00DF641F">
        <w:rPr>
          <w:rFonts w:cs="Arial"/>
          <w:szCs w:val="24"/>
        </w:rPr>
        <w:t xml:space="preserve"> </w:t>
      </w:r>
      <w:r w:rsidR="003E3E51" w:rsidRPr="00DF641F">
        <w:rPr>
          <w:rFonts w:cs="Arial"/>
          <w:szCs w:val="24"/>
        </w:rPr>
        <w:t xml:space="preserve">the appellant </w:t>
      </w:r>
      <w:r w:rsidR="00F4426B" w:rsidRPr="00DF641F">
        <w:rPr>
          <w:rFonts w:cs="Arial"/>
          <w:szCs w:val="24"/>
        </w:rPr>
        <w:t xml:space="preserve">was compensated on </w:t>
      </w:r>
      <w:r w:rsidR="006C7B3C" w:rsidRPr="00DF641F">
        <w:rPr>
          <w:rFonts w:cs="Arial"/>
          <w:szCs w:val="24"/>
        </w:rPr>
        <w:t xml:space="preserve">a </w:t>
      </w:r>
      <w:r w:rsidR="00F4426B" w:rsidRPr="00DF641F">
        <w:rPr>
          <w:rFonts w:cs="Arial"/>
          <w:szCs w:val="24"/>
        </w:rPr>
        <w:t>scale to which he had no entitlement, thereby adversely affecting the Department financially.</w:t>
      </w:r>
    </w:p>
    <w:p w:rsidR="00840DE1" w:rsidRPr="00DF641F" w:rsidRDefault="00840DE1" w:rsidP="00B72B7F">
      <w:pPr>
        <w:rPr>
          <w:rFonts w:cs="Arial"/>
          <w:szCs w:val="24"/>
        </w:rPr>
      </w:pPr>
    </w:p>
    <w:p w:rsidR="00840DE1" w:rsidRPr="00DF641F" w:rsidRDefault="00840DE1" w:rsidP="003C27E4">
      <w:pPr>
        <w:rPr>
          <w:rFonts w:cs="Arial"/>
          <w:szCs w:val="24"/>
        </w:rPr>
      </w:pPr>
      <w:r w:rsidRPr="00DF641F">
        <w:rPr>
          <w:rFonts w:cs="Arial"/>
          <w:szCs w:val="24"/>
        </w:rPr>
        <w:t>[</w:t>
      </w:r>
      <w:r w:rsidR="008A5B1D" w:rsidRPr="00DF641F">
        <w:rPr>
          <w:rFonts w:cs="Arial"/>
          <w:szCs w:val="24"/>
        </w:rPr>
        <w:t>38</w:t>
      </w:r>
      <w:r w:rsidRPr="00DF641F">
        <w:rPr>
          <w:rFonts w:cs="Arial"/>
          <w:szCs w:val="24"/>
        </w:rPr>
        <w:t>]</w:t>
      </w:r>
      <w:r w:rsidRPr="00DF641F">
        <w:rPr>
          <w:rFonts w:cs="Arial"/>
          <w:szCs w:val="24"/>
        </w:rPr>
        <w:tab/>
      </w:r>
      <w:r w:rsidR="00687B9F" w:rsidRPr="00DF641F">
        <w:rPr>
          <w:rFonts w:cs="Arial"/>
          <w:szCs w:val="24"/>
        </w:rPr>
        <w:t xml:space="preserve">The </w:t>
      </w:r>
      <w:r w:rsidR="006C7B3C" w:rsidRPr="00DF641F">
        <w:rPr>
          <w:rFonts w:cs="Arial"/>
          <w:szCs w:val="24"/>
        </w:rPr>
        <w:t>S</w:t>
      </w:r>
      <w:r w:rsidR="00687B9F" w:rsidRPr="00DF641F">
        <w:rPr>
          <w:rFonts w:cs="Arial"/>
          <w:szCs w:val="24"/>
        </w:rPr>
        <w:t>tate accordingly contended that the act on the part of the appellant, in submitting the claims for official trips utilising the particulars of the RAV4 whilst he knew that the vehicle that he utilised for the trips was the Cadillac, amounted to an act of fraud. The prejudice suffered by the Department was that, during the period December 2008 to March 2009, it overpaid the appellant an amount of a</w:t>
      </w:r>
      <w:r w:rsidR="009B574C" w:rsidRPr="00DF641F">
        <w:rPr>
          <w:rFonts w:cs="Arial"/>
          <w:szCs w:val="24"/>
        </w:rPr>
        <w:t xml:space="preserve">round </w:t>
      </w:r>
      <w:r w:rsidR="00687B9F" w:rsidRPr="00DF641F">
        <w:rPr>
          <w:rFonts w:cs="Arial"/>
          <w:szCs w:val="24"/>
        </w:rPr>
        <w:t>R3</w:t>
      </w:r>
      <w:r w:rsidR="009B574C" w:rsidRPr="00DF641F">
        <w:rPr>
          <w:rFonts w:cs="Arial"/>
          <w:szCs w:val="24"/>
        </w:rPr>
        <w:t> </w:t>
      </w:r>
      <w:r w:rsidR="00687B9F" w:rsidRPr="00DF641F">
        <w:rPr>
          <w:rFonts w:cs="Arial"/>
          <w:szCs w:val="24"/>
        </w:rPr>
        <w:t>768.25.</w:t>
      </w:r>
    </w:p>
    <w:p w:rsidR="00840DE1" w:rsidRPr="00DF641F" w:rsidRDefault="00840DE1" w:rsidP="00B72B7F">
      <w:pPr>
        <w:rPr>
          <w:rFonts w:cs="Arial"/>
          <w:szCs w:val="24"/>
        </w:rPr>
      </w:pPr>
    </w:p>
    <w:p w:rsidR="006C7B3C" w:rsidRPr="00DF641F" w:rsidRDefault="00840DE1" w:rsidP="003C27E4">
      <w:pPr>
        <w:rPr>
          <w:rFonts w:cs="Arial"/>
          <w:szCs w:val="24"/>
        </w:rPr>
      </w:pPr>
      <w:r w:rsidRPr="00DF641F">
        <w:rPr>
          <w:rFonts w:cs="Arial"/>
          <w:szCs w:val="24"/>
        </w:rPr>
        <w:t>[</w:t>
      </w:r>
      <w:r w:rsidR="008A5B1D" w:rsidRPr="00DF641F">
        <w:rPr>
          <w:rFonts w:cs="Arial"/>
          <w:szCs w:val="24"/>
        </w:rPr>
        <w:t>39</w:t>
      </w:r>
      <w:r w:rsidRPr="00DF641F">
        <w:rPr>
          <w:rFonts w:cs="Arial"/>
          <w:szCs w:val="24"/>
        </w:rPr>
        <w:t>]</w:t>
      </w:r>
      <w:r w:rsidRPr="00DF641F">
        <w:rPr>
          <w:rFonts w:cs="Arial"/>
          <w:szCs w:val="24"/>
        </w:rPr>
        <w:tab/>
      </w:r>
      <w:r w:rsidR="00F4426B" w:rsidRPr="00DF641F">
        <w:rPr>
          <w:rFonts w:cs="Arial"/>
          <w:szCs w:val="24"/>
        </w:rPr>
        <w:t xml:space="preserve">The </w:t>
      </w:r>
      <w:r w:rsidR="006C7B3C" w:rsidRPr="00DF641F">
        <w:rPr>
          <w:rFonts w:cs="Arial"/>
          <w:szCs w:val="24"/>
        </w:rPr>
        <w:t>S</w:t>
      </w:r>
      <w:r w:rsidR="00F4426B" w:rsidRPr="00DF641F">
        <w:rPr>
          <w:rFonts w:cs="Arial"/>
          <w:szCs w:val="24"/>
        </w:rPr>
        <w:t xml:space="preserve">tate’s evidence was that </w:t>
      </w:r>
      <w:r w:rsidR="008145F3" w:rsidRPr="00DF641F">
        <w:rPr>
          <w:rFonts w:cs="Arial"/>
          <w:szCs w:val="24"/>
        </w:rPr>
        <w:t>t</w:t>
      </w:r>
      <w:r w:rsidR="00F4426B" w:rsidRPr="00DF641F">
        <w:rPr>
          <w:rFonts w:cs="Arial"/>
          <w:szCs w:val="24"/>
        </w:rPr>
        <w:t>he</w:t>
      </w:r>
      <w:r w:rsidR="008145F3" w:rsidRPr="00DF641F">
        <w:rPr>
          <w:rFonts w:cs="Arial"/>
          <w:szCs w:val="24"/>
        </w:rPr>
        <w:t xml:space="preserve"> appellant</w:t>
      </w:r>
      <w:r w:rsidR="00F4426B" w:rsidRPr="00DF641F">
        <w:rPr>
          <w:rFonts w:cs="Arial"/>
          <w:szCs w:val="24"/>
        </w:rPr>
        <w:t xml:space="preserve"> had sold the </w:t>
      </w:r>
      <w:r w:rsidR="008C3413" w:rsidRPr="00DF641F">
        <w:rPr>
          <w:rFonts w:cs="Arial"/>
          <w:szCs w:val="24"/>
        </w:rPr>
        <w:t>RAV</w:t>
      </w:r>
      <w:r w:rsidR="00F4426B" w:rsidRPr="00DF641F">
        <w:rPr>
          <w:rFonts w:cs="Arial"/>
          <w:szCs w:val="24"/>
        </w:rPr>
        <w:t>4, and that he owned</w:t>
      </w:r>
      <w:r w:rsidR="006C7B3C" w:rsidRPr="00DF641F">
        <w:rPr>
          <w:rFonts w:cs="Arial"/>
          <w:szCs w:val="24"/>
        </w:rPr>
        <w:t>,</w:t>
      </w:r>
      <w:r w:rsidR="00F4426B" w:rsidRPr="00DF641F">
        <w:rPr>
          <w:rFonts w:cs="Arial"/>
          <w:szCs w:val="24"/>
        </w:rPr>
        <w:t xml:space="preserve"> and was observed using</w:t>
      </w:r>
      <w:r w:rsidR="006C7B3C" w:rsidRPr="00DF641F">
        <w:rPr>
          <w:rFonts w:cs="Arial"/>
          <w:szCs w:val="24"/>
        </w:rPr>
        <w:t>,</w:t>
      </w:r>
      <w:r w:rsidR="00F4426B" w:rsidRPr="00DF641F">
        <w:rPr>
          <w:rFonts w:cs="Arial"/>
          <w:szCs w:val="24"/>
        </w:rPr>
        <w:t xml:space="preserve"> the Cadillac exclusively </w:t>
      </w:r>
      <w:r w:rsidR="008145F3" w:rsidRPr="00DF641F">
        <w:rPr>
          <w:rFonts w:cs="Arial"/>
          <w:szCs w:val="24"/>
        </w:rPr>
        <w:t xml:space="preserve">since </w:t>
      </w:r>
      <w:r w:rsidR="00F4426B" w:rsidRPr="00DF641F">
        <w:rPr>
          <w:rFonts w:cs="Arial"/>
          <w:szCs w:val="24"/>
        </w:rPr>
        <w:t xml:space="preserve">at least November 2008. The key question is whether that amounts to </w:t>
      </w:r>
      <w:r w:rsidR="00F4426B" w:rsidRPr="00DF641F">
        <w:rPr>
          <w:rFonts w:cs="Arial"/>
          <w:i/>
          <w:szCs w:val="24"/>
        </w:rPr>
        <w:t>prima facie</w:t>
      </w:r>
      <w:r w:rsidR="00F4426B" w:rsidRPr="00DF641F">
        <w:rPr>
          <w:rFonts w:cs="Arial"/>
          <w:szCs w:val="24"/>
        </w:rPr>
        <w:t xml:space="preserve"> poof of the fraud. If so (and I agree that it does), then in exercising his right to silence, the </w:t>
      </w:r>
      <w:r w:rsidR="00F4426B" w:rsidRPr="00DF641F">
        <w:rPr>
          <w:rFonts w:cs="Arial"/>
          <w:i/>
          <w:szCs w:val="24"/>
        </w:rPr>
        <w:t>prima facie</w:t>
      </w:r>
      <w:r w:rsidR="00F4426B" w:rsidRPr="00DF641F">
        <w:rPr>
          <w:rFonts w:cs="Arial"/>
          <w:szCs w:val="24"/>
        </w:rPr>
        <w:t xml:space="preserve"> case was not challenged, leading to his conviction. That he put a</w:t>
      </w:r>
      <w:r w:rsidR="00D557C6" w:rsidRPr="00DF641F">
        <w:rPr>
          <w:rFonts w:cs="Arial"/>
          <w:szCs w:val="24"/>
        </w:rPr>
        <w:t xml:space="preserve"> version that he borrowed the RAV</w:t>
      </w:r>
      <w:r w:rsidR="00E77B62" w:rsidRPr="00DF641F">
        <w:rPr>
          <w:rFonts w:cs="Arial"/>
          <w:szCs w:val="24"/>
        </w:rPr>
        <w:t xml:space="preserve">4 </w:t>
      </w:r>
      <w:r w:rsidR="00F4426B" w:rsidRPr="00DF641F">
        <w:rPr>
          <w:rFonts w:cs="Arial"/>
          <w:szCs w:val="24"/>
        </w:rPr>
        <w:t>from time to time</w:t>
      </w:r>
      <w:r w:rsidR="00E77B62" w:rsidRPr="00DF641F">
        <w:rPr>
          <w:rFonts w:cs="Arial"/>
          <w:szCs w:val="24"/>
        </w:rPr>
        <w:t>,</w:t>
      </w:r>
      <w:r w:rsidR="00F4426B" w:rsidRPr="00DF641F">
        <w:rPr>
          <w:rFonts w:cs="Arial"/>
          <w:szCs w:val="24"/>
        </w:rPr>
        <w:t xml:space="preserve"> after November </w:t>
      </w:r>
      <w:r w:rsidR="008145F3" w:rsidRPr="00DF641F">
        <w:rPr>
          <w:rFonts w:cs="Arial"/>
          <w:szCs w:val="24"/>
        </w:rPr>
        <w:t xml:space="preserve">2008, </w:t>
      </w:r>
      <w:r w:rsidR="00F4426B" w:rsidRPr="00DF641F">
        <w:rPr>
          <w:rFonts w:cs="Arial"/>
          <w:szCs w:val="24"/>
        </w:rPr>
        <w:t xml:space="preserve">is not evidence and was not conceded by the </w:t>
      </w:r>
      <w:r w:rsidR="006C7B3C" w:rsidRPr="00DF641F">
        <w:rPr>
          <w:rFonts w:cs="Arial"/>
          <w:szCs w:val="24"/>
        </w:rPr>
        <w:t>S</w:t>
      </w:r>
      <w:r w:rsidR="00F4426B" w:rsidRPr="00DF641F">
        <w:rPr>
          <w:rFonts w:cs="Arial"/>
          <w:szCs w:val="24"/>
        </w:rPr>
        <w:t>tate’s witnesses. Hence</w:t>
      </w:r>
      <w:r w:rsidR="008145F3" w:rsidRPr="00DF641F">
        <w:rPr>
          <w:rFonts w:cs="Arial"/>
          <w:szCs w:val="24"/>
        </w:rPr>
        <w:t>,</w:t>
      </w:r>
      <w:r w:rsidR="00F4426B" w:rsidRPr="00DF641F">
        <w:rPr>
          <w:rFonts w:cs="Arial"/>
          <w:szCs w:val="24"/>
        </w:rPr>
        <w:t xml:space="preserve"> the appellant was </w:t>
      </w:r>
      <w:r w:rsidR="006C7B3C" w:rsidRPr="00DF641F">
        <w:rPr>
          <w:rFonts w:cs="Arial"/>
          <w:szCs w:val="24"/>
        </w:rPr>
        <w:t>at</w:t>
      </w:r>
      <w:r w:rsidR="00F4426B" w:rsidRPr="00DF641F">
        <w:rPr>
          <w:rFonts w:cs="Arial"/>
          <w:szCs w:val="24"/>
        </w:rPr>
        <w:t xml:space="preserve"> risk of conviction</w:t>
      </w:r>
      <w:r w:rsidR="00E77B62" w:rsidRPr="00DF641F">
        <w:rPr>
          <w:rFonts w:cs="Arial"/>
          <w:szCs w:val="24"/>
        </w:rPr>
        <w:t>,</w:t>
      </w:r>
      <w:r w:rsidR="00F4426B" w:rsidRPr="00DF641F">
        <w:rPr>
          <w:rFonts w:cs="Arial"/>
          <w:szCs w:val="24"/>
        </w:rPr>
        <w:t xml:space="preserve"> absent his taking the stand.</w:t>
      </w:r>
      <w:r w:rsidR="000F00C4" w:rsidRPr="00DF641F">
        <w:rPr>
          <w:rFonts w:cs="Arial"/>
          <w:szCs w:val="24"/>
        </w:rPr>
        <w:t xml:space="preserve"> </w:t>
      </w:r>
      <w:r w:rsidR="009B574C" w:rsidRPr="00DF641F">
        <w:rPr>
          <w:rFonts w:cs="Arial"/>
          <w:szCs w:val="24"/>
        </w:rPr>
        <w:t xml:space="preserve">Thus, the appellant’s submissions that the </w:t>
      </w:r>
      <w:r w:rsidR="006C7B3C" w:rsidRPr="00DF641F">
        <w:rPr>
          <w:rFonts w:cs="Arial"/>
          <w:szCs w:val="24"/>
        </w:rPr>
        <w:t>S</w:t>
      </w:r>
      <w:r w:rsidR="009B574C" w:rsidRPr="00DF641F">
        <w:rPr>
          <w:rFonts w:cs="Arial"/>
          <w:szCs w:val="24"/>
        </w:rPr>
        <w:t>tate had failed to produce evidence which proved that his conduct was actually and/or potentially detrimental to the administration of justice, does not amount to a defence at all.</w:t>
      </w:r>
    </w:p>
    <w:p w:rsidR="00B72B7F" w:rsidRPr="00DF641F" w:rsidRDefault="00B72B7F" w:rsidP="003C27E4">
      <w:pPr>
        <w:rPr>
          <w:rFonts w:cs="Arial"/>
          <w:b/>
          <w:szCs w:val="24"/>
          <w:shd w:val="clear" w:color="auto" w:fill="FFFFFF"/>
        </w:rPr>
      </w:pPr>
    </w:p>
    <w:p w:rsidR="00747770" w:rsidRPr="00DF641F" w:rsidRDefault="00747770" w:rsidP="003C27E4">
      <w:pPr>
        <w:rPr>
          <w:rFonts w:cs="Arial"/>
          <w:b/>
          <w:szCs w:val="24"/>
          <w:shd w:val="clear" w:color="auto" w:fill="FFFFFF"/>
        </w:rPr>
      </w:pPr>
      <w:r w:rsidRPr="00DF641F">
        <w:rPr>
          <w:rFonts w:cs="Arial"/>
          <w:b/>
          <w:szCs w:val="24"/>
          <w:shd w:val="clear" w:color="auto" w:fill="FFFFFF"/>
        </w:rPr>
        <w:t>Count 21</w:t>
      </w:r>
    </w:p>
    <w:p w:rsidR="00840DE1" w:rsidRPr="00DF641F" w:rsidRDefault="00840DE1" w:rsidP="003C27E4">
      <w:pPr>
        <w:rPr>
          <w:rFonts w:cs="Arial"/>
          <w:szCs w:val="24"/>
          <w:shd w:val="clear" w:color="auto" w:fill="FFFFFF"/>
        </w:rPr>
      </w:pPr>
      <w:r w:rsidRPr="00DF641F">
        <w:rPr>
          <w:rFonts w:cs="Arial"/>
          <w:szCs w:val="24"/>
          <w:shd w:val="clear" w:color="auto" w:fill="FFFFFF"/>
        </w:rPr>
        <w:t>[4</w:t>
      </w:r>
      <w:r w:rsidR="008A5B1D" w:rsidRPr="00DF641F">
        <w:rPr>
          <w:rFonts w:cs="Arial"/>
          <w:szCs w:val="24"/>
          <w:shd w:val="clear" w:color="auto" w:fill="FFFFFF"/>
        </w:rPr>
        <w:t>0</w:t>
      </w:r>
      <w:r w:rsidRPr="00DF641F">
        <w:rPr>
          <w:rFonts w:cs="Arial"/>
          <w:szCs w:val="24"/>
          <w:shd w:val="clear" w:color="auto" w:fill="FFFFFF"/>
        </w:rPr>
        <w:t>]</w:t>
      </w:r>
      <w:r w:rsidRPr="00DF641F">
        <w:rPr>
          <w:rFonts w:cs="Arial"/>
          <w:szCs w:val="24"/>
          <w:shd w:val="clear" w:color="auto" w:fill="FFFFFF"/>
        </w:rPr>
        <w:tab/>
      </w:r>
      <w:r w:rsidR="00747770" w:rsidRPr="00DF641F">
        <w:rPr>
          <w:rFonts w:cs="Arial"/>
          <w:szCs w:val="24"/>
          <w:shd w:val="clear" w:color="auto" w:fill="FFFFFF"/>
        </w:rPr>
        <w:t>On the count of defeating or obstructing the course of justice, it was common cause that the ap</w:t>
      </w:r>
      <w:r w:rsidR="00697E07" w:rsidRPr="00DF641F">
        <w:rPr>
          <w:rFonts w:cs="Arial"/>
          <w:szCs w:val="24"/>
          <w:shd w:val="clear" w:color="auto" w:fill="FFFFFF"/>
        </w:rPr>
        <w:t xml:space="preserve">pellant had reduced the fine </w:t>
      </w:r>
      <w:r w:rsidR="00B72B7F" w:rsidRPr="00DF641F">
        <w:rPr>
          <w:rFonts w:cs="Arial"/>
          <w:szCs w:val="24"/>
          <w:shd w:val="clear" w:color="auto" w:fill="FFFFFF"/>
        </w:rPr>
        <w:t>of Mr</w:t>
      </w:r>
      <w:r w:rsidR="00747770" w:rsidRPr="00DF641F">
        <w:rPr>
          <w:rFonts w:cs="Arial"/>
          <w:szCs w:val="24"/>
          <w:shd w:val="clear" w:color="auto" w:fill="FFFFFF"/>
        </w:rPr>
        <w:t xml:space="preserve"> M</w:t>
      </w:r>
      <w:r w:rsidR="006C7B3C" w:rsidRPr="00DF641F">
        <w:rPr>
          <w:rFonts w:cs="Arial"/>
          <w:szCs w:val="24"/>
          <w:shd w:val="clear" w:color="auto" w:fill="FFFFFF"/>
        </w:rPr>
        <w:t>u</w:t>
      </w:r>
      <w:r w:rsidR="00747770" w:rsidRPr="00DF641F">
        <w:rPr>
          <w:rFonts w:cs="Arial"/>
          <w:szCs w:val="24"/>
          <w:shd w:val="clear" w:color="auto" w:fill="FFFFFF"/>
        </w:rPr>
        <w:t>dau from R1 000 to R700</w:t>
      </w:r>
      <w:r w:rsidR="00146DBC" w:rsidRPr="00DF641F">
        <w:rPr>
          <w:rFonts w:cs="Arial"/>
          <w:szCs w:val="24"/>
          <w:shd w:val="clear" w:color="auto" w:fill="FFFFFF"/>
        </w:rPr>
        <w:t>,</w:t>
      </w:r>
      <w:r w:rsidR="00747770" w:rsidRPr="00DF641F">
        <w:rPr>
          <w:rFonts w:cs="Arial"/>
          <w:szCs w:val="24"/>
          <w:shd w:val="clear" w:color="auto" w:fill="FFFFFF"/>
        </w:rPr>
        <w:t xml:space="preserve"> prior to the matter being heard in court</w:t>
      </w:r>
      <w:r w:rsidR="00146DBC" w:rsidRPr="00DF641F">
        <w:rPr>
          <w:rFonts w:cs="Arial"/>
          <w:szCs w:val="24"/>
          <w:shd w:val="clear" w:color="auto" w:fill="FFFFFF"/>
        </w:rPr>
        <w:t>,</w:t>
      </w:r>
      <w:r w:rsidR="00747770" w:rsidRPr="00DF641F">
        <w:rPr>
          <w:rFonts w:cs="Arial"/>
          <w:szCs w:val="24"/>
          <w:shd w:val="clear" w:color="auto" w:fill="FFFFFF"/>
        </w:rPr>
        <w:t xml:space="preserve"> and after the prosecutor had refused to reduce this fine.</w:t>
      </w:r>
    </w:p>
    <w:p w:rsidR="00840DE1" w:rsidRPr="00DF641F" w:rsidRDefault="00840DE1" w:rsidP="00B72B7F">
      <w:pPr>
        <w:rPr>
          <w:rFonts w:cs="Arial"/>
          <w:szCs w:val="24"/>
          <w:shd w:val="clear" w:color="auto" w:fill="FFFFFF"/>
        </w:rPr>
      </w:pPr>
    </w:p>
    <w:p w:rsidR="00840DE1" w:rsidRPr="00DF641F" w:rsidRDefault="00840DE1" w:rsidP="003C27E4">
      <w:pPr>
        <w:rPr>
          <w:rFonts w:cs="Arial"/>
          <w:szCs w:val="24"/>
          <w:shd w:val="clear" w:color="auto" w:fill="FFFFFF"/>
        </w:rPr>
      </w:pPr>
      <w:r w:rsidRPr="00DF641F">
        <w:rPr>
          <w:rFonts w:cs="Arial"/>
          <w:szCs w:val="24"/>
          <w:shd w:val="clear" w:color="auto" w:fill="FFFFFF"/>
        </w:rPr>
        <w:t>[4</w:t>
      </w:r>
      <w:r w:rsidR="008A5B1D" w:rsidRPr="00DF641F">
        <w:rPr>
          <w:rFonts w:cs="Arial"/>
          <w:szCs w:val="24"/>
          <w:shd w:val="clear" w:color="auto" w:fill="FFFFFF"/>
        </w:rPr>
        <w:t>1</w:t>
      </w:r>
      <w:r w:rsidRPr="00DF641F">
        <w:rPr>
          <w:rFonts w:cs="Arial"/>
          <w:szCs w:val="24"/>
          <w:shd w:val="clear" w:color="auto" w:fill="FFFFFF"/>
        </w:rPr>
        <w:t>]</w:t>
      </w:r>
      <w:r w:rsidRPr="00DF641F">
        <w:rPr>
          <w:rFonts w:cs="Arial"/>
          <w:szCs w:val="24"/>
          <w:shd w:val="clear" w:color="auto" w:fill="FFFFFF"/>
        </w:rPr>
        <w:tab/>
      </w:r>
      <w:r w:rsidR="00747770" w:rsidRPr="00DF641F">
        <w:rPr>
          <w:rFonts w:cs="Arial"/>
          <w:szCs w:val="24"/>
          <w:shd w:val="clear" w:color="auto" w:fill="FFFFFF"/>
        </w:rPr>
        <w:t xml:space="preserve">The appellant submitted that the </w:t>
      </w:r>
      <w:r w:rsidR="006C7B3C" w:rsidRPr="00DF641F">
        <w:rPr>
          <w:rFonts w:cs="Arial"/>
          <w:szCs w:val="24"/>
          <w:shd w:val="clear" w:color="auto" w:fill="FFFFFF"/>
        </w:rPr>
        <w:t>S</w:t>
      </w:r>
      <w:r w:rsidR="00747770" w:rsidRPr="00DF641F">
        <w:rPr>
          <w:rFonts w:cs="Arial"/>
          <w:szCs w:val="24"/>
          <w:shd w:val="clear" w:color="auto" w:fill="FFFFFF"/>
        </w:rPr>
        <w:t xml:space="preserve">tate had failed to produce evidence that proved that the appellant’s conduct was actually, or potentially, detrimental to the administration of justice. The </w:t>
      </w:r>
      <w:r w:rsidR="006C7B3C" w:rsidRPr="00DF641F">
        <w:rPr>
          <w:rFonts w:cs="Arial"/>
          <w:szCs w:val="24"/>
          <w:shd w:val="clear" w:color="auto" w:fill="FFFFFF"/>
        </w:rPr>
        <w:t>f</w:t>
      </w:r>
      <w:r w:rsidR="00747770" w:rsidRPr="00DF641F">
        <w:rPr>
          <w:rFonts w:cs="Arial"/>
          <w:szCs w:val="24"/>
          <w:shd w:val="clear" w:color="auto" w:fill="FFFFFF"/>
        </w:rPr>
        <w:t xml:space="preserve">ull </w:t>
      </w:r>
      <w:r w:rsidR="006C7B3C" w:rsidRPr="00DF641F">
        <w:rPr>
          <w:rFonts w:cs="Arial"/>
          <w:szCs w:val="24"/>
          <w:shd w:val="clear" w:color="auto" w:fill="FFFFFF"/>
        </w:rPr>
        <w:t>c</w:t>
      </w:r>
      <w:r w:rsidR="00747770" w:rsidRPr="00DF641F">
        <w:rPr>
          <w:rFonts w:cs="Arial"/>
          <w:szCs w:val="24"/>
          <w:shd w:val="clear" w:color="auto" w:fill="FFFFFF"/>
        </w:rPr>
        <w:t>ourt referred to CR Snyman</w:t>
      </w:r>
      <w:r w:rsidR="00146DBC" w:rsidRPr="00DF641F">
        <w:rPr>
          <w:rFonts w:cs="Arial"/>
          <w:szCs w:val="24"/>
          <w:shd w:val="clear" w:color="auto" w:fill="FFFFFF"/>
        </w:rPr>
        <w:t>’s</w:t>
      </w:r>
      <w:r w:rsidR="00747770" w:rsidRPr="00DF641F">
        <w:rPr>
          <w:rFonts w:cs="Arial"/>
          <w:szCs w:val="24"/>
          <w:shd w:val="clear" w:color="auto" w:fill="FFFFFF"/>
        </w:rPr>
        <w:t xml:space="preserve"> </w:t>
      </w:r>
      <w:r w:rsidR="00747770" w:rsidRPr="00DF641F">
        <w:rPr>
          <w:rFonts w:cs="Arial"/>
          <w:i/>
          <w:szCs w:val="24"/>
          <w:shd w:val="clear" w:color="auto" w:fill="FFFFFF"/>
        </w:rPr>
        <w:t>Criminal Law</w:t>
      </w:r>
      <w:r w:rsidR="00747770" w:rsidRPr="00DF641F">
        <w:rPr>
          <w:rFonts w:cs="Arial"/>
          <w:szCs w:val="24"/>
          <w:shd w:val="clear" w:color="auto" w:fill="FFFFFF"/>
        </w:rPr>
        <w:t xml:space="preserve"> where the elements of the offence of defeating or obstructing the course of justice are: ‘(a) conduct (b) which amounts to defeating or obstructing (c) the course or administration of justice and which takes place (d) unlawfully and (e) intentionally’</w:t>
      </w:r>
      <w:r w:rsidR="003611DA" w:rsidRPr="00DF641F">
        <w:rPr>
          <w:rFonts w:cs="Arial"/>
          <w:szCs w:val="24"/>
          <w:shd w:val="clear" w:color="auto" w:fill="FFFFFF"/>
        </w:rPr>
        <w:t>.</w:t>
      </w:r>
      <w:r w:rsidR="00146DBC" w:rsidRPr="00DF641F">
        <w:rPr>
          <w:rStyle w:val="FootnoteReference"/>
          <w:rFonts w:cs="Arial"/>
          <w:szCs w:val="24"/>
          <w:shd w:val="clear" w:color="auto" w:fill="FFFFFF"/>
        </w:rPr>
        <w:footnoteReference w:id="12"/>
      </w:r>
    </w:p>
    <w:p w:rsidR="00840DE1" w:rsidRPr="00DF641F" w:rsidRDefault="00840DE1" w:rsidP="00B72B7F">
      <w:pPr>
        <w:rPr>
          <w:rFonts w:cs="Arial"/>
          <w:szCs w:val="24"/>
          <w:shd w:val="clear" w:color="auto" w:fill="FFFFFF"/>
        </w:rPr>
      </w:pPr>
    </w:p>
    <w:p w:rsidR="00747770" w:rsidRPr="00DF641F" w:rsidRDefault="00840DE1" w:rsidP="003C27E4">
      <w:pPr>
        <w:rPr>
          <w:rFonts w:cs="Arial"/>
          <w:szCs w:val="24"/>
          <w:shd w:val="clear" w:color="auto" w:fill="FFFFFF"/>
        </w:rPr>
      </w:pPr>
      <w:r w:rsidRPr="00DF641F">
        <w:rPr>
          <w:rFonts w:cs="Arial"/>
          <w:szCs w:val="24"/>
          <w:shd w:val="clear" w:color="auto" w:fill="FFFFFF"/>
        </w:rPr>
        <w:t>[4</w:t>
      </w:r>
      <w:r w:rsidR="001021DD" w:rsidRPr="00DF641F">
        <w:rPr>
          <w:rFonts w:cs="Arial"/>
          <w:szCs w:val="24"/>
          <w:shd w:val="clear" w:color="auto" w:fill="FFFFFF"/>
        </w:rPr>
        <w:t>2</w:t>
      </w:r>
      <w:r w:rsidRPr="00DF641F">
        <w:rPr>
          <w:rFonts w:cs="Arial"/>
          <w:szCs w:val="24"/>
          <w:shd w:val="clear" w:color="auto" w:fill="FFFFFF"/>
        </w:rPr>
        <w:t>]</w:t>
      </w:r>
      <w:r w:rsidRPr="00DF641F">
        <w:rPr>
          <w:rFonts w:cs="Arial"/>
          <w:szCs w:val="24"/>
          <w:shd w:val="clear" w:color="auto" w:fill="FFFFFF"/>
        </w:rPr>
        <w:tab/>
      </w:r>
      <w:r w:rsidR="00747770" w:rsidRPr="00DF641F">
        <w:rPr>
          <w:rFonts w:cs="Arial"/>
          <w:szCs w:val="24"/>
          <w:shd w:val="clear" w:color="auto" w:fill="FFFFFF"/>
        </w:rPr>
        <w:t>The evidence on this count was tendered by Mr M</w:t>
      </w:r>
      <w:r w:rsidR="00E24470" w:rsidRPr="00DF641F">
        <w:rPr>
          <w:rFonts w:cs="Arial"/>
          <w:szCs w:val="24"/>
          <w:shd w:val="clear" w:color="auto" w:fill="FFFFFF"/>
        </w:rPr>
        <w:t>u</w:t>
      </w:r>
      <w:r w:rsidR="00747770" w:rsidRPr="00DF641F">
        <w:rPr>
          <w:rFonts w:cs="Arial"/>
          <w:szCs w:val="24"/>
          <w:shd w:val="clear" w:color="auto" w:fill="FFFFFF"/>
        </w:rPr>
        <w:t>dau, who was issued with a written notice to appear in court for committing a traffic offence. He was fined R1 000. He took the notice to the prosecutor to request a reduction. The prosecutor refused to reduce the amount and wrote the words ‘rejected’ across the notice. His official stamp was placed on the notice. Mr M</w:t>
      </w:r>
      <w:r w:rsidR="00E24470" w:rsidRPr="00DF641F">
        <w:rPr>
          <w:rFonts w:cs="Arial"/>
          <w:szCs w:val="24"/>
          <w:shd w:val="clear" w:color="auto" w:fill="FFFFFF"/>
        </w:rPr>
        <w:t>u</w:t>
      </w:r>
      <w:r w:rsidR="00747770" w:rsidRPr="00DF641F">
        <w:rPr>
          <w:rFonts w:cs="Arial"/>
          <w:szCs w:val="24"/>
          <w:shd w:val="clear" w:color="auto" w:fill="FFFFFF"/>
        </w:rPr>
        <w:t>dau</w:t>
      </w:r>
      <w:r w:rsidR="00190115" w:rsidRPr="00DF641F">
        <w:rPr>
          <w:rFonts w:cs="Arial"/>
          <w:szCs w:val="24"/>
          <w:shd w:val="clear" w:color="auto" w:fill="FFFFFF"/>
        </w:rPr>
        <w:t>, who was an employee of MBS (which was a co-accused in the trial)</w:t>
      </w:r>
      <w:r w:rsidR="00747770" w:rsidRPr="00DF641F">
        <w:rPr>
          <w:rFonts w:cs="Arial"/>
          <w:szCs w:val="24"/>
          <w:shd w:val="clear" w:color="auto" w:fill="FFFFFF"/>
        </w:rPr>
        <w:t xml:space="preserve"> then took the written notice to the appellant, who reduced the fine to R700. </w:t>
      </w:r>
    </w:p>
    <w:p w:rsidR="00B72B7F" w:rsidRPr="00DF641F" w:rsidRDefault="00B72B7F" w:rsidP="003C27E4">
      <w:pPr>
        <w:rPr>
          <w:rFonts w:cs="Arial"/>
          <w:szCs w:val="24"/>
          <w:shd w:val="clear" w:color="auto" w:fill="FFFFFF"/>
        </w:rPr>
      </w:pPr>
    </w:p>
    <w:p w:rsidR="00840DE1" w:rsidRPr="00DF641F" w:rsidRDefault="00840DE1"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4</w:t>
      </w:r>
      <w:r w:rsidR="001021DD" w:rsidRPr="00DF641F">
        <w:rPr>
          <w:rFonts w:cs="Arial"/>
          <w:szCs w:val="24"/>
          <w:shd w:val="clear" w:color="auto" w:fill="FFFFFF"/>
        </w:rPr>
        <w:t>3</w:t>
      </w:r>
      <w:r w:rsidRPr="00DF641F">
        <w:rPr>
          <w:rFonts w:cs="Arial"/>
          <w:szCs w:val="24"/>
          <w:shd w:val="clear" w:color="auto" w:fill="FFFFFF"/>
        </w:rPr>
        <w:t>]</w:t>
      </w:r>
      <w:r w:rsidRPr="00DF641F">
        <w:rPr>
          <w:rFonts w:cs="Arial"/>
          <w:szCs w:val="24"/>
          <w:shd w:val="clear" w:color="auto" w:fill="FFFFFF"/>
        </w:rPr>
        <w:tab/>
      </w:r>
      <w:r w:rsidR="00747770" w:rsidRPr="00DF641F">
        <w:rPr>
          <w:rFonts w:cs="Arial"/>
          <w:szCs w:val="24"/>
          <w:shd w:val="clear" w:color="auto" w:fill="FFFFFF"/>
        </w:rPr>
        <w:t xml:space="preserve">The </w:t>
      </w:r>
      <w:r w:rsidR="003611DA" w:rsidRPr="00DF641F">
        <w:rPr>
          <w:rFonts w:cs="Arial"/>
          <w:szCs w:val="24"/>
          <w:shd w:val="clear" w:color="auto" w:fill="FFFFFF"/>
        </w:rPr>
        <w:t>f</w:t>
      </w:r>
      <w:r w:rsidR="00747770" w:rsidRPr="00DF641F">
        <w:rPr>
          <w:rFonts w:cs="Arial"/>
          <w:szCs w:val="24"/>
          <w:shd w:val="clear" w:color="auto" w:fill="FFFFFF"/>
        </w:rPr>
        <w:t xml:space="preserve">ull </w:t>
      </w:r>
      <w:r w:rsidR="003611DA" w:rsidRPr="00DF641F">
        <w:rPr>
          <w:rFonts w:cs="Arial"/>
          <w:szCs w:val="24"/>
          <w:shd w:val="clear" w:color="auto" w:fill="FFFFFF"/>
        </w:rPr>
        <w:t>c</w:t>
      </w:r>
      <w:r w:rsidR="00747770" w:rsidRPr="00DF641F">
        <w:rPr>
          <w:rFonts w:cs="Arial"/>
          <w:szCs w:val="24"/>
          <w:shd w:val="clear" w:color="auto" w:fill="FFFFFF"/>
        </w:rPr>
        <w:t>ourt found that it could be assumed that the appellant, as a senior magistrate and the judicial head of the Magistrate</w:t>
      </w:r>
      <w:r w:rsidR="00785F9A" w:rsidRPr="00DF641F">
        <w:rPr>
          <w:rFonts w:cs="Arial"/>
          <w:szCs w:val="24"/>
          <w:shd w:val="clear" w:color="auto" w:fill="FFFFFF"/>
        </w:rPr>
        <w:t>’</w:t>
      </w:r>
      <w:r w:rsidR="00747770" w:rsidRPr="00DF641F">
        <w:rPr>
          <w:rFonts w:cs="Arial"/>
          <w:szCs w:val="24"/>
          <w:shd w:val="clear" w:color="auto" w:fill="FFFFFF"/>
        </w:rPr>
        <w:t>s Court o</w:t>
      </w:r>
      <w:r w:rsidR="00E24470" w:rsidRPr="00DF641F">
        <w:rPr>
          <w:rFonts w:cs="Arial"/>
          <w:szCs w:val="24"/>
          <w:shd w:val="clear" w:color="auto" w:fill="FFFFFF"/>
        </w:rPr>
        <w:t>f</w:t>
      </w:r>
      <w:r w:rsidR="00747770" w:rsidRPr="00DF641F">
        <w:rPr>
          <w:rFonts w:cs="Arial"/>
          <w:szCs w:val="24"/>
          <w:shd w:val="clear" w:color="auto" w:fill="FFFFFF"/>
        </w:rPr>
        <w:t xml:space="preserve"> Dzanani, was aware of the procedure laid down in s 5</w:t>
      </w:r>
      <w:r w:rsidR="00441E19" w:rsidRPr="00DF641F">
        <w:rPr>
          <w:rFonts w:cs="Arial"/>
          <w:szCs w:val="24"/>
          <w:shd w:val="clear" w:color="auto" w:fill="FFFFFF"/>
        </w:rPr>
        <w:t>6</w:t>
      </w:r>
      <w:r w:rsidR="00747770" w:rsidRPr="00DF641F">
        <w:rPr>
          <w:rFonts w:cs="Arial"/>
          <w:szCs w:val="24"/>
          <w:shd w:val="clear" w:color="auto" w:fill="FFFFFF"/>
        </w:rPr>
        <w:t xml:space="preserve"> of the CPA</w:t>
      </w:r>
      <w:r w:rsidR="00441E19" w:rsidRPr="00DF641F">
        <w:rPr>
          <w:rFonts w:cs="Arial"/>
          <w:szCs w:val="24"/>
          <w:shd w:val="clear" w:color="auto" w:fill="FFFFFF"/>
        </w:rPr>
        <w:t>, read with s</w:t>
      </w:r>
      <w:r w:rsidR="003E3E51" w:rsidRPr="00DF641F">
        <w:rPr>
          <w:rFonts w:cs="Arial"/>
          <w:szCs w:val="24"/>
          <w:shd w:val="clear" w:color="auto" w:fill="FFFFFF"/>
        </w:rPr>
        <w:t>s</w:t>
      </w:r>
      <w:r w:rsidR="00441E19" w:rsidRPr="00DF641F">
        <w:rPr>
          <w:rFonts w:cs="Arial"/>
          <w:szCs w:val="24"/>
          <w:shd w:val="clear" w:color="auto" w:fill="FFFFFF"/>
        </w:rPr>
        <w:t> 57, 57A and s 55 of thereof.</w:t>
      </w:r>
      <w:r w:rsidR="00BC069F" w:rsidRPr="00DF641F">
        <w:rPr>
          <w:rStyle w:val="FootnoteReference"/>
          <w:rFonts w:cs="Arial"/>
          <w:szCs w:val="24"/>
          <w:shd w:val="clear" w:color="auto" w:fill="FFFFFF"/>
        </w:rPr>
        <w:footnoteReference w:id="13"/>
      </w:r>
      <w:r w:rsidR="00747770" w:rsidRPr="00DF641F">
        <w:rPr>
          <w:rFonts w:cs="Arial"/>
          <w:szCs w:val="24"/>
          <w:shd w:val="clear" w:color="auto" w:fill="FFFFFF"/>
        </w:rPr>
        <w:t xml:space="preserve"> </w:t>
      </w:r>
    </w:p>
    <w:p w:rsidR="00840DE1" w:rsidRPr="00DF641F" w:rsidRDefault="00840DE1" w:rsidP="003C27E4">
      <w:pPr>
        <w:spacing w:before="240"/>
        <w:rPr>
          <w:rFonts w:cs="Arial"/>
          <w:szCs w:val="24"/>
          <w:shd w:val="clear" w:color="auto" w:fill="FFFFFF"/>
        </w:rPr>
      </w:pPr>
    </w:p>
    <w:p w:rsidR="00840DE1" w:rsidRPr="00DF641F" w:rsidRDefault="00840DE1" w:rsidP="003C27E4">
      <w:pPr>
        <w:rPr>
          <w:rFonts w:cs="Arial"/>
          <w:szCs w:val="24"/>
          <w:shd w:val="clear" w:color="auto" w:fill="FFFFFF"/>
        </w:rPr>
      </w:pPr>
      <w:r w:rsidRPr="00DF641F">
        <w:rPr>
          <w:rFonts w:cs="Arial"/>
          <w:szCs w:val="24"/>
          <w:shd w:val="clear" w:color="auto" w:fill="FFFFFF"/>
        </w:rPr>
        <w:t>[4</w:t>
      </w:r>
      <w:r w:rsidR="001021DD" w:rsidRPr="00DF641F">
        <w:rPr>
          <w:rFonts w:cs="Arial"/>
          <w:szCs w:val="24"/>
          <w:shd w:val="clear" w:color="auto" w:fill="FFFFFF"/>
        </w:rPr>
        <w:t>4</w:t>
      </w:r>
      <w:r w:rsidRPr="00DF641F">
        <w:rPr>
          <w:rFonts w:cs="Arial"/>
          <w:szCs w:val="24"/>
          <w:shd w:val="clear" w:color="auto" w:fill="FFFFFF"/>
        </w:rPr>
        <w:t>]</w:t>
      </w:r>
      <w:r w:rsidRPr="00DF641F">
        <w:rPr>
          <w:rFonts w:cs="Arial"/>
          <w:szCs w:val="24"/>
          <w:shd w:val="clear" w:color="auto" w:fill="FFFFFF"/>
        </w:rPr>
        <w:tab/>
      </w:r>
      <w:r w:rsidR="00441E19" w:rsidRPr="00DF641F">
        <w:rPr>
          <w:rFonts w:cs="Arial"/>
          <w:szCs w:val="24"/>
          <w:shd w:val="clear" w:color="auto" w:fill="FFFFFF"/>
        </w:rPr>
        <w:t>In terms of s</w:t>
      </w:r>
      <w:r w:rsidR="009858CD" w:rsidRPr="00DF641F">
        <w:rPr>
          <w:rFonts w:cs="Arial"/>
          <w:szCs w:val="24"/>
          <w:shd w:val="clear" w:color="auto" w:fill="FFFFFF"/>
        </w:rPr>
        <w:t xml:space="preserve"> 57(6), no provision of s 57 is to be construed as preventing the public prosecuto</w:t>
      </w:r>
      <w:r w:rsidR="00E24470" w:rsidRPr="00DF641F">
        <w:rPr>
          <w:rFonts w:cs="Arial"/>
          <w:szCs w:val="24"/>
          <w:shd w:val="clear" w:color="auto" w:fill="FFFFFF"/>
        </w:rPr>
        <w:t>r</w:t>
      </w:r>
      <w:r w:rsidR="00441E19" w:rsidRPr="00DF641F">
        <w:rPr>
          <w:rFonts w:cs="Arial"/>
          <w:szCs w:val="24"/>
          <w:shd w:val="clear" w:color="auto" w:fill="FFFFFF"/>
        </w:rPr>
        <w:t xml:space="preserve"> </w:t>
      </w:r>
      <w:r w:rsidR="009858CD" w:rsidRPr="00DF641F">
        <w:rPr>
          <w:rFonts w:cs="Arial"/>
          <w:szCs w:val="24"/>
          <w:shd w:val="clear" w:color="auto" w:fill="FFFFFF"/>
        </w:rPr>
        <w:t xml:space="preserve">from reducing an admission of guilt fine on good cause shown in writing. Section </w:t>
      </w:r>
      <w:r w:rsidR="00441E19" w:rsidRPr="00DF641F">
        <w:rPr>
          <w:rFonts w:cs="Arial"/>
          <w:szCs w:val="24"/>
          <w:shd w:val="clear" w:color="auto" w:fill="FFFFFF"/>
        </w:rPr>
        <w:t>57(</w:t>
      </w:r>
      <w:r w:rsidR="00667D88" w:rsidRPr="00DF641F">
        <w:rPr>
          <w:rFonts w:cs="Arial"/>
          <w:szCs w:val="24"/>
          <w:shd w:val="clear" w:color="auto" w:fill="FFFFFF"/>
        </w:rPr>
        <w:t>8</w:t>
      </w:r>
      <w:r w:rsidR="00441E19" w:rsidRPr="00DF641F">
        <w:rPr>
          <w:rFonts w:cs="Arial"/>
          <w:szCs w:val="24"/>
          <w:shd w:val="clear" w:color="auto" w:fill="FFFFFF"/>
        </w:rPr>
        <w:t xml:space="preserve">) of the CPA, </w:t>
      </w:r>
      <w:r w:rsidR="009858CD" w:rsidRPr="00DF641F">
        <w:rPr>
          <w:rFonts w:cs="Arial"/>
          <w:szCs w:val="24"/>
          <w:shd w:val="clear" w:color="auto" w:fill="FFFFFF"/>
        </w:rPr>
        <w:t xml:space="preserve">provides that when </w:t>
      </w:r>
      <w:r w:rsidR="00441E19" w:rsidRPr="00DF641F">
        <w:rPr>
          <w:rFonts w:cs="Arial"/>
          <w:szCs w:val="24"/>
          <w:shd w:val="clear" w:color="auto" w:fill="FFFFFF"/>
        </w:rPr>
        <w:t xml:space="preserve">an admission of guilt fine is paid at a police station or a local authority in terms of subsection (3), the summons or written notice is surrendered under subsection (5) and thereafter it is forwarded to the clerk of the magistrates court, which has such jurisdiction, and the clerk shall thereafter enter the essential particulars of such summons or written notice in the criminal record book for admissions of guilt, whereupon the </w:t>
      </w:r>
      <w:r w:rsidR="00BD5ACA" w:rsidRPr="00DF641F">
        <w:rPr>
          <w:rFonts w:cs="Arial"/>
          <w:szCs w:val="24"/>
          <w:shd w:val="clear" w:color="auto" w:fill="FFFFFF"/>
        </w:rPr>
        <w:t>accused</w:t>
      </w:r>
      <w:r w:rsidR="00441E19" w:rsidRPr="00DF641F">
        <w:rPr>
          <w:rFonts w:cs="Arial"/>
          <w:szCs w:val="24"/>
          <w:shd w:val="clear" w:color="auto" w:fill="FFFFFF"/>
        </w:rPr>
        <w:t xml:space="preserve"> concerned shall </w:t>
      </w:r>
      <w:r w:rsidR="00BD5ACA" w:rsidRPr="00DF641F">
        <w:rPr>
          <w:rFonts w:cs="Arial"/>
          <w:szCs w:val="24"/>
          <w:shd w:val="clear" w:color="auto" w:fill="FFFFFF"/>
        </w:rPr>
        <w:t>– subject to the provisions of subsection (9) – be deemed to have been convicted and sentenced by the court in respect of the offence in question</w:t>
      </w:r>
      <w:r w:rsidR="00667D88" w:rsidRPr="00DF641F">
        <w:rPr>
          <w:rFonts w:cs="Arial"/>
          <w:szCs w:val="24"/>
          <w:shd w:val="clear" w:color="auto" w:fill="FFFFFF"/>
        </w:rPr>
        <w:t>.</w:t>
      </w:r>
    </w:p>
    <w:p w:rsidR="00840DE1" w:rsidRPr="00DF641F" w:rsidRDefault="00840DE1" w:rsidP="00B72B7F">
      <w:pPr>
        <w:rPr>
          <w:rFonts w:cs="Arial"/>
          <w:szCs w:val="24"/>
          <w:shd w:val="clear" w:color="auto" w:fill="FFFFFF"/>
        </w:rPr>
      </w:pPr>
    </w:p>
    <w:p w:rsidR="00840DE1" w:rsidRPr="00DF641F" w:rsidRDefault="00840DE1"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4</w:t>
      </w:r>
      <w:r w:rsidR="001021DD" w:rsidRPr="00DF641F">
        <w:rPr>
          <w:rFonts w:cs="Arial"/>
          <w:szCs w:val="24"/>
          <w:shd w:val="clear" w:color="auto" w:fill="FFFFFF"/>
        </w:rPr>
        <w:t>5</w:t>
      </w:r>
      <w:r w:rsidRPr="00DF641F">
        <w:rPr>
          <w:rFonts w:cs="Arial"/>
          <w:szCs w:val="24"/>
          <w:shd w:val="clear" w:color="auto" w:fill="FFFFFF"/>
        </w:rPr>
        <w:t>]</w:t>
      </w:r>
      <w:r w:rsidRPr="00DF641F">
        <w:rPr>
          <w:rFonts w:cs="Arial"/>
          <w:szCs w:val="24"/>
          <w:shd w:val="clear" w:color="auto" w:fill="FFFFFF"/>
        </w:rPr>
        <w:tab/>
      </w:r>
      <w:r w:rsidR="00BD5ACA" w:rsidRPr="00DF641F">
        <w:rPr>
          <w:rFonts w:cs="Arial"/>
          <w:szCs w:val="24"/>
          <w:shd w:val="clear" w:color="auto" w:fill="FFFFFF"/>
        </w:rPr>
        <w:t xml:space="preserve">Section 57(9) provides that the judicial officer presiding at the court shall examine the documents, and if it appears to </w:t>
      </w:r>
      <w:r w:rsidR="00667D88" w:rsidRPr="00DF641F">
        <w:rPr>
          <w:rFonts w:cs="Arial"/>
          <w:szCs w:val="24"/>
          <w:shd w:val="clear" w:color="auto" w:fill="FFFFFF"/>
        </w:rPr>
        <w:t>him or her</w:t>
      </w:r>
      <w:r w:rsidR="00BD5ACA" w:rsidRPr="00DF641F">
        <w:rPr>
          <w:rFonts w:cs="Arial"/>
          <w:szCs w:val="24"/>
          <w:shd w:val="clear" w:color="auto" w:fill="FFFFFF"/>
        </w:rPr>
        <w:t xml:space="preserve"> that a conviction or sentence under subsection (8) is not in accordance with justice or,</w:t>
      </w:r>
      <w:r w:rsidR="00667D88" w:rsidRPr="00DF641F">
        <w:rPr>
          <w:rFonts w:cs="Arial"/>
          <w:szCs w:val="24"/>
          <w:shd w:val="clear" w:color="auto" w:fill="FFFFFF"/>
        </w:rPr>
        <w:t xml:space="preserve"> except as provided in subsection (6), may set aside the conviction and sentence and direct that the accused be prosecuted in the ordinary course.</w:t>
      </w:r>
      <w:r w:rsidRPr="00DF641F">
        <w:rPr>
          <w:rFonts w:cs="Arial"/>
          <w:szCs w:val="24"/>
          <w:shd w:val="clear" w:color="auto" w:fill="FFFFFF"/>
        </w:rPr>
        <w:t xml:space="preserve"> </w:t>
      </w:r>
    </w:p>
    <w:p w:rsidR="00840DE1" w:rsidRPr="00DF641F" w:rsidRDefault="00840DE1" w:rsidP="00B72B7F">
      <w:pPr>
        <w:rPr>
          <w:rFonts w:cs="Arial"/>
          <w:szCs w:val="24"/>
          <w:shd w:val="clear" w:color="auto" w:fill="FFFFFF"/>
        </w:rPr>
      </w:pPr>
    </w:p>
    <w:p w:rsidR="000973B3" w:rsidRPr="00DF641F" w:rsidRDefault="00840DE1" w:rsidP="003C27E4">
      <w:pPr>
        <w:rPr>
          <w:rFonts w:cs="Arial"/>
          <w:szCs w:val="24"/>
          <w:shd w:val="clear" w:color="auto" w:fill="FFFFFF"/>
        </w:rPr>
      </w:pPr>
      <w:r w:rsidRPr="00DF641F">
        <w:rPr>
          <w:rFonts w:cs="Arial"/>
          <w:szCs w:val="24"/>
          <w:shd w:val="clear" w:color="auto" w:fill="FFFFFF"/>
        </w:rPr>
        <w:t>[</w:t>
      </w:r>
      <w:r w:rsidR="001021DD" w:rsidRPr="00DF641F">
        <w:rPr>
          <w:rFonts w:cs="Arial"/>
          <w:szCs w:val="24"/>
          <w:shd w:val="clear" w:color="auto" w:fill="FFFFFF"/>
        </w:rPr>
        <w:t>46</w:t>
      </w:r>
      <w:r w:rsidRPr="00DF641F">
        <w:rPr>
          <w:rFonts w:cs="Arial"/>
          <w:szCs w:val="24"/>
          <w:shd w:val="clear" w:color="auto" w:fill="FFFFFF"/>
        </w:rPr>
        <w:t>]</w:t>
      </w:r>
      <w:r w:rsidRPr="00DF641F">
        <w:rPr>
          <w:rFonts w:cs="Arial"/>
          <w:szCs w:val="24"/>
          <w:shd w:val="clear" w:color="auto" w:fill="FFFFFF"/>
        </w:rPr>
        <w:tab/>
      </w:r>
      <w:r w:rsidR="00E4792D" w:rsidRPr="00DF641F">
        <w:rPr>
          <w:rFonts w:cs="Arial"/>
          <w:szCs w:val="24"/>
          <w:shd w:val="clear" w:color="auto" w:fill="FFFFFF"/>
        </w:rPr>
        <w:t>T</w:t>
      </w:r>
      <w:r w:rsidR="0080396A" w:rsidRPr="00DF641F">
        <w:rPr>
          <w:rFonts w:cs="Arial"/>
          <w:szCs w:val="24"/>
          <w:shd w:val="clear" w:color="auto" w:fill="FFFFFF"/>
        </w:rPr>
        <w:t xml:space="preserve">he </w:t>
      </w:r>
      <w:r w:rsidR="00E24470" w:rsidRPr="00DF641F">
        <w:rPr>
          <w:rFonts w:cs="Arial"/>
          <w:szCs w:val="24"/>
          <w:shd w:val="clear" w:color="auto" w:fill="FFFFFF"/>
        </w:rPr>
        <w:t>f</w:t>
      </w:r>
      <w:r w:rsidR="0080396A" w:rsidRPr="00DF641F">
        <w:rPr>
          <w:rFonts w:cs="Arial"/>
          <w:szCs w:val="24"/>
          <w:shd w:val="clear" w:color="auto" w:fill="FFFFFF"/>
        </w:rPr>
        <w:t xml:space="preserve">ull </w:t>
      </w:r>
      <w:r w:rsidR="00E24470" w:rsidRPr="00DF641F">
        <w:rPr>
          <w:rFonts w:cs="Arial"/>
          <w:szCs w:val="24"/>
          <w:shd w:val="clear" w:color="auto" w:fill="FFFFFF"/>
        </w:rPr>
        <w:t>c</w:t>
      </w:r>
      <w:r w:rsidR="0080396A" w:rsidRPr="00DF641F">
        <w:rPr>
          <w:rFonts w:cs="Arial"/>
          <w:szCs w:val="24"/>
          <w:shd w:val="clear" w:color="auto" w:fill="FFFFFF"/>
        </w:rPr>
        <w:t xml:space="preserve">ourt found that it follows from the provisions of s 57(6) and (9) of the CPA, that a magistrate has no powers to reduce a traffic fine as the appellant did in this case. These powers rest only with the prosecutor. The magistrate can only act in terms of s 57(9). Thus, the </w:t>
      </w:r>
      <w:r w:rsidR="00E24470" w:rsidRPr="00DF641F">
        <w:rPr>
          <w:rFonts w:cs="Arial"/>
          <w:szCs w:val="24"/>
          <w:shd w:val="clear" w:color="auto" w:fill="FFFFFF"/>
        </w:rPr>
        <w:t>f</w:t>
      </w:r>
      <w:r w:rsidR="0080396A" w:rsidRPr="00DF641F">
        <w:rPr>
          <w:rFonts w:cs="Arial"/>
          <w:szCs w:val="24"/>
          <w:shd w:val="clear" w:color="auto" w:fill="FFFFFF"/>
        </w:rPr>
        <w:t xml:space="preserve">ull </w:t>
      </w:r>
      <w:r w:rsidR="00E24470" w:rsidRPr="00DF641F">
        <w:rPr>
          <w:rFonts w:cs="Arial"/>
          <w:szCs w:val="24"/>
          <w:shd w:val="clear" w:color="auto" w:fill="FFFFFF"/>
        </w:rPr>
        <w:t>c</w:t>
      </w:r>
      <w:r w:rsidR="0080396A" w:rsidRPr="00DF641F">
        <w:rPr>
          <w:rFonts w:cs="Arial"/>
          <w:szCs w:val="24"/>
          <w:shd w:val="clear" w:color="auto" w:fill="FFFFFF"/>
        </w:rPr>
        <w:t>ourt found that the trial court’s findings that the conduct of the appellant was irregular could not be faulted.</w:t>
      </w:r>
    </w:p>
    <w:p w:rsidR="000973B3" w:rsidRPr="00DF641F" w:rsidRDefault="000973B3" w:rsidP="00B72B7F">
      <w:pPr>
        <w:rPr>
          <w:rFonts w:cs="Arial"/>
          <w:szCs w:val="24"/>
          <w:shd w:val="clear" w:color="auto" w:fill="FFFFFF"/>
        </w:rPr>
      </w:pPr>
    </w:p>
    <w:p w:rsidR="000973B3" w:rsidRPr="00DF641F" w:rsidRDefault="000973B3" w:rsidP="003C27E4">
      <w:pPr>
        <w:rPr>
          <w:rFonts w:cs="Arial"/>
          <w:szCs w:val="24"/>
          <w:shd w:val="clear" w:color="auto" w:fill="FFFFFF"/>
        </w:rPr>
      </w:pPr>
      <w:r w:rsidRPr="00DF641F">
        <w:rPr>
          <w:rFonts w:cs="Arial"/>
          <w:szCs w:val="24"/>
          <w:shd w:val="clear" w:color="auto" w:fill="FFFFFF"/>
        </w:rPr>
        <w:t>[</w:t>
      </w:r>
      <w:r w:rsidR="001021DD" w:rsidRPr="00DF641F">
        <w:rPr>
          <w:rFonts w:cs="Arial"/>
          <w:szCs w:val="24"/>
          <w:shd w:val="clear" w:color="auto" w:fill="FFFFFF"/>
        </w:rPr>
        <w:t>47</w:t>
      </w:r>
      <w:r w:rsidRPr="00DF641F">
        <w:rPr>
          <w:rFonts w:cs="Arial"/>
          <w:szCs w:val="24"/>
          <w:shd w:val="clear" w:color="auto" w:fill="FFFFFF"/>
        </w:rPr>
        <w:t>]</w:t>
      </w:r>
      <w:r w:rsidRPr="00DF641F">
        <w:rPr>
          <w:rFonts w:cs="Arial"/>
          <w:szCs w:val="24"/>
          <w:shd w:val="clear" w:color="auto" w:fill="FFFFFF"/>
        </w:rPr>
        <w:tab/>
      </w:r>
      <w:r w:rsidR="00667D88" w:rsidRPr="00DF641F">
        <w:rPr>
          <w:rFonts w:cs="Arial"/>
          <w:szCs w:val="24"/>
          <w:shd w:val="clear" w:color="auto" w:fill="FFFFFF"/>
        </w:rPr>
        <w:t xml:space="preserve">The </w:t>
      </w:r>
      <w:r w:rsidR="00BD5ACA" w:rsidRPr="00DF641F">
        <w:rPr>
          <w:rFonts w:cs="Arial"/>
          <w:szCs w:val="24"/>
          <w:shd w:val="clear" w:color="auto" w:fill="FFFFFF"/>
        </w:rPr>
        <w:t>appellant submitte</w:t>
      </w:r>
      <w:r w:rsidR="00E515CA" w:rsidRPr="00DF641F">
        <w:rPr>
          <w:rFonts w:cs="Arial"/>
          <w:szCs w:val="24"/>
          <w:shd w:val="clear" w:color="auto" w:fill="FFFFFF"/>
        </w:rPr>
        <w:t>d that there was no evidence le</w:t>
      </w:r>
      <w:r w:rsidR="00BD5ACA" w:rsidRPr="00DF641F">
        <w:rPr>
          <w:rFonts w:cs="Arial"/>
          <w:szCs w:val="24"/>
          <w:shd w:val="clear" w:color="auto" w:fill="FFFFFF"/>
        </w:rPr>
        <w:t xml:space="preserve">d in the trial court to prove, or even conclusively infer, that the appellant’s conduct in reducing the traffic fine amount was intended to defeat the ends of justice at all. It was further contended that the ends of justice were served in that the </w:t>
      </w:r>
      <w:r w:rsidR="00E24470" w:rsidRPr="00DF641F">
        <w:rPr>
          <w:rFonts w:cs="Arial"/>
          <w:szCs w:val="24"/>
          <w:shd w:val="clear" w:color="auto" w:fill="FFFFFF"/>
        </w:rPr>
        <w:t>S</w:t>
      </w:r>
      <w:r w:rsidR="00BD5ACA" w:rsidRPr="00DF641F">
        <w:rPr>
          <w:rFonts w:cs="Arial"/>
          <w:szCs w:val="24"/>
          <w:shd w:val="clear" w:color="auto" w:fill="FFFFFF"/>
        </w:rPr>
        <w:t>tate was still paid R700, and Mr M</w:t>
      </w:r>
      <w:r w:rsidR="00E24470" w:rsidRPr="00DF641F">
        <w:rPr>
          <w:rFonts w:cs="Arial"/>
          <w:szCs w:val="24"/>
          <w:shd w:val="clear" w:color="auto" w:fill="FFFFFF"/>
        </w:rPr>
        <w:t>u</w:t>
      </w:r>
      <w:r w:rsidR="00BD5ACA" w:rsidRPr="00DF641F">
        <w:rPr>
          <w:rFonts w:cs="Arial"/>
          <w:szCs w:val="24"/>
          <w:shd w:val="clear" w:color="auto" w:fill="FFFFFF"/>
        </w:rPr>
        <w:t xml:space="preserve">dau was convicted on the admission of guilt. Furthermore, it was contended that there was no evidence led by the </w:t>
      </w:r>
      <w:r w:rsidR="00E24470" w:rsidRPr="00DF641F">
        <w:rPr>
          <w:rFonts w:cs="Arial"/>
          <w:szCs w:val="24"/>
          <w:shd w:val="clear" w:color="auto" w:fill="FFFFFF"/>
        </w:rPr>
        <w:t>S</w:t>
      </w:r>
      <w:r w:rsidR="00BD5ACA" w:rsidRPr="00DF641F">
        <w:rPr>
          <w:rFonts w:cs="Arial"/>
          <w:szCs w:val="24"/>
          <w:shd w:val="clear" w:color="auto" w:fill="FFFFFF"/>
        </w:rPr>
        <w:t xml:space="preserve">tate indicating that the appellant’s conduct in reducing the traffic fine upon request, was unlawful, and therefore it cannot be said that the crime of defeating or obstructing the ends of justice was committed. </w:t>
      </w:r>
    </w:p>
    <w:p w:rsidR="000973B3" w:rsidRPr="00DF641F" w:rsidRDefault="000973B3" w:rsidP="00D45DAC">
      <w:pPr>
        <w:spacing w:before="240"/>
        <w:rPr>
          <w:rFonts w:cs="Arial"/>
          <w:szCs w:val="24"/>
          <w:shd w:val="clear" w:color="auto" w:fill="FFFFFF"/>
        </w:rPr>
      </w:pPr>
    </w:p>
    <w:p w:rsidR="000973B3" w:rsidRPr="00DF641F" w:rsidRDefault="000973B3" w:rsidP="003C27E4">
      <w:pPr>
        <w:rPr>
          <w:rFonts w:cs="Arial"/>
          <w:szCs w:val="24"/>
          <w:shd w:val="clear" w:color="auto" w:fill="FFFFFF"/>
        </w:rPr>
      </w:pPr>
      <w:r w:rsidRPr="00DF641F">
        <w:rPr>
          <w:rFonts w:cs="Arial"/>
          <w:szCs w:val="24"/>
          <w:shd w:val="clear" w:color="auto" w:fill="FFFFFF"/>
        </w:rPr>
        <w:t>[</w:t>
      </w:r>
      <w:r w:rsidR="004E78B7" w:rsidRPr="00DF641F">
        <w:rPr>
          <w:rFonts w:cs="Arial"/>
          <w:szCs w:val="24"/>
          <w:shd w:val="clear" w:color="auto" w:fill="FFFFFF"/>
        </w:rPr>
        <w:t>48</w:t>
      </w:r>
      <w:r w:rsidRPr="00DF641F">
        <w:rPr>
          <w:rFonts w:cs="Arial"/>
          <w:szCs w:val="24"/>
          <w:shd w:val="clear" w:color="auto" w:fill="FFFFFF"/>
        </w:rPr>
        <w:t>]</w:t>
      </w:r>
      <w:r w:rsidRPr="00DF641F">
        <w:rPr>
          <w:rFonts w:cs="Arial"/>
          <w:szCs w:val="24"/>
          <w:shd w:val="clear" w:color="auto" w:fill="FFFFFF"/>
        </w:rPr>
        <w:tab/>
      </w:r>
      <w:r w:rsidR="00BD5ACA" w:rsidRPr="00DF641F">
        <w:rPr>
          <w:rFonts w:cs="Arial"/>
          <w:szCs w:val="24"/>
          <w:shd w:val="clear" w:color="auto" w:fill="FFFFFF"/>
        </w:rPr>
        <w:t xml:space="preserve">The appellant’s conduct was </w:t>
      </w:r>
      <w:r w:rsidR="00BD5ACA" w:rsidRPr="00DF641F">
        <w:rPr>
          <w:rFonts w:cs="Arial"/>
          <w:i/>
          <w:szCs w:val="24"/>
          <w:shd w:val="clear" w:color="auto" w:fill="FFFFFF"/>
        </w:rPr>
        <w:t>ultra vires</w:t>
      </w:r>
      <w:r w:rsidR="00BD5ACA" w:rsidRPr="00DF641F">
        <w:rPr>
          <w:rFonts w:cs="Arial"/>
          <w:szCs w:val="24"/>
          <w:shd w:val="clear" w:color="auto" w:fill="FFFFFF"/>
        </w:rPr>
        <w:t xml:space="preserve">. The recourse which should have been taken, the appellant submitted, was a review in terms of Rule </w:t>
      </w:r>
      <w:r w:rsidR="00667D88" w:rsidRPr="00DF641F">
        <w:rPr>
          <w:rFonts w:cs="Arial"/>
          <w:szCs w:val="24"/>
          <w:shd w:val="clear" w:color="auto" w:fill="FFFFFF"/>
        </w:rPr>
        <w:t>5</w:t>
      </w:r>
      <w:r w:rsidR="00BD5ACA" w:rsidRPr="00DF641F">
        <w:rPr>
          <w:rFonts w:cs="Arial"/>
          <w:szCs w:val="24"/>
          <w:shd w:val="clear" w:color="auto" w:fill="FFFFFF"/>
        </w:rPr>
        <w:t>3 of the Uniform Rules of Court, instead of a criminal prosecution.</w:t>
      </w:r>
      <w:r w:rsidR="004E78B7" w:rsidRPr="00DF641F">
        <w:rPr>
          <w:rFonts w:cs="Arial"/>
          <w:szCs w:val="24"/>
          <w:shd w:val="clear" w:color="auto" w:fill="FFFFFF"/>
        </w:rPr>
        <w:t xml:space="preserve"> </w:t>
      </w:r>
      <w:r w:rsidR="00BD5ACA" w:rsidRPr="00DF641F">
        <w:rPr>
          <w:rFonts w:cs="Arial"/>
          <w:szCs w:val="24"/>
          <w:shd w:val="clear" w:color="auto" w:fill="FFFFFF"/>
        </w:rPr>
        <w:t xml:space="preserve">The appellant thus submitted that the </w:t>
      </w:r>
      <w:r w:rsidR="00667D88" w:rsidRPr="00DF641F">
        <w:rPr>
          <w:rFonts w:cs="Arial"/>
          <w:szCs w:val="24"/>
          <w:shd w:val="clear" w:color="auto" w:fill="FFFFFF"/>
        </w:rPr>
        <w:t>lower courts</w:t>
      </w:r>
      <w:r w:rsidR="00BD5ACA" w:rsidRPr="00DF641F">
        <w:rPr>
          <w:rFonts w:cs="Arial"/>
          <w:szCs w:val="24"/>
          <w:shd w:val="clear" w:color="auto" w:fill="FFFFFF"/>
        </w:rPr>
        <w:t xml:space="preserve"> erroneously </w:t>
      </w:r>
      <w:r w:rsidR="00667D88" w:rsidRPr="00DF641F">
        <w:rPr>
          <w:rFonts w:cs="Arial"/>
          <w:szCs w:val="24"/>
          <w:shd w:val="clear" w:color="auto" w:fill="FFFFFF"/>
        </w:rPr>
        <w:t>‘</w:t>
      </w:r>
      <w:r w:rsidR="00E24470" w:rsidRPr="00DF641F">
        <w:rPr>
          <w:rFonts w:cs="Arial"/>
          <w:szCs w:val="24"/>
          <w:shd w:val="clear" w:color="auto" w:fill="FFFFFF"/>
        </w:rPr>
        <w:t xml:space="preserve">. . . </w:t>
      </w:r>
      <w:r w:rsidR="00BD5ACA" w:rsidRPr="00DF641F">
        <w:rPr>
          <w:rFonts w:cs="Arial"/>
          <w:szCs w:val="24"/>
          <w:shd w:val="clear" w:color="auto" w:fill="FFFFFF"/>
        </w:rPr>
        <w:t xml:space="preserve">conflated inferred ethical blameworthiness and probable questionable conduct with the </w:t>
      </w:r>
      <w:r w:rsidR="00E24470" w:rsidRPr="00DF641F">
        <w:rPr>
          <w:rFonts w:cs="Arial"/>
          <w:szCs w:val="24"/>
          <w:shd w:val="clear" w:color="auto" w:fill="FFFFFF"/>
        </w:rPr>
        <w:t>sterner</w:t>
      </w:r>
      <w:r w:rsidR="00BD5ACA" w:rsidRPr="00DF641F">
        <w:rPr>
          <w:rFonts w:cs="Arial"/>
          <w:szCs w:val="24"/>
          <w:shd w:val="clear" w:color="auto" w:fill="FFFFFF"/>
        </w:rPr>
        <w:t xml:space="preserve"> test of criminal blameworthiness</w:t>
      </w:r>
      <w:r w:rsidR="00667D88" w:rsidRPr="00DF641F">
        <w:rPr>
          <w:rFonts w:cs="Arial"/>
          <w:szCs w:val="24"/>
          <w:shd w:val="clear" w:color="auto" w:fill="FFFFFF"/>
        </w:rPr>
        <w:t>’</w:t>
      </w:r>
      <w:r w:rsidR="00E24470" w:rsidRPr="00DF641F">
        <w:rPr>
          <w:rFonts w:cs="Arial"/>
          <w:szCs w:val="24"/>
          <w:shd w:val="clear" w:color="auto" w:fill="FFFFFF"/>
        </w:rPr>
        <w:t>.</w:t>
      </w:r>
    </w:p>
    <w:p w:rsidR="000973B3" w:rsidRPr="00DF641F" w:rsidRDefault="000973B3" w:rsidP="00B72B7F">
      <w:pPr>
        <w:rPr>
          <w:rFonts w:cs="Arial"/>
          <w:szCs w:val="24"/>
          <w:shd w:val="clear" w:color="auto" w:fill="FFFFFF"/>
        </w:rPr>
      </w:pPr>
    </w:p>
    <w:p w:rsidR="002B7EA1" w:rsidRPr="00DF641F" w:rsidRDefault="000973B3" w:rsidP="003C27E4">
      <w:pPr>
        <w:rPr>
          <w:rFonts w:cs="Arial"/>
          <w:szCs w:val="24"/>
          <w:shd w:val="clear" w:color="auto" w:fill="FFFFFF"/>
        </w:rPr>
      </w:pPr>
      <w:r w:rsidRPr="00DF641F">
        <w:rPr>
          <w:rFonts w:cs="Arial"/>
          <w:szCs w:val="24"/>
          <w:shd w:val="clear" w:color="auto" w:fill="FFFFFF"/>
        </w:rPr>
        <w:t>[</w:t>
      </w:r>
      <w:r w:rsidR="004E78B7" w:rsidRPr="00DF641F">
        <w:rPr>
          <w:rFonts w:cs="Arial"/>
          <w:szCs w:val="24"/>
          <w:shd w:val="clear" w:color="auto" w:fill="FFFFFF"/>
        </w:rPr>
        <w:t>49</w:t>
      </w:r>
      <w:r w:rsidRPr="00DF641F">
        <w:rPr>
          <w:rFonts w:cs="Arial"/>
          <w:szCs w:val="24"/>
          <w:shd w:val="clear" w:color="auto" w:fill="FFFFFF"/>
        </w:rPr>
        <w:t>]</w:t>
      </w:r>
      <w:r w:rsidRPr="00DF641F">
        <w:rPr>
          <w:rFonts w:cs="Arial"/>
          <w:szCs w:val="24"/>
          <w:shd w:val="clear" w:color="auto" w:fill="FFFFFF"/>
        </w:rPr>
        <w:tab/>
      </w:r>
      <w:r w:rsidR="00BD5ACA" w:rsidRPr="00DF641F">
        <w:rPr>
          <w:rFonts w:cs="Arial"/>
          <w:szCs w:val="24"/>
          <w:shd w:val="clear" w:color="auto" w:fill="FFFFFF"/>
        </w:rPr>
        <w:t xml:space="preserve">According to Mr Makamela, pre-2008, when an admission of guilt was paid by the person who had been issued a traffic fine, the person would either pay it at the </w:t>
      </w:r>
      <w:r w:rsidR="002B7EA1" w:rsidRPr="00DF641F">
        <w:rPr>
          <w:rFonts w:cs="Arial"/>
          <w:szCs w:val="24"/>
          <w:shd w:val="clear" w:color="auto" w:fill="FFFFFF"/>
        </w:rPr>
        <w:t>magistrate’s</w:t>
      </w:r>
      <w:r w:rsidR="00BD5ACA" w:rsidRPr="00DF641F">
        <w:rPr>
          <w:rFonts w:cs="Arial"/>
          <w:szCs w:val="24"/>
          <w:shd w:val="clear" w:color="auto" w:fill="FFFFFF"/>
        </w:rPr>
        <w:t xml:space="preserve"> court or at a police station. Then</w:t>
      </w:r>
      <w:r w:rsidR="00667D88" w:rsidRPr="00DF641F">
        <w:rPr>
          <w:rFonts w:cs="Arial"/>
          <w:szCs w:val="24"/>
          <w:shd w:val="clear" w:color="auto" w:fill="FFFFFF"/>
        </w:rPr>
        <w:t>,</w:t>
      </w:r>
      <w:r w:rsidR="00BD5ACA" w:rsidRPr="00DF641F">
        <w:rPr>
          <w:rFonts w:cs="Arial"/>
          <w:szCs w:val="24"/>
          <w:shd w:val="clear" w:color="auto" w:fill="FFFFFF"/>
        </w:rPr>
        <w:t xml:space="preserve"> the original of the summons and/or written notice would be sent to the relevant </w:t>
      </w:r>
      <w:r w:rsidR="002B7EA1" w:rsidRPr="00DF641F">
        <w:rPr>
          <w:rFonts w:cs="Arial"/>
          <w:szCs w:val="24"/>
          <w:shd w:val="clear" w:color="auto" w:fill="FFFFFF"/>
        </w:rPr>
        <w:t>magistrate’s</w:t>
      </w:r>
      <w:r w:rsidR="00BD5ACA" w:rsidRPr="00DF641F">
        <w:rPr>
          <w:rFonts w:cs="Arial"/>
          <w:szCs w:val="24"/>
          <w:shd w:val="clear" w:color="auto" w:fill="FFFFFF"/>
        </w:rPr>
        <w:t xml:space="preserve"> court. Makamela stated that at a time after 2008, due to the conflicts between the departments, traffic office</w:t>
      </w:r>
      <w:r w:rsidR="002B7EA1" w:rsidRPr="00DF641F">
        <w:rPr>
          <w:rFonts w:cs="Arial"/>
          <w:szCs w:val="24"/>
          <w:shd w:val="clear" w:color="auto" w:fill="FFFFFF"/>
        </w:rPr>
        <w:t>r</w:t>
      </w:r>
      <w:r w:rsidR="00BD5ACA" w:rsidRPr="00DF641F">
        <w:rPr>
          <w:rFonts w:cs="Arial"/>
          <w:szCs w:val="24"/>
          <w:shd w:val="clear" w:color="auto" w:fill="FFFFFF"/>
        </w:rPr>
        <w:t>s</w:t>
      </w:r>
      <w:r w:rsidR="002B7EA1" w:rsidRPr="00DF641F">
        <w:rPr>
          <w:rFonts w:cs="Arial"/>
          <w:szCs w:val="24"/>
          <w:shd w:val="clear" w:color="auto" w:fill="FFFFFF"/>
        </w:rPr>
        <w:t xml:space="preserve"> would keep the written notice and the person charged would pay them; but they would only bring them to court on the appearance date, or on the date reflected in the notice. After the payment, the clerk of the criminal court </w:t>
      </w:r>
      <w:r w:rsidR="00667D88" w:rsidRPr="00DF641F">
        <w:rPr>
          <w:rFonts w:cs="Arial"/>
          <w:szCs w:val="24"/>
          <w:shd w:val="clear" w:color="auto" w:fill="FFFFFF"/>
        </w:rPr>
        <w:t xml:space="preserve">would bring </w:t>
      </w:r>
      <w:r w:rsidR="002B7EA1" w:rsidRPr="00DF641F">
        <w:rPr>
          <w:rFonts w:cs="Arial"/>
          <w:szCs w:val="24"/>
          <w:shd w:val="clear" w:color="auto" w:fill="FFFFFF"/>
        </w:rPr>
        <w:t xml:space="preserve">the written notice to a magistrate, who confirms and signs the written notice. </w:t>
      </w:r>
      <w:r w:rsidR="00667D88" w:rsidRPr="00DF641F">
        <w:rPr>
          <w:rFonts w:cs="Arial"/>
          <w:szCs w:val="24"/>
          <w:shd w:val="clear" w:color="auto" w:fill="FFFFFF"/>
        </w:rPr>
        <w:t>However</w:t>
      </w:r>
      <w:r w:rsidRPr="00DF641F">
        <w:rPr>
          <w:rFonts w:cs="Arial"/>
          <w:szCs w:val="24"/>
          <w:shd w:val="clear" w:color="auto" w:fill="FFFFFF"/>
        </w:rPr>
        <w:t>,</w:t>
      </w:r>
      <w:r w:rsidR="00667D88" w:rsidRPr="00DF641F">
        <w:rPr>
          <w:rFonts w:cs="Arial"/>
          <w:szCs w:val="24"/>
          <w:shd w:val="clear" w:color="auto" w:fill="FFFFFF"/>
        </w:rPr>
        <w:t xml:space="preserve"> after some time in 2008</w:t>
      </w:r>
      <w:r w:rsidR="002B7EA1" w:rsidRPr="00DF641F">
        <w:rPr>
          <w:rFonts w:cs="Arial"/>
          <w:szCs w:val="24"/>
          <w:shd w:val="clear" w:color="auto" w:fill="FFFFFF"/>
        </w:rPr>
        <w:t>, Makamela state</w:t>
      </w:r>
      <w:r w:rsidR="00667D88" w:rsidRPr="00DF641F">
        <w:rPr>
          <w:rFonts w:cs="Arial"/>
          <w:szCs w:val="24"/>
          <w:shd w:val="clear" w:color="auto" w:fill="FFFFFF"/>
        </w:rPr>
        <w:t>d</w:t>
      </w:r>
      <w:r w:rsidR="002B7EA1" w:rsidRPr="00DF641F">
        <w:rPr>
          <w:rFonts w:cs="Arial"/>
          <w:szCs w:val="24"/>
          <w:shd w:val="clear" w:color="auto" w:fill="FFFFFF"/>
        </w:rPr>
        <w:t>, one cannot take the ticket from the traffic department to a magistrate to reduce it before the court date, as that is the job of the prosecutors.</w:t>
      </w:r>
    </w:p>
    <w:p w:rsidR="00E24470" w:rsidRPr="00DF641F" w:rsidRDefault="00E24470" w:rsidP="00B72B7F">
      <w:pPr>
        <w:rPr>
          <w:rFonts w:cs="Arial"/>
          <w:szCs w:val="24"/>
          <w:shd w:val="clear" w:color="auto" w:fill="FFFFFF"/>
        </w:rPr>
      </w:pPr>
    </w:p>
    <w:p w:rsidR="000973B3" w:rsidRPr="00DF641F" w:rsidRDefault="000973B3" w:rsidP="003C27E4">
      <w:pPr>
        <w:rPr>
          <w:rFonts w:cs="Arial"/>
          <w:szCs w:val="24"/>
          <w:shd w:val="clear" w:color="auto" w:fill="FFFFFF"/>
        </w:rPr>
      </w:pPr>
      <w:r w:rsidRPr="00DF641F">
        <w:rPr>
          <w:rFonts w:cs="Arial"/>
          <w:szCs w:val="24"/>
          <w:shd w:val="clear" w:color="auto" w:fill="FFFFFF"/>
        </w:rPr>
        <w:t>[5</w:t>
      </w:r>
      <w:r w:rsidR="004E78B7" w:rsidRPr="00DF641F">
        <w:rPr>
          <w:rFonts w:cs="Arial"/>
          <w:szCs w:val="24"/>
          <w:shd w:val="clear" w:color="auto" w:fill="FFFFFF"/>
        </w:rPr>
        <w:t>0</w:t>
      </w:r>
      <w:r w:rsidRPr="00DF641F">
        <w:rPr>
          <w:rFonts w:cs="Arial"/>
          <w:szCs w:val="24"/>
          <w:shd w:val="clear" w:color="auto" w:fill="FFFFFF"/>
        </w:rPr>
        <w:t>]</w:t>
      </w:r>
      <w:r w:rsidRPr="00DF641F">
        <w:rPr>
          <w:rFonts w:cs="Arial"/>
          <w:szCs w:val="24"/>
          <w:shd w:val="clear" w:color="auto" w:fill="FFFFFF"/>
        </w:rPr>
        <w:tab/>
      </w:r>
      <w:r w:rsidR="002B7EA1" w:rsidRPr="00DF641F">
        <w:rPr>
          <w:rFonts w:cs="Arial"/>
          <w:szCs w:val="24"/>
          <w:shd w:val="clear" w:color="auto" w:fill="FFFFFF"/>
        </w:rPr>
        <w:t xml:space="preserve">Evidence was given by the </w:t>
      </w:r>
      <w:r w:rsidR="00E24470" w:rsidRPr="00DF641F">
        <w:rPr>
          <w:rFonts w:cs="Arial"/>
          <w:szCs w:val="24"/>
          <w:shd w:val="clear" w:color="auto" w:fill="FFFFFF"/>
        </w:rPr>
        <w:t>S</w:t>
      </w:r>
      <w:r w:rsidR="002B7EA1" w:rsidRPr="00DF641F">
        <w:rPr>
          <w:rFonts w:cs="Arial"/>
          <w:szCs w:val="24"/>
          <w:shd w:val="clear" w:color="auto" w:fill="FFFFFF"/>
        </w:rPr>
        <w:t>tate witnesses</w:t>
      </w:r>
      <w:r w:rsidR="00BD5ACA" w:rsidRPr="00DF641F">
        <w:rPr>
          <w:rFonts w:cs="Arial"/>
          <w:szCs w:val="24"/>
          <w:shd w:val="clear" w:color="auto" w:fill="FFFFFF"/>
        </w:rPr>
        <w:t xml:space="preserve"> </w:t>
      </w:r>
      <w:r w:rsidR="002B7EA1" w:rsidRPr="00DF641F">
        <w:rPr>
          <w:rFonts w:cs="Arial"/>
          <w:szCs w:val="24"/>
          <w:shd w:val="clear" w:color="auto" w:fill="FFFFFF"/>
        </w:rPr>
        <w:t xml:space="preserve">in regard to a meeting held in respect of which the question was whether a magistrate would be allowed to reduce a notice in regard to a traffic offence before an appearance in court. At the meeting, it was resolved that only the prosecutor could do this. </w:t>
      </w:r>
    </w:p>
    <w:p w:rsidR="000973B3" w:rsidRPr="00DF641F" w:rsidRDefault="000973B3" w:rsidP="00B72B7F">
      <w:pPr>
        <w:rPr>
          <w:rFonts w:cs="Arial"/>
          <w:szCs w:val="24"/>
          <w:shd w:val="clear" w:color="auto" w:fill="FFFFFF"/>
        </w:rPr>
      </w:pPr>
    </w:p>
    <w:p w:rsidR="000973B3" w:rsidRPr="00DF641F" w:rsidRDefault="000973B3" w:rsidP="003C27E4">
      <w:pPr>
        <w:rPr>
          <w:rFonts w:cs="Arial"/>
          <w:szCs w:val="24"/>
          <w:shd w:val="clear" w:color="auto" w:fill="FFFFFF"/>
        </w:rPr>
      </w:pPr>
      <w:r w:rsidRPr="00DF641F">
        <w:rPr>
          <w:rFonts w:cs="Arial"/>
          <w:szCs w:val="24"/>
          <w:shd w:val="clear" w:color="auto" w:fill="FFFFFF"/>
        </w:rPr>
        <w:t>[5</w:t>
      </w:r>
      <w:r w:rsidR="004E78B7" w:rsidRPr="00DF641F">
        <w:rPr>
          <w:rFonts w:cs="Arial"/>
          <w:szCs w:val="24"/>
          <w:shd w:val="clear" w:color="auto" w:fill="FFFFFF"/>
        </w:rPr>
        <w:t>1</w:t>
      </w:r>
      <w:r w:rsidRPr="00DF641F">
        <w:rPr>
          <w:rFonts w:cs="Arial"/>
          <w:szCs w:val="24"/>
          <w:shd w:val="clear" w:color="auto" w:fill="FFFFFF"/>
        </w:rPr>
        <w:t>]</w:t>
      </w:r>
      <w:r w:rsidRPr="00DF641F">
        <w:rPr>
          <w:rFonts w:cs="Arial"/>
          <w:szCs w:val="24"/>
          <w:shd w:val="clear" w:color="auto" w:fill="FFFFFF"/>
        </w:rPr>
        <w:tab/>
      </w:r>
      <w:r w:rsidR="002B7EA1" w:rsidRPr="00DF641F">
        <w:rPr>
          <w:rFonts w:cs="Arial"/>
          <w:szCs w:val="24"/>
          <w:shd w:val="clear" w:color="auto" w:fill="FFFFFF"/>
        </w:rPr>
        <w:t xml:space="preserve">The minutes of this meeting, which appears to have taken place in June or July 2009, were compiled by Mr Makamela who took them to the appellant. At the meeting, the appellant stated that </w:t>
      </w:r>
      <w:r w:rsidR="009C078D" w:rsidRPr="00DF641F">
        <w:rPr>
          <w:rFonts w:cs="Arial"/>
          <w:szCs w:val="24"/>
          <w:shd w:val="clear" w:color="auto" w:fill="FFFFFF"/>
        </w:rPr>
        <w:t>in terms of s 342A of the CPA he was entitled to reduce the fine before it was brought to court. In the meeting</w:t>
      </w:r>
      <w:r w:rsidR="00C354B9" w:rsidRPr="00DF641F">
        <w:rPr>
          <w:rFonts w:cs="Arial"/>
          <w:szCs w:val="24"/>
          <w:shd w:val="clear" w:color="auto" w:fill="FFFFFF"/>
        </w:rPr>
        <w:t>.</w:t>
      </w:r>
      <w:r w:rsidR="009C078D" w:rsidRPr="00DF641F">
        <w:rPr>
          <w:rFonts w:cs="Arial"/>
          <w:szCs w:val="24"/>
          <w:shd w:val="clear" w:color="auto" w:fill="FFFFFF"/>
        </w:rPr>
        <w:t xml:space="preserve"> Mr Makamela ascertained that the appellant had already reduced Mr M</w:t>
      </w:r>
      <w:r w:rsidR="00C354B9" w:rsidRPr="00DF641F">
        <w:rPr>
          <w:rFonts w:cs="Arial"/>
          <w:szCs w:val="24"/>
          <w:shd w:val="clear" w:color="auto" w:fill="FFFFFF"/>
        </w:rPr>
        <w:t>u</w:t>
      </w:r>
      <w:r w:rsidR="009C078D" w:rsidRPr="00DF641F">
        <w:rPr>
          <w:rFonts w:cs="Arial"/>
          <w:szCs w:val="24"/>
          <w:shd w:val="clear" w:color="auto" w:fill="FFFFFF"/>
        </w:rPr>
        <w:t xml:space="preserve">dau’s ticket before he was scheduled to appear in court. </w:t>
      </w:r>
    </w:p>
    <w:p w:rsidR="000973B3" w:rsidRPr="00DF641F" w:rsidRDefault="000973B3" w:rsidP="00B72B7F">
      <w:pPr>
        <w:rPr>
          <w:rFonts w:cs="Arial"/>
          <w:szCs w:val="24"/>
          <w:shd w:val="clear" w:color="auto" w:fill="FFFFFF"/>
        </w:rPr>
      </w:pPr>
    </w:p>
    <w:p w:rsidR="002B7EA1" w:rsidRPr="00DF641F" w:rsidRDefault="000973B3" w:rsidP="003C27E4">
      <w:pPr>
        <w:rPr>
          <w:rFonts w:cs="Arial"/>
          <w:szCs w:val="24"/>
          <w:shd w:val="clear" w:color="auto" w:fill="FFFFFF"/>
        </w:rPr>
      </w:pPr>
      <w:r w:rsidRPr="00DF641F">
        <w:rPr>
          <w:rFonts w:cs="Arial"/>
          <w:szCs w:val="24"/>
          <w:shd w:val="clear" w:color="auto" w:fill="FFFFFF"/>
        </w:rPr>
        <w:t>[5</w:t>
      </w:r>
      <w:r w:rsidR="004E78B7" w:rsidRPr="00DF641F">
        <w:rPr>
          <w:rFonts w:cs="Arial"/>
          <w:szCs w:val="24"/>
          <w:shd w:val="clear" w:color="auto" w:fill="FFFFFF"/>
        </w:rPr>
        <w:t>2</w:t>
      </w:r>
      <w:r w:rsidRPr="00DF641F">
        <w:rPr>
          <w:rFonts w:cs="Arial"/>
          <w:szCs w:val="24"/>
          <w:shd w:val="clear" w:color="auto" w:fill="FFFFFF"/>
        </w:rPr>
        <w:t>]</w:t>
      </w:r>
      <w:r w:rsidRPr="00DF641F">
        <w:rPr>
          <w:rFonts w:cs="Arial"/>
          <w:szCs w:val="24"/>
          <w:shd w:val="clear" w:color="auto" w:fill="FFFFFF"/>
        </w:rPr>
        <w:tab/>
      </w:r>
      <w:r w:rsidR="009C078D" w:rsidRPr="00DF641F">
        <w:rPr>
          <w:rFonts w:cs="Arial"/>
          <w:szCs w:val="24"/>
          <w:shd w:val="clear" w:color="auto" w:fill="FFFFFF"/>
        </w:rPr>
        <w:t>In my view, the evidence regarding the meeting and the decisions taken therea</w:t>
      </w:r>
      <w:r w:rsidR="00C354B9" w:rsidRPr="00DF641F">
        <w:rPr>
          <w:rFonts w:cs="Arial"/>
          <w:szCs w:val="24"/>
          <w:shd w:val="clear" w:color="auto" w:fill="FFFFFF"/>
        </w:rPr>
        <w:t xml:space="preserve">fter </w:t>
      </w:r>
      <w:r w:rsidR="0080396A" w:rsidRPr="00DF641F">
        <w:rPr>
          <w:rFonts w:cs="Arial"/>
          <w:szCs w:val="24"/>
          <w:shd w:val="clear" w:color="auto" w:fill="FFFFFF"/>
        </w:rPr>
        <w:t>created some confusion.</w:t>
      </w:r>
      <w:r w:rsidR="009C078D" w:rsidRPr="00DF641F">
        <w:rPr>
          <w:rFonts w:cs="Arial"/>
          <w:szCs w:val="24"/>
          <w:shd w:val="clear" w:color="auto" w:fill="FFFFFF"/>
        </w:rPr>
        <w:t xml:space="preserve"> The submissions of the appellant that he was entitled to do what he </w:t>
      </w:r>
      <w:r w:rsidRPr="00DF641F">
        <w:rPr>
          <w:rFonts w:cs="Arial"/>
          <w:szCs w:val="24"/>
          <w:shd w:val="clear" w:color="auto" w:fill="FFFFFF"/>
        </w:rPr>
        <w:t xml:space="preserve">did; </w:t>
      </w:r>
      <w:r w:rsidR="0080396A" w:rsidRPr="00DF641F">
        <w:rPr>
          <w:rFonts w:cs="Arial"/>
          <w:szCs w:val="24"/>
          <w:shd w:val="clear" w:color="auto" w:fill="FFFFFF"/>
        </w:rPr>
        <w:t>casts doubt upon</w:t>
      </w:r>
      <w:r w:rsidR="009C078D" w:rsidRPr="00DF641F">
        <w:rPr>
          <w:rFonts w:cs="Arial"/>
          <w:szCs w:val="24"/>
          <w:shd w:val="clear" w:color="auto" w:fill="FFFFFF"/>
        </w:rPr>
        <w:t xml:space="preserve"> the element of intent to defeat the ends of justice. Thus, on this count, I would uphold the appeal and set aside the conviction. </w:t>
      </w:r>
    </w:p>
    <w:p w:rsidR="000973B3" w:rsidRPr="00DF641F" w:rsidRDefault="000973B3" w:rsidP="00B72B7F">
      <w:pPr>
        <w:rPr>
          <w:rFonts w:cs="Arial"/>
          <w:szCs w:val="24"/>
          <w:shd w:val="clear" w:color="auto" w:fill="FFFFFF"/>
        </w:rPr>
      </w:pPr>
    </w:p>
    <w:p w:rsidR="00314E6C" w:rsidRPr="00DF641F" w:rsidRDefault="00314E6C" w:rsidP="003C27E4">
      <w:pPr>
        <w:rPr>
          <w:rFonts w:cs="Arial"/>
          <w:b/>
          <w:szCs w:val="24"/>
          <w:shd w:val="clear" w:color="auto" w:fill="FFFFFF"/>
        </w:rPr>
      </w:pPr>
      <w:r w:rsidRPr="00DF641F">
        <w:rPr>
          <w:rFonts w:cs="Arial"/>
          <w:b/>
          <w:szCs w:val="24"/>
          <w:shd w:val="clear" w:color="auto" w:fill="FFFFFF"/>
        </w:rPr>
        <w:t>Conclusion</w:t>
      </w:r>
    </w:p>
    <w:p w:rsidR="00314E6C" w:rsidRPr="00DF641F" w:rsidRDefault="000973B3"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5</w:t>
      </w:r>
      <w:r w:rsidR="004E78B7" w:rsidRPr="00DF641F">
        <w:rPr>
          <w:rFonts w:cs="Arial"/>
          <w:szCs w:val="24"/>
          <w:shd w:val="clear" w:color="auto" w:fill="FFFFFF"/>
        </w:rPr>
        <w:t>3</w:t>
      </w:r>
      <w:r w:rsidRPr="00DF641F">
        <w:rPr>
          <w:rFonts w:cs="Arial"/>
          <w:szCs w:val="24"/>
          <w:shd w:val="clear" w:color="auto" w:fill="FFFFFF"/>
        </w:rPr>
        <w:t>]</w:t>
      </w:r>
      <w:r w:rsidRPr="00DF641F">
        <w:rPr>
          <w:rFonts w:cs="Arial"/>
          <w:szCs w:val="24"/>
          <w:shd w:val="clear" w:color="auto" w:fill="FFFFFF"/>
        </w:rPr>
        <w:tab/>
      </w:r>
      <w:r w:rsidR="0080396A" w:rsidRPr="00DF641F">
        <w:rPr>
          <w:rFonts w:cs="Arial"/>
          <w:szCs w:val="24"/>
          <w:shd w:val="clear" w:color="auto" w:fill="FFFFFF"/>
        </w:rPr>
        <w:t>I</w:t>
      </w:r>
      <w:r w:rsidR="00650B77" w:rsidRPr="00DF641F">
        <w:rPr>
          <w:rFonts w:cs="Arial"/>
          <w:szCs w:val="24"/>
          <w:shd w:val="clear" w:color="auto" w:fill="FFFFFF"/>
        </w:rPr>
        <w:t xml:space="preserve">n failing to testify, the appellant did not answer the </w:t>
      </w:r>
      <w:r w:rsidR="00650B77" w:rsidRPr="00DF641F">
        <w:rPr>
          <w:rFonts w:cs="Arial"/>
          <w:i/>
          <w:szCs w:val="24"/>
          <w:shd w:val="clear" w:color="auto" w:fill="FFFFFF"/>
        </w:rPr>
        <w:t>prima facie</w:t>
      </w:r>
      <w:r w:rsidR="00650B77" w:rsidRPr="00DF641F">
        <w:rPr>
          <w:rFonts w:cs="Arial"/>
          <w:szCs w:val="24"/>
          <w:shd w:val="clear" w:color="auto" w:fill="FFFFFF"/>
        </w:rPr>
        <w:t xml:space="preserve"> case against him, and he ran the risk of that proof becoming conclusive proof, as there was nothing to gainsay the version of the </w:t>
      </w:r>
      <w:r w:rsidR="00C354B9" w:rsidRPr="00DF641F">
        <w:rPr>
          <w:rFonts w:cs="Arial"/>
          <w:szCs w:val="24"/>
          <w:shd w:val="clear" w:color="auto" w:fill="FFFFFF"/>
        </w:rPr>
        <w:t>S</w:t>
      </w:r>
      <w:r w:rsidR="00650B77" w:rsidRPr="00DF641F">
        <w:rPr>
          <w:rFonts w:cs="Arial"/>
          <w:szCs w:val="24"/>
          <w:shd w:val="clear" w:color="auto" w:fill="FFFFFF"/>
        </w:rPr>
        <w:t>tate.</w:t>
      </w:r>
      <w:r w:rsidR="00650B77" w:rsidRPr="00DF641F">
        <w:rPr>
          <w:rStyle w:val="FootnoteReference"/>
          <w:rFonts w:cs="Arial"/>
          <w:szCs w:val="24"/>
          <w:shd w:val="clear" w:color="auto" w:fill="FFFFFF"/>
        </w:rPr>
        <w:footnoteReference w:id="14"/>
      </w:r>
      <w:r w:rsidR="00650B77" w:rsidRPr="00DF641F">
        <w:rPr>
          <w:rFonts w:cs="Arial"/>
          <w:szCs w:val="24"/>
          <w:shd w:val="clear" w:color="auto" w:fill="FFFFFF"/>
        </w:rPr>
        <w:t xml:space="preserve"> The evidence produced by the </w:t>
      </w:r>
      <w:r w:rsidR="00C354B9" w:rsidRPr="00DF641F">
        <w:rPr>
          <w:rFonts w:cs="Arial"/>
          <w:szCs w:val="24"/>
          <w:shd w:val="clear" w:color="auto" w:fill="FFFFFF"/>
        </w:rPr>
        <w:t>S</w:t>
      </w:r>
      <w:r w:rsidR="00650B77" w:rsidRPr="00DF641F">
        <w:rPr>
          <w:rFonts w:cs="Arial"/>
          <w:szCs w:val="24"/>
          <w:shd w:val="clear" w:color="auto" w:fill="FFFFFF"/>
        </w:rPr>
        <w:t xml:space="preserve">tate proved, beyond reasonable doubt, that fraud was committed and that </w:t>
      </w:r>
      <w:r w:rsidR="00314E6C" w:rsidRPr="00DF641F">
        <w:rPr>
          <w:rFonts w:cs="Arial"/>
          <w:szCs w:val="24"/>
          <w:shd w:val="clear" w:color="auto" w:fill="FFFFFF"/>
        </w:rPr>
        <w:t xml:space="preserve">the appellant was correctly convicted </w:t>
      </w:r>
      <w:r w:rsidR="00650B77" w:rsidRPr="00DF641F">
        <w:rPr>
          <w:rFonts w:cs="Arial"/>
          <w:szCs w:val="24"/>
          <w:shd w:val="clear" w:color="auto" w:fill="FFFFFF"/>
        </w:rPr>
        <w:t>on</w:t>
      </w:r>
      <w:r w:rsidR="00314E6C" w:rsidRPr="00DF641F">
        <w:rPr>
          <w:rFonts w:cs="Arial"/>
          <w:szCs w:val="24"/>
          <w:shd w:val="clear" w:color="auto" w:fill="FFFFFF"/>
        </w:rPr>
        <w:t xml:space="preserve"> counts 15</w:t>
      </w:r>
      <w:r w:rsidR="00C354B9" w:rsidRPr="00DF641F">
        <w:rPr>
          <w:rFonts w:cs="Arial"/>
          <w:szCs w:val="24"/>
          <w:shd w:val="clear" w:color="auto" w:fill="FFFFFF"/>
        </w:rPr>
        <w:t>-</w:t>
      </w:r>
      <w:r w:rsidR="00314E6C" w:rsidRPr="00DF641F">
        <w:rPr>
          <w:rFonts w:cs="Arial"/>
          <w:szCs w:val="24"/>
          <w:shd w:val="clear" w:color="auto" w:fill="FFFFFF"/>
        </w:rPr>
        <w:t>18</w:t>
      </w:r>
      <w:r w:rsidR="00650B77" w:rsidRPr="00DF641F">
        <w:rPr>
          <w:rFonts w:cs="Arial"/>
          <w:szCs w:val="24"/>
          <w:shd w:val="clear" w:color="auto" w:fill="FFFFFF"/>
        </w:rPr>
        <w:t xml:space="preserve">. However, the charge of </w:t>
      </w:r>
      <w:r w:rsidR="004554E5" w:rsidRPr="00DF641F">
        <w:rPr>
          <w:rFonts w:cs="Arial"/>
          <w:szCs w:val="24"/>
          <w:shd w:val="clear" w:color="auto" w:fill="FFFFFF"/>
        </w:rPr>
        <w:t xml:space="preserve">defeating or obstructing the course of </w:t>
      </w:r>
      <w:r w:rsidR="00650B77" w:rsidRPr="00DF641F">
        <w:rPr>
          <w:rFonts w:cs="Arial"/>
          <w:szCs w:val="24"/>
          <w:shd w:val="clear" w:color="auto" w:fill="FFFFFF"/>
        </w:rPr>
        <w:t>justice in respect of count 21 was not proved beyond a reasonable doubt and should be set aside.</w:t>
      </w:r>
      <w:r w:rsidR="004554E5" w:rsidRPr="00DF641F">
        <w:rPr>
          <w:rFonts w:cs="Arial"/>
          <w:szCs w:val="24"/>
          <w:shd w:val="clear" w:color="auto" w:fill="FFFFFF"/>
        </w:rPr>
        <w:t xml:space="preserve"> </w:t>
      </w:r>
    </w:p>
    <w:p w:rsidR="000973B3" w:rsidRPr="00DF641F" w:rsidRDefault="000973B3" w:rsidP="00B72B7F">
      <w:pPr>
        <w:rPr>
          <w:rFonts w:cs="Arial"/>
          <w:szCs w:val="24"/>
          <w:shd w:val="clear" w:color="auto" w:fill="FFFFFF"/>
        </w:rPr>
      </w:pPr>
    </w:p>
    <w:p w:rsidR="00DE45F8" w:rsidRPr="00DF641F" w:rsidRDefault="00C354B9" w:rsidP="003C27E4">
      <w:pPr>
        <w:rPr>
          <w:rFonts w:cs="Arial"/>
          <w:szCs w:val="24"/>
          <w:shd w:val="clear" w:color="auto" w:fill="FFFFFF"/>
        </w:rPr>
      </w:pPr>
      <w:r w:rsidRPr="00DF641F">
        <w:rPr>
          <w:rFonts w:cs="Arial"/>
          <w:szCs w:val="24"/>
          <w:shd w:val="clear" w:color="auto" w:fill="FFFFFF"/>
        </w:rPr>
        <w:t>[</w:t>
      </w:r>
      <w:r w:rsidR="000F00C4" w:rsidRPr="00DF641F">
        <w:rPr>
          <w:rFonts w:cs="Arial"/>
          <w:szCs w:val="24"/>
          <w:shd w:val="clear" w:color="auto" w:fill="FFFFFF"/>
        </w:rPr>
        <w:t>5</w:t>
      </w:r>
      <w:r w:rsidR="004E78B7" w:rsidRPr="00DF641F">
        <w:rPr>
          <w:rFonts w:cs="Arial"/>
          <w:szCs w:val="24"/>
          <w:shd w:val="clear" w:color="auto" w:fill="FFFFFF"/>
        </w:rPr>
        <w:t>4</w:t>
      </w:r>
      <w:r w:rsidRPr="00DF641F">
        <w:rPr>
          <w:rFonts w:cs="Arial"/>
          <w:szCs w:val="24"/>
          <w:shd w:val="clear" w:color="auto" w:fill="FFFFFF"/>
        </w:rPr>
        <w:t>]</w:t>
      </w:r>
      <w:r w:rsidRPr="00DF641F">
        <w:rPr>
          <w:rFonts w:cs="Arial"/>
          <w:szCs w:val="24"/>
          <w:shd w:val="clear" w:color="auto" w:fill="FFFFFF"/>
        </w:rPr>
        <w:tab/>
        <w:t>In the result, the following order is made:</w:t>
      </w:r>
    </w:p>
    <w:p w:rsidR="00D45DAC" w:rsidRPr="00DF641F" w:rsidRDefault="00D45DAC" w:rsidP="00D45DAC">
      <w:pPr>
        <w:rPr>
          <w:rFonts w:cs="Arial"/>
          <w:szCs w:val="24"/>
          <w:shd w:val="clear" w:color="auto" w:fill="FFFFFF"/>
        </w:rPr>
      </w:pPr>
      <w:r w:rsidRPr="00DF641F">
        <w:rPr>
          <w:rFonts w:cs="Arial"/>
          <w:szCs w:val="24"/>
          <w:shd w:val="clear" w:color="auto" w:fill="FFFFFF"/>
        </w:rPr>
        <w:t>1</w:t>
      </w:r>
      <w:r w:rsidRPr="00DF641F">
        <w:rPr>
          <w:rFonts w:cs="Arial"/>
          <w:szCs w:val="24"/>
          <w:shd w:val="clear" w:color="auto" w:fill="FFFFFF"/>
        </w:rPr>
        <w:tab/>
        <w:t>The appeal against the convictions on counts 15</w:t>
      </w:r>
      <w:r w:rsidR="00243461" w:rsidRPr="00DF641F">
        <w:rPr>
          <w:rFonts w:cs="Arial"/>
          <w:szCs w:val="24"/>
          <w:shd w:val="clear" w:color="auto" w:fill="FFFFFF"/>
        </w:rPr>
        <w:t>-</w:t>
      </w:r>
      <w:r w:rsidRPr="00DF641F">
        <w:rPr>
          <w:rFonts w:cs="Arial"/>
          <w:szCs w:val="24"/>
          <w:shd w:val="clear" w:color="auto" w:fill="FFFFFF"/>
        </w:rPr>
        <w:t>18 is dismissed.</w:t>
      </w:r>
    </w:p>
    <w:p w:rsidR="00243461" w:rsidRPr="00DF641F" w:rsidRDefault="00D45DAC" w:rsidP="00CC2949">
      <w:pPr>
        <w:ind w:left="720" w:hanging="720"/>
        <w:rPr>
          <w:rFonts w:cs="Arial"/>
          <w:szCs w:val="24"/>
          <w:shd w:val="clear" w:color="auto" w:fill="FFFFFF"/>
        </w:rPr>
      </w:pPr>
      <w:r w:rsidRPr="00DF641F">
        <w:rPr>
          <w:rFonts w:cs="Arial"/>
          <w:szCs w:val="24"/>
          <w:shd w:val="clear" w:color="auto" w:fill="FFFFFF"/>
        </w:rPr>
        <w:t>2</w:t>
      </w:r>
      <w:r w:rsidRPr="00DF641F">
        <w:rPr>
          <w:rFonts w:cs="Arial"/>
          <w:szCs w:val="24"/>
          <w:shd w:val="clear" w:color="auto" w:fill="FFFFFF"/>
        </w:rPr>
        <w:tab/>
        <w:t>The appeal against the conviction on count 21 is upheld and the conviction is set aside.</w:t>
      </w:r>
      <w:r w:rsidR="00650B77" w:rsidRPr="00DF641F">
        <w:rPr>
          <w:rFonts w:cs="Arial"/>
          <w:szCs w:val="24"/>
          <w:shd w:val="clear" w:color="auto" w:fill="FFFFFF"/>
        </w:rPr>
        <w:t xml:space="preserve"> </w:t>
      </w:r>
    </w:p>
    <w:p w:rsidR="00243461" w:rsidRPr="00DF641F" w:rsidRDefault="00243461" w:rsidP="00CC2949">
      <w:pPr>
        <w:rPr>
          <w:rFonts w:eastAsia="Times New Roman" w:cs="Arial"/>
          <w:szCs w:val="24"/>
          <w:lang w:val="en-GB"/>
        </w:rPr>
      </w:pPr>
    </w:p>
    <w:p w:rsidR="00B72B7F" w:rsidRPr="00DF641F" w:rsidRDefault="00B72B7F" w:rsidP="00CC2949">
      <w:pPr>
        <w:rPr>
          <w:rFonts w:eastAsia="Times New Roman" w:cs="Arial"/>
          <w:szCs w:val="24"/>
          <w:lang w:val="en-GB"/>
        </w:rPr>
      </w:pPr>
    </w:p>
    <w:p w:rsidR="00176CED" w:rsidRPr="00DF641F" w:rsidRDefault="00176CED" w:rsidP="00D45DAC">
      <w:pPr>
        <w:jc w:val="right"/>
        <w:rPr>
          <w:rFonts w:eastAsia="Times New Roman" w:cs="Arial"/>
          <w:szCs w:val="24"/>
          <w:lang w:val="en-GB"/>
        </w:rPr>
      </w:pPr>
      <w:r w:rsidRPr="00DF641F">
        <w:rPr>
          <w:rFonts w:eastAsia="Times New Roman" w:cs="Arial"/>
          <w:szCs w:val="24"/>
          <w:lang w:val="en-GB"/>
        </w:rPr>
        <w:t>______________________</w:t>
      </w:r>
    </w:p>
    <w:p w:rsidR="00176CED" w:rsidRPr="00DF641F" w:rsidRDefault="00176CED" w:rsidP="00D45DAC">
      <w:pPr>
        <w:jc w:val="right"/>
        <w:rPr>
          <w:rFonts w:eastAsia="Times New Roman" w:cs="Arial"/>
          <w:b/>
          <w:szCs w:val="24"/>
          <w:lang w:val="en-GB"/>
        </w:rPr>
      </w:pPr>
      <w:r w:rsidRPr="00DF641F">
        <w:rPr>
          <w:rFonts w:eastAsia="Times New Roman" w:cs="Arial"/>
          <w:b/>
          <w:szCs w:val="24"/>
          <w:lang w:val="en-GB"/>
        </w:rPr>
        <w:t>S E WEINER</w:t>
      </w:r>
    </w:p>
    <w:p w:rsidR="00E3740F" w:rsidRPr="00DF641F" w:rsidRDefault="00C354B9" w:rsidP="00E3740F">
      <w:pPr>
        <w:jc w:val="right"/>
        <w:rPr>
          <w:rFonts w:eastAsia="Times New Roman" w:cs="Arial"/>
          <w:b/>
          <w:szCs w:val="24"/>
          <w:lang w:val="en-GB"/>
        </w:rPr>
      </w:pPr>
      <w:r w:rsidRPr="00DF641F">
        <w:rPr>
          <w:rFonts w:eastAsia="Times New Roman" w:cs="Arial"/>
          <w:b/>
          <w:szCs w:val="24"/>
          <w:lang w:val="en-GB"/>
        </w:rPr>
        <w:t xml:space="preserve">ACTING </w:t>
      </w:r>
      <w:r w:rsidR="00176CED" w:rsidRPr="00DF641F">
        <w:rPr>
          <w:rFonts w:eastAsia="Times New Roman" w:cs="Arial"/>
          <w:b/>
          <w:szCs w:val="24"/>
          <w:lang w:val="en-GB"/>
        </w:rPr>
        <w:t xml:space="preserve">JUDGE OF APPEAL </w:t>
      </w:r>
    </w:p>
    <w:p w:rsidR="00243461" w:rsidRPr="00DF641F" w:rsidRDefault="00243461">
      <w:pPr>
        <w:rPr>
          <w:rFonts w:eastAsia="Calibri" w:cs="Arial"/>
          <w:b/>
          <w:szCs w:val="24"/>
          <w:lang w:val="en-GB"/>
        </w:rPr>
      </w:pPr>
      <w:r w:rsidRPr="00DF641F">
        <w:rPr>
          <w:rFonts w:eastAsia="Calibri" w:cs="Arial"/>
          <w:b/>
          <w:szCs w:val="24"/>
          <w:lang w:val="en-GB"/>
        </w:rPr>
        <w:br w:type="page"/>
      </w:r>
    </w:p>
    <w:p w:rsidR="00176CED" w:rsidRPr="00DF641F" w:rsidRDefault="00176CED" w:rsidP="00E3740F">
      <w:pPr>
        <w:rPr>
          <w:rFonts w:eastAsia="Times New Roman" w:cs="Arial"/>
          <w:b/>
          <w:szCs w:val="24"/>
          <w:lang w:val="en-GB"/>
        </w:rPr>
      </w:pPr>
      <w:r w:rsidRPr="00DF641F">
        <w:rPr>
          <w:rFonts w:eastAsia="Calibri" w:cs="Arial"/>
          <w:b/>
          <w:szCs w:val="24"/>
          <w:lang w:val="en-GB"/>
        </w:rPr>
        <w:t>Appearances:</w:t>
      </w:r>
    </w:p>
    <w:p w:rsidR="00AC3664" w:rsidRPr="00DF641F" w:rsidRDefault="00AC3664" w:rsidP="003B7288">
      <w:pPr>
        <w:rPr>
          <w:rFonts w:eastAsia="Calibri" w:cs="Arial"/>
          <w:szCs w:val="24"/>
          <w:lang w:val="en-GB"/>
        </w:rPr>
      </w:pPr>
    </w:p>
    <w:p w:rsidR="00176CED" w:rsidRPr="00DF641F" w:rsidRDefault="00C328C5" w:rsidP="003B7288">
      <w:pPr>
        <w:rPr>
          <w:rFonts w:eastAsia="Calibri" w:cs="Arial"/>
          <w:szCs w:val="24"/>
          <w:lang w:val="en-GB"/>
        </w:rPr>
      </w:pPr>
      <w:r w:rsidRPr="00DF641F">
        <w:rPr>
          <w:rFonts w:eastAsia="Calibri" w:cs="Arial"/>
          <w:szCs w:val="24"/>
          <w:lang w:val="en-GB"/>
        </w:rPr>
        <w:t>For the appellant</w:t>
      </w:r>
      <w:r w:rsidR="00176CED" w:rsidRPr="00DF641F">
        <w:rPr>
          <w:rFonts w:eastAsia="Calibri" w:cs="Arial"/>
          <w:szCs w:val="24"/>
          <w:lang w:val="en-GB"/>
        </w:rPr>
        <w:t>:</w:t>
      </w:r>
      <w:r w:rsidR="00176CED" w:rsidRPr="00DF641F">
        <w:rPr>
          <w:rFonts w:eastAsia="Calibri" w:cs="Arial"/>
          <w:szCs w:val="24"/>
          <w:lang w:val="en-GB"/>
        </w:rPr>
        <w:tab/>
      </w:r>
      <w:r w:rsidR="00176CED" w:rsidRPr="00DF641F">
        <w:rPr>
          <w:rFonts w:eastAsia="Calibri" w:cs="Arial"/>
          <w:szCs w:val="24"/>
          <w:lang w:val="en-GB"/>
        </w:rPr>
        <w:tab/>
      </w:r>
      <w:r w:rsidR="00D45DAC" w:rsidRPr="00DF641F">
        <w:rPr>
          <w:rFonts w:eastAsia="Calibri" w:cs="Arial"/>
          <w:szCs w:val="24"/>
          <w:lang w:val="en-GB"/>
        </w:rPr>
        <w:tab/>
      </w:r>
      <w:r w:rsidR="00C354B9" w:rsidRPr="00DF641F">
        <w:rPr>
          <w:rFonts w:eastAsia="Calibri" w:cs="Arial"/>
          <w:szCs w:val="24"/>
          <w:lang w:val="en-GB"/>
        </w:rPr>
        <w:tab/>
        <w:t>M S Monene</w:t>
      </w:r>
    </w:p>
    <w:p w:rsidR="00C354B9" w:rsidRPr="00DF641F" w:rsidRDefault="00176CED" w:rsidP="000F00C4">
      <w:pPr>
        <w:rPr>
          <w:rFonts w:eastAsia="Calibri" w:cs="Arial"/>
          <w:szCs w:val="24"/>
          <w:lang w:val="en-GB"/>
        </w:rPr>
      </w:pPr>
      <w:r w:rsidRPr="00DF641F">
        <w:rPr>
          <w:rFonts w:eastAsia="Calibri" w:cs="Arial"/>
          <w:szCs w:val="24"/>
          <w:lang w:val="en-GB"/>
        </w:rPr>
        <w:t>Instructed by:</w:t>
      </w:r>
      <w:r w:rsidRPr="00DF641F">
        <w:rPr>
          <w:rFonts w:eastAsia="Calibri" w:cs="Arial"/>
          <w:szCs w:val="24"/>
          <w:lang w:val="en-GB"/>
        </w:rPr>
        <w:tab/>
      </w:r>
      <w:r w:rsidRPr="00DF641F">
        <w:rPr>
          <w:rFonts w:eastAsia="Calibri" w:cs="Arial"/>
          <w:szCs w:val="24"/>
          <w:lang w:val="en-GB"/>
        </w:rPr>
        <w:tab/>
      </w:r>
      <w:r w:rsidRPr="00DF641F">
        <w:rPr>
          <w:rFonts w:eastAsia="Calibri" w:cs="Arial"/>
          <w:szCs w:val="24"/>
          <w:lang w:val="en-GB"/>
        </w:rPr>
        <w:tab/>
      </w:r>
      <w:r w:rsidR="00C354B9" w:rsidRPr="00DF641F">
        <w:rPr>
          <w:rFonts w:eastAsia="Calibri" w:cs="Arial"/>
          <w:szCs w:val="24"/>
          <w:lang w:val="en-GB"/>
        </w:rPr>
        <w:tab/>
        <w:t>T N Ramashia Attorneys, Thohoyandou</w:t>
      </w:r>
    </w:p>
    <w:p w:rsidR="00176CED" w:rsidRPr="00DF641F" w:rsidRDefault="00C354B9" w:rsidP="000F00C4">
      <w:pPr>
        <w:rPr>
          <w:rFonts w:eastAsia="Calibri" w:cs="Arial"/>
          <w:szCs w:val="24"/>
          <w:lang w:val="en-GB"/>
        </w:rPr>
      </w:pPr>
      <w:r w:rsidRPr="00DF641F">
        <w:rPr>
          <w:rFonts w:eastAsia="Calibri" w:cs="Arial"/>
          <w:szCs w:val="24"/>
          <w:lang w:val="en-GB"/>
        </w:rPr>
        <w:tab/>
      </w:r>
      <w:r w:rsidRPr="00DF641F">
        <w:rPr>
          <w:rFonts w:eastAsia="Calibri" w:cs="Arial"/>
          <w:szCs w:val="24"/>
          <w:lang w:val="en-GB"/>
        </w:rPr>
        <w:tab/>
      </w:r>
      <w:r w:rsidRPr="00DF641F">
        <w:rPr>
          <w:rFonts w:eastAsia="Calibri" w:cs="Arial"/>
          <w:szCs w:val="24"/>
          <w:lang w:val="en-GB"/>
        </w:rPr>
        <w:tab/>
      </w:r>
      <w:r w:rsidRPr="00DF641F">
        <w:rPr>
          <w:rFonts w:eastAsia="Calibri" w:cs="Arial"/>
          <w:szCs w:val="24"/>
          <w:lang w:val="en-GB"/>
        </w:rPr>
        <w:tab/>
      </w:r>
      <w:r w:rsidRPr="00DF641F">
        <w:rPr>
          <w:rFonts w:eastAsia="Calibri" w:cs="Arial"/>
          <w:szCs w:val="24"/>
          <w:lang w:val="en-GB"/>
        </w:rPr>
        <w:tab/>
      </w:r>
      <w:r w:rsidRPr="00DF641F">
        <w:rPr>
          <w:rFonts w:eastAsia="Calibri" w:cs="Arial"/>
          <w:szCs w:val="24"/>
          <w:lang w:val="en-GB"/>
        </w:rPr>
        <w:tab/>
        <w:t>Molefe Thoabala Attorneys, Bloemfontein</w:t>
      </w:r>
    </w:p>
    <w:p w:rsidR="00AC3664" w:rsidRPr="00DF641F" w:rsidRDefault="00AC3664" w:rsidP="003B7288">
      <w:pPr>
        <w:rPr>
          <w:rFonts w:eastAsia="Calibri" w:cs="Arial"/>
          <w:szCs w:val="24"/>
          <w:lang w:val="en-GB"/>
        </w:rPr>
      </w:pPr>
    </w:p>
    <w:p w:rsidR="00176CED" w:rsidRPr="00DF641F" w:rsidRDefault="00176CED" w:rsidP="003B7288">
      <w:pPr>
        <w:rPr>
          <w:rFonts w:eastAsia="Calibri" w:cs="Arial"/>
          <w:szCs w:val="24"/>
          <w:lang w:val="en-GB"/>
        </w:rPr>
      </w:pPr>
      <w:r w:rsidRPr="00DF641F">
        <w:rPr>
          <w:rFonts w:eastAsia="Calibri" w:cs="Arial"/>
          <w:szCs w:val="24"/>
          <w:lang w:val="en-GB"/>
        </w:rPr>
        <w:t>For the respondent:</w:t>
      </w:r>
      <w:r w:rsidRPr="00DF641F">
        <w:rPr>
          <w:rFonts w:eastAsia="Calibri" w:cs="Arial"/>
          <w:szCs w:val="24"/>
          <w:lang w:val="en-GB"/>
        </w:rPr>
        <w:tab/>
      </w:r>
      <w:r w:rsidRPr="00DF641F">
        <w:rPr>
          <w:rFonts w:eastAsia="Calibri" w:cs="Arial"/>
          <w:szCs w:val="24"/>
          <w:lang w:val="en-GB"/>
        </w:rPr>
        <w:tab/>
      </w:r>
      <w:r w:rsidR="00D45DAC" w:rsidRPr="00DF641F">
        <w:rPr>
          <w:rFonts w:eastAsia="Calibri" w:cs="Arial"/>
          <w:szCs w:val="24"/>
          <w:lang w:val="en-GB"/>
        </w:rPr>
        <w:tab/>
      </w:r>
      <w:r w:rsidR="00C354B9" w:rsidRPr="00DF641F">
        <w:rPr>
          <w:rFonts w:eastAsia="Calibri" w:cs="Arial"/>
          <w:szCs w:val="24"/>
          <w:lang w:val="en-GB"/>
        </w:rPr>
        <w:tab/>
        <w:t>N F Doubada</w:t>
      </w:r>
    </w:p>
    <w:p w:rsidR="00C354B9" w:rsidRPr="000A0787" w:rsidRDefault="00176CED" w:rsidP="000F00C4">
      <w:pPr>
        <w:ind w:left="4320" w:hanging="4320"/>
        <w:rPr>
          <w:rFonts w:cs="Arial"/>
          <w:szCs w:val="24"/>
        </w:rPr>
      </w:pPr>
      <w:r w:rsidRPr="00DF641F">
        <w:rPr>
          <w:rFonts w:eastAsia="Calibri" w:cs="Arial"/>
          <w:szCs w:val="24"/>
          <w:lang w:val="en-GB"/>
        </w:rPr>
        <w:t>Instructed by:</w:t>
      </w:r>
      <w:r w:rsidRPr="00DF641F">
        <w:rPr>
          <w:rFonts w:eastAsia="Calibri" w:cs="Arial"/>
          <w:szCs w:val="24"/>
          <w:lang w:val="en-GB"/>
        </w:rPr>
        <w:tab/>
      </w:r>
      <w:r w:rsidR="00C354B9" w:rsidRPr="00DF641F">
        <w:rPr>
          <w:rFonts w:eastAsia="Calibri" w:cs="Arial"/>
          <w:szCs w:val="24"/>
          <w:lang w:val="en-GB"/>
        </w:rPr>
        <w:t>National Director of Public Prosecutions, Polokwane</w:t>
      </w:r>
      <w:r w:rsidR="00E3740F" w:rsidRPr="00DF641F">
        <w:rPr>
          <w:rFonts w:eastAsia="Calibri" w:cs="Arial"/>
          <w:szCs w:val="24"/>
          <w:lang w:val="en-GB"/>
        </w:rPr>
        <w:t xml:space="preserve">; </w:t>
      </w:r>
      <w:r w:rsidR="00C354B9" w:rsidRPr="00DF641F">
        <w:rPr>
          <w:rFonts w:eastAsia="Calibri" w:cs="Arial"/>
          <w:szCs w:val="24"/>
          <w:lang w:val="en-GB"/>
        </w:rPr>
        <w:tab/>
        <w:t>National Director of Public Prosecutions, Bloemfontein.</w:t>
      </w:r>
    </w:p>
    <w:sectPr w:rsidR="00C354B9" w:rsidRPr="000A0787" w:rsidSect="00B72B7F">
      <w:headerReference w:type="default" r:id="rId9"/>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18" w:rsidRDefault="00946B18" w:rsidP="00176CED">
      <w:pPr>
        <w:spacing w:line="240" w:lineRule="auto"/>
      </w:pPr>
      <w:r>
        <w:separator/>
      </w:r>
    </w:p>
  </w:endnote>
  <w:endnote w:type="continuationSeparator" w:id="0">
    <w:p w:rsidR="00946B18" w:rsidRDefault="00946B18" w:rsidP="0017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18" w:rsidRDefault="00946B18" w:rsidP="00176CED">
      <w:pPr>
        <w:spacing w:line="240" w:lineRule="auto"/>
      </w:pPr>
      <w:r>
        <w:separator/>
      </w:r>
    </w:p>
  </w:footnote>
  <w:footnote w:type="continuationSeparator" w:id="0">
    <w:p w:rsidR="00946B18" w:rsidRDefault="00946B18" w:rsidP="00176CED">
      <w:pPr>
        <w:spacing w:line="240" w:lineRule="auto"/>
      </w:pPr>
      <w:r>
        <w:continuationSeparator/>
      </w:r>
    </w:p>
  </w:footnote>
  <w:footnote w:id="1">
    <w:p w:rsidR="00697E07" w:rsidRPr="00697E07" w:rsidRDefault="00697E07">
      <w:pPr>
        <w:pStyle w:val="FootnoteText"/>
        <w:rPr>
          <w:lang w:val="en-US"/>
        </w:rPr>
      </w:pPr>
      <w:r>
        <w:rPr>
          <w:rStyle w:val="FootnoteReference"/>
        </w:rPr>
        <w:footnoteRef/>
      </w:r>
      <w:r>
        <w:t xml:space="preserve"> </w:t>
      </w:r>
      <w:r>
        <w:rPr>
          <w:lang w:val="en-US"/>
        </w:rPr>
        <w:t>Referred to with his title, to distinguish him from Mr Herman Mudau.</w:t>
      </w:r>
    </w:p>
  </w:footnote>
  <w:footnote w:id="2">
    <w:p w:rsidR="0043753E" w:rsidRPr="005C5F53" w:rsidRDefault="0043753E" w:rsidP="003F4E16">
      <w:pPr>
        <w:pStyle w:val="FootnoteText"/>
        <w:rPr>
          <w:lang w:val="en-US"/>
        </w:rPr>
      </w:pPr>
      <w:r>
        <w:rPr>
          <w:rStyle w:val="FootnoteReference"/>
        </w:rPr>
        <w:footnoteRef/>
      </w:r>
      <w:r>
        <w:t xml:space="preserve"> </w:t>
      </w:r>
      <w:r>
        <w:rPr>
          <w:rFonts w:cs="Arial"/>
          <w:color w:val="202124"/>
          <w:shd w:val="clear" w:color="auto" w:fill="FFFFFF"/>
        </w:rPr>
        <w:t>In 2003, the Minister of Arts and Culture approved the change of name from ‘Louis Trichardt’ to ‘</w:t>
      </w:r>
      <w:r>
        <w:rPr>
          <w:rFonts w:cs="Arial"/>
          <w:bCs/>
          <w:color w:val="202124"/>
          <w:shd w:val="clear" w:color="auto" w:fill="FFFFFF"/>
        </w:rPr>
        <w:t>Makhado’.</w:t>
      </w:r>
    </w:p>
  </w:footnote>
  <w:footnote w:id="3">
    <w:p w:rsidR="0043753E" w:rsidRDefault="0043753E" w:rsidP="00190115">
      <w:pPr>
        <w:pStyle w:val="FootnoteText"/>
        <w:rPr>
          <w:lang w:val="en-US"/>
        </w:rPr>
      </w:pPr>
      <w:r>
        <w:rPr>
          <w:rStyle w:val="FootnoteReference"/>
        </w:rPr>
        <w:footnoteRef/>
      </w:r>
      <w:r>
        <w:t xml:space="preserve"> </w:t>
      </w:r>
      <w:r w:rsidRPr="00190115">
        <w:rPr>
          <w:i/>
          <w:lang w:val="en-US"/>
        </w:rPr>
        <w:t xml:space="preserve">S v Mia and </w:t>
      </w:r>
      <w:r>
        <w:rPr>
          <w:i/>
          <w:lang w:val="en-US"/>
        </w:rPr>
        <w:t>A</w:t>
      </w:r>
      <w:r w:rsidRPr="00190115">
        <w:rPr>
          <w:i/>
          <w:lang w:val="en-US"/>
        </w:rPr>
        <w:t>nother</w:t>
      </w:r>
      <w:r>
        <w:rPr>
          <w:lang w:val="en-US"/>
        </w:rPr>
        <w:t xml:space="preserve"> [2008] ZASCA 117; </w:t>
      </w:r>
      <w:r w:rsidRPr="00A764C9">
        <w:rPr>
          <w:lang w:val="en-US"/>
        </w:rPr>
        <w:t>2009 (1) SACR 330 (SCA)</w:t>
      </w:r>
      <w:r>
        <w:rPr>
          <w:lang w:val="en-US"/>
        </w:rPr>
        <w:t>; [2009] 1 All SA 447 (SCA).</w:t>
      </w:r>
    </w:p>
  </w:footnote>
  <w:footnote w:id="4">
    <w:p w:rsidR="0043753E" w:rsidRPr="00EB5AB8" w:rsidRDefault="0043753E" w:rsidP="000A0787">
      <w:pPr>
        <w:pStyle w:val="ListParagraph"/>
        <w:spacing w:line="240" w:lineRule="auto"/>
        <w:ind w:left="0"/>
        <w:contextualSpacing w:val="0"/>
        <w:rPr>
          <w:rFonts w:cs="Arial"/>
          <w:sz w:val="20"/>
          <w:szCs w:val="20"/>
          <w:shd w:val="clear" w:color="auto" w:fill="FFFFFF"/>
        </w:rPr>
      </w:pPr>
      <w:r w:rsidRPr="00EB5AB8">
        <w:rPr>
          <w:rStyle w:val="FootnoteReference"/>
          <w:sz w:val="20"/>
          <w:szCs w:val="20"/>
        </w:rPr>
        <w:footnoteRef/>
      </w:r>
      <w:r w:rsidRPr="00EB5AB8">
        <w:rPr>
          <w:sz w:val="20"/>
          <w:szCs w:val="20"/>
        </w:rPr>
        <w:t xml:space="preserve"> </w:t>
      </w:r>
      <w:r w:rsidRPr="00EB5AB8">
        <w:rPr>
          <w:rFonts w:cs="Arial"/>
          <w:bCs/>
          <w:i/>
          <w:sz w:val="20"/>
          <w:szCs w:val="20"/>
        </w:rPr>
        <w:t>S v Phallo and Others</w:t>
      </w:r>
      <w:r w:rsidRPr="00EB5AB8">
        <w:rPr>
          <w:rFonts w:cs="Arial"/>
          <w:bCs/>
          <w:sz w:val="20"/>
          <w:szCs w:val="20"/>
        </w:rPr>
        <w:t xml:space="preserve"> [1999] ZASCA 84 </w:t>
      </w:r>
      <w:r>
        <w:rPr>
          <w:rFonts w:cs="Arial"/>
          <w:bCs/>
          <w:sz w:val="20"/>
          <w:szCs w:val="20"/>
        </w:rPr>
        <w:t>paras 10-11.</w:t>
      </w:r>
    </w:p>
  </w:footnote>
  <w:footnote w:id="5">
    <w:p w:rsidR="0043753E" w:rsidRDefault="0043753E" w:rsidP="000A0787">
      <w:pPr>
        <w:pStyle w:val="FootnoteText"/>
        <w:rPr>
          <w:rFonts w:cs="Arial"/>
          <w:lang w:val="en-US"/>
        </w:rPr>
      </w:pPr>
      <w:r>
        <w:rPr>
          <w:rStyle w:val="FootnoteReference"/>
          <w:rFonts w:cs="Arial"/>
        </w:rPr>
        <w:footnoteRef/>
      </w:r>
      <w:r>
        <w:rPr>
          <w:rFonts w:cs="Arial"/>
        </w:rPr>
        <w:t xml:space="preserve"> </w:t>
      </w:r>
      <w:r>
        <w:rPr>
          <w:rFonts w:cs="Arial"/>
          <w:i/>
        </w:rPr>
        <w:t>S v Boesak</w:t>
      </w:r>
      <w:r>
        <w:rPr>
          <w:rFonts w:cs="Arial"/>
        </w:rPr>
        <w:t xml:space="preserve"> </w:t>
      </w:r>
      <w:r>
        <w:rPr>
          <w:rFonts w:cs="Arial"/>
          <w:bCs/>
          <w:color w:val="000000"/>
        </w:rPr>
        <w:t xml:space="preserve">2001 </w:t>
      </w:r>
      <w:r>
        <w:rPr>
          <w:rFonts w:cs="Arial"/>
        </w:rPr>
        <w:t>(1) SA 912 (CC) para 24.</w:t>
      </w:r>
    </w:p>
  </w:footnote>
  <w:footnote w:id="6">
    <w:p w:rsidR="0043753E" w:rsidRPr="005C34F0" w:rsidRDefault="0043753E" w:rsidP="000A0787">
      <w:pPr>
        <w:pStyle w:val="FootnoteText"/>
      </w:pPr>
      <w:r>
        <w:rPr>
          <w:rStyle w:val="FootnoteReference"/>
        </w:rPr>
        <w:footnoteRef/>
      </w:r>
      <w:r>
        <w:t xml:space="preserve"> </w:t>
      </w:r>
      <w:r>
        <w:rPr>
          <w:i/>
        </w:rPr>
        <w:t xml:space="preserve">R v Blom </w:t>
      </w:r>
      <w:r>
        <w:t xml:space="preserve">1939 AD 188; </w:t>
      </w:r>
      <w:r>
        <w:rPr>
          <w:i/>
        </w:rPr>
        <w:t>S v Reddy and Others</w:t>
      </w:r>
      <w:r>
        <w:t xml:space="preserve"> 1996 (2) SACR 1 (A).</w:t>
      </w:r>
    </w:p>
  </w:footnote>
  <w:footnote w:id="7">
    <w:p w:rsidR="0043753E" w:rsidRPr="00CB34C8" w:rsidRDefault="0043753E" w:rsidP="000A0787">
      <w:pPr>
        <w:pStyle w:val="FootnoteText"/>
        <w:rPr>
          <w:lang w:val="en-US"/>
        </w:rPr>
      </w:pPr>
      <w:r>
        <w:rPr>
          <w:rStyle w:val="FootnoteReference"/>
        </w:rPr>
        <w:footnoteRef/>
      </w:r>
      <w:r>
        <w:t xml:space="preserve"> </w:t>
      </w:r>
      <w:r>
        <w:rPr>
          <w:i/>
        </w:rPr>
        <w:t xml:space="preserve">Ndwambi v S </w:t>
      </w:r>
      <w:r>
        <w:t xml:space="preserve">[2015] ZASCA 59; </w:t>
      </w:r>
      <w:r w:rsidRPr="00EA723C">
        <w:t>2016 (2) SACR 195 (SCA)</w:t>
      </w:r>
      <w:r>
        <w:t>.</w:t>
      </w:r>
    </w:p>
  </w:footnote>
  <w:footnote w:id="8">
    <w:p w:rsidR="0043753E" w:rsidRDefault="0043753E" w:rsidP="000A0787">
      <w:pPr>
        <w:pStyle w:val="FootnoteText"/>
      </w:pPr>
      <w:r>
        <w:rPr>
          <w:rStyle w:val="FootnoteReference"/>
        </w:rPr>
        <w:footnoteRef/>
      </w:r>
      <w:r>
        <w:t xml:space="preserve"> </w:t>
      </w:r>
      <w:r w:rsidRPr="00EA723C">
        <w:rPr>
          <w:i/>
        </w:rPr>
        <w:t>R v Dyonta and Another</w:t>
      </w:r>
      <w:r w:rsidRPr="00EA723C">
        <w:t xml:space="preserve"> 1935 AD 52</w:t>
      </w:r>
      <w:r>
        <w:t>.</w:t>
      </w:r>
    </w:p>
  </w:footnote>
  <w:footnote w:id="9">
    <w:p w:rsidR="0043753E" w:rsidRPr="009A41F7" w:rsidRDefault="0043753E" w:rsidP="000A0787">
      <w:pPr>
        <w:pStyle w:val="FootnoteText"/>
        <w:rPr>
          <w:color w:val="FF0000"/>
        </w:rPr>
      </w:pPr>
      <w:r>
        <w:rPr>
          <w:rStyle w:val="FootnoteReference"/>
        </w:rPr>
        <w:footnoteRef/>
      </w:r>
      <w:r>
        <w:t xml:space="preserve"> Fn 7 above para 20</w:t>
      </w:r>
      <w:r w:rsidR="006A785D" w:rsidRPr="00E515CA">
        <w:rPr>
          <w:highlight w:val="yellow"/>
        </w:rPr>
        <w:t>.</w:t>
      </w:r>
    </w:p>
  </w:footnote>
  <w:footnote w:id="10">
    <w:p w:rsidR="0043753E" w:rsidRPr="00576E6C" w:rsidRDefault="0043753E" w:rsidP="00576E6C">
      <w:pPr>
        <w:pStyle w:val="FootnoteText"/>
      </w:pPr>
      <w:r>
        <w:rPr>
          <w:rStyle w:val="FootnoteReference"/>
        </w:rPr>
        <w:footnoteRef/>
      </w:r>
      <w:r>
        <w:t xml:space="preserve"> </w:t>
      </w:r>
      <w:r w:rsidRPr="00576E6C">
        <w:rPr>
          <w:i/>
        </w:rPr>
        <w:t xml:space="preserve">S v </w:t>
      </w:r>
      <w:r>
        <w:rPr>
          <w:i/>
        </w:rPr>
        <w:t>V</w:t>
      </w:r>
      <w:r w:rsidRPr="00576E6C">
        <w:rPr>
          <w:i/>
        </w:rPr>
        <w:t xml:space="preserve">an der Meyden </w:t>
      </w:r>
      <w:r w:rsidRPr="00576E6C">
        <w:t xml:space="preserve">1999 (2) SACR </w:t>
      </w:r>
      <w:r>
        <w:t>447</w:t>
      </w:r>
      <w:r w:rsidRPr="00576E6C">
        <w:t xml:space="preserve"> (W)</w:t>
      </w:r>
      <w:r>
        <w:t>.</w:t>
      </w:r>
    </w:p>
  </w:footnote>
  <w:footnote w:id="11">
    <w:p w:rsidR="0043753E" w:rsidRPr="00687B9F" w:rsidRDefault="0043753E">
      <w:pPr>
        <w:pStyle w:val="FootnoteText"/>
      </w:pPr>
      <w:r>
        <w:rPr>
          <w:rStyle w:val="FootnoteReference"/>
        </w:rPr>
        <w:footnoteRef/>
      </w:r>
      <w:r>
        <w:t xml:space="preserve"> See </w:t>
      </w:r>
      <w:r>
        <w:rPr>
          <w:i/>
        </w:rPr>
        <w:t>S v Kruger</w:t>
      </w:r>
      <w:r>
        <w:t xml:space="preserve"> 1961 (4) SA 816 (A); </w:t>
      </w:r>
      <w:r w:rsidRPr="005C5F53">
        <w:rPr>
          <w:i/>
        </w:rPr>
        <w:t>Ndwambi</w:t>
      </w:r>
      <w:r>
        <w:t xml:space="preserve"> </w:t>
      </w:r>
      <w:r w:rsidR="00E515CA">
        <w:t>(</w:t>
      </w:r>
      <w:r w:rsidR="003E3E51">
        <w:t>fn</w:t>
      </w:r>
      <w:r>
        <w:t xml:space="preserve"> 6 above</w:t>
      </w:r>
      <w:r w:rsidR="00E515CA" w:rsidRPr="00E515CA">
        <w:rPr>
          <w:highlight w:val="yellow"/>
        </w:rPr>
        <w:t>)</w:t>
      </w:r>
      <w:r>
        <w:t>.</w:t>
      </w:r>
    </w:p>
  </w:footnote>
  <w:footnote w:id="12">
    <w:p w:rsidR="0043753E" w:rsidRPr="00146DBC" w:rsidRDefault="0043753E" w:rsidP="009A3CAF">
      <w:pPr>
        <w:pStyle w:val="CommentText"/>
      </w:pPr>
      <w:r>
        <w:rPr>
          <w:rStyle w:val="FootnoteReference"/>
        </w:rPr>
        <w:footnoteRef/>
      </w:r>
      <w:r>
        <w:t xml:space="preserve"> CR Snyman</w:t>
      </w:r>
      <w:r w:rsidRPr="00146DBC">
        <w:t xml:space="preserve"> </w:t>
      </w:r>
      <w:r w:rsidRPr="00146DBC">
        <w:rPr>
          <w:i/>
        </w:rPr>
        <w:t>Criminal Law</w:t>
      </w:r>
      <w:r>
        <w:t xml:space="preserve"> 6 ed (2014) at </w:t>
      </w:r>
      <w:r w:rsidRPr="00146DBC">
        <w:t>237</w:t>
      </w:r>
      <w:r>
        <w:t xml:space="preserve">. There is now a newer edition, but the definition remains the same – see CR </w:t>
      </w:r>
      <w:r w:rsidRPr="00DA7C45">
        <w:t>Snyman</w:t>
      </w:r>
      <w:r>
        <w:t xml:space="preserve"> </w:t>
      </w:r>
      <w:r>
        <w:rPr>
          <w:i/>
        </w:rPr>
        <w:t xml:space="preserve">Criminal </w:t>
      </w:r>
      <w:r w:rsidRPr="00DA7C45">
        <w:t>Law</w:t>
      </w:r>
      <w:r>
        <w:t xml:space="preserve"> 7ed (2021) </w:t>
      </w:r>
      <w:r w:rsidRPr="00DA7C45">
        <w:t>at</w:t>
      </w:r>
      <w:r>
        <w:t xml:space="preserve"> 292.</w:t>
      </w:r>
    </w:p>
  </w:footnote>
  <w:footnote w:id="13">
    <w:p w:rsidR="0043753E" w:rsidRPr="00BC069F" w:rsidRDefault="0043753E" w:rsidP="000A0787">
      <w:pPr>
        <w:pStyle w:val="FootnoteText"/>
        <w:rPr>
          <w:lang w:val="en-US"/>
        </w:rPr>
      </w:pPr>
      <w:r w:rsidRPr="000973B3">
        <w:rPr>
          <w:rStyle w:val="FootnoteReference"/>
        </w:rPr>
        <w:footnoteRef/>
      </w:r>
      <w:r w:rsidRPr="000973B3">
        <w:t xml:space="preserve"> </w:t>
      </w:r>
      <w:r w:rsidRPr="000973B3">
        <w:rPr>
          <w:lang w:val="en-US"/>
        </w:rPr>
        <w:t>The legislation has subsequently been amended, but in view of the decision to which I have come, it is not necessary to analyse the relevant provisions of the section or</w:t>
      </w:r>
      <w:r>
        <w:rPr>
          <w:lang w:val="en-US"/>
        </w:rPr>
        <w:t xml:space="preserve"> the amendment.</w:t>
      </w:r>
    </w:p>
  </w:footnote>
  <w:footnote w:id="14">
    <w:p w:rsidR="0043753E" w:rsidRDefault="0043753E" w:rsidP="00650B77">
      <w:pPr>
        <w:pStyle w:val="FootnoteText"/>
        <w:rPr>
          <w:lang w:val="en-US"/>
        </w:rPr>
      </w:pPr>
      <w:r>
        <w:rPr>
          <w:rStyle w:val="FootnoteReference"/>
        </w:rPr>
        <w:footnoteRef/>
      </w:r>
      <w:r>
        <w:t xml:space="preserve"> </w:t>
      </w:r>
      <w:r>
        <w:rPr>
          <w:i/>
          <w:lang w:val="en-US"/>
        </w:rPr>
        <w:t>S v Chabalala</w:t>
      </w:r>
      <w:r>
        <w:rPr>
          <w:lang w:val="en-US"/>
        </w:rPr>
        <w:t xml:space="preserve"> 2003 (1) SACR 134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21562963"/>
      <w:docPartObj>
        <w:docPartGallery w:val="Page Numbers (Top of Page)"/>
        <w:docPartUnique/>
      </w:docPartObj>
    </w:sdtPr>
    <w:sdtEndPr>
      <w:rPr>
        <w:noProof/>
      </w:rPr>
    </w:sdtEndPr>
    <w:sdtContent>
      <w:p w:rsidR="0043753E" w:rsidRPr="00176CED" w:rsidRDefault="0043753E">
        <w:pPr>
          <w:pStyle w:val="Header"/>
          <w:jc w:val="right"/>
          <w:rPr>
            <w:sz w:val="20"/>
          </w:rPr>
        </w:pPr>
        <w:r w:rsidRPr="00176CED">
          <w:rPr>
            <w:sz w:val="20"/>
          </w:rPr>
          <w:fldChar w:fldCharType="begin"/>
        </w:r>
        <w:r w:rsidRPr="00176CED">
          <w:rPr>
            <w:sz w:val="20"/>
          </w:rPr>
          <w:instrText xml:space="preserve"> PAGE   \* MERGEFORMAT </w:instrText>
        </w:r>
        <w:r w:rsidRPr="00176CED">
          <w:rPr>
            <w:sz w:val="20"/>
          </w:rPr>
          <w:fldChar w:fldCharType="separate"/>
        </w:r>
        <w:r w:rsidR="00587D02">
          <w:rPr>
            <w:noProof/>
            <w:sz w:val="20"/>
          </w:rPr>
          <w:t>10</w:t>
        </w:r>
        <w:r w:rsidRPr="00176CED">
          <w:rPr>
            <w:noProof/>
            <w:sz w:val="20"/>
          </w:rPr>
          <w:fldChar w:fldCharType="end"/>
        </w:r>
      </w:p>
    </w:sdtContent>
  </w:sdt>
  <w:p w:rsidR="0043753E" w:rsidRDefault="004375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D3"/>
    <w:multiLevelType w:val="hybridMultilevel"/>
    <w:tmpl w:val="C7360B4A"/>
    <w:lvl w:ilvl="0" w:tplc="4A448992">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 w15:restartNumberingAfterBreak="0">
    <w:nsid w:val="043E5D2E"/>
    <w:multiLevelType w:val="hybridMultilevel"/>
    <w:tmpl w:val="13CE1F7C"/>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7A43AF"/>
    <w:multiLevelType w:val="hybridMultilevel"/>
    <w:tmpl w:val="DB422C86"/>
    <w:lvl w:ilvl="0" w:tplc="597E98C2">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04301D4"/>
    <w:multiLevelType w:val="hybridMultilevel"/>
    <w:tmpl w:val="98C2DEEA"/>
    <w:lvl w:ilvl="0" w:tplc="CD5A9A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D5230F"/>
    <w:multiLevelType w:val="multilevel"/>
    <w:tmpl w:val="9FDC2AA4"/>
    <w:lvl w:ilvl="0">
      <w:start w:val="1"/>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7A40CC"/>
    <w:multiLevelType w:val="multilevel"/>
    <w:tmpl w:val="9FDC2AA4"/>
    <w:lvl w:ilvl="0">
      <w:start w:val="1"/>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94A3A"/>
    <w:multiLevelType w:val="hybridMultilevel"/>
    <w:tmpl w:val="BD04B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9C3EBD"/>
    <w:multiLevelType w:val="hybridMultilevel"/>
    <w:tmpl w:val="EB64E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2236A0"/>
    <w:multiLevelType w:val="hybridMultilevel"/>
    <w:tmpl w:val="19AAD39E"/>
    <w:lvl w:ilvl="0" w:tplc="5C9C30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7852B0E"/>
    <w:multiLevelType w:val="multilevel"/>
    <w:tmpl w:val="005C48AE"/>
    <w:lvl w:ilvl="0">
      <w:start w:val="1"/>
      <w:numFmt w:val="bullet"/>
      <w:lvlText w:val=""/>
      <w:lvlJc w:val="left"/>
      <w:pPr>
        <w:ind w:left="0" w:firstLine="0"/>
      </w:pPr>
      <w:rPr>
        <w:rFonts w:ascii="Symbol" w:hAnsi="Symbol" w:hint="default"/>
      </w:rPr>
    </w:lvl>
    <w:lvl w:ilvl="1">
      <w:start w:val="1"/>
      <w:numFmt w:val="lowerLetter"/>
      <w:lvlText w:val="(%2)"/>
      <w:lvlJc w:val="left"/>
      <w:pPr>
        <w:ind w:left="792" w:hanging="432"/>
      </w:pPr>
    </w:lvl>
    <w:lvl w:ilvl="2">
      <w:start w:val="1"/>
      <w:numFmt w:val="lowerRoman"/>
      <w:lvlText w:val="(%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B37381"/>
    <w:multiLevelType w:val="hybridMultilevel"/>
    <w:tmpl w:val="B0985638"/>
    <w:lvl w:ilvl="0" w:tplc="45EAB0F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8122443"/>
    <w:multiLevelType w:val="hybridMultilevel"/>
    <w:tmpl w:val="9A565A6E"/>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853984"/>
    <w:multiLevelType w:val="hybridMultilevel"/>
    <w:tmpl w:val="1442B06C"/>
    <w:lvl w:ilvl="0" w:tplc="9412132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BCA6A76"/>
    <w:multiLevelType w:val="hybridMultilevel"/>
    <w:tmpl w:val="6F0450D4"/>
    <w:lvl w:ilvl="0" w:tplc="24B802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731549"/>
    <w:multiLevelType w:val="hybridMultilevel"/>
    <w:tmpl w:val="A3D24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C4FD3"/>
    <w:multiLevelType w:val="hybridMultilevel"/>
    <w:tmpl w:val="D0D4125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C201A"/>
    <w:multiLevelType w:val="hybridMultilevel"/>
    <w:tmpl w:val="959CF604"/>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5"/>
  </w:num>
  <w:num w:numId="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4"/>
  </w:num>
  <w:num w:numId="15">
    <w:abstractNumId w:val="2"/>
  </w:num>
  <w:num w:numId="16">
    <w:abstractNumId w:val="16"/>
  </w:num>
  <w:num w:numId="17">
    <w:abstractNumId w:val="4"/>
  </w:num>
  <w:num w:numId="18">
    <w:abstractNumId w:val="11"/>
  </w:num>
  <w:num w:numId="19">
    <w:abstractNumId w:val="1"/>
  </w:num>
  <w:num w:numId="20">
    <w:abstractNumId w:val="10"/>
  </w:num>
  <w:num w:numId="21">
    <w:abstractNumId w:val="8"/>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ED"/>
    <w:rsid w:val="00000E74"/>
    <w:rsid w:val="000122B6"/>
    <w:rsid w:val="00013606"/>
    <w:rsid w:val="00026E34"/>
    <w:rsid w:val="00034C87"/>
    <w:rsid w:val="00041FBA"/>
    <w:rsid w:val="000502B9"/>
    <w:rsid w:val="00064135"/>
    <w:rsid w:val="00076DF8"/>
    <w:rsid w:val="00090D0E"/>
    <w:rsid w:val="000949A2"/>
    <w:rsid w:val="000973B3"/>
    <w:rsid w:val="00097D3C"/>
    <w:rsid w:val="000A0787"/>
    <w:rsid w:val="000A34FB"/>
    <w:rsid w:val="000A4866"/>
    <w:rsid w:val="000D32F6"/>
    <w:rsid w:val="000F00C4"/>
    <w:rsid w:val="00100A65"/>
    <w:rsid w:val="001021DD"/>
    <w:rsid w:val="001204C8"/>
    <w:rsid w:val="00125848"/>
    <w:rsid w:val="00126443"/>
    <w:rsid w:val="00137657"/>
    <w:rsid w:val="00146DBC"/>
    <w:rsid w:val="0015471A"/>
    <w:rsid w:val="00155655"/>
    <w:rsid w:val="00155E2F"/>
    <w:rsid w:val="001565B0"/>
    <w:rsid w:val="00160E11"/>
    <w:rsid w:val="0016768D"/>
    <w:rsid w:val="00174DE9"/>
    <w:rsid w:val="00176CED"/>
    <w:rsid w:val="0018028F"/>
    <w:rsid w:val="00190115"/>
    <w:rsid w:val="00190E22"/>
    <w:rsid w:val="001B17FB"/>
    <w:rsid w:val="001B4BFC"/>
    <w:rsid w:val="001B6BB7"/>
    <w:rsid w:val="001D1D62"/>
    <w:rsid w:val="001D260E"/>
    <w:rsid w:val="001D562D"/>
    <w:rsid w:val="0020046E"/>
    <w:rsid w:val="00206C05"/>
    <w:rsid w:val="00237B9C"/>
    <w:rsid w:val="00243461"/>
    <w:rsid w:val="00246DF2"/>
    <w:rsid w:val="00251FEB"/>
    <w:rsid w:val="00253698"/>
    <w:rsid w:val="00271FFF"/>
    <w:rsid w:val="002831D5"/>
    <w:rsid w:val="0028401E"/>
    <w:rsid w:val="00284E91"/>
    <w:rsid w:val="002943ED"/>
    <w:rsid w:val="002A03AC"/>
    <w:rsid w:val="002A5779"/>
    <w:rsid w:val="002B7EA1"/>
    <w:rsid w:val="002E0B52"/>
    <w:rsid w:val="002E23CD"/>
    <w:rsid w:val="002F1441"/>
    <w:rsid w:val="002F2003"/>
    <w:rsid w:val="002F7BEC"/>
    <w:rsid w:val="00303A02"/>
    <w:rsid w:val="00307C45"/>
    <w:rsid w:val="00314E6C"/>
    <w:rsid w:val="0031611C"/>
    <w:rsid w:val="00324876"/>
    <w:rsid w:val="0033740C"/>
    <w:rsid w:val="00337CA3"/>
    <w:rsid w:val="003519F8"/>
    <w:rsid w:val="00352A0D"/>
    <w:rsid w:val="00360FBD"/>
    <w:rsid w:val="003611DA"/>
    <w:rsid w:val="00361D28"/>
    <w:rsid w:val="00373E9C"/>
    <w:rsid w:val="003777C6"/>
    <w:rsid w:val="0038573C"/>
    <w:rsid w:val="00392B0E"/>
    <w:rsid w:val="00393FF7"/>
    <w:rsid w:val="003B14B8"/>
    <w:rsid w:val="003B7288"/>
    <w:rsid w:val="003C27E4"/>
    <w:rsid w:val="003D176B"/>
    <w:rsid w:val="003E3E51"/>
    <w:rsid w:val="003F0F1A"/>
    <w:rsid w:val="003F4BE3"/>
    <w:rsid w:val="003F4E16"/>
    <w:rsid w:val="003F6B5B"/>
    <w:rsid w:val="00421D10"/>
    <w:rsid w:val="0043753E"/>
    <w:rsid w:val="00441E19"/>
    <w:rsid w:val="00452FBA"/>
    <w:rsid w:val="00453265"/>
    <w:rsid w:val="004537C8"/>
    <w:rsid w:val="004554E5"/>
    <w:rsid w:val="00460FC2"/>
    <w:rsid w:val="00467E2D"/>
    <w:rsid w:val="00476E73"/>
    <w:rsid w:val="00491C4E"/>
    <w:rsid w:val="00492809"/>
    <w:rsid w:val="0049348F"/>
    <w:rsid w:val="004A63AF"/>
    <w:rsid w:val="004A7659"/>
    <w:rsid w:val="004B2397"/>
    <w:rsid w:val="004B6F73"/>
    <w:rsid w:val="004C129E"/>
    <w:rsid w:val="004D1F6F"/>
    <w:rsid w:val="004E3C73"/>
    <w:rsid w:val="004E78B7"/>
    <w:rsid w:val="004F0F28"/>
    <w:rsid w:val="004F2D24"/>
    <w:rsid w:val="0050318F"/>
    <w:rsid w:val="005163EC"/>
    <w:rsid w:val="00520BC8"/>
    <w:rsid w:val="00576E6C"/>
    <w:rsid w:val="00580ED9"/>
    <w:rsid w:val="00587D02"/>
    <w:rsid w:val="005937FF"/>
    <w:rsid w:val="005A3C1A"/>
    <w:rsid w:val="005B0B30"/>
    <w:rsid w:val="005B3BA6"/>
    <w:rsid w:val="005C34F0"/>
    <w:rsid w:val="005C5F53"/>
    <w:rsid w:val="005F52B3"/>
    <w:rsid w:val="006059BC"/>
    <w:rsid w:val="00614626"/>
    <w:rsid w:val="00643242"/>
    <w:rsid w:val="00650B77"/>
    <w:rsid w:val="00651224"/>
    <w:rsid w:val="006619B8"/>
    <w:rsid w:val="00665905"/>
    <w:rsid w:val="00667D88"/>
    <w:rsid w:val="00671E47"/>
    <w:rsid w:val="006728AB"/>
    <w:rsid w:val="00680BF3"/>
    <w:rsid w:val="00687B9F"/>
    <w:rsid w:val="00697E07"/>
    <w:rsid w:val="006A46C1"/>
    <w:rsid w:val="006A6B00"/>
    <w:rsid w:val="006A785D"/>
    <w:rsid w:val="006B706C"/>
    <w:rsid w:val="006C6933"/>
    <w:rsid w:val="006C6E14"/>
    <w:rsid w:val="006C7B3C"/>
    <w:rsid w:val="006D18DD"/>
    <w:rsid w:val="006D3458"/>
    <w:rsid w:val="006D71F9"/>
    <w:rsid w:val="006E1481"/>
    <w:rsid w:val="006E1D5D"/>
    <w:rsid w:val="006F429E"/>
    <w:rsid w:val="006F4D8D"/>
    <w:rsid w:val="006F4F5C"/>
    <w:rsid w:val="006F6B53"/>
    <w:rsid w:val="007277A2"/>
    <w:rsid w:val="00727BA4"/>
    <w:rsid w:val="00732CB9"/>
    <w:rsid w:val="00734D90"/>
    <w:rsid w:val="00744834"/>
    <w:rsid w:val="007464D5"/>
    <w:rsid w:val="00747770"/>
    <w:rsid w:val="0077734E"/>
    <w:rsid w:val="007805A6"/>
    <w:rsid w:val="00785F9A"/>
    <w:rsid w:val="007A29F8"/>
    <w:rsid w:val="007A7F7B"/>
    <w:rsid w:val="007B6DF1"/>
    <w:rsid w:val="007C197A"/>
    <w:rsid w:val="007C2DCF"/>
    <w:rsid w:val="007E4BA6"/>
    <w:rsid w:val="007F036F"/>
    <w:rsid w:val="007F216A"/>
    <w:rsid w:val="00800E73"/>
    <w:rsid w:val="0080396A"/>
    <w:rsid w:val="008145F3"/>
    <w:rsid w:val="008165F8"/>
    <w:rsid w:val="0082798E"/>
    <w:rsid w:val="008355F8"/>
    <w:rsid w:val="0083760D"/>
    <w:rsid w:val="00837C58"/>
    <w:rsid w:val="00837FEA"/>
    <w:rsid w:val="00840DE1"/>
    <w:rsid w:val="00854EE6"/>
    <w:rsid w:val="00861FE4"/>
    <w:rsid w:val="008856C7"/>
    <w:rsid w:val="00890686"/>
    <w:rsid w:val="00894A2F"/>
    <w:rsid w:val="00895062"/>
    <w:rsid w:val="008A02E2"/>
    <w:rsid w:val="008A1048"/>
    <w:rsid w:val="008A5B1D"/>
    <w:rsid w:val="008A6239"/>
    <w:rsid w:val="008B3951"/>
    <w:rsid w:val="008C0AD6"/>
    <w:rsid w:val="008C328D"/>
    <w:rsid w:val="008C3413"/>
    <w:rsid w:val="008D6880"/>
    <w:rsid w:val="00911BB7"/>
    <w:rsid w:val="009367C3"/>
    <w:rsid w:val="00944AEC"/>
    <w:rsid w:val="00946B18"/>
    <w:rsid w:val="00947FE4"/>
    <w:rsid w:val="00952C6B"/>
    <w:rsid w:val="0095412B"/>
    <w:rsid w:val="00954F99"/>
    <w:rsid w:val="009858CD"/>
    <w:rsid w:val="00993690"/>
    <w:rsid w:val="009A2E5B"/>
    <w:rsid w:val="009A3CAF"/>
    <w:rsid w:val="009A41F7"/>
    <w:rsid w:val="009B574C"/>
    <w:rsid w:val="009C078D"/>
    <w:rsid w:val="009D3D6E"/>
    <w:rsid w:val="00A019BC"/>
    <w:rsid w:val="00A15D9F"/>
    <w:rsid w:val="00A21FDD"/>
    <w:rsid w:val="00A26DF7"/>
    <w:rsid w:val="00A3294F"/>
    <w:rsid w:val="00A349E4"/>
    <w:rsid w:val="00A3566E"/>
    <w:rsid w:val="00A54EFF"/>
    <w:rsid w:val="00A7321A"/>
    <w:rsid w:val="00A7345C"/>
    <w:rsid w:val="00A75406"/>
    <w:rsid w:val="00A764C9"/>
    <w:rsid w:val="00A86091"/>
    <w:rsid w:val="00A9129F"/>
    <w:rsid w:val="00A9147E"/>
    <w:rsid w:val="00AB1C46"/>
    <w:rsid w:val="00AC3664"/>
    <w:rsid w:val="00AC38E5"/>
    <w:rsid w:val="00AD7197"/>
    <w:rsid w:val="00AE0510"/>
    <w:rsid w:val="00AE0B4F"/>
    <w:rsid w:val="00AE628F"/>
    <w:rsid w:val="00AF6223"/>
    <w:rsid w:val="00AF7D49"/>
    <w:rsid w:val="00B03189"/>
    <w:rsid w:val="00B121D4"/>
    <w:rsid w:val="00B3307C"/>
    <w:rsid w:val="00B4281B"/>
    <w:rsid w:val="00B506AE"/>
    <w:rsid w:val="00B5091B"/>
    <w:rsid w:val="00B55A12"/>
    <w:rsid w:val="00B72B7F"/>
    <w:rsid w:val="00B82C06"/>
    <w:rsid w:val="00B933F1"/>
    <w:rsid w:val="00B9396B"/>
    <w:rsid w:val="00B9456A"/>
    <w:rsid w:val="00BA0652"/>
    <w:rsid w:val="00BC069F"/>
    <w:rsid w:val="00BD0C54"/>
    <w:rsid w:val="00BD0F5B"/>
    <w:rsid w:val="00BD5ACA"/>
    <w:rsid w:val="00BE0DF3"/>
    <w:rsid w:val="00BE36FB"/>
    <w:rsid w:val="00BE6D5D"/>
    <w:rsid w:val="00BF13A2"/>
    <w:rsid w:val="00C045DF"/>
    <w:rsid w:val="00C04B06"/>
    <w:rsid w:val="00C24133"/>
    <w:rsid w:val="00C328C5"/>
    <w:rsid w:val="00C354B9"/>
    <w:rsid w:val="00C41908"/>
    <w:rsid w:val="00C45D3D"/>
    <w:rsid w:val="00C51124"/>
    <w:rsid w:val="00C56144"/>
    <w:rsid w:val="00C567DD"/>
    <w:rsid w:val="00CB34C8"/>
    <w:rsid w:val="00CB5700"/>
    <w:rsid w:val="00CB6355"/>
    <w:rsid w:val="00CC206B"/>
    <w:rsid w:val="00CC2949"/>
    <w:rsid w:val="00CD5C90"/>
    <w:rsid w:val="00CD7999"/>
    <w:rsid w:val="00CE008F"/>
    <w:rsid w:val="00CE1CCD"/>
    <w:rsid w:val="00D1631B"/>
    <w:rsid w:val="00D16FA5"/>
    <w:rsid w:val="00D25D96"/>
    <w:rsid w:val="00D4288E"/>
    <w:rsid w:val="00D45DAC"/>
    <w:rsid w:val="00D47CCC"/>
    <w:rsid w:val="00D501A0"/>
    <w:rsid w:val="00D54D54"/>
    <w:rsid w:val="00D557C6"/>
    <w:rsid w:val="00D60995"/>
    <w:rsid w:val="00D61D16"/>
    <w:rsid w:val="00D71A79"/>
    <w:rsid w:val="00D73E51"/>
    <w:rsid w:val="00D96023"/>
    <w:rsid w:val="00DA343D"/>
    <w:rsid w:val="00DA5CED"/>
    <w:rsid w:val="00DA6B46"/>
    <w:rsid w:val="00DA7C45"/>
    <w:rsid w:val="00DB4E8D"/>
    <w:rsid w:val="00DD7C24"/>
    <w:rsid w:val="00DE224A"/>
    <w:rsid w:val="00DE26F7"/>
    <w:rsid w:val="00DE2FA9"/>
    <w:rsid w:val="00DE45F8"/>
    <w:rsid w:val="00DF641F"/>
    <w:rsid w:val="00E01D72"/>
    <w:rsid w:val="00E01FC6"/>
    <w:rsid w:val="00E10ADC"/>
    <w:rsid w:val="00E11F7A"/>
    <w:rsid w:val="00E24470"/>
    <w:rsid w:val="00E35439"/>
    <w:rsid w:val="00E3740F"/>
    <w:rsid w:val="00E456F1"/>
    <w:rsid w:val="00E4792D"/>
    <w:rsid w:val="00E515CA"/>
    <w:rsid w:val="00E63703"/>
    <w:rsid w:val="00E67615"/>
    <w:rsid w:val="00E77B62"/>
    <w:rsid w:val="00E82D1D"/>
    <w:rsid w:val="00E91D15"/>
    <w:rsid w:val="00E95FF1"/>
    <w:rsid w:val="00E962E7"/>
    <w:rsid w:val="00EA6C62"/>
    <w:rsid w:val="00EA723C"/>
    <w:rsid w:val="00EB5AB8"/>
    <w:rsid w:val="00ED048B"/>
    <w:rsid w:val="00ED3FED"/>
    <w:rsid w:val="00EE139D"/>
    <w:rsid w:val="00EE462C"/>
    <w:rsid w:val="00EE4D16"/>
    <w:rsid w:val="00EF253B"/>
    <w:rsid w:val="00EF797C"/>
    <w:rsid w:val="00F005AB"/>
    <w:rsid w:val="00F0161C"/>
    <w:rsid w:val="00F06F56"/>
    <w:rsid w:val="00F1133D"/>
    <w:rsid w:val="00F12ED5"/>
    <w:rsid w:val="00F13211"/>
    <w:rsid w:val="00F20611"/>
    <w:rsid w:val="00F21CAD"/>
    <w:rsid w:val="00F2229D"/>
    <w:rsid w:val="00F31CA2"/>
    <w:rsid w:val="00F3481E"/>
    <w:rsid w:val="00F4426B"/>
    <w:rsid w:val="00F45D75"/>
    <w:rsid w:val="00F47498"/>
    <w:rsid w:val="00F505B2"/>
    <w:rsid w:val="00F512D6"/>
    <w:rsid w:val="00F52A7F"/>
    <w:rsid w:val="00F57867"/>
    <w:rsid w:val="00F77C16"/>
    <w:rsid w:val="00F839A9"/>
    <w:rsid w:val="00F84A25"/>
    <w:rsid w:val="00FC62A8"/>
    <w:rsid w:val="00FD2FF3"/>
    <w:rsid w:val="00FF09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58345-6425-4EDA-8B4A-551CD2A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2A03AC"/>
    <w:rPr>
      <w:rFonts w:ascii="Arial" w:hAnsi="Arial"/>
      <w:sz w:val="24"/>
    </w:rPr>
  </w:style>
  <w:style w:type="paragraph" w:styleId="Heading1">
    <w:name w:val="heading 1"/>
    <w:basedOn w:val="Normal"/>
    <w:next w:val="Normal"/>
    <w:link w:val="Heading1Char"/>
    <w:uiPriority w:val="9"/>
    <w:qFormat/>
    <w:rsid w:val="00125848"/>
    <w:pPr>
      <w:keepNext/>
      <w:keepLines/>
      <w:spacing w:before="36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76C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848"/>
    <w:rPr>
      <w:rFonts w:ascii="Arial" w:eastAsiaTheme="majorEastAsia" w:hAnsi="Arial" w:cstheme="majorBidi"/>
      <w:b/>
      <w:sz w:val="24"/>
      <w:szCs w:val="32"/>
    </w:rPr>
  </w:style>
  <w:style w:type="paragraph" w:styleId="BodyText">
    <w:name w:val="Body Text"/>
    <w:basedOn w:val="Normal"/>
    <w:link w:val="BodyTextChar"/>
    <w:uiPriority w:val="99"/>
    <w:semiHidden/>
    <w:unhideWhenUsed/>
    <w:rsid w:val="00176CED"/>
    <w:pPr>
      <w:spacing w:after="120"/>
    </w:pPr>
  </w:style>
  <w:style w:type="character" w:customStyle="1" w:styleId="BodyTextChar">
    <w:name w:val="Body Text Char"/>
    <w:basedOn w:val="DefaultParagraphFont"/>
    <w:link w:val="BodyText"/>
    <w:uiPriority w:val="99"/>
    <w:semiHidden/>
    <w:rsid w:val="00176CED"/>
    <w:rPr>
      <w:rFonts w:ascii="Arial" w:hAnsi="Arial"/>
      <w:sz w:val="24"/>
    </w:rPr>
  </w:style>
  <w:style w:type="character" w:customStyle="1" w:styleId="Heading2Char">
    <w:name w:val="Heading 2 Char"/>
    <w:basedOn w:val="DefaultParagraphFont"/>
    <w:link w:val="Heading2"/>
    <w:uiPriority w:val="9"/>
    <w:rsid w:val="00176C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6CED"/>
    <w:pPr>
      <w:ind w:left="720"/>
      <w:contextualSpacing/>
    </w:pPr>
  </w:style>
  <w:style w:type="paragraph" w:styleId="Header">
    <w:name w:val="header"/>
    <w:basedOn w:val="Normal"/>
    <w:link w:val="HeaderChar"/>
    <w:uiPriority w:val="99"/>
    <w:unhideWhenUsed/>
    <w:rsid w:val="00176CED"/>
    <w:pPr>
      <w:tabs>
        <w:tab w:val="center" w:pos="4513"/>
        <w:tab w:val="right" w:pos="9026"/>
      </w:tabs>
      <w:spacing w:line="240" w:lineRule="auto"/>
    </w:pPr>
  </w:style>
  <w:style w:type="character" w:customStyle="1" w:styleId="HeaderChar">
    <w:name w:val="Header Char"/>
    <w:basedOn w:val="DefaultParagraphFont"/>
    <w:link w:val="Header"/>
    <w:uiPriority w:val="99"/>
    <w:rsid w:val="00176CED"/>
    <w:rPr>
      <w:rFonts w:ascii="Arial" w:hAnsi="Arial"/>
      <w:sz w:val="24"/>
    </w:rPr>
  </w:style>
  <w:style w:type="paragraph" w:styleId="Footer">
    <w:name w:val="footer"/>
    <w:basedOn w:val="Normal"/>
    <w:link w:val="FooterChar"/>
    <w:uiPriority w:val="99"/>
    <w:unhideWhenUsed/>
    <w:rsid w:val="00176CED"/>
    <w:pPr>
      <w:tabs>
        <w:tab w:val="center" w:pos="4513"/>
        <w:tab w:val="right" w:pos="9026"/>
      </w:tabs>
      <w:spacing w:line="240" w:lineRule="auto"/>
    </w:pPr>
  </w:style>
  <w:style w:type="character" w:customStyle="1" w:styleId="FooterChar">
    <w:name w:val="Footer Char"/>
    <w:basedOn w:val="DefaultParagraphFont"/>
    <w:link w:val="Footer"/>
    <w:uiPriority w:val="99"/>
    <w:rsid w:val="00176CED"/>
    <w:rPr>
      <w:rFonts w:ascii="Arial" w:hAnsi="Arial"/>
      <w:sz w:val="24"/>
    </w:rPr>
  </w:style>
  <w:style w:type="paragraph" w:styleId="FootnoteText">
    <w:name w:val="footnote text"/>
    <w:basedOn w:val="Normal"/>
    <w:link w:val="FootnoteTextChar"/>
    <w:uiPriority w:val="99"/>
    <w:semiHidden/>
    <w:unhideWhenUsed/>
    <w:rsid w:val="00E91D15"/>
    <w:pPr>
      <w:spacing w:line="240" w:lineRule="auto"/>
    </w:pPr>
    <w:rPr>
      <w:sz w:val="20"/>
      <w:szCs w:val="20"/>
    </w:rPr>
  </w:style>
  <w:style w:type="character" w:customStyle="1" w:styleId="FootnoteTextChar">
    <w:name w:val="Footnote Text Char"/>
    <w:basedOn w:val="DefaultParagraphFont"/>
    <w:link w:val="FootnoteText"/>
    <w:uiPriority w:val="99"/>
    <w:semiHidden/>
    <w:rsid w:val="00E91D15"/>
    <w:rPr>
      <w:rFonts w:ascii="Arial" w:hAnsi="Arial"/>
      <w:sz w:val="20"/>
      <w:szCs w:val="20"/>
    </w:rPr>
  </w:style>
  <w:style w:type="character" w:styleId="FootnoteReference">
    <w:name w:val="footnote reference"/>
    <w:basedOn w:val="DefaultParagraphFont"/>
    <w:uiPriority w:val="99"/>
    <w:semiHidden/>
    <w:unhideWhenUsed/>
    <w:rsid w:val="00E91D15"/>
    <w:rPr>
      <w:vertAlign w:val="superscript"/>
    </w:rPr>
  </w:style>
  <w:style w:type="character" w:styleId="CommentReference">
    <w:name w:val="annotation reference"/>
    <w:basedOn w:val="DefaultParagraphFont"/>
    <w:uiPriority w:val="99"/>
    <w:semiHidden/>
    <w:unhideWhenUsed/>
    <w:rsid w:val="00360FBD"/>
    <w:rPr>
      <w:sz w:val="16"/>
      <w:szCs w:val="16"/>
    </w:rPr>
  </w:style>
  <w:style w:type="paragraph" w:styleId="CommentText">
    <w:name w:val="annotation text"/>
    <w:basedOn w:val="Normal"/>
    <w:link w:val="CommentTextChar"/>
    <w:uiPriority w:val="99"/>
    <w:unhideWhenUsed/>
    <w:rsid w:val="00360FBD"/>
    <w:pPr>
      <w:spacing w:line="240" w:lineRule="auto"/>
    </w:pPr>
    <w:rPr>
      <w:sz w:val="20"/>
      <w:szCs w:val="20"/>
    </w:rPr>
  </w:style>
  <w:style w:type="character" w:customStyle="1" w:styleId="CommentTextChar">
    <w:name w:val="Comment Text Char"/>
    <w:basedOn w:val="DefaultParagraphFont"/>
    <w:link w:val="CommentText"/>
    <w:uiPriority w:val="99"/>
    <w:rsid w:val="00360F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BD"/>
    <w:rPr>
      <w:b/>
      <w:bCs/>
    </w:rPr>
  </w:style>
  <w:style w:type="character" w:customStyle="1" w:styleId="CommentSubjectChar">
    <w:name w:val="Comment Subject Char"/>
    <w:basedOn w:val="CommentTextChar"/>
    <w:link w:val="CommentSubject"/>
    <w:uiPriority w:val="99"/>
    <w:semiHidden/>
    <w:rsid w:val="00360FBD"/>
    <w:rPr>
      <w:rFonts w:ascii="Arial" w:hAnsi="Arial"/>
      <w:b/>
      <w:bCs/>
      <w:sz w:val="20"/>
      <w:szCs w:val="20"/>
    </w:rPr>
  </w:style>
  <w:style w:type="paragraph" w:styleId="BalloonText">
    <w:name w:val="Balloon Text"/>
    <w:basedOn w:val="Normal"/>
    <w:link w:val="BalloonTextChar"/>
    <w:uiPriority w:val="99"/>
    <w:semiHidden/>
    <w:unhideWhenUsed/>
    <w:rsid w:val="00360F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BD"/>
    <w:rPr>
      <w:rFonts w:ascii="Segoe UI" w:hAnsi="Segoe UI" w:cs="Segoe UI"/>
      <w:sz w:val="18"/>
      <w:szCs w:val="18"/>
    </w:rPr>
  </w:style>
  <w:style w:type="character" w:customStyle="1" w:styleId="g1">
    <w:name w:val="g1"/>
    <w:basedOn w:val="DefaultParagraphFont"/>
    <w:rsid w:val="00190E22"/>
  </w:style>
  <w:style w:type="character" w:styleId="Hyperlink">
    <w:name w:val="Hyperlink"/>
    <w:basedOn w:val="DefaultParagraphFont"/>
    <w:uiPriority w:val="99"/>
    <w:semiHidden/>
    <w:unhideWhenUsed/>
    <w:rsid w:val="00190E22"/>
    <w:rPr>
      <w:color w:val="0000FF"/>
      <w:u w:val="single"/>
    </w:rPr>
  </w:style>
  <w:style w:type="character" w:customStyle="1" w:styleId="mc">
    <w:name w:val="mc"/>
    <w:basedOn w:val="DefaultParagraphFont"/>
    <w:rsid w:val="00190E22"/>
  </w:style>
  <w:style w:type="paragraph" w:styleId="Revision">
    <w:name w:val="Revision"/>
    <w:hidden/>
    <w:uiPriority w:val="99"/>
    <w:semiHidden/>
    <w:rsid w:val="00324876"/>
    <w:pPr>
      <w:spacing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352">
      <w:bodyDiv w:val="1"/>
      <w:marLeft w:val="0"/>
      <w:marRight w:val="0"/>
      <w:marTop w:val="0"/>
      <w:marBottom w:val="0"/>
      <w:divBdr>
        <w:top w:val="none" w:sz="0" w:space="0" w:color="auto"/>
        <w:left w:val="none" w:sz="0" w:space="0" w:color="auto"/>
        <w:bottom w:val="none" w:sz="0" w:space="0" w:color="auto"/>
        <w:right w:val="none" w:sz="0" w:space="0" w:color="auto"/>
      </w:divBdr>
    </w:div>
    <w:div w:id="76556381">
      <w:bodyDiv w:val="1"/>
      <w:marLeft w:val="0"/>
      <w:marRight w:val="0"/>
      <w:marTop w:val="0"/>
      <w:marBottom w:val="0"/>
      <w:divBdr>
        <w:top w:val="none" w:sz="0" w:space="0" w:color="auto"/>
        <w:left w:val="none" w:sz="0" w:space="0" w:color="auto"/>
        <w:bottom w:val="none" w:sz="0" w:space="0" w:color="auto"/>
        <w:right w:val="none" w:sz="0" w:space="0" w:color="auto"/>
      </w:divBdr>
    </w:div>
    <w:div w:id="91824308">
      <w:bodyDiv w:val="1"/>
      <w:marLeft w:val="0"/>
      <w:marRight w:val="0"/>
      <w:marTop w:val="0"/>
      <w:marBottom w:val="0"/>
      <w:divBdr>
        <w:top w:val="none" w:sz="0" w:space="0" w:color="auto"/>
        <w:left w:val="none" w:sz="0" w:space="0" w:color="auto"/>
        <w:bottom w:val="none" w:sz="0" w:space="0" w:color="auto"/>
        <w:right w:val="none" w:sz="0" w:space="0" w:color="auto"/>
      </w:divBdr>
    </w:div>
    <w:div w:id="98794063">
      <w:bodyDiv w:val="1"/>
      <w:marLeft w:val="0"/>
      <w:marRight w:val="0"/>
      <w:marTop w:val="0"/>
      <w:marBottom w:val="0"/>
      <w:divBdr>
        <w:top w:val="none" w:sz="0" w:space="0" w:color="auto"/>
        <w:left w:val="none" w:sz="0" w:space="0" w:color="auto"/>
        <w:bottom w:val="none" w:sz="0" w:space="0" w:color="auto"/>
        <w:right w:val="none" w:sz="0" w:space="0" w:color="auto"/>
      </w:divBdr>
    </w:div>
    <w:div w:id="186601855">
      <w:bodyDiv w:val="1"/>
      <w:marLeft w:val="0"/>
      <w:marRight w:val="0"/>
      <w:marTop w:val="0"/>
      <w:marBottom w:val="0"/>
      <w:divBdr>
        <w:top w:val="none" w:sz="0" w:space="0" w:color="auto"/>
        <w:left w:val="none" w:sz="0" w:space="0" w:color="auto"/>
        <w:bottom w:val="none" w:sz="0" w:space="0" w:color="auto"/>
        <w:right w:val="none" w:sz="0" w:space="0" w:color="auto"/>
      </w:divBdr>
      <w:divsChild>
        <w:div w:id="663045028">
          <w:marLeft w:val="567"/>
          <w:marRight w:val="0"/>
          <w:marTop w:val="120"/>
          <w:marBottom w:val="20"/>
          <w:divBdr>
            <w:top w:val="none" w:sz="0" w:space="0" w:color="auto"/>
            <w:left w:val="none" w:sz="0" w:space="0" w:color="auto"/>
            <w:bottom w:val="none" w:sz="0" w:space="0" w:color="auto"/>
            <w:right w:val="none" w:sz="0" w:space="0" w:color="auto"/>
          </w:divBdr>
        </w:div>
        <w:div w:id="804852195">
          <w:marLeft w:val="0"/>
          <w:marRight w:val="0"/>
          <w:marTop w:val="120"/>
          <w:marBottom w:val="0"/>
          <w:divBdr>
            <w:top w:val="none" w:sz="0" w:space="0" w:color="auto"/>
            <w:left w:val="none" w:sz="0" w:space="0" w:color="auto"/>
            <w:bottom w:val="none" w:sz="0" w:space="0" w:color="auto"/>
            <w:right w:val="none" w:sz="0" w:space="0" w:color="auto"/>
          </w:divBdr>
        </w:div>
        <w:div w:id="806162434">
          <w:marLeft w:val="0"/>
          <w:marRight w:val="0"/>
          <w:marTop w:val="120"/>
          <w:marBottom w:val="0"/>
          <w:divBdr>
            <w:top w:val="none" w:sz="0" w:space="0" w:color="auto"/>
            <w:left w:val="none" w:sz="0" w:space="0" w:color="auto"/>
            <w:bottom w:val="none" w:sz="0" w:space="0" w:color="auto"/>
            <w:right w:val="none" w:sz="0" w:space="0" w:color="auto"/>
          </w:divBdr>
        </w:div>
        <w:div w:id="987519414">
          <w:marLeft w:val="0"/>
          <w:marRight w:val="0"/>
          <w:marTop w:val="240"/>
          <w:marBottom w:val="24"/>
          <w:divBdr>
            <w:top w:val="single" w:sz="8" w:space="2" w:color="808080"/>
            <w:left w:val="none" w:sz="0" w:space="0" w:color="auto"/>
            <w:bottom w:val="none" w:sz="0" w:space="0" w:color="auto"/>
            <w:right w:val="none" w:sz="0" w:space="0" w:color="auto"/>
          </w:divBdr>
        </w:div>
        <w:div w:id="1338314551">
          <w:marLeft w:val="567"/>
          <w:marRight w:val="0"/>
          <w:marTop w:val="120"/>
          <w:marBottom w:val="20"/>
          <w:divBdr>
            <w:top w:val="none" w:sz="0" w:space="0" w:color="auto"/>
            <w:left w:val="none" w:sz="0" w:space="0" w:color="auto"/>
            <w:bottom w:val="none" w:sz="0" w:space="0" w:color="auto"/>
            <w:right w:val="none" w:sz="0" w:space="0" w:color="auto"/>
          </w:divBdr>
        </w:div>
      </w:divsChild>
    </w:div>
    <w:div w:id="187304499">
      <w:bodyDiv w:val="1"/>
      <w:marLeft w:val="0"/>
      <w:marRight w:val="0"/>
      <w:marTop w:val="0"/>
      <w:marBottom w:val="0"/>
      <w:divBdr>
        <w:top w:val="none" w:sz="0" w:space="0" w:color="auto"/>
        <w:left w:val="none" w:sz="0" w:space="0" w:color="auto"/>
        <w:bottom w:val="none" w:sz="0" w:space="0" w:color="auto"/>
        <w:right w:val="none" w:sz="0" w:space="0" w:color="auto"/>
      </w:divBdr>
    </w:div>
    <w:div w:id="196553728">
      <w:bodyDiv w:val="1"/>
      <w:marLeft w:val="0"/>
      <w:marRight w:val="0"/>
      <w:marTop w:val="0"/>
      <w:marBottom w:val="0"/>
      <w:divBdr>
        <w:top w:val="none" w:sz="0" w:space="0" w:color="auto"/>
        <w:left w:val="none" w:sz="0" w:space="0" w:color="auto"/>
        <w:bottom w:val="none" w:sz="0" w:space="0" w:color="auto"/>
        <w:right w:val="none" w:sz="0" w:space="0" w:color="auto"/>
      </w:divBdr>
    </w:div>
    <w:div w:id="200754435">
      <w:bodyDiv w:val="1"/>
      <w:marLeft w:val="0"/>
      <w:marRight w:val="0"/>
      <w:marTop w:val="0"/>
      <w:marBottom w:val="0"/>
      <w:divBdr>
        <w:top w:val="none" w:sz="0" w:space="0" w:color="auto"/>
        <w:left w:val="none" w:sz="0" w:space="0" w:color="auto"/>
        <w:bottom w:val="none" w:sz="0" w:space="0" w:color="auto"/>
        <w:right w:val="none" w:sz="0" w:space="0" w:color="auto"/>
      </w:divBdr>
    </w:div>
    <w:div w:id="329017562">
      <w:bodyDiv w:val="1"/>
      <w:marLeft w:val="0"/>
      <w:marRight w:val="0"/>
      <w:marTop w:val="0"/>
      <w:marBottom w:val="0"/>
      <w:divBdr>
        <w:top w:val="none" w:sz="0" w:space="0" w:color="auto"/>
        <w:left w:val="none" w:sz="0" w:space="0" w:color="auto"/>
        <w:bottom w:val="none" w:sz="0" w:space="0" w:color="auto"/>
        <w:right w:val="none" w:sz="0" w:space="0" w:color="auto"/>
      </w:divBdr>
    </w:div>
    <w:div w:id="419914864">
      <w:bodyDiv w:val="1"/>
      <w:marLeft w:val="0"/>
      <w:marRight w:val="0"/>
      <w:marTop w:val="0"/>
      <w:marBottom w:val="0"/>
      <w:divBdr>
        <w:top w:val="none" w:sz="0" w:space="0" w:color="auto"/>
        <w:left w:val="none" w:sz="0" w:space="0" w:color="auto"/>
        <w:bottom w:val="none" w:sz="0" w:space="0" w:color="auto"/>
        <w:right w:val="none" w:sz="0" w:space="0" w:color="auto"/>
      </w:divBdr>
    </w:div>
    <w:div w:id="455218334">
      <w:bodyDiv w:val="1"/>
      <w:marLeft w:val="0"/>
      <w:marRight w:val="0"/>
      <w:marTop w:val="0"/>
      <w:marBottom w:val="0"/>
      <w:divBdr>
        <w:top w:val="none" w:sz="0" w:space="0" w:color="auto"/>
        <w:left w:val="none" w:sz="0" w:space="0" w:color="auto"/>
        <w:bottom w:val="none" w:sz="0" w:space="0" w:color="auto"/>
        <w:right w:val="none" w:sz="0" w:space="0" w:color="auto"/>
      </w:divBdr>
    </w:div>
    <w:div w:id="576525013">
      <w:bodyDiv w:val="1"/>
      <w:marLeft w:val="0"/>
      <w:marRight w:val="0"/>
      <w:marTop w:val="0"/>
      <w:marBottom w:val="0"/>
      <w:divBdr>
        <w:top w:val="none" w:sz="0" w:space="0" w:color="auto"/>
        <w:left w:val="none" w:sz="0" w:space="0" w:color="auto"/>
        <w:bottom w:val="none" w:sz="0" w:space="0" w:color="auto"/>
        <w:right w:val="none" w:sz="0" w:space="0" w:color="auto"/>
      </w:divBdr>
    </w:div>
    <w:div w:id="606037580">
      <w:bodyDiv w:val="1"/>
      <w:marLeft w:val="0"/>
      <w:marRight w:val="0"/>
      <w:marTop w:val="0"/>
      <w:marBottom w:val="0"/>
      <w:divBdr>
        <w:top w:val="none" w:sz="0" w:space="0" w:color="auto"/>
        <w:left w:val="none" w:sz="0" w:space="0" w:color="auto"/>
        <w:bottom w:val="none" w:sz="0" w:space="0" w:color="auto"/>
        <w:right w:val="none" w:sz="0" w:space="0" w:color="auto"/>
      </w:divBdr>
    </w:div>
    <w:div w:id="730809265">
      <w:bodyDiv w:val="1"/>
      <w:marLeft w:val="0"/>
      <w:marRight w:val="0"/>
      <w:marTop w:val="0"/>
      <w:marBottom w:val="0"/>
      <w:divBdr>
        <w:top w:val="none" w:sz="0" w:space="0" w:color="auto"/>
        <w:left w:val="none" w:sz="0" w:space="0" w:color="auto"/>
        <w:bottom w:val="none" w:sz="0" w:space="0" w:color="auto"/>
        <w:right w:val="none" w:sz="0" w:space="0" w:color="auto"/>
      </w:divBdr>
    </w:div>
    <w:div w:id="806362453">
      <w:bodyDiv w:val="1"/>
      <w:marLeft w:val="0"/>
      <w:marRight w:val="0"/>
      <w:marTop w:val="0"/>
      <w:marBottom w:val="0"/>
      <w:divBdr>
        <w:top w:val="none" w:sz="0" w:space="0" w:color="auto"/>
        <w:left w:val="none" w:sz="0" w:space="0" w:color="auto"/>
        <w:bottom w:val="none" w:sz="0" w:space="0" w:color="auto"/>
        <w:right w:val="none" w:sz="0" w:space="0" w:color="auto"/>
      </w:divBdr>
    </w:div>
    <w:div w:id="921063774">
      <w:bodyDiv w:val="1"/>
      <w:marLeft w:val="0"/>
      <w:marRight w:val="0"/>
      <w:marTop w:val="0"/>
      <w:marBottom w:val="0"/>
      <w:divBdr>
        <w:top w:val="none" w:sz="0" w:space="0" w:color="auto"/>
        <w:left w:val="none" w:sz="0" w:space="0" w:color="auto"/>
        <w:bottom w:val="none" w:sz="0" w:space="0" w:color="auto"/>
        <w:right w:val="none" w:sz="0" w:space="0" w:color="auto"/>
      </w:divBdr>
    </w:div>
    <w:div w:id="945312012">
      <w:bodyDiv w:val="1"/>
      <w:marLeft w:val="0"/>
      <w:marRight w:val="0"/>
      <w:marTop w:val="0"/>
      <w:marBottom w:val="0"/>
      <w:divBdr>
        <w:top w:val="none" w:sz="0" w:space="0" w:color="auto"/>
        <w:left w:val="none" w:sz="0" w:space="0" w:color="auto"/>
        <w:bottom w:val="none" w:sz="0" w:space="0" w:color="auto"/>
        <w:right w:val="none" w:sz="0" w:space="0" w:color="auto"/>
      </w:divBdr>
    </w:div>
    <w:div w:id="986207439">
      <w:bodyDiv w:val="1"/>
      <w:marLeft w:val="0"/>
      <w:marRight w:val="0"/>
      <w:marTop w:val="0"/>
      <w:marBottom w:val="0"/>
      <w:divBdr>
        <w:top w:val="none" w:sz="0" w:space="0" w:color="auto"/>
        <w:left w:val="none" w:sz="0" w:space="0" w:color="auto"/>
        <w:bottom w:val="none" w:sz="0" w:space="0" w:color="auto"/>
        <w:right w:val="none" w:sz="0" w:space="0" w:color="auto"/>
      </w:divBdr>
    </w:div>
    <w:div w:id="986325898">
      <w:bodyDiv w:val="1"/>
      <w:marLeft w:val="0"/>
      <w:marRight w:val="0"/>
      <w:marTop w:val="0"/>
      <w:marBottom w:val="0"/>
      <w:divBdr>
        <w:top w:val="none" w:sz="0" w:space="0" w:color="auto"/>
        <w:left w:val="none" w:sz="0" w:space="0" w:color="auto"/>
        <w:bottom w:val="none" w:sz="0" w:space="0" w:color="auto"/>
        <w:right w:val="none" w:sz="0" w:space="0" w:color="auto"/>
      </w:divBdr>
    </w:div>
    <w:div w:id="1011374013">
      <w:bodyDiv w:val="1"/>
      <w:marLeft w:val="0"/>
      <w:marRight w:val="0"/>
      <w:marTop w:val="0"/>
      <w:marBottom w:val="0"/>
      <w:divBdr>
        <w:top w:val="none" w:sz="0" w:space="0" w:color="auto"/>
        <w:left w:val="none" w:sz="0" w:space="0" w:color="auto"/>
        <w:bottom w:val="none" w:sz="0" w:space="0" w:color="auto"/>
        <w:right w:val="none" w:sz="0" w:space="0" w:color="auto"/>
      </w:divBdr>
    </w:div>
    <w:div w:id="1027488669">
      <w:bodyDiv w:val="1"/>
      <w:marLeft w:val="0"/>
      <w:marRight w:val="0"/>
      <w:marTop w:val="0"/>
      <w:marBottom w:val="0"/>
      <w:divBdr>
        <w:top w:val="none" w:sz="0" w:space="0" w:color="auto"/>
        <w:left w:val="none" w:sz="0" w:space="0" w:color="auto"/>
        <w:bottom w:val="none" w:sz="0" w:space="0" w:color="auto"/>
        <w:right w:val="none" w:sz="0" w:space="0" w:color="auto"/>
      </w:divBdr>
    </w:div>
    <w:div w:id="1064572547">
      <w:bodyDiv w:val="1"/>
      <w:marLeft w:val="0"/>
      <w:marRight w:val="0"/>
      <w:marTop w:val="0"/>
      <w:marBottom w:val="0"/>
      <w:divBdr>
        <w:top w:val="none" w:sz="0" w:space="0" w:color="auto"/>
        <w:left w:val="none" w:sz="0" w:space="0" w:color="auto"/>
        <w:bottom w:val="none" w:sz="0" w:space="0" w:color="auto"/>
        <w:right w:val="none" w:sz="0" w:space="0" w:color="auto"/>
      </w:divBdr>
    </w:div>
    <w:div w:id="1127697969">
      <w:bodyDiv w:val="1"/>
      <w:marLeft w:val="0"/>
      <w:marRight w:val="0"/>
      <w:marTop w:val="0"/>
      <w:marBottom w:val="0"/>
      <w:divBdr>
        <w:top w:val="none" w:sz="0" w:space="0" w:color="auto"/>
        <w:left w:val="none" w:sz="0" w:space="0" w:color="auto"/>
        <w:bottom w:val="none" w:sz="0" w:space="0" w:color="auto"/>
        <w:right w:val="none" w:sz="0" w:space="0" w:color="auto"/>
      </w:divBdr>
    </w:div>
    <w:div w:id="1211502145">
      <w:bodyDiv w:val="1"/>
      <w:marLeft w:val="0"/>
      <w:marRight w:val="0"/>
      <w:marTop w:val="0"/>
      <w:marBottom w:val="0"/>
      <w:divBdr>
        <w:top w:val="none" w:sz="0" w:space="0" w:color="auto"/>
        <w:left w:val="none" w:sz="0" w:space="0" w:color="auto"/>
        <w:bottom w:val="none" w:sz="0" w:space="0" w:color="auto"/>
        <w:right w:val="none" w:sz="0" w:space="0" w:color="auto"/>
      </w:divBdr>
    </w:div>
    <w:div w:id="1301377970">
      <w:bodyDiv w:val="1"/>
      <w:marLeft w:val="0"/>
      <w:marRight w:val="0"/>
      <w:marTop w:val="0"/>
      <w:marBottom w:val="0"/>
      <w:divBdr>
        <w:top w:val="none" w:sz="0" w:space="0" w:color="auto"/>
        <w:left w:val="none" w:sz="0" w:space="0" w:color="auto"/>
        <w:bottom w:val="none" w:sz="0" w:space="0" w:color="auto"/>
        <w:right w:val="none" w:sz="0" w:space="0" w:color="auto"/>
      </w:divBdr>
    </w:div>
    <w:div w:id="1359820252">
      <w:bodyDiv w:val="1"/>
      <w:marLeft w:val="0"/>
      <w:marRight w:val="0"/>
      <w:marTop w:val="0"/>
      <w:marBottom w:val="0"/>
      <w:divBdr>
        <w:top w:val="none" w:sz="0" w:space="0" w:color="auto"/>
        <w:left w:val="none" w:sz="0" w:space="0" w:color="auto"/>
        <w:bottom w:val="none" w:sz="0" w:space="0" w:color="auto"/>
        <w:right w:val="none" w:sz="0" w:space="0" w:color="auto"/>
      </w:divBdr>
    </w:div>
    <w:div w:id="1481770188">
      <w:bodyDiv w:val="1"/>
      <w:marLeft w:val="0"/>
      <w:marRight w:val="0"/>
      <w:marTop w:val="0"/>
      <w:marBottom w:val="0"/>
      <w:divBdr>
        <w:top w:val="none" w:sz="0" w:space="0" w:color="auto"/>
        <w:left w:val="none" w:sz="0" w:space="0" w:color="auto"/>
        <w:bottom w:val="none" w:sz="0" w:space="0" w:color="auto"/>
        <w:right w:val="none" w:sz="0" w:space="0" w:color="auto"/>
      </w:divBdr>
    </w:div>
    <w:div w:id="1553149669">
      <w:bodyDiv w:val="1"/>
      <w:marLeft w:val="0"/>
      <w:marRight w:val="0"/>
      <w:marTop w:val="0"/>
      <w:marBottom w:val="0"/>
      <w:divBdr>
        <w:top w:val="none" w:sz="0" w:space="0" w:color="auto"/>
        <w:left w:val="none" w:sz="0" w:space="0" w:color="auto"/>
        <w:bottom w:val="none" w:sz="0" w:space="0" w:color="auto"/>
        <w:right w:val="none" w:sz="0" w:space="0" w:color="auto"/>
      </w:divBdr>
    </w:div>
    <w:div w:id="1566993421">
      <w:bodyDiv w:val="1"/>
      <w:marLeft w:val="0"/>
      <w:marRight w:val="0"/>
      <w:marTop w:val="0"/>
      <w:marBottom w:val="0"/>
      <w:divBdr>
        <w:top w:val="none" w:sz="0" w:space="0" w:color="auto"/>
        <w:left w:val="none" w:sz="0" w:space="0" w:color="auto"/>
        <w:bottom w:val="none" w:sz="0" w:space="0" w:color="auto"/>
        <w:right w:val="none" w:sz="0" w:space="0" w:color="auto"/>
      </w:divBdr>
    </w:div>
    <w:div w:id="1596671700">
      <w:bodyDiv w:val="1"/>
      <w:marLeft w:val="0"/>
      <w:marRight w:val="0"/>
      <w:marTop w:val="0"/>
      <w:marBottom w:val="0"/>
      <w:divBdr>
        <w:top w:val="none" w:sz="0" w:space="0" w:color="auto"/>
        <w:left w:val="none" w:sz="0" w:space="0" w:color="auto"/>
        <w:bottom w:val="none" w:sz="0" w:space="0" w:color="auto"/>
        <w:right w:val="none" w:sz="0" w:space="0" w:color="auto"/>
      </w:divBdr>
    </w:div>
    <w:div w:id="1628388772">
      <w:bodyDiv w:val="1"/>
      <w:marLeft w:val="0"/>
      <w:marRight w:val="0"/>
      <w:marTop w:val="0"/>
      <w:marBottom w:val="0"/>
      <w:divBdr>
        <w:top w:val="none" w:sz="0" w:space="0" w:color="auto"/>
        <w:left w:val="none" w:sz="0" w:space="0" w:color="auto"/>
        <w:bottom w:val="none" w:sz="0" w:space="0" w:color="auto"/>
        <w:right w:val="none" w:sz="0" w:space="0" w:color="auto"/>
      </w:divBdr>
    </w:div>
    <w:div w:id="1640262084">
      <w:bodyDiv w:val="1"/>
      <w:marLeft w:val="0"/>
      <w:marRight w:val="0"/>
      <w:marTop w:val="0"/>
      <w:marBottom w:val="0"/>
      <w:divBdr>
        <w:top w:val="none" w:sz="0" w:space="0" w:color="auto"/>
        <w:left w:val="none" w:sz="0" w:space="0" w:color="auto"/>
        <w:bottom w:val="none" w:sz="0" w:space="0" w:color="auto"/>
        <w:right w:val="none" w:sz="0" w:space="0" w:color="auto"/>
      </w:divBdr>
    </w:div>
    <w:div w:id="1691637057">
      <w:bodyDiv w:val="1"/>
      <w:marLeft w:val="0"/>
      <w:marRight w:val="0"/>
      <w:marTop w:val="0"/>
      <w:marBottom w:val="0"/>
      <w:divBdr>
        <w:top w:val="none" w:sz="0" w:space="0" w:color="auto"/>
        <w:left w:val="none" w:sz="0" w:space="0" w:color="auto"/>
        <w:bottom w:val="none" w:sz="0" w:space="0" w:color="auto"/>
        <w:right w:val="none" w:sz="0" w:space="0" w:color="auto"/>
      </w:divBdr>
    </w:div>
    <w:div w:id="1691682172">
      <w:bodyDiv w:val="1"/>
      <w:marLeft w:val="0"/>
      <w:marRight w:val="0"/>
      <w:marTop w:val="0"/>
      <w:marBottom w:val="0"/>
      <w:divBdr>
        <w:top w:val="none" w:sz="0" w:space="0" w:color="auto"/>
        <w:left w:val="none" w:sz="0" w:space="0" w:color="auto"/>
        <w:bottom w:val="none" w:sz="0" w:space="0" w:color="auto"/>
        <w:right w:val="none" w:sz="0" w:space="0" w:color="auto"/>
      </w:divBdr>
    </w:div>
    <w:div w:id="1695375210">
      <w:bodyDiv w:val="1"/>
      <w:marLeft w:val="0"/>
      <w:marRight w:val="0"/>
      <w:marTop w:val="0"/>
      <w:marBottom w:val="0"/>
      <w:divBdr>
        <w:top w:val="none" w:sz="0" w:space="0" w:color="auto"/>
        <w:left w:val="none" w:sz="0" w:space="0" w:color="auto"/>
        <w:bottom w:val="none" w:sz="0" w:space="0" w:color="auto"/>
        <w:right w:val="none" w:sz="0" w:space="0" w:color="auto"/>
      </w:divBdr>
    </w:div>
    <w:div w:id="1728643574">
      <w:bodyDiv w:val="1"/>
      <w:marLeft w:val="0"/>
      <w:marRight w:val="0"/>
      <w:marTop w:val="0"/>
      <w:marBottom w:val="0"/>
      <w:divBdr>
        <w:top w:val="none" w:sz="0" w:space="0" w:color="auto"/>
        <w:left w:val="none" w:sz="0" w:space="0" w:color="auto"/>
        <w:bottom w:val="none" w:sz="0" w:space="0" w:color="auto"/>
        <w:right w:val="none" w:sz="0" w:space="0" w:color="auto"/>
      </w:divBdr>
    </w:div>
    <w:div w:id="1804736865">
      <w:bodyDiv w:val="1"/>
      <w:marLeft w:val="0"/>
      <w:marRight w:val="0"/>
      <w:marTop w:val="0"/>
      <w:marBottom w:val="0"/>
      <w:divBdr>
        <w:top w:val="none" w:sz="0" w:space="0" w:color="auto"/>
        <w:left w:val="none" w:sz="0" w:space="0" w:color="auto"/>
        <w:bottom w:val="none" w:sz="0" w:space="0" w:color="auto"/>
        <w:right w:val="none" w:sz="0" w:space="0" w:color="auto"/>
      </w:divBdr>
    </w:div>
    <w:div w:id="1912501750">
      <w:bodyDiv w:val="1"/>
      <w:marLeft w:val="0"/>
      <w:marRight w:val="0"/>
      <w:marTop w:val="0"/>
      <w:marBottom w:val="0"/>
      <w:divBdr>
        <w:top w:val="none" w:sz="0" w:space="0" w:color="auto"/>
        <w:left w:val="none" w:sz="0" w:space="0" w:color="auto"/>
        <w:bottom w:val="none" w:sz="0" w:space="0" w:color="auto"/>
        <w:right w:val="none" w:sz="0" w:space="0" w:color="auto"/>
      </w:divBdr>
    </w:div>
    <w:div w:id="1972903446">
      <w:bodyDiv w:val="1"/>
      <w:marLeft w:val="0"/>
      <w:marRight w:val="0"/>
      <w:marTop w:val="0"/>
      <w:marBottom w:val="0"/>
      <w:divBdr>
        <w:top w:val="none" w:sz="0" w:space="0" w:color="auto"/>
        <w:left w:val="none" w:sz="0" w:space="0" w:color="auto"/>
        <w:bottom w:val="none" w:sz="0" w:space="0" w:color="auto"/>
        <w:right w:val="none" w:sz="0" w:space="0" w:color="auto"/>
      </w:divBdr>
    </w:div>
    <w:div w:id="2053573722">
      <w:bodyDiv w:val="1"/>
      <w:marLeft w:val="0"/>
      <w:marRight w:val="0"/>
      <w:marTop w:val="0"/>
      <w:marBottom w:val="0"/>
      <w:divBdr>
        <w:top w:val="none" w:sz="0" w:space="0" w:color="auto"/>
        <w:left w:val="none" w:sz="0" w:space="0" w:color="auto"/>
        <w:bottom w:val="none" w:sz="0" w:space="0" w:color="auto"/>
        <w:right w:val="none" w:sz="0" w:space="0" w:color="auto"/>
      </w:divBdr>
    </w:div>
    <w:div w:id="2119138684">
      <w:bodyDiv w:val="1"/>
      <w:marLeft w:val="0"/>
      <w:marRight w:val="0"/>
      <w:marTop w:val="0"/>
      <w:marBottom w:val="0"/>
      <w:divBdr>
        <w:top w:val="none" w:sz="0" w:space="0" w:color="auto"/>
        <w:left w:val="none" w:sz="0" w:space="0" w:color="auto"/>
        <w:bottom w:val="none" w:sz="0" w:space="0" w:color="auto"/>
        <w:right w:val="none" w:sz="0" w:space="0" w:color="auto"/>
      </w:divBdr>
    </w:div>
    <w:div w:id="21200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FE53-5F55-4453-BF20-A721DEAC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Wierzbicka</dc:creator>
  <cp:keywords/>
  <dc:description/>
  <cp:lastModifiedBy>Mary Bruce</cp:lastModifiedBy>
  <cp:revision>2</cp:revision>
  <cp:lastPrinted>2022-01-24T07:09:00Z</cp:lastPrinted>
  <dcterms:created xsi:type="dcterms:W3CDTF">2022-01-24T09:57:00Z</dcterms:created>
  <dcterms:modified xsi:type="dcterms:W3CDTF">2022-01-24T09:57:00Z</dcterms:modified>
</cp:coreProperties>
</file>