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37414" w14:textId="62945B74" w:rsidR="00A61467" w:rsidRPr="00D054BC" w:rsidRDefault="00D054BC" w:rsidP="003F20AA">
      <w:pPr>
        <w:pStyle w:val="MEMONUMBERED"/>
        <w:rPr>
          <w:highlight w:val="blue"/>
        </w:rPr>
      </w:pPr>
      <w:bookmarkStart w:id="0" w:name="_GoBack"/>
      <w:bookmarkEnd w:id="0"/>
      <w:r w:rsidRPr="00D054BC">
        <w:rPr>
          <w:noProof/>
          <w:highlight w:val="blue"/>
          <w:lang w:val="en-ZA"/>
        </w:rPr>
        <w:drawing>
          <wp:anchor distT="0" distB="0" distL="114300" distR="114300" simplePos="0" relativeHeight="251659264" behindDoc="0" locked="0" layoutInCell="1" allowOverlap="1" wp14:anchorId="7E02DFE1" wp14:editId="34193C55">
            <wp:simplePos x="0" y="0"/>
            <wp:positionH relativeFrom="margin">
              <wp:align>center</wp:align>
            </wp:positionH>
            <wp:positionV relativeFrom="paragraph">
              <wp:posOffset>0</wp:posOffset>
            </wp:positionV>
            <wp:extent cx="800100" cy="914400"/>
            <wp:effectExtent l="0" t="0" r="0" b="0"/>
            <wp:wrapSquare wrapText="bothSides"/>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91FB8" w14:textId="714AEDDE" w:rsidR="00A61467" w:rsidRPr="00D054BC" w:rsidRDefault="00A61467" w:rsidP="00A61467">
      <w:pPr>
        <w:widowControl w:val="0"/>
        <w:autoSpaceDE w:val="0"/>
        <w:autoSpaceDN w:val="0"/>
        <w:adjustRightInd w:val="0"/>
        <w:spacing w:line="240" w:lineRule="auto"/>
        <w:rPr>
          <w:rFonts w:ascii="Times New Roman" w:eastAsiaTheme="minorEastAsia" w:hAnsi="Times New Roman" w:cs="Times New Roman"/>
          <w:sz w:val="28"/>
          <w:szCs w:val="28"/>
          <w:highlight w:val="blue"/>
          <w:lang w:eastAsia="en-ZA"/>
        </w:rPr>
      </w:pPr>
    </w:p>
    <w:p w14:paraId="1F52CACF" w14:textId="77777777" w:rsidR="00A61467" w:rsidRPr="00D054BC" w:rsidRDefault="00A61467" w:rsidP="004B6028">
      <w:pPr>
        <w:widowControl w:val="0"/>
        <w:autoSpaceDE w:val="0"/>
        <w:autoSpaceDN w:val="0"/>
        <w:adjustRightInd w:val="0"/>
        <w:spacing w:before="120" w:after="120"/>
        <w:rPr>
          <w:rFonts w:ascii="Times New Roman" w:eastAsiaTheme="minorEastAsia" w:hAnsi="Times New Roman" w:cs="Times New Roman"/>
          <w:b/>
          <w:bCs/>
          <w:sz w:val="28"/>
          <w:szCs w:val="28"/>
          <w:highlight w:val="blue"/>
          <w:lang w:eastAsia="en-ZA"/>
        </w:rPr>
      </w:pPr>
    </w:p>
    <w:p w14:paraId="67976CB2" w14:textId="77777777" w:rsidR="00A61467" w:rsidRPr="00D054BC" w:rsidRDefault="00A61467" w:rsidP="00E46ECC">
      <w:pPr>
        <w:widowControl w:val="0"/>
        <w:autoSpaceDE w:val="0"/>
        <w:autoSpaceDN w:val="0"/>
        <w:adjustRightInd w:val="0"/>
        <w:spacing w:before="120"/>
        <w:jc w:val="center"/>
        <w:rPr>
          <w:rFonts w:ascii="Arial" w:eastAsiaTheme="minorEastAsia" w:hAnsi="Arial" w:cs="Arial"/>
          <w:b/>
          <w:bCs/>
          <w:sz w:val="24"/>
          <w:szCs w:val="24"/>
          <w:lang w:eastAsia="en-ZA"/>
        </w:rPr>
      </w:pPr>
      <w:r w:rsidRPr="00D054BC">
        <w:rPr>
          <w:rFonts w:ascii="Arial" w:eastAsiaTheme="minorEastAsia" w:hAnsi="Arial" w:cs="Arial"/>
          <w:b/>
          <w:bCs/>
          <w:sz w:val="24"/>
          <w:szCs w:val="24"/>
          <w:lang w:eastAsia="en-ZA"/>
        </w:rPr>
        <w:t>THE SUPREME COURT OF APPEAL OF SOUTH AFRICA</w:t>
      </w:r>
    </w:p>
    <w:p w14:paraId="6AAF0CE9" w14:textId="7DE4A847" w:rsidR="00CC4065" w:rsidRDefault="00A61467" w:rsidP="00A97E67">
      <w:pPr>
        <w:widowControl w:val="0"/>
        <w:tabs>
          <w:tab w:val="left" w:pos="623"/>
          <w:tab w:val="center" w:pos="4513"/>
        </w:tabs>
        <w:autoSpaceDE w:val="0"/>
        <w:autoSpaceDN w:val="0"/>
        <w:adjustRightInd w:val="0"/>
        <w:spacing w:after="360"/>
        <w:jc w:val="center"/>
        <w:outlineLvl w:val="0"/>
        <w:rPr>
          <w:rFonts w:ascii="Arial" w:eastAsiaTheme="minorEastAsia" w:hAnsi="Arial" w:cs="Arial"/>
          <w:b/>
          <w:bCs/>
          <w:sz w:val="24"/>
          <w:szCs w:val="24"/>
          <w:lang w:eastAsia="en-ZA"/>
        </w:rPr>
      </w:pPr>
      <w:r w:rsidRPr="00D054BC">
        <w:rPr>
          <w:rFonts w:ascii="Arial" w:eastAsiaTheme="minorEastAsia" w:hAnsi="Arial" w:cs="Arial"/>
          <w:b/>
          <w:bCs/>
          <w:sz w:val="24"/>
          <w:szCs w:val="24"/>
          <w:lang w:eastAsia="en-ZA"/>
        </w:rPr>
        <w:t>JUDGMENT</w:t>
      </w:r>
    </w:p>
    <w:p w14:paraId="0C55B126" w14:textId="04D90EB2" w:rsidR="00A61467" w:rsidRPr="00D054BC" w:rsidRDefault="00A61467" w:rsidP="00CC4065">
      <w:pPr>
        <w:widowControl w:val="0"/>
        <w:autoSpaceDE w:val="0"/>
        <w:autoSpaceDN w:val="0"/>
        <w:adjustRightInd w:val="0"/>
        <w:ind w:left="720" w:firstLine="720"/>
        <w:jc w:val="right"/>
        <w:outlineLvl w:val="0"/>
        <w:rPr>
          <w:rFonts w:ascii="Arial" w:eastAsiaTheme="minorEastAsia" w:hAnsi="Arial" w:cs="Arial"/>
          <w:b/>
          <w:bCs/>
          <w:sz w:val="24"/>
          <w:szCs w:val="24"/>
          <w:lang w:eastAsia="en-ZA"/>
        </w:rPr>
      </w:pPr>
      <w:r w:rsidRPr="00D054BC">
        <w:rPr>
          <w:rFonts w:ascii="Arial" w:eastAsiaTheme="minorEastAsia" w:hAnsi="Arial" w:cs="Arial"/>
          <w:b/>
          <w:bCs/>
          <w:sz w:val="24"/>
          <w:szCs w:val="24"/>
          <w:lang w:eastAsia="en-ZA"/>
        </w:rPr>
        <w:t>Not Reportable</w:t>
      </w:r>
    </w:p>
    <w:p w14:paraId="4E79BA26" w14:textId="2F364F5C" w:rsidR="00A61467" w:rsidRPr="00D054BC" w:rsidRDefault="00A61467" w:rsidP="00CC4065">
      <w:pPr>
        <w:autoSpaceDE w:val="0"/>
        <w:autoSpaceDN w:val="0"/>
        <w:adjustRightInd w:val="0"/>
        <w:spacing w:line="240" w:lineRule="auto"/>
        <w:jc w:val="right"/>
        <w:rPr>
          <w:rFonts w:ascii="Arial" w:hAnsi="Arial" w:cs="Arial"/>
          <w:b/>
          <w:bCs/>
          <w:sz w:val="24"/>
          <w:szCs w:val="24"/>
        </w:rPr>
      </w:pPr>
      <w:r w:rsidRPr="00D054BC">
        <w:rPr>
          <w:rFonts w:ascii="Arial" w:hAnsi="Arial" w:cs="Arial"/>
          <w:sz w:val="24"/>
          <w:szCs w:val="24"/>
        </w:rPr>
        <w:t xml:space="preserve">Case No: </w:t>
      </w:r>
      <w:r w:rsidR="00037F4E" w:rsidRPr="004B6028">
        <w:rPr>
          <w:rFonts w:ascii="Arial" w:hAnsi="Arial" w:cs="Arial"/>
          <w:bCs/>
          <w:sz w:val="24"/>
          <w:szCs w:val="24"/>
        </w:rPr>
        <w:t>405</w:t>
      </w:r>
      <w:r w:rsidRPr="004B6028">
        <w:rPr>
          <w:rFonts w:ascii="Arial" w:hAnsi="Arial" w:cs="Arial"/>
          <w:bCs/>
          <w:sz w:val="24"/>
          <w:szCs w:val="24"/>
        </w:rPr>
        <w:t>/202</w:t>
      </w:r>
      <w:r w:rsidR="00037F4E" w:rsidRPr="004B6028">
        <w:rPr>
          <w:rFonts w:ascii="Arial" w:hAnsi="Arial" w:cs="Arial"/>
          <w:bCs/>
          <w:sz w:val="24"/>
          <w:szCs w:val="24"/>
        </w:rPr>
        <w:t>1</w:t>
      </w:r>
    </w:p>
    <w:p w14:paraId="518F4FAB" w14:textId="77777777" w:rsidR="00CC4065" w:rsidRDefault="00CC4065" w:rsidP="00CC4065">
      <w:pPr>
        <w:autoSpaceDE w:val="0"/>
        <w:autoSpaceDN w:val="0"/>
        <w:adjustRightInd w:val="0"/>
        <w:spacing w:line="240" w:lineRule="auto"/>
        <w:rPr>
          <w:rFonts w:ascii="Arial" w:hAnsi="Arial" w:cs="Arial"/>
          <w:sz w:val="24"/>
          <w:szCs w:val="24"/>
        </w:rPr>
      </w:pPr>
    </w:p>
    <w:p w14:paraId="2EE71840" w14:textId="161588BA" w:rsidR="00A61467" w:rsidRPr="00D054BC" w:rsidRDefault="00A61467" w:rsidP="0092279B">
      <w:pPr>
        <w:tabs>
          <w:tab w:val="left" w:pos="7200"/>
        </w:tabs>
        <w:autoSpaceDE w:val="0"/>
        <w:autoSpaceDN w:val="0"/>
        <w:adjustRightInd w:val="0"/>
        <w:spacing w:after="360" w:line="240" w:lineRule="auto"/>
        <w:rPr>
          <w:rFonts w:ascii="Arial" w:hAnsi="Arial" w:cs="Arial"/>
          <w:sz w:val="24"/>
          <w:szCs w:val="24"/>
        </w:rPr>
      </w:pPr>
      <w:r w:rsidRPr="00D054BC">
        <w:rPr>
          <w:rFonts w:ascii="Arial" w:hAnsi="Arial" w:cs="Arial"/>
          <w:sz w:val="24"/>
          <w:szCs w:val="24"/>
        </w:rPr>
        <w:t>In the matter between:</w:t>
      </w:r>
      <w:r w:rsidR="0092279B">
        <w:rPr>
          <w:rFonts w:ascii="Arial" w:hAnsi="Arial" w:cs="Arial"/>
          <w:sz w:val="24"/>
          <w:szCs w:val="24"/>
        </w:rPr>
        <w:tab/>
      </w:r>
    </w:p>
    <w:p w14:paraId="729A1DEC" w14:textId="1566BF60" w:rsidR="00A61467" w:rsidRPr="00D054BC" w:rsidRDefault="00665E3C" w:rsidP="00A97E67">
      <w:pPr>
        <w:autoSpaceDE w:val="0"/>
        <w:autoSpaceDN w:val="0"/>
        <w:adjustRightInd w:val="0"/>
        <w:spacing w:after="360"/>
        <w:rPr>
          <w:rFonts w:ascii="Arial" w:hAnsi="Arial" w:cs="Arial"/>
          <w:b/>
          <w:bCs/>
          <w:sz w:val="24"/>
          <w:szCs w:val="24"/>
        </w:rPr>
      </w:pPr>
      <w:bookmarkStart w:id="1" w:name="_Hlk107356371"/>
      <w:r w:rsidRPr="00D054BC">
        <w:rPr>
          <w:rFonts w:ascii="Arial" w:eastAsia="Times New Roman" w:hAnsi="Arial" w:cs="Arial"/>
          <w:b/>
          <w:bCs/>
          <w:sz w:val="24"/>
          <w:szCs w:val="24"/>
          <w:lang w:val="en-US" w:eastAsia="en-ZA"/>
        </w:rPr>
        <w:t>IMBUKO WINES (PTY) LTD</w:t>
      </w:r>
      <w:bookmarkEnd w:id="1"/>
      <w:r w:rsidR="00CC4065">
        <w:rPr>
          <w:rFonts w:ascii="Arial" w:hAnsi="Arial" w:cs="Arial"/>
          <w:b/>
          <w:bCs/>
          <w:sz w:val="24"/>
          <w:szCs w:val="24"/>
        </w:rPr>
        <w:tab/>
      </w:r>
      <w:r w:rsidR="00CC4065">
        <w:rPr>
          <w:rFonts w:ascii="Arial" w:hAnsi="Arial" w:cs="Arial"/>
          <w:b/>
          <w:bCs/>
          <w:sz w:val="24"/>
          <w:szCs w:val="24"/>
        </w:rPr>
        <w:tab/>
      </w:r>
      <w:r w:rsidR="00CC4065">
        <w:rPr>
          <w:rFonts w:ascii="Arial" w:hAnsi="Arial" w:cs="Arial"/>
          <w:b/>
          <w:bCs/>
          <w:sz w:val="24"/>
          <w:szCs w:val="24"/>
        </w:rPr>
        <w:tab/>
      </w:r>
      <w:r w:rsidR="00CC4065">
        <w:rPr>
          <w:rFonts w:ascii="Arial" w:hAnsi="Arial" w:cs="Arial"/>
          <w:b/>
          <w:bCs/>
          <w:sz w:val="24"/>
          <w:szCs w:val="24"/>
        </w:rPr>
        <w:tab/>
      </w:r>
      <w:r w:rsidR="00CC4065">
        <w:rPr>
          <w:rFonts w:ascii="Arial" w:hAnsi="Arial" w:cs="Arial"/>
          <w:b/>
          <w:bCs/>
          <w:sz w:val="24"/>
          <w:szCs w:val="24"/>
        </w:rPr>
        <w:tab/>
      </w:r>
      <w:r w:rsidR="00CC4065">
        <w:rPr>
          <w:rFonts w:ascii="Arial" w:hAnsi="Arial" w:cs="Arial"/>
          <w:b/>
          <w:bCs/>
          <w:sz w:val="24"/>
          <w:szCs w:val="24"/>
        </w:rPr>
        <w:tab/>
        <w:t xml:space="preserve">     </w:t>
      </w:r>
      <w:r w:rsidR="00A61467" w:rsidRPr="00D054BC">
        <w:rPr>
          <w:rFonts w:ascii="Arial" w:hAnsi="Arial" w:cs="Arial"/>
          <w:b/>
          <w:bCs/>
          <w:sz w:val="24"/>
          <w:szCs w:val="24"/>
        </w:rPr>
        <w:t>APPELLANT</w:t>
      </w:r>
    </w:p>
    <w:p w14:paraId="1D7ADC4D" w14:textId="77777777" w:rsidR="00A61467" w:rsidRPr="00D054BC" w:rsidRDefault="00A61467" w:rsidP="00A97E67">
      <w:pPr>
        <w:autoSpaceDE w:val="0"/>
        <w:autoSpaceDN w:val="0"/>
        <w:adjustRightInd w:val="0"/>
        <w:spacing w:after="360"/>
        <w:rPr>
          <w:rFonts w:ascii="Arial" w:hAnsi="Arial" w:cs="Arial"/>
          <w:sz w:val="24"/>
          <w:szCs w:val="24"/>
        </w:rPr>
      </w:pPr>
      <w:r w:rsidRPr="00D054BC">
        <w:rPr>
          <w:rFonts w:ascii="Arial" w:hAnsi="Arial" w:cs="Arial"/>
          <w:sz w:val="24"/>
          <w:szCs w:val="24"/>
        </w:rPr>
        <w:t>and</w:t>
      </w:r>
    </w:p>
    <w:p w14:paraId="0D62294D" w14:textId="7C8B94FA" w:rsidR="00A61467" w:rsidRPr="00D054BC" w:rsidRDefault="00665E3C" w:rsidP="00015EE0">
      <w:pPr>
        <w:autoSpaceDE w:val="0"/>
        <w:autoSpaceDN w:val="0"/>
        <w:adjustRightInd w:val="0"/>
        <w:spacing w:after="240"/>
        <w:rPr>
          <w:rFonts w:ascii="Arial" w:hAnsi="Arial" w:cs="Arial"/>
          <w:b/>
          <w:bCs/>
          <w:sz w:val="24"/>
          <w:szCs w:val="24"/>
        </w:rPr>
      </w:pPr>
      <w:bookmarkStart w:id="2" w:name="_Hlk107356389"/>
      <w:r w:rsidRPr="00D054BC">
        <w:rPr>
          <w:rFonts w:ascii="Arial" w:eastAsia="Times New Roman" w:hAnsi="Arial" w:cs="Arial"/>
          <w:b/>
          <w:bCs/>
          <w:sz w:val="24"/>
          <w:szCs w:val="24"/>
          <w:lang w:val="en-US" w:eastAsia="en-ZA"/>
        </w:rPr>
        <w:t>REFERENCE AUDIO CC</w:t>
      </w:r>
      <w:bookmarkEnd w:id="2"/>
      <w:r w:rsidR="00CC4065">
        <w:rPr>
          <w:rFonts w:ascii="Arial" w:hAnsi="Arial" w:cs="Arial"/>
          <w:b/>
          <w:bCs/>
          <w:sz w:val="24"/>
          <w:szCs w:val="24"/>
        </w:rPr>
        <w:tab/>
      </w:r>
      <w:r w:rsidR="00CC4065">
        <w:rPr>
          <w:rFonts w:ascii="Arial" w:hAnsi="Arial" w:cs="Arial"/>
          <w:b/>
          <w:bCs/>
          <w:sz w:val="24"/>
          <w:szCs w:val="24"/>
        </w:rPr>
        <w:tab/>
      </w:r>
      <w:r w:rsidR="00CC4065">
        <w:rPr>
          <w:rFonts w:ascii="Arial" w:hAnsi="Arial" w:cs="Arial"/>
          <w:b/>
          <w:bCs/>
          <w:sz w:val="24"/>
          <w:szCs w:val="24"/>
        </w:rPr>
        <w:tab/>
      </w:r>
      <w:r w:rsidR="00CC4065">
        <w:rPr>
          <w:rFonts w:ascii="Arial" w:hAnsi="Arial" w:cs="Arial"/>
          <w:b/>
          <w:bCs/>
          <w:sz w:val="24"/>
          <w:szCs w:val="24"/>
        </w:rPr>
        <w:tab/>
      </w:r>
      <w:r w:rsidR="00CC4065">
        <w:rPr>
          <w:rFonts w:ascii="Arial" w:hAnsi="Arial" w:cs="Arial"/>
          <w:b/>
          <w:bCs/>
          <w:sz w:val="24"/>
          <w:szCs w:val="24"/>
        </w:rPr>
        <w:tab/>
      </w:r>
      <w:r w:rsidR="00CC4065">
        <w:rPr>
          <w:rFonts w:ascii="Arial" w:hAnsi="Arial" w:cs="Arial"/>
          <w:b/>
          <w:bCs/>
          <w:sz w:val="24"/>
          <w:szCs w:val="24"/>
        </w:rPr>
        <w:tab/>
      </w:r>
      <w:r w:rsidR="00CC4065">
        <w:rPr>
          <w:rFonts w:ascii="Arial" w:hAnsi="Arial" w:cs="Arial"/>
          <w:b/>
          <w:bCs/>
          <w:sz w:val="24"/>
          <w:szCs w:val="24"/>
        </w:rPr>
        <w:tab/>
        <w:t xml:space="preserve">  </w:t>
      </w:r>
      <w:r w:rsidR="00A61467" w:rsidRPr="00D054BC">
        <w:rPr>
          <w:rFonts w:ascii="Arial" w:hAnsi="Arial" w:cs="Arial"/>
          <w:b/>
          <w:bCs/>
          <w:sz w:val="24"/>
          <w:szCs w:val="24"/>
        </w:rPr>
        <w:t>RESPONDENT</w:t>
      </w:r>
    </w:p>
    <w:p w14:paraId="09D732B6" w14:textId="34321570" w:rsidR="00A61467" w:rsidRPr="00D054BC" w:rsidRDefault="00A61467" w:rsidP="00A61467">
      <w:pPr>
        <w:widowControl w:val="0"/>
        <w:autoSpaceDE w:val="0"/>
        <w:autoSpaceDN w:val="0"/>
        <w:adjustRightInd w:val="0"/>
        <w:spacing w:after="100" w:afterAutospacing="1" w:line="276" w:lineRule="auto"/>
        <w:ind w:right="113"/>
        <w:rPr>
          <w:rFonts w:ascii="Arial" w:eastAsiaTheme="minorEastAsia" w:hAnsi="Arial" w:cs="Arial"/>
          <w:b/>
          <w:sz w:val="24"/>
          <w:szCs w:val="24"/>
          <w:lang w:eastAsia="en-ZA"/>
        </w:rPr>
      </w:pPr>
      <w:r w:rsidRPr="00D054BC">
        <w:rPr>
          <w:rFonts w:ascii="Arial" w:eastAsiaTheme="minorEastAsia" w:hAnsi="Arial" w:cs="Arial"/>
          <w:b/>
          <w:sz w:val="24"/>
          <w:szCs w:val="24"/>
          <w:lang w:eastAsia="en-ZA"/>
        </w:rPr>
        <w:t>Neutral citation:</w:t>
      </w:r>
      <w:r w:rsidRPr="00D054BC">
        <w:rPr>
          <w:rFonts w:ascii="Arial" w:eastAsiaTheme="minorEastAsia" w:hAnsi="Arial" w:cs="Arial"/>
          <w:bCs/>
          <w:sz w:val="24"/>
          <w:szCs w:val="24"/>
          <w:lang w:eastAsia="en-ZA"/>
        </w:rPr>
        <w:t xml:space="preserve"> </w:t>
      </w:r>
      <w:r w:rsidRPr="00D054BC">
        <w:rPr>
          <w:rFonts w:ascii="Arial" w:eastAsia="Times New Roman" w:hAnsi="Arial" w:cs="Arial"/>
          <w:i/>
          <w:iCs/>
          <w:sz w:val="24"/>
          <w:szCs w:val="24"/>
          <w:lang w:val="en-US" w:eastAsia="en-ZA"/>
        </w:rPr>
        <w:t>Imbuko Wines (Pty) Ltd</w:t>
      </w:r>
      <w:r w:rsidRPr="00D054BC">
        <w:rPr>
          <w:rFonts w:ascii="Arial" w:eastAsiaTheme="minorEastAsia" w:hAnsi="Arial" w:cs="Arial"/>
          <w:bCs/>
          <w:i/>
          <w:iCs/>
          <w:sz w:val="24"/>
          <w:szCs w:val="24"/>
          <w:lang w:eastAsia="en-ZA"/>
        </w:rPr>
        <w:t xml:space="preserve"> v </w:t>
      </w:r>
      <w:r w:rsidRPr="00D054BC">
        <w:rPr>
          <w:rFonts w:ascii="Arial" w:eastAsia="Times New Roman" w:hAnsi="Arial" w:cs="Arial"/>
          <w:i/>
          <w:iCs/>
          <w:sz w:val="24"/>
          <w:szCs w:val="24"/>
          <w:lang w:val="en-US" w:eastAsia="en-ZA"/>
        </w:rPr>
        <w:t>Reference Audio CC</w:t>
      </w:r>
      <w:r w:rsidRPr="00D054BC">
        <w:rPr>
          <w:rFonts w:ascii="Arial" w:eastAsiaTheme="minorEastAsia" w:hAnsi="Arial" w:cs="Arial"/>
          <w:bCs/>
          <w:sz w:val="24"/>
          <w:szCs w:val="24"/>
          <w:lang w:eastAsia="en-ZA"/>
        </w:rPr>
        <w:t xml:space="preserve"> (</w:t>
      </w:r>
      <w:r w:rsidR="00037F4E" w:rsidRPr="00D054BC">
        <w:rPr>
          <w:rFonts w:ascii="Arial" w:eastAsiaTheme="minorEastAsia" w:hAnsi="Arial" w:cs="Arial"/>
          <w:bCs/>
          <w:sz w:val="24"/>
          <w:szCs w:val="24"/>
          <w:lang w:eastAsia="en-ZA"/>
        </w:rPr>
        <w:t>405</w:t>
      </w:r>
      <w:r w:rsidRPr="00D054BC">
        <w:rPr>
          <w:rFonts w:ascii="Arial" w:eastAsiaTheme="minorEastAsia" w:hAnsi="Arial" w:cs="Arial"/>
          <w:bCs/>
          <w:sz w:val="24"/>
          <w:szCs w:val="24"/>
          <w:lang w:eastAsia="en-ZA"/>
        </w:rPr>
        <w:t>/202</w:t>
      </w:r>
      <w:r w:rsidR="00037F4E" w:rsidRPr="00D054BC">
        <w:rPr>
          <w:rFonts w:ascii="Arial" w:eastAsiaTheme="minorEastAsia" w:hAnsi="Arial" w:cs="Arial"/>
          <w:bCs/>
          <w:sz w:val="24"/>
          <w:szCs w:val="24"/>
          <w:lang w:eastAsia="en-ZA"/>
        </w:rPr>
        <w:t>1</w:t>
      </w:r>
      <w:r w:rsidRPr="00D054BC">
        <w:rPr>
          <w:rFonts w:ascii="Arial" w:eastAsiaTheme="minorEastAsia" w:hAnsi="Arial" w:cs="Arial"/>
          <w:bCs/>
          <w:sz w:val="24"/>
          <w:szCs w:val="24"/>
          <w:lang w:eastAsia="en-ZA"/>
        </w:rPr>
        <w:t xml:space="preserve">) [2022] ZASCA </w:t>
      </w:r>
      <w:r w:rsidR="004B6028">
        <w:rPr>
          <w:rFonts w:ascii="Arial" w:eastAsiaTheme="minorEastAsia" w:hAnsi="Arial" w:cs="Arial"/>
          <w:bCs/>
          <w:sz w:val="24"/>
          <w:szCs w:val="24"/>
          <w:lang w:eastAsia="en-ZA"/>
        </w:rPr>
        <w:t>11</w:t>
      </w:r>
      <w:r w:rsidR="00700238">
        <w:rPr>
          <w:rFonts w:ascii="Arial" w:eastAsiaTheme="minorEastAsia" w:hAnsi="Arial" w:cs="Arial"/>
          <w:bCs/>
          <w:sz w:val="24"/>
          <w:szCs w:val="24"/>
          <w:lang w:eastAsia="en-ZA"/>
        </w:rPr>
        <w:t>0</w:t>
      </w:r>
      <w:r w:rsidRPr="00D054BC">
        <w:rPr>
          <w:rFonts w:ascii="Arial" w:eastAsiaTheme="minorEastAsia" w:hAnsi="Arial" w:cs="Arial"/>
          <w:bCs/>
          <w:sz w:val="24"/>
          <w:szCs w:val="24"/>
          <w:lang w:eastAsia="en-ZA"/>
        </w:rPr>
        <w:t xml:space="preserve"> (</w:t>
      </w:r>
      <w:r w:rsidR="00714C77">
        <w:rPr>
          <w:rFonts w:ascii="Arial" w:eastAsiaTheme="minorEastAsia" w:hAnsi="Arial" w:cs="Arial"/>
          <w:bCs/>
          <w:sz w:val="24"/>
          <w:szCs w:val="24"/>
          <w:lang w:eastAsia="en-ZA"/>
        </w:rPr>
        <w:t xml:space="preserve">15 </w:t>
      </w:r>
      <w:r w:rsidRPr="00D054BC">
        <w:rPr>
          <w:rFonts w:ascii="Arial" w:eastAsiaTheme="minorEastAsia" w:hAnsi="Arial" w:cs="Arial"/>
          <w:bCs/>
          <w:sz w:val="24"/>
          <w:szCs w:val="24"/>
          <w:lang w:eastAsia="en-ZA"/>
        </w:rPr>
        <w:t xml:space="preserve">July 2022) </w:t>
      </w:r>
    </w:p>
    <w:p w14:paraId="1FC12B63" w14:textId="402EA57B" w:rsidR="00A61467" w:rsidRPr="00D054BC" w:rsidRDefault="008700CC" w:rsidP="000C0EBB">
      <w:pPr>
        <w:widowControl w:val="0"/>
        <w:autoSpaceDE w:val="0"/>
        <w:autoSpaceDN w:val="0"/>
        <w:adjustRightInd w:val="0"/>
        <w:spacing w:after="360" w:line="240" w:lineRule="auto"/>
        <w:ind w:left="1440" w:hanging="1440"/>
        <w:rPr>
          <w:rFonts w:ascii="Arial" w:eastAsiaTheme="minorEastAsia" w:hAnsi="Arial" w:cs="Arial"/>
          <w:sz w:val="24"/>
          <w:szCs w:val="24"/>
          <w:lang w:eastAsia="en-ZA"/>
        </w:rPr>
      </w:pPr>
      <w:r>
        <w:rPr>
          <w:rFonts w:ascii="Arial" w:eastAsiaTheme="minorEastAsia" w:hAnsi="Arial" w:cs="Arial"/>
          <w:b/>
          <w:sz w:val="24"/>
          <w:szCs w:val="24"/>
          <w:lang w:eastAsia="en-ZA"/>
        </w:rPr>
        <w:t>Bench</w:t>
      </w:r>
      <w:r w:rsidR="00A61467" w:rsidRPr="00D054BC">
        <w:rPr>
          <w:rFonts w:ascii="Arial" w:eastAsiaTheme="minorEastAsia" w:hAnsi="Arial" w:cs="Arial"/>
          <w:b/>
          <w:sz w:val="24"/>
          <w:szCs w:val="24"/>
          <w:lang w:eastAsia="en-ZA"/>
        </w:rPr>
        <w:t>:</w:t>
      </w:r>
      <w:r w:rsidR="00A61467" w:rsidRPr="00D054BC">
        <w:rPr>
          <w:rFonts w:ascii="Arial" w:eastAsiaTheme="minorEastAsia" w:hAnsi="Arial" w:cs="Arial"/>
          <w:b/>
          <w:sz w:val="24"/>
          <w:szCs w:val="24"/>
          <w:lang w:eastAsia="en-ZA"/>
        </w:rPr>
        <w:tab/>
      </w:r>
      <w:bookmarkStart w:id="3" w:name="_Hlk108636327"/>
      <w:bookmarkStart w:id="4" w:name="_Hlk64406736"/>
      <w:r w:rsidR="00A61467" w:rsidRPr="00D054BC">
        <w:rPr>
          <w:rFonts w:ascii="Arial" w:eastAsiaTheme="minorEastAsia" w:hAnsi="Arial" w:cs="Arial"/>
          <w:sz w:val="24"/>
          <w:szCs w:val="24"/>
          <w:lang w:eastAsia="en-ZA"/>
        </w:rPr>
        <w:t xml:space="preserve">DAMBUZA, </w:t>
      </w:r>
      <w:r w:rsidR="00A61467" w:rsidRPr="00D054BC">
        <w:rPr>
          <w:rFonts w:ascii="Arial" w:hAnsi="Arial" w:cs="Arial"/>
          <w:sz w:val="24"/>
          <w:szCs w:val="24"/>
        </w:rPr>
        <w:t>MAKGOKA,</w:t>
      </w:r>
      <w:r w:rsidR="00A61467" w:rsidRPr="00D054BC">
        <w:rPr>
          <w:rFonts w:ascii="Arial" w:eastAsiaTheme="minorEastAsia" w:hAnsi="Arial" w:cs="Arial"/>
          <w:sz w:val="24"/>
          <w:szCs w:val="24"/>
          <w:lang w:eastAsia="en-ZA"/>
        </w:rPr>
        <w:t xml:space="preserve"> </w:t>
      </w:r>
      <w:r w:rsidR="00665E3C" w:rsidRPr="00D054BC">
        <w:rPr>
          <w:rFonts w:ascii="Arial" w:hAnsi="Arial" w:cs="Arial"/>
          <w:sz w:val="24"/>
          <w:szCs w:val="24"/>
        </w:rPr>
        <w:t>NICHOLLS</w:t>
      </w:r>
      <w:r w:rsidR="00CC4065">
        <w:rPr>
          <w:rFonts w:ascii="Arial" w:hAnsi="Arial" w:cs="Arial"/>
          <w:sz w:val="24"/>
          <w:szCs w:val="24"/>
        </w:rPr>
        <w:t xml:space="preserve"> and</w:t>
      </w:r>
      <w:r w:rsidR="00665E3C" w:rsidRPr="00D054BC">
        <w:rPr>
          <w:rFonts w:ascii="Arial" w:hAnsi="Arial" w:cs="Arial"/>
          <w:sz w:val="24"/>
          <w:szCs w:val="24"/>
        </w:rPr>
        <w:t xml:space="preserve"> CARELSE</w:t>
      </w:r>
      <w:r w:rsidR="00A61467" w:rsidRPr="00D054BC">
        <w:rPr>
          <w:rFonts w:ascii="Arial" w:hAnsi="Arial" w:cs="Arial"/>
          <w:sz w:val="24"/>
          <w:szCs w:val="24"/>
        </w:rPr>
        <w:t xml:space="preserve"> </w:t>
      </w:r>
      <w:r w:rsidR="00665E3C" w:rsidRPr="00D054BC">
        <w:rPr>
          <w:rFonts w:ascii="Arial" w:hAnsi="Arial" w:cs="Arial"/>
          <w:sz w:val="24"/>
          <w:szCs w:val="24"/>
        </w:rPr>
        <w:t xml:space="preserve">JJA </w:t>
      </w:r>
      <w:r w:rsidR="00A61467" w:rsidRPr="00D054BC">
        <w:rPr>
          <w:rFonts w:ascii="Arial" w:eastAsiaTheme="minorEastAsia" w:hAnsi="Arial" w:cs="Arial"/>
          <w:sz w:val="24"/>
          <w:szCs w:val="24"/>
          <w:lang w:eastAsia="en-ZA"/>
        </w:rPr>
        <w:t>and</w:t>
      </w:r>
      <w:r w:rsidR="007A4C5D" w:rsidRPr="00D054BC">
        <w:rPr>
          <w:rFonts w:ascii="Arial" w:eastAsiaTheme="minorEastAsia" w:hAnsi="Arial" w:cs="Arial"/>
          <w:sz w:val="24"/>
          <w:szCs w:val="24"/>
          <w:lang w:eastAsia="en-ZA"/>
        </w:rPr>
        <w:t xml:space="preserve"> MUSI </w:t>
      </w:r>
      <w:r w:rsidR="00A61467" w:rsidRPr="00D054BC">
        <w:rPr>
          <w:rFonts w:ascii="Arial" w:hAnsi="Arial" w:cs="Arial"/>
          <w:sz w:val="24"/>
          <w:szCs w:val="24"/>
        </w:rPr>
        <w:t>AJA</w:t>
      </w:r>
      <w:r w:rsidR="00A61467" w:rsidRPr="00D054BC">
        <w:rPr>
          <w:rFonts w:ascii="Arial" w:eastAsiaTheme="minorEastAsia" w:hAnsi="Arial" w:cs="Arial"/>
          <w:sz w:val="24"/>
          <w:szCs w:val="24"/>
          <w:lang w:eastAsia="en-ZA"/>
        </w:rPr>
        <w:t xml:space="preserve"> </w:t>
      </w:r>
      <w:bookmarkEnd w:id="3"/>
    </w:p>
    <w:bookmarkEnd w:id="4"/>
    <w:p w14:paraId="50AA4271" w14:textId="56A9EEDD" w:rsidR="00A61467" w:rsidRPr="00D054BC" w:rsidRDefault="00A61467" w:rsidP="000C0EBB">
      <w:pPr>
        <w:widowControl w:val="0"/>
        <w:tabs>
          <w:tab w:val="left" w:pos="720"/>
          <w:tab w:val="left" w:pos="1440"/>
          <w:tab w:val="left" w:pos="2160"/>
          <w:tab w:val="left" w:pos="2880"/>
          <w:tab w:val="left" w:pos="3600"/>
          <w:tab w:val="left" w:pos="7628"/>
        </w:tabs>
        <w:autoSpaceDE w:val="0"/>
        <w:autoSpaceDN w:val="0"/>
        <w:adjustRightInd w:val="0"/>
        <w:spacing w:before="100" w:beforeAutospacing="1" w:after="240"/>
        <w:outlineLvl w:val="0"/>
        <w:rPr>
          <w:rFonts w:ascii="Arial" w:eastAsiaTheme="minorEastAsia" w:hAnsi="Arial" w:cs="Arial"/>
          <w:sz w:val="24"/>
          <w:szCs w:val="24"/>
          <w:lang w:eastAsia="en-ZA"/>
        </w:rPr>
      </w:pPr>
      <w:r w:rsidRPr="00D054BC">
        <w:rPr>
          <w:rFonts w:ascii="Arial" w:eastAsiaTheme="minorEastAsia" w:hAnsi="Arial" w:cs="Arial"/>
          <w:b/>
          <w:sz w:val="24"/>
          <w:szCs w:val="24"/>
          <w:lang w:eastAsia="en-ZA"/>
        </w:rPr>
        <w:t>Heard:</w:t>
      </w:r>
      <w:r w:rsidRPr="00D054BC">
        <w:rPr>
          <w:rFonts w:ascii="Arial" w:eastAsiaTheme="minorEastAsia" w:hAnsi="Arial" w:cs="Arial"/>
          <w:sz w:val="24"/>
          <w:szCs w:val="24"/>
          <w:lang w:eastAsia="en-ZA"/>
        </w:rPr>
        <w:tab/>
      </w:r>
      <w:r w:rsidR="00037F4E" w:rsidRPr="00D054BC">
        <w:rPr>
          <w:rFonts w:ascii="Arial" w:eastAsiaTheme="minorEastAsia" w:hAnsi="Arial" w:cs="Arial"/>
          <w:sz w:val="24"/>
          <w:szCs w:val="24"/>
          <w:lang w:eastAsia="en-ZA"/>
        </w:rPr>
        <w:t>19</w:t>
      </w:r>
      <w:r w:rsidRPr="00D054BC">
        <w:rPr>
          <w:rFonts w:ascii="Arial" w:eastAsiaTheme="minorEastAsia" w:hAnsi="Arial" w:cs="Arial"/>
          <w:sz w:val="24"/>
          <w:szCs w:val="24"/>
          <w:lang w:eastAsia="en-ZA"/>
        </w:rPr>
        <w:t xml:space="preserve"> MA</w:t>
      </w:r>
      <w:r w:rsidR="00665E3C" w:rsidRPr="00D054BC">
        <w:rPr>
          <w:rFonts w:ascii="Arial" w:eastAsiaTheme="minorEastAsia" w:hAnsi="Arial" w:cs="Arial"/>
          <w:sz w:val="24"/>
          <w:szCs w:val="24"/>
          <w:lang w:eastAsia="en-ZA"/>
        </w:rPr>
        <w:t>Y</w:t>
      </w:r>
      <w:r w:rsidRPr="00D054BC">
        <w:rPr>
          <w:rFonts w:ascii="Arial" w:eastAsiaTheme="minorEastAsia" w:hAnsi="Arial" w:cs="Arial"/>
          <w:sz w:val="24"/>
          <w:szCs w:val="24"/>
          <w:lang w:eastAsia="en-ZA"/>
        </w:rPr>
        <w:t xml:space="preserve"> 2022</w:t>
      </w:r>
    </w:p>
    <w:p w14:paraId="2EC3BBD9" w14:textId="77373534" w:rsidR="00A61467" w:rsidRPr="00D054BC" w:rsidRDefault="00A61467" w:rsidP="00A61467">
      <w:pPr>
        <w:widowControl w:val="0"/>
        <w:autoSpaceDE w:val="0"/>
        <w:autoSpaceDN w:val="0"/>
        <w:adjustRightInd w:val="0"/>
        <w:spacing w:after="120"/>
        <w:outlineLvl w:val="0"/>
        <w:rPr>
          <w:rFonts w:ascii="Arial" w:eastAsiaTheme="minorEastAsia" w:hAnsi="Arial" w:cs="Arial"/>
          <w:sz w:val="24"/>
          <w:szCs w:val="24"/>
          <w:lang w:eastAsia="en-ZA"/>
        </w:rPr>
      </w:pPr>
      <w:r w:rsidRPr="00D054BC">
        <w:rPr>
          <w:rFonts w:ascii="Arial" w:eastAsiaTheme="minorEastAsia" w:hAnsi="Arial" w:cs="Arial"/>
          <w:b/>
          <w:sz w:val="24"/>
          <w:szCs w:val="24"/>
          <w:lang w:eastAsia="en-ZA"/>
        </w:rPr>
        <w:t>Delivered:</w:t>
      </w:r>
      <w:r w:rsidRPr="00D054BC">
        <w:rPr>
          <w:rFonts w:ascii="Arial" w:eastAsiaTheme="minorEastAsia" w:hAnsi="Arial" w:cs="Arial"/>
          <w:b/>
          <w:sz w:val="24"/>
          <w:szCs w:val="24"/>
          <w:lang w:eastAsia="en-ZA"/>
        </w:rPr>
        <w:tab/>
      </w:r>
      <w:r w:rsidR="00714C77">
        <w:rPr>
          <w:rFonts w:ascii="Arial" w:eastAsiaTheme="minorEastAsia" w:hAnsi="Arial" w:cs="Arial"/>
          <w:sz w:val="24"/>
          <w:szCs w:val="24"/>
          <w:lang w:eastAsia="en-ZA"/>
        </w:rPr>
        <w:t>15</w:t>
      </w:r>
      <w:r w:rsidRPr="00D054BC">
        <w:rPr>
          <w:rFonts w:ascii="Arial" w:eastAsiaTheme="minorEastAsia" w:hAnsi="Arial" w:cs="Arial"/>
          <w:sz w:val="24"/>
          <w:szCs w:val="24"/>
          <w:lang w:eastAsia="en-ZA"/>
        </w:rPr>
        <w:t xml:space="preserve"> Ju</w:t>
      </w:r>
      <w:r w:rsidR="00665E3C" w:rsidRPr="00D054BC">
        <w:rPr>
          <w:rFonts w:ascii="Arial" w:eastAsiaTheme="minorEastAsia" w:hAnsi="Arial" w:cs="Arial"/>
          <w:sz w:val="24"/>
          <w:szCs w:val="24"/>
          <w:lang w:eastAsia="en-ZA"/>
        </w:rPr>
        <w:t>ly</w:t>
      </w:r>
      <w:r w:rsidRPr="00D054BC">
        <w:rPr>
          <w:rFonts w:ascii="Arial" w:eastAsiaTheme="minorEastAsia" w:hAnsi="Arial" w:cs="Arial"/>
          <w:sz w:val="24"/>
          <w:szCs w:val="24"/>
          <w:lang w:eastAsia="en-ZA"/>
        </w:rPr>
        <w:t xml:space="preserve"> 2022.</w:t>
      </w:r>
    </w:p>
    <w:p w14:paraId="206855F6" w14:textId="1EE3F5E3" w:rsidR="000C0EBB" w:rsidRPr="008700CC" w:rsidRDefault="00A61467" w:rsidP="00A61467">
      <w:pPr>
        <w:contextualSpacing/>
        <w:rPr>
          <w:rFonts w:ascii="Arial" w:eastAsiaTheme="minorEastAsia" w:hAnsi="Arial" w:cs="Arial"/>
          <w:bCs/>
          <w:sz w:val="24"/>
          <w:szCs w:val="24"/>
          <w:lang w:eastAsia="en-ZA"/>
        </w:rPr>
      </w:pPr>
      <w:r w:rsidRPr="00D054BC">
        <w:rPr>
          <w:rFonts w:ascii="Arial" w:eastAsiaTheme="minorEastAsia" w:hAnsi="Arial" w:cs="Arial"/>
          <w:b/>
          <w:sz w:val="24"/>
          <w:szCs w:val="24"/>
          <w:lang w:eastAsia="en-ZA"/>
        </w:rPr>
        <w:t xml:space="preserve">Summary: </w:t>
      </w:r>
      <w:r w:rsidR="00665E3C" w:rsidRPr="008700CC">
        <w:rPr>
          <w:rFonts w:ascii="Arial" w:eastAsiaTheme="minorEastAsia" w:hAnsi="Arial" w:cs="Arial"/>
          <w:bCs/>
          <w:sz w:val="24"/>
          <w:szCs w:val="24"/>
          <w:lang w:eastAsia="en-ZA"/>
        </w:rPr>
        <w:t xml:space="preserve">Cession </w:t>
      </w:r>
      <w:r w:rsidR="00285883" w:rsidRPr="008700CC">
        <w:rPr>
          <w:rFonts w:ascii="Arial" w:eastAsiaTheme="minorEastAsia" w:hAnsi="Arial" w:cs="Arial"/>
          <w:bCs/>
          <w:sz w:val="24"/>
          <w:szCs w:val="24"/>
          <w:lang w:eastAsia="en-ZA"/>
        </w:rPr>
        <w:t>– whether oral cession established – whether debtor aware of the cession.</w:t>
      </w:r>
    </w:p>
    <w:p w14:paraId="2A5CC84D" w14:textId="447D0CB6" w:rsidR="00D054BC" w:rsidRPr="008700CC" w:rsidRDefault="00D054BC" w:rsidP="00A61467">
      <w:pPr>
        <w:contextualSpacing/>
        <w:rPr>
          <w:rFonts w:ascii="Arial" w:eastAsiaTheme="minorEastAsia" w:hAnsi="Arial" w:cs="Arial"/>
          <w:bCs/>
          <w:sz w:val="24"/>
          <w:szCs w:val="24"/>
          <w:lang w:eastAsia="en-ZA"/>
        </w:rPr>
      </w:pPr>
    </w:p>
    <w:p w14:paraId="0C5D7AB0" w14:textId="67405D6E" w:rsidR="00CC4065" w:rsidRDefault="00CC4065">
      <w:pPr>
        <w:rPr>
          <w:rFonts w:ascii="Arial" w:eastAsiaTheme="minorEastAsia" w:hAnsi="Arial" w:cs="Arial"/>
          <w:b/>
          <w:sz w:val="24"/>
          <w:szCs w:val="24"/>
          <w:lang w:eastAsia="en-ZA"/>
        </w:rPr>
      </w:pPr>
      <w:r>
        <w:rPr>
          <w:rFonts w:ascii="Arial" w:eastAsiaTheme="minorEastAsia" w:hAnsi="Arial" w:cs="Arial"/>
          <w:b/>
          <w:sz w:val="24"/>
          <w:szCs w:val="24"/>
          <w:lang w:eastAsia="en-ZA"/>
        </w:rPr>
        <w:br w:type="page"/>
      </w:r>
    </w:p>
    <w:p w14:paraId="72AC042A" w14:textId="2382FB97" w:rsidR="00A61467" w:rsidRPr="00D054BC" w:rsidRDefault="00A61467" w:rsidP="00612521">
      <w:pPr>
        <w:widowControl w:val="0"/>
        <w:autoSpaceDE w:val="0"/>
        <w:autoSpaceDN w:val="0"/>
        <w:adjustRightInd w:val="0"/>
        <w:spacing w:after="360" w:line="240" w:lineRule="auto"/>
        <w:rPr>
          <w:rFonts w:ascii="Arial" w:eastAsiaTheme="minorEastAsia" w:hAnsi="Arial" w:cs="Arial"/>
          <w:b/>
          <w:bCs/>
          <w:sz w:val="24"/>
          <w:szCs w:val="24"/>
          <w:lang w:eastAsia="en-ZA"/>
        </w:rPr>
      </w:pPr>
      <w:r w:rsidRPr="00D054BC">
        <w:rPr>
          <w:rFonts w:ascii="Arial" w:eastAsiaTheme="minorEastAsia" w:hAnsi="Arial" w:cs="Arial"/>
          <w:b/>
          <w:bCs/>
          <w:sz w:val="24"/>
          <w:szCs w:val="24"/>
          <w:lang w:eastAsia="en-ZA"/>
        </w:rPr>
        <w:lastRenderedPageBreak/>
        <w:t>________________________________________________________________</w:t>
      </w:r>
      <w:r w:rsidR="000C0EBB" w:rsidRPr="00D054BC">
        <w:rPr>
          <w:rFonts w:ascii="Arial" w:eastAsiaTheme="minorEastAsia" w:hAnsi="Arial" w:cs="Arial"/>
          <w:b/>
          <w:bCs/>
          <w:sz w:val="24"/>
          <w:szCs w:val="24"/>
          <w:lang w:eastAsia="en-ZA"/>
        </w:rPr>
        <w:t>___</w:t>
      </w:r>
    </w:p>
    <w:p w14:paraId="4C28B6FE" w14:textId="77777777" w:rsidR="00A61467" w:rsidRPr="00D054BC" w:rsidRDefault="00A61467" w:rsidP="00612521">
      <w:pPr>
        <w:widowControl w:val="0"/>
        <w:autoSpaceDE w:val="0"/>
        <w:autoSpaceDN w:val="0"/>
        <w:adjustRightInd w:val="0"/>
        <w:spacing w:before="240" w:after="120" w:line="240" w:lineRule="auto"/>
        <w:jc w:val="center"/>
        <w:rPr>
          <w:rFonts w:ascii="Arial" w:eastAsiaTheme="minorEastAsia" w:hAnsi="Arial" w:cs="Arial"/>
          <w:b/>
          <w:bCs/>
          <w:sz w:val="24"/>
          <w:szCs w:val="24"/>
          <w:lang w:eastAsia="en-ZA"/>
        </w:rPr>
      </w:pPr>
      <w:r w:rsidRPr="00D054BC">
        <w:rPr>
          <w:rFonts w:ascii="Arial" w:eastAsiaTheme="minorEastAsia" w:hAnsi="Arial" w:cs="Arial"/>
          <w:b/>
          <w:bCs/>
          <w:sz w:val="24"/>
          <w:szCs w:val="24"/>
          <w:lang w:eastAsia="en-ZA"/>
        </w:rPr>
        <w:t>ORDER</w:t>
      </w:r>
    </w:p>
    <w:p w14:paraId="5101124D" w14:textId="37889F03" w:rsidR="00A61467" w:rsidRPr="00D054BC" w:rsidRDefault="00A61467" w:rsidP="00A97E67">
      <w:pPr>
        <w:widowControl w:val="0"/>
        <w:autoSpaceDE w:val="0"/>
        <w:autoSpaceDN w:val="0"/>
        <w:adjustRightInd w:val="0"/>
        <w:spacing w:after="120" w:line="240" w:lineRule="auto"/>
        <w:rPr>
          <w:rFonts w:ascii="Arial" w:eastAsiaTheme="minorEastAsia" w:hAnsi="Arial" w:cs="Arial"/>
          <w:b/>
          <w:bCs/>
          <w:sz w:val="24"/>
          <w:szCs w:val="24"/>
          <w:lang w:eastAsia="en-ZA"/>
        </w:rPr>
      </w:pPr>
      <w:r w:rsidRPr="00D054BC">
        <w:rPr>
          <w:rFonts w:ascii="Arial" w:eastAsiaTheme="minorEastAsia" w:hAnsi="Arial" w:cs="Arial"/>
          <w:b/>
          <w:bCs/>
          <w:sz w:val="24"/>
          <w:szCs w:val="24"/>
          <w:lang w:eastAsia="en-ZA"/>
        </w:rPr>
        <w:t>________________________________________________________________</w:t>
      </w:r>
      <w:r w:rsidR="000C0EBB" w:rsidRPr="00D054BC">
        <w:rPr>
          <w:rFonts w:ascii="Arial" w:eastAsiaTheme="minorEastAsia" w:hAnsi="Arial" w:cs="Arial"/>
          <w:b/>
          <w:bCs/>
          <w:sz w:val="24"/>
          <w:szCs w:val="24"/>
          <w:lang w:eastAsia="en-ZA"/>
        </w:rPr>
        <w:t>___</w:t>
      </w:r>
    </w:p>
    <w:p w14:paraId="3128009F" w14:textId="79C19A9F" w:rsidR="00A61467" w:rsidRPr="00D054BC" w:rsidRDefault="00A61467" w:rsidP="004B6028">
      <w:pPr>
        <w:widowControl w:val="0"/>
        <w:autoSpaceDE w:val="0"/>
        <w:autoSpaceDN w:val="0"/>
        <w:adjustRightInd w:val="0"/>
        <w:spacing w:before="240"/>
        <w:rPr>
          <w:rFonts w:ascii="Arial" w:eastAsiaTheme="minorEastAsia" w:hAnsi="Arial" w:cs="Arial"/>
          <w:sz w:val="24"/>
          <w:szCs w:val="24"/>
          <w:lang w:eastAsia="en-ZA"/>
        </w:rPr>
      </w:pPr>
      <w:r w:rsidRPr="00D054BC">
        <w:rPr>
          <w:rFonts w:ascii="Arial" w:eastAsiaTheme="minorEastAsia" w:hAnsi="Arial" w:cs="Arial"/>
          <w:sz w:val="24"/>
          <w:szCs w:val="24"/>
          <w:lang w:eastAsia="en-ZA"/>
        </w:rPr>
        <w:t xml:space="preserve">On appeal from: </w:t>
      </w:r>
      <w:bookmarkStart w:id="5" w:name="_Hlk92393248"/>
      <w:r w:rsidR="00285883" w:rsidRPr="00D054BC">
        <w:rPr>
          <w:rFonts w:ascii="Arial" w:eastAsiaTheme="minorEastAsia" w:hAnsi="Arial" w:cs="Arial"/>
          <w:sz w:val="24"/>
          <w:szCs w:val="24"/>
          <w:lang w:eastAsia="en-ZA"/>
        </w:rPr>
        <w:t xml:space="preserve">Gauteng </w:t>
      </w:r>
      <w:r w:rsidRPr="00D054BC">
        <w:rPr>
          <w:rFonts w:ascii="Arial" w:hAnsi="Arial" w:cs="Arial"/>
          <w:sz w:val="24"/>
          <w:szCs w:val="24"/>
        </w:rPr>
        <w:t xml:space="preserve">Division </w:t>
      </w:r>
      <w:r w:rsidRPr="00D054BC">
        <w:rPr>
          <w:rFonts w:ascii="Arial" w:eastAsiaTheme="minorEastAsia" w:hAnsi="Arial" w:cs="Arial"/>
          <w:sz w:val="24"/>
          <w:szCs w:val="24"/>
          <w:lang w:eastAsia="en-ZA"/>
        </w:rPr>
        <w:t xml:space="preserve">of the High Court, </w:t>
      </w:r>
      <w:bookmarkEnd w:id="5"/>
      <w:r w:rsidR="00285883" w:rsidRPr="00D054BC">
        <w:rPr>
          <w:rFonts w:ascii="Arial" w:eastAsiaTheme="minorEastAsia" w:hAnsi="Arial" w:cs="Arial"/>
          <w:sz w:val="24"/>
          <w:szCs w:val="24"/>
          <w:lang w:eastAsia="en-ZA"/>
        </w:rPr>
        <w:t xml:space="preserve">Johannesburg </w:t>
      </w:r>
      <w:r w:rsidRPr="00D054BC">
        <w:rPr>
          <w:rFonts w:ascii="Arial" w:eastAsiaTheme="minorEastAsia" w:hAnsi="Arial" w:cs="Arial"/>
          <w:sz w:val="24"/>
          <w:szCs w:val="24"/>
          <w:lang w:eastAsia="en-ZA"/>
        </w:rPr>
        <w:t>(</w:t>
      </w:r>
      <w:r w:rsidR="00285883" w:rsidRPr="00D054BC">
        <w:rPr>
          <w:rFonts w:ascii="Arial" w:eastAsiaTheme="minorEastAsia" w:hAnsi="Arial" w:cs="Arial"/>
          <w:sz w:val="24"/>
          <w:szCs w:val="24"/>
          <w:lang w:eastAsia="en-ZA"/>
        </w:rPr>
        <w:t>W</w:t>
      </w:r>
      <w:r w:rsidR="005658FA" w:rsidRPr="00D054BC">
        <w:rPr>
          <w:rFonts w:ascii="Arial" w:eastAsiaTheme="minorEastAsia" w:hAnsi="Arial" w:cs="Arial"/>
          <w:sz w:val="24"/>
          <w:szCs w:val="24"/>
          <w:lang w:eastAsia="en-ZA"/>
        </w:rPr>
        <w:t>indell</w:t>
      </w:r>
      <w:r w:rsidR="00285883" w:rsidRPr="00D054BC">
        <w:rPr>
          <w:rFonts w:ascii="Arial" w:eastAsiaTheme="minorEastAsia" w:hAnsi="Arial" w:cs="Arial"/>
          <w:sz w:val="24"/>
          <w:szCs w:val="24"/>
          <w:lang w:eastAsia="en-ZA"/>
        </w:rPr>
        <w:t xml:space="preserve">, Keightly and Siwendu JJ </w:t>
      </w:r>
      <w:r w:rsidRPr="00D054BC">
        <w:rPr>
          <w:rFonts w:ascii="Arial" w:eastAsiaTheme="minorEastAsia" w:hAnsi="Arial" w:cs="Arial"/>
          <w:sz w:val="24"/>
          <w:szCs w:val="24"/>
          <w:lang w:eastAsia="en-ZA"/>
        </w:rPr>
        <w:t xml:space="preserve">sitting as </w:t>
      </w:r>
      <w:r w:rsidR="00F40449" w:rsidRPr="008700CC">
        <w:rPr>
          <w:rFonts w:ascii="Arial" w:eastAsiaTheme="minorEastAsia" w:hAnsi="Arial" w:cs="Arial"/>
          <w:sz w:val="24"/>
          <w:szCs w:val="24"/>
          <w:lang w:eastAsia="en-ZA"/>
        </w:rPr>
        <w:t>a</w:t>
      </w:r>
      <w:r w:rsidR="00F40449">
        <w:rPr>
          <w:rFonts w:ascii="Arial" w:eastAsiaTheme="minorEastAsia" w:hAnsi="Arial" w:cs="Arial"/>
          <w:sz w:val="24"/>
          <w:szCs w:val="24"/>
          <w:lang w:eastAsia="en-ZA"/>
        </w:rPr>
        <w:t xml:space="preserve"> </w:t>
      </w:r>
      <w:r w:rsidRPr="00D054BC">
        <w:rPr>
          <w:rFonts w:ascii="Arial" w:eastAsiaTheme="minorEastAsia" w:hAnsi="Arial" w:cs="Arial"/>
          <w:sz w:val="24"/>
          <w:szCs w:val="24"/>
          <w:lang w:eastAsia="en-ZA"/>
        </w:rPr>
        <w:t>court of appeal):</w:t>
      </w:r>
    </w:p>
    <w:p w14:paraId="66AC95C6" w14:textId="7F6A1D26" w:rsidR="00A61467" w:rsidRPr="00D054BC" w:rsidRDefault="00A61467" w:rsidP="00A61467">
      <w:pPr>
        <w:widowControl w:val="0"/>
        <w:numPr>
          <w:ilvl w:val="0"/>
          <w:numId w:val="2"/>
        </w:numPr>
        <w:autoSpaceDE w:val="0"/>
        <w:autoSpaceDN w:val="0"/>
        <w:adjustRightInd w:val="0"/>
        <w:ind w:left="420" w:right="170"/>
        <w:contextualSpacing/>
        <w:rPr>
          <w:rFonts w:ascii="Arial" w:eastAsiaTheme="minorEastAsia" w:hAnsi="Arial" w:cs="Arial"/>
          <w:sz w:val="24"/>
          <w:szCs w:val="24"/>
          <w:lang w:eastAsia="en-ZA"/>
        </w:rPr>
      </w:pPr>
      <w:bookmarkStart w:id="6" w:name="_Hlk107787636"/>
      <w:r w:rsidRPr="00D054BC">
        <w:rPr>
          <w:rFonts w:ascii="Arial" w:eastAsiaTheme="minorEastAsia" w:hAnsi="Arial" w:cs="Arial"/>
          <w:sz w:val="24"/>
          <w:szCs w:val="24"/>
          <w:lang w:eastAsia="en-ZA"/>
        </w:rPr>
        <w:t>The appeal is</w:t>
      </w:r>
      <w:bookmarkStart w:id="7" w:name="_Hlk67186368"/>
      <w:bookmarkStart w:id="8" w:name="_Hlk58083911"/>
      <w:r w:rsidRPr="00D054BC">
        <w:rPr>
          <w:rFonts w:ascii="Arial" w:eastAsiaTheme="minorEastAsia" w:hAnsi="Arial" w:cs="Arial"/>
          <w:sz w:val="24"/>
          <w:szCs w:val="24"/>
          <w:lang w:eastAsia="en-ZA"/>
        </w:rPr>
        <w:t xml:space="preserve"> </w:t>
      </w:r>
      <w:r w:rsidR="009C0BA1" w:rsidRPr="00D054BC">
        <w:rPr>
          <w:rFonts w:ascii="Arial" w:eastAsiaTheme="minorEastAsia" w:hAnsi="Arial" w:cs="Arial"/>
          <w:sz w:val="24"/>
          <w:szCs w:val="24"/>
          <w:lang w:eastAsia="en-ZA"/>
        </w:rPr>
        <w:t>upheld</w:t>
      </w:r>
      <w:r w:rsidRPr="00D054BC">
        <w:rPr>
          <w:rFonts w:ascii="Arial" w:eastAsiaTheme="minorEastAsia" w:hAnsi="Arial" w:cs="Arial"/>
          <w:sz w:val="24"/>
          <w:szCs w:val="24"/>
          <w:lang w:eastAsia="en-ZA"/>
        </w:rPr>
        <w:t xml:space="preserve"> with costs.</w:t>
      </w:r>
    </w:p>
    <w:p w14:paraId="24ED2A26" w14:textId="32D17518" w:rsidR="009C0BA1" w:rsidRPr="00D054BC" w:rsidRDefault="009C0BA1" w:rsidP="00A61467">
      <w:pPr>
        <w:widowControl w:val="0"/>
        <w:numPr>
          <w:ilvl w:val="0"/>
          <w:numId w:val="2"/>
        </w:numPr>
        <w:autoSpaceDE w:val="0"/>
        <w:autoSpaceDN w:val="0"/>
        <w:adjustRightInd w:val="0"/>
        <w:ind w:left="420" w:right="170"/>
        <w:contextualSpacing/>
        <w:rPr>
          <w:rFonts w:ascii="Arial" w:eastAsiaTheme="minorEastAsia" w:hAnsi="Arial" w:cs="Arial"/>
          <w:sz w:val="24"/>
          <w:szCs w:val="24"/>
          <w:lang w:eastAsia="en-ZA"/>
        </w:rPr>
      </w:pPr>
      <w:r w:rsidRPr="00D054BC">
        <w:rPr>
          <w:rFonts w:ascii="Arial" w:eastAsiaTheme="minorEastAsia" w:hAnsi="Arial" w:cs="Arial"/>
          <w:sz w:val="24"/>
          <w:szCs w:val="24"/>
          <w:lang w:eastAsia="en-ZA"/>
        </w:rPr>
        <w:t>The order of the full court is set aside and replaced with the following:</w:t>
      </w:r>
    </w:p>
    <w:p w14:paraId="21D9A3F5" w14:textId="789DEAF4" w:rsidR="00ED1D04" w:rsidRPr="00D054BC" w:rsidRDefault="009C0BA1" w:rsidP="00714C77">
      <w:pPr>
        <w:widowControl w:val="0"/>
        <w:autoSpaceDE w:val="0"/>
        <w:autoSpaceDN w:val="0"/>
        <w:adjustRightInd w:val="0"/>
        <w:spacing w:after="1080"/>
        <w:ind w:right="170"/>
        <w:contextualSpacing/>
        <w:rPr>
          <w:rFonts w:ascii="Arial" w:eastAsiaTheme="minorEastAsia" w:hAnsi="Arial" w:cs="Arial"/>
          <w:sz w:val="24"/>
          <w:szCs w:val="24"/>
          <w:lang w:eastAsia="en-ZA"/>
        </w:rPr>
      </w:pPr>
      <w:r w:rsidRPr="00D054BC">
        <w:rPr>
          <w:rFonts w:ascii="Arial" w:eastAsiaTheme="minorEastAsia" w:hAnsi="Arial" w:cs="Arial"/>
          <w:sz w:val="24"/>
          <w:szCs w:val="24"/>
          <w:lang w:eastAsia="en-ZA"/>
        </w:rPr>
        <w:t>‘</w:t>
      </w:r>
      <w:r w:rsidR="008700CC">
        <w:rPr>
          <w:rFonts w:ascii="Arial" w:eastAsiaTheme="minorEastAsia" w:hAnsi="Arial" w:cs="Arial"/>
          <w:sz w:val="24"/>
          <w:szCs w:val="24"/>
          <w:lang w:eastAsia="en-ZA"/>
        </w:rPr>
        <w:t>The appeal is dismissed with costs’.</w:t>
      </w:r>
    </w:p>
    <w:bookmarkEnd w:id="6"/>
    <w:bookmarkEnd w:id="7"/>
    <w:bookmarkEnd w:id="8"/>
    <w:p w14:paraId="7C02038E" w14:textId="0728E109" w:rsidR="00A61467" w:rsidRPr="00D054BC" w:rsidRDefault="00A61467" w:rsidP="00714C77">
      <w:pPr>
        <w:widowControl w:val="0"/>
        <w:autoSpaceDE w:val="0"/>
        <w:autoSpaceDN w:val="0"/>
        <w:adjustRightInd w:val="0"/>
        <w:spacing w:after="240"/>
        <w:rPr>
          <w:rFonts w:ascii="Arial" w:eastAsiaTheme="minorEastAsia" w:hAnsi="Arial" w:cs="Arial"/>
          <w:b/>
          <w:bCs/>
          <w:sz w:val="24"/>
          <w:szCs w:val="24"/>
          <w:lang w:eastAsia="en-ZA"/>
        </w:rPr>
      </w:pPr>
      <w:r w:rsidRPr="00D054BC">
        <w:rPr>
          <w:rFonts w:ascii="Arial" w:eastAsiaTheme="minorEastAsia" w:hAnsi="Arial" w:cs="Arial"/>
          <w:b/>
          <w:bCs/>
          <w:sz w:val="24"/>
          <w:szCs w:val="24"/>
          <w:lang w:eastAsia="en-ZA"/>
        </w:rPr>
        <w:t>________________________________________________________________</w:t>
      </w:r>
      <w:r w:rsidR="000C0EBB" w:rsidRPr="00D054BC">
        <w:rPr>
          <w:rFonts w:ascii="Arial" w:eastAsiaTheme="minorEastAsia" w:hAnsi="Arial" w:cs="Arial"/>
          <w:b/>
          <w:bCs/>
          <w:sz w:val="24"/>
          <w:szCs w:val="24"/>
          <w:lang w:eastAsia="en-ZA"/>
        </w:rPr>
        <w:t>___</w:t>
      </w:r>
    </w:p>
    <w:p w14:paraId="744F4F20" w14:textId="77777777" w:rsidR="00A61467" w:rsidRPr="00D054BC" w:rsidRDefault="00A61467" w:rsidP="00612521">
      <w:pPr>
        <w:widowControl w:val="0"/>
        <w:autoSpaceDE w:val="0"/>
        <w:autoSpaceDN w:val="0"/>
        <w:adjustRightInd w:val="0"/>
        <w:spacing w:before="120" w:after="120" w:line="240" w:lineRule="auto"/>
        <w:jc w:val="center"/>
        <w:rPr>
          <w:rFonts w:ascii="Arial" w:eastAsiaTheme="minorEastAsia" w:hAnsi="Arial" w:cs="Arial"/>
          <w:b/>
          <w:bCs/>
          <w:sz w:val="24"/>
          <w:szCs w:val="24"/>
          <w:lang w:eastAsia="en-ZA"/>
        </w:rPr>
      </w:pPr>
      <w:r w:rsidRPr="00D054BC">
        <w:rPr>
          <w:rFonts w:ascii="Arial" w:eastAsiaTheme="minorEastAsia" w:hAnsi="Arial" w:cs="Arial"/>
          <w:b/>
          <w:bCs/>
          <w:sz w:val="24"/>
          <w:szCs w:val="24"/>
          <w:lang w:eastAsia="en-ZA"/>
        </w:rPr>
        <w:t>JUDGMENT</w:t>
      </w:r>
    </w:p>
    <w:p w14:paraId="219B783C" w14:textId="3F428422" w:rsidR="00A61467" w:rsidRPr="00D054BC" w:rsidRDefault="00A61467" w:rsidP="00714C77">
      <w:pPr>
        <w:widowControl w:val="0"/>
        <w:autoSpaceDE w:val="0"/>
        <w:autoSpaceDN w:val="0"/>
        <w:adjustRightInd w:val="0"/>
        <w:spacing w:after="360"/>
        <w:rPr>
          <w:rFonts w:ascii="Arial" w:eastAsiaTheme="minorEastAsia" w:hAnsi="Arial" w:cs="Arial"/>
          <w:b/>
          <w:bCs/>
          <w:sz w:val="24"/>
          <w:szCs w:val="24"/>
          <w:lang w:eastAsia="en-ZA"/>
        </w:rPr>
      </w:pPr>
      <w:r w:rsidRPr="00D054BC">
        <w:rPr>
          <w:rFonts w:ascii="Arial" w:eastAsiaTheme="minorEastAsia" w:hAnsi="Arial" w:cs="Arial"/>
          <w:b/>
          <w:bCs/>
          <w:sz w:val="24"/>
          <w:szCs w:val="24"/>
          <w:lang w:eastAsia="en-ZA"/>
        </w:rPr>
        <w:t>________________________________________________________________</w:t>
      </w:r>
      <w:r w:rsidR="000C0EBB" w:rsidRPr="00D054BC">
        <w:rPr>
          <w:rFonts w:ascii="Arial" w:eastAsiaTheme="minorEastAsia" w:hAnsi="Arial" w:cs="Arial"/>
          <w:b/>
          <w:bCs/>
          <w:sz w:val="24"/>
          <w:szCs w:val="24"/>
          <w:lang w:eastAsia="en-ZA"/>
        </w:rPr>
        <w:t>___</w:t>
      </w:r>
    </w:p>
    <w:p w14:paraId="70725399" w14:textId="3AF192F1" w:rsidR="00AA178E" w:rsidRPr="00D054BC" w:rsidRDefault="00A61467" w:rsidP="00A97E67">
      <w:pPr>
        <w:widowControl w:val="0"/>
        <w:autoSpaceDE w:val="0"/>
        <w:autoSpaceDN w:val="0"/>
        <w:adjustRightInd w:val="0"/>
        <w:spacing w:before="120" w:after="360" w:line="240" w:lineRule="auto"/>
        <w:ind w:left="1440" w:hanging="1440"/>
        <w:rPr>
          <w:rFonts w:ascii="Arial" w:eastAsiaTheme="minorEastAsia" w:hAnsi="Arial" w:cs="Arial"/>
          <w:b/>
          <w:sz w:val="24"/>
          <w:szCs w:val="24"/>
          <w:lang w:eastAsia="en-ZA"/>
        </w:rPr>
      </w:pPr>
      <w:bookmarkStart w:id="9" w:name="_Hlk58083624"/>
      <w:r w:rsidRPr="00D054BC">
        <w:rPr>
          <w:rFonts w:ascii="Arial" w:eastAsiaTheme="minorEastAsia" w:hAnsi="Arial" w:cs="Arial"/>
          <w:b/>
          <w:sz w:val="24"/>
          <w:szCs w:val="24"/>
          <w:lang w:eastAsia="en-ZA"/>
        </w:rPr>
        <w:t>Makgoka JA</w:t>
      </w:r>
      <w:bookmarkEnd w:id="9"/>
      <w:r w:rsidRPr="00D054BC">
        <w:rPr>
          <w:rFonts w:ascii="Arial" w:eastAsiaTheme="minorEastAsia" w:hAnsi="Arial" w:cs="Arial"/>
          <w:b/>
          <w:sz w:val="24"/>
          <w:szCs w:val="24"/>
          <w:lang w:eastAsia="en-ZA"/>
        </w:rPr>
        <w:t xml:space="preserve"> (</w:t>
      </w:r>
      <w:r w:rsidR="004C59B4" w:rsidRPr="004C59B4">
        <w:rPr>
          <w:rFonts w:ascii="Arial" w:eastAsiaTheme="minorEastAsia" w:hAnsi="Arial" w:cs="Arial"/>
          <w:b/>
          <w:bCs/>
          <w:sz w:val="24"/>
          <w:szCs w:val="24"/>
          <w:lang w:eastAsia="en-ZA"/>
        </w:rPr>
        <w:t>Dambuza</w:t>
      </w:r>
      <w:r w:rsidR="004C59B4" w:rsidRPr="004C59B4">
        <w:rPr>
          <w:rFonts w:ascii="Arial" w:hAnsi="Arial" w:cs="Arial"/>
          <w:b/>
          <w:bCs/>
          <w:sz w:val="24"/>
          <w:szCs w:val="24"/>
        </w:rPr>
        <w:t>,</w:t>
      </w:r>
      <w:r w:rsidR="004C59B4" w:rsidRPr="004C59B4">
        <w:rPr>
          <w:rFonts w:ascii="Arial" w:eastAsiaTheme="minorEastAsia" w:hAnsi="Arial" w:cs="Arial"/>
          <w:b/>
          <w:bCs/>
          <w:sz w:val="24"/>
          <w:szCs w:val="24"/>
          <w:lang w:eastAsia="en-ZA"/>
        </w:rPr>
        <w:t xml:space="preserve"> </w:t>
      </w:r>
      <w:r w:rsidR="004C59B4" w:rsidRPr="004C59B4">
        <w:rPr>
          <w:rFonts w:ascii="Arial" w:hAnsi="Arial" w:cs="Arial"/>
          <w:b/>
          <w:bCs/>
          <w:sz w:val="24"/>
          <w:szCs w:val="24"/>
        </w:rPr>
        <w:t xml:space="preserve">Nicholls and Carelse JJA </w:t>
      </w:r>
      <w:r w:rsidR="004C59B4" w:rsidRPr="004C59B4">
        <w:rPr>
          <w:rFonts w:ascii="Arial" w:eastAsiaTheme="minorEastAsia" w:hAnsi="Arial" w:cs="Arial"/>
          <w:b/>
          <w:bCs/>
          <w:sz w:val="24"/>
          <w:szCs w:val="24"/>
          <w:lang w:eastAsia="en-ZA"/>
        </w:rPr>
        <w:t>and M</w:t>
      </w:r>
      <w:r w:rsidR="00714C77" w:rsidRPr="004C59B4">
        <w:rPr>
          <w:rFonts w:ascii="Arial" w:eastAsiaTheme="minorEastAsia" w:hAnsi="Arial" w:cs="Arial"/>
          <w:b/>
          <w:bCs/>
          <w:sz w:val="24"/>
          <w:szCs w:val="24"/>
          <w:lang w:eastAsia="en-ZA"/>
        </w:rPr>
        <w:t>usi</w:t>
      </w:r>
      <w:r w:rsidR="004C59B4" w:rsidRPr="004C59B4">
        <w:rPr>
          <w:rFonts w:ascii="Arial" w:eastAsiaTheme="minorEastAsia" w:hAnsi="Arial" w:cs="Arial"/>
          <w:b/>
          <w:bCs/>
          <w:sz w:val="24"/>
          <w:szCs w:val="24"/>
          <w:lang w:eastAsia="en-ZA"/>
        </w:rPr>
        <w:t xml:space="preserve"> </w:t>
      </w:r>
      <w:r w:rsidR="004C59B4" w:rsidRPr="004C59B4">
        <w:rPr>
          <w:rFonts w:ascii="Arial" w:hAnsi="Arial" w:cs="Arial"/>
          <w:b/>
          <w:bCs/>
          <w:sz w:val="24"/>
          <w:szCs w:val="24"/>
        </w:rPr>
        <w:t>AJA</w:t>
      </w:r>
      <w:r w:rsidR="004C59B4" w:rsidRPr="00D054BC">
        <w:rPr>
          <w:rFonts w:ascii="Arial" w:eastAsiaTheme="minorEastAsia" w:hAnsi="Arial" w:cs="Arial"/>
          <w:sz w:val="24"/>
          <w:szCs w:val="24"/>
          <w:lang w:eastAsia="en-ZA"/>
        </w:rPr>
        <w:t xml:space="preserve"> </w:t>
      </w:r>
      <w:r w:rsidRPr="00D054BC">
        <w:rPr>
          <w:rFonts w:ascii="Arial" w:eastAsiaTheme="minorEastAsia" w:hAnsi="Arial" w:cs="Arial"/>
          <w:b/>
          <w:sz w:val="24"/>
          <w:szCs w:val="24"/>
          <w:lang w:eastAsia="en-ZA"/>
        </w:rPr>
        <w:t>concurring):</w:t>
      </w:r>
    </w:p>
    <w:p w14:paraId="78390BDF" w14:textId="11C45DCE" w:rsidR="00E025DB" w:rsidRPr="00517805" w:rsidRDefault="00744165" w:rsidP="003B721B">
      <w:pPr>
        <w:numPr>
          <w:ilvl w:val="0"/>
          <w:numId w:val="1"/>
        </w:numPr>
        <w:shd w:val="clear" w:color="auto" w:fill="FFFFFF"/>
        <w:spacing w:before="120" w:after="100" w:afterAutospacing="1"/>
        <w:ind w:left="0" w:firstLine="0"/>
        <w:contextualSpacing/>
        <w:rPr>
          <w:rFonts w:ascii="Arial" w:hAnsi="Arial" w:cs="Arial"/>
          <w:sz w:val="24"/>
          <w:szCs w:val="24"/>
        </w:rPr>
      </w:pPr>
      <w:bookmarkStart w:id="10" w:name="_Hlk107843152"/>
      <w:r w:rsidRPr="00517805">
        <w:rPr>
          <w:rFonts w:ascii="Arial" w:hAnsi="Arial" w:cs="Arial"/>
          <w:sz w:val="24"/>
          <w:szCs w:val="24"/>
        </w:rPr>
        <w:t>P</w:t>
      </w:r>
      <w:r w:rsidR="006670B1" w:rsidRPr="00517805">
        <w:rPr>
          <w:rFonts w:ascii="Arial" w:hAnsi="Arial" w:cs="Arial"/>
          <w:sz w:val="24"/>
          <w:szCs w:val="24"/>
        </w:rPr>
        <w:t>ursuant to a trial</w:t>
      </w:r>
      <w:r w:rsidR="004217F3" w:rsidRPr="00517805">
        <w:rPr>
          <w:rFonts w:ascii="Arial" w:hAnsi="Arial" w:cs="Arial"/>
          <w:sz w:val="24"/>
          <w:szCs w:val="24"/>
        </w:rPr>
        <w:t>,</w:t>
      </w:r>
      <w:r w:rsidR="00327CDC" w:rsidRPr="00517805">
        <w:rPr>
          <w:rFonts w:ascii="Arial" w:eastAsia="Times New Roman" w:hAnsi="Arial" w:cs="Arial"/>
          <w:sz w:val="24"/>
          <w:szCs w:val="24"/>
          <w:lang w:val="en-US" w:eastAsia="en-ZA"/>
        </w:rPr>
        <w:t xml:space="preserve"> the Gauteng Division of the High Court, Johannesburg</w:t>
      </w:r>
      <w:r w:rsidR="00FA3152" w:rsidRPr="00517805">
        <w:rPr>
          <w:rFonts w:ascii="Arial" w:eastAsia="Times New Roman" w:hAnsi="Arial" w:cs="Arial"/>
          <w:sz w:val="24"/>
          <w:szCs w:val="24"/>
          <w:lang w:val="en-US" w:eastAsia="en-ZA"/>
        </w:rPr>
        <w:t xml:space="preserve"> (the high court)</w:t>
      </w:r>
      <w:r w:rsidR="006670B1" w:rsidRPr="00517805">
        <w:rPr>
          <w:rFonts w:ascii="Arial" w:hAnsi="Arial" w:cs="Arial"/>
          <w:sz w:val="24"/>
          <w:szCs w:val="24"/>
        </w:rPr>
        <w:t xml:space="preserve">, </w:t>
      </w:r>
      <w:bookmarkStart w:id="11" w:name="_Hlk107356321"/>
      <w:r w:rsidR="006670B1" w:rsidRPr="00517805">
        <w:rPr>
          <w:rFonts w:ascii="Arial" w:hAnsi="Arial" w:cs="Arial"/>
          <w:sz w:val="24"/>
          <w:szCs w:val="24"/>
        </w:rPr>
        <w:t xml:space="preserve">ordered </w:t>
      </w:r>
      <w:bookmarkStart w:id="12" w:name="_Hlk107356350"/>
      <w:r w:rsidR="006670B1" w:rsidRPr="00517805">
        <w:rPr>
          <w:rFonts w:ascii="Arial" w:hAnsi="Arial" w:cs="Arial"/>
          <w:sz w:val="24"/>
          <w:szCs w:val="24"/>
        </w:rPr>
        <w:t xml:space="preserve">the respondent, </w:t>
      </w:r>
      <w:r w:rsidR="006670B1" w:rsidRPr="00517805">
        <w:rPr>
          <w:rFonts w:ascii="Arial" w:eastAsia="Times New Roman" w:hAnsi="Arial" w:cs="Arial"/>
          <w:sz w:val="24"/>
          <w:szCs w:val="24"/>
          <w:lang w:val="en-US" w:eastAsia="en-ZA"/>
        </w:rPr>
        <w:t xml:space="preserve">Reference Audio CC </w:t>
      </w:r>
      <w:bookmarkEnd w:id="12"/>
      <w:r w:rsidR="006670B1" w:rsidRPr="00517805">
        <w:rPr>
          <w:rFonts w:ascii="Arial" w:eastAsia="Times New Roman" w:hAnsi="Arial" w:cs="Arial"/>
          <w:sz w:val="24"/>
          <w:szCs w:val="24"/>
          <w:lang w:val="en-US" w:eastAsia="en-ZA"/>
        </w:rPr>
        <w:t xml:space="preserve">(Reference Audio) to pay R602 866.22 to the appellant, </w:t>
      </w:r>
      <w:r w:rsidR="00327CDC" w:rsidRPr="00517805">
        <w:rPr>
          <w:rFonts w:ascii="Arial" w:eastAsia="Times New Roman" w:hAnsi="Arial" w:cs="Arial"/>
          <w:sz w:val="24"/>
          <w:szCs w:val="24"/>
          <w:lang w:val="en-US" w:eastAsia="en-ZA"/>
        </w:rPr>
        <w:t xml:space="preserve">Imbuko Wines (Pty) Ltd </w:t>
      </w:r>
      <w:bookmarkEnd w:id="11"/>
      <w:r w:rsidR="00327CDC" w:rsidRPr="00517805">
        <w:rPr>
          <w:rFonts w:ascii="Arial" w:eastAsia="Times New Roman" w:hAnsi="Arial" w:cs="Arial"/>
          <w:sz w:val="24"/>
          <w:szCs w:val="24"/>
          <w:lang w:val="en-US" w:eastAsia="en-ZA"/>
        </w:rPr>
        <w:t>(Imbuko)</w:t>
      </w:r>
      <w:r w:rsidR="006670B1" w:rsidRPr="00517805">
        <w:rPr>
          <w:rFonts w:ascii="Arial" w:eastAsia="Times New Roman" w:hAnsi="Arial" w:cs="Arial"/>
          <w:sz w:val="24"/>
          <w:szCs w:val="24"/>
          <w:lang w:val="en-US" w:eastAsia="en-ZA"/>
        </w:rPr>
        <w:t>.</w:t>
      </w:r>
      <w:r w:rsidR="00327CDC" w:rsidRPr="00517805">
        <w:rPr>
          <w:rFonts w:ascii="Arial" w:eastAsia="Times New Roman" w:hAnsi="Arial" w:cs="Arial"/>
          <w:sz w:val="24"/>
          <w:szCs w:val="24"/>
          <w:lang w:val="en-US" w:eastAsia="en-ZA"/>
        </w:rPr>
        <w:t xml:space="preserve"> </w:t>
      </w:r>
      <w:r w:rsidR="00FA3152" w:rsidRPr="00517805">
        <w:rPr>
          <w:rFonts w:ascii="Arial" w:eastAsia="Times New Roman" w:hAnsi="Arial" w:cs="Arial"/>
          <w:sz w:val="24"/>
          <w:szCs w:val="24"/>
          <w:lang w:val="en-US" w:eastAsia="en-ZA"/>
        </w:rPr>
        <w:t xml:space="preserve">Reference Audio appealed against that order to the full court, which, </w:t>
      </w:r>
      <w:r w:rsidR="00D0203A" w:rsidRPr="00517805">
        <w:rPr>
          <w:rFonts w:ascii="Arial" w:eastAsia="Times New Roman" w:hAnsi="Arial" w:cs="Arial"/>
          <w:sz w:val="24"/>
          <w:szCs w:val="24"/>
          <w:lang w:val="en-US" w:eastAsia="en-ZA"/>
        </w:rPr>
        <w:t>by majority</w:t>
      </w:r>
      <w:r w:rsidR="00DF5C64" w:rsidRPr="00517805">
        <w:rPr>
          <w:rFonts w:ascii="Arial" w:eastAsia="Times New Roman" w:hAnsi="Arial" w:cs="Arial"/>
          <w:sz w:val="24"/>
          <w:szCs w:val="24"/>
          <w:lang w:val="en-US" w:eastAsia="en-ZA"/>
        </w:rPr>
        <w:t xml:space="preserve">, </w:t>
      </w:r>
      <w:r w:rsidR="00FA3152" w:rsidRPr="00517805">
        <w:rPr>
          <w:rFonts w:ascii="Arial" w:eastAsia="Times New Roman" w:hAnsi="Arial" w:cs="Arial"/>
          <w:sz w:val="24"/>
          <w:szCs w:val="24"/>
          <w:lang w:val="en-US" w:eastAsia="en-ZA"/>
        </w:rPr>
        <w:t>upheld the appeal</w:t>
      </w:r>
      <w:r w:rsidR="00D0203A" w:rsidRPr="00517805">
        <w:rPr>
          <w:rFonts w:ascii="Arial" w:eastAsia="Times New Roman" w:hAnsi="Arial" w:cs="Arial"/>
          <w:sz w:val="24"/>
          <w:szCs w:val="24"/>
          <w:lang w:val="en-US" w:eastAsia="en-ZA"/>
        </w:rPr>
        <w:t xml:space="preserve">. </w:t>
      </w:r>
      <w:r w:rsidR="003C697D" w:rsidRPr="00517805">
        <w:rPr>
          <w:rFonts w:ascii="Arial" w:eastAsia="Times New Roman" w:hAnsi="Arial" w:cs="Arial"/>
          <w:sz w:val="24"/>
          <w:szCs w:val="24"/>
          <w:lang w:val="en-US" w:eastAsia="en-ZA"/>
        </w:rPr>
        <w:t xml:space="preserve">This is an appeal by </w:t>
      </w:r>
      <w:r w:rsidR="00FA3152" w:rsidRPr="00517805">
        <w:rPr>
          <w:rFonts w:ascii="Arial" w:eastAsia="Times New Roman" w:hAnsi="Arial" w:cs="Arial"/>
          <w:sz w:val="24"/>
          <w:szCs w:val="24"/>
          <w:lang w:val="en-US" w:eastAsia="en-ZA"/>
        </w:rPr>
        <w:t>Imbuko against the order of the full court, with the special leave of this Court.</w:t>
      </w:r>
    </w:p>
    <w:bookmarkEnd w:id="10"/>
    <w:p w14:paraId="02847D29" w14:textId="77777777" w:rsidR="000C0EBB" w:rsidRPr="00D054BC" w:rsidRDefault="000C0EBB" w:rsidP="000C0EBB">
      <w:pPr>
        <w:shd w:val="clear" w:color="auto" w:fill="FFFFFF"/>
        <w:spacing w:before="120" w:after="840"/>
        <w:contextualSpacing/>
        <w:rPr>
          <w:rFonts w:ascii="Arial" w:hAnsi="Arial" w:cs="Arial"/>
          <w:sz w:val="24"/>
          <w:szCs w:val="24"/>
        </w:rPr>
      </w:pPr>
    </w:p>
    <w:p w14:paraId="00A56BED" w14:textId="537C6B13" w:rsidR="00A5573B" w:rsidRPr="004C59B4" w:rsidRDefault="00DF4CDA" w:rsidP="00D260CA">
      <w:pPr>
        <w:numPr>
          <w:ilvl w:val="0"/>
          <w:numId w:val="1"/>
        </w:numPr>
        <w:shd w:val="clear" w:color="auto" w:fill="FFFFFF"/>
        <w:spacing w:before="120" w:after="720"/>
        <w:ind w:left="0" w:firstLine="0"/>
        <w:contextualSpacing/>
        <w:rPr>
          <w:rFonts w:ascii="Arial" w:eastAsia="Times New Roman" w:hAnsi="Arial" w:cs="Arial"/>
          <w:sz w:val="24"/>
          <w:szCs w:val="24"/>
          <w:lang w:val="en-US" w:eastAsia="en-ZA"/>
        </w:rPr>
      </w:pPr>
      <w:r w:rsidRPr="004C59B4">
        <w:rPr>
          <w:rFonts w:ascii="Arial" w:eastAsia="Times New Roman" w:hAnsi="Arial" w:cs="Arial"/>
          <w:sz w:val="24"/>
          <w:szCs w:val="24"/>
          <w:lang w:val="en-US" w:eastAsia="en-ZA"/>
        </w:rPr>
        <w:t>The dispute between the parties concer</w:t>
      </w:r>
      <w:r w:rsidR="00CE48E6" w:rsidRPr="004C59B4">
        <w:rPr>
          <w:rFonts w:ascii="Arial" w:eastAsia="Times New Roman" w:hAnsi="Arial" w:cs="Arial"/>
          <w:sz w:val="24"/>
          <w:szCs w:val="24"/>
          <w:lang w:val="en-US" w:eastAsia="en-ZA"/>
        </w:rPr>
        <w:t>ned</w:t>
      </w:r>
      <w:r w:rsidRPr="004C59B4">
        <w:rPr>
          <w:rFonts w:ascii="Arial" w:eastAsia="Times New Roman" w:hAnsi="Arial" w:cs="Arial"/>
          <w:sz w:val="24"/>
          <w:szCs w:val="24"/>
          <w:lang w:val="en-US" w:eastAsia="en-ZA"/>
        </w:rPr>
        <w:t xml:space="preserve"> an alleged cession between Imbuko (as a cessionary) and a third party, Dipole CC</w:t>
      </w:r>
      <w:r w:rsidR="000746EA" w:rsidRPr="004C59B4">
        <w:rPr>
          <w:rFonts w:ascii="Arial" w:eastAsia="Times New Roman" w:hAnsi="Arial" w:cs="Arial"/>
          <w:sz w:val="24"/>
          <w:szCs w:val="24"/>
          <w:lang w:val="en-US" w:eastAsia="en-ZA"/>
        </w:rPr>
        <w:t xml:space="preserve"> (Dipole)</w:t>
      </w:r>
      <w:r w:rsidRPr="004C59B4">
        <w:rPr>
          <w:rFonts w:ascii="Arial" w:eastAsia="Times New Roman" w:hAnsi="Arial" w:cs="Arial"/>
          <w:sz w:val="24"/>
          <w:szCs w:val="24"/>
          <w:lang w:val="en-US" w:eastAsia="en-ZA"/>
        </w:rPr>
        <w:t xml:space="preserve"> (as a cedent)</w:t>
      </w:r>
      <w:r w:rsidR="00744165" w:rsidRPr="004C59B4">
        <w:rPr>
          <w:rFonts w:ascii="Arial" w:eastAsia="Times New Roman" w:hAnsi="Arial" w:cs="Arial"/>
          <w:sz w:val="24"/>
          <w:szCs w:val="24"/>
          <w:lang w:val="en-US" w:eastAsia="en-ZA"/>
        </w:rPr>
        <w:t>.</w:t>
      </w:r>
      <w:r w:rsidR="00440909" w:rsidRPr="004C59B4">
        <w:rPr>
          <w:rFonts w:ascii="Arial" w:eastAsia="Times New Roman" w:hAnsi="Arial" w:cs="Arial"/>
          <w:sz w:val="24"/>
          <w:szCs w:val="24"/>
          <w:lang w:val="en-US" w:eastAsia="en-ZA"/>
        </w:rPr>
        <w:t xml:space="preserve"> </w:t>
      </w:r>
      <w:r w:rsidR="006073EF" w:rsidRPr="004C59B4">
        <w:rPr>
          <w:rFonts w:ascii="Arial" w:eastAsia="Times New Roman" w:hAnsi="Arial" w:cs="Arial"/>
          <w:sz w:val="24"/>
          <w:szCs w:val="24"/>
          <w:lang w:val="en-US" w:eastAsia="en-ZA"/>
        </w:rPr>
        <w:t>Dipole and Reference Audio, represented respectively by their sole members – Dr Lahl Batho Santa Singh (Dr Singh) and Mr Mi</w:t>
      </w:r>
      <w:r w:rsidR="00A47A58" w:rsidRPr="004C59B4">
        <w:rPr>
          <w:rFonts w:ascii="Arial" w:eastAsia="Times New Roman" w:hAnsi="Arial" w:cs="Arial"/>
          <w:sz w:val="24"/>
          <w:szCs w:val="24"/>
          <w:lang w:val="en-US" w:eastAsia="en-ZA"/>
        </w:rPr>
        <w:t>chael</w:t>
      </w:r>
      <w:r w:rsidR="006073EF" w:rsidRPr="004C59B4">
        <w:rPr>
          <w:rFonts w:ascii="Arial" w:eastAsia="Times New Roman" w:hAnsi="Arial" w:cs="Arial"/>
          <w:sz w:val="24"/>
          <w:szCs w:val="24"/>
          <w:lang w:val="en-US" w:eastAsia="en-ZA"/>
        </w:rPr>
        <w:t xml:space="preserve"> Hoffman (Mr Hoffman) –</w:t>
      </w:r>
      <w:r w:rsidR="00AF0023" w:rsidRPr="004C59B4">
        <w:rPr>
          <w:rFonts w:ascii="Arial" w:eastAsia="Times New Roman" w:hAnsi="Arial" w:cs="Arial"/>
          <w:sz w:val="24"/>
          <w:szCs w:val="24"/>
          <w:lang w:val="en-US" w:eastAsia="en-ZA"/>
        </w:rPr>
        <w:t xml:space="preserve"> </w:t>
      </w:r>
      <w:r w:rsidR="006073EF" w:rsidRPr="004C59B4">
        <w:rPr>
          <w:rFonts w:ascii="Arial" w:eastAsia="Times New Roman" w:hAnsi="Arial" w:cs="Arial"/>
          <w:sz w:val="24"/>
          <w:szCs w:val="24"/>
          <w:lang w:val="en-US" w:eastAsia="en-ZA"/>
        </w:rPr>
        <w:t>had</w:t>
      </w:r>
      <w:r w:rsidR="003C697D" w:rsidRPr="004C59B4">
        <w:rPr>
          <w:rFonts w:ascii="Arial" w:eastAsia="Times New Roman" w:hAnsi="Arial" w:cs="Arial"/>
          <w:sz w:val="24"/>
          <w:szCs w:val="24"/>
          <w:lang w:val="en-US" w:eastAsia="en-ZA"/>
        </w:rPr>
        <w:t xml:space="preserve"> concluded</w:t>
      </w:r>
      <w:r w:rsidR="006073EF" w:rsidRPr="004C59B4">
        <w:rPr>
          <w:rFonts w:ascii="Arial" w:eastAsia="Times New Roman" w:hAnsi="Arial" w:cs="Arial"/>
          <w:sz w:val="24"/>
          <w:szCs w:val="24"/>
          <w:lang w:val="en-US" w:eastAsia="en-ZA"/>
        </w:rPr>
        <w:t xml:space="preserve"> an oral agreement during 2012 in terms of which </w:t>
      </w:r>
      <w:r w:rsidR="0094633A" w:rsidRPr="004C59B4">
        <w:rPr>
          <w:rFonts w:ascii="Arial" w:eastAsia="Times New Roman" w:hAnsi="Arial" w:cs="Arial"/>
          <w:sz w:val="24"/>
          <w:szCs w:val="24"/>
          <w:lang w:val="en-US" w:eastAsia="en-ZA"/>
        </w:rPr>
        <w:t xml:space="preserve">over </w:t>
      </w:r>
      <w:r w:rsidR="00287DE3" w:rsidRPr="004C59B4">
        <w:rPr>
          <w:rFonts w:ascii="Arial" w:eastAsia="Times New Roman" w:hAnsi="Arial" w:cs="Arial"/>
          <w:sz w:val="24"/>
          <w:szCs w:val="24"/>
          <w:lang w:val="en-US" w:eastAsia="en-ZA"/>
        </w:rPr>
        <w:t>a per</w:t>
      </w:r>
      <w:r w:rsidR="00BA6CB9" w:rsidRPr="004C59B4">
        <w:rPr>
          <w:rFonts w:ascii="Arial" w:eastAsia="Times New Roman" w:hAnsi="Arial" w:cs="Arial"/>
          <w:sz w:val="24"/>
          <w:szCs w:val="24"/>
          <w:lang w:val="en-US" w:eastAsia="en-ZA"/>
        </w:rPr>
        <w:t>i</w:t>
      </w:r>
      <w:r w:rsidR="00287DE3" w:rsidRPr="004C59B4">
        <w:rPr>
          <w:rFonts w:ascii="Arial" w:eastAsia="Times New Roman" w:hAnsi="Arial" w:cs="Arial"/>
          <w:sz w:val="24"/>
          <w:szCs w:val="24"/>
          <w:lang w:val="en-US" w:eastAsia="en-ZA"/>
        </w:rPr>
        <w:t xml:space="preserve">od of </w:t>
      </w:r>
      <w:r w:rsidR="0094633A" w:rsidRPr="004C59B4">
        <w:rPr>
          <w:rFonts w:ascii="Arial" w:eastAsia="Times New Roman" w:hAnsi="Arial" w:cs="Arial"/>
          <w:sz w:val="24"/>
          <w:szCs w:val="24"/>
          <w:lang w:val="en-US" w:eastAsia="en-ZA"/>
        </w:rPr>
        <w:t xml:space="preserve">time, </w:t>
      </w:r>
      <w:r w:rsidR="006073EF" w:rsidRPr="004C59B4">
        <w:rPr>
          <w:rFonts w:ascii="Arial" w:eastAsia="Times New Roman" w:hAnsi="Arial" w:cs="Arial"/>
          <w:sz w:val="24"/>
          <w:szCs w:val="24"/>
          <w:lang w:val="en-US" w:eastAsia="en-ZA"/>
        </w:rPr>
        <w:t xml:space="preserve">Dipole supplied </w:t>
      </w:r>
      <w:r w:rsidR="00AF0023" w:rsidRPr="004C59B4">
        <w:rPr>
          <w:rFonts w:ascii="Arial" w:eastAsia="Times New Roman" w:hAnsi="Arial" w:cs="Arial"/>
          <w:sz w:val="24"/>
          <w:szCs w:val="24"/>
          <w:lang w:val="en-US" w:eastAsia="en-ZA"/>
        </w:rPr>
        <w:t>certain audio equipment (the goods)</w:t>
      </w:r>
      <w:r w:rsidR="00AF0023" w:rsidRPr="004C59B4">
        <w:rPr>
          <w:rFonts w:ascii="Arial" w:eastAsia="Times New Roman" w:hAnsi="Arial" w:cs="Arial"/>
          <w:i/>
          <w:iCs/>
          <w:sz w:val="24"/>
          <w:szCs w:val="24"/>
          <w:lang w:val="en-US" w:eastAsia="en-ZA"/>
        </w:rPr>
        <w:t xml:space="preserve"> </w:t>
      </w:r>
      <w:r w:rsidR="006073EF" w:rsidRPr="004C59B4">
        <w:rPr>
          <w:rFonts w:ascii="Arial" w:eastAsia="Times New Roman" w:hAnsi="Arial" w:cs="Arial"/>
          <w:sz w:val="24"/>
          <w:szCs w:val="24"/>
          <w:lang w:val="en-US" w:eastAsia="en-ZA"/>
        </w:rPr>
        <w:t xml:space="preserve">to Reference Audio. In terms of the agreement, </w:t>
      </w:r>
      <w:bookmarkStart w:id="13" w:name="_Hlk107143997"/>
      <w:r w:rsidR="006073EF" w:rsidRPr="004C59B4">
        <w:rPr>
          <w:rFonts w:ascii="Arial" w:eastAsia="Times New Roman" w:hAnsi="Arial" w:cs="Arial"/>
          <w:sz w:val="24"/>
          <w:szCs w:val="24"/>
          <w:lang w:val="en-US" w:eastAsia="en-ZA"/>
        </w:rPr>
        <w:t xml:space="preserve">Reference Audio </w:t>
      </w:r>
      <w:bookmarkEnd w:id="13"/>
      <w:r w:rsidR="006073EF" w:rsidRPr="004C59B4">
        <w:rPr>
          <w:rFonts w:ascii="Arial" w:eastAsia="Times New Roman" w:hAnsi="Arial" w:cs="Arial"/>
          <w:sz w:val="24"/>
          <w:szCs w:val="24"/>
          <w:lang w:val="en-US" w:eastAsia="en-ZA"/>
        </w:rPr>
        <w:t>was obliged to pay Dipole within 30 days</w:t>
      </w:r>
      <w:r w:rsidR="003B721B" w:rsidRPr="004C59B4">
        <w:rPr>
          <w:rFonts w:ascii="Arial" w:eastAsia="Times New Roman" w:hAnsi="Arial" w:cs="Arial"/>
          <w:sz w:val="24"/>
          <w:szCs w:val="24"/>
          <w:lang w:val="en-US" w:eastAsia="en-ZA"/>
        </w:rPr>
        <w:t xml:space="preserve"> of</w:t>
      </w:r>
      <w:r w:rsidR="006073EF" w:rsidRPr="004C59B4">
        <w:rPr>
          <w:rFonts w:ascii="Arial" w:eastAsia="Times New Roman" w:hAnsi="Arial" w:cs="Arial"/>
          <w:sz w:val="24"/>
          <w:szCs w:val="24"/>
          <w:lang w:val="en-US" w:eastAsia="en-ZA"/>
        </w:rPr>
        <w:t xml:space="preserve"> receipt of the statement </w:t>
      </w:r>
      <w:r w:rsidR="003C697D" w:rsidRPr="004C59B4">
        <w:rPr>
          <w:rFonts w:ascii="Arial" w:eastAsia="Times New Roman" w:hAnsi="Arial" w:cs="Arial"/>
          <w:sz w:val="24"/>
          <w:szCs w:val="24"/>
          <w:lang w:val="en-US" w:eastAsia="en-ZA"/>
        </w:rPr>
        <w:t>of account from Dipole</w:t>
      </w:r>
      <w:r w:rsidR="0094633A" w:rsidRPr="004C59B4">
        <w:rPr>
          <w:rFonts w:ascii="Arial" w:eastAsia="Times New Roman" w:hAnsi="Arial" w:cs="Arial"/>
          <w:sz w:val="24"/>
          <w:szCs w:val="24"/>
          <w:lang w:val="en-US" w:eastAsia="en-ZA"/>
        </w:rPr>
        <w:t xml:space="preserve"> in respect of each consignment of the goods</w:t>
      </w:r>
      <w:r w:rsidR="003C697D" w:rsidRPr="004C59B4">
        <w:rPr>
          <w:rFonts w:ascii="Arial" w:eastAsia="Times New Roman" w:hAnsi="Arial" w:cs="Arial"/>
          <w:sz w:val="24"/>
          <w:szCs w:val="24"/>
          <w:lang w:val="en-US" w:eastAsia="en-ZA"/>
        </w:rPr>
        <w:t>. The relevant period for Imbuko’s claim against Reference Audio is</w:t>
      </w:r>
      <w:r w:rsidR="006073EF" w:rsidRPr="004C59B4">
        <w:rPr>
          <w:rFonts w:ascii="Arial" w:eastAsia="Times New Roman" w:hAnsi="Arial" w:cs="Arial"/>
          <w:sz w:val="24"/>
          <w:szCs w:val="24"/>
          <w:lang w:val="en-US" w:eastAsia="en-ZA"/>
        </w:rPr>
        <w:t xml:space="preserve"> January</w:t>
      </w:r>
      <w:r w:rsidR="003B721B" w:rsidRPr="004C59B4">
        <w:rPr>
          <w:rFonts w:ascii="Arial" w:eastAsia="Times New Roman" w:hAnsi="Arial" w:cs="Arial"/>
          <w:sz w:val="24"/>
          <w:szCs w:val="24"/>
          <w:lang w:val="en-US" w:eastAsia="en-ZA"/>
        </w:rPr>
        <w:t xml:space="preserve"> </w:t>
      </w:r>
      <w:r w:rsidR="006073EF" w:rsidRPr="004C59B4">
        <w:rPr>
          <w:rFonts w:ascii="Arial" w:eastAsia="Times New Roman" w:hAnsi="Arial" w:cs="Arial"/>
          <w:sz w:val="24"/>
          <w:szCs w:val="24"/>
          <w:lang w:val="en-US" w:eastAsia="en-ZA"/>
        </w:rPr>
        <w:t>to April 2013</w:t>
      </w:r>
      <w:r w:rsidR="003C697D" w:rsidRPr="004C59B4">
        <w:rPr>
          <w:rFonts w:ascii="Arial" w:eastAsia="Times New Roman" w:hAnsi="Arial" w:cs="Arial"/>
          <w:sz w:val="24"/>
          <w:szCs w:val="24"/>
          <w:lang w:val="en-US" w:eastAsia="en-ZA"/>
        </w:rPr>
        <w:t>.</w:t>
      </w:r>
      <w:r w:rsidR="006073EF" w:rsidRPr="004C59B4">
        <w:rPr>
          <w:rFonts w:ascii="Arial" w:eastAsia="Times New Roman" w:hAnsi="Arial" w:cs="Arial"/>
          <w:sz w:val="24"/>
          <w:szCs w:val="24"/>
          <w:lang w:val="en-US" w:eastAsia="en-ZA"/>
        </w:rPr>
        <w:t xml:space="preserve"> </w:t>
      </w:r>
    </w:p>
    <w:p w14:paraId="2DACE8DB" w14:textId="77777777" w:rsidR="008700CC" w:rsidRPr="004C59B4" w:rsidRDefault="008700CC" w:rsidP="008700CC">
      <w:pPr>
        <w:shd w:val="clear" w:color="auto" w:fill="FFFFFF"/>
        <w:spacing w:before="120" w:after="720"/>
        <w:contextualSpacing/>
        <w:rPr>
          <w:rFonts w:ascii="Arial" w:eastAsia="Times New Roman" w:hAnsi="Arial" w:cs="Arial"/>
          <w:sz w:val="24"/>
          <w:szCs w:val="24"/>
          <w:lang w:val="en-US" w:eastAsia="en-ZA"/>
        </w:rPr>
      </w:pPr>
    </w:p>
    <w:p w14:paraId="67BD43BD" w14:textId="1184F749" w:rsidR="00A5573B" w:rsidRPr="004C59B4" w:rsidRDefault="003B721B" w:rsidP="00A5573B">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hAnsi="Arial" w:cs="Arial"/>
          <w:sz w:val="24"/>
          <w:szCs w:val="24"/>
        </w:rPr>
        <w:t>In its combined summons,</w:t>
      </w:r>
      <w:r w:rsidR="00A5573B" w:rsidRPr="004C59B4">
        <w:rPr>
          <w:rFonts w:ascii="Arial" w:hAnsi="Arial" w:cs="Arial"/>
          <w:sz w:val="24"/>
          <w:szCs w:val="24"/>
        </w:rPr>
        <w:t xml:space="preserve"> Imbuko alleged that during December 2012, Dipole had ceded to </w:t>
      </w:r>
      <w:r w:rsidR="00502443" w:rsidRPr="004C59B4">
        <w:rPr>
          <w:rFonts w:ascii="Arial" w:hAnsi="Arial" w:cs="Arial"/>
          <w:sz w:val="24"/>
          <w:szCs w:val="24"/>
        </w:rPr>
        <w:t>Imbuk</w:t>
      </w:r>
      <w:r w:rsidR="00970BBD" w:rsidRPr="004C59B4">
        <w:rPr>
          <w:rFonts w:ascii="Arial" w:hAnsi="Arial" w:cs="Arial"/>
          <w:sz w:val="24"/>
          <w:szCs w:val="24"/>
        </w:rPr>
        <w:t>o</w:t>
      </w:r>
      <w:r w:rsidRPr="004C59B4">
        <w:rPr>
          <w:rFonts w:ascii="Arial" w:hAnsi="Arial" w:cs="Arial"/>
          <w:sz w:val="24"/>
          <w:szCs w:val="24"/>
        </w:rPr>
        <w:t xml:space="preserve"> its right to</w:t>
      </w:r>
      <w:r w:rsidR="00A5573B" w:rsidRPr="004C59B4">
        <w:rPr>
          <w:rFonts w:ascii="Arial" w:hAnsi="Arial" w:cs="Arial"/>
          <w:sz w:val="24"/>
          <w:szCs w:val="24"/>
        </w:rPr>
        <w:t xml:space="preserve"> claim </w:t>
      </w:r>
      <w:r w:rsidR="00BA7110" w:rsidRPr="004C59B4">
        <w:rPr>
          <w:rFonts w:ascii="Arial" w:hAnsi="Arial" w:cs="Arial"/>
          <w:sz w:val="24"/>
          <w:szCs w:val="24"/>
        </w:rPr>
        <w:t>payment from</w:t>
      </w:r>
      <w:r w:rsidR="00A5573B" w:rsidRPr="004C59B4">
        <w:rPr>
          <w:rFonts w:ascii="Arial" w:hAnsi="Arial" w:cs="Arial"/>
          <w:sz w:val="24"/>
          <w:szCs w:val="24"/>
        </w:rPr>
        <w:t xml:space="preserve"> Reference Audio for </w:t>
      </w:r>
      <w:r w:rsidR="00BA7110" w:rsidRPr="004C59B4">
        <w:rPr>
          <w:rFonts w:ascii="Arial" w:hAnsi="Arial" w:cs="Arial"/>
          <w:sz w:val="24"/>
          <w:szCs w:val="24"/>
        </w:rPr>
        <w:t xml:space="preserve">the </w:t>
      </w:r>
      <w:r w:rsidR="00A5573B" w:rsidRPr="004C59B4">
        <w:rPr>
          <w:rFonts w:ascii="Arial" w:hAnsi="Arial" w:cs="Arial"/>
          <w:sz w:val="24"/>
          <w:szCs w:val="24"/>
        </w:rPr>
        <w:t xml:space="preserve">goods </w:t>
      </w:r>
      <w:r w:rsidR="00A5573B" w:rsidRPr="004C59B4">
        <w:rPr>
          <w:rFonts w:ascii="Arial" w:hAnsi="Arial" w:cs="Arial"/>
          <w:sz w:val="24"/>
          <w:szCs w:val="24"/>
        </w:rPr>
        <w:lastRenderedPageBreak/>
        <w:t xml:space="preserve">supplied. Imbuko attached to its particulars of claim, nine tax invoices it had sent to Reference Audio </w:t>
      </w:r>
      <w:r w:rsidR="00CC3BC9" w:rsidRPr="004C59B4">
        <w:rPr>
          <w:rFonts w:ascii="Arial" w:hAnsi="Arial" w:cs="Arial"/>
          <w:sz w:val="24"/>
          <w:szCs w:val="24"/>
        </w:rPr>
        <w:t xml:space="preserve">during the period </w:t>
      </w:r>
      <w:r w:rsidR="00A5573B" w:rsidRPr="004C59B4">
        <w:rPr>
          <w:rFonts w:ascii="Arial" w:hAnsi="Arial" w:cs="Arial"/>
          <w:sz w:val="24"/>
          <w:szCs w:val="24"/>
        </w:rPr>
        <w:t>between January</w:t>
      </w:r>
      <w:r w:rsidR="002E0298" w:rsidRPr="004C59B4">
        <w:rPr>
          <w:rFonts w:ascii="Arial" w:hAnsi="Arial" w:cs="Arial"/>
          <w:sz w:val="24"/>
          <w:szCs w:val="24"/>
        </w:rPr>
        <w:t xml:space="preserve"> </w:t>
      </w:r>
      <w:r w:rsidR="00A5573B" w:rsidRPr="004C59B4">
        <w:rPr>
          <w:rFonts w:ascii="Arial" w:hAnsi="Arial" w:cs="Arial"/>
          <w:sz w:val="24"/>
          <w:szCs w:val="24"/>
        </w:rPr>
        <w:t>and April 2013. The invoices, on Imbuko’s letter-head, tabulated the goods sold and delivered by Dipole to Reference Audio, and certain payments, allegedly made by Reference Audio to Imbuko in response to some of the invoices. Also attached to the</w:t>
      </w:r>
      <w:r w:rsidR="008F265A" w:rsidRPr="004C59B4">
        <w:rPr>
          <w:rFonts w:ascii="Arial" w:hAnsi="Arial" w:cs="Arial"/>
          <w:sz w:val="24"/>
          <w:szCs w:val="24"/>
        </w:rPr>
        <w:t xml:space="preserve"> particulars of claim</w:t>
      </w:r>
      <w:r w:rsidR="00A5573B" w:rsidRPr="004C59B4">
        <w:rPr>
          <w:rFonts w:ascii="Arial" w:hAnsi="Arial" w:cs="Arial"/>
          <w:sz w:val="24"/>
          <w:szCs w:val="24"/>
        </w:rPr>
        <w:t xml:space="preserve">, was a statement of account by Imbuko to Reference Audio, </w:t>
      </w:r>
      <w:r w:rsidR="008F265A" w:rsidRPr="004C59B4">
        <w:rPr>
          <w:rFonts w:ascii="Arial" w:hAnsi="Arial" w:cs="Arial"/>
          <w:sz w:val="24"/>
          <w:szCs w:val="24"/>
        </w:rPr>
        <w:t xml:space="preserve">dated 11 December 2013, </w:t>
      </w:r>
      <w:r w:rsidR="00A5573B" w:rsidRPr="004C59B4">
        <w:rPr>
          <w:rFonts w:ascii="Arial" w:hAnsi="Arial" w:cs="Arial"/>
          <w:sz w:val="24"/>
          <w:szCs w:val="24"/>
        </w:rPr>
        <w:t>setting out transactions for the period 9 January 2013 to 21 May 2013, between Dipole and Reference Audio. In essence, this was a summary of the sale</w:t>
      </w:r>
      <w:r w:rsidR="00795E5D" w:rsidRPr="004C59B4">
        <w:rPr>
          <w:rFonts w:ascii="Arial" w:hAnsi="Arial" w:cs="Arial"/>
          <w:sz w:val="24"/>
          <w:szCs w:val="24"/>
        </w:rPr>
        <w:t>s</w:t>
      </w:r>
      <w:r w:rsidR="00A5573B" w:rsidRPr="004C59B4">
        <w:rPr>
          <w:rFonts w:ascii="Arial" w:hAnsi="Arial" w:cs="Arial"/>
          <w:sz w:val="24"/>
          <w:szCs w:val="24"/>
        </w:rPr>
        <w:t xml:space="preserve"> invoices</w:t>
      </w:r>
      <w:r w:rsidR="008F265A" w:rsidRPr="004C59B4">
        <w:rPr>
          <w:rFonts w:ascii="Arial" w:hAnsi="Arial" w:cs="Arial"/>
          <w:sz w:val="24"/>
          <w:szCs w:val="24"/>
        </w:rPr>
        <w:t>,</w:t>
      </w:r>
      <w:r w:rsidR="00A5573B" w:rsidRPr="004C59B4">
        <w:rPr>
          <w:rFonts w:ascii="Arial" w:hAnsi="Arial" w:cs="Arial"/>
          <w:sz w:val="24"/>
          <w:szCs w:val="24"/>
        </w:rPr>
        <w:t xml:space="preserve"> the credit notes </w:t>
      </w:r>
      <w:r w:rsidR="008F265A" w:rsidRPr="004C59B4">
        <w:rPr>
          <w:rFonts w:ascii="Arial" w:hAnsi="Arial" w:cs="Arial"/>
          <w:sz w:val="24"/>
          <w:szCs w:val="24"/>
        </w:rPr>
        <w:t xml:space="preserve">and </w:t>
      </w:r>
      <w:r w:rsidR="00A5573B" w:rsidRPr="004C59B4">
        <w:rPr>
          <w:rFonts w:ascii="Arial" w:hAnsi="Arial" w:cs="Arial"/>
          <w:sz w:val="24"/>
          <w:szCs w:val="24"/>
        </w:rPr>
        <w:t xml:space="preserve">payments </w:t>
      </w:r>
      <w:r w:rsidR="008F265A" w:rsidRPr="004C59B4">
        <w:rPr>
          <w:rFonts w:ascii="Arial" w:hAnsi="Arial" w:cs="Arial"/>
          <w:sz w:val="24"/>
          <w:szCs w:val="24"/>
        </w:rPr>
        <w:t xml:space="preserve">Reference Audio had allegedly made to </w:t>
      </w:r>
      <w:r w:rsidR="00E4433C" w:rsidRPr="004C59B4">
        <w:rPr>
          <w:rFonts w:ascii="Arial" w:hAnsi="Arial" w:cs="Arial"/>
          <w:sz w:val="24"/>
          <w:szCs w:val="24"/>
        </w:rPr>
        <w:t>Imbuko</w:t>
      </w:r>
      <w:r w:rsidR="00A5573B" w:rsidRPr="004C59B4">
        <w:rPr>
          <w:rFonts w:ascii="Arial" w:hAnsi="Arial" w:cs="Arial"/>
          <w:sz w:val="24"/>
          <w:szCs w:val="24"/>
        </w:rPr>
        <w:t xml:space="preserve">. </w:t>
      </w:r>
      <w:r w:rsidR="002E0298" w:rsidRPr="004C59B4">
        <w:rPr>
          <w:rFonts w:ascii="Arial" w:hAnsi="Arial" w:cs="Arial"/>
          <w:sz w:val="24"/>
          <w:szCs w:val="24"/>
        </w:rPr>
        <w:t xml:space="preserve">These invoices and the statement of account reflected Imbuko as the creditor and Reference Audio as the debtor. </w:t>
      </w:r>
      <w:r w:rsidR="00A5573B" w:rsidRPr="004C59B4">
        <w:rPr>
          <w:rFonts w:ascii="Arial" w:hAnsi="Arial" w:cs="Arial"/>
          <w:sz w:val="24"/>
          <w:szCs w:val="24"/>
        </w:rPr>
        <w:t>The balance reflected on th</w:t>
      </w:r>
      <w:r w:rsidR="002E0298" w:rsidRPr="004C59B4">
        <w:rPr>
          <w:rFonts w:ascii="Arial" w:hAnsi="Arial" w:cs="Arial"/>
          <w:sz w:val="24"/>
          <w:szCs w:val="24"/>
        </w:rPr>
        <w:t>e</w:t>
      </w:r>
      <w:r w:rsidR="00A5573B" w:rsidRPr="004C59B4">
        <w:rPr>
          <w:rFonts w:ascii="Arial" w:hAnsi="Arial" w:cs="Arial"/>
          <w:sz w:val="24"/>
          <w:szCs w:val="24"/>
        </w:rPr>
        <w:t xml:space="preserve"> statement </w:t>
      </w:r>
      <w:r w:rsidR="002E0298" w:rsidRPr="004C59B4">
        <w:rPr>
          <w:rFonts w:ascii="Arial" w:hAnsi="Arial" w:cs="Arial"/>
          <w:sz w:val="24"/>
          <w:szCs w:val="24"/>
        </w:rPr>
        <w:t xml:space="preserve">of account </w:t>
      </w:r>
      <w:r w:rsidR="00A5573B" w:rsidRPr="004C59B4">
        <w:rPr>
          <w:rFonts w:ascii="Arial" w:hAnsi="Arial" w:cs="Arial"/>
          <w:sz w:val="24"/>
          <w:szCs w:val="24"/>
        </w:rPr>
        <w:t>was R602 866.22, which is what Imbuko claimed from Reference Audio.</w:t>
      </w:r>
    </w:p>
    <w:p w14:paraId="33CAAFCD" w14:textId="77777777" w:rsidR="0050245B" w:rsidRPr="004C59B4" w:rsidRDefault="0050245B" w:rsidP="00D260CA">
      <w:pPr>
        <w:shd w:val="clear" w:color="auto" w:fill="FFFFFF"/>
        <w:spacing w:before="120" w:after="720"/>
        <w:contextualSpacing/>
        <w:rPr>
          <w:rFonts w:ascii="Arial" w:hAnsi="Arial" w:cs="Arial"/>
          <w:sz w:val="24"/>
          <w:szCs w:val="24"/>
        </w:rPr>
      </w:pPr>
    </w:p>
    <w:p w14:paraId="6E5F73E5" w14:textId="33797A76" w:rsidR="00865F4F" w:rsidRPr="004C59B4" w:rsidRDefault="00865F4F" w:rsidP="00D260CA">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hAnsi="Arial" w:cs="Arial"/>
          <w:sz w:val="24"/>
          <w:szCs w:val="24"/>
        </w:rPr>
        <w:t>In its plea, Reference Audio denied the existence of the cession or any knowledge of it.</w:t>
      </w:r>
      <w:r w:rsidR="00504BC7" w:rsidRPr="004C59B4">
        <w:rPr>
          <w:rFonts w:ascii="Arial" w:hAnsi="Arial" w:cs="Arial"/>
          <w:sz w:val="24"/>
          <w:szCs w:val="24"/>
        </w:rPr>
        <w:t xml:space="preserve"> It admitted </w:t>
      </w:r>
      <w:r w:rsidR="00287DE3" w:rsidRPr="004C59B4">
        <w:rPr>
          <w:rFonts w:ascii="Arial" w:hAnsi="Arial" w:cs="Arial"/>
          <w:sz w:val="24"/>
          <w:szCs w:val="24"/>
        </w:rPr>
        <w:t xml:space="preserve">that it had made </w:t>
      </w:r>
      <w:r w:rsidR="00504BC7" w:rsidRPr="004C59B4">
        <w:rPr>
          <w:rFonts w:ascii="Arial" w:hAnsi="Arial" w:cs="Arial"/>
          <w:sz w:val="24"/>
          <w:szCs w:val="24"/>
        </w:rPr>
        <w:t>two payments to Imbuko,</w:t>
      </w:r>
      <w:r w:rsidR="0050245B" w:rsidRPr="004C59B4">
        <w:rPr>
          <w:rFonts w:ascii="Arial" w:hAnsi="Arial" w:cs="Arial"/>
          <w:sz w:val="24"/>
          <w:szCs w:val="24"/>
        </w:rPr>
        <w:t xml:space="preserve"> but denied any indebtedness to Dipole, and averred that it had discharged its payment obligations to Dipole for goods</w:t>
      </w:r>
      <w:r w:rsidR="008F265A" w:rsidRPr="004C59B4">
        <w:rPr>
          <w:rFonts w:ascii="Arial" w:hAnsi="Arial" w:cs="Arial"/>
          <w:sz w:val="24"/>
          <w:szCs w:val="24"/>
        </w:rPr>
        <w:t xml:space="preserve"> supplied</w:t>
      </w:r>
      <w:r w:rsidR="0050245B" w:rsidRPr="004C59B4">
        <w:rPr>
          <w:rFonts w:ascii="Arial" w:hAnsi="Arial" w:cs="Arial"/>
          <w:sz w:val="24"/>
          <w:szCs w:val="24"/>
        </w:rPr>
        <w:t>.</w:t>
      </w:r>
      <w:r w:rsidR="00504BC7" w:rsidRPr="004C59B4">
        <w:rPr>
          <w:rFonts w:ascii="Arial" w:hAnsi="Arial" w:cs="Arial"/>
          <w:sz w:val="24"/>
          <w:szCs w:val="24"/>
        </w:rPr>
        <w:t xml:space="preserve"> </w:t>
      </w:r>
      <w:r w:rsidR="007D6ED5" w:rsidRPr="004C59B4">
        <w:rPr>
          <w:rFonts w:ascii="Arial" w:hAnsi="Arial" w:cs="Arial"/>
          <w:sz w:val="24"/>
          <w:szCs w:val="24"/>
        </w:rPr>
        <w:t xml:space="preserve">Apart from this, </w:t>
      </w:r>
      <w:r w:rsidR="00504BC7" w:rsidRPr="004C59B4">
        <w:rPr>
          <w:rFonts w:ascii="Arial" w:hAnsi="Arial" w:cs="Arial"/>
          <w:sz w:val="24"/>
          <w:szCs w:val="24"/>
        </w:rPr>
        <w:t xml:space="preserve">Reference Audio’s plea largely constituted a denial of Imbuko’s averments. In a pre-trial minute, the parties agreed that the onus to prove the cession was on Imbuko, while Reference Audio bore the onus to prove </w:t>
      </w:r>
      <w:r w:rsidR="0050245B" w:rsidRPr="004C59B4">
        <w:rPr>
          <w:rFonts w:ascii="Arial" w:hAnsi="Arial" w:cs="Arial"/>
          <w:sz w:val="24"/>
          <w:szCs w:val="24"/>
        </w:rPr>
        <w:t xml:space="preserve">the </w:t>
      </w:r>
      <w:r w:rsidR="00504BC7" w:rsidRPr="004C59B4">
        <w:rPr>
          <w:rFonts w:ascii="Arial" w:hAnsi="Arial" w:cs="Arial"/>
          <w:sz w:val="24"/>
          <w:szCs w:val="24"/>
        </w:rPr>
        <w:t xml:space="preserve">payments it allegedly made to Dipole. </w:t>
      </w:r>
    </w:p>
    <w:p w14:paraId="0C89D082" w14:textId="77777777" w:rsidR="00A5573B" w:rsidRPr="004C59B4" w:rsidRDefault="00A5573B" w:rsidP="00D260CA">
      <w:pPr>
        <w:shd w:val="clear" w:color="auto" w:fill="FFFFFF"/>
        <w:spacing w:before="120" w:after="720"/>
        <w:contextualSpacing/>
        <w:rPr>
          <w:rFonts w:ascii="Arial" w:hAnsi="Arial" w:cs="Arial"/>
          <w:sz w:val="24"/>
          <w:szCs w:val="24"/>
        </w:rPr>
      </w:pPr>
    </w:p>
    <w:p w14:paraId="2CE829DA" w14:textId="0B0135FC" w:rsidR="00855E44" w:rsidRPr="004B6028" w:rsidRDefault="00F93601" w:rsidP="00855E44">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eastAsia="Times New Roman" w:hAnsi="Arial" w:cs="Arial"/>
          <w:sz w:val="24"/>
          <w:szCs w:val="24"/>
          <w:lang w:val="en-US" w:eastAsia="en-ZA"/>
        </w:rPr>
        <w:t xml:space="preserve">During the trial, </w:t>
      </w:r>
      <w:bookmarkStart w:id="14" w:name="_Hlk107172102"/>
      <w:r w:rsidR="00EA0AE6" w:rsidRPr="004C59B4">
        <w:rPr>
          <w:rFonts w:ascii="Arial" w:eastAsia="Times New Roman" w:hAnsi="Arial" w:cs="Arial"/>
          <w:sz w:val="24"/>
          <w:szCs w:val="24"/>
          <w:lang w:val="en-US" w:eastAsia="en-ZA"/>
        </w:rPr>
        <w:t xml:space="preserve">Mr </w:t>
      </w:r>
      <w:bookmarkStart w:id="15" w:name="_Hlk107177419"/>
      <w:r w:rsidR="00DA3A1C" w:rsidRPr="004C59B4">
        <w:rPr>
          <w:rFonts w:ascii="Arial" w:eastAsia="Times New Roman" w:hAnsi="Arial" w:cs="Arial"/>
          <w:sz w:val="24"/>
          <w:szCs w:val="24"/>
          <w:lang w:val="en-US" w:eastAsia="en-ZA"/>
        </w:rPr>
        <w:t xml:space="preserve">Sudhir Manmohan Singh (Mr Singh), </w:t>
      </w:r>
      <w:bookmarkEnd w:id="14"/>
      <w:bookmarkEnd w:id="15"/>
      <w:r w:rsidR="00DA3A1C" w:rsidRPr="004C59B4">
        <w:rPr>
          <w:rFonts w:ascii="Arial" w:eastAsia="Times New Roman" w:hAnsi="Arial" w:cs="Arial"/>
          <w:sz w:val="24"/>
          <w:szCs w:val="24"/>
          <w:lang w:val="en-US" w:eastAsia="en-ZA"/>
        </w:rPr>
        <w:t xml:space="preserve">a director of Imbuko and its sole witness, </w:t>
      </w:r>
      <w:r w:rsidR="00EE3A3C" w:rsidRPr="004C59B4">
        <w:rPr>
          <w:rFonts w:ascii="Arial" w:eastAsia="Times New Roman" w:hAnsi="Arial" w:cs="Arial"/>
          <w:sz w:val="24"/>
          <w:szCs w:val="24"/>
          <w:lang w:val="en-US" w:eastAsia="en-ZA"/>
        </w:rPr>
        <w:t xml:space="preserve">gave the following </w:t>
      </w:r>
      <w:r w:rsidR="007D6ED5" w:rsidRPr="004C59B4">
        <w:rPr>
          <w:rFonts w:ascii="Arial" w:eastAsia="Times New Roman" w:hAnsi="Arial" w:cs="Arial"/>
          <w:sz w:val="24"/>
          <w:szCs w:val="24"/>
          <w:lang w:val="en-US" w:eastAsia="en-ZA"/>
        </w:rPr>
        <w:t xml:space="preserve">factual </w:t>
      </w:r>
      <w:r w:rsidR="00EE3A3C" w:rsidRPr="004C59B4">
        <w:rPr>
          <w:rFonts w:ascii="Arial" w:eastAsia="Times New Roman" w:hAnsi="Arial" w:cs="Arial"/>
          <w:sz w:val="24"/>
          <w:szCs w:val="24"/>
          <w:lang w:val="en-US" w:eastAsia="en-ZA"/>
        </w:rPr>
        <w:t>back</w:t>
      </w:r>
      <w:r w:rsidR="007D6ED5" w:rsidRPr="004C59B4">
        <w:rPr>
          <w:rFonts w:ascii="Arial" w:eastAsia="Times New Roman" w:hAnsi="Arial" w:cs="Arial"/>
          <w:sz w:val="24"/>
          <w:szCs w:val="24"/>
          <w:lang w:val="en-US" w:eastAsia="en-ZA"/>
        </w:rPr>
        <w:t>ground.</w:t>
      </w:r>
      <w:r w:rsidR="00EE3A3C" w:rsidRPr="004C59B4">
        <w:rPr>
          <w:rFonts w:ascii="Arial" w:eastAsia="Times New Roman" w:hAnsi="Arial" w:cs="Arial"/>
          <w:sz w:val="24"/>
          <w:szCs w:val="24"/>
          <w:lang w:val="en-US" w:eastAsia="en-ZA"/>
        </w:rPr>
        <w:t xml:space="preserve"> </w:t>
      </w:r>
      <w:r w:rsidR="00EE3A3C" w:rsidRPr="004C59B4">
        <w:rPr>
          <w:rFonts w:ascii="Arial" w:hAnsi="Arial" w:cs="Arial"/>
          <w:sz w:val="24"/>
          <w:szCs w:val="24"/>
        </w:rPr>
        <w:t xml:space="preserve">Before the alleged cession occurred, </w:t>
      </w:r>
      <w:r w:rsidR="00EE3A3C" w:rsidRPr="004C59B4">
        <w:rPr>
          <w:rFonts w:ascii="Arial" w:eastAsia="Times New Roman" w:hAnsi="Arial" w:cs="Arial"/>
          <w:sz w:val="24"/>
          <w:szCs w:val="24"/>
          <w:lang w:val="en-US" w:eastAsia="en-ZA"/>
        </w:rPr>
        <w:t>there was an already existing business relationship between Imbuko, Reference Audio and Dipole. Imbuko sourced the goods from a supplier in the United States of America (USA). Dipole was initially the sole distributor of the goods. Later</w:t>
      </w:r>
      <w:r w:rsidR="00CC4EDF" w:rsidRPr="004C59B4">
        <w:rPr>
          <w:rFonts w:ascii="Arial" w:eastAsia="Times New Roman" w:hAnsi="Arial" w:cs="Arial"/>
          <w:sz w:val="24"/>
          <w:szCs w:val="24"/>
          <w:lang w:val="en-US" w:eastAsia="en-ZA"/>
        </w:rPr>
        <w:t>,</w:t>
      </w:r>
      <w:r w:rsidR="00EE3A3C" w:rsidRPr="004C59B4">
        <w:rPr>
          <w:rFonts w:ascii="Arial" w:eastAsia="Times New Roman" w:hAnsi="Arial" w:cs="Arial"/>
          <w:sz w:val="24"/>
          <w:szCs w:val="24"/>
          <w:lang w:val="en-US" w:eastAsia="en-ZA"/>
        </w:rPr>
        <w:t xml:space="preserve"> Reference Audio replaced Dipole in this role. Dipole acquired the goods from Imbuko and was liable for whatever price Imbuko charged it. Dipole, in turn, supplied the goods to Reference Audio, as the sole supplier. Reference Audio thus became Dipole’s debtor. Dipole’s profit from that arrangement was the difference between what it paid to Imbuko for acquiring the goods, and the price at which it sold them to Reference Audio.</w:t>
      </w:r>
    </w:p>
    <w:p w14:paraId="7C126245" w14:textId="77777777" w:rsidR="004B6028" w:rsidRPr="004C59B4" w:rsidRDefault="004B6028" w:rsidP="004B6028">
      <w:pPr>
        <w:shd w:val="clear" w:color="auto" w:fill="FFFFFF"/>
        <w:spacing w:before="120" w:after="720"/>
        <w:contextualSpacing/>
        <w:rPr>
          <w:rFonts w:ascii="Arial" w:hAnsi="Arial" w:cs="Arial"/>
          <w:sz w:val="24"/>
          <w:szCs w:val="24"/>
        </w:rPr>
      </w:pPr>
    </w:p>
    <w:p w14:paraId="74C0D386" w14:textId="051BFF76" w:rsidR="00855E44" w:rsidRPr="004C59B4" w:rsidRDefault="00855E44" w:rsidP="00855E44">
      <w:pPr>
        <w:numPr>
          <w:ilvl w:val="0"/>
          <w:numId w:val="1"/>
        </w:numPr>
        <w:shd w:val="clear" w:color="auto" w:fill="FFFFFF"/>
        <w:spacing w:before="120" w:after="720"/>
        <w:ind w:left="0" w:firstLine="0"/>
        <w:contextualSpacing/>
        <w:rPr>
          <w:rFonts w:ascii="Arial" w:eastAsia="Times New Roman" w:hAnsi="Arial" w:cs="Arial"/>
          <w:sz w:val="24"/>
          <w:szCs w:val="24"/>
          <w:lang w:val="en-US" w:eastAsia="en-ZA"/>
        </w:rPr>
      </w:pPr>
      <w:r w:rsidRPr="004C59B4">
        <w:rPr>
          <w:rFonts w:ascii="Arial" w:hAnsi="Arial" w:cs="Arial"/>
          <w:sz w:val="24"/>
          <w:szCs w:val="24"/>
        </w:rPr>
        <w:lastRenderedPageBreak/>
        <w:t xml:space="preserve">Dipole experienced difficulties </w:t>
      </w:r>
      <w:r w:rsidR="007D6ED5" w:rsidRPr="004C59B4">
        <w:rPr>
          <w:rFonts w:ascii="Arial" w:hAnsi="Arial" w:cs="Arial"/>
          <w:sz w:val="24"/>
          <w:szCs w:val="24"/>
        </w:rPr>
        <w:t xml:space="preserve">in </w:t>
      </w:r>
      <w:r w:rsidRPr="004C59B4">
        <w:rPr>
          <w:rFonts w:ascii="Arial" w:hAnsi="Arial" w:cs="Arial"/>
          <w:sz w:val="24"/>
          <w:szCs w:val="24"/>
        </w:rPr>
        <w:t>render</w:t>
      </w:r>
      <w:r w:rsidR="007D6ED5" w:rsidRPr="004C59B4">
        <w:rPr>
          <w:rFonts w:ascii="Arial" w:hAnsi="Arial" w:cs="Arial"/>
          <w:sz w:val="24"/>
          <w:szCs w:val="24"/>
        </w:rPr>
        <w:t>ing</w:t>
      </w:r>
      <w:r w:rsidRPr="004C59B4">
        <w:rPr>
          <w:rFonts w:ascii="Arial" w:hAnsi="Arial" w:cs="Arial"/>
          <w:sz w:val="24"/>
          <w:szCs w:val="24"/>
        </w:rPr>
        <w:t xml:space="preserve"> effective and regular invoices to Reference Audio. As a result, the latter could not make regular and prompt payments to Dipole. This caused frustration for both</w:t>
      </w:r>
      <w:r w:rsidR="007D6ED5" w:rsidRPr="004C59B4">
        <w:rPr>
          <w:rFonts w:ascii="Arial" w:hAnsi="Arial" w:cs="Arial"/>
          <w:sz w:val="24"/>
          <w:szCs w:val="24"/>
        </w:rPr>
        <w:t xml:space="preserve"> entities</w:t>
      </w:r>
      <w:r w:rsidRPr="004C59B4">
        <w:rPr>
          <w:rFonts w:ascii="Arial" w:hAnsi="Arial" w:cs="Arial"/>
          <w:sz w:val="24"/>
          <w:szCs w:val="24"/>
        </w:rPr>
        <w:t>. Mr Singh further testified that as a result of this, during December 2012, Dr Singh, the sole member of Dipole</w:t>
      </w:r>
      <w:r w:rsidR="00502443" w:rsidRPr="004C59B4">
        <w:rPr>
          <w:rFonts w:ascii="Arial" w:hAnsi="Arial" w:cs="Arial"/>
          <w:sz w:val="24"/>
          <w:szCs w:val="24"/>
        </w:rPr>
        <w:t>,</w:t>
      </w:r>
      <w:r w:rsidRPr="004C59B4">
        <w:rPr>
          <w:rFonts w:ascii="Arial" w:hAnsi="Arial" w:cs="Arial"/>
          <w:sz w:val="24"/>
          <w:szCs w:val="24"/>
        </w:rPr>
        <w:t xml:space="preserve"> and his </w:t>
      </w:r>
      <w:r w:rsidR="009E5BE6" w:rsidRPr="004C59B4">
        <w:rPr>
          <w:rFonts w:ascii="Arial" w:hAnsi="Arial" w:cs="Arial"/>
          <w:sz w:val="24"/>
          <w:szCs w:val="24"/>
        </w:rPr>
        <w:t xml:space="preserve">uncle, </w:t>
      </w:r>
      <w:r w:rsidR="007D6ED5" w:rsidRPr="004C59B4">
        <w:rPr>
          <w:rFonts w:ascii="Arial" w:hAnsi="Arial" w:cs="Arial"/>
          <w:sz w:val="24"/>
          <w:szCs w:val="24"/>
        </w:rPr>
        <w:t xml:space="preserve">decided to </w:t>
      </w:r>
      <w:r w:rsidR="009E5BE6" w:rsidRPr="004C59B4">
        <w:rPr>
          <w:rFonts w:ascii="Arial" w:hAnsi="Arial" w:cs="Arial"/>
          <w:sz w:val="24"/>
          <w:szCs w:val="24"/>
        </w:rPr>
        <w:t>cede to Imbuko</w:t>
      </w:r>
      <w:r w:rsidR="00502443" w:rsidRPr="004C59B4">
        <w:rPr>
          <w:rFonts w:ascii="Arial" w:hAnsi="Arial" w:cs="Arial"/>
          <w:sz w:val="24"/>
          <w:szCs w:val="24"/>
        </w:rPr>
        <w:t xml:space="preserve"> </w:t>
      </w:r>
      <w:r w:rsidR="009E5BE6" w:rsidRPr="004C59B4">
        <w:rPr>
          <w:rFonts w:ascii="Arial" w:hAnsi="Arial" w:cs="Arial"/>
          <w:sz w:val="24"/>
          <w:szCs w:val="24"/>
        </w:rPr>
        <w:t xml:space="preserve">Dipole’s claims against Reference Audio. </w:t>
      </w:r>
      <w:r w:rsidRPr="004C59B4">
        <w:rPr>
          <w:rFonts w:ascii="Arial" w:hAnsi="Arial" w:cs="Arial"/>
          <w:sz w:val="24"/>
          <w:szCs w:val="24"/>
        </w:rPr>
        <w:t>Mr Singh described his discussion with Dr Singh as follows:</w:t>
      </w:r>
    </w:p>
    <w:p w14:paraId="377B563B" w14:textId="1E24106F" w:rsidR="00560572" w:rsidRPr="004C59B4" w:rsidRDefault="00560572" w:rsidP="00855E44">
      <w:pPr>
        <w:shd w:val="clear" w:color="auto" w:fill="FFFFFF"/>
        <w:spacing w:before="120" w:after="720"/>
        <w:contextualSpacing/>
        <w:rPr>
          <w:rFonts w:ascii="Arial" w:eastAsia="Times New Roman" w:hAnsi="Arial" w:cs="Arial"/>
          <w:sz w:val="24"/>
          <w:szCs w:val="24"/>
          <w:lang w:val="en-US" w:eastAsia="en-ZA"/>
        </w:rPr>
      </w:pPr>
      <w:r w:rsidRPr="004C59B4">
        <w:rPr>
          <w:rFonts w:ascii="Arial" w:hAnsi="Arial" w:cs="Arial"/>
        </w:rPr>
        <w:t xml:space="preserve">‘In 2012 December I met with [Dr Singh] at Johannesburg. He picked me up from the airport and told me the problems he is having with invoicing the goods to Reference Audio. His son was not able to maintain it. His son was irritated by the time of running [around] for money … His son was quite irritated [by] running and collecting money that was never available to paying on, for terms of the invoices he supplied them and goods, and in turn he said to me, “you take over the invoice thing and we will be the warehouse and that we will arrange for Mike to pick the goods from there and you invoice the goods”. The sale was always done by Dipole. We were just to take over the invoicing side.’ </w:t>
      </w:r>
    </w:p>
    <w:p w14:paraId="037A2499" w14:textId="77777777" w:rsidR="00560572" w:rsidRPr="004C59B4" w:rsidRDefault="00560572" w:rsidP="00855E44"/>
    <w:p w14:paraId="46952AD8" w14:textId="75250F25" w:rsidR="002E0298" w:rsidRPr="004C59B4" w:rsidRDefault="00DA3A1C" w:rsidP="007F7990">
      <w:pPr>
        <w:numPr>
          <w:ilvl w:val="0"/>
          <w:numId w:val="1"/>
        </w:numPr>
        <w:shd w:val="clear" w:color="auto" w:fill="FFFFFF"/>
        <w:spacing w:before="120" w:after="720"/>
        <w:ind w:left="0" w:firstLine="0"/>
        <w:contextualSpacing/>
        <w:rPr>
          <w:rFonts w:ascii="Arial" w:eastAsia="Times New Roman" w:hAnsi="Arial" w:cs="Arial"/>
          <w:sz w:val="24"/>
          <w:szCs w:val="24"/>
          <w:lang w:val="en-US" w:eastAsia="en-ZA"/>
        </w:rPr>
      </w:pPr>
      <w:r w:rsidRPr="004C59B4">
        <w:rPr>
          <w:rFonts w:ascii="Arial" w:eastAsia="Times New Roman" w:hAnsi="Arial" w:cs="Arial"/>
          <w:sz w:val="24"/>
          <w:szCs w:val="24"/>
          <w:lang w:val="en-US" w:eastAsia="en-ZA"/>
        </w:rPr>
        <w:t xml:space="preserve">Mr Singh </w:t>
      </w:r>
      <w:r w:rsidR="00A85D4B" w:rsidRPr="004C59B4">
        <w:rPr>
          <w:rFonts w:ascii="Arial" w:eastAsia="Times New Roman" w:hAnsi="Arial" w:cs="Arial"/>
          <w:sz w:val="24"/>
          <w:szCs w:val="24"/>
          <w:lang w:val="en-US" w:eastAsia="en-ZA"/>
        </w:rPr>
        <w:t xml:space="preserve">also </w:t>
      </w:r>
      <w:r w:rsidRPr="004C59B4">
        <w:rPr>
          <w:rFonts w:ascii="Arial" w:eastAsia="Times New Roman" w:hAnsi="Arial" w:cs="Arial"/>
          <w:sz w:val="24"/>
          <w:szCs w:val="24"/>
          <w:lang w:val="en-US" w:eastAsia="en-ZA"/>
        </w:rPr>
        <w:t>testified that o</w:t>
      </w:r>
      <w:r w:rsidR="00EE3A3C" w:rsidRPr="004C59B4">
        <w:rPr>
          <w:rFonts w:ascii="Arial" w:eastAsia="Times New Roman" w:hAnsi="Arial" w:cs="Arial"/>
          <w:sz w:val="24"/>
          <w:szCs w:val="24"/>
          <w:lang w:val="en-US" w:eastAsia="en-ZA"/>
        </w:rPr>
        <w:t>n 21 February 2013, Mr Hoffmann, on behalf of Reference Audio, wrote to</w:t>
      </w:r>
      <w:r w:rsidRPr="004C59B4">
        <w:rPr>
          <w:rFonts w:ascii="Arial" w:eastAsia="Times New Roman" w:hAnsi="Arial" w:cs="Arial"/>
          <w:sz w:val="24"/>
          <w:szCs w:val="24"/>
          <w:lang w:val="en-US" w:eastAsia="en-ZA"/>
        </w:rPr>
        <w:t xml:space="preserve"> him,</w:t>
      </w:r>
      <w:r w:rsidR="00EE3A3C" w:rsidRPr="004C59B4">
        <w:rPr>
          <w:rFonts w:ascii="Arial" w:eastAsia="Times New Roman" w:hAnsi="Arial" w:cs="Arial"/>
          <w:sz w:val="24"/>
          <w:szCs w:val="24"/>
          <w:lang w:val="en-US" w:eastAsia="en-ZA"/>
        </w:rPr>
        <w:t xml:space="preserve"> and expressed frustration about not receiving invoices from Dipole, which, according to</w:t>
      </w:r>
      <w:r w:rsidR="00A85D4B" w:rsidRPr="004C59B4">
        <w:rPr>
          <w:rFonts w:ascii="Arial" w:eastAsia="Times New Roman" w:hAnsi="Arial" w:cs="Arial"/>
          <w:sz w:val="24"/>
          <w:szCs w:val="24"/>
          <w:lang w:val="en-US" w:eastAsia="en-ZA"/>
        </w:rPr>
        <w:t xml:space="preserve"> Mr Hoffmann</w:t>
      </w:r>
      <w:r w:rsidR="00EE3A3C" w:rsidRPr="004C59B4">
        <w:rPr>
          <w:rFonts w:ascii="Arial" w:eastAsia="Times New Roman" w:hAnsi="Arial" w:cs="Arial"/>
          <w:sz w:val="24"/>
          <w:szCs w:val="24"/>
          <w:lang w:val="en-US" w:eastAsia="en-ZA"/>
        </w:rPr>
        <w:t xml:space="preserve">, had been an issue since August 2012. Mr Hoffmann requested </w:t>
      </w:r>
      <w:r w:rsidR="00A85D4B" w:rsidRPr="004C59B4">
        <w:rPr>
          <w:rFonts w:ascii="Arial" w:eastAsia="Times New Roman" w:hAnsi="Arial" w:cs="Arial"/>
          <w:sz w:val="24"/>
          <w:szCs w:val="24"/>
          <w:lang w:val="en-US" w:eastAsia="en-ZA"/>
        </w:rPr>
        <w:t xml:space="preserve">him </w:t>
      </w:r>
      <w:r w:rsidR="00EE3A3C" w:rsidRPr="004C59B4">
        <w:rPr>
          <w:rFonts w:ascii="Arial" w:eastAsia="Times New Roman" w:hAnsi="Arial" w:cs="Arial"/>
          <w:sz w:val="24"/>
          <w:szCs w:val="24"/>
          <w:lang w:val="en-US" w:eastAsia="en-ZA"/>
        </w:rPr>
        <w:t xml:space="preserve">to ‘treat </w:t>
      </w:r>
      <w:r w:rsidR="00BA6CB9" w:rsidRPr="004C59B4">
        <w:rPr>
          <w:rFonts w:ascii="Arial" w:eastAsia="Times New Roman" w:hAnsi="Arial" w:cs="Arial"/>
          <w:sz w:val="24"/>
          <w:szCs w:val="24"/>
          <w:lang w:val="en-US" w:eastAsia="en-ZA"/>
        </w:rPr>
        <w:t xml:space="preserve">[the problem about invoices] </w:t>
      </w:r>
      <w:r w:rsidR="00EE3A3C" w:rsidRPr="004C59B4">
        <w:rPr>
          <w:rFonts w:ascii="Arial" w:eastAsia="Times New Roman" w:hAnsi="Arial" w:cs="Arial"/>
          <w:sz w:val="24"/>
          <w:szCs w:val="24"/>
          <w:lang w:val="en-US" w:eastAsia="en-ZA"/>
        </w:rPr>
        <w:t>as a priority’</w:t>
      </w:r>
      <w:r w:rsidR="00214F10" w:rsidRPr="004C59B4">
        <w:rPr>
          <w:rFonts w:ascii="Arial" w:eastAsia="Times New Roman" w:hAnsi="Arial" w:cs="Arial"/>
          <w:sz w:val="24"/>
          <w:szCs w:val="24"/>
          <w:lang w:val="en-US" w:eastAsia="en-ZA"/>
        </w:rPr>
        <w:t>.</w:t>
      </w:r>
      <w:r w:rsidR="004B6028">
        <w:rPr>
          <w:rFonts w:ascii="Arial" w:eastAsia="Times New Roman" w:hAnsi="Arial" w:cs="Arial"/>
          <w:sz w:val="24"/>
          <w:szCs w:val="24"/>
          <w:lang w:val="en-US" w:eastAsia="en-ZA"/>
        </w:rPr>
        <w:t xml:space="preserve"> On 3 </w:t>
      </w:r>
      <w:r w:rsidR="00EE3A3C" w:rsidRPr="004C59B4">
        <w:rPr>
          <w:rFonts w:ascii="Arial" w:eastAsia="Times New Roman" w:hAnsi="Arial" w:cs="Arial"/>
          <w:sz w:val="24"/>
          <w:szCs w:val="24"/>
          <w:lang w:val="en-US" w:eastAsia="en-ZA"/>
        </w:rPr>
        <w:t xml:space="preserve">April 2013, </w:t>
      </w:r>
      <w:r w:rsidR="00EE3A3C" w:rsidRPr="004C59B4">
        <w:rPr>
          <w:rFonts w:ascii="Arial" w:hAnsi="Arial" w:cs="Arial"/>
          <w:sz w:val="24"/>
          <w:szCs w:val="24"/>
        </w:rPr>
        <w:t xml:space="preserve">Mr Hoffmann, on behalf of Reference Audio, </w:t>
      </w:r>
      <w:r w:rsidRPr="004C59B4">
        <w:rPr>
          <w:rFonts w:ascii="Arial" w:hAnsi="Arial" w:cs="Arial"/>
          <w:sz w:val="24"/>
          <w:szCs w:val="24"/>
        </w:rPr>
        <w:t xml:space="preserve">requested him, on behalf of </w:t>
      </w:r>
      <w:r w:rsidR="00EE3A3C" w:rsidRPr="004C59B4">
        <w:rPr>
          <w:rFonts w:ascii="Arial" w:hAnsi="Arial" w:cs="Arial"/>
          <w:sz w:val="24"/>
          <w:szCs w:val="24"/>
        </w:rPr>
        <w:t>Imbuko</w:t>
      </w:r>
      <w:r w:rsidRPr="004C59B4">
        <w:rPr>
          <w:rFonts w:ascii="Arial" w:hAnsi="Arial" w:cs="Arial"/>
          <w:sz w:val="24"/>
          <w:szCs w:val="24"/>
        </w:rPr>
        <w:t>,</w:t>
      </w:r>
      <w:r w:rsidR="00EE3A3C" w:rsidRPr="004C59B4">
        <w:rPr>
          <w:rFonts w:ascii="Arial" w:hAnsi="Arial" w:cs="Arial"/>
          <w:sz w:val="24"/>
          <w:szCs w:val="24"/>
        </w:rPr>
        <w:t xml:space="preserve"> to ‘credit Dipole with the last couple of orders taken and invoice through Imbuko’ as he needed the invoices for VAT purposes.</w:t>
      </w:r>
      <w:r w:rsidR="00EE3A3C" w:rsidRPr="004C59B4">
        <w:rPr>
          <w:rFonts w:ascii="Arial" w:hAnsi="Arial" w:cs="Arial"/>
          <w:i/>
          <w:iCs/>
          <w:sz w:val="24"/>
          <w:szCs w:val="24"/>
          <w:u w:val="single"/>
        </w:rPr>
        <w:t xml:space="preserve"> </w:t>
      </w:r>
    </w:p>
    <w:p w14:paraId="7BF971E4" w14:textId="77777777" w:rsidR="00367196" w:rsidRPr="004C59B4" w:rsidRDefault="00367196" w:rsidP="00D260CA">
      <w:pPr>
        <w:shd w:val="clear" w:color="auto" w:fill="FFFFFF"/>
        <w:spacing w:before="120" w:after="720"/>
        <w:contextualSpacing/>
        <w:rPr>
          <w:rFonts w:ascii="Arial" w:eastAsia="Times New Roman" w:hAnsi="Arial" w:cs="Arial"/>
          <w:sz w:val="24"/>
          <w:szCs w:val="24"/>
          <w:lang w:val="en-US" w:eastAsia="en-ZA"/>
        </w:rPr>
      </w:pPr>
    </w:p>
    <w:p w14:paraId="759FDA82" w14:textId="7968543E" w:rsidR="007F7990" w:rsidRPr="004C59B4" w:rsidRDefault="007F7990" w:rsidP="007F7990">
      <w:pPr>
        <w:numPr>
          <w:ilvl w:val="0"/>
          <w:numId w:val="1"/>
        </w:numPr>
        <w:shd w:val="clear" w:color="auto" w:fill="FFFFFF"/>
        <w:spacing w:before="120" w:after="720"/>
        <w:ind w:left="0" w:firstLine="0"/>
        <w:contextualSpacing/>
        <w:rPr>
          <w:rFonts w:ascii="Arial" w:eastAsia="Times New Roman" w:hAnsi="Arial" w:cs="Arial"/>
          <w:sz w:val="24"/>
          <w:szCs w:val="24"/>
          <w:lang w:val="en-US" w:eastAsia="en-ZA"/>
        </w:rPr>
      </w:pPr>
      <w:r w:rsidRPr="004C59B4">
        <w:rPr>
          <w:rFonts w:ascii="Arial" w:eastAsia="Times New Roman" w:hAnsi="Arial" w:cs="Arial"/>
          <w:sz w:val="24"/>
          <w:szCs w:val="24"/>
          <w:lang w:val="en-US" w:eastAsia="en-ZA"/>
        </w:rPr>
        <w:t>Finally, Mr Singh testified about the transaction</w:t>
      </w:r>
      <w:r w:rsidR="00561FAA" w:rsidRPr="004C59B4">
        <w:rPr>
          <w:rFonts w:ascii="Arial" w:eastAsia="Times New Roman" w:hAnsi="Arial" w:cs="Arial"/>
          <w:sz w:val="24"/>
          <w:szCs w:val="24"/>
          <w:lang w:val="en-US" w:eastAsia="en-ZA"/>
        </w:rPr>
        <w:t>s</w:t>
      </w:r>
      <w:r w:rsidR="00A85D4B" w:rsidRPr="004C59B4">
        <w:rPr>
          <w:rFonts w:ascii="Arial" w:eastAsia="Times New Roman" w:hAnsi="Arial" w:cs="Arial"/>
          <w:sz w:val="24"/>
          <w:szCs w:val="24"/>
          <w:lang w:val="en-US" w:eastAsia="en-ZA"/>
        </w:rPr>
        <w:t xml:space="preserve"> reflected</w:t>
      </w:r>
      <w:r w:rsidR="00561FAA" w:rsidRPr="004C59B4">
        <w:rPr>
          <w:rFonts w:ascii="Arial" w:eastAsia="Times New Roman" w:hAnsi="Arial" w:cs="Arial"/>
          <w:sz w:val="24"/>
          <w:szCs w:val="24"/>
          <w:lang w:val="en-US" w:eastAsia="en-ZA"/>
        </w:rPr>
        <w:t xml:space="preserve"> in the invoices and the statement of account. He confirmed each of the sales, the amount thereof, and the payments reflected in those documents. With regard to the payments, there were nine of them, </w:t>
      </w:r>
      <w:r w:rsidR="00367196" w:rsidRPr="004C59B4">
        <w:rPr>
          <w:rFonts w:ascii="Arial" w:eastAsia="Times New Roman" w:hAnsi="Arial" w:cs="Arial"/>
          <w:sz w:val="24"/>
          <w:szCs w:val="24"/>
          <w:lang w:val="en-US" w:eastAsia="en-ZA"/>
        </w:rPr>
        <w:t xml:space="preserve">all of which appeared in the statement of account. They were </w:t>
      </w:r>
      <w:r w:rsidR="00561FAA" w:rsidRPr="004C59B4">
        <w:rPr>
          <w:rFonts w:ascii="Arial" w:eastAsia="Times New Roman" w:hAnsi="Arial" w:cs="Arial"/>
          <w:sz w:val="24"/>
          <w:szCs w:val="24"/>
          <w:lang w:val="en-US" w:eastAsia="en-ZA"/>
        </w:rPr>
        <w:t>reflect</w:t>
      </w:r>
      <w:r w:rsidR="00367196" w:rsidRPr="004C59B4">
        <w:rPr>
          <w:rFonts w:ascii="Arial" w:eastAsia="Times New Roman" w:hAnsi="Arial" w:cs="Arial"/>
          <w:sz w:val="24"/>
          <w:szCs w:val="24"/>
          <w:lang w:val="en-US" w:eastAsia="en-ZA"/>
        </w:rPr>
        <w:t xml:space="preserve">ed as being payments </w:t>
      </w:r>
      <w:r w:rsidR="00561FAA" w:rsidRPr="004C59B4">
        <w:rPr>
          <w:rFonts w:ascii="Arial" w:eastAsia="Times New Roman" w:hAnsi="Arial" w:cs="Arial"/>
          <w:sz w:val="24"/>
          <w:szCs w:val="24"/>
          <w:lang w:val="en-US" w:eastAsia="en-ZA"/>
        </w:rPr>
        <w:t xml:space="preserve">received </w:t>
      </w:r>
      <w:r w:rsidR="00367196" w:rsidRPr="004C59B4">
        <w:rPr>
          <w:rFonts w:ascii="Arial" w:eastAsia="Times New Roman" w:hAnsi="Arial" w:cs="Arial"/>
          <w:sz w:val="24"/>
          <w:szCs w:val="24"/>
          <w:lang w:val="en-US" w:eastAsia="en-ZA"/>
        </w:rPr>
        <w:t>by</w:t>
      </w:r>
      <w:r w:rsidR="00561FAA" w:rsidRPr="004C59B4">
        <w:rPr>
          <w:rFonts w:ascii="Arial" w:eastAsia="Times New Roman" w:hAnsi="Arial" w:cs="Arial"/>
          <w:sz w:val="24"/>
          <w:szCs w:val="24"/>
          <w:lang w:val="en-US" w:eastAsia="en-ZA"/>
        </w:rPr>
        <w:t xml:space="preserve"> Imbuko from Reference Audio. Mr Singh testified that th</w:t>
      </w:r>
      <w:r w:rsidR="00367196" w:rsidRPr="004C59B4">
        <w:rPr>
          <w:rFonts w:ascii="Arial" w:eastAsia="Times New Roman" w:hAnsi="Arial" w:cs="Arial"/>
          <w:sz w:val="24"/>
          <w:szCs w:val="24"/>
          <w:lang w:val="en-US" w:eastAsia="en-ZA"/>
        </w:rPr>
        <w:t>ose</w:t>
      </w:r>
      <w:r w:rsidR="00561FAA" w:rsidRPr="004C59B4">
        <w:rPr>
          <w:rFonts w:ascii="Arial" w:eastAsia="Times New Roman" w:hAnsi="Arial" w:cs="Arial"/>
          <w:sz w:val="24"/>
          <w:szCs w:val="24"/>
          <w:lang w:val="en-US" w:eastAsia="en-ZA"/>
        </w:rPr>
        <w:t xml:space="preserve"> were interim payments received from Reference Audio in response to some of </w:t>
      </w:r>
      <w:r w:rsidR="00367196" w:rsidRPr="004C59B4">
        <w:rPr>
          <w:rFonts w:ascii="Arial" w:eastAsia="Times New Roman" w:hAnsi="Arial" w:cs="Arial"/>
          <w:sz w:val="24"/>
          <w:szCs w:val="24"/>
          <w:lang w:val="en-US" w:eastAsia="en-ZA"/>
        </w:rPr>
        <w:t>Imbuko’s</w:t>
      </w:r>
      <w:r w:rsidR="00561FAA" w:rsidRPr="004C59B4">
        <w:rPr>
          <w:rFonts w:ascii="Arial" w:eastAsia="Times New Roman" w:hAnsi="Arial" w:cs="Arial"/>
          <w:sz w:val="24"/>
          <w:szCs w:val="24"/>
          <w:lang w:val="en-US" w:eastAsia="en-ZA"/>
        </w:rPr>
        <w:t xml:space="preserve"> invoices</w:t>
      </w:r>
      <w:r w:rsidR="00367196" w:rsidRPr="004C59B4">
        <w:rPr>
          <w:rFonts w:ascii="Arial" w:eastAsia="Times New Roman" w:hAnsi="Arial" w:cs="Arial"/>
          <w:sz w:val="24"/>
          <w:szCs w:val="24"/>
          <w:lang w:val="en-US" w:eastAsia="en-ZA"/>
        </w:rPr>
        <w:t>.</w:t>
      </w:r>
      <w:r w:rsidR="00561FAA" w:rsidRPr="004C59B4">
        <w:rPr>
          <w:rFonts w:ascii="Arial" w:eastAsia="Times New Roman" w:hAnsi="Arial" w:cs="Arial"/>
          <w:sz w:val="24"/>
          <w:szCs w:val="24"/>
          <w:lang w:val="en-US" w:eastAsia="en-ZA"/>
        </w:rPr>
        <w:t xml:space="preserve"> </w:t>
      </w:r>
    </w:p>
    <w:p w14:paraId="16D1E959" w14:textId="77777777" w:rsidR="000C0EBB" w:rsidRPr="004C59B4" w:rsidRDefault="000C0EBB" w:rsidP="000C0EBB">
      <w:pPr>
        <w:shd w:val="clear" w:color="auto" w:fill="FFFFFF"/>
        <w:spacing w:before="120" w:after="720"/>
        <w:contextualSpacing/>
        <w:rPr>
          <w:rFonts w:ascii="Arial" w:hAnsi="Arial" w:cs="Arial"/>
          <w:sz w:val="24"/>
          <w:szCs w:val="24"/>
        </w:rPr>
      </w:pPr>
    </w:p>
    <w:p w14:paraId="336C3BE2" w14:textId="08582EFB" w:rsidR="008700CC" w:rsidRPr="004C59B4" w:rsidRDefault="00A85D4B" w:rsidP="008700CC">
      <w:pPr>
        <w:numPr>
          <w:ilvl w:val="0"/>
          <w:numId w:val="1"/>
        </w:numPr>
        <w:shd w:val="clear" w:color="auto" w:fill="FFFFFF"/>
        <w:spacing w:before="120" w:after="720"/>
        <w:ind w:left="0" w:firstLine="0"/>
        <w:contextualSpacing/>
        <w:rPr>
          <w:rFonts w:ascii="Arial" w:eastAsia="Times New Roman" w:hAnsi="Arial" w:cs="Arial"/>
          <w:sz w:val="24"/>
          <w:szCs w:val="24"/>
          <w:lang w:val="en-US" w:eastAsia="en-ZA"/>
        </w:rPr>
      </w:pPr>
      <w:r w:rsidRPr="004C59B4">
        <w:rPr>
          <w:rFonts w:ascii="Arial" w:eastAsia="Times New Roman" w:hAnsi="Arial" w:cs="Arial"/>
          <w:sz w:val="24"/>
          <w:szCs w:val="24"/>
          <w:lang w:val="en-US" w:eastAsia="en-ZA"/>
        </w:rPr>
        <w:t>O</w:t>
      </w:r>
      <w:r w:rsidR="00367196" w:rsidRPr="004C59B4">
        <w:rPr>
          <w:rFonts w:ascii="Arial" w:eastAsia="Times New Roman" w:hAnsi="Arial" w:cs="Arial"/>
          <w:sz w:val="24"/>
          <w:szCs w:val="24"/>
          <w:lang w:val="en-US" w:eastAsia="en-ZA"/>
        </w:rPr>
        <w:t xml:space="preserve">n behalf of Reference Audio, Mr Hoffmann </w:t>
      </w:r>
      <w:r w:rsidR="00EA4367" w:rsidRPr="004C59B4">
        <w:rPr>
          <w:rFonts w:ascii="Arial" w:eastAsia="Times New Roman" w:hAnsi="Arial" w:cs="Arial"/>
          <w:sz w:val="24"/>
          <w:szCs w:val="24"/>
          <w:lang w:val="en-US" w:eastAsia="en-ZA"/>
        </w:rPr>
        <w:t xml:space="preserve">testified that </w:t>
      </w:r>
      <w:r w:rsidR="004B1A68" w:rsidRPr="004C59B4">
        <w:rPr>
          <w:rFonts w:ascii="Arial" w:eastAsia="Times New Roman" w:hAnsi="Arial" w:cs="Arial"/>
          <w:sz w:val="24"/>
          <w:szCs w:val="24"/>
          <w:lang w:val="en-US" w:eastAsia="en-ZA"/>
        </w:rPr>
        <w:t xml:space="preserve">two of those payments, made on 9 and 11 January 2013, respectively, were made to Dipole, and not to Imbuko. The remaining seven payments were </w:t>
      </w:r>
      <w:r w:rsidR="00EA4367" w:rsidRPr="004C59B4">
        <w:rPr>
          <w:rFonts w:ascii="Arial" w:eastAsia="Times New Roman" w:hAnsi="Arial" w:cs="Arial"/>
          <w:sz w:val="24"/>
          <w:szCs w:val="24"/>
          <w:lang w:val="en-US" w:eastAsia="en-ZA"/>
        </w:rPr>
        <w:t xml:space="preserve">indeed made to Imbuko. </w:t>
      </w:r>
      <w:r w:rsidR="00EA4367" w:rsidRPr="004C59B4">
        <w:rPr>
          <w:rFonts w:ascii="Arial" w:eastAsia="Times New Roman" w:hAnsi="Arial" w:cs="Arial"/>
          <w:sz w:val="24"/>
          <w:szCs w:val="24"/>
          <w:lang w:val="en-US" w:eastAsia="en-ZA"/>
        </w:rPr>
        <w:lastRenderedPageBreak/>
        <w:t xml:space="preserve">However, the last one, for R20 000 on 21 May 2013, Mr Hoffmann explained, was paid to Imbuko in error by his wife, as the payment was meant for Dipole. </w:t>
      </w:r>
      <w:r w:rsidR="004B1A68" w:rsidRPr="004C59B4">
        <w:rPr>
          <w:rFonts w:ascii="Arial" w:eastAsia="Times New Roman" w:hAnsi="Arial" w:cs="Arial"/>
          <w:sz w:val="24"/>
          <w:szCs w:val="24"/>
          <w:lang w:val="en-US" w:eastAsia="en-ZA"/>
        </w:rPr>
        <w:t xml:space="preserve">As to the reason why the admitted payments were made to Imbuko, Mr Hoffmann </w:t>
      </w:r>
      <w:r w:rsidR="00544347" w:rsidRPr="004C59B4">
        <w:rPr>
          <w:rFonts w:ascii="Arial" w:eastAsia="Times New Roman" w:hAnsi="Arial" w:cs="Arial"/>
          <w:sz w:val="24"/>
          <w:szCs w:val="24"/>
          <w:lang w:val="en-US" w:eastAsia="en-ZA"/>
        </w:rPr>
        <w:t xml:space="preserve">explained </w:t>
      </w:r>
      <w:r w:rsidR="00956661" w:rsidRPr="004C59B4">
        <w:rPr>
          <w:rFonts w:ascii="Arial" w:eastAsia="Times New Roman" w:hAnsi="Arial" w:cs="Arial"/>
          <w:sz w:val="24"/>
          <w:szCs w:val="24"/>
          <w:lang w:val="en-US" w:eastAsia="en-ZA"/>
        </w:rPr>
        <w:t xml:space="preserve">that </w:t>
      </w:r>
      <w:r w:rsidRPr="004C59B4">
        <w:rPr>
          <w:rFonts w:ascii="Arial" w:eastAsia="Times New Roman" w:hAnsi="Arial" w:cs="Arial"/>
          <w:sz w:val="24"/>
          <w:szCs w:val="24"/>
          <w:lang w:val="en-US" w:eastAsia="en-ZA"/>
        </w:rPr>
        <w:t xml:space="preserve">this occurred </w:t>
      </w:r>
      <w:r w:rsidR="00AD4512" w:rsidRPr="004C59B4">
        <w:rPr>
          <w:rFonts w:ascii="Arial" w:eastAsia="Times New Roman" w:hAnsi="Arial" w:cs="Arial"/>
          <w:sz w:val="24"/>
          <w:szCs w:val="24"/>
          <w:lang w:val="en-US" w:eastAsia="en-ZA"/>
        </w:rPr>
        <w:t xml:space="preserve">at </w:t>
      </w:r>
      <w:r w:rsidR="00956661" w:rsidRPr="004C59B4">
        <w:rPr>
          <w:rFonts w:ascii="Arial" w:eastAsia="Times New Roman" w:hAnsi="Arial" w:cs="Arial"/>
          <w:sz w:val="24"/>
          <w:szCs w:val="24"/>
          <w:lang w:val="en-US" w:eastAsia="en-ZA"/>
        </w:rPr>
        <w:t xml:space="preserve">a </w:t>
      </w:r>
      <w:r w:rsidR="00AD4512" w:rsidRPr="004C59B4">
        <w:rPr>
          <w:rFonts w:ascii="Arial" w:eastAsia="Times New Roman" w:hAnsi="Arial" w:cs="Arial"/>
          <w:sz w:val="24"/>
          <w:szCs w:val="24"/>
          <w:lang w:val="en-US" w:eastAsia="en-ZA"/>
        </w:rPr>
        <w:t xml:space="preserve">time </w:t>
      </w:r>
      <w:r w:rsidR="00956661" w:rsidRPr="004C59B4">
        <w:rPr>
          <w:rFonts w:ascii="Arial" w:eastAsia="Times New Roman" w:hAnsi="Arial" w:cs="Arial"/>
          <w:sz w:val="24"/>
          <w:szCs w:val="24"/>
          <w:lang w:val="en-US" w:eastAsia="en-ZA"/>
        </w:rPr>
        <w:t>when Reference Audio needed to import goods from USA, but it</w:t>
      </w:r>
      <w:r w:rsidR="00AD4512" w:rsidRPr="004C59B4">
        <w:rPr>
          <w:rFonts w:ascii="Arial" w:eastAsia="Times New Roman" w:hAnsi="Arial" w:cs="Arial"/>
          <w:sz w:val="24"/>
          <w:szCs w:val="24"/>
          <w:lang w:val="en-US" w:eastAsia="en-ZA"/>
        </w:rPr>
        <w:t xml:space="preserve"> could not get invoices from Dipole</w:t>
      </w:r>
      <w:r w:rsidR="00956661" w:rsidRPr="004C59B4">
        <w:rPr>
          <w:rFonts w:ascii="Arial" w:eastAsia="Times New Roman" w:hAnsi="Arial" w:cs="Arial"/>
          <w:sz w:val="24"/>
          <w:szCs w:val="24"/>
          <w:lang w:val="en-US" w:eastAsia="en-ZA"/>
        </w:rPr>
        <w:t>, as there was</w:t>
      </w:r>
      <w:r w:rsidR="00AD4512" w:rsidRPr="004C59B4">
        <w:rPr>
          <w:rFonts w:ascii="Arial" w:eastAsia="Times New Roman" w:hAnsi="Arial" w:cs="Arial"/>
          <w:sz w:val="24"/>
          <w:szCs w:val="24"/>
          <w:lang w:val="en-US" w:eastAsia="en-ZA"/>
        </w:rPr>
        <w:t xml:space="preserve"> </w:t>
      </w:r>
      <w:r w:rsidR="00956661" w:rsidRPr="004C59B4">
        <w:rPr>
          <w:rFonts w:ascii="Arial" w:eastAsia="Times New Roman" w:hAnsi="Arial" w:cs="Arial"/>
          <w:sz w:val="24"/>
          <w:szCs w:val="24"/>
          <w:lang w:val="en-US" w:eastAsia="en-ZA"/>
        </w:rPr>
        <w:t xml:space="preserve">no one </w:t>
      </w:r>
      <w:r w:rsidR="00374F53" w:rsidRPr="004C59B4">
        <w:rPr>
          <w:rFonts w:ascii="Arial" w:eastAsia="Times New Roman" w:hAnsi="Arial" w:cs="Arial"/>
          <w:sz w:val="24"/>
          <w:szCs w:val="24"/>
          <w:lang w:val="en-US" w:eastAsia="en-ZA"/>
        </w:rPr>
        <w:t>from Dipole to place the order.</w:t>
      </w:r>
      <w:r w:rsidR="00374F53" w:rsidRPr="004C59B4">
        <w:rPr>
          <w:rFonts w:ascii="Arial" w:eastAsia="Times New Roman" w:hAnsi="Arial" w:cs="Arial"/>
          <w:i/>
          <w:iCs/>
          <w:sz w:val="24"/>
          <w:szCs w:val="24"/>
          <w:lang w:val="en-US" w:eastAsia="en-ZA"/>
        </w:rPr>
        <w:t xml:space="preserve"> </w:t>
      </w:r>
      <w:r w:rsidR="00374F53" w:rsidRPr="004C59B4">
        <w:rPr>
          <w:rFonts w:ascii="Arial" w:eastAsia="Times New Roman" w:hAnsi="Arial" w:cs="Arial"/>
          <w:sz w:val="24"/>
          <w:szCs w:val="24"/>
          <w:lang w:val="en-US" w:eastAsia="en-ZA"/>
        </w:rPr>
        <w:t xml:space="preserve">It was thus arranged between himself and Mr Singh, on behalf of Imbuko, that the latter would create the invoices, upon receipt of which </w:t>
      </w:r>
      <w:bookmarkStart w:id="16" w:name="_Hlk107503955"/>
      <w:bookmarkStart w:id="17" w:name="_Hlk107503739"/>
      <w:r w:rsidR="00374F53" w:rsidRPr="004C59B4">
        <w:rPr>
          <w:rFonts w:ascii="Arial" w:eastAsia="Times New Roman" w:hAnsi="Arial" w:cs="Arial"/>
          <w:sz w:val="24"/>
          <w:szCs w:val="24"/>
          <w:lang w:val="en-US" w:eastAsia="en-ZA"/>
        </w:rPr>
        <w:t xml:space="preserve">Reference </w:t>
      </w:r>
      <w:bookmarkEnd w:id="16"/>
      <w:r w:rsidR="00374F53" w:rsidRPr="004C59B4">
        <w:rPr>
          <w:rFonts w:ascii="Arial" w:eastAsia="Times New Roman" w:hAnsi="Arial" w:cs="Arial"/>
          <w:sz w:val="24"/>
          <w:szCs w:val="24"/>
          <w:lang w:val="en-US" w:eastAsia="en-ZA"/>
        </w:rPr>
        <w:t xml:space="preserve">Audio </w:t>
      </w:r>
      <w:bookmarkEnd w:id="17"/>
      <w:r w:rsidR="00374F53" w:rsidRPr="004C59B4">
        <w:rPr>
          <w:rFonts w:ascii="Arial" w:eastAsia="Times New Roman" w:hAnsi="Arial" w:cs="Arial"/>
          <w:sz w:val="24"/>
          <w:szCs w:val="24"/>
          <w:lang w:val="en-US" w:eastAsia="en-ZA"/>
        </w:rPr>
        <w:t xml:space="preserve">would make payment to Imbuko. Imbuko and Dipole would </w:t>
      </w:r>
      <w:r w:rsidR="00956661" w:rsidRPr="004C59B4">
        <w:rPr>
          <w:rFonts w:ascii="Arial" w:eastAsia="Times New Roman" w:hAnsi="Arial" w:cs="Arial"/>
          <w:sz w:val="24"/>
          <w:szCs w:val="24"/>
          <w:lang w:val="en-US" w:eastAsia="en-ZA"/>
        </w:rPr>
        <w:t xml:space="preserve">later </w:t>
      </w:r>
      <w:r w:rsidR="00374F53" w:rsidRPr="004C59B4">
        <w:rPr>
          <w:rFonts w:ascii="Arial" w:eastAsia="Times New Roman" w:hAnsi="Arial" w:cs="Arial"/>
          <w:sz w:val="24"/>
          <w:szCs w:val="24"/>
          <w:lang w:val="en-US" w:eastAsia="en-ZA"/>
        </w:rPr>
        <w:t xml:space="preserve">sort out the payment between themselves. </w:t>
      </w:r>
    </w:p>
    <w:p w14:paraId="5A421D93" w14:textId="77777777" w:rsidR="008700CC" w:rsidRPr="004C59B4" w:rsidRDefault="008700CC" w:rsidP="008700CC">
      <w:pPr>
        <w:rPr>
          <w:rFonts w:ascii="Arial" w:eastAsia="Times New Roman" w:hAnsi="Arial" w:cs="Arial"/>
          <w:sz w:val="24"/>
          <w:szCs w:val="24"/>
          <w:lang w:val="en-US" w:eastAsia="en-ZA"/>
        </w:rPr>
      </w:pPr>
    </w:p>
    <w:p w14:paraId="377853BA" w14:textId="230F1A12" w:rsidR="00623982" w:rsidRPr="004C59B4" w:rsidRDefault="00374F53" w:rsidP="008700CC">
      <w:pPr>
        <w:numPr>
          <w:ilvl w:val="0"/>
          <w:numId w:val="1"/>
        </w:numPr>
        <w:shd w:val="clear" w:color="auto" w:fill="FFFFFF"/>
        <w:spacing w:before="120" w:after="720"/>
        <w:ind w:left="0" w:firstLine="0"/>
        <w:contextualSpacing/>
        <w:rPr>
          <w:rFonts w:ascii="Arial" w:eastAsia="Times New Roman" w:hAnsi="Arial" w:cs="Arial"/>
          <w:sz w:val="24"/>
          <w:szCs w:val="24"/>
          <w:lang w:val="en-US" w:eastAsia="en-ZA"/>
        </w:rPr>
      </w:pPr>
      <w:r w:rsidRPr="004C59B4">
        <w:rPr>
          <w:rFonts w:ascii="Arial" w:eastAsia="Times New Roman" w:hAnsi="Arial" w:cs="Arial"/>
          <w:sz w:val="24"/>
          <w:szCs w:val="24"/>
          <w:lang w:val="en-US" w:eastAsia="en-ZA"/>
        </w:rPr>
        <w:t>This arrangement</w:t>
      </w:r>
      <w:r w:rsidR="00865F4F" w:rsidRPr="004C59B4">
        <w:rPr>
          <w:rFonts w:ascii="Arial" w:eastAsia="Times New Roman" w:hAnsi="Arial" w:cs="Arial"/>
          <w:sz w:val="24"/>
          <w:szCs w:val="24"/>
          <w:lang w:val="en-US" w:eastAsia="en-ZA"/>
        </w:rPr>
        <w:t xml:space="preserve">, Mr Hoffmann testified, </w:t>
      </w:r>
      <w:r w:rsidRPr="004C59B4">
        <w:rPr>
          <w:rFonts w:ascii="Arial" w:eastAsia="Times New Roman" w:hAnsi="Arial" w:cs="Arial"/>
          <w:sz w:val="24"/>
          <w:szCs w:val="24"/>
          <w:lang w:val="en-US" w:eastAsia="en-ZA"/>
        </w:rPr>
        <w:t>was made purely to avoid making payments to Dipole without the corresponding invoices, which could have adverse tax implications.</w:t>
      </w:r>
      <w:r w:rsidR="00865F4F" w:rsidRPr="004C59B4">
        <w:rPr>
          <w:rFonts w:ascii="Arial" w:eastAsia="Times New Roman" w:hAnsi="Arial" w:cs="Arial"/>
          <w:sz w:val="24"/>
          <w:szCs w:val="24"/>
          <w:lang w:val="en-US" w:eastAsia="en-ZA"/>
        </w:rPr>
        <w:t xml:space="preserve"> </w:t>
      </w:r>
      <w:r w:rsidRPr="004C59B4">
        <w:rPr>
          <w:rFonts w:ascii="Arial" w:eastAsia="Times New Roman" w:hAnsi="Arial" w:cs="Arial"/>
          <w:sz w:val="24"/>
          <w:szCs w:val="24"/>
          <w:lang w:val="en-US" w:eastAsia="en-ZA"/>
        </w:rPr>
        <w:t xml:space="preserve">Imbuko was ready and willing to provide such invoices, hence the payments to it. As a result, he placed the order through Imbuko, which </w:t>
      </w:r>
      <w:r w:rsidR="00AD4512" w:rsidRPr="004C59B4">
        <w:rPr>
          <w:rFonts w:ascii="Arial" w:eastAsia="Times New Roman" w:hAnsi="Arial" w:cs="Arial"/>
          <w:sz w:val="24"/>
          <w:szCs w:val="24"/>
          <w:lang w:val="en-US" w:eastAsia="en-ZA"/>
        </w:rPr>
        <w:t xml:space="preserve">then </w:t>
      </w:r>
      <w:r w:rsidRPr="004C59B4">
        <w:rPr>
          <w:rFonts w:ascii="Arial" w:eastAsia="Times New Roman" w:hAnsi="Arial" w:cs="Arial"/>
          <w:sz w:val="24"/>
          <w:szCs w:val="24"/>
          <w:lang w:val="en-US" w:eastAsia="en-ZA"/>
        </w:rPr>
        <w:t>raised an invoice against Reference Audio</w:t>
      </w:r>
      <w:r w:rsidR="00AD4512" w:rsidRPr="004C59B4">
        <w:rPr>
          <w:rFonts w:ascii="Arial" w:eastAsia="Times New Roman" w:hAnsi="Arial" w:cs="Arial"/>
          <w:sz w:val="24"/>
          <w:szCs w:val="24"/>
          <w:lang w:val="en-US" w:eastAsia="en-ZA"/>
        </w:rPr>
        <w:t>, which the latter</w:t>
      </w:r>
      <w:r w:rsidRPr="004C59B4">
        <w:rPr>
          <w:rFonts w:ascii="Arial" w:eastAsia="Times New Roman" w:hAnsi="Arial" w:cs="Arial"/>
          <w:sz w:val="24"/>
          <w:szCs w:val="24"/>
          <w:lang w:val="en-US" w:eastAsia="en-ZA"/>
        </w:rPr>
        <w:t xml:space="preserve"> paid</w:t>
      </w:r>
      <w:r w:rsidR="00AD4512" w:rsidRPr="004C59B4">
        <w:rPr>
          <w:rFonts w:ascii="Arial" w:eastAsia="Times New Roman" w:hAnsi="Arial" w:cs="Arial"/>
          <w:sz w:val="24"/>
          <w:szCs w:val="24"/>
          <w:lang w:val="en-US" w:eastAsia="en-ZA"/>
        </w:rPr>
        <w:t>.</w:t>
      </w:r>
      <w:r w:rsidRPr="004C59B4">
        <w:rPr>
          <w:rFonts w:ascii="Arial" w:eastAsia="Times New Roman" w:hAnsi="Arial" w:cs="Arial"/>
          <w:sz w:val="24"/>
          <w:szCs w:val="24"/>
          <w:lang w:val="en-US" w:eastAsia="en-ZA"/>
        </w:rPr>
        <w:t xml:space="preserve"> </w:t>
      </w:r>
      <w:r w:rsidR="00AD4512" w:rsidRPr="004C59B4">
        <w:rPr>
          <w:rFonts w:ascii="Arial" w:eastAsia="Times New Roman" w:hAnsi="Arial" w:cs="Arial"/>
          <w:sz w:val="24"/>
          <w:szCs w:val="24"/>
          <w:lang w:val="en-US" w:eastAsia="en-ZA"/>
        </w:rPr>
        <w:t xml:space="preserve">Thereafter the two entities </w:t>
      </w:r>
      <w:r w:rsidRPr="004C59B4">
        <w:rPr>
          <w:rFonts w:ascii="Arial" w:eastAsia="Times New Roman" w:hAnsi="Arial" w:cs="Arial"/>
          <w:sz w:val="24"/>
          <w:szCs w:val="24"/>
          <w:lang w:val="en-US" w:eastAsia="en-ZA"/>
        </w:rPr>
        <w:t xml:space="preserve">never had any further dealings with </w:t>
      </w:r>
      <w:r w:rsidR="007A5AB4" w:rsidRPr="004C59B4">
        <w:rPr>
          <w:rFonts w:ascii="Arial" w:eastAsia="Times New Roman" w:hAnsi="Arial" w:cs="Arial"/>
          <w:sz w:val="24"/>
          <w:szCs w:val="24"/>
          <w:lang w:val="en-US" w:eastAsia="en-ZA"/>
        </w:rPr>
        <w:t>each other</w:t>
      </w:r>
      <w:r w:rsidRPr="004C59B4">
        <w:rPr>
          <w:rFonts w:ascii="Arial" w:eastAsia="Times New Roman" w:hAnsi="Arial" w:cs="Arial"/>
          <w:sz w:val="24"/>
          <w:szCs w:val="24"/>
          <w:lang w:val="en-US" w:eastAsia="en-ZA"/>
        </w:rPr>
        <w:t>.</w:t>
      </w:r>
      <w:r w:rsidRPr="004C59B4">
        <w:rPr>
          <w:rFonts w:ascii="Arial" w:eastAsia="Times New Roman" w:hAnsi="Arial" w:cs="Arial"/>
          <w:i/>
          <w:iCs/>
          <w:sz w:val="24"/>
          <w:szCs w:val="24"/>
          <w:lang w:val="en-US" w:eastAsia="en-ZA"/>
        </w:rPr>
        <w:t xml:space="preserve"> </w:t>
      </w:r>
      <w:r w:rsidR="007A5AB4" w:rsidRPr="004C59B4">
        <w:rPr>
          <w:rFonts w:ascii="Arial" w:eastAsia="Times New Roman" w:hAnsi="Arial" w:cs="Arial"/>
          <w:sz w:val="24"/>
          <w:szCs w:val="24"/>
          <w:lang w:val="en-US" w:eastAsia="en-ZA"/>
        </w:rPr>
        <w:t xml:space="preserve">He denied that the payments were made by </w:t>
      </w:r>
      <w:bookmarkStart w:id="18" w:name="_Hlk107504269"/>
      <w:r w:rsidR="007A5AB4" w:rsidRPr="004C59B4">
        <w:rPr>
          <w:rFonts w:ascii="Arial" w:eastAsia="Times New Roman" w:hAnsi="Arial" w:cs="Arial"/>
          <w:sz w:val="24"/>
          <w:szCs w:val="24"/>
          <w:lang w:val="en-US" w:eastAsia="en-ZA"/>
        </w:rPr>
        <w:t xml:space="preserve">Reference Audio </w:t>
      </w:r>
      <w:bookmarkEnd w:id="18"/>
      <w:r w:rsidR="007A5AB4" w:rsidRPr="004C59B4">
        <w:rPr>
          <w:rFonts w:ascii="Arial" w:eastAsia="Times New Roman" w:hAnsi="Arial" w:cs="Arial"/>
          <w:sz w:val="24"/>
          <w:szCs w:val="24"/>
          <w:lang w:val="en-US" w:eastAsia="en-ZA"/>
        </w:rPr>
        <w:t>pursuant to a cession</w:t>
      </w:r>
      <w:r w:rsidR="00FE4525" w:rsidRPr="004C59B4">
        <w:rPr>
          <w:rFonts w:ascii="Arial" w:eastAsia="Times New Roman" w:hAnsi="Arial" w:cs="Arial"/>
          <w:sz w:val="24"/>
          <w:szCs w:val="24"/>
          <w:lang w:val="en-US" w:eastAsia="en-ZA"/>
        </w:rPr>
        <w:t>.</w:t>
      </w:r>
      <w:r w:rsidR="00FE4525" w:rsidRPr="004C59B4" w:rsidDel="00FE4525">
        <w:rPr>
          <w:rFonts w:ascii="Arial" w:eastAsia="Times New Roman" w:hAnsi="Arial" w:cs="Arial"/>
          <w:sz w:val="24"/>
          <w:szCs w:val="24"/>
          <w:lang w:val="en-US" w:eastAsia="en-ZA"/>
        </w:rPr>
        <w:t xml:space="preserve"> </w:t>
      </w:r>
    </w:p>
    <w:p w14:paraId="1E30D3D3" w14:textId="77777777" w:rsidR="00623982" w:rsidRPr="004C59B4" w:rsidRDefault="00623982" w:rsidP="00623982">
      <w:pPr>
        <w:rPr>
          <w:rFonts w:ascii="Arial" w:eastAsia="Times New Roman" w:hAnsi="Arial" w:cs="Arial"/>
          <w:sz w:val="24"/>
          <w:szCs w:val="24"/>
          <w:lang w:val="en-US" w:eastAsia="en-ZA"/>
        </w:rPr>
      </w:pPr>
    </w:p>
    <w:p w14:paraId="1AEC482C" w14:textId="703CB382" w:rsidR="00544347" w:rsidRPr="004C59B4" w:rsidRDefault="00877BC6" w:rsidP="008700CC">
      <w:pPr>
        <w:numPr>
          <w:ilvl w:val="0"/>
          <w:numId w:val="1"/>
        </w:numPr>
        <w:shd w:val="clear" w:color="auto" w:fill="FFFFFF"/>
        <w:spacing w:before="120" w:after="720"/>
        <w:ind w:left="0" w:firstLine="0"/>
        <w:contextualSpacing/>
        <w:rPr>
          <w:rFonts w:ascii="Arial" w:eastAsia="Times New Roman" w:hAnsi="Arial" w:cs="Arial"/>
          <w:sz w:val="24"/>
          <w:szCs w:val="24"/>
          <w:lang w:val="en-US" w:eastAsia="en-ZA"/>
        </w:rPr>
      </w:pPr>
      <w:r w:rsidRPr="004C59B4">
        <w:rPr>
          <w:rFonts w:ascii="Arial" w:eastAsia="Times New Roman" w:hAnsi="Arial" w:cs="Arial"/>
          <w:sz w:val="24"/>
          <w:szCs w:val="24"/>
          <w:lang w:val="en-US" w:eastAsia="en-ZA"/>
        </w:rPr>
        <w:t>Asked why</w:t>
      </w:r>
      <w:r w:rsidR="00623982" w:rsidRPr="004C59B4">
        <w:rPr>
          <w:rFonts w:ascii="Arial" w:eastAsia="Times New Roman" w:hAnsi="Arial" w:cs="Arial"/>
          <w:sz w:val="24"/>
          <w:szCs w:val="24"/>
          <w:lang w:val="en-US" w:eastAsia="en-ZA"/>
        </w:rPr>
        <w:t xml:space="preserve"> he</w:t>
      </w:r>
      <w:r w:rsidRPr="004C59B4">
        <w:rPr>
          <w:rFonts w:ascii="Arial" w:eastAsia="Times New Roman" w:hAnsi="Arial" w:cs="Arial"/>
          <w:sz w:val="24"/>
          <w:szCs w:val="24"/>
          <w:lang w:val="en-US" w:eastAsia="en-ZA"/>
        </w:rPr>
        <w:t xml:space="preserve"> did not, on behalf of Reference Audio, object to the invoices </w:t>
      </w:r>
      <w:r w:rsidR="00623982" w:rsidRPr="004C59B4">
        <w:rPr>
          <w:rFonts w:ascii="Arial" w:eastAsia="Times New Roman" w:hAnsi="Arial" w:cs="Arial"/>
          <w:sz w:val="24"/>
          <w:szCs w:val="24"/>
          <w:lang w:val="en-US" w:eastAsia="en-ZA"/>
        </w:rPr>
        <w:t>from</w:t>
      </w:r>
      <w:r w:rsidRPr="004C59B4">
        <w:rPr>
          <w:rFonts w:ascii="Arial" w:eastAsia="Times New Roman" w:hAnsi="Arial" w:cs="Arial"/>
          <w:sz w:val="24"/>
          <w:szCs w:val="24"/>
          <w:lang w:val="en-US" w:eastAsia="en-ZA"/>
        </w:rPr>
        <w:t xml:space="preserve"> </w:t>
      </w:r>
      <w:r w:rsidR="00623982" w:rsidRPr="004C59B4">
        <w:rPr>
          <w:rFonts w:ascii="Arial" w:eastAsia="Times New Roman" w:hAnsi="Arial" w:cs="Arial"/>
          <w:sz w:val="24"/>
          <w:szCs w:val="24"/>
          <w:lang w:val="en-US" w:eastAsia="en-ZA"/>
        </w:rPr>
        <w:t xml:space="preserve">Imbuko </w:t>
      </w:r>
      <w:r w:rsidRPr="004C59B4">
        <w:rPr>
          <w:rFonts w:ascii="Arial" w:eastAsia="Times New Roman" w:hAnsi="Arial" w:cs="Arial"/>
          <w:sz w:val="24"/>
          <w:szCs w:val="24"/>
          <w:lang w:val="en-US" w:eastAsia="en-ZA"/>
        </w:rPr>
        <w:t>between January</w:t>
      </w:r>
      <w:r w:rsidR="00BB24AC" w:rsidRPr="004C59B4">
        <w:rPr>
          <w:rFonts w:ascii="Arial" w:eastAsia="Times New Roman" w:hAnsi="Arial" w:cs="Arial"/>
          <w:sz w:val="24"/>
          <w:szCs w:val="24"/>
          <w:lang w:val="en-US" w:eastAsia="en-ZA"/>
        </w:rPr>
        <w:t xml:space="preserve"> </w:t>
      </w:r>
      <w:r w:rsidRPr="004C59B4">
        <w:rPr>
          <w:rFonts w:ascii="Arial" w:eastAsia="Times New Roman" w:hAnsi="Arial" w:cs="Arial"/>
          <w:sz w:val="24"/>
          <w:szCs w:val="24"/>
          <w:lang w:val="en-US" w:eastAsia="en-ZA"/>
        </w:rPr>
        <w:t>to April 201</w:t>
      </w:r>
      <w:r w:rsidR="00BB24AC" w:rsidRPr="004C59B4">
        <w:rPr>
          <w:rFonts w:ascii="Arial" w:eastAsia="Times New Roman" w:hAnsi="Arial" w:cs="Arial"/>
          <w:sz w:val="24"/>
          <w:szCs w:val="24"/>
          <w:lang w:val="en-US" w:eastAsia="en-ZA"/>
        </w:rPr>
        <w:t>3</w:t>
      </w:r>
      <w:r w:rsidRPr="004C59B4">
        <w:rPr>
          <w:rFonts w:ascii="Arial" w:eastAsia="Times New Roman" w:hAnsi="Arial" w:cs="Arial"/>
          <w:sz w:val="24"/>
          <w:szCs w:val="24"/>
          <w:lang w:val="en-US" w:eastAsia="en-ZA"/>
        </w:rPr>
        <w:t xml:space="preserve">, Mr Hoffmann testified that at that stage, his relationship with Mr Singh had deteriorated to the point that he </w:t>
      </w:r>
      <w:r w:rsidR="00B25988" w:rsidRPr="004C59B4">
        <w:rPr>
          <w:rFonts w:ascii="Arial" w:eastAsia="Times New Roman" w:hAnsi="Arial" w:cs="Arial"/>
          <w:sz w:val="24"/>
          <w:szCs w:val="24"/>
          <w:lang w:val="en-US" w:eastAsia="en-ZA"/>
        </w:rPr>
        <w:t xml:space="preserve">no longer wished to do </w:t>
      </w:r>
      <w:r w:rsidR="00BB24AC" w:rsidRPr="004C59B4">
        <w:rPr>
          <w:rFonts w:ascii="Arial" w:eastAsia="Times New Roman" w:hAnsi="Arial" w:cs="Arial"/>
          <w:sz w:val="24"/>
          <w:szCs w:val="24"/>
          <w:lang w:val="en-US" w:eastAsia="en-ZA"/>
        </w:rPr>
        <w:t xml:space="preserve">any </w:t>
      </w:r>
      <w:r w:rsidR="00B25988" w:rsidRPr="004C59B4">
        <w:rPr>
          <w:rFonts w:ascii="Arial" w:eastAsia="Times New Roman" w:hAnsi="Arial" w:cs="Arial"/>
          <w:sz w:val="24"/>
          <w:szCs w:val="24"/>
          <w:lang w:val="en-US" w:eastAsia="en-ZA"/>
        </w:rPr>
        <w:t xml:space="preserve">business </w:t>
      </w:r>
      <w:r w:rsidRPr="004C59B4">
        <w:rPr>
          <w:rFonts w:ascii="Arial" w:eastAsia="Times New Roman" w:hAnsi="Arial" w:cs="Arial"/>
          <w:sz w:val="24"/>
          <w:szCs w:val="24"/>
          <w:lang w:val="en-US" w:eastAsia="en-ZA"/>
        </w:rPr>
        <w:t xml:space="preserve">with Imbuko. As a result, he </w:t>
      </w:r>
      <w:r w:rsidR="00B25988" w:rsidRPr="004C59B4">
        <w:rPr>
          <w:rFonts w:ascii="Arial" w:eastAsia="Times New Roman" w:hAnsi="Arial" w:cs="Arial"/>
          <w:sz w:val="24"/>
          <w:szCs w:val="24"/>
          <w:lang w:val="en-US" w:eastAsia="en-ZA"/>
        </w:rPr>
        <w:t>simply discarded the invoices.</w:t>
      </w:r>
    </w:p>
    <w:p w14:paraId="16539A07" w14:textId="77777777" w:rsidR="000C0EBB" w:rsidRPr="004C59B4" w:rsidRDefault="000C0EBB" w:rsidP="000C0EBB">
      <w:pPr>
        <w:shd w:val="clear" w:color="auto" w:fill="FFFFFF"/>
        <w:spacing w:before="120" w:after="720"/>
        <w:contextualSpacing/>
        <w:rPr>
          <w:rFonts w:ascii="Arial" w:eastAsia="Times New Roman" w:hAnsi="Arial" w:cs="Arial"/>
          <w:sz w:val="24"/>
          <w:szCs w:val="24"/>
          <w:lang w:val="en-US" w:eastAsia="en-ZA"/>
        </w:rPr>
      </w:pPr>
    </w:p>
    <w:p w14:paraId="20F06F55" w14:textId="1567F0BE" w:rsidR="000C0EBB" w:rsidRPr="004C59B4" w:rsidRDefault="007A5AB4" w:rsidP="000C0EBB">
      <w:pPr>
        <w:numPr>
          <w:ilvl w:val="0"/>
          <w:numId w:val="1"/>
        </w:numPr>
        <w:shd w:val="clear" w:color="auto" w:fill="FFFFFF"/>
        <w:spacing w:before="120" w:after="720"/>
        <w:ind w:left="0" w:firstLine="0"/>
        <w:contextualSpacing/>
        <w:rPr>
          <w:rFonts w:ascii="Arial" w:eastAsia="Times New Roman" w:hAnsi="Arial" w:cs="Arial"/>
          <w:sz w:val="24"/>
          <w:szCs w:val="24"/>
          <w:lang w:val="en-US" w:eastAsia="en-ZA"/>
        </w:rPr>
      </w:pPr>
      <w:r w:rsidRPr="004C59B4">
        <w:rPr>
          <w:rFonts w:ascii="Arial" w:eastAsia="Times New Roman" w:hAnsi="Arial" w:cs="Arial"/>
          <w:sz w:val="24"/>
          <w:szCs w:val="24"/>
          <w:lang w:val="en-US" w:eastAsia="en-ZA"/>
        </w:rPr>
        <w:t xml:space="preserve">According to Mr Hoffmann, </w:t>
      </w:r>
      <w:bookmarkStart w:id="19" w:name="_Hlk107504283"/>
      <w:r w:rsidR="00A873C0" w:rsidRPr="004C59B4">
        <w:rPr>
          <w:rFonts w:ascii="Arial" w:eastAsia="Times New Roman" w:hAnsi="Arial" w:cs="Arial"/>
          <w:sz w:val="24"/>
          <w:szCs w:val="24"/>
          <w:lang w:val="en-US" w:eastAsia="en-ZA"/>
        </w:rPr>
        <w:t>Reference Audio</w:t>
      </w:r>
      <w:r w:rsidRPr="004C59B4">
        <w:rPr>
          <w:rFonts w:ascii="Arial" w:eastAsia="Times New Roman" w:hAnsi="Arial" w:cs="Arial"/>
          <w:sz w:val="24"/>
          <w:szCs w:val="24"/>
          <w:lang w:val="en-US" w:eastAsia="en-ZA"/>
        </w:rPr>
        <w:t xml:space="preserve"> </w:t>
      </w:r>
      <w:bookmarkEnd w:id="19"/>
      <w:r w:rsidRPr="004C59B4">
        <w:rPr>
          <w:rFonts w:ascii="Arial" w:eastAsia="Times New Roman" w:hAnsi="Arial" w:cs="Arial"/>
          <w:sz w:val="24"/>
          <w:szCs w:val="24"/>
          <w:lang w:val="en-US" w:eastAsia="en-ZA"/>
        </w:rPr>
        <w:t>had paid all monies</w:t>
      </w:r>
      <w:r w:rsidR="00BB24AC" w:rsidRPr="004C59B4">
        <w:rPr>
          <w:rFonts w:ascii="Arial" w:eastAsia="Times New Roman" w:hAnsi="Arial" w:cs="Arial"/>
          <w:sz w:val="24"/>
          <w:szCs w:val="24"/>
          <w:lang w:val="en-US" w:eastAsia="en-ZA"/>
        </w:rPr>
        <w:t xml:space="preserve"> it </w:t>
      </w:r>
      <w:r w:rsidRPr="004C59B4">
        <w:rPr>
          <w:rFonts w:ascii="Arial" w:eastAsia="Times New Roman" w:hAnsi="Arial" w:cs="Arial"/>
          <w:sz w:val="24"/>
          <w:szCs w:val="24"/>
          <w:lang w:val="en-US" w:eastAsia="en-ZA"/>
        </w:rPr>
        <w:t>ow</w:t>
      </w:r>
      <w:r w:rsidR="00BB24AC" w:rsidRPr="004C59B4">
        <w:rPr>
          <w:rFonts w:ascii="Arial" w:eastAsia="Times New Roman" w:hAnsi="Arial" w:cs="Arial"/>
          <w:sz w:val="24"/>
          <w:szCs w:val="24"/>
          <w:lang w:val="en-US" w:eastAsia="en-ZA"/>
        </w:rPr>
        <w:t>ed</w:t>
      </w:r>
      <w:r w:rsidRPr="004C59B4">
        <w:rPr>
          <w:rFonts w:ascii="Arial" w:eastAsia="Times New Roman" w:hAnsi="Arial" w:cs="Arial"/>
          <w:sz w:val="24"/>
          <w:szCs w:val="24"/>
          <w:lang w:val="en-US" w:eastAsia="en-ZA"/>
        </w:rPr>
        <w:t xml:space="preserve"> to Dipole for the relevant period</w:t>
      </w:r>
      <w:r w:rsidR="00A873C0" w:rsidRPr="004C59B4">
        <w:rPr>
          <w:rFonts w:ascii="Arial" w:eastAsia="Times New Roman" w:hAnsi="Arial" w:cs="Arial"/>
          <w:sz w:val="24"/>
          <w:szCs w:val="24"/>
          <w:lang w:val="en-US" w:eastAsia="en-ZA"/>
        </w:rPr>
        <w:t xml:space="preserve">, and at the time summons was issued, Reference Audio owed only about R38 000 to Dipole. To </w:t>
      </w:r>
      <w:r w:rsidR="00BB24AC" w:rsidRPr="004C59B4">
        <w:rPr>
          <w:rFonts w:ascii="Arial" w:eastAsia="Times New Roman" w:hAnsi="Arial" w:cs="Arial"/>
          <w:sz w:val="24"/>
          <w:szCs w:val="24"/>
          <w:lang w:val="en-US" w:eastAsia="en-ZA"/>
        </w:rPr>
        <w:t xml:space="preserve">buttress his assertion that Dipole never ceded its right to claim against Reference Audio to Imbuko, </w:t>
      </w:r>
      <w:r w:rsidR="00A873C0" w:rsidRPr="004C59B4">
        <w:rPr>
          <w:rFonts w:ascii="Arial" w:eastAsia="Times New Roman" w:hAnsi="Arial" w:cs="Arial"/>
          <w:sz w:val="24"/>
          <w:szCs w:val="24"/>
          <w:lang w:val="en-US" w:eastAsia="en-ZA"/>
        </w:rPr>
        <w:t xml:space="preserve">Mr Hoffmann pointed to the on-going </w:t>
      </w:r>
      <w:r w:rsidR="00D44ED9" w:rsidRPr="004C59B4">
        <w:rPr>
          <w:rFonts w:ascii="Arial" w:eastAsia="Times New Roman" w:hAnsi="Arial" w:cs="Arial"/>
          <w:sz w:val="24"/>
          <w:szCs w:val="24"/>
          <w:lang w:val="en-US" w:eastAsia="en-ZA"/>
        </w:rPr>
        <w:t xml:space="preserve">business </w:t>
      </w:r>
      <w:r w:rsidR="00A873C0" w:rsidRPr="004C59B4">
        <w:rPr>
          <w:rFonts w:ascii="Arial" w:eastAsia="Times New Roman" w:hAnsi="Arial" w:cs="Arial"/>
          <w:sz w:val="24"/>
          <w:szCs w:val="24"/>
          <w:lang w:val="en-US" w:eastAsia="en-ZA"/>
        </w:rPr>
        <w:t xml:space="preserve">relationship between the Dipole and </w:t>
      </w:r>
      <w:bookmarkStart w:id="20" w:name="_Hlk107504560"/>
      <w:r w:rsidR="00A873C0" w:rsidRPr="004C59B4">
        <w:rPr>
          <w:rFonts w:ascii="Arial" w:eastAsia="Times New Roman" w:hAnsi="Arial" w:cs="Arial"/>
          <w:sz w:val="24"/>
          <w:szCs w:val="24"/>
          <w:lang w:val="en-US" w:eastAsia="en-ZA"/>
        </w:rPr>
        <w:t>Reference Audio</w:t>
      </w:r>
      <w:bookmarkEnd w:id="20"/>
      <w:r w:rsidR="00A873C0" w:rsidRPr="004C59B4">
        <w:rPr>
          <w:rFonts w:ascii="Arial" w:eastAsia="Times New Roman" w:hAnsi="Arial" w:cs="Arial"/>
          <w:sz w:val="24"/>
          <w:szCs w:val="24"/>
          <w:lang w:val="en-US" w:eastAsia="en-ZA"/>
        </w:rPr>
        <w:t xml:space="preserve">, </w:t>
      </w:r>
      <w:r w:rsidR="00D44ED9" w:rsidRPr="004C59B4">
        <w:rPr>
          <w:rFonts w:ascii="Arial" w:eastAsia="Times New Roman" w:hAnsi="Arial" w:cs="Arial"/>
          <w:sz w:val="24"/>
          <w:szCs w:val="24"/>
          <w:lang w:val="en-US" w:eastAsia="en-ZA"/>
        </w:rPr>
        <w:t xml:space="preserve">in terms of which Reference Audio </w:t>
      </w:r>
      <w:r w:rsidR="0050245B" w:rsidRPr="004C59B4">
        <w:rPr>
          <w:rFonts w:ascii="Arial" w:eastAsia="Times New Roman" w:hAnsi="Arial" w:cs="Arial"/>
          <w:sz w:val="24"/>
          <w:szCs w:val="24"/>
          <w:lang w:val="en-US" w:eastAsia="en-ZA"/>
        </w:rPr>
        <w:t xml:space="preserve">continued to </w:t>
      </w:r>
      <w:r w:rsidR="00D44ED9" w:rsidRPr="004C59B4">
        <w:rPr>
          <w:rFonts w:ascii="Arial" w:eastAsia="Times New Roman" w:hAnsi="Arial" w:cs="Arial"/>
          <w:sz w:val="24"/>
          <w:szCs w:val="24"/>
          <w:lang w:val="en-US" w:eastAsia="en-ZA"/>
        </w:rPr>
        <w:t>make purchases from</w:t>
      </w:r>
      <w:r w:rsidR="005D2577" w:rsidRPr="004C59B4">
        <w:rPr>
          <w:rFonts w:ascii="Arial" w:eastAsia="Times New Roman" w:hAnsi="Arial" w:cs="Arial"/>
          <w:sz w:val="24"/>
          <w:szCs w:val="24"/>
          <w:lang w:val="en-US" w:eastAsia="en-ZA"/>
        </w:rPr>
        <w:t xml:space="preserve"> Dipole</w:t>
      </w:r>
      <w:r w:rsidR="00D44ED9" w:rsidRPr="004C59B4">
        <w:rPr>
          <w:rFonts w:ascii="Arial" w:eastAsia="Times New Roman" w:hAnsi="Arial" w:cs="Arial"/>
          <w:sz w:val="24"/>
          <w:szCs w:val="24"/>
          <w:lang w:val="en-US" w:eastAsia="en-ZA"/>
        </w:rPr>
        <w:t xml:space="preserve">, and </w:t>
      </w:r>
      <w:r w:rsidR="005D2577" w:rsidRPr="004C59B4">
        <w:rPr>
          <w:rFonts w:ascii="Arial" w:eastAsia="Times New Roman" w:hAnsi="Arial" w:cs="Arial"/>
          <w:sz w:val="24"/>
          <w:szCs w:val="24"/>
          <w:lang w:val="en-US" w:eastAsia="en-ZA"/>
        </w:rPr>
        <w:t>pa</w:t>
      </w:r>
      <w:r w:rsidR="00BB24AC" w:rsidRPr="004C59B4">
        <w:rPr>
          <w:rFonts w:ascii="Arial" w:eastAsia="Times New Roman" w:hAnsi="Arial" w:cs="Arial"/>
          <w:sz w:val="24"/>
          <w:szCs w:val="24"/>
          <w:lang w:val="en-US" w:eastAsia="en-ZA"/>
        </w:rPr>
        <w:t>id</w:t>
      </w:r>
      <w:r w:rsidR="005D2577" w:rsidRPr="004C59B4">
        <w:rPr>
          <w:rFonts w:ascii="Arial" w:eastAsia="Times New Roman" w:hAnsi="Arial" w:cs="Arial"/>
          <w:sz w:val="24"/>
          <w:szCs w:val="24"/>
          <w:lang w:val="en-US" w:eastAsia="en-ZA"/>
        </w:rPr>
        <w:t xml:space="preserve"> to Dipole directly. </w:t>
      </w:r>
      <w:r w:rsidR="00623982" w:rsidRPr="004C59B4">
        <w:rPr>
          <w:rFonts w:ascii="Arial" w:eastAsia="Times New Roman" w:hAnsi="Arial" w:cs="Arial"/>
          <w:sz w:val="24"/>
          <w:szCs w:val="24"/>
          <w:lang w:val="en-US" w:eastAsia="en-ZA"/>
        </w:rPr>
        <w:t xml:space="preserve">In this regard, Reference Audio relied on the testimony of Mr Wesley Beyers (Mr Beyers) of Dipole, who testified that there was no agreement of cession between Dipole </w:t>
      </w:r>
      <w:r w:rsidR="0099711D" w:rsidRPr="004C59B4">
        <w:rPr>
          <w:rFonts w:ascii="Arial" w:eastAsia="Times New Roman" w:hAnsi="Arial" w:cs="Arial"/>
          <w:sz w:val="24"/>
          <w:szCs w:val="24"/>
          <w:lang w:val="en-US" w:eastAsia="en-ZA"/>
        </w:rPr>
        <w:t xml:space="preserve">and Imbuko. </w:t>
      </w:r>
    </w:p>
    <w:p w14:paraId="28AA7D21" w14:textId="77777777" w:rsidR="00BB24AC" w:rsidRPr="004C59B4" w:rsidRDefault="00BB24AC" w:rsidP="00BB24AC">
      <w:pPr>
        <w:shd w:val="clear" w:color="auto" w:fill="FFFFFF"/>
        <w:spacing w:before="120" w:after="720"/>
        <w:contextualSpacing/>
        <w:rPr>
          <w:rFonts w:ascii="Arial" w:eastAsia="Times New Roman" w:hAnsi="Arial" w:cs="Arial"/>
          <w:sz w:val="24"/>
          <w:szCs w:val="24"/>
          <w:lang w:val="en-US" w:eastAsia="en-ZA"/>
        </w:rPr>
      </w:pPr>
    </w:p>
    <w:p w14:paraId="24BA0846" w14:textId="4F8B7872" w:rsidR="00DD6FF8" w:rsidRPr="004C59B4" w:rsidRDefault="004F68A3" w:rsidP="00DD6FF8">
      <w:pPr>
        <w:numPr>
          <w:ilvl w:val="0"/>
          <w:numId w:val="1"/>
        </w:numPr>
        <w:shd w:val="clear" w:color="auto" w:fill="FFFFFF"/>
        <w:spacing w:before="120" w:after="720"/>
        <w:ind w:left="0" w:firstLine="0"/>
        <w:contextualSpacing/>
        <w:rPr>
          <w:rFonts w:ascii="Arial" w:eastAsia="Times New Roman" w:hAnsi="Arial" w:cs="Arial"/>
          <w:b/>
          <w:bCs/>
          <w:sz w:val="24"/>
          <w:szCs w:val="24"/>
          <w:lang w:val="en-US" w:eastAsia="en-ZA"/>
        </w:rPr>
      </w:pPr>
      <w:r w:rsidRPr="004C59B4">
        <w:rPr>
          <w:rFonts w:ascii="Arial" w:eastAsia="Times New Roman" w:hAnsi="Arial" w:cs="Arial"/>
          <w:sz w:val="24"/>
          <w:szCs w:val="24"/>
          <w:lang w:val="en-US" w:eastAsia="en-ZA"/>
        </w:rPr>
        <w:lastRenderedPageBreak/>
        <w:t>The high court (</w:t>
      </w:r>
      <w:r w:rsidR="004217F3" w:rsidRPr="004C59B4">
        <w:rPr>
          <w:rFonts w:ascii="Arial" w:eastAsia="Times New Roman" w:hAnsi="Arial" w:cs="Arial"/>
          <w:sz w:val="24"/>
          <w:szCs w:val="24"/>
          <w:lang w:val="en-US" w:eastAsia="en-ZA"/>
        </w:rPr>
        <w:t>Matojane J</w:t>
      </w:r>
      <w:r w:rsidRPr="004C59B4">
        <w:rPr>
          <w:rFonts w:ascii="Arial" w:eastAsia="Times New Roman" w:hAnsi="Arial" w:cs="Arial"/>
          <w:sz w:val="24"/>
          <w:szCs w:val="24"/>
          <w:lang w:val="en-US" w:eastAsia="en-ZA"/>
        </w:rPr>
        <w:t>)</w:t>
      </w:r>
      <w:r w:rsidR="00685F34" w:rsidRPr="004C59B4">
        <w:rPr>
          <w:rFonts w:ascii="Arial" w:eastAsia="Times New Roman" w:hAnsi="Arial" w:cs="Arial"/>
          <w:sz w:val="24"/>
          <w:szCs w:val="24"/>
          <w:lang w:val="en-US" w:eastAsia="en-ZA"/>
        </w:rPr>
        <w:t xml:space="preserve"> concluded that Imbuko had discharged its onus to establish the cession</w:t>
      </w:r>
      <w:r w:rsidR="005D2577" w:rsidRPr="004C59B4">
        <w:rPr>
          <w:rFonts w:ascii="Arial" w:eastAsia="Times New Roman" w:hAnsi="Arial" w:cs="Arial"/>
          <w:sz w:val="24"/>
          <w:szCs w:val="24"/>
          <w:lang w:val="en-US" w:eastAsia="en-ZA"/>
        </w:rPr>
        <w:t>, on a balance of probabilities</w:t>
      </w:r>
      <w:r w:rsidR="00685F34" w:rsidRPr="004C59B4">
        <w:rPr>
          <w:rFonts w:ascii="Arial" w:eastAsia="Times New Roman" w:hAnsi="Arial" w:cs="Arial"/>
          <w:sz w:val="24"/>
          <w:szCs w:val="24"/>
          <w:lang w:val="en-US" w:eastAsia="en-ZA"/>
        </w:rPr>
        <w:t xml:space="preserve">. In respect of </w:t>
      </w:r>
      <w:r w:rsidR="00962029" w:rsidRPr="004C59B4">
        <w:rPr>
          <w:rFonts w:ascii="Arial" w:eastAsia="Times New Roman" w:hAnsi="Arial" w:cs="Arial"/>
          <w:sz w:val="24"/>
          <w:szCs w:val="24"/>
          <w:lang w:val="en-US" w:eastAsia="en-ZA"/>
        </w:rPr>
        <w:t xml:space="preserve">the </w:t>
      </w:r>
      <w:r w:rsidR="00685F34" w:rsidRPr="004C59B4">
        <w:rPr>
          <w:rFonts w:ascii="Arial" w:eastAsia="Times New Roman" w:hAnsi="Arial" w:cs="Arial"/>
          <w:sz w:val="24"/>
          <w:szCs w:val="24"/>
          <w:lang w:val="en-US" w:eastAsia="en-ZA"/>
        </w:rPr>
        <w:t xml:space="preserve">payments by Reference Audio to Dipole, the high court found that Reference </w:t>
      </w:r>
      <w:r w:rsidR="007510A8" w:rsidRPr="004C59B4">
        <w:rPr>
          <w:rFonts w:ascii="Arial" w:eastAsia="Times New Roman" w:hAnsi="Arial" w:cs="Arial"/>
          <w:sz w:val="24"/>
          <w:szCs w:val="24"/>
          <w:lang w:val="en-US" w:eastAsia="en-ZA"/>
        </w:rPr>
        <w:t xml:space="preserve">Audio </w:t>
      </w:r>
      <w:r w:rsidR="00685F34" w:rsidRPr="004C59B4">
        <w:rPr>
          <w:rFonts w:ascii="Arial" w:eastAsia="Times New Roman" w:hAnsi="Arial" w:cs="Arial"/>
          <w:sz w:val="24"/>
          <w:szCs w:val="24"/>
          <w:lang w:val="en-US" w:eastAsia="en-ZA"/>
        </w:rPr>
        <w:t xml:space="preserve">had failed to prove </w:t>
      </w:r>
      <w:r w:rsidR="00DF5C64" w:rsidRPr="004C59B4">
        <w:rPr>
          <w:rFonts w:ascii="Arial" w:eastAsia="Times New Roman" w:hAnsi="Arial" w:cs="Arial"/>
          <w:sz w:val="24"/>
          <w:szCs w:val="24"/>
          <w:lang w:val="en-US" w:eastAsia="en-ZA"/>
        </w:rPr>
        <w:t xml:space="preserve">any. </w:t>
      </w:r>
      <w:r w:rsidR="009E6AA9" w:rsidRPr="004C59B4">
        <w:rPr>
          <w:rFonts w:ascii="Arial" w:eastAsia="Times New Roman" w:hAnsi="Arial" w:cs="Arial"/>
          <w:sz w:val="24"/>
          <w:szCs w:val="24"/>
          <w:lang w:val="en-US" w:eastAsia="en-ZA"/>
        </w:rPr>
        <w:t xml:space="preserve">The high court also made </w:t>
      </w:r>
      <w:r w:rsidR="005D2577" w:rsidRPr="004C59B4">
        <w:rPr>
          <w:rFonts w:ascii="Arial" w:eastAsia="Times New Roman" w:hAnsi="Arial" w:cs="Arial"/>
          <w:sz w:val="24"/>
          <w:szCs w:val="24"/>
          <w:lang w:val="en-US" w:eastAsia="en-ZA"/>
        </w:rPr>
        <w:t xml:space="preserve">adverse </w:t>
      </w:r>
      <w:r w:rsidR="009E6AA9" w:rsidRPr="004C59B4">
        <w:rPr>
          <w:rFonts w:ascii="Arial" w:eastAsia="Times New Roman" w:hAnsi="Arial" w:cs="Arial"/>
          <w:sz w:val="24"/>
          <w:szCs w:val="24"/>
          <w:lang w:val="en-US" w:eastAsia="en-ZA"/>
        </w:rPr>
        <w:t xml:space="preserve">credibility findings against Mr Hoffmann. </w:t>
      </w:r>
      <w:r w:rsidR="00DF5C64" w:rsidRPr="004C59B4">
        <w:rPr>
          <w:rFonts w:ascii="Arial" w:eastAsia="Times New Roman" w:hAnsi="Arial" w:cs="Arial"/>
          <w:sz w:val="24"/>
          <w:szCs w:val="24"/>
          <w:lang w:val="en-US" w:eastAsia="en-ZA"/>
        </w:rPr>
        <w:t xml:space="preserve">It accordingly granted judgment in favour of Imbuko. </w:t>
      </w:r>
      <w:r w:rsidR="00962029" w:rsidRPr="004C59B4">
        <w:rPr>
          <w:rFonts w:ascii="Arial" w:eastAsia="Times New Roman" w:hAnsi="Arial" w:cs="Arial"/>
          <w:sz w:val="24"/>
          <w:szCs w:val="24"/>
          <w:lang w:val="en-US" w:eastAsia="en-ZA"/>
        </w:rPr>
        <w:t xml:space="preserve">As mentioned already, on appeal, </w:t>
      </w:r>
      <w:r w:rsidR="00DF5C64" w:rsidRPr="004C59B4">
        <w:rPr>
          <w:rFonts w:ascii="Arial" w:eastAsia="Times New Roman" w:hAnsi="Arial" w:cs="Arial"/>
          <w:sz w:val="24"/>
          <w:szCs w:val="24"/>
          <w:lang w:val="en-US" w:eastAsia="en-ZA"/>
        </w:rPr>
        <w:t xml:space="preserve">the majority of the full court </w:t>
      </w:r>
      <w:r w:rsidR="00962029" w:rsidRPr="004C59B4">
        <w:rPr>
          <w:rFonts w:ascii="Arial" w:eastAsia="Times New Roman" w:hAnsi="Arial" w:cs="Arial"/>
          <w:sz w:val="24"/>
          <w:szCs w:val="24"/>
          <w:lang w:val="en-US" w:eastAsia="en-ZA"/>
        </w:rPr>
        <w:t xml:space="preserve">arrived </w:t>
      </w:r>
      <w:r w:rsidR="00FD175C" w:rsidRPr="004C59B4">
        <w:rPr>
          <w:rFonts w:ascii="Arial" w:eastAsia="Times New Roman" w:hAnsi="Arial" w:cs="Arial"/>
          <w:sz w:val="24"/>
          <w:szCs w:val="24"/>
          <w:lang w:val="en-US" w:eastAsia="en-ZA"/>
        </w:rPr>
        <w:t>at</w:t>
      </w:r>
      <w:r w:rsidR="00962029" w:rsidRPr="004C59B4">
        <w:rPr>
          <w:rFonts w:ascii="Arial" w:eastAsia="Times New Roman" w:hAnsi="Arial" w:cs="Arial"/>
          <w:sz w:val="24"/>
          <w:szCs w:val="24"/>
          <w:lang w:val="en-US" w:eastAsia="en-ZA"/>
        </w:rPr>
        <w:t xml:space="preserve"> </w:t>
      </w:r>
      <w:r w:rsidR="00DF5C64" w:rsidRPr="004C59B4">
        <w:rPr>
          <w:rFonts w:ascii="Arial" w:eastAsia="Times New Roman" w:hAnsi="Arial" w:cs="Arial"/>
          <w:sz w:val="24"/>
          <w:szCs w:val="24"/>
          <w:lang w:val="en-US" w:eastAsia="en-ZA"/>
        </w:rPr>
        <w:t xml:space="preserve">a different </w:t>
      </w:r>
      <w:r w:rsidR="00962029" w:rsidRPr="004C59B4">
        <w:rPr>
          <w:rFonts w:ascii="Arial" w:eastAsia="Times New Roman" w:hAnsi="Arial" w:cs="Arial"/>
          <w:sz w:val="24"/>
          <w:szCs w:val="24"/>
          <w:lang w:val="en-US" w:eastAsia="en-ZA"/>
        </w:rPr>
        <w:t>conclusion</w:t>
      </w:r>
      <w:r w:rsidR="00DF5C64" w:rsidRPr="004C59B4">
        <w:rPr>
          <w:rFonts w:ascii="Arial" w:eastAsia="Times New Roman" w:hAnsi="Arial" w:cs="Arial"/>
          <w:sz w:val="24"/>
          <w:szCs w:val="24"/>
          <w:lang w:val="en-US" w:eastAsia="en-ZA"/>
        </w:rPr>
        <w:t xml:space="preserve">. On the existence of the cession, </w:t>
      </w:r>
      <w:r w:rsidR="00962029" w:rsidRPr="004C59B4">
        <w:rPr>
          <w:rFonts w:ascii="Arial" w:eastAsia="Times New Roman" w:hAnsi="Arial" w:cs="Arial"/>
          <w:sz w:val="24"/>
          <w:szCs w:val="24"/>
          <w:lang w:val="en-US" w:eastAsia="en-ZA"/>
        </w:rPr>
        <w:t>the majority (</w:t>
      </w:r>
      <w:r w:rsidR="00DF5C64" w:rsidRPr="004C59B4">
        <w:rPr>
          <w:rFonts w:ascii="Arial" w:eastAsia="Times New Roman" w:hAnsi="Arial" w:cs="Arial"/>
          <w:sz w:val="24"/>
          <w:szCs w:val="24"/>
          <w:lang w:val="en-US" w:eastAsia="en-ZA"/>
        </w:rPr>
        <w:t xml:space="preserve">Siwendu J with Windell J concurring) concluded that </w:t>
      </w:r>
      <w:r w:rsidR="00962029" w:rsidRPr="004C59B4">
        <w:rPr>
          <w:rFonts w:ascii="Arial" w:eastAsia="Times New Roman" w:hAnsi="Arial" w:cs="Arial"/>
          <w:sz w:val="24"/>
          <w:szCs w:val="24"/>
          <w:lang w:val="en-US" w:eastAsia="en-ZA"/>
        </w:rPr>
        <w:t xml:space="preserve">the evidence did not sufficiently establish a cession, but at best, a tripartite arrangement. In this regard, the majority found that </w:t>
      </w:r>
      <w:r w:rsidR="00DF5C64" w:rsidRPr="004C59B4">
        <w:rPr>
          <w:rFonts w:ascii="Arial" w:eastAsia="Times New Roman" w:hAnsi="Arial" w:cs="Arial"/>
          <w:sz w:val="24"/>
          <w:szCs w:val="24"/>
          <w:lang w:val="en-US" w:eastAsia="en-ZA"/>
        </w:rPr>
        <w:t xml:space="preserve">the failure to call Dr Singh to confirm the cession was fatal to </w:t>
      </w:r>
      <w:r w:rsidR="009E6AA9" w:rsidRPr="004C59B4">
        <w:rPr>
          <w:rFonts w:ascii="Arial" w:eastAsia="Times New Roman" w:hAnsi="Arial" w:cs="Arial"/>
          <w:sz w:val="24"/>
          <w:szCs w:val="24"/>
          <w:lang w:val="en-US" w:eastAsia="en-ZA"/>
        </w:rPr>
        <w:t>Imbuko’s case. It also found that the cession (if established) was not brought to the knowledge of Reference Audio.</w:t>
      </w:r>
      <w:r w:rsidR="00662726" w:rsidRPr="004C59B4">
        <w:rPr>
          <w:rFonts w:ascii="Arial" w:eastAsia="Times New Roman" w:hAnsi="Arial" w:cs="Arial"/>
          <w:sz w:val="24"/>
          <w:szCs w:val="24"/>
          <w:lang w:val="en-US" w:eastAsia="en-ZA"/>
        </w:rPr>
        <w:t xml:space="preserve"> Consequently, the majority reversed the order of the high court. The minority (Keightley J) would have dismissed the appeal.</w:t>
      </w:r>
    </w:p>
    <w:p w14:paraId="6BA07ABF" w14:textId="62BD25EA" w:rsidR="001F097C" w:rsidRPr="004C59B4" w:rsidRDefault="001F097C" w:rsidP="00DD6FF8">
      <w:pPr>
        <w:shd w:val="clear" w:color="auto" w:fill="FFFFFF"/>
        <w:spacing w:before="120" w:after="720"/>
        <w:contextualSpacing/>
        <w:rPr>
          <w:rFonts w:ascii="Arial" w:eastAsia="Times New Roman" w:hAnsi="Arial" w:cs="Arial"/>
          <w:b/>
          <w:bCs/>
          <w:sz w:val="24"/>
          <w:szCs w:val="24"/>
          <w:lang w:val="en-US" w:eastAsia="en-ZA"/>
        </w:rPr>
      </w:pPr>
    </w:p>
    <w:p w14:paraId="3C5E3B7B" w14:textId="15B44082" w:rsidR="000C0EBB" w:rsidRPr="004C59B4" w:rsidRDefault="00B25988" w:rsidP="00B25988">
      <w:pPr>
        <w:numPr>
          <w:ilvl w:val="0"/>
          <w:numId w:val="1"/>
        </w:numPr>
        <w:shd w:val="clear" w:color="auto" w:fill="FFFFFF"/>
        <w:spacing w:before="120" w:after="720"/>
        <w:ind w:left="0" w:firstLine="0"/>
        <w:contextualSpacing/>
        <w:rPr>
          <w:rFonts w:ascii="Arial" w:hAnsi="Arial" w:cs="Arial"/>
        </w:rPr>
      </w:pPr>
      <w:r w:rsidRPr="004C59B4">
        <w:rPr>
          <w:rFonts w:ascii="Arial" w:hAnsi="Arial" w:cs="Arial"/>
          <w:sz w:val="24"/>
          <w:szCs w:val="24"/>
        </w:rPr>
        <w:t>As was the case before the high court and the full court, t</w:t>
      </w:r>
      <w:r w:rsidR="00422003" w:rsidRPr="004C59B4">
        <w:rPr>
          <w:rFonts w:ascii="Arial" w:hAnsi="Arial" w:cs="Arial"/>
          <w:sz w:val="24"/>
          <w:szCs w:val="24"/>
        </w:rPr>
        <w:t xml:space="preserve">here </w:t>
      </w:r>
      <w:r w:rsidRPr="004C59B4">
        <w:rPr>
          <w:rFonts w:ascii="Arial" w:hAnsi="Arial" w:cs="Arial"/>
          <w:sz w:val="24"/>
          <w:szCs w:val="24"/>
        </w:rPr>
        <w:t xml:space="preserve">are </w:t>
      </w:r>
      <w:r w:rsidR="00422003" w:rsidRPr="004C59B4">
        <w:rPr>
          <w:rFonts w:ascii="Arial" w:hAnsi="Arial" w:cs="Arial"/>
          <w:sz w:val="24"/>
          <w:szCs w:val="24"/>
        </w:rPr>
        <w:t>two issues</w:t>
      </w:r>
      <w:r w:rsidR="005D1CDB" w:rsidRPr="004C59B4">
        <w:rPr>
          <w:rFonts w:ascii="Arial" w:hAnsi="Arial" w:cs="Arial"/>
          <w:sz w:val="24"/>
          <w:szCs w:val="24"/>
        </w:rPr>
        <w:t xml:space="preserve"> </w:t>
      </w:r>
      <w:r w:rsidR="00DB7308" w:rsidRPr="004C59B4">
        <w:rPr>
          <w:rFonts w:ascii="Arial" w:hAnsi="Arial" w:cs="Arial"/>
          <w:sz w:val="24"/>
          <w:szCs w:val="24"/>
        </w:rPr>
        <w:t xml:space="preserve">for determination </w:t>
      </w:r>
      <w:r w:rsidR="005D1CDB" w:rsidRPr="004C59B4">
        <w:rPr>
          <w:rFonts w:ascii="Arial" w:hAnsi="Arial" w:cs="Arial"/>
          <w:sz w:val="24"/>
          <w:szCs w:val="24"/>
        </w:rPr>
        <w:t>in this Court</w:t>
      </w:r>
      <w:r w:rsidRPr="004C59B4">
        <w:rPr>
          <w:rFonts w:ascii="Arial" w:hAnsi="Arial" w:cs="Arial"/>
          <w:sz w:val="24"/>
          <w:szCs w:val="24"/>
        </w:rPr>
        <w:t>.</w:t>
      </w:r>
      <w:r w:rsidR="00422003" w:rsidRPr="004C59B4">
        <w:rPr>
          <w:rFonts w:ascii="Arial" w:hAnsi="Arial" w:cs="Arial"/>
          <w:sz w:val="24"/>
          <w:szCs w:val="24"/>
        </w:rPr>
        <w:t xml:space="preserve"> </w:t>
      </w:r>
      <w:r w:rsidR="0073488E" w:rsidRPr="004C59B4">
        <w:rPr>
          <w:rFonts w:ascii="Arial" w:hAnsi="Arial" w:cs="Arial"/>
          <w:sz w:val="24"/>
          <w:szCs w:val="24"/>
        </w:rPr>
        <w:t xml:space="preserve">First, </w:t>
      </w:r>
      <w:r w:rsidR="00422003" w:rsidRPr="004C59B4">
        <w:rPr>
          <w:rFonts w:ascii="Arial" w:hAnsi="Arial" w:cs="Arial"/>
          <w:sz w:val="24"/>
          <w:szCs w:val="24"/>
        </w:rPr>
        <w:t>the existence of a cession between Dipole and Imbuko</w:t>
      </w:r>
      <w:r w:rsidR="006A7A92">
        <w:rPr>
          <w:rFonts w:ascii="Arial" w:hAnsi="Arial" w:cs="Arial"/>
          <w:sz w:val="24"/>
          <w:szCs w:val="24"/>
        </w:rPr>
        <w:t>.</w:t>
      </w:r>
      <w:r w:rsidR="00877BC6" w:rsidRPr="004C59B4">
        <w:rPr>
          <w:rFonts w:ascii="Arial" w:hAnsi="Arial" w:cs="Arial"/>
          <w:sz w:val="24"/>
          <w:szCs w:val="24"/>
        </w:rPr>
        <w:t xml:space="preserve"> </w:t>
      </w:r>
      <w:r w:rsidR="0073488E" w:rsidRPr="004C59B4">
        <w:rPr>
          <w:rFonts w:ascii="Arial" w:hAnsi="Arial" w:cs="Arial"/>
          <w:sz w:val="24"/>
          <w:szCs w:val="24"/>
        </w:rPr>
        <w:t>Second,</w:t>
      </w:r>
      <w:r w:rsidR="00422003" w:rsidRPr="004C59B4">
        <w:rPr>
          <w:rFonts w:ascii="Arial" w:hAnsi="Arial" w:cs="Arial"/>
          <w:sz w:val="24"/>
          <w:szCs w:val="24"/>
        </w:rPr>
        <w:t xml:space="preserve"> whether Reference Audio had </w:t>
      </w:r>
      <w:r w:rsidR="0073488E" w:rsidRPr="004C59B4">
        <w:rPr>
          <w:rFonts w:ascii="Arial" w:hAnsi="Arial" w:cs="Arial"/>
          <w:sz w:val="24"/>
          <w:szCs w:val="24"/>
        </w:rPr>
        <w:t xml:space="preserve">discharged its obligation to Dipole by </w:t>
      </w:r>
      <w:r w:rsidR="00422003" w:rsidRPr="004C59B4">
        <w:rPr>
          <w:rFonts w:ascii="Arial" w:hAnsi="Arial" w:cs="Arial"/>
          <w:sz w:val="24"/>
          <w:szCs w:val="24"/>
        </w:rPr>
        <w:t>pa</w:t>
      </w:r>
      <w:r w:rsidR="0073488E" w:rsidRPr="004C59B4">
        <w:rPr>
          <w:rFonts w:ascii="Arial" w:hAnsi="Arial" w:cs="Arial"/>
          <w:sz w:val="24"/>
          <w:szCs w:val="24"/>
        </w:rPr>
        <w:t xml:space="preserve">ying </w:t>
      </w:r>
      <w:r w:rsidR="00422003" w:rsidRPr="004C59B4">
        <w:rPr>
          <w:rFonts w:ascii="Arial" w:hAnsi="Arial" w:cs="Arial"/>
          <w:sz w:val="24"/>
          <w:szCs w:val="24"/>
        </w:rPr>
        <w:t xml:space="preserve">what </w:t>
      </w:r>
      <w:r w:rsidR="0073488E" w:rsidRPr="004C59B4">
        <w:rPr>
          <w:rFonts w:ascii="Arial" w:hAnsi="Arial" w:cs="Arial"/>
          <w:sz w:val="24"/>
          <w:szCs w:val="24"/>
        </w:rPr>
        <w:t>it owed</w:t>
      </w:r>
      <w:r w:rsidR="00422003" w:rsidRPr="004C59B4">
        <w:rPr>
          <w:rFonts w:ascii="Arial" w:hAnsi="Arial" w:cs="Arial"/>
          <w:sz w:val="24"/>
          <w:szCs w:val="24"/>
        </w:rPr>
        <w:t xml:space="preserve">. </w:t>
      </w:r>
    </w:p>
    <w:p w14:paraId="53A0FED0" w14:textId="77777777" w:rsidR="00B25988" w:rsidRPr="004C59B4" w:rsidRDefault="00B25988" w:rsidP="00D260CA">
      <w:pPr>
        <w:shd w:val="clear" w:color="auto" w:fill="FFFFFF"/>
        <w:spacing w:before="120" w:after="720"/>
        <w:contextualSpacing/>
        <w:rPr>
          <w:rFonts w:ascii="Arial" w:hAnsi="Arial" w:cs="Arial"/>
        </w:rPr>
      </w:pPr>
    </w:p>
    <w:p w14:paraId="0EA7FF60" w14:textId="171A2E37" w:rsidR="000C0EBB" w:rsidRPr="004C59B4" w:rsidRDefault="00295867" w:rsidP="003200B6">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hAnsi="Arial" w:cs="Arial"/>
          <w:sz w:val="24"/>
          <w:szCs w:val="24"/>
        </w:rPr>
        <w:t xml:space="preserve">With regard to the </w:t>
      </w:r>
      <w:r w:rsidR="005D1CDB" w:rsidRPr="004C59B4">
        <w:rPr>
          <w:rFonts w:ascii="Arial" w:hAnsi="Arial" w:cs="Arial"/>
          <w:sz w:val="24"/>
          <w:szCs w:val="24"/>
        </w:rPr>
        <w:t xml:space="preserve">agreement of </w:t>
      </w:r>
      <w:r w:rsidRPr="004C59B4">
        <w:rPr>
          <w:rFonts w:ascii="Arial" w:hAnsi="Arial" w:cs="Arial"/>
          <w:sz w:val="24"/>
          <w:szCs w:val="24"/>
        </w:rPr>
        <w:t xml:space="preserve">cession, Mr Singh’s testimony about his conversation with Dr Singh in December 2012, </w:t>
      </w:r>
      <w:r w:rsidR="00355AF3" w:rsidRPr="004C59B4">
        <w:rPr>
          <w:rFonts w:ascii="Arial" w:hAnsi="Arial" w:cs="Arial"/>
          <w:sz w:val="24"/>
          <w:szCs w:val="24"/>
        </w:rPr>
        <w:t xml:space="preserve">could not be gainsaid. The only issue was whether the conversation </w:t>
      </w:r>
      <w:r w:rsidR="007D58DB" w:rsidRPr="004C59B4">
        <w:rPr>
          <w:rFonts w:ascii="Arial" w:hAnsi="Arial" w:cs="Arial"/>
          <w:sz w:val="24"/>
          <w:szCs w:val="24"/>
        </w:rPr>
        <w:t>constituted</w:t>
      </w:r>
      <w:r w:rsidR="00355AF3" w:rsidRPr="004C59B4">
        <w:rPr>
          <w:rFonts w:ascii="Arial" w:hAnsi="Arial" w:cs="Arial"/>
          <w:sz w:val="24"/>
          <w:szCs w:val="24"/>
        </w:rPr>
        <w:t xml:space="preserve"> cession of Dipole’s right to claim payment from Reference Audio</w:t>
      </w:r>
      <w:r w:rsidR="007D58DB" w:rsidRPr="004C59B4">
        <w:rPr>
          <w:rFonts w:ascii="Arial" w:hAnsi="Arial" w:cs="Arial"/>
          <w:sz w:val="24"/>
          <w:szCs w:val="24"/>
        </w:rPr>
        <w:t xml:space="preserve">, to Imbuko. To </w:t>
      </w:r>
      <w:r w:rsidR="0073488E" w:rsidRPr="004C59B4">
        <w:rPr>
          <w:rFonts w:ascii="Arial" w:hAnsi="Arial" w:cs="Arial"/>
          <w:sz w:val="24"/>
          <w:szCs w:val="24"/>
        </w:rPr>
        <w:t xml:space="preserve">consider </w:t>
      </w:r>
      <w:r w:rsidR="007D58DB" w:rsidRPr="004C59B4">
        <w:rPr>
          <w:rFonts w:ascii="Arial" w:hAnsi="Arial" w:cs="Arial"/>
          <w:sz w:val="24"/>
          <w:szCs w:val="24"/>
        </w:rPr>
        <w:t>this question, the following broad principles about cession should be borne in mind.</w:t>
      </w:r>
      <w:r w:rsidR="007D58DB" w:rsidRPr="004C59B4">
        <w:rPr>
          <w:rFonts w:ascii="Arial" w:hAnsi="Arial" w:cs="Arial"/>
          <w:i/>
          <w:iCs/>
          <w:sz w:val="24"/>
          <w:szCs w:val="24"/>
        </w:rPr>
        <w:t xml:space="preserve"> </w:t>
      </w:r>
      <w:r w:rsidR="007D58DB" w:rsidRPr="004C59B4">
        <w:rPr>
          <w:rFonts w:ascii="Arial" w:hAnsi="Arial" w:cs="Arial"/>
          <w:sz w:val="24"/>
          <w:szCs w:val="24"/>
          <w:shd w:val="clear" w:color="auto" w:fill="FFFFFF"/>
        </w:rPr>
        <w:t>Cession is a bilateral juristic act whereby a right is transferred by mere agreement between a cedent and a cessionary.</w:t>
      </w:r>
      <w:r w:rsidR="007D58DB" w:rsidRPr="004C59B4">
        <w:rPr>
          <w:rStyle w:val="FootnoteReference"/>
          <w:rFonts w:ascii="Arial" w:hAnsi="Arial" w:cs="Arial"/>
          <w:sz w:val="24"/>
          <w:szCs w:val="24"/>
          <w:shd w:val="clear" w:color="auto" w:fill="FFFFFF"/>
        </w:rPr>
        <w:footnoteReference w:id="1"/>
      </w:r>
      <w:r w:rsidR="007D58DB" w:rsidRPr="004C59B4">
        <w:rPr>
          <w:rFonts w:ascii="Arial" w:hAnsi="Arial" w:cs="Arial"/>
          <w:i/>
          <w:iCs/>
          <w:sz w:val="24"/>
          <w:szCs w:val="24"/>
        </w:rPr>
        <w:t xml:space="preserve"> </w:t>
      </w:r>
      <w:r w:rsidR="009C7307" w:rsidRPr="004C59B4">
        <w:rPr>
          <w:rFonts w:ascii="Arial" w:hAnsi="Arial" w:cs="Arial"/>
          <w:sz w:val="24"/>
          <w:szCs w:val="24"/>
          <w:shd w:val="clear" w:color="auto" w:fill="FFFFFF"/>
        </w:rPr>
        <w:t>Whether the act of cession has been finalised is an issue of fact</w:t>
      </w:r>
      <w:r w:rsidR="00631DEF" w:rsidRPr="004C59B4">
        <w:rPr>
          <w:rFonts w:ascii="Arial" w:hAnsi="Arial" w:cs="Arial"/>
          <w:sz w:val="24"/>
          <w:szCs w:val="24"/>
          <w:shd w:val="clear" w:color="auto" w:fill="FFFFFF"/>
        </w:rPr>
        <w:t xml:space="preserve"> </w:t>
      </w:r>
      <w:r w:rsidR="009C7307" w:rsidRPr="004C59B4">
        <w:rPr>
          <w:rFonts w:ascii="Arial" w:hAnsi="Arial" w:cs="Arial"/>
          <w:sz w:val="24"/>
          <w:szCs w:val="24"/>
          <w:shd w:val="clear" w:color="auto" w:fill="FFFFFF"/>
        </w:rPr>
        <w:t>to be determined on proof of the intention of the parties</w:t>
      </w:r>
      <w:r w:rsidR="009C7307" w:rsidRPr="004C59B4">
        <w:rPr>
          <w:rFonts w:ascii="Arial" w:hAnsi="Arial" w:cs="Arial"/>
          <w:sz w:val="24"/>
          <w:szCs w:val="24"/>
        </w:rPr>
        <w:t>,</w:t>
      </w:r>
      <w:r w:rsidR="009C7307" w:rsidRPr="004C59B4">
        <w:rPr>
          <w:rStyle w:val="FootnoteReference"/>
          <w:rFonts w:ascii="Arial" w:hAnsi="Arial" w:cs="Arial"/>
          <w:sz w:val="24"/>
          <w:szCs w:val="24"/>
        </w:rPr>
        <w:footnoteReference w:id="2"/>
      </w:r>
      <w:r w:rsidR="00631DEF" w:rsidRPr="004C59B4">
        <w:rPr>
          <w:rFonts w:ascii="Arial" w:hAnsi="Arial" w:cs="Arial"/>
          <w:sz w:val="24"/>
          <w:szCs w:val="24"/>
          <w:shd w:val="clear" w:color="auto" w:fill="FFFFFF"/>
        </w:rPr>
        <w:t xml:space="preserve"> </w:t>
      </w:r>
      <w:r w:rsidR="009C7307" w:rsidRPr="004C59B4">
        <w:rPr>
          <w:rFonts w:ascii="Arial" w:hAnsi="Arial" w:cs="Arial"/>
          <w:sz w:val="24"/>
          <w:szCs w:val="24"/>
          <w:shd w:val="clear" w:color="auto" w:fill="FFFFFF"/>
        </w:rPr>
        <w:t>which is</w:t>
      </w:r>
      <w:r w:rsidR="00286510" w:rsidRPr="004C59B4">
        <w:rPr>
          <w:rFonts w:ascii="Arial" w:hAnsi="Arial" w:cs="Arial"/>
          <w:i/>
          <w:iCs/>
          <w:sz w:val="24"/>
          <w:szCs w:val="24"/>
        </w:rPr>
        <w:t xml:space="preserve"> </w:t>
      </w:r>
      <w:r w:rsidR="007D58DB" w:rsidRPr="004C59B4">
        <w:rPr>
          <w:rFonts w:ascii="Arial" w:hAnsi="Arial" w:cs="Arial"/>
          <w:sz w:val="24"/>
          <w:szCs w:val="24"/>
          <w:shd w:val="clear" w:color="auto" w:fill="FFFFFF"/>
        </w:rPr>
        <w:t>to be established on a balance of probabilities.</w:t>
      </w:r>
      <w:r w:rsidR="007D58DB" w:rsidRPr="004C59B4">
        <w:rPr>
          <w:rStyle w:val="FootnoteReference"/>
          <w:rFonts w:ascii="Arial" w:hAnsi="Arial" w:cs="Arial"/>
          <w:sz w:val="24"/>
          <w:szCs w:val="24"/>
          <w:shd w:val="clear" w:color="auto" w:fill="FFFFFF"/>
        </w:rPr>
        <w:footnoteReference w:id="3"/>
      </w:r>
      <w:r w:rsidR="00286510" w:rsidRPr="004C59B4">
        <w:rPr>
          <w:rFonts w:ascii="Arial" w:hAnsi="Arial" w:cs="Arial"/>
          <w:sz w:val="24"/>
          <w:szCs w:val="24"/>
          <w:shd w:val="clear" w:color="auto" w:fill="FFFFFF"/>
        </w:rPr>
        <w:t xml:space="preserve"> </w:t>
      </w:r>
      <w:r w:rsidR="00286510" w:rsidRPr="004C59B4">
        <w:rPr>
          <w:rFonts w:ascii="Arial" w:hAnsi="Arial" w:cs="Arial"/>
          <w:snapToGrid w:val="0"/>
          <w:sz w:val="24"/>
          <w:szCs w:val="24"/>
          <w:lang w:val="en-GB"/>
        </w:rPr>
        <w:t xml:space="preserve">Although it entails a triangle of parties, </w:t>
      </w:r>
      <w:r w:rsidR="002A1D09" w:rsidRPr="004C59B4">
        <w:rPr>
          <w:rFonts w:ascii="Arial" w:hAnsi="Arial" w:cs="Arial"/>
          <w:snapToGrid w:val="0"/>
          <w:sz w:val="24"/>
          <w:szCs w:val="24"/>
          <w:lang w:val="en-GB"/>
        </w:rPr>
        <w:t xml:space="preserve">ie </w:t>
      </w:r>
      <w:r w:rsidR="00286510" w:rsidRPr="004C59B4">
        <w:rPr>
          <w:rFonts w:ascii="Arial" w:hAnsi="Arial" w:cs="Arial"/>
          <w:snapToGrid w:val="0"/>
          <w:sz w:val="24"/>
          <w:szCs w:val="24"/>
          <w:lang w:val="en-GB"/>
        </w:rPr>
        <w:t>the cedent, cessionary and debtor, the cession takes place without the concurrence of the debtor.</w:t>
      </w:r>
      <w:r w:rsidR="00286510" w:rsidRPr="004C59B4">
        <w:rPr>
          <w:rStyle w:val="FootnoteReference"/>
          <w:rFonts w:ascii="Arial" w:hAnsi="Arial" w:cs="Arial"/>
          <w:sz w:val="24"/>
          <w:szCs w:val="24"/>
        </w:rPr>
        <w:footnoteReference w:id="4"/>
      </w:r>
    </w:p>
    <w:p w14:paraId="2EB84652" w14:textId="7BC9E330" w:rsidR="007D58DB" w:rsidRPr="004C59B4" w:rsidRDefault="007D58DB" w:rsidP="000C0EBB">
      <w:pPr>
        <w:shd w:val="clear" w:color="auto" w:fill="FFFFFF"/>
        <w:spacing w:before="120" w:after="720"/>
        <w:contextualSpacing/>
        <w:rPr>
          <w:rFonts w:ascii="Arial" w:hAnsi="Arial" w:cs="Arial"/>
          <w:sz w:val="24"/>
          <w:szCs w:val="24"/>
        </w:rPr>
      </w:pPr>
    </w:p>
    <w:p w14:paraId="17870D55" w14:textId="6BA29045" w:rsidR="007C23A4" w:rsidRPr="004C59B4" w:rsidRDefault="00CF494B" w:rsidP="00460FF5">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hAnsi="Arial" w:cs="Arial"/>
          <w:sz w:val="24"/>
          <w:szCs w:val="24"/>
        </w:rPr>
        <w:t xml:space="preserve">Mr Singh’s evidence should be considered in the context of the relationship between the parties at that stage, especially </w:t>
      </w:r>
      <w:r w:rsidR="002A1D09" w:rsidRPr="004C59B4">
        <w:rPr>
          <w:rFonts w:ascii="Arial" w:hAnsi="Arial" w:cs="Arial"/>
          <w:sz w:val="24"/>
          <w:szCs w:val="24"/>
        </w:rPr>
        <w:t xml:space="preserve">that </w:t>
      </w:r>
      <w:r w:rsidRPr="004C59B4">
        <w:rPr>
          <w:rFonts w:ascii="Arial" w:hAnsi="Arial" w:cs="Arial"/>
          <w:sz w:val="24"/>
          <w:szCs w:val="24"/>
        </w:rPr>
        <w:t>between Dipole and Reference Audio.</w:t>
      </w:r>
      <w:r w:rsidR="00295867" w:rsidRPr="004C59B4">
        <w:rPr>
          <w:rFonts w:ascii="Arial" w:hAnsi="Arial" w:cs="Arial"/>
          <w:sz w:val="24"/>
          <w:szCs w:val="24"/>
        </w:rPr>
        <w:t xml:space="preserve"> As mentioned already,</w:t>
      </w:r>
      <w:r w:rsidRPr="004C59B4">
        <w:rPr>
          <w:rFonts w:ascii="Arial" w:hAnsi="Arial" w:cs="Arial"/>
          <w:sz w:val="24"/>
          <w:szCs w:val="24"/>
        </w:rPr>
        <w:t xml:space="preserve"> both were frustrated with each other – Reference Audio w</w:t>
      </w:r>
      <w:r w:rsidR="00FE4525" w:rsidRPr="004C59B4">
        <w:rPr>
          <w:rFonts w:ascii="Arial" w:hAnsi="Arial" w:cs="Arial"/>
          <w:sz w:val="24"/>
          <w:szCs w:val="24"/>
        </w:rPr>
        <w:t>as</w:t>
      </w:r>
      <w:r w:rsidRPr="004C59B4">
        <w:rPr>
          <w:rFonts w:ascii="Arial" w:hAnsi="Arial" w:cs="Arial"/>
          <w:sz w:val="24"/>
          <w:szCs w:val="24"/>
        </w:rPr>
        <w:t xml:space="preserve"> not receiving invoices for goods purchased, and Dipole</w:t>
      </w:r>
      <w:r w:rsidR="00295867" w:rsidRPr="004C59B4">
        <w:rPr>
          <w:rFonts w:ascii="Arial" w:hAnsi="Arial" w:cs="Arial"/>
          <w:sz w:val="24"/>
          <w:szCs w:val="24"/>
        </w:rPr>
        <w:t xml:space="preserve"> </w:t>
      </w:r>
      <w:r w:rsidRPr="004C59B4">
        <w:rPr>
          <w:rFonts w:ascii="Arial" w:hAnsi="Arial" w:cs="Arial"/>
          <w:sz w:val="24"/>
          <w:szCs w:val="24"/>
        </w:rPr>
        <w:t>w</w:t>
      </w:r>
      <w:r w:rsidR="00940B08" w:rsidRPr="004C59B4">
        <w:rPr>
          <w:rFonts w:ascii="Arial" w:hAnsi="Arial" w:cs="Arial"/>
          <w:sz w:val="24"/>
          <w:szCs w:val="24"/>
        </w:rPr>
        <w:t>as</w:t>
      </w:r>
      <w:r w:rsidRPr="004C59B4">
        <w:rPr>
          <w:rFonts w:ascii="Arial" w:hAnsi="Arial" w:cs="Arial"/>
          <w:sz w:val="24"/>
          <w:szCs w:val="24"/>
        </w:rPr>
        <w:t xml:space="preserve"> not receiving regular payments. </w:t>
      </w:r>
      <w:r w:rsidR="00C220DE" w:rsidRPr="004C59B4">
        <w:rPr>
          <w:rFonts w:ascii="Arial" w:hAnsi="Arial" w:cs="Arial"/>
          <w:sz w:val="24"/>
          <w:szCs w:val="24"/>
        </w:rPr>
        <w:t>Viewed in this light, it</w:t>
      </w:r>
      <w:r w:rsidR="00C220DE" w:rsidRPr="004C59B4">
        <w:rPr>
          <w:rFonts w:ascii="Arial" w:eastAsia="Times New Roman" w:hAnsi="Arial" w:cs="Arial"/>
          <w:sz w:val="24"/>
          <w:szCs w:val="24"/>
          <w:lang w:val="en-US" w:eastAsia="en-ZA"/>
        </w:rPr>
        <w:t xml:space="preserve"> is clear that a cession would have been beneficial to both Dipole and </w:t>
      </w:r>
      <w:bookmarkStart w:id="21" w:name="_Hlk107368345"/>
      <w:r w:rsidR="00C220DE" w:rsidRPr="004C59B4">
        <w:rPr>
          <w:rFonts w:ascii="Arial" w:eastAsia="Times New Roman" w:hAnsi="Arial" w:cs="Arial"/>
          <w:sz w:val="24"/>
          <w:szCs w:val="24"/>
          <w:lang w:val="en-US" w:eastAsia="en-ZA"/>
        </w:rPr>
        <w:t>Reference Audio</w:t>
      </w:r>
      <w:bookmarkEnd w:id="21"/>
      <w:r w:rsidR="00C220DE" w:rsidRPr="004C59B4">
        <w:rPr>
          <w:rFonts w:ascii="Arial" w:eastAsia="Times New Roman" w:hAnsi="Arial" w:cs="Arial"/>
          <w:sz w:val="24"/>
          <w:szCs w:val="24"/>
          <w:lang w:val="en-US" w:eastAsia="en-ZA"/>
        </w:rPr>
        <w:t>. The interposition of Imbuko as the party to issue the invoices, and to whom payment was to be made, alleviated the problem which Dipole and Reference Audio had</w:t>
      </w:r>
      <w:r w:rsidR="00A879F5" w:rsidRPr="004C59B4">
        <w:rPr>
          <w:rFonts w:ascii="Arial" w:eastAsia="Times New Roman" w:hAnsi="Arial" w:cs="Arial"/>
          <w:sz w:val="24"/>
          <w:szCs w:val="24"/>
          <w:lang w:val="en-US" w:eastAsia="en-ZA"/>
        </w:rPr>
        <w:t>,</w:t>
      </w:r>
      <w:r w:rsidR="00C220DE" w:rsidRPr="004C59B4">
        <w:rPr>
          <w:rFonts w:ascii="Arial" w:eastAsia="Times New Roman" w:hAnsi="Arial" w:cs="Arial"/>
          <w:sz w:val="24"/>
          <w:szCs w:val="24"/>
          <w:lang w:val="en-US" w:eastAsia="en-ZA"/>
        </w:rPr>
        <w:t xml:space="preserve"> vis-à-vis each other</w:t>
      </w:r>
      <w:r w:rsidR="00C220DE" w:rsidRPr="004C59B4">
        <w:rPr>
          <w:rFonts w:ascii="Arial" w:hAnsi="Arial" w:cs="Arial"/>
          <w:sz w:val="24"/>
          <w:szCs w:val="24"/>
        </w:rPr>
        <w:t>.</w:t>
      </w:r>
    </w:p>
    <w:p w14:paraId="331725FC" w14:textId="77777777" w:rsidR="007C23A4" w:rsidRPr="004C59B4" w:rsidRDefault="007C23A4" w:rsidP="00D260CA">
      <w:pPr>
        <w:rPr>
          <w:rFonts w:ascii="Arial" w:hAnsi="Arial" w:cs="Arial"/>
          <w:sz w:val="24"/>
          <w:szCs w:val="24"/>
        </w:rPr>
      </w:pPr>
    </w:p>
    <w:p w14:paraId="765CCB1F" w14:textId="5F58006E" w:rsidR="0099711D" w:rsidRPr="004C59B4" w:rsidRDefault="007C23A4" w:rsidP="00D260CA">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eastAsia="Times New Roman" w:hAnsi="Arial" w:cs="Arial"/>
          <w:sz w:val="24"/>
          <w:szCs w:val="24"/>
          <w:lang w:val="en-US" w:eastAsia="en-ZA"/>
        </w:rPr>
        <w:t xml:space="preserve">To my mind, </w:t>
      </w:r>
      <w:r w:rsidR="0080078C" w:rsidRPr="004C59B4">
        <w:rPr>
          <w:rFonts w:ascii="Arial" w:eastAsia="Times New Roman" w:hAnsi="Arial" w:cs="Arial"/>
          <w:sz w:val="24"/>
          <w:szCs w:val="24"/>
          <w:lang w:val="en-US" w:eastAsia="en-ZA"/>
        </w:rPr>
        <w:t xml:space="preserve">the high court correctly accepted </w:t>
      </w:r>
      <w:r w:rsidR="00384D31" w:rsidRPr="004C59B4">
        <w:rPr>
          <w:rFonts w:ascii="Arial" w:eastAsia="Times New Roman" w:hAnsi="Arial" w:cs="Arial"/>
          <w:sz w:val="24"/>
          <w:szCs w:val="24"/>
          <w:lang w:val="en-US" w:eastAsia="en-ZA"/>
        </w:rPr>
        <w:t>that Imbuko had</w:t>
      </w:r>
      <w:r w:rsidR="00645AF2" w:rsidRPr="004C59B4">
        <w:rPr>
          <w:rFonts w:ascii="Arial" w:eastAsia="Times New Roman" w:hAnsi="Arial" w:cs="Arial"/>
          <w:sz w:val="24"/>
          <w:szCs w:val="24"/>
          <w:lang w:val="en-US" w:eastAsia="en-ZA"/>
        </w:rPr>
        <w:t xml:space="preserve"> established a valid cession</w:t>
      </w:r>
      <w:r w:rsidR="00460FF5" w:rsidRPr="004C59B4">
        <w:rPr>
          <w:rFonts w:ascii="Arial" w:eastAsia="Times New Roman" w:hAnsi="Arial" w:cs="Arial"/>
          <w:sz w:val="24"/>
          <w:szCs w:val="24"/>
          <w:lang w:val="en-US" w:eastAsia="en-ZA"/>
        </w:rPr>
        <w:t xml:space="preserve"> on a balance of probabilities</w:t>
      </w:r>
      <w:r w:rsidR="0080078C" w:rsidRPr="004C59B4">
        <w:rPr>
          <w:rFonts w:ascii="Arial" w:eastAsia="Times New Roman" w:hAnsi="Arial" w:cs="Arial"/>
          <w:sz w:val="24"/>
          <w:szCs w:val="24"/>
          <w:lang w:val="en-US" w:eastAsia="en-ZA"/>
        </w:rPr>
        <w:t xml:space="preserve">. The </w:t>
      </w:r>
      <w:r w:rsidR="002A1D09" w:rsidRPr="004C59B4">
        <w:rPr>
          <w:rFonts w:ascii="Arial" w:eastAsia="Times New Roman" w:hAnsi="Arial" w:cs="Arial"/>
          <w:sz w:val="24"/>
          <w:szCs w:val="24"/>
          <w:lang w:val="en-US" w:eastAsia="en-ZA"/>
        </w:rPr>
        <w:t xml:space="preserve">decision </w:t>
      </w:r>
      <w:r w:rsidR="00A879F5" w:rsidRPr="004C59B4">
        <w:rPr>
          <w:rFonts w:ascii="Arial" w:eastAsia="Times New Roman" w:hAnsi="Arial" w:cs="Arial"/>
          <w:sz w:val="24"/>
          <w:szCs w:val="24"/>
          <w:lang w:val="en-US" w:eastAsia="en-ZA"/>
        </w:rPr>
        <w:t xml:space="preserve">by the majority of the full court </w:t>
      </w:r>
      <w:r w:rsidR="000220AC" w:rsidRPr="004C59B4">
        <w:rPr>
          <w:rFonts w:ascii="Arial" w:eastAsia="Times New Roman" w:hAnsi="Arial" w:cs="Arial"/>
          <w:sz w:val="24"/>
          <w:szCs w:val="24"/>
          <w:lang w:val="en-US" w:eastAsia="en-ZA"/>
        </w:rPr>
        <w:t>to non-suit</w:t>
      </w:r>
      <w:r w:rsidR="0080078C" w:rsidRPr="004C59B4">
        <w:rPr>
          <w:rFonts w:ascii="Arial" w:eastAsia="Times New Roman" w:hAnsi="Arial" w:cs="Arial"/>
          <w:sz w:val="24"/>
          <w:szCs w:val="24"/>
          <w:lang w:val="en-US" w:eastAsia="en-ZA"/>
        </w:rPr>
        <w:t xml:space="preserve"> </w:t>
      </w:r>
      <w:r w:rsidR="000220AC" w:rsidRPr="004C59B4">
        <w:rPr>
          <w:rFonts w:ascii="Arial" w:eastAsia="Times New Roman" w:hAnsi="Arial" w:cs="Arial"/>
          <w:sz w:val="24"/>
          <w:szCs w:val="24"/>
          <w:lang w:val="en-US" w:eastAsia="en-ZA"/>
        </w:rPr>
        <w:t xml:space="preserve">Imbuko </w:t>
      </w:r>
      <w:r w:rsidR="0080078C" w:rsidRPr="004C59B4">
        <w:rPr>
          <w:rFonts w:ascii="Arial" w:eastAsia="Times New Roman" w:hAnsi="Arial" w:cs="Arial"/>
          <w:sz w:val="24"/>
          <w:szCs w:val="24"/>
          <w:lang w:val="en-US" w:eastAsia="en-ZA"/>
        </w:rPr>
        <w:t>because Dr Singh was not called to confirm</w:t>
      </w:r>
      <w:r w:rsidR="00A879F5" w:rsidRPr="004C59B4">
        <w:rPr>
          <w:rFonts w:ascii="Arial" w:eastAsia="Times New Roman" w:hAnsi="Arial" w:cs="Arial"/>
          <w:sz w:val="24"/>
          <w:szCs w:val="24"/>
          <w:lang w:val="en-US" w:eastAsia="en-ZA"/>
        </w:rPr>
        <w:t xml:space="preserve"> the cession</w:t>
      </w:r>
      <w:r w:rsidR="0080078C" w:rsidRPr="004C59B4">
        <w:rPr>
          <w:rFonts w:ascii="Arial" w:eastAsia="Times New Roman" w:hAnsi="Arial" w:cs="Arial"/>
          <w:sz w:val="24"/>
          <w:szCs w:val="24"/>
          <w:lang w:val="en-US" w:eastAsia="en-ZA"/>
        </w:rPr>
        <w:t xml:space="preserve"> on behalf of Dipole, </w:t>
      </w:r>
      <w:r w:rsidR="00A879F5" w:rsidRPr="004C59B4">
        <w:rPr>
          <w:rFonts w:ascii="Arial" w:eastAsia="Times New Roman" w:hAnsi="Arial" w:cs="Arial"/>
          <w:sz w:val="24"/>
          <w:szCs w:val="24"/>
          <w:lang w:val="en-US" w:eastAsia="en-ZA"/>
        </w:rPr>
        <w:t>cannot be supported</w:t>
      </w:r>
      <w:r w:rsidR="005B29A6" w:rsidRPr="004C59B4">
        <w:rPr>
          <w:rFonts w:ascii="Arial" w:eastAsia="Times New Roman" w:hAnsi="Arial" w:cs="Arial"/>
          <w:sz w:val="24"/>
          <w:szCs w:val="24"/>
          <w:lang w:val="en-US" w:eastAsia="en-ZA"/>
        </w:rPr>
        <w:t xml:space="preserve">, especially given that the threshold to establish cession is not </w:t>
      </w:r>
      <w:r w:rsidR="00384D31" w:rsidRPr="004C59B4">
        <w:rPr>
          <w:rFonts w:ascii="Arial" w:eastAsia="Times New Roman" w:hAnsi="Arial" w:cs="Arial"/>
          <w:sz w:val="24"/>
          <w:szCs w:val="24"/>
          <w:lang w:val="en-US" w:eastAsia="en-ZA"/>
        </w:rPr>
        <w:t>stringent</w:t>
      </w:r>
      <w:r w:rsidR="005B29A6" w:rsidRPr="004C59B4">
        <w:rPr>
          <w:rFonts w:ascii="Arial" w:eastAsia="Times New Roman" w:hAnsi="Arial" w:cs="Arial"/>
          <w:sz w:val="24"/>
          <w:szCs w:val="24"/>
          <w:lang w:val="en-US" w:eastAsia="en-ZA"/>
        </w:rPr>
        <w:t>.</w:t>
      </w:r>
      <w:r w:rsidR="005B29A6" w:rsidRPr="004C59B4">
        <w:rPr>
          <w:rFonts w:ascii="Arial" w:hAnsi="Arial" w:cs="Arial"/>
          <w:sz w:val="24"/>
          <w:szCs w:val="24"/>
          <w:shd w:val="clear" w:color="auto" w:fill="FFFFFF"/>
        </w:rPr>
        <w:t xml:space="preserve"> An act of cession may be entered into orally or tacitly or by conduct.</w:t>
      </w:r>
      <w:r w:rsidR="00384D31" w:rsidRPr="004C59B4">
        <w:rPr>
          <w:rStyle w:val="FootnoteReference"/>
          <w:rFonts w:ascii="Arial" w:hAnsi="Arial" w:cs="Arial"/>
          <w:sz w:val="24"/>
          <w:szCs w:val="24"/>
        </w:rPr>
        <w:footnoteReference w:id="5"/>
      </w:r>
      <w:r w:rsidR="005B29A6" w:rsidRPr="004C59B4">
        <w:rPr>
          <w:rFonts w:ascii="Arial" w:hAnsi="Arial" w:cs="Arial"/>
          <w:sz w:val="24"/>
          <w:szCs w:val="24"/>
          <w:shd w:val="clear" w:color="auto" w:fill="FFFFFF"/>
        </w:rPr>
        <w:t xml:space="preserve"> The conduct of Dipole and Imbuko after December 20</w:t>
      </w:r>
      <w:r w:rsidR="00384D31" w:rsidRPr="004C59B4">
        <w:rPr>
          <w:rFonts w:ascii="Arial" w:hAnsi="Arial" w:cs="Arial"/>
          <w:sz w:val="24"/>
          <w:szCs w:val="24"/>
          <w:shd w:val="clear" w:color="auto" w:fill="FFFFFF"/>
        </w:rPr>
        <w:t>12</w:t>
      </w:r>
      <w:r w:rsidR="005B29A6" w:rsidRPr="004C59B4">
        <w:rPr>
          <w:rFonts w:ascii="Arial" w:hAnsi="Arial" w:cs="Arial"/>
          <w:sz w:val="24"/>
          <w:szCs w:val="24"/>
          <w:shd w:val="clear" w:color="auto" w:fill="FFFFFF"/>
        </w:rPr>
        <w:t xml:space="preserve"> points to </w:t>
      </w:r>
      <w:r w:rsidR="00DB7308" w:rsidRPr="004C59B4">
        <w:rPr>
          <w:rFonts w:ascii="Arial" w:hAnsi="Arial" w:cs="Arial"/>
          <w:sz w:val="24"/>
          <w:szCs w:val="24"/>
          <w:shd w:val="clear" w:color="auto" w:fill="FFFFFF"/>
        </w:rPr>
        <w:t xml:space="preserve">a </w:t>
      </w:r>
      <w:r w:rsidR="005B29A6" w:rsidRPr="004C59B4">
        <w:rPr>
          <w:rFonts w:ascii="Arial" w:hAnsi="Arial" w:cs="Arial"/>
          <w:sz w:val="24"/>
          <w:szCs w:val="24"/>
          <w:shd w:val="clear" w:color="auto" w:fill="FFFFFF"/>
        </w:rPr>
        <w:t xml:space="preserve">new arrangement in respect of invoices to Reference Audio. </w:t>
      </w:r>
    </w:p>
    <w:p w14:paraId="60E9601E" w14:textId="77777777" w:rsidR="0099711D" w:rsidRPr="004C59B4" w:rsidRDefault="0099711D" w:rsidP="0099711D">
      <w:pPr>
        <w:rPr>
          <w:rFonts w:ascii="Arial" w:hAnsi="Arial" w:cs="Arial"/>
          <w:sz w:val="24"/>
          <w:szCs w:val="24"/>
          <w:shd w:val="clear" w:color="auto" w:fill="FFFFFF"/>
        </w:rPr>
      </w:pPr>
    </w:p>
    <w:p w14:paraId="74CEF5B5" w14:textId="78BFCBFD" w:rsidR="00A879F5" w:rsidRPr="004C59B4" w:rsidRDefault="007C23A4" w:rsidP="00EF2F98">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hAnsi="Arial" w:cs="Arial"/>
          <w:sz w:val="24"/>
          <w:szCs w:val="24"/>
          <w:shd w:val="clear" w:color="auto" w:fill="FFFFFF"/>
        </w:rPr>
        <w:t xml:space="preserve">It is common cause that </w:t>
      </w:r>
      <w:r w:rsidR="005B29A6" w:rsidRPr="004C59B4">
        <w:rPr>
          <w:rFonts w:ascii="Arial" w:hAnsi="Arial" w:cs="Arial"/>
          <w:sz w:val="24"/>
          <w:szCs w:val="24"/>
          <w:shd w:val="clear" w:color="auto" w:fill="FFFFFF"/>
        </w:rPr>
        <w:t>during the relevant period, January</w:t>
      </w:r>
      <w:r w:rsidR="00744B2F" w:rsidRPr="004C59B4">
        <w:rPr>
          <w:rFonts w:ascii="Arial" w:hAnsi="Arial" w:cs="Arial"/>
          <w:sz w:val="24"/>
          <w:szCs w:val="24"/>
          <w:shd w:val="clear" w:color="auto" w:fill="FFFFFF"/>
        </w:rPr>
        <w:t xml:space="preserve"> </w:t>
      </w:r>
      <w:r w:rsidR="005B29A6" w:rsidRPr="004C59B4">
        <w:rPr>
          <w:rFonts w:ascii="Arial" w:hAnsi="Arial" w:cs="Arial"/>
          <w:sz w:val="24"/>
          <w:szCs w:val="24"/>
          <w:shd w:val="clear" w:color="auto" w:fill="FFFFFF"/>
        </w:rPr>
        <w:t>to April 2013,</w:t>
      </w:r>
      <w:r w:rsidRPr="004C59B4">
        <w:rPr>
          <w:rFonts w:ascii="Arial" w:hAnsi="Arial" w:cs="Arial"/>
          <w:sz w:val="24"/>
          <w:szCs w:val="24"/>
          <w:shd w:val="clear" w:color="auto" w:fill="FFFFFF"/>
        </w:rPr>
        <w:t xml:space="preserve"> Reference Audio purchased goods from</w:t>
      </w:r>
      <w:r w:rsidR="005B29A6" w:rsidRPr="004C59B4">
        <w:rPr>
          <w:rFonts w:ascii="Arial" w:hAnsi="Arial" w:cs="Arial"/>
          <w:sz w:val="24"/>
          <w:szCs w:val="24"/>
          <w:shd w:val="clear" w:color="auto" w:fill="FFFFFF"/>
        </w:rPr>
        <w:t xml:space="preserve"> </w:t>
      </w:r>
      <w:r w:rsidRPr="004C59B4">
        <w:rPr>
          <w:rFonts w:ascii="Arial" w:hAnsi="Arial" w:cs="Arial"/>
          <w:sz w:val="24"/>
          <w:szCs w:val="24"/>
          <w:shd w:val="clear" w:color="auto" w:fill="FFFFFF"/>
        </w:rPr>
        <w:t>Dipole. But there is no suggestion that Dipole ever raised invoices against, or demanded payment from, Reference Audio</w:t>
      </w:r>
      <w:r w:rsidR="00BF7E0F" w:rsidRPr="004C59B4">
        <w:rPr>
          <w:rFonts w:ascii="Arial" w:hAnsi="Arial" w:cs="Arial"/>
          <w:sz w:val="24"/>
          <w:szCs w:val="24"/>
          <w:shd w:val="clear" w:color="auto" w:fill="FFFFFF"/>
        </w:rPr>
        <w:t>,</w:t>
      </w:r>
      <w:r w:rsidRPr="004C59B4">
        <w:rPr>
          <w:rFonts w:ascii="Arial" w:hAnsi="Arial" w:cs="Arial"/>
          <w:sz w:val="24"/>
          <w:szCs w:val="24"/>
          <w:shd w:val="clear" w:color="auto" w:fill="FFFFFF"/>
        </w:rPr>
        <w:t xml:space="preserve"> for those goods. The only entity which </w:t>
      </w:r>
      <w:r w:rsidR="00940B08" w:rsidRPr="004C59B4">
        <w:rPr>
          <w:rFonts w:ascii="Arial" w:hAnsi="Arial" w:cs="Arial"/>
          <w:sz w:val="24"/>
          <w:szCs w:val="24"/>
          <w:shd w:val="clear" w:color="auto" w:fill="FFFFFF"/>
        </w:rPr>
        <w:t>claimed the moneys due by raising invoices in respect of the goods sold</w:t>
      </w:r>
      <w:r w:rsidRPr="004C59B4">
        <w:rPr>
          <w:rFonts w:ascii="Arial" w:hAnsi="Arial" w:cs="Arial"/>
          <w:sz w:val="24"/>
          <w:szCs w:val="24"/>
          <w:shd w:val="clear" w:color="auto" w:fill="FFFFFF"/>
        </w:rPr>
        <w:t>, was Imbuko</w:t>
      </w:r>
      <w:r w:rsidR="00940B08" w:rsidRPr="004C59B4">
        <w:rPr>
          <w:rFonts w:ascii="Arial" w:hAnsi="Arial" w:cs="Arial"/>
          <w:sz w:val="24"/>
          <w:szCs w:val="24"/>
          <w:shd w:val="clear" w:color="auto" w:fill="FFFFFF"/>
        </w:rPr>
        <w:t xml:space="preserve"> as per agreement between itself and Dipole</w:t>
      </w:r>
      <w:r w:rsidR="00A408B7" w:rsidRPr="004C59B4">
        <w:rPr>
          <w:rFonts w:ascii="Arial" w:hAnsi="Arial" w:cs="Arial"/>
          <w:sz w:val="24"/>
          <w:szCs w:val="24"/>
          <w:shd w:val="clear" w:color="auto" w:fill="FFFFFF"/>
        </w:rPr>
        <w:t>.</w:t>
      </w:r>
      <w:r w:rsidRPr="004C59B4">
        <w:rPr>
          <w:rFonts w:ascii="Arial" w:hAnsi="Arial" w:cs="Arial"/>
          <w:sz w:val="24"/>
          <w:szCs w:val="24"/>
          <w:shd w:val="clear" w:color="auto" w:fill="FFFFFF"/>
        </w:rPr>
        <w:t xml:space="preserve"> This ineluctably points to </w:t>
      </w:r>
      <w:r w:rsidR="00DB7308" w:rsidRPr="004C59B4">
        <w:rPr>
          <w:rFonts w:ascii="Arial" w:hAnsi="Arial" w:cs="Arial"/>
          <w:sz w:val="24"/>
          <w:szCs w:val="24"/>
          <w:shd w:val="clear" w:color="auto" w:fill="FFFFFF"/>
        </w:rPr>
        <w:t xml:space="preserve">a </w:t>
      </w:r>
      <w:r w:rsidRPr="004C59B4">
        <w:rPr>
          <w:rFonts w:ascii="Arial" w:hAnsi="Arial" w:cs="Arial"/>
          <w:sz w:val="24"/>
          <w:szCs w:val="24"/>
          <w:shd w:val="clear" w:color="auto" w:fill="FFFFFF"/>
        </w:rPr>
        <w:t>cession.</w:t>
      </w:r>
      <w:r w:rsidR="0099711D" w:rsidRPr="004C59B4">
        <w:rPr>
          <w:rFonts w:ascii="Arial" w:hAnsi="Arial" w:cs="Arial"/>
          <w:sz w:val="24"/>
          <w:szCs w:val="24"/>
          <w:shd w:val="clear" w:color="auto" w:fill="FFFFFF"/>
        </w:rPr>
        <w:t xml:space="preserve"> In the light of these objective facts, the evidence of Mr Weyers that there was no cession cannot be correct. Besides, he was not part of the discussion between Mr Singh and Dr Singh in December 2012</w:t>
      </w:r>
      <w:r w:rsidR="00940B08" w:rsidRPr="004C59B4">
        <w:rPr>
          <w:rFonts w:ascii="Arial" w:hAnsi="Arial" w:cs="Arial"/>
          <w:sz w:val="24"/>
          <w:szCs w:val="24"/>
          <w:shd w:val="clear" w:color="auto" w:fill="FFFFFF"/>
        </w:rPr>
        <w:t>. He could therefore</w:t>
      </w:r>
      <w:r w:rsidR="0099711D" w:rsidRPr="004C59B4">
        <w:rPr>
          <w:rFonts w:ascii="Arial" w:hAnsi="Arial" w:cs="Arial"/>
          <w:sz w:val="24"/>
          <w:szCs w:val="24"/>
          <w:shd w:val="clear" w:color="auto" w:fill="FFFFFF"/>
        </w:rPr>
        <w:t xml:space="preserve"> no</w:t>
      </w:r>
      <w:r w:rsidR="00940B08" w:rsidRPr="004C59B4">
        <w:rPr>
          <w:rFonts w:ascii="Arial" w:hAnsi="Arial" w:cs="Arial"/>
          <w:sz w:val="24"/>
          <w:szCs w:val="24"/>
          <w:shd w:val="clear" w:color="auto" w:fill="FFFFFF"/>
        </w:rPr>
        <w:t>t,</w:t>
      </w:r>
      <w:r w:rsidR="0099711D" w:rsidRPr="004C59B4">
        <w:rPr>
          <w:rFonts w:ascii="Arial" w:hAnsi="Arial" w:cs="Arial"/>
          <w:sz w:val="24"/>
          <w:szCs w:val="24"/>
          <w:shd w:val="clear" w:color="auto" w:fill="FFFFFF"/>
        </w:rPr>
        <w:t xml:space="preserve"> like Mr Hoffmann, gainsay that discussion. He provided no meaningful basis for his assertion</w:t>
      </w:r>
      <w:r w:rsidR="00EF2F98" w:rsidRPr="004C59B4">
        <w:rPr>
          <w:rFonts w:ascii="Arial" w:hAnsi="Arial" w:cs="Arial"/>
          <w:sz w:val="24"/>
          <w:szCs w:val="24"/>
          <w:shd w:val="clear" w:color="auto" w:fill="FFFFFF"/>
        </w:rPr>
        <w:t>s</w:t>
      </w:r>
      <w:r w:rsidR="0099711D" w:rsidRPr="004C59B4">
        <w:rPr>
          <w:rFonts w:ascii="Arial" w:hAnsi="Arial" w:cs="Arial"/>
          <w:sz w:val="24"/>
          <w:szCs w:val="24"/>
          <w:shd w:val="clear" w:color="auto" w:fill="FFFFFF"/>
        </w:rPr>
        <w:t xml:space="preserve">. </w:t>
      </w:r>
      <w:r w:rsidR="00EF2F98" w:rsidRPr="004C59B4">
        <w:rPr>
          <w:rFonts w:ascii="Arial" w:hAnsi="Arial" w:cs="Arial"/>
          <w:sz w:val="24"/>
          <w:szCs w:val="24"/>
          <w:shd w:val="clear" w:color="auto" w:fill="FFFFFF"/>
        </w:rPr>
        <w:t>The high court was therefore correct to conclude that Imbuko had established cession on the balance of probabilities.</w:t>
      </w:r>
    </w:p>
    <w:p w14:paraId="227DF17B" w14:textId="77777777" w:rsidR="00032C0C" w:rsidRPr="004C59B4" w:rsidRDefault="00032C0C" w:rsidP="00970BBD">
      <w:pPr>
        <w:shd w:val="clear" w:color="auto" w:fill="FFFFFF"/>
        <w:spacing w:before="120" w:after="720"/>
        <w:contextualSpacing/>
        <w:rPr>
          <w:rFonts w:ascii="Arial" w:hAnsi="Arial" w:cs="Arial"/>
          <w:sz w:val="24"/>
          <w:szCs w:val="24"/>
        </w:rPr>
      </w:pPr>
    </w:p>
    <w:p w14:paraId="29464D3A" w14:textId="195D8F6E" w:rsidR="00A01CF3" w:rsidRPr="00FE0742" w:rsidRDefault="00384D31" w:rsidP="000C0EBB">
      <w:pPr>
        <w:numPr>
          <w:ilvl w:val="0"/>
          <w:numId w:val="1"/>
        </w:numPr>
        <w:shd w:val="clear" w:color="auto" w:fill="FFFFFF"/>
        <w:spacing w:before="120" w:after="840"/>
        <w:ind w:left="0" w:firstLine="0"/>
        <w:contextualSpacing/>
        <w:rPr>
          <w:rFonts w:ascii="Arial" w:hAnsi="Arial" w:cs="Arial"/>
          <w:sz w:val="24"/>
          <w:szCs w:val="24"/>
        </w:rPr>
      </w:pPr>
      <w:r w:rsidRPr="004C59B4">
        <w:rPr>
          <w:rFonts w:ascii="Arial" w:eastAsia="Times New Roman" w:hAnsi="Arial" w:cs="Arial"/>
          <w:sz w:val="24"/>
          <w:szCs w:val="24"/>
          <w:lang w:val="en-US" w:eastAsia="en-ZA"/>
        </w:rPr>
        <w:t>Lastly, on this issue, t</w:t>
      </w:r>
      <w:r w:rsidR="004D1E1F" w:rsidRPr="004C59B4">
        <w:rPr>
          <w:rFonts w:ascii="Arial" w:eastAsia="Times New Roman" w:hAnsi="Arial" w:cs="Arial"/>
          <w:sz w:val="24"/>
          <w:szCs w:val="24"/>
          <w:lang w:val="en-US" w:eastAsia="en-ZA"/>
        </w:rPr>
        <w:t xml:space="preserve">he fact that there was an on-going relationship between Dipole and Reference Audio after the relevant period, does not </w:t>
      </w:r>
      <w:r w:rsidR="001B2B41" w:rsidRPr="004C59B4">
        <w:rPr>
          <w:rFonts w:ascii="Arial" w:eastAsia="Times New Roman" w:hAnsi="Arial" w:cs="Arial"/>
          <w:sz w:val="24"/>
          <w:szCs w:val="24"/>
          <w:lang w:val="en-US" w:eastAsia="en-ZA"/>
        </w:rPr>
        <w:t>d</w:t>
      </w:r>
      <w:r w:rsidR="00032C0C" w:rsidRPr="004C59B4">
        <w:rPr>
          <w:rFonts w:ascii="Arial" w:eastAsia="Times New Roman" w:hAnsi="Arial" w:cs="Arial"/>
          <w:sz w:val="24"/>
          <w:szCs w:val="24"/>
          <w:lang w:val="en-US" w:eastAsia="en-ZA"/>
        </w:rPr>
        <w:t>e</w:t>
      </w:r>
      <w:r w:rsidR="001B2B41" w:rsidRPr="004C59B4">
        <w:rPr>
          <w:rFonts w:ascii="Arial" w:eastAsia="Times New Roman" w:hAnsi="Arial" w:cs="Arial"/>
          <w:sz w:val="24"/>
          <w:szCs w:val="24"/>
          <w:lang w:val="en-US" w:eastAsia="en-ZA"/>
        </w:rPr>
        <w:t xml:space="preserve">tract </w:t>
      </w:r>
      <w:r w:rsidR="00842335" w:rsidRPr="004C59B4">
        <w:rPr>
          <w:rFonts w:ascii="Arial" w:eastAsia="Times New Roman" w:hAnsi="Arial" w:cs="Arial"/>
          <w:sz w:val="24"/>
          <w:szCs w:val="24"/>
          <w:lang w:val="en-US" w:eastAsia="en-ZA"/>
        </w:rPr>
        <w:t xml:space="preserve">from the validity </w:t>
      </w:r>
      <w:r w:rsidR="00842335" w:rsidRPr="004C59B4">
        <w:rPr>
          <w:rFonts w:ascii="Arial" w:eastAsia="Times New Roman" w:hAnsi="Arial" w:cs="Arial"/>
          <w:sz w:val="24"/>
          <w:szCs w:val="24"/>
          <w:lang w:val="en-US" w:eastAsia="en-ZA"/>
        </w:rPr>
        <w:lastRenderedPageBreak/>
        <w:t>of the cession for the period in respect of which invoices were raised by Imbuko against Reference Audio. As Keightly J correctly pointed out in her minority judgment, it was never Imbuko’s case that the cession was indefinite.</w:t>
      </w:r>
    </w:p>
    <w:p w14:paraId="355427C2" w14:textId="77777777" w:rsidR="00FE0742" w:rsidRPr="004C59B4" w:rsidRDefault="00FE0742" w:rsidP="00FE0742">
      <w:pPr>
        <w:shd w:val="clear" w:color="auto" w:fill="FFFFFF"/>
        <w:spacing w:before="120" w:after="840"/>
        <w:contextualSpacing/>
        <w:rPr>
          <w:rFonts w:ascii="Arial" w:hAnsi="Arial" w:cs="Arial"/>
          <w:sz w:val="24"/>
          <w:szCs w:val="24"/>
        </w:rPr>
      </w:pPr>
    </w:p>
    <w:p w14:paraId="5CB15594" w14:textId="77777777" w:rsidR="00FE0742" w:rsidRPr="006A7A92" w:rsidRDefault="00FE0742" w:rsidP="00FE0742">
      <w:pPr>
        <w:numPr>
          <w:ilvl w:val="0"/>
          <w:numId w:val="1"/>
        </w:numPr>
        <w:shd w:val="clear" w:color="auto" w:fill="FFFFFF"/>
        <w:spacing w:before="120" w:after="720"/>
        <w:ind w:left="0" w:firstLine="0"/>
        <w:contextualSpacing/>
        <w:rPr>
          <w:rFonts w:ascii="Arial" w:hAnsi="Arial" w:cs="Arial"/>
          <w:sz w:val="24"/>
          <w:szCs w:val="24"/>
        </w:rPr>
      </w:pPr>
      <w:r w:rsidRPr="006A7A92">
        <w:rPr>
          <w:rFonts w:ascii="Arial" w:eastAsia="Times New Roman" w:hAnsi="Arial" w:cs="Arial"/>
          <w:sz w:val="24"/>
          <w:szCs w:val="24"/>
          <w:lang w:val="en-US" w:eastAsia="en-ZA"/>
        </w:rPr>
        <w:t xml:space="preserve">That brings me to the question whether Reference Audio had knowledge of the cession. This has no bearing on the validity of the cession, as </w:t>
      </w:r>
      <w:r w:rsidRPr="006A7A92">
        <w:rPr>
          <w:rFonts w:ascii="Arial" w:hAnsi="Arial" w:cs="Arial"/>
          <w:bCs/>
          <w:snapToGrid w:val="0"/>
          <w:sz w:val="24"/>
          <w:szCs w:val="24"/>
          <w:lang w:val="en-GB"/>
        </w:rPr>
        <w:t>notice to the debtor is not a prerequisite for the validity thereof. It is ‘but a precaution to pre-empt the debtor from dealing with the cedent to the detriment of the cessionary’.</w:t>
      </w:r>
      <w:r w:rsidRPr="006A7A92">
        <w:rPr>
          <w:rStyle w:val="FootnoteReference"/>
          <w:rFonts w:ascii="Arial" w:hAnsi="Arial" w:cs="Arial"/>
          <w:bCs/>
          <w:sz w:val="24"/>
          <w:szCs w:val="24"/>
        </w:rPr>
        <w:footnoteReference w:id="6"/>
      </w:r>
      <w:r w:rsidRPr="006A7A92">
        <w:rPr>
          <w:rFonts w:ascii="Arial" w:hAnsi="Arial" w:cs="Arial"/>
          <w:bCs/>
          <w:snapToGrid w:val="0"/>
          <w:sz w:val="24"/>
          <w:szCs w:val="24"/>
          <w:lang w:val="en-GB"/>
        </w:rPr>
        <w:t xml:space="preserve">  As explained in </w:t>
      </w:r>
      <w:r w:rsidRPr="006A7A92">
        <w:rPr>
          <w:rFonts w:ascii="Arial" w:hAnsi="Arial" w:cs="Arial"/>
          <w:bCs/>
          <w:i/>
          <w:iCs/>
          <w:sz w:val="24"/>
          <w:szCs w:val="24"/>
        </w:rPr>
        <w:t>Lynn &amp; Main Incorporated v Brits Community Sandworks CC</w:t>
      </w:r>
      <w:r w:rsidRPr="006A7A92">
        <w:rPr>
          <w:rFonts w:ascii="Arial" w:hAnsi="Arial" w:cs="Arial"/>
          <w:bCs/>
          <w:sz w:val="24"/>
          <w:szCs w:val="24"/>
        </w:rPr>
        <w:t> </w:t>
      </w:r>
      <w:r w:rsidRPr="006A7A92">
        <w:rPr>
          <w:rFonts w:ascii="Arial" w:hAnsi="Arial" w:cs="Arial"/>
          <w:bCs/>
          <w:snapToGrid w:val="0"/>
          <w:sz w:val="24"/>
          <w:szCs w:val="24"/>
          <w:lang w:val="en-GB"/>
        </w:rPr>
        <w:t>[2008] ZASCA 100</w:t>
      </w:r>
      <w:r w:rsidRPr="006A7A92">
        <w:rPr>
          <w:rFonts w:ascii="Arial" w:hAnsi="Arial" w:cs="Arial"/>
          <w:bCs/>
          <w:sz w:val="24"/>
          <w:szCs w:val="24"/>
        </w:rPr>
        <w:t>; [2009] 1 All SA 116</w:t>
      </w:r>
      <w:r w:rsidRPr="006A7A92">
        <w:rPr>
          <w:rFonts w:ascii="Arial" w:hAnsi="Arial" w:cs="Arial"/>
          <w:sz w:val="24"/>
          <w:szCs w:val="24"/>
        </w:rPr>
        <w:t xml:space="preserve"> (SCA); 2009 (1) SA 308 (SCA) para 12, a</w:t>
      </w:r>
      <w:r w:rsidRPr="006A7A92">
        <w:rPr>
          <w:rFonts w:ascii="Arial" w:hAnsi="Arial" w:cs="Arial"/>
          <w:sz w:val="24"/>
          <w:szCs w:val="24"/>
          <w:lang w:val="en-GB"/>
        </w:rPr>
        <w:t xml:space="preserve"> cession of rights is ineffective as against a debtor until such time as he or she has knowledge of it and that payment by him or her to the cedent, without knowledge of the cession, renders the debtor immune to a claim by the cessionary.</w:t>
      </w:r>
      <w:r w:rsidRPr="006A7A92">
        <w:rPr>
          <w:rFonts w:ascii="Arial" w:hAnsi="Arial" w:cs="Arial"/>
          <w:b/>
          <w:snapToGrid w:val="0"/>
          <w:sz w:val="24"/>
          <w:szCs w:val="24"/>
          <w:lang w:val="en-GB"/>
        </w:rPr>
        <w:t xml:space="preserve"> </w:t>
      </w:r>
    </w:p>
    <w:p w14:paraId="1A2D0754" w14:textId="77777777" w:rsidR="00FE0742" w:rsidRPr="006A7A92" w:rsidRDefault="00FE0742" w:rsidP="00FE0742">
      <w:pPr>
        <w:shd w:val="clear" w:color="auto" w:fill="FFFFFF"/>
        <w:spacing w:before="120" w:after="720"/>
        <w:contextualSpacing/>
        <w:rPr>
          <w:rFonts w:ascii="Arial" w:hAnsi="Arial" w:cs="Arial"/>
          <w:sz w:val="24"/>
          <w:szCs w:val="24"/>
        </w:rPr>
      </w:pPr>
    </w:p>
    <w:p w14:paraId="4C7EDEF5" w14:textId="77777777" w:rsidR="00FE0742" w:rsidRPr="006A7A92" w:rsidRDefault="00FE0742" w:rsidP="00FE0742">
      <w:pPr>
        <w:numPr>
          <w:ilvl w:val="0"/>
          <w:numId w:val="1"/>
        </w:numPr>
        <w:shd w:val="clear" w:color="auto" w:fill="FFFFFF"/>
        <w:spacing w:before="120" w:after="720"/>
        <w:ind w:left="0" w:firstLine="0"/>
        <w:contextualSpacing/>
        <w:rPr>
          <w:rFonts w:ascii="Arial" w:hAnsi="Arial" w:cs="Arial"/>
          <w:sz w:val="24"/>
          <w:szCs w:val="24"/>
        </w:rPr>
      </w:pPr>
      <w:r w:rsidRPr="006A7A92">
        <w:rPr>
          <w:rFonts w:ascii="Arial" w:eastAsia="Times New Roman" w:hAnsi="Arial" w:cs="Arial"/>
          <w:sz w:val="24"/>
          <w:szCs w:val="24"/>
          <w:lang w:val="en-US" w:eastAsia="en-ZA"/>
        </w:rPr>
        <w:t xml:space="preserve">I therefore consider the issue solely because Reference Audio claimed that, unaware of the cession, it made payments to Dipole. </w:t>
      </w:r>
      <w:r w:rsidRPr="006A7A92">
        <w:rPr>
          <w:rFonts w:ascii="Arial" w:hAnsi="Arial" w:cs="Arial"/>
          <w:sz w:val="24"/>
          <w:szCs w:val="24"/>
          <w:shd w:val="clear" w:color="auto" w:fill="FFFFFF"/>
        </w:rPr>
        <w:t>Actual knowledge may be proved in a number of different ways. It may be inferred from the facts proven: the facts and circumstances may be such that the only reasonable inference to be drawn is that the person whose conduct is in issue had actual knowledge of a matter – in this case, of the existence of the cession.</w:t>
      </w:r>
      <w:r w:rsidRPr="006A7A92">
        <w:rPr>
          <w:rStyle w:val="FootnoteReference"/>
          <w:rFonts w:ascii="Arial" w:hAnsi="Arial" w:cs="Arial"/>
          <w:sz w:val="24"/>
          <w:szCs w:val="24"/>
          <w:shd w:val="clear" w:color="auto" w:fill="FFFFFF"/>
        </w:rPr>
        <w:footnoteReference w:id="7"/>
      </w:r>
      <w:r w:rsidRPr="006A7A92">
        <w:rPr>
          <w:rFonts w:ascii="Arial" w:hAnsi="Arial" w:cs="Arial"/>
          <w:sz w:val="24"/>
          <w:szCs w:val="24"/>
          <w:shd w:val="clear" w:color="auto" w:fill="FFFFFF"/>
        </w:rPr>
        <w:t> </w:t>
      </w:r>
    </w:p>
    <w:p w14:paraId="3A3C34BF" w14:textId="77777777" w:rsidR="00FE0742" w:rsidRPr="006A7A92" w:rsidRDefault="00FE0742" w:rsidP="00FE0742">
      <w:pPr>
        <w:shd w:val="clear" w:color="auto" w:fill="FFFFFF"/>
        <w:spacing w:before="120" w:after="720"/>
        <w:contextualSpacing/>
        <w:rPr>
          <w:rFonts w:ascii="Arial" w:hAnsi="Arial" w:cs="Arial"/>
          <w:sz w:val="24"/>
          <w:szCs w:val="24"/>
        </w:rPr>
      </w:pPr>
      <w:r w:rsidRPr="006A7A92">
        <w:rPr>
          <w:rFonts w:ascii="Arial" w:hAnsi="Arial" w:cs="Arial"/>
          <w:sz w:val="24"/>
          <w:szCs w:val="24"/>
          <w:shd w:val="clear" w:color="auto" w:fill="FFFFFF"/>
        </w:rPr>
        <w:t xml:space="preserve"> </w:t>
      </w:r>
    </w:p>
    <w:p w14:paraId="221CABD3" w14:textId="0453AE97" w:rsidR="00032C0C" w:rsidRPr="006A7A92" w:rsidRDefault="00FE0742" w:rsidP="00970BBD">
      <w:pPr>
        <w:numPr>
          <w:ilvl w:val="0"/>
          <w:numId w:val="1"/>
        </w:numPr>
        <w:shd w:val="clear" w:color="auto" w:fill="FFFFFF"/>
        <w:spacing w:before="120" w:after="720"/>
        <w:ind w:left="0" w:firstLine="0"/>
        <w:contextualSpacing/>
        <w:rPr>
          <w:rFonts w:ascii="Arial" w:hAnsi="Arial" w:cs="Arial"/>
          <w:sz w:val="24"/>
          <w:szCs w:val="24"/>
        </w:rPr>
      </w:pPr>
      <w:r w:rsidRPr="006A7A92">
        <w:rPr>
          <w:rFonts w:ascii="Arial" w:eastAsia="Times New Roman" w:hAnsi="Arial" w:cs="Arial"/>
          <w:sz w:val="24"/>
          <w:szCs w:val="24"/>
          <w:lang w:val="en-US" w:eastAsia="en-ZA"/>
        </w:rPr>
        <w:t xml:space="preserve">The high court had to consider this issue on the basis of the objective facts and the testimonies of Mr Singh and Mr Hoffman. I preface this discussion with the observation that </w:t>
      </w:r>
      <w:r w:rsidRPr="006A7A92">
        <w:rPr>
          <w:rFonts w:ascii="Arial" w:hAnsi="Arial" w:cs="Arial"/>
          <w:sz w:val="24"/>
          <w:szCs w:val="24"/>
          <w:shd w:val="clear" w:color="auto" w:fill="FFFFFF"/>
        </w:rPr>
        <w:t>Mr Hoffmann was a particularly poor witness. He was garrulous, argumentative</w:t>
      </w:r>
      <w:r w:rsidRPr="006A7A92">
        <w:rPr>
          <w:rFonts w:ascii="Arial" w:hAnsi="Arial" w:cs="Arial"/>
          <w:sz w:val="24"/>
          <w:szCs w:val="24"/>
        </w:rPr>
        <w:t>, obtuse and evasive.</w:t>
      </w:r>
      <w:r w:rsidRPr="006A7A92">
        <w:rPr>
          <w:rFonts w:ascii="Arial" w:hAnsi="Arial" w:cs="Arial"/>
          <w:sz w:val="24"/>
          <w:szCs w:val="24"/>
          <w:shd w:val="clear" w:color="auto" w:fill="FFFFFF"/>
        </w:rPr>
        <w:t xml:space="preserve"> He failed to provide straight-forward answers to simple questions. The high court’s adverse credibility finding against him was therefore justified.</w:t>
      </w:r>
      <w:r w:rsidRPr="006A7A92">
        <w:rPr>
          <w:rFonts w:ascii="Arial" w:hAnsi="Arial" w:cs="Arial"/>
          <w:sz w:val="24"/>
          <w:szCs w:val="24"/>
        </w:rPr>
        <w:t xml:space="preserve"> On the other hand, Mr Singh was lucid and candid in his testimony. </w:t>
      </w:r>
    </w:p>
    <w:p w14:paraId="599E9E39" w14:textId="77777777" w:rsidR="0072209D" w:rsidRPr="00FE0742" w:rsidRDefault="0072209D" w:rsidP="0072209D">
      <w:pPr>
        <w:shd w:val="clear" w:color="auto" w:fill="FFFFFF"/>
        <w:spacing w:before="120" w:after="720"/>
        <w:contextualSpacing/>
        <w:rPr>
          <w:rFonts w:ascii="Arial" w:hAnsi="Arial" w:cs="Arial"/>
          <w:sz w:val="24"/>
          <w:szCs w:val="24"/>
          <w:highlight w:val="yellow"/>
        </w:rPr>
      </w:pPr>
    </w:p>
    <w:p w14:paraId="10A21E97" w14:textId="4475451E" w:rsidR="008D1285" w:rsidRPr="00FE0742" w:rsidRDefault="00DD4D89" w:rsidP="00E4433C">
      <w:pPr>
        <w:numPr>
          <w:ilvl w:val="0"/>
          <w:numId w:val="1"/>
        </w:numPr>
        <w:shd w:val="clear" w:color="auto" w:fill="FFFFFF"/>
        <w:spacing w:before="120" w:after="100" w:afterAutospacing="1"/>
        <w:ind w:left="0" w:firstLine="0"/>
        <w:contextualSpacing/>
        <w:rPr>
          <w:rFonts w:ascii="Arial" w:hAnsi="Arial" w:cs="Arial"/>
          <w:sz w:val="24"/>
          <w:szCs w:val="24"/>
        </w:rPr>
      </w:pPr>
      <w:r w:rsidRPr="00FE0742">
        <w:rPr>
          <w:rFonts w:ascii="Arial" w:eastAsia="Times New Roman" w:hAnsi="Arial" w:cs="Arial"/>
          <w:sz w:val="24"/>
          <w:szCs w:val="24"/>
          <w:lang w:val="en-US" w:eastAsia="en-ZA"/>
        </w:rPr>
        <w:t>To consider whether</w:t>
      </w:r>
      <w:r w:rsidR="004B5E8C" w:rsidRPr="00FE0742">
        <w:rPr>
          <w:rFonts w:ascii="Arial" w:eastAsia="Times New Roman" w:hAnsi="Arial" w:cs="Arial"/>
          <w:sz w:val="24"/>
          <w:szCs w:val="24"/>
          <w:lang w:val="en-US" w:eastAsia="en-ZA"/>
        </w:rPr>
        <w:t>,</w:t>
      </w:r>
      <w:r w:rsidRPr="00FE0742">
        <w:rPr>
          <w:rFonts w:ascii="Arial" w:eastAsia="Times New Roman" w:hAnsi="Arial" w:cs="Arial"/>
          <w:sz w:val="24"/>
          <w:szCs w:val="24"/>
          <w:lang w:val="en-US" w:eastAsia="en-ZA"/>
        </w:rPr>
        <w:t xml:space="preserve"> on </w:t>
      </w:r>
      <w:r w:rsidR="004B5E8C" w:rsidRPr="00FE0742">
        <w:rPr>
          <w:rFonts w:ascii="Arial" w:eastAsia="Times New Roman" w:hAnsi="Arial" w:cs="Arial"/>
          <w:sz w:val="24"/>
          <w:szCs w:val="24"/>
          <w:lang w:val="en-US" w:eastAsia="en-ZA"/>
        </w:rPr>
        <w:t xml:space="preserve">a </w:t>
      </w:r>
      <w:r w:rsidRPr="00FE0742">
        <w:rPr>
          <w:rFonts w:ascii="Arial" w:eastAsia="Times New Roman" w:hAnsi="Arial" w:cs="Arial"/>
          <w:sz w:val="24"/>
          <w:szCs w:val="24"/>
          <w:lang w:val="en-US" w:eastAsia="en-ZA"/>
        </w:rPr>
        <w:t>balance</w:t>
      </w:r>
      <w:r w:rsidR="004B5E8C" w:rsidRPr="00FE0742">
        <w:rPr>
          <w:rFonts w:ascii="Arial" w:eastAsia="Times New Roman" w:hAnsi="Arial" w:cs="Arial"/>
          <w:sz w:val="24"/>
          <w:szCs w:val="24"/>
          <w:lang w:val="en-US" w:eastAsia="en-ZA"/>
        </w:rPr>
        <w:t xml:space="preserve"> of probabilities</w:t>
      </w:r>
      <w:r w:rsidRPr="00FE0742">
        <w:rPr>
          <w:rFonts w:ascii="Arial" w:eastAsia="Times New Roman" w:hAnsi="Arial" w:cs="Arial"/>
          <w:sz w:val="24"/>
          <w:szCs w:val="24"/>
          <w:lang w:val="en-US" w:eastAsia="en-ZA"/>
        </w:rPr>
        <w:t>, Reference Audio knew of the cession, it is necessary to refer to the terms of the cession, and determine whether the parties conducted themselves consistent</w:t>
      </w:r>
      <w:r w:rsidR="004B5E8C" w:rsidRPr="00FE0742">
        <w:rPr>
          <w:rFonts w:ascii="Arial" w:eastAsia="Times New Roman" w:hAnsi="Arial" w:cs="Arial"/>
          <w:sz w:val="24"/>
          <w:szCs w:val="24"/>
          <w:lang w:val="en-US" w:eastAsia="en-ZA"/>
        </w:rPr>
        <w:t>ly</w:t>
      </w:r>
      <w:r w:rsidRPr="00FE0742">
        <w:rPr>
          <w:rFonts w:ascii="Arial" w:eastAsia="Times New Roman" w:hAnsi="Arial" w:cs="Arial"/>
          <w:sz w:val="24"/>
          <w:szCs w:val="24"/>
          <w:lang w:val="en-US" w:eastAsia="en-ZA"/>
        </w:rPr>
        <w:t xml:space="preserve"> with them. </w:t>
      </w:r>
      <w:r w:rsidR="00065315" w:rsidRPr="00FE0742">
        <w:rPr>
          <w:rFonts w:ascii="Arial" w:eastAsia="Times New Roman" w:hAnsi="Arial" w:cs="Arial"/>
          <w:sz w:val="24"/>
          <w:szCs w:val="24"/>
          <w:lang w:val="en-US" w:eastAsia="en-ZA"/>
        </w:rPr>
        <w:t>According to</w:t>
      </w:r>
      <w:r w:rsidR="00FC41CC" w:rsidRPr="00FE0742">
        <w:rPr>
          <w:rFonts w:ascii="Arial" w:eastAsia="Times New Roman" w:hAnsi="Arial" w:cs="Arial"/>
          <w:sz w:val="24"/>
          <w:szCs w:val="24"/>
          <w:lang w:val="en-US" w:eastAsia="en-ZA"/>
        </w:rPr>
        <w:t xml:space="preserve"> Mr Singh</w:t>
      </w:r>
      <w:r w:rsidR="00065315" w:rsidRPr="00FE0742">
        <w:rPr>
          <w:rFonts w:ascii="Arial" w:eastAsia="Times New Roman" w:hAnsi="Arial" w:cs="Arial"/>
          <w:sz w:val="24"/>
          <w:szCs w:val="24"/>
          <w:lang w:val="en-US" w:eastAsia="en-ZA"/>
        </w:rPr>
        <w:t>, t</w:t>
      </w:r>
      <w:r w:rsidR="00DB2947" w:rsidRPr="00FE0742">
        <w:rPr>
          <w:rFonts w:ascii="Arial" w:eastAsia="Times New Roman" w:hAnsi="Arial" w:cs="Arial"/>
          <w:sz w:val="24"/>
          <w:szCs w:val="24"/>
          <w:lang w:val="en-US" w:eastAsia="en-ZA"/>
        </w:rPr>
        <w:t xml:space="preserve">he </w:t>
      </w:r>
      <w:r w:rsidR="00DB2947" w:rsidRPr="00FE0742">
        <w:rPr>
          <w:rFonts w:ascii="Arial" w:eastAsia="Times New Roman" w:hAnsi="Arial" w:cs="Arial"/>
          <w:sz w:val="24"/>
          <w:szCs w:val="24"/>
          <w:lang w:val="en-US" w:eastAsia="en-ZA"/>
        </w:rPr>
        <w:lastRenderedPageBreak/>
        <w:t>terms of the cession were</w:t>
      </w:r>
      <w:r w:rsidR="002F1522" w:rsidRPr="00FE0742">
        <w:rPr>
          <w:rFonts w:ascii="Arial" w:eastAsia="Times New Roman" w:hAnsi="Arial" w:cs="Arial"/>
          <w:sz w:val="24"/>
          <w:szCs w:val="24"/>
          <w:lang w:val="en-US" w:eastAsia="en-ZA"/>
        </w:rPr>
        <w:t xml:space="preserve"> as follows</w:t>
      </w:r>
      <w:r w:rsidR="00065315" w:rsidRPr="00FE0742">
        <w:rPr>
          <w:rFonts w:ascii="Arial" w:eastAsia="Times New Roman" w:hAnsi="Arial" w:cs="Arial"/>
          <w:sz w:val="24"/>
          <w:szCs w:val="24"/>
          <w:lang w:val="en-US" w:eastAsia="en-ZA"/>
        </w:rPr>
        <w:t>. When Reference Audio ordered goods from Dipole, Reference Audio would make a list of such goods and furnish it to Imbuko</w:t>
      </w:r>
      <w:r w:rsidR="00A65A50" w:rsidRPr="00FE0742">
        <w:rPr>
          <w:rFonts w:ascii="Arial" w:eastAsia="Times New Roman" w:hAnsi="Arial" w:cs="Arial"/>
          <w:sz w:val="24"/>
          <w:szCs w:val="24"/>
          <w:lang w:val="en-US" w:eastAsia="en-ZA"/>
        </w:rPr>
        <w:t>. The latter</w:t>
      </w:r>
      <w:r w:rsidR="00065315" w:rsidRPr="00FE0742">
        <w:rPr>
          <w:rFonts w:ascii="Arial" w:eastAsia="Times New Roman" w:hAnsi="Arial" w:cs="Arial"/>
          <w:sz w:val="24"/>
          <w:szCs w:val="24"/>
          <w:lang w:val="en-US" w:eastAsia="en-ZA"/>
        </w:rPr>
        <w:t xml:space="preserve"> would</w:t>
      </w:r>
      <w:r w:rsidR="00D80A3B" w:rsidRPr="00FE0742">
        <w:rPr>
          <w:rFonts w:ascii="Arial" w:eastAsia="Times New Roman" w:hAnsi="Arial" w:cs="Arial"/>
          <w:sz w:val="24"/>
          <w:szCs w:val="24"/>
          <w:lang w:val="en-US" w:eastAsia="en-ZA"/>
        </w:rPr>
        <w:t xml:space="preserve"> </w:t>
      </w:r>
      <w:r w:rsidR="00065315" w:rsidRPr="00FE0742">
        <w:rPr>
          <w:rFonts w:ascii="Arial" w:eastAsia="Times New Roman" w:hAnsi="Arial" w:cs="Arial"/>
          <w:sz w:val="24"/>
          <w:szCs w:val="24"/>
          <w:lang w:val="en-US" w:eastAsia="en-ZA"/>
        </w:rPr>
        <w:t>confirm with Dipole</w:t>
      </w:r>
      <w:r w:rsidR="00025102" w:rsidRPr="00FE0742">
        <w:rPr>
          <w:rFonts w:ascii="Arial" w:eastAsia="Times New Roman" w:hAnsi="Arial" w:cs="Arial"/>
          <w:sz w:val="24"/>
          <w:szCs w:val="24"/>
          <w:lang w:val="en-US" w:eastAsia="en-ZA"/>
        </w:rPr>
        <w:t xml:space="preserve"> that the list was correct</w:t>
      </w:r>
      <w:r w:rsidR="00D80A3B" w:rsidRPr="00FE0742">
        <w:rPr>
          <w:rFonts w:ascii="Arial" w:eastAsia="Times New Roman" w:hAnsi="Arial" w:cs="Arial"/>
          <w:sz w:val="24"/>
          <w:szCs w:val="24"/>
          <w:lang w:val="en-US" w:eastAsia="en-ZA"/>
        </w:rPr>
        <w:t xml:space="preserve"> and that the goods had been collected from</w:t>
      </w:r>
      <w:r w:rsidR="00470B7F" w:rsidRPr="00FE0742">
        <w:rPr>
          <w:rFonts w:ascii="Arial" w:eastAsia="Times New Roman" w:hAnsi="Arial" w:cs="Arial"/>
          <w:sz w:val="24"/>
          <w:szCs w:val="24"/>
          <w:lang w:val="en-US" w:eastAsia="en-ZA"/>
        </w:rPr>
        <w:t xml:space="preserve"> Dipole’s</w:t>
      </w:r>
      <w:r w:rsidR="00D80A3B" w:rsidRPr="00FE0742">
        <w:rPr>
          <w:rFonts w:ascii="Arial" w:eastAsia="Times New Roman" w:hAnsi="Arial" w:cs="Arial"/>
          <w:sz w:val="24"/>
          <w:szCs w:val="24"/>
          <w:lang w:val="en-US" w:eastAsia="en-ZA"/>
        </w:rPr>
        <w:t xml:space="preserve"> warehouse. Imbuko would then</w:t>
      </w:r>
      <w:r w:rsidR="00065315" w:rsidRPr="00FE0742">
        <w:rPr>
          <w:rFonts w:ascii="Arial" w:eastAsia="Times New Roman" w:hAnsi="Arial" w:cs="Arial"/>
          <w:sz w:val="24"/>
          <w:szCs w:val="24"/>
          <w:lang w:val="en-US" w:eastAsia="en-ZA"/>
        </w:rPr>
        <w:t xml:space="preserve"> raise an invoice against Reference Audio, and </w:t>
      </w:r>
      <w:r w:rsidR="008D1285" w:rsidRPr="00FE0742">
        <w:rPr>
          <w:rFonts w:ascii="Arial" w:eastAsia="Times New Roman" w:hAnsi="Arial" w:cs="Arial"/>
          <w:sz w:val="24"/>
          <w:szCs w:val="24"/>
          <w:lang w:val="en-US" w:eastAsia="en-ZA"/>
        </w:rPr>
        <w:t xml:space="preserve">credit </w:t>
      </w:r>
      <w:r w:rsidR="00A65A50" w:rsidRPr="00FE0742">
        <w:rPr>
          <w:rFonts w:ascii="Arial" w:eastAsia="Times New Roman" w:hAnsi="Arial" w:cs="Arial"/>
          <w:sz w:val="24"/>
          <w:szCs w:val="24"/>
          <w:lang w:val="en-US" w:eastAsia="en-ZA"/>
        </w:rPr>
        <w:t xml:space="preserve">Dipole </w:t>
      </w:r>
      <w:r w:rsidR="00E4433C" w:rsidRPr="00FE0742">
        <w:rPr>
          <w:rFonts w:ascii="Arial" w:eastAsia="Times New Roman" w:hAnsi="Arial" w:cs="Arial"/>
          <w:sz w:val="24"/>
          <w:szCs w:val="24"/>
          <w:lang w:val="en-US" w:eastAsia="en-ZA"/>
        </w:rPr>
        <w:t xml:space="preserve">with </w:t>
      </w:r>
      <w:r w:rsidR="00065315" w:rsidRPr="00FE0742">
        <w:rPr>
          <w:rFonts w:ascii="Arial" w:eastAsia="Times New Roman" w:hAnsi="Arial" w:cs="Arial"/>
          <w:sz w:val="24"/>
          <w:szCs w:val="24"/>
          <w:lang w:val="en-US" w:eastAsia="en-ZA"/>
        </w:rPr>
        <w:t xml:space="preserve">the </w:t>
      </w:r>
      <w:r w:rsidR="00A65A50" w:rsidRPr="00FE0742">
        <w:rPr>
          <w:rFonts w:ascii="Arial" w:eastAsia="Times New Roman" w:hAnsi="Arial" w:cs="Arial"/>
          <w:sz w:val="24"/>
          <w:szCs w:val="24"/>
          <w:lang w:val="en-US" w:eastAsia="en-ZA"/>
        </w:rPr>
        <w:t xml:space="preserve">same </w:t>
      </w:r>
      <w:r w:rsidR="00065315" w:rsidRPr="00FE0742">
        <w:rPr>
          <w:rFonts w:ascii="Arial" w:eastAsia="Times New Roman" w:hAnsi="Arial" w:cs="Arial"/>
          <w:sz w:val="24"/>
          <w:szCs w:val="24"/>
          <w:lang w:val="en-US" w:eastAsia="en-ZA"/>
        </w:rPr>
        <w:t>amount of the invoice</w:t>
      </w:r>
      <w:r w:rsidR="00A65A50" w:rsidRPr="00FE0742">
        <w:rPr>
          <w:rFonts w:ascii="Arial" w:eastAsia="Times New Roman" w:hAnsi="Arial" w:cs="Arial"/>
          <w:sz w:val="24"/>
          <w:szCs w:val="24"/>
          <w:lang w:val="en-US" w:eastAsia="en-ZA"/>
        </w:rPr>
        <w:t>.</w:t>
      </w:r>
      <w:r w:rsidR="00065315" w:rsidRPr="00FE0742">
        <w:rPr>
          <w:rFonts w:ascii="Arial" w:eastAsia="Times New Roman" w:hAnsi="Arial" w:cs="Arial"/>
          <w:sz w:val="24"/>
          <w:szCs w:val="24"/>
          <w:lang w:val="en-US" w:eastAsia="en-ZA"/>
        </w:rPr>
        <w:t xml:space="preserve"> </w:t>
      </w:r>
      <w:r w:rsidR="0054383B" w:rsidRPr="00FE0742">
        <w:rPr>
          <w:rFonts w:ascii="Arial" w:eastAsia="Times New Roman" w:hAnsi="Arial" w:cs="Arial"/>
          <w:sz w:val="24"/>
          <w:szCs w:val="24"/>
          <w:lang w:val="en-US" w:eastAsia="en-ZA"/>
        </w:rPr>
        <w:t>R</w:t>
      </w:r>
      <w:r w:rsidR="00D80A3B" w:rsidRPr="00FE0742">
        <w:rPr>
          <w:rFonts w:ascii="Arial" w:eastAsia="Times New Roman" w:hAnsi="Arial" w:cs="Arial"/>
          <w:sz w:val="24"/>
          <w:szCs w:val="24"/>
          <w:lang w:val="en-US" w:eastAsia="en-ZA"/>
        </w:rPr>
        <w:t>eference Audio would pay the invoice amount to Imbuko, upon which Imbuko would pay to Dipole its profit margin.</w:t>
      </w:r>
      <w:r w:rsidR="00D80A3B" w:rsidRPr="00FE0742">
        <w:rPr>
          <w:rFonts w:ascii="Arial" w:hAnsi="Arial" w:cs="Arial"/>
          <w:sz w:val="24"/>
          <w:szCs w:val="24"/>
        </w:rPr>
        <w:t xml:space="preserve"> </w:t>
      </w:r>
      <w:r w:rsidR="00065315" w:rsidRPr="00FE0742">
        <w:rPr>
          <w:rFonts w:ascii="Arial" w:eastAsia="Times New Roman" w:hAnsi="Arial" w:cs="Arial"/>
          <w:sz w:val="24"/>
          <w:szCs w:val="24"/>
          <w:lang w:val="en-US" w:eastAsia="en-ZA"/>
        </w:rPr>
        <w:t xml:space="preserve">The same process would be followed </w:t>
      </w:r>
      <w:r w:rsidR="008D1285" w:rsidRPr="00FE0742">
        <w:rPr>
          <w:rFonts w:ascii="Arial" w:eastAsia="Times New Roman" w:hAnsi="Arial" w:cs="Arial"/>
          <w:sz w:val="24"/>
          <w:szCs w:val="24"/>
          <w:lang w:val="en-US" w:eastAsia="en-ZA"/>
        </w:rPr>
        <w:t>where</w:t>
      </w:r>
      <w:r w:rsidR="00065315" w:rsidRPr="00FE0742">
        <w:rPr>
          <w:rFonts w:ascii="Arial" w:eastAsia="Times New Roman" w:hAnsi="Arial" w:cs="Arial"/>
          <w:sz w:val="24"/>
          <w:szCs w:val="24"/>
          <w:lang w:val="en-US" w:eastAsia="en-ZA"/>
        </w:rPr>
        <w:t xml:space="preserve"> Reference Audio returned good</w:t>
      </w:r>
      <w:r w:rsidR="00A65A50" w:rsidRPr="00FE0742">
        <w:rPr>
          <w:rFonts w:ascii="Arial" w:eastAsia="Times New Roman" w:hAnsi="Arial" w:cs="Arial"/>
          <w:sz w:val="24"/>
          <w:szCs w:val="24"/>
          <w:lang w:val="en-US" w:eastAsia="en-ZA"/>
        </w:rPr>
        <w:t>s</w:t>
      </w:r>
      <w:r w:rsidR="005A1AA3" w:rsidRPr="00FE0742">
        <w:rPr>
          <w:rFonts w:ascii="Arial" w:eastAsia="Times New Roman" w:hAnsi="Arial" w:cs="Arial"/>
          <w:sz w:val="24"/>
          <w:szCs w:val="24"/>
          <w:lang w:val="en-US" w:eastAsia="en-ZA"/>
        </w:rPr>
        <w:t xml:space="preserve"> </w:t>
      </w:r>
      <w:r w:rsidR="00744B2F" w:rsidRPr="00FE0742">
        <w:rPr>
          <w:rFonts w:ascii="Arial" w:eastAsia="Times New Roman" w:hAnsi="Arial" w:cs="Arial"/>
          <w:sz w:val="24"/>
          <w:szCs w:val="24"/>
          <w:lang w:val="en-US" w:eastAsia="en-ZA"/>
        </w:rPr>
        <w:t>e</w:t>
      </w:r>
      <w:r w:rsidR="005A1AA3" w:rsidRPr="00FE0742">
        <w:rPr>
          <w:rFonts w:ascii="Arial" w:eastAsia="Times New Roman" w:hAnsi="Arial" w:cs="Arial"/>
          <w:sz w:val="24"/>
          <w:szCs w:val="24"/>
          <w:lang w:val="en-US" w:eastAsia="en-ZA"/>
        </w:rPr>
        <w:t>xcept that</w:t>
      </w:r>
      <w:r w:rsidR="00744B2F" w:rsidRPr="00FE0742">
        <w:rPr>
          <w:rFonts w:ascii="Arial" w:eastAsia="Times New Roman" w:hAnsi="Arial" w:cs="Arial"/>
          <w:sz w:val="24"/>
          <w:szCs w:val="24"/>
          <w:lang w:val="en-US" w:eastAsia="en-ZA"/>
        </w:rPr>
        <w:t xml:space="preserve"> </w:t>
      </w:r>
      <w:r w:rsidR="003B5534" w:rsidRPr="00FE0742">
        <w:rPr>
          <w:rFonts w:ascii="Arial" w:eastAsia="Times New Roman" w:hAnsi="Arial" w:cs="Arial"/>
          <w:sz w:val="24"/>
          <w:szCs w:val="24"/>
          <w:lang w:val="en-US" w:eastAsia="en-ZA"/>
        </w:rPr>
        <w:t>Imbuko would make</w:t>
      </w:r>
      <w:r w:rsidR="00065315" w:rsidRPr="00FE0742">
        <w:rPr>
          <w:rFonts w:ascii="Arial" w:eastAsia="Times New Roman" w:hAnsi="Arial" w:cs="Arial"/>
          <w:sz w:val="24"/>
          <w:szCs w:val="24"/>
          <w:lang w:val="en-US" w:eastAsia="en-ZA"/>
        </w:rPr>
        <w:t xml:space="preserve"> a credit note in </w:t>
      </w:r>
      <w:r w:rsidR="003B5534" w:rsidRPr="00FE0742">
        <w:rPr>
          <w:rFonts w:ascii="Arial" w:eastAsia="Times New Roman" w:hAnsi="Arial" w:cs="Arial"/>
          <w:sz w:val="24"/>
          <w:szCs w:val="24"/>
          <w:lang w:val="en-US" w:eastAsia="en-ZA"/>
        </w:rPr>
        <w:t>Reference Audio’s</w:t>
      </w:r>
      <w:r w:rsidR="00065315" w:rsidRPr="00FE0742">
        <w:rPr>
          <w:rFonts w:ascii="Arial" w:eastAsia="Times New Roman" w:hAnsi="Arial" w:cs="Arial"/>
          <w:sz w:val="24"/>
          <w:szCs w:val="24"/>
          <w:lang w:val="en-US" w:eastAsia="en-ZA"/>
        </w:rPr>
        <w:t xml:space="preserve"> favour.</w:t>
      </w:r>
    </w:p>
    <w:p w14:paraId="7DFB898D" w14:textId="77777777" w:rsidR="00234AC2" w:rsidRPr="004C59B4" w:rsidRDefault="00234AC2" w:rsidP="00234AC2">
      <w:pPr>
        <w:shd w:val="clear" w:color="auto" w:fill="FFFFFF"/>
        <w:spacing w:before="120" w:after="720"/>
        <w:contextualSpacing/>
        <w:rPr>
          <w:rFonts w:ascii="Arial" w:hAnsi="Arial" w:cs="Arial"/>
          <w:sz w:val="24"/>
          <w:szCs w:val="24"/>
        </w:rPr>
      </w:pPr>
    </w:p>
    <w:p w14:paraId="465100F1" w14:textId="38D006AD" w:rsidR="00D01B8A" w:rsidRPr="004C59B4" w:rsidRDefault="008700CC" w:rsidP="00D054BC">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hAnsi="Arial" w:cs="Arial"/>
          <w:sz w:val="24"/>
          <w:szCs w:val="24"/>
        </w:rPr>
        <w:t xml:space="preserve">I now consider whether </w:t>
      </w:r>
      <w:r w:rsidR="00AA72F2" w:rsidRPr="004C59B4">
        <w:rPr>
          <w:rFonts w:ascii="Arial" w:hAnsi="Arial" w:cs="Arial"/>
          <w:sz w:val="24"/>
          <w:szCs w:val="24"/>
        </w:rPr>
        <w:t>the parties conduct</w:t>
      </w:r>
      <w:r w:rsidRPr="004C59B4">
        <w:rPr>
          <w:rFonts w:ascii="Arial" w:hAnsi="Arial" w:cs="Arial"/>
          <w:sz w:val="24"/>
          <w:szCs w:val="24"/>
        </w:rPr>
        <w:t>ed</w:t>
      </w:r>
      <w:r w:rsidR="00AA72F2" w:rsidRPr="004C59B4">
        <w:rPr>
          <w:rFonts w:ascii="Arial" w:hAnsi="Arial" w:cs="Arial"/>
          <w:sz w:val="24"/>
          <w:szCs w:val="24"/>
        </w:rPr>
        <w:t xml:space="preserve"> themselves along these terms after the date of cession, ie December 2012</w:t>
      </w:r>
      <w:r w:rsidRPr="004C59B4">
        <w:rPr>
          <w:rFonts w:ascii="Arial" w:hAnsi="Arial" w:cs="Arial"/>
          <w:sz w:val="24"/>
          <w:szCs w:val="24"/>
        </w:rPr>
        <w:t>.</w:t>
      </w:r>
      <w:r w:rsidR="00AA72F2" w:rsidRPr="004C59B4">
        <w:rPr>
          <w:rFonts w:ascii="Arial" w:hAnsi="Arial" w:cs="Arial"/>
          <w:sz w:val="24"/>
          <w:szCs w:val="24"/>
        </w:rPr>
        <w:t xml:space="preserve"> </w:t>
      </w:r>
      <w:r w:rsidR="002B4256" w:rsidRPr="004C59B4">
        <w:rPr>
          <w:rFonts w:ascii="Arial" w:eastAsia="Times New Roman" w:hAnsi="Arial" w:cs="Arial"/>
          <w:sz w:val="24"/>
          <w:szCs w:val="24"/>
          <w:lang w:val="en-US" w:eastAsia="en-ZA"/>
        </w:rPr>
        <w:t>Mr Singh confirmed</w:t>
      </w:r>
      <w:r w:rsidR="005A1AA3" w:rsidRPr="004C59B4">
        <w:rPr>
          <w:rFonts w:ascii="Arial" w:eastAsia="Times New Roman" w:hAnsi="Arial" w:cs="Arial"/>
          <w:sz w:val="24"/>
          <w:szCs w:val="24"/>
          <w:lang w:val="en-US" w:eastAsia="en-ZA"/>
        </w:rPr>
        <w:t xml:space="preserve"> that</w:t>
      </w:r>
      <w:r w:rsidR="002B4256" w:rsidRPr="004C59B4">
        <w:rPr>
          <w:rFonts w:ascii="Arial" w:eastAsia="Times New Roman" w:hAnsi="Arial" w:cs="Arial"/>
          <w:sz w:val="24"/>
          <w:szCs w:val="24"/>
          <w:lang w:val="en-US" w:eastAsia="en-ZA"/>
        </w:rPr>
        <w:t xml:space="preserve">: (a) each of the tax invoices raised by Imbuko against </w:t>
      </w:r>
      <w:bookmarkStart w:id="22" w:name="_Hlk107177511"/>
      <w:r w:rsidR="0054383B" w:rsidRPr="004C59B4">
        <w:rPr>
          <w:rFonts w:ascii="Arial" w:eastAsia="Times New Roman" w:hAnsi="Arial" w:cs="Arial"/>
          <w:sz w:val="24"/>
          <w:szCs w:val="24"/>
          <w:lang w:val="en-US" w:eastAsia="en-ZA"/>
        </w:rPr>
        <w:t>R</w:t>
      </w:r>
      <w:r w:rsidR="002B4256" w:rsidRPr="004C59B4">
        <w:rPr>
          <w:rFonts w:ascii="Arial" w:eastAsia="Times New Roman" w:hAnsi="Arial" w:cs="Arial"/>
          <w:sz w:val="24"/>
          <w:szCs w:val="24"/>
          <w:lang w:val="en-US" w:eastAsia="en-ZA"/>
        </w:rPr>
        <w:t xml:space="preserve">eference Audio </w:t>
      </w:r>
      <w:bookmarkEnd w:id="22"/>
      <w:r w:rsidR="002B4256" w:rsidRPr="004C59B4">
        <w:rPr>
          <w:rFonts w:ascii="Arial" w:eastAsia="Times New Roman" w:hAnsi="Arial" w:cs="Arial"/>
          <w:sz w:val="24"/>
          <w:szCs w:val="24"/>
          <w:lang w:val="en-US" w:eastAsia="en-ZA"/>
        </w:rPr>
        <w:t xml:space="preserve">for goods purchased and collected by </w:t>
      </w:r>
      <w:bookmarkStart w:id="23" w:name="_Hlk107346048"/>
      <w:r w:rsidR="002B4256" w:rsidRPr="004C59B4">
        <w:rPr>
          <w:rFonts w:ascii="Arial" w:eastAsia="Times New Roman" w:hAnsi="Arial" w:cs="Arial"/>
          <w:sz w:val="24"/>
          <w:szCs w:val="24"/>
          <w:lang w:val="en-US" w:eastAsia="en-ZA"/>
        </w:rPr>
        <w:t xml:space="preserve">Reference Audio </w:t>
      </w:r>
      <w:bookmarkEnd w:id="23"/>
      <w:r w:rsidR="002B4256" w:rsidRPr="004C59B4">
        <w:rPr>
          <w:rFonts w:ascii="Arial" w:eastAsia="Times New Roman" w:hAnsi="Arial" w:cs="Arial"/>
          <w:sz w:val="24"/>
          <w:szCs w:val="24"/>
          <w:lang w:val="en-US" w:eastAsia="en-ZA"/>
        </w:rPr>
        <w:t xml:space="preserve">for the period January – April 2013; (b) </w:t>
      </w:r>
      <w:bookmarkStart w:id="24" w:name="_Hlk107380374"/>
      <w:r w:rsidR="002B4256" w:rsidRPr="004C59B4">
        <w:rPr>
          <w:rFonts w:ascii="Arial" w:eastAsia="Times New Roman" w:hAnsi="Arial" w:cs="Arial"/>
          <w:sz w:val="24"/>
          <w:szCs w:val="24"/>
          <w:lang w:val="en-US" w:eastAsia="en-ZA"/>
        </w:rPr>
        <w:t xml:space="preserve">the tax invoices and the credit notes </w:t>
      </w:r>
      <w:bookmarkEnd w:id="24"/>
      <w:r w:rsidR="002B4256" w:rsidRPr="004C59B4">
        <w:rPr>
          <w:rFonts w:ascii="Arial" w:eastAsia="Times New Roman" w:hAnsi="Arial" w:cs="Arial"/>
          <w:sz w:val="24"/>
          <w:szCs w:val="24"/>
          <w:lang w:val="en-US" w:eastAsia="en-ZA"/>
        </w:rPr>
        <w:t xml:space="preserve">rendered to Reference Audio, were a result of the process agreed with Reference Audio and </w:t>
      </w:r>
      <w:bookmarkStart w:id="25" w:name="_Hlk107380632"/>
      <w:r w:rsidR="002B4256" w:rsidRPr="004C59B4">
        <w:rPr>
          <w:rFonts w:ascii="Arial" w:eastAsia="Times New Roman" w:hAnsi="Arial" w:cs="Arial"/>
          <w:sz w:val="24"/>
          <w:szCs w:val="24"/>
          <w:lang w:val="en-US" w:eastAsia="en-ZA"/>
        </w:rPr>
        <w:t>pursuant to the cession</w:t>
      </w:r>
      <w:bookmarkEnd w:id="25"/>
      <w:r w:rsidR="002B4256" w:rsidRPr="004C59B4">
        <w:rPr>
          <w:rFonts w:ascii="Arial" w:eastAsia="Times New Roman" w:hAnsi="Arial" w:cs="Arial"/>
          <w:sz w:val="24"/>
          <w:szCs w:val="24"/>
          <w:lang w:val="en-US" w:eastAsia="en-ZA"/>
        </w:rPr>
        <w:t xml:space="preserve">; (c) the amounts reflected in the tax invoices and the credit notes were furnished to him by Mr Hoffmann pursuant to the cession; </w:t>
      </w:r>
      <w:bookmarkStart w:id="26" w:name="_Hlk107360136"/>
      <w:r w:rsidR="00DA7C46" w:rsidRPr="004C59B4">
        <w:rPr>
          <w:rFonts w:ascii="Arial" w:eastAsia="Times New Roman" w:hAnsi="Arial" w:cs="Arial"/>
          <w:sz w:val="24"/>
          <w:szCs w:val="24"/>
          <w:lang w:val="en-US" w:eastAsia="en-ZA"/>
        </w:rPr>
        <w:t xml:space="preserve">and </w:t>
      </w:r>
      <w:r w:rsidR="002B4256" w:rsidRPr="004C59B4">
        <w:rPr>
          <w:rFonts w:ascii="Arial" w:hAnsi="Arial" w:cs="Arial"/>
          <w:sz w:val="24"/>
          <w:szCs w:val="24"/>
        </w:rPr>
        <w:t xml:space="preserve">(d) </w:t>
      </w:r>
      <w:bookmarkEnd w:id="26"/>
      <w:r w:rsidR="002B4256" w:rsidRPr="004C59B4">
        <w:rPr>
          <w:rFonts w:ascii="Arial" w:eastAsia="Times New Roman" w:hAnsi="Arial" w:cs="Arial"/>
          <w:sz w:val="24"/>
          <w:szCs w:val="24"/>
          <w:lang w:val="en-US" w:eastAsia="en-ZA"/>
        </w:rPr>
        <w:t>each of the payments reflected</w:t>
      </w:r>
      <w:r w:rsidR="00E46ECC">
        <w:rPr>
          <w:rFonts w:ascii="Arial" w:eastAsia="Times New Roman" w:hAnsi="Arial" w:cs="Arial"/>
          <w:sz w:val="24"/>
          <w:szCs w:val="24"/>
          <w:lang w:val="en-US" w:eastAsia="en-ZA"/>
        </w:rPr>
        <w:t xml:space="preserve"> on Imbuko’s statement dated 11 </w:t>
      </w:r>
      <w:r w:rsidR="002B4256" w:rsidRPr="004C59B4">
        <w:rPr>
          <w:rFonts w:ascii="Arial" w:eastAsia="Times New Roman" w:hAnsi="Arial" w:cs="Arial"/>
          <w:sz w:val="24"/>
          <w:szCs w:val="24"/>
          <w:lang w:val="en-US" w:eastAsia="en-ZA"/>
        </w:rPr>
        <w:t xml:space="preserve">December 2013, had been made by </w:t>
      </w:r>
      <w:r w:rsidR="00DA7C46" w:rsidRPr="004C59B4">
        <w:rPr>
          <w:rFonts w:ascii="Arial" w:eastAsia="Times New Roman" w:hAnsi="Arial" w:cs="Arial"/>
          <w:sz w:val="24"/>
          <w:szCs w:val="24"/>
          <w:lang w:val="en-US" w:eastAsia="en-ZA"/>
        </w:rPr>
        <w:t>R</w:t>
      </w:r>
      <w:r w:rsidR="002B4256" w:rsidRPr="004C59B4">
        <w:rPr>
          <w:rFonts w:ascii="Arial" w:eastAsia="Times New Roman" w:hAnsi="Arial" w:cs="Arial"/>
          <w:sz w:val="24"/>
          <w:szCs w:val="24"/>
          <w:lang w:val="en-US" w:eastAsia="en-ZA"/>
        </w:rPr>
        <w:t>eference Audio to Imbuko, through the electronic funds transfer (EFT) method.</w:t>
      </w:r>
    </w:p>
    <w:p w14:paraId="1974158F" w14:textId="6EBC9EDD" w:rsidR="00D054BC" w:rsidRPr="004C59B4" w:rsidRDefault="00D054BC" w:rsidP="00D01B8A">
      <w:pPr>
        <w:shd w:val="clear" w:color="auto" w:fill="FFFFFF"/>
        <w:spacing w:before="120" w:after="720"/>
        <w:contextualSpacing/>
        <w:rPr>
          <w:rFonts w:ascii="Arial" w:hAnsi="Arial" w:cs="Arial"/>
          <w:sz w:val="24"/>
          <w:szCs w:val="24"/>
        </w:rPr>
      </w:pPr>
    </w:p>
    <w:p w14:paraId="57891DFB" w14:textId="28884973" w:rsidR="00694DFC" w:rsidRPr="004C59B4" w:rsidRDefault="00816301" w:rsidP="00604AF6">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hAnsi="Arial" w:cs="Arial"/>
          <w:sz w:val="24"/>
          <w:szCs w:val="24"/>
        </w:rPr>
        <w:t xml:space="preserve">It is instructive that </w:t>
      </w:r>
      <w:r w:rsidR="00526C55" w:rsidRPr="004C59B4">
        <w:rPr>
          <w:rFonts w:ascii="Arial" w:hAnsi="Arial" w:cs="Arial"/>
          <w:sz w:val="24"/>
          <w:szCs w:val="24"/>
        </w:rPr>
        <w:t xml:space="preserve">Imbuko sent the </w:t>
      </w:r>
      <w:r w:rsidR="002B2F09" w:rsidRPr="004C59B4">
        <w:rPr>
          <w:rFonts w:ascii="Arial" w:hAnsi="Arial" w:cs="Arial"/>
          <w:sz w:val="24"/>
          <w:szCs w:val="24"/>
        </w:rPr>
        <w:t>invoices</w:t>
      </w:r>
      <w:r w:rsidR="00526C55" w:rsidRPr="004C59B4">
        <w:rPr>
          <w:rFonts w:ascii="Arial" w:hAnsi="Arial" w:cs="Arial"/>
          <w:sz w:val="24"/>
          <w:szCs w:val="24"/>
        </w:rPr>
        <w:t xml:space="preserve"> to Reference Audio</w:t>
      </w:r>
      <w:r w:rsidR="002B2F09" w:rsidRPr="004C59B4">
        <w:rPr>
          <w:rFonts w:ascii="Arial" w:hAnsi="Arial" w:cs="Arial"/>
          <w:sz w:val="24"/>
          <w:szCs w:val="24"/>
        </w:rPr>
        <w:t xml:space="preserve"> from January 2013</w:t>
      </w:r>
      <w:r w:rsidR="00604AF6" w:rsidRPr="004C59B4">
        <w:rPr>
          <w:rFonts w:ascii="Arial" w:hAnsi="Arial" w:cs="Arial"/>
          <w:sz w:val="24"/>
          <w:szCs w:val="24"/>
        </w:rPr>
        <w:t xml:space="preserve">, immediately after the </w:t>
      </w:r>
      <w:r w:rsidR="008F2CEC" w:rsidRPr="004C59B4">
        <w:rPr>
          <w:rFonts w:ascii="Arial" w:hAnsi="Arial" w:cs="Arial"/>
          <w:sz w:val="24"/>
          <w:szCs w:val="24"/>
        </w:rPr>
        <w:t>c</w:t>
      </w:r>
      <w:r w:rsidR="00604AF6" w:rsidRPr="004C59B4">
        <w:rPr>
          <w:rFonts w:ascii="Arial" w:hAnsi="Arial" w:cs="Arial"/>
          <w:sz w:val="24"/>
          <w:szCs w:val="24"/>
        </w:rPr>
        <w:t>ession came into existence in December 2012. D</w:t>
      </w:r>
      <w:r w:rsidRPr="004C59B4">
        <w:rPr>
          <w:rFonts w:ascii="Arial" w:hAnsi="Arial" w:cs="Arial"/>
          <w:sz w:val="24"/>
          <w:szCs w:val="24"/>
        </w:rPr>
        <w:t xml:space="preserve">espite Mr Singh pertinently testifying that the information used to compile the invoices was provided to him by Mr Hoffmann, this was not disputed during cross-examination. </w:t>
      </w:r>
      <w:r w:rsidR="00526C55" w:rsidRPr="004C59B4">
        <w:rPr>
          <w:rFonts w:ascii="Arial" w:hAnsi="Arial" w:cs="Arial"/>
          <w:sz w:val="24"/>
          <w:szCs w:val="24"/>
        </w:rPr>
        <w:t xml:space="preserve">As mentioned already, in those invoices, Imbuko </w:t>
      </w:r>
      <w:r w:rsidR="004729D9" w:rsidRPr="004C59B4">
        <w:rPr>
          <w:rFonts w:ascii="Arial" w:hAnsi="Arial" w:cs="Arial"/>
          <w:sz w:val="24"/>
          <w:szCs w:val="24"/>
        </w:rPr>
        <w:t>clearly identif</w:t>
      </w:r>
      <w:r w:rsidR="00526C55" w:rsidRPr="004C59B4">
        <w:rPr>
          <w:rFonts w:ascii="Arial" w:hAnsi="Arial" w:cs="Arial"/>
          <w:sz w:val="24"/>
          <w:szCs w:val="24"/>
        </w:rPr>
        <w:t>ied</w:t>
      </w:r>
      <w:r w:rsidR="004729D9" w:rsidRPr="004C59B4">
        <w:rPr>
          <w:rFonts w:ascii="Arial" w:hAnsi="Arial" w:cs="Arial"/>
          <w:sz w:val="24"/>
          <w:szCs w:val="24"/>
        </w:rPr>
        <w:t xml:space="preserve"> itself as a creditor and Reference Audio as a debtor, and </w:t>
      </w:r>
      <w:r w:rsidR="000544FB" w:rsidRPr="004C59B4">
        <w:rPr>
          <w:rFonts w:ascii="Arial" w:hAnsi="Arial" w:cs="Arial"/>
          <w:sz w:val="24"/>
          <w:szCs w:val="24"/>
        </w:rPr>
        <w:t>demand</w:t>
      </w:r>
      <w:r w:rsidR="00526C55" w:rsidRPr="004C59B4">
        <w:rPr>
          <w:rFonts w:ascii="Arial" w:hAnsi="Arial" w:cs="Arial"/>
          <w:sz w:val="24"/>
          <w:szCs w:val="24"/>
        </w:rPr>
        <w:t>ed</w:t>
      </w:r>
      <w:r w:rsidR="000544FB" w:rsidRPr="004C59B4">
        <w:rPr>
          <w:rFonts w:ascii="Arial" w:hAnsi="Arial" w:cs="Arial"/>
          <w:sz w:val="24"/>
          <w:szCs w:val="24"/>
        </w:rPr>
        <w:t xml:space="preserve"> payment</w:t>
      </w:r>
      <w:r w:rsidR="00AA72F2" w:rsidRPr="004C59B4">
        <w:rPr>
          <w:rFonts w:ascii="Arial" w:hAnsi="Arial" w:cs="Arial"/>
          <w:sz w:val="24"/>
          <w:szCs w:val="24"/>
        </w:rPr>
        <w:t xml:space="preserve"> from Reference Audio</w:t>
      </w:r>
      <w:r w:rsidR="000544FB" w:rsidRPr="004C59B4">
        <w:rPr>
          <w:rFonts w:ascii="Arial" w:hAnsi="Arial" w:cs="Arial"/>
          <w:sz w:val="24"/>
          <w:szCs w:val="24"/>
        </w:rPr>
        <w:t xml:space="preserve">. </w:t>
      </w:r>
      <w:r w:rsidR="009F67DD" w:rsidRPr="004C59B4">
        <w:rPr>
          <w:rFonts w:ascii="Arial" w:hAnsi="Arial" w:cs="Arial"/>
          <w:sz w:val="24"/>
          <w:szCs w:val="24"/>
        </w:rPr>
        <w:t>If Mr Hoffman indeed wanted nothing to do with Mr Singh and Imbuko</w:t>
      </w:r>
      <w:r w:rsidR="00F431F4" w:rsidRPr="004C59B4">
        <w:rPr>
          <w:rFonts w:ascii="Arial" w:hAnsi="Arial" w:cs="Arial"/>
          <w:sz w:val="24"/>
          <w:szCs w:val="24"/>
        </w:rPr>
        <w:t xml:space="preserve"> at that stage</w:t>
      </w:r>
      <w:r w:rsidR="009F67DD" w:rsidRPr="004C59B4">
        <w:rPr>
          <w:rFonts w:ascii="Arial" w:hAnsi="Arial" w:cs="Arial"/>
          <w:sz w:val="24"/>
          <w:szCs w:val="24"/>
        </w:rPr>
        <w:t>, this was more the reason to repudiate the invoices, not to dis</w:t>
      </w:r>
      <w:r w:rsidR="00F96C75" w:rsidRPr="004C59B4">
        <w:rPr>
          <w:rFonts w:ascii="Arial" w:hAnsi="Arial" w:cs="Arial"/>
          <w:sz w:val="24"/>
          <w:szCs w:val="24"/>
        </w:rPr>
        <w:t>regard</w:t>
      </w:r>
      <w:r w:rsidR="009F67DD" w:rsidRPr="004C59B4">
        <w:rPr>
          <w:rFonts w:ascii="Arial" w:hAnsi="Arial" w:cs="Arial"/>
          <w:sz w:val="24"/>
          <w:szCs w:val="24"/>
        </w:rPr>
        <w:t xml:space="preserve"> them.</w:t>
      </w:r>
      <w:r w:rsidR="00694DFC" w:rsidRPr="004C59B4">
        <w:rPr>
          <w:rFonts w:ascii="Arial" w:hAnsi="Arial" w:cs="Arial"/>
          <w:sz w:val="24"/>
          <w:szCs w:val="24"/>
        </w:rPr>
        <w:t xml:space="preserve"> But in any event, th</w:t>
      </w:r>
      <w:r w:rsidR="00C74873" w:rsidRPr="004C59B4">
        <w:rPr>
          <w:rFonts w:ascii="Arial" w:hAnsi="Arial" w:cs="Arial"/>
          <w:sz w:val="24"/>
          <w:szCs w:val="24"/>
        </w:rPr>
        <w:t>e</w:t>
      </w:r>
      <w:r w:rsidR="00694DFC" w:rsidRPr="004C59B4">
        <w:rPr>
          <w:rFonts w:ascii="Arial" w:hAnsi="Arial" w:cs="Arial"/>
          <w:sz w:val="24"/>
          <w:szCs w:val="24"/>
        </w:rPr>
        <w:t xml:space="preserve"> assertion </w:t>
      </w:r>
      <w:r w:rsidR="00F96C75" w:rsidRPr="004C59B4">
        <w:rPr>
          <w:rFonts w:ascii="Arial" w:hAnsi="Arial" w:cs="Arial"/>
          <w:sz w:val="24"/>
          <w:szCs w:val="24"/>
        </w:rPr>
        <w:t xml:space="preserve">that he did not accept that the money was due to Imbuko, </w:t>
      </w:r>
      <w:r w:rsidR="00694DFC" w:rsidRPr="004C59B4">
        <w:rPr>
          <w:rFonts w:ascii="Arial" w:hAnsi="Arial" w:cs="Arial"/>
          <w:sz w:val="24"/>
          <w:szCs w:val="24"/>
        </w:rPr>
        <w:t xml:space="preserve">can simply not be true because, </w:t>
      </w:r>
      <w:r w:rsidR="00B61532" w:rsidRPr="004C59B4">
        <w:rPr>
          <w:rFonts w:ascii="Arial" w:hAnsi="Arial" w:cs="Arial"/>
          <w:sz w:val="24"/>
          <w:szCs w:val="24"/>
        </w:rPr>
        <w:t xml:space="preserve">in addition to </w:t>
      </w:r>
      <w:r w:rsidR="00694DFC" w:rsidRPr="004C59B4">
        <w:rPr>
          <w:rFonts w:ascii="Arial" w:hAnsi="Arial" w:cs="Arial"/>
          <w:sz w:val="24"/>
          <w:szCs w:val="24"/>
        </w:rPr>
        <w:t>the ‘disputed’ payment of R20 000 on 21 May 2013, Reference Audio made another payment on 16 April 2013.</w:t>
      </w:r>
      <w:r w:rsidR="009F67DD" w:rsidRPr="004C59B4">
        <w:rPr>
          <w:rFonts w:ascii="Arial" w:hAnsi="Arial" w:cs="Arial"/>
          <w:sz w:val="24"/>
          <w:szCs w:val="24"/>
        </w:rPr>
        <w:t xml:space="preserve"> </w:t>
      </w:r>
    </w:p>
    <w:p w14:paraId="425000C6" w14:textId="77777777" w:rsidR="00694DFC" w:rsidRPr="004C59B4" w:rsidRDefault="00694DFC" w:rsidP="00D260CA">
      <w:pPr>
        <w:rPr>
          <w:rFonts w:ascii="Arial" w:hAnsi="Arial" w:cs="Arial"/>
          <w:sz w:val="24"/>
          <w:szCs w:val="24"/>
        </w:rPr>
      </w:pPr>
    </w:p>
    <w:p w14:paraId="2CE86BCC" w14:textId="7DE6D3DA" w:rsidR="008560CD" w:rsidRPr="004C59B4" w:rsidRDefault="00694DFC" w:rsidP="00694DFC">
      <w:pPr>
        <w:numPr>
          <w:ilvl w:val="0"/>
          <w:numId w:val="1"/>
        </w:numPr>
        <w:shd w:val="clear" w:color="auto" w:fill="FFFFFF"/>
        <w:spacing w:before="120" w:after="720"/>
        <w:ind w:left="0" w:firstLine="0"/>
        <w:contextualSpacing/>
        <w:rPr>
          <w:rFonts w:ascii="Arial" w:hAnsi="Arial" w:cs="Arial"/>
          <w:sz w:val="24"/>
          <w:szCs w:val="24"/>
        </w:rPr>
      </w:pPr>
      <w:r w:rsidRPr="004C59B4">
        <w:rPr>
          <w:rFonts w:ascii="Arial" w:hAnsi="Arial" w:cs="Arial"/>
          <w:sz w:val="24"/>
          <w:szCs w:val="24"/>
        </w:rPr>
        <w:lastRenderedPageBreak/>
        <w:t>As mentioned already, a total of nine invoices were sent to Reference Audio between January and April 2013</w:t>
      </w:r>
      <w:r w:rsidR="00EE498D" w:rsidRPr="004C59B4">
        <w:rPr>
          <w:rFonts w:ascii="Arial" w:hAnsi="Arial" w:cs="Arial"/>
          <w:sz w:val="24"/>
          <w:szCs w:val="24"/>
        </w:rPr>
        <w:t xml:space="preserve"> reflecting Reference Audio as the debtor of Imbuko in respect of goods purchased from Dipole</w:t>
      </w:r>
      <w:r w:rsidRPr="004C59B4">
        <w:rPr>
          <w:rFonts w:ascii="Arial" w:hAnsi="Arial" w:cs="Arial"/>
          <w:sz w:val="24"/>
          <w:szCs w:val="24"/>
        </w:rPr>
        <w:t xml:space="preserve">. </w:t>
      </w:r>
      <w:r w:rsidR="0028590B" w:rsidRPr="004C59B4">
        <w:rPr>
          <w:rFonts w:ascii="Arial" w:hAnsi="Arial" w:cs="Arial"/>
          <w:sz w:val="24"/>
          <w:szCs w:val="24"/>
        </w:rPr>
        <w:t>Not</w:t>
      </w:r>
      <w:r w:rsidR="009847CA" w:rsidRPr="004C59B4">
        <w:rPr>
          <w:rFonts w:ascii="Arial" w:eastAsia="Times New Roman" w:hAnsi="Arial" w:cs="Arial"/>
          <w:sz w:val="24"/>
          <w:szCs w:val="24"/>
          <w:lang w:val="en-US" w:eastAsia="en-ZA"/>
        </w:rPr>
        <w:t xml:space="preserve"> once did </w:t>
      </w:r>
      <w:r w:rsidRPr="004C59B4">
        <w:rPr>
          <w:rFonts w:ascii="Arial" w:eastAsia="Times New Roman" w:hAnsi="Arial" w:cs="Arial"/>
          <w:sz w:val="24"/>
          <w:szCs w:val="24"/>
          <w:lang w:val="en-US" w:eastAsia="en-ZA"/>
        </w:rPr>
        <w:t>Reference Audio</w:t>
      </w:r>
      <w:r w:rsidR="009F67DD" w:rsidRPr="004C59B4">
        <w:rPr>
          <w:rFonts w:ascii="Arial" w:eastAsia="Times New Roman" w:hAnsi="Arial" w:cs="Arial"/>
          <w:sz w:val="24"/>
          <w:szCs w:val="24"/>
          <w:lang w:val="en-US" w:eastAsia="en-ZA"/>
        </w:rPr>
        <w:t xml:space="preserve"> </w:t>
      </w:r>
      <w:r w:rsidR="00FB0D29" w:rsidRPr="004C59B4">
        <w:rPr>
          <w:rFonts w:ascii="Arial" w:eastAsia="Times New Roman" w:hAnsi="Arial" w:cs="Arial"/>
          <w:sz w:val="24"/>
          <w:szCs w:val="24"/>
          <w:lang w:val="en-US" w:eastAsia="en-ZA"/>
        </w:rPr>
        <w:t xml:space="preserve">dispute </w:t>
      </w:r>
      <w:r w:rsidR="00AB542B" w:rsidRPr="004C59B4">
        <w:rPr>
          <w:rFonts w:ascii="Arial" w:eastAsia="Times New Roman" w:hAnsi="Arial" w:cs="Arial"/>
          <w:sz w:val="24"/>
          <w:szCs w:val="24"/>
          <w:lang w:val="en-US" w:eastAsia="en-ZA"/>
        </w:rPr>
        <w:t>the contents</w:t>
      </w:r>
      <w:r w:rsidR="00FB0D29" w:rsidRPr="004C59B4">
        <w:rPr>
          <w:rFonts w:ascii="Arial" w:eastAsia="Times New Roman" w:hAnsi="Arial" w:cs="Arial"/>
          <w:sz w:val="24"/>
          <w:szCs w:val="24"/>
          <w:lang w:val="en-US" w:eastAsia="en-ZA"/>
        </w:rPr>
        <w:t>,</w:t>
      </w:r>
      <w:r w:rsidR="00AB542B" w:rsidRPr="004C59B4">
        <w:rPr>
          <w:rFonts w:ascii="Arial" w:eastAsia="Times New Roman" w:hAnsi="Arial" w:cs="Arial"/>
          <w:sz w:val="24"/>
          <w:szCs w:val="24"/>
          <w:lang w:val="en-US" w:eastAsia="en-ZA"/>
        </w:rPr>
        <w:t xml:space="preserve"> </w:t>
      </w:r>
      <w:r w:rsidR="00F96C75" w:rsidRPr="004C59B4">
        <w:rPr>
          <w:rFonts w:ascii="Arial" w:eastAsia="Times New Roman" w:hAnsi="Arial" w:cs="Arial"/>
          <w:sz w:val="24"/>
          <w:szCs w:val="24"/>
          <w:lang w:val="en-US" w:eastAsia="en-ZA"/>
        </w:rPr>
        <w:t>as</w:t>
      </w:r>
      <w:r w:rsidR="000544FB" w:rsidRPr="004C59B4">
        <w:rPr>
          <w:rFonts w:ascii="Arial" w:eastAsia="Times New Roman" w:hAnsi="Arial" w:cs="Arial"/>
          <w:sz w:val="24"/>
          <w:szCs w:val="24"/>
          <w:lang w:val="en-US" w:eastAsia="en-ZA"/>
        </w:rPr>
        <w:t xml:space="preserve"> </w:t>
      </w:r>
      <w:r w:rsidR="00EE498D" w:rsidRPr="004C59B4">
        <w:rPr>
          <w:rFonts w:ascii="Arial" w:eastAsia="Times New Roman" w:hAnsi="Arial" w:cs="Arial"/>
          <w:sz w:val="24"/>
          <w:szCs w:val="24"/>
          <w:lang w:val="en-US" w:eastAsia="en-ZA"/>
        </w:rPr>
        <w:t xml:space="preserve">would have been expected from a person who bore no knowledge of what was being asserted </w:t>
      </w:r>
      <w:r w:rsidR="00F96C75" w:rsidRPr="004C59B4">
        <w:rPr>
          <w:rFonts w:ascii="Arial" w:eastAsia="Times New Roman" w:hAnsi="Arial" w:cs="Arial"/>
          <w:sz w:val="24"/>
          <w:szCs w:val="24"/>
          <w:lang w:val="en-US" w:eastAsia="en-ZA"/>
        </w:rPr>
        <w:t xml:space="preserve">in </w:t>
      </w:r>
      <w:r w:rsidR="00EE498D" w:rsidRPr="004C59B4">
        <w:rPr>
          <w:rFonts w:ascii="Arial" w:eastAsia="Times New Roman" w:hAnsi="Arial" w:cs="Arial"/>
          <w:sz w:val="24"/>
          <w:szCs w:val="24"/>
          <w:lang w:val="en-US" w:eastAsia="en-ZA"/>
        </w:rPr>
        <w:t xml:space="preserve">the invoices. </w:t>
      </w:r>
      <w:r w:rsidR="009847CA" w:rsidRPr="004C59B4">
        <w:rPr>
          <w:rFonts w:ascii="Arial" w:eastAsia="Times New Roman" w:hAnsi="Arial" w:cs="Arial"/>
          <w:sz w:val="24"/>
          <w:szCs w:val="24"/>
          <w:lang w:val="en-US" w:eastAsia="en-ZA"/>
        </w:rPr>
        <w:t xml:space="preserve">As </w:t>
      </w:r>
      <w:r w:rsidR="004872D1" w:rsidRPr="004C59B4">
        <w:rPr>
          <w:rFonts w:ascii="Arial" w:eastAsia="Times New Roman" w:hAnsi="Arial" w:cs="Arial"/>
          <w:sz w:val="24"/>
          <w:szCs w:val="24"/>
          <w:lang w:val="en-US" w:eastAsia="en-ZA"/>
        </w:rPr>
        <w:t xml:space="preserve">trenchantly observed </w:t>
      </w:r>
      <w:r w:rsidR="009847CA" w:rsidRPr="004C59B4">
        <w:rPr>
          <w:rFonts w:ascii="Arial" w:eastAsia="Times New Roman" w:hAnsi="Arial" w:cs="Arial"/>
          <w:sz w:val="24"/>
          <w:szCs w:val="24"/>
          <w:lang w:val="en-US" w:eastAsia="en-ZA"/>
        </w:rPr>
        <w:t xml:space="preserve">in </w:t>
      </w:r>
      <w:r w:rsidR="00802C62" w:rsidRPr="004C59B4">
        <w:rPr>
          <w:rFonts w:ascii="Arial" w:hAnsi="Arial" w:cs="Arial"/>
          <w:i/>
          <w:sz w:val="24"/>
          <w:szCs w:val="24"/>
        </w:rPr>
        <w:t>Mc</w:t>
      </w:r>
      <w:r w:rsidR="000544FB" w:rsidRPr="004C59B4">
        <w:rPr>
          <w:rFonts w:ascii="Arial" w:hAnsi="Arial" w:cs="Arial"/>
          <w:i/>
          <w:sz w:val="24"/>
          <w:szCs w:val="24"/>
        </w:rPr>
        <w:t>W</w:t>
      </w:r>
      <w:r w:rsidR="00802C62" w:rsidRPr="004C59B4">
        <w:rPr>
          <w:rFonts w:ascii="Arial" w:hAnsi="Arial" w:cs="Arial"/>
          <w:i/>
          <w:sz w:val="24"/>
          <w:szCs w:val="24"/>
        </w:rPr>
        <w:t>illiams v First Consolidated Holdings (Pty) Ltd</w:t>
      </w:r>
      <w:r w:rsidR="00802C62" w:rsidRPr="004C59B4">
        <w:rPr>
          <w:rFonts w:ascii="Arial" w:hAnsi="Arial" w:cs="Arial"/>
          <w:sz w:val="24"/>
          <w:szCs w:val="24"/>
        </w:rPr>
        <w:t xml:space="preserve"> 1982 (2) SA 1</w:t>
      </w:r>
      <w:r w:rsidR="003C0304" w:rsidRPr="004C59B4">
        <w:rPr>
          <w:rFonts w:ascii="Arial" w:hAnsi="Arial" w:cs="Arial"/>
          <w:sz w:val="24"/>
          <w:szCs w:val="24"/>
        </w:rPr>
        <w:t xml:space="preserve"> </w:t>
      </w:r>
      <w:r w:rsidR="00FC510E" w:rsidRPr="004C59B4">
        <w:rPr>
          <w:rFonts w:ascii="Arial" w:hAnsi="Arial" w:cs="Arial"/>
          <w:sz w:val="24"/>
          <w:szCs w:val="24"/>
        </w:rPr>
        <w:t xml:space="preserve">(A) </w:t>
      </w:r>
      <w:r w:rsidR="000343E8" w:rsidRPr="004C59B4">
        <w:rPr>
          <w:rFonts w:ascii="Arial" w:hAnsi="Arial" w:cs="Arial"/>
          <w:sz w:val="24"/>
          <w:szCs w:val="24"/>
        </w:rPr>
        <w:t>at 10E-F</w:t>
      </w:r>
      <w:r w:rsidR="003C0304" w:rsidRPr="004C59B4">
        <w:rPr>
          <w:rFonts w:ascii="Arial" w:hAnsi="Arial" w:cs="Arial"/>
          <w:sz w:val="24"/>
          <w:szCs w:val="24"/>
        </w:rPr>
        <w:t>:</w:t>
      </w:r>
      <w:r w:rsidR="00802C62" w:rsidRPr="004C59B4">
        <w:rPr>
          <w:rFonts w:ascii="Arial" w:hAnsi="Arial" w:cs="Arial"/>
          <w:sz w:val="24"/>
          <w:szCs w:val="24"/>
        </w:rPr>
        <w:t xml:space="preserve"> </w:t>
      </w:r>
    </w:p>
    <w:p w14:paraId="0CBD37C6" w14:textId="155AFFD0" w:rsidR="00123227" w:rsidRPr="004C59B4" w:rsidRDefault="00802C62" w:rsidP="005F39AE">
      <w:pPr>
        <w:rPr>
          <w:rFonts w:ascii="Arial" w:eastAsia="Times New Roman" w:hAnsi="Arial" w:cs="Arial"/>
          <w:lang w:val="en-US" w:eastAsia="en-ZA"/>
        </w:rPr>
      </w:pPr>
      <w:r w:rsidRPr="004C59B4">
        <w:rPr>
          <w:rFonts w:ascii="Arial" w:hAnsi="Arial" w:cs="Arial"/>
        </w:rPr>
        <w:t>‘</w:t>
      </w:r>
      <w:r w:rsidR="003C0304" w:rsidRPr="004C59B4">
        <w:rPr>
          <w:rFonts w:ascii="Arial" w:hAnsi="Arial" w:cs="Arial"/>
        </w:rPr>
        <w:t xml:space="preserve">…[I]n </w:t>
      </w:r>
      <w:r w:rsidRPr="004C59B4">
        <w:rPr>
          <w:rFonts w:ascii="Arial" w:hAnsi="Arial" w:cs="Arial"/>
        </w:rPr>
        <w:t xml:space="preserve">general, when according to ordinary commercial practice and human expectation firm repudiation of </w:t>
      </w:r>
      <w:r w:rsidR="003C0304" w:rsidRPr="004C59B4">
        <w:rPr>
          <w:rFonts w:ascii="Arial" w:hAnsi="Arial" w:cs="Arial"/>
        </w:rPr>
        <w:t xml:space="preserve">… </w:t>
      </w:r>
      <w:r w:rsidRPr="004C59B4">
        <w:rPr>
          <w:rFonts w:ascii="Arial" w:hAnsi="Arial" w:cs="Arial"/>
        </w:rPr>
        <w:t xml:space="preserve">an assertion would be the norm if it was not accepted as correct, such party’s silence and inaction, unless satisfactorily explained, may be taken to constitute an admission by him of the truth of the assertion, or at least will be an important factor telling against him in the assessment of the probabilities and in the final determination of the </w:t>
      </w:r>
      <w:r w:rsidR="00FC510E" w:rsidRPr="004C59B4">
        <w:rPr>
          <w:rFonts w:ascii="Arial" w:hAnsi="Arial" w:cs="Arial"/>
        </w:rPr>
        <w:t>dispute.</w:t>
      </w:r>
      <w:r w:rsidR="003C0304" w:rsidRPr="004C59B4">
        <w:rPr>
          <w:rFonts w:ascii="Arial" w:hAnsi="Arial" w:cs="Arial"/>
        </w:rPr>
        <w:t>’</w:t>
      </w:r>
      <w:r w:rsidRPr="004C59B4">
        <w:rPr>
          <w:rFonts w:ascii="Arial" w:hAnsi="Arial" w:cs="Arial"/>
        </w:rPr>
        <w:t xml:space="preserve"> </w:t>
      </w:r>
    </w:p>
    <w:p w14:paraId="0BE3601A" w14:textId="3121EB48" w:rsidR="00802C62" w:rsidRPr="004C59B4" w:rsidRDefault="00802C62" w:rsidP="00123227">
      <w:pPr>
        <w:rPr>
          <w:rFonts w:ascii="Arial" w:hAnsi="Arial" w:cs="Arial"/>
          <w:sz w:val="24"/>
          <w:szCs w:val="24"/>
        </w:rPr>
      </w:pPr>
    </w:p>
    <w:p w14:paraId="7FBD4E54" w14:textId="2900EE6F" w:rsidR="00123227" w:rsidRPr="004C59B4" w:rsidRDefault="00845A11" w:rsidP="00D054BC">
      <w:pPr>
        <w:numPr>
          <w:ilvl w:val="0"/>
          <w:numId w:val="1"/>
        </w:numPr>
        <w:shd w:val="clear" w:color="auto" w:fill="FFFFFF"/>
        <w:spacing w:before="144" w:after="360"/>
        <w:ind w:left="0" w:firstLine="0"/>
        <w:rPr>
          <w:rFonts w:ascii="Arial" w:eastAsia="Times New Roman" w:hAnsi="Arial" w:cs="Arial"/>
          <w:sz w:val="24"/>
          <w:szCs w:val="24"/>
          <w:lang w:val="en-GB" w:eastAsia="en-ZA"/>
        </w:rPr>
      </w:pPr>
      <w:r w:rsidRPr="004C59B4">
        <w:rPr>
          <w:rFonts w:ascii="Arial" w:eastAsia="Times New Roman" w:hAnsi="Arial" w:cs="Arial"/>
          <w:sz w:val="24"/>
          <w:szCs w:val="24"/>
          <w:lang w:val="en-US" w:eastAsia="en-ZA"/>
        </w:rPr>
        <w:t xml:space="preserve">In my view, from the objective factors, and the conduct of the parties, it can safely be </w:t>
      </w:r>
      <w:r w:rsidR="00D46FFD" w:rsidRPr="004C59B4">
        <w:rPr>
          <w:rFonts w:ascii="Arial" w:eastAsia="Times New Roman" w:hAnsi="Arial" w:cs="Arial"/>
          <w:sz w:val="24"/>
          <w:szCs w:val="24"/>
          <w:lang w:val="en-US" w:eastAsia="en-ZA"/>
        </w:rPr>
        <w:t xml:space="preserve">concluded </w:t>
      </w:r>
      <w:r w:rsidRPr="004C59B4">
        <w:rPr>
          <w:rFonts w:ascii="Arial" w:eastAsia="Times New Roman" w:hAnsi="Arial" w:cs="Arial"/>
          <w:sz w:val="24"/>
          <w:szCs w:val="24"/>
          <w:lang w:val="en-US" w:eastAsia="en-ZA"/>
        </w:rPr>
        <w:t xml:space="preserve">that Reference Audio was not only aware of the cession, but conducted itself consistently </w:t>
      </w:r>
      <w:r w:rsidR="00AB542B" w:rsidRPr="004C59B4">
        <w:rPr>
          <w:rFonts w:ascii="Arial" w:eastAsia="Times New Roman" w:hAnsi="Arial" w:cs="Arial"/>
          <w:sz w:val="24"/>
          <w:szCs w:val="24"/>
          <w:lang w:val="en-US" w:eastAsia="en-ZA"/>
        </w:rPr>
        <w:t xml:space="preserve">in terms thereof. </w:t>
      </w:r>
      <w:r w:rsidR="00123227" w:rsidRPr="004C59B4">
        <w:rPr>
          <w:rFonts w:ascii="Arial" w:eastAsia="Times New Roman" w:hAnsi="Arial" w:cs="Arial"/>
          <w:sz w:val="24"/>
          <w:szCs w:val="24"/>
          <w:lang w:val="en-US" w:eastAsia="en-ZA"/>
        </w:rPr>
        <w:t>It is inconceivable that Reference Audio would have made the interim payments it did,</w:t>
      </w:r>
      <w:r w:rsidR="00D46FFD" w:rsidRPr="004C59B4">
        <w:t xml:space="preserve"> </w:t>
      </w:r>
      <w:r w:rsidR="00D46FFD" w:rsidRPr="004C59B4">
        <w:rPr>
          <w:rFonts w:ascii="Arial" w:hAnsi="Arial" w:cs="Arial"/>
          <w:sz w:val="24"/>
          <w:szCs w:val="24"/>
        </w:rPr>
        <w:t>if it did not consider the moneys to be due to Imbuko</w:t>
      </w:r>
      <w:r w:rsidR="00D46FFD" w:rsidRPr="004C59B4">
        <w:t>.</w:t>
      </w:r>
      <w:r w:rsidRPr="004C59B4">
        <w:rPr>
          <w:rFonts w:ascii="Arial" w:eastAsia="Times New Roman" w:hAnsi="Arial" w:cs="Arial"/>
          <w:sz w:val="24"/>
          <w:szCs w:val="24"/>
          <w:lang w:val="en-US" w:eastAsia="en-ZA"/>
        </w:rPr>
        <w:t xml:space="preserve"> Reference Audio’s attempt to explain away its payment of R20 000 to Imbuko is unconvincing. If </w:t>
      </w:r>
      <w:r w:rsidR="002B2F09" w:rsidRPr="004C59B4">
        <w:rPr>
          <w:rFonts w:ascii="Arial" w:eastAsia="Times New Roman" w:hAnsi="Arial" w:cs="Arial"/>
          <w:sz w:val="24"/>
          <w:szCs w:val="24"/>
          <w:lang w:val="en-US" w:eastAsia="en-ZA"/>
        </w:rPr>
        <w:t xml:space="preserve">indeed this was payment in error, one would have expected Reference Audio to take steps to recover the money by means of the </w:t>
      </w:r>
      <w:r w:rsidR="002B2F09" w:rsidRPr="004C59B4">
        <w:rPr>
          <w:rFonts w:ascii="Arial" w:hAnsi="Arial" w:cs="Arial"/>
          <w:i/>
          <w:iCs/>
          <w:sz w:val="24"/>
          <w:szCs w:val="24"/>
        </w:rPr>
        <w:t>condictio indebiti</w:t>
      </w:r>
      <w:r w:rsidR="002B2F09" w:rsidRPr="004C59B4">
        <w:rPr>
          <w:rFonts w:ascii="Arial" w:hAnsi="Arial" w:cs="Arial"/>
          <w:sz w:val="24"/>
          <w:szCs w:val="24"/>
          <w:shd w:val="clear" w:color="auto" w:fill="FFFFFF"/>
        </w:rPr>
        <w:t>.</w:t>
      </w:r>
      <w:r w:rsidR="00604AF6" w:rsidRPr="004C59B4">
        <w:rPr>
          <w:rFonts w:ascii="Arial" w:hAnsi="Arial" w:cs="Arial"/>
          <w:sz w:val="24"/>
          <w:szCs w:val="24"/>
          <w:shd w:val="clear" w:color="auto" w:fill="FFFFFF"/>
        </w:rPr>
        <w:t xml:space="preserve"> This did not happen, at least up to the time when the trial took place and there was no suggestion in Mr Hoffmann’s testimony that there were plans to recover this amount.</w:t>
      </w:r>
      <w:r w:rsidR="009544FE" w:rsidRPr="004C59B4">
        <w:rPr>
          <w:rFonts w:ascii="Arial" w:hAnsi="Arial" w:cs="Arial"/>
          <w:sz w:val="24"/>
          <w:szCs w:val="24"/>
          <w:shd w:val="clear" w:color="auto" w:fill="FFFFFF"/>
        </w:rPr>
        <w:t xml:space="preserve"> </w:t>
      </w:r>
      <w:r w:rsidR="00585D74" w:rsidRPr="004C59B4">
        <w:rPr>
          <w:rFonts w:ascii="Arial" w:hAnsi="Arial" w:cs="Arial"/>
          <w:sz w:val="24"/>
          <w:szCs w:val="24"/>
          <w:shd w:val="clear" w:color="auto" w:fill="FFFFFF"/>
        </w:rPr>
        <w:t xml:space="preserve">The high court’s </w:t>
      </w:r>
      <w:r w:rsidR="003C1BA2" w:rsidRPr="004C59B4">
        <w:rPr>
          <w:rFonts w:ascii="Arial" w:hAnsi="Arial" w:cs="Arial"/>
          <w:sz w:val="24"/>
          <w:szCs w:val="24"/>
          <w:shd w:val="clear" w:color="auto" w:fill="FFFFFF"/>
        </w:rPr>
        <w:t>conclusion that Reference</w:t>
      </w:r>
      <w:r w:rsidR="007421A1" w:rsidRPr="004C59B4">
        <w:rPr>
          <w:rFonts w:ascii="Arial" w:hAnsi="Arial" w:cs="Arial"/>
          <w:sz w:val="24"/>
          <w:szCs w:val="24"/>
          <w:shd w:val="clear" w:color="auto" w:fill="FFFFFF"/>
        </w:rPr>
        <w:t xml:space="preserve"> </w:t>
      </w:r>
      <w:r w:rsidR="003C1BA2" w:rsidRPr="004C59B4">
        <w:rPr>
          <w:rFonts w:ascii="Arial" w:hAnsi="Arial" w:cs="Arial"/>
          <w:sz w:val="24"/>
          <w:szCs w:val="24"/>
          <w:shd w:val="clear" w:color="auto" w:fill="FFFFFF"/>
        </w:rPr>
        <w:t>Audio had knowledge of the cession</w:t>
      </w:r>
      <w:r w:rsidR="007421A1" w:rsidRPr="004C59B4">
        <w:rPr>
          <w:rFonts w:ascii="Arial" w:hAnsi="Arial" w:cs="Arial"/>
          <w:sz w:val="24"/>
          <w:szCs w:val="24"/>
          <w:shd w:val="clear" w:color="auto" w:fill="FFFFFF"/>
        </w:rPr>
        <w:t xml:space="preserve"> was </w:t>
      </w:r>
      <w:r w:rsidR="00D01B8A" w:rsidRPr="004C59B4">
        <w:rPr>
          <w:rFonts w:ascii="Arial" w:hAnsi="Arial" w:cs="Arial"/>
          <w:sz w:val="24"/>
          <w:szCs w:val="24"/>
          <w:shd w:val="clear" w:color="auto" w:fill="FFFFFF"/>
        </w:rPr>
        <w:t xml:space="preserve">therefore </w:t>
      </w:r>
      <w:r w:rsidR="007421A1" w:rsidRPr="004C59B4">
        <w:rPr>
          <w:rFonts w:ascii="Arial" w:hAnsi="Arial" w:cs="Arial"/>
          <w:sz w:val="24"/>
          <w:szCs w:val="24"/>
          <w:shd w:val="clear" w:color="auto" w:fill="FFFFFF"/>
        </w:rPr>
        <w:t>correct</w:t>
      </w:r>
      <w:r w:rsidR="003C1BA2" w:rsidRPr="004C59B4">
        <w:rPr>
          <w:rFonts w:ascii="Arial" w:hAnsi="Arial" w:cs="Arial"/>
          <w:sz w:val="24"/>
          <w:szCs w:val="24"/>
          <w:shd w:val="clear" w:color="auto" w:fill="FFFFFF"/>
        </w:rPr>
        <w:t>.</w:t>
      </w:r>
    </w:p>
    <w:p w14:paraId="4A6AD36F" w14:textId="58C17A7D" w:rsidR="00AB15E5" w:rsidRPr="00D054BC" w:rsidRDefault="00604AF6" w:rsidP="00D054BC">
      <w:pPr>
        <w:numPr>
          <w:ilvl w:val="0"/>
          <w:numId w:val="1"/>
        </w:numPr>
        <w:shd w:val="clear" w:color="auto" w:fill="FFFFFF"/>
        <w:spacing w:before="144" w:after="360"/>
        <w:ind w:left="0" w:firstLine="0"/>
        <w:rPr>
          <w:rFonts w:ascii="Arial" w:eastAsia="Times New Roman" w:hAnsi="Arial" w:cs="Arial"/>
          <w:sz w:val="24"/>
          <w:szCs w:val="24"/>
          <w:lang w:val="en-GB" w:eastAsia="en-ZA"/>
        </w:rPr>
      </w:pPr>
      <w:r w:rsidRPr="004C59B4">
        <w:rPr>
          <w:rFonts w:ascii="Arial" w:eastAsia="Times New Roman" w:hAnsi="Arial" w:cs="Arial"/>
          <w:sz w:val="24"/>
          <w:szCs w:val="24"/>
          <w:lang w:val="en-US" w:eastAsia="en-ZA"/>
        </w:rPr>
        <w:t>I</w:t>
      </w:r>
      <w:r w:rsidR="008F2CEC" w:rsidRPr="004C59B4">
        <w:rPr>
          <w:rFonts w:ascii="Arial" w:eastAsia="Times New Roman" w:hAnsi="Arial" w:cs="Arial"/>
          <w:sz w:val="24"/>
          <w:szCs w:val="24"/>
          <w:lang w:val="en-US" w:eastAsia="en-ZA"/>
        </w:rPr>
        <w:t>t remains to</w:t>
      </w:r>
      <w:r w:rsidRPr="004C59B4">
        <w:rPr>
          <w:rFonts w:ascii="Arial" w:eastAsia="Times New Roman" w:hAnsi="Arial" w:cs="Arial"/>
          <w:sz w:val="24"/>
          <w:szCs w:val="24"/>
          <w:lang w:val="en-US" w:eastAsia="en-ZA"/>
        </w:rPr>
        <w:t xml:space="preserve"> </w:t>
      </w:r>
      <w:r w:rsidR="0028590B" w:rsidRPr="004C59B4">
        <w:rPr>
          <w:rFonts w:ascii="Arial" w:eastAsia="Times New Roman" w:hAnsi="Arial" w:cs="Arial"/>
          <w:sz w:val="24"/>
          <w:szCs w:val="24"/>
          <w:lang w:val="en-US" w:eastAsia="en-ZA"/>
        </w:rPr>
        <w:t xml:space="preserve">consider whether Reference Audio discharged its onus to prove payments to Dipole. It simply did not. </w:t>
      </w:r>
      <w:r w:rsidR="00EE498D" w:rsidRPr="004C59B4">
        <w:rPr>
          <w:rFonts w:ascii="Arial" w:eastAsia="Times New Roman" w:hAnsi="Arial" w:cs="Arial"/>
          <w:sz w:val="24"/>
          <w:szCs w:val="24"/>
          <w:lang w:val="en-US" w:eastAsia="en-ZA"/>
        </w:rPr>
        <w:t xml:space="preserve">Mr Hoffmann presented </w:t>
      </w:r>
      <w:r w:rsidR="002A7E42" w:rsidRPr="004C59B4">
        <w:rPr>
          <w:rFonts w:ascii="Arial" w:eastAsia="Times New Roman" w:hAnsi="Arial" w:cs="Arial"/>
          <w:sz w:val="24"/>
          <w:szCs w:val="24"/>
          <w:lang w:val="en-GB" w:eastAsia="en-ZA"/>
        </w:rPr>
        <w:t>no</w:t>
      </w:r>
      <w:r w:rsidR="00F73163" w:rsidRPr="004C59B4">
        <w:rPr>
          <w:rFonts w:ascii="Arial" w:eastAsia="Times New Roman" w:hAnsi="Arial" w:cs="Arial"/>
          <w:sz w:val="24"/>
          <w:szCs w:val="24"/>
          <w:lang w:val="en-GB" w:eastAsia="en-ZA"/>
        </w:rPr>
        <w:t>t an</w:t>
      </w:r>
      <w:r w:rsidR="002A7E42" w:rsidRPr="004C59B4">
        <w:rPr>
          <w:rFonts w:ascii="Arial" w:eastAsia="Times New Roman" w:hAnsi="Arial" w:cs="Arial"/>
          <w:sz w:val="24"/>
          <w:szCs w:val="24"/>
          <w:lang w:val="en-GB" w:eastAsia="en-ZA"/>
        </w:rPr>
        <w:t xml:space="preserve"> iota of evidence</w:t>
      </w:r>
      <w:r w:rsidR="0028590B" w:rsidRPr="004C59B4">
        <w:rPr>
          <w:rFonts w:ascii="Arial" w:eastAsia="Times New Roman" w:hAnsi="Arial" w:cs="Arial"/>
          <w:sz w:val="24"/>
          <w:szCs w:val="24"/>
          <w:lang w:val="en-GB" w:eastAsia="en-ZA"/>
        </w:rPr>
        <w:t xml:space="preserve"> to the court</w:t>
      </w:r>
      <w:r w:rsidR="002A7E42" w:rsidRPr="004C59B4">
        <w:rPr>
          <w:rFonts w:ascii="Arial" w:eastAsia="Times New Roman" w:hAnsi="Arial" w:cs="Arial"/>
          <w:sz w:val="24"/>
          <w:szCs w:val="24"/>
          <w:lang w:val="en-GB" w:eastAsia="en-ZA"/>
        </w:rPr>
        <w:t xml:space="preserve"> </w:t>
      </w:r>
      <w:r w:rsidR="00EE498D" w:rsidRPr="004C59B4">
        <w:rPr>
          <w:rFonts w:ascii="Arial" w:eastAsia="Times New Roman" w:hAnsi="Arial" w:cs="Arial"/>
          <w:sz w:val="24"/>
          <w:szCs w:val="24"/>
          <w:lang w:val="en-GB" w:eastAsia="en-ZA"/>
        </w:rPr>
        <w:t xml:space="preserve">to prove </w:t>
      </w:r>
      <w:r w:rsidR="00D054BC" w:rsidRPr="004C59B4">
        <w:rPr>
          <w:rFonts w:ascii="Arial" w:eastAsia="Times New Roman" w:hAnsi="Arial" w:cs="Arial"/>
          <w:sz w:val="24"/>
          <w:szCs w:val="24"/>
          <w:lang w:val="en-GB" w:eastAsia="en-ZA"/>
        </w:rPr>
        <w:t>payments</w:t>
      </w:r>
      <w:r w:rsidR="0028590B" w:rsidRPr="004C59B4">
        <w:rPr>
          <w:rFonts w:ascii="Arial" w:eastAsia="Times New Roman" w:hAnsi="Arial" w:cs="Arial"/>
          <w:sz w:val="24"/>
          <w:szCs w:val="24"/>
          <w:lang w:val="en-GB" w:eastAsia="en-ZA"/>
        </w:rPr>
        <w:t xml:space="preserve"> by Reference Audio</w:t>
      </w:r>
      <w:r w:rsidR="00D054BC" w:rsidRPr="004C59B4">
        <w:rPr>
          <w:rFonts w:ascii="Arial" w:eastAsia="Times New Roman" w:hAnsi="Arial" w:cs="Arial"/>
          <w:sz w:val="24"/>
          <w:szCs w:val="24"/>
          <w:lang w:val="en-GB" w:eastAsia="en-ZA"/>
        </w:rPr>
        <w:t xml:space="preserve"> to Dipole. </w:t>
      </w:r>
      <w:r w:rsidR="0028590B" w:rsidRPr="004C59B4">
        <w:rPr>
          <w:rFonts w:ascii="Arial" w:eastAsia="Times New Roman" w:hAnsi="Arial" w:cs="Arial"/>
          <w:sz w:val="24"/>
          <w:szCs w:val="24"/>
          <w:lang w:val="en-GB" w:eastAsia="en-ZA"/>
        </w:rPr>
        <w:t xml:space="preserve">Instead, </w:t>
      </w:r>
      <w:r w:rsidR="00EE498D" w:rsidRPr="004C59B4">
        <w:rPr>
          <w:rFonts w:ascii="Arial" w:eastAsia="Times New Roman" w:hAnsi="Arial" w:cs="Arial"/>
          <w:sz w:val="24"/>
          <w:szCs w:val="24"/>
          <w:lang w:val="en-GB" w:eastAsia="en-ZA"/>
        </w:rPr>
        <w:t xml:space="preserve">he </w:t>
      </w:r>
      <w:r w:rsidR="002A7E42" w:rsidRPr="004C59B4">
        <w:rPr>
          <w:rFonts w:ascii="Arial" w:eastAsia="Times New Roman" w:hAnsi="Arial" w:cs="Arial"/>
          <w:sz w:val="24"/>
          <w:szCs w:val="24"/>
          <w:lang w:val="en-GB" w:eastAsia="en-ZA"/>
        </w:rPr>
        <w:t xml:space="preserve">referred to </w:t>
      </w:r>
      <w:r w:rsidR="004D1E1F" w:rsidRPr="004C59B4">
        <w:rPr>
          <w:rFonts w:ascii="Arial" w:eastAsia="Times New Roman" w:hAnsi="Arial" w:cs="Arial"/>
          <w:sz w:val="24"/>
          <w:szCs w:val="24"/>
          <w:lang w:val="en-GB" w:eastAsia="en-ZA"/>
        </w:rPr>
        <w:t xml:space="preserve">a </w:t>
      </w:r>
      <w:r w:rsidR="002A7E42" w:rsidRPr="004C59B4">
        <w:rPr>
          <w:rFonts w:ascii="Arial" w:eastAsia="Times New Roman" w:hAnsi="Arial" w:cs="Arial"/>
          <w:sz w:val="24"/>
          <w:szCs w:val="24"/>
          <w:lang w:val="en-GB" w:eastAsia="en-ZA"/>
        </w:rPr>
        <w:t xml:space="preserve">schedule of payments </w:t>
      </w:r>
      <w:r w:rsidR="004D1E1F" w:rsidRPr="004C59B4">
        <w:rPr>
          <w:rFonts w:ascii="Arial" w:eastAsia="Times New Roman" w:hAnsi="Arial" w:cs="Arial"/>
          <w:sz w:val="24"/>
          <w:szCs w:val="24"/>
          <w:lang w:val="en-GB" w:eastAsia="en-ZA"/>
        </w:rPr>
        <w:t>for the period 2014 to 2015. This was irrelevant, as the period in issue was for January</w:t>
      </w:r>
      <w:r w:rsidR="0028590B" w:rsidRPr="004C59B4">
        <w:rPr>
          <w:rFonts w:ascii="Arial" w:eastAsia="Times New Roman" w:hAnsi="Arial" w:cs="Arial"/>
          <w:sz w:val="24"/>
          <w:szCs w:val="24"/>
          <w:lang w:val="en-GB" w:eastAsia="en-ZA"/>
        </w:rPr>
        <w:t xml:space="preserve"> </w:t>
      </w:r>
      <w:r w:rsidR="004D1E1F" w:rsidRPr="004C59B4">
        <w:rPr>
          <w:rFonts w:ascii="Arial" w:eastAsia="Times New Roman" w:hAnsi="Arial" w:cs="Arial"/>
          <w:sz w:val="24"/>
          <w:szCs w:val="24"/>
          <w:lang w:val="en-GB" w:eastAsia="en-ZA"/>
        </w:rPr>
        <w:t>to</w:t>
      </w:r>
      <w:r w:rsidR="00694DFC" w:rsidRPr="00637933">
        <w:rPr>
          <w:rFonts w:ascii="Arial" w:eastAsia="Times New Roman" w:hAnsi="Arial" w:cs="Arial"/>
          <w:sz w:val="24"/>
          <w:szCs w:val="24"/>
          <w:lang w:val="en-GB" w:eastAsia="en-ZA"/>
        </w:rPr>
        <w:t xml:space="preserve"> April</w:t>
      </w:r>
      <w:r w:rsidR="004D1E1F" w:rsidRPr="00637933">
        <w:rPr>
          <w:rFonts w:ascii="Arial" w:eastAsia="Times New Roman" w:hAnsi="Arial" w:cs="Arial"/>
          <w:sz w:val="24"/>
          <w:szCs w:val="24"/>
          <w:lang w:val="en-GB" w:eastAsia="en-ZA"/>
        </w:rPr>
        <w:t xml:space="preserve"> 2013</w:t>
      </w:r>
      <w:r w:rsidR="004D1E1F" w:rsidRPr="004872D1">
        <w:rPr>
          <w:rFonts w:ascii="Arial" w:eastAsia="Times New Roman" w:hAnsi="Arial" w:cs="Arial"/>
          <w:sz w:val="24"/>
          <w:szCs w:val="24"/>
          <w:lang w:val="en-GB" w:eastAsia="en-ZA"/>
        </w:rPr>
        <w:t>.</w:t>
      </w:r>
      <w:r w:rsidR="004D1E1F" w:rsidRPr="00D054BC">
        <w:rPr>
          <w:rFonts w:ascii="Arial" w:eastAsia="Times New Roman" w:hAnsi="Arial" w:cs="Arial"/>
          <w:sz w:val="24"/>
          <w:szCs w:val="24"/>
          <w:lang w:val="en-GB" w:eastAsia="en-ZA"/>
        </w:rPr>
        <w:t xml:space="preserve"> </w:t>
      </w:r>
    </w:p>
    <w:p w14:paraId="5E8392A7" w14:textId="77777777" w:rsidR="00714C77" w:rsidRPr="00714C77" w:rsidRDefault="00AB15E5" w:rsidP="00A97E67">
      <w:pPr>
        <w:numPr>
          <w:ilvl w:val="0"/>
          <w:numId w:val="1"/>
        </w:numPr>
        <w:shd w:val="clear" w:color="auto" w:fill="FFFFFF"/>
        <w:spacing w:before="144" w:after="360"/>
        <w:ind w:left="0" w:firstLine="0"/>
        <w:rPr>
          <w:rFonts w:ascii="Arial" w:eastAsia="Times New Roman" w:hAnsi="Arial" w:cs="Arial"/>
          <w:sz w:val="24"/>
          <w:szCs w:val="24"/>
          <w:lang w:val="en-GB" w:eastAsia="en-ZA"/>
        </w:rPr>
      </w:pPr>
      <w:r w:rsidRPr="00D054BC">
        <w:rPr>
          <w:rFonts w:ascii="Arial" w:eastAsia="Times New Roman" w:hAnsi="Arial" w:cs="Arial"/>
          <w:sz w:val="24"/>
          <w:szCs w:val="24"/>
          <w:lang w:val="en-US" w:eastAsia="en-ZA"/>
        </w:rPr>
        <w:t xml:space="preserve">In all the circumstances, the appeal must succeed. </w:t>
      </w:r>
    </w:p>
    <w:p w14:paraId="1FAAB330" w14:textId="38D1AA6B" w:rsidR="00DB7C60" w:rsidRPr="00D054BC" w:rsidRDefault="00AB15E5" w:rsidP="00DB7C60">
      <w:pPr>
        <w:numPr>
          <w:ilvl w:val="0"/>
          <w:numId w:val="1"/>
        </w:numPr>
        <w:shd w:val="clear" w:color="auto" w:fill="FFFFFF"/>
        <w:spacing w:before="144"/>
        <w:ind w:left="0" w:firstLine="0"/>
        <w:rPr>
          <w:rFonts w:ascii="Arial" w:eastAsia="Times New Roman" w:hAnsi="Arial" w:cs="Arial"/>
          <w:sz w:val="24"/>
          <w:szCs w:val="24"/>
          <w:lang w:val="en-GB" w:eastAsia="en-ZA"/>
        </w:rPr>
      </w:pPr>
      <w:r w:rsidRPr="00D054BC">
        <w:rPr>
          <w:rFonts w:ascii="Arial" w:eastAsia="Times New Roman" w:hAnsi="Arial" w:cs="Arial"/>
          <w:sz w:val="24"/>
          <w:szCs w:val="24"/>
          <w:lang w:val="en-US" w:eastAsia="en-ZA"/>
        </w:rPr>
        <w:t>The following order is made:</w:t>
      </w:r>
      <w:bookmarkStart w:id="27" w:name="_Hlk107787710"/>
    </w:p>
    <w:bookmarkEnd w:id="27"/>
    <w:p w14:paraId="60445DCD" w14:textId="4DDA967F" w:rsidR="00DB7C60" w:rsidRPr="00D054BC" w:rsidRDefault="00CC4065" w:rsidP="00DB7C60">
      <w:pPr>
        <w:widowControl w:val="0"/>
        <w:autoSpaceDE w:val="0"/>
        <w:autoSpaceDN w:val="0"/>
        <w:adjustRightInd w:val="0"/>
        <w:ind w:right="170"/>
        <w:contextualSpacing/>
        <w:rPr>
          <w:rFonts w:ascii="Arial" w:eastAsiaTheme="minorEastAsia" w:hAnsi="Arial" w:cs="Arial"/>
          <w:sz w:val="24"/>
          <w:szCs w:val="24"/>
          <w:lang w:eastAsia="en-ZA"/>
        </w:rPr>
      </w:pPr>
      <w:r>
        <w:rPr>
          <w:rFonts w:ascii="Arial" w:eastAsiaTheme="minorEastAsia" w:hAnsi="Arial" w:cs="Arial"/>
          <w:sz w:val="24"/>
          <w:szCs w:val="24"/>
          <w:lang w:eastAsia="en-ZA"/>
        </w:rPr>
        <w:t xml:space="preserve">1 </w:t>
      </w:r>
      <w:r w:rsidR="00DB7C60" w:rsidRPr="00D054BC">
        <w:rPr>
          <w:rFonts w:ascii="Arial" w:eastAsiaTheme="minorEastAsia" w:hAnsi="Arial" w:cs="Arial"/>
          <w:sz w:val="24"/>
          <w:szCs w:val="24"/>
          <w:lang w:eastAsia="en-ZA"/>
        </w:rPr>
        <w:t xml:space="preserve">The appeal is upheld with costs.  </w:t>
      </w:r>
    </w:p>
    <w:p w14:paraId="72A8F042" w14:textId="1F6AAA63" w:rsidR="00DB7C60" w:rsidRPr="00D054BC" w:rsidRDefault="00CC4065" w:rsidP="00DB7C60">
      <w:pPr>
        <w:widowControl w:val="0"/>
        <w:autoSpaceDE w:val="0"/>
        <w:autoSpaceDN w:val="0"/>
        <w:adjustRightInd w:val="0"/>
        <w:ind w:right="170"/>
        <w:contextualSpacing/>
        <w:rPr>
          <w:rFonts w:ascii="Arial" w:eastAsiaTheme="minorEastAsia" w:hAnsi="Arial" w:cs="Arial"/>
          <w:sz w:val="24"/>
          <w:szCs w:val="24"/>
          <w:lang w:eastAsia="en-ZA"/>
        </w:rPr>
      </w:pPr>
      <w:r>
        <w:rPr>
          <w:rFonts w:ascii="Arial" w:eastAsiaTheme="minorEastAsia" w:hAnsi="Arial" w:cs="Arial"/>
          <w:sz w:val="24"/>
          <w:szCs w:val="24"/>
          <w:lang w:eastAsia="en-ZA"/>
        </w:rPr>
        <w:lastRenderedPageBreak/>
        <w:t xml:space="preserve">2 </w:t>
      </w:r>
      <w:r w:rsidR="00DB7C60" w:rsidRPr="00D054BC">
        <w:rPr>
          <w:rFonts w:ascii="Arial" w:eastAsiaTheme="minorEastAsia" w:hAnsi="Arial" w:cs="Arial"/>
          <w:sz w:val="24"/>
          <w:szCs w:val="24"/>
          <w:lang w:eastAsia="en-ZA"/>
        </w:rPr>
        <w:t>The order of the full court is set aside and replaced with the following:</w:t>
      </w:r>
    </w:p>
    <w:p w14:paraId="1222413A" w14:textId="4821B342" w:rsidR="00DB7C60" w:rsidRDefault="00DB7C60" w:rsidP="003D0212">
      <w:pPr>
        <w:widowControl w:val="0"/>
        <w:autoSpaceDE w:val="0"/>
        <w:autoSpaceDN w:val="0"/>
        <w:adjustRightInd w:val="0"/>
        <w:ind w:right="170"/>
        <w:contextualSpacing/>
        <w:rPr>
          <w:rFonts w:ascii="Arial" w:eastAsiaTheme="minorEastAsia" w:hAnsi="Arial" w:cs="Arial"/>
          <w:sz w:val="24"/>
          <w:szCs w:val="24"/>
          <w:lang w:eastAsia="en-ZA"/>
        </w:rPr>
      </w:pPr>
      <w:r w:rsidRPr="00D054BC">
        <w:rPr>
          <w:rFonts w:ascii="Arial" w:eastAsiaTheme="minorEastAsia" w:hAnsi="Arial" w:cs="Arial"/>
          <w:sz w:val="24"/>
          <w:szCs w:val="24"/>
          <w:lang w:eastAsia="en-ZA"/>
        </w:rPr>
        <w:t>‘</w:t>
      </w:r>
      <w:r w:rsidR="00D01B8A">
        <w:rPr>
          <w:rFonts w:ascii="Arial" w:eastAsiaTheme="minorEastAsia" w:hAnsi="Arial" w:cs="Arial"/>
          <w:sz w:val="24"/>
          <w:szCs w:val="24"/>
          <w:lang w:eastAsia="en-ZA"/>
        </w:rPr>
        <w:t>The appeal is dismissed with costs</w:t>
      </w:r>
      <w:r w:rsidR="008700CC">
        <w:rPr>
          <w:rFonts w:ascii="Arial" w:eastAsiaTheme="minorEastAsia" w:hAnsi="Arial" w:cs="Arial"/>
          <w:sz w:val="24"/>
          <w:szCs w:val="24"/>
          <w:lang w:eastAsia="en-ZA"/>
        </w:rPr>
        <w:t>’.</w:t>
      </w:r>
    </w:p>
    <w:p w14:paraId="4FE6C1F8" w14:textId="60CB7E4C" w:rsidR="007258FE" w:rsidRDefault="007258FE">
      <w:pPr>
        <w:widowControl w:val="0"/>
        <w:autoSpaceDE w:val="0"/>
        <w:autoSpaceDN w:val="0"/>
        <w:adjustRightInd w:val="0"/>
        <w:ind w:right="170" w:firstLine="720"/>
        <w:contextualSpacing/>
        <w:rPr>
          <w:rFonts w:ascii="Arial" w:eastAsiaTheme="minorEastAsia" w:hAnsi="Arial" w:cs="Arial"/>
          <w:sz w:val="24"/>
          <w:szCs w:val="24"/>
          <w:lang w:eastAsia="en-ZA"/>
        </w:rPr>
      </w:pPr>
    </w:p>
    <w:p w14:paraId="79B915F4" w14:textId="38FB4F23" w:rsidR="007258FE" w:rsidRDefault="007258FE">
      <w:pPr>
        <w:widowControl w:val="0"/>
        <w:autoSpaceDE w:val="0"/>
        <w:autoSpaceDN w:val="0"/>
        <w:adjustRightInd w:val="0"/>
        <w:ind w:right="170" w:firstLine="720"/>
        <w:contextualSpacing/>
        <w:rPr>
          <w:rFonts w:ascii="Arial" w:eastAsiaTheme="minorEastAsia" w:hAnsi="Arial" w:cs="Arial"/>
          <w:sz w:val="24"/>
          <w:szCs w:val="24"/>
          <w:lang w:eastAsia="en-ZA"/>
        </w:rPr>
      </w:pPr>
    </w:p>
    <w:p w14:paraId="1C17D466" w14:textId="4A482D71" w:rsidR="007258FE" w:rsidRDefault="007258FE">
      <w:pPr>
        <w:widowControl w:val="0"/>
        <w:autoSpaceDE w:val="0"/>
        <w:autoSpaceDN w:val="0"/>
        <w:adjustRightInd w:val="0"/>
        <w:ind w:right="170" w:firstLine="720"/>
        <w:contextualSpacing/>
        <w:rPr>
          <w:rFonts w:ascii="Arial" w:eastAsiaTheme="minorEastAsia" w:hAnsi="Arial" w:cs="Arial"/>
          <w:sz w:val="24"/>
          <w:szCs w:val="24"/>
          <w:lang w:eastAsia="en-ZA"/>
        </w:rPr>
      </w:pPr>
    </w:p>
    <w:p w14:paraId="4E041860" w14:textId="77777777" w:rsidR="007258FE" w:rsidRDefault="007258FE" w:rsidP="00970BBD">
      <w:pPr>
        <w:widowControl w:val="0"/>
        <w:autoSpaceDE w:val="0"/>
        <w:autoSpaceDN w:val="0"/>
        <w:adjustRightInd w:val="0"/>
        <w:ind w:right="170" w:firstLine="720"/>
        <w:contextualSpacing/>
        <w:rPr>
          <w:rFonts w:ascii="Arial" w:eastAsiaTheme="minorEastAsia" w:hAnsi="Arial" w:cs="Arial"/>
          <w:sz w:val="24"/>
          <w:szCs w:val="24"/>
          <w:lang w:eastAsia="en-ZA"/>
        </w:rPr>
      </w:pPr>
    </w:p>
    <w:p w14:paraId="0C50F9C9" w14:textId="77777777" w:rsidR="00EF6049" w:rsidRDefault="00EF6049" w:rsidP="00E3431D">
      <w:pPr>
        <w:widowControl w:val="0"/>
        <w:autoSpaceDE w:val="0"/>
        <w:autoSpaceDN w:val="0"/>
        <w:adjustRightInd w:val="0"/>
        <w:ind w:right="170"/>
        <w:contextualSpacing/>
        <w:rPr>
          <w:rFonts w:ascii="Arial" w:eastAsiaTheme="minorEastAsia" w:hAnsi="Arial" w:cs="Arial"/>
          <w:sz w:val="24"/>
          <w:szCs w:val="24"/>
          <w:lang w:eastAsia="en-ZA"/>
        </w:rPr>
      </w:pPr>
    </w:p>
    <w:p w14:paraId="28B2D1FE" w14:textId="6F2EB41E" w:rsidR="005658FA" w:rsidRPr="00DB7C60" w:rsidRDefault="005658FA" w:rsidP="005658FA">
      <w:pPr>
        <w:shd w:val="clear" w:color="auto" w:fill="FFFFFF"/>
        <w:spacing w:before="120" w:after="720"/>
        <w:contextualSpacing/>
        <w:rPr>
          <w:rFonts w:ascii="Arial" w:hAnsi="Arial" w:cs="Arial"/>
          <w:sz w:val="24"/>
          <w:szCs w:val="24"/>
        </w:rPr>
      </w:pPr>
    </w:p>
    <w:p w14:paraId="4821D73E" w14:textId="088445EF" w:rsidR="005658FA" w:rsidRPr="00DB7C60" w:rsidRDefault="005658FA" w:rsidP="005658FA">
      <w:pPr>
        <w:spacing w:after="120" w:line="240" w:lineRule="auto"/>
        <w:jc w:val="right"/>
        <w:rPr>
          <w:rFonts w:ascii="Arial" w:hAnsi="Arial" w:cs="Arial"/>
          <w:b/>
          <w:bCs/>
          <w:sz w:val="24"/>
          <w:szCs w:val="24"/>
        </w:rPr>
      </w:pPr>
      <w:r w:rsidRPr="00DB7C60">
        <w:rPr>
          <w:rFonts w:ascii="Arial" w:hAnsi="Arial" w:cs="Arial"/>
          <w:b/>
          <w:bCs/>
          <w:sz w:val="24"/>
          <w:szCs w:val="24"/>
        </w:rPr>
        <w:t>____________________</w:t>
      </w:r>
    </w:p>
    <w:p w14:paraId="554B370B" w14:textId="67FBFEAA" w:rsidR="005658FA" w:rsidRPr="007258FE" w:rsidRDefault="005658FA" w:rsidP="005658FA">
      <w:pPr>
        <w:spacing w:after="120" w:line="240" w:lineRule="auto"/>
        <w:ind w:left="227"/>
        <w:jc w:val="right"/>
        <w:rPr>
          <w:rFonts w:ascii="Arial" w:hAnsi="Arial" w:cs="Arial"/>
          <w:b/>
          <w:sz w:val="24"/>
          <w:szCs w:val="24"/>
        </w:rPr>
      </w:pPr>
      <w:r w:rsidRPr="007258FE">
        <w:rPr>
          <w:rFonts w:ascii="Arial" w:hAnsi="Arial" w:cs="Arial"/>
          <w:b/>
          <w:sz w:val="24"/>
          <w:szCs w:val="24"/>
        </w:rPr>
        <w:t>T MAKGOKA</w:t>
      </w:r>
    </w:p>
    <w:p w14:paraId="418B92D0" w14:textId="77777777" w:rsidR="005658FA" w:rsidRPr="007258FE" w:rsidRDefault="005658FA" w:rsidP="005658FA">
      <w:pPr>
        <w:spacing w:after="120" w:line="240" w:lineRule="auto"/>
        <w:jc w:val="right"/>
        <w:rPr>
          <w:rFonts w:ascii="Arial" w:hAnsi="Arial" w:cs="Arial"/>
          <w:b/>
          <w:sz w:val="24"/>
          <w:szCs w:val="24"/>
        </w:rPr>
      </w:pPr>
      <w:r w:rsidRPr="007258FE">
        <w:rPr>
          <w:rFonts w:ascii="Arial" w:hAnsi="Arial" w:cs="Arial"/>
          <w:b/>
          <w:sz w:val="24"/>
          <w:szCs w:val="24"/>
        </w:rPr>
        <w:t>JUDGE OF APPEAL</w:t>
      </w:r>
    </w:p>
    <w:p w14:paraId="71B659E8" w14:textId="77777777" w:rsidR="005658FA" w:rsidRPr="00DB7C60" w:rsidRDefault="005658FA" w:rsidP="00970BBD">
      <w:pPr>
        <w:spacing w:after="120" w:line="240" w:lineRule="auto"/>
        <w:rPr>
          <w:rFonts w:ascii="Arial" w:hAnsi="Arial" w:cs="Arial"/>
          <w:b/>
          <w:bCs/>
          <w:sz w:val="24"/>
          <w:szCs w:val="24"/>
        </w:rPr>
      </w:pPr>
      <w:r w:rsidRPr="00DB7C60">
        <w:rPr>
          <w:rFonts w:ascii="Arial" w:hAnsi="Arial" w:cs="Arial"/>
          <w:b/>
          <w:bCs/>
          <w:sz w:val="24"/>
          <w:szCs w:val="24"/>
        </w:rPr>
        <w:br w:type="page"/>
      </w:r>
    </w:p>
    <w:p w14:paraId="7BA412A9" w14:textId="11DF266C" w:rsidR="005658FA" w:rsidRPr="00015EE0" w:rsidRDefault="00015EE0" w:rsidP="00714C77">
      <w:pPr>
        <w:spacing w:after="240" w:line="240" w:lineRule="auto"/>
        <w:rPr>
          <w:rFonts w:ascii="Arial" w:hAnsi="Arial" w:cs="Arial"/>
          <w:sz w:val="24"/>
          <w:szCs w:val="24"/>
        </w:rPr>
      </w:pPr>
      <w:r w:rsidRPr="00015EE0">
        <w:rPr>
          <w:rFonts w:ascii="Arial" w:hAnsi="Arial" w:cs="Arial"/>
          <w:sz w:val="24"/>
          <w:szCs w:val="24"/>
        </w:rPr>
        <w:lastRenderedPageBreak/>
        <w:t>APPEARANCES</w:t>
      </w:r>
      <w:r w:rsidR="00970BBD">
        <w:rPr>
          <w:rFonts w:ascii="Arial" w:hAnsi="Arial" w:cs="Arial"/>
          <w:sz w:val="24"/>
          <w:szCs w:val="24"/>
        </w:rPr>
        <w:t>:</w:t>
      </w:r>
    </w:p>
    <w:p w14:paraId="606CE77C" w14:textId="40060B93" w:rsidR="005658FA" w:rsidRPr="00DB7C60" w:rsidRDefault="005658FA" w:rsidP="005658FA">
      <w:pPr>
        <w:rPr>
          <w:rFonts w:ascii="Arial" w:hAnsi="Arial" w:cs="Arial"/>
          <w:bCs/>
          <w:sz w:val="24"/>
          <w:szCs w:val="24"/>
        </w:rPr>
      </w:pPr>
      <w:r w:rsidRPr="00DB7C60">
        <w:rPr>
          <w:rFonts w:ascii="Arial" w:eastAsia="Calibri" w:hAnsi="Arial" w:cs="Arial"/>
          <w:sz w:val="24"/>
          <w:szCs w:val="24"/>
        </w:rPr>
        <w:t>For appellant:</w:t>
      </w:r>
      <w:r w:rsidRPr="00DB7C60">
        <w:rPr>
          <w:rFonts w:ascii="Arial" w:eastAsia="Calibri" w:hAnsi="Arial" w:cs="Arial"/>
          <w:sz w:val="24"/>
          <w:szCs w:val="24"/>
        </w:rPr>
        <w:tab/>
      </w:r>
      <w:r w:rsidRPr="00DB7C60">
        <w:rPr>
          <w:rFonts w:ascii="Arial" w:eastAsia="Calibri" w:hAnsi="Arial" w:cs="Arial"/>
          <w:sz w:val="24"/>
          <w:szCs w:val="24"/>
        </w:rPr>
        <w:tab/>
      </w:r>
      <w:r w:rsidRPr="00DB7C60">
        <w:rPr>
          <w:rFonts w:ascii="Arial" w:eastAsia="Calibri" w:hAnsi="Arial" w:cs="Arial"/>
          <w:sz w:val="24"/>
          <w:szCs w:val="24"/>
        </w:rPr>
        <w:tab/>
      </w:r>
      <w:r w:rsidRPr="00DB7C60">
        <w:rPr>
          <w:rFonts w:ascii="Arial" w:eastAsia="Calibri" w:hAnsi="Arial" w:cs="Arial"/>
          <w:sz w:val="24"/>
          <w:szCs w:val="24"/>
        </w:rPr>
        <w:tab/>
      </w:r>
      <w:r w:rsidR="00280802" w:rsidRPr="00DB7C60">
        <w:rPr>
          <w:rFonts w:ascii="Arial" w:eastAsia="Calibri" w:hAnsi="Arial" w:cs="Arial"/>
          <w:sz w:val="24"/>
          <w:szCs w:val="24"/>
        </w:rPr>
        <w:t>M R Naidoo</w:t>
      </w:r>
    </w:p>
    <w:p w14:paraId="4CF97742" w14:textId="1552911B" w:rsidR="005658FA" w:rsidRPr="00DB7C60" w:rsidRDefault="005658FA" w:rsidP="005658FA">
      <w:pPr>
        <w:rPr>
          <w:rFonts w:ascii="Arial" w:hAnsi="Arial" w:cs="Arial"/>
          <w:sz w:val="24"/>
          <w:szCs w:val="24"/>
        </w:rPr>
      </w:pPr>
      <w:r w:rsidRPr="00DB7C60">
        <w:rPr>
          <w:rFonts w:ascii="Arial" w:eastAsia="Calibri" w:hAnsi="Arial" w:cs="Arial"/>
          <w:sz w:val="24"/>
          <w:szCs w:val="24"/>
        </w:rPr>
        <w:t>Instructed by:</w:t>
      </w:r>
      <w:r w:rsidRPr="00DB7C60">
        <w:rPr>
          <w:rFonts w:ascii="Arial" w:hAnsi="Arial" w:cs="Arial"/>
          <w:bCs/>
          <w:sz w:val="24"/>
          <w:szCs w:val="24"/>
        </w:rPr>
        <w:tab/>
      </w:r>
      <w:r w:rsidRPr="00DB7C60">
        <w:rPr>
          <w:rFonts w:ascii="Arial" w:hAnsi="Arial" w:cs="Arial"/>
          <w:bCs/>
          <w:sz w:val="24"/>
          <w:szCs w:val="24"/>
        </w:rPr>
        <w:tab/>
      </w:r>
      <w:r w:rsidRPr="00DB7C60">
        <w:rPr>
          <w:rFonts w:ascii="Arial" w:hAnsi="Arial" w:cs="Arial"/>
          <w:bCs/>
          <w:sz w:val="24"/>
          <w:szCs w:val="24"/>
        </w:rPr>
        <w:tab/>
      </w:r>
      <w:r w:rsidRPr="00DB7C60">
        <w:rPr>
          <w:rFonts w:ascii="Arial" w:hAnsi="Arial" w:cs="Arial"/>
          <w:bCs/>
          <w:sz w:val="24"/>
          <w:szCs w:val="24"/>
        </w:rPr>
        <w:tab/>
      </w:r>
      <w:r w:rsidR="00280802" w:rsidRPr="00DB7C60">
        <w:rPr>
          <w:rFonts w:ascii="Arial" w:hAnsi="Arial" w:cs="Arial"/>
          <w:sz w:val="24"/>
          <w:szCs w:val="24"/>
        </w:rPr>
        <w:t>Kushen Sahadaw Attorneys, Durban</w:t>
      </w:r>
    </w:p>
    <w:p w14:paraId="1960F872" w14:textId="75F3640F" w:rsidR="005658FA" w:rsidRPr="00DB7C60" w:rsidRDefault="00280802" w:rsidP="005658FA">
      <w:pPr>
        <w:spacing w:after="120" w:line="240" w:lineRule="auto"/>
        <w:ind w:left="3600" w:firstLine="720"/>
        <w:rPr>
          <w:rFonts w:ascii="Arial" w:hAnsi="Arial" w:cs="Arial"/>
          <w:sz w:val="24"/>
          <w:szCs w:val="24"/>
        </w:rPr>
      </w:pPr>
      <w:r w:rsidRPr="00DB7C60">
        <w:rPr>
          <w:rFonts w:ascii="Arial" w:hAnsi="Arial" w:cs="Arial"/>
          <w:sz w:val="24"/>
          <w:szCs w:val="24"/>
        </w:rPr>
        <w:t>Honey Attorneys</w:t>
      </w:r>
      <w:r w:rsidR="005658FA" w:rsidRPr="00DB7C60">
        <w:rPr>
          <w:rFonts w:ascii="Arial" w:hAnsi="Arial" w:cs="Arial"/>
          <w:sz w:val="24"/>
          <w:szCs w:val="24"/>
        </w:rPr>
        <w:t>, Bloemfontein.</w:t>
      </w:r>
    </w:p>
    <w:p w14:paraId="3827DC3F" w14:textId="77777777" w:rsidR="005658FA" w:rsidRPr="00DB7C60" w:rsidRDefault="005658FA" w:rsidP="005658FA">
      <w:pPr>
        <w:spacing w:after="120"/>
        <w:rPr>
          <w:rFonts w:ascii="Arial" w:hAnsi="Arial" w:cs="Arial"/>
          <w:sz w:val="24"/>
          <w:szCs w:val="24"/>
          <w:highlight w:val="blue"/>
        </w:rPr>
      </w:pPr>
    </w:p>
    <w:p w14:paraId="6C392484" w14:textId="065D9938" w:rsidR="005658FA" w:rsidRPr="00DB7C60" w:rsidRDefault="005658FA" w:rsidP="005658FA">
      <w:pPr>
        <w:ind w:left="4320" w:hanging="4320"/>
        <w:rPr>
          <w:rFonts w:ascii="Arial" w:eastAsia="Calibri" w:hAnsi="Arial" w:cs="Arial"/>
          <w:sz w:val="24"/>
          <w:szCs w:val="24"/>
        </w:rPr>
      </w:pPr>
      <w:r w:rsidRPr="00DB7C60">
        <w:rPr>
          <w:rFonts w:ascii="Arial" w:eastAsia="Calibri" w:hAnsi="Arial" w:cs="Arial"/>
          <w:sz w:val="24"/>
          <w:szCs w:val="24"/>
        </w:rPr>
        <w:t xml:space="preserve">For </w:t>
      </w:r>
      <w:r w:rsidRPr="00DB7C60">
        <w:rPr>
          <w:rFonts w:ascii="Arial" w:hAnsi="Arial" w:cs="Arial"/>
          <w:sz w:val="24"/>
          <w:szCs w:val="24"/>
        </w:rPr>
        <w:t>respondent</w:t>
      </w:r>
      <w:r w:rsidRPr="00DB7C60">
        <w:rPr>
          <w:rFonts w:ascii="Arial" w:eastAsia="Calibri" w:hAnsi="Arial" w:cs="Arial"/>
          <w:sz w:val="24"/>
          <w:szCs w:val="24"/>
        </w:rPr>
        <w:t>:</w:t>
      </w:r>
      <w:r w:rsidRPr="00DB7C60">
        <w:rPr>
          <w:rFonts w:ascii="Arial" w:eastAsia="Calibri" w:hAnsi="Arial" w:cs="Arial"/>
          <w:sz w:val="24"/>
          <w:szCs w:val="24"/>
        </w:rPr>
        <w:tab/>
      </w:r>
      <w:r w:rsidR="00DA32CD" w:rsidRPr="00DB7C60">
        <w:rPr>
          <w:rFonts w:ascii="Arial" w:hAnsi="Arial" w:cs="Arial"/>
          <w:sz w:val="24"/>
          <w:szCs w:val="24"/>
        </w:rPr>
        <w:t>M Joubert</w:t>
      </w:r>
    </w:p>
    <w:p w14:paraId="39E08A2B" w14:textId="4D0A6042" w:rsidR="00280802" w:rsidRPr="00DB7C60" w:rsidRDefault="005658FA" w:rsidP="005658FA">
      <w:pPr>
        <w:widowControl w:val="0"/>
        <w:tabs>
          <w:tab w:val="left" w:pos="-1440"/>
        </w:tabs>
        <w:autoSpaceDE w:val="0"/>
        <w:autoSpaceDN w:val="0"/>
        <w:adjustRightInd w:val="0"/>
        <w:rPr>
          <w:rFonts w:ascii="Arial" w:hAnsi="Arial" w:cs="Arial"/>
          <w:bCs/>
          <w:sz w:val="24"/>
          <w:szCs w:val="24"/>
        </w:rPr>
      </w:pPr>
      <w:r w:rsidRPr="00DB7C60">
        <w:rPr>
          <w:rFonts w:ascii="Arial" w:eastAsia="Calibri" w:hAnsi="Arial" w:cs="Arial"/>
          <w:sz w:val="24"/>
          <w:szCs w:val="24"/>
        </w:rPr>
        <w:t>Instructed by:</w:t>
      </w:r>
      <w:r w:rsidRPr="00DB7C60">
        <w:rPr>
          <w:rFonts w:ascii="Arial" w:eastAsia="Calibri" w:hAnsi="Arial" w:cs="Arial"/>
          <w:sz w:val="24"/>
          <w:szCs w:val="24"/>
        </w:rPr>
        <w:tab/>
      </w:r>
      <w:r w:rsidRPr="00DB7C60">
        <w:rPr>
          <w:rFonts w:ascii="Arial" w:eastAsia="Calibri" w:hAnsi="Arial" w:cs="Arial"/>
          <w:sz w:val="24"/>
          <w:szCs w:val="24"/>
        </w:rPr>
        <w:tab/>
      </w:r>
      <w:r w:rsidRPr="00DB7C60">
        <w:rPr>
          <w:rFonts w:ascii="Arial" w:eastAsia="Calibri" w:hAnsi="Arial" w:cs="Arial"/>
          <w:sz w:val="24"/>
          <w:szCs w:val="24"/>
        </w:rPr>
        <w:tab/>
      </w:r>
      <w:r w:rsidRPr="00DB7C60">
        <w:rPr>
          <w:rFonts w:ascii="Arial" w:eastAsia="Calibri" w:hAnsi="Arial" w:cs="Arial"/>
          <w:sz w:val="24"/>
          <w:szCs w:val="24"/>
        </w:rPr>
        <w:tab/>
      </w:r>
      <w:bookmarkStart w:id="28" w:name="_Hlk103591020"/>
      <w:r w:rsidR="00E46ECC">
        <w:rPr>
          <w:rFonts w:ascii="Arial" w:eastAsia="Calibri" w:hAnsi="Arial" w:cs="Arial"/>
          <w:sz w:val="24"/>
          <w:szCs w:val="24"/>
        </w:rPr>
        <w:t xml:space="preserve">S </w:t>
      </w:r>
      <w:r w:rsidR="00DA32CD" w:rsidRPr="00DB7C60">
        <w:rPr>
          <w:rFonts w:ascii="Arial" w:hAnsi="Arial" w:cs="Arial"/>
          <w:bCs/>
          <w:sz w:val="24"/>
          <w:szCs w:val="24"/>
        </w:rPr>
        <w:t xml:space="preserve">Rogers </w:t>
      </w:r>
      <w:r w:rsidR="00E46ECC">
        <w:rPr>
          <w:rFonts w:ascii="Arial" w:hAnsi="Arial" w:cs="Arial"/>
          <w:bCs/>
          <w:sz w:val="24"/>
          <w:szCs w:val="24"/>
        </w:rPr>
        <w:t>Attorneys</w:t>
      </w:r>
      <w:r w:rsidRPr="00DB7C60">
        <w:rPr>
          <w:rFonts w:ascii="Arial" w:hAnsi="Arial" w:cs="Arial"/>
          <w:bCs/>
          <w:sz w:val="24"/>
          <w:szCs w:val="24"/>
        </w:rPr>
        <w:t xml:space="preserve">, </w:t>
      </w:r>
      <w:r w:rsidR="00DA32CD" w:rsidRPr="00DB7C60">
        <w:rPr>
          <w:rFonts w:ascii="Arial" w:hAnsi="Arial" w:cs="Arial"/>
          <w:bCs/>
          <w:sz w:val="24"/>
          <w:szCs w:val="24"/>
        </w:rPr>
        <w:t>Benoni</w:t>
      </w:r>
    </w:p>
    <w:p w14:paraId="5617538E" w14:textId="18C7C496" w:rsidR="005658FA" w:rsidRPr="00DB7C60" w:rsidRDefault="005658FA" w:rsidP="005658FA">
      <w:pPr>
        <w:widowControl w:val="0"/>
        <w:tabs>
          <w:tab w:val="left" w:pos="-1440"/>
        </w:tabs>
        <w:autoSpaceDE w:val="0"/>
        <w:autoSpaceDN w:val="0"/>
        <w:adjustRightInd w:val="0"/>
        <w:rPr>
          <w:rFonts w:ascii="Arial" w:eastAsia="Calibri" w:hAnsi="Arial" w:cs="Arial"/>
          <w:sz w:val="24"/>
          <w:szCs w:val="24"/>
        </w:rPr>
      </w:pPr>
      <w:r w:rsidRPr="00DB7C60">
        <w:rPr>
          <w:rFonts w:ascii="Arial" w:hAnsi="Arial" w:cs="Arial"/>
          <w:bCs/>
          <w:sz w:val="24"/>
          <w:szCs w:val="24"/>
        </w:rPr>
        <w:tab/>
      </w:r>
      <w:r w:rsidRPr="00DB7C60">
        <w:rPr>
          <w:rFonts w:ascii="Arial" w:hAnsi="Arial" w:cs="Arial"/>
          <w:bCs/>
          <w:sz w:val="24"/>
          <w:szCs w:val="24"/>
        </w:rPr>
        <w:tab/>
      </w:r>
      <w:r w:rsidRPr="00DB7C60">
        <w:rPr>
          <w:rFonts w:ascii="Arial" w:hAnsi="Arial" w:cs="Arial"/>
          <w:bCs/>
          <w:sz w:val="24"/>
          <w:szCs w:val="24"/>
        </w:rPr>
        <w:tab/>
      </w:r>
      <w:r w:rsidRPr="00DB7C60">
        <w:rPr>
          <w:rFonts w:ascii="Arial" w:hAnsi="Arial" w:cs="Arial"/>
          <w:bCs/>
          <w:sz w:val="24"/>
          <w:szCs w:val="24"/>
        </w:rPr>
        <w:tab/>
      </w:r>
      <w:r w:rsidRPr="00DB7C60">
        <w:rPr>
          <w:rFonts w:ascii="Arial" w:hAnsi="Arial" w:cs="Arial"/>
          <w:bCs/>
          <w:sz w:val="24"/>
          <w:szCs w:val="24"/>
        </w:rPr>
        <w:tab/>
      </w:r>
      <w:r w:rsidRPr="00DB7C60">
        <w:rPr>
          <w:rFonts w:ascii="Arial" w:hAnsi="Arial" w:cs="Arial"/>
          <w:bCs/>
          <w:sz w:val="24"/>
          <w:szCs w:val="24"/>
        </w:rPr>
        <w:tab/>
      </w:r>
      <w:r w:rsidR="00DA32CD" w:rsidRPr="00DB7C60">
        <w:rPr>
          <w:rFonts w:ascii="Arial" w:hAnsi="Arial" w:cs="Arial"/>
          <w:bCs/>
          <w:sz w:val="24"/>
          <w:szCs w:val="24"/>
        </w:rPr>
        <w:t>Phatshoane Henney</w:t>
      </w:r>
      <w:r w:rsidRPr="00DB7C60">
        <w:rPr>
          <w:rFonts w:ascii="Arial" w:hAnsi="Arial" w:cs="Arial"/>
          <w:bCs/>
          <w:sz w:val="24"/>
          <w:szCs w:val="24"/>
        </w:rPr>
        <w:t>, Bloemfontein.</w:t>
      </w:r>
    </w:p>
    <w:bookmarkEnd w:id="28"/>
    <w:p w14:paraId="57ED5BD5" w14:textId="77777777" w:rsidR="005658FA" w:rsidRPr="00082899" w:rsidRDefault="005658FA" w:rsidP="005658FA">
      <w:pPr>
        <w:pStyle w:val="MEMONUMBERED"/>
        <w:kinsoku w:val="0"/>
        <w:overflowPunct w:val="0"/>
        <w:autoSpaceDE w:val="0"/>
        <w:autoSpaceDN w:val="0"/>
        <w:adjustRightInd w:val="0"/>
        <w:spacing w:before="1" w:line="360" w:lineRule="auto"/>
        <w:ind w:right="-7"/>
        <w:rPr>
          <w:rFonts w:ascii="Arial" w:hAnsi="Arial" w:cs="Arial"/>
          <w:bCs/>
        </w:rPr>
      </w:pPr>
    </w:p>
    <w:p w14:paraId="47E8CDC6" w14:textId="77777777" w:rsidR="005658FA" w:rsidRPr="00082899" w:rsidRDefault="005658FA" w:rsidP="005658FA">
      <w:pPr>
        <w:pStyle w:val="MEMONUMBERED"/>
        <w:kinsoku w:val="0"/>
        <w:overflowPunct w:val="0"/>
        <w:autoSpaceDE w:val="0"/>
        <w:autoSpaceDN w:val="0"/>
        <w:adjustRightInd w:val="0"/>
        <w:spacing w:before="1" w:line="360" w:lineRule="auto"/>
        <w:ind w:right="-7"/>
        <w:rPr>
          <w:rFonts w:ascii="Arial" w:hAnsi="Arial" w:cs="Arial"/>
          <w:bCs/>
        </w:rPr>
      </w:pPr>
    </w:p>
    <w:p w14:paraId="492B0523" w14:textId="77777777" w:rsidR="005658FA" w:rsidRDefault="005658FA" w:rsidP="005658FA"/>
    <w:p w14:paraId="6DC0E19A" w14:textId="77777777" w:rsidR="005658FA" w:rsidRPr="00D834B2" w:rsidRDefault="005658FA" w:rsidP="005658FA">
      <w:pPr>
        <w:shd w:val="clear" w:color="auto" w:fill="FFFFFF"/>
        <w:spacing w:before="120" w:after="720"/>
        <w:contextualSpacing/>
      </w:pPr>
    </w:p>
    <w:sectPr w:rsidR="005658FA" w:rsidRPr="00D834B2" w:rsidSect="003B553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4C82F" w14:textId="77777777" w:rsidR="00E95C47" w:rsidRDefault="00E95C47" w:rsidP="00215560">
      <w:pPr>
        <w:spacing w:line="240" w:lineRule="auto"/>
      </w:pPr>
      <w:r>
        <w:separator/>
      </w:r>
    </w:p>
  </w:endnote>
  <w:endnote w:type="continuationSeparator" w:id="0">
    <w:p w14:paraId="7EEAD38E" w14:textId="77777777" w:rsidR="00E95C47" w:rsidRDefault="00E95C47" w:rsidP="00215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3B6FE" w14:textId="77777777" w:rsidR="00E95C47" w:rsidRDefault="00E95C47" w:rsidP="00215560">
      <w:pPr>
        <w:spacing w:line="240" w:lineRule="auto"/>
      </w:pPr>
      <w:r>
        <w:separator/>
      </w:r>
    </w:p>
  </w:footnote>
  <w:footnote w:type="continuationSeparator" w:id="0">
    <w:p w14:paraId="7B9A94CA" w14:textId="77777777" w:rsidR="00E95C47" w:rsidRDefault="00E95C47" w:rsidP="00215560">
      <w:pPr>
        <w:spacing w:line="240" w:lineRule="auto"/>
      </w:pPr>
      <w:r>
        <w:continuationSeparator/>
      </w:r>
    </w:p>
  </w:footnote>
  <w:footnote w:id="1">
    <w:p w14:paraId="429262AA" w14:textId="184A4FD1" w:rsidR="007D58DB" w:rsidRPr="00E3431D" w:rsidRDefault="007D58DB" w:rsidP="002A1D09">
      <w:pPr>
        <w:pStyle w:val="footnote-x"/>
        <w:shd w:val="clear" w:color="auto" w:fill="FFFFFF"/>
        <w:spacing w:before="0" w:beforeAutospacing="0" w:after="0" w:afterAutospacing="0"/>
        <w:ind w:right="1134"/>
        <w:rPr>
          <w:rFonts w:ascii="Arial" w:hAnsi="Arial" w:cs="Arial"/>
          <w:color w:val="000000"/>
          <w:sz w:val="20"/>
          <w:szCs w:val="20"/>
        </w:rPr>
      </w:pPr>
      <w:r w:rsidRPr="00E3431D">
        <w:rPr>
          <w:rStyle w:val="FootnoteReference"/>
          <w:rFonts w:ascii="Arial" w:hAnsi="Arial" w:cs="Arial"/>
          <w:sz w:val="20"/>
          <w:szCs w:val="20"/>
        </w:rPr>
        <w:footnoteRef/>
      </w:r>
      <w:r w:rsidRPr="00E3431D">
        <w:rPr>
          <w:rFonts w:ascii="Arial" w:hAnsi="Arial" w:cs="Arial"/>
          <w:sz w:val="20"/>
          <w:szCs w:val="20"/>
        </w:rPr>
        <w:t xml:space="preserve"> </w:t>
      </w:r>
      <w:r w:rsidR="008E4B91" w:rsidRPr="00E3431D">
        <w:rPr>
          <w:rFonts w:ascii="Arial" w:hAnsi="Arial" w:cs="Arial"/>
          <w:i/>
          <w:iCs/>
          <w:sz w:val="20"/>
          <w:szCs w:val="20"/>
        </w:rPr>
        <w:t>LTA Engineering Co Ltd v Seacat Investments (Pty) Ltd</w:t>
      </w:r>
      <w:r w:rsidR="008E4B91" w:rsidRPr="00E3431D">
        <w:rPr>
          <w:rFonts w:ascii="Arial" w:hAnsi="Arial" w:cs="Arial"/>
          <w:sz w:val="20"/>
          <w:szCs w:val="20"/>
        </w:rPr>
        <w:t xml:space="preserve"> 1974 (1) SA 747 (A) at 762A</w:t>
      </w:r>
      <w:r w:rsidR="0073488E" w:rsidRPr="00E3431D">
        <w:rPr>
          <w:rFonts w:ascii="Arial" w:hAnsi="Arial" w:cs="Arial"/>
          <w:sz w:val="20"/>
          <w:szCs w:val="20"/>
        </w:rPr>
        <w:t>.</w:t>
      </w:r>
    </w:p>
  </w:footnote>
  <w:footnote w:id="2">
    <w:p w14:paraId="0FD6310C" w14:textId="42C4C5F4" w:rsidR="009C7307" w:rsidRPr="00776242" w:rsidRDefault="009C7307" w:rsidP="002A1D09">
      <w:pPr>
        <w:pStyle w:val="FootnoteText"/>
        <w:rPr>
          <w:rFonts w:ascii="Arial" w:hAnsi="Arial" w:cs="Arial"/>
          <w:lang w:val="en-GB"/>
        </w:rPr>
      </w:pPr>
      <w:r w:rsidRPr="00E3431D">
        <w:rPr>
          <w:rStyle w:val="FootnoteReference"/>
          <w:rFonts w:ascii="Arial" w:hAnsi="Arial" w:cs="Arial"/>
        </w:rPr>
        <w:footnoteRef/>
      </w:r>
      <w:r w:rsidRPr="00E3431D">
        <w:rPr>
          <w:rFonts w:ascii="Arial" w:hAnsi="Arial" w:cs="Arial"/>
        </w:rPr>
        <w:t xml:space="preserve"> </w:t>
      </w:r>
      <w:r w:rsidRPr="00E3431D">
        <w:rPr>
          <w:rFonts w:ascii="Arial" w:hAnsi="Arial" w:cs="Arial"/>
          <w:i/>
          <w:iCs/>
          <w:color w:val="000000"/>
          <w:shd w:val="clear" w:color="auto" w:fill="FFFFFF"/>
        </w:rPr>
        <w:t>Portion 1 of 46 Wadeville</w:t>
      </w:r>
      <w:r w:rsidR="00631DEF" w:rsidRPr="00E3431D">
        <w:rPr>
          <w:rFonts w:ascii="Arial" w:hAnsi="Arial" w:cs="Arial"/>
          <w:i/>
          <w:iCs/>
          <w:color w:val="000000"/>
          <w:shd w:val="clear" w:color="auto" w:fill="FFFFFF"/>
        </w:rPr>
        <w:t xml:space="preserve"> </w:t>
      </w:r>
      <w:r w:rsidRPr="00E3431D">
        <w:rPr>
          <w:rFonts w:ascii="Arial" w:hAnsi="Arial" w:cs="Arial"/>
          <w:color w:val="000000"/>
          <w:shd w:val="clear" w:color="auto" w:fill="FFFFFF"/>
        </w:rPr>
        <w:t>(</w:t>
      </w:r>
      <w:r w:rsidRPr="00E3431D">
        <w:rPr>
          <w:rFonts w:ascii="Arial" w:hAnsi="Arial" w:cs="Arial"/>
          <w:i/>
          <w:iCs/>
          <w:color w:val="000000"/>
          <w:shd w:val="clear" w:color="auto" w:fill="FFFFFF"/>
        </w:rPr>
        <w:t>Pty</w:t>
      </w:r>
      <w:r w:rsidRPr="00E3431D">
        <w:rPr>
          <w:rFonts w:ascii="Arial" w:hAnsi="Arial" w:cs="Arial"/>
          <w:color w:val="000000"/>
          <w:shd w:val="clear" w:color="auto" w:fill="FFFFFF"/>
        </w:rPr>
        <w:t>)</w:t>
      </w:r>
      <w:r w:rsidR="00631DEF" w:rsidRPr="00E3431D">
        <w:rPr>
          <w:rFonts w:ascii="Arial" w:hAnsi="Arial" w:cs="Arial"/>
          <w:color w:val="000000"/>
          <w:shd w:val="clear" w:color="auto" w:fill="FFFFFF"/>
        </w:rPr>
        <w:t xml:space="preserve"> </w:t>
      </w:r>
      <w:r w:rsidRPr="00E3431D">
        <w:rPr>
          <w:rFonts w:ascii="Arial" w:hAnsi="Arial" w:cs="Arial"/>
          <w:i/>
          <w:iCs/>
          <w:color w:val="000000"/>
          <w:shd w:val="clear" w:color="auto" w:fill="FFFFFF"/>
        </w:rPr>
        <w:t>Ltd v Unity Cutlery</w:t>
      </w:r>
      <w:r w:rsidR="00631DEF" w:rsidRPr="00E3431D">
        <w:rPr>
          <w:rFonts w:ascii="Arial" w:hAnsi="Arial" w:cs="Arial"/>
          <w:i/>
          <w:iCs/>
          <w:color w:val="000000"/>
          <w:shd w:val="clear" w:color="auto" w:fill="FFFFFF"/>
        </w:rPr>
        <w:t xml:space="preserve"> </w:t>
      </w:r>
      <w:r w:rsidRPr="00E3431D">
        <w:rPr>
          <w:rFonts w:ascii="Arial" w:hAnsi="Arial" w:cs="Arial"/>
          <w:color w:val="000000"/>
          <w:shd w:val="clear" w:color="auto" w:fill="FFFFFF"/>
        </w:rPr>
        <w:t>(</w:t>
      </w:r>
      <w:r w:rsidRPr="00E3431D">
        <w:rPr>
          <w:rFonts w:ascii="Arial" w:hAnsi="Arial" w:cs="Arial"/>
          <w:i/>
          <w:iCs/>
          <w:color w:val="000000"/>
          <w:shd w:val="clear" w:color="auto" w:fill="FFFFFF"/>
        </w:rPr>
        <w:t>Pty</w:t>
      </w:r>
      <w:r w:rsidRPr="00E3431D">
        <w:rPr>
          <w:rFonts w:ascii="Arial" w:hAnsi="Arial" w:cs="Arial"/>
          <w:color w:val="000000"/>
          <w:shd w:val="clear" w:color="auto" w:fill="FFFFFF"/>
        </w:rPr>
        <w:t>)</w:t>
      </w:r>
      <w:r w:rsidR="00631DEF" w:rsidRPr="00E3431D">
        <w:rPr>
          <w:rFonts w:ascii="Arial" w:hAnsi="Arial" w:cs="Arial"/>
          <w:color w:val="000000"/>
          <w:shd w:val="clear" w:color="auto" w:fill="FFFFFF"/>
        </w:rPr>
        <w:t xml:space="preserve"> </w:t>
      </w:r>
      <w:r w:rsidRPr="00E3431D">
        <w:rPr>
          <w:rFonts w:ascii="Arial" w:hAnsi="Arial" w:cs="Arial"/>
          <w:i/>
          <w:iCs/>
          <w:color w:val="000000"/>
          <w:shd w:val="clear" w:color="auto" w:fill="FFFFFF"/>
        </w:rPr>
        <w:t>Ltd</w:t>
      </w:r>
      <w:r w:rsidR="00631DEF" w:rsidRPr="00E3431D">
        <w:rPr>
          <w:rFonts w:ascii="Arial" w:hAnsi="Arial" w:cs="Arial"/>
          <w:i/>
          <w:iCs/>
          <w:color w:val="000000"/>
          <w:shd w:val="clear" w:color="auto" w:fill="FFFFFF"/>
        </w:rPr>
        <w:t xml:space="preserve"> </w:t>
      </w:r>
      <w:r w:rsidR="00631DEF" w:rsidRPr="00776242">
        <w:rPr>
          <w:rFonts w:ascii="Arial" w:hAnsi="Arial" w:cs="Arial"/>
          <w:i/>
          <w:iCs/>
          <w:color w:val="000000"/>
          <w:shd w:val="clear" w:color="auto" w:fill="FFFFFF"/>
        </w:rPr>
        <w:t xml:space="preserve">and Others </w:t>
      </w:r>
      <w:r w:rsidRPr="00776242">
        <w:rPr>
          <w:rFonts w:ascii="Arial" w:hAnsi="Arial" w:cs="Arial"/>
        </w:rPr>
        <w:t>1984</w:t>
      </w:r>
      <w:r w:rsidR="00631DEF" w:rsidRPr="00776242">
        <w:rPr>
          <w:rFonts w:ascii="Arial" w:hAnsi="Arial" w:cs="Arial"/>
        </w:rPr>
        <w:t xml:space="preserve"> </w:t>
      </w:r>
      <w:r w:rsidR="00E4433C" w:rsidRPr="00776242">
        <w:rPr>
          <w:rFonts w:ascii="Arial" w:hAnsi="Arial" w:cs="Arial"/>
        </w:rPr>
        <w:t>(</w:t>
      </w:r>
      <w:r w:rsidRPr="00776242">
        <w:rPr>
          <w:rFonts w:ascii="Arial" w:hAnsi="Arial" w:cs="Arial"/>
        </w:rPr>
        <w:t>1</w:t>
      </w:r>
      <w:r w:rsidR="00E4433C" w:rsidRPr="00776242">
        <w:rPr>
          <w:rFonts w:ascii="Arial" w:hAnsi="Arial" w:cs="Arial"/>
        </w:rPr>
        <w:t>)</w:t>
      </w:r>
      <w:r w:rsidR="00631DEF" w:rsidRPr="00776242">
        <w:rPr>
          <w:rFonts w:ascii="Arial" w:hAnsi="Arial" w:cs="Arial"/>
        </w:rPr>
        <w:t xml:space="preserve"> </w:t>
      </w:r>
      <w:r w:rsidRPr="00776242">
        <w:rPr>
          <w:rFonts w:ascii="Arial" w:hAnsi="Arial" w:cs="Arial"/>
        </w:rPr>
        <w:t>SA</w:t>
      </w:r>
      <w:r w:rsidR="00631DEF" w:rsidRPr="00776242">
        <w:rPr>
          <w:rFonts w:ascii="Arial" w:hAnsi="Arial" w:cs="Arial"/>
        </w:rPr>
        <w:t xml:space="preserve"> </w:t>
      </w:r>
      <w:r w:rsidRPr="00776242">
        <w:rPr>
          <w:rFonts w:ascii="Arial" w:hAnsi="Arial" w:cs="Arial"/>
        </w:rPr>
        <w:t>61</w:t>
      </w:r>
      <w:r w:rsidR="00631DEF" w:rsidRPr="00776242">
        <w:rPr>
          <w:rFonts w:ascii="Arial" w:hAnsi="Arial" w:cs="Arial"/>
          <w:color w:val="000000"/>
          <w:shd w:val="clear" w:color="auto" w:fill="FFFFFF"/>
        </w:rPr>
        <w:t xml:space="preserve"> </w:t>
      </w:r>
      <w:r w:rsidRPr="00776242">
        <w:rPr>
          <w:rFonts w:ascii="Arial" w:hAnsi="Arial" w:cs="Arial"/>
          <w:color w:val="000000"/>
          <w:shd w:val="clear" w:color="auto" w:fill="FFFFFF"/>
        </w:rPr>
        <w:t>(A);</w:t>
      </w:r>
      <w:r w:rsidR="00631DEF" w:rsidRPr="00776242">
        <w:rPr>
          <w:rFonts w:ascii="Arial" w:hAnsi="Arial" w:cs="Arial"/>
          <w:color w:val="000000"/>
          <w:shd w:val="clear" w:color="auto" w:fill="FFFFFF"/>
        </w:rPr>
        <w:t xml:space="preserve"> </w:t>
      </w:r>
      <w:r w:rsidRPr="00776242">
        <w:rPr>
          <w:rFonts w:ascii="Arial" w:hAnsi="Arial" w:cs="Arial"/>
          <w:i/>
          <w:iCs/>
          <w:color w:val="000000"/>
          <w:shd w:val="clear" w:color="auto" w:fill="FFFFFF"/>
        </w:rPr>
        <w:t>Hippo Quarries</w:t>
      </w:r>
      <w:r w:rsidR="00631DEF" w:rsidRPr="00776242">
        <w:rPr>
          <w:rFonts w:ascii="Arial" w:hAnsi="Arial" w:cs="Arial"/>
          <w:i/>
          <w:iCs/>
          <w:color w:val="000000"/>
          <w:shd w:val="clear" w:color="auto" w:fill="FFFFFF"/>
        </w:rPr>
        <w:t xml:space="preserve"> </w:t>
      </w:r>
      <w:r w:rsidRPr="00776242">
        <w:rPr>
          <w:rFonts w:ascii="Arial" w:hAnsi="Arial" w:cs="Arial"/>
          <w:color w:val="000000"/>
          <w:shd w:val="clear" w:color="auto" w:fill="FFFFFF"/>
        </w:rPr>
        <w:t>(</w:t>
      </w:r>
      <w:r w:rsidRPr="00776242">
        <w:rPr>
          <w:rFonts w:ascii="Arial" w:hAnsi="Arial" w:cs="Arial"/>
          <w:i/>
          <w:iCs/>
          <w:color w:val="000000"/>
          <w:shd w:val="clear" w:color="auto" w:fill="FFFFFF"/>
        </w:rPr>
        <w:t>Tvl</w:t>
      </w:r>
      <w:r w:rsidRPr="00776242">
        <w:rPr>
          <w:rFonts w:ascii="Arial" w:hAnsi="Arial" w:cs="Arial"/>
          <w:color w:val="000000"/>
          <w:shd w:val="clear" w:color="auto" w:fill="FFFFFF"/>
        </w:rPr>
        <w:t>) (</w:t>
      </w:r>
      <w:r w:rsidRPr="00776242">
        <w:rPr>
          <w:rFonts w:ascii="Arial" w:hAnsi="Arial" w:cs="Arial"/>
          <w:i/>
          <w:iCs/>
          <w:color w:val="000000"/>
          <w:shd w:val="clear" w:color="auto" w:fill="FFFFFF"/>
        </w:rPr>
        <w:t>Pty</w:t>
      </w:r>
      <w:r w:rsidRPr="00776242">
        <w:rPr>
          <w:rFonts w:ascii="Arial" w:hAnsi="Arial" w:cs="Arial"/>
          <w:color w:val="000000"/>
          <w:shd w:val="clear" w:color="auto" w:fill="FFFFFF"/>
        </w:rPr>
        <w:t>)</w:t>
      </w:r>
      <w:r w:rsidR="00631DEF" w:rsidRPr="00776242">
        <w:rPr>
          <w:rFonts w:ascii="Arial" w:hAnsi="Arial" w:cs="Arial"/>
          <w:color w:val="000000"/>
          <w:shd w:val="clear" w:color="auto" w:fill="FFFFFF"/>
        </w:rPr>
        <w:t xml:space="preserve"> </w:t>
      </w:r>
      <w:r w:rsidRPr="00776242">
        <w:rPr>
          <w:rFonts w:ascii="Arial" w:hAnsi="Arial" w:cs="Arial"/>
          <w:i/>
          <w:iCs/>
          <w:color w:val="000000"/>
          <w:shd w:val="clear" w:color="auto" w:fill="FFFFFF"/>
        </w:rPr>
        <w:t>Ltd v Eardley</w:t>
      </w:r>
      <w:r w:rsidR="00631DEF" w:rsidRPr="00776242">
        <w:rPr>
          <w:rFonts w:ascii="Arial" w:hAnsi="Arial" w:cs="Arial"/>
          <w:i/>
          <w:iCs/>
          <w:color w:val="000000"/>
          <w:shd w:val="clear" w:color="auto" w:fill="FFFFFF"/>
        </w:rPr>
        <w:t xml:space="preserve"> </w:t>
      </w:r>
      <w:r w:rsidRPr="00776242">
        <w:rPr>
          <w:rFonts w:ascii="Arial" w:hAnsi="Arial" w:cs="Arial"/>
        </w:rPr>
        <w:t>1992</w:t>
      </w:r>
      <w:r w:rsidR="00631DEF" w:rsidRPr="00776242">
        <w:rPr>
          <w:rFonts w:ascii="Arial" w:hAnsi="Arial" w:cs="Arial"/>
        </w:rPr>
        <w:t xml:space="preserve"> </w:t>
      </w:r>
      <w:r w:rsidR="00CB2DAA" w:rsidRPr="00776242">
        <w:rPr>
          <w:rFonts w:ascii="Arial" w:hAnsi="Arial" w:cs="Arial"/>
        </w:rPr>
        <w:t>(</w:t>
      </w:r>
      <w:r w:rsidRPr="00776242">
        <w:rPr>
          <w:rFonts w:ascii="Arial" w:hAnsi="Arial" w:cs="Arial"/>
        </w:rPr>
        <w:t>1</w:t>
      </w:r>
      <w:r w:rsidR="00CB2DAA" w:rsidRPr="00776242">
        <w:rPr>
          <w:rFonts w:ascii="Arial" w:hAnsi="Arial" w:cs="Arial"/>
        </w:rPr>
        <w:t>)</w:t>
      </w:r>
      <w:r w:rsidR="00631DEF" w:rsidRPr="00776242">
        <w:rPr>
          <w:rFonts w:ascii="Arial" w:hAnsi="Arial" w:cs="Arial"/>
        </w:rPr>
        <w:t xml:space="preserve"> </w:t>
      </w:r>
      <w:r w:rsidRPr="00776242">
        <w:rPr>
          <w:rFonts w:ascii="Arial" w:hAnsi="Arial" w:cs="Arial"/>
        </w:rPr>
        <w:t>SA</w:t>
      </w:r>
      <w:r w:rsidR="00631DEF" w:rsidRPr="00776242">
        <w:rPr>
          <w:rFonts w:ascii="Arial" w:hAnsi="Arial" w:cs="Arial"/>
        </w:rPr>
        <w:t xml:space="preserve"> </w:t>
      </w:r>
      <w:r w:rsidRPr="00776242">
        <w:rPr>
          <w:rFonts w:ascii="Arial" w:hAnsi="Arial" w:cs="Arial"/>
        </w:rPr>
        <w:t>867</w:t>
      </w:r>
      <w:r w:rsidR="00631DEF" w:rsidRPr="00776242">
        <w:rPr>
          <w:rFonts w:ascii="Arial" w:hAnsi="Arial" w:cs="Arial"/>
          <w:color w:val="000000"/>
          <w:shd w:val="clear" w:color="auto" w:fill="FFFFFF"/>
        </w:rPr>
        <w:t xml:space="preserve"> </w:t>
      </w:r>
      <w:r w:rsidRPr="00776242">
        <w:rPr>
          <w:rFonts w:ascii="Arial" w:hAnsi="Arial" w:cs="Arial"/>
          <w:color w:val="000000"/>
          <w:shd w:val="clear" w:color="auto" w:fill="FFFFFF"/>
        </w:rPr>
        <w:t>(A)</w:t>
      </w:r>
      <w:r w:rsidR="00E4433C" w:rsidRPr="00776242">
        <w:rPr>
          <w:rFonts w:ascii="Arial" w:hAnsi="Arial" w:cs="Arial"/>
          <w:color w:val="000000"/>
          <w:shd w:val="clear" w:color="auto" w:fill="FFFFFF"/>
        </w:rPr>
        <w:t xml:space="preserve"> </w:t>
      </w:r>
      <w:r w:rsidR="00CB2DAA" w:rsidRPr="00776242">
        <w:rPr>
          <w:rFonts w:ascii="Arial" w:hAnsi="Arial" w:cs="Arial"/>
          <w:color w:val="000000"/>
          <w:shd w:val="clear" w:color="auto" w:fill="FFFFFF"/>
        </w:rPr>
        <w:t xml:space="preserve">at </w:t>
      </w:r>
      <w:r w:rsidRPr="00776242">
        <w:rPr>
          <w:rFonts w:ascii="Arial" w:hAnsi="Arial" w:cs="Arial"/>
          <w:color w:val="000000"/>
          <w:shd w:val="clear" w:color="auto" w:fill="FFFFFF"/>
        </w:rPr>
        <w:t>873;</w:t>
      </w:r>
      <w:r w:rsidR="00631DEF" w:rsidRPr="00776242">
        <w:rPr>
          <w:rFonts w:ascii="Arial" w:hAnsi="Arial" w:cs="Arial"/>
          <w:color w:val="000000"/>
          <w:shd w:val="clear" w:color="auto" w:fill="FFFFFF"/>
        </w:rPr>
        <w:t xml:space="preserve"> </w:t>
      </w:r>
      <w:r w:rsidRPr="00776242">
        <w:rPr>
          <w:rFonts w:ascii="Arial" w:hAnsi="Arial" w:cs="Arial"/>
          <w:i/>
          <w:iCs/>
          <w:color w:val="000000"/>
          <w:shd w:val="clear" w:color="auto" w:fill="FFFFFF"/>
        </w:rPr>
        <w:t>Roman Catholic Church</w:t>
      </w:r>
      <w:r w:rsidR="00631DEF" w:rsidRPr="00776242">
        <w:rPr>
          <w:rFonts w:ascii="Arial" w:hAnsi="Arial" w:cs="Arial"/>
          <w:i/>
          <w:iCs/>
          <w:color w:val="000000"/>
          <w:shd w:val="clear" w:color="auto" w:fill="FFFFFF"/>
        </w:rPr>
        <w:t xml:space="preserve"> </w:t>
      </w:r>
      <w:r w:rsidRPr="00776242">
        <w:rPr>
          <w:rFonts w:ascii="Arial" w:hAnsi="Arial" w:cs="Arial"/>
          <w:color w:val="000000"/>
          <w:shd w:val="clear" w:color="auto" w:fill="FFFFFF"/>
        </w:rPr>
        <w:t>(</w:t>
      </w:r>
      <w:r w:rsidRPr="00776242">
        <w:rPr>
          <w:rFonts w:ascii="Arial" w:hAnsi="Arial" w:cs="Arial"/>
          <w:i/>
          <w:iCs/>
          <w:color w:val="000000"/>
          <w:shd w:val="clear" w:color="auto" w:fill="FFFFFF"/>
        </w:rPr>
        <w:t>Klerksdorp Diocese</w:t>
      </w:r>
      <w:r w:rsidRPr="00776242">
        <w:rPr>
          <w:rFonts w:ascii="Arial" w:hAnsi="Arial" w:cs="Arial"/>
          <w:color w:val="000000"/>
          <w:shd w:val="clear" w:color="auto" w:fill="FFFFFF"/>
        </w:rPr>
        <w:t>)</w:t>
      </w:r>
      <w:r w:rsidR="00631DEF" w:rsidRPr="00776242">
        <w:rPr>
          <w:rFonts w:ascii="Arial" w:hAnsi="Arial" w:cs="Arial"/>
          <w:color w:val="000000"/>
          <w:shd w:val="clear" w:color="auto" w:fill="FFFFFF"/>
        </w:rPr>
        <w:t xml:space="preserve"> </w:t>
      </w:r>
      <w:r w:rsidRPr="00776242">
        <w:rPr>
          <w:rFonts w:ascii="Arial" w:hAnsi="Arial" w:cs="Arial"/>
          <w:i/>
          <w:iCs/>
          <w:color w:val="000000"/>
          <w:shd w:val="clear" w:color="auto" w:fill="FFFFFF"/>
        </w:rPr>
        <w:t>v Southern Life Association Ltd</w:t>
      </w:r>
      <w:r w:rsidR="00631DEF" w:rsidRPr="00776242">
        <w:rPr>
          <w:rFonts w:ascii="Arial" w:hAnsi="Arial" w:cs="Arial"/>
          <w:i/>
          <w:iCs/>
          <w:color w:val="000000"/>
          <w:shd w:val="clear" w:color="auto" w:fill="FFFFFF"/>
        </w:rPr>
        <w:t xml:space="preserve"> </w:t>
      </w:r>
      <w:r w:rsidRPr="00776242">
        <w:rPr>
          <w:rFonts w:ascii="Arial" w:hAnsi="Arial" w:cs="Arial"/>
        </w:rPr>
        <w:t>1992</w:t>
      </w:r>
      <w:r w:rsidR="00631DEF" w:rsidRPr="00776242">
        <w:rPr>
          <w:rFonts w:ascii="Arial" w:hAnsi="Arial" w:cs="Arial"/>
        </w:rPr>
        <w:t xml:space="preserve"> </w:t>
      </w:r>
      <w:r w:rsidR="0072209D" w:rsidRPr="00776242">
        <w:rPr>
          <w:rFonts w:ascii="Arial" w:hAnsi="Arial" w:cs="Arial"/>
        </w:rPr>
        <w:t>(</w:t>
      </w:r>
      <w:r w:rsidRPr="00776242">
        <w:rPr>
          <w:rFonts w:ascii="Arial" w:hAnsi="Arial" w:cs="Arial"/>
        </w:rPr>
        <w:t>2</w:t>
      </w:r>
      <w:r w:rsidR="0072209D" w:rsidRPr="00776242">
        <w:rPr>
          <w:rFonts w:ascii="Arial" w:hAnsi="Arial" w:cs="Arial"/>
        </w:rPr>
        <w:t>)</w:t>
      </w:r>
      <w:r w:rsidR="00631DEF" w:rsidRPr="00776242">
        <w:rPr>
          <w:rFonts w:ascii="Arial" w:hAnsi="Arial" w:cs="Arial"/>
        </w:rPr>
        <w:t xml:space="preserve"> </w:t>
      </w:r>
      <w:r w:rsidRPr="00776242">
        <w:rPr>
          <w:rFonts w:ascii="Arial" w:hAnsi="Arial" w:cs="Arial"/>
        </w:rPr>
        <w:t>SA</w:t>
      </w:r>
      <w:r w:rsidR="00631DEF" w:rsidRPr="00776242">
        <w:rPr>
          <w:rFonts w:ascii="Arial" w:hAnsi="Arial" w:cs="Arial"/>
        </w:rPr>
        <w:t xml:space="preserve"> </w:t>
      </w:r>
      <w:r w:rsidRPr="00776242">
        <w:rPr>
          <w:rFonts w:ascii="Arial" w:hAnsi="Arial" w:cs="Arial"/>
        </w:rPr>
        <w:t>807</w:t>
      </w:r>
      <w:r w:rsidR="00631DEF" w:rsidRPr="00776242">
        <w:rPr>
          <w:rFonts w:ascii="Arial" w:hAnsi="Arial" w:cs="Arial"/>
          <w:color w:val="000000"/>
          <w:shd w:val="clear" w:color="auto" w:fill="FFFFFF"/>
        </w:rPr>
        <w:t xml:space="preserve"> </w:t>
      </w:r>
      <w:r w:rsidRPr="00776242">
        <w:rPr>
          <w:rFonts w:ascii="Arial" w:hAnsi="Arial" w:cs="Arial"/>
          <w:color w:val="000000"/>
          <w:shd w:val="clear" w:color="auto" w:fill="FFFFFF"/>
        </w:rPr>
        <w:t xml:space="preserve">(A) </w:t>
      </w:r>
      <w:r w:rsidR="00AB15E5" w:rsidRPr="00776242">
        <w:rPr>
          <w:rFonts w:ascii="Arial" w:hAnsi="Arial" w:cs="Arial"/>
          <w:color w:val="000000"/>
          <w:shd w:val="clear" w:color="auto" w:fill="FFFFFF"/>
        </w:rPr>
        <w:t xml:space="preserve">at </w:t>
      </w:r>
      <w:r w:rsidRPr="00776242">
        <w:rPr>
          <w:rFonts w:ascii="Arial" w:hAnsi="Arial" w:cs="Arial"/>
          <w:color w:val="000000"/>
          <w:shd w:val="clear" w:color="auto" w:fill="FFFFFF"/>
        </w:rPr>
        <w:t>816.</w:t>
      </w:r>
    </w:p>
  </w:footnote>
  <w:footnote w:id="3">
    <w:p w14:paraId="59431EB4" w14:textId="4AE9E5CE" w:rsidR="007D58DB" w:rsidRPr="00776242" w:rsidRDefault="007D58DB" w:rsidP="002A1D09">
      <w:pPr>
        <w:pStyle w:val="FootnoteText"/>
        <w:rPr>
          <w:rFonts w:ascii="Arial" w:hAnsi="Arial" w:cs="Arial"/>
          <w:lang w:val="en-GB"/>
        </w:rPr>
      </w:pPr>
      <w:r w:rsidRPr="00776242">
        <w:rPr>
          <w:rStyle w:val="FootnoteReference"/>
          <w:rFonts w:ascii="Arial" w:hAnsi="Arial" w:cs="Arial"/>
        </w:rPr>
        <w:footnoteRef/>
      </w:r>
      <w:r w:rsidRPr="00776242">
        <w:rPr>
          <w:rFonts w:ascii="Arial" w:hAnsi="Arial" w:cs="Arial"/>
          <w:i/>
          <w:iCs/>
          <w:color w:val="000000"/>
          <w:shd w:val="clear" w:color="auto" w:fill="FFFFFF"/>
        </w:rPr>
        <w:t xml:space="preserve"> Jeffery v Pollak &amp; Freemantle</w:t>
      </w:r>
      <w:r w:rsidR="00631DEF" w:rsidRPr="00776242">
        <w:rPr>
          <w:rFonts w:ascii="Arial" w:hAnsi="Arial" w:cs="Arial"/>
          <w:i/>
          <w:iCs/>
          <w:color w:val="000000"/>
          <w:shd w:val="clear" w:color="auto" w:fill="FFFFFF"/>
        </w:rPr>
        <w:t xml:space="preserve"> </w:t>
      </w:r>
      <w:r w:rsidRPr="00776242">
        <w:rPr>
          <w:rFonts w:ascii="Arial" w:hAnsi="Arial" w:cs="Arial"/>
          <w:color w:val="000000"/>
          <w:shd w:val="clear" w:color="auto" w:fill="FFFFFF"/>
        </w:rPr>
        <w:t xml:space="preserve">1938 AD 1 </w:t>
      </w:r>
      <w:r w:rsidR="007D1C00" w:rsidRPr="00776242">
        <w:rPr>
          <w:rFonts w:ascii="Arial" w:hAnsi="Arial" w:cs="Arial"/>
          <w:color w:val="000000"/>
          <w:shd w:val="clear" w:color="auto" w:fill="FFFFFF"/>
        </w:rPr>
        <w:t xml:space="preserve">at </w:t>
      </w:r>
      <w:r w:rsidRPr="00776242">
        <w:rPr>
          <w:rFonts w:ascii="Arial" w:hAnsi="Arial" w:cs="Arial"/>
          <w:color w:val="000000"/>
          <w:shd w:val="clear" w:color="auto" w:fill="FFFFFF"/>
        </w:rPr>
        <w:t>25; </w:t>
      </w:r>
      <w:r w:rsidRPr="00776242">
        <w:rPr>
          <w:rFonts w:ascii="Arial" w:hAnsi="Arial" w:cs="Arial"/>
          <w:i/>
          <w:iCs/>
          <w:color w:val="000000"/>
          <w:shd w:val="clear" w:color="auto" w:fill="FFFFFF"/>
        </w:rPr>
        <w:t>Johnson v Incorporated General Insurances Ltd</w:t>
      </w:r>
      <w:r w:rsidR="007D1C00" w:rsidRPr="00776242">
        <w:rPr>
          <w:rFonts w:ascii="Arial" w:hAnsi="Arial" w:cs="Arial"/>
          <w:i/>
          <w:iCs/>
          <w:color w:val="000000"/>
          <w:shd w:val="clear" w:color="auto" w:fill="FFFFFF"/>
        </w:rPr>
        <w:t xml:space="preserve"> </w:t>
      </w:r>
      <w:r w:rsidRPr="00776242">
        <w:rPr>
          <w:rFonts w:ascii="Arial" w:hAnsi="Arial" w:cs="Arial"/>
        </w:rPr>
        <w:t>1983</w:t>
      </w:r>
      <w:r w:rsidR="007D1C00" w:rsidRPr="00776242">
        <w:rPr>
          <w:rFonts w:ascii="Arial" w:hAnsi="Arial" w:cs="Arial"/>
        </w:rPr>
        <w:t xml:space="preserve"> </w:t>
      </w:r>
      <w:r w:rsidR="00CB2DAA" w:rsidRPr="00776242">
        <w:rPr>
          <w:rFonts w:ascii="Arial" w:hAnsi="Arial" w:cs="Arial"/>
        </w:rPr>
        <w:t>(</w:t>
      </w:r>
      <w:r w:rsidRPr="00776242">
        <w:rPr>
          <w:rFonts w:ascii="Arial" w:hAnsi="Arial" w:cs="Arial"/>
        </w:rPr>
        <w:t>1</w:t>
      </w:r>
      <w:r w:rsidR="00CB2DAA" w:rsidRPr="00776242">
        <w:rPr>
          <w:rFonts w:ascii="Arial" w:hAnsi="Arial" w:cs="Arial"/>
        </w:rPr>
        <w:t>)</w:t>
      </w:r>
      <w:r w:rsidR="007D1C00" w:rsidRPr="00776242">
        <w:rPr>
          <w:rFonts w:ascii="Arial" w:hAnsi="Arial" w:cs="Arial"/>
        </w:rPr>
        <w:t xml:space="preserve"> </w:t>
      </w:r>
      <w:r w:rsidRPr="00776242">
        <w:rPr>
          <w:rFonts w:ascii="Arial" w:hAnsi="Arial" w:cs="Arial"/>
        </w:rPr>
        <w:t>SA</w:t>
      </w:r>
      <w:r w:rsidR="007D1C00" w:rsidRPr="00776242">
        <w:rPr>
          <w:rFonts w:ascii="Arial" w:hAnsi="Arial" w:cs="Arial"/>
        </w:rPr>
        <w:t xml:space="preserve"> </w:t>
      </w:r>
      <w:r w:rsidRPr="00776242">
        <w:rPr>
          <w:rFonts w:ascii="Arial" w:hAnsi="Arial" w:cs="Arial"/>
        </w:rPr>
        <w:t>318</w:t>
      </w:r>
      <w:r w:rsidR="007D1C00" w:rsidRPr="00776242">
        <w:rPr>
          <w:rFonts w:ascii="Arial" w:hAnsi="Arial" w:cs="Arial"/>
          <w:color w:val="000000"/>
          <w:shd w:val="clear" w:color="auto" w:fill="FFFFFF"/>
        </w:rPr>
        <w:t xml:space="preserve"> </w:t>
      </w:r>
      <w:r w:rsidRPr="00776242">
        <w:rPr>
          <w:rFonts w:ascii="Arial" w:hAnsi="Arial" w:cs="Arial"/>
          <w:color w:val="000000"/>
          <w:shd w:val="clear" w:color="auto" w:fill="FFFFFF"/>
        </w:rPr>
        <w:t xml:space="preserve">(A) </w:t>
      </w:r>
      <w:r w:rsidR="007D1C00" w:rsidRPr="00776242">
        <w:rPr>
          <w:rFonts w:ascii="Arial" w:hAnsi="Arial" w:cs="Arial"/>
          <w:color w:val="000000"/>
          <w:shd w:val="clear" w:color="auto" w:fill="FFFFFF"/>
        </w:rPr>
        <w:t xml:space="preserve">at </w:t>
      </w:r>
      <w:r w:rsidRPr="00776242">
        <w:rPr>
          <w:rFonts w:ascii="Arial" w:hAnsi="Arial" w:cs="Arial"/>
          <w:color w:val="000000"/>
          <w:shd w:val="clear" w:color="auto" w:fill="FFFFFF"/>
        </w:rPr>
        <w:t>331;</w:t>
      </w:r>
      <w:r w:rsidR="007D1C00" w:rsidRPr="00776242">
        <w:rPr>
          <w:rFonts w:ascii="Arial" w:hAnsi="Arial" w:cs="Arial"/>
          <w:color w:val="000000"/>
          <w:shd w:val="clear" w:color="auto" w:fill="FFFFFF"/>
        </w:rPr>
        <w:t xml:space="preserve"> </w:t>
      </w:r>
      <w:r w:rsidRPr="00776242">
        <w:rPr>
          <w:rFonts w:ascii="Arial" w:hAnsi="Arial" w:cs="Arial"/>
          <w:i/>
          <w:iCs/>
          <w:color w:val="000000"/>
          <w:shd w:val="clear" w:color="auto" w:fill="FFFFFF"/>
        </w:rPr>
        <w:t xml:space="preserve">Gaffoor </w:t>
      </w:r>
      <w:r w:rsidR="00032C0C" w:rsidRPr="00776242">
        <w:rPr>
          <w:rFonts w:ascii="Arial" w:hAnsi="Arial" w:cs="Arial"/>
          <w:i/>
          <w:iCs/>
          <w:color w:val="000000"/>
          <w:shd w:val="clear" w:color="auto" w:fill="FFFFFF"/>
        </w:rPr>
        <w:t xml:space="preserve">and Another </w:t>
      </w:r>
      <w:r w:rsidRPr="00776242">
        <w:rPr>
          <w:rFonts w:ascii="Arial" w:hAnsi="Arial" w:cs="Arial"/>
          <w:i/>
          <w:iCs/>
          <w:color w:val="000000"/>
          <w:shd w:val="clear" w:color="auto" w:fill="FFFFFF"/>
        </w:rPr>
        <w:t>v Vangates Investments</w:t>
      </w:r>
      <w:r w:rsidR="007D1C00" w:rsidRPr="00776242">
        <w:rPr>
          <w:rFonts w:ascii="Arial" w:hAnsi="Arial" w:cs="Arial"/>
          <w:i/>
          <w:iCs/>
          <w:color w:val="000000"/>
          <w:shd w:val="clear" w:color="auto" w:fill="FFFFFF"/>
        </w:rPr>
        <w:t xml:space="preserve"> </w:t>
      </w:r>
      <w:r w:rsidRPr="00776242">
        <w:rPr>
          <w:rFonts w:ascii="Arial" w:hAnsi="Arial" w:cs="Arial"/>
          <w:color w:val="000000"/>
          <w:shd w:val="clear" w:color="auto" w:fill="FFFFFF"/>
        </w:rPr>
        <w:t>(</w:t>
      </w:r>
      <w:r w:rsidRPr="00776242">
        <w:rPr>
          <w:rFonts w:ascii="Arial" w:hAnsi="Arial" w:cs="Arial"/>
          <w:i/>
          <w:iCs/>
          <w:color w:val="000000"/>
          <w:shd w:val="clear" w:color="auto" w:fill="FFFFFF"/>
        </w:rPr>
        <w:t>Pty</w:t>
      </w:r>
      <w:r w:rsidRPr="00776242">
        <w:rPr>
          <w:rFonts w:ascii="Arial" w:hAnsi="Arial" w:cs="Arial"/>
          <w:color w:val="000000"/>
          <w:shd w:val="clear" w:color="auto" w:fill="FFFFFF"/>
        </w:rPr>
        <w:t>)</w:t>
      </w:r>
      <w:r w:rsidR="007D1C00" w:rsidRPr="00776242">
        <w:rPr>
          <w:rFonts w:ascii="Arial" w:hAnsi="Arial" w:cs="Arial"/>
          <w:color w:val="000000"/>
          <w:shd w:val="clear" w:color="auto" w:fill="FFFFFF"/>
        </w:rPr>
        <w:t xml:space="preserve"> </w:t>
      </w:r>
      <w:r w:rsidRPr="00776242">
        <w:rPr>
          <w:rFonts w:ascii="Arial" w:hAnsi="Arial" w:cs="Arial"/>
          <w:i/>
          <w:iCs/>
          <w:color w:val="000000"/>
          <w:shd w:val="clear" w:color="auto" w:fill="FFFFFF"/>
        </w:rPr>
        <w:t>Ltd</w:t>
      </w:r>
      <w:r w:rsidR="007D1C00" w:rsidRPr="00776242">
        <w:rPr>
          <w:rFonts w:ascii="Arial" w:hAnsi="Arial" w:cs="Arial"/>
          <w:i/>
          <w:iCs/>
          <w:color w:val="000000"/>
          <w:shd w:val="clear" w:color="auto" w:fill="FFFFFF"/>
        </w:rPr>
        <w:t xml:space="preserve"> </w:t>
      </w:r>
      <w:r w:rsidRPr="00776242">
        <w:rPr>
          <w:rFonts w:ascii="Arial" w:hAnsi="Arial" w:cs="Arial"/>
        </w:rPr>
        <w:t>2012</w:t>
      </w:r>
      <w:r w:rsidR="007D1C00" w:rsidRPr="00776242">
        <w:rPr>
          <w:rFonts w:ascii="Arial" w:hAnsi="Arial" w:cs="Arial"/>
        </w:rPr>
        <w:t xml:space="preserve"> </w:t>
      </w:r>
      <w:r w:rsidR="00CB2DAA" w:rsidRPr="00776242">
        <w:rPr>
          <w:rFonts w:ascii="Arial" w:hAnsi="Arial" w:cs="Arial"/>
        </w:rPr>
        <w:t>(</w:t>
      </w:r>
      <w:r w:rsidRPr="00776242">
        <w:rPr>
          <w:rFonts w:ascii="Arial" w:hAnsi="Arial" w:cs="Arial"/>
        </w:rPr>
        <w:t>4</w:t>
      </w:r>
      <w:r w:rsidR="00CB2DAA" w:rsidRPr="00776242">
        <w:rPr>
          <w:rFonts w:ascii="Arial" w:hAnsi="Arial" w:cs="Arial"/>
        </w:rPr>
        <w:t>)</w:t>
      </w:r>
      <w:r w:rsidR="007D1C00" w:rsidRPr="00776242">
        <w:rPr>
          <w:rFonts w:ascii="Arial" w:hAnsi="Arial" w:cs="Arial"/>
        </w:rPr>
        <w:t xml:space="preserve"> </w:t>
      </w:r>
      <w:r w:rsidRPr="00776242">
        <w:rPr>
          <w:rFonts w:ascii="Arial" w:hAnsi="Arial" w:cs="Arial"/>
        </w:rPr>
        <w:t>SA</w:t>
      </w:r>
      <w:r w:rsidR="007D1C00" w:rsidRPr="00776242">
        <w:rPr>
          <w:rFonts w:ascii="Arial" w:hAnsi="Arial" w:cs="Arial"/>
        </w:rPr>
        <w:t xml:space="preserve"> </w:t>
      </w:r>
      <w:r w:rsidRPr="00776242">
        <w:rPr>
          <w:rFonts w:ascii="Arial" w:hAnsi="Arial" w:cs="Arial"/>
        </w:rPr>
        <w:t>281</w:t>
      </w:r>
      <w:r w:rsidR="007D1C00" w:rsidRPr="00776242">
        <w:rPr>
          <w:rFonts w:ascii="Arial" w:hAnsi="Arial" w:cs="Arial"/>
          <w:color w:val="000000"/>
          <w:shd w:val="clear" w:color="auto" w:fill="FFFFFF"/>
        </w:rPr>
        <w:t xml:space="preserve"> </w:t>
      </w:r>
      <w:r w:rsidRPr="00776242">
        <w:rPr>
          <w:rFonts w:ascii="Arial" w:hAnsi="Arial" w:cs="Arial"/>
          <w:color w:val="000000"/>
          <w:shd w:val="clear" w:color="auto" w:fill="FFFFFF"/>
        </w:rPr>
        <w:t>(SCA).</w:t>
      </w:r>
      <w:r w:rsidR="007D1C00" w:rsidRPr="00776242">
        <w:rPr>
          <w:rFonts w:ascii="Arial" w:hAnsi="Arial" w:cs="Arial"/>
        </w:rPr>
        <w:t xml:space="preserve"> </w:t>
      </w:r>
    </w:p>
  </w:footnote>
  <w:footnote w:id="4">
    <w:p w14:paraId="61CF844A" w14:textId="52CEFADB" w:rsidR="00286510" w:rsidRPr="00970BBD" w:rsidRDefault="00286510" w:rsidP="002A1D09">
      <w:pPr>
        <w:pStyle w:val="FootnoteText"/>
        <w:rPr>
          <w:rFonts w:ascii="Arial" w:hAnsi="Arial" w:cs="Arial"/>
          <w:snapToGrid w:val="0"/>
        </w:rPr>
      </w:pPr>
      <w:r w:rsidRPr="00776242">
        <w:rPr>
          <w:rStyle w:val="FootnoteReference"/>
          <w:rFonts w:ascii="Arial" w:hAnsi="Arial" w:cs="Arial"/>
        </w:rPr>
        <w:footnoteRef/>
      </w:r>
      <w:r w:rsidRPr="00776242">
        <w:rPr>
          <w:rFonts w:ascii="Arial" w:hAnsi="Arial" w:cs="Arial"/>
          <w:snapToGrid w:val="0"/>
        </w:rPr>
        <w:t xml:space="preserve"> </w:t>
      </w:r>
      <w:r w:rsidR="00E3431D" w:rsidRPr="00776242">
        <w:rPr>
          <w:rFonts w:ascii="Arial" w:hAnsi="Arial" w:cs="Arial"/>
          <w:snapToGrid w:val="0"/>
        </w:rPr>
        <w:t xml:space="preserve">2 </w:t>
      </w:r>
      <w:r w:rsidRPr="00776242">
        <w:rPr>
          <w:rFonts w:ascii="Arial" w:hAnsi="Arial" w:cs="Arial"/>
          <w:i/>
          <w:snapToGrid w:val="0"/>
        </w:rPr>
        <w:t>Lawsa</w:t>
      </w:r>
      <w:r w:rsidRPr="00776242">
        <w:rPr>
          <w:rFonts w:ascii="Arial" w:hAnsi="Arial" w:cs="Arial"/>
          <w:snapToGrid w:val="0"/>
        </w:rPr>
        <w:t xml:space="preserve"> </w:t>
      </w:r>
      <w:r w:rsidR="00E3431D" w:rsidRPr="00776242">
        <w:rPr>
          <w:rFonts w:ascii="Arial" w:hAnsi="Arial" w:cs="Arial"/>
          <w:snapToGrid w:val="0"/>
        </w:rPr>
        <w:t xml:space="preserve">2 ed </w:t>
      </w:r>
      <w:r w:rsidRPr="00776242">
        <w:rPr>
          <w:rFonts w:ascii="Arial" w:hAnsi="Arial" w:cs="Arial"/>
          <w:snapToGrid w:val="0"/>
        </w:rPr>
        <w:t>para 6.</w:t>
      </w:r>
    </w:p>
  </w:footnote>
  <w:footnote w:id="5">
    <w:p w14:paraId="659FD862" w14:textId="77777777" w:rsidR="00384D31" w:rsidRPr="00E3431D" w:rsidRDefault="00384D31" w:rsidP="00384D31">
      <w:pPr>
        <w:pStyle w:val="Heading2"/>
        <w:shd w:val="clear" w:color="auto" w:fill="FFFFFF"/>
        <w:spacing w:before="0" w:line="288" w:lineRule="atLeast"/>
        <w:rPr>
          <w:rFonts w:ascii="Arial" w:eastAsia="Times New Roman" w:hAnsi="Arial" w:cs="Arial"/>
          <w:color w:val="64473A"/>
          <w:sz w:val="20"/>
          <w:szCs w:val="20"/>
          <w:lang w:eastAsia="en-ZA"/>
        </w:rPr>
      </w:pPr>
      <w:r w:rsidRPr="00E3431D">
        <w:rPr>
          <w:rStyle w:val="FootnoteReference"/>
          <w:rFonts w:ascii="Arial" w:hAnsi="Arial" w:cs="Arial"/>
          <w:color w:val="auto"/>
          <w:sz w:val="20"/>
          <w:szCs w:val="20"/>
        </w:rPr>
        <w:footnoteRef/>
      </w:r>
      <w:r w:rsidRPr="00E3431D">
        <w:rPr>
          <w:rFonts w:ascii="Arial" w:hAnsi="Arial" w:cs="Arial"/>
          <w:color w:val="auto"/>
          <w:sz w:val="20"/>
          <w:szCs w:val="20"/>
        </w:rPr>
        <w:t xml:space="preserve"> </w:t>
      </w:r>
      <w:r w:rsidRPr="00E3431D">
        <w:rPr>
          <w:rFonts w:ascii="Arial" w:hAnsi="Arial" w:cs="Arial"/>
          <w:i/>
          <w:iCs/>
          <w:color w:val="000000"/>
          <w:sz w:val="20"/>
          <w:szCs w:val="20"/>
          <w:shd w:val="clear" w:color="auto" w:fill="FFFFFF"/>
        </w:rPr>
        <w:t>Grobbelaar and Others v Shoprite Checkers Ltd </w:t>
      </w:r>
      <w:r w:rsidRPr="00E3431D">
        <w:rPr>
          <w:rFonts w:ascii="Arial" w:hAnsi="Arial" w:cs="Arial"/>
          <w:color w:val="auto"/>
          <w:sz w:val="20"/>
          <w:szCs w:val="20"/>
          <w:lang w:eastAsia="en-ZA"/>
        </w:rPr>
        <w:t>[2011] ZASCA 11 para 18.</w:t>
      </w:r>
    </w:p>
  </w:footnote>
  <w:footnote w:id="6">
    <w:p w14:paraId="170D7F88" w14:textId="77777777" w:rsidR="00FE0742" w:rsidRPr="00970BBD" w:rsidRDefault="00FE0742" w:rsidP="00FE0742">
      <w:pPr>
        <w:pStyle w:val="FootnoteText"/>
        <w:rPr>
          <w:rFonts w:ascii="Arial" w:hAnsi="Arial" w:cs="Arial"/>
          <w:snapToGrid w:val="0"/>
        </w:rPr>
      </w:pPr>
      <w:r w:rsidRPr="00970BBD">
        <w:rPr>
          <w:rStyle w:val="FootnoteReference"/>
          <w:rFonts w:ascii="Arial" w:hAnsi="Arial" w:cs="Arial"/>
        </w:rPr>
        <w:footnoteRef/>
      </w:r>
      <w:r w:rsidRPr="00970BBD">
        <w:rPr>
          <w:rFonts w:ascii="Arial" w:hAnsi="Arial" w:cs="Arial"/>
          <w:snapToGrid w:val="0"/>
          <w:position w:val="8"/>
        </w:rPr>
        <w:t xml:space="preserve"> </w:t>
      </w:r>
      <w:r w:rsidRPr="00E3431D">
        <w:rPr>
          <w:rFonts w:ascii="Arial" w:hAnsi="Arial" w:cs="Arial"/>
          <w:i/>
          <w:snapToGrid w:val="0"/>
        </w:rPr>
        <w:t>Lawsa</w:t>
      </w:r>
      <w:r w:rsidRPr="00970BBD">
        <w:rPr>
          <w:rFonts w:ascii="Arial" w:hAnsi="Arial" w:cs="Arial"/>
          <w:snapToGrid w:val="0"/>
        </w:rPr>
        <w:t xml:space="preserve"> </w:t>
      </w:r>
      <w:r w:rsidRPr="00E3431D">
        <w:rPr>
          <w:rFonts w:ascii="Arial" w:hAnsi="Arial" w:cs="Arial"/>
          <w:snapToGrid w:val="0"/>
        </w:rPr>
        <w:t>fn 4</w:t>
      </w:r>
      <w:r w:rsidRPr="00970BBD">
        <w:rPr>
          <w:rFonts w:ascii="Arial" w:hAnsi="Arial" w:cs="Arial"/>
          <w:snapToGrid w:val="0"/>
        </w:rPr>
        <w:t xml:space="preserve"> </w:t>
      </w:r>
      <w:r w:rsidRPr="00776242">
        <w:rPr>
          <w:rFonts w:ascii="Arial" w:hAnsi="Arial" w:cs="Arial"/>
          <w:snapToGrid w:val="0"/>
        </w:rPr>
        <w:t>above.</w:t>
      </w:r>
    </w:p>
  </w:footnote>
  <w:footnote w:id="7">
    <w:p w14:paraId="7BE24823" w14:textId="77777777" w:rsidR="00FE0742" w:rsidRPr="00E3431D" w:rsidRDefault="00FE0742" w:rsidP="00FE0742">
      <w:pPr>
        <w:pStyle w:val="Heading3"/>
        <w:shd w:val="clear" w:color="auto" w:fill="FFFFFF"/>
        <w:spacing w:before="0"/>
        <w:ind w:right="-510"/>
        <w:rPr>
          <w:rFonts w:ascii="Arial" w:hAnsi="Arial" w:cs="Arial"/>
          <w:color w:val="auto"/>
          <w:sz w:val="20"/>
          <w:szCs w:val="20"/>
          <w:lang w:eastAsia="en-ZA"/>
        </w:rPr>
      </w:pPr>
      <w:r w:rsidRPr="00E3431D">
        <w:rPr>
          <w:rStyle w:val="FootnoteReference"/>
          <w:rFonts w:ascii="Arial" w:hAnsi="Arial" w:cs="Arial"/>
          <w:sz w:val="20"/>
          <w:szCs w:val="20"/>
        </w:rPr>
        <w:footnoteRef/>
      </w:r>
      <w:r w:rsidRPr="00E3431D">
        <w:rPr>
          <w:rFonts w:ascii="Arial" w:hAnsi="Arial" w:cs="Arial"/>
          <w:sz w:val="20"/>
          <w:szCs w:val="20"/>
        </w:rPr>
        <w:t xml:space="preserve"> </w:t>
      </w:r>
      <w:r w:rsidRPr="00E3431D">
        <w:rPr>
          <w:rFonts w:ascii="Arial" w:hAnsi="Arial" w:cs="Arial"/>
          <w:i/>
          <w:iCs/>
          <w:color w:val="auto"/>
          <w:sz w:val="20"/>
          <w:szCs w:val="20"/>
          <w:lang w:eastAsia="en-ZA"/>
        </w:rPr>
        <w:t>Stannic v Samib Underwriting Managers (Pty) Ltd</w:t>
      </w:r>
      <w:r w:rsidRPr="00E3431D">
        <w:rPr>
          <w:rFonts w:ascii="Arial" w:hAnsi="Arial" w:cs="Arial"/>
          <w:sz w:val="20"/>
          <w:szCs w:val="20"/>
          <w:lang w:eastAsia="en-ZA"/>
        </w:rPr>
        <w:t xml:space="preserve"> </w:t>
      </w:r>
      <w:r w:rsidRPr="00970BBD">
        <w:rPr>
          <w:rFonts w:ascii="Arial" w:hAnsi="Arial" w:cs="Arial"/>
          <w:color w:val="auto"/>
          <w:sz w:val="20"/>
          <w:szCs w:val="20"/>
          <w:lang w:eastAsia="en-ZA"/>
        </w:rPr>
        <w:t>[2003] ZASCA 61</w:t>
      </w:r>
      <w:r w:rsidRPr="00970BBD">
        <w:rPr>
          <w:rFonts w:ascii="Arial" w:hAnsi="Arial" w:cs="Arial"/>
          <w:color w:val="auto"/>
          <w:sz w:val="20"/>
          <w:szCs w:val="20"/>
        </w:rPr>
        <w:t>;</w:t>
      </w:r>
      <w:r w:rsidRPr="00970BBD">
        <w:rPr>
          <w:rFonts w:ascii="Arial" w:hAnsi="Arial" w:cs="Arial"/>
          <w:color w:val="auto"/>
          <w:sz w:val="20"/>
          <w:szCs w:val="20"/>
          <w:lang w:eastAsia="en-ZA"/>
        </w:rPr>
        <w:t xml:space="preserve"> [2003]</w:t>
      </w:r>
      <w:r w:rsidRPr="00970BBD">
        <w:rPr>
          <w:rFonts w:ascii="Arial" w:hAnsi="Arial" w:cs="Arial"/>
          <w:color w:val="auto"/>
          <w:sz w:val="20"/>
          <w:szCs w:val="20"/>
        </w:rPr>
        <w:t xml:space="preserve"> </w:t>
      </w:r>
      <w:r w:rsidRPr="00970BBD">
        <w:rPr>
          <w:rFonts w:ascii="Arial" w:hAnsi="Arial" w:cs="Arial"/>
          <w:color w:val="auto"/>
          <w:sz w:val="20"/>
          <w:szCs w:val="20"/>
          <w:lang w:eastAsia="en-ZA"/>
        </w:rPr>
        <w:t>3 All SA 257 (SCA)</w:t>
      </w:r>
      <w:r w:rsidRPr="00970BBD">
        <w:rPr>
          <w:rFonts w:ascii="Arial" w:hAnsi="Arial" w:cs="Arial"/>
          <w:color w:val="auto"/>
          <w:sz w:val="20"/>
          <w:szCs w:val="20"/>
        </w:rPr>
        <w:t xml:space="preserve"> para </w:t>
      </w:r>
      <w:r w:rsidRPr="00E3431D">
        <w:rPr>
          <w:rFonts w:ascii="Arial" w:hAnsi="Arial" w:cs="Arial"/>
          <w:color w:val="auto"/>
          <w:sz w:val="20"/>
          <w:szCs w:val="20"/>
        </w:rPr>
        <w:t>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189281"/>
      <w:docPartObj>
        <w:docPartGallery w:val="Page Numbers (Top of Page)"/>
        <w:docPartUnique/>
      </w:docPartObj>
    </w:sdtPr>
    <w:sdtEndPr>
      <w:rPr>
        <w:rFonts w:ascii="Arial" w:hAnsi="Arial" w:cs="Arial"/>
        <w:noProof/>
        <w:sz w:val="20"/>
        <w:szCs w:val="20"/>
      </w:rPr>
    </w:sdtEndPr>
    <w:sdtContent>
      <w:p w14:paraId="6658905A" w14:textId="59ACF752" w:rsidR="003B5534" w:rsidRPr="0015663E" w:rsidRDefault="003B5534">
        <w:pPr>
          <w:pStyle w:val="Header"/>
          <w:jc w:val="right"/>
          <w:rPr>
            <w:rFonts w:ascii="Arial" w:hAnsi="Arial" w:cs="Arial"/>
            <w:sz w:val="20"/>
            <w:szCs w:val="20"/>
          </w:rPr>
        </w:pPr>
        <w:r w:rsidRPr="0015663E">
          <w:rPr>
            <w:rFonts w:ascii="Arial" w:hAnsi="Arial" w:cs="Arial"/>
            <w:sz w:val="20"/>
            <w:szCs w:val="20"/>
          </w:rPr>
          <w:fldChar w:fldCharType="begin"/>
        </w:r>
        <w:r w:rsidRPr="0015663E">
          <w:rPr>
            <w:rFonts w:ascii="Arial" w:hAnsi="Arial" w:cs="Arial"/>
            <w:sz w:val="20"/>
            <w:szCs w:val="20"/>
          </w:rPr>
          <w:instrText xml:space="preserve"> PAGE   \* MERGEFORMAT </w:instrText>
        </w:r>
        <w:r w:rsidRPr="0015663E">
          <w:rPr>
            <w:rFonts w:ascii="Arial" w:hAnsi="Arial" w:cs="Arial"/>
            <w:sz w:val="20"/>
            <w:szCs w:val="20"/>
          </w:rPr>
          <w:fldChar w:fldCharType="separate"/>
        </w:r>
        <w:r w:rsidR="00435D5F">
          <w:rPr>
            <w:rFonts w:ascii="Arial" w:hAnsi="Arial" w:cs="Arial"/>
            <w:noProof/>
            <w:sz w:val="20"/>
            <w:szCs w:val="20"/>
          </w:rPr>
          <w:t>12</w:t>
        </w:r>
        <w:r w:rsidRPr="0015663E">
          <w:rPr>
            <w:rFonts w:ascii="Arial" w:hAnsi="Arial" w:cs="Arial"/>
            <w:noProof/>
            <w:sz w:val="20"/>
            <w:szCs w:val="20"/>
          </w:rPr>
          <w:fldChar w:fldCharType="end"/>
        </w:r>
      </w:p>
    </w:sdtContent>
  </w:sdt>
  <w:p w14:paraId="0C23F7C4" w14:textId="77777777" w:rsidR="003B5534" w:rsidRDefault="003B5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B2760930"/>
    <w:lvl w:ilvl="0" w:tplc="BC56BE76">
      <w:start w:val="1"/>
      <w:numFmt w:val="decimal"/>
      <w:pStyle w:val="JUDGMENTNUMBERED"/>
      <w:lvlText w:val="[%1]"/>
      <w:lvlJc w:val="left"/>
      <w:pPr>
        <w:ind w:left="927"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1537" w:hanging="360"/>
      </w:pPr>
      <w:rPr>
        <w:rFonts w:cs="Times New Roman" w:hint="default"/>
      </w:rPr>
    </w:lvl>
    <w:lvl w:ilvl="2" w:tplc="E2880030">
      <w:start w:val="1"/>
      <w:numFmt w:val="decimal"/>
      <w:lvlText w:val="%3."/>
      <w:lvlJc w:val="left"/>
      <w:pPr>
        <w:ind w:left="-637" w:hanging="360"/>
      </w:pPr>
      <w:rPr>
        <w:rFonts w:ascii="Times New Roman" w:hAnsi="Times New Roman" w:cs="Times New Roman" w:hint="default"/>
        <w:i w:val="0"/>
        <w:sz w:val="28"/>
        <w:szCs w:val="28"/>
      </w:rPr>
    </w:lvl>
    <w:lvl w:ilvl="3" w:tplc="DCD45254">
      <w:start w:val="1"/>
      <w:numFmt w:val="lowerLetter"/>
      <w:lvlText w:val="(%4)"/>
      <w:lvlJc w:val="left"/>
      <w:pPr>
        <w:ind w:left="-727" w:hanging="720"/>
      </w:pPr>
      <w:rPr>
        <w:rFonts w:ascii="Times New Roman" w:eastAsia="Times New Roman" w:hAnsi="Times New Roman" w:cs="Times New Roman" w:hint="default"/>
      </w:rPr>
    </w:lvl>
    <w:lvl w:ilvl="4" w:tplc="AC666328">
      <w:start w:val="1"/>
      <w:numFmt w:val="lowerLetter"/>
      <w:lvlText w:val="(%5)"/>
      <w:lvlJc w:val="left"/>
      <w:pPr>
        <w:ind w:left="623" w:hanging="360"/>
      </w:pPr>
      <w:rPr>
        <w:rFonts w:hint="default"/>
      </w:rPr>
    </w:lvl>
    <w:lvl w:ilvl="5" w:tplc="0409001B">
      <w:start w:val="1"/>
      <w:numFmt w:val="lowerRoman"/>
      <w:lvlText w:val="%6."/>
      <w:lvlJc w:val="right"/>
      <w:pPr>
        <w:ind w:left="1343" w:hanging="180"/>
      </w:pPr>
      <w:rPr>
        <w:rFonts w:cs="Times New Roman"/>
      </w:rPr>
    </w:lvl>
    <w:lvl w:ilvl="6" w:tplc="0409000F" w:tentative="1">
      <w:start w:val="1"/>
      <w:numFmt w:val="decimal"/>
      <w:lvlText w:val="%7."/>
      <w:lvlJc w:val="left"/>
      <w:pPr>
        <w:ind w:left="2063" w:hanging="360"/>
      </w:pPr>
      <w:rPr>
        <w:rFonts w:cs="Times New Roman"/>
      </w:rPr>
    </w:lvl>
    <w:lvl w:ilvl="7" w:tplc="04090019" w:tentative="1">
      <w:start w:val="1"/>
      <w:numFmt w:val="lowerLetter"/>
      <w:lvlText w:val="%8."/>
      <w:lvlJc w:val="left"/>
      <w:pPr>
        <w:ind w:left="2783" w:hanging="360"/>
      </w:pPr>
      <w:rPr>
        <w:rFonts w:cs="Times New Roman"/>
      </w:rPr>
    </w:lvl>
    <w:lvl w:ilvl="8" w:tplc="0409001B" w:tentative="1">
      <w:start w:val="1"/>
      <w:numFmt w:val="lowerRoman"/>
      <w:lvlText w:val="%9."/>
      <w:lvlJc w:val="right"/>
      <w:pPr>
        <w:ind w:left="3503" w:hanging="180"/>
      </w:pPr>
      <w:rPr>
        <w:rFonts w:cs="Times New Roman"/>
      </w:rPr>
    </w:lvl>
  </w:abstractNum>
  <w:abstractNum w:abstractNumId="1">
    <w:nsid w:val="0C2636A3"/>
    <w:multiLevelType w:val="hybridMultilevel"/>
    <w:tmpl w:val="EF82129C"/>
    <w:lvl w:ilvl="0" w:tplc="8898DA4A">
      <w:start w:val="1"/>
      <w:numFmt w:val="decimal"/>
      <w:lvlText w:val="%1"/>
      <w:lvlJc w:val="left"/>
      <w:pPr>
        <w:ind w:left="2264" w:hanging="42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2">
    <w:nsid w:val="0C5C62DD"/>
    <w:multiLevelType w:val="multilevel"/>
    <w:tmpl w:val="159C64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214E66"/>
    <w:multiLevelType w:val="hybridMultilevel"/>
    <w:tmpl w:val="A2484838"/>
    <w:lvl w:ilvl="0" w:tplc="018241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506B23"/>
    <w:multiLevelType w:val="multilevel"/>
    <w:tmpl w:val="BD60A6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CAF22A5"/>
    <w:multiLevelType w:val="hybridMultilevel"/>
    <w:tmpl w:val="7D8CF15C"/>
    <w:lvl w:ilvl="0" w:tplc="2C6A417C">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DB"/>
    <w:rsid w:val="00015EE0"/>
    <w:rsid w:val="000220AC"/>
    <w:rsid w:val="00025102"/>
    <w:rsid w:val="00032C0C"/>
    <w:rsid w:val="000343E8"/>
    <w:rsid w:val="00037551"/>
    <w:rsid w:val="00037F4E"/>
    <w:rsid w:val="000544FB"/>
    <w:rsid w:val="0005585E"/>
    <w:rsid w:val="00064605"/>
    <w:rsid w:val="00065315"/>
    <w:rsid w:val="000746EA"/>
    <w:rsid w:val="000765FB"/>
    <w:rsid w:val="00082899"/>
    <w:rsid w:val="000851D2"/>
    <w:rsid w:val="000A2A1C"/>
    <w:rsid w:val="000A7C9D"/>
    <w:rsid w:val="000C0EBB"/>
    <w:rsid w:val="000E0451"/>
    <w:rsid w:val="00123227"/>
    <w:rsid w:val="00134D13"/>
    <w:rsid w:val="001447D3"/>
    <w:rsid w:val="0015663E"/>
    <w:rsid w:val="0016337A"/>
    <w:rsid w:val="00182F8E"/>
    <w:rsid w:val="001A24A2"/>
    <w:rsid w:val="001B2B41"/>
    <w:rsid w:val="001B41AF"/>
    <w:rsid w:val="001C24A7"/>
    <w:rsid w:val="001E4A9C"/>
    <w:rsid w:val="001F097C"/>
    <w:rsid w:val="00214F10"/>
    <w:rsid w:val="00215496"/>
    <w:rsid w:val="00215560"/>
    <w:rsid w:val="00220498"/>
    <w:rsid w:val="00222EC8"/>
    <w:rsid w:val="00223AD1"/>
    <w:rsid w:val="00234AC2"/>
    <w:rsid w:val="00242D72"/>
    <w:rsid w:val="00247F15"/>
    <w:rsid w:val="002645CB"/>
    <w:rsid w:val="00272C74"/>
    <w:rsid w:val="0027462E"/>
    <w:rsid w:val="00274A0D"/>
    <w:rsid w:val="00280802"/>
    <w:rsid w:val="00285883"/>
    <w:rsid w:val="0028590B"/>
    <w:rsid w:val="00286510"/>
    <w:rsid w:val="00287DE3"/>
    <w:rsid w:val="00293260"/>
    <w:rsid w:val="00295867"/>
    <w:rsid w:val="002A04A2"/>
    <w:rsid w:val="002A1D09"/>
    <w:rsid w:val="002A6A34"/>
    <w:rsid w:val="002A7E42"/>
    <w:rsid w:val="002B2F09"/>
    <w:rsid w:val="002B4256"/>
    <w:rsid w:val="002E0298"/>
    <w:rsid w:val="002E5FA3"/>
    <w:rsid w:val="002F1522"/>
    <w:rsid w:val="002F7E36"/>
    <w:rsid w:val="003102D4"/>
    <w:rsid w:val="00312E13"/>
    <w:rsid w:val="003200B6"/>
    <w:rsid w:val="00327CDC"/>
    <w:rsid w:val="003359F8"/>
    <w:rsid w:val="00344BB5"/>
    <w:rsid w:val="0034546F"/>
    <w:rsid w:val="00345AC0"/>
    <w:rsid w:val="003539E9"/>
    <w:rsid w:val="00355AF3"/>
    <w:rsid w:val="00367196"/>
    <w:rsid w:val="00370411"/>
    <w:rsid w:val="00374F53"/>
    <w:rsid w:val="00384D31"/>
    <w:rsid w:val="00390C7D"/>
    <w:rsid w:val="00390E22"/>
    <w:rsid w:val="003A5E74"/>
    <w:rsid w:val="003A67C0"/>
    <w:rsid w:val="003B5534"/>
    <w:rsid w:val="003B721B"/>
    <w:rsid w:val="003B7E41"/>
    <w:rsid w:val="003C0304"/>
    <w:rsid w:val="003C0681"/>
    <w:rsid w:val="003C1BA2"/>
    <w:rsid w:val="003C37C5"/>
    <w:rsid w:val="003C55F8"/>
    <w:rsid w:val="003C697D"/>
    <w:rsid w:val="003D0212"/>
    <w:rsid w:val="003D0638"/>
    <w:rsid w:val="003D46FC"/>
    <w:rsid w:val="003D73FE"/>
    <w:rsid w:val="003E3AEE"/>
    <w:rsid w:val="003E7198"/>
    <w:rsid w:val="003F20AA"/>
    <w:rsid w:val="00402A34"/>
    <w:rsid w:val="00404398"/>
    <w:rsid w:val="004070C2"/>
    <w:rsid w:val="004217F3"/>
    <w:rsid w:val="00422003"/>
    <w:rsid w:val="004328EB"/>
    <w:rsid w:val="00435D5F"/>
    <w:rsid w:val="00440909"/>
    <w:rsid w:val="00440D7D"/>
    <w:rsid w:val="004436E9"/>
    <w:rsid w:val="004446FE"/>
    <w:rsid w:val="0045023A"/>
    <w:rsid w:val="0045037D"/>
    <w:rsid w:val="00452330"/>
    <w:rsid w:val="00454A72"/>
    <w:rsid w:val="00460FF5"/>
    <w:rsid w:val="00464B61"/>
    <w:rsid w:val="00466F59"/>
    <w:rsid w:val="00470B7F"/>
    <w:rsid w:val="004729D9"/>
    <w:rsid w:val="004872D1"/>
    <w:rsid w:val="004B01E7"/>
    <w:rsid w:val="004B15DE"/>
    <w:rsid w:val="004B1A68"/>
    <w:rsid w:val="004B1D99"/>
    <w:rsid w:val="004B4D2E"/>
    <w:rsid w:val="004B5E8C"/>
    <w:rsid w:val="004B6028"/>
    <w:rsid w:val="004C09C5"/>
    <w:rsid w:val="004C1B13"/>
    <w:rsid w:val="004C25B8"/>
    <w:rsid w:val="004C46F1"/>
    <w:rsid w:val="004C4D56"/>
    <w:rsid w:val="004C59B4"/>
    <w:rsid w:val="004D1E1F"/>
    <w:rsid w:val="004E2DD8"/>
    <w:rsid w:val="004E7572"/>
    <w:rsid w:val="004F68A3"/>
    <w:rsid w:val="00502443"/>
    <w:rsid w:val="0050245B"/>
    <w:rsid w:val="00504BC7"/>
    <w:rsid w:val="00516289"/>
    <w:rsid w:val="00517805"/>
    <w:rsid w:val="00526C55"/>
    <w:rsid w:val="00527DD6"/>
    <w:rsid w:val="0054383B"/>
    <w:rsid w:val="00544347"/>
    <w:rsid w:val="00554311"/>
    <w:rsid w:val="00555730"/>
    <w:rsid w:val="005569F4"/>
    <w:rsid w:val="00560572"/>
    <w:rsid w:val="005609B4"/>
    <w:rsid w:val="00561FAA"/>
    <w:rsid w:val="005658FA"/>
    <w:rsid w:val="005705DD"/>
    <w:rsid w:val="00585D74"/>
    <w:rsid w:val="00587375"/>
    <w:rsid w:val="0058777F"/>
    <w:rsid w:val="005A1AA3"/>
    <w:rsid w:val="005A1B08"/>
    <w:rsid w:val="005B29A6"/>
    <w:rsid w:val="005C007A"/>
    <w:rsid w:val="005C6786"/>
    <w:rsid w:val="005D1CDB"/>
    <w:rsid w:val="005D2577"/>
    <w:rsid w:val="005D4998"/>
    <w:rsid w:val="005D758D"/>
    <w:rsid w:val="005E160D"/>
    <w:rsid w:val="005E3F86"/>
    <w:rsid w:val="005E6707"/>
    <w:rsid w:val="005E7DE2"/>
    <w:rsid w:val="005F39AE"/>
    <w:rsid w:val="00600F97"/>
    <w:rsid w:val="00601C37"/>
    <w:rsid w:val="00604AF6"/>
    <w:rsid w:val="006073EF"/>
    <w:rsid w:val="00612521"/>
    <w:rsid w:val="006140F9"/>
    <w:rsid w:val="00623982"/>
    <w:rsid w:val="00625AD8"/>
    <w:rsid w:val="0062641B"/>
    <w:rsid w:val="00631DEF"/>
    <w:rsid w:val="00637933"/>
    <w:rsid w:val="00640220"/>
    <w:rsid w:val="00645AF2"/>
    <w:rsid w:val="00655D80"/>
    <w:rsid w:val="00662726"/>
    <w:rsid w:val="00665E3C"/>
    <w:rsid w:val="006670B1"/>
    <w:rsid w:val="0067576D"/>
    <w:rsid w:val="00676568"/>
    <w:rsid w:val="00676A39"/>
    <w:rsid w:val="00683818"/>
    <w:rsid w:val="0068483C"/>
    <w:rsid w:val="00685F34"/>
    <w:rsid w:val="00694DFC"/>
    <w:rsid w:val="006A7A92"/>
    <w:rsid w:val="006B2D4D"/>
    <w:rsid w:val="006D01CC"/>
    <w:rsid w:val="006E0297"/>
    <w:rsid w:val="006E066E"/>
    <w:rsid w:val="006F225E"/>
    <w:rsid w:val="00700238"/>
    <w:rsid w:val="00714C77"/>
    <w:rsid w:val="0072209D"/>
    <w:rsid w:val="007258FE"/>
    <w:rsid w:val="007306A2"/>
    <w:rsid w:val="0073488E"/>
    <w:rsid w:val="007421A1"/>
    <w:rsid w:val="0074322C"/>
    <w:rsid w:val="00744165"/>
    <w:rsid w:val="00744B2F"/>
    <w:rsid w:val="00746E11"/>
    <w:rsid w:val="007510A8"/>
    <w:rsid w:val="00763B21"/>
    <w:rsid w:val="00764471"/>
    <w:rsid w:val="00770605"/>
    <w:rsid w:val="00776242"/>
    <w:rsid w:val="007845D2"/>
    <w:rsid w:val="00795E5D"/>
    <w:rsid w:val="007A2ABE"/>
    <w:rsid w:val="007A3C98"/>
    <w:rsid w:val="007A4C5D"/>
    <w:rsid w:val="007A5AB4"/>
    <w:rsid w:val="007C23A4"/>
    <w:rsid w:val="007D1C00"/>
    <w:rsid w:val="007D2725"/>
    <w:rsid w:val="007D349E"/>
    <w:rsid w:val="007D58DB"/>
    <w:rsid w:val="007D6ED5"/>
    <w:rsid w:val="007F7990"/>
    <w:rsid w:val="0080078C"/>
    <w:rsid w:val="00800955"/>
    <w:rsid w:val="00802C62"/>
    <w:rsid w:val="008100B3"/>
    <w:rsid w:val="00815E20"/>
    <w:rsid w:val="00816301"/>
    <w:rsid w:val="00816DBB"/>
    <w:rsid w:val="008254B1"/>
    <w:rsid w:val="00832033"/>
    <w:rsid w:val="00834523"/>
    <w:rsid w:val="00841967"/>
    <w:rsid w:val="00842335"/>
    <w:rsid w:val="00845A11"/>
    <w:rsid w:val="00855E44"/>
    <w:rsid w:val="008560CD"/>
    <w:rsid w:val="00865F4F"/>
    <w:rsid w:val="008700CC"/>
    <w:rsid w:val="00871BD1"/>
    <w:rsid w:val="0087270C"/>
    <w:rsid w:val="008732FE"/>
    <w:rsid w:val="008743D7"/>
    <w:rsid w:val="00877BC6"/>
    <w:rsid w:val="00882DA8"/>
    <w:rsid w:val="00893834"/>
    <w:rsid w:val="008B3012"/>
    <w:rsid w:val="008D1285"/>
    <w:rsid w:val="008E4B91"/>
    <w:rsid w:val="008F265A"/>
    <w:rsid w:val="008F2CEC"/>
    <w:rsid w:val="0092279B"/>
    <w:rsid w:val="00925F3A"/>
    <w:rsid w:val="00932669"/>
    <w:rsid w:val="009345BA"/>
    <w:rsid w:val="00940B08"/>
    <w:rsid w:val="0094633A"/>
    <w:rsid w:val="009537CE"/>
    <w:rsid w:val="009544FE"/>
    <w:rsid w:val="00956661"/>
    <w:rsid w:val="00960D45"/>
    <w:rsid w:val="00962029"/>
    <w:rsid w:val="0096657A"/>
    <w:rsid w:val="00970BBD"/>
    <w:rsid w:val="009847CA"/>
    <w:rsid w:val="00995498"/>
    <w:rsid w:val="0099711D"/>
    <w:rsid w:val="009B621E"/>
    <w:rsid w:val="009C0BA1"/>
    <w:rsid w:val="009C7307"/>
    <w:rsid w:val="009D4BA1"/>
    <w:rsid w:val="009D5A1B"/>
    <w:rsid w:val="009E173D"/>
    <w:rsid w:val="009E5BE6"/>
    <w:rsid w:val="009E6AA9"/>
    <w:rsid w:val="009F05C4"/>
    <w:rsid w:val="009F67DD"/>
    <w:rsid w:val="00A00A1E"/>
    <w:rsid w:val="00A01CF3"/>
    <w:rsid w:val="00A16862"/>
    <w:rsid w:val="00A17393"/>
    <w:rsid w:val="00A408B7"/>
    <w:rsid w:val="00A41DA1"/>
    <w:rsid w:val="00A47A58"/>
    <w:rsid w:val="00A51F8D"/>
    <w:rsid w:val="00A5573B"/>
    <w:rsid w:val="00A61467"/>
    <w:rsid w:val="00A65A50"/>
    <w:rsid w:val="00A7443F"/>
    <w:rsid w:val="00A75055"/>
    <w:rsid w:val="00A774CE"/>
    <w:rsid w:val="00A85D4B"/>
    <w:rsid w:val="00A873C0"/>
    <w:rsid w:val="00A879F5"/>
    <w:rsid w:val="00A9360E"/>
    <w:rsid w:val="00A97E67"/>
    <w:rsid w:val="00AA178E"/>
    <w:rsid w:val="00AA72F2"/>
    <w:rsid w:val="00AA7468"/>
    <w:rsid w:val="00AB15E5"/>
    <w:rsid w:val="00AB542B"/>
    <w:rsid w:val="00AD4512"/>
    <w:rsid w:val="00AF0023"/>
    <w:rsid w:val="00B01AD9"/>
    <w:rsid w:val="00B01B73"/>
    <w:rsid w:val="00B14007"/>
    <w:rsid w:val="00B25988"/>
    <w:rsid w:val="00B35D2A"/>
    <w:rsid w:val="00B451C5"/>
    <w:rsid w:val="00B61532"/>
    <w:rsid w:val="00B76C66"/>
    <w:rsid w:val="00BA6CB9"/>
    <w:rsid w:val="00BA7110"/>
    <w:rsid w:val="00BB24AC"/>
    <w:rsid w:val="00BB5028"/>
    <w:rsid w:val="00BC2089"/>
    <w:rsid w:val="00BD425C"/>
    <w:rsid w:val="00BD6D10"/>
    <w:rsid w:val="00BF7E0F"/>
    <w:rsid w:val="00C220DE"/>
    <w:rsid w:val="00C24EB6"/>
    <w:rsid w:val="00C401A1"/>
    <w:rsid w:val="00C563D5"/>
    <w:rsid w:val="00C74873"/>
    <w:rsid w:val="00C91DCC"/>
    <w:rsid w:val="00CA16CE"/>
    <w:rsid w:val="00CB2DAA"/>
    <w:rsid w:val="00CB3E84"/>
    <w:rsid w:val="00CC0A1B"/>
    <w:rsid w:val="00CC3BC9"/>
    <w:rsid w:val="00CC4065"/>
    <w:rsid w:val="00CC4EDF"/>
    <w:rsid w:val="00CE1D50"/>
    <w:rsid w:val="00CE48E6"/>
    <w:rsid w:val="00CF494B"/>
    <w:rsid w:val="00D01B8A"/>
    <w:rsid w:val="00D0203A"/>
    <w:rsid w:val="00D054BC"/>
    <w:rsid w:val="00D10EC0"/>
    <w:rsid w:val="00D260CA"/>
    <w:rsid w:val="00D37047"/>
    <w:rsid w:val="00D44ED9"/>
    <w:rsid w:val="00D46FFD"/>
    <w:rsid w:val="00D51FDB"/>
    <w:rsid w:val="00D55661"/>
    <w:rsid w:val="00D75D3F"/>
    <w:rsid w:val="00D80A3B"/>
    <w:rsid w:val="00D80F31"/>
    <w:rsid w:val="00D834B2"/>
    <w:rsid w:val="00DA32CD"/>
    <w:rsid w:val="00DA3A1C"/>
    <w:rsid w:val="00DA7C46"/>
    <w:rsid w:val="00DB2947"/>
    <w:rsid w:val="00DB4D9A"/>
    <w:rsid w:val="00DB7308"/>
    <w:rsid w:val="00DB7C60"/>
    <w:rsid w:val="00DD4D89"/>
    <w:rsid w:val="00DD6FF8"/>
    <w:rsid w:val="00DF4CDA"/>
    <w:rsid w:val="00DF5C64"/>
    <w:rsid w:val="00E015BF"/>
    <w:rsid w:val="00E025DB"/>
    <w:rsid w:val="00E03515"/>
    <w:rsid w:val="00E3431D"/>
    <w:rsid w:val="00E4433C"/>
    <w:rsid w:val="00E46ECC"/>
    <w:rsid w:val="00E51049"/>
    <w:rsid w:val="00E55C7C"/>
    <w:rsid w:val="00E659BC"/>
    <w:rsid w:val="00E70379"/>
    <w:rsid w:val="00E95C47"/>
    <w:rsid w:val="00EA0AE6"/>
    <w:rsid w:val="00EA270C"/>
    <w:rsid w:val="00EA4367"/>
    <w:rsid w:val="00EA5308"/>
    <w:rsid w:val="00ED1D04"/>
    <w:rsid w:val="00EE3A3C"/>
    <w:rsid w:val="00EE498D"/>
    <w:rsid w:val="00EE762A"/>
    <w:rsid w:val="00EF2F98"/>
    <w:rsid w:val="00EF6049"/>
    <w:rsid w:val="00EF6B6F"/>
    <w:rsid w:val="00EF7FFC"/>
    <w:rsid w:val="00F01763"/>
    <w:rsid w:val="00F06AAD"/>
    <w:rsid w:val="00F1372F"/>
    <w:rsid w:val="00F17866"/>
    <w:rsid w:val="00F20E63"/>
    <w:rsid w:val="00F22F09"/>
    <w:rsid w:val="00F24BD5"/>
    <w:rsid w:val="00F308CD"/>
    <w:rsid w:val="00F32950"/>
    <w:rsid w:val="00F3545C"/>
    <w:rsid w:val="00F375A8"/>
    <w:rsid w:val="00F40449"/>
    <w:rsid w:val="00F431F4"/>
    <w:rsid w:val="00F67A16"/>
    <w:rsid w:val="00F73163"/>
    <w:rsid w:val="00F73A89"/>
    <w:rsid w:val="00F768A5"/>
    <w:rsid w:val="00F7708F"/>
    <w:rsid w:val="00F93601"/>
    <w:rsid w:val="00F94CFF"/>
    <w:rsid w:val="00F96C75"/>
    <w:rsid w:val="00FA12EA"/>
    <w:rsid w:val="00FA3152"/>
    <w:rsid w:val="00FB0D29"/>
    <w:rsid w:val="00FC41CC"/>
    <w:rsid w:val="00FC510E"/>
    <w:rsid w:val="00FD175C"/>
    <w:rsid w:val="00FD4DA5"/>
    <w:rsid w:val="00FE0742"/>
    <w:rsid w:val="00FE1DF4"/>
    <w:rsid w:val="00FE4525"/>
    <w:rsid w:val="00FF27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DFC8"/>
  <w15:chartTrackingRefBased/>
  <w15:docId w15:val="{F56B2745-6CD5-4E8D-8E24-BF1D4CBE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264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A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Normal"/>
    <w:qFormat/>
    <w:rsid w:val="00E025DB"/>
    <w:pPr>
      <w:numPr>
        <w:numId w:val="1"/>
      </w:numPr>
    </w:pPr>
    <w:rPr>
      <w:rFonts w:ascii="Times New Roman" w:eastAsia="Times New Roman" w:hAnsi="Times New Roman" w:cs="Times New Roman"/>
      <w:sz w:val="26"/>
    </w:rPr>
  </w:style>
  <w:style w:type="paragraph" w:styleId="ListParagraph">
    <w:name w:val="List Paragraph"/>
    <w:basedOn w:val="Normal"/>
    <w:uiPriority w:val="34"/>
    <w:qFormat/>
    <w:rsid w:val="00EA0AE6"/>
    <w:pPr>
      <w:ind w:left="720"/>
      <w:contextualSpacing/>
    </w:pPr>
  </w:style>
  <w:style w:type="paragraph" w:styleId="FootnoteText">
    <w:name w:val="footnote text"/>
    <w:basedOn w:val="Normal"/>
    <w:link w:val="FootnoteTextChar"/>
    <w:uiPriority w:val="99"/>
    <w:unhideWhenUsed/>
    <w:rsid w:val="00215560"/>
    <w:pPr>
      <w:spacing w:line="240" w:lineRule="auto"/>
    </w:pPr>
    <w:rPr>
      <w:sz w:val="20"/>
      <w:szCs w:val="20"/>
    </w:rPr>
  </w:style>
  <w:style w:type="character" w:customStyle="1" w:styleId="FootnoteTextChar">
    <w:name w:val="Footnote Text Char"/>
    <w:basedOn w:val="DefaultParagraphFont"/>
    <w:link w:val="FootnoteText"/>
    <w:uiPriority w:val="99"/>
    <w:semiHidden/>
    <w:rsid w:val="00215560"/>
    <w:rPr>
      <w:sz w:val="20"/>
      <w:szCs w:val="20"/>
    </w:rPr>
  </w:style>
  <w:style w:type="character" w:styleId="FootnoteReference">
    <w:name w:val="footnote reference"/>
    <w:basedOn w:val="DefaultParagraphFont"/>
    <w:uiPriority w:val="99"/>
    <w:semiHidden/>
    <w:unhideWhenUsed/>
    <w:rsid w:val="00215560"/>
    <w:rPr>
      <w:vertAlign w:val="superscript"/>
    </w:rPr>
  </w:style>
  <w:style w:type="paragraph" w:customStyle="1" w:styleId="footnote-x">
    <w:name w:val="footnote-x"/>
    <w:basedOn w:val="Normal"/>
    <w:rsid w:val="0021556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unhideWhenUsed/>
    <w:rsid w:val="002155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F7E36"/>
    <w:rPr>
      <w:color w:val="0000FF"/>
      <w:u w:val="single"/>
    </w:rPr>
  </w:style>
  <w:style w:type="character" w:styleId="Emphasis">
    <w:name w:val="Emphasis"/>
    <w:basedOn w:val="DefaultParagraphFont"/>
    <w:uiPriority w:val="20"/>
    <w:qFormat/>
    <w:rsid w:val="003359F8"/>
    <w:rPr>
      <w:i/>
      <w:iCs/>
    </w:rPr>
  </w:style>
  <w:style w:type="paragraph" w:customStyle="1" w:styleId="MEMONUMBERED">
    <w:name w:val="MEMO NUMBERED"/>
    <w:basedOn w:val="Normal"/>
    <w:link w:val="MEMONUMBEREDChar"/>
    <w:qFormat/>
    <w:rsid w:val="005658FA"/>
    <w:pPr>
      <w:spacing w:line="480" w:lineRule="auto"/>
    </w:pPr>
    <w:rPr>
      <w:rFonts w:ascii="Times New Roman" w:eastAsiaTheme="minorEastAsia" w:hAnsi="Times New Roman" w:cs="Times New Roman"/>
      <w:sz w:val="24"/>
      <w:szCs w:val="24"/>
      <w:lang w:val="en-US" w:eastAsia="en-ZA"/>
    </w:rPr>
  </w:style>
  <w:style w:type="character" w:customStyle="1" w:styleId="MEMONUMBEREDChar">
    <w:name w:val="MEMO NUMBERED Char"/>
    <w:link w:val="MEMONUMBERED"/>
    <w:locked/>
    <w:rsid w:val="005658FA"/>
    <w:rPr>
      <w:rFonts w:ascii="Times New Roman" w:eastAsiaTheme="minorEastAsia" w:hAnsi="Times New Roman" w:cs="Times New Roman"/>
      <w:sz w:val="24"/>
      <w:szCs w:val="24"/>
      <w:lang w:val="en-US" w:eastAsia="en-ZA"/>
    </w:rPr>
  </w:style>
  <w:style w:type="paragraph" w:styleId="Header">
    <w:name w:val="header"/>
    <w:basedOn w:val="Normal"/>
    <w:link w:val="HeaderChar"/>
    <w:uiPriority w:val="99"/>
    <w:unhideWhenUsed/>
    <w:rsid w:val="003B5534"/>
    <w:pPr>
      <w:tabs>
        <w:tab w:val="center" w:pos="4513"/>
        <w:tab w:val="right" w:pos="9026"/>
      </w:tabs>
      <w:spacing w:line="240" w:lineRule="auto"/>
    </w:pPr>
  </w:style>
  <w:style w:type="character" w:customStyle="1" w:styleId="HeaderChar">
    <w:name w:val="Header Char"/>
    <w:basedOn w:val="DefaultParagraphFont"/>
    <w:link w:val="Header"/>
    <w:uiPriority w:val="99"/>
    <w:rsid w:val="003B5534"/>
  </w:style>
  <w:style w:type="paragraph" w:styleId="Footer">
    <w:name w:val="footer"/>
    <w:basedOn w:val="Normal"/>
    <w:link w:val="FooterChar"/>
    <w:uiPriority w:val="99"/>
    <w:unhideWhenUsed/>
    <w:rsid w:val="003B5534"/>
    <w:pPr>
      <w:tabs>
        <w:tab w:val="center" w:pos="4513"/>
        <w:tab w:val="right" w:pos="9026"/>
      </w:tabs>
      <w:spacing w:line="240" w:lineRule="auto"/>
    </w:pPr>
  </w:style>
  <w:style w:type="character" w:customStyle="1" w:styleId="FooterChar">
    <w:name w:val="Footer Char"/>
    <w:basedOn w:val="DefaultParagraphFont"/>
    <w:link w:val="Footer"/>
    <w:uiPriority w:val="99"/>
    <w:rsid w:val="003B5534"/>
  </w:style>
  <w:style w:type="character" w:customStyle="1" w:styleId="Heading3Char">
    <w:name w:val="Heading 3 Char"/>
    <w:basedOn w:val="DefaultParagraphFont"/>
    <w:link w:val="Heading3"/>
    <w:uiPriority w:val="9"/>
    <w:rsid w:val="00234AC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62641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C697D"/>
    <w:pPr>
      <w:spacing w:line="240" w:lineRule="auto"/>
    </w:pPr>
  </w:style>
  <w:style w:type="paragraph" w:styleId="BalloonText">
    <w:name w:val="Balloon Text"/>
    <w:basedOn w:val="Normal"/>
    <w:link w:val="BalloonTextChar"/>
    <w:uiPriority w:val="99"/>
    <w:semiHidden/>
    <w:unhideWhenUsed/>
    <w:rsid w:val="00F67A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16"/>
    <w:rPr>
      <w:rFonts w:ascii="Segoe UI" w:hAnsi="Segoe UI" w:cs="Segoe UI"/>
      <w:sz w:val="18"/>
      <w:szCs w:val="18"/>
    </w:rPr>
  </w:style>
  <w:style w:type="character" w:styleId="CommentReference">
    <w:name w:val="annotation reference"/>
    <w:basedOn w:val="DefaultParagraphFont"/>
    <w:uiPriority w:val="99"/>
    <w:semiHidden/>
    <w:unhideWhenUsed/>
    <w:rsid w:val="00E3431D"/>
    <w:rPr>
      <w:sz w:val="16"/>
      <w:szCs w:val="16"/>
    </w:rPr>
  </w:style>
  <w:style w:type="paragraph" w:styleId="CommentText">
    <w:name w:val="annotation text"/>
    <w:basedOn w:val="Normal"/>
    <w:link w:val="CommentTextChar"/>
    <w:uiPriority w:val="99"/>
    <w:semiHidden/>
    <w:unhideWhenUsed/>
    <w:rsid w:val="00E3431D"/>
    <w:pPr>
      <w:spacing w:line="240" w:lineRule="auto"/>
    </w:pPr>
    <w:rPr>
      <w:sz w:val="20"/>
      <w:szCs w:val="20"/>
    </w:rPr>
  </w:style>
  <w:style w:type="character" w:customStyle="1" w:styleId="CommentTextChar">
    <w:name w:val="Comment Text Char"/>
    <w:basedOn w:val="DefaultParagraphFont"/>
    <w:link w:val="CommentText"/>
    <w:uiPriority w:val="99"/>
    <w:semiHidden/>
    <w:rsid w:val="00E3431D"/>
    <w:rPr>
      <w:sz w:val="20"/>
      <w:szCs w:val="20"/>
    </w:rPr>
  </w:style>
  <w:style w:type="paragraph" w:styleId="CommentSubject">
    <w:name w:val="annotation subject"/>
    <w:basedOn w:val="CommentText"/>
    <w:next w:val="CommentText"/>
    <w:link w:val="CommentSubjectChar"/>
    <w:uiPriority w:val="99"/>
    <w:semiHidden/>
    <w:unhideWhenUsed/>
    <w:rsid w:val="00E3431D"/>
    <w:rPr>
      <w:b/>
      <w:bCs/>
    </w:rPr>
  </w:style>
  <w:style w:type="character" w:customStyle="1" w:styleId="CommentSubjectChar">
    <w:name w:val="Comment Subject Char"/>
    <w:basedOn w:val="CommentTextChar"/>
    <w:link w:val="CommentSubject"/>
    <w:uiPriority w:val="99"/>
    <w:semiHidden/>
    <w:rsid w:val="00E34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43906">
      <w:bodyDiv w:val="1"/>
      <w:marLeft w:val="0"/>
      <w:marRight w:val="0"/>
      <w:marTop w:val="0"/>
      <w:marBottom w:val="0"/>
      <w:divBdr>
        <w:top w:val="none" w:sz="0" w:space="0" w:color="auto"/>
        <w:left w:val="none" w:sz="0" w:space="0" w:color="auto"/>
        <w:bottom w:val="none" w:sz="0" w:space="0" w:color="auto"/>
        <w:right w:val="none" w:sz="0" w:space="0" w:color="auto"/>
      </w:divBdr>
      <w:divsChild>
        <w:div w:id="117838197">
          <w:marLeft w:val="0"/>
          <w:marRight w:val="0"/>
          <w:marTop w:val="0"/>
          <w:marBottom w:val="0"/>
          <w:divBdr>
            <w:top w:val="none" w:sz="0" w:space="0" w:color="auto"/>
            <w:left w:val="none" w:sz="0" w:space="0" w:color="auto"/>
            <w:bottom w:val="none" w:sz="0" w:space="0" w:color="auto"/>
            <w:right w:val="none" w:sz="0" w:space="0" w:color="auto"/>
          </w:divBdr>
        </w:div>
        <w:div w:id="412553180">
          <w:marLeft w:val="0"/>
          <w:marRight w:val="0"/>
          <w:marTop w:val="0"/>
          <w:marBottom w:val="0"/>
          <w:divBdr>
            <w:top w:val="none" w:sz="0" w:space="0" w:color="auto"/>
            <w:left w:val="none" w:sz="0" w:space="0" w:color="auto"/>
            <w:bottom w:val="none" w:sz="0" w:space="0" w:color="auto"/>
            <w:right w:val="none" w:sz="0" w:space="0" w:color="auto"/>
          </w:divBdr>
          <w:divsChild>
            <w:div w:id="1438523428">
              <w:marLeft w:val="0"/>
              <w:marRight w:val="0"/>
              <w:marTop w:val="0"/>
              <w:marBottom w:val="0"/>
              <w:divBdr>
                <w:top w:val="none" w:sz="0" w:space="0" w:color="auto"/>
                <w:left w:val="none" w:sz="0" w:space="0" w:color="auto"/>
                <w:bottom w:val="none" w:sz="0" w:space="0" w:color="auto"/>
                <w:right w:val="none" w:sz="0" w:space="0" w:color="auto"/>
              </w:divBdr>
            </w:div>
          </w:divsChild>
        </w:div>
        <w:div w:id="1942688798">
          <w:marLeft w:val="0"/>
          <w:marRight w:val="0"/>
          <w:marTop w:val="0"/>
          <w:marBottom w:val="0"/>
          <w:divBdr>
            <w:top w:val="none" w:sz="0" w:space="0" w:color="auto"/>
            <w:left w:val="none" w:sz="0" w:space="0" w:color="auto"/>
            <w:bottom w:val="none" w:sz="0" w:space="0" w:color="auto"/>
            <w:right w:val="none" w:sz="0" w:space="0" w:color="auto"/>
          </w:divBdr>
        </w:div>
        <w:div w:id="1564103811">
          <w:marLeft w:val="0"/>
          <w:marRight w:val="0"/>
          <w:marTop w:val="0"/>
          <w:marBottom w:val="0"/>
          <w:divBdr>
            <w:top w:val="none" w:sz="0" w:space="0" w:color="auto"/>
            <w:left w:val="none" w:sz="0" w:space="0" w:color="auto"/>
            <w:bottom w:val="none" w:sz="0" w:space="0" w:color="auto"/>
            <w:right w:val="none" w:sz="0" w:space="0" w:color="auto"/>
          </w:divBdr>
        </w:div>
      </w:divsChild>
    </w:div>
    <w:div w:id="1593275002">
      <w:bodyDiv w:val="1"/>
      <w:marLeft w:val="0"/>
      <w:marRight w:val="0"/>
      <w:marTop w:val="0"/>
      <w:marBottom w:val="0"/>
      <w:divBdr>
        <w:top w:val="none" w:sz="0" w:space="0" w:color="auto"/>
        <w:left w:val="none" w:sz="0" w:space="0" w:color="auto"/>
        <w:bottom w:val="none" w:sz="0" w:space="0" w:color="auto"/>
        <w:right w:val="none" w:sz="0" w:space="0" w:color="auto"/>
      </w:divBdr>
    </w:div>
    <w:div w:id="16176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B163-325E-4AF2-9DA8-DE6218FA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 Makgoka</dc:creator>
  <cp:keywords/>
  <dc:description/>
  <cp:lastModifiedBy>Ntsoaki Nchejane</cp:lastModifiedBy>
  <cp:revision>2</cp:revision>
  <dcterms:created xsi:type="dcterms:W3CDTF">2022-07-15T07:36:00Z</dcterms:created>
  <dcterms:modified xsi:type="dcterms:W3CDTF">2022-07-15T07:36:00Z</dcterms:modified>
</cp:coreProperties>
</file>