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FC6E" w14:textId="77777777" w:rsidR="00D93715" w:rsidRPr="00837116" w:rsidRDefault="00D93715" w:rsidP="00D93715">
      <w:pPr>
        <w:widowControl w:val="0"/>
        <w:autoSpaceDE w:val="0"/>
        <w:autoSpaceDN w:val="0"/>
        <w:adjustRightInd w:val="0"/>
        <w:spacing w:after="0" w:line="240" w:lineRule="auto"/>
        <w:rPr>
          <w:rFonts w:ascii="Arial" w:eastAsiaTheme="minorEastAsia" w:hAnsi="Arial" w:cs="Arial"/>
          <w:sz w:val="24"/>
          <w:szCs w:val="24"/>
          <w:lang w:eastAsia="en-ZA"/>
        </w:rPr>
      </w:pPr>
      <w:r w:rsidRPr="00837116">
        <w:rPr>
          <w:rFonts w:ascii="Arial" w:eastAsiaTheme="minorEastAsia" w:hAnsi="Arial" w:cs="Arial"/>
          <w:noProof/>
          <w:sz w:val="24"/>
          <w:szCs w:val="24"/>
          <w:lang w:eastAsia="en-ZA"/>
        </w:rPr>
        <w:drawing>
          <wp:anchor distT="0" distB="0" distL="114300" distR="114300" simplePos="0" relativeHeight="251659264" behindDoc="0" locked="0" layoutInCell="1" allowOverlap="1" wp14:anchorId="032B679A" wp14:editId="354AFBE4">
            <wp:simplePos x="0" y="0"/>
            <wp:positionH relativeFrom="margin">
              <wp:align>center</wp:align>
            </wp:positionH>
            <wp:positionV relativeFrom="paragraph">
              <wp:posOffset>0</wp:posOffset>
            </wp:positionV>
            <wp:extent cx="799200" cy="914400"/>
            <wp:effectExtent l="0" t="0" r="1270" b="0"/>
            <wp:wrapSquare wrapText="bothSides"/>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DE1BA" w14:textId="77777777" w:rsidR="00D93715" w:rsidRDefault="00D93715" w:rsidP="00D93715">
      <w:pPr>
        <w:widowControl w:val="0"/>
        <w:autoSpaceDE w:val="0"/>
        <w:autoSpaceDN w:val="0"/>
        <w:adjustRightInd w:val="0"/>
        <w:spacing w:after="0" w:line="360" w:lineRule="auto"/>
        <w:rPr>
          <w:rFonts w:ascii="Arial" w:eastAsiaTheme="minorEastAsia" w:hAnsi="Arial" w:cs="Arial"/>
          <w:b/>
          <w:bCs/>
          <w:sz w:val="16"/>
          <w:szCs w:val="16"/>
          <w:lang w:eastAsia="en-ZA"/>
        </w:rPr>
      </w:pPr>
    </w:p>
    <w:p w14:paraId="29A96747" w14:textId="77777777" w:rsidR="00D93715" w:rsidRPr="00700681" w:rsidRDefault="00D93715" w:rsidP="00D93715">
      <w:pPr>
        <w:widowControl w:val="0"/>
        <w:autoSpaceDE w:val="0"/>
        <w:autoSpaceDN w:val="0"/>
        <w:adjustRightInd w:val="0"/>
        <w:spacing w:after="0" w:line="360" w:lineRule="auto"/>
        <w:rPr>
          <w:rFonts w:ascii="Arial" w:eastAsiaTheme="minorEastAsia" w:hAnsi="Arial" w:cs="Arial"/>
          <w:b/>
          <w:bCs/>
          <w:sz w:val="16"/>
          <w:szCs w:val="16"/>
          <w:lang w:eastAsia="en-ZA"/>
        </w:rPr>
      </w:pPr>
    </w:p>
    <w:p w14:paraId="62EBC5F0" w14:textId="77777777" w:rsidR="00D93715" w:rsidRDefault="00D93715" w:rsidP="00D93715">
      <w:pPr>
        <w:widowControl w:val="0"/>
        <w:autoSpaceDE w:val="0"/>
        <w:autoSpaceDN w:val="0"/>
        <w:adjustRightInd w:val="0"/>
        <w:spacing w:after="0" w:line="360" w:lineRule="auto"/>
        <w:jc w:val="center"/>
        <w:rPr>
          <w:rFonts w:ascii="Arial" w:eastAsiaTheme="minorEastAsia" w:hAnsi="Arial" w:cs="Arial"/>
          <w:b/>
          <w:bCs/>
          <w:sz w:val="24"/>
          <w:szCs w:val="24"/>
          <w:lang w:eastAsia="en-ZA"/>
        </w:rPr>
      </w:pPr>
    </w:p>
    <w:p w14:paraId="0A157C68" w14:textId="77777777" w:rsidR="00D93715" w:rsidRPr="00837116" w:rsidRDefault="00D93715" w:rsidP="00D93715">
      <w:pPr>
        <w:widowControl w:val="0"/>
        <w:autoSpaceDE w:val="0"/>
        <w:autoSpaceDN w:val="0"/>
        <w:adjustRightInd w:val="0"/>
        <w:spacing w:after="0" w:line="360" w:lineRule="auto"/>
        <w:jc w:val="center"/>
        <w:rPr>
          <w:rFonts w:ascii="Arial" w:eastAsiaTheme="minorEastAsia" w:hAnsi="Arial" w:cs="Arial"/>
          <w:b/>
          <w:bCs/>
          <w:sz w:val="24"/>
          <w:szCs w:val="24"/>
          <w:lang w:eastAsia="en-ZA"/>
        </w:rPr>
      </w:pPr>
    </w:p>
    <w:p w14:paraId="75524AB0" w14:textId="77777777" w:rsidR="00D93715" w:rsidRPr="00837116" w:rsidRDefault="00D93715" w:rsidP="00D93715">
      <w:pPr>
        <w:widowControl w:val="0"/>
        <w:autoSpaceDE w:val="0"/>
        <w:autoSpaceDN w:val="0"/>
        <w:adjustRightInd w:val="0"/>
        <w:spacing w:after="0" w:line="360" w:lineRule="auto"/>
        <w:jc w:val="center"/>
        <w:rPr>
          <w:rFonts w:ascii="Arial" w:eastAsiaTheme="minorEastAsia" w:hAnsi="Arial" w:cs="Arial"/>
          <w:b/>
          <w:bCs/>
          <w:sz w:val="24"/>
          <w:szCs w:val="24"/>
          <w:lang w:eastAsia="en-ZA"/>
        </w:rPr>
      </w:pPr>
      <w:r w:rsidRPr="00837116">
        <w:rPr>
          <w:rFonts w:ascii="Arial" w:eastAsiaTheme="minorEastAsia" w:hAnsi="Arial" w:cs="Arial"/>
          <w:b/>
          <w:bCs/>
          <w:sz w:val="24"/>
          <w:szCs w:val="24"/>
          <w:lang w:eastAsia="en-ZA"/>
        </w:rPr>
        <w:t>THE SUPREME COURT OF APPEAL OF SOUTH AFRICA</w:t>
      </w:r>
    </w:p>
    <w:p w14:paraId="710848E1" w14:textId="77777777" w:rsidR="00D93715" w:rsidRDefault="00D93715" w:rsidP="00D93715">
      <w:pPr>
        <w:widowControl w:val="0"/>
        <w:tabs>
          <w:tab w:val="left" w:pos="623"/>
          <w:tab w:val="center" w:pos="4513"/>
        </w:tabs>
        <w:autoSpaceDE w:val="0"/>
        <w:autoSpaceDN w:val="0"/>
        <w:adjustRightInd w:val="0"/>
        <w:spacing w:after="0" w:line="276" w:lineRule="auto"/>
        <w:jc w:val="center"/>
        <w:outlineLvl w:val="0"/>
        <w:rPr>
          <w:rFonts w:ascii="Arial" w:eastAsiaTheme="minorEastAsia" w:hAnsi="Arial" w:cs="Arial"/>
          <w:b/>
          <w:bCs/>
          <w:sz w:val="24"/>
          <w:szCs w:val="24"/>
          <w:lang w:eastAsia="en-ZA"/>
        </w:rPr>
      </w:pPr>
      <w:r w:rsidRPr="00837116">
        <w:rPr>
          <w:rFonts w:ascii="Arial" w:eastAsiaTheme="minorEastAsia" w:hAnsi="Arial" w:cs="Arial"/>
          <w:b/>
          <w:bCs/>
          <w:sz w:val="24"/>
          <w:szCs w:val="24"/>
          <w:lang w:eastAsia="en-ZA"/>
        </w:rPr>
        <w:t>JUDGMENT</w:t>
      </w:r>
    </w:p>
    <w:p w14:paraId="65E0E52F" w14:textId="77777777" w:rsidR="00D93715" w:rsidRPr="00837116" w:rsidRDefault="00D93715" w:rsidP="00D93715">
      <w:pPr>
        <w:widowControl w:val="0"/>
        <w:tabs>
          <w:tab w:val="left" w:pos="623"/>
          <w:tab w:val="center" w:pos="4513"/>
        </w:tabs>
        <w:autoSpaceDE w:val="0"/>
        <w:autoSpaceDN w:val="0"/>
        <w:adjustRightInd w:val="0"/>
        <w:spacing w:after="0" w:line="276" w:lineRule="auto"/>
        <w:jc w:val="center"/>
        <w:outlineLvl w:val="0"/>
        <w:rPr>
          <w:rFonts w:ascii="Arial" w:eastAsiaTheme="minorEastAsia" w:hAnsi="Arial" w:cs="Arial"/>
          <w:b/>
          <w:bCs/>
          <w:sz w:val="24"/>
          <w:szCs w:val="24"/>
          <w:lang w:eastAsia="en-ZA"/>
        </w:rPr>
      </w:pPr>
    </w:p>
    <w:p w14:paraId="7FC5293E" w14:textId="183F9BEE" w:rsidR="00D93715" w:rsidRPr="00837116" w:rsidRDefault="00D93715" w:rsidP="00FA51B3">
      <w:pPr>
        <w:widowControl w:val="0"/>
        <w:autoSpaceDE w:val="0"/>
        <w:autoSpaceDN w:val="0"/>
        <w:adjustRightInd w:val="0"/>
        <w:spacing w:after="100" w:afterAutospacing="1" w:line="240" w:lineRule="auto"/>
        <w:ind w:left="1440" w:firstLine="720"/>
        <w:jc w:val="right"/>
        <w:outlineLvl w:val="0"/>
        <w:rPr>
          <w:rFonts w:ascii="Arial" w:eastAsiaTheme="minorEastAsia" w:hAnsi="Arial" w:cs="Arial"/>
          <w:b/>
          <w:bCs/>
          <w:sz w:val="24"/>
          <w:szCs w:val="24"/>
          <w:lang w:eastAsia="en-ZA"/>
        </w:rPr>
      </w:pPr>
      <w:bookmarkStart w:id="0" w:name="_Hlk107737895"/>
      <w:r w:rsidRPr="00097551">
        <w:rPr>
          <w:rFonts w:ascii="Arial" w:eastAsiaTheme="minorEastAsia" w:hAnsi="Arial" w:cs="Arial"/>
          <w:b/>
          <w:bCs/>
          <w:sz w:val="24"/>
          <w:szCs w:val="24"/>
          <w:lang w:eastAsia="en-ZA"/>
        </w:rPr>
        <w:t>Reportable</w:t>
      </w:r>
      <w:bookmarkEnd w:id="0"/>
    </w:p>
    <w:p w14:paraId="49CC2250" w14:textId="72085EAA" w:rsidR="00D93715" w:rsidRPr="00837116" w:rsidRDefault="00D93715" w:rsidP="00D93715">
      <w:pPr>
        <w:autoSpaceDE w:val="0"/>
        <w:autoSpaceDN w:val="0"/>
        <w:adjustRightInd w:val="0"/>
        <w:spacing w:after="120" w:line="240" w:lineRule="auto"/>
        <w:ind w:firstLine="720"/>
        <w:jc w:val="right"/>
        <w:rPr>
          <w:rFonts w:ascii="Arial" w:hAnsi="Arial" w:cs="Arial"/>
          <w:b/>
          <w:bCs/>
          <w:color w:val="0D0D0D"/>
          <w:sz w:val="24"/>
          <w:szCs w:val="24"/>
        </w:rPr>
      </w:pPr>
      <w:r w:rsidRPr="00837116">
        <w:rPr>
          <w:rFonts w:ascii="Arial" w:hAnsi="Arial" w:cs="Arial"/>
          <w:color w:val="0D0D0D"/>
          <w:sz w:val="24"/>
          <w:szCs w:val="24"/>
        </w:rPr>
        <w:t>Case No</w:t>
      </w:r>
      <w:r w:rsidRPr="004527DE">
        <w:rPr>
          <w:rFonts w:ascii="Arial" w:hAnsi="Arial" w:cs="Arial"/>
          <w:color w:val="0D0D0D"/>
          <w:sz w:val="24"/>
          <w:szCs w:val="24"/>
        </w:rPr>
        <w:t xml:space="preserve">: </w:t>
      </w:r>
      <w:r w:rsidRPr="004527DE">
        <w:rPr>
          <w:rFonts w:ascii="Arial" w:hAnsi="Arial" w:cs="Arial"/>
          <w:bCs/>
          <w:color w:val="0D0D0D"/>
          <w:sz w:val="24"/>
          <w:szCs w:val="24"/>
        </w:rPr>
        <w:t>7</w:t>
      </w:r>
      <w:r w:rsidR="004527DE" w:rsidRPr="004527DE">
        <w:rPr>
          <w:rFonts w:ascii="Arial" w:hAnsi="Arial" w:cs="Arial"/>
          <w:bCs/>
          <w:color w:val="0D0D0D"/>
          <w:sz w:val="24"/>
          <w:szCs w:val="24"/>
        </w:rPr>
        <w:t>30</w:t>
      </w:r>
      <w:r w:rsidRPr="004527DE">
        <w:rPr>
          <w:rFonts w:ascii="Arial" w:hAnsi="Arial" w:cs="Arial"/>
          <w:bCs/>
          <w:color w:val="0D0D0D"/>
          <w:sz w:val="24"/>
          <w:szCs w:val="24"/>
        </w:rPr>
        <w:t>/202</w:t>
      </w:r>
      <w:r w:rsidR="004527DE" w:rsidRPr="004527DE">
        <w:rPr>
          <w:rFonts w:ascii="Arial" w:hAnsi="Arial" w:cs="Arial"/>
          <w:bCs/>
          <w:color w:val="0D0D0D"/>
          <w:sz w:val="24"/>
          <w:szCs w:val="24"/>
        </w:rPr>
        <w:t>1</w:t>
      </w:r>
    </w:p>
    <w:p w14:paraId="18AE2E20" w14:textId="77777777" w:rsidR="003F6BA3" w:rsidRDefault="003F6BA3" w:rsidP="00D93715">
      <w:pPr>
        <w:autoSpaceDE w:val="0"/>
        <w:autoSpaceDN w:val="0"/>
        <w:adjustRightInd w:val="0"/>
        <w:spacing w:after="360" w:line="240" w:lineRule="auto"/>
        <w:rPr>
          <w:rFonts w:ascii="Arial" w:hAnsi="Arial" w:cs="Arial"/>
          <w:color w:val="0D0D0D"/>
          <w:sz w:val="24"/>
          <w:szCs w:val="24"/>
        </w:rPr>
      </w:pPr>
    </w:p>
    <w:p w14:paraId="420B2E53" w14:textId="77777777" w:rsidR="004527DE" w:rsidRDefault="00D93715" w:rsidP="00D93715">
      <w:pPr>
        <w:autoSpaceDE w:val="0"/>
        <w:autoSpaceDN w:val="0"/>
        <w:adjustRightInd w:val="0"/>
        <w:spacing w:after="360" w:line="240" w:lineRule="auto"/>
        <w:rPr>
          <w:rFonts w:ascii="Arial" w:hAnsi="Arial" w:cs="Arial"/>
          <w:color w:val="0D0D0D"/>
          <w:sz w:val="24"/>
          <w:szCs w:val="24"/>
        </w:rPr>
      </w:pPr>
      <w:r w:rsidRPr="00837116">
        <w:rPr>
          <w:rFonts w:ascii="Arial" w:hAnsi="Arial" w:cs="Arial"/>
          <w:color w:val="0D0D0D"/>
          <w:sz w:val="24"/>
          <w:szCs w:val="24"/>
        </w:rPr>
        <w:t xml:space="preserve">In </w:t>
      </w:r>
      <w:r w:rsidRPr="00837116">
        <w:rPr>
          <w:rFonts w:ascii="Arial" w:hAnsi="Arial" w:cs="Arial"/>
          <w:color w:val="222222"/>
          <w:sz w:val="24"/>
          <w:szCs w:val="24"/>
        </w:rPr>
        <w:t xml:space="preserve">the </w:t>
      </w:r>
      <w:r w:rsidRPr="00837116">
        <w:rPr>
          <w:rFonts w:ascii="Arial" w:hAnsi="Arial" w:cs="Arial"/>
          <w:color w:val="0D0D0D"/>
          <w:sz w:val="24"/>
          <w:szCs w:val="24"/>
        </w:rPr>
        <w:t>matter between:</w:t>
      </w:r>
    </w:p>
    <w:p w14:paraId="28EC4D7C" w14:textId="0F6F2097" w:rsidR="00D93715" w:rsidRPr="004527DE" w:rsidRDefault="004527DE" w:rsidP="00D93715">
      <w:pPr>
        <w:autoSpaceDE w:val="0"/>
        <w:autoSpaceDN w:val="0"/>
        <w:adjustRightInd w:val="0"/>
        <w:spacing w:after="360" w:line="240" w:lineRule="auto"/>
        <w:rPr>
          <w:rFonts w:ascii="Arial" w:hAnsi="Arial" w:cs="Arial"/>
          <w:color w:val="0D0D0D"/>
          <w:sz w:val="24"/>
          <w:szCs w:val="24"/>
        </w:rPr>
      </w:pPr>
      <w:r w:rsidRPr="004527DE">
        <w:rPr>
          <w:rFonts w:ascii="Arial" w:eastAsiaTheme="minorEastAsia" w:hAnsi="Arial" w:cs="Arial"/>
          <w:b/>
          <w:sz w:val="24"/>
          <w:szCs w:val="24"/>
          <w:lang w:eastAsia="en-ZA"/>
        </w:rPr>
        <w:t>MINISTER OF POLICE</w:t>
      </w:r>
      <w:r w:rsidRPr="004527DE">
        <w:rPr>
          <w:rFonts w:ascii="Arial" w:hAnsi="Arial" w:cs="Arial"/>
          <w:b/>
          <w:color w:val="0D0D0D"/>
          <w:sz w:val="24"/>
          <w:szCs w:val="24"/>
        </w:rPr>
        <w:tab/>
      </w:r>
      <w:r w:rsidR="00D93715" w:rsidRPr="009C627F">
        <w:rPr>
          <w:rFonts w:ascii="Arial" w:hAnsi="Arial" w:cs="Arial"/>
          <w:b/>
          <w:bCs/>
          <w:color w:val="0D0D0D"/>
          <w:sz w:val="24"/>
          <w:szCs w:val="24"/>
        </w:rPr>
        <w:tab/>
      </w:r>
      <w:r w:rsidR="00D93715" w:rsidRPr="009C627F">
        <w:rPr>
          <w:rFonts w:ascii="Arial" w:hAnsi="Arial" w:cs="Arial"/>
          <w:b/>
          <w:bCs/>
          <w:color w:val="0D0D0D"/>
          <w:sz w:val="24"/>
          <w:szCs w:val="24"/>
        </w:rPr>
        <w:tab/>
      </w:r>
      <w:r w:rsidR="00D93715" w:rsidRPr="009C627F">
        <w:rPr>
          <w:rFonts w:ascii="Arial" w:hAnsi="Arial" w:cs="Arial"/>
          <w:b/>
          <w:bCs/>
          <w:color w:val="0D0D0D"/>
          <w:sz w:val="24"/>
          <w:szCs w:val="24"/>
        </w:rPr>
        <w:tab/>
      </w:r>
      <w:r w:rsidR="00D93715" w:rsidRPr="009C627F">
        <w:rPr>
          <w:rFonts w:ascii="Arial" w:hAnsi="Arial" w:cs="Arial"/>
          <w:b/>
          <w:bCs/>
          <w:color w:val="0D0D0D"/>
          <w:sz w:val="24"/>
          <w:szCs w:val="24"/>
        </w:rPr>
        <w:tab/>
      </w:r>
      <w:r w:rsidR="00D93715" w:rsidRPr="009C627F">
        <w:rPr>
          <w:rFonts w:ascii="Arial" w:hAnsi="Arial" w:cs="Arial"/>
          <w:b/>
          <w:bCs/>
          <w:color w:val="0D0D0D"/>
          <w:sz w:val="24"/>
          <w:szCs w:val="24"/>
        </w:rPr>
        <w:tab/>
      </w:r>
      <w:r w:rsidR="005614DD">
        <w:rPr>
          <w:rFonts w:ascii="Arial" w:hAnsi="Arial" w:cs="Arial"/>
          <w:b/>
          <w:bCs/>
          <w:color w:val="0D0D0D"/>
          <w:sz w:val="24"/>
          <w:szCs w:val="24"/>
        </w:rPr>
        <w:t xml:space="preserve">     </w:t>
      </w:r>
      <w:r w:rsidR="00D93715">
        <w:rPr>
          <w:rFonts w:ascii="Arial" w:hAnsi="Arial" w:cs="Arial"/>
          <w:b/>
          <w:bCs/>
          <w:color w:val="0D0D0D"/>
          <w:sz w:val="24"/>
          <w:szCs w:val="24"/>
        </w:rPr>
        <w:t>FIRST</w:t>
      </w:r>
      <w:r>
        <w:rPr>
          <w:rFonts w:ascii="Arial" w:hAnsi="Arial" w:cs="Arial"/>
          <w:b/>
          <w:bCs/>
          <w:color w:val="0D0D0D"/>
          <w:sz w:val="24"/>
          <w:szCs w:val="24"/>
        </w:rPr>
        <w:t xml:space="preserve"> </w:t>
      </w:r>
      <w:r w:rsidR="00D93715" w:rsidRPr="009C627F">
        <w:rPr>
          <w:rFonts w:ascii="Arial" w:hAnsi="Arial" w:cs="Arial"/>
          <w:b/>
          <w:bCs/>
          <w:color w:val="0D0D0D"/>
          <w:sz w:val="24"/>
          <w:szCs w:val="24"/>
        </w:rPr>
        <w:t>APP</w:t>
      </w:r>
      <w:r w:rsidR="00D93715">
        <w:rPr>
          <w:rFonts w:ascii="Arial" w:hAnsi="Arial" w:cs="Arial"/>
          <w:b/>
          <w:bCs/>
          <w:color w:val="0D0D0D"/>
          <w:sz w:val="24"/>
          <w:szCs w:val="24"/>
        </w:rPr>
        <w:t>ELLANT</w:t>
      </w:r>
    </w:p>
    <w:p w14:paraId="5E56A6B5" w14:textId="02F27979" w:rsidR="00D93715" w:rsidRDefault="004527DE" w:rsidP="00D93715">
      <w:pPr>
        <w:autoSpaceDE w:val="0"/>
        <w:autoSpaceDN w:val="0"/>
        <w:adjustRightInd w:val="0"/>
        <w:spacing w:after="360" w:line="240" w:lineRule="auto"/>
        <w:rPr>
          <w:rFonts w:ascii="Arial" w:hAnsi="Arial" w:cs="Arial"/>
          <w:b/>
          <w:bCs/>
          <w:color w:val="0D0D0D"/>
          <w:sz w:val="24"/>
          <w:szCs w:val="24"/>
        </w:rPr>
      </w:pPr>
      <w:r>
        <w:rPr>
          <w:rFonts w:ascii="Arial" w:hAnsi="Arial" w:cs="Arial"/>
          <w:b/>
          <w:bCs/>
          <w:color w:val="0D0D0D"/>
          <w:sz w:val="24"/>
          <w:szCs w:val="24"/>
        </w:rPr>
        <w:t>GEZANI MICHAEL CHABALALA</w:t>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D93715">
        <w:rPr>
          <w:rFonts w:ascii="Arial" w:hAnsi="Arial" w:cs="Arial"/>
          <w:b/>
          <w:bCs/>
          <w:color w:val="0D0D0D"/>
          <w:sz w:val="24"/>
          <w:szCs w:val="24"/>
        </w:rPr>
        <w:t>SECOND APPELLANT</w:t>
      </w:r>
    </w:p>
    <w:p w14:paraId="55E0C133" w14:textId="23FCF99B" w:rsidR="00D93715" w:rsidRDefault="004527DE" w:rsidP="00D87640">
      <w:pPr>
        <w:autoSpaceDE w:val="0"/>
        <w:autoSpaceDN w:val="0"/>
        <w:adjustRightInd w:val="0"/>
        <w:spacing w:after="360" w:line="240" w:lineRule="auto"/>
        <w:rPr>
          <w:rFonts w:ascii="Arial" w:hAnsi="Arial" w:cs="Arial"/>
          <w:b/>
          <w:bCs/>
          <w:color w:val="0D0D0D"/>
          <w:sz w:val="24"/>
          <w:szCs w:val="24"/>
        </w:rPr>
      </w:pPr>
      <w:r>
        <w:rPr>
          <w:rFonts w:ascii="Arial" w:hAnsi="Arial" w:cs="Arial"/>
          <w:b/>
          <w:bCs/>
          <w:color w:val="0D0D0D"/>
          <w:sz w:val="24"/>
          <w:szCs w:val="24"/>
        </w:rPr>
        <w:t>SELLO CHAUKE</w:t>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t xml:space="preserve">    </w:t>
      </w:r>
      <w:r w:rsidR="00D93715">
        <w:rPr>
          <w:rFonts w:ascii="Arial" w:hAnsi="Arial" w:cs="Arial"/>
          <w:b/>
          <w:bCs/>
          <w:color w:val="0D0D0D"/>
          <w:sz w:val="24"/>
          <w:szCs w:val="24"/>
        </w:rPr>
        <w:t>THIRD APPELLANT</w:t>
      </w:r>
    </w:p>
    <w:p w14:paraId="4D9351D6" w14:textId="4953BCF6" w:rsidR="00D93715" w:rsidRPr="009C627F" w:rsidRDefault="004527DE" w:rsidP="00D93715">
      <w:pPr>
        <w:autoSpaceDE w:val="0"/>
        <w:autoSpaceDN w:val="0"/>
        <w:adjustRightInd w:val="0"/>
        <w:spacing w:after="360" w:line="240" w:lineRule="auto"/>
        <w:rPr>
          <w:rFonts w:ascii="Arial" w:hAnsi="Arial" w:cs="Arial"/>
          <w:b/>
          <w:bCs/>
          <w:color w:val="0D0D0D"/>
          <w:sz w:val="24"/>
          <w:szCs w:val="24"/>
        </w:rPr>
      </w:pPr>
      <w:r>
        <w:rPr>
          <w:rFonts w:ascii="Arial" w:hAnsi="Arial" w:cs="Arial"/>
          <w:b/>
          <w:bCs/>
          <w:color w:val="0D0D0D"/>
          <w:sz w:val="24"/>
          <w:szCs w:val="24"/>
        </w:rPr>
        <w:t>SIMPHIWE LAURENS DANTI</w:t>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5614DD">
        <w:rPr>
          <w:rFonts w:ascii="Arial" w:hAnsi="Arial" w:cs="Arial"/>
          <w:b/>
          <w:bCs/>
          <w:color w:val="0D0D0D"/>
          <w:sz w:val="24"/>
          <w:szCs w:val="24"/>
        </w:rPr>
        <w:tab/>
      </w:r>
      <w:r w:rsidR="00D93715">
        <w:rPr>
          <w:rFonts w:ascii="Arial" w:hAnsi="Arial" w:cs="Arial"/>
          <w:b/>
          <w:bCs/>
          <w:color w:val="0D0D0D"/>
          <w:sz w:val="24"/>
          <w:szCs w:val="24"/>
        </w:rPr>
        <w:t>FOURTH APPELLANT</w:t>
      </w:r>
    </w:p>
    <w:p w14:paraId="036BF5DD" w14:textId="77777777" w:rsidR="005614DD" w:rsidRDefault="005614DD" w:rsidP="005614DD">
      <w:pPr>
        <w:autoSpaceDE w:val="0"/>
        <w:autoSpaceDN w:val="0"/>
        <w:adjustRightInd w:val="0"/>
        <w:spacing w:after="0" w:line="240" w:lineRule="auto"/>
        <w:rPr>
          <w:rFonts w:ascii="Arial" w:hAnsi="Arial" w:cs="Arial"/>
          <w:color w:val="0D0D0D"/>
          <w:sz w:val="24"/>
          <w:szCs w:val="24"/>
        </w:rPr>
      </w:pPr>
    </w:p>
    <w:p w14:paraId="0C6565F1" w14:textId="5E871EF8" w:rsidR="00D93715" w:rsidRDefault="005614DD" w:rsidP="00D93715">
      <w:pPr>
        <w:autoSpaceDE w:val="0"/>
        <w:autoSpaceDN w:val="0"/>
        <w:adjustRightInd w:val="0"/>
        <w:spacing w:after="360" w:line="240" w:lineRule="auto"/>
        <w:rPr>
          <w:rFonts w:ascii="Arial" w:hAnsi="Arial" w:cs="Arial"/>
          <w:color w:val="0D0D0D"/>
          <w:sz w:val="24"/>
          <w:szCs w:val="24"/>
        </w:rPr>
      </w:pPr>
      <w:proofErr w:type="gramStart"/>
      <w:r>
        <w:rPr>
          <w:rFonts w:ascii="Arial" w:hAnsi="Arial" w:cs="Arial"/>
          <w:color w:val="0D0D0D"/>
          <w:sz w:val="24"/>
          <w:szCs w:val="24"/>
        </w:rPr>
        <w:t>a</w:t>
      </w:r>
      <w:r w:rsidR="00D93715" w:rsidRPr="009C627F">
        <w:rPr>
          <w:rFonts w:ascii="Arial" w:hAnsi="Arial" w:cs="Arial"/>
          <w:color w:val="0D0D0D"/>
          <w:sz w:val="24"/>
          <w:szCs w:val="24"/>
        </w:rPr>
        <w:t>nd</w:t>
      </w:r>
      <w:proofErr w:type="gramEnd"/>
    </w:p>
    <w:p w14:paraId="5FC3DA1A" w14:textId="77777777" w:rsidR="005614DD" w:rsidRPr="009C627F" w:rsidRDefault="005614DD" w:rsidP="005614DD">
      <w:pPr>
        <w:autoSpaceDE w:val="0"/>
        <w:autoSpaceDN w:val="0"/>
        <w:adjustRightInd w:val="0"/>
        <w:spacing w:after="0" w:line="240" w:lineRule="auto"/>
        <w:rPr>
          <w:rFonts w:ascii="Arial" w:hAnsi="Arial" w:cs="Arial"/>
          <w:color w:val="0D0D0D"/>
          <w:sz w:val="24"/>
          <w:szCs w:val="24"/>
        </w:rPr>
      </w:pPr>
    </w:p>
    <w:p w14:paraId="29048480" w14:textId="2C84F306" w:rsidR="00D93715" w:rsidRDefault="004E7BB0" w:rsidP="00D93715">
      <w:pPr>
        <w:autoSpaceDE w:val="0"/>
        <w:autoSpaceDN w:val="0"/>
        <w:adjustRightInd w:val="0"/>
        <w:spacing w:after="0" w:line="360" w:lineRule="auto"/>
        <w:rPr>
          <w:rFonts w:ascii="Arial" w:hAnsi="Arial" w:cs="Arial"/>
          <w:b/>
          <w:bCs/>
          <w:color w:val="0D0D0D"/>
          <w:sz w:val="24"/>
          <w:szCs w:val="24"/>
        </w:rPr>
      </w:pPr>
      <w:r w:rsidRPr="00D87640">
        <w:rPr>
          <w:rFonts w:ascii="Arial" w:hAnsi="Arial" w:cs="Arial"/>
          <w:b/>
          <w:bCs/>
          <w:color w:val="0D0D0D"/>
          <w:sz w:val="24"/>
          <w:szCs w:val="24"/>
        </w:rPr>
        <w:t>SAMUEL</w:t>
      </w:r>
      <w:r>
        <w:rPr>
          <w:rFonts w:ascii="Arial" w:hAnsi="Arial" w:cs="Arial"/>
          <w:b/>
          <w:bCs/>
          <w:color w:val="0D0D0D"/>
          <w:sz w:val="24"/>
          <w:szCs w:val="24"/>
        </w:rPr>
        <w:t xml:space="preserve"> </w:t>
      </w:r>
      <w:r w:rsidR="00D93715">
        <w:rPr>
          <w:rFonts w:ascii="Arial" w:hAnsi="Arial" w:cs="Arial"/>
          <w:b/>
          <w:bCs/>
          <w:color w:val="0D0D0D"/>
          <w:sz w:val="24"/>
          <w:szCs w:val="24"/>
        </w:rPr>
        <w:t>MOLOKWANE</w:t>
      </w:r>
      <w:r w:rsidR="00D93715">
        <w:rPr>
          <w:rFonts w:ascii="Arial" w:hAnsi="Arial" w:cs="Arial"/>
          <w:b/>
          <w:bCs/>
          <w:color w:val="0D0D0D"/>
          <w:sz w:val="24"/>
          <w:szCs w:val="24"/>
        </w:rPr>
        <w:tab/>
      </w:r>
      <w:r w:rsidR="00D93715">
        <w:rPr>
          <w:rFonts w:ascii="Arial" w:hAnsi="Arial" w:cs="Arial"/>
          <w:b/>
          <w:bCs/>
          <w:color w:val="0D0D0D"/>
          <w:sz w:val="24"/>
          <w:szCs w:val="24"/>
        </w:rPr>
        <w:tab/>
      </w:r>
      <w:r w:rsidR="00D93715">
        <w:rPr>
          <w:rFonts w:ascii="Arial" w:hAnsi="Arial" w:cs="Arial"/>
          <w:b/>
          <w:bCs/>
          <w:color w:val="0D0D0D"/>
          <w:sz w:val="24"/>
          <w:szCs w:val="24"/>
        </w:rPr>
        <w:tab/>
      </w:r>
      <w:r w:rsidR="00D93715">
        <w:rPr>
          <w:rFonts w:ascii="Arial" w:hAnsi="Arial" w:cs="Arial"/>
          <w:b/>
          <w:bCs/>
          <w:color w:val="0D0D0D"/>
          <w:sz w:val="24"/>
          <w:szCs w:val="24"/>
        </w:rPr>
        <w:tab/>
      </w:r>
      <w:r w:rsidR="00D93715">
        <w:rPr>
          <w:rFonts w:ascii="Arial" w:hAnsi="Arial" w:cs="Arial"/>
          <w:b/>
          <w:bCs/>
          <w:color w:val="0D0D0D"/>
          <w:sz w:val="24"/>
          <w:szCs w:val="24"/>
        </w:rPr>
        <w:tab/>
      </w:r>
      <w:r w:rsidR="00D93715">
        <w:rPr>
          <w:rFonts w:ascii="Arial" w:hAnsi="Arial" w:cs="Arial"/>
          <w:b/>
          <w:bCs/>
          <w:color w:val="0D0D0D"/>
          <w:sz w:val="24"/>
          <w:szCs w:val="24"/>
        </w:rPr>
        <w:tab/>
      </w:r>
      <w:r w:rsidR="00D93715">
        <w:rPr>
          <w:rFonts w:ascii="Arial" w:hAnsi="Arial" w:cs="Arial"/>
          <w:b/>
          <w:bCs/>
          <w:color w:val="0D0D0D"/>
          <w:sz w:val="24"/>
          <w:szCs w:val="24"/>
        </w:rPr>
        <w:tab/>
      </w:r>
      <w:r w:rsidR="005614DD">
        <w:rPr>
          <w:rFonts w:ascii="Arial" w:hAnsi="Arial" w:cs="Arial"/>
          <w:b/>
          <w:bCs/>
          <w:color w:val="0D0D0D"/>
          <w:sz w:val="24"/>
          <w:szCs w:val="24"/>
        </w:rPr>
        <w:t xml:space="preserve">  </w:t>
      </w:r>
      <w:r w:rsidR="00D93715" w:rsidRPr="00837116">
        <w:rPr>
          <w:rFonts w:ascii="Arial" w:hAnsi="Arial" w:cs="Arial"/>
          <w:b/>
          <w:bCs/>
          <w:color w:val="0D0D0D"/>
          <w:sz w:val="24"/>
          <w:szCs w:val="24"/>
        </w:rPr>
        <w:t>RESPONDENT</w:t>
      </w:r>
    </w:p>
    <w:p w14:paraId="2D5BF3F3" w14:textId="77777777" w:rsidR="00D93715" w:rsidRPr="009C627F" w:rsidRDefault="00D93715" w:rsidP="00D93715">
      <w:pPr>
        <w:autoSpaceDE w:val="0"/>
        <w:autoSpaceDN w:val="0"/>
        <w:adjustRightInd w:val="0"/>
        <w:spacing w:after="0" w:line="360" w:lineRule="auto"/>
        <w:rPr>
          <w:rFonts w:ascii="Arial" w:hAnsi="Arial" w:cs="Arial"/>
          <w:b/>
          <w:bCs/>
          <w:color w:val="0D0D0D"/>
          <w:sz w:val="24"/>
          <w:szCs w:val="24"/>
        </w:rPr>
      </w:pPr>
    </w:p>
    <w:p w14:paraId="7156E491" w14:textId="77777777" w:rsidR="00D87640" w:rsidRDefault="00D93715" w:rsidP="00D87640">
      <w:pPr>
        <w:widowControl w:val="0"/>
        <w:autoSpaceDE w:val="0"/>
        <w:autoSpaceDN w:val="0"/>
        <w:adjustRightInd w:val="0"/>
        <w:spacing w:after="120" w:line="276" w:lineRule="auto"/>
        <w:ind w:right="113"/>
        <w:jc w:val="both"/>
        <w:rPr>
          <w:rFonts w:ascii="Arial" w:eastAsiaTheme="minorEastAsia" w:hAnsi="Arial" w:cs="Arial"/>
          <w:bCs/>
          <w:sz w:val="24"/>
          <w:szCs w:val="24"/>
          <w:lang w:eastAsia="en-ZA"/>
        </w:rPr>
      </w:pPr>
      <w:r w:rsidRPr="00837116">
        <w:rPr>
          <w:rFonts w:ascii="Arial" w:eastAsiaTheme="minorEastAsia" w:hAnsi="Arial" w:cs="Arial"/>
          <w:b/>
          <w:sz w:val="24"/>
          <w:szCs w:val="24"/>
          <w:lang w:eastAsia="en-ZA"/>
        </w:rPr>
        <w:t>Neutral citation:</w:t>
      </w:r>
      <w:r w:rsidRPr="00837116">
        <w:rPr>
          <w:rFonts w:ascii="Arial" w:eastAsiaTheme="minorEastAsia" w:hAnsi="Arial" w:cs="Arial"/>
          <w:bCs/>
          <w:sz w:val="24"/>
          <w:szCs w:val="24"/>
          <w:lang w:eastAsia="en-ZA"/>
        </w:rPr>
        <w:t xml:space="preserve"> </w:t>
      </w:r>
      <w:bookmarkStart w:id="1" w:name="_Hlk107717151"/>
      <w:r w:rsidRPr="004527DE">
        <w:rPr>
          <w:rFonts w:ascii="Arial" w:eastAsiaTheme="minorEastAsia" w:hAnsi="Arial" w:cs="Arial"/>
          <w:bCs/>
          <w:i/>
          <w:iCs/>
          <w:sz w:val="24"/>
          <w:szCs w:val="24"/>
          <w:lang w:eastAsia="en-ZA"/>
        </w:rPr>
        <w:t xml:space="preserve">Minister of Police </w:t>
      </w:r>
      <w:bookmarkEnd w:id="1"/>
      <w:r w:rsidRPr="004527DE">
        <w:rPr>
          <w:rFonts w:ascii="Arial" w:eastAsiaTheme="minorEastAsia" w:hAnsi="Arial" w:cs="Arial"/>
          <w:bCs/>
          <w:i/>
          <w:iCs/>
          <w:sz w:val="24"/>
          <w:szCs w:val="24"/>
          <w:lang w:eastAsia="en-ZA"/>
        </w:rPr>
        <w:t xml:space="preserve">and Others v </w:t>
      </w:r>
      <w:r w:rsidR="004E7BB0">
        <w:rPr>
          <w:rFonts w:ascii="Arial" w:eastAsiaTheme="minorEastAsia" w:hAnsi="Arial" w:cs="Arial"/>
          <w:bCs/>
          <w:i/>
          <w:iCs/>
          <w:sz w:val="24"/>
          <w:szCs w:val="24"/>
          <w:lang w:eastAsia="en-ZA"/>
        </w:rPr>
        <w:t xml:space="preserve">Samuel </w:t>
      </w:r>
      <w:r w:rsidRPr="004527DE">
        <w:rPr>
          <w:rFonts w:ascii="Arial" w:eastAsiaTheme="minorEastAsia" w:hAnsi="Arial" w:cs="Arial"/>
          <w:bCs/>
          <w:i/>
          <w:iCs/>
          <w:sz w:val="24"/>
          <w:szCs w:val="24"/>
          <w:lang w:eastAsia="en-ZA"/>
        </w:rPr>
        <w:t>Molokwane</w:t>
      </w:r>
      <w:r>
        <w:rPr>
          <w:rFonts w:ascii="Arial" w:eastAsiaTheme="minorEastAsia" w:hAnsi="Arial" w:cs="Arial"/>
          <w:bCs/>
          <w:sz w:val="24"/>
          <w:szCs w:val="24"/>
          <w:lang w:eastAsia="en-ZA"/>
        </w:rPr>
        <w:t xml:space="preserve"> </w:t>
      </w:r>
      <w:r w:rsidRPr="00837116">
        <w:rPr>
          <w:rFonts w:ascii="Arial" w:eastAsiaTheme="minorEastAsia" w:hAnsi="Arial" w:cs="Arial"/>
          <w:bCs/>
          <w:sz w:val="24"/>
          <w:szCs w:val="24"/>
          <w:lang w:eastAsia="en-ZA"/>
        </w:rPr>
        <w:t>(</w:t>
      </w:r>
      <w:r w:rsidRPr="004527DE">
        <w:rPr>
          <w:rFonts w:ascii="Arial" w:eastAsiaTheme="minorEastAsia" w:hAnsi="Arial" w:cs="Arial"/>
          <w:bCs/>
          <w:sz w:val="24"/>
          <w:szCs w:val="24"/>
          <w:lang w:eastAsia="en-ZA"/>
        </w:rPr>
        <w:t>7</w:t>
      </w:r>
      <w:r w:rsidR="004527DE" w:rsidRPr="004527DE">
        <w:rPr>
          <w:rFonts w:ascii="Arial" w:eastAsiaTheme="minorEastAsia" w:hAnsi="Arial" w:cs="Arial"/>
          <w:bCs/>
          <w:sz w:val="24"/>
          <w:szCs w:val="24"/>
          <w:lang w:eastAsia="en-ZA"/>
        </w:rPr>
        <w:t>30</w:t>
      </w:r>
      <w:r w:rsidRPr="004527DE">
        <w:rPr>
          <w:rFonts w:ascii="Arial" w:eastAsiaTheme="minorEastAsia" w:hAnsi="Arial" w:cs="Arial"/>
          <w:bCs/>
          <w:sz w:val="24"/>
          <w:szCs w:val="24"/>
          <w:lang w:eastAsia="en-ZA"/>
        </w:rPr>
        <w:t>/202</w:t>
      </w:r>
      <w:r w:rsidR="004527DE" w:rsidRPr="004527DE">
        <w:rPr>
          <w:rFonts w:ascii="Arial" w:eastAsiaTheme="minorEastAsia" w:hAnsi="Arial" w:cs="Arial"/>
          <w:bCs/>
          <w:sz w:val="24"/>
          <w:szCs w:val="24"/>
          <w:lang w:eastAsia="en-ZA"/>
        </w:rPr>
        <w:t>1</w:t>
      </w:r>
      <w:r w:rsidRPr="004527DE">
        <w:rPr>
          <w:rFonts w:ascii="Arial" w:eastAsiaTheme="minorEastAsia" w:hAnsi="Arial" w:cs="Arial"/>
          <w:bCs/>
          <w:sz w:val="24"/>
          <w:szCs w:val="24"/>
          <w:lang w:eastAsia="en-ZA"/>
        </w:rPr>
        <w:t>)</w:t>
      </w:r>
    </w:p>
    <w:p w14:paraId="3BAA75C3" w14:textId="2B59B911" w:rsidR="00D93715" w:rsidRPr="00837116" w:rsidRDefault="00D93715" w:rsidP="00D87640">
      <w:pPr>
        <w:widowControl w:val="0"/>
        <w:autoSpaceDE w:val="0"/>
        <w:autoSpaceDN w:val="0"/>
        <w:adjustRightInd w:val="0"/>
        <w:spacing w:after="100" w:afterAutospacing="1" w:line="276" w:lineRule="auto"/>
        <w:ind w:right="113"/>
        <w:jc w:val="both"/>
        <w:rPr>
          <w:rFonts w:ascii="Arial" w:eastAsiaTheme="minorEastAsia" w:hAnsi="Arial" w:cs="Arial"/>
          <w:b/>
          <w:sz w:val="24"/>
          <w:szCs w:val="24"/>
          <w:lang w:eastAsia="en-ZA"/>
        </w:rPr>
      </w:pPr>
      <w:r w:rsidRPr="00837116">
        <w:rPr>
          <w:rFonts w:ascii="Arial" w:eastAsiaTheme="minorEastAsia" w:hAnsi="Arial" w:cs="Arial"/>
          <w:bCs/>
          <w:sz w:val="24"/>
          <w:szCs w:val="24"/>
          <w:lang w:eastAsia="en-ZA"/>
        </w:rPr>
        <w:t xml:space="preserve">[2022] ZASCA </w:t>
      </w:r>
      <w:r w:rsidR="00FA51B3" w:rsidRPr="003F6BA3">
        <w:rPr>
          <w:rFonts w:ascii="Arial" w:eastAsiaTheme="minorEastAsia" w:hAnsi="Arial" w:cs="Arial"/>
          <w:bCs/>
          <w:sz w:val="24"/>
          <w:szCs w:val="24"/>
          <w:lang w:eastAsia="en-ZA"/>
        </w:rPr>
        <w:t>11</w:t>
      </w:r>
      <w:r w:rsidR="00040EC7">
        <w:rPr>
          <w:rFonts w:ascii="Arial" w:eastAsiaTheme="minorEastAsia" w:hAnsi="Arial" w:cs="Arial"/>
          <w:bCs/>
          <w:sz w:val="24"/>
          <w:szCs w:val="24"/>
          <w:lang w:eastAsia="en-ZA"/>
        </w:rPr>
        <w:t>1</w:t>
      </w:r>
      <w:r w:rsidRPr="00837116">
        <w:rPr>
          <w:rFonts w:ascii="Arial" w:eastAsiaTheme="minorEastAsia" w:hAnsi="Arial" w:cs="Arial"/>
          <w:bCs/>
          <w:sz w:val="24"/>
          <w:szCs w:val="24"/>
          <w:lang w:eastAsia="en-ZA"/>
        </w:rPr>
        <w:t xml:space="preserve"> (</w:t>
      </w:r>
      <w:r w:rsidR="00E4272C">
        <w:rPr>
          <w:rFonts w:ascii="Arial" w:eastAsiaTheme="minorEastAsia" w:hAnsi="Arial" w:cs="Arial"/>
          <w:bCs/>
          <w:sz w:val="24"/>
          <w:szCs w:val="24"/>
          <w:lang w:eastAsia="en-ZA"/>
        </w:rPr>
        <w:t>15</w:t>
      </w:r>
      <w:r>
        <w:rPr>
          <w:rFonts w:ascii="Arial" w:eastAsiaTheme="minorEastAsia" w:hAnsi="Arial" w:cs="Arial"/>
          <w:bCs/>
          <w:sz w:val="24"/>
          <w:szCs w:val="24"/>
          <w:lang w:eastAsia="en-ZA"/>
        </w:rPr>
        <w:t xml:space="preserve"> </w:t>
      </w:r>
      <w:r w:rsidRPr="00837116">
        <w:rPr>
          <w:rFonts w:ascii="Arial" w:eastAsiaTheme="minorEastAsia" w:hAnsi="Arial" w:cs="Arial"/>
          <w:bCs/>
          <w:sz w:val="24"/>
          <w:szCs w:val="24"/>
          <w:lang w:eastAsia="en-ZA"/>
        </w:rPr>
        <w:t>Ju</w:t>
      </w:r>
      <w:r>
        <w:rPr>
          <w:rFonts w:ascii="Arial" w:eastAsiaTheme="minorEastAsia" w:hAnsi="Arial" w:cs="Arial"/>
          <w:bCs/>
          <w:sz w:val="24"/>
          <w:szCs w:val="24"/>
          <w:lang w:eastAsia="en-ZA"/>
        </w:rPr>
        <w:t>ly</w:t>
      </w:r>
      <w:r w:rsidRPr="00837116">
        <w:rPr>
          <w:rFonts w:ascii="Arial" w:eastAsiaTheme="minorEastAsia" w:hAnsi="Arial" w:cs="Arial"/>
          <w:bCs/>
          <w:sz w:val="24"/>
          <w:szCs w:val="24"/>
          <w:lang w:eastAsia="en-ZA"/>
        </w:rPr>
        <w:t xml:space="preserve"> 2022) </w:t>
      </w:r>
    </w:p>
    <w:p w14:paraId="5B1DE047" w14:textId="77777777" w:rsidR="00D87640" w:rsidRDefault="00D93715" w:rsidP="00D87640">
      <w:pPr>
        <w:widowControl w:val="0"/>
        <w:autoSpaceDE w:val="0"/>
        <w:autoSpaceDN w:val="0"/>
        <w:adjustRightInd w:val="0"/>
        <w:spacing w:after="0" w:line="240" w:lineRule="auto"/>
        <w:ind w:left="1440" w:hanging="1440"/>
        <w:jc w:val="both"/>
        <w:rPr>
          <w:rFonts w:ascii="Arial" w:eastAsiaTheme="minorEastAsia" w:hAnsi="Arial" w:cs="Arial"/>
          <w:sz w:val="24"/>
          <w:szCs w:val="24"/>
          <w:lang w:eastAsia="en-ZA"/>
        </w:rPr>
      </w:pPr>
      <w:r w:rsidRPr="00837116">
        <w:rPr>
          <w:rFonts w:ascii="Arial" w:eastAsiaTheme="minorEastAsia" w:hAnsi="Arial" w:cs="Arial"/>
          <w:b/>
          <w:sz w:val="24"/>
          <w:szCs w:val="24"/>
          <w:lang w:eastAsia="en-ZA"/>
        </w:rPr>
        <w:t>Coram:</w:t>
      </w:r>
      <w:r w:rsidRPr="00837116">
        <w:rPr>
          <w:rFonts w:ascii="Arial" w:eastAsiaTheme="minorEastAsia" w:hAnsi="Arial" w:cs="Arial"/>
          <w:b/>
          <w:sz w:val="24"/>
          <w:szCs w:val="24"/>
          <w:lang w:eastAsia="en-ZA"/>
        </w:rPr>
        <w:tab/>
      </w:r>
      <w:bookmarkStart w:id="2" w:name="_Hlk106661950"/>
      <w:bookmarkStart w:id="3" w:name="_Hlk64406736"/>
      <w:r>
        <w:rPr>
          <w:rFonts w:ascii="Arial" w:eastAsiaTheme="minorEastAsia" w:hAnsi="Arial" w:cs="Arial"/>
          <w:sz w:val="24"/>
          <w:szCs w:val="24"/>
          <w:lang w:eastAsia="en-ZA"/>
        </w:rPr>
        <w:t>VAN DER MERWE</w:t>
      </w:r>
      <w:r w:rsidRPr="00837116">
        <w:rPr>
          <w:rFonts w:ascii="Arial" w:eastAsiaTheme="minorEastAsia" w:hAnsi="Arial" w:cs="Arial"/>
          <w:sz w:val="24"/>
          <w:szCs w:val="24"/>
          <w:lang w:eastAsia="en-ZA"/>
        </w:rPr>
        <w:t xml:space="preserve">, </w:t>
      </w:r>
      <w:r>
        <w:rPr>
          <w:rFonts w:ascii="Arial" w:eastAsiaTheme="minorEastAsia" w:hAnsi="Arial" w:cs="Arial"/>
          <w:sz w:val="24"/>
          <w:szCs w:val="24"/>
          <w:lang w:eastAsia="en-ZA"/>
        </w:rPr>
        <w:t>SCHIPPERS</w:t>
      </w:r>
      <w:r w:rsidRPr="00837116">
        <w:rPr>
          <w:rFonts w:ascii="Arial" w:eastAsiaTheme="minorEastAsia" w:hAnsi="Arial" w:cs="Arial"/>
          <w:sz w:val="24"/>
          <w:szCs w:val="24"/>
          <w:lang w:eastAsia="en-ZA"/>
        </w:rPr>
        <w:t xml:space="preserve"> and </w:t>
      </w:r>
      <w:r w:rsidRPr="00837116">
        <w:rPr>
          <w:rFonts w:ascii="Arial" w:hAnsi="Arial" w:cs="Arial"/>
          <w:sz w:val="24"/>
          <w:szCs w:val="24"/>
        </w:rPr>
        <w:t>MAKGOKA JJA</w:t>
      </w:r>
      <w:r>
        <w:rPr>
          <w:rFonts w:ascii="Arial" w:hAnsi="Arial" w:cs="Arial"/>
          <w:sz w:val="24"/>
          <w:szCs w:val="24"/>
        </w:rPr>
        <w:t xml:space="preserve"> </w:t>
      </w:r>
      <w:r w:rsidRPr="00EC4EF5">
        <w:rPr>
          <w:rFonts w:ascii="Arial" w:hAnsi="Arial" w:cs="Arial"/>
          <w:sz w:val="24"/>
          <w:szCs w:val="24"/>
        </w:rPr>
        <w:t>and</w:t>
      </w:r>
      <w:r w:rsidR="00C63C5B">
        <w:rPr>
          <w:rFonts w:ascii="Arial" w:hAnsi="Arial" w:cs="Arial"/>
          <w:sz w:val="24"/>
          <w:szCs w:val="24"/>
        </w:rPr>
        <w:t xml:space="preserve"> MUSI</w:t>
      </w:r>
      <w:r w:rsidRPr="00837116">
        <w:rPr>
          <w:rFonts w:ascii="Arial" w:eastAsiaTheme="minorEastAsia" w:hAnsi="Arial" w:cs="Arial"/>
          <w:sz w:val="24"/>
          <w:szCs w:val="24"/>
          <w:lang w:eastAsia="en-ZA"/>
        </w:rPr>
        <w:t xml:space="preserve"> and </w:t>
      </w:r>
    </w:p>
    <w:p w14:paraId="1574946E" w14:textId="70300C4B" w:rsidR="00D93715" w:rsidRPr="00837116" w:rsidRDefault="00C63C5B" w:rsidP="00531686">
      <w:pPr>
        <w:widowControl w:val="0"/>
        <w:autoSpaceDE w:val="0"/>
        <w:autoSpaceDN w:val="0"/>
        <w:adjustRightInd w:val="0"/>
        <w:spacing w:after="0" w:line="240" w:lineRule="auto"/>
        <w:ind w:left="1440"/>
        <w:jc w:val="both"/>
        <w:rPr>
          <w:rFonts w:ascii="Arial" w:eastAsiaTheme="minorEastAsia" w:hAnsi="Arial" w:cs="Arial"/>
          <w:sz w:val="24"/>
          <w:szCs w:val="24"/>
          <w:lang w:eastAsia="en-ZA"/>
        </w:rPr>
      </w:pPr>
      <w:r w:rsidRPr="00837116">
        <w:rPr>
          <w:rFonts w:ascii="Arial" w:hAnsi="Arial" w:cs="Arial"/>
          <w:sz w:val="24"/>
          <w:szCs w:val="24"/>
        </w:rPr>
        <w:t xml:space="preserve">MAKAULA </w:t>
      </w:r>
      <w:r w:rsidR="00D93715" w:rsidRPr="00837116">
        <w:rPr>
          <w:rFonts w:ascii="Arial" w:hAnsi="Arial" w:cs="Arial"/>
          <w:sz w:val="24"/>
          <w:szCs w:val="24"/>
        </w:rPr>
        <w:t>AJJA</w:t>
      </w:r>
      <w:r w:rsidR="00D93715" w:rsidRPr="00837116">
        <w:rPr>
          <w:rFonts w:ascii="Arial" w:eastAsiaTheme="minorEastAsia" w:hAnsi="Arial" w:cs="Arial"/>
          <w:sz w:val="24"/>
          <w:szCs w:val="24"/>
          <w:lang w:eastAsia="en-ZA"/>
        </w:rPr>
        <w:t xml:space="preserve"> </w:t>
      </w:r>
      <w:bookmarkEnd w:id="2"/>
    </w:p>
    <w:bookmarkEnd w:id="3"/>
    <w:p w14:paraId="346F0A97" w14:textId="3FD52D1A" w:rsidR="00D93715" w:rsidRPr="00837116" w:rsidRDefault="00D93715" w:rsidP="00D87640">
      <w:pPr>
        <w:widowControl w:val="0"/>
        <w:tabs>
          <w:tab w:val="left" w:pos="720"/>
          <w:tab w:val="left" w:pos="1440"/>
          <w:tab w:val="left" w:pos="2160"/>
          <w:tab w:val="left" w:pos="2880"/>
          <w:tab w:val="left" w:pos="3600"/>
          <w:tab w:val="left" w:pos="7628"/>
        </w:tabs>
        <w:autoSpaceDE w:val="0"/>
        <w:autoSpaceDN w:val="0"/>
        <w:adjustRightInd w:val="0"/>
        <w:spacing w:before="100" w:beforeAutospacing="1" w:after="120" w:line="360" w:lineRule="auto"/>
        <w:jc w:val="both"/>
        <w:outlineLvl w:val="0"/>
        <w:rPr>
          <w:rFonts w:ascii="Arial" w:eastAsiaTheme="minorEastAsia" w:hAnsi="Arial" w:cs="Arial"/>
          <w:sz w:val="24"/>
          <w:szCs w:val="24"/>
          <w:lang w:eastAsia="en-ZA"/>
        </w:rPr>
      </w:pPr>
      <w:r w:rsidRPr="00837116">
        <w:rPr>
          <w:rFonts w:ascii="Arial" w:eastAsiaTheme="minorEastAsia" w:hAnsi="Arial" w:cs="Arial"/>
          <w:b/>
          <w:sz w:val="24"/>
          <w:szCs w:val="24"/>
          <w:lang w:eastAsia="en-ZA"/>
        </w:rPr>
        <w:t>Heard:</w:t>
      </w:r>
      <w:r w:rsidRPr="00837116">
        <w:rPr>
          <w:rFonts w:ascii="Arial" w:eastAsiaTheme="minorEastAsia" w:hAnsi="Arial" w:cs="Arial"/>
          <w:sz w:val="24"/>
          <w:szCs w:val="24"/>
          <w:lang w:eastAsia="en-ZA"/>
        </w:rPr>
        <w:tab/>
      </w:r>
      <w:r w:rsidR="00531686">
        <w:rPr>
          <w:rFonts w:ascii="Arial" w:eastAsiaTheme="minorEastAsia" w:hAnsi="Arial" w:cs="Arial"/>
          <w:sz w:val="24"/>
          <w:szCs w:val="24"/>
          <w:lang w:eastAsia="en-ZA"/>
        </w:rPr>
        <w:t xml:space="preserve">13 </w:t>
      </w:r>
      <w:r w:rsidRPr="00837116">
        <w:rPr>
          <w:rFonts w:ascii="Arial" w:eastAsiaTheme="minorEastAsia" w:hAnsi="Arial" w:cs="Arial"/>
          <w:sz w:val="24"/>
          <w:szCs w:val="24"/>
          <w:lang w:eastAsia="en-ZA"/>
        </w:rPr>
        <w:t>M</w:t>
      </w:r>
      <w:r>
        <w:rPr>
          <w:rFonts w:ascii="Arial" w:eastAsiaTheme="minorEastAsia" w:hAnsi="Arial" w:cs="Arial"/>
          <w:sz w:val="24"/>
          <w:szCs w:val="24"/>
          <w:lang w:eastAsia="en-ZA"/>
        </w:rPr>
        <w:t>ay</w:t>
      </w:r>
      <w:r w:rsidRPr="00837116">
        <w:rPr>
          <w:rFonts w:ascii="Arial" w:eastAsiaTheme="minorEastAsia" w:hAnsi="Arial" w:cs="Arial"/>
          <w:sz w:val="24"/>
          <w:szCs w:val="24"/>
          <w:lang w:eastAsia="en-ZA"/>
        </w:rPr>
        <w:t xml:space="preserve"> 2022</w:t>
      </w:r>
    </w:p>
    <w:p w14:paraId="22F61966" w14:textId="3B2065FD" w:rsidR="00D93715" w:rsidRPr="00837116" w:rsidRDefault="00D93715" w:rsidP="00D93715">
      <w:pPr>
        <w:widowControl w:val="0"/>
        <w:autoSpaceDE w:val="0"/>
        <w:autoSpaceDN w:val="0"/>
        <w:adjustRightInd w:val="0"/>
        <w:spacing w:after="120" w:line="360" w:lineRule="auto"/>
        <w:jc w:val="both"/>
        <w:outlineLvl w:val="0"/>
        <w:rPr>
          <w:rFonts w:ascii="Arial" w:eastAsiaTheme="minorEastAsia" w:hAnsi="Arial" w:cs="Arial"/>
          <w:sz w:val="24"/>
          <w:szCs w:val="24"/>
          <w:lang w:eastAsia="en-ZA"/>
        </w:rPr>
      </w:pPr>
      <w:r w:rsidRPr="00837116">
        <w:rPr>
          <w:rFonts w:ascii="Arial" w:eastAsiaTheme="minorEastAsia" w:hAnsi="Arial" w:cs="Arial"/>
          <w:b/>
          <w:sz w:val="24"/>
          <w:szCs w:val="24"/>
          <w:lang w:eastAsia="en-ZA"/>
        </w:rPr>
        <w:t>Delivered:</w:t>
      </w:r>
      <w:r w:rsidRPr="00837116">
        <w:rPr>
          <w:rFonts w:ascii="Arial" w:eastAsiaTheme="minorEastAsia" w:hAnsi="Arial" w:cs="Arial"/>
          <w:b/>
          <w:sz w:val="24"/>
          <w:szCs w:val="24"/>
          <w:lang w:eastAsia="en-ZA"/>
        </w:rPr>
        <w:tab/>
      </w:r>
      <w:r w:rsidR="00E4272C">
        <w:rPr>
          <w:rFonts w:ascii="Arial" w:eastAsiaTheme="minorEastAsia" w:hAnsi="Arial" w:cs="Arial"/>
          <w:sz w:val="24"/>
          <w:szCs w:val="24"/>
          <w:lang w:eastAsia="en-ZA"/>
        </w:rPr>
        <w:t>15</w:t>
      </w:r>
      <w:r>
        <w:rPr>
          <w:rFonts w:ascii="Arial" w:eastAsiaTheme="minorEastAsia" w:hAnsi="Arial" w:cs="Arial"/>
          <w:sz w:val="24"/>
          <w:szCs w:val="24"/>
          <w:lang w:eastAsia="en-ZA"/>
        </w:rPr>
        <w:t xml:space="preserve"> </w:t>
      </w:r>
      <w:r w:rsidRPr="00837116">
        <w:rPr>
          <w:rFonts w:ascii="Arial" w:eastAsiaTheme="minorEastAsia" w:hAnsi="Arial" w:cs="Arial"/>
          <w:sz w:val="24"/>
          <w:szCs w:val="24"/>
          <w:lang w:eastAsia="en-ZA"/>
        </w:rPr>
        <w:t>Ju</w:t>
      </w:r>
      <w:r>
        <w:rPr>
          <w:rFonts w:ascii="Arial" w:eastAsiaTheme="minorEastAsia" w:hAnsi="Arial" w:cs="Arial"/>
          <w:sz w:val="24"/>
          <w:szCs w:val="24"/>
          <w:lang w:eastAsia="en-ZA"/>
        </w:rPr>
        <w:t>ly</w:t>
      </w:r>
      <w:r w:rsidRPr="00837116">
        <w:rPr>
          <w:rFonts w:ascii="Arial" w:eastAsiaTheme="minorEastAsia" w:hAnsi="Arial" w:cs="Arial"/>
          <w:sz w:val="24"/>
          <w:szCs w:val="24"/>
          <w:lang w:eastAsia="en-ZA"/>
        </w:rPr>
        <w:t xml:space="preserve"> 2022</w:t>
      </w:r>
    </w:p>
    <w:p w14:paraId="6AF44B71" w14:textId="05C46288" w:rsidR="00D93715" w:rsidRPr="00837116" w:rsidRDefault="00D93715" w:rsidP="00726064">
      <w:pPr>
        <w:spacing w:after="0" w:line="360" w:lineRule="auto"/>
        <w:contextualSpacing/>
        <w:jc w:val="both"/>
        <w:rPr>
          <w:rFonts w:ascii="Arial" w:hAnsi="Arial" w:cs="Arial"/>
          <w:bCs/>
          <w:sz w:val="24"/>
          <w:szCs w:val="24"/>
        </w:rPr>
      </w:pPr>
      <w:r w:rsidRPr="00837116">
        <w:rPr>
          <w:rFonts w:ascii="Arial" w:eastAsiaTheme="minorEastAsia" w:hAnsi="Arial" w:cs="Arial"/>
          <w:b/>
          <w:sz w:val="24"/>
          <w:szCs w:val="24"/>
          <w:lang w:eastAsia="en-ZA"/>
        </w:rPr>
        <w:t xml:space="preserve">Summary: </w:t>
      </w:r>
      <w:r>
        <w:rPr>
          <w:rFonts w:ascii="Arial" w:eastAsiaTheme="minorEastAsia" w:hAnsi="Arial" w:cs="Arial"/>
          <w:b/>
          <w:sz w:val="24"/>
          <w:szCs w:val="24"/>
          <w:lang w:eastAsia="en-ZA"/>
        </w:rPr>
        <w:tab/>
      </w:r>
      <w:r w:rsidR="00726064" w:rsidRPr="00726064">
        <w:rPr>
          <w:rFonts w:ascii="Arial" w:eastAsiaTheme="minorEastAsia" w:hAnsi="Arial" w:cs="Arial"/>
          <w:bCs/>
          <w:sz w:val="24"/>
          <w:szCs w:val="24"/>
          <w:lang w:eastAsia="en-ZA"/>
        </w:rPr>
        <w:t xml:space="preserve">Civil Procedure – </w:t>
      </w:r>
      <w:r w:rsidR="00F8076E" w:rsidRPr="00FA51B3">
        <w:rPr>
          <w:rFonts w:ascii="Arial" w:eastAsiaTheme="minorEastAsia" w:hAnsi="Arial" w:cs="Arial"/>
          <w:bCs/>
          <w:sz w:val="24"/>
          <w:szCs w:val="24"/>
          <w:lang w:eastAsia="en-ZA"/>
        </w:rPr>
        <w:t>s 2(2) of</w:t>
      </w:r>
      <w:r w:rsidR="00F8076E">
        <w:rPr>
          <w:rFonts w:ascii="Arial" w:eastAsiaTheme="minorEastAsia" w:hAnsi="Arial" w:cs="Arial"/>
          <w:bCs/>
          <w:sz w:val="24"/>
          <w:szCs w:val="24"/>
          <w:lang w:eastAsia="en-ZA"/>
        </w:rPr>
        <w:t xml:space="preserve"> </w:t>
      </w:r>
      <w:r w:rsidR="00726064" w:rsidRPr="00726064">
        <w:rPr>
          <w:rFonts w:ascii="Arial" w:eastAsiaTheme="minorEastAsia" w:hAnsi="Arial" w:cs="Arial"/>
          <w:bCs/>
          <w:sz w:val="24"/>
          <w:szCs w:val="24"/>
          <w:lang w:eastAsia="en-ZA"/>
        </w:rPr>
        <w:t>State Liability Act 20 of 1957 –– whether failure to serve summons against Minister of Police on State Attorney nullifie</w:t>
      </w:r>
      <w:r w:rsidR="00F8076E" w:rsidRPr="00FA51B3">
        <w:rPr>
          <w:rFonts w:ascii="Arial" w:eastAsiaTheme="minorEastAsia" w:hAnsi="Arial" w:cs="Arial"/>
          <w:bCs/>
          <w:sz w:val="24"/>
          <w:szCs w:val="24"/>
          <w:lang w:eastAsia="en-ZA"/>
        </w:rPr>
        <w:t>d</w:t>
      </w:r>
      <w:r w:rsidR="00726064" w:rsidRPr="00726064">
        <w:rPr>
          <w:rFonts w:ascii="Arial" w:eastAsiaTheme="minorEastAsia" w:hAnsi="Arial" w:cs="Arial"/>
          <w:bCs/>
          <w:sz w:val="24"/>
          <w:szCs w:val="24"/>
          <w:lang w:eastAsia="en-ZA"/>
        </w:rPr>
        <w:t xml:space="preserve"> summons.</w:t>
      </w:r>
    </w:p>
    <w:p w14:paraId="2C6855C9" w14:textId="55FAC13A" w:rsidR="00D93715" w:rsidRDefault="00D93715" w:rsidP="003F6BA3">
      <w:pPr>
        <w:tabs>
          <w:tab w:val="left" w:pos="7410"/>
        </w:tabs>
        <w:rPr>
          <w:rFonts w:ascii="Arial" w:hAnsi="Arial" w:cs="Arial"/>
          <w:sz w:val="24"/>
          <w:szCs w:val="24"/>
        </w:rPr>
      </w:pPr>
      <w:r>
        <w:rPr>
          <w:rFonts w:ascii="Arial" w:hAnsi="Arial" w:cs="Arial"/>
          <w:sz w:val="24"/>
          <w:szCs w:val="24"/>
        </w:rPr>
        <w:br w:type="page"/>
      </w:r>
    </w:p>
    <w:p w14:paraId="39AFBDE9" w14:textId="77777777" w:rsidR="00D93715" w:rsidRPr="002B4EBE" w:rsidRDefault="00D93715" w:rsidP="00D45B92">
      <w:pPr>
        <w:widowControl w:val="0"/>
        <w:autoSpaceDE w:val="0"/>
        <w:autoSpaceDN w:val="0"/>
        <w:adjustRightInd w:val="0"/>
        <w:spacing w:after="360" w:line="240" w:lineRule="auto"/>
        <w:ind w:left="1440" w:hanging="1440"/>
        <w:jc w:val="center"/>
        <w:rPr>
          <w:rFonts w:ascii="Arial" w:eastAsiaTheme="minorEastAsia" w:hAnsi="Arial" w:cs="Arial"/>
          <w:b/>
          <w:sz w:val="24"/>
          <w:szCs w:val="24"/>
          <w:lang w:eastAsia="en-ZA"/>
        </w:rPr>
      </w:pPr>
      <w:r w:rsidRPr="002B4EBE">
        <w:rPr>
          <w:rFonts w:ascii="Arial" w:eastAsiaTheme="minorEastAsia" w:hAnsi="Arial" w:cs="Arial"/>
          <w:b/>
          <w:sz w:val="24"/>
          <w:szCs w:val="24"/>
          <w:lang w:eastAsia="en-ZA"/>
        </w:rPr>
        <w:lastRenderedPageBreak/>
        <w:t>___________________________________________________________________</w:t>
      </w:r>
    </w:p>
    <w:p w14:paraId="26156ED6" w14:textId="0D637A14" w:rsidR="00D93715" w:rsidRDefault="005614DD" w:rsidP="00CE220E">
      <w:pPr>
        <w:widowControl w:val="0"/>
        <w:autoSpaceDE w:val="0"/>
        <w:autoSpaceDN w:val="0"/>
        <w:adjustRightInd w:val="0"/>
        <w:spacing w:after="120" w:line="240" w:lineRule="auto"/>
        <w:jc w:val="center"/>
        <w:rPr>
          <w:rFonts w:ascii="Arial" w:eastAsiaTheme="minorEastAsia" w:hAnsi="Arial" w:cs="Arial"/>
          <w:b/>
          <w:sz w:val="24"/>
          <w:szCs w:val="24"/>
          <w:lang w:eastAsia="en-ZA"/>
        </w:rPr>
      </w:pPr>
      <w:r>
        <w:rPr>
          <w:rFonts w:ascii="Arial" w:eastAsiaTheme="minorEastAsia" w:hAnsi="Arial" w:cs="Arial"/>
          <w:b/>
          <w:sz w:val="24"/>
          <w:szCs w:val="24"/>
          <w:lang w:eastAsia="en-ZA"/>
        </w:rPr>
        <w:t>ORDER</w:t>
      </w:r>
    </w:p>
    <w:p w14:paraId="6AF38143" w14:textId="77777777" w:rsidR="00D93715" w:rsidRPr="002B4EBE" w:rsidRDefault="00D93715" w:rsidP="005614DD">
      <w:pPr>
        <w:widowControl w:val="0"/>
        <w:autoSpaceDE w:val="0"/>
        <w:autoSpaceDN w:val="0"/>
        <w:adjustRightInd w:val="0"/>
        <w:spacing w:after="0" w:line="240" w:lineRule="auto"/>
        <w:ind w:left="1440" w:hanging="1440"/>
        <w:jc w:val="center"/>
        <w:rPr>
          <w:rFonts w:ascii="Arial" w:eastAsiaTheme="minorEastAsia" w:hAnsi="Arial" w:cs="Arial"/>
          <w:sz w:val="24"/>
          <w:szCs w:val="24"/>
          <w:lang w:eastAsia="en-ZA"/>
        </w:rPr>
      </w:pPr>
      <w:r w:rsidRPr="002B4EBE">
        <w:rPr>
          <w:rFonts w:ascii="Arial" w:eastAsiaTheme="minorEastAsia" w:hAnsi="Arial" w:cs="Arial"/>
          <w:b/>
          <w:sz w:val="24"/>
          <w:szCs w:val="24"/>
          <w:lang w:eastAsia="en-ZA"/>
        </w:rPr>
        <w:t>___________________________________________________________________</w:t>
      </w:r>
    </w:p>
    <w:p w14:paraId="1AB2E2AD" w14:textId="79185DF5" w:rsidR="00D93715" w:rsidRDefault="00D93715" w:rsidP="005614DD">
      <w:pPr>
        <w:widowControl w:val="0"/>
        <w:autoSpaceDE w:val="0"/>
        <w:autoSpaceDN w:val="0"/>
        <w:adjustRightInd w:val="0"/>
        <w:spacing w:before="360" w:line="360" w:lineRule="auto"/>
        <w:jc w:val="both"/>
        <w:rPr>
          <w:rFonts w:ascii="Arial" w:eastAsiaTheme="minorEastAsia" w:hAnsi="Arial" w:cs="Arial"/>
          <w:sz w:val="24"/>
          <w:szCs w:val="24"/>
          <w:lang w:eastAsia="en-ZA"/>
        </w:rPr>
      </w:pPr>
      <w:r w:rsidRPr="008D2D2C">
        <w:rPr>
          <w:rFonts w:ascii="Arial" w:eastAsiaTheme="minorEastAsia" w:hAnsi="Arial" w:cs="Arial"/>
          <w:b/>
          <w:sz w:val="24"/>
          <w:szCs w:val="24"/>
          <w:lang w:eastAsia="en-ZA"/>
        </w:rPr>
        <w:t>On appeal from:</w:t>
      </w:r>
      <w:r w:rsidRPr="00837116">
        <w:rPr>
          <w:rFonts w:ascii="Arial" w:eastAsiaTheme="minorEastAsia" w:hAnsi="Arial" w:cs="Arial"/>
          <w:sz w:val="24"/>
          <w:szCs w:val="24"/>
          <w:lang w:eastAsia="en-ZA"/>
        </w:rPr>
        <w:t xml:space="preserve"> </w:t>
      </w:r>
      <w:bookmarkStart w:id="4" w:name="_Hlk92393248"/>
      <w:r w:rsidR="00726064">
        <w:rPr>
          <w:rFonts w:ascii="Arial" w:eastAsiaTheme="minorEastAsia" w:hAnsi="Arial" w:cs="Arial"/>
          <w:sz w:val="24"/>
          <w:szCs w:val="24"/>
          <w:lang w:eastAsia="en-ZA"/>
        </w:rPr>
        <w:t xml:space="preserve">Gauteng </w:t>
      </w:r>
      <w:r w:rsidRPr="00837116">
        <w:rPr>
          <w:rFonts w:ascii="Arial" w:hAnsi="Arial" w:cs="Arial"/>
          <w:color w:val="0D0D0D"/>
          <w:sz w:val="24"/>
          <w:szCs w:val="24"/>
        </w:rPr>
        <w:t xml:space="preserve">Division </w:t>
      </w:r>
      <w:r w:rsidRPr="00837116">
        <w:rPr>
          <w:rFonts w:ascii="Arial" w:eastAsiaTheme="minorEastAsia" w:hAnsi="Arial" w:cs="Arial"/>
          <w:sz w:val="24"/>
          <w:szCs w:val="24"/>
          <w:lang w:eastAsia="en-ZA"/>
        </w:rPr>
        <w:t>of the High Court,</w:t>
      </w:r>
      <w:r w:rsidRPr="00837116">
        <w:rPr>
          <w:rFonts w:ascii="Arial" w:hAnsi="Arial" w:cs="Arial"/>
          <w:color w:val="0D0D0D"/>
          <w:sz w:val="24"/>
          <w:szCs w:val="24"/>
        </w:rPr>
        <w:t xml:space="preserve"> </w:t>
      </w:r>
      <w:bookmarkEnd w:id="4"/>
      <w:r>
        <w:rPr>
          <w:rFonts w:ascii="Arial" w:hAnsi="Arial" w:cs="Arial"/>
          <w:color w:val="0D0D0D"/>
          <w:sz w:val="24"/>
          <w:szCs w:val="24"/>
        </w:rPr>
        <w:t>P</w:t>
      </w:r>
      <w:r w:rsidR="00726064">
        <w:rPr>
          <w:rFonts w:ascii="Arial" w:hAnsi="Arial" w:cs="Arial"/>
          <w:color w:val="0D0D0D"/>
          <w:sz w:val="24"/>
          <w:szCs w:val="24"/>
        </w:rPr>
        <w:t>retoria</w:t>
      </w:r>
      <w:r>
        <w:rPr>
          <w:rFonts w:ascii="Arial" w:hAnsi="Arial" w:cs="Arial"/>
          <w:color w:val="0D0D0D"/>
          <w:sz w:val="24"/>
          <w:szCs w:val="24"/>
        </w:rPr>
        <w:t xml:space="preserve"> </w:t>
      </w:r>
      <w:r w:rsidRPr="00837116">
        <w:rPr>
          <w:rFonts w:ascii="Arial" w:eastAsiaTheme="minorEastAsia" w:hAnsi="Arial" w:cs="Arial"/>
          <w:sz w:val="24"/>
          <w:szCs w:val="24"/>
          <w:lang w:eastAsia="en-ZA"/>
        </w:rPr>
        <w:t>(</w:t>
      </w:r>
      <w:r w:rsidR="004527DE">
        <w:rPr>
          <w:rFonts w:ascii="Arial" w:eastAsiaTheme="minorEastAsia" w:hAnsi="Arial" w:cs="Arial"/>
          <w:sz w:val="24"/>
          <w:szCs w:val="24"/>
          <w:lang w:eastAsia="en-ZA"/>
        </w:rPr>
        <w:t>Van der Schyff</w:t>
      </w:r>
      <w:r w:rsidR="00726064">
        <w:rPr>
          <w:rFonts w:ascii="Arial" w:eastAsiaTheme="minorEastAsia" w:hAnsi="Arial" w:cs="Arial"/>
          <w:sz w:val="24"/>
          <w:szCs w:val="24"/>
          <w:lang w:eastAsia="en-ZA"/>
        </w:rPr>
        <w:t xml:space="preserve"> J</w:t>
      </w:r>
      <w:r>
        <w:rPr>
          <w:rFonts w:ascii="Arial" w:eastAsiaTheme="minorEastAsia" w:hAnsi="Arial" w:cs="Arial"/>
          <w:sz w:val="24"/>
          <w:szCs w:val="24"/>
          <w:lang w:eastAsia="en-ZA"/>
        </w:rPr>
        <w:t>,</w:t>
      </w:r>
      <w:r w:rsidRPr="00837116">
        <w:rPr>
          <w:rFonts w:ascii="Arial" w:eastAsiaTheme="minorEastAsia" w:hAnsi="Arial" w:cs="Arial"/>
          <w:sz w:val="24"/>
          <w:szCs w:val="24"/>
          <w:lang w:eastAsia="en-ZA"/>
        </w:rPr>
        <w:t xml:space="preserve"> sitting as </w:t>
      </w:r>
      <w:r w:rsidRPr="0088109C">
        <w:rPr>
          <w:rFonts w:ascii="Arial" w:eastAsiaTheme="minorEastAsia" w:hAnsi="Arial" w:cs="Arial"/>
          <w:sz w:val="24"/>
          <w:szCs w:val="24"/>
          <w:lang w:eastAsia="en-ZA"/>
        </w:rPr>
        <w:t>a</w:t>
      </w:r>
      <w:r>
        <w:rPr>
          <w:rFonts w:ascii="Arial" w:eastAsiaTheme="minorEastAsia" w:hAnsi="Arial" w:cs="Arial"/>
          <w:sz w:val="24"/>
          <w:szCs w:val="24"/>
          <w:lang w:eastAsia="en-ZA"/>
        </w:rPr>
        <w:t xml:space="preserve"> </w:t>
      </w:r>
      <w:r w:rsidRPr="00837116">
        <w:rPr>
          <w:rFonts w:ascii="Arial" w:eastAsiaTheme="minorEastAsia" w:hAnsi="Arial" w:cs="Arial"/>
          <w:sz w:val="24"/>
          <w:szCs w:val="24"/>
          <w:lang w:eastAsia="en-ZA"/>
        </w:rPr>
        <w:t xml:space="preserve">court </w:t>
      </w:r>
      <w:r w:rsidR="00726064">
        <w:rPr>
          <w:rFonts w:ascii="Arial" w:eastAsiaTheme="minorEastAsia" w:hAnsi="Arial" w:cs="Arial"/>
          <w:sz w:val="24"/>
          <w:szCs w:val="24"/>
          <w:lang w:eastAsia="en-ZA"/>
        </w:rPr>
        <w:t>of first instance</w:t>
      </w:r>
      <w:r w:rsidRPr="00837116">
        <w:rPr>
          <w:rFonts w:ascii="Arial" w:eastAsiaTheme="minorEastAsia" w:hAnsi="Arial" w:cs="Arial"/>
          <w:sz w:val="24"/>
          <w:szCs w:val="24"/>
          <w:lang w:eastAsia="en-ZA"/>
        </w:rPr>
        <w:t>):</w:t>
      </w:r>
    </w:p>
    <w:p w14:paraId="5BAEB9B9" w14:textId="0B66AC3B" w:rsidR="00D93715" w:rsidRPr="00475C4A" w:rsidRDefault="00D93715" w:rsidP="00D93715">
      <w:pPr>
        <w:pStyle w:val="MEMONUMBERED"/>
        <w:kinsoku w:val="0"/>
        <w:overflowPunct w:val="0"/>
        <w:autoSpaceDE w:val="0"/>
        <w:autoSpaceDN w:val="0"/>
        <w:adjustRightInd w:val="0"/>
        <w:spacing w:line="360" w:lineRule="auto"/>
        <w:ind w:right="-7"/>
        <w:rPr>
          <w:rFonts w:ascii="Arial" w:hAnsi="Arial" w:cs="Arial"/>
          <w:bCs/>
        </w:rPr>
      </w:pPr>
      <w:r w:rsidRPr="00837116">
        <w:rPr>
          <w:rFonts w:ascii="Arial" w:hAnsi="Arial" w:cs="Arial"/>
          <w:bCs/>
        </w:rPr>
        <w:t xml:space="preserve">The </w:t>
      </w:r>
      <w:r w:rsidR="00726064">
        <w:rPr>
          <w:rFonts w:ascii="Arial" w:hAnsi="Arial" w:cs="Arial"/>
          <w:bCs/>
        </w:rPr>
        <w:t xml:space="preserve">appeal </w:t>
      </w:r>
      <w:r w:rsidRPr="00837116">
        <w:rPr>
          <w:rFonts w:ascii="Arial" w:hAnsi="Arial" w:cs="Arial"/>
          <w:bCs/>
        </w:rPr>
        <w:t xml:space="preserve">is </w:t>
      </w:r>
      <w:r w:rsidR="00726064">
        <w:rPr>
          <w:rFonts w:ascii="Arial" w:hAnsi="Arial" w:cs="Arial"/>
          <w:bCs/>
        </w:rPr>
        <w:t>dismissed</w:t>
      </w:r>
      <w:r w:rsidRPr="00837116">
        <w:rPr>
          <w:rFonts w:ascii="Arial" w:hAnsi="Arial" w:cs="Arial"/>
          <w:bCs/>
        </w:rPr>
        <w:t xml:space="preserve"> with costs</w:t>
      </w:r>
      <w:r w:rsidR="004527DE">
        <w:rPr>
          <w:rFonts w:ascii="Arial" w:hAnsi="Arial" w:cs="Arial"/>
          <w:bCs/>
        </w:rPr>
        <w:t>, including costs of two counsel where so employed</w:t>
      </w:r>
      <w:r w:rsidR="00726064">
        <w:rPr>
          <w:rFonts w:ascii="Arial" w:hAnsi="Arial" w:cs="Arial"/>
          <w:bCs/>
        </w:rPr>
        <w:t>.</w:t>
      </w:r>
    </w:p>
    <w:p w14:paraId="5917D4DC" w14:textId="77777777" w:rsidR="00D93715" w:rsidRPr="002B4EBE" w:rsidRDefault="00D93715" w:rsidP="00CE220E">
      <w:pPr>
        <w:widowControl w:val="0"/>
        <w:autoSpaceDE w:val="0"/>
        <w:autoSpaceDN w:val="0"/>
        <w:adjustRightInd w:val="0"/>
        <w:spacing w:before="240" w:after="120" w:line="240" w:lineRule="auto"/>
        <w:ind w:left="1440" w:hanging="1440"/>
        <w:jc w:val="center"/>
        <w:rPr>
          <w:rFonts w:ascii="Arial" w:eastAsiaTheme="minorEastAsia" w:hAnsi="Arial" w:cs="Arial"/>
          <w:b/>
          <w:sz w:val="24"/>
          <w:szCs w:val="24"/>
          <w:lang w:eastAsia="en-ZA"/>
        </w:rPr>
      </w:pPr>
      <w:r w:rsidRPr="002B4EBE">
        <w:rPr>
          <w:rFonts w:ascii="Arial" w:eastAsiaTheme="minorEastAsia" w:hAnsi="Arial" w:cs="Arial"/>
          <w:b/>
          <w:sz w:val="24"/>
          <w:szCs w:val="24"/>
          <w:lang w:eastAsia="en-ZA"/>
        </w:rPr>
        <w:t>___________________________________________________________________</w:t>
      </w:r>
    </w:p>
    <w:p w14:paraId="024DCFEC" w14:textId="77777777" w:rsidR="00D93715" w:rsidRDefault="00D93715" w:rsidP="005614DD">
      <w:pPr>
        <w:widowControl w:val="0"/>
        <w:autoSpaceDE w:val="0"/>
        <w:autoSpaceDN w:val="0"/>
        <w:adjustRightInd w:val="0"/>
        <w:spacing w:after="0" w:line="240" w:lineRule="auto"/>
        <w:jc w:val="center"/>
        <w:rPr>
          <w:rFonts w:ascii="Arial" w:eastAsiaTheme="minorEastAsia" w:hAnsi="Arial" w:cs="Arial"/>
          <w:b/>
          <w:sz w:val="24"/>
          <w:szCs w:val="24"/>
          <w:lang w:eastAsia="en-ZA"/>
        </w:rPr>
      </w:pPr>
    </w:p>
    <w:p w14:paraId="7E2E3598" w14:textId="77777777" w:rsidR="00D93715" w:rsidRPr="002B4EBE" w:rsidRDefault="00D93715" w:rsidP="00CE220E">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2B4EBE">
        <w:rPr>
          <w:rFonts w:ascii="Arial" w:eastAsiaTheme="minorEastAsia" w:hAnsi="Arial" w:cs="Arial"/>
          <w:b/>
          <w:sz w:val="24"/>
          <w:szCs w:val="24"/>
          <w:lang w:eastAsia="en-ZA"/>
        </w:rPr>
        <w:t>JUDGMENT</w:t>
      </w:r>
    </w:p>
    <w:p w14:paraId="4DCB1682" w14:textId="77777777" w:rsidR="00D93715" w:rsidRDefault="00D93715" w:rsidP="00D45B92">
      <w:pPr>
        <w:widowControl w:val="0"/>
        <w:autoSpaceDE w:val="0"/>
        <w:autoSpaceDN w:val="0"/>
        <w:adjustRightInd w:val="0"/>
        <w:spacing w:after="120" w:line="240" w:lineRule="auto"/>
        <w:ind w:left="1440" w:hanging="1440"/>
        <w:jc w:val="center"/>
        <w:rPr>
          <w:rFonts w:ascii="Arial" w:eastAsiaTheme="minorEastAsia" w:hAnsi="Arial" w:cs="Arial"/>
          <w:sz w:val="24"/>
          <w:szCs w:val="24"/>
          <w:lang w:eastAsia="en-ZA"/>
        </w:rPr>
      </w:pPr>
      <w:r w:rsidRPr="002B4EBE">
        <w:rPr>
          <w:rFonts w:ascii="Arial" w:eastAsiaTheme="minorEastAsia" w:hAnsi="Arial" w:cs="Arial"/>
          <w:b/>
          <w:sz w:val="24"/>
          <w:szCs w:val="24"/>
          <w:lang w:eastAsia="en-ZA"/>
        </w:rPr>
        <w:t>___________________________________________________________________</w:t>
      </w:r>
    </w:p>
    <w:p w14:paraId="0EBD715F" w14:textId="68C5660B" w:rsidR="00721273" w:rsidRDefault="00721273" w:rsidP="00FA51B3">
      <w:pPr>
        <w:spacing w:after="0" w:line="240" w:lineRule="auto"/>
      </w:pPr>
    </w:p>
    <w:p w14:paraId="3EEC948A" w14:textId="77777777" w:rsidR="00B801B9" w:rsidRDefault="00726064" w:rsidP="00B801B9">
      <w:pPr>
        <w:widowControl w:val="0"/>
        <w:autoSpaceDE w:val="0"/>
        <w:autoSpaceDN w:val="0"/>
        <w:adjustRightInd w:val="0"/>
        <w:spacing w:after="120" w:line="240" w:lineRule="auto"/>
        <w:ind w:left="1440" w:hanging="1440"/>
        <w:jc w:val="both"/>
        <w:rPr>
          <w:rFonts w:ascii="Arial" w:eastAsiaTheme="minorEastAsia" w:hAnsi="Arial" w:cs="Arial"/>
          <w:sz w:val="24"/>
          <w:szCs w:val="24"/>
          <w:lang w:eastAsia="en-ZA"/>
        </w:rPr>
      </w:pPr>
      <w:r w:rsidRPr="00726064">
        <w:rPr>
          <w:rFonts w:ascii="Arial" w:hAnsi="Arial" w:cs="Arial"/>
          <w:b/>
          <w:bCs/>
          <w:sz w:val="24"/>
          <w:szCs w:val="24"/>
        </w:rPr>
        <w:t>Makgoka JA (</w:t>
      </w:r>
      <w:r w:rsidR="00E4272C" w:rsidRPr="00B801B9">
        <w:rPr>
          <w:rFonts w:ascii="Arial" w:eastAsiaTheme="minorEastAsia" w:hAnsi="Arial" w:cs="Arial"/>
          <w:b/>
          <w:bCs/>
          <w:sz w:val="24"/>
          <w:szCs w:val="24"/>
          <w:lang w:eastAsia="en-ZA"/>
        </w:rPr>
        <w:t xml:space="preserve">Van der Merwe and Schippers </w:t>
      </w:r>
      <w:r w:rsidR="00E4272C" w:rsidRPr="00B801B9">
        <w:rPr>
          <w:rFonts w:ascii="Arial" w:hAnsi="Arial" w:cs="Arial"/>
          <w:b/>
          <w:bCs/>
          <w:sz w:val="24"/>
          <w:szCs w:val="24"/>
        </w:rPr>
        <w:t>JJA and Musi</w:t>
      </w:r>
      <w:r w:rsidR="00E4272C" w:rsidRPr="00B801B9">
        <w:rPr>
          <w:rFonts w:ascii="Arial" w:eastAsiaTheme="minorEastAsia" w:hAnsi="Arial" w:cs="Arial"/>
          <w:b/>
          <w:bCs/>
          <w:sz w:val="24"/>
          <w:szCs w:val="24"/>
          <w:lang w:eastAsia="en-ZA"/>
        </w:rPr>
        <w:t xml:space="preserve"> and </w:t>
      </w:r>
      <w:r w:rsidR="00E4272C" w:rsidRPr="00B801B9">
        <w:rPr>
          <w:rFonts w:ascii="Arial" w:hAnsi="Arial" w:cs="Arial"/>
          <w:b/>
          <w:bCs/>
          <w:sz w:val="24"/>
          <w:szCs w:val="24"/>
        </w:rPr>
        <w:t>M</w:t>
      </w:r>
      <w:r w:rsidR="00B801B9" w:rsidRPr="00B801B9">
        <w:rPr>
          <w:rFonts w:ascii="Arial" w:hAnsi="Arial" w:cs="Arial"/>
          <w:b/>
          <w:bCs/>
          <w:sz w:val="24"/>
          <w:szCs w:val="24"/>
        </w:rPr>
        <w:t>akaula</w:t>
      </w:r>
      <w:r w:rsidR="00E4272C" w:rsidRPr="00B801B9">
        <w:rPr>
          <w:rFonts w:ascii="Arial" w:hAnsi="Arial" w:cs="Arial"/>
          <w:b/>
          <w:bCs/>
          <w:sz w:val="24"/>
          <w:szCs w:val="24"/>
        </w:rPr>
        <w:t xml:space="preserve"> AJJA</w:t>
      </w:r>
      <w:r w:rsidR="00E4272C" w:rsidRPr="00837116">
        <w:rPr>
          <w:rFonts w:ascii="Arial" w:eastAsiaTheme="minorEastAsia" w:hAnsi="Arial" w:cs="Arial"/>
          <w:sz w:val="24"/>
          <w:szCs w:val="24"/>
          <w:lang w:eastAsia="en-ZA"/>
        </w:rPr>
        <w:t xml:space="preserve"> </w:t>
      </w:r>
    </w:p>
    <w:p w14:paraId="77E890D4" w14:textId="78FA8C7D" w:rsidR="00726064" w:rsidRPr="00B801B9" w:rsidRDefault="00726064" w:rsidP="00B801B9">
      <w:pPr>
        <w:widowControl w:val="0"/>
        <w:autoSpaceDE w:val="0"/>
        <w:autoSpaceDN w:val="0"/>
        <w:adjustRightInd w:val="0"/>
        <w:spacing w:after="240" w:line="240" w:lineRule="auto"/>
        <w:ind w:left="1440" w:hanging="1440"/>
        <w:jc w:val="both"/>
        <w:rPr>
          <w:rFonts w:ascii="Arial" w:eastAsiaTheme="minorEastAsia" w:hAnsi="Arial" w:cs="Arial"/>
          <w:sz w:val="24"/>
          <w:szCs w:val="24"/>
          <w:lang w:eastAsia="en-ZA"/>
        </w:rPr>
      </w:pPr>
      <w:r w:rsidRPr="00726064">
        <w:rPr>
          <w:rFonts w:ascii="Arial" w:hAnsi="Arial" w:cs="Arial"/>
          <w:b/>
          <w:bCs/>
          <w:sz w:val="24"/>
          <w:szCs w:val="24"/>
        </w:rPr>
        <w:t>concurring):</w:t>
      </w:r>
    </w:p>
    <w:p w14:paraId="46F7620E" w14:textId="3D26C37D" w:rsidR="00EC12C4" w:rsidRPr="00D87640" w:rsidRDefault="004E7BB0" w:rsidP="005223A1">
      <w:pPr>
        <w:numPr>
          <w:ilvl w:val="0"/>
          <w:numId w:val="1"/>
        </w:numPr>
        <w:shd w:val="clear" w:color="auto" w:fill="FFFFFF"/>
        <w:spacing w:before="120" w:after="840" w:line="360" w:lineRule="auto"/>
        <w:ind w:left="0" w:firstLine="0"/>
        <w:contextualSpacing/>
        <w:jc w:val="both"/>
        <w:rPr>
          <w:rFonts w:ascii="Arial" w:hAnsi="Arial" w:cs="Arial"/>
          <w:sz w:val="24"/>
          <w:szCs w:val="24"/>
        </w:rPr>
      </w:pPr>
      <w:r w:rsidRPr="00D87640">
        <w:rPr>
          <w:rFonts w:ascii="Arial" w:eastAsia="Times New Roman" w:hAnsi="Arial" w:cs="Arial"/>
          <w:sz w:val="24"/>
          <w:szCs w:val="24"/>
          <w:lang w:val="en-US" w:eastAsia="en-ZA"/>
        </w:rPr>
        <w:t xml:space="preserve">The appeal turns on whether </w:t>
      </w:r>
      <w:r w:rsidR="00513263" w:rsidRPr="00D87640">
        <w:rPr>
          <w:rFonts w:ascii="Arial" w:eastAsia="Times New Roman" w:hAnsi="Arial" w:cs="Arial"/>
          <w:sz w:val="24"/>
          <w:szCs w:val="24"/>
          <w:lang w:val="en-US" w:eastAsia="en-ZA"/>
        </w:rPr>
        <w:t>the respondent’s</w:t>
      </w:r>
      <w:r w:rsidR="005C0E2E" w:rsidRPr="00D87640">
        <w:rPr>
          <w:rFonts w:ascii="Arial" w:eastAsia="Times New Roman" w:hAnsi="Arial" w:cs="Arial"/>
          <w:sz w:val="24"/>
          <w:szCs w:val="24"/>
          <w:lang w:val="en-US" w:eastAsia="en-ZA"/>
        </w:rPr>
        <w:t xml:space="preserve"> omission to </w:t>
      </w:r>
      <w:r w:rsidR="005F2EEF" w:rsidRPr="00D87640">
        <w:rPr>
          <w:rFonts w:ascii="Arial" w:eastAsia="Times New Roman" w:hAnsi="Arial" w:cs="Arial"/>
          <w:sz w:val="24"/>
          <w:szCs w:val="24"/>
          <w:lang w:val="en-US" w:eastAsia="en-ZA"/>
        </w:rPr>
        <w:t>serve</w:t>
      </w:r>
      <w:r w:rsidR="00D00510" w:rsidRPr="00D87640">
        <w:rPr>
          <w:rFonts w:ascii="Arial" w:eastAsia="Times New Roman" w:hAnsi="Arial" w:cs="Arial"/>
          <w:sz w:val="24"/>
          <w:szCs w:val="24"/>
          <w:lang w:val="en-US" w:eastAsia="en-ZA"/>
        </w:rPr>
        <w:t xml:space="preserve"> </w:t>
      </w:r>
      <w:r w:rsidR="00E5707E" w:rsidRPr="00D87640">
        <w:rPr>
          <w:rFonts w:ascii="Arial" w:eastAsia="Times New Roman" w:hAnsi="Arial" w:cs="Arial"/>
          <w:sz w:val="24"/>
          <w:szCs w:val="24"/>
          <w:lang w:val="en-US" w:eastAsia="en-ZA"/>
        </w:rPr>
        <w:t>a copy of a summons issued against the</w:t>
      </w:r>
      <w:r w:rsidR="00513263" w:rsidRPr="00D87640">
        <w:rPr>
          <w:rFonts w:ascii="Arial" w:eastAsia="Times New Roman" w:hAnsi="Arial" w:cs="Arial"/>
          <w:sz w:val="24"/>
          <w:szCs w:val="24"/>
          <w:lang w:val="en-US" w:eastAsia="en-ZA"/>
        </w:rPr>
        <w:t xml:space="preserve"> first appellant, the</w:t>
      </w:r>
      <w:r w:rsidR="00E5707E" w:rsidRPr="00D87640">
        <w:rPr>
          <w:rFonts w:ascii="Arial" w:eastAsia="Times New Roman" w:hAnsi="Arial" w:cs="Arial"/>
          <w:sz w:val="24"/>
          <w:szCs w:val="24"/>
          <w:lang w:val="en-US" w:eastAsia="en-ZA"/>
        </w:rPr>
        <w:t xml:space="preserve"> Minister of Police</w:t>
      </w:r>
      <w:r w:rsidR="00513263" w:rsidRPr="00D87640">
        <w:rPr>
          <w:rFonts w:ascii="Arial" w:eastAsia="Times New Roman" w:hAnsi="Arial" w:cs="Arial"/>
          <w:sz w:val="24"/>
          <w:szCs w:val="24"/>
          <w:lang w:val="en-US" w:eastAsia="en-ZA"/>
        </w:rPr>
        <w:t xml:space="preserve"> (the Minister)</w:t>
      </w:r>
      <w:r w:rsidR="00E5707E" w:rsidRPr="00D87640">
        <w:rPr>
          <w:rFonts w:ascii="Arial" w:eastAsia="Times New Roman" w:hAnsi="Arial" w:cs="Arial"/>
          <w:sz w:val="24"/>
          <w:szCs w:val="24"/>
          <w:lang w:val="en-US" w:eastAsia="en-ZA"/>
        </w:rPr>
        <w:t xml:space="preserve">, </w:t>
      </w:r>
      <w:r w:rsidR="00D00510" w:rsidRPr="00D87640">
        <w:rPr>
          <w:rFonts w:ascii="Arial" w:eastAsia="Times New Roman" w:hAnsi="Arial" w:cs="Arial"/>
          <w:sz w:val="24"/>
          <w:szCs w:val="24"/>
          <w:lang w:val="en-US" w:eastAsia="en-ZA"/>
        </w:rPr>
        <w:t>on the State Attorney,</w:t>
      </w:r>
      <w:r w:rsidR="005F2EEF" w:rsidRPr="00D87640">
        <w:rPr>
          <w:rFonts w:ascii="Arial" w:eastAsia="Times New Roman" w:hAnsi="Arial" w:cs="Arial"/>
          <w:sz w:val="24"/>
          <w:szCs w:val="24"/>
          <w:lang w:val="en-US" w:eastAsia="en-ZA"/>
        </w:rPr>
        <w:t xml:space="preserve"> </w:t>
      </w:r>
      <w:r w:rsidR="00513263" w:rsidRPr="00D87640">
        <w:rPr>
          <w:rFonts w:ascii="Arial" w:eastAsia="Times New Roman" w:hAnsi="Arial" w:cs="Arial"/>
          <w:sz w:val="24"/>
          <w:szCs w:val="24"/>
          <w:lang w:val="en-US" w:eastAsia="en-ZA"/>
        </w:rPr>
        <w:t>rendered the</w:t>
      </w:r>
      <w:r w:rsidR="002A712E" w:rsidRPr="00D87640">
        <w:rPr>
          <w:rFonts w:ascii="Arial" w:hAnsi="Arial" w:cs="Arial"/>
          <w:sz w:val="24"/>
          <w:szCs w:val="24"/>
        </w:rPr>
        <w:t xml:space="preserve"> summons</w:t>
      </w:r>
      <w:r w:rsidR="00513263" w:rsidRPr="00D87640">
        <w:rPr>
          <w:rFonts w:ascii="Arial" w:hAnsi="Arial" w:cs="Arial"/>
          <w:sz w:val="24"/>
          <w:szCs w:val="24"/>
        </w:rPr>
        <w:t xml:space="preserve"> a nullity</w:t>
      </w:r>
      <w:r w:rsidR="00EC12C4" w:rsidRPr="00D87640">
        <w:rPr>
          <w:rFonts w:ascii="Arial" w:hAnsi="Arial" w:cs="Arial"/>
          <w:sz w:val="24"/>
          <w:szCs w:val="24"/>
        </w:rPr>
        <w:t xml:space="preserve">, despite a copy having been served on the Minister. </w:t>
      </w:r>
      <w:r w:rsidR="00F45568" w:rsidRPr="00D87640">
        <w:rPr>
          <w:rFonts w:ascii="Arial" w:hAnsi="Arial" w:cs="Arial"/>
          <w:sz w:val="24"/>
          <w:szCs w:val="24"/>
        </w:rPr>
        <w:t xml:space="preserve">The Gauteng Division of the High Court, Pretoria (the high court) </w:t>
      </w:r>
      <w:r w:rsidR="00513263" w:rsidRPr="00D87640">
        <w:rPr>
          <w:rFonts w:ascii="Arial" w:hAnsi="Arial" w:cs="Arial"/>
          <w:sz w:val="24"/>
          <w:szCs w:val="24"/>
        </w:rPr>
        <w:t xml:space="preserve">concluded that it did not, </w:t>
      </w:r>
      <w:r w:rsidR="00F45568" w:rsidRPr="00D87640">
        <w:rPr>
          <w:rFonts w:ascii="Arial" w:hAnsi="Arial" w:cs="Arial"/>
          <w:sz w:val="24"/>
          <w:szCs w:val="24"/>
        </w:rPr>
        <w:t xml:space="preserve">and dismissed two special pleas </w:t>
      </w:r>
      <w:r w:rsidR="00E5707E" w:rsidRPr="00D87640">
        <w:rPr>
          <w:rFonts w:ascii="Arial" w:hAnsi="Arial" w:cs="Arial"/>
          <w:sz w:val="24"/>
          <w:szCs w:val="24"/>
        </w:rPr>
        <w:t xml:space="preserve">raised by the appellants </w:t>
      </w:r>
      <w:r w:rsidR="00F45568" w:rsidRPr="00D87640">
        <w:rPr>
          <w:rFonts w:ascii="Arial" w:hAnsi="Arial" w:cs="Arial"/>
          <w:sz w:val="24"/>
          <w:szCs w:val="24"/>
        </w:rPr>
        <w:t xml:space="preserve">based on </w:t>
      </w:r>
      <w:r w:rsidR="00513263" w:rsidRPr="00D87640">
        <w:rPr>
          <w:rFonts w:ascii="Arial" w:hAnsi="Arial" w:cs="Arial"/>
          <w:sz w:val="24"/>
          <w:szCs w:val="24"/>
        </w:rPr>
        <w:t xml:space="preserve">such </w:t>
      </w:r>
      <w:r w:rsidR="00F45568" w:rsidRPr="00D87640">
        <w:rPr>
          <w:rFonts w:ascii="Arial" w:hAnsi="Arial" w:cs="Arial"/>
          <w:sz w:val="24"/>
          <w:szCs w:val="24"/>
        </w:rPr>
        <w:t>non-service</w:t>
      </w:r>
      <w:r w:rsidR="00513263" w:rsidRPr="00D87640">
        <w:rPr>
          <w:rFonts w:ascii="Arial" w:hAnsi="Arial" w:cs="Arial"/>
          <w:sz w:val="24"/>
          <w:szCs w:val="24"/>
        </w:rPr>
        <w:t>.</w:t>
      </w:r>
      <w:r w:rsidR="00F45568" w:rsidRPr="00D87640">
        <w:rPr>
          <w:rFonts w:ascii="Arial" w:hAnsi="Arial" w:cs="Arial"/>
          <w:sz w:val="24"/>
          <w:szCs w:val="24"/>
        </w:rPr>
        <w:t xml:space="preserve"> The high court subsequently granted the appellants leave to appeal to this Court.</w:t>
      </w:r>
    </w:p>
    <w:p w14:paraId="74E685D0" w14:textId="77777777" w:rsidR="00A92277" w:rsidRPr="00D87640" w:rsidRDefault="00A92277" w:rsidP="004923F9">
      <w:pPr>
        <w:shd w:val="clear" w:color="auto" w:fill="FFFFFF"/>
        <w:spacing w:before="120" w:after="720" w:line="360" w:lineRule="auto"/>
        <w:contextualSpacing/>
        <w:jc w:val="both"/>
        <w:rPr>
          <w:rFonts w:ascii="Arial" w:hAnsi="Arial" w:cs="Arial"/>
          <w:sz w:val="24"/>
          <w:szCs w:val="24"/>
        </w:rPr>
      </w:pPr>
    </w:p>
    <w:p w14:paraId="23E57785" w14:textId="5AAAD393" w:rsidR="00ED6F53" w:rsidRPr="00D87640" w:rsidRDefault="00F931B5" w:rsidP="005223A1">
      <w:pPr>
        <w:numPr>
          <w:ilvl w:val="0"/>
          <w:numId w:val="1"/>
        </w:numPr>
        <w:shd w:val="clear" w:color="auto" w:fill="FFFFFF"/>
        <w:spacing w:before="120" w:after="720" w:line="360" w:lineRule="auto"/>
        <w:ind w:left="0" w:firstLine="0"/>
        <w:contextualSpacing/>
        <w:jc w:val="both"/>
        <w:rPr>
          <w:rFonts w:ascii="Arial" w:hAnsi="Arial" w:cs="Arial"/>
          <w:sz w:val="24"/>
          <w:szCs w:val="24"/>
        </w:rPr>
      </w:pPr>
      <w:r w:rsidRPr="00D87640">
        <w:rPr>
          <w:rFonts w:ascii="Arial" w:hAnsi="Arial" w:cs="Arial"/>
          <w:sz w:val="24"/>
          <w:szCs w:val="24"/>
        </w:rPr>
        <w:t>T</w:t>
      </w:r>
      <w:r w:rsidR="00B01F7F" w:rsidRPr="00D87640">
        <w:rPr>
          <w:rFonts w:ascii="Arial" w:hAnsi="Arial" w:cs="Arial"/>
          <w:sz w:val="24"/>
          <w:szCs w:val="24"/>
        </w:rPr>
        <w:t>he factual background</w:t>
      </w:r>
      <w:r w:rsidRPr="00D87640">
        <w:rPr>
          <w:rFonts w:ascii="Arial" w:hAnsi="Arial" w:cs="Arial"/>
          <w:sz w:val="24"/>
          <w:szCs w:val="24"/>
        </w:rPr>
        <w:t xml:space="preserve"> is briefly this. </w:t>
      </w:r>
      <w:r w:rsidR="00A86AC8" w:rsidRPr="00D87640">
        <w:rPr>
          <w:rFonts w:ascii="Arial" w:hAnsi="Arial" w:cs="Arial"/>
          <w:sz w:val="24"/>
          <w:szCs w:val="24"/>
        </w:rPr>
        <w:t>On 2 December 2015</w:t>
      </w:r>
      <w:r w:rsidR="007575B0" w:rsidRPr="00D87640">
        <w:rPr>
          <w:rFonts w:ascii="Arial" w:hAnsi="Arial" w:cs="Arial"/>
          <w:sz w:val="24"/>
          <w:szCs w:val="24"/>
        </w:rPr>
        <w:t>, Mr Molokwane</w:t>
      </w:r>
      <w:r w:rsidR="00A86AC8" w:rsidRPr="00D87640">
        <w:rPr>
          <w:rFonts w:ascii="Arial" w:hAnsi="Arial" w:cs="Arial"/>
          <w:sz w:val="24"/>
          <w:szCs w:val="24"/>
        </w:rPr>
        <w:t xml:space="preserve"> </w:t>
      </w:r>
      <w:r w:rsidR="007575B0" w:rsidRPr="00D87640">
        <w:rPr>
          <w:rFonts w:ascii="Arial" w:hAnsi="Arial" w:cs="Arial"/>
          <w:sz w:val="24"/>
          <w:szCs w:val="24"/>
        </w:rPr>
        <w:t>(</w:t>
      </w:r>
      <w:r w:rsidR="00A86AC8" w:rsidRPr="00D87640">
        <w:rPr>
          <w:rFonts w:ascii="Arial" w:hAnsi="Arial" w:cs="Arial"/>
          <w:sz w:val="24"/>
          <w:szCs w:val="24"/>
        </w:rPr>
        <w:t>t</w:t>
      </w:r>
      <w:r w:rsidR="00A86AC8" w:rsidRPr="00D87640">
        <w:rPr>
          <w:rFonts w:ascii="Arial" w:eastAsia="Times New Roman" w:hAnsi="Arial" w:cs="Arial"/>
          <w:sz w:val="24"/>
          <w:szCs w:val="24"/>
          <w:lang w:val="en-US" w:eastAsia="en-ZA"/>
        </w:rPr>
        <w:t>he respondent</w:t>
      </w:r>
      <w:r w:rsidR="007575B0" w:rsidRPr="00D87640">
        <w:rPr>
          <w:rFonts w:ascii="Arial" w:eastAsia="Times New Roman" w:hAnsi="Arial" w:cs="Arial"/>
          <w:sz w:val="24"/>
          <w:szCs w:val="24"/>
          <w:lang w:val="en-US" w:eastAsia="en-ZA"/>
        </w:rPr>
        <w:t>)</w:t>
      </w:r>
      <w:r w:rsidR="00A86AC8" w:rsidRPr="00D87640">
        <w:rPr>
          <w:rFonts w:ascii="Arial" w:eastAsia="Times New Roman" w:hAnsi="Arial" w:cs="Arial"/>
          <w:sz w:val="24"/>
          <w:szCs w:val="24"/>
          <w:lang w:val="en-US" w:eastAsia="en-ZA"/>
        </w:rPr>
        <w:t xml:space="preserve"> </w:t>
      </w:r>
      <w:r w:rsidR="001C58E1" w:rsidRPr="00D87640">
        <w:rPr>
          <w:rFonts w:ascii="Arial" w:eastAsia="Times New Roman" w:hAnsi="Arial" w:cs="Arial"/>
          <w:sz w:val="24"/>
          <w:szCs w:val="24"/>
          <w:lang w:val="en-US" w:eastAsia="en-ZA"/>
        </w:rPr>
        <w:t>instituted action</w:t>
      </w:r>
      <w:r w:rsidR="009F537C" w:rsidRPr="00D87640">
        <w:rPr>
          <w:rFonts w:ascii="Arial" w:eastAsia="Times New Roman" w:hAnsi="Arial" w:cs="Arial"/>
          <w:sz w:val="24"/>
          <w:szCs w:val="24"/>
          <w:lang w:val="en-US" w:eastAsia="en-ZA"/>
        </w:rPr>
        <w:t xml:space="preserve"> in the high court</w:t>
      </w:r>
      <w:r w:rsidR="00A86AC8" w:rsidRPr="00D87640">
        <w:rPr>
          <w:rFonts w:ascii="Arial" w:eastAsia="Times New Roman" w:hAnsi="Arial" w:cs="Arial"/>
          <w:sz w:val="24"/>
          <w:szCs w:val="24"/>
          <w:lang w:val="en-US" w:eastAsia="en-ZA"/>
        </w:rPr>
        <w:t xml:space="preserve"> against the</w:t>
      </w:r>
      <w:r w:rsidR="00E5707E" w:rsidRPr="00D87640">
        <w:rPr>
          <w:rFonts w:ascii="Arial" w:eastAsia="Times New Roman" w:hAnsi="Arial" w:cs="Arial"/>
          <w:sz w:val="24"/>
          <w:szCs w:val="24"/>
          <w:lang w:val="en-US" w:eastAsia="en-ZA"/>
        </w:rPr>
        <w:t xml:space="preserve"> first </w:t>
      </w:r>
      <w:r w:rsidR="00424268" w:rsidRPr="00D87640">
        <w:rPr>
          <w:rFonts w:ascii="Arial" w:eastAsia="Times New Roman" w:hAnsi="Arial" w:cs="Arial"/>
          <w:sz w:val="24"/>
          <w:szCs w:val="24"/>
          <w:lang w:val="en-US" w:eastAsia="en-ZA"/>
        </w:rPr>
        <w:t>appellant, the</w:t>
      </w:r>
      <w:r w:rsidR="00E5707E" w:rsidRPr="00D87640">
        <w:rPr>
          <w:rFonts w:ascii="Arial" w:eastAsia="Times New Roman" w:hAnsi="Arial" w:cs="Arial"/>
          <w:sz w:val="24"/>
          <w:szCs w:val="24"/>
          <w:lang w:val="en-US" w:eastAsia="en-ZA"/>
        </w:rPr>
        <w:t xml:space="preserve"> Minister</w:t>
      </w:r>
      <w:r w:rsidR="00A86AC8" w:rsidRPr="00D87640">
        <w:rPr>
          <w:rFonts w:ascii="Arial" w:eastAsia="Times New Roman" w:hAnsi="Arial" w:cs="Arial"/>
          <w:sz w:val="24"/>
          <w:szCs w:val="24"/>
          <w:lang w:val="en-US" w:eastAsia="en-ZA"/>
        </w:rPr>
        <w:t>, the second, third and fourth appellants</w:t>
      </w:r>
      <w:r w:rsidR="001C58E1" w:rsidRPr="00D87640">
        <w:rPr>
          <w:rFonts w:ascii="Arial" w:eastAsia="Times New Roman" w:hAnsi="Arial" w:cs="Arial"/>
          <w:sz w:val="24"/>
          <w:szCs w:val="24"/>
          <w:lang w:val="en-US" w:eastAsia="en-ZA"/>
        </w:rPr>
        <w:t>, in which the</w:t>
      </w:r>
      <w:r w:rsidR="009F537C" w:rsidRPr="00D87640">
        <w:rPr>
          <w:rFonts w:ascii="Arial" w:eastAsia="Times New Roman" w:hAnsi="Arial" w:cs="Arial"/>
          <w:sz w:val="24"/>
          <w:szCs w:val="24"/>
          <w:lang w:val="en-US" w:eastAsia="en-ZA"/>
        </w:rPr>
        <w:t xml:space="preserve"> respondent claimed </w:t>
      </w:r>
      <w:r w:rsidR="00A86AC8" w:rsidRPr="00D87640">
        <w:rPr>
          <w:rFonts w:ascii="Arial" w:eastAsia="Times New Roman" w:hAnsi="Arial" w:cs="Arial"/>
          <w:sz w:val="24"/>
          <w:szCs w:val="24"/>
          <w:lang w:val="en-US" w:eastAsia="en-ZA"/>
        </w:rPr>
        <w:t>damages arising from alleged</w:t>
      </w:r>
      <w:r w:rsidR="00D76F29" w:rsidRPr="00D87640">
        <w:rPr>
          <w:rFonts w:ascii="Arial" w:hAnsi="Arial" w:cs="Arial"/>
          <w:sz w:val="24"/>
          <w:szCs w:val="24"/>
        </w:rPr>
        <w:t xml:space="preserve"> wrongful arrest</w:t>
      </w:r>
      <w:r w:rsidR="00A86AC8" w:rsidRPr="00D87640">
        <w:rPr>
          <w:rFonts w:ascii="Arial" w:eastAsia="Times New Roman" w:hAnsi="Arial" w:cs="Arial"/>
          <w:sz w:val="24"/>
          <w:szCs w:val="24"/>
          <w:lang w:val="en-US" w:eastAsia="en-ZA"/>
        </w:rPr>
        <w:t xml:space="preserve"> </w:t>
      </w:r>
      <w:r w:rsidR="00D76F29" w:rsidRPr="00D87640">
        <w:rPr>
          <w:rFonts w:ascii="Arial" w:eastAsia="Times New Roman" w:hAnsi="Arial" w:cs="Arial"/>
          <w:sz w:val="24"/>
          <w:szCs w:val="24"/>
          <w:lang w:val="en-US" w:eastAsia="en-ZA"/>
        </w:rPr>
        <w:t xml:space="preserve">and </w:t>
      </w:r>
      <w:r w:rsidR="00A86AC8" w:rsidRPr="00D87640">
        <w:rPr>
          <w:rFonts w:ascii="Arial" w:eastAsia="Times New Roman" w:hAnsi="Arial" w:cs="Arial"/>
          <w:sz w:val="24"/>
          <w:szCs w:val="24"/>
          <w:lang w:val="en-US" w:eastAsia="en-ZA"/>
        </w:rPr>
        <w:t>assault</w:t>
      </w:r>
      <w:r w:rsidR="00301498" w:rsidRPr="00D87640">
        <w:rPr>
          <w:rFonts w:ascii="Arial" w:eastAsia="Times New Roman" w:hAnsi="Arial" w:cs="Arial"/>
          <w:sz w:val="24"/>
          <w:szCs w:val="24"/>
          <w:lang w:val="en-US" w:eastAsia="en-ZA"/>
        </w:rPr>
        <w:t xml:space="preserve"> </w:t>
      </w:r>
      <w:r w:rsidR="009F537C" w:rsidRPr="00D87640">
        <w:rPr>
          <w:rFonts w:ascii="Arial" w:hAnsi="Arial" w:cs="Arial"/>
          <w:sz w:val="24"/>
          <w:szCs w:val="24"/>
        </w:rPr>
        <w:t xml:space="preserve">by the second to fourth appellants </w:t>
      </w:r>
      <w:r w:rsidR="00503AC4" w:rsidRPr="00D87640">
        <w:rPr>
          <w:rFonts w:ascii="Arial" w:hAnsi="Arial" w:cs="Arial"/>
          <w:sz w:val="24"/>
          <w:szCs w:val="24"/>
        </w:rPr>
        <w:t>on 8 February 2014</w:t>
      </w:r>
      <w:r w:rsidR="007575B0" w:rsidRPr="00D87640">
        <w:rPr>
          <w:rFonts w:ascii="Arial" w:hAnsi="Arial" w:cs="Arial"/>
          <w:sz w:val="24"/>
          <w:szCs w:val="24"/>
        </w:rPr>
        <w:t>. It is common cause that the second to fourth respondents were acting within</w:t>
      </w:r>
      <w:r w:rsidR="00503AC4" w:rsidRPr="00D87640">
        <w:rPr>
          <w:rFonts w:ascii="Arial" w:hAnsi="Arial" w:cs="Arial"/>
          <w:sz w:val="24"/>
          <w:szCs w:val="24"/>
        </w:rPr>
        <w:t xml:space="preserve"> </w:t>
      </w:r>
      <w:r w:rsidR="009F537C" w:rsidRPr="00D87640">
        <w:rPr>
          <w:rFonts w:ascii="Arial" w:hAnsi="Arial" w:cs="Arial"/>
          <w:sz w:val="24"/>
          <w:szCs w:val="24"/>
        </w:rPr>
        <w:t>the course and scope of their</w:t>
      </w:r>
      <w:r w:rsidR="00503AC4" w:rsidRPr="00D87640">
        <w:rPr>
          <w:rFonts w:ascii="Arial" w:hAnsi="Arial" w:cs="Arial"/>
          <w:sz w:val="24"/>
          <w:szCs w:val="24"/>
        </w:rPr>
        <w:t xml:space="preserve"> employment with</w:t>
      </w:r>
      <w:r w:rsidR="009F537C" w:rsidRPr="00D87640">
        <w:rPr>
          <w:rFonts w:ascii="Arial" w:hAnsi="Arial" w:cs="Arial"/>
          <w:sz w:val="24"/>
          <w:szCs w:val="24"/>
        </w:rPr>
        <w:t xml:space="preserve"> the Minister</w:t>
      </w:r>
      <w:r w:rsidR="00ED6F53" w:rsidRPr="00D87640">
        <w:rPr>
          <w:rFonts w:ascii="Arial" w:hAnsi="Arial" w:cs="Arial"/>
          <w:sz w:val="24"/>
          <w:szCs w:val="24"/>
        </w:rPr>
        <w:t xml:space="preserve">, and they were, respectively, served </w:t>
      </w:r>
      <w:r w:rsidR="000A0821">
        <w:rPr>
          <w:rFonts w:ascii="Arial" w:hAnsi="Arial" w:cs="Arial"/>
          <w:sz w:val="24"/>
          <w:szCs w:val="24"/>
        </w:rPr>
        <w:t>with copies of the summons on 8 </w:t>
      </w:r>
      <w:r w:rsidR="00ED6F53" w:rsidRPr="00D87640">
        <w:rPr>
          <w:rFonts w:ascii="Arial" w:hAnsi="Arial" w:cs="Arial"/>
          <w:sz w:val="24"/>
          <w:szCs w:val="24"/>
        </w:rPr>
        <w:t>December 2015.</w:t>
      </w:r>
      <w:r w:rsidR="00ED6F53" w:rsidRPr="00D87640">
        <w:rPr>
          <w:rFonts w:ascii="Arial" w:eastAsia="Times New Roman" w:hAnsi="Arial" w:cs="Arial"/>
          <w:sz w:val="24"/>
          <w:szCs w:val="24"/>
          <w:lang w:val="en-US" w:eastAsia="en-ZA"/>
        </w:rPr>
        <w:t xml:space="preserve"> </w:t>
      </w:r>
      <w:r w:rsidR="009E68D1" w:rsidRPr="00D87640">
        <w:rPr>
          <w:rFonts w:ascii="Arial" w:eastAsia="Times New Roman" w:hAnsi="Arial" w:cs="Arial"/>
          <w:sz w:val="24"/>
          <w:szCs w:val="24"/>
          <w:lang w:val="en-US" w:eastAsia="en-ZA"/>
        </w:rPr>
        <w:t>There is no controversy about service</w:t>
      </w:r>
      <w:r w:rsidR="00CE1A80" w:rsidRPr="00D87640">
        <w:rPr>
          <w:rFonts w:ascii="Arial" w:eastAsia="Times New Roman" w:hAnsi="Arial" w:cs="Arial"/>
          <w:sz w:val="24"/>
          <w:szCs w:val="24"/>
          <w:lang w:val="en-US" w:eastAsia="en-ZA"/>
        </w:rPr>
        <w:t xml:space="preserve"> on these appellants</w:t>
      </w:r>
      <w:r w:rsidR="009E68D1" w:rsidRPr="00D87640">
        <w:rPr>
          <w:rFonts w:ascii="Arial" w:eastAsia="Times New Roman" w:hAnsi="Arial" w:cs="Arial"/>
          <w:sz w:val="24"/>
          <w:szCs w:val="24"/>
          <w:lang w:val="en-US" w:eastAsia="en-ZA"/>
        </w:rPr>
        <w:t>. It is the service on the Minister which is at the heart of the appeal.</w:t>
      </w:r>
      <w:r w:rsidR="00D76F29" w:rsidRPr="00D87640">
        <w:rPr>
          <w:rFonts w:ascii="Arial" w:eastAsia="Times New Roman" w:hAnsi="Arial" w:cs="Arial"/>
          <w:sz w:val="24"/>
          <w:szCs w:val="24"/>
          <w:lang w:val="en-US" w:eastAsia="en-ZA"/>
        </w:rPr>
        <w:t xml:space="preserve"> </w:t>
      </w:r>
    </w:p>
    <w:p w14:paraId="5587011B" w14:textId="77777777" w:rsidR="00ED6F53" w:rsidRPr="00D87640" w:rsidRDefault="00ED6F53" w:rsidP="005223A1">
      <w:pPr>
        <w:rPr>
          <w:rFonts w:ascii="Arial" w:hAnsi="Arial" w:cs="Arial"/>
          <w:sz w:val="24"/>
          <w:szCs w:val="24"/>
        </w:rPr>
      </w:pPr>
    </w:p>
    <w:p w14:paraId="03E49C39" w14:textId="0FF1F8C4" w:rsidR="00ED6F53" w:rsidRPr="00D87640" w:rsidRDefault="00ED6F53" w:rsidP="00ED6F53">
      <w:pPr>
        <w:numPr>
          <w:ilvl w:val="0"/>
          <w:numId w:val="1"/>
        </w:numPr>
        <w:shd w:val="clear" w:color="auto" w:fill="FFFFFF"/>
        <w:spacing w:before="120" w:after="720" w:line="360" w:lineRule="auto"/>
        <w:ind w:left="0" w:firstLine="0"/>
        <w:contextualSpacing/>
        <w:jc w:val="both"/>
        <w:rPr>
          <w:rFonts w:ascii="Arial" w:hAnsi="Arial" w:cs="Arial"/>
          <w:sz w:val="24"/>
          <w:szCs w:val="24"/>
        </w:rPr>
      </w:pPr>
      <w:r w:rsidRPr="00D87640">
        <w:rPr>
          <w:rFonts w:ascii="Arial" w:eastAsia="Times New Roman" w:hAnsi="Arial" w:cs="Arial"/>
          <w:sz w:val="24"/>
          <w:szCs w:val="24"/>
          <w:lang w:val="en-US" w:eastAsia="en-ZA"/>
        </w:rPr>
        <w:lastRenderedPageBreak/>
        <w:t>Service of</w:t>
      </w:r>
      <w:r w:rsidR="00FB4860">
        <w:rPr>
          <w:rFonts w:ascii="Arial" w:eastAsia="Times New Roman" w:hAnsi="Arial" w:cs="Arial"/>
          <w:sz w:val="24"/>
          <w:szCs w:val="24"/>
          <w:lang w:val="en-US" w:eastAsia="en-ZA"/>
        </w:rPr>
        <w:t xml:space="preserve"> the</w:t>
      </w:r>
      <w:r w:rsidRPr="00D87640">
        <w:rPr>
          <w:rFonts w:ascii="Arial" w:eastAsia="Times New Roman" w:hAnsi="Arial" w:cs="Arial"/>
          <w:sz w:val="24"/>
          <w:szCs w:val="24"/>
          <w:lang w:val="en-US" w:eastAsia="en-ZA"/>
        </w:rPr>
        <w:t xml:space="preserve"> process commencing litigation against members of the national executive, such as the Minister, is governed mainly by s 2(2) of the </w:t>
      </w:r>
      <w:r w:rsidRPr="00D87640">
        <w:rPr>
          <w:rFonts w:ascii="Arial" w:hAnsi="Arial" w:cs="Arial"/>
          <w:sz w:val="24"/>
          <w:szCs w:val="24"/>
        </w:rPr>
        <w:t>State Liability Act 20 of 1957 (the State Liability Act). Before its amendment, and at the relevant period to this matter, that section read as follows:</w:t>
      </w:r>
    </w:p>
    <w:p w14:paraId="7449E23D" w14:textId="77777777" w:rsidR="00ED6F53" w:rsidRPr="00D87640" w:rsidRDefault="00ED6F53" w:rsidP="00ED6F53">
      <w:pPr>
        <w:shd w:val="clear" w:color="auto" w:fill="FFFFFF"/>
        <w:spacing w:before="120" w:after="720" w:line="360" w:lineRule="auto"/>
        <w:contextualSpacing/>
        <w:jc w:val="both"/>
        <w:rPr>
          <w:rFonts w:ascii="Arial" w:hAnsi="Arial" w:cs="Arial"/>
        </w:rPr>
      </w:pPr>
      <w:r w:rsidRPr="00D87640">
        <w:rPr>
          <w:rFonts w:ascii="Arial" w:hAnsi="Arial" w:cs="Arial"/>
        </w:rPr>
        <w:t>‘(1) In any action or other proceedings instituted by virtue of the provisions of section 1, the executive authority of the department concerned must be cited as nominal defendant or respondent.</w:t>
      </w:r>
    </w:p>
    <w:p w14:paraId="6B02626E" w14:textId="0A93902D" w:rsidR="00ED6F53" w:rsidRPr="00D87640" w:rsidRDefault="00FA51B3" w:rsidP="00D87640">
      <w:pPr>
        <w:shd w:val="clear" w:color="auto" w:fill="FFFFFF"/>
        <w:spacing w:before="120" w:after="720" w:line="360" w:lineRule="auto"/>
        <w:contextualSpacing/>
        <w:jc w:val="both"/>
        <w:rPr>
          <w:rFonts w:ascii="Arial" w:hAnsi="Arial" w:cs="Arial"/>
          <w:sz w:val="24"/>
          <w:szCs w:val="24"/>
        </w:rPr>
      </w:pPr>
      <w:r>
        <w:rPr>
          <w:rFonts w:ascii="Arial" w:hAnsi="Arial" w:cs="Arial"/>
        </w:rPr>
        <w:t xml:space="preserve">(2) </w:t>
      </w:r>
      <w:r w:rsidR="00ED6F53" w:rsidRPr="00D87640">
        <w:rPr>
          <w:rFonts w:ascii="Arial" w:hAnsi="Arial" w:cs="Arial"/>
        </w:rPr>
        <w:t>The plaintiff or applicant, as the case may be, or his or her legal representative must, within seven days after a summons or notice instituting proceedings and in which the executive authority</w:t>
      </w:r>
      <w:r w:rsidR="00837E2F">
        <w:rPr>
          <w:rFonts w:ascii="Arial" w:hAnsi="Arial" w:cs="Arial"/>
        </w:rPr>
        <w:t xml:space="preserve"> </w:t>
      </w:r>
      <w:r w:rsidR="00837E2F" w:rsidRPr="00CE220E">
        <w:rPr>
          <w:rFonts w:ascii="Arial" w:hAnsi="Arial" w:cs="Arial"/>
        </w:rPr>
        <w:t>of a department</w:t>
      </w:r>
      <w:r w:rsidR="00ED6F53" w:rsidRPr="00D87640">
        <w:rPr>
          <w:rFonts w:ascii="Arial" w:hAnsi="Arial" w:cs="Arial"/>
        </w:rPr>
        <w:t xml:space="preserve"> is cited as nominal defendant … has been issued, serve a copy of that summons… on the State Attorney.’</w:t>
      </w:r>
      <w:r w:rsidR="00ED6F53" w:rsidRPr="00D87640">
        <w:rPr>
          <w:rStyle w:val="FootnoteReference"/>
          <w:rFonts w:ascii="Arial" w:hAnsi="Arial" w:cs="Arial"/>
          <w:sz w:val="24"/>
          <w:szCs w:val="24"/>
        </w:rPr>
        <w:t xml:space="preserve"> </w:t>
      </w:r>
    </w:p>
    <w:p w14:paraId="50680566" w14:textId="77777777" w:rsidR="00FD3B15" w:rsidRPr="00D87640" w:rsidRDefault="00FD3B15" w:rsidP="00FD3B15">
      <w:pPr>
        <w:shd w:val="clear" w:color="auto" w:fill="FFFFFF"/>
        <w:spacing w:before="120" w:after="720" w:line="360" w:lineRule="auto"/>
        <w:contextualSpacing/>
        <w:jc w:val="both"/>
        <w:rPr>
          <w:rFonts w:ascii="Arial" w:eastAsia="Times New Roman" w:hAnsi="Arial" w:cs="Arial"/>
          <w:sz w:val="24"/>
          <w:szCs w:val="24"/>
          <w:lang w:val="en-US" w:eastAsia="en-ZA"/>
        </w:rPr>
      </w:pPr>
    </w:p>
    <w:p w14:paraId="4D2E12C2" w14:textId="7C19D0D6" w:rsidR="00BA3A04" w:rsidRPr="00B801B9" w:rsidRDefault="009E68D1" w:rsidP="003003DA">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eastAsia="Times New Roman" w:hAnsi="Arial" w:cs="Arial"/>
          <w:sz w:val="24"/>
          <w:szCs w:val="24"/>
          <w:lang w:val="en-US" w:eastAsia="en-ZA"/>
        </w:rPr>
        <w:t>The above provisions were not complied with, as the respondent caused a copy of the summons to be served on the Minister at his official place of business, Wachthuis,</w:t>
      </w:r>
      <w:r w:rsidR="006B687F" w:rsidRPr="00B801B9">
        <w:rPr>
          <w:rFonts w:ascii="Arial" w:eastAsia="Times New Roman" w:hAnsi="Arial" w:cs="Arial"/>
          <w:sz w:val="24"/>
          <w:szCs w:val="24"/>
          <w:lang w:val="en-US" w:eastAsia="en-ZA"/>
        </w:rPr>
        <w:t xml:space="preserve"> 231 Pretorius Street,</w:t>
      </w:r>
      <w:r w:rsidRPr="00B801B9">
        <w:rPr>
          <w:rFonts w:ascii="Arial" w:eastAsia="Times New Roman" w:hAnsi="Arial" w:cs="Arial"/>
          <w:sz w:val="24"/>
          <w:szCs w:val="24"/>
          <w:lang w:val="en-US" w:eastAsia="en-ZA"/>
        </w:rPr>
        <w:t xml:space="preserve"> Pretoria, on </w:t>
      </w:r>
      <w:r w:rsidRPr="00B801B9">
        <w:rPr>
          <w:rFonts w:ascii="Arial" w:hAnsi="Arial" w:cs="Arial"/>
          <w:sz w:val="24"/>
          <w:szCs w:val="24"/>
        </w:rPr>
        <w:t xml:space="preserve">4 December 2015. </w:t>
      </w:r>
      <w:r w:rsidR="00FE3BCB" w:rsidRPr="00B801B9">
        <w:rPr>
          <w:rFonts w:ascii="Arial" w:hAnsi="Arial" w:cs="Arial"/>
          <w:sz w:val="24"/>
          <w:szCs w:val="24"/>
        </w:rPr>
        <w:t xml:space="preserve">It was never served on the State Attorney as prescribed in s 2(2) of the State Liability Act. </w:t>
      </w:r>
      <w:r w:rsidR="00FE3BCB" w:rsidRPr="00B801B9">
        <w:rPr>
          <w:rFonts w:ascii="Arial" w:eastAsia="Times New Roman" w:hAnsi="Arial" w:cs="Arial"/>
          <w:sz w:val="24"/>
          <w:szCs w:val="24"/>
          <w:lang w:val="en-US" w:eastAsia="en-ZA"/>
        </w:rPr>
        <w:t>T</w:t>
      </w:r>
      <w:r w:rsidR="003003DA" w:rsidRPr="00B801B9">
        <w:rPr>
          <w:rFonts w:ascii="Arial" w:eastAsia="Times New Roman" w:hAnsi="Arial" w:cs="Arial"/>
          <w:sz w:val="24"/>
          <w:szCs w:val="24"/>
          <w:lang w:val="en-US" w:eastAsia="en-ZA"/>
        </w:rPr>
        <w:t>here was no appearance to defend by any of the appellants.</w:t>
      </w:r>
      <w:r w:rsidR="005223A1" w:rsidRPr="00B801B9">
        <w:rPr>
          <w:rFonts w:ascii="Arial" w:eastAsia="Times New Roman" w:hAnsi="Arial" w:cs="Arial"/>
          <w:sz w:val="24"/>
          <w:szCs w:val="24"/>
          <w:lang w:val="en-US" w:eastAsia="en-ZA"/>
        </w:rPr>
        <w:t xml:space="preserve"> </w:t>
      </w:r>
      <w:r w:rsidR="00FE3BCB" w:rsidRPr="00B801B9">
        <w:rPr>
          <w:rFonts w:ascii="Arial" w:hAnsi="Arial" w:cs="Arial"/>
          <w:sz w:val="24"/>
          <w:szCs w:val="24"/>
        </w:rPr>
        <w:t>Consequently</w:t>
      </w:r>
      <w:r w:rsidR="003003DA" w:rsidRPr="00B801B9">
        <w:rPr>
          <w:rFonts w:ascii="Arial" w:hAnsi="Arial" w:cs="Arial"/>
          <w:sz w:val="24"/>
          <w:szCs w:val="24"/>
        </w:rPr>
        <w:t>,</w:t>
      </w:r>
      <w:r w:rsidR="00E14CCB" w:rsidRPr="00B801B9">
        <w:rPr>
          <w:rFonts w:ascii="Arial" w:hAnsi="Arial" w:cs="Arial"/>
          <w:sz w:val="24"/>
          <w:szCs w:val="24"/>
        </w:rPr>
        <w:t xml:space="preserve"> </w:t>
      </w:r>
      <w:r w:rsidR="00365382" w:rsidRPr="00B801B9">
        <w:rPr>
          <w:rFonts w:ascii="Arial" w:hAnsi="Arial" w:cs="Arial"/>
          <w:sz w:val="24"/>
          <w:szCs w:val="24"/>
        </w:rPr>
        <w:t xml:space="preserve">the </w:t>
      </w:r>
      <w:r w:rsidR="003003DA" w:rsidRPr="00B801B9">
        <w:rPr>
          <w:rFonts w:ascii="Arial" w:hAnsi="Arial" w:cs="Arial"/>
          <w:sz w:val="24"/>
          <w:szCs w:val="24"/>
        </w:rPr>
        <w:t xml:space="preserve">respondent </w:t>
      </w:r>
      <w:r w:rsidR="00365382" w:rsidRPr="00B801B9">
        <w:rPr>
          <w:rFonts w:ascii="Arial" w:hAnsi="Arial" w:cs="Arial"/>
          <w:sz w:val="24"/>
          <w:szCs w:val="24"/>
        </w:rPr>
        <w:t xml:space="preserve">obtained </w:t>
      </w:r>
      <w:r w:rsidR="001A067B" w:rsidRPr="00B801B9">
        <w:rPr>
          <w:rFonts w:ascii="Arial" w:hAnsi="Arial" w:cs="Arial"/>
          <w:sz w:val="24"/>
          <w:szCs w:val="24"/>
        </w:rPr>
        <w:t>default judgment on 4 March 2016</w:t>
      </w:r>
      <w:r w:rsidR="003003DA" w:rsidRPr="00B801B9">
        <w:rPr>
          <w:rFonts w:ascii="Arial" w:hAnsi="Arial" w:cs="Arial"/>
          <w:sz w:val="24"/>
          <w:szCs w:val="24"/>
        </w:rPr>
        <w:t xml:space="preserve"> against the appellants</w:t>
      </w:r>
      <w:r w:rsidR="00365382" w:rsidRPr="00B801B9">
        <w:rPr>
          <w:rFonts w:ascii="Arial" w:hAnsi="Arial" w:cs="Arial"/>
          <w:sz w:val="24"/>
          <w:szCs w:val="24"/>
        </w:rPr>
        <w:t xml:space="preserve">, in terms of which </w:t>
      </w:r>
      <w:r w:rsidR="00A95447" w:rsidRPr="00B801B9">
        <w:rPr>
          <w:rFonts w:ascii="Arial" w:hAnsi="Arial" w:cs="Arial"/>
          <w:sz w:val="24"/>
          <w:szCs w:val="24"/>
        </w:rPr>
        <w:t xml:space="preserve">liability </w:t>
      </w:r>
      <w:r w:rsidR="001A067B" w:rsidRPr="00B801B9">
        <w:rPr>
          <w:rFonts w:ascii="Arial" w:hAnsi="Arial" w:cs="Arial"/>
          <w:sz w:val="24"/>
          <w:szCs w:val="24"/>
        </w:rPr>
        <w:t xml:space="preserve">and quantum of </w:t>
      </w:r>
      <w:r w:rsidR="00EC2657" w:rsidRPr="00B801B9">
        <w:rPr>
          <w:rFonts w:ascii="Arial" w:hAnsi="Arial" w:cs="Arial"/>
          <w:sz w:val="24"/>
          <w:szCs w:val="24"/>
        </w:rPr>
        <w:t xml:space="preserve">the </w:t>
      </w:r>
      <w:r w:rsidR="00365382" w:rsidRPr="00B801B9">
        <w:rPr>
          <w:rFonts w:ascii="Arial" w:hAnsi="Arial" w:cs="Arial"/>
          <w:sz w:val="24"/>
          <w:szCs w:val="24"/>
        </w:rPr>
        <w:t xml:space="preserve">claim were </w:t>
      </w:r>
      <w:r w:rsidR="001A067B" w:rsidRPr="00B801B9">
        <w:rPr>
          <w:rFonts w:ascii="Arial" w:hAnsi="Arial" w:cs="Arial"/>
          <w:sz w:val="24"/>
          <w:szCs w:val="24"/>
        </w:rPr>
        <w:t xml:space="preserve">separated in terms of </w:t>
      </w:r>
      <w:r w:rsidR="007575B0" w:rsidRPr="00B801B9">
        <w:rPr>
          <w:rFonts w:ascii="Arial" w:hAnsi="Arial" w:cs="Arial"/>
          <w:sz w:val="24"/>
          <w:szCs w:val="24"/>
        </w:rPr>
        <w:t>r</w:t>
      </w:r>
      <w:r w:rsidR="001A067B" w:rsidRPr="00B801B9">
        <w:rPr>
          <w:rFonts w:ascii="Arial" w:hAnsi="Arial" w:cs="Arial"/>
          <w:sz w:val="24"/>
          <w:szCs w:val="24"/>
        </w:rPr>
        <w:t>ule 33(4)</w:t>
      </w:r>
      <w:r w:rsidR="00EC2657" w:rsidRPr="00B801B9">
        <w:rPr>
          <w:rFonts w:ascii="Arial" w:hAnsi="Arial" w:cs="Arial"/>
          <w:sz w:val="24"/>
          <w:szCs w:val="24"/>
        </w:rPr>
        <w:t xml:space="preserve"> of the Uniform Rules of Court</w:t>
      </w:r>
      <w:r w:rsidR="007F1691" w:rsidRPr="00B801B9">
        <w:rPr>
          <w:rFonts w:ascii="Arial" w:hAnsi="Arial" w:cs="Arial"/>
          <w:sz w:val="24"/>
          <w:szCs w:val="24"/>
        </w:rPr>
        <w:t xml:space="preserve"> (the Uniform Rules)</w:t>
      </w:r>
      <w:r w:rsidR="00F8076E" w:rsidRPr="00B801B9">
        <w:rPr>
          <w:rFonts w:ascii="Arial" w:hAnsi="Arial" w:cs="Arial"/>
          <w:sz w:val="24"/>
          <w:szCs w:val="24"/>
        </w:rPr>
        <w:t xml:space="preserve"> and</w:t>
      </w:r>
      <w:r w:rsidR="00365382" w:rsidRPr="00B801B9">
        <w:rPr>
          <w:rFonts w:ascii="Arial" w:hAnsi="Arial" w:cs="Arial"/>
          <w:sz w:val="24"/>
          <w:szCs w:val="24"/>
        </w:rPr>
        <w:t xml:space="preserve"> </w:t>
      </w:r>
      <w:r w:rsidR="00A95447" w:rsidRPr="00B801B9">
        <w:rPr>
          <w:rFonts w:ascii="Arial" w:hAnsi="Arial" w:cs="Arial"/>
          <w:sz w:val="24"/>
          <w:szCs w:val="24"/>
        </w:rPr>
        <w:t xml:space="preserve">liability was determined in favour of the respondent </w:t>
      </w:r>
      <w:r w:rsidR="001A067B" w:rsidRPr="00B801B9">
        <w:rPr>
          <w:rFonts w:ascii="Arial" w:hAnsi="Arial" w:cs="Arial"/>
          <w:sz w:val="24"/>
          <w:szCs w:val="24"/>
        </w:rPr>
        <w:t xml:space="preserve">against the first, third and fourth </w:t>
      </w:r>
      <w:r w:rsidR="00365382" w:rsidRPr="00B801B9">
        <w:rPr>
          <w:rFonts w:ascii="Arial" w:hAnsi="Arial" w:cs="Arial"/>
          <w:sz w:val="24"/>
          <w:szCs w:val="24"/>
        </w:rPr>
        <w:t>appellants</w:t>
      </w:r>
      <w:r w:rsidR="00F8076E" w:rsidRPr="00B801B9">
        <w:rPr>
          <w:rFonts w:ascii="Arial" w:hAnsi="Arial" w:cs="Arial"/>
          <w:sz w:val="24"/>
          <w:szCs w:val="24"/>
        </w:rPr>
        <w:t xml:space="preserve"> on the basis that</w:t>
      </w:r>
      <w:r w:rsidR="00E4003D" w:rsidRPr="00B801B9">
        <w:rPr>
          <w:rFonts w:ascii="Arial" w:hAnsi="Arial" w:cs="Arial"/>
          <w:sz w:val="24"/>
          <w:szCs w:val="24"/>
        </w:rPr>
        <w:t xml:space="preserve"> </w:t>
      </w:r>
      <w:r w:rsidR="007575B0" w:rsidRPr="00B801B9">
        <w:rPr>
          <w:rFonts w:ascii="Arial" w:hAnsi="Arial" w:cs="Arial"/>
          <w:sz w:val="24"/>
          <w:szCs w:val="24"/>
        </w:rPr>
        <w:t xml:space="preserve">the </w:t>
      </w:r>
      <w:r w:rsidR="00365382" w:rsidRPr="00B801B9">
        <w:rPr>
          <w:rFonts w:ascii="Arial" w:hAnsi="Arial" w:cs="Arial"/>
          <w:sz w:val="24"/>
          <w:szCs w:val="24"/>
        </w:rPr>
        <w:t>respondent wa</w:t>
      </w:r>
      <w:r w:rsidR="001A067B" w:rsidRPr="00B801B9">
        <w:rPr>
          <w:rFonts w:ascii="Arial" w:hAnsi="Arial" w:cs="Arial"/>
          <w:sz w:val="24"/>
          <w:szCs w:val="24"/>
        </w:rPr>
        <w:t>s entitled to</w:t>
      </w:r>
      <w:r w:rsidR="00047FE7" w:rsidRPr="00B801B9">
        <w:rPr>
          <w:rFonts w:ascii="Arial" w:hAnsi="Arial" w:cs="Arial"/>
          <w:sz w:val="24"/>
          <w:szCs w:val="24"/>
        </w:rPr>
        <w:t xml:space="preserve"> recover</w:t>
      </w:r>
      <w:r w:rsidR="001A067B" w:rsidRPr="00B801B9">
        <w:rPr>
          <w:rFonts w:ascii="Arial" w:hAnsi="Arial" w:cs="Arial"/>
          <w:sz w:val="24"/>
          <w:szCs w:val="24"/>
        </w:rPr>
        <w:t xml:space="preserve"> </w:t>
      </w:r>
      <w:r w:rsidR="00365382" w:rsidRPr="00B801B9">
        <w:rPr>
          <w:rFonts w:ascii="Arial" w:hAnsi="Arial" w:cs="Arial"/>
          <w:sz w:val="24"/>
          <w:szCs w:val="24"/>
        </w:rPr>
        <w:t xml:space="preserve">his full </w:t>
      </w:r>
      <w:r w:rsidR="001A067B" w:rsidRPr="00B801B9">
        <w:rPr>
          <w:rFonts w:ascii="Arial" w:hAnsi="Arial" w:cs="Arial"/>
          <w:sz w:val="24"/>
          <w:szCs w:val="24"/>
        </w:rPr>
        <w:t>proven or agreed damages</w:t>
      </w:r>
      <w:r w:rsidR="00FE3BCB" w:rsidRPr="00B801B9">
        <w:rPr>
          <w:rFonts w:ascii="Arial" w:hAnsi="Arial" w:cs="Arial"/>
          <w:sz w:val="24"/>
          <w:szCs w:val="24"/>
        </w:rPr>
        <w:t xml:space="preserve"> against the </w:t>
      </w:r>
      <w:r w:rsidR="00F41641" w:rsidRPr="00B801B9">
        <w:rPr>
          <w:rFonts w:ascii="Arial" w:hAnsi="Arial" w:cs="Arial"/>
          <w:sz w:val="24"/>
          <w:szCs w:val="24"/>
        </w:rPr>
        <w:t>appellants</w:t>
      </w:r>
      <w:r w:rsidR="00A95447" w:rsidRPr="00B801B9">
        <w:rPr>
          <w:rFonts w:ascii="Arial" w:hAnsi="Arial" w:cs="Arial"/>
          <w:sz w:val="24"/>
          <w:szCs w:val="24"/>
        </w:rPr>
        <w:t xml:space="preserve">. The determination of </w:t>
      </w:r>
      <w:r w:rsidR="00047FE7" w:rsidRPr="00B801B9">
        <w:rPr>
          <w:rFonts w:ascii="Arial" w:hAnsi="Arial" w:cs="Arial"/>
          <w:sz w:val="24"/>
          <w:szCs w:val="24"/>
        </w:rPr>
        <w:t xml:space="preserve">the respondent’s </w:t>
      </w:r>
      <w:r w:rsidR="001A067B" w:rsidRPr="00B801B9">
        <w:rPr>
          <w:rFonts w:ascii="Arial" w:hAnsi="Arial" w:cs="Arial"/>
          <w:sz w:val="24"/>
          <w:szCs w:val="24"/>
        </w:rPr>
        <w:t xml:space="preserve">quantum </w:t>
      </w:r>
      <w:r w:rsidR="00047FE7" w:rsidRPr="00B801B9">
        <w:rPr>
          <w:rFonts w:ascii="Arial" w:hAnsi="Arial" w:cs="Arial"/>
          <w:sz w:val="24"/>
          <w:szCs w:val="24"/>
        </w:rPr>
        <w:t xml:space="preserve">was </w:t>
      </w:r>
      <w:r w:rsidR="001A067B" w:rsidRPr="00B801B9">
        <w:rPr>
          <w:rFonts w:ascii="Arial" w:hAnsi="Arial" w:cs="Arial"/>
          <w:sz w:val="24"/>
          <w:szCs w:val="24"/>
        </w:rPr>
        <w:t xml:space="preserve">postponed </w:t>
      </w:r>
      <w:r w:rsidR="001A067B" w:rsidRPr="00B801B9">
        <w:rPr>
          <w:rFonts w:ascii="Arial" w:hAnsi="Arial" w:cs="Arial"/>
          <w:i/>
          <w:iCs/>
          <w:sz w:val="24"/>
          <w:szCs w:val="24"/>
        </w:rPr>
        <w:t>sine di</w:t>
      </w:r>
      <w:r w:rsidR="00047FE7" w:rsidRPr="00B801B9">
        <w:rPr>
          <w:rFonts w:ascii="Arial" w:hAnsi="Arial" w:cs="Arial"/>
          <w:i/>
          <w:iCs/>
          <w:sz w:val="24"/>
          <w:szCs w:val="24"/>
        </w:rPr>
        <w:t>e</w:t>
      </w:r>
      <w:r w:rsidR="00047FE7" w:rsidRPr="00B801B9">
        <w:rPr>
          <w:rFonts w:ascii="Arial" w:hAnsi="Arial" w:cs="Arial"/>
          <w:iCs/>
          <w:sz w:val="24"/>
          <w:szCs w:val="24"/>
        </w:rPr>
        <w:t>.</w:t>
      </w:r>
    </w:p>
    <w:p w14:paraId="02583346" w14:textId="701ABF69" w:rsidR="00EC2657" w:rsidRPr="00B801B9" w:rsidRDefault="00047FE7" w:rsidP="00BA3A04">
      <w:pPr>
        <w:shd w:val="clear" w:color="auto" w:fill="FFFFFF"/>
        <w:spacing w:before="120" w:after="720" w:line="360" w:lineRule="auto"/>
        <w:contextualSpacing/>
        <w:jc w:val="both"/>
        <w:rPr>
          <w:rFonts w:ascii="Arial" w:eastAsia="Times New Roman" w:hAnsi="Arial" w:cs="Arial"/>
          <w:sz w:val="24"/>
          <w:szCs w:val="24"/>
          <w:lang w:val="en-US" w:eastAsia="en-ZA"/>
        </w:rPr>
      </w:pPr>
      <w:r w:rsidRPr="00B801B9">
        <w:rPr>
          <w:rFonts w:ascii="Arial" w:hAnsi="Arial" w:cs="Arial"/>
          <w:iCs/>
          <w:sz w:val="24"/>
          <w:szCs w:val="24"/>
        </w:rPr>
        <w:t xml:space="preserve"> </w:t>
      </w:r>
    </w:p>
    <w:p w14:paraId="79310B8D" w14:textId="79B473C9" w:rsidR="00D00976" w:rsidRPr="00B801B9" w:rsidRDefault="00047FE7" w:rsidP="003003DA">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iCs/>
          <w:sz w:val="24"/>
          <w:szCs w:val="24"/>
        </w:rPr>
        <w:t xml:space="preserve">The </w:t>
      </w:r>
      <w:r w:rsidR="00FE3BCB" w:rsidRPr="00B801B9">
        <w:rPr>
          <w:rFonts w:ascii="Arial" w:hAnsi="Arial" w:cs="Arial"/>
          <w:iCs/>
          <w:sz w:val="24"/>
          <w:szCs w:val="24"/>
        </w:rPr>
        <w:t xml:space="preserve">order granting </w:t>
      </w:r>
      <w:r w:rsidRPr="00B801B9">
        <w:rPr>
          <w:rFonts w:ascii="Arial" w:hAnsi="Arial" w:cs="Arial"/>
          <w:iCs/>
          <w:sz w:val="24"/>
          <w:szCs w:val="24"/>
        </w:rPr>
        <w:t xml:space="preserve">default judgment </w:t>
      </w:r>
      <w:r w:rsidR="001A067B" w:rsidRPr="00B801B9">
        <w:rPr>
          <w:rFonts w:ascii="Arial" w:hAnsi="Arial" w:cs="Arial"/>
          <w:sz w:val="24"/>
          <w:szCs w:val="24"/>
        </w:rPr>
        <w:t xml:space="preserve">was served on the </w:t>
      </w:r>
      <w:r w:rsidRPr="00B801B9">
        <w:rPr>
          <w:rFonts w:ascii="Arial" w:hAnsi="Arial" w:cs="Arial"/>
          <w:sz w:val="24"/>
          <w:szCs w:val="24"/>
        </w:rPr>
        <w:t xml:space="preserve">Minister </w:t>
      </w:r>
      <w:r w:rsidR="001A067B" w:rsidRPr="00B801B9">
        <w:rPr>
          <w:rFonts w:ascii="Arial" w:hAnsi="Arial" w:cs="Arial"/>
          <w:sz w:val="24"/>
          <w:szCs w:val="24"/>
        </w:rPr>
        <w:t>on 22 March 2016.</w:t>
      </w:r>
      <w:r w:rsidRPr="00B801B9">
        <w:rPr>
          <w:rFonts w:ascii="Arial" w:hAnsi="Arial" w:cs="Arial"/>
          <w:sz w:val="24"/>
          <w:szCs w:val="24"/>
        </w:rPr>
        <w:t xml:space="preserve"> </w:t>
      </w:r>
      <w:r w:rsidR="001A067B" w:rsidRPr="00B801B9">
        <w:rPr>
          <w:rFonts w:ascii="Arial" w:hAnsi="Arial" w:cs="Arial"/>
          <w:sz w:val="24"/>
          <w:szCs w:val="24"/>
        </w:rPr>
        <w:t xml:space="preserve">On 26 March 2018, the </w:t>
      </w:r>
      <w:r w:rsidRPr="00B801B9">
        <w:rPr>
          <w:rFonts w:ascii="Arial" w:hAnsi="Arial" w:cs="Arial"/>
          <w:sz w:val="24"/>
          <w:szCs w:val="24"/>
        </w:rPr>
        <w:t xml:space="preserve">respondent lodged </w:t>
      </w:r>
      <w:r w:rsidR="001A067B" w:rsidRPr="00B801B9">
        <w:rPr>
          <w:rFonts w:ascii="Arial" w:hAnsi="Arial" w:cs="Arial"/>
          <w:sz w:val="24"/>
          <w:szCs w:val="24"/>
        </w:rPr>
        <w:t xml:space="preserve">an </w:t>
      </w:r>
      <w:bookmarkStart w:id="5" w:name="_Hlk106365898"/>
      <w:r w:rsidR="001A067B" w:rsidRPr="00B801B9">
        <w:rPr>
          <w:rFonts w:ascii="Arial" w:hAnsi="Arial" w:cs="Arial"/>
          <w:sz w:val="24"/>
          <w:szCs w:val="24"/>
        </w:rPr>
        <w:t xml:space="preserve">application against the </w:t>
      </w:r>
      <w:r w:rsidRPr="00B801B9">
        <w:rPr>
          <w:rFonts w:ascii="Arial" w:hAnsi="Arial" w:cs="Arial"/>
          <w:sz w:val="24"/>
          <w:szCs w:val="24"/>
        </w:rPr>
        <w:t xml:space="preserve">Minister for </w:t>
      </w:r>
      <w:r w:rsidR="00FE3BCB" w:rsidRPr="00B801B9">
        <w:rPr>
          <w:rFonts w:ascii="Arial" w:hAnsi="Arial" w:cs="Arial"/>
          <w:sz w:val="24"/>
          <w:szCs w:val="24"/>
        </w:rPr>
        <w:t xml:space="preserve">the </w:t>
      </w:r>
      <w:r w:rsidRPr="00B801B9">
        <w:rPr>
          <w:rFonts w:ascii="Arial" w:hAnsi="Arial" w:cs="Arial"/>
          <w:sz w:val="24"/>
          <w:szCs w:val="24"/>
        </w:rPr>
        <w:t xml:space="preserve">determination of </w:t>
      </w:r>
      <w:r w:rsidR="001A067B" w:rsidRPr="00B801B9">
        <w:rPr>
          <w:rFonts w:ascii="Arial" w:hAnsi="Arial" w:cs="Arial"/>
          <w:sz w:val="24"/>
          <w:szCs w:val="24"/>
        </w:rPr>
        <w:t>quantum</w:t>
      </w:r>
      <w:r w:rsidRPr="00B801B9">
        <w:rPr>
          <w:rFonts w:ascii="Arial" w:hAnsi="Arial" w:cs="Arial"/>
          <w:sz w:val="24"/>
          <w:szCs w:val="24"/>
        </w:rPr>
        <w:t xml:space="preserve">. That application was </w:t>
      </w:r>
      <w:r w:rsidR="001A067B" w:rsidRPr="00B801B9">
        <w:rPr>
          <w:rFonts w:ascii="Arial" w:hAnsi="Arial" w:cs="Arial"/>
          <w:sz w:val="24"/>
          <w:szCs w:val="24"/>
        </w:rPr>
        <w:t>served</w:t>
      </w:r>
      <w:r w:rsidRPr="00B801B9">
        <w:rPr>
          <w:rFonts w:ascii="Arial" w:hAnsi="Arial" w:cs="Arial"/>
          <w:sz w:val="24"/>
          <w:szCs w:val="24"/>
        </w:rPr>
        <w:t xml:space="preserve"> o</w:t>
      </w:r>
      <w:r w:rsidR="001A067B" w:rsidRPr="00B801B9">
        <w:rPr>
          <w:rFonts w:ascii="Arial" w:hAnsi="Arial" w:cs="Arial"/>
          <w:sz w:val="24"/>
          <w:szCs w:val="24"/>
        </w:rPr>
        <w:t xml:space="preserve">n the State Attorney </w:t>
      </w:r>
      <w:r w:rsidR="007575B0" w:rsidRPr="00B801B9">
        <w:rPr>
          <w:rFonts w:ascii="Arial" w:hAnsi="Arial" w:cs="Arial"/>
          <w:sz w:val="24"/>
          <w:szCs w:val="24"/>
        </w:rPr>
        <w:t xml:space="preserve">on 24 August 2018, </w:t>
      </w:r>
      <w:r w:rsidR="007F1691" w:rsidRPr="00B801B9">
        <w:rPr>
          <w:rFonts w:ascii="Arial" w:hAnsi="Arial" w:cs="Arial"/>
          <w:sz w:val="24"/>
          <w:szCs w:val="24"/>
        </w:rPr>
        <w:t xml:space="preserve">and </w:t>
      </w:r>
      <w:bookmarkEnd w:id="5"/>
      <w:r w:rsidR="00C031CF" w:rsidRPr="00B801B9">
        <w:rPr>
          <w:rFonts w:ascii="Arial" w:hAnsi="Arial" w:cs="Arial"/>
          <w:sz w:val="24"/>
          <w:szCs w:val="24"/>
        </w:rPr>
        <w:t>on the Minister at his official place of business. The respondent also served</w:t>
      </w:r>
      <w:r w:rsidR="004D2D68" w:rsidRPr="00B801B9">
        <w:rPr>
          <w:rFonts w:ascii="Arial" w:hAnsi="Arial" w:cs="Arial"/>
          <w:sz w:val="24"/>
          <w:szCs w:val="24"/>
        </w:rPr>
        <w:t xml:space="preserve"> a</w:t>
      </w:r>
      <w:r w:rsidR="001A067B" w:rsidRPr="00B801B9">
        <w:rPr>
          <w:rFonts w:ascii="Arial" w:hAnsi="Arial" w:cs="Arial"/>
          <w:sz w:val="24"/>
          <w:szCs w:val="24"/>
        </w:rPr>
        <w:t xml:space="preserve"> notice of intention to amend </w:t>
      </w:r>
      <w:r w:rsidR="004D2D68" w:rsidRPr="00B801B9">
        <w:rPr>
          <w:rFonts w:ascii="Arial" w:hAnsi="Arial" w:cs="Arial"/>
          <w:sz w:val="24"/>
          <w:szCs w:val="24"/>
        </w:rPr>
        <w:t>his</w:t>
      </w:r>
      <w:r w:rsidR="001A067B" w:rsidRPr="00B801B9">
        <w:rPr>
          <w:rFonts w:ascii="Arial" w:hAnsi="Arial" w:cs="Arial"/>
          <w:sz w:val="24"/>
          <w:szCs w:val="24"/>
        </w:rPr>
        <w:t xml:space="preserve"> particulars of claim;</w:t>
      </w:r>
      <w:r w:rsidR="004D2D68" w:rsidRPr="00B801B9">
        <w:rPr>
          <w:rFonts w:ascii="Arial" w:hAnsi="Arial" w:cs="Arial"/>
          <w:sz w:val="24"/>
          <w:szCs w:val="24"/>
        </w:rPr>
        <w:t xml:space="preserve"> t</w:t>
      </w:r>
      <w:r w:rsidR="001A067B" w:rsidRPr="00B801B9">
        <w:rPr>
          <w:rFonts w:ascii="Arial" w:hAnsi="Arial" w:cs="Arial"/>
          <w:sz w:val="24"/>
          <w:szCs w:val="24"/>
        </w:rPr>
        <w:t>he amended pages to the particulars of claim; and</w:t>
      </w:r>
      <w:r w:rsidR="004D2D68" w:rsidRPr="00B801B9">
        <w:rPr>
          <w:rFonts w:ascii="Arial" w:hAnsi="Arial" w:cs="Arial"/>
          <w:sz w:val="24"/>
          <w:szCs w:val="24"/>
        </w:rPr>
        <w:t xml:space="preserve"> the order granting default </w:t>
      </w:r>
      <w:r w:rsidR="00E4003D" w:rsidRPr="00B801B9">
        <w:rPr>
          <w:rFonts w:ascii="Arial" w:hAnsi="Arial" w:cs="Arial"/>
          <w:sz w:val="24"/>
          <w:szCs w:val="24"/>
        </w:rPr>
        <w:t>judgment on</w:t>
      </w:r>
      <w:r w:rsidR="004D2D68" w:rsidRPr="00B801B9">
        <w:rPr>
          <w:rFonts w:ascii="Arial" w:hAnsi="Arial" w:cs="Arial"/>
          <w:sz w:val="24"/>
          <w:szCs w:val="24"/>
        </w:rPr>
        <w:t xml:space="preserve"> 4 March 2016, as mentioned already.</w:t>
      </w:r>
      <w:r w:rsidR="00D00976" w:rsidRPr="00B801B9">
        <w:rPr>
          <w:rFonts w:ascii="Arial" w:hAnsi="Arial" w:cs="Arial"/>
          <w:sz w:val="24"/>
          <w:szCs w:val="24"/>
        </w:rPr>
        <w:t xml:space="preserve"> The application for the determination of quantum was set down for</w:t>
      </w:r>
      <w:r w:rsidR="000863E2" w:rsidRPr="00B801B9">
        <w:rPr>
          <w:rFonts w:ascii="Arial" w:hAnsi="Arial" w:cs="Arial"/>
          <w:sz w:val="24"/>
          <w:szCs w:val="24"/>
        </w:rPr>
        <w:t xml:space="preserve"> </w:t>
      </w:r>
      <w:r w:rsidR="00D00976" w:rsidRPr="00B801B9">
        <w:rPr>
          <w:rFonts w:ascii="Arial" w:hAnsi="Arial" w:cs="Arial"/>
          <w:sz w:val="24"/>
          <w:szCs w:val="24"/>
        </w:rPr>
        <w:t>10 September 2018.</w:t>
      </w:r>
    </w:p>
    <w:p w14:paraId="271E2851" w14:textId="77777777" w:rsidR="00BA3A04" w:rsidRPr="00B801B9" w:rsidRDefault="00BA3A04" w:rsidP="00BA3A04">
      <w:pPr>
        <w:shd w:val="clear" w:color="auto" w:fill="FFFFFF"/>
        <w:spacing w:before="120" w:after="720" w:line="360" w:lineRule="auto"/>
        <w:contextualSpacing/>
        <w:jc w:val="both"/>
        <w:rPr>
          <w:rFonts w:ascii="Arial" w:eastAsia="Times New Roman" w:hAnsi="Arial" w:cs="Arial"/>
          <w:sz w:val="24"/>
          <w:szCs w:val="24"/>
          <w:lang w:val="en-US" w:eastAsia="en-ZA"/>
        </w:rPr>
      </w:pPr>
    </w:p>
    <w:p w14:paraId="129CB9CD" w14:textId="28325AE4" w:rsidR="005223A1" w:rsidRPr="00B801B9" w:rsidRDefault="001A067B" w:rsidP="00DB4FEA">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lastRenderedPageBreak/>
        <w:t>On 29 August 2018, the State Attorney</w:t>
      </w:r>
      <w:r w:rsidR="00C763A4" w:rsidRPr="00B801B9">
        <w:rPr>
          <w:rFonts w:ascii="Arial" w:hAnsi="Arial" w:cs="Arial"/>
          <w:sz w:val="24"/>
          <w:szCs w:val="24"/>
        </w:rPr>
        <w:t>, on behalf of all the appellants,</w:t>
      </w:r>
      <w:r w:rsidR="004D2D68" w:rsidRPr="00B801B9">
        <w:rPr>
          <w:rFonts w:ascii="Arial" w:hAnsi="Arial" w:cs="Arial"/>
          <w:sz w:val="24"/>
          <w:szCs w:val="24"/>
        </w:rPr>
        <w:t xml:space="preserve"> delivered a notice of intention to oppose that application.</w:t>
      </w:r>
      <w:r w:rsidR="00D00976" w:rsidRPr="00B801B9">
        <w:rPr>
          <w:rFonts w:ascii="Arial" w:hAnsi="Arial" w:cs="Arial"/>
          <w:sz w:val="24"/>
          <w:szCs w:val="24"/>
        </w:rPr>
        <w:t xml:space="preserve"> </w:t>
      </w:r>
      <w:r w:rsidRPr="00B801B9">
        <w:rPr>
          <w:rFonts w:ascii="Arial" w:hAnsi="Arial" w:cs="Arial"/>
          <w:sz w:val="24"/>
          <w:szCs w:val="24"/>
        </w:rPr>
        <w:t xml:space="preserve">On 6 September 2018 the State Attorney </w:t>
      </w:r>
      <w:r w:rsidR="00D00976" w:rsidRPr="00B801B9">
        <w:rPr>
          <w:rFonts w:ascii="Arial" w:hAnsi="Arial" w:cs="Arial"/>
          <w:sz w:val="24"/>
          <w:szCs w:val="24"/>
        </w:rPr>
        <w:t xml:space="preserve">launched </w:t>
      </w:r>
      <w:r w:rsidRPr="00B801B9">
        <w:rPr>
          <w:rFonts w:ascii="Arial" w:hAnsi="Arial" w:cs="Arial"/>
          <w:sz w:val="24"/>
          <w:szCs w:val="24"/>
        </w:rPr>
        <w:t xml:space="preserve">an application on behalf of the </w:t>
      </w:r>
      <w:r w:rsidR="00D00976" w:rsidRPr="00B801B9">
        <w:rPr>
          <w:rFonts w:ascii="Arial" w:hAnsi="Arial" w:cs="Arial"/>
          <w:sz w:val="24"/>
          <w:szCs w:val="24"/>
        </w:rPr>
        <w:t xml:space="preserve">appellants </w:t>
      </w:r>
      <w:r w:rsidRPr="00B801B9">
        <w:rPr>
          <w:rFonts w:ascii="Arial" w:hAnsi="Arial" w:cs="Arial"/>
          <w:sz w:val="24"/>
          <w:szCs w:val="24"/>
        </w:rPr>
        <w:t xml:space="preserve">to stay the </w:t>
      </w:r>
      <w:r w:rsidR="00F8076E" w:rsidRPr="00B801B9">
        <w:rPr>
          <w:rFonts w:ascii="Arial" w:hAnsi="Arial" w:cs="Arial"/>
          <w:sz w:val="24"/>
          <w:szCs w:val="24"/>
        </w:rPr>
        <w:t>application</w:t>
      </w:r>
      <w:r w:rsidR="00D00976" w:rsidRPr="00B801B9">
        <w:rPr>
          <w:rFonts w:ascii="Arial" w:hAnsi="Arial" w:cs="Arial"/>
          <w:sz w:val="24"/>
          <w:szCs w:val="24"/>
        </w:rPr>
        <w:t xml:space="preserve"> for the determination of</w:t>
      </w:r>
      <w:r w:rsidRPr="00B801B9">
        <w:rPr>
          <w:rFonts w:ascii="Arial" w:hAnsi="Arial" w:cs="Arial"/>
          <w:sz w:val="24"/>
          <w:szCs w:val="24"/>
        </w:rPr>
        <w:t xml:space="preserve"> quantum</w:t>
      </w:r>
      <w:r w:rsidR="00D00976" w:rsidRPr="00B801B9">
        <w:rPr>
          <w:rFonts w:ascii="Arial" w:hAnsi="Arial" w:cs="Arial"/>
          <w:sz w:val="24"/>
          <w:szCs w:val="24"/>
        </w:rPr>
        <w:t>,</w:t>
      </w:r>
      <w:r w:rsidRPr="00B801B9">
        <w:rPr>
          <w:rFonts w:ascii="Arial" w:hAnsi="Arial" w:cs="Arial"/>
          <w:sz w:val="24"/>
          <w:szCs w:val="24"/>
        </w:rPr>
        <w:t xml:space="preserve"> pending the rescission of</w:t>
      </w:r>
      <w:r w:rsidR="00D00976" w:rsidRPr="00B801B9">
        <w:rPr>
          <w:rFonts w:ascii="Arial" w:hAnsi="Arial" w:cs="Arial"/>
          <w:sz w:val="24"/>
          <w:szCs w:val="24"/>
        </w:rPr>
        <w:t xml:space="preserve"> the default judgment granted on 4 March 2016</w:t>
      </w:r>
      <w:r w:rsidRPr="00B801B9">
        <w:rPr>
          <w:rFonts w:ascii="Arial" w:hAnsi="Arial" w:cs="Arial"/>
          <w:sz w:val="24"/>
          <w:szCs w:val="24"/>
        </w:rPr>
        <w:t>.</w:t>
      </w:r>
      <w:r w:rsidR="00D00976" w:rsidRPr="00B801B9">
        <w:rPr>
          <w:rFonts w:ascii="Arial" w:hAnsi="Arial" w:cs="Arial"/>
          <w:sz w:val="24"/>
          <w:szCs w:val="24"/>
        </w:rPr>
        <w:t xml:space="preserve"> </w:t>
      </w:r>
      <w:r w:rsidRPr="00B801B9">
        <w:rPr>
          <w:rFonts w:ascii="Arial" w:hAnsi="Arial" w:cs="Arial"/>
          <w:sz w:val="24"/>
          <w:szCs w:val="24"/>
        </w:rPr>
        <w:t xml:space="preserve">On 25 November 2019 </w:t>
      </w:r>
      <w:r w:rsidR="00D00976" w:rsidRPr="00B801B9">
        <w:rPr>
          <w:rFonts w:ascii="Arial" w:hAnsi="Arial" w:cs="Arial"/>
          <w:sz w:val="24"/>
          <w:szCs w:val="24"/>
        </w:rPr>
        <w:t xml:space="preserve">the </w:t>
      </w:r>
      <w:r w:rsidR="00C9756C" w:rsidRPr="00B801B9">
        <w:rPr>
          <w:rFonts w:ascii="Arial" w:hAnsi="Arial" w:cs="Arial"/>
          <w:sz w:val="24"/>
          <w:szCs w:val="24"/>
        </w:rPr>
        <w:t xml:space="preserve">respondent </w:t>
      </w:r>
      <w:r w:rsidRPr="00B801B9">
        <w:rPr>
          <w:rFonts w:ascii="Arial" w:hAnsi="Arial" w:cs="Arial"/>
          <w:sz w:val="24"/>
          <w:szCs w:val="24"/>
        </w:rPr>
        <w:t xml:space="preserve">abandoned </w:t>
      </w:r>
      <w:r w:rsidR="00C9756C" w:rsidRPr="00B801B9">
        <w:rPr>
          <w:rFonts w:ascii="Arial" w:hAnsi="Arial" w:cs="Arial"/>
          <w:sz w:val="24"/>
          <w:szCs w:val="24"/>
        </w:rPr>
        <w:t xml:space="preserve">the default judgment </w:t>
      </w:r>
      <w:r w:rsidRPr="00B801B9">
        <w:rPr>
          <w:rFonts w:ascii="Arial" w:hAnsi="Arial" w:cs="Arial"/>
          <w:sz w:val="24"/>
          <w:szCs w:val="24"/>
        </w:rPr>
        <w:t xml:space="preserve">in terms of </w:t>
      </w:r>
      <w:r w:rsidR="00C9756C" w:rsidRPr="00B801B9">
        <w:rPr>
          <w:rFonts w:ascii="Arial" w:hAnsi="Arial" w:cs="Arial"/>
          <w:sz w:val="24"/>
          <w:szCs w:val="24"/>
        </w:rPr>
        <w:t xml:space="preserve">rule 41(2) of the </w:t>
      </w:r>
      <w:r w:rsidRPr="00B801B9">
        <w:rPr>
          <w:rFonts w:ascii="Arial" w:hAnsi="Arial" w:cs="Arial"/>
          <w:sz w:val="24"/>
          <w:szCs w:val="24"/>
        </w:rPr>
        <w:t>Uniform Rules</w:t>
      </w:r>
      <w:r w:rsidR="00C9756C" w:rsidRPr="00B801B9">
        <w:rPr>
          <w:rFonts w:ascii="Arial" w:hAnsi="Arial" w:cs="Arial"/>
          <w:sz w:val="24"/>
          <w:szCs w:val="24"/>
        </w:rPr>
        <w:t>.</w:t>
      </w:r>
      <w:r w:rsidR="00DB4FEA" w:rsidRPr="00B801B9">
        <w:rPr>
          <w:rFonts w:ascii="Arial" w:eastAsia="Times New Roman" w:hAnsi="Arial" w:cs="Arial"/>
          <w:sz w:val="24"/>
          <w:szCs w:val="24"/>
          <w:lang w:val="en-US" w:eastAsia="en-ZA"/>
        </w:rPr>
        <w:t xml:space="preserve"> </w:t>
      </w:r>
      <w:r w:rsidR="00531686" w:rsidRPr="00B801B9">
        <w:rPr>
          <w:rFonts w:ascii="Arial" w:hAnsi="Arial" w:cs="Arial"/>
          <w:sz w:val="24"/>
          <w:szCs w:val="24"/>
        </w:rPr>
        <w:t>On 13 </w:t>
      </w:r>
      <w:r w:rsidRPr="00B801B9">
        <w:rPr>
          <w:rFonts w:ascii="Arial" w:hAnsi="Arial" w:cs="Arial"/>
          <w:sz w:val="24"/>
          <w:szCs w:val="24"/>
        </w:rPr>
        <w:t xml:space="preserve">December 2019 the State Attorney delivered </w:t>
      </w:r>
      <w:r w:rsidR="00C9756C" w:rsidRPr="00B801B9">
        <w:rPr>
          <w:rFonts w:ascii="Arial" w:hAnsi="Arial" w:cs="Arial"/>
          <w:sz w:val="24"/>
          <w:szCs w:val="24"/>
        </w:rPr>
        <w:t xml:space="preserve">a </w:t>
      </w:r>
      <w:r w:rsidRPr="00B801B9">
        <w:rPr>
          <w:rFonts w:ascii="Arial" w:hAnsi="Arial" w:cs="Arial"/>
          <w:sz w:val="24"/>
          <w:szCs w:val="24"/>
        </w:rPr>
        <w:t xml:space="preserve">notice of intention to defend the action on behalf of the </w:t>
      </w:r>
      <w:r w:rsidR="00C9756C" w:rsidRPr="00B801B9">
        <w:rPr>
          <w:rFonts w:ascii="Arial" w:hAnsi="Arial" w:cs="Arial"/>
          <w:sz w:val="24"/>
          <w:szCs w:val="24"/>
        </w:rPr>
        <w:t xml:space="preserve">appellants and subsequently delivered their plea to the respondent’s particulars of claim. </w:t>
      </w:r>
    </w:p>
    <w:p w14:paraId="2190B76E" w14:textId="77777777" w:rsidR="005223A1" w:rsidRPr="00B801B9" w:rsidRDefault="005223A1" w:rsidP="005223A1">
      <w:pPr>
        <w:rPr>
          <w:rFonts w:ascii="Arial" w:hAnsi="Arial" w:cs="Arial"/>
          <w:sz w:val="24"/>
          <w:szCs w:val="24"/>
        </w:rPr>
      </w:pPr>
    </w:p>
    <w:p w14:paraId="4527DFD9" w14:textId="64E420AB" w:rsidR="005223A1" w:rsidRPr="00B801B9" w:rsidRDefault="001A067B" w:rsidP="005223A1">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 xml:space="preserve">On 3 September 2020 the </w:t>
      </w:r>
      <w:r w:rsidR="00C9756C" w:rsidRPr="00B801B9">
        <w:rPr>
          <w:rFonts w:ascii="Arial" w:hAnsi="Arial" w:cs="Arial"/>
          <w:sz w:val="24"/>
          <w:szCs w:val="24"/>
        </w:rPr>
        <w:t xml:space="preserve">appellants </w:t>
      </w:r>
      <w:r w:rsidRPr="00B801B9">
        <w:rPr>
          <w:rFonts w:ascii="Arial" w:hAnsi="Arial" w:cs="Arial"/>
          <w:sz w:val="24"/>
          <w:szCs w:val="24"/>
        </w:rPr>
        <w:t>delivered an amended plea</w:t>
      </w:r>
      <w:r w:rsidR="00C9756C" w:rsidRPr="00B801B9">
        <w:rPr>
          <w:rFonts w:ascii="Arial" w:hAnsi="Arial" w:cs="Arial"/>
          <w:sz w:val="24"/>
          <w:szCs w:val="24"/>
        </w:rPr>
        <w:t xml:space="preserve">, in which they </w:t>
      </w:r>
      <w:r w:rsidRPr="00B801B9">
        <w:rPr>
          <w:rFonts w:ascii="Arial" w:hAnsi="Arial" w:cs="Arial"/>
          <w:sz w:val="24"/>
          <w:szCs w:val="24"/>
        </w:rPr>
        <w:t>raised two special pleas</w:t>
      </w:r>
      <w:r w:rsidR="005223A1" w:rsidRPr="00B801B9">
        <w:rPr>
          <w:rFonts w:ascii="Arial" w:hAnsi="Arial" w:cs="Arial"/>
          <w:sz w:val="24"/>
          <w:szCs w:val="24"/>
        </w:rPr>
        <w:t>, in the alternative</w:t>
      </w:r>
      <w:r w:rsidR="005F0635" w:rsidRPr="00B801B9">
        <w:rPr>
          <w:rFonts w:ascii="Arial" w:hAnsi="Arial" w:cs="Arial"/>
          <w:sz w:val="24"/>
          <w:szCs w:val="24"/>
        </w:rPr>
        <w:t xml:space="preserve">. </w:t>
      </w:r>
      <w:r w:rsidR="00EC2657" w:rsidRPr="00B801B9">
        <w:rPr>
          <w:rFonts w:ascii="Arial" w:hAnsi="Arial" w:cs="Arial"/>
          <w:sz w:val="24"/>
          <w:szCs w:val="24"/>
        </w:rPr>
        <w:t xml:space="preserve">The </w:t>
      </w:r>
      <w:r w:rsidR="005223A1" w:rsidRPr="00B801B9">
        <w:rPr>
          <w:rFonts w:ascii="Arial" w:hAnsi="Arial" w:cs="Arial"/>
          <w:sz w:val="24"/>
          <w:szCs w:val="24"/>
        </w:rPr>
        <w:t>main plea</w:t>
      </w:r>
      <w:r w:rsidR="005F0635" w:rsidRPr="00B801B9">
        <w:rPr>
          <w:rFonts w:ascii="Arial" w:hAnsi="Arial" w:cs="Arial"/>
          <w:sz w:val="24"/>
          <w:szCs w:val="24"/>
        </w:rPr>
        <w:t xml:space="preserve"> </w:t>
      </w:r>
      <w:r w:rsidR="00EC2657" w:rsidRPr="00B801B9">
        <w:rPr>
          <w:rFonts w:ascii="Arial" w:hAnsi="Arial" w:cs="Arial"/>
          <w:sz w:val="24"/>
          <w:szCs w:val="24"/>
        </w:rPr>
        <w:t xml:space="preserve">was based on non-compliance with s 2(2) of the </w:t>
      </w:r>
      <w:bookmarkStart w:id="6" w:name="_Hlk106713276"/>
      <w:r w:rsidR="00EC2657" w:rsidRPr="00B801B9">
        <w:rPr>
          <w:rFonts w:ascii="Arial" w:hAnsi="Arial" w:cs="Arial"/>
          <w:sz w:val="24"/>
          <w:szCs w:val="24"/>
        </w:rPr>
        <w:t>State Liability Act</w:t>
      </w:r>
      <w:bookmarkEnd w:id="6"/>
      <w:r w:rsidR="007F1691" w:rsidRPr="00B801B9">
        <w:rPr>
          <w:rFonts w:ascii="Arial" w:hAnsi="Arial" w:cs="Arial"/>
          <w:sz w:val="24"/>
          <w:szCs w:val="24"/>
        </w:rPr>
        <w:t>,</w:t>
      </w:r>
      <w:r w:rsidR="00EC2657" w:rsidRPr="00B801B9">
        <w:rPr>
          <w:rFonts w:ascii="Arial" w:hAnsi="Arial" w:cs="Arial"/>
          <w:sz w:val="24"/>
          <w:szCs w:val="24"/>
        </w:rPr>
        <w:t xml:space="preserve"> as </w:t>
      </w:r>
      <w:r w:rsidR="007F1691" w:rsidRPr="00B801B9">
        <w:rPr>
          <w:rFonts w:ascii="Arial" w:hAnsi="Arial" w:cs="Arial"/>
          <w:sz w:val="24"/>
          <w:szCs w:val="24"/>
        </w:rPr>
        <w:t>mentioned</w:t>
      </w:r>
      <w:r w:rsidR="00EC2657" w:rsidRPr="00B801B9">
        <w:rPr>
          <w:rFonts w:ascii="Arial" w:hAnsi="Arial" w:cs="Arial"/>
          <w:sz w:val="24"/>
          <w:szCs w:val="24"/>
        </w:rPr>
        <w:t xml:space="preserve"> already.</w:t>
      </w:r>
      <w:r w:rsidR="001C66C9" w:rsidRPr="00B801B9">
        <w:rPr>
          <w:rFonts w:ascii="Arial" w:hAnsi="Arial" w:cs="Arial"/>
          <w:sz w:val="24"/>
          <w:szCs w:val="24"/>
        </w:rPr>
        <w:t xml:space="preserve"> It was contended that because there was no service of </w:t>
      </w:r>
      <w:r w:rsidR="000C2373" w:rsidRPr="00B801B9">
        <w:rPr>
          <w:rFonts w:ascii="Arial" w:hAnsi="Arial" w:cs="Arial"/>
          <w:sz w:val="24"/>
          <w:szCs w:val="24"/>
        </w:rPr>
        <w:t>a</w:t>
      </w:r>
      <w:r w:rsidR="007F1691" w:rsidRPr="00B801B9">
        <w:rPr>
          <w:rFonts w:ascii="Arial" w:hAnsi="Arial" w:cs="Arial"/>
          <w:sz w:val="24"/>
          <w:szCs w:val="24"/>
        </w:rPr>
        <w:t xml:space="preserve"> copy of the</w:t>
      </w:r>
      <w:r w:rsidR="001C66C9" w:rsidRPr="00B801B9">
        <w:rPr>
          <w:rFonts w:ascii="Arial" w:hAnsi="Arial" w:cs="Arial"/>
          <w:sz w:val="24"/>
          <w:szCs w:val="24"/>
        </w:rPr>
        <w:t xml:space="preserve"> summons on the State Attorney, the respondent’s summons was a nullity.</w:t>
      </w:r>
      <w:r w:rsidR="001365E3" w:rsidRPr="00B801B9">
        <w:rPr>
          <w:rFonts w:ascii="Arial" w:hAnsi="Arial" w:cs="Arial"/>
          <w:sz w:val="24"/>
          <w:szCs w:val="24"/>
        </w:rPr>
        <w:t xml:space="preserve"> </w:t>
      </w:r>
      <w:bookmarkStart w:id="7" w:name="_Hlk107707673"/>
      <w:r w:rsidR="001365E3" w:rsidRPr="00B801B9">
        <w:rPr>
          <w:rFonts w:ascii="Arial" w:hAnsi="Arial" w:cs="Arial"/>
          <w:sz w:val="24"/>
          <w:szCs w:val="24"/>
        </w:rPr>
        <w:t>A</w:t>
      </w:r>
      <w:r w:rsidR="005D3CDC" w:rsidRPr="00B801B9">
        <w:rPr>
          <w:rFonts w:ascii="Arial" w:hAnsi="Arial" w:cs="Arial"/>
          <w:sz w:val="24"/>
          <w:szCs w:val="24"/>
        </w:rPr>
        <w:t>lternativ</w:t>
      </w:r>
      <w:r w:rsidR="001365E3" w:rsidRPr="00B801B9">
        <w:rPr>
          <w:rFonts w:ascii="Arial" w:hAnsi="Arial" w:cs="Arial"/>
          <w:sz w:val="24"/>
          <w:szCs w:val="24"/>
        </w:rPr>
        <w:t>ely</w:t>
      </w:r>
      <w:r w:rsidR="005D3CDC" w:rsidRPr="00B801B9">
        <w:rPr>
          <w:rFonts w:ascii="Arial" w:hAnsi="Arial" w:cs="Arial"/>
          <w:sz w:val="24"/>
          <w:szCs w:val="24"/>
        </w:rPr>
        <w:t>, the appellants pleaded that in the event it was found that service was effected on the State Attorney on 2</w:t>
      </w:r>
      <w:r w:rsidR="007F1691" w:rsidRPr="00B801B9">
        <w:rPr>
          <w:rFonts w:ascii="Arial" w:hAnsi="Arial" w:cs="Arial"/>
          <w:sz w:val="24"/>
          <w:szCs w:val="24"/>
        </w:rPr>
        <w:t>4</w:t>
      </w:r>
      <w:r w:rsidR="005D3CDC" w:rsidRPr="00B801B9">
        <w:rPr>
          <w:rFonts w:ascii="Arial" w:hAnsi="Arial" w:cs="Arial"/>
          <w:sz w:val="24"/>
          <w:szCs w:val="24"/>
        </w:rPr>
        <w:t xml:space="preserve"> August 2018 (when the application for determination of quantum against the Minister </w:t>
      </w:r>
      <w:r w:rsidR="007F1691" w:rsidRPr="00B801B9">
        <w:rPr>
          <w:rFonts w:ascii="Arial" w:hAnsi="Arial" w:cs="Arial"/>
          <w:sz w:val="24"/>
          <w:szCs w:val="24"/>
        </w:rPr>
        <w:t xml:space="preserve">was </w:t>
      </w:r>
      <w:r w:rsidR="005D3CDC" w:rsidRPr="00B801B9">
        <w:rPr>
          <w:rFonts w:ascii="Arial" w:hAnsi="Arial" w:cs="Arial"/>
          <w:sz w:val="24"/>
          <w:szCs w:val="24"/>
        </w:rPr>
        <w:t>served</w:t>
      </w:r>
      <w:r w:rsidR="007F1691" w:rsidRPr="00B801B9">
        <w:rPr>
          <w:rFonts w:ascii="Arial" w:hAnsi="Arial" w:cs="Arial"/>
          <w:sz w:val="24"/>
          <w:szCs w:val="24"/>
        </w:rPr>
        <w:t xml:space="preserve"> on the State Attorney</w:t>
      </w:r>
      <w:r w:rsidR="005D3CDC" w:rsidRPr="00B801B9">
        <w:rPr>
          <w:rFonts w:ascii="Arial" w:hAnsi="Arial" w:cs="Arial"/>
          <w:sz w:val="24"/>
          <w:szCs w:val="24"/>
        </w:rPr>
        <w:t>) the respondent’s claim had prescribed, as that occurred more than three years after the responde</w:t>
      </w:r>
      <w:r w:rsidR="00FA51B3">
        <w:rPr>
          <w:rFonts w:ascii="Arial" w:hAnsi="Arial" w:cs="Arial"/>
          <w:sz w:val="24"/>
          <w:szCs w:val="24"/>
        </w:rPr>
        <w:t>nt’s cause of action arose on 8 </w:t>
      </w:r>
      <w:r w:rsidR="005D3CDC" w:rsidRPr="00B801B9">
        <w:rPr>
          <w:rFonts w:ascii="Arial" w:hAnsi="Arial" w:cs="Arial"/>
          <w:sz w:val="24"/>
          <w:szCs w:val="24"/>
        </w:rPr>
        <w:t>February 2014.</w:t>
      </w:r>
      <w:r w:rsidR="00DB4FEA" w:rsidRPr="00B801B9">
        <w:rPr>
          <w:rFonts w:ascii="Arial" w:eastAsia="Times New Roman" w:hAnsi="Arial" w:cs="Arial"/>
          <w:sz w:val="24"/>
          <w:szCs w:val="24"/>
          <w:lang w:val="en-US" w:eastAsia="en-ZA"/>
        </w:rPr>
        <w:t xml:space="preserve"> </w:t>
      </w:r>
    </w:p>
    <w:p w14:paraId="25C355FC" w14:textId="77777777" w:rsidR="005223A1" w:rsidRPr="00B801B9" w:rsidRDefault="005223A1" w:rsidP="005223A1">
      <w:pPr>
        <w:rPr>
          <w:rFonts w:ascii="Arial" w:hAnsi="Arial" w:cs="Arial"/>
          <w:sz w:val="24"/>
          <w:szCs w:val="24"/>
        </w:rPr>
      </w:pPr>
    </w:p>
    <w:p w14:paraId="2C28EA87" w14:textId="37550FC0" w:rsidR="00BA3A04" w:rsidRPr="00B801B9" w:rsidRDefault="00A4508C" w:rsidP="005223A1">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The special pleas</w:t>
      </w:r>
      <w:r w:rsidR="00FA7C76" w:rsidRPr="00B801B9">
        <w:rPr>
          <w:rFonts w:ascii="Arial" w:hAnsi="Arial" w:cs="Arial"/>
          <w:sz w:val="24"/>
          <w:szCs w:val="24"/>
        </w:rPr>
        <w:t xml:space="preserve"> </w:t>
      </w:r>
      <w:r w:rsidR="00C763A4" w:rsidRPr="00B801B9">
        <w:rPr>
          <w:rFonts w:ascii="Arial" w:hAnsi="Arial" w:cs="Arial"/>
          <w:sz w:val="24"/>
          <w:szCs w:val="24"/>
        </w:rPr>
        <w:t xml:space="preserve">were placed </w:t>
      </w:r>
      <w:r w:rsidR="00FA7C76" w:rsidRPr="00B801B9">
        <w:rPr>
          <w:rFonts w:ascii="Arial" w:hAnsi="Arial" w:cs="Arial"/>
          <w:sz w:val="24"/>
          <w:szCs w:val="24"/>
        </w:rPr>
        <w:t xml:space="preserve">before the high court by way of a </w:t>
      </w:r>
      <w:bookmarkEnd w:id="7"/>
      <w:r w:rsidRPr="00B801B9">
        <w:rPr>
          <w:rFonts w:ascii="Arial" w:hAnsi="Arial" w:cs="Arial"/>
          <w:sz w:val="24"/>
          <w:szCs w:val="24"/>
        </w:rPr>
        <w:t xml:space="preserve">Special Case and Statement of Facts in terms of </w:t>
      </w:r>
      <w:r w:rsidR="00593757" w:rsidRPr="00B801B9">
        <w:rPr>
          <w:rFonts w:ascii="Arial" w:hAnsi="Arial" w:cs="Arial"/>
          <w:sz w:val="24"/>
          <w:szCs w:val="24"/>
        </w:rPr>
        <w:t>r</w:t>
      </w:r>
      <w:r w:rsidRPr="00B801B9">
        <w:rPr>
          <w:rFonts w:ascii="Arial" w:hAnsi="Arial" w:cs="Arial"/>
          <w:sz w:val="24"/>
          <w:szCs w:val="24"/>
        </w:rPr>
        <w:t>ule 33(1) and (2) of the Uniform Rules</w:t>
      </w:r>
      <w:r w:rsidR="00FA7C76" w:rsidRPr="00B801B9">
        <w:rPr>
          <w:rFonts w:ascii="Arial" w:hAnsi="Arial" w:cs="Arial"/>
          <w:sz w:val="24"/>
          <w:szCs w:val="24"/>
        </w:rPr>
        <w:t>, which set out the issues for determination</w:t>
      </w:r>
      <w:r w:rsidR="000C2373" w:rsidRPr="00B801B9">
        <w:rPr>
          <w:rFonts w:ascii="Arial" w:hAnsi="Arial" w:cs="Arial"/>
          <w:sz w:val="24"/>
          <w:szCs w:val="24"/>
        </w:rPr>
        <w:t>.</w:t>
      </w:r>
      <w:r w:rsidR="00E4003D" w:rsidRPr="00B801B9">
        <w:rPr>
          <w:rFonts w:ascii="Arial" w:hAnsi="Arial" w:cs="Arial"/>
          <w:sz w:val="24"/>
          <w:szCs w:val="24"/>
        </w:rPr>
        <w:t xml:space="preserve"> </w:t>
      </w:r>
      <w:r w:rsidR="000C2373" w:rsidRPr="00B801B9">
        <w:rPr>
          <w:rFonts w:ascii="Arial" w:hAnsi="Arial" w:cs="Arial"/>
          <w:sz w:val="24"/>
          <w:szCs w:val="24"/>
        </w:rPr>
        <w:t>I</w:t>
      </w:r>
      <w:r w:rsidR="00E4003D" w:rsidRPr="00B801B9">
        <w:rPr>
          <w:rFonts w:ascii="Arial" w:hAnsi="Arial" w:cs="Arial"/>
          <w:sz w:val="24"/>
          <w:szCs w:val="24"/>
        </w:rPr>
        <w:t>t</w:t>
      </w:r>
      <w:r w:rsidR="00D52310" w:rsidRPr="00B801B9">
        <w:rPr>
          <w:rFonts w:ascii="Arial" w:hAnsi="Arial" w:cs="Arial"/>
          <w:sz w:val="24"/>
          <w:szCs w:val="24"/>
        </w:rPr>
        <w:t xml:space="preserve"> was agreed</w:t>
      </w:r>
      <w:r w:rsidR="005B234F">
        <w:rPr>
          <w:rFonts w:ascii="Arial" w:hAnsi="Arial" w:cs="Arial"/>
          <w:sz w:val="24"/>
          <w:szCs w:val="24"/>
        </w:rPr>
        <w:t xml:space="preserve">, among other things, </w:t>
      </w:r>
      <w:r w:rsidR="00D52310" w:rsidRPr="00B801B9">
        <w:rPr>
          <w:rFonts w:ascii="Arial" w:hAnsi="Arial" w:cs="Arial"/>
          <w:sz w:val="24"/>
          <w:szCs w:val="24"/>
        </w:rPr>
        <w:t xml:space="preserve">that </w:t>
      </w:r>
      <w:r w:rsidR="00DB4FEA" w:rsidRPr="00B801B9">
        <w:rPr>
          <w:rFonts w:ascii="Arial" w:hAnsi="Arial" w:cs="Arial"/>
          <w:sz w:val="24"/>
          <w:szCs w:val="24"/>
        </w:rPr>
        <w:t>‘</w:t>
      </w:r>
      <w:r w:rsidRPr="00B801B9">
        <w:rPr>
          <w:rFonts w:ascii="Arial" w:hAnsi="Arial" w:cs="Arial"/>
          <w:sz w:val="24"/>
          <w:szCs w:val="24"/>
        </w:rPr>
        <w:t>if the defendants’ special plea</w:t>
      </w:r>
      <w:r w:rsidR="00C763A4" w:rsidRPr="00B801B9">
        <w:rPr>
          <w:rFonts w:ascii="Arial" w:hAnsi="Arial" w:cs="Arial"/>
          <w:sz w:val="24"/>
          <w:szCs w:val="24"/>
        </w:rPr>
        <w:t>s</w:t>
      </w:r>
      <w:r w:rsidR="00593757" w:rsidRPr="00B801B9">
        <w:rPr>
          <w:rFonts w:ascii="Arial" w:hAnsi="Arial" w:cs="Arial"/>
          <w:sz w:val="24"/>
          <w:szCs w:val="24"/>
        </w:rPr>
        <w:t xml:space="preserve"> </w:t>
      </w:r>
      <w:r w:rsidR="00C763A4" w:rsidRPr="00B801B9">
        <w:rPr>
          <w:rFonts w:ascii="Arial" w:hAnsi="Arial" w:cs="Arial"/>
          <w:sz w:val="24"/>
          <w:szCs w:val="24"/>
        </w:rPr>
        <w:t>[were</w:t>
      </w:r>
      <w:r w:rsidR="00B7172B" w:rsidRPr="00B801B9">
        <w:rPr>
          <w:rFonts w:ascii="Arial" w:hAnsi="Arial" w:cs="Arial"/>
          <w:sz w:val="24"/>
          <w:szCs w:val="24"/>
        </w:rPr>
        <w:t>]</w:t>
      </w:r>
      <w:r w:rsidRPr="00B801B9">
        <w:rPr>
          <w:rFonts w:ascii="Arial" w:hAnsi="Arial" w:cs="Arial"/>
          <w:sz w:val="24"/>
          <w:szCs w:val="24"/>
        </w:rPr>
        <w:t xml:space="preserve"> dismissed the trial is to immediately proceed in respect of the issue of the defendants’ liability.’</w:t>
      </w:r>
    </w:p>
    <w:p w14:paraId="1C83E2A4" w14:textId="77777777" w:rsidR="00DB4FEA" w:rsidRPr="00B801B9" w:rsidRDefault="00DB4FEA" w:rsidP="00DB4FEA">
      <w:pPr>
        <w:shd w:val="clear" w:color="auto" w:fill="FFFFFF"/>
        <w:spacing w:before="120" w:after="720" w:line="360" w:lineRule="auto"/>
        <w:contextualSpacing/>
        <w:jc w:val="both"/>
        <w:rPr>
          <w:rFonts w:ascii="Arial" w:eastAsia="Times New Roman" w:hAnsi="Arial" w:cs="Arial"/>
          <w:sz w:val="24"/>
          <w:szCs w:val="24"/>
          <w:lang w:val="en-US" w:eastAsia="en-ZA"/>
        </w:rPr>
      </w:pPr>
    </w:p>
    <w:p w14:paraId="468D48C8" w14:textId="25F39F79" w:rsidR="00B84E1B" w:rsidRDefault="00B40026" w:rsidP="003477E1">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 xml:space="preserve">The </w:t>
      </w:r>
      <w:r w:rsidRPr="00B801B9">
        <w:rPr>
          <w:rFonts w:ascii="Arial" w:eastAsia="Times New Roman" w:hAnsi="Arial" w:cs="Arial"/>
          <w:sz w:val="24"/>
          <w:szCs w:val="24"/>
          <w:lang w:val="en-US" w:eastAsia="en-ZA"/>
        </w:rPr>
        <w:t xml:space="preserve">high court </w:t>
      </w:r>
      <w:r w:rsidR="00530D15" w:rsidRPr="00B801B9">
        <w:rPr>
          <w:rFonts w:ascii="Arial" w:eastAsia="Times New Roman" w:hAnsi="Arial" w:cs="Arial"/>
          <w:sz w:val="24"/>
          <w:szCs w:val="24"/>
          <w:lang w:val="en-US" w:eastAsia="en-ZA"/>
        </w:rPr>
        <w:t xml:space="preserve">considered the purpose of s 2(2) of the State Liability Act, and </w:t>
      </w:r>
      <w:r w:rsidR="00DD243B" w:rsidRPr="00B801B9">
        <w:rPr>
          <w:rFonts w:ascii="Arial" w:eastAsia="Times New Roman" w:hAnsi="Arial" w:cs="Arial"/>
          <w:sz w:val="24"/>
          <w:szCs w:val="24"/>
          <w:lang w:val="en-US" w:eastAsia="en-ZA"/>
        </w:rPr>
        <w:t xml:space="preserve">reasoned that the non-service on the State Attorney </w:t>
      </w:r>
      <w:r w:rsidR="00B7172B" w:rsidRPr="00B801B9">
        <w:rPr>
          <w:rFonts w:ascii="Arial" w:eastAsia="Times New Roman" w:hAnsi="Arial" w:cs="Arial"/>
          <w:sz w:val="24"/>
          <w:szCs w:val="24"/>
          <w:lang w:val="en-US" w:eastAsia="en-ZA"/>
        </w:rPr>
        <w:t xml:space="preserve">did not </w:t>
      </w:r>
      <w:r w:rsidR="000C2373" w:rsidRPr="00B801B9">
        <w:rPr>
          <w:rFonts w:ascii="Arial" w:eastAsia="Times New Roman" w:hAnsi="Arial" w:cs="Arial"/>
          <w:sz w:val="24"/>
          <w:szCs w:val="24"/>
          <w:lang w:val="en-US" w:eastAsia="en-ZA"/>
        </w:rPr>
        <w:t xml:space="preserve">render the summons </w:t>
      </w:r>
      <w:r w:rsidR="00B7172B" w:rsidRPr="00B801B9">
        <w:rPr>
          <w:rFonts w:ascii="Arial" w:eastAsia="Times New Roman" w:hAnsi="Arial" w:cs="Arial"/>
          <w:sz w:val="24"/>
          <w:szCs w:val="24"/>
          <w:lang w:val="en-US" w:eastAsia="en-ZA"/>
        </w:rPr>
        <w:t>a nullity. A</w:t>
      </w:r>
      <w:r w:rsidR="00DD243B" w:rsidRPr="00B801B9">
        <w:rPr>
          <w:rFonts w:ascii="Arial" w:eastAsia="Times New Roman" w:hAnsi="Arial" w:cs="Arial"/>
          <w:sz w:val="24"/>
          <w:szCs w:val="24"/>
          <w:lang w:val="en-US" w:eastAsia="en-ZA"/>
        </w:rPr>
        <w:t xml:space="preserve">t most, </w:t>
      </w:r>
      <w:r w:rsidR="00B7172B" w:rsidRPr="00B801B9">
        <w:rPr>
          <w:rFonts w:ascii="Arial" w:eastAsia="Times New Roman" w:hAnsi="Arial" w:cs="Arial"/>
          <w:sz w:val="24"/>
          <w:szCs w:val="24"/>
          <w:lang w:val="en-US" w:eastAsia="en-ZA"/>
        </w:rPr>
        <w:t xml:space="preserve">the high court held, the non-service </w:t>
      </w:r>
      <w:r w:rsidR="00DD243B" w:rsidRPr="00B801B9">
        <w:rPr>
          <w:rFonts w:ascii="Arial" w:eastAsia="Times New Roman" w:hAnsi="Arial" w:cs="Arial"/>
          <w:sz w:val="24"/>
          <w:szCs w:val="24"/>
          <w:lang w:val="en-US" w:eastAsia="en-ZA"/>
        </w:rPr>
        <w:t>constituted an irregular step, which could be rectified. It further held that</w:t>
      </w:r>
      <w:r w:rsidR="00B7172B" w:rsidRPr="00B801B9">
        <w:rPr>
          <w:rFonts w:ascii="Arial" w:eastAsia="Times New Roman" w:hAnsi="Arial" w:cs="Arial"/>
          <w:sz w:val="24"/>
          <w:szCs w:val="24"/>
          <w:lang w:val="en-US" w:eastAsia="en-ZA"/>
        </w:rPr>
        <w:t>, in any event,</w:t>
      </w:r>
      <w:r w:rsidR="00DD243B" w:rsidRPr="00B801B9">
        <w:rPr>
          <w:rFonts w:ascii="Arial" w:eastAsia="Times New Roman" w:hAnsi="Arial" w:cs="Arial"/>
          <w:sz w:val="24"/>
          <w:szCs w:val="24"/>
          <w:lang w:val="en-US" w:eastAsia="en-ZA"/>
        </w:rPr>
        <w:t xml:space="preserve"> the ‘irregular step’ of non-service became moot when the State Attorney formally placed itself on record on behalf of the appellants, exchanged pleadings with the respondent’s attorneys, and participated in a pre-trial conference. The high court concluded that the appellants had failed to </w:t>
      </w:r>
      <w:r w:rsidR="00530D15" w:rsidRPr="00B801B9">
        <w:rPr>
          <w:rFonts w:ascii="Arial" w:eastAsia="Times New Roman" w:hAnsi="Arial" w:cs="Arial"/>
          <w:sz w:val="24"/>
          <w:szCs w:val="24"/>
          <w:lang w:val="en-US" w:eastAsia="en-ZA"/>
        </w:rPr>
        <w:lastRenderedPageBreak/>
        <w:t xml:space="preserve">demonstrate that they were prejudiced by non-service on the State Attorney. It accordingly dismissed the </w:t>
      </w:r>
      <w:r w:rsidR="00AF2E67" w:rsidRPr="00B801B9">
        <w:rPr>
          <w:rFonts w:ascii="Arial" w:eastAsia="Times New Roman" w:hAnsi="Arial" w:cs="Arial"/>
          <w:sz w:val="24"/>
          <w:szCs w:val="24"/>
          <w:lang w:val="en-US" w:eastAsia="en-ZA"/>
        </w:rPr>
        <w:t xml:space="preserve">appellants’ </w:t>
      </w:r>
      <w:r w:rsidR="00530D15" w:rsidRPr="00B801B9">
        <w:rPr>
          <w:rFonts w:ascii="Arial" w:eastAsia="Times New Roman" w:hAnsi="Arial" w:cs="Arial"/>
          <w:sz w:val="24"/>
          <w:szCs w:val="24"/>
          <w:lang w:val="en-US" w:eastAsia="en-ZA"/>
        </w:rPr>
        <w:t>special pleas.</w:t>
      </w:r>
    </w:p>
    <w:p w14:paraId="0E39B5BC" w14:textId="77777777" w:rsidR="00B801B9" w:rsidRPr="00B801B9" w:rsidRDefault="00B801B9" w:rsidP="00B801B9">
      <w:pPr>
        <w:shd w:val="clear" w:color="auto" w:fill="FFFFFF"/>
        <w:spacing w:before="120" w:after="720" w:line="360" w:lineRule="auto"/>
        <w:contextualSpacing/>
        <w:jc w:val="both"/>
        <w:rPr>
          <w:rFonts w:ascii="Arial" w:eastAsia="Times New Roman" w:hAnsi="Arial" w:cs="Arial"/>
          <w:sz w:val="24"/>
          <w:szCs w:val="24"/>
          <w:lang w:val="en-US" w:eastAsia="en-ZA"/>
        </w:rPr>
      </w:pPr>
    </w:p>
    <w:p w14:paraId="78844922" w14:textId="25A278F2" w:rsidR="005223A1" w:rsidRPr="00B801B9" w:rsidRDefault="00E33BD3" w:rsidP="005223A1">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In this Court,</w:t>
      </w:r>
      <w:r w:rsidR="002A2C9D" w:rsidRPr="00B801B9">
        <w:rPr>
          <w:rFonts w:ascii="Arial" w:eastAsia="Times New Roman" w:hAnsi="Arial" w:cs="Arial"/>
          <w:sz w:val="24"/>
          <w:szCs w:val="24"/>
          <w:lang w:val="en-US" w:eastAsia="en-ZA"/>
        </w:rPr>
        <w:t xml:space="preserve"> </w:t>
      </w:r>
      <w:r w:rsidR="00882FC3" w:rsidRPr="00B801B9">
        <w:rPr>
          <w:rFonts w:ascii="Arial" w:eastAsia="Times New Roman" w:hAnsi="Arial" w:cs="Arial"/>
          <w:sz w:val="24"/>
          <w:szCs w:val="24"/>
          <w:lang w:val="en-US" w:eastAsia="en-ZA"/>
        </w:rPr>
        <w:t>the submissions</w:t>
      </w:r>
      <w:r w:rsidR="00CD04EB" w:rsidRPr="00B801B9">
        <w:rPr>
          <w:rFonts w:ascii="Arial" w:eastAsia="Times New Roman" w:hAnsi="Arial" w:cs="Arial"/>
          <w:sz w:val="24"/>
          <w:szCs w:val="24"/>
          <w:lang w:val="en-US" w:eastAsia="en-ZA"/>
        </w:rPr>
        <w:t xml:space="preserve"> </w:t>
      </w:r>
      <w:r w:rsidR="00AF2E67" w:rsidRPr="00B801B9">
        <w:rPr>
          <w:rFonts w:ascii="Arial" w:eastAsia="Times New Roman" w:hAnsi="Arial" w:cs="Arial"/>
          <w:sz w:val="24"/>
          <w:szCs w:val="24"/>
          <w:lang w:val="en-US" w:eastAsia="en-ZA"/>
        </w:rPr>
        <w:t>on behalf of the appellants</w:t>
      </w:r>
      <w:r w:rsidR="00882FC3" w:rsidRPr="00B801B9">
        <w:rPr>
          <w:rFonts w:ascii="Arial" w:eastAsia="Times New Roman" w:hAnsi="Arial" w:cs="Arial"/>
          <w:sz w:val="24"/>
          <w:szCs w:val="24"/>
          <w:lang w:val="en-US" w:eastAsia="en-ZA"/>
        </w:rPr>
        <w:t xml:space="preserve"> were</w:t>
      </w:r>
      <w:r w:rsidR="00AF2E67" w:rsidRPr="00B801B9">
        <w:rPr>
          <w:rFonts w:ascii="Arial" w:eastAsia="Times New Roman" w:hAnsi="Arial" w:cs="Arial"/>
          <w:sz w:val="24"/>
          <w:szCs w:val="24"/>
          <w:lang w:val="en-US" w:eastAsia="en-ZA"/>
        </w:rPr>
        <w:t xml:space="preserve"> </w:t>
      </w:r>
      <w:r w:rsidR="00CD04EB" w:rsidRPr="00B801B9">
        <w:rPr>
          <w:rFonts w:ascii="Arial" w:eastAsia="Times New Roman" w:hAnsi="Arial" w:cs="Arial"/>
          <w:sz w:val="24"/>
          <w:szCs w:val="24"/>
          <w:lang w:val="en-US" w:eastAsia="en-ZA"/>
        </w:rPr>
        <w:t>as follows.</w:t>
      </w:r>
      <w:r w:rsidR="00530D15" w:rsidRPr="00B801B9">
        <w:rPr>
          <w:rFonts w:ascii="Arial" w:eastAsia="Times New Roman" w:hAnsi="Arial" w:cs="Arial"/>
          <w:sz w:val="24"/>
          <w:szCs w:val="24"/>
          <w:lang w:val="en-US" w:eastAsia="en-ZA"/>
        </w:rPr>
        <w:t xml:space="preserve"> </w:t>
      </w:r>
      <w:r w:rsidR="00CD04EB" w:rsidRPr="00B801B9">
        <w:rPr>
          <w:rFonts w:ascii="Arial" w:eastAsia="Times New Roman" w:hAnsi="Arial" w:cs="Arial"/>
          <w:sz w:val="24"/>
          <w:szCs w:val="24"/>
          <w:lang w:val="en-US" w:eastAsia="en-ZA"/>
        </w:rPr>
        <w:t>S</w:t>
      </w:r>
      <w:r w:rsidR="009317ED" w:rsidRPr="00B801B9">
        <w:rPr>
          <w:rFonts w:ascii="Arial" w:eastAsia="Times New Roman" w:hAnsi="Arial" w:cs="Arial"/>
          <w:sz w:val="24"/>
          <w:szCs w:val="24"/>
          <w:lang w:val="en-US" w:eastAsia="en-ZA"/>
        </w:rPr>
        <w:t>ervice upon the State Attorney was ‘mandatory’ in terms of s 2(2) of the</w:t>
      </w:r>
      <w:r w:rsidR="009317ED" w:rsidRPr="00B801B9">
        <w:rPr>
          <w:rFonts w:ascii="Arial" w:hAnsi="Arial" w:cs="Arial"/>
          <w:sz w:val="24"/>
          <w:szCs w:val="24"/>
        </w:rPr>
        <w:t xml:space="preserve"> </w:t>
      </w:r>
      <w:bookmarkStart w:id="8" w:name="_Hlk106864377"/>
      <w:r w:rsidR="009317ED" w:rsidRPr="00B801B9">
        <w:rPr>
          <w:rFonts w:ascii="Arial" w:hAnsi="Arial" w:cs="Arial"/>
          <w:sz w:val="24"/>
          <w:szCs w:val="24"/>
        </w:rPr>
        <w:t xml:space="preserve">State Liability </w:t>
      </w:r>
      <w:r w:rsidR="009317ED" w:rsidRPr="00B801B9">
        <w:rPr>
          <w:rFonts w:ascii="Arial" w:eastAsia="Times New Roman" w:hAnsi="Arial" w:cs="Arial"/>
          <w:sz w:val="24"/>
          <w:szCs w:val="24"/>
          <w:lang w:val="en-US" w:eastAsia="en-ZA"/>
        </w:rPr>
        <w:t>Act</w:t>
      </w:r>
      <w:bookmarkEnd w:id="8"/>
      <w:r w:rsidR="009317ED" w:rsidRPr="00B801B9">
        <w:rPr>
          <w:rFonts w:ascii="Arial" w:eastAsia="Times New Roman" w:hAnsi="Arial" w:cs="Arial"/>
          <w:sz w:val="24"/>
          <w:szCs w:val="24"/>
          <w:lang w:val="en-US" w:eastAsia="en-ZA"/>
        </w:rPr>
        <w:t xml:space="preserve">, </w:t>
      </w:r>
      <w:r w:rsidR="00F015B2" w:rsidRPr="00B801B9">
        <w:rPr>
          <w:rFonts w:ascii="Arial" w:eastAsia="Times New Roman" w:hAnsi="Arial" w:cs="Arial"/>
          <w:sz w:val="24"/>
          <w:szCs w:val="24"/>
          <w:lang w:val="en-US" w:eastAsia="en-ZA"/>
        </w:rPr>
        <w:t>as that provision was ‘couched in peremptory terms by the use of the word</w:t>
      </w:r>
      <w:r w:rsidR="00DC6782" w:rsidRPr="00B801B9">
        <w:rPr>
          <w:rFonts w:ascii="Arial" w:eastAsia="Times New Roman" w:hAnsi="Arial" w:cs="Arial"/>
          <w:sz w:val="24"/>
          <w:szCs w:val="24"/>
          <w:lang w:val="en-US" w:eastAsia="en-ZA"/>
        </w:rPr>
        <w:t>s</w:t>
      </w:r>
      <w:r w:rsidR="00F015B2" w:rsidRPr="00B801B9">
        <w:rPr>
          <w:rFonts w:ascii="Arial" w:eastAsia="Times New Roman" w:hAnsi="Arial" w:cs="Arial"/>
          <w:sz w:val="24"/>
          <w:szCs w:val="24"/>
          <w:lang w:val="en-US" w:eastAsia="en-ZA"/>
        </w:rPr>
        <w:t xml:space="preserve"> </w:t>
      </w:r>
      <w:r w:rsidR="008947AB" w:rsidRPr="00B801B9">
        <w:rPr>
          <w:rFonts w:ascii="Arial" w:eastAsia="Times New Roman" w:hAnsi="Arial" w:cs="Arial"/>
          <w:sz w:val="24"/>
          <w:szCs w:val="24"/>
          <w:lang w:val="en-US" w:eastAsia="en-ZA"/>
        </w:rPr>
        <w:t>“</w:t>
      </w:r>
      <w:r w:rsidR="00F015B2" w:rsidRPr="00B801B9">
        <w:rPr>
          <w:rFonts w:ascii="Arial" w:eastAsia="Times New Roman" w:hAnsi="Arial" w:cs="Arial"/>
          <w:sz w:val="24"/>
          <w:szCs w:val="24"/>
          <w:lang w:val="en-US" w:eastAsia="en-ZA"/>
        </w:rPr>
        <w:t>must</w:t>
      </w:r>
      <w:r w:rsidR="00DC6782" w:rsidRPr="00B801B9">
        <w:rPr>
          <w:rFonts w:ascii="Arial" w:eastAsia="Times New Roman" w:hAnsi="Arial" w:cs="Arial"/>
          <w:sz w:val="24"/>
          <w:szCs w:val="24"/>
          <w:lang w:val="en-US" w:eastAsia="en-ZA"/>
        </w:rPr>
        <w:t xml:space="preserve"> within 7 days serve</w:t>
      </w:r>
      <w:r w:rsidR="008947AB" w:rsidRPr="00B801B9">
        <w:rPr>
          <w:rFonts w:ascii="Arial" w:eastAsia="Times New Roman" w:hAnsi="Arial" w:cs="Arial"/>
          <w:sz w:val="24"/>
          <w:szCs w:val="24"/>
          <w:lang w:val="en-US" w:eastAsia="en-ZA"/>
        </w:rPr>
        <w:t>”</w:t>
      </w:r>
      <w:r w:rsidR="006E313E" w:rsidRPr="00B801B9">
        <w:rPr>
          <w:rFonts w:ascii="Arial" w:eastAsia="Times New Roman" w:hAnsi="Arial" w:cs="Arial"/>
          <w:sz w:val="24"/>
          <w:szCs w:val="24"/>
          <w:lang w:val="en-US" w:eastAsia="en-ZA"/>
        </w:rPr>
        <w:t>.</w:t>
      </w:r>
      <w:r w:rsidR="00F015B2" w:rsidRPr="00B801B9">
        <w:rPr>
          <w:rFonts w:ascii="Arial" w:eastAsia="Times New Roman" w:hAnsi="Arial" w:cs="Arial"/>
          <w:sz w:val="24"/>
          <w:szCs w:val="24"/>
          <w:lang w:val="en-US" w:eastAsia="en-ZA"/>
        </w:rPr>
        <w:t xml:space="preserve">’ </w:t>
      </w:r>
      <w:r w:rsidR="00CD04EB" w:rsidRPr="00B801B9">
        <w:rPr>
          <w:rFonts w:ascii="Arial" w:eastAsia="Times New Roman" w:hAnsi="Arial" w:cs="Arial"/>
          <w:sz w:val="24"/>
          <w:szCs w:val="24"/>
          <w:lang w:val="en-US" w:eastAsia="en-ZA"/>
        </w:rPr>
        <w:t xml:space="preserve">As </w:t>
      </w:r>
      <w:r w:rsidR="00F015B2" w:rsidRPr="00B801B9">
        <w:rPr>
          <w:rFonts w:ascii="Arial" w:eastAsia="Times New Roman" w:hAnsi="Arial" w:cs="Arial"/>
          <w:sz w:val="24"/>
          <w:szCs w:val="24"/>
          <w:lang w:val="en-US" w:eastAsia="en-ZA"/>
        </w:rPr>
        <w:t>the</w:t>
      </w:r>
      <w:r w:rsidR="00F015B2" w:rsidRPr="00B801B9">
        <w:rPr>
          <w:rFonts w:ascii="Arial" w:hAnsi="Arial" w:cs="Arial"/>
          <w:sz w:val="24"/>
          <w:szCs w:val="24"/>
        </w:rPr>
        <w:t xml:space="preserve"> State Liability </w:t>
      </w:r>
      <w:r w:rsidR="00F015B2" w:rsidRPr="00B801B9">
        <w:rPr>
          <w:rFonts w:ascii="Arial" w:eastAsia="Times New Roman" w:hAnsi="Arial" w:cs="Arial"/>
          <w:sz w:val="24"/>
          <w:szCs w:val="24"/>
          <w:lang w:val="en-US" w:eastAsia="en-ZA"/>
        </w:rPr>
        <w:t xml:space="preserve">Act does not make provision for condonation for non-compliance with the service on </w:t>
      </w:r>
      <w:r w:rsidR="00B7172B" w:rsidRPr="00B801B9">
        <w:rPr>
          <w:rFonts w:ascii="Arial" w:eastAsia="Times New Roman" w:hAnsi="Arial" w:cs="Arial"/>
          <w:sz w:val="24"/>
          <w:szCs w:val="24"/>
          <w:lang w:val="en-US" w:eastAsia="en-ZA"/>
        </w:rPr>
        <w:t xml:space="preserve">the </w:t>
      </w:r>
      <w:r w:rsidR="00F015B2" w:rsidRPr="00B801B9">
        <w:rPr>
          <w:rFonts w:ascii="Arial" w:eastAsia="Times New Roman" w:hAnsi="Arial" w:cs="Arial"/>
          <w:sz w:val="24"/>
          <w:szCs w:val="24"/>
          <w:lang w:val="en-US" w:eastAsia="en-ZA"/>
        </w:rPr>
        <w:t>State Attorney</w:t>
      </w:r>
      <w:r w:rsidR="008947AB" w:rsidRPr="00B801B9">
        <w:rPr>
          <w:rFonts w:ascii="Arial" w:eastAsia="Times New Roman" w:hAnsi="Arial" w:cs="Arial"/>
          <w:sz w:val="24"/>
          <w:szCs w:val="24"/>
          <w:lang w:val="en-US" w:eastAsia="en-ZA"/>
        </w:rPr>
        <w:t>, a c</w:t>
      </w:r>
      <w:r w:rsidR="00F015B2" w:rsidRPr="00B801B9">
        <w:rPr>
          <w:rFonts w:ascii="Arial" w:eastAsia="Times New Roman" w:hAnsi="Arial" w:cs="Arial"/>
          <w:sz w:val="24"/>
          <w:szCs w:val="24"/>
          <w:lang w:val="en-US" w:eastAsia="en-ZA"/>
        </w:rPr>
        <w:t xml:space="preserve">ourt had </w:t>
      </w:r>
      <w:r w:rsidR="008947AB" w:rsidRPr="00B801B9">
        <w:rPr>
          <w:rFonts w:ascii="Arial" w:eastAsia="Times New Roman" w:hAnsi="Arial" w:cs="Arial"/>
          <w:sz w:val="24"/>
          <w:szCs w:val="24"/>
          <w:lang w:val="en-US" w:eastAsia="en-ZA"/>
        </w:rPr>
        <w:t xml:space="preserve">no </w:t>
      </w:r>
      <w:r w:rsidR="00F015B2" w:rsidRPr="00B801B9">
        <w:rPr>
          <w:rFonts w:ascii="Arial" w:eastAsia="Times New Roman" w:hAnsi="Arial" w:cs="Arial"/>
          <w:sz w:val="24"/>
          <w:szCs w:val="24"/>
          <w:lang w:val="en-US" w:eastAsia="en-ZA"/>
        </w:rPr>
        <w:t>power</w:t>
      </w:r>
      <w:r w:rsidR="004E7957" w:rsidRPr="00B801B9">
        <w:rPr>
          <w:rFonts w:ascii="Arial" w:eastAsia="Times New Roman" w:hAnsi="Arial" w:cs="Arial"/>
          <w:sz w:val="24"/>
          <w:szCs w:val="24"/>
          <w:lang w:val="en-US" w:eastAsia="en-ZA"/>
        </w:rPr>
        <w:t xml:space="preserve"> to condone </w:t>
      </w:r>
      <w:r w:rsidR="00B7172B" w:rsidRPr="00B801B9">
        <w:rPr>
          <w:rFonts w:ascii="Arial" w:eastAsia="Times New Roman" w:hAnsi="Arial" w:cs="Arial"/>
          <w:sz w:val="24"/>
          <w:szCs w:val="24"/>
          <w:lang w:val="en-US" w:eastAsia="en-ZA"/>
        </w:rPr>
        <w:t xml:space="preserve">such </w:t>
      </w:r>
      <w:r w:rsidR="004E7957" w:rsidRPr="00B801B9">
        <w:rPr>
          <w:rFonts w:ascii="Arial" w:eastAsia="Times New Roman" w:hAnsi="Arial" w:cs="Arial"/>
          <w:sz w:val="24"/>
          <w:szCs w:val="24"/>
          <w:lang w:val="en-US" w:eastAsia="en-ZA"/>
        </w:rPr>
        <w:t xml:space="preserve">non-compliance. </w:t>
      </w:r>
      <w:r w:rsidR="00CD04EB" w:rsidRPr="00B801B9">
        <w:rPr>
          <w:rFonts w:ascii="Arial" w:eastAsia="Times New Roman" w:hAnsi="Arial" w:cs="Arial"/>
          <w:sz w:val="24"/>
          <w:szCs w:val="24"/>
          <w:lang w:val="en-US" w:eastAsia="en-ZA"/>
        </w:rPr>
        <w:t xml:space="preserve">In the result, </w:t>
      </w:r>
      <w:r w:rsidR="004E7957" w:rsidRPr="00B801B9">
        <w:rPr>
          <w:rFonts w:ascii="Arial" w:eastAsia="Times New Roman" w:hAnsi="Arial" w:cs="Arial"/>
          <w:sz w:val="24"/>
          <w:szCs w:val="24"/>
          <w:lang w:val="en-US" w:eastAsia="en-ZA"/>
        </w:rPr>
        <w:t xml:space="preserve">the </w:t>
      </w:r>
      <w:r w:rsidR="00B7172B" w:rsidRPr="00B801B9">
        <w:rPr>
          <w:rFonts w:ascii="Arial" w:eastAsia="Times New Roman" w:hAnsi="Arial" w:cs="Arial"/>
          <w:sz w:val="24"/>
          <w:szCs w:val="24"/>
          <w:lang w:val="en-US" w:eastAsia="en-ZA"/>
        </w:rPr>
        <w:t xml:space="preserve">special plea of non-service should have been upheld. </w:t>
      </w:r>
      <w:r w:rsidR="00CE25DB" w:rsidRPr="00B801B9">
        <w:rPr>
          <w:rFonts w:ascii="Arial" w:eastAsia="Times New Roman" w:hAnsi="Arial" w:cs="Arial"/>
          <w:sz w:val="24"/>
          <w:szCs w:val="24"/>
          <w:lang w:val="en-US" w:eastAsia="en-ZA"/>
        </w:rPr>
        <w:t xml:space="preserve">Alternatively, the high court should have found that the </w:t>
      </w:r>
      <w:r w:rsidR="004E7957" w:rsidRPr="00B801B9">
        <w:rPr>
          <w:rFonts w:ascii="Arial" w:eastAsia="Times New Roman" w:hAnsi="Arial" w:cs="Arial"/>
          <w:sz w:val="24"/>
          <w:szCs w:val="24"/>
          <w:lang w:val="en-US" w:eastAsia="en-ZA"/>
        </w:rPr>
        <w:t>respondent’s action</w:t>
      </w:r>
      <w:r w:rsidR="00775F84" w:rsidRPr="00B801B9">
        <w:rPr>
          <w:rFonts w:ascii="Arial" w:eastAsia="Times New Roman" w:hAnsi="Arial" w:cs="Arial"/>
          <w:sz w:val="24"/>
          <w:szCs w:val="24"/>
          <w:lang w:val="en-US" w:eastAsia="en-ZA"/>
        </w:rPr>
        <w:t xml:space="preserve"> had</w:t>
      </w:r>
      <w:r w:rsidR="00CE25DB" w:rsidRPr="00B801B9">
        <w:rPr>
          <w:rFonts w:ascii="Arial" w:eastAsia="Times New Roman" w:hAnsi="Arial" w:cs="Arial"/>
          <w:sz w:val="24"/>
          <w:szCs w:val="24"/>
          <w:lang w:val="en-US" w:eastAsia="en-ZA"/>
        </w:rPr>
        <w:t xml:space="preserve"> been extinguished by prescription by the time summons was served on the State Attorney on 24 August 2015.</w:t>
      </w:r>
    </w:p>
    <w:p w14:paraId="5986CE8A" w14:textId="628DE482" w:rsidR="00BA3A04" w:rsidRPr="00B801B9" w:rsidRDefault="004E7957" w:rsidP="005223A1">
      <w:pPr>
        <w:shd w:val="clear" w:color="auto" w:fill="FFFFFF"/>
        <w:spacing w:before="120" w:after="720" w:line="360" w:lineRule="auto"/>
        <w:contextualSpacing/>
        <w:jc w:val="both"/>
        <w:rPr>
          <w:rFonts w:ascii="Arial" w:eastAsia="Times New Roman" w:hAnsi="Arial" w:cs="Arial"/>
          <w:sz w:val="24"/>
          <w:szCs w:val="24"/>
          <w:lang w:val="en-US" w:eastAsia="en-ZA"/>
        </w:rPr>
      </w:pPr>
      <w:r w:rsidRPr="00B801B9">
        <w:rPr>
          <w:rFonts w:ascii="Arial" w:eastAsia="Times New Roman" w:hAnsi="Arial" w:cs="Arial"/>
          <w:sz w:val="24"/>
          <w:szCs w:val="24"/>
          <w:lang w:val="en-US" w:eastAsia="en-ZA"/>
        </w:rPr>
        <w:t xml:space="preserve"> </w:t>
      </w:r>
    </w:p>
    <w:p w14:paraId="25D5F841" w14:textId="0907386C" w:rsidR="00BA3A04" w:rsidRPr="00B801B9" w:rsidRDefault="000B5BB5" w:rsidP="00E57DC3">
      <w:pPr>
        <w:numPr>
          <w:ilvl w:val="0"/>
          <w:numId w:val="1"/>
        </w:numPr>
        <w:shd w:val="clear" w:color="auto" w:fill="FFFFFF"/>
        <w:spacing w:before="100" w:beforeAutospacing="1" w:after="3960" w:line="360" w:lineRule="auto"/>
        <w:ind w:left="0" w:firstLine="0"/>
        <w:contextualSpacing/>
        <w:jc w:val="both"/>
        <w:rPr>
          <w:rFonts w:ascii="Arial" w:eastAsia="Times New Roman" w:hAnsi="Arial" w:cs="Arial"/>
          <w:sz w:val="24"/>
          <w:szCs w:val="24"/>
          <w:lang w:val="en-US" w:eastAsia="en-ZA"/>
        </w:rPr>
      </w:pPr>
      <w:r w:rsidRPr="00B801B9">
        <w:rPr>
          <w:rFonts w:ascii="Arial" w:eastAsia="Times New Roman" w:hAnsi="Arial" w:cs="Arial"/>
          <w:sz w:val="24"/>
          <w:szCs w:val="24"/>
          <w:lang w:val="en-US" w:eastAsia="en-ZA"/>
        </w:rPr>
        <w:t xml:space="preserve">The approach </w:t>
      </w:r>
      <w:r w:rsidR="00CE25DB" w:rsidRPr="00B801B9">
        <w:rPr>
          <w:rFonts w:ascii="Arial" w:eastAsia="Times New Roman" w:hAnsi="Arial" w:cs="Arial"/>
          <w:sz w:val="24"/>
          <w:szCs w:val="24"/>
          <w:lang w:val="en-US" w:eastAsia="en-ZA"/>
        </w:rPr>
        <w:t xml:space="preserve">to s 2(2) </w:t>
      </w:r>
      <w:r w:rsidRPr="00B801B9">
        <w:rPr>
          <w:rFonts w:ascii="Arial" w:eastAsia="Times New Roman" w:hAnsi="Arial" w:cs="Arial"/>
          <w:sz w:val="24"/>
          <w:szCs w:val="24"/>
          <w:lang w:val="en-US" w:eastAsia="en-ZA"/>
        </w:rPr>
        <w:t xml:space="preserve">propounded on behalf of the appellants is </w:t>
      </w:r>
      <w:r w:rsidR="006F0F1D" w:rsidRPr="00B801B9">
        <w:rPr>
          <w:rFonts w:ascii="Arial" w:eastAsia="Times New Roman" w:hAnsi="Arial" w:cs="Arial"/>
          <w:sz w:val="24"/>
          <w:szCs w:val="24"/>
          <w:lang w:val="en-US" w:eastAsia="en-ZA"/>
        </w:rPr>
        <w:t xml:space="preserve">incompatible </w:t>
      </w:r>
      <w:r w:rsidRPr="00B801B9">
        <w:rPr>
          <w:rFonts w:ascii="Arial" w:eastAsia="Times New Roman" w:hAnsi="Arial" w:cs="Arial"/>
          <w:sz w:val="24"/>
          <w:szCs w:val="24"/>
          <w:lang w:val="en-US" w:eastAsia="en-ZA"/>
        </w:rPr>
        <w:t>with</w:t>
      </w:r>
      <w:r w:rsidR="00DA5177" w:rsidRPr="00B801B9">
        <w:rPr>
          <w:rFonts w:ascii="Arial" w:eastAsia="Times New Roman" w:hAnsi="Arial" w:cs="Arial"/>
          <w:sz w:val="24"/>
          <w:szCs w:val="24"/>
          <w:lang w:val="en-US" w:eastAsia="en-ZA"/>
        </w:rPr>
        <w:t xml:space="preserve"> the approach to</w:t>
      </w:r>
      <w:r w:rsidRPr="00B801B9">
        <w:rPr>
          <w:rFonts w:ascii="Arial" w:eastAsia="Times New Roman" w:hAnsi="Arial" w:cs="Arial"/>
          <w:sz w:val="24"/>
          <w:szCs w:val="24"/>
          <w:lang w:val="en-US" w:eastAsia="en-ZA"/>
        </w:rPr>
        <w:t xml:space="preserve"> </w:t>
      </w:r>
      <w:r w:rsidR="00882FC3" w:rsidRPr="00B801B9">
        <w:rPr>
          <w:rFonts w:ascii="Arial" w:eastAsia="Times New Roman" w:hAnsi="Arial" w:cs="Arial"/>
          <w:sz w:val="24"/>
          <w:szCs w:val="24"/>
          <w:lang w:val="en-US" w:eastAsia="en-ZA"/>
        </w:rPr>
        <w:t>the interpretation of</w:t>
      </w:r>
      <w:r w:rsidRPr="00B801B9">
        <w:rPr>
          <w:rFonts w:ascii="Arial" w:eastAsia="Times New Roman" w:hAnsi="Arial" w:cs="Arial"/>
          <w:sz w:val="24"/>
          <w:szCs w:val="24"/>
          <w:lang w:val="en-US" w:eastAsia="en-ZA"/>
        </w:rPr>
        <w:t xml:space="preserve"> </w:t>
      </w:r>
      <w:r w:rsidR="00CE25DB" w:rsidRPr="00B801B9">
        <w:rPr>
          <w:rFonts w:ascii="Arial" w:eastAsia="Times New Roman" w:hAnsi="Arial" w:cs="Arial"/>
          <w:sz w:val="24"/>
          <w:szCs w:val="24"/>
          <w:lang w:val="en-US" w:eastAsia="en-ZA"/>
        </w:rPr>
        <w:t xml:space="preserve">similar </w:t>
      </w:r>
      <w:r w:rsidRPr="00B801B9">
        <w:rPr>
          <w:rFonts w:ascii="Arial" w:eastAsia="Times New Roman" w:hAnsi="Arial" w:cs="Arial"/>
          <w:sz w:val="24"/>
          <w:szCs w:val="24"/>
          <w:lang w:val="en-US" w:eastAsia="en-ZA"/>
        </w:rPr>
        <w:t xml:space="preserve">provisions by our courts. </w:t>
      </w:r>
      <w:r w:rsidR="00F774B7" w:rsidRPr="00B801B9">
        <w:rPr>
          <w:rFonts w:ascii="Arial" w:eastAsia="Times New Roman" w:hAnsi="Arial" w:cs="Arial"/>
          <w:sz w:val="24"/>
          <w:szCs w:val="24"/>
          <w:lang w:val="en-US" w:eastAsia="en-ZA"/>
        </w:rPr>
        <w:t>As explained in</w:t>
      </w:r>
      <w:r w:rsidR="00F774B7" w:rsidRPr="00B801B9">
        <w:rPr>
          <w:rFonts w:ascii="Arial" w:eastAsia="Times New Roman" w:hAnsi="Arial" w:cs="Arial"/>
          <w:i/>
          <w:iCs/>
          <w:sz w:val="24"/>
          <w:szCs w:val="24"/>
          <w:lang w:val="en-US" w:eastAsia="en-ZA"/>
        </w:rPr>
        <w:t xml:space="preserve"> </w:t>
      </w:r>
      <w:r w:rsidR="00F774B7" w:rsidRPr="00B801B9">
        <w:rPr>
          <w:rFonts w:ascii="Arial" w:hAnsi="Arial" w:cs="Arial"/>
          <w:i/>
          <w:iCs/>
          <w:sz w:val="24"/>
          <w:szCs w:val="24"/>
        </w:rPr>
        <w:t>All Pay Consolidated Investment Holdings (Pty) Ltd and Others v The Chief Executive Officer, South African Social Security Agency and Others</w:t>
      </w:r>
      <w:r w:rsidR="00F774B7" w:rsidRPr="00B801B9">
        <w:rPr>
          <w:rFonts w:ascii="Arial" w:hAnsi="Arial" w:cs="Arial"/>
          <w:sz w:val="24"/>
          <w:szCs w:val="24"/>
        </w:rPr>
        <w:t> [201</w:t>
      </w:r>
      <w:r w:rsidR="00BC14B3" w:rsidRPr="00B801B9">
        <w:rPr>
          <w:rFonts w:ascii="Arial" w:hAnsi="Arial" w:cs="Arial"/>
          <w:sz w:val="24"/>
          <w:szCs w:val="24"/>
        </w:rPr>
        <w:t>3</w:t>
      </w:r>
      <w:r w:rsidR="00F774B7" w:rsidRPr="00B801B9">
        <w:rPr>
          <w:rFonts w:ascii="Arial" w:hAnsi="Arial" w:cs="Arial"/>
          <w:sz w:val="24"/>
          <w:szCs w:val="24"/>
        </w:rPr>
        <w:t>] ZACC 42; 2014 (1) SA 604 (CC)</w:t>
      </w:r>
      <w:r w:rsidR="00BC14B3" w:rsidRPr="00B801B9">
        <w:rPr>
          <w:rFonts w:ascii="Arial" w:hAnsi="Arial" w:cs="Arial"/>
          <w:sz w:val="24"/>
          <w:szCs w:val="24"/>
        </w:rPr>
        <w:t>; 2014 (1) BCLR 1</w:t>
      </w:r>
      <w:r w:rsidR="00E57DC3">
        <w:rPr>
          <w:rFonts w:ascii="Arial" w:hAnsi="Arial" w:cs="Arial"/>
          <w:sz w:val="24"/>
          <w:szCs w:val="24"/>
        </w:rPr>
        <w:t xml:space="preserve"> </w:t>
      </w:r>
      <w:r w:rsidR="00BC14B3" w:rsidRPr="00B801B9">
        <w:rPr>
          <w:rFonts w:ascii="Arial" w:hAnsi="Arial" w:cs="Arial"/>
          <w:sz w:val="24"/>
          <w:szCs w:val="24"/>
        </w:rPr>
        <w:t>(CC)</w:t>
      </w:r>
      <w:r w:rsidR="00F774B7" w:rsidRPr="00B801B9">
        <w:rPr>
          <w:rFonts w:ascii="Arial" w:hAnsi="Arial" w:cs="Arial"/>
          <w:sz w:val="24"/>
          <w:szCs w:val="24"/>
        </w:rPr>
        <w:t xml:space="preserve"> para 30</w:t>
      </w:r>
      <w:r w:rsidR="00B407B9" w:rsidRPr="00B801B9">
        <w:rPr>
          <w:rFonts w:ascii="Arial" w:hAnsi="Arial" w:cs="Arial"/>
          <w:sz w:val="24"/>
          <w:szCs w:val="24"/>
        </w:rPr>
        <w:t>, t</w:t>
      </w:r>
      <w:r w:rsidR="00F774B7" w:rsidRPr="00B801B9">
        <w:rPr>
          <w:rFonts w:ascii="Arial" w:hAnsi="Arial" w:cs="Arial"/>
          <w:sz w:val="24"/>
          <w:szCs w:val="24"/>
          <w:shd w:val="clear" w:color="auto" w:fill="FFFFFF"/>
        </w:rPr>
        <w:t xml:space="preserve">he strict mechanical approach of drawing </w:t>
      </w:r>
      <w:r w:rsidR="00BC14B3" w:rsidRPr="00B801B9">
        <w:rPr>
          <w:rFonts w:ascii="Arial" w:hAnsi="Arial" w:cs="Arial"/>
          <w:sz w:val="24"/>
          <w:szCs w:val="24"/>
          <w:shd w:val="clear" w:color="auto" w:fill="FFFFFF"/>
        </w:rPr>
        <w:t>‘</w:t>
      </w:r>
      <w:r w:rsidR="00F774B7" w:rsidRPr="00B801B9">
        <w:rPr>
          <w:rFonts w:ascii="Arial" w:hAnsi="Arial" w:cs="Arial"/>
          <w:sz w:val="24"/>
          <w:szCs w:val="24"/>
          <w:shd w:val="clear" w:color="auto" w:fill="FFFFFF"/>
        </w:rPr>
        <w:t>formal distinctions between</w:t>
      </w:r>
      <w:r w:rsidR="00EB63BF" w:rsidRPr="00B801B9">
        <w:rPr>
          <w:rFonts w:ascii="Arial" w:hAnsi="Arial" w:cs="Arial"/>
          <w:sz w:val="24"/>
          <w:szCs w:val="24"/>
          <w:shd w:val="clear" w:color="auto" w:fill="FFFFFF"/>
        </w:rPr>
        <w:t xml:space="preserve"> “</w:t>
      </w:r>
      <w:r w:rsidR="00F774B7" w:rsidRPr="00B801B9">
        <w:rPr>
          <w:rFonts w:ascii="Arial" w:hAnsi="Arial" w:cs="Arial"/>
          <w:sz w:val="24"/>
          <w:szCs w:val="24"/>
          <w:shd w:val="clear" w:color="auto" w:fill="FFFFFF"/>
        </w:rPr>
        <w:t>mandatory or peremptory</w:t>
      </w:r>
      <w:r w:rsidR="00EB63BF" w:rsidRPr="00B801B9">
        <w:rPr>
          <w:rFonts w:ascii="Arial" w:hAnsi="Arial" w:cs="Arial"/>
          <w:sz w:val="24"/>
          <w:szCs w:val="24"/>
          <w:shd w:val="clear" w:color="auto" w:fill="FFFFFF"/>
        </w:rPr>
        <w:t>”</w:t>
      </w:r>
      <w:r w:rsidR="00F774B7" w:rsidRPr="00B801B9">
        <w:rPr>
          <w:rFonts w:ascii="Arial" w:hAnsi="Arial" w:cs="Arial"/>
          <w:sz w:val="24"/>
          <w:szCs w:val="24"/>
          <w:shd w:val="clear" w:color="auto" w:fill="FFFFFF"/>
        </w:rPr>
        <w:t xml:space="preserve"> provisions on the one hand and </w:t>
      </w:r>
      <w:r w:rsidR="00CE220E" w:rsidRPr="00B801B9">
        <w:rPr>
          <w:rFonts w:ascii="Arial" w:hAnsi="Arial" w:cs="Arial"/>
          <w:sz w:val="24"/>
          <w:szCs w:val="24"/>
          <w:shd w:val="clear" w:color="auto" w:fill="FFFFFF"/>
        </w:rPr>
        <w:t>“</w:t>
      </w:r>
      <w:r w:rsidR="00F774B7" w:rsidRPr="00B801B9">
        <w:rPr>
          <w:rFonts w:ascii="Arial" w:hAnsi="Arial" w:cs="Arial"/>
          <w:sz w:val="24"/>
          <w:szCs w:val="24"/>
          <w:shd w:val="clear" w:color="auto" w:fill="FFFFFF"/>
        </w:rPr>
        <w:t>directory</w:t>
      </w:r>
      <w:r w:rsidR="00CE220E" w:rsidRPr="00B801B9">
        <w:rPr>
          <w:rFonts w:ascii="Arial" w:hAnsi="Arial" w:cs="Arial"/>
          <w:sz w:val="24"/>
          <w:szCs w:val="24"/>
          <w:shd w:val="clear" w:color="auto" w:fill="FFFFFF"/>
        </w:rPr>
        <w:t>”</w:t>
      </w:r>
      <w:r w:rsidR="00F774B7" w:rsidRPr="00B801B9">
        <w:rPr>
          <w:rFonts w:ascii="Arial" w:hAnsi="Arial" w:cs="Arial"/>
          <w:sz w:val="24"/>
          <w:szCs w:val="24"/>
          <w:shd w:val="clear" w:color="auto" w:fill="FFFFFF"/>
        </w:rPr>
        <w:t xml:space="preserve"> ones on the other, the former needing strict compliance on pain of non-validity, and the latter only substantial compliance or even non-compliance, has been discarded</w:t>
      </w:r>
      <w:r w:rsidR="00BC14B3" w:rsidRPr="00B801B9">
        <w:rPr>
          <w:rFonts w:ascii="Arial" w:hAnsi="Arial" w:cs="Arial"/>
          <w:sz w:val="24"/>
          <w:szCs w:val="24"/>
          <w:shd w:val="clear" w:color="auto" w:fill="FFFFFF"/>
        </w:rPr>
        <w:t>’</w:t>
      </w:r>
      <w:r w:rsidR="00F774B7" w:rsidRPr="00B801B9">
        <w:rPr>
          <w:rFonts w:ascii="Arial" w:hAnsi="Arial" w:cs="Arial"/>
          <w:sz w:val="24"/>
          <w:szCs w:val="24"/>
          <w:shd w:val="clear" w:color="auto" w:fill="FFFFFF"/>
        </w:rPr>
        <w:t xml:space="preserve">.  </w:t>
      </w:r>
    </w:p>
    <w:p w14:paraId="74FEE6BF" w14:textId="77777777" w:rsidR="00DB4FEA" w:rsidRPr="00B801B9" w:rsidRDefault="00DB4FEA" w:rsidP="00E57DC3">
      <w:pPr>
        <w:shd w:val="clear" w:color="auto" w:fill="FFFFFF"/>
        <w:spacing w:before="100" w:beforeAutospacing="1" w:after="3960" w:line="360" w:lineRule="auto"/>
        <w:contextualSpacing/>
        <w:jc w:val="both"/>
        <w:rPr>
          <w:rFonts w:ascii="Arial" w:eastAsia="Times New Roman" w:hAnsi="Arial" w:cs="Arial"/>
          <w:sz w:val="24"/>
          <w:szCs w:val="24"/>
          <w:lang w:val="en-US" w:eastAsia="en-ZA"/>
        </w:rPr>
      </w:pPr>
    </w:p>
    <w:p w14:paraId="5141F1DA" w14:textId="1D7BE791" w:rsidR="00577284" w:rsidRPr="00B801B9" w:rsidRDefault="00B407B9" w:rsidP="00F109E8">
      <w:pPr>
        <w:numPr>
          <w:ilvl w:val="0"/>
          <w:numId w:val="1"/>
        </w:numPr>
        <w:shd w:val="clear" w:color="auto" w:fill="FFFFFF"/>
        <w:spacing w:before="120" w:after="720" w:line="360" w:lineRule="auto"/>
        <w:ind w:left="0" w:firstLine="0"/>
        <w:contextualSpacing/>
        <w:jc w:val="both"/>
        <w:rPr>
          <w:rFonts w:ascii="Arial" w:eastAsia="Times New Roman" w:hAnsi="Arial" w:cs="Arial"/>
          <w:i/>
          <w:iCs/>
          <w:sz w:val="24"/>
          <w:szCs w:val="24"/>
          <w:u w:val="single"/>
          <w:lang w:val="en-US" w:eastAsia="en-ZA"/>
        </w:rPr>
      </w:pPr>
      <w:r w:rsidRPr="00B801B9">
        <w:rPr>
          <w:rFonts w:ascii="Arial" w:hAnsi="Arial" w:cs="Arial"/>
          <w:sz w:val="24"/>
          <w:szCs w:val="24"/>
        </w:rPr>
        <w:t xml:space="preserve">The jettisoning of the ‘mechanical approach’ has its origin </w:t>
      </w:r>
      <w:r w:rsidR="00F109E8" w:rsidRPr="00B801B9">
        <w:rPr>
          <w:rFonts w:ascii="Arial" w:hAnsi="Arial" w:cs="Arial"/>
          <w:sz w:val="24"/>
          <w:szCs w:val="24"/>
        </w:rPr>
        <w:t>in </w:t>
      </w:r>
      <w:r w:rsidR="00F109E8" w:rsidRPr="00B801B9">
        <w:rPr>
          <w:rFonts w:ascii="Arial" w:hAnsi="Arial" w:cs="Arial"/>
          <w:i/>
          <w:iCs/>
          <w:sz w:val="24"/>
          <w:szCs w:val="24"/>
        </w:rPr>
        <w:t>Maharaj and Others v Rampersad</w:t>
      </w:r>
      <w:r w:rsidR="00F109E8" w:rsidRPr="00B801B9">
        <w:rPr>
          <w:rFonts w:ascii="Arial" w:hAnsi="Arial" w:cs="Arial"/>
          <w:sz w:val="24"/>
          <w:szCs w:val="24"/>
        </w:rPr>
        <w:t> </w:t>
      </w:r>
      <w:bookmarkStart w:id="9" w:name="_Hlk107610738"/>
      <w:r w:rsidR="00F109E8" w:rsidRPr="00B801B9">
        <w:rPr>
          <w:rFonts w:ascii="Arial" w:hAnsi="Arial" w:cs="Arial"/>
          <w:sz w:val="24"/>
          <w:szCs w:val="24"/>
        </w:rPr>
        <w:t>1964 (4) SA 638 (A)</w:t>
      </w:r>
      <w:bookmarkEnd w:id="9"/>
      <w:r w:rsidRPr="00B801B9">
        <w:rPr>
          <w:rFonts w:ascii="Arial" w:hAnsi="Arial" w:cs="Arial"/>
          <w:sz w:val="24"/>
          <w:szCs w:val="24"/>
        </w:rPr>
        <w:t>. A</w:t>
      </w:r>
      <w:r w:rsidR="00F109E8" w:rsidRPr="00B801B9">
        <w:rPr>
          <w:rFonts w:ascii="Arial" w:hAnsi="Arial" w:cs="Arial"/>
          <w:sz w:val="24"/>
          <w:szCs w:val="24"/>
        </w:rPr>
        <w:t xml:space="preserve">fter having concluded that the legislative provision it was concerned with was peremptory, </w:t>
      </w:r>
      <w:r w:rsidRPr="00B801B9">
        <w:rPr>
          <w:rFonts w:ascii="Arial" w:hAnsi="Arial" w:cs="Arial"/>
          <w:sz w:val="24"/>
          <w:szCs w:val="24"/>
        </w:rPr>
        <w:t>th</w:t>
      </w:r>
      <w:r w:rsidR="00CE25DB" w:rsidRPr="00B801B9">
        <w:rPr>
          <w:rFonts w:ascii="Arial" w:hAnsi="Arial" w:cs="Arial"/>
          <w:sz w:val="24"/>
          <w:szCs w:val="24"/>
        </w:rPr>
        <w:t>e</w:t>
      </w:r>
      <w:r w:rsidRPr="00B801B9">
        <w:rPr>
          <w:rFonts w:ascii="Arial" w:hAnsi="Arial" w:cs="Arial"/>
          <w:sz w:val="24"/>
          <w:szCs w:val="24"/>
        </w:rPr>
        <w:t xml:space="preserve"> </w:t>
      </w:r>
      <w:r w:rsidR="00CE25DB" w:rsidRPr="00B801B9">
        <w:rPr>
          <w:rFonts w:ascii="Arial" w:hAnsi="Arial" w:cs="Arial"/>
          <w:sz w:val="24"/>
          <w:szCs w:val="24"/>
        </w:rPr>
        <w:t>c</w:t>
      </w:r>
      <w:r w:rsidRPr="00B801B9">
        <w:rPr>
          <w:rFonts w:ascii="Arial" w:hAnsi="Arial" w:cs="Arial"/>
          <w:sz w:val="24"/>
          <w:szCs w:val="24"/>
        </w:rPr>
        <w:t xml:space="preserve">ourt </w:t>
      </w:r>
      <w:r w:rsidR="00F109E8" w:rsidRPr="00B801B9">
        <w:rPr>
          <w:rFonts w:ascii="Arial" w:hAnsi="Arial" w:cs="Arial"/>
          <w:sz w:val="24"/>
          <w:szCs w:val="24"/>
        </w:rPr>
        <w:t>went on to enquire whether it was fatal that it had not been strictly complied with. Th</w:t>
      </w:r>
      <w:r w:rsidR="00CE25DB" w:rsidRPr="00B801B9">
        <w:rPr>
          <w:rFonts w:ascii="Arial" w:hAnsi="Arial" w:cs="Arial"/>
          <w:sz w:val="24"/>
          <w:szCs w:val="24"/>
        </w:rPr>
        <w:t>is</w:t>
      </w:r>
      <w:r w:rsidR="00F109E8" w:rsidRPr="00B801B9">
        <w:rPr>
          <w:rFonts w:ascii="Arial" w:hAnsi="Arial" w:cs="Arial"/>
          <w:sz w:val="24"/>
          <w:szCs w:val="24"/>
        </w:rPr>
        <w:t xml:space="preserve"> </w:t>
      </w:r>
      <w:r w:rsidR="00CE25DB" w:rsidRPr="00B801B9">
        <w:rPr>
          <w:rFonts w:ascii="Arial" w:hAnsi="Arial" w:cs="Arial"/>
          <w:sz w:val="24"/>
          <w:szCs w:val="24"/>
        </w:rPr>
        <w:t>C</w:t>
      </w:r>
      <w:r w:rsidR="00F109E8" w:rsidRPr="00B801B9">
        <w:rPr>
          <w:rFonts w:ascii="Arial" w:hAnsi="Arial" w:cs="Arial"/>
          <w:sz w:val="24"/>
          <w:szCs w:val="24"/>
        </w:rPr>
        <w:t>ourt laid down the following test</w:t>
      </w:r>
      <w:r w:rsidRPr="00B801B9">
        <w:rPr>
          <w:rFonts w:ascii="Arial" w:hAnsi="Arial" w:cs="Arial"/>
          <w:sz w:val="24"/>
          <w:szCs w:val="24"/>
        </w:rPr>
        <w:t xml:space="preserve"> at 646C</w:t>
      </w:r>
      <w:r w:rsidR="00FD641C" w:rsidRPr="00B801B9">
        <w:rPr>
          <w:rFonts w:ascii="Arial" w:hAnsi="Arial" w:cs="Arial"/>
          <w:sz w:val="24"/>
          <w:szCs w:val="24"/>
        </w:rPr>
        <w:t>-E</w:t>
      </w:r>
      <w:r w:rsidR="00F109E8" w:rsidRPr="00B801B9">
        <w:rPr>
          <w:rFonts w:ascii="Arial" w:hAnsi="Arial" w:cs="Arial"/>
          <w:sz w:val="24"/>
          <w:szCs w:val="24"/>
        </w:rPr>
        <w:t>:</w:t>
      </w:r>
    </w:p>
    <w:p w14:paraId="0363B414" w14:textId="7DAF5737" w:rsidR="008405C1" w:rsidRDefault="00F109E8" w:rsidP="00577284">
      <w:pPr>
        <w:shd w:val="clear" w:color="auto" w:fill="FFFFFF"/>
        <w:spacing w:before="120" w:after="720" w:line="360" w:lineRule="auto"/>
        <w:contextualSpacing/>
        <w:jc w:val="both"/>
        <w:rPr>
          <w:rFonts w:ascii="Arial" w:hAnsi="Arial" w:cs="Arial"/>
        </w:rPr>
      </w:pPr>
      <w:r w:rsidRPr="00B801B9">
        <w:rPr>
          <w:rFonts w:ascii="Arial" w:hAnsi="Arial" w:cs="Arial"/>
        </w:rPr>
        <w:t>‘</w:t>
      </w:r>
      <w:r w:rsidR="00FD641C" w:rsidRPr="00B801B9">
        <w:rPr>
          <w:rFonts w:ascii="Arial" w:hAnsi="Arial" w:cs="Arial"/>
        </w:rPr>
        <w:t>. . .</w:t>
      </w:r>
      <w:r w:rsidRPr="00B801B9">
        <w:rPr>
          <w:rFonts w:ascii="Arial" w:hAnsi="Arial" w:cs="Arial"/>
        </w:rPr>
        <w:t xml:space="preserve">The enquiry, </w:t>
      </w:r>
      <w:r w:rsidR="00B407B9" w:rsidRPr="00B801B9">
        <w:rPr>
          <w:rFonts w:ascii="Arial" w:hAnsi="Arial" w:cs="Arial"/>
        </w:rPr>
        <w:t xml:space="preserve">… </w:t>
      </w:r>
      <w:r w:rsidRPr="00B801B9">
        <w:rPr>
          <w:rFonts w:ascii="Arial" w:hAnsi="Arial" w:cs="Arial"/>
        </w:rPr>
        <w:t xml:space="preserve">is not so much whether there has been ‘exact’, ‘adequate’ or ‘substantial’ compliance with this injunction but rather whether there has been compliance therewith. This enquiry postulates an application of the injunction to the facts and a resultant comparison between what the position is and what, according to the requirements of the injunction, it ought to be. It is quite conceivable that a court might hold that, even though the position as it is, is not identical with what it ought to be, the injunction has nevertheless been complied with. In </w:t>
      </w:r>
      <w:r w:rsidRPr="00B801B9">
        <w:rPr>
          <w:rFonts w:ascii="Arial" w:hAnsi="Arial" w:cs="Arial"/>
        </w:rPr>
        <w:lastRenderedPageBreak/>
        <w:t>deciding whether there has been a compliance with the injunction the object sought to be achieved by the injunction and the question of whether this object has been achieved, are of importance.’</w:t>
      </w:r>
    </w:p>
    <w:p w14:paraId="4AB1E03A" w14:textId="77777777" w:rsidR="00B801B9" w:rsidRPr="00B801B9" w:rsidRDefault="00B801B9" w:rsidP="00577284">
      <w:pPr>
        <w:shd w:val="clear" w:color="auto" w:fill="FFFFFF"/>
        <w:spacing w:before="120" w:after="720" w:line="360" w:lineRule="auto"/>
        <w:contextualSpacing/>
        <w:jc w:val="both"/>
        <w:rPr>
          <w:rFonts w:ascii="Arial" w:hAnsi="Arial" w:cs="Arial"/>
        </w:rPr>
      </w:pPr>
    </w:p>
    <w:p w14:paraId="0B4B3E0E" w14:textId="79D4146C" w:rsidR="00577284" w:rsidRPr="00B801B9" w:rsidRDefault="00711ED7" w:rsidP="00577284">
      <w:pPr>
        <w:numPr>
          <w:ilvl w:val="0"/>
          <w:numId w:val="1"/>
        </w:numPr>
        <w:shd w:val="clear" w:color="auto" w:fill="FFFFFF"/>
        <w:spacing w:before="120" w:after="720" w:line="360" w:lineRule="auto"/>
        <w:ind w:left="0" w:firstLine="0"/>
        <w:contextualSpacing/>
        <w:jc w:val="both"/>
        <w:rPr>
          <w:rFonts w:ascii="Arial" w:eastAsia="Times New Roman" w:hAnsi="Arial" w:cs="Arial"/>
          <w:i/>
          <w:iCs/>
          <w:sz w:val="24"/>
          <w:szCs w:val="24"/>
          <w:u w:val="single"/>
          <w:lang w:val="en-US" w:eastAsia="en-ZA"/>
        </w:rPr>
      </w:pPr>
      <w:r w:rsidRPr="00B801B9">
        <w:rPr>
          <w:rFonts w:ascii="Arial" w:hAnsi="Arial" w:cs="Arial"/>
          <w:iCs/>
          <w:sz w:val="24"/>
          <w:szCs w:val="24"/>
        </w:rPr>
        <w:t>In</w:t>
      </w:r>
      <w:r w:rsidRPr="00B801B9">
        <w:rPr>
          <w:rFonts w:ascii="Arial" w:hAnsi="Arial" w:cs="Arial"/>
          <w:i/>
          <w:iCs/>
          <w:sz w:val="24"/>
          <w:szCs w:val="24"/>
        </w:rPr>
        <w:t xml:space="preserve"> Nkisimane and </w:t>
      </w:r>
      <w:bookmarkStart w:id="10" w:name="LPHit2"/>
      <w:bookmarkEnd w:id="10"/>
      <w:r w:rsidRPr="00B801B9">
        <w:rPr>
          <w:rFonts w:ascii="Arial" w:hAnsi="Arial" w:cs="Arial"/>
          <w:i/>
          <w:iCs/>
          <w:sz w:val="24"/>
          <w:szCs w:val="24"/>
        </w:rPr>
        <w:t>Others </w:t>
      </w:r>
      <w:bookmarkStart w:id="11" w:name="LPHit3"/>
      <w:bookmarkEnd w:id="11"/>
      <w:r w:rsidRPr="00B801B9">
        <w:rPr>
          <w:rFonts w:ascii="Arial" w:hAnsi="Arial" w:cs="Arial"/>
          <w:i/>
          <w:iCs/>
          <w:sz w:val="24"/>
          <w:szCs w:val="24"/>
        </w:rPr>
        <w:t>v </w:t>
      </w:r>
      <w:bookmarkStart w:id="12" w:name="LPHit4"/>
      <w:bookmarkEnd w:id="12"/>
      <w:r w:rsidRPr="00B801B9">
        <w:rPr>
          <w:rFonts w:ascii="Arial" w:hAnsi="Arial" w:cs="Arial"/>
          <w:i/>
          <w:iCs/>
          <w:sz w:val="24"/>
          <w:szCs w:val="24"/>
        </w:rPr>
        <w:t>Santam </w:t>
      </w:r>
      <w:bookmarkStart w:id="13" w:name="LPHit5"/>
      <w:bookmarkEnd w:id="13"/>
      <w:r w:rsidRPr="00B801B9">
        <w:rPr>
          <w:rFonts w:ascii="Arial" w:hAnsi="Arial" w:cs="Arial"/>
          <w:i/>
          <w:iCs/>
          <w:sz w:val="24"/>
          <w:szCs w:val="24"/>
        </w:rPr>
        <w:t>Insurance </w:t>
      </w:r>
      <w:bookmarkStart w:id="14" w:name="LPHit6"/>
      <w:bookmarkEnd w:id="14"/>
      <w:r w:rsidRPr="00B801B9">
        <w:rPr>
          <w:rFonts w:ascii="Arial" w:hAnsi="Arial" w:cs="Arial"/>
          <w:i/>
          <w:iCs/>
          <w:sz w:val="24"/>
          <w:szCs w:val="24"/>
        </w:rPr>
        <w:t>Co </w:t>
      </w:r>
      <w:bookmarkStart w:id="15" w:name="LPHit7"/>
      <w:bookmarkEnd w:id="15"/>
      <w:r w:rsidRPr="00B801B9">
        <w:rPr>
          <w:rFonts w:ascii="Arial" w:hAnsi="Arial" w:cs="Arial"/>
          <w:i/>
          <w:iCs/>
          <w:sz w:val="24"/>
          <w:szCs w:val="24"/>
        </w:rPr>
        <w:t>Ltd</w:t>
      </w:r>
      <w:r w:rsidRPr="00B801B9">
        <w:rPr>
          <w:rFonts w:ascii="Arial" w:hAnsi="Arial" w:cs="Arial"/>
          <w:sz w:val="24"/>
          <w:szCs w:val="24"/>
        </w:rPr>
        <w:t> 1978 (2) SA 430 (A) at 433H-434</w:t>
      </w:r>
      <w:r w:rsidR="00324A3D" w:rsidRPr="00B801B9">
        <w:rPr>
          <w:rFonts w:ascii="Arial" w:hAnsi="Arial" w:cs="Arial"/>
          <w:sz w:val="24"/>
          <w:szCs w:val="24"/>
        </w:rPr>
        <w:t>A</w:t>
      </w:r>
      <w:r w:rsidRPr="00B801B9">
        <w:rPr>
          <w:rFonts w:ascii="Arial" w:hAnsi="Arial" w:cs="Arial"/>
          <w:sz w:val="24"/>
          <w:szCs w:val="24"/>
        </w:rPr>
        <w:t xml:space="preserve"> th</w:t>
      </w:r>
      <w:r w:rsidR="008405C1" w:rsidRPr="00B801B9">
        <w:rPr>
          <w:rFonts w:ascii="Arial" w:hAnsi="Arial" w:cs="Arial"/>
          <w:sz w:val="24"/>
          <w:szCs w:val="24"/>
        </w:rPr>
        <w:t>e following was said</w:t>
      </w:r>
      <w:r w:rsidRPr="00B801B9">
        <w:rPr>
          <w:rFonts w:ascii="Arial" w:hAnsi="Arial" w:cs="Arial"/>
          <w:sz w:val="24"/>
          <w:szCs w:val="24"/>
        </w:rPr>
        <w:t xml:space="preserve"> about the categorisation of </w:t>
      </w:r>
      <w:r w:rsidRPr="00B801B9">
        <w:rPr>
          <w:rFonts w:ascii="Arial" w:eastAsia="Times New Roman" w:hAnsi="Arial" w:cs="Arial"/>
          <w:sz w:val="24"/>
          <w:szCs w:val="24"/>
          <w:lang w:eastAsia="en-ZA"/>
        </w:rPr>
        <w:t xml:space="preserve">statutory requirements as </w:t>
      </w:r>
      <w:r w:rsidR="009162BA" w:rsidRPr="00B801B9">
        <w:rPr>
          <w:rFonts w:ascii="Arial" w:eastAsia="Times New Roman" w:hAnsi="Arial" w:cs="Arial"/>
          <w:sz w:val="24"/>
          <w:szCs w:val="24"/>
          <w:lang w:eastAsia="en-ZA"/>
        </w:rPr>
        <w:t>‘</w:t>
      </w:r>
      <w:r w:rsidRPr="00B801B9">
        <w:rPr>
          <w:rFonts w:ascii="Arial" w:eastAsia="Times New Roman" w:hAnsi="Arial" w:cs="Arial"/>
          <w:sz w:val="24"/>
          <w:szCs w:val="24"/>
          <w:lang w:eastAsia="en-ZA"/>
        </w:rPr>
        <w:t>peremptory</w:t>
      </w:r>
      <w:r w:rsidR="009162BA" w:rsidRPr="00B801B9">
        <w:rPr>
          <w:rFonts w:ascii="Arial" w:eastAsia="Times New Roman" w:hAnsi="Arial" w:cs="Arial"/>
          <w:sz w:val="24"/>
          <w:szCs w:val="24"/>
          <w:lang w:eastAsia="en-ZA"/>
        </w:rPr>
        <w:t>’</w:t>
      </w:r>
      <w:r w:rsidRPr="00B801B9">
        <w:rPr>
          <w:rFonts w:ascii="Arial" w:eastAsia="Times New Roman" w:hAnsi="Arial" w:cs="Arial"/>
          <w:sz w:val="24"/>
          <w:szCs w:val="24"/>
          <w:lang w:eastAsia="en-ZA"/>
        </w:rPr>
        <w:t xml:space="preserve"> or </w:t>
      </w:r>
      <w:r w:rsidR="009162BA" w:rsidRPr="00B801B9">
        <w:rPr>
          <w:rFonts w:ascii="Arial" w:eastAsia="Times New Roman" w:hAnsi="Arial" w:cs="Arial"/>
          <w:sz w:val="24"/>
          <w:szCs w:val="24"/>
          <w:lang w:eastAsia="en-ZA"/>
        </w:rPr>
        <w:t>‘</w:t>
      </w:r>
      <w:r w:rsidRPr="00B801B9">
        <w:rPr>
          <w:rFonts w:ascii="Arial" w:eastAsia="Times New Roman" w:hAnsi="Arial" w:cs="Arial"/>
          <w:sz w:val="24"/>
          <w:szCs w:val="24"/>
          <w:lang w:eastAsia="en-ZA"/>
        </w:rPr>
        <w:t>directory</w:t>
      </w:r>
      <w:r w:rsidR="009162BA" w:rsidRPr="00B801B9">
        <w:rPr>
          <w:rFonts w:ascii="Arial" w:eastAsia="Times New Roman" w:hAnsi="Arial" w:cs="Arial"/>
          <w:sz w:val="24"/>
          <w:szCs w:val="24"/>
          <w:lang w:eastAsia="en-ZA"/>
        </w:rPr>
        <w:t>’</w:t>
      </w:r>
      <w:r w:rsidRPr="00B801B9">
        <w:rPr>
          <w:rFonts w:ascii="Arial" w:eastAsia="Times New Roman" w:hAnsi="Arial" w:cs="Arial"/>
          <w:sz w:val="24"/>
          <w:szCs w:val="24"/>
          <w:lang w:eastAsia="en-ZA"/>
        </w:rPr>
        <w:t>:</w:t>
      </w:r>
    </w:p>
    <w:p w14:paraId="032AAD44" w14:textId="6C47AC0E" w:rsidR="00711ED7" w:rsidRPr="00B801B9" w:rsidRDefault="00711ED7" w:rsidP="00577284">
      <w:pPr>
        <w:shd w:val="clear" w:color="auto" w:fill="FFFFFF"/>
        <w:spacing w:before="120" w:after="720" w:line="360" w:lineRule="auto"/>
        <w:contextualSpacing/>
        <w:jc w:val="both"/>
        <w:rPr>
          <w:rFonts w:ascii="Arial" w:eastAsia="Times New Roman" w:hAnsi="Arial" w:cs="Arial"/>
          <w:u w:val="single"/>
          <w:lang w:val="en-US" w:eastAsia="en-ZA"/>
        </w:rPr>
      </w:pPr>
      <w:r w:rsidRPr="00B801B9">
        <w:rPr>
          <w:rFonts w:ascii="Arial" w:eastAsia="Times New Roman" w:hAnsi="Arial" w:cs="Arial"/>
          <w:lang w:eastAsia="en-ZA"/>
        </w:rPr>
        <w:t>‘… They are well-known, concise, and convenient labels to use for the purpose of differentiating between the two categories. But the earlier clear-cut distinction between them (the former requiring exact compliance and the latter merely substantial compliance) now seems to have become somewhat blurred. Care must therefore be exercised not to infer merely from the use of such labels what degree of compliance is necessary and what the consequences are of non or defective compliance. These must ultimately depend upon the proper construction of the statutory provision in question, or, in other words, upon the intention of the lawgiver as ascertained from the language, scope, and purpose of the enactment as a whole and the statutory requirement in particular…’</w:t>
      </w:r>
      <w:r w:rsidR="009162BA" w:rsidRPr="00B801B9">
        <w:rPr>
          <w:rFonts w:ascii="Arial" w:eastAsia="Times New Roman" w:hAnsi="Arial" w:cs="Arial"/>
          <w:lang w:eastAsia="en-ZA"/>
        </w:rPr>
        <w:t>.</w:t>
      </w:r>
    </w:p>
    <w:p w14:paraId="4A17C3A3" w14:textId="77777777" w:rsidR="00711ED7" w:rsidRPr="00B801B9" w:rsidRDefault="00711ED7" w:rsidP="00711ED7">
      <w:pPr>
        <w:shd w:val="clear" w:color="auto" w:fill="FFFFFF"/>
        <w:spacing w:before="120" w:after="720" w:line="360" w:lineRule="auto"/>
        <w:contextualSpacing/>
        <w:jc w:val="both"/>
        <w:rPr>
          <w:rFonts w:ascii="Arial" w:eastAsia="Times New Roman" w:hAnsi="Arial" w:cs="Arial"/>
          <w:i/>
          <w:iCs/>
          <w:sz w:val="24"/>
          <w:szCs w:val="24"/>
          <w:u w:val="single"/>
          <w:lang w:val="en-US" w:eastAsia="en-ZA"/>
        </w:rPr>
      </w:pPr>
    </w:p>
    <w:p w14:paraId="149167DE" w14:textId="6683A802" w:rsidR="001D7B85" w:rsidRPr="00B801B9" w:rsidRDefault="000B5BB5" w:rsidP="000B5BB5">
      <w:pPr>
        <w:numPr>
          <w:ilvl w:val="0"/>
          <w:numId w:val="1"/>
        </w:numPr>
        <w:shd w:val="clear" w:color="auto" w:fill="FFFFFF"/>
        <w:spacing w:before="120" w:after="720" w:line="360" w:lineRule="auto"/>
        <w:ind w:left="0" w:firstLine="0"/>
        <w:contextualSpacing/>
        <w:jc w:val="both"/>
        <w:rPr>
          <w:rFonts w:ascii="Arial" w:eastAsia="Times New Roman" w:hAnsi="Arial" w:cs="Arial"/>
          <w:i/>
          <w:iCs/>
          <w:sz w:val="24"/>
          <w:szCs w:val="24"/>
          <w:u w:val="single"/>
          <w:lang w:val="en-US" w:eastAsia="en-ZA"/>
        </w:rPr>
      </w:pPr>
      <w:r w:rsidRPr="00B801B9">
        <w:rPr>
          <w:rFonts w:ascii="Arial" w:hAnsi="Arial" w:cs="Arial"/>
          <w:sz w:val="24"/>
          <w:szCs w:val="24"/>
        </w:rPr>
        <w:t>In</w:t>
      </w:r>
      <w:r w:rsidR="00324A3D" w:rsidRPr="00B801B9">
        <w:rPr>
          <w:rFonts w:ascii="Arial" w:hAnsi="Arial" w:cs="Arial"/>
          <w:sz w:val="24"/>
          <w:szCs w:val="24"/>
        </w:rPr>
        <w:t xml:space="preserve"> </w:t>
      </w:r>
      <w:r w:rsidR="001D7B85" w:rsidRPr="00B801B9">
        <w:rPr>
          <w:rFonts w:ascii="Arial" w:hAnsi="Arial" w:cs="Arial"/>
          <w:i/>
          <w:iCs/>
          <w:sz w:val="24"/>
          <w:szCs w:val="24"/>
        </w:rPr>
        <w:t>Ex Parte Mothuloe (Law Society, Transvaal, Intervening</w:t>
      </w:r>
      <w:r w:rsidR="001D7B85" w:rsidRPr="00B801B9">
        <w:rPr>
          <w:rFonts w:ascii="Arial" w:hAnsi="Arial" w:cs="Arial"/>
          <w:sz w:val="24"/>
          <w:szCs w:val="24"/>
        </w:rPr>
        <w:t>)</w:t>
      </w:r>
      <w:r w:rsidRPr="00B801B9">
        <w:rPr>
          <w:rStyle w:val="footnote-link"/>
          <w:rFonts w:ascii="Arial" w:hAnsi="Arial" w:cs="Arial"/>
          <w:sz w:val="24"/>
          <w:szCs w:val="24"/>
        </w:rPr>
        <w:t xml:space="preserve"> </w:t>
      </w:r>
      <w:r w:rsidR="001D7B85" w:rsidRPr="00B801B9">
        <w:rPr>
          <w:rFonts w:ascii="Arial" w:hAnsi="Arial" w:cs="Arial"/>
          <w:sz w:val="24"/>
          <w:szCs w:val="24"/>
        </w:rPr>
        <w:t>1996 (4) SA 1131 (T)</w:t>
      </w:r>
      <w:r w:rsidR="007C2735" w:rsidRPr="00B801B9">
        <w:rPr>
          <w:rFonts w:ascii="Arial" w:hAnsi="Arial" w:cs="Arial"/>
          <w:sz w:val="24"/>
          <w:szCs w:val="24"/>
        </w:rPr>
        <w:t xml:space="preserve"> at 1132F</w:t>
      </w:r>
      <w:r w:rsidR="00711ED7" w:rsidRPr="00B801B9">
        <w:rPr>
          <w:rFonts w:ascii="Arial" w:hAnsi="Arial" w:cs="Arial"/>
          <w:sz w:val="24"/>
          <w:szCs w:val="24"/>
        </w:rPr>
        <w:t xml:space="preserve">, </w:t>
      </w:r>
      <w:r w:rsidR="00555125" w:rsidRPr="00B801B9">
        <w:rPr>
          <w:rFonts w:ascii="Arial" w:hAnsi="Arial" w:cs="Arial"/>
          <w:sz w:val="24"/>
          <w:szCs w:val="24"/>
        </w:rPr>
        <w:t>it was observed</w:t>
      </w:r>
      <w:r w:rsidR="00EF47F4" w:rsidRPr="00B801B9">
        <w:rPr>
          <w:rFonts w:ascii="Arial" w:hAnsi="Arial" w:cs="Arial"/>
          <w:sz w:val="24"/>
          <w:szCs w:val="24"/>
        </w:rPr>
        <w:t xml:space="preserve">, with reference to </w:t>
      </w:r>
      <w:r w:rsidR="00EF47F4" w:rsidRPr="00B801B9">
        <w:rPr>
          <w:rFonts w:ascii="Arial" w:hAnsi="Arial" w:cs="Arial"/>
          <w:i/>
          <w:iCs/>
          <w:sz w:val="24"/>
          <w:szCs w:val="24"/>
        </w:rPr>
        <w:t>Maharaj</w:t>
      </w:r>
      <w:r w:rsidR="00EF47F4" w:rsidRPr="00B801B9">
        <w:rPr>
          <w:rFonts w:ascii="Arial" w:hAnsi="Arial" w:cs="Arial"/>
          <w:sz w:val="24"/>
          <w:szCs w:val="24"/>
        </w:rPr>
        <w:t xml:space="preserve"> and other authorities, </w:t>
      </w:r>
      <w:r w:rsidR="00555125" w:rsidRPr="00B801B9">
        <w:rPr>
          <w:rFonts w:ascii="Arial" w:hAnsi="Arial" w:cs="Arial"/>
          <w:sz w:val="24"/>
          <w:szCs w:val="24"/>
        </w:rPr>
        <w:t xml:space="preserve">that there was a </w:t>
      </w:r>
      <w:r w:rsidR="007C2735" w:rsidRPr="00B801B9">
        <w:rPr>
          <w:rFonts w:ascii="Arial" w:hAnsi="Arial" w:cs="Arial"/>
          <w:sz w:val="24"/>
          <w:szCs w:val="24"/>
        </w:rPr>
        <w:t>‘. . .</w:t>
      </w:r>
      <w:r w:rsidR="00555125" w:rsidRPr="00B801B9">
        <w:rPr>
          <w:rFonts w:ascii="Arial" w:hAnsi="Arial" w:cs="Arial"/>
          <w:sz w:val="24"/>
          <w:szCs w:val="24"/>
        </w:rPr>
        <w:t>trend in interpretation away from the strict legalistic to the substantive</w:t>
      </w:r>
      <w:r w:rsidR="007C2735" w:rsidRPr="00B801B9">
        <w:rPr>
          <w:rFonts w:ascii="Arial" w:hAnsi="Arial" w:cs="Arial"/>
          <w:sz w:val="24"/>
          <w:szCs w:val="24"/>
        </w:rPr>
        <w:t>. . .</w:t>
      </w:r>
      <w:r w:rsidR="00555125" w:rsidRPr="00B801B9">
        <w:rPr>
          <w:rFonts w:ascii="Arial" w:hAnsi="Arial" w:cs="Arial"/>
          <w:sz w:val="24"/>
          <w:szCs w:val="24"/>
        </w:rPr>
        <w:t>’. I</w:t>
      </w:r>
      <w:r w:rsidRPr="00B801B9">
        <w:rPr>
          <w:rFonts w:ascii="Arial" w:hAnsi="Arial" w:cs="Arial"/>
          <w:sz w:val="24"/>
          <w:szCs w:val="24"/>
        </w:rPr>
        <w:t>t was</w:t>
      </w:r>
      <w:r w:rsidR="00555125" w:rsidRPr="00B801B9">
        <w:rPr>
          <w:rFonts w:ascii="Arial" w:hAnsi="Arial" w:cs="Arial"/>
          <w:sz w:val="24"/>
          <w:szCs w:val="24"/>
        </w:rPr>
        <w:t xml:space="preserve"> </w:t>
      </w:r>
      <w:r w:rsidR="006F0F1D" w:rsidRPr="00B801B9">
        <w:rPr>
          <w:rFonts w:ascii="Arial" w:hAnsi="Arial" w:cs="Arial"/>
          <w:sz w:val="24"/>
          <w:szCs w:val="24"/>
        </w:rPr>
        <w:t xml:space="preserve">emphasised </w:t>
      </w:r>
      <w:r w:rsidR="001D7B85" w:rsidRPr="00B801B9">
        <w:rPr>
          <w:rFonts w:ascii="Arial" w:hAnsi="Arial" w:cs="Arial"/>
          <w:sz w:val="24"/>
          <w:szCs w:val="24"/>
        </w:rPr>
        <w:t>that even though the provisions of an Act are peremptory, the question needs to be asked whether or not exact compliance therewith is required. Consequently</w:t>
      </w:r>
      <w:r w:rsidRPr="00B801B9">
        <w:rPr>
          <w:rFonts w:ascii="Arial" w:hAnsi="Arial" w:cs="Arial"/>
          <w:sz w:val="24"/>
          <w:szCs w:val="24"/>
        </w:rPr>
        <w:t>,</w:t>
      </w:r>
      <w:r w:rsidR="001D7B85" w:rsidRPr="00B801B9">
        <w:rPr>
          <w:rFonts w:ascii="Arial" w:hAnsi="Arial" w:cs="Arial"/>
          <w:sz w:val="24"/>
          <w:szCs w:val="24"/>
        </w:rPr>
        <w:t xml:space="preserve"> the answer will </w:t>
      </w:r>
      <w:r w:rsidRPr="00B801B9">
        <w:rPr>
          <w:rFonts w:ascii="Arial" w:hAnsi="Arial" w:cs="Arial"/>
          <w:sz w:val="24"/>
          <w:szCs w:val="24"/>
        </w:rPr>
        <w:t>‘</w:t>
      </w:r>
      <w:r w:rsidR="007C2735" w:rsidRPr="00B801B9">
        <w:rPr>
          <w:rFonts w:ascii="Arial" w:hAnsi="Arial" w:cs="Arial"/>
          <w:sz w:val="24"/>
          <w:szCs w:val="24"/>
        </w:rPr>
        <w:t>. . .</w:t>
      </w:r>
      <w:r w:rsidR="000A0821">
        <w:rPr>
          <w:rFonts w:ascii="Arial" w:hAnsi="Arial" w:cs="Arial"/>
          <w:sz w:val="24"/>
          <w:szCs w:val="24"/>
        </w:rPr>
        <w:t xml:space="preserve"> </w:t>
      </w:r>
      <w:r w:rsidR="001D7B85" w:rsidRPr="00B801B9">
        <w:rPr>
          <w:rFonts w:ascii="Arial" w:hAnsi="Arial" w:cs="Arial"/>
          <w:sz w:val="24"/>
          <w:szCs w:val="24"/>
        </w:rPr>
        <w:t>be sought in the purpose of the statutory requirement which is to be ascertained from its language read in the context of the statute as a whole</w:t>
      </w:r>
      <w:r w:rsidRPr="00B801B9">
        <w:rPr>
          <w:rFonts w:ascii="Arial" w:hAnsi="Arial" w:cs="Arial"/>
          <w:sz w:val="24"/>
          <w:szCs w:val="24"/>
        </w:rPr>
        <w:t>’</w:t>
      </w:r>
      <w:r w:rsidR="007C2735" w:rsidRPr="00B801B9">
        <w:rPr>
          <w:rFonts w:ascii="Arial" w:hAnsi="Arial" w:cs="Arial"/>
          <w:sz w:val="24"/>
          <w:szCs w:val="24"/>
        </w:rPr>
        <w:t>.</w:t>
      </w:r>
      <w:r w:rsidR="001D7B85" w:rsidRPr="00B801B9">
        <w:rPr>
          <w:rFonts w:ascii="Arial" w:hAnsi="Arial" w:cs="Arial"/>
          <w:sz w:val="24"/>
          <w:szCs w:val="24"/>
        </w:rPr>
        <w:t xml:space="preserve"> </w:t>
      </w:r>
    </w:p>
    <w:p w14:paraId="27A20A9F" w14:textId="77777777" w:rsidR="00BA3A04" w:rsidRPr="00B801B9" w:rsidRDefault="00BA3A04" w:rsidP="00BA3A04">
      <w:pPr>
        <w:shd w:val="clear" w:color="auto" w:fill="FFFFFF"/>
        <w:spacing w:before="120" w:after="720" w:line="360" w:lineRule="auto"/>
        <w:contextualSpacing/>
        <w:jc w:val="both"/>
        <w:rPr>
          <w:rFonts w:ascii="Arial" w:eastAsia="Times New Roman" w:hAnsi="Arial" w:cs="Arial"/>
          <w:i/>
          <w:iCs/>
          <w:sz w:val="24"/>
          <w:szCs w:val="24"/>
          <w:u w:val="single"/>
          <w:lang w:val="en-US" w:eastAsia="en-ZA"/>
        </w:rPr>
      </w:pPr>
    </w:p>
    <w:p w14:paraId="2D4110B1" w14:textId="0C2005D2" w:rsidR="00F001C9" w:rsidRPr="00B801B9" w:rsidRDefault="00B6738D" w:rsidP="004F7524">
      <w:pPr>
        <w:numPr>
          <w:ilvl w:val="0"/>
          <w:numId w:val="1"/>
        </w:numPr>
        <w:shd w:val="clear" w:color="auto" w:fill="FFFFFF"/>
        <w:spacing w:before="120" w:after="48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Th</w:t>
      </w:r>
      <w:r w:rsidR="00577284" w:rsidRPr="00B801B9">
        <w:rPr>
          <w:rFonts w:ascii="Arial" w:hAnsi="Arial" w:cs="Arial"/>
          <w:sz w:val="24"/>
          <w:szCs w:val="24"/>
        </w:rPr>
        <w:t xml:space="preserve">e ‘trend’ referred to above </w:t>
      </w:r>
      <w:r w:rsidRPr="00B801B9">
        <w:rPr>
          <w:rFonts w:ascii="Arial" w:hAnsi="Arial" w:cs="Arial"/>
          <w:sz w:val="24"/>
          <w:szCs w:val="24"/>
        </w:rPr>
        <w:t xml:space="preserve">was </w:t>
      </w:r>
      <w:r w:rsidR="00E018A1" w:rsidRPr="00B801B9">
        <w:rPr>
          <w:rFonts w:ascii="Arial" w:hAnsi="Arial" w:cs="Arial"/>
          <w:sz w:val="24"/>
          <w:szCs w:val="24"/>
        </w:rPr>
        <w:t xml:space="preserve">applied </w:t>
      </w:r>
      <w:r w:rsidRPr="00B801B9">
        <w:rPr>
          <w:rFonts w:ascii="Arial" w:hAnsi="Arial" w:cs="Arial"/>
          <w:sz w:val="24"/>
          <w:szCs w:val="24"/>
        </w:rPr>
        <w:t xml:space="preserve">in </w:t>
      </w:r>
      <w:r w:rsidRPr="00B801B9">
        <w:rPr>
          <w:rFonts w:ascii="Arial" w:hAnsi="Arial" w:cs="Arial"/>
          <w:i/>
          <w:iCs/>
          <w:sz w:val="24"/>
          <w:szCs w:val="24"/>
        </w:rPr>
        <w:t>Weenen Transitional Local Council v Van Dyk</w:t>
      </w:r>
      <w:r w:rsidRPr="00B801B9">
        <w:rPr>
          <w:rFonts w:ascii="Arial" w:hAnsi="Arial" w:cs="Arial"/>
          <w:sz w:val="24"/>
          <w:szCs w:val="24"/>
        </w:rPr>
        <w:t xml:space="preserve"> 2002 (4) SA 653 (SCA) where it was emphasised </w:t>
      </w:r>
      <w:r w:rsidRPr="00B801B9">
        <w:rPr>
          <w:rFonts w:ascii="Arial" w:eastAsia="Times New Roman" w:hAnsi="Arial" w:cs="Arial"/>
          <w:sz w:val="24"/>
          <w:szCs w:val="24"/>
          <w:lang w:val="en-US" w:eastAsia="en-ZA"/>
        </w:rPr>
        <w:t>that in matters such as the present, the question is whether there has been compliance with</w:t>
      </w:r>
      <w:r w:rsidRPr="00B801B9">
        <w:rPr>
          <w:rFonts w:ascii="Arial" w:hAnsi="Arial" w:cs="Arial"/>
          <w:sz w:val="24"/>
          <w:szCs w:val="24"/>
        </w:rPr>
        <w:t xml:space="preserve"> the statutory provisions viewed in the light of their purpose. This Court </w:t>
      </w:r>
      <w:r w:rsidR="00EF47F4" w:rsidRPr="00B801B9">
        <w:rPr>
          <w:rFonts w:ascii="Arial" w:hAnsi="Arial" w:cs="Arial"/>
          <w:sz w:val="24"/>
          <w:szCs w:val="24"/>
        </w:rPr>
        <w:t xml:space="preserve">trenchantly observed </w:t>
      </w:r>
      <w:r w:rsidR="00EF47F4" w:rsidRPr="00B801B9">
        <w:rPr>
          <w:rFonts w:ascii="Arial" w:eastAsia="Times New Roman" w:hAnsi="Arial" w:cs="Arial"/>
          <w:sz w:val="24"/>
          <w:szCs w:val="24"/>
          <w:lang w:val="en-US" w:eastAsia="en-ZA"/>
        </w:rPr>
        <w:t>a</w:t>
      </w:r>
      <w:r w:rsidRPr="00B801B9">
        <w:rPr>
          <w:rFonts w:ascii="Arial" w:eastAsia="Times New Roman" w:hAnsi="Arial" w:cs="Arial"/>
          <w:sz w:val="24"/>
          <w:szCs w:val="24"/>
          <w:lang w:val="en-US" w:eastAsia="en-ZA"/>
        </w:rPr>
        <w:t xml:space="preserve">t </w:t>
      </w:r>
      <w:r w:rsidR="009162BA" w:rsidRPr="00B801B9">
        <w:rPr>
          <w:rFonts w:ascii="Arial" w:hAnsi="Arial" w:cs="Arial"/>
          <w:sz w:val="24"/>
          <w:szCs w:val="24"/>
          <w:shd w:val="clear" w:color="auto" w:fill="FFFFFF"/>
        </w:rPr>
        <w:t>para 13</w:t>
      </w:r>
      <w:r w:rsidR="00EF47F4" w:rsidRPr="00B801B9">
        <w:rPr>
          <w:rFonts w:ascii="Arial" w:hAnsi="Arial" w:cs="Arial"/>
          <w:sz w:val="24"/>
          <w:szCs w:val="24"/>
          <w:shd w:val="clear" w:color="auto" w:fill="FFFFFF"/>
        </w:rPr>
        <w:t>:</w:t>
      </w:r>
      <w:r w:rsidR="009162BA" w:rsidRPr="00B801B9">
        <w:rPr>
          <w:rFonts w:ascii="Arial" w:hAnsi="Arial" w:cs="Arial"/>
          <w:sz w:val="24"/>
          <w:szCs w:val="24"/>
          <w:shd w:val="clear" w:color="auto" w:fill="FFFFFF"/>
        </w:rPr>
        <w:t xml:space="preserve"> </w:t>
      </w:r>
    </w:p>
    <w:p w14:paraId="36918672" w14:textId="77AC095C" w:rsidR="00B6738D" w:rsidRPr="00B801B9" w:rsidRDefault="00B6738D" w:rsidP="00F001C9">
      <w:pPr>
        <w:shd w:val="clear" w:color="auto" w:fill="FFFFFF"/>
        <w:spacing w:before="120" w:after="720" w:line="360" w:lineRule="auto"/>
        <w:contextualSpacing/>
        <w:jc w:val="both"/>
        <w:rPr>
          <w:rFonts w:ascii="Arial" w:hAnsi="Arial" w:cs="Arial"/>
          <w:i/>
          <w:iCs/>
          <w:sz w:val="24"/>
          <w:szCs w:val="24"/>
        </w:rPr>
      </w:pPr>
      <w:r w:rsidRPr="00B801B9">
        <w:rPr>
          <w:rFonts w:ascii="Arial" w:hAnsi="Arial" w:cs="Arial"/>
          <w:sz w:val="24"/>
          <w:szCs w:val="24"/>
        </w:rPr>
        <w:t xml:space="preserve"> ‘… </w:t>
      </w:r>
      <w:r w:rsidRPr="00B801B9">
        <w:rPr>
          <w:rFonts w:ascii="Arial" w:hAnsi="Arial" w:cs="Arial"/>
        </w:rPr>
        <w:t xml:space="preserve">Legalistic debates as to whether the enactment is peremptory (imperative, absolute, mandatory, a categorical imperative) or merely directory; whether ‘shall’ should be read as ‘may’; whether strict as opposed to substantial compliance is required; … etc may be interesting, but seldom essential to the outcome of a real case before the courts. They tell us </w:t>
      </w:r>
      <w:r w:rsidRPr="00B801B9">
        <w:rPr>
          <w:rFonts w:ascii="Arial" w:hAnsi="Arial" w:cs="Arial"/>
        </w:rPr>
        <w:lastRenderedPageBreak/>
        <w:t>what the outcome of the court’s interpretation of the particular enactment is; they cannot tell us how to interpret. These debates have a posteriori, not a priori significance</w:t>
      </w:r>
      <w:r w:rsidR="000F1B0B" w:rsidRPr="00B801B9">
        <w:rPr>
          <w:rFonts w:ascii="Arial" w:hAnsi="Arial" w:cs="Arial"/>
        </w:rPr>
        <w:t>. . . .</w:t>
      </w:r>
      <w:r w:rsidRPr="00B801B9">
        <w:rPr>
          <w:rFonts w:ascii="Arial" w:hAnsi="Arial" w:cs="Arial"/>
        </w:rPr>
        <w:t>’</w:t>
      </w:r>
    </w:p>
    <w:p w14:paraId="1973D5A9" w14:textId="77777777" w:rsidR="00BA3A04" w:rsidRPr="00B801B9" w:rsidRDefault="00BA3A04" w:rsidP="00F001C9">
      <w:pPr>
        <w:shd w:val="clear" w:color="auto" w:fill="FFFFFF"/>
        <w:spacing w:before="120" w:after="720" w:line="360" w:lineRule="auto"/>
        <w:contextualSpacing/>
        <w:jc w:val="both"/>
        <w:rPr>
          <w:rFonts w:ascii="Arial" w:eastAsia="Times New Roman" w:hAnsi="Arial" w:cs="Arial"/>
          <w:sz w:val="24"/>
          <w:szCs w:val="24"/>
          <w:lang w:val="en-US" w:eastAsia="en-ZA"/>
        </w:rPr>
      </w:pPr>
    </w:p>
    <w:p w14:paraId="0C0F39E8" w14:textId="6703280F" w:rsidR="00BA3A04" w:rsidRPr="00B801B9" w:rsidRDefault="0067330E" w:rsidP="00E4003D">
      <w:pPr>
        <w:numPr>
          <w:ilvl w:val="0"/>
          <w:numId w:val="1"/>
        </w:numPr>
        <w:shd w:val="clear" w:color="auto" w:fill="FFFFFF"/>
        <w:spacing w:before="120" w:after="36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This approach received the imprimatur of the Constitutional Court i</w:t>
      </w:r>
      <w:r w:rsidR="00C774A8" w:rsidRPr="00B801B9">
        <w:rPr>
          <w:rFonts w:ascii="Arial" w:hAnsi="Arial" w:cs="Arial"/>
          <w:sz w:val="24"/>
          <w:szCs w:val="24"/>
        </w:rPr>
        <w:t xml:space="preserve">n </w:t>
      </w:r>
      <w:r w:rsidR="00C774A8" w:rsidRPr="00B801B9">
        <w:rPr>
          <w:rFonts w:ascii="Arial" w:hAnsi="Arial" w:cs="Arial"/>
          <w:i/>
          <w:iCs/>
          <w:sz w:val="24"/>
          <w:szCs w:val="24"/>
        </w:rPr>
        <w:t>African Christian Democratic Party</w:t>
      </w:r>
      <w:r w:rsidR="00814FD6" w:rsidRPr="00B801B9">
        <w:rPr>
          <w:rFonts w:ascii="Arial" w:hAnsi="Arial" w:cs="Arial"/>
          <w:i/>
          <w:iCs/>
          <w:sz w:val="24"/>
          <w:szCs w:val="24"/>
        </w:rPr>
        <w:t xml:space="preserve"> v </w:t>
      </w:r>
      <w:r w:rsidR="00C774A8" w:rsidRPr="00B801B9">
        <w:rPr>
          <w:rFonts w:ascii="Arial" w:hAnsi="Arial" w:cs="Arial"/>
          <w:i/>
          <w:iCs/>
          <w:sz w:val="24"/>
          <w:szCs w:val="24"/>
        </w:rPr>
        <w:t>Electoral Commission</w:t>
      </w:r>
      <w:r w:rsidR="00814FD6" w:rsidRPr="00B801B9">
        <w:rPr>
          <w:rFonts w:ascii="Arial" w:hAnsi="Arial" w:cs="Arial"/>
          <w:sz w:val="24"/>
          <w:szCs w:val="24"/>
        </w:rPr>
        <w:t xml:space="preserve"> </w:t>
      </w:r>
      <w:r w:rsidR="00305A7D" w:rsidRPr="00B801B9">
        <w:rPr>
          <w:rFonts w:ascii="Arial" w:hAnsi="Arial" w:cs="Arial"/>
          <w:i/>
          <w:iCs/>
          <w:sz w:val="24"/>
          <w:szCs w:val="24"/>
        </w:rPr>
        <w:t xml:space="preserve">and Others </w:t>
      </w:r>
      <w:r w:rsidR="00305A7D" w:rsidRPr="00B801B9">
        <w:rPr>
          <w:rFonts w:ascii="Arial" w:hAnsi="Arial" w:cs="Arial"/>
          <w:sz w:val="24"/>
          <w:szCs w:val="24"/>
        </w:rPr>
        <w:t>[2006] ZACC 1;</w:t>
      </w:r>
      <w:r w:rsidR="00EB63BF" w:rsidRPr="00B801B9">
        <w:rPr>
          <w:rFonts w:ascii="Arial" w:hAnsi="Arial" w:cs="Arial"/>
          <w:sz w:val="24"/>
          <w:szCs w:val="24"/>
        </w:rPr>
        <w:t xml:space="preserve"> </w:t>
      </w:r>
      <w:r w:rsidR="00C774A8" w:rsidRPr="00B801B9">
        <w:rPr>
          <w:rFonts w:ascii="Arial" w:hAnsi="Arial" w:cs="Arial"/>
          <w:sz w:val="24"/>
          <w:szCs w:val="24"/>
        </w:rPr>
        <w:t>2006 (3) SA 305 (CC)</w:t>
      </w:r>
      <w:r w:rsidR="00305A7D" w:rsidRPr="00B801B9">
        <w:rPr>
          <w:rFonts w:ascii="Arial" w:hAnsi="Arial" w:cs="Arial"/>
          <w:sz w:val="24"/>
          <w:szCs w:val="24"/>
        </w:rPr>
        <w:t>; 2006 (5) BCLR 579 (CC)</w:t>
      </w:r>
      <w:r w:rsidR="00C774A8" w:rsidRPr="00B801B9">
        <w:rPr>
          <w:rFonts w:ascii="Arial" w:hAnsi="Arial" w:cs="Arial"/>
          <w:sz w:val="24"/>
          <w:szCs w:val="24"/>
        </w:rPr>
        <w:t xml:space="preserve"> </w:t>
      </w:r>
      <w:r w:rsidR="00E70A18" w:rsidRPr="00B801B9">
        <w:rPr>
          <w:rFonts w:ascii="Arial" w:hAnsi="Arial" w:cs="Arial"/>
          <w:sz w:val="24"/>
          <w:szCs w:val="24"/>
          <w:shd w:val="clear" w:color="auto" w:fill="FFFFFF"/>
        </w:rPr>
        <w:t>para 25</w:t>
      </w:r>
      <w:r w:rsidRPr="00B801B9">
        <w:rPr>
          <w:rFonts w:ascii="Arial" w:hAnsi="Arial" w:cs="Arial"/>
          <w:sz w:val="24"/>
          <w:szCs w:val="24"/>
          <w:shd w:val="clear" w:color="auto" w:fill="FFFFFF"/>
        </w:rPr>
        <w:t>. There, it was held</w:t>
      </w:r>
      <w:r w:rsidR="00E70A18" w:rsidRPr="00B801B9">
        <w:rPr>
          <w:rFonts w:ascii="Arial" w:hAnsi="Arial" w:cs="Arial"/>
          <w:sz w:val="24"/>
          <w:szCs w:val="24"/>
          <w:shd w:val="clear" w:color="auto" w:fill="FFFFFF"/>
        </w:rPr>
        <w:t xml:space="preserve"> </w:t>
      </w:r>
      <w:r w:rsidR="00C774A8" w:rsidRPr="00B801B9">
        <w:rPr>
          <w:rFonts w:ascii="Arial" w:hAnsi="Arial" w:cs="Arial"/>
          <w:sz w:val="24"/>
          <w:szCs w:val="24"/>
        </w:rPr>
        <w:t>that the adoption of the purposive approach in our law has</w:t>
      </w:r>
      <w:r w:rsidR="00814FD6" w:rsidRPr="00B801B9">
        <w:rPr>
          <w:rFonts w:ascii="Arial" w:hAnsi="Arial" w:cs="Arial"/>
          <w:sz w:val="24"/>
          <w:szCs w:val="24"/>
        </w:rPr>
        <w:t xml:space="preserve"> </w:t>
      </w:r>
      <w:r w:rsidR="00C774A8" w:rsidRPr="00B801B9">
        <w:rPr>
          <w:rFonts w:ascii="Arial" w:hAnsi="Arial" w:cs="Arial"/>
          <w:sz w:val="24"/>
          <w:szCs w:val="24"/>
        </w:rPr>
        <w:t>rendered obsolete all the previous attempts to determine whether</w:t>
      </w:r>
      <w:r w:rsidR="00814FD6" w:rsidRPr="00B801B9">
        <w:rPr>
          <w:rFonts w:ascii="Arial" w:hAnsi="Arial" w:cs="Arial"/>
          <w:sz w:val="24"/>
          <w:szCs w:val="24"/>
        </w:rPr>
        <w:t xml:space="preserve"> </w:t>
      </w:r>
      <w:r w:rsidR="00C774A8" w:rsidRPr="00B801B9">
        <w:rPr>
          <w:rFonts w:ascii="Arial" w:hAnsi="Arial" w:cs="Arial"/>
          <w:sz w:val="24"/>
          <w:szCs w:val="24"/>
        </w:rPr>
        <w:t>a statutory provision is directory or peremptory on the basis of the</w:t>
      </w:r>
      <w:r w:rsidR="00814FD6" w:rsidRPr="00B801B9">
        <w:rPr>
          <w:rFonts w:ascii="Arial" w:hAnsi="Arial" w:cs="Arial"/>
          <w:sz w:val="24"/>
          <w:szCs w:val="24"/>
        </w:rPr>
        <w:t xml:space="preserve"> </w:t>
      </w:r>
      <w:r w:rsidR="00C774A8" w:rsidRPr="00B801B9">
        <w:rPr>
          <w:rFonts w:ascii="Arial" w:hAnsi="Arial" w:cs="Arial"/>
          <w:sz w:val="24"/>
          <w:szCs w:val="24"/>
        </w:rPr>
        <w:t>wording and subject of the text of the provision.</w:t>
      </w:r>
      <w:r w:rsidRPr="00B801B9">
        <w:rPr>
          <w:rFonts w:ascii="Arial" w:hAnsi="Arial" w:cs="Arial"/>
          <w:sz w:val="24"/>
          <w:szCs w:val="24"/>
        </w:rPr>
        <w:t xml:space="preserve"> The question </w:t>
      </w:r>
      <w:r w:rsidR="00C14244" w:rsidRPr="00B801B9">
        <w:rPr>
          <w:rFonts w:ascii="Arial" w:hAnsi="Arial" w:cs="Arial"/>
          <w:sz w:val="24"/>
          <w:szCs w:val="24"/>
        </w:rPr>
        <w:t xml:space="preserve">was </w:t>
      </w:r>
      <w:r w:rsidRPr="00B801B9">
        <w:rPr>
          <w:rFonts w:ascii="Arial" w:hAnsi="Arial" w:cs="Arial"/>
          <w:sz w:val="24"/>
          <w:szCs w:val="24"/>
        </w:rPr>
        <w:t xml:space="preserve">thus </w:t>
      </w:r>
      <w:r w:rsidR="00C14244" w:rsidRPr="00B801B9">
        <w:rPr>
          <w:rFonts w:ascii="Arial" w:hAnsi="Arial" w:cs="Arial"/>
          <w:sz w:val="24"/>
          <w:szCs w:val="24"/>
        </w:rPr>
        <w:t>‘</w:t>
      </w:r>
      <w:r w:rsidRPr="00B801B9">
        <w:rPr>
          <w:rFonts w:ascii="Arial" w:hAnsi="Arial" w:cs="Arial"/>
          <w:sz w:val="24"/>
          <w:szCs w:val="24"/>
        </w:rPr>
        <w:t>whether what the applicant did constituted compliance with the statutory provisions viewed in the light of their purpose</w:t>
      </w:r>
      <w:r w:rsidR="00C14244" w:rsidRPr="00B801B9">
        <w:rPr>
          <w:rFonts w:ascii="Arial" w:hAnsi="Arial" w:cs="Arial"/>
          <w:sz w:val="24"/>
          <w:szCs w:val="24"/>
        </w:rPr>
        <w:t>’</w:t>
      </w:r>
      <w:r w:rsidRPr="00B801B9">
        <w:rPr>
          <w:rFonts w:ascii="Arial" w:hAnsi="Arial" w:cs="Arial"/>
          <w:sz w:val="24"/>
          <w:szCs w:val="24"/>
        </w:rPr>
        <w:t>. A narrowly textual and legalistic approach is to be avoided.</w:t>
      </w:r>
    </w:p>
    <w:p w14:paraId="42E162BC" w14:textId="74E8D755" w:rsidR="00BA3A04" w:rsidRPr="00B801B9" w:rsidRDefault="00522BE9" w:rsidP="00E4003D">
      <w:pPr>
        <w:pStyle w:val="MEMONUMBERED"/>
        <w:numPr>
          <w:ilvl w:val="0"/>
          <w:numId w:val="1"/>
        </w:numPr>
        <w:kinsoku w:val="0"/>
        <w:overflowPunct w:val="0"/>
        <w:spacing w:before="1" w:after="360" w:line="360" w:lineRule="auto"/>
        <w:ind w:left="0" w:right="-7" w:firstLine="0"/>
        <w:rPr>
          <w:rFonts w:ascii="Arial" w:hAnsi="Arial" w:cs="Arial"/>
        </w:rPr>
      </w:pPr>
      <w:r w:rsidRPr="00B801B9">
        <w:rPr>
          <w:rFonts w:ascii="Arial" w:hAnsi="Arial" w:cs="Arial"/>
        </w:rPr>
        <w:t xml:space="preserve"> There is also the injunction in s 39(2) of the Constitution, which enjoins courts, when interpreting any legislation, to promote the spirit, purport and objects of the Bill of Rights. Thus, where a provision is reasonably capable of two interpretations, the one that better promotes the spirit, purport and objects of the Bill of Rights should be adopted.</w:t>
      </w:r>
      <w:r w:rsidRPr="00B801B9">
        <w:rPr>
          <w:rStyle w:val="FootnoteReference"/>
          <w:rFonts w:ascii="Arial" w:hAnsi="Arial" w:cs="Arial"/>
        </w:rPr>
        <w:footnoteReference w:id="1"/>
      </w:r>
      <w:r w:rsidRPr="00B801B9">
        <w:rPr>
          <w:rFonts w:ascii="Arial" w:hAnsi="Arial" w:cs="Arial"/>
          <w:i/>
        </w:rPr>
        <w:t xml:space="preserve"> </w:t>
      </w:r>
      <w:r w:rsidRPr="00B801B9">
        <w:rPr>
          <w:rFonts w:ascii="Arial" w:hAnsi="Arial" w:cs="Arial"/>
        </w:rPr>
        <w:t xml:space="preserve">The right implicated in this case is that of access to courts, enshrined in </w:t>
      </w:r>
      <w:r w:rsidR="00424268">
        <w:rPr>
          <w:rFonts w:ascii="Arial" w:hAnsi="Arial" w:cs="Arial"/>
        </w:rPr>
        <w:t>s </w:t>
      </w:r>
      <w:r w:rsidRPr="00B801B9">
        <w:rPr>
          <w:rFonts w:ascii="Arial" w:hAnsi="Arial" w:cs="Arial"/>
        </w:rPr>
        <w:t>34 of the Constitution.</w:t>
      </w:r>
      <w:r w:rsidRPr="00B801B9">
        <w:rPr>
          <w:rStyle w:val="FootnoteReference"/>
          <w:rFonts w:ascii="Arial" w:hAnsi="Arial" w:cs="Arial"/>
        </w:rPr>
        <w:footnoteReference w:id="2"/>
      </w:r>
      <w:r w:rsidRPr="00B801B9">
        <w:rPr>
          <w:rFonts w:ascii="Arial" w:hAnsi="Arial" w:cs="Arial"/>
        </w:rPr>
        <w:t xml:space="preserve"> Consistent with this injunction, the interpretation of s 2(2) of the State Liability Act must be one which promotes this right, by considering the underlying purpose of the section, rather than merely its text.  This purposive approach is far more consistent with our constitutional values, than reading the section narrowly and strictly, as preferred by the appellants.</w:t>
      </w:r>
    </w:p>
    <w:p w14:paraId="05E713B4" w14:textId="7572E57F" w:rsidR="00BA3A04" w:rsidRPr="00B801B9" w:rsidRDefault="00370670" w:rsidP="00447DB5">
      <w:pPr>
        <w:numPr>
          <w:ilvl w:val="0"/>
          <w:numId w:val="1"/>
        </w:numPr>
        <w:shd w:val="clear" w:color="auto" w:fill="FFFFFF"/>
        <w:spacing w:before="120" w:after="720" w:line="360" w:lineRule="auto"/>
        <w:ind w:left="0" w:firstLine="0"/>
        <w:contextualSpacing/>
        <w:jc w:val="both"/>
        <w:rPr>
          <w:rFonts w:ascii="Arial" w:eastAsia="Times New Roman" w:hAnsi="Arial" w:cs="Arial"/>
          <w:i/>
          <w:iCs/>
          <w:sz w:val="24"/>
          <w:szCs w:val="24"/>
          <w:lang w:val="en-US" w:eastAsia="en-ZA"/>
        </w:rPr>
      </w:pPr>
      <w:r w:rsidRPr="00B801B9">
        <w:rPr>
          <w:rFonts w:ascii="Arial" w:hAnsi="Arial" w:cs="Arial"/>
          <w:sz w:val="24"/>
          <w:szCs w:val="24"/>
        </w:rPr>
        <w:t>With th</w:t>
      </w:r>
      <w:r w:rsidR="00522BE9" w:rsidRPr="00B801B9">
        <w:rPr>
          <w:rFonts w:ascii="Arial" w:hAnsi="Arial" w:cs="Arial"/>
          <w:sz w:val="24"/>
          <w:szCs w:val="24"/>
        </w:rPr>
        <w:t>e</w:t>
      </w:r>
      <w:r w:rsidRPr="00B801B9">
        <w:rPr>
          <w:rFonts w:ascii="Arial" w:hAnsi="Arial" w:cs="Arial"/>
          <w:sz w:val="24"/>
          <w:szCs w:val="24"/>
        </w:rPr>
        <w:t>s</w:t>
      </w:r>
      <w:r w:rsidR="00522BE9" w:rsidRPr="00B801B9">
        <w:rPr>
          <w:rFonts w:ascii="Arial" w:hAnsi="Arial" w:cs="Arial"/>
          <w:sz w:val="24"/>
          <w:szCs w:val="24"/>
        </w:rPr>
        <w:t>e</w:t>
      </w:r>
      <w:r w:rsidRPr="00B801B9">
        <w:rPr>
          <w:rFonts w:ascii="Arial" w:hAnsi="Arial" w:cs="Arial"/>
          <w:sz w:val="24"/>
          <w:szCs w:val="24"/>
        </w:rPr>
        <w:t xml:space="preserve"> interpretive iteration</w:t>
      </w:r>
      <w:r w:rsidR="00522BE9" w:rsidRPr="00B801B9">
        <w:rPr>
          <w:rFonts w:ascii="Arial" w:hAnsi="Arial" w:cs="Arial"/>
          <w:sz w:val="24"/>
          <w:szCs w:val="24"/>
        </w:rPr>
        <w:t>s</w:t>
      </w:r>
      <w:r w:rsidRPr="00B801B9">
        <w:rPr>
          <w:rFonts w:ascii="Arial" w:hAnsi="Arial" w:cs="Arial"/>
          <w:sz w:val="24"/>
          <w:szCs w:val="24"/>
        </w:rPr>
        <w:t xml:space="preserve"> in mind, I turn to s 2(2) of the State Liability Act</w:t>
      </w:r>
      <w:r w:rsidR="00782149" w:rsidRPr="00B801B9">
        <w:rPr>
          <w:rFonts w:ascii="Arial" w:hAnsi="Arial" w:cs="Arial"/>
          <w:sz w:val="24"/>
          <w:szCs w:val="24"/>
        </w:rPr>
        <w:t>.</w:t>
      </w:r>
      <w:r w:rsidR="00441F8F" w:rsidRPr="00B801B9">
        <w:rPr>
          <w:rFonts w:ascii="Arial" w:hAnsi="Arial" w:cs="Arial"/>
          <w:sz w:val="24"/>
          <w:szCs w:val="24"/>
        </w:rPr>
        <w:t xml:space="preserve"> </w:t>
      </w:r>
      <w:r w:rsidR="00770B54" w:rsidRPr="00B801B9">
        <w:rPr>
          <w:rFonts w:ascii="Arial" w:hAnsi="Arial" w:cs="Arial"/>
          <w:sz w:val="24"/>
          <w:szCs w:val="24"/>
        </w:rPr>
        <w:t xml:space="preserve">Its purpose, especially </w:t>
      </w:r>
      <w:r w:rsidR="00C14244" w:rsidRPr="00B801B9">
        <w:rPr>
          <w:rFonts w:ascii="Arial" w:hAnsi="Arial" w:cs="Arial"/>
          <w:sz w:val="24"/>
          <w:szCs w:val="24"/>
        </w:rPr>
        <w:t xml:space="preserve">the </w:t>
      </w:r>
      <w:r w:rsidR="00770B54" w:rsidRPr="00B801B9">
        <w:rPr>
          <w:rFonts w:ascii="Arial" w:hAnsi="Arial" w:cs="Arial"/>
          <w:sz w:val="24"/>
          <w:szCs w:val="24"/>
        </w:rPr>
        <w:t>requirement that</w:t>
      </w:r>
      <w:r w:rsidR="00116EDE" w:rsidRPr="00B801B9">
        <w:rPr>
          <w:rFonts w:ascii="Arial" w:hAnsi="Arial" w:cs="Arial"/>
          <w:sz w:val="24"/>
          <w:szCs w:val="24"/>
        </w:rPr>
        <w:t xml:space="preserve"> a</w:t>
      </w:r>
      <w:r w:rsidR="00770B54" w:rsidRPr="00B801B9">
        <w:rPr>
          <w:rFonts w:ascii="Arial" w:hAnsi="Arial" w:cs="Arial"/>
          <w:sz w:val="24"/>
          <w:szCs w:val="24"/>
        </w:rPr>
        <w:t xml:space="preserve"> summons   must be served</w:t>
      </w:r>
      <w:r w:rsidR="00770B54" w:rsidRPr="00B801B9">
        <w:rPr>
          <w:rFonts w:ascii="Arial" w:hAnsi="Arial" w:cs="Arial"/>
          <w:i/>
          <w:iCs/>
          <w:sz w:val="24"/>
          <w:szCs w:val="24"/>
        </w:rPr>
        <w:t xml:space="preserve"> </w:t>
      </w:r>
      <w:r w:rsidR="00441F8F" w:rsidRPr="00B801B9">
        <w:rPr>
          <w:rFonts w:ascii="Arial" w:hAnsi="Arial" w:cs="Arial"/>
          <w:sz w:val="24"/>
          <w:szCs w:val="24"/>
        </w:rPr>
        <w:t>on the State Attorney</w:t>
      </w:r>
      <w:r w:rsidR="00770B54" w:rsidRPr="00B801B9">
        <w:rPr>
          <w:rFonts w:ascii="Arial" w:hAnsi="Arial" w:cs="Arial"/>
          <w:sz w:val="24"/>
          <w:szCs w:val="24"/>
        </w:rPr>
        <w:t xml:space="preserve"> within seven days</w:t>
      </w:r>
      <w:r w:rsidR="00116EDE" w:rsidRPr="00B801B9">
        <w:rPr>
          <w:rFonts w:ascii="Arial" w:hAnsi="Arial" w:cs="Arial"/>
          <w:sz w:val="24"/>
          <w:szCs w:val="24"/>
        </w:rPr>
        <w:t xml:space="preserve"> after it was issued</w:t>
      </w:r>
      <w:r w:rsidR="00770B54" w:rsidRPr="00B801B9">
        <w:rPr>
          <w:rFonts w:ascii="Arial" w:hAnsi="Arial" w:cs="Arial"/>
          <w:sz w:val="24"/>
          <w:szCs w:val="24"/>
        </w:rPr>
        <w:t>,</w:t>
      </w:r>
      <w:r w:rsidR="00770B54" w:rsidRPr="00B801B9">
        <w:rPr>
          <w:rFonts w:ascii="Arial" w:hAnsi="Arial" w:cs="Arial"/>
          <w:i/>
          <w:iCs/>
          <w:sz w:val="24"/>
          <w:szCs w:val="24"/>
        </w:rPr>
        <w:t xml:space="preserve"> </w:t>
      </w:r>
      <w:r w:rsidR="00441F8F" w:rsidRPr="00B801B9">
        <w:rPr>
          <w:rFonts w:ascii="Arial" w:hAnsi="Arial" w:cs="Arial"/>
          <w:sz w:val="24"/>
          <w:szCs w:val="24"/>
        </w:rPr>
        <w:t xml:space="preserve">is clearly to ensure that </w:t>
      </w:r>
      <w:r w:rsidR="00335EE3" w:rsidRPr="00B801B9">
        <w:rPr>
          <w:rFonts w:ascii="Arial" w:hAnsi="Arial" w:cs="Arial"/>
          <w:sz w:val="24"/>
          <w:szCs w:val="24"/>
        </w:rPr>
        <w:t>the relevant ‘executive authority’ (the Minister in this case) is afforded effective legal representation</w:t>
      </w:r>
      <w:r w:rsidR="00603E37" w:rsidRPr="00B801B9">
        <w:rPr>
          <w:rFonts w:ascii="Arial" w:hAnsi="Arial" w:cs="Arial"/>
          <w:sz w:val="24"/>
          <w:szCs w:val="24"/>
        </w:rPr>
        <w:t xml:space="preserve"> in the matter</w:t>
      </w:r>
      <w:r w:rsidR="00335EE3" w:rsidRPr="00B801B9">
        <w:rPr>
          <w:rFonts w:ascii="Arial" w:hAnsi="Arial" w:cs="Arial"/>
          <w:sz w:val="24"/>
          <w:szCs w:val="24"/>
        </w:rPr>
        <w:t xml:space="preserve"> by </w:t>
      </w:r>
      <w:r w:rsidR="00441F8F" w:rsidRPr="00B801B9">
        <w:rPr>
          <w:rFonts w:ascii="Arial" w:hAnsi="Arial" w:cs="Arial"/>
          <w:sz w:val="24"/>
          <w:szCs w:val="24"/>
        </w:rPr>
        <w:t>the State Attorney</w:t>
      </w:r>
      <w:r w:rsidR="00B40C3A" w:rsidRPr="00B801B9">
        <w:rPr>
          <w:rFonts w:ascii="Arial" w:hAnsi="Arial" w:cs="Arial"/>
          <w:sz w:val="24"/>
          <w:szCs w:val="24"/>
        </w:rPr>
        <w:t>.</w:t>
      </w:r>
      <w:r w:rsidR="00616B93" w:rsidRPr="00B801B9">
        <w:rPr>
          <w:rFonts w:ascii="Arial" w:hAnsi="Arial" w:cs="Arial"/>
          <w:sz w:val="24"/>
          <w:szCs w:val="24"/>
        </w:rPr>
        <w:t xml:space="preserve"> If the State Attorney </w:t>
      </w:r>
      <w:r w:rsidR="00116EDE" w:rsidRPr="00B801B9">
        <w:rPr>
          <w:rFonts w:ascii="Arial" w:hAnsi="Arial" w:cs="Arial"/>
          <w:sz w:val="24"/>
          <w:szCs w:val="24"/>
        </w:rPr>
        <w:t>provides such legal representation</w:t>
      </w:r>
      <w:r w:rsidR="00616B93" w:rsidRPr="00B801B9">
        <w:rPr>
          <w:rFonts w:ascii="Arial" w:hAnsi="Arial" w:cs="Arial"/>
          <w:sz w:val="24"/>
          <w:szCs w:val="24"/>
        </w:rPr>
        <w:t xml:space="preserve">, </w:t>
      </w:r>
      <w:r w:rsidR="00C14244" w:rsidRPr="00B801B9">
        <w:rPr>
          <w:rFonts w:ascii="Arial" w:hAnsi="Arial" w:cs="Arial"/>
          <w:sz w:val="24"/>
          <w:szCs w:val="24"/>
        </w:rPr>
        <w:t xml:space="preserve">in any manner whatsoever, </w:t>
      </w:r>
      <w:r w:rsidR="00616B93" w:rsidRPr="00B801B9">
        <w:rPr>
          <w:rFonts w:ascii="Arial" w:hAnsi="Arial" w:cs="Arial"/>
          <w:sz w:val="24"/>
          <w:szCs w:val="24"/>
        </w:rPr>
        <w:t xml:space="preserve">despite it not </w:t>
      </w:r>
      <w:r w:rsidR="00603E37" w:rsidRPr="00B801B9">
        <w:rPr>
          <w:rFonts w:ascii="Arial" w:hAnsi="Arial" w:cs="Arial"/>
          <w:sz w:val="24"/>
          <w:szCs w:val="24"/>
        </w:rPr>
        <w:t xml:space="preserve">having </w:t>
      </w:r>
      <w:r w:rsidR="00616B93" w:rsidRPr="00B801B9">
        <w:rPr>
          <w:rFonts w:ascii="Arial" w:hAnsi="Arial" w:cs="Arial"/>
          <w:sz w:val="24"/>
          <w:szCs w:val="24"/>
        </w:rPr>
        <w:t xml:space="preserve">been served by </w:t>
      </w:r>
      <w:r w:rsidR="00616B93" w:rsidRPr="00B801B9">
        <w:rPr>
          <w:rFonts w:ascii="Arial" w:hAnsi="Arial" w:cs="Arial"/>
          <w:sz w:val="24"/>
          <w:szCs w:val="24"/>
        </w:rPr>
        <w:lastRenderedPageBreak/>
        <w:t xml:space="preserve">the sheriff within seven days of </w:t>
      </w:r>
      <w:r w:rsidR="00C14244" w:rsidRPr="00B801B9">
        <w:rPr>
          <w:rFonts w:ascii="Arial" w:hAnsi="Arial" w:cs="Arial"/>
          <w:sz w:val="24"/>
          <w:szCs w:val="24"/>
        </w:rPr>
        <w:t xml:space="preserve">the process </w:t>
      </w:r>
      <w:r w:rsidR="00F12CA5" w:rsidRPr="00B801B9">
        <w:rPr>
          <w:rFonts w:ascii="Arial" w:hAnsi="Arial" w:cs="Arial"/>
          <w:sz w:val="24"/>
          <w:szCs w:val="24"/>
        </w:rPr>
        <w:t xml:space="preserve">commencing such proceedings, </w:t>
      </w:r>
      <w:r w:rsidR="00616B93" w:rsidRPr="00B801B9">
        <w:rPr>
          <w:rFonts w:ascii="Arial" w:hAnsi="Arial" w:cs="Arial"/>
          <w:sz w:val="24"/>
          <w:szCs w:val="24"/>
        </w:rPr>
        <w:t>th</w:t>
      </w:r>
      <w:r w:rsidR="00116EDE" w:rsidRPr="00B801B9">
        <w:rPr>
          <w:rFonts w:ascii="Arial" w:hAnsi="Arial" w:cs="Arial"/>
          <w:sz w:val="24"/>
          <w:szCs w:val="24"/>
        </w:rPr>
        <w:t>is</w:t>
      </w:r>
      <w:r w:rsidR="00616B93" w:rsidRPr="00B801B9">
        <w:rPr>
          <w:rFonts w:ascii="Arial" w:hAnsi="Arial" w:cs="Arial"/>
          <w:sz w:val="24"/>
          <w:szCs w:val="24"/>
        </w:rPr>
        <w:t xml:space="preserve"> purpose would have bee</w:t>
      </w:r>
      <w:r w:rsidR="00D511AD" w:rsidRPr="00B801B9">
        <w:rPr>
          <w:rFonts w:ascii="Arial" w:hAnsi="Arial" w:cs="Arial"/>
          <w:sz w:val="24"/>
          <w:szCs w:val="24"/>
        </w:rPr>
        <w:t>n</w:t>
      </w:r>
      <w:r w:rsidR="00616B93" w:rsidRPr="00B801B9">
        <w:rPr>
          <w:rFonts w:ascii="Arial" w:hAnsi="Arial" w:cs="Arial"/>
          <w:sz w:val="24"/>
          <w:szCs w:val="24"/>
        </w:rPr>
        <w:t xml:space="preserve"> served.</w:t>
      </w:r>
      <w:r w:rsidR="00F12CA5" w:rsidRPr="00B801B9">
        <w:rPr>
          <w:rFonts w:ascii="Arial" w:hAnsi="Arial" w:cs="Arial"/>
          <w:sz w:val="24"/>
          <w:szCs w:val="24"/>
        </w:rPr>
        <w:t xml:space="preserve"> That would also be the position where, as in the present case, there was no service </w:t>
      </w:r>
      <w:r w:rsidR="00116EDE" w:rsidRPr="00B801B9">
        <w:rPr>
          <w:rFonts w:ascii="Arial" w:hAnsi="Arial" w:cs="Arial"/>
          <w:sz w:val="24"/>
          <w:szCs w:val="24"/>
        </w:rPr>
        <w:t xml:space="preserve">on the State Attorney </w:t>
      </w:r>
      <w:r w:rsidR="00F12CA5" w:rsidRPr="00B801B9">
        <w:rPr>
          <w:rFonts w:ascii="Arial" w:hAnsi="Arial" w:cs="Arial"/>
          <w:sz w:val="24"/>
          <w:szCs w:val="24"/>
        </w:rPr>
        <w:t xml:space="preserve">at all. </w:t>
      </w:r>
      <w:r w:rsidR="00D511AD" w:rsidRPr="00B801B9">
        <w:rPr>
          <w:rFonts w:ascii="Arial" w:hAnsi="Arial" w:cs="Arial"/>
          <w:sz w:val="24"/>
          <w:szCs w:val="24"/>
        </w:rPr>
        <w:t xml:space="preserve">In other words, it is not so much </w:t>
      </w:r>
      <w:r w:rsidR="00603E37" w:rsidRPr="00B801B9">
        <w:rPr>
          <w:rFonts w:ascii="Arial" w:hAnsi="Arial" w:cs="Arial"/>
          <w:sz w:val="24"/>
          <w:szCs w:val="24"/>
        </w:rPr>
        <w:t>about</w:t>
      </w:r>
      <w:r w:rsidR="00E4003D" w:rsidRPr="00B801B9">
        <w:rPr>
          <w:rFonts w:ascii="Arial" w:hAnsi="Arial" w:cs="Arial"/>
          <w:sz w:val="24"/>
          <w:szCs w:val="24"/>
        </w:rPr>
        <w:t xml:space="preserve"> </w:t>
      </w:r>
      <w:r w:rsidR="00D511AD" w:rsidRPr="00B801B9">
        <w:rPr>
          <w:rFonts w:ascii="Arial" w:hAnsi="Arial" w:cs="Arial"/>
          <w:sz w:val="24"/>
          <w:szCs w:val="24"/>
        </w:rPr>
        <w:t>how the</w:t>
      </w:r>
      <w:r w:rsidR="00F46300" w:rsidRPr="00B801B9">
        <w:rPr>
          <w:rFonts w:ascii="Arial" w:hAnsi="Arial" w:cs="Arial"/>
          <w:sz w:val="24"/>
          <w:szCs w:val="24"/>
        </w:rPr>
        <w:t xml:space="preserve"> </w:t>
      </w:r>
      <w:r w:rsidR="00A6449B" w:rsidRPr="00B801B9">
        <w:rPr>
          <w:rFonts w:ascii="Arial" w:hAnsi="Arial" w:cs="Arial"/>
          <w:sz w:val="24"/>
          <w:szCs w:val="24"/>
        </w:rPr>
        <w:t xml:space="preserve">State Attorney obtained the knowledge of the </w:t>
      </w:r>
      <w:r w:rsidR="00F46300" w:rsidRPr="00B801B9">
        <w:rPr>
          <w:rFonts w:ascii="Arial" w:hAnsi="Arial" w:cs="Arial"/>
          <w:sz w:val="24"/>
          <w:szCs w:val="24"/>
        </w:rPr>
        <w:t>process commencing proceedings</w:t>
      </w:r>
      <w:r w:rsidR="00A6449B" w:rsidRPr="00B801B9">
        <w:rPr>
          <w:rFonts w:ascii="Arial" w:hAnsi="Arial" w:cs="Arial"/>
          <w:sz w:val="24"/>
          <w:szCs w:val="24"/>
        </w:rPr>
        <w:t>,</w:t>
      </w:r>
      <w:r w:rsidR="00F46300" w:rsidRPr="00B801B9">
        <w:rPr>
          <w:rFonts w:ascii="Arial" w:hAnsi="Arial" w:cs="Arial"/>
          <w:sz w:val="24"/>
          <w:szCs w:val="24"/>
        </w:rPr>
        <w:t xml:space="preserve"> as the</w:t>
      </w:r>
      <w:r w:rsidR="00603E37" w:rsidRPr="00B801B9">
        <w:rPr>
          <w:rFonts w:ascii="Arial" w:hAnsi="Arial" w:cs="Arial"/>
          <w:sz w:val="24"/>
          <w:szCs w:val="24"/>
        </w:rPr>
        <w:t xml:space="preserve"> representation of the party in the</w:t>
      </w:r>
      <w:r w:rsidR="00F12CA5" w:rsidRPr="00B801B9">
        <w:rPr>
          <w:rFonts w:ascii="Arial" w:hAnsi="Arial" w:cs="Arial"/>
          <w:sz w:val="24"/>
          <w:szCs w:val="24"/>
        </w:rPr>
        <w:t xml:space="preserve"> </w:t>
      </w:r>
      <w:r w:rsidR="00D511AD" w:rsidRPr="00B801B9">
        <w:rPr>
          <w:rFonts w:ascii="Arial" w:hAnsi="Arial" w:cs="Arial"/>
          <w:sz w:val="24"/>
          <w:szCs w:val="24"/>
        </w:rPr>
        <w:t>legal proceedings</w:t>
      </w:r>
      <w:r w:rsidR="00A6449B" w:rsidRPr="00B801B9">
        <w:rPr>
          <w:rFonts w:ascii="Arial" w:hAnsi="Arial" w:cs="Arial"/>
          <w:sz w:val="24"/>
          <w:szCs w:val="24"/>
        </w:rPr>
        <w:t xml:space="preserve"> itself</w:t>
      </w:r>
      <w:r w:rsidR="00C86D5D" w:rsidRPr="00B801B9">
        <w:rPr>
          <w:rFonts w:ascii="Arial" w:hAnsi="Arial" w:cs="Arial"/>
          <w:sz w:val="24"/>
          <w:szCs w:val="24"/>
        </w:rPr>
        <w:t xml:space="preserve">. </w:t>
      </w:r>
      <w:r w:rsidR="00D511AD" w:rsidRPr="00B801B9">
        <w:rPr>
          <w:rFonts w:ascii="Arial" w:hAnsi="Arial" w:cs="Arial"/>
          <w:sz w:val="24"/>
          <w:szCs w:val="24"/>
        </w:rPr>
        <w:t xml:space="preserve"> </w:t>
      </w:r>
    </w:p>
    <w:p w14:paraId="0CEBA27B" w14:textId="77777777" w:rsidR="00BA3A04" w:rsidRPr="00B801B9" w:rsidRDefault="00BA3A04" w:rsidP="00BA3A04">
      <w:pPr>
        <w:rPr>
          <w:rFonts w:ascii="Arial" w:hAnsi="Arial" w:cs="Arial"/>
          <w:sz w:val="24"/>
          <w:szCs w:val="24"/>
        </w:rPr>
      </w:pPr>
    </w:p>
    <w:p w14:paraId="4942A4C1" w14:textId="42565063" w:rsidR="00441F8F" w:rsidRPr="00B801B9" w:rsidRDefault="00C86D5D" w:rsidP="00A6449B">
      <w:pPr>
        <w:numPr>
          <w:ilvl w:val="0"/>
          <w:numId w:val="1"/>
        </w:numPr>
        <w:shd w:val="clear" w:color="auto" w:fill="FFFFFF"/>
        <w:spacing w:before="120" w:after="720" w:line="360" w:lineRule="auto"/>
        <w:ind w:left="0" w:firstLine="0"/>
        <w:contextualSpacing/>
        <w:jc w:val="both"/>
        <w:rPr>
          <w:rFonts w:ascii="Arial" w:eastAsia="Times New Roman" w:hAnsi="Arial" w:cs="Arial"/>
          <w:i/>
          <w:iCs/>
          <w:sz w:val="24"/>
          <w:szCs w:val="24"/>
          <w:lang w:val="en-US" w:eastAsia="en-ZA"/>
        </w:rPr>
      </w:pPr>
      <w:r w:rsidRPr="00B801B9">
        <w:rPr>
          <w:rFonts w:ascii="Arial" w:hAnsi="Arial" w:cs="Arial"/>
          <w:sz w:val="24"/>
          <w:szCs w:val="24"/>
        </w:rPr>
        <w:t xml:space="preserve">In the present case, a copy of the summons was served on the </w:t>
      </w:r>
      <w:r w:rsidR="00E4003D" w:rsidRPr="00B801B9">
        <w:rPr>
          <w:rFonts w:ascii="Arial" w:hAnsi="Arial" w:cs="Arial"/>
          <w:sz w:val="24"/>
          <w:szCs w:val="24"/>
        </w:rPr>
        <w:t>Minister.</w:t>
      </w:r>
      <w:r w:rsidR="00BF0A65" w:rsidRPr="00B801B9">
        <w:rPr>
          <w:rFonts w:ascii="Arial" w:hAnsi="Arial" w:cs="Arial"/>
          <w:sz w:val="24"/>
          <w:szCs w:val="24"/>
        </w:rPr>
        <w:t xml:space="preserve"> </w:t>
      </w:r>
      <w:r w:rsidR="00CA04F7" w:rsidRPr="00B801B9">
        <w:rPr>
          <w:rFonts w:ascii="Arial" w:hAnsi="Arial" w:cs="Arial"/>
          <w:sz w:val="24"/>
          <w:szCs w:val="24"/>
        </w:rPr>
        <w:t>I</w:t>
      </w:r>
      <w:r w:rsidRPr="00B801B9">
        <w:rPr>
          <w:rFonts w:ascii="Arial" w:hAnsi="Arial" w:cs="Arial"/>
          <w:sz w:val="24"/>
          <w:szCs w:val="24"/>
        </w:rPr>
        <w:t>n the midst of legal and technical arguments</w:t>
      </w:r>
      <w:r w:rsidR="00CA04F7" w:rsidRPr="00B801B9">
        <w:rPr>
          <w:rFonts w:ascii="Arial" w:hAnsi="Arial" w:cs="Arial"/>
          <w:sz w:val="24"/>
          <w:szCs w:val="24"/>
        </w:rPr>
        <w:t xml:space="preserve"> advanced on behalf </w:t>
      </w:r>
      <w:r w:rsidRPr="00B801B9">
        <w:rPr>
          <w:rFonts w:ascii="Arial" w:hAnsi="Arial" w:cs="Arial"/>
          <w:sz w:val="24"/>
          <w:szCs w:val="24"/>
        </w:rPr>
        <w:t>the Minister</w:t>
      </w:r>
      <w:r w:rsidR="00CA04F7" w:rsidRPr="00B801B9">
        <w:rPr>
          <w:rFonts w:ascii="Arial" w:hAnsi="Arial" w:cs="Arial"/>
          <w:sz w:val="24"/>
          <w:szCs w:val="24"/>
        </w:rPr>
        <w:t>, there is deafening</w:t>
      </w:r>
      <w:r w:rsidRPr="00B801B9">
        <w:rPr>
          <w:rFonts w:ascii="Arial" w:hAnsi="Arial" w:cs="Arial"/>
          <w:sz w:val="24"/>
          <w:szCs w:val="24"/>
        </w:rPr>
        <w:t xml:space="preserve"> silence</w:t>
      </w:r>
      <w:r w:rsidR="00CA04F7" w:rsidRPr="00B801B9">
        <w:rPr>
          <w:rFonts w:ascii="Arial" w:hAnsi="Arial" w:cs="Arial"/>
          <w:sz w:val="24"/>
          <w:szCs w:val="24"/>
        </w:rPr>
        <w:t xml:space="preserve"> on the Minister’s part as to what he did with the summons after receiving it. </w:t>
      </w:r>
      <w:r w:rsidR="00603E37" w:rsidRPr="00B801B9">
        <w:rPr>
          <w:rFonts w:ascii="Arial" w:hAnsi="Arial" w:cs="Arial"/>
          <w:sz w:val="24"/>
          <w:szCs w:val="24"/>
        </w:rPr>
        <w:t>The critical point, however is that the State Attorney effectively represented the Minister in this action, by entering appearance to defend the action if</w:t>
      </w:r>
      <w:r w:rsidR="00603E37" w:rsidRPr="00B801B9">
        <w:rPr>
          <w:rFonts w:ascii="Arial" w:hAnsi="Arial" w:cs="Arial"/>
          <w:i/>
          <w:sz w:val="24"/>
          <w:szCs w:val="24"/>
        </w:rPr>
        <w:t xml:space="preserve"> de novo</w:t>
      </w:r>
      <w:r w:rsidR="009448BE" w:rsidRPr="00B801B9">
        <w:rPr>
          <w:rFonts w:ascii="Arial" w:hAnsi="Arial" w:cs="Arial"/>
          <w:sz w:val="24"/>
          <w:szCs w:val="24"/>
        </w:rPr>
        <w:t>, by filing a plea and by being able to be ready for trial. Thus</w:t>
      </w:r>
      <w:r w:rsidR="00A81CCE" w:rsidRPr="00B801B9">
        <w:rPr>
          <w:rFonts w:ascii="Arial" w:hAnsi="Arial" w:cs="Arial"/>
          <w:sz w:val="24"/>
          <w:szCs w:val="24"/>
        </w:rPr>
        <w:t xml:space="preserve">, the purpose of the section has been achieved. </w:t>
      </w:r>
      <w:r w:rsidR="00CB3473" w:rsidRPr="00B801B9">
        <w:rPr>
          <w:rFonts w:ascii="Arial" w:eastAsia="Times New Roman" w:hAnsi="Arial" w:cs="Arial"/>
          <w:sz w:val="24"/>
          <w:szCs w:val="24"/>
          <w:lang w:val="en-US" w:eastAsia="en-ZA"/>
        </w:rPr>
        <w:t>T</w:t>
      </w:r>
      <w:r w:rsidR="00B921D9" w:rsidRPr="00B801B9">
        <w:rPr>
          <w:rFonts w:ascii="Arial" w:eastAsia="Times New Roman" w:hAnsi="Arial" w:cs="Arial"/>
          <w:sz w:val="24"/>
          <w:szCs w:val="24"/>
          <w:lang w:val="en-US" w:eastAsia="en-ZA"/>
        </w:rPr>
        <w:t>he Minister’s contention th</w:t>
      </w:r>
      <w:r w:rsidR="00CB3473" w:rsidRPr="00B801B9">
        <w:rPr>
          <w:rFonts w:ascii="Arial" w:eastAsia="Times New Roman" w:hAnsi="Arial" w:cs="Arial"/>
          <w:sz w:val="24"/>
          <w:szCs w:val="24"/>
          <w:lang w:val="en-US" w:eastAsia="en-ZA"/>
        </w:rPr>
        <w:t xml:space="preserve">at, despite </w:t>
      </w:r>
      <w:r w:rsidR="00D52310" w:rsidRPr="00B801B9">
        <w:rPr>
          <w:rFonts w:ascii="Arial" w:eastAsia="Times New Roman" w:hAnsi="Arial" w:cs="Arial"/>
          <w:sz w:val="24"/>
          <w:szCs w:val="24"/>
          <w:lang w:val="en-US" w:eastAsia="en-ZA"/>
        </w:rPr>
        <w:t xml:space="preserve">a copy of the summons </w:t>
      </w:r>
      <w:r w:rsidR="00CB3473" w:rsidRPr="00B801B9">
        <w:rPr>
          <w:rFonts w:ascii="Arial" w:eastAsia="Times New Roman" w:hAnsi="Arial" w:cs="Arial"/>
          <w:sz w:val="24"/>
          <w:szCs w:val="24"/>
          <w:lang w:val="en-US" w:eastAsia="en-ZA"/>
        </w:rPr>
        <w:t>having been served</w:t>
      </w:r>
      <w:r w:rsidR="00D52310" w:rsidRPr="00B801B9">
        <w:rPr>
          <w:rFonts w:ascii="Arial" w:eastAsia="Times New Roman" w:hAnsi="Arial" w:cs="Arial"/>
          <w:sz w:val="24"/>
          <w:szCs w:val="24"/>
          <w:lang w:val="en-US" w:eastAsia="en-ZA"/>
        </w:rPr>
        <w:t xml:space="preserve"> on him</w:t>
      </w:r>
      <w:r w:rsidR="00CB3473" w:rsidRPr="00B801B9">
        <w:rPr>
          <w:rFonts w:ascii="Arial" w:eastAsia="Times New Roman" w:hAnsi="Arial" w:cs="Arial"/>
          <w:sz w:val="24"/>
          <w:szCs w:val="24"/>
          <w:lang w:val="en-US" w:eastAsia="en-ZA"/>
        </w:rPr>
        <w:t xml:space="preserve">, the summons should </w:t>
      </w:r>
      <w:r w:rsidR="00D52310" w:rsidRPr="00B801B9">
        <w:rPr>
          <w:rFonts w:ascii="Arial" w:eastAsia="Times New Roman" w:hAnsi="Arial" w:cs="Arial"/>
          <w:sz w:val="24"/>
          <w:szCs w:val="24"/>
          <w:lang w:val="en-US" w:eastAsia="en-ZA"/>
        </w:rPr>
        <w:t xml:space="preserve">nevertheless </w:t>
      </w:r>
      <w:r w:rsidR="00CB3473" w:rsidRPr="00B801B9">
        <w:rPr>
          <w:rFonts w:ascii="Arial" w:eastAsia="Times New Roman" w:hAnsi="Arial" w:cs="Arial"/>
          <w:sz w:val="24"/>
          <w:szCs w:val="24"/>
          <w:lang w:val="en-US" w:eastAsia="en-ZA"/>
        </w:rPr>
        <w:t>be declared a nullity solely because it has not been</w:t>
      </w:r>
      <w:r w:rsidR="00B921D9" w:rsidRPr="00B801B9">
        <w:rPr>
          <w:rFonts w:ascii="Arial" w:eastAsia="Times New Roman" w:hAnsi="Arial" w:cs="Arial"/>
          <w:sz w:val="24"/>
          <w:szCs w:val="24"/>
          <w:lang w:val="en-US" w:eastAsia="en-ZA"/>
        </w:rPr>
        <w:t xml:space="preserve"> served on the State Attorney</w:t>
      </w:r>
      <w:r w:rsidR="00F12CA5" w:rsidRPr="00B801B9">
        <w:rPr>
          <w:rFonts w:ascii="Arial" w:eastAsia="Times New Roman" w:hAnsi="Arial" w:cs="Arial"/>
          <w:sz w:val="24"/>
          <w:szCs w:val="24"/>
          <w:lang w:val="en-US" w:eastAsia="en-ZA"/>
        </w:rPr>
        <w:t>,</w:t>
      </w:r>
      <w:r w:rsidR="00CB3473" w:rsidRPr="00B801B9">
        <w:rPr>
          <w:rFonts w:ascii="Arial" w:eastAsia="Times New Roman" w:hAnsi="Arial" w:cs="Arial"/>
          <w:sz w:val="24"/>
          <w:szCs w:val="24"/>
          <w:lang w:val="en-US" w:eastAsia="en-ZA"/>
        </w:rPr>
        <w:t xml:space="preserve"> is </w:t>
      </w:r>
      <w:r w:rsidR="00A6449B" w:rsidRPr="00B801B9">
        <w:rPr>
          <w:rFonts w:ascii="Arial" w:eastAsia="Times New Roman" w:hAnsi="Arial" w:cs="Arial"/>
          <w:sz w:val="24"/>
          <w:szCs w:val="24"/>
          <w:lang w:val="en-US" w:eastAsia="en-ZA"/>
        </w:rPr>
        <w:t xml:space="preserve">simply </w:t>
      </w:r>
      <w:r w:rsidR="00CB3473" w:rsidRPr="00B801B9">
        <w:rPr>
          <w:rFonts w:ascii="Arial" w:eastAsia="Times New Roman" w:hAnsi="Arial" w:cs="Arial"/>
          <w:sz w:val="24"/>
          <w:szCs w:val="24"/>
          <w:lang w:val="en-US" w:eastAsia="en-ZA"/>
        </w:rPr>
        <w:t>untenable</w:t>
      </w:r>
      <w:r w:rsidR="00F12CA5" w:rsidRPr="00B801B9">
        <w:rPr>
          <w:rFonts w:ascii="Arial" w:eastAsia="Times New Roman" w:hAnsi="Arial" w:cs="Arial"/>
          <w:sz w:val="24"/>
          <w:szCs w:val="24"/>
          <w:lang w:val="en-US" w:eastAsia="en-ZA"/>
        </w:rPr>
        <w:t>.</w:t>
      </w:r>
    </w:p>
    <w:p w14:paraId="3157FCE7" w14:textId="77777777" w:rsidR="00BA3A04" w:rsidRPr="00B801B9" w:rsidRDefault="00BA3A04" w:rsidP="00BA3A04">
      <w:pPr>
        <w:shd w:val="clear" w:color="auto" w:fill="FFFFFF"/>
        <w:spacing w:before="120" w:after="0" w:line="360" w:lineRule="auto"/>
        <w:contextualSpacing/>
        <w:jc w:val="both"/>
        <w:rPr>
          <w:rFonts w:ascii="Arial" w:eastAsia="Times New Roman" w:hAnsi="Arial" w:cs="Arial"/>
          <w:sz w:val="24"/>
          <w:szCs w:val="24"/>
          <w:lang w:val="en-US" w:eastAsia="en-ZA"/>
        </w:rPr>
      </w:pPr>
    </w:p>
    <w:p w14:paraId="6E4A3DF4" w14:textId="77777777" w:rsidR="003477E1" w:rsidRPr="00B801B9" w:rsidRDefault="00856B44" w:rsidP="00D45B92">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 xml:space="preserve">One of the overarching considerations in matters of this nature is prejudice. In the present case, I am unable to discern any prejudice suffered by the </w:t>
      </w:r>
      <w:r w:rsidR="00A76E1A" w:rsidRPr="00B801B9">
        <w:rPr>
          <w:rFonts w:ascii="Arial" w:hAnsi="Arial" w:cs="Arial"/>
          <w:sz w:val="24"/>
          <w:szCs w:val="24"/>
        </w:rPr>
        <w:t xml:space="preserve">Minister </w:t>
      </w:r>
      <w:r w:rsidRPr="00B801B9">
        <w:rPr>
          <w:rFonts w:ascii="Arial" w:hAnsi="Arial" w:cs="Arial"/>
          <w:sz w:val="24"/>
          <w:szCs w:val="24"/>
        </w:rPr>
        <w:t>as a result of non-service of a copy of the summons on the State Attorney. The Minister</w:t>
      </w:r>
      <w:r w:rsidR="00044128" w:rsidRPr="00B801B9">
        <w:rPr>
          <w:rFonts w:ascii="Arial" w:hAnsi="Arial" w:cs="Arial"/>
          <w:sz w:val="24"/>
          <w:szCs w:val="24"/>
        </w:rPr>
        <w:t xml:space="preserve"> has </w:t>
      </w:r>
      <w:r w:rsidR="00D17540" w:rsidRPr="00B801B9">
        <w:rPr>
          <w:rFonts w:ascii="Arial" w:hAnsi="Arial" w:cs="Arial"/>
          <w:sz w:val="24"/>
          <w:szCs w:val="24"/>
        </w:rPr>
        <w:t xml:space="preserve">not </w:t>
      </w:r>
      <w:r w:rsidR="00044128" w:rsidRPr="00B801B9">
        <w:rPr>
          <w:rFonts w:ascii="Arial" w:hAnsi="Arial" w:cs="Arial"/>
          <w:sz w:val="24"/>
          <w:szCs w:val="24"/>
        </w:rPr>
        <w:t>pointed to</w:t>
      </w:r>
      <w:r w:rsidR="00A6449B" w:rsidRPr="00B801B9">
        <w:rPr>
          <w:rFonts w:ascii="Arial" w:hAnsi="Arial" w:cs="Arial"/>
          <w:sz w:val="24"/>
          <w:szCs w:val="24"/>
        </w:rPr>
        <w:t xml:space="preserve"> </w:t>
      </w:r>
      <w:r w:rsidR="00D17540" w:rsidRPr="00B801B9">
        <w:rPr>
          <w:rFonts w:ascii="Arial" w:hAnsi="Arial" w:cs="Arial"/>
          <w:sz w:val="24"/>
          <w:szCs w:val="24"/>
        </w:rPr>
        <w:t>any</w:t>
      </w:r>
      <w:r w:rsidR="00044128" w:rsidRPr="00B801B9">
        <w:rPr>
          <w:rFonts w:ascii="Arial" w:hAnsi="Arial" w:cs="Arial"/>
          <w:sz w:val="24"/>
          <w:szCs w:val="24"/>
        </w:rPr>
        <w:t>.</w:t>
      </w:r>
      <w:r w:rsidR="005514D6" w:rsidRPr="00B801B9">
        <w:rPr>
          <w:rFonts w:ascii="Arial" w:hAnsi="Arial" w:cs="Arial"/>
          <w:sz w:val="24"/>
          <w:szCs w:val="24"/>
        </w:rPr>
        <w:t xml:space="preserve"> </w:t>
      </w:r>
      <w:r w:rsidR="009448BE" w:rsidRPr="00B801B9">
        <w:rPr>
          <w:rFonts w:ascii="Arial" w:hAnsi="Arial" w:cs="Arial"/>
          <w:sz w:val="24"/>
          <w:szCs w:val="24"/>
        </w:rPr>
        <w:t>As I have said h</w:t>
      </w:r>
      <w:r w:rsidR="005514D6" w:rsidRPr="00B801B9">
        <w:rPr>
          <w:rFonts w:ascii="Arial" w:hAnsi="Arial" w:cs="Arial"/>
          <w:sz w:val="24"/>
          <w:szCs w:val="24"/>
        </w:rPr>
        <w:t xml:space="preserve">e was able to serve a plea in which he </w:t>
      </w:r>
      <w:r w:rsidR="00D17540" w:rsidRPr="00B801B9">
        <w:rPr>
          <w:rFonts w:ascii="Arial" w:hAnsi="Arial" w:cs="Arial"/>
          <w:sz w:val="24"/>
          <w:szCs w:val="24"/>
        </w:rPr>
        <w:t xml:space="preserve">responded </w:t>
      </w:r>
      <w:r w:rsidR="005514D6" w:rsidRPr="00B801B9">
        <w:rPr>
          <w:rFonts w:ascii="Arial" w:hAnsi="Arial" w:cs="Arial"/>
          <w:sz w:val="24"/>
          <w:szCs w:val="24"/>
        </w:rPr>
        <w:t>to the respondent’s allegations in the combined summons.</w:t>
      </w:r>
      <w:r w:rsidR="00044128" w:rsidRPr="00B801B9">
        <w:rPr>
          <w:rFonts w:ascii="Arial" w:hAnsi="Arial" w:cs="Arial"/>
          <w:sz w:val="24"/>
          <w:szCs w:val="24"/>
        </w:rPr>
        <w:t xml:space="preserve"> The absence of prejudice </w:t>
      </w:r>
      <w:r w:rsidR="007F545F" w:rsidRPr="00B801B9">
        <w:rPr>
          <w:rFonts w:ascii="Arial" w:hAnsi="Arial" w:cs="Arial"/>
          <w:sz w:val="24"/>
          <w:szCs w:val="24"/>
        </w:rPr>
        <w:t>is also evident</w:t>
      </w:r>
      <w:r w:rsidR="00D4297F" w:rsidRPr="00B801B9">
        <w:rPr>
          <w:rFonts w:ascii="Arial" w:hAnsi="Arial" w:cs="Arial"/>
          <w:sz w:val="24"/>
          <w:szCs w:val="24"/>
        </w:rPr>
        <w:t xml:space="preserve"> from th</w:t>
      </w:r>
      <w:r w:rsidR="007F545F" w:rsidRPr="00B801B9">
        <w:rPr>
          <w:rFonts w:ascii="Arial" w:hAnsi="Arial" w:cs="Arial"/>
          <w:sz w:val="24"/>
          <w:szCs w:val="24"/>
        </w:rPr>
        <w:t>e fact that</w:t>
      </w:r>
      <w:r w:rsidR="00C43D9A" w:rsidRPr="00B801B9">
        <w:rPr>
          <w:rFonts w:ascii="Arial" w:hAnsi="Arial" w:cs="Arial"/>
          <w:sz w:val="24"/>
          <w:szCs w:val="24"/>
        </w:rPr>
        <w:t xml:space="preserve"> in the statement containing the agreed facts, the Minister </w:t>
      </w:r>
      <w:r w:rsidR="005514D6" w:rsidRPr="00B801B9">
        <w:rPr>
          <w:rFonts w:ascii="Arial" w:hAnsi="Arial" w:cs="Arial"/>
          <w:sz w:val="24"/>
          <w:szCs w:val="24"/>
        </w:rPr>
        <w:t xml:space="preserve">asserts </w:t>
      </w:r>
      <w:r w:rsidRPr="00B801B9">
        <w:rPr>
          <w:rFonts w:ascii="Arial" w:hAnsi="Arial" w:cs="Arial"/>
          <w:sz w:val="24"/>
          <w:szCs w:val="24"/>
        </w:rPr>
        <w:t>none</w:t>
      </w:r>
      <w:r w:rsidR="00C43D9A" w:rsidRPr="00B801B9">
        <w:rPr>
          <w:rFonts w:ascii="Arial" w:hAnsi="Arial" w:cs="Arial"/>
          <w:sz w:val="24"/>
          <w:szCs w:val="24"/>
        </w:rPr>
        <w:t xml:space="preserve">. Instead, the parties agreed that </w:t>
      </w:r>
      <w:bookmarkStart w:id="16" w:name="_Hlk107713420"/>
      <w:r w:rsidR="00C43D9A" w:rsidRPr="00B801B9">
        <w:rPr>
          <w:rFonts w:ascii="Arial" w:hAnsi="Arial" w:cs="Arial"/>
          <w:sz w:val="24"/>
          <w:szCs w:val="24"/>
        </w:rPr>
        <w:t>in the event the special pleas were dismissed, the trial would proceed immediately on the</w:t>
      </w:r>
      <w:r w:rsidR="00D17540" w:rsidRPr="00B801B9">
        <w:rPr>
          <w:rFonts w:ascii="Arial" w:hAnsi="Arial" w:cs="Arial"/>
          <w:sz w:val="24"/>
          <w:szCs w:val="24"/>
        </w:rPr>
        <w:t xml:space="preserve"> issue of liability</w:t>
      </w:r>
      <w:r w:rsidR="00C43D9A" w:rsidRPr="00B801B9">
        <w:rPr>
          <w:rFonts w:ascii="Arial" w:hAnsi="Arial" w:cs="Arial"/>
          <w:sz w:val="24"/>
          <w:szCs w:val="24"/>
        </w:rPr>
        <w:t xml:space="preserve">. </w:t>
      </w:r>
      <w:r w:rsidRPr="00B801B9">
        <w:rPr>
          <w:rFonts w:ascii="Arial" w:hAnsi="Arial" w:cs="Arial"/>
          <w:sz w:val="24"/>
          <w:szCs w:val="24"/>
        </w:rPr>
        <w:t xml:space="preserve">To my mind, this is the clearest indication that </w:t>
      </w:r>
      <w:r w:rsidR="00044128" w:rsidRPr="00B801B9">
        <w:rPr>
          <w:rFonts w:ascii="Arial" w:hAnsi="Arial" w:cs="Arial"/>
          <w:sz w:val="24"/>
          <w:szCs w:val="24"/>
        </w:rPr>
        <w:t xml:space="preserve">the Minister </w:t>
      </w:r>
      <w:r w:rsidRPr="00B801B9">
        <w:rPr>
          <w:rFonts w:ascii="Arial" w:hAnsi="Arial" w:cs="Arial"/>
          <w:sz w:val="24"/>
          <w:szCs w:val="24"/>
        </w:rPr>
        <w:t xml:space="preserve">suffered no </w:t>
      </w:r>
      <w:r w:rsidR="00044128" w:rsidRPr="00B801B9">
        <w:rPr>
          <w:rFonts w:ascii="Arial" w:hAnsi="Arial" w:cs="Arial"/>
          <w:sz w:val="24"/>
          <w:szCs w:val="24"/>
        </w:rPr>
        <w:t>prejudic</w:t>
      </w:r>
      <w:r w:rsidR="007E3869" w:rsidRPr="00B801B9">
        <w:rPr>
          <w:rFonts w:ascii="Arial" w:hAnsi="Arial" w:cs="Arial"/>
          <w:sz w:val="24"/>
          <w:szCs w:val="24"/>
        </w:rPr>
        <w:t xml:space="preserve">e. </w:t>
      </w:r>
    </w:p>
    <w:p w14:paraId="31DD2C76" w14:textId="0E625B03" w:rsidR="00EB63BF" w:rsidRPr="00B801B9" w:rsidRDefault="007E3869" w:rsidP="003477E1">
      <w:pPr>
        <w:shd w:val="clear" w:color="auto" w:fill="FFFFFF"/>
        <w:spacing w:before="120" w:after="720" w:line="360" w:lineRule="auto"/>
        <w:contextualSpacing/>
        <w:jc w:val="both"/>
        <w:rPr>
          <w:rFonts w:ascii="Arial" w:eastAsia="Times New Roman" w:hAnsi="Arial" w:cs="Arial"/>
          <w:sz w:val="24"/>
          <w:szCs w:val="24"/>
          <w:lang w:val="en-US" w:eastAsia="en-ZA"/>
        </w:rPr>
      </w:pPr>
      <w:r w:rsidRPr="00B801B9">
        <w:rPr>
          <w:rFonts w:ascii="Arial" w:hAnsi="Arial" w:cs="Arial"/>
          <w:sz w:val="24"/>
          <w:szCs w:val="24"/>
        </w:rPr>
        <w:t xml:space="preserve"> </w:t>
      </w:r>
    </w:p>
    <w:p w14:paraId="3E20B84D" w14:textId="42A1FCA0" w:rsidR="00953055" w:rsidRPr="00B801B9" w:rsidRDefault="00AD2DBD" w:rsidP="00044128">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Furthermore</w:t>
      </w:r>
      <w:r w:rsidR="00044128" w:rsidRPr="00B801B9">
        <w:rPr>
          <w:rFonts w:ascii="Arial" w:hAnsi="Arial" w:cs="Arial"/>
          <w:sz w:val="24"/>
          <w:szCs w:val="24"/>
        </w:rPr>
        <w:t xml:space="preserve">, </w:t>
      </w:r>
      <w:r w:rsidR="007F545F" w:rsidRPr="00B801B9">
        <w:rPr>
          <w:rFonts w:ascii="Arial" w:hAnsi="Arial" w:cs="Arial"/>
          <w:sz w:val="24"/>
          <w:szCs w:val="24"/>
        </w:rPr>
        <w:t xml:space="preserve">the respondent’s condonation application for the late service of his </w:t>
      </w:r>
      <w:r w:rsidR="00860C96" w:rsidRPr="00B801B9">
        <w:rPr>
          <w:rFonts w:ascii="Arial" w:hAnsi="Arial" w:cs="Arial"/>
          <w:sz w:val="24"/>
          <w:szCs w:val="24"/>
        </w:rPr>
        <w:t xml:space="preserve">statutory </w:t>
      </w:r>
      <w:bookmarkStart w:id="17" w:name="_Hlk107707455"/>
      <w:r w:rsidR="003003DA" w:rsidRPr="00B801B9">
        <w:rPr>
          <w:rFonts w:ascii="Arial" w:hAnsi="Arial" w:cs="Arial"/>
          <w:sz w:val="24"/>
          <w:szCs w:val="24"/>
        </w:rPr>
        <w:t xml:space="preserve">notice in terms of s 3 of the </w:t>
      </w:r>
      <w:r w:rsidR="003C44F1" w:rsidRPr="00B801B9">
        <w:rPr>
          <w:rFonts w:ascii="Arial" w:hAnsi="Arial" w:cs="Arial"/>
          <w:sz w:val="24"/>
          <w:szCs w:val="24"/>
        </w:rPr>
        <w:t xml:space="preserve">Institution of </w:t>
      </w:r>
      <w:r w:rsidR="003003DA" w:rsidRPr="00B801B9">
        <w:rPr>
          <w:rFonts w:ascii="Arial" w:hAnsi="Arial" w:cs="Arial"/>
          <w:sz w:val="24"/>
          <w:szCs w:val="24"/>
        </w:rPr>
        <w:t>Legal Proceedings</w:t>
      </w:r>
      <w:r w:rsidR="003C44F1" w:rsidRPr="00B801B9">
        <w:rPr>
          <w:rFonts w:ascii="Arial" w:hAnsi="Arial" w:cs="Arial"/>
          <w:sz w:val="24"/>
          <w:szCs w:val="24"/>
        </w:rPr>
        <w:t xml:space="preserve"> against Certain Organs of State</w:t>
      </w:r>
      <w:r w:rsidR="003003DA" w:rsidRPr="00B801B9">
        <w:rPr>
          <w:rFonts w:ascii="Arial" w:hAnsi="Arial" w:cs="Arial"/>
          <w:sz w:val="24"/>
          <w:szCs w:val="24"/>
        </w:rPr>
        <w:t xml:space="preserve"> Act</w:t>
      </w:r>
      <w:r w:rsidR="003C44F1" w:rsidRPr="00B801B9">
        <w:rPr>
          <w:rFonts w:ascii="Arial" w:hAnsi="Arial" w:cs="Arial"/>
          <w:sz w:val="24"/>
          <w:szCs w:val="24"/>
        </w:rPr>
        <w:t xml:space="preserve"> 40 of 2002</w:t>
      </w:r>
      <w:r w:rsidR="00D45B92" w:rsidRPr="00B801B9">
        <w:rPr>
          <w:rFonts w:ascii="Arial" w:hAnsi="Arial" w:cs="Arial"/>
          <w:sz w:val="24"/>
          <w:szCs w:val="24"/>
        </w:rPr>
        <w:t xml:space="preserve"> </w:t>
      </w:r>
      <w:r w:rsidR="003C44F1" w:rsidRPr="00B801B9">
        <w:rPr>
          <w:rFonts w:ascii="Arial" w:hAnsi="Arial" w:cs="Arial"/>
          <w:sz w:val="24"/>
          <w:szCs w:val="24"/>
        </w:rPr>
        <w:t>(Legal Proceedings Act)</w:t>
      </w:r>
      <w:r w:rsidR="007F545F" w:rsidRPr="00B801B9">
        <w:rPr>
          <w:rFonts w:ascii="Arial" w:hAnsi="Arial" w:cs="Arial"/>
          <w:sz w:val="24"/>
          <w:szCs w:val="24"/>
        </w:rPr>
        <w:t xml:space="preserve">, </w:t>
      </w:r>
      <w:bookmarkEnd w:id="17"/>
      <w:r w:rsidR="007F545F" w:rsidRPr="00B801B9">
        <w:rPr>
          <w:rFonts w:ascii="Arial" w:hAnsi="Arial" w:cs="Arial"/>
          <w:sz w:val="24"/>
          <w:szCs w:val="24"/>
        </w:rPr>
        <w:t xml:space="preserve">was granted. </w:t>
      </w:r>
      <w:r w:rsidR="00953055" w:rsidRPr="00B801B9">
        <w:rPr>
          <w:rFonts w:ascii="Arial" w:hAnsi="Arial" w:cs="Arial"/>
          <w:sz w:val="24"/>
          <w:szCs w:val="24"/>
        </w:rPr>
        <w:t>In terms of s 3(4)(</w:t>
      </w:r>
      <w:r w:rsidR="00953055" w:rsidRPr="00B801B9">
        <w:rPr>
          <w:rFonts w:ascii="Arial" w:hAnsi="Arial" w:cs="Arial"/>
          <w:i/>
          <w:iCs/>
          <w:sz w:val="24"/>
          <w:szCs w:val="24"/>
        </w:rPr>
        <w:t>b</w:t>
      </w:r>
      <w:r w:rsidR="00953055" w:rsidRPr="00B801B9">
        <w:rPr>
          <w:rFonts w:ascii="Arial" w:hAnsi="Arial" w:cs="Arial"/>
          <w:sz w:val="24"/>
          <w:szCs w:val="24"/>
        </w:rPr>
        <w:t>)</w:t>
      </w:r>
      <w:r w:rsidR="007C467A" w:rsidRPr="00B801B9">
        <w:rPr>
          <w:rFonts w:ascii="Arial" w:hAnsi="Arial" w:cs="Arial"/>
          <w:sz w:val="24"/>
          <w:szCs w:val="24"/>
        </w:rPr>
        <w:t>(iii)</w:t>
      </w:r>
      <w:r w:rsidR="00953055" w:rsidRPr="00B801B9">
        <w:rPr>
          <w:rFonts w:ascii="Arial" w:hAnsi="Arial" w:cs="Arial"/>
          <w:sz w:val="24"/>
          <w:szCs w:val="24"/>
        </w:rPr>
        <w:t xml:space="preserve"> of the Legal Proceedings Act, the court granting such application must be satisfied</w:t>
      </w:r>
      <w:r w:rsidR="00044128" w:rsidRPr="00B801B9">
        <w:rPr>
          <w:rFonts w:ascii="Arial" w:hAnsi="Arial" w:cs="Arial"/>
          <w:sz w:val="24"/>
          <w:szCs w:val="24"/>
        </w:rPr>
        <w:t xml:space="preserve">, among others, </w:t>
      </w:r>
      <w:r w:rsidR="00953055" w:rsidRPr="00B801B9">
        <w:rPr>
          <w:rFonts w:ascii="Arial" w:hAnsi="Arial" w:cs="Arial"/>
          <w:sz w:val="24"/>
          <w:szCs w:val="24"/>
        </w:rPr>
        <w:t xml:space="preserve">that the organ of </w:t>
      </w:r>
      <w:r w:rsidR="009448BE" w:rsidRPr="00B801B9">
        <w:rPr>
          <w:rFonts w:ascii="Arial" w:hAnsi="Arial" w:cs="Arial"/>
          <w:sz w:val="24"/>
          <w:szCs w:val="24"/>
        </w:rPr>
        <w:t>s</w:t>
      </w:r>
      <w:r w:rsidR="00953055" w:rsidRPr="00B801B9">
        <w:rPr>
          <w:rFonts w:ascii="Arial" w:hAnsi="Arial" w:cs="Arial"/>
          <w:sz w:val="24"/>
          <w:szCs w:val="24"/>
        </w:rPr>
        <w:t xml:space="preserve">tate was not unreasonably prejudiced </w:t>
      </w:r>
      <w:r w:rsidR="00953055" w:rsidRPr="00B801B9">
        <w:rPr>
          <w:rFonts w:ascii="Arial" w:hAnsi="Arial" w:cs="Arial"/>
          <w:sz w:val="24"/>
          <w:szCs w:val="24"/>
        </w:rPr>
        <w:lastRenderedPageBreak/>
        <w:t>by the failure</w:t>
      </w:r>
      <w:r w:rsidR="009712FA" w:rsidRPr="00B801B9">
        <w:rPr>
          <w:rFonts w:ascii="Arial" w:hAnsi="Arial" w:cs="Arial"/>
          <w:sz w:val="24"/>
          <w:szCs w:val="24"/>
        </w:rPr>
        <w:t xml:space="preserve"> which necessitated the condonation application</w:t>
      </w:r>
      <w:r w:rsidR="00953055" w:rsidRPr="00B801B9">
        <w:rPr>
          <w:rFonts w:ascii="Arial" w:hAnsi="Arial" w:cs="Arial"/>
          <w:sz w:val="24"/>
          <w:szCs w:val="24"/>
        </w:rPr>
        <w:t>.</w:t>
      </w:r>
      <w:r w:rsidRPr="00B801B9">
        <w:rPr>
          <w:rFonts w:ascii="Arial" w:hAnsi="Arial" w:cs="Arial"/>
          <w:sz w:val="24"/>
          <w:szCs w:val="24"/>
        </w:rPr>
        <w:t xml:space="preserve"> The application for condonation was served on the State Attorney, who at that stage, was already on record on behalf of all the appellants. If ever there was prejudice, </w:t>
      </w:r>
      <w:r w:rsidR="009448BE" w:rsidRPr="00B801B9">
        <w:rPr>
          <w:rFonts w:ascii="Arial" w:hAnsi="Arial" w:cs="Arial"/>
          <w:sz w:val="24"/>
          <w:szCs w:val="24"/>
        </w:rPr>
        <w:t>one would have expected the Min</w:t>
      </w:r>
      <w:r w:rsidR="003477E1" w:rsidRPr="00B801B9">
        <w:rPr>
          <w:rFonts w:ascii="Arial" w:hAnsi="Arial" w:cs="Arial"/>
          <w:sz w:val="24"/>
          <w:szCs w:val="24"/>
        </w:rPr>
        <w:t>i</w:t>
      </w:r>
      <w:r w:rsidR="009448BE" w:rsidRPr="00B801B9">
        <w:rPr>
          <w:rFonts w:ascii="Arial" w:hAnsi="Arial" w:cs="Arial"/>
          <w:sz w:val="24"/>
          <w:szCs w:val="24"/>
        </w:rPr>
        <w:t>ster</w:t>
      </w:r>
      <w:r w:rsidRPr="00B801B9">
        <w:rPr>
          <w:rFonts w:ascii="Arial" w:hAnsi="Arial" w:cs="Arial"/>
          <w:sz w:val="24"/>
          <w:szCs w:val="24"/>
        </w:rPr>
        <w:t xml:space="preserve"> to place the necessary facts before the court to establish it. Instead, the </w:t>
      </w:r>
      <w:r w:rsidR="009712FA" w:rsidRPr="00B801B9">
        <w:rPr>
          <w:rFonts w:ascii="Arial" w:hAnsi="Arial" w:cs="Arial"/>
          <w:sz w:val="24"/>
          <w:szCs w:val="24"/>
        </w:rPr>
        <w:t xml:space="preserve">Minister decided not to oppose the </w:t>
      </w:r>
      <w:r w:rsidRPr="00B801B9">
        <w:rPr>
          <w:rFonts w:ascii="Arial" w:hAnsi="Arial" w:cs="Arial"/>
          <w:sz w:val="24"/>
          <w:szCs w:val="24"/>
        </w:rPr>
        <w:t>application</w:t>
      </w:r>
      <w:r w:rsidR="009712FA" w:rsidRPr="00B801B9">
        <w:rPr>
          <w:rFonts w:ascii="Arial" w:hAnsi="Arial" w:cs="Arial"/>
          <w:sz w:val="24"/>
          <w:szCs w:val="24"/>
        </w:rPr>
        <w:t>.</w:t>
      </w:r>
      <w:r w:rsidRPr="00B801B9">
        <w:rPr>
          <w:rFonts w:ascii="Arial" w:hAnsi="Arial" w:cs="Arial"/>
          <w:sz w:val="24"/>
          <w:szCs w:val="24"/>
        </w:rPr>
        <w:t xml:space="preserve"> It must therefore be accepted that no prejudice occurred to the Minister.</w:t>
      </w:r>
    </w:p>
    <w:p w14:paraId="654B788E" w14:textId="2952632E" w:rsidR="007C467A" w:rsidRPr="00B801B9" w:rsidRDefault="007C467A" w:rsidP="007C467A">
      <w:pPr>
        <w:shd w:val="clear" w:color="auto" w:fill="FFFFFF"/>
        <w:spacing w:before="120" w:after="720" w:line="360" w:lineRule="auto"/>
        <w:contextualSpacing/>
        <w:jc w:val="both"/>
        <w:rPr>
          <w:rFonts w:ascii="Arial" w:eastAsia="Times New Roman" w:hAnsi="Arial" w:cs="Arial"/>
          <w:b/>
          <w:bCs/>
          <w:sz w:val="24"/>
          <w:szCs w:val="24"/>
          <w:lang w:val="en-US" w:eastAsia="en-ZA"/>
        </w:rPr>
      </w:pPr>
    </w:p>
    <w:p w14:paraId="1B5CBF0C" w14:textId="21C95D58" w:rsidR="007C467A" w:rsidRPr="00B801B9" w:rsidRDefault="007C467A" w:rsidP="007C467A">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eastAsia="Times New Roman" w:hAnsi="Arial" w:cs="Arial"/>
          <w:sz w:val="24"/>
          <w:szCs w:val="24"/>
          <w:lang w:val="en-US" w:eastAsia="en-ZA"/>
        </w:rPr>
        <w:t xml:space="preserve">It remains to </w:t>
      </w:r>
      <w:r w:rsidR="00BA3A04" w:rsidRPr="00B801B9">
        <w:rPr>
          <w:rFonts w:ascii="Arial" w:eastAsia="Times New Roman" w:hAnsi="Arial" w:cs="Arial"/>
          <w:sz w:val="24"/>
          <w:szCs w:val="24"/>
          <w:lang w:val="en-US" w:eastAsia="en-ZA"/>
        </w:rPr>
        <w:t xml:space="preserve">consider briefly, </w:t>
      </w:r>
      <w:r w:rsidRPr="00B801B9">
        <w:rPr>
          <w:rFonts w:ascii="Arial" w:eastAsia="Times New Roman" w:hAnsi="Arial" w:cs="Arial"/>
          <w:sz w:val="24"/>
          <w:szCs w:val="24"/>
          <w:lang w:val="en-US" w:eastAsia="en-ZA"/>
        </w:rPr>
        <w:t xml:space="preserve">the appellants’ alternative </w:t>
      </w:r>
      <w:r w:rsidR="009712FA" w:rsidRPr="00B801B9">
        <w:rPr>
          <w:rFonts w:ascii="Arial" w:eastAsia="Times New Roman" w:hAnsi="Arial" w:cs="Arial"/>
          <w:sz w:val="24"/>
          <w:szCs w:val="24"/>
          <w:lang w:val="en-US" w:eastAsia="en-ZA"/>
        </w:rPr>
        <w:t xml:space="preserve">special plea of prescription. </w:t>
      </w:r>
      <w:r w:rsidRPr="00B801B9">
        <w:rPr>
          <w:rFonts w:ascii="Arial" w:eastAsia="Times New Roman" w:hAnsi="Arial" w:cs="Arial"/>
          <w:sz w:val="24"/>
          <w:szCs w:val="24"/>
          <w:lang w:val="en-US" w:eastAsia="en-ZA"/>
        </w:rPr>
        <w:t xml:space="preserve">As mentioned already, the appellants contended that </w:t>
      </w:r>
      <w:r w:rsidRPr="00B801B9">
        <w:rPr>
          <w:rFonts w:ascii="Arial" w:hAnsi="Arial" w:cs="Arial"/>
          <w:sz w:val="24"/>
          <w:szCs w:val="24"/>
        </w:rPr>
        <w:t>service on the State Attorney had occurred more than three years (on 2</w:t>
      </w:r>
      <w:r w:rsidR="009712FA" w:rsidRPr="00B801B9">
        <w:rPr>
          <w:rFonts w:ascii="Arial" w:hAnsi="Arial" w:cs="Arial"/>
          <w:sz w:val="24"/>
          <w:szCs w:val="24"/>
        </w:rPr>
        <w:t>4</w:t>
      </w:r>
      <w:r w:rsidRPr="00B801B9">
        <w:rPr>
          <w:rFonts w:ascii="Arial" w:hAnsi="Arial" w:cs="Arial"/>
          <w:sz w:val="24"/>
          <w:szCs w:val="24"/>
        </w:rPr>
        <w:t xml:space="preserve"> August 2018) after the respondent’s cause of action arose on 8 February 2014. In terms of s 11(</w:t>
      </w:r>
      <w:r w:rsidRPr="00B801B9">
        <w:rPr>
          <w:rFonts w:ascii="Arial" w:hAnsi="Arial" w:cs="Arial"/>
          <w:i/>
          <w:iCs/>
          <w:sz w:val="24"/>
          <w:szCs w:val="24"/>
        </w:rPr>
        <w:t>d</w:t>
      </w:r>
      <w:r w:rsidRPr="00B801B9">
        <w:rPr>
          <w:rFonts w:ascii="Arial" w:hAnsi="Arial" w:cs="Arial"/>
          <w:sz w:val="24"/>
          <w:szCs w:val="24"/>
        </w:rPr>
        <w:t xml:space="preserve">) of </w:t>
      </w:r>
      <w:bookmarkStart w:id="18" w:name="_Hlk107709501"/>
      <w:r w:rsidRPr="00B801B9">
        <w:rPr>
          <w:rFonts w:ascii="Arial" w:hAnsi="Arial" w:cs="Arial"/>
          <w:sz w:val="24"/>
          <w:szCs w:val="24"/>
        </w:rPr>
        <w:t xml:space="preserve">the Prescription Act </w:t>
      </w:r>
      <w:bookmarkEnd w:id="18"/>
      <w:r w:rsidRPr="00B801B9">
        <w:rPr>
          <w:rFonts w:ascii="Arial" w:hAnsi="Arial" w:cs="Arial"/>
          <w:bCs/>
          <w:sz w:val="24"/>
          <w:szCs w:val="24"/>
          <w:lang w:val="en-US"/>
        </w:rPr>
        <w:t>68 of 1969 (</w:t>
      </w:r>
      <w:r w:rsidRPr="00B801B9">
        <w:rPr>
          <w:rFonts w:ascii="Arial" w:hAnsi="Arial" w:cs="Arial"/>
          <w:sz w:val="24"/>
          <w:szCs w:val="24"/>
        </w:rPr>
        <w:t>the Prescription Act), the respondent’s claim would have prescribed after three years, ie</w:t>
      </w:r>
      <w:bookmarkStart w:id="19" w:name="_GoBack"/>
      <w:bookmarkEnd w:id="19"/>
      <w:r w:rsidRPr="00B801B9">
        <w:rPr>
          <w:rFonts w:ascii="Arial" w:hAnsi="Arial" w:cs="Arial"/>
          <w:sz w:val="24"/>
          <w:szCs w:val="24"/>
        </w:rPr>
        <w:t xml:space="preserve"> on 7 February 2017. Section 15 of the Prescription Act provides that the running of prescription shall be interrupted by the service on the ‘debtor’ of any process whereby the credit</w:t>
      </w:r>
      <w:r w:rsidR="00531686" w:rsidRPr="00B801B9">
        <w:rPr>
          <w:rFonts w:ascii="Arial" w:hAnsi="Arial" w:cs="Arial"/>
          <w:sz w:val="24"/>
          <w:szCs w:val="24"/>
        </w:rPr>
        <w:t xml:space="preserve">or claims payment of the debt. </w:t>
      </w:r>
      <w:r w:rsidRPr="00B801B9">
        <w:rPr>
          <w:rFonts w:ascii="Arial" w:hAnsi="Arial" w:cs="Arial"/>
          <w:sz w:val="24"/>
          <w:szCs w:val="24"/>
        </w:rPr>
        <w:t xml:space="preserve">There is no dispute that the Minister is the ‘debtor’ as envisaged in s 15(1) of the Prescription Act. </w:t>
      </w:r>
    </w:p>
    <w:p w14:paraId="4A32C4FD" w14:textId="77777777" w:rsidR="00BA3A04" w:rsidRPr="00B801B9" w:rsidRDefault="00BA3A04" w:rsidP="00BA3A04">
      <w:pPr>
        <w:shd w:val="clear" w:color="auto" w:fill="FFFFFF"/>
        <w:spacing w:before="120" w:after="720" w:line="360" w:lineRule="auto"/>
        <w:contextualSpacing/>
        <w:jc w:val="both"/>
        <w:rPr>
          <w:rFonts w:ascii="Arial" w:eastAsia="Times New Roman" w:hAnsi="Arial" w:cs="Arial"/>
          <w:sz w:val="24"/>
          <w:szCs w:val="24"/>
          <w:lang w:val="en-US" w:eastAsia="en-ZA"/>
        </w:rPr>
      </w:pPr>
    </w:p>
    <w:p w14:paraId="0B603A77" w14:textId="77777777" w:rsidR="00175C86" w:rsidRPr="00B801B9" w:rsidRDefault="00175C86" w:rsidP="007C467A">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The respondent’s condonation application for the late service of his statutory notice in terms of s 3 of the Legal Proceedings Act, was granted.  Similar to the issue of prejudice as discussed above, in terms of s 3(4)(</w:t>
      </w:r>
      <w:r w:rsidRPr="00B801B9">
        <w:rPr>
          <w:rFonts w:ascii="Arial" w:hAnsi="Arial" w:cs="Arial"/>
          <w:i/>
          <w:iCs/>
          <w:sz w:val="24"/>
          <w:szCs w:val="24"/>
        </w:rPr>
        <w:t>b</w:t>
      </w:r>
      <w:r w:rsidRPr="00B801B9">
        <w:rPr>
          <w:rFonts w:ascii="Arial" w:hAnsi="Arial" w:cs="Arial"/>
          <w:sz w:val="24"/>
          <w:szCs w:val="24"/>
        </w:rPr>
        <w:t>)(</w:t>
      </w:r>
      <w:proofErr w:type="spellStart"/>
      <w:r w:rsidRPr="00B801B9">
        <w:rPr>
          <w:rFonts w:ascii="Arial" w:hAnsi="Arial" w:cs="Arial"/>
          <w:sz w:val="24"/>
          <w:szCs w:val="24"/>
        </w:rPr>
        <w:t>i</w:t>
      </w:r>
      <w:proofErr w:type="spellEnd"/>
      <w:r w:rsidRPr="00B801B9">
        <w:rPr>
          <w:rFonts w:ascii="Arial" w:hAnsi="Arial" w:cs="Arial"/>
          <w:sz w:val="24"/>
          <w:szCs w:val="24"/>
        </w:rPr>
        <w:t xml:space="preserve">) of the Legal Proceedings Act, the court granting an application for condonation must be satisfied, among others, that the debt had not been extinguished by prescription. To the extent the high court has granted the condonation, it, of necessity, found that the respondent’s claim had not been extinguished by prescription. The issue is thus </w:t>
      </w:r>
      <w:r w:rsidRPr="00B801B9">
        <w:rPr>
          <w:rFonts w:ascii="Arial" w:hAnsi="Arial" w:cs="Arial"/>
          <w:i/>
          <w:iCs/>
          <w:sz w:val="24"/>
          <w:szCs w:val="24"/>
        </w:rPr>
        <w:t>res judicata</w:t>
      </w:r>
      <w:r w:rsidRPr="00B801B9">
        <w:rPr>
          <w:rFonts w:ascii="Arial" w:hAnsi="Arial" w:cs="Arial"/>
          <w:sz w:val="24"/>
          <w:szCs w:val="24"/>
        </w:rPr>
        <w:t>, and no longer open to the appellants to assert it.</w:t>
      </w:r>
    </w:p>
    <w:p w14:paraId="1FD1A48C" w14:textId="77777777" w:rsidR="00175C86" w:rsidRPr="00B801B9" w:rsidRDefault="00175C86" w:rsidP="003477E1">
      <w:pPr>
        <w:rPr>
          <w:rFonts w:ascii="Arial" w:hAnsi="Arial" w:cs="Arial"/>
          <w:sz w:val="24"/>
          <w:szCs w:val="24"/>
        </w:rPr>
      </w:pPr>
    </w:p>
    <w:p w14:paraId="274C38BD" w14:textId="0401AB65" w:rsidR="00A92277" w:rsidRPr="003477E1" w:rsidRDefault="006C25E6" w:rsidP="003477E1">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B801B9">
        <w:rPr>
          <w:rFonts w:ascii="Arial" w:hAnsi="Arial" w:cs="Arial"/>
          <w:sz w:val="24"/>
          <w:szCs w:val="24"/>
        </w:rPr>
        <w:t xml:space="preserve">The plea of prescription in any event had no merit. </w:t>
      </w:r>
      <w:r w:rsidR="007C467A" w:rsidRPr="00B801B9">
        <w:rPr>
          <w:rFonts w:ascii="Arial" w:hAnsi="Arial" w:cs="Arial"/>
          <w:sz w:val="24"/>
          <w:szCs w:val="24"/>
        </w:rPr>
        <w:t xml:space="preserve">It is </w:t>
      </w:r>
      <w:r w:rsidR="009712FA" w:rsidRPr="00B801B9">
        <w:rPr>
          <w:rFonts w:ascii="Arial" w:hAnsi="Arial" w:cs="Arial"/>
          <w:sz w:val="24"/>
          <w:szCs w:val="24"/>
        </w:rPr>
        <w:t xml:space="preserve">correct </w:t>
      </w:r>
      <w:r w:rsidR="007C467A" w:rsidRPr="00B801B9">
        <w:rPr>
          <w:rFonts w:ascii="Arial" w:hAnsi="Arial" w:cs="Arial"/>
          <w:sz w:val="24"/>
          <w:szCs w:val="24"/>
        </w:rPr>
        <w:t xml:space="preserve">that when this section is read with s 2 of the </w:t>
      </w:r>
      <w:bookmarkStart w:id="20" w:name="_Hlk107710201"/>
      <w:r w:rsidR="007C467A" w:rsidRPr="00B801B9">
        <w:rPr>
          <w:rFonts w:ascii="Arial" w:hAnsi="Arial" w:cs="Arial"/>
          <w:sz w:val="24"/>
          <w:szCs w:val="24"/>
        </w:rPr>
        <w:t>Legal Proceedings Act</w:t>
      </w:r>
      <w:bookmarkEnd w:id="20"/>
      <w:r w:rsidR="007C467A" w:rsidRPr="00B801B9">
        <w:rPr>
          <w:rFonts w:ascii="Arial" w:hAnsi="Arial" w:cs="Arial"/>
          <w:sz w:val="24"/>
          <w:szCs w:val="24"/>
        </w:rPr>
        <w:t>, service on the State Attorney, instead of the Minister, would have been effective service to interrupt prescription. However, this does not mean that the State Attorney replace</w:t>
      </w:r>
      <w:r w:rsidR="00327F5A" w:rsidRPr="00B801B9">
        <w:rPr>
          <w:rFonts w:ascii="Arial" w:hAnsi="Arial" w:cs="Arial"/>
          <w:sz w:val="24"/>
          <w:szCs w:val="24"/>
        </w:rPr>
        <w:t>d</w:t>
      </w:r>
      <w:r w:rsidR="007C467A" w:rsidRPr="00B801B9">
        <w:rPr>
          <w:rFonts w:ascii="Arial" w:hAnsi="Arial" w:cs="Arial"/>
          <w:sz w:val="24"/>
          <w:szCs w:val="24"/>
        </w:rPr>
        <w:t xml:space="preserve"> the Minister as the ‘debtor’. Viewed in this light, service on the Minister, as </w:t>
      </w:r>
      <w:r w:rsidR="00AE4176" w:rsidRPr="00B801B9">
        <w:rPr>
          <w:rFonts w:ascii="Arial" w:hAnsi="Arial" w:cs="Arial"/>
          <w:sz w:val="24"/>
          <w:szCs w:val="24"/>
        </w:rPr>
        <w:t xml:space="preserve">it </w:t>
      </w:r>
      <w:r w:rsidR="007C467A" w:rsidRPr="00B801B9">
        <w:rPr>
          <w:rFonts w:ascii="Arial" w:hAnsi="Arial" w:cs="Arial"/>
          <w:sz w:val="24"/>
          <w:szCs w:val="24"/>
        </w:rPr>
        <w:t xml:space="preserve">happened in the present case, </w:t>
      </w:r>
      <w:r w:rsidR="009712FA" w:rsidRPr="00B801B9">
        <w:rPr>
          <w:rFonts w:ascii="Arial" w:hAnsi="Arial" w:cs="Arial"/>
          <w:sz w:val="24"/>
          <w:szCs w:val="24"/>
        </w:rPr>
        <w:t>wa</w:t>
      </w:r>
      <w:r w:rsidR="007C467A" w:rsidRPr="00B801B9">
        <w:rPr>
          <w:rFonts w:ascii="Arial" w:hAnsi="Arial" w:cs="Arial"/>
          <w:sz w:val="24"/>
          <w:szCs w:val="24"/>
        </w:rPr>
        <w:t xml:space="preserve">s effective for the purpose of interrupting prescription. The fact that the summons has not been served within the prescripts of s 2(2) of the State Liability Act, </w:t>
      </w:r>
      <w:r w:rsidR="007C467A" w:rsidRPr="00B801B9">
        <w:rPr>
          <w:rFonts w:ascii="Arial" w:hAnsi="Arial" w:cs="Arial"/>
          <w:sz w:val="24"/>
          <w:szCs w:val="24"/>
        </w:rPr>
        <w:lastRenderedPageBreak/>
        <w:t xml:space="preserve">does not affect this. For purposes of interrupting prescription, </w:t>
      </w:r>
      <w:r w:rsidR="00327F5A" w:rsidRPr="00B801B9">
        <w:rPr>
          <w:rFonts w:ascii="Arial" w:hAnsi="Arial" w:cs="Arial"/>
          <w:sz w:val="24"/>
          <w:szCs w:val="24"/>
        </w:rPr>
        <w:t xml:space="preserve">there was </w:t>
      </w:r>
      <w:r w:rsidR="007C467A" w:rsidRPr="00B801B9">
        <w:rPr>
          <w:rFonts w:ascii="Arial" w:hAnsi="Arial" w:cs="Arial"/>
          <w:sz w:val="24"/>
          <w:szCs w:val="24"/>
        </w:rPr>
        <w:t>service</w:t>
      </w:r>
      <w:r w:rsidR="00327F5A" w:rsidRPr="00B801B9">
        <w:rPr>
          <w:rFonts w:ascii="Arial" w:hAnsi="Arial" w:cs="Arial"/>
          <w:sz w:val="24"/>
          <w:szCs w:val="24"/>
        </w:rPr>
        <w:t xml:space="preserve"> of ‘a process’</w:t>
      </w:r>
      <w:r w:rsidR="007C467A" w:rsidRPr="00B801B9">
        <w:rPr>
          <w:rFonts w:ascii="Arial" w:hAnsi="Arial" w:cs="Arial"/>
          <w:sz w:val="24"/>
          <w:szCs w:val="24"/>
        </w:rPr>
        <w:t xml:space="preserve"> on the Minister. I am fortified in this view by the fact that, where summons is</w:t>
      </w:r>
      <w:r w:rsidR="007C467A" w:rsidRPr="00D87640">
        <w:rPr>
          <w:rFonts w:ascii="Arial" w:hAnsi="Arial" w:cs="Arial"/>
          <w:sz w:val="24"/>
          <w:szCs w:val="24"/>
        </w:rPr>
        <w:t xml:space="preserve"> served without giving the statutory notice in terms of s 3 of the Legal Proceedings Act within the prescribed period, or at all, </w:t>
      </w:r>
      <w:r w:rsidR="005A5019" w:rsidRPr="00D87640">
        <w:rPr>
          <w:rFonts w:ascii="Arial" w:hAnsi="Arial" w:cs="Arial"/>
          <w:sz w:val="24"/>
          <w:szCs w:val="24"/>
        </w:rPr>
        <w:t xml:space="preserve">such </w:t>
      </w:r>
      <w:r w:rsidR="007C467A" w:rsidRPr="00D87640">
        <w:rPr>
          <w:rFonts w:ascii="Arial" w:hAnsi="Arial" w:cs="Arial"/>
          <w:sz w:val="24"/>
          <w:szCs w:val="24"/>
        </w:rPr>
        <w:t xml:space="preserve">service </w:t>
      </w:r>
      <w:r w:rsidR="005A5019" w:rsidRPr="00D87640">
        <w:rPr>
          <w:rFonts w:ascii="Arial" w:hAnsi="Arial" w:cs="Arial"/>
          <w:sz w:val="24"/>
          <w:szCs w:val="24"/>
        </w:rPr>
        <w:t xml:space="preserve">is </w:t>
      </w:r>
      <w:r w:rsidR="007C467A" w:rsidRPr="00D87640">
        <w:rPr>
          <w:rFonts w:ascii="Arial" w:hAnsi="Arial" w:cs="Arial"/>
          <w:sz w:val="24"/>
          <w:szCs w:val="24"/>
        </w:rPr>
        <w:t>nevertheless effective for the interruption of prescription if condonation is subsequently granted.</w:t>
      </w:r>
      <w:r w:rsidR="007C467A" w:rsidRPr="00D87640">
        <w:rPr>
          <w:rStyle w:val="FootnoteReference"/>
          <w:rFonts w:ascii="Arial" w:hAnsi="Arial" w:cs="Arial"/>
          <w:sz w:val="24"/>
          <w:szCs w:val="24"/>
        </w:rPr>
        <w:footnoteReference w:id="3"/>
      </w:r>
      <w:r w:rsidR="007C467A" w:rsidRPr="00D87640">
        <w:rPr>
          <w:rFonts w:ascii="Arial" w:hAnsi="Arial" w:cs="Arial"/>
          <w:sz w:val="24"/>
          <w:szCs w:val="24"/>
        </w:rPr>
        <w:t xml:space="preserve"> </w:t>
      </w:r>
    </w:p>
    <w:p w14:paraId="3229700C" w14:textId="77777777" w:rsidR="00A92277" w:rsidRPr="00D87640" w:rsidRDefault="00A92277" w:rsidP="00D52310">
      <w:pPr>
        <w:rPr>
          <w:rFonts w:ascii="Arial" w:eastAsia="Times New Roman" w:hAnsi="Arial" w:cs="Arial"/>
          <w:sz w:val="24"/>
          <w:szCs w:val="24"/>
          <w:lang w:val="en-US" w:eastAsia="en-ZA"/>
        </w:rPr>
      </w:pPr>
    </w:p>
    <w:p w14:paraId="380C81F0" w14:textId="376689A3" w:rsidR="007C467A" w:rsidRPr="00D87640" w:rsidRDefault="00A92277" w:rsidP="007C467A">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D87640">
        <w:rPr>
          <w:rFonts w:ascii="Arial" w:eastAsia="Times New Roman" w:hAnsi="Arial" w:cs="Arial"/>
          <w:sz w:val="24"/>
          <w:szCs w:val="24"/>
          <w:lang w:val="en-US" w:eastAsia="en-ZA"/>
        </w:rPr>
        <w:t>In all the circumstances the high court was correct to dismiss the special pleas. The appeal must</w:t>
      </w:r>
      <w:r w:rsidR="004F7524">
        <w:rPr>
          <w:rFonts w:ascii="Arial" w:eastAsia="Times New Roman" w:hAnsi="Arial" w:cs="Arial"/>
          <w:sz w:val="24"/>
          <w:szCs w:val="24"/>
          <w:lang w:val="en-US" w:eastAsia="en-ZA"/>
        </w:rPr>
        <w:t>,</w:t>
      </w:r>
      <w:r w:rsidRPr="00D87640">
        <w:rPr>
          <w:rFonts w:ascii="Arial" w:eastAsia="Times New Roman" w:hAnsi="Arial" w:cs="Arial"/>
          <w:sz w:val="24"/>
          <w:szCs w:val="24"/>
          <w:lang w:val="en-US" w:eastAsia="en-ZA"/>
        </w:rPr>
        <w:t xml:space="preserve"> </w:t>
      </w:r>
      <w:r w:rsidR="005A5019" w:rsidRPr="00D87640">
        <w:rPr>
          <w:rFonts w:ascii="Arial" w:eastAsia="Times New Roman" w:hAnsi="Arial" w:cs="Arial"/>
          <w:sz w:val="24"/>
          <w:szCs w:val="24"/>
          <w:lang w:val="en-US" w:eastAsia="en-ZA"/>
        </w:rPr>
        <w:t xml:space="preserve">accordingly, </w:t>
      </w:r>
      <w:r w:rsidRPr="00D87640">
        <w:rPr>
          <w:rFonts w:ascii="Arial" w:eastAsia="Times New Roman" w:hAnsi="Arial" w:cs="Arial"/>
          <w:sz w:val="24"/>
          <w:szCs w:val="24"/>
          <w:lang w:val="en-US" w:eastAsia="en-ZA"/>
        </w:rPr>
        <w:t>fail.</w:t>
      </w:r>
      <w:r w:rsidR="007C467A" w:rsidRPr="00D87640">
        <w:rPr>
          <w:rFonts w:ascii="Arial" w:eastAsia="Times New Roman" w:hAnsi="Arial" w:cs="Arial"/>
          <w:sz w:val="24"/>
          <w:szCs w:val="24"/>
          <w:lang w:val="en-US" w:eastAsia="en-ZA"/>
        </w:rPr>
        <w:t xml:space="preserve"> </w:t>
      </w:r>
    </w:p>
    <w:p w14:paraId="06C3D731" w14:textId="77777777" w:rsidR="007C467A" w:rsidRPr="008405C1" w:rsidRDefault="007C467A" w:rsidP="007C467A">
      <w:pPr>
        <w:shd w:val="clear" w:color="auto" w:fill="FFFFFF"/>
        <w:spacing w:before="120" w:after="720" w:line="360" w:lineRule="auto"/>
        <w:contextualSpacing/>
        <w:jc w:val="both"/>
        <w:rPr>
          <w:rFonts w:ascii="Arial" w:eastAsia="Times New Roman" w:hAnsi="Arial" w:cs="Arial"/>
          <w:sz w:val="24"/>
          <w:szCs w:val="24"/>
          <w:lang w:val="en-US" w:eastAsia="en-ZA"/>
        </w:rPr>
      </w:pPr>
    </w:p>
    <w:bookmarkEnd w:id="16"/>
    <w:p w14:paraId="305D45FC" w14:textId="35199104" w:rsidR="008947AB" w:rsidRPr="001061E2" w:rsidRDefault="008947AB" w:rsidP="003003DA">
      <w:pPr>
        <w:numPr>
          <w:ilvl w:val="0"/>
          <w:numId w:val="1"/>
        </w:numPr>
        <w:shd w:val="clear" w:color="auto" w:fill="FFFFFF"/>
        <w:spacing w:before="120" w:after="720" w:line="360" w:lineRule="auto"/>
        <w:ind w:left="0" w:firstLine="0"/>
        <w:contextualSpacing/>
        <w:jc w:val="both"/>
        <w:rPr>
          <w:rFonts w:ascii="Arial" w:eastAsia="Times New Roman" w:hAnsi="Arial" w:cs="Arial"/>
          <w:sz w:val="24"/>
          <w:szCs w:val="24"/>
          <w:lang w:val="en-US" w:eastAsia="en-ZA"/>
        </w:rPr>
      </w:pPr>
      <w:r w:rsidRPr="008405C1">
        <w:rPr>
          <w:rFonts w:ascii="Arial" w:hAnsi="Arial" w:cs="Arial"/>
          <w:sz w:val="24"/>
          <w:szCs w:val="24"/>
        </w:rPr>
        <w:t>In the result the following order is made:</w:t>
      </w:r>
    </w:p>
    <w:p w14:paraId="11D747ED" w14:textId="061AB5F5" w:rsidR="008947AB" w:rsidRPr="001061E2" w:rsidRDefault="008947AB" w:rsidP="008947AB">
      <w:pPr>
        <w:shd w:val="clear" w:color="auto" w:fill="FFFFFF"/>
        <w:spacing w:before="120" w:after="720" w:line="360" w:lineRule="auto"/>
        <w:contextualSpacing/>
        <w:jc w:val="both"/>
        <w:rPr>
          <w:rFonts w:ascii="Arial" w:eastAsia="Times New Roman" w:hAnsi="Arial" w:cs="Arial"/>
          <w:sz w:val="24"/>
          <w:szCs w:val="24"/>
          <w:lang w:val="en-US" w:eastAsia="en-ZA"/>
        </w:rPr>
      </w:pPr>
      <w:r w:rsidRPr="008405C1">
        <w:rPr>
          <w:rFonts w:ascii="Arial" w:hAnsi="Arial" w:cs="Arial"/>
          <w:sz w:val="24"/>
          <w:szCs w:val="24"/>
        </w:rPr>
        <w:t>The appeal is dismissed with costs</w:t>
      </w:r>
      <w:r w:rsidR="007C467A" w:rsidRPr="008405C1">
        <w:rPr>
          <w:rFonts w:ascii="Arial" w:hAnsi="Arial" w:cs="Arial"/>
          <w:sz w:val="24"/>
          <w:szCs w:val="24"/>
        </w:rPr>
        <w:t>, including costs of two counsel where so employed.</w:t>
      </w:r>
    </w:p>
    <w:p w14:paraId="240428C8" w14:textId="224C3698" w:rsidR="003003DA" w:rsidRPr="00A92277" w:rsidRDefault="003003DA" w:rsidP="00726064">
      <w:pPr>
        <w:shd w:val="clear" w:color="auto" w:fill="FFFFFF"/>
        <w:spacing w:before="120" w:after="0" w:line="480" w:lineRule="auto"/>
        <w:contextualSpacing/>
        <w:jc w:val="both"/>
        <w:rPr>
          <w:rFonts w:ascii="Arial" w:hAnsi="Arial" w:cs="Arial"/>
          <w:sz w:val="24"/>
          <w:szCs w:val="24"/>
          <w:highlight w:val="yellow"/>
        </w:rPr>
      </w:pPr>
    </w:p>
    <w:p w14:paraId="60D739E3" w14:textId="23001AA4" w:rsidR="00726064" w:rsidRDefault="00726064" w:rsidP="00726064">
      <w:pPr>
        <w:shd w:val="clear" w:color="auto" w:fill="FFFFFF"/>
        <w:spacing w:before="120" w:after="0" w:line="480" w:lineRule="auto"/>
        <w:contextualSpacing/>
        <w:jc w:val="both"/>
        <w:rPr>
          <w:rFonts w:ascii="Arial" w:hAnsi="Arial" w:cs="Arial"/>
          <w:sz w:val="24"/>
          <w:szCs w:val="24"/>
          <w:highlight w:val="yellow"/>
        </w:rPr>
      </w:pPr>
    </w:p>
    <w:p w14:paraId="66999832" w14:textId="2D7090E7" w:rsidR="00726064" w:rsidRPr="00A92277" w:rsidRDefault="00726064" w:rsidP="00726064">
      <w:pPr>
        <w:shd w:val="clear" w:color="auto" w:fill="FFFFFF"/>
        <w:spacing w:before="120" w:after="0" w:line="480" w:lineRule="auto"/>
        <w:contextualSpacing/>
        <w:jc w:val="both"/>
        <w:rPr>
          <w:rFonts w:ascii="Arial" w:hAnsi="Arial" w:cs="Arial"/>
          <w:sz w:val="24"/>
          <w:szCs w:val="24"/>
          <w:highlight w:val="yellow"/>
        </w:rPr>
      </w:pPr>
    </w:p>
    <w:p w14:paraId="5235F9F9" w14:textId="77777777" w:rsidR="008947AB" w:rsidRPr="00A92277" w:rsidRDefault="008947AB" w:rsidP="008947AB">
      <w:pPr>
        <w:spacing w:after="120" w:line="240" w:lineRule="auto"/>
        <w:jc w:val="right"/>
        <w:rPr>
          <w:rFonts w:ascii="Arial" w:hAnsi="Arial" w:cs="Arial"/>
          <w:bCs/>
          <w:sz w:val="24"/>
          <w:szCs w:val="24"/>
        </w:rPr>
      </w:pPr>
      <w:r w:rsidRPr="00A92277">
        <w:rPr>
          <w:rFonts w:ascii="Arial" w:hAnsi="Arial" w:cs="Arial"/>
          <w:bCs/>
          <w:sz w:val="24"/>
          <w:szCs w:val="24"/>
        </w:rPr>
        <w:t>__________________</w:t>
      </w:r>
    </w:p>
    <w:p w14:paraId="7BC3B5FF" w14:textId="77777777" w:rsidR="008947AB" w:rsidRPr="00A92277" w:rsidRDefault="008947AB" w:rsidP="008947AB">
      <w:pPr>
        <w:spacing w:after="120" w:line="240" w:lineRule="auto"/>
        <w:jc w:val="right"/>
        <w:rPr>
          <w:rFonts w:ascii="Arial" w:hAnsi="Arial" w:cs="Arial"/>
          <w:b/>
          <w:bCs/>
          <w:sz w:val="24"/>
          <w:szCs w:val="24"/>
        </w:rPr>
      </w:pPr>
      <w:r w:rsidRPr="00A92277">
        <w:rPr>
          <w:rFonts w:ascii="Arial" w:hAnsi="Arial" w:cs="Arial"/>
          <w:b/>
          <w:bCs/>
          <w:sz w:val="24"/>
          <w:szCs w:val="24"/>
        </w:rPr>
        <w:t>T MAKGOKA</w:t>
      </w:r>
    </w:p>
    <w:p w14:paraId="1E29F119" w14:textId="77777777" w:rsidR="008947AB" w:rsidRPr="00A92277" w:rsidRDefault="008947AB" w:rsidP="008947AB">
      <w:pPr>
        <w:spacing w:after="120" w:line="240" w:lineRule="auto"/>
        <w:jc w:val="right"/>
        <w:rPr>
          <w:rFonts w:ascii="Arial" w:hAnsi="Arial" w:cs="Arial"/>
          <w:b/>
          <w:bCs/>
          <w:sz w:val="24"/>
          <w:szCs w:val="24"/>
        </w:rPr>
      </w:pPr>
      <w:r w:rsidRPr="00A92277">
        <w:rPr>
          <w:rFonts w:ascii="Arial" w:hAnsi="Arial" w:cs="Arial"/>
          <w:b/>
          <w:bCs/>
          <w:sz w:val="24"/>
          <w:szCs w:val="24"/>
        </w:rPr>
        <w:t>JUDGE OF APPEAL</w:t>
      </w:r>
    </w:p>
    <w:p w14:paraId="4A13107E" w14:textId="77777777" w:rsidR="008947AB" w:rsidRPr="00A92277" w:rsidRDefault="008947AB" w:rsidP="008947AB">
      <w:pPr>
        <w:spacing w:after="120" w:line="240" w:lineRule="auto"/>
        <w:rPr>
          <w:rFonts w:ascii="Arial" w:hAnsi="Arial" w:cs="Arial"/>
          <w:b/>
          <w:bCs/>
          <w:sz w:val="24"/>
          <w:szCs w:val="24"/>
        </w:rPr>
      </w:pPr>
      <w:r w:rsidRPr="00A92277">
        <w:rPr>
          <w:rFonts w:ascii="Arial" w:hAnsi="Arial" w:cs="Arial"/>
          <w:b/>
          <w:bCs/>
          <w:sz w:val="24"/>
          <w:szCs w:val="24"/>
        </w:rPr>
        <w:br w:type="page"/>
      </w:r>
    </w:p>
    <w:p w14:paraId="56464271" w14:textId="280F7F09" w:rsidR="008947AB" w:rsidRPr="00A92277" w:rsidRDefault="008947AB" w:rsidP="00E57DC3">
      <w:pPr>
        <w:spacing w:after="240" w:line="360" w:lineRule="auto"/>
        <w:jc w:val="both"/>
        <w:rPr>
          <w:rFonts w:ascii="Arial" w:eastAsia="Calibri" w:hAnsi="Arial" w:cs="Arial"/>
          <w:sz w:val="24"/>
          <w:szCs w:val="24"/>
        </w:rPr>
      </w:pPr>
      <w:r w:rsidRPr="00A92277">
        <w:rPr>
          <w:rFonts w:ascii="Arial" w:eastAsia="Calibri" w:hAnsi="Arial" w:cs="Arial"/>
          <w:sz w:val="24"/>
          <w:szCs w:val="24"/>
        </w:rPr>
        <w:lastRenderedPageBreak/>
        <w:t>APPEARANCES:</w:t>
      </w:r>
    </w:p>
    <w:p w14:paraId="606FBF37" w14:textId="13C0EAD5" w:rsidR="008947AB" w:rsidRPr="00F243BD" w:rsidRDefault="008947AB" w:rsidP="000B3777">
      <w:pPr>
        <w:spacing w:after="0" w:line="360" w:lineRule="auto"/>
        <w:jc w:val="both"/>
        <w:rPr>
          <w:rFonts w:ascii="Arial" w:eastAsia="Calibri" w:hAnsi="Arial" w:cs="Arial"/>
          <w:sz w:val="24"/>
          <w:szCs w:val="24"/>
        </w:rPr>
      </w:pPr>
      <w:r w:rsidRPr="00A92277">
        <w:rPr>
          <w:rFonts w:ascii="Arial" w:eastAsia="Calibri" w:hAnsi="Arial" w:cs="Arial"/>
          <w:sz w:val="24"/>
          <w:szCs w:val="24"/>
        </w:rPr>
        <w:t>For appellant</w:t>
      </w:r>
      <w:r w:rsidR="000B3777" w:rsidRPr="00A92277">
        <w:rPr>
          <w:rFonts w:ascii="Arial" w:eastAsia="Calibri" w:hAnsi="Arial" w:cs="Arial"/>
          <w:sz w:val="24"/>
          <w:szCs w:val="24"/>
        </w:rPr>
        <w:t>s</w:t>
      </w:r>
      <w:r w:rsidRPr="00A92277">
        <w:rPr>
          <w:rFonts w:ascii="Arial" w:eastAsia="Calibri" w:hAnsi="Arial" w:cs="Arial"/>
          <w:sz w:val="24"/>
          <w:szCs w:val="24"/>
        </w:rPr>
        <w:t>:</w:t>
      </w:r>
      <w:r w:rsidRPr="00A92277">
        <w:rPr>
          <w:rFonts w:ascii="Arial" w:eastAsia="Calibri" w:hAnsi="Arial" w:cs="Arial"/>
          <w:sz w:val="24"/>
          <w:szCs w:val="24"/>
        </w:rPr>
        <w:tab/>
      </w:r>
      <w:r w:rsidR="001061E2">
        <w:rPr>
          <w:rFonts w:ascii="Arial" w:eastAsia="Calibri" w:hAnsi="Arial" w:cs="Arial"/>
          <w:sz w:val="24"/>
          <w:szCs w:val="24"/>
        </w:rPr>
        <w:tab/>
      </w:r>
      <w:r w:rsidR="00F243BD">
        <w:rPr>
          <w:rFonts w:ascii="Arial" w:eastAsia="Calibri" w:hAnsi="Arial" w:cs="Arial"/>
          <w:sz w:val="24"/>
          <w:szCs w:val="24"/>
        </w:rPr>
        <w:t>H C Janse van Rensburg (with him J J van Rensburg)</w:t>
      </w:r>
    </w:p>
    <w:p w14:paraId="3A079CD6" w14:textId="3FB15CDA" w:rsidR="008947AB" w:rsidRPr="00A92277" w:rsidRDefault="008947AB" w:rsidP="008947AB">
      <w:pPr>
        <w:spacing w:after="0" w:line="360" w:lineRule="auto"/>
        <w:jc w:val="both"/>
        <w:rPr>
          <w:rFonts w:ascii="Arial" w:eastAsia="Calibri" w:hAnsi="Arial" w:cs="Arial"/>
          <w:sz w:val="24"/>
          <w:szCs w:val="24"/>
        </w:rPr>
      </w:pPr>
      <w:r w:rsidRPr="00A92277">
        <w:rPr>
          <w:rFonts w:ascii="Arial" w:eastAsia="Calibri" w:hAnsi="Arial" w:cs="Arial"/>
          <w:sz w:val="24"/>
          <w:szCs w:val="24"/>
        </w:rPr>
        <w:t>Instructed by:</w:t>
      </w:r>
      <w:r w:rsidRPr="00A92277">
        <w:rPr>
          <w:rFonts w:ascii="Arial" w:hAnsi="Arial" w:cs="Arial"/>
          <w:bCs/>
          <w:sz w:val="24"/>
          <w:szCs w:val="24"/>
        </w:rPr>
        <w:tab/>
      </w:r>
      <w:r w:rsidRPr="00A92277">
        <w:rPr>
          <w:rFonts w:ascii="Arial" w:hAnsi="Arial" w:cs="Arial"/>
          <w:bCs/>
          <w:sz w:val="24"/>
          <w:szCs w:val="24"/>
        </w:rPr>
        <w:tab/>
      </w:r>
      <w:r w:rsidR="000B3777" w:rsidRPr="00A92277">
        <w:rPr>
          <w:rFonts w:ascii="Arial" w:eastAsia="Calibri" w:hAnsi="Arial" w:cs="Arial"/>
          <w:sz w:val="24"/>
          <w:szCs w:val="24"/>
        </w:rPr>
        <w:t>State Attorney</w:t>
      </w:r>
      <w:r w:rsidRPr="00A92277">
        <w:rPr>
          <w:rFonts w:ascii="Arial" w:hAnsi="Arial" w:cs="Arial"/>
          <w:bCs/>
          <w:sz w:val="24"/>
          <w:szCs w:val="24"/>
        </w:rPr>
        <w:t>,</w:t>
      </w:r>
      <w:r w:rsidR="000B3777" w:rsidRPr="00A92277">
        <w:rPr>
          <w:rFonts w:ascii="Arial" w:hAnsi="Arial" w:cs="Arial"/>
          <w:bCs/>
          <w:sz w:val="24"/>
          <w:szCs w:val="24"/>
        </w:rPr>
        <w:t xml:space="preserve"> </w:t>
      </w:r>
      <w:r w:rsidR="00F243BD" w:rsidRPr="00A92277">
        <w:rPr>
          <w:rFonts w:ascii="Arial" w:eastAsia="Calibri" w:hAnsi="Arial" w:cs="Arial"/>
          <w:sz w:val="24"/>
          <w:szCs w:val="24"/>
        </w:rPr>
        <w:t>Pretoria</w:t>
      </w:r>
      <w:r w:rsidR="00F243BD" w:rsidRPr="00A92277">
        <w:rPr>
          <w:rFonts w:ascii="Arial" w:hAnsi="Arial" w:cs="Arial"/>
          <w:sz w:val="24"/>
          <w:szCs w:val="24"/>
        </w:rPr>
        <w:t xml:space="preserve"> </w:t>
      </w:r>
    </w:p>
    <w:p w14:paraId="427FDBE4" w14:textId="1243E247" w:rsidR="00F243BD" w:rsidRPr="00A92277" w:rsidRDefault="00F243BD" w:rsidP="001061E2">
      <w:pPr>
        <w:spacing w:after="0" w:line="360" w:lineRule="auto"/>
        <w:ind w:left="2160" w:firstLine="720"/>
        <w:jc w:val="both"/>
        <w:rPr>
          <w:rFonts w:ascii="Arial" w:eastAsia="Calibri" w:hAnsi="Arial" w:cs="Arial"/>
          <w:sz w:val="24"/>
          <w:szCs w:val="24"/>
        </w:rPr>
      </w:pPr>
      <w:r w:rsidRPr="00A92277">
        <w:rPr>
          <w:rFonts w:ascii="Arial" w:eastAsia="Calibri" w:hAnsi="Arial" w:cs="Arial"/>
          <w:sz w:val="24"/>
          <w:szCs w:val="24"/>
        </w:rPr>
        <w:t>State Attorney,</w:t>
      </w:r>
      <w:r>
        <w:rPr>
          <w:rFonts w:ascii="Arial" w:eastAsia="Calibri" w:hAnsi="Arial" w:cs="Arial"/>
          <w:sz w:val="24"/>
          <w:szCs w:val="24"/>
        </w:rPr>
        <w:t xml:space="preserve"> </w:t>
      </w:r>
      <w:r w:rsidRPr="00A92277">
        <w:rPr>
          <w:rFonts w:ascii="Arial" w:hAnsi="Arial" w:cs="Arial"/>
          <w:sz w:val="24"/>
          <w:szCs w:val="24"/>
        </w:rPr>
        <w:t>Bloemfontein.</w:t>
      </w:r>
    </w:p>
    <w:p w14:paraId="38EED01E" w14:textId="3E23977D" w:rsidR="008947AB" w:rsidRPr="00A92277" w:rsidRDefault="00F243BD" w:rsidP="008947AB">
      <w:pPr>
        <w:spacing w:after="0" w:line="360" w:lineRule="auto"/>
        <w:jc w:val="both"/>
        <w:rPr>
          <w:rFonts w:ascii="Arial" w:hAnsi="Arial" w:cs="Arial"/>
          <w:sz w:val="24"/>
          <w:szCs w:val="24"/>
          <w:highlight w:val="green"/>
        </w:rPr>
      </w:pPr>
      <w:r w:rsidRPr="00A92277">
        <w:rPr>
          <w:rFonts w:ascii="Arial" w:eastAsia="Calibri" w:hAnsi="Arial" w:cs="Arial"/>
          <w:sz w:val="24"/>
          <w:szCs w:val="24"/>
        </w:rPr>
        <w:t xml:space="preserve"> </w:t>
      </w:r>
    </w:p>
    <w:p w14:paraId="48FF6477" w14:textId="1713A3D8" w:rsidR="000B3777" w:rsidRPr="00A92277" w:rsidRDefault="008947AB" w:rsidP="000B3777">
      <w:pPr>
        <w:spacing w:after="0" w:line="360" w:lineRule="auto"/>
        <w:jc w:val="both"/>
        <w:rPr>
          <w:rFonts w:ascii="Arial" w:hAnsi="Arial" w:cs="Arial"/>
          <w:sz w:val="24"/>
          <w:szCs w:val="24"/>
        </w:rPr>
      </w:pPr>
      <w:r w:rsidRPr="00A92277">
        <w:rPr>
          <w:rFonts w:ascii="Arial" w:eastAsia="Calibri" w:hAnsi="Arial" w:cs="Arial"/>
          <w:sz w:val="24"/>
          <w:szCs w:val="24"/>
        </w:rPr>
        <w:t xml:space="preserve">For </w:t>
      </w:r>
      <w:r w:rsidRPr="00A92277">
        <w:rPr>
          <w:rFonts w:ascii="Arial" w:hAnsi="Arial" w:cs="Arial"/>
          <w:sz w:val="24"/>
          <w:szCs w:val="24"/>
        </w:rPr>
        <w:t>respondent</w:t>
      </w:r>
      <w:r w:rsidRPr="00A92277">
        <w:rPr>
          <w:rFonts w:ascii="Arial" w:eastAsia="Calibri" w:hAnsi="Arial" w:cs="Arial"/>
          <w:sz w:val="24"/>
          <w:szCs w:val="24"/>
        </w:rPr>
        <w:t>:</w:t>
      </w:r>
      <w:r w:rsidRPr="00A92277">
        <w:rPr>
          <w:rFonts w:ascii="Arial" w:eastAsia="Calibri" w:hAnsi="Arial" w:cs="Arial"/>
          <w:sz w:val="24"/>
          <w:szCs w:val="24"/>
        </w:rPr>
        <w:tab/>
      </w:r>
      <w:r w:rsidR="001061E2">
        <w:rPr>
          <w:rFonts w:ascii="Arial" w:hAnsi="Arial" w:cs="Arial"/>
          <w:sz w:val="24"/>
          <w:szCs w:val="24"/>
        </w:rPr>
        <w:tab/>
      </w:r>
      <w:r w:rsidR="000B3777" w:rsidRPr="00A92277">
        <w:rPr>
          <w:rFonts w:ascii="Arial" w:hAnsi="Arial" w:cs="Arial"/>
          <w:sz w:val="24"/>
          <w:szCs w:val="24"/>
        </w:rPr>
        <w:t xml:space="preserve">T </w:t>
      </w:r>
      <w:r w:rsidR="002F043B">
        <w:rPr>
          <w:rFonts w:ascii="Arial" w:hAnsi="Arial" w:cs="Arial"/>
          <w:sz w:val="24"/>
          <w:szCs w:val="24"/>
        </w:rPr>
        <w:t>Odendaal</w:t>
      </w:r>
      <w:r w:rsidR="000B3777" w:rsidRPr="00A92277">
        <w:rPr>
          <w:rFonts w:ascii="Arial" w:hAnsi="Arial" w:cs="Arial"/>
          <w:sz w:val="24"/>
          <w:szCs w:val="24"/>
        </w:rPr>
        <w:t xml:space="preserve"> </w:t>
      </w:r>
      <w:r w:rsidR="001061E2">
        <w:rPr>
          <w:rFonts w:ascii="Arial" w:hAnsi="Arial" w:cs="Arial"/>
          <w:sz w:val="24"/>
          <w:szCs w:val="24"/>
        </w:rPr>
        <w:t xml:space="preserve">(heads of argument having been </w:t>
      </w:r>
    </w:p>
    <w:p w14:paraId="3CB2EDC2" w14:textId="528140D5" w:rsidR="008947AB" w:rsidRPr="00A92277" w:rsidRDefault="000B3777" w:rsidP="001061E2">
      <w:pPr>
        <w:spacing w:after="0" w:line="360" w:lineRule="auto"/>
        <w:ind w:left="2160" w:firstLine="720"/>
        <w:jc w:val="both"/>
        <w:rPr>
          <w:rFonts w:ascii="Arial" w:hAnsi="Arial" w:cs="Arial"/>
          <w:bCs/>
          <w:sz w:val="24"/>
          <w:szCs w:val="24"/>
        </w:rPr>
      </w:pPr>
      <w:r w:rsidRPr="00A92277">
        <w:rPr>
          <w:rFonts w:ascii="Arial" w:hAnsi="Arial" w:cs="Arial"/>
          <w:sz w:val="24"/>
          <w:szCs w:val="24"/>
        </w:rPr>
        <w:t xml:space="preserve">prepared by J P Van den Berg SC and T Cooper) </w:t>
      </w:r>
    </w:p>
    <w:p w14:paraId="375803AB" w14:textId="45486D96" w:rsidR="008947AB" w:rsidRPr="00A92277" w:rsidRDefault="008947AB" w:rsidP="008947AB">
      <w:pPr>
        <w:widowControl w:val="0"/>
        <w:tabs>
          <w:tab w:val="left" w:pos="-1440"/>
        </w:tabs>
        <w:autoSpaceDE w:val="0"/>
        <w:autoSpaceDN w:val="0"/>
        <w:adjustRightInd w:val="0"/>
        <w:spacing w:after="0" w:line="360" w:lineRule="auto"/>
        <w:jc w:val="both"/>
        <w:rPr>
          <w:rFonts w:ascii="Arial" w:hAnsi="Arial" w:cs="Arial"/>
          <w:bCs/>
          <w:sz w:val="24"/>
          <w:szCs w:val="24"/>
        </w:rPr>
      </w:pPr>
      <w:r w:rsidRPr="00A92277">
        <w:rPr>
          <w:rFonts w:ascii="Arial" w:eastAsia="Calibri" w:hAnsi="Arial" w:cs="Arial"/>
          <w:sz w:val="24"/>
          <w:szCs w:val="24"/>
        </w:rPr>
        <w:t>Instructed by:</w:t>
      </w:r>
      <w:r w:rsidRPr="00A92277">
        <w:rPr>
          <w:rFonts w:ascii="Arial" w:eastAsia="Calibri" w:hAnsi="Arial" w:cs="Arial"/>
          <w:sz w:val="24"/>
          <w:szCs w:val="24"/>
        </w:rPr>
        <w:tab/>
      </w:r>
      <w:r w:rsidRPr="00A92277">
        <w:rPr>
          <w:rFonts w:ascii="Arial" w:eastAsia="Calibri" w:hAnsi="Arial" w:cs="Arial"/>
          <w:sz w:val="24"/>
          <w:szCs w:val="24"/>
        </w:rPr>
        <w:tab/>
      </w:r>
      <w:bookmarkStart w:id="22" w:name="_Hlk103591020"/>
      <w:r w:rsidRPr="00A92277">
        <w:rPr>
          <w:rFonts w:ascii="Arial" w:hAnsi="Arial" w:cs="Arial"/>
          <w:bCs/>
          <w:sz w:val="24"/>
          <w:szCs w:val="24"/>
        </w:rPr>
        <w:t>A</w:t>
      </w:r>
      <w:r w:rsidR="000B3777" w:rsidRPr="00A92277">
        <w:rPr>
          <w:rFonts w:ascii="Arial" w:hAnsi="Arial" w:cs="Arial"/>
          <w:bCs/>
          <w:sz w:val="24"/>
          <w:szCs w:val="24"/>
        </w:rPr>
        <w:t>dams &amp; Adams</w:t>
      </w:r>
      <w:r w:rsidRPr="00A92277">
        <w:rPr>
          <w:rFonts w:ascii="Arial" w:hAnsi="Arial" w:cs="Arial"/>
          <w:bCs/>
          <w:sz w:val="24"/>
          <w:szCs w:val="24"/>
        </w:rPr>
        <w:t xml:space="preserve">, </w:t>
      </w:r>
      <w:r w:rsidR="000B3777" w:rsidRPr="00A92277">
        <w:rPr>
          <w:rFonts w:ascii="Arial" w:hAnsi="Arial" w:cs="Arial"/>
          <w:bCs/>
          <w:sz w:val="24"/>
          <w:szCs w:val="24"/>
        </w:rPr>
        <w:t>Pretoria</w:t>
      </w:r>
    </w:p>
    <w:p w14:paraId="469188F1" w14:textId="43CD4752" w:rsidR="008947AB" w:rsidRPr="00A92277" w:rsidRDefault="008947AB" w:rsidP="008947AB">
      <w:pPr>
        <w:widowControl w:val="0"/>
        <w:tabs>
          <w:tab w:val="left" w:pos="-1440"/>
        </w:tabs>
        <w:autoSpaceDE w:val="0"/>
        <w:autoSpaceDN w:val="0"/>
        <w:adjustRightInd w:val="0"/>
        <w:spacing w:after="0" w:line="360" w:lineRule="auto"/>
        <w:jc w:val="both"/>
        <w:rPr>
          <w:rFonts w:ascii="Arial" w:eastAsia="Calibri" w:hAnsi="Arial" w:cs="Arial"/>
          <w:sz w:val="24"/>
          <w:szCs w:val="24"/>
        </w:rPr>
      </w:pPr>
      <w:r w:rsidRPr="00A92277">
        <w:rPr>
          <w:rFonts w:ascii="Arial" w:hAnsi="Arial" w:cs="Arial"/>
          <w:bCs/>
          <w:sz w:val="24"/>
          <w:szCs w:val="24"/>
        </w:rPr>
        <w:tab/>
      </w:r>
      <w:r w:rsidRPr="00A92277">
        <w:rPr>
          <w:rFonts w:ascii="Arial" w:hAnsi="Arial" w:cs="Arial"/>
          <w:bCs/>
          <w:sz w:val="24"/>
          <w:szCs w:val="24"/>
        </w:rPr>
        <w:tab/>
      </w:r>
      <w:r w:rsidRPr="00A92277">
        <w:rPr>
          <w:rFonts w:ascii="Arial" w:hAnsi="Arial" w:cs="Arial"/>
          <w:bCs/>
          <w:sz w:val="24"/>
          <w:szCs w:val="24"/>
        </w:rPr>
        <w:tab/>
      </w:r>
      <w:r w:rsidRPr="00A92277">
        <w:rPr>
          <w:rFonts w:ascii="Arial" w:hAnsi="Arial" w:cs="Arial"/>
          <w:bCs/>
          <w:sz w:val="24"/>
          <w:szCs w:val="24"/>
        </w:rPr>
        <w:tab/>
      </w:r>
      <w:r w:rsidR="000B3777" w:rsidRPr="00A92277">
        <w:rPr>
          <w:rFonts w:ascii="Arial" w:hAnsi="Arial" w:cs="Arial"/>
          <w:bCs/>
          <w:sz w:val="24"/>
          <w:szCs w:val="24"/>
        </w:rPr>
        <w:t>Honey Attorneys</w:t>
      </w:r>
      <w:r w:rsidRPr="00A92277">
        <w:rPr>
          <w:rFonts w:ascii="Arial" w:hAnsi="Arial" w:cs="Arial"/>
          <w:bCs/>
          <w:sz w:val="24"/>
          <w:szCs w:val="24"/>
        </w:rPr>
        <w:t>, Bloemfontein.</w:t>
      </w:r>
    </w:p>
    <w:bookmarkEnd w:id="22"/>
    <w:p w14:paraId="583F6CE0" w14:textId="77777777" w:rsidR="008947AB" w:rsidRPr="00A92277" w:rsidRDefault="008947AB" w:rsidP="008947AB">
      <w:pPr>
        <w:pStyle w:val="MEMONUMBERED"/>
        <w:kinsoku w:val="0"/>
        <w:overflowPunct w:val="0"/>
        <w:autoSpaceDE w:val="0"/>
        <w:autoSpaceDN w:val="0"/>
        <w:adjustRightInd w:val="0"/>
        <w:spacing w:before="1" w:line="360" w:lineRule="auto"/>
        <w:ind w:right="-7"/>
        <w:rPr>
          <w:rFonts w:ascii="Arial" w:hAnsi="Arial" w:cs="Arial"/>
          <w:bCs/>
        </w:rPr>
      </w:pPr>
    </w:p>
    <w:p w14:paraId="1440B9B9" w14:textId="77777777" w:rsidR="008947AB" w:rsidRPr="00A92277" w:rsidRDefault="008947AB" w:rsidP="008947AB">
      <w:pPr>
        <w:pStyle w:val="MEMONUMBERED"/>
        <w:kinsoku w:val="0"/>
        <w:overflowPunct w:val="0"/>
        <w:autoSpaceDE w:val="0"/>
        <w:autoSpaceDN w:val="0"/>
        <w:adjustRightInd w:val="0"/>
        <w:spacing w:before="1" w:line="360" w:lineRule="auto"/>
        <w:ind w:right="-7"/>
        <w:rPr>
          <w:rFonts w:ascii="Arial" w:hAnsi="Arial" w:cs="Arial"/>
          <w:bCs/>
        </w:rPr>
      </w:pPr>
    </w:p>
    <w:p w14:paraId="1221BAB6" w14:textId="77777777" w:rsidR="008947AB" w:rsidRPr="00A92277" w:rsidRDefault="008947AB" w:rsidP="008947AB">
      <w:pPr>
        <w:rPr>
          <w:rFonts w:ascii="Arial" w:hAnsi="Arial" w:cs="Arial"/>
          <w:sz w:val="24"/>
          <w:szCs w:val="24"/>
        </w:rPr>
      </w:pPr>
    </w:p>
    <w:p w14:paraId="5273C67B" w14:textId="77777777" w:rsidR="00726064" w:rsidRPr="00A92277" w:rsidRDefault="00726064" w:rsidP="00726064">
      <w:pPr>
        <w:shd w:val="clear" w:color="auto" w:fill="FFFFFF"/>
        <w:spacing w:before="120" w:after="0" w:line="480" w:lineRule="auto"/>
        <w:contextualSpacing/>
        <w:jc w:val="both"/>
        <w:rPr>
          <w:rFonts w:ascii="Arial" w:hAnsi="Arial" w:cs="Arial"/>
          <w:sz w:val="24"/>
          <w:szCs w:val="24"/>
          <w:highlight w:val="yellow"/>
        </w:rPr>
      </w:pPr>
    </w:p>
    <w:sectPr w:rsidR="00726064" w:rsidRPr="00A92277" w:rsidSect="00E71C8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24D3C" w14:textId="77777777" w:rsidR="0062031A" w:rsidRDefault="0062031A" w:rsidP="005E5E33">
      <w:pPr>
        <w:spacing w:after="0" w:line="240" w:lineRule="auto"/>
      </w:pPr>
      <w:r>
        <w:separator/>
      </w:r>
    </w:p>
  </w:endnote>
  <w:endnote w:type="continuationSeparator" w:id="0">
    <w:p w14:paraId="19A920BC" w14:textId="77777777" w:rsidR="0062031A" w:rsidRDefault="0062031A" w:rsidP="005E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F097" w14:textId="77777777" w:rsidR="0062031A" w:rsidRDefault="0062031A" w:rsidP="005E5E33">
      <w:pPr>
        <w:spacing w:after="0" w:line="240" w:lineRule="auto"/>
      </w:pPr>
      <w:r>
        <w:separator/>
      </w:r>
    </w:p>
  </w:footnote>
  <w:footnote w:type="continuationSeparator" w:id="0">
    <w:p w14:paraId="47792056" w14:textId="77777777" w:rsidR="0062031A" w:rsidRDefault="0062031A" w:rsidP="005E5E33">
      <w:pPr>
        <w:spacing w:after="0" w:line="240" w:lineRule="auto"/>
      </w:pPr>
      <w:r>
        <w:continuationSeparator/>
      </w:r>
    </w:p>
  </w:footnote>
  <w:footnote w:id="1">
    <w:p w14:paraId="04678CB6" w14:textId="77777777" w:rsidR="00175C86" w:rsidRPr="00A92277" w:rsidRDefault="00175C86" w:rsidP="00522BE9">
      <w:pPr>
        <w:pStyle w:val="FootnoteText"/>
        <w:jc w:val="both"/>
        <w:rPr>
          <w:rFonts w:ascii="Arial" w:hAnsi="Arial" w:cs="Arial"/>
        </w:rPr>
      </w:pPr>
      <w:r w:rsidRPr="00A92277">
        <w:rPr>
          <w:rStyle w:val="FootnoteReference"/>
          <w:rFonts w:ascii="Arial" w:eastAsiaTheme="minorEastAsia" w:hAnsi="Arial" w:cs="Arial"/>
        </w:rPr>
        <w:footnoteRef/>
      </w:r>
      <w:r w:rsidRPr="00A92277">
        <w:rPr>
          <w:rFonts w:ascii="Arial" w:hAnsi="Arial" w:cs="Arial"/>
        </w:rPr>
        <w:t xml:space="preserve"> </w:t>
      </w:r>
      <w:r w:rsidRPr="00A92277">
        <w:rPr>
          <w:rFonts w:ascii="Arial" w:hAnsi="Arial" w:cs="Arial"/>
          <w:i/>
          <w:lang w:eastAsia="en-ZA"/>
        </w:rPr>
        <w:t xml:space="preserve">Wary Holdings (Pty) Ltd v Stalwo (Pty) and </w:t>
      </w:r>
      <w:r w:rsidRPr="00CE220E">
        <w:rPr>
          <w:rFonts w:ascii="Arial" w:hAnsi="Arial" w:cs="Arial"/>
          <w:i/>
          <w:lang w:eastAsia="en-ZA"/>
        </w:rPr>
        <w:t xml:space="preserve">Another </w:t>
      </w:r>
      <w:r w:rsidRPr="00CE220E">
        <w:rPr>
          <w:rFonts w:ascii="Arial" w:hAnsi="Arial" w:cs="Arial"/>
          <w:lang w:eastAsia="en-ZA"/>
        </w:rPr>
        <w:t>[2008] ZACC 12; 2009 (1) SA 337 (CC); 2008 (11) BCLR 1123 (CC) paras 46, 84, 107.</w:t>
      </w:r>
    </w:p>
  </w:footnote>
  <w:footnote w:id="2">
    <w:p w14:paraId="138DC6E9" w14:textId="77777777" w:rsidR="00175C86" w:rsidRPr="00A92277" w:rsidRDefault="00175C86" w:rsidP="00522BE9">
      <w:pPr>
        <w:pStyle w:val="FootnoteText"/>
        <w:jc w:val="both"/>
        <w:rPr>
          <w:rFonts w:ascii="Arial" w:hAnsi="Arial" w:cs="Arial"/>
        </w:rPr>
      </w:pPr>
      <w:r w:rsidRPr="00A92277">
        <w:rPr>
          <w:rStyle w:val="FootnoteReference"/>
          <w:rFonts w:ascii="Arial" w:hAnsi="Arial" w:cs="Arial"/>
        </w:rPr>
        <w:footnoteRef/>
      </w:r>
      <w:r w:rsidRPr="00A92277">
        <w:rPr>
          <w:rFonts w:ascii="Arial" w:hAnsi="Arial" w:cs="Arial"/>
        </w:rPr>
        <w:t xml:space="preserve"> Section 34 of the Constitution of Republic of South Africa, 1996 provides: </w:t>
      </w:r>
    </w:p>
    <w:p w14:paraId="4114933D" w14:textId="77777777" w:rsidR="00175C86" w:rsidRPr="00A92277" w:rsidRDefault="00175C86" w:rsidP="00522BE9">
      <w:pPr>
        <w:pStyle w:val="FootnoteText"/>
        <w:jc w:val="both"/>
        <w:rPr>
          <w:rFonts w:ascii="Arial" w:hAnsi="Arial" w:cs="Arial"/>
          <w:b/>
          <w:bCs/>
        </w:rPr>
      </w:pPr>
      <w:r w:rsidRPr="00A92277">
        <w:rPr>
          <w:rFonts w:ascii="Arial" w:hAnsi="Arial" w:cs="Arial"/>
          <w:b/>
          <w:bCs/>
        </w:rPr>
        <w:t xml:space="preserve">‘Access to courts </w:t>
      </w:r>
    </w:p>
    <w:p w14:paraId="4D6166A6" w14:textId="77777777" w:rsidR="00175C86" w:rsidRPr="00A92277" w:rsidRDefault="00175C86" w:rsidP="00522BE9">
      <w:pPr>
        <w:pStyle w:val="FootnoteText"/>
        <w:jc w:val="both"/>
        <w:rPr>
          <w:rFonts w:ascii="Arial" w:hAnsi="Arial" w:cs="Arial"/>
        </w:rPr>
      </w:pPr>
      <w:r w:rsidRPr="00A92277">
        <w:rPr>
          <w:rFonts w:ascii="Arial" w:hAnsi="Arial" w:cs="Arial"/>
        </w:rPr>
        <w:t>34. Everyone has the right to have any dispute that can be resolved by the application of law decided in a fair public hearing before a court or, where appropriate, another independent and impartial tribunal or forum.’</w:t>
      </w:r>
    </w:p>
  </w:footnote>
  <w:footnote w:id="3">
    <w:p w14:paraId="52E1A45C" w14:textId="77777777" w:rsidR="00175C86" w:rsidRDefault="00175C86" w:rsidP="005614DD">
      <w:pPr>
        <w:pStyle w:val="FootnoteText"/>
        <w:jc w:val="both"/>
      </w:pPr>
      <w:r w:rsidRPr="00A92277">
        <w:rPr>
          <w:rStyle w:val="FootnoteReference"/>
          <w:rFonts w:ascii="Arial" w:hAnsi="Arial" w:cs="Arial"/>
        </w:rPr>
        <w:footnoteRef/>
      </w:r>
      <w:r w:rsidRPr="00A92277">
        <w:rPr>
          <w:rFonts w:ascii="Arial" w:hAnsi="Arial" w:cs="Arial"/>
        </w:rPr>
        <w:t xml:space="preserve"> See </w:t>
      </w:r>
      <w:bookmarkStart w:id="21" w:name="_Hlk107711671"/>
      <w:r w:rsidRPr="00A92277">
        <w:rPr>
          <w:rFonts w:ascii="Arial" w:hAnsi="Arial" w:cs="Arial"/>
          <w:i/>
          <w:iCs/>
        </w:rPr>
        <w:t>Minister of Safety and Security v De Witt</w:t>
      </w:r>
      <w:r w:rsidRPr="00A92277">
        <w:rPr>
          <w:rFonts w:ascii="Arial" w:hAnsi="Arial" w:cs="Arial"/>
        </w:rPr>
        <w:t xml:space="preserve"> [2008] ZASCA 103; 2009 (1) SA 457 (SCA</w:t>
      </w:r>
      <w:bookmarkEnd w:id="21"/>
      <w:r w:rsidRPr="00A92277">
        <w:rPr>
          <w:rFonts w:ascii="Arial" w:hAnsi="Arial" w:cs="Arial"/>
        </w:rPr>
        <w:t>)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96821868"/>
      <w:docPartObj>
        <w:docPartGallery w:val="Page Numbers (Top of Page)"/>
        <w:docPartUnique/>
      </w:docPartObj>
    </w:sdtPr>
    <w:sdtEndPr>
      <w:rPr>
        <w:noProof/>
      </w:rPr>
    </w:sdtEndPr>
    <w:sdtContent>
      <w:p w14:paraId="64255FE4" w14:textId="68F038CF" w:rsidR="00175C86" w:rsidRPr="00531686" w:rsidRDefault="00175C86">
        <w:pPr>
          <w:pStyle w:val="Header"/>
          <w:jc w:val="right"/>
          <w:rPr>
            <w:rFonts w:ascii="Arial" w:hAnsi="Arial" w:cs="Arial"/>
            <w:sz w:val="20"/>
            <w:szCs w:val="20"/>
          </w:rPr>
        </w:pPr>
        <w:r w:rsidRPr="00531686">
          <w:rPr>
            <w:rFonts w:ascii="Arial" w:hAnsi="Arial" w:cs="Arial"/>
            <w:sz w:val="20"/>
            <w:szCs w:val="20"/>
          </w:rPr>
          <w:fldChar w:fldCharType="begin"/>
        </w:r>
        <w:r w:rsidRPr="00531686">
          <w:rPr>
            <w:rFonts w:ascii="Arial" w:hAnsi="Arial" w:cs="Arial"/>
            <w:sz w:val="20"/>
            <w:szCs w:val="20"/>
          </w:rPr>
          <w:instrText xml:space="preserve"> PAGE   \* MERGEFORMAT </w:instrText>
        </w:r>
        <w:r w:rsidRPr="00531686">
          <w:rPr>
            <w:rFonts w:ascii="Arial" w:hAnsi="Arial" w:cs="Arial"/>
            <w:sz w:val="20"/>
            <w:szCs w:val="20"/>
          </w:rPr>
          <w:fldChar w:fldCharType="separate"/>
        </w:r>
        <w:r w:rsidR="005B234F">
          <w:rPr>
            <w:rFonts w:ascii="Arial" w:hAnsi="Arial" w:cs="Arial"/>
            <w:noProof/>
            <w:sz w:val="20"/>
            <w:szCs w:val="20"/>
          </w:rPr>
          <w:t>11</w:t>
        </w:r>
        <w:r w:rsidRPr="00531686">
          <w:rPr>
            <w:rFonts w:ascii="Arial" w:hAnsi="Arial" w:cs="Arial"/>
            <w:noProof/>
            <w:sz w:val="20"/>
            <w:szCs w:val="20"/>
          </w:rPr>
          <w:fldChar w:fldCharType="end"/>
        </w:r>
      </w:p>
    </w:sdtContent>
  </w:sdt>
  <w:p w14:paraId="297502C2" w14:textId="77777777" w:rsidR="00175C86" w:rsidRDefault="00175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A732C8A8"/>
    <w:lvl w:ilvl="0" w:tplc="52747BAE">
      <w:start w:val="1"/>
      <w:numFmt w:val="decimal"/>
      <w:pStyle w:val="JUDGMENTNUMBERED"/>
      <w:lvlText w:val="[%1]"/>
      <w:lvlJc w:val="left"/>
      <w:pPr>
        <w:ind w:left="927"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DCD45254">
      <w:start w:val="1"/>
      <w:numFmt w:val="lowerLetter"/>
      <w:lvlText w:val="(%4)"/>
      <w:lvlJc w:val="left"/>
      <w:pPr>
        <w:ind w:left="-727" w:hanging="720"/>
      </w:pPr>
      <w:rPr>
        <w:rFonts w:ascii="Times New Roman" w:eastAsia="Times New Roman" w:hAnsi="Times New Roman" w:cs="Times New Roman" w:hint="default"/>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45"/>
    <w:rsid w:val="0001340B"/>
    <w:rsid w:val="000156ED"/>
    <w:rsid w:val="00040EC7"/>
    <w:rsid w:val="00044128"/>
    <w:rsid w:val="00047FE7"/>
    <w:rsid w:val="000544AA"/>
    <w:rsid w:val="00072B81"/>
    <w:rsid w:val="0007433A"/>
    <w:rsid w:val="000863E2"/>
    <w:rsid w:val="000A0821"/>
    <w:rsid w:val="000A207D"/>
    <w:rsid w:val="000B3777"/>
    <w:rsid w:val="000B5BB5"/>
    <w:rsid w:val="000C2373"/>
    <w:rsid w:val="000E7B06"/>
    <w:rsid w:val="000F1B0B"/>
    <w:rsid w:val="000F3E78"/>
    <w:rsid w:val="00101347"/>
    <w:rsid w:val="001061E2"/>
    <w:rsid w:val="00110BB8"/>
    <w:rsid w:val="00113AE9"/>
    <w:rsid w:val="00116EDE"/>
    <w:rsid w:val="00132C26"/>
    <w:rsid w:val="001365E3"/>
    <w:rsid w:val="00142D71"/>
    <w:rsid w:val="00175C86"/>
    <w:rsid w:val="001A067B"/>
    <w:rsid w:val="001A0830"/>
    <w:rsid w:val="001C58E1"/>
    <w:rsid w:val="001C66C9"/>
    <w:rsid w:val="001D7B85"/>
    <w:rsid w:val="001E0AB0"/>
    <w:rsid w:val="001E14B8"/>
    <w:rsid w:val="001F37CF"/>
    <w:rsid w:val="0020073B"/>
    <w:rsid w:val="002146F0"/>
    <w:rsid w:val="00246F58"/>
    <w:rsid w:val="002524C1"/>
    <w:rsid w:val="00254BA2"/>
    <w:rsid w:val="00260795"/>
    <w:rsid w:val="0027462E"/>
    <w:rsid w:val="002844E7"/>
    <w:rsid w:val="00285450"/>
    <w:rsid w:val="002975B2"/>
    <w:rsid w:val="002A2C9D"/>
    <w:rsid w:val="002A712E"/>
    <w:rsid w:val="002D4AF2"/>
    <w:rsid w:val="002F043B"/>
    <w:rsid w:val="002F53B1"/>
    <w:rsid w:val="003003DA"/>
    <w:rsid w:val="00301498"/>
    <w:rsid w:val="003032C1"/>
    <w:rsid w:val="00305A7D"/>
    <w:rsid w:val="0032016F"/>
    <w:rsid w:val="00324A3D"/>
    <w:rsid w:val="00327F5A"/>
    <w:rsid w:val="00332C31"/>
    <w:rsid w:val="00335EE3"/>
    <w:rsid w:val="003477E1"/>
    <w:rsid w:val="00350F27"/>
    <w:rsid w:val="00352464"/>
    <w:rsid w:val="00354BB3"/>
    <w:rsid w:val="00365382"/>
    <w:rsid w:val="00370670"/>
    <w:rsid w:val="003739FC"/>
    <w:rsid w:val="00383A7C"/>
    <w:rsid w:val="00390251"/>
    <w:rsid w:val="00391612"/>
    <w:rsid w:val="00391823"/>
    <w:rsid w:val="003B4C25"/>
    <w:rsid w:val="003C44F1"/>
    <w:rsid w:val="003F6BA3"/>
    <w:rsid w:val="004038F9"/>
    <w:rsid w:val="00405864"/>
    <w:rsid w:val="00411FB6"/>
    <w:rsid w:val="004141FD"/>
    <w:rsid w:val="00424268"/>
    <w:rsid w:val="00441F8F"/>
    <w:rsid w:val="0044663C"/>
    <w:rsid w:val="00447DB5"/>
    <w:rsid w:val="00451F32"/>
    <w:rsid w:val="004527DE"/>
    <w:rsid w:val="004872BE"/>
    <w:rsid w:val="004923F9"/>
    <w:rsid w:val="004C4E1D"/>
    <w:rsid w:val="004D1A0B"/>
    <w:rsid w:val="004D2D68"/>
    <w:rsid w:val="004D4F65"/>
    <w:rsid w:val="004E57C0"/>
    <w:rsid w:val="004E7957"/>
    <w:rsid w:val="004E7BB0"/>
    <w:rsid w:val="004F267A"/>
    <w:rsid w:val="004F7524"/>
    <w:rsid w:val="00503AC4"/>
    <w:rsid w:val="00513263"/>
    <w:rsid w:val="005223A1"/>
    <w:rsid w:val="00522BE9"/>
    <w:rsid w:val="00530D15"/>
    <w:rsid w:val="00531686"/>
    <w:rsid w:val="00542118"/>
    <w:rsid w:val="005514D6"/>
    <w:rsid w:val="00555125"/>
    <w:rsid w:val="005614DD"/>
    <w:rsid w:val="005614EF"/>
    <w:rsid w:val="00577284"/>
    <w:rsid w:val="00593757"/>
    <w:rsid w:val="00594B10"/>
    <w:rsid w:val="005A5019"/>
    <w:rsid w:val="005B234F"/>
    <w:rsid w:val="005C0E2E"/>
    <w:rsid w:val="005D3CDC"/>
    <w:rsid w:val="005D5352"/>
    <w:rsid w:val="005D7293"/>
    <w:rsid w:val="005E00CC"/>
    <w:rsid w:val="005E5E33"/>
    <w:rsid w:val="005F0635"/>
    <w:rsid w:val="005F2EEF"/>
    <w:rsid w:val="00600A16"/>
    <w:rsid w:val="00603E37"/>
    <w:rsid w:val="00615DB4"/>
    <w:rsid w:val="00616B93"/>
    <w:rsid w:val="0062031A"/>
    <w:rsid w:val="006428F6"/>
    <w:rsid w:val="006633D1"/>
    <w:rsid w:val="00664EE4"/>
    <w:rsid w:val="0067330E"/>
    <w:rsid w:val="00680B95"/>
    <w:rsid w:val="006933DE"/>
    <w:rsid w:val="00697F21"/>
    <w:rsid w:val="006A422F"/>
    <w:rsid w:val="006B6297"/>
    <w:rsid w:val="006B687F"/>
    <w:rsid w:val="006C25E6"/>
    <w:rsid w:val="006D2F0C"/>
    <w:rsid w:val="006D7D38"/>
    <w:rsid w:val="006E313E"/>
    <w:rsid w:val="006F0F1D"/>
    <w:rsid w:val="006F5BA3"/>
    <w:rsid w:val="00711ED7"/>
    <w:rsid w:val="00721273"/>
    <w:rsid w:val="00726064"/>
    <w:rsid w:val="00735618"/>
    <w:rsid w:val="00735D86"/>
    <w:rsid w:val="007575B0"/>
    <w:rsid w:val="007702A4"/>
    <w:rsid w:val="00770B54"/>
    <w:rsid w:val="00775F84"/>
    <w:rsid w:val="00782149"/>
    <w:rsid w:val="007C2735"/>
    <w:rsid w:val="007C467A"/>
    <w:rsid w:val="007D243D"/>
    <w:rsid w:val="007E3869"/>
    <w:rsid w:val="007F1691"/>
    <w:rsid w:val="007F545F"/>
    <w:rsid w:val="007F64CD"/>
    <w:rsid w:val="00814FD6"/>
    <w:rsid w:val="00821457"/>
    <w:rsid w:val="0082262C"/>
    <w:rsid w:val="00827C16"/>
    <w:rsid w:val="00837E2F"/>
    <w:rsid w:val="008405C1"/>
    <w:rsid w:val="008412D3"/>
    <w:rsid w:val="008472C9"/>
    <w:rsid w:val="00856B44"/>
    <w:rsid w:val="00860C96"/>
    <w:rsid w:val="0086655B"/>
    <w:rsid w:val="00874A8A"/>
    <w:rsid w:val="00882FC3"/>
    <w:rsid w:val="008947AB"/>
    <w:rsid w:val="008B1C41"/>
    <w:rsid w:val="008C2E29"/>
    <w:rsid w:val="008D2EBE"/>
    <w:rsid w:val="008E25D0"/>
    <w:rsid w:val="008E2972"/>
    <w:rsid w:val="008F08B6"/>
    <w:rsid w:val="008F4523"/>
    <w:rsid w:val="008F7F5F"/>
    <w:rsid w:val="009162BA"/>
    <w:rsid w:val="009317ED"/>
    <w:rsid w:val="00931A60"/>
    <w:rsid w:val="00933A59"/>
    <w:rsid w:val="00933FEE"/>
    <w:rsid w:val="009448BE"/>
    <w:rsid w:val="00953055"/>
    <w:rsid w:val="0095704E"/>
    <w:rsid w:val="00962FE2"/>
    <w:rsid w:val="009712FA"/>
    <w:rsid w:val="009B75FB"/>
    <w:rsid w:val="009E68D1"/>
    <w:rsid w:val="009F537C"/>
    <w:rsid w:val="00A05D75"/>
    <w:rsid w:val="00A177DB"/>
    <w:rsid w:val="00A27A6E"/>
    <w:rsid w:val="00A4508C"/>
    <w:rsid w:val="00A51C10"/>
    <w:rsid w:val="00A51F8D"/>
    <w:rsid w:val="00A531EB"/>
    <w:rsid w:val="00A56E86"/>
    <w:rsid w:val="00A6449B"/>
    <w:rsid w:val="00A70335"/>
    <w:rsid w:val="00A7226C"/>
    <w:rsid w:val="00A74420"/>
    <w:rsid w:val="00A76E1A"/>
    <w:rsid w:val="00A81CCE"/>
    <w:rsid w:val="00A86AC8"/>
    <w:rsid w:val="00A90C29"/>
    <w:rsid w:val="00A92277"/>
    <w:rsid w:val="00A95447"/>
    <w:rsid w:val="00A97141"/>
    <w:rsid w:val="00AA1B65"/>
    <w:rsid w:val="00AA5216"/>
    <w:rsid w:val="00AB102B"/>
    <w:rsid w:val="00AC6453"/>
    <w:rsid w:val="00AD1829"/>
    <w:rsid w:val="00AD2DBD"/>
    <w:rsid w:val="00AE4176"/>
    <w:rsid w:val="00AE471F"/>
    <w:rsid w:val="00AF2E67"/>
    <w:rsid w:val="00AF6737"/>
    <w:rsid w:val="00B01F7F"/>
    <w:rsid w:val="00B2019E"/>
    <w:rsid w:val="00B40026"/>
    <w:rsid w:val="00B407B9"/>
    <w:rsid w:val="00B40C3A"/>
    <w:rsid w:val="00B417BF"/>
    <w:rsid w:val="00B6738D"/>
    <w:rsid w:val="00B67872"/>
    <w:rsid w:val="00B7172B"/>
    <w:rsid w:val="00B801B9"/>
    <w:rsid w:val="00B80771"/>
    <w:rsid w:val="00B84E1B"/>
    <w:rsid w:val="00B86323"/>
    <w:rsid w:val="00B921D9"/>
    <w:rsid w:val="00BA3A04"/>
    <w:rsid w:val="00BA632E"/>
    <w:rsid w:val="00BC14B3"/>
    <w:rsid w:val="00BC37F8"/>
    <w:rsid w:val="00BD6815"/>
    <w:rsid w:val="00BE0881"/>
    <w:rsid w:val="00BE7B1A"/>
    <w:rsid w:val="00BF0A65"/>
    <w:rsid w:val="00BF7429"/>
    <w:rsid w:val="00C031CF"/>
    <w:rsid w:val="00C04706"/>
    <w:rsid w:val="00C10A15"/>
    <w:rsid w:val="00C14244"/>
    <w:rsid w:val="00C30877"/>
    <w:rsid w:val="00C43D9A"/>
    <w:rsid w:val="00C4582F"/>
    <w:rsid w:val="00C515E9"/>
    <w:rsid w:val="00C63C5B"/>
    <w:rsid w:val="00C763A4"/>
    <w:rsid w:val="00C774A8"/>
    <w:rsid w:val="00C86D5D"/>
    <w:rsid w:val="00C90B59"/>
    <w:rsid w:val="00C95D10"/>
    <w:rsid w:val="00C9756C"/>
    <w:rsid w:val="00CA04F7"/>
    <w:rsid w:val="00CB18A0"/>
    <w:rsid w:val="00CB3473"/>
    <w:rsid w:val="00CB5D18"/>
    <w:rsid w:val="00CD04EB"/>
    <w:rsid w:val="00CD1B90"/>
    <w:rsid w:val="00CD6F24"/>
    <w:rsid w:val="00CE1A80"/>
    <w:rsid w:val="00CE220E"/>
    <w:rsid w:val="00CE25DB"/>
    <w:rsid w:val="00D00510"/>
    <w:rsid w:val="00D00976"/>
    <w:rsid w:val="00D03D0E"/>
    <w:rsid w:val="00D16B20"/>
    <w:rsid w:val="00D17540"/>
    <w:rsid w:val="00D4297F"/>
    <w:rsid w:val="00D45B92"/>
    <w:rsid w:val="00D511AD"/>
    <w:rsid w:val="00D52310"/>
    <w:rsid w:val="00D62F01"/>
    <w:rsid w:val="00D76F29"/>
    <w:rsid w:val="00D87640"/>
    <w:rsid w:val="00D87AEF"/>
    <w:rsid w:val="00D93715"/>
    <w:rsid w:val="00DA5177"/>
    <w:rsid w:val="00DB4FEA"/>
    <w:rsid w:val="00DC6782"/>
    <w:rsid w:val="00DD243B"/>
    <w:rsid w:val="00DE0317"/>
    <w:rsid w:val="00DF3DD5"/>
    <w:rsid w:val="00E018A1"/>
    <w:rsid w:val="00E03515"/>
    <w:rsid w:val="00E06CD7"/>
    <w:rsid w:val="00E14CCB"/>
    <w:rsid w:val="00E1695C"/>
    <w:rsid w:val="00E33BD3"/>
    <w:rsid w:val="00E371AD"/>
    <w:rsid w:val="00E4003D"/>
    <w:rsid w:val="00E41E48"/>
    <w:rsid w:val="00E4272C"/>
    <w:rsid w:val="00E5707E"/>
    <w:rsid w:val="00E57DC3"/>
    <w:rsid w:val="00E6108A"/>
    <w:rsid w:val="00E64318"/>
    <w:rsid w:val="00E70A18"/>
    <w:rsid w:val="00E71C8C"/>
    <w:rsid w:val="00E80FD1"/>
    <w:rsid w:val="00E82A45"/>
    <w:rsid w:val="00E97DFF"/>
    <w:rsid w:val="00EA1CFB"/>
    <w:rsid w:val="00EB61BF"/>
    <w:rsid w:val="00EB63BF"/>
    <w:rsid w:val="00EB6FD4"/>
    <w:rsid w:val="00EB7B55"/>
    <w:rsid w:val="00EC12C4"/>
    <w:rsid w:val="00EC2657"/>
    <w:rsid w:val="00ED63FC"/>
    <w:rsid w:val="00ED6F53"/>
    <w:rsid w:val="00EF395E"/>
    <w:rsid w:val="00EF47F4"/>
    <w:rsid w:val="00F001C9"/>
    <w:rsid w:val="00F015B2"/>
    <w:rsid w:val="00F109E8"/>
    <w:rsid w:val="00F1131A"/>
    <w:rsid w:val="00F12CA5"/>
    <w:rsid w:val="00F241EC"/>
    <w:rsid w:val="00F243BD"/>
    <w:rsid w:val="00F25057"/>
    <w:rsid w:val="00F26345"/>
    <w:rsid w:val="00F41641"/>
    <w:rsid w:val="00F42E45"/>
    <w:rsid w:val="00F45568"/>
    <w:rsid w:val="00F46300"/>
    <w:rsid w:val="00F61633"/>
    <w:rsid w:val="00F66207"/>
    <w:rsid w:val="00F66799"/>
    <w:rsid w:val="00F774B7"/>
    <w:rsid w:val="00F8076E"/>
    <w:rsid w:val="00F931B5"/>
    <w:rsid w:val="00FA492F"/>
    <w:rsid w:val="00FA51B3"/>
    <w:rsid w:val="00FA7C76"/>
    <w:rsid w:val="00FB4860"/>
    <w:rsid w:val="00FB7016"/>
    <w:rsid w:val="00FD3B15"/>
    <w:rsid w:val="00FD641C"/>
    <w:rsid w:val="00FE3BCB"/>
    <w:rsid w:val="00FF2444"/>
    <w:rsid w:val="00FF7D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8DA4"/>
  <w15:chartTrackingRefBased/>
  <w15:docId w15:val="{0D926B5D-06F4-4940-B0C4-51987B2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Normal"/>
    <w:qFormat/>
    <w:rsid w:val="00E82A45"/>
    <w:pPr>
      <w:numPr>
        <w:numId w:val="1"/>
      </w:numPr>
      <w:spacing w:after="0" w:line="360" w:lineRule="auto"/>
      <w:jc w:val="both"/>
    </w:pPr>
    <w:rPr>
      <w:rFonts w:ascii="Times New Roman" w:eastAsia="Times New Roman" w:hAnsi="Times New Roman" w:cs="Times New Roman"/>
      <w:sz w:val="26"/>
    </w:rPr>
  </w:style>
  <w:style w:type="paragraph" w:styleId="FootnoteText">
    <w:name w:val="footnote text"/>
    <w:basedOn w:val="Normal"/>
    <w:link w:val="FootnoteTextChar"/>
    <w:uiPriority w:val="99"/>
    <w:unhideWhenUsed/>
    <w:rsid w:val="005E5E33"/>
    <w:pPr>
      <w:spacing w:after="0" w:line="240" w:lineRule="auto"/>
    </w:pPr>
    <w:rPr>
      <w:sz w:val="20"/>
      <w:szCs w:val="20"/>
    </w:rPr>
  </w:style>
  <w:style w:type="character" w:customStyle="1" w:styleId="FootnoteTextChar">
    <w:name w:val="Footnote Text Char"/>
    <w:basedOn w:val="DefaultParagraphFont"/>
    <w:link w:val="FootnoteText"/>
    <w:uiPriority w:val="99"/>
    <w:rsid w:val="005E5E33"/>
    <w:rPr>
      <w:sz w:val="20"/>
      <w:szCs w:val="20"/>
    </w:rPr>
  </w:style>
  <w:style w:type="character" w:styleId="FootnoteReference">
    <w:name w:val="footnote reference"/>
    <w:basedOn w:val="DefaultParagraphFont"/>
    <w:uiPriority w:val="99"/>
    <w:unhideWhenUsed/>
    <w:rsid w:val="005E5E33"/>
    <w:rPr>
      <w:vertAlign w:val="superscript"/>
    </w:rPr>
  </w:style>
  <w:style w:type="paragraph" w:styleId="ListParagraph">
    <w:name w:val="List Paragraph"/>
    <w:basedOn w:val="Normal"/>
    <w:uiPriority w:val="34"/>
    <w:qFormat/>
    <w:rsid w:val="00F26345"/>
    <w:pPr>
      <w:ind w:left="720"/>
      <w:contextualSpacing/>
    </w:pPr>
  </w:style>
  <w:style w:type="paragraph" w:customStyle="1" w:styleId="MEMONUMBERED">
    <w:name w:val="MEMO NUMBERED"/>
    <w:basedOn w:val="Normal"/>
    <w:link w:val="MEMONUMBEREDChar"/>
    <w:qFormat/>
    <w:rsid w:val="007D243D"/>
    <w:pPr>
      <w:spacing w:after="0" w:line="480" w:lineRule="auto"/>
      <w:jc w:val="both"/>
    </w:pPr>
    <w:rPr>
      <w:rFonts w:ascii="Times New Roman" w:eastAsiaTheme="minorEastAsia" w:hAnsi="Times New Roman" w:cs="Times New Roman"/>
      <w:sz w:val="24"/>
      <w:szCs w:val="24"/>
      <w:lang w:val="en-US" w:eastAsia="en-ZA"/>
    </w:rPr>
  </w:style>
  <w:style w:type="character" w:customStyle="1" w:styleId="MEMONUMBEREDChar">
    <w:name w:val="MEMO NUMBERED Char"/>
    <w:link w:val="MEMONUMBERED"/>
    <w:locked/>
    <w:rsid w:val="007D243D"/>
    <w:rPr>
      <w:rFonts w:ascii="Times New Roman" w:eastAsiaTheme="minorEastAsia" w:hAnsi="Times New Roman" w:cs="Times New Roman"/>
      <w:sz w:val="24"/>
      <w:szCs w:val="24"/>
      <w:lang w:val="en-US" w:eastAsia="en-ZA"/>
    </w:rPr>
  </w:style>
  <w:style w:type="paragraph" w:styleId="NormalWeb">
    <w:name w:val="Normal (Web)"/>
    <w:basedOn w:val="Normal"/>
    <w:uiPriority w:val="99"/>
    <w:semiHidden/>
    <w:unhideWhenUsed/>
    <w:rsid w:val="00A7226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7226C"/>
    <w:rPr>
      <w:color w:val="0000FF"/>
      <w:u w:val="single"/>
    </w:rPr>
  </w:style>
  <w:style w:type="paragraph" w:styleId="Header">
    <w:name w:val="header"/>
    <w:basedOn w:val="Normal"/>
    <w:link w:val="HeaderChar"/>
    <w:uiPriority w:val="99"/>
    <w:unhideWhenUsed/>
    <w:rsid w:val="00E71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8C"/>
  </w:style>
  <w:style w:type="paragraph" w:styleId="Footer">
    <w:name w:val="footer"/>
    <w:basedOn w:val="Normal"/>
    <w:link w:val="FooterChar"/>
    <w:uiPriority w:val="99"/>
    <w:unhideWhenUsed/>
    <w:rsid w:val="00E71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8C"/>
  </w:style>
  <w:style w:type="paragraph" w:customStyle="1" w:styleId="n10pt-1">
    <w:name w:val="n10pt-1"/>
    <w:basedOn w:val="Normal"/>
    <w:rsid w:val="001D7B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1D7B85"/>
  </w:style>
  <w:style w:type="paragraph" w:customStyle="1" w:styleId="q-normal-1-1">
    <w:name w:val="q-normal-1-1"/>
    <w:basedOn w:val="Normal"/>
    <w:rsid w:val="001D7B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c">
    <w:name w:val="mc"/>
    <w:basedOn w:val="DefaultParagraphFont"/>
    <w:rsid w:val="00F1131A"/>
  </w:style>
  <w:style w:type="character" w:customStyle="1" w:styleId="t">
    <w:name w:val="t"/>
    <w:basedOn w:val="DefaultParagraphFont"/>
    <w:rsid w:val="00C774A8"/>
  </w:style>
  <w:style w:type="paragraph" w:styleId="Revision">
    <w:name w:val="Revision"/>
    <w:hidden/>
    <w:uiPriority w:val="99"/>
    <w:semiHidden/>
    <w:rsid w:val="004E7BB0"/>
    <w:pPr>
      <w:spacing w:after="0" w:line="240" w:lineRule="auto"/>
    </w:pPr>
  </w:style>
  <w:style w:type="character" w:styleId="CommentReference">
    <w:name w:val="annotation reference"/>
    <w:basedOn w:val="DefaultParagraphFont"/>
    <w:uiPriority w:val="99"/>
    <w:semiHidden/>
    <w:unhideWhenUsed/>
    <w:rsid w:val="00837E2F"/>
    <w:rPr>
      <w:sz w:val="16"/>
      <w:szCs w:val="16"/>
    </w:rPr>
  </w:style>
  <w:style w:type="paragraph" w:styleId="CommentText">
    <w:name w:val="annotation text"/>
    <w:basedOn w:val="Normal"/>
    <w:link w:val="CommentTextChar"/>
    <w:uiPriority w:val="99"/>
    <w:semiHidden/>
    <w:unhideWhenUsed/>
    <w:rsid w:val="00837E2F"/>
    <w:pPr>
      <w:spacing w:line="240" w:lineRule="auto"/>
    </w:pPr>
    <w:rPr>
      <w:sz w:val="20"/>
      <w:szCs w:val="20"/>
    </w:rPr>
  </w:style>
  <w:style w:type="character" w:customStyle="1" w:styleId="CommentTextChar">
    <w:name w:val="Comment Text Char"/>
    <w:basedOn w:val="DefaultParagraphFont"/>
    <w:link w:val="CommentText"/>
    <w:uiPriority w:val="99"/>
    <w:semiHidden/>
    <w:rsid w:val="00837E2F"/>
    <w:rPr>
      <w:sz w:val="20"/>
      <w:szCs w:val="20"/>
    </w:rPr>
  </w:style>
  <w:style w:type="paragraph" w:styleId="CommentSubject">
    <w:name w:val="annotation subject"/>
    <w:basedOn w:val="CommentText"/>
    <w:next w:val="CommentText"/>
    <w:link w:val="CommentSubjectChar"/>
    <w:uiPriority w:val="99"/>
    <w:semiHidden/>
    <w:unhideWhenUsed/>
    <w:rsid w:val="00837E2F"/>
    <w:rPr>
      <w:b/>
      <w:bCs/>
    </w:rPr>
  </w:style>
  <w:style w:type="character" w:customStyle="1" w:styleId="CommentSubjectChar">
    <w:name w:val="Comment Subject Char"/>
    <w:basedOn w:val="CommentTextChar"/>
    <w:link w:val="CommentSubject"/>
    <w:uiPriority w:val="99"/>
    <w:semiHidden/>
    <w:rsid w:val="00837E2F"/>
    <w:rPr>
      <w:b/>
      <w:bCs/>
      <w:sz w:val="20"/>
      <w:szCs w:val="20"/>
    </w:rPr>
  </w:style>
  <w:style w:type="paragraph" w:styleId="BalloonText">
    <w:name w:val="Balloon Text"/>
    <w:basedOn w:val="Normal"/>
    <w:link w:val="BalloonTextChar"/>
    <w:uiPriority w:val="99"/>
    <w:semiHidden/>
    <w:unhideWhenUsed/>
    <w:rsid w:val="0083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4688">
      <w:bodyDiv w:val="1"/>
      <w:marLeft w:val="0"/>
      <w:marRight w:val="0"/>
      <w:marTop w:val="0"/>
      <w:marBottom w:val="0"/>
      <w:divBdr>
        <w:top w:val="none" w:sz="0" w:space="0" w:color="auto"/>
        <w:left w:val="none" w:sz="0" w:space="0" w:color="auto"/>
        <w:bottom w:val="none" w:sz="0" w:space="0" w:color="auto"/>
        <w:right w:val="none" w:sz="0" w:space="0" w:color="auto"/>
      </w:divBdr>
    </w:div>
    <w:div w:id="691957726">
      <w:bodyDiv w:val="1"/>
      <w:marLeft w:val="0"/>
      <w:marRight w:val="0"/>
      <w:marTop w:val="0"/>
      <w:marBottom w:val="0"/>
      <w:divBdr>
        <w:top w:val="none" w:sz="0" w:space="0" w:color="auto"/>
        <w:left w:val="none" w:sz="0" w:space="0" w:color="auto"/>
        <w:bottom w:val="none" w:sz="0" w:space="0" w:color="auto"/>
        <w:right w:val="none" w:sz="0" w:space="0" w:color="auto"/>
      </w:divBdr>
      <w:divsChild>
        <w:div w:id="1626034251">
          <w:marLeft w:val="0"/>
          <w:marRight w:val="0"/>
          <w:marTop w:val="180"/>
          <w:marBottom w:val="0"/>
          <w:divBdr>
            <w:top w:val="none" w:sz="0" w:space="0" w:color="auto"/>
            <w:left w:val="none" w:sz="0" w:space="0" w:color="auto"/>
            <w:bottom w:val="none" w:sz="0" w:space="0" w:color="auto"/>
            <w:right w:val="none" w:sz="0" w:space="0" w:color="auto"/>
          </w:divBdr>
        </w:div>
        <w:div w:id="1662852063">
          <w:marLeft w:val="0"/>
          <w:marRight w:val="0"/>
          <w:marTop w:val="240"/>
          <w:marBottom w:val="24"/>
          <w:divBdr>
            <w:top w:val="single" w:sz="8" w:space="2" w:color="808080"/>
            <w:left w:val="none" w:sz="0" w:space="0" w:color="auto"/>
            <w:bottom w:val="none" w:sz="0" w:space="0" w:color="auto"/>
            <w:right w:val="none" w:sz="0" w:space="0" w:color="auto"/>
          </w:divBdr>
        </w:div>
        <w:div w:id="1453598584">
          <w:marLeft w:val="0"/>
          <w:marRight w:val="0"/>
          <w:marTop w:val="180"/>
          <w:marBottom w:val="0"/>
          <w:divBdr>
            <w:top w:val="none" w:sz="0" w:space="0" w:color="auto"/>
            <w:left w:val="none" w:sz="0" w:space="0" w:color="auto"/>
            <w:bottom w:val="none" w:sz="0" w:space="0" w:color="auto"/>
            <w:right w:val="none" w:sz="0" w:space="0" w:color="auto"/>
          </w:divBdr>
        </w:div>
        <w:div w:id="884758402">
          <w:marLeft w:val="0"/>
          <w:marRight w:val="0"/>
          <w:marTop w:val="180"/>
          <w:marBottom w:val="0"/>
          <w:divBdr>
            <w:top w:val="none" w:sz="0" w:space="0" w:color="auto"/>
            <w:left w:val="none" w:sz="0" w:space="0" w:color="auto"/>
            <w:bottom w:val="none" w:sz="0" w:space="0" w:color="auto"/>
            <w:right w:val="none" w:sz="0" w:space="0" w:color="auto"/>
          </w:divBdr>
        </w:div>
      </w:divsChild>
    </w:div>
    <w:div w:id="1236672279">
      <w:bodyDiv w:val="1"/>
      <w:marLeft w:val="0"/>
      <w:marRight w:val="0"/>
      <w:marTop w:val="0"/>
      <w:marBottom w:val="0"/>
      <w:divBdr>
        <w:top w:val="none" w:sz="0" w:space="0" w:color="auto"/>
        <w:left w:val="none" w:sz="0" w:space="0" w:color="auto"/>
        <w:bottom w:val="none" w:sz="0" w:space="0" w:color="auto"/>
        <w:right w:val="none" w:sz="0" w:space="0" w:color="auto"/>
      </w:divBdr>
    </w:div>
    <w:div w:id="1440568986">
      <w:bodyDiv w:val="1"/>
      <w:marLeft w:val="0"/>
      <w:marRight w:val="0"/>
      <w:marTop w:val="0"/>
      <w:marBottom w:val="0"/>
      <w:divBdr>
        <w:top w:val="none" w:sz="0" w:space="0" w:color="auto"/>
        <w:left w:val="none" w:sz="0" w:space="0" w:color="auto"/>
        <w:bottom w:val="none" w:sz="0" w:space="0" w:color="auto"/>
        <w:right w:val="none" w:sz="0" w:space="0" w:color="auto"/>
      </w:divBdr>
      <w:divsChild>
        <w:div w:id="1259366226">
          <w:marLeft w:val="0"/>
          <w:marRight w:val="0"/>
          <w:marTop w:val="120"/>
          <w:marBottom w:val="0"/>
          <w:divBdr>
            <w:top w:val="none" w:sz="0" w:space="0" w:color="auto"/>
            <w:left w:val="none" w:sz="0" w:space="0" w:color="auto"/>
            <w:bottom w:val="none" w:sz="0" w:space="0" w:color="auto"/>
            <w:right w:val="none" w:sz="0" w:space="0" w:color="auto"/>
          </w:divBdr>
        </w:div>
        <w:div w:id="1842889181">
          <w:marLeft w:val="0"/>
          <w:marRight w:val="0"/>
          <w:marTop w:val="120"/>
          <w:marBottom w:val="0"/>
          <w:divBdr>
            <w:top w:val="none" w:sz="0" w:space="0" w:color="auto"/>
            <w:left w:val="none" w:sz="0" w:space="0" w:color="auto"/>
            <w:bottom w:val="none" w:sz="0" w:space="0" w:color="auto"/>
            <w:right w:val="none" w:sz="0" w:space="0" w:color="auto"/>
          </w:divBdr>
        </w:div>
      </w:divsChild>
    </w:div>
    <w:div w:id="21208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63C1-3869-41AB-ADF8-DDD71D77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Ntsoaki Nchejane</cp:lastModifiedBy>
  <cp:revision>5</cp:revision>
  <dcterms:created xsi:type="dcterms:W3CDTF">2022-07-14T09:03:00Z</dcterms:created>
  <dcterms:modified xsi:type="dcterms:W3CDTF">2022-07-14T10:27:00Z</dcterms:modified>
</cp:coreProperties>
</file>