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40333" w14:textId="77777777" w:rsidR="00834AD8" w:rsidRPr="004B3F4C" w:rsidRDefault="00834AD8" w:rsidP="00D54F44">
      <w:pPr>
        <w:pStyle w:val="BodyA"/>
        <w:spacing w:after="0" w:line="360" w:lineRule="auto"/>
        <w:jc w:val="right"/>
        <w:rPr>
          <w:rFonts w:ascii="Times New Roman" w:eastAsia="Times New Roman" w:hAnsi="Times New Roman" w:cs="Times New Roman"/>
          <w:lang w:val="en-ZA"/>
        </w:rPr>
      </w:pPr>
    </w:p>
    <w:p w14:paraId="44EBB716" w14:textId="77777777" w:rsidR="00C24251" w:rsidRPr="00C85625" w:rsidRDefault="00C24251" w:rsidP="00C24251">
      <w:pPr>
        <w:pStyle w:val="Pa3"/>
        <w:jc w:val="center"/>
        <w:rPr>
          <w:rStyle w:val="A0"/>
          <w:b w:val="0"/>
          <w:bCs w:val="0"/>
        </w:rPr>
      </w:pPr>
      <w:bookmarkStart w:id="0" w:name="OLE_LINK1"/>
      <w:r>
        <w:rPr>
          <w:noProof/>
          <w:lang w:val="en-ZA" w:eastAsia="en-ZA"/>
        </w:rPr>
        <w:drawing>
          <wp:inline distT="0" distB="0" distL="0" distR="0" wp14:anchorId="11C50033" wp14:editId="4DA569FC">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21DB8EB3" w14:textId="77777777" w:rsidR="00C24251" w:rsidRPr="00C85625" w:rsidRDefault="00C24251" w:rsidP="00C24251">
      <w:pPr>
        <w:pStyle w:val="Pa3"/>
        <w:jc w:val="center"/>
        <w:rPr>
          <w:rStyle w:val="A0"/>
          <w:b w:val="0"/>
          <w:bCs w:val="0"/>
        </w:rPr>
      </w:pPr>
    </w:p>
    <w:p w14:paraId="7EFE3C58" w14:textId="77777777" w:rsidR="00C24251" w:rsidRPr="00312DBB" w:rsidRDefault="00C24251" w:rsidP="00C24251">
      <w:pPr>
        <w:pStyle w:val="Pa3"/>
        <w:spacing w:line="360" w:lineRule="auto"/>
        <w:jc w:val="center"/>
        <w:rPr>
          <w:rStyle w:val="A0"/>
          <w:rFonts w:ascii="Times New Roman" w:hAnsi="Times New Roman"/>
          <w:sz w:val="28"/>
          <w:szCs w:val="28"/>
        </w:rPr>
      </w:pPr>
      <w:r w:rsidRPr="00312DBB">
        <w:rPr>
          <w:rStyle w:val="A0"/>
          <w:rFonts w:ascii="Times New Roman" w:hAnsi="Times New Roman"/>
          <w:sz w:val="28"/>
          <w:szCs w:val="28"/>
        </w:rPr>
        <w:t>THE SUPREME COURT OF APPEAL OF SOUTH AFRICA</w:t>
      </w:r>
    </w:p>
    <w:p w14:paraId="7A5DFB92" w14:textId="77777777" w:rsidR="00C24251" w:rsidRPr="00C63D6C" w:rsidRDefault="00C24251" w:rsidP="00C24251">
      <w:pPr>
        <w:jc w:val="center"/>
        <w:rPr>
          <w:b/>
          <w:sz w:val="28"/>
        </w:rPr>
      </w:pPr>
      <w:r w:rsidRPr="00C63D6C">
        <w:rPr>
          <w:b/>
          <w:sz w:val="28"/>
        </w:rPr>
        <w:t>JUDGMENT</w:t>
      </w:r>
    </w:p>
    <w:p w14:paraId="0288F6C5" w14:textId="77777777" w:rsidR="00C24251" w:rsidRPr="00312DBB" w:rsidRDefault="00C24251" w:rsidP="00C24251">
      <w:pPr>
        <w:jc w:val="center"/>
        <w:rPr>
          <w:sz w:val="16"/>
          <w:szCs w:val="16"/>
        </w:rPr>
      </w:pPr>
    </w:p>
    <w:bookmarkEnd w:id="0"/>
    <w:p w14:paraId="5B6F983D" w14:textId="42C689F8" w:rsidR="00C24251" w:rsidRPr="00917FC2" w:rsidRDefault="00585A55" w:rsidP="00761150">
      <w:pPr>
        <w:jc w:val="right"/>
        <w:rPr>
          <w:b/>
          <w:sz w:val="28"/>
          <w:szCs w:val="28"/>
        </w:rPr>
      </w:pPr>
      <w:r w:rsidRPr="00917FC2">
        <w:rPr>
          <w:b/>
          <w:bCs/>
          <w:sz w:val="28"/>
          <w:szCs w:val="28"/>
        </w:rPr>
        <w:t>Not r</w:t>
      </w:r>
      <w:r w:rsidR="00C24251" w:rsidRPr="00917FC2">
        <w:rPr>
          <w:b/>
          <w:bCs/>
          <w:sz w:val="28"/>
          <w:szCs w:val="28"/>
        </w:rPr>
        <w:t>eportable</w:t>
      </w:r>
    </w:p>
    <w:p w14:paraId="4F90F8C3" w14:textId="68F7AEBC" w:rsidR="00C24251" w:rsidRPr="00917FC2" w:rsidRDefault="00C24251" w:rsidP="00761150">
      <w:pPr>
        <w:jc w:val="right"/>
        <w:rPr>
          <w:sz w:val="28"/>
          <w:szCs w:val="28"/>
        </w:rPr>
      </w:pPr>
      <w:r w:rsidRPr="00917FC2">
        <w:rPr>
          <w:b/>
          <w:sz w:val="28"/>
          <w:szCs w:val="28"/>
        </w:rPr>
        <w:tab/>
      </w:r>
      <w:r w:rsidRPr="00917FC2">
        <w:rPr>
          <w:sz w:val="28"/>
          <w:szCs w:val="28"/>
        </w:rPr>
        <w:t xml:space="preserve">     Case No: </w:t>
      </w:r>
      <w:r w:rsidR="003C4AB9" w:rsidRPr="00917FC2">
        <w:rPr>
          <w:sz w:val="28"/>
          <w:szCs w:val="28"/>
        </w:rPr>
        <w:t>770/2021</w:t>
      </w:r>
    </w:p>
    <w:p w14:paraId="43927E04" w14:textId="77777777" w:rsidR="00C24251" w:rsidRPr="00917FC2" w:rsidRDefault="00C24251" w:rsidP="00D54F44">
      <w:pPr>
        <w:pStyle w:val="BodyA"/>
        <w:spacing w:after="0" w:line="360" w:lineRule="auto"/>
        <w:rPr>
          <w:rFonts w:ascii="Times New Roman" w:hAnsi="Times New Roman" w:cs="Times New Roman"/>
          <w:b/>
          <w:bCs/>
          <w:sz w:val="28"/>
          <w:szCs w:val="28"/>
          <w:lang w:val="en-ZA"/>
        </w:rPr>
      </w:pPr>
    </w:p>
    <w:p w14:paraId="25570113" w14:textId="5257C2B4" w:rsidR="00D54F44" w:rsidRPr="00917FC2" w:rsidRDefault="00C867F9" w:rsidP="00D54F44">
      <w:pPr>
        <w:pStyle w:val="BodyA"/>
        <w:spacing w:after="0" w:line="360" w:lineRule="auto"/>
        <w:rPr>
          <w:rFonts w:ascii="Times New Roman" w:hAnsi="Times New Roman" w:cs="Times New Roman"/>
          <w:bCs/>
          <w:sz w:val="28"/>
          <w:szCs w:val="28"/>
          <w:lang w:val="en-ZA"/>
        </w:rPr>
      </w:pPr>
      <w:r w:rsidRPr="00917FC2">
        <w:rPr>
          <w:rFonts w:ascii="Times New Roman" w:hAnsi="Times New Roman" w:cs="Times New Roman"/>
          <w:bCs/>
          <w:sz w:val="28"/>
          <w:szCs w:val="28"/>
          <w:lang w:val="en-ZA"/>
        </w:rPr>
        <w:t>In the matter between</w:t>
      </w:r>
      <w:r w:rsidR="00CD6F0E" w:rsidRPr="00917FC2">
        <w:rPr>
          <w:rFonts w:ascii="Times New Roman" w:hAnsi="Times New Roman" w:cs="Times New Roman"/>
          <w:bCs/>
          <w:sz w:val="28"/>
          <w:szCs w:val="28"/>
          <w:lang w:val="en-ZA"/>
        </w:rPr>
        <w:t>:</w:t>
      </w:r>
    </w:p>
    <w:p w14:paraId="41D87BCE" w14:textId="77777777" w:rsidR="00C867F9" w:rsidRPr="00917FC2" w:rsidRDefault="00C867F9">
      <w:pPr>
        <w:pStyle w:val="BodyA"/>
        <w:spacing w:after="0" w:line="360" w:lineRule="auto"/>
        <w:ind w:right="-180"/>
        <w:rPr>
          <w:rFonts w:ascii="Times New Roman" w:hAnsi="Times New Roman" w:cs="Times New Roman"/>
          <w:b/>
          <w:bCs/>
          <w:sz w:val="28"/>
          <w:szCs w:val="28"/>
          <w:lang w:val="en-ZA"/>
        </w:rPr>
      </w:pPr>
    </w:p>
    <w:p w14:paraId="0E2DD687" w14:textId="35C3B3E2" w:rsidR="00276D89" w:rsidRPr="00917FC2" w:rsidRDefault="00D909A0">
      <w:pPr>
        <w:pStyle w:val="BodyA"/>
        <w:spacing w:after="0" w:line="360" w:lineRule="auto"/>
        <w:ind w:right="-180"/>
        <w:rPr>
          <w:rFonts w:ascii="Times New Roman" w:eastAsia="Times New Roman" w:hAnsi="Times New Roman" w:cs="Times New Roman"/>
          <w:b/>
          <w:bCs/>
          <w:sz w:val="28"/>
          <w:szCs w:val="28"/>
          <w:lang w:val="en-ZA"/>
        </w:rPr>
      </w:pPr>
      <w:r w:rsidRPr="00917FC2">
        <w:rPr>
          <w:rFonts w:ascii="Times New Roman" w:hAnsi="Times New Roman" w:cs="Times New Roman"/>
          <w:b/>
          <w:bCs/>
          <w:sz w:val="28"/>
          <w:szCs w:val="28"/>
          <w:lang w:val="en-ZA"/>
        </w:rPr>
        <w:t>LIND</w:t>
      </w:r>
      <w:r w:rsidR="001D1C1A" w:rsidRPr="00917FC2">
        <w:rPr>
          <w:rFonts w:ascii="Times New Roman" w:hAnsi="Times New Roman" w:cs="Times New Roman"/>
          <w:b/>
          <w:bCs/>
          <w:sz w:val="28"/>
          <w:szCs w:val="28"/>
          <w:lang w:val="en-ZA"/>
        </w:rPr>
        <w:t>O</w:t>
      </w:r>
      <w:r w:rsidRPr="00917FC2">
        <w:rPr>
          <w:rFonts w:ascii="Times New Roman" w:hAnsi="Times New Roman" w:cs="Times New Roman"/>
          <w:b/>
          <w:bCs/>
          <w:sz w:val="28"/>
          <w:szCs w:val="28"/>
          <w:lang w:val="en-ZA"/>
        </w:rPr>
        <w:t xml:space="preserve">N </w:t>
      </w:r>
      <w:r w:rsidR="00545B44" w:rsidRPr="00917FC2">
        <w:rPr>
          <w:rFonts w:ascii="Times New Roman" w:hAnsi="Times New Roman" w:cs="Times New Roman"/>
          <w:b/>
          <w:bCs/>
          <w:sz w:val="28"/>
          <w:szCs w:val="28"/>
          <w:lang w:val="en-ZA"/>
        </w:rPr>
        <w:t xml:space="preserve">CLIFFORD LEYSATH </w:t>
      </w:r>
      <w:r w:rsidR="00D54F44" w:rsidRPr="00917FC2">
        <w:rPr>
          <w:rFonts w:ascii="Times New Roman" w:hAnsi="Times New Roman" w:cs="Times New Roman"/>
          <w:b/>
          <w:bCs/>
          <w:sz w:val="28"/>
          <w:szCs w:val="28"/>
          <w:lang w:val="en-ZA"/>
        </w:rPr>
        <w:tab/>
        <w:t xml:space="preserve">    </w:t>
      </w:r>
      <w:r w:rsidR="00545B44" w:rsidRPr="00917FC2">
        <w:rPr>
          <w:rFonts w:ascii="Times New Roman" w:hAnsi="Times New Roman" w:cs="Times New Roman"/>
          <w:b/>
          <w:bCs/>
          <w:sz w:val="28"/>
          <w:szCs w:val="28"/>
          <w:lang w:val="en-ZA"/>
        </w:rPr>
        <w:t xml:space="preserve">   </w:t>
      </w:r>
      <w:r w:rsidR="00D54F44" w:rsidRPr="00917FC2">
        <w:rPr>
          <w:rFonts w:ascii="Times New Roman" w:hAnsi="Times New Roman" w:cs="Times New Roman"/>
          <w:b/>
          <w:bCs/>
          <w:sz w:val="28"/>
          <w:szCs w:val="28"/>
          <w:lang w:val="en-ZA"/>
        </w:rPr>
        <w:t xml:space="preserve">   </w:t>
      </w:r>
      <w:r w:rsidRPr="00917FC2">
        <w:rPr>
          <w:rFonts w:ascii="Times New Roman" w:hAnsi="Times New Roman" w:cs="Times New Roman"/>
          <w:b/>
          <w:bCs/>
          <w:sz w:val="28"/>
          <w:szCs w:val="28"/>
          <w:lang w:val="en-ZA"/>
        </w:rPr>
        <w:tab/>
      </w:r>
      <w:r w:rsidR="00C24251" w:rsidRPr="00917FC2">
        <w:rPr>
          <w:rFonts w:ascii="Times New Roman" w:hAnsi="Times New Roman" w:cs="Times New Roman"/>
          <w:b/>
          <w:bCs/>
          <w:sz w:val="28"/>
          <w:szCs w:val="28"/>
          <w:lang w:val="en-ZA"/>
        </w:rPr>
        <w:t xml:space="preserve">  </w:t>
      </w:r>
      <w:r w:rsidR="00926AB2" w:rsidRPr="00917FC2">
        <w:rPr>
          <w:rFonts w:ascii="Times New Roman" w:hAnsi="Times New Roman" w:cs="Times New Roman"/>
          <w:b/>
          <w:bCs/>
          <w:sz w:val="28"/>
          <w:szCs w:val="28"/>
          <w:lang w:val="en-ZA"/>
        </w:rPr>
        <w:t xml:space="preserve">    </w:t>
      </w:r>
      <w:r w:rsidR="00AF60DB" w:rsidRPr="00917FC2">
        <w:rPr>
          <w:rFonts w:ascii="Times New Roman" w:hAnsi="Times New Roman" w:cs="Times New Roman"/>
          <w:b/>
          <w:bCs/>
          <w:sz w:val="28"/>
          <w:szCs w:val="28"/>
          <w:lang w:val="en-ZA"/>
        </w:rPr>
        <w:t xml:space="preserve">                              </w:t>
      </w:r>
      <w:r w:rsidR="001D1C1A" w:rsidRPr="00917FC2">
        <w:rPr>
          <w:rFonts w:ascii="Times New Roman" w:hAnsi="Times New Roman" w:cs="Times New Roman"/>
          <w:b/>
          <w:bCs/>
          <w:sz w:val="28"/>
          <w:szCs w:val="28"/>
          <w:lang w:val="en-ZA"/>
        </w:rPr>
        <w:t xml:space="preserve"> </w:t>
      </w:r>
      <w:r w:rsidR="00C63D6C" w:rsidRPr="00917FC2">
        <w:rPr>
          <w:rFonts w:ascii="Times New Roman" w:hAnsi="Times New Roman" w:cs="Times New Roman"/>
          <w:b/>
          <w:bCs/>
          <w:sz w:val="28"/>
          <w:szCs w:val="28"/>
          <w:lang w:val="en-ZA"/>
        </w:rPr>
        <w:t xml:space="preserve">   </w:t>
      </w:r>
      <w:r w:rsidR="00DA1E7B" w:rsidRPr="00917FC2">
        <w:rPr>
          <w:rFonts w:ascii="Times New Roman" w:hAnsi="Times New Roman" w:cs="Times New Roman"/>
          <w:b/>
          <w:bCs/>
          <w:sz w:val="28"/>
          <w:szCs w:val="28"/>
          <w:lang w:val="en-ZA"/>
        </w:rPr>
        <w:t>APP</w:t>
      </w:r>
      <w:r w:rsidRPr="00917FC2">
        <w:rPr>
          <w:rFonts w:ascii="Times New Roman" w:hAnsi="Times New Roman" w:cs="Times New Roman"/>
          <w:b/>
          <w:bCs/>
          <w:sz w:val="28"/>
          <w:szCs w:val="28"/>
          <w:lang w:val="en-ZA"/>
        </w:rPr>
        <w:t>ELLANT</w:t>
      </w:r>
    </w:p>
    <w:p w14:paraId="0F8BC40D" w14:textId="77777777" w:rsidR="00D54F44" w:rsidRPr="00917FC2" w:rsidRDefault="00D54F44" w:rsidP="00D54F44">
      <w:pPr>
        <w:pStyle w:val="BodyA"/>
        <w:spacing w:after="0" w:line="360" w:lineRule="auto"/>
        <w:rPr>
          <w:rFonts w:ascii="Times New Roman" w:eastAsia="Times New Roman" w:hAnsi="Times New Roman" w:cs="Times New Roman"/>
          <w:b/>
          <w:bCs/>
          <w:sz w:val="28"/>
          <w:szCs w:val="28"/>
          <w:lang w:val="en-ZA"/>
        </w:rPr>
      </w:pPr>
    </w:p>
    <w:p w14:paraId="7FECD360" w14:textId="26A2015B" w:rsidR="00834AD8" w:rsidRPr="00917FC2" w:rsidRDefault="00276D89" w:rsidP="00D54F44">
      <w:pPr>
        <w:pStyle w:val="BodyA"/>
        <w:spacing w:after="0" w:line="360" w:lineRule="auto"/>
        <w:rPr>
          <w:rFonts w:ascii="Times New Roman" w:eastAsia="Times New Roman" w:hAnsi="Times New Roman" w:cs="Times New Roman"/>
          <w:bCs/>
          <w:sz w:val="28"/>
          <w:szCs w:val="28"/>
          <w:lang w:val="en-ZA"/>
        </w:rPr>
      </w:pPr>
      <w:r w:rsidRPr="00917FC2">
        <w:rPr>
          <w:rFonts w:ascii="Times New Roman" w:eastAsia="Times New Roman" w:hAnsi="Times New Roman" w:cs="Times New Roman"/>
          <w:bCs/>
          <w:sz w:val="28"/>
          <w:szCs w:val="28"/>
          <w:lang w:val="en-ZA"/>
        </w:rPr>
        <w:t>a</w:t>
      </w:r>
      <w:r w:rsidR="00D54F44" w:rsidRPr="00917FC2">
        <w:rPr>
          <w:rFonts w:ascii="Times New Roman" w:eastAsia="Times New Roman" w:hAnsi="Times New Roman" w:cs="Times New Roman"/>
          <w:bCs/>
          <w:sz w:val="28"/>
          <w:szCs w:val="28"/>
          <w:lang w:val="en-ZA"/>
        </w:rPr>
        <w:t xml:space="preserve">nd </w:t>
      </w:r>
    </w:p>
    <w:p w14:paraId="6ECD3197" w14:textId="77777777" w:rsidR="007356EB" w:rsidRPr="00917FC2" w:rsidRDefault="007356EB" w:rsidP="00D54F44">
      <w:pPr>
        <w:pStyle w:val="BodyA"/>
        <w:spacing w:after="0" w:line="360" w:lineRule="auto"/>
        <w:rPr>
          <w:rFonts w:ascii="Times New Roman" w:hAnsi="Times New Roman" w:cs="Times New Roman"/>
          <w:b/>
          <w:bCs/>
          <w:sz w:val="28"/>
          <w:szCs w:val="28"/>
          <w:lang w:val="en-ZA"/>
        </w:rPr>
      </w:pPr>
    </w:p>
    <w:p w14:paraId="3BE8E1F1" w14:textId="4452FCE8" w:rsidR="00D909A0" w:rsidRPr="00917FC2" w:rsidRDefault="00D909A0" w:rsidP="00D54F44">
      <w:pPr>
        <w:pStyle w:val="BodyA"/>
        <w:spacing w:after="0" w:line="360" w:lineRule="auto"/>
        <w:rPr>
          <w:rFonts w:ascii="Times New Roman" w:hAnsi="Times New Roman" w:cs="Times New Roman"/>
          <w:b/>
          <w:bCs/>
          <w:sz w:val="28"/>
          <w:szCs w:val="28"/>
          <w:lang w:val="en-ZA"/>
        </w:rPr>
      </w:pPr>
      <w:r w:rsidRPr="00917FC2">
        <w:rPr>
          <w:rFonts w:ascii="Times New Roman" w:hAnsi="Times New Roman" w:cs="Times New Roman"/>
          <w:b/>
          <w:bCs/>
          <w:sz w:val="28"/>
          <w:szCs w:val="28"/>
          <w:lang w:val="en-ZA"/>
        </w:rPr>
        <w:t>LEGAL PRACTITIONER</w:t>
      </w:r>
      <w:r w:rsidR="0050467E" w:rsidRPr="00917FC2">
        <w:rPr>
          <w:rFonts w:ascii="Times New Roman" w:hAnsi="Times New Roman" w:cs="Times New Roman"/>
          <w:b/>
          <w:bCs/>
          <w:sz w:val="28"/>
          <w:szCs w:val="28"/>
          <w:lang w:val="en-ZA"/>
        </w:rPr>
        <w:t>S</w:t>
      </w:r>
      <w:r w:rsidR="007373FE" w:rsidRPr="00917FC2">
        <w:rPr>
          <w:rFonts w:ascii="Times New Roman" w:hAnsi="Times New Roman" w:cs="Times New Roman"/>
          <w:b/>
          <w:bCs/>
          <w:sz w:val="28"/>
          <w:szCs w:val="28"/>
          <w:lang w:val="en-ZA"/>
        </w:rPr>
        <w:t>’</w:t>
      </w:r>
      <w:r w:rsidRPr="00917FC2">
        <w:rPr>
          <w:rFonts w:ascii="Times New Roman" w:hAnsi="Times New Roman" w:cs="Times New Roman"/>
          <w:b/>
          <w:bCs/>
          <w:sz w:val="28"/>
          <w:szCs w:val="28"/>
          <w:lang w:val="en-ZA"/>
        </w:rPr>
        <w:t xml:space="preserve"> FIDELITY FUND </w:t>
      </w:r>
    </w:p>
    <w:p w14:paraId="7030B403" w14:textId="11C55671" w:rsidR="00834AD8" w:rsidRPr="00917FC2" w:rsidRDefault="00D909A0" w:rsidP="001D1C1A">
      <w:pPr>
        <w:pStyle w:val="BodyA"/>
        <w:spacing w:after="0" w:line="360" w:lineRule="auto"/>
        <w:ind w:right="-180"/>
        <w:rPr>
          <w:rFonts w:ascii="Times New Roman" w:hAnsi="Times New Roman" w:cs="Times New Roman"/>
          <w:b/>
          <w:bCs/>
          <w:sz w:val="28"/>
          <w:szCs w:val="28"/>
          <w:lang w:val="en-ZA"/>
        </w:rPr>
      </w:pPr>
      <w:r w:rsidRPr="00917FC2">
        <w:rPr>
          <w:rFonts w:ascii="Times New Roman" w:hAnsi="Times New Roman" w:cs="Times New Roman"/>
          <w:b/>
          <w:bCs/>
          <w:sz w:val="28"/>
          <w:szCs w:val="28"/>
          <w:lang w:val="en-ZA"/>
        </w:rPr>
        <w:t>BOARD OF CONTROL</w:t>
      </w:r>
      <w:r w:rsidR="00D54F44" w:rsidRPr="00917FC2">
        <w:rPr>
          <w:rFonts w:ascii="Times New Roman" w:hAnsi="Times New Roman" w:cs="Times New Roman"/>
          <w:b/>
          <w:bCs/>
          <w:sz w:val="28"/>
          <w:szCs w:val="28"/>
          <w:lang w:val="en-ZA"/>
        </w:rPr>
        <w:t xml:space="preserve"> </w:t>
      </w:r>
      <w:r w:rsidRPr="00917FC2">
        <w:rPr>
          <w:rFonts w:ascii="Times New Roman" w:hAnsi="Times New Roman" w:cs="Times New Roman"/>
          <w:b/>
          <w:bCs/>
          <w:sz w:val="28"/>
          <w:szCs w:val="28"/>
          <w:lang w:val="en-ZA"/>
        </w:rPr>
        <w:tab/>
      </w:r>
      <w:r w:rsidRPr="00917FC2">
        <w:rPr>
          <w:rFonts w:ascii="Times New Roman" w:hAnsi="Times New Roman" w:cs="Times New Roman"/>
          <w:b/>
          <w:bCs/>
          <w:sz w:val="28"/>
          <w:szCs w:val="28"/>
          <w:lang w:val="en-ZA"/>
        </w:rPr>
        <w:tab/>
      </w:r>
      <w:r w:rsidRPr="00917FC2">
        <w:rPr>
          <w:rFonts w:ascii="Times New Roman" w:hAnsi="Times New Roman" w:cs="Times New Roman"/>
          <w:b/>
          <w:bCs/>
          <w:sz w:val="28"/>
          <w:szCs w:val="28"/>
          <w:lang w:val="en-ZA"/>
        </w:rPr>
        <w:tab/>
      </w:r>
      <w:r w:rsidRPr="00917FC2">
        <w:rPr>
          <w:rFonts w:ascii="Times New Roman" w:hAnsi="Times New Roman" w:cs="Times New Roman"/>
          <w:b/>
          <w:bCs/>
          <w:sz w:val="28"/>
          <w:szCs w:val="28"/>
          <w:lang w:val="en-ZA"/>
        </w:rPr>
        <w:tab/>
      </w:r>
      <w:r w:rsidRPr="00917FC2">
        <w:rPr>
          <w:rFonts w:ascii="Times New Roman" w:hAnsi="Times New Roman" w:cs="Times New Roman"/>
          <w:b/>
          <w:bCs/>
          <w:sz w:val="28"/>
          <w:szCs w:val="28"/>
          <w:lang w:val="en-ZA"/>
        </w:rPr>
        <w:tab/>
      </w:r>
      <w:r w:rsidRPr="00917FC2">
        <w:rPr>
          <w:rFonts w:ascii="Times New Roman" w:hAnsi="Times New Roman" w:cs="Times New Roman"/>
          <w:b/>
          <w:bCs/>
          <w:sz w:val="28"/>
          <w:szCs w:val="28"/>
          <w:lang w:val="en-ZA"/>
        </w:rPr>
        <w:tab/>
      </w:r>
      <w:r w:rsidR="00DA1E7B" w:rsidRPr="00917FC2">
        <w:rPr>
          <w:rFonts w:ascii="Times New Roman" w:hAnsi="Times New Roman" w:cs="Times New Roman"/>
          <w:b/>
          <w:bCs/>
          <w:sz w:val="28"/>
          <w:szCs w:val="28"/>
          <w:lang w:val="en-ZA"/>
        </w:rPr>
        <w:t xml:space="preserve"> </w:t>
      </w:r>
      <w:r w:rsidR="00926AB2" w:rsidRPr="00917FC2">
        <w:rPr>
          <w:rFonts w:ascii="Times New Roman" w:hAnsi="Times New Roman" w:cs="Times New Roman"/>
          <w:b/>
          <w:bCs/>
          <w:sz w:val="28"/>
          <w:szCs w:val="28"/>
          <w:lang w:val="en-ZA"/>
        </w:rPr>
        <w:t xml:space="preserve">  </w:t>
      </w:r>
      <w:r w:rsidR="00C63D6C" w:rsidRPr="00917FC2">
        <w:rPr>
          <w:rFonts w:ascii="Times New Roman" w:hAnsi="Times New Roman" w:cs="Times New Roman"/>
          <w:b/>
          <w:bCs/>
          <w:sz w:val="28"/>
          <w:szCs w:val="28"/>
          <w:lang w:val="en-ZA"/>
        </w:rPr>
        <w:t xml:space="preserve">   </w:t>
      </w:r>
      <w:r w:rsidR="00DA1E7B" w:rsidRPr="00917FC2">
        <w:rPr>
          <w:rFonts w:ascii="Times New Roman" w:hAnsi="Times New Roman" w:cs="Times New Roman"/>
          <w:b/>
          <w:bCs/>
          <w:sz w:val="28"/>
          <w:szCs w:val="28"/>
          <w:lang w:val="en-ZA"/>
        </w:rPr>
        <w:t>RESPONDENT</w:t>
      </w:r>
    </w:p>
    <w:p w14:paraId="1776D2A6" w14:textId="77777777" w:rsidR="00274A7A" w:rsidRPr="00917FC2" w:rsidRDefault="00274A7A" w:rsidP="00D54F44">
      <w:pPr>
        <w:pStyle w:val="BodyA"/>
        <w:spacing w:after="0" w:line="360" w:lineRule="auto"/>
        <w:rPr>
          <w:rFonts w:ascii="Times New Roman" w:hAnsi="Times New Roman" w:cs="Times New Roman"/>
          <w:b/>
          <w:bCs/>
          <w:sz w:val="28"/>
          <w:szCs w:val="28"/>
          <w:lang w:val="en-ZA"/>
        </w:rPr>
      </w:pPr>
    </w:p>
    <w:p w14:paraId="62003069" w14:textId="4459ED4E" w:rsidR="00274A7A" w:rsidRPr="00917FC2" w:rsidRDefault="00274A7A" w:rsidP="00761150">
      <w:pPr>
        <w:tabs>
          <w:tab w:val="left" w:pos="2268"/>
        </w:tabs>
        <w:ind w:left="2160" w:right="26" w:hanging="2160"/>
        <w:rPr>
          <w:bCs/>
          <w:sz w:val="28"/>
          <w:szCs w:val="28"/>
        </w:rPr>
      </w:pPr>
      <w:r w:rsidRPr="00917FC2">
        <w:rPr>
          <w:b/>
          <w:bCs/>
          <w:sz w:val="28"/>
          <w:szCs w:val="28"/>
        </w:rPr>
        <w:t>Neutral Citation:</w:t>
      </w:r>
      <w:r w:rsidR="00926AB2" w:rsidRPr="00917FC2">
        <w:rPr>
          <w:b/>
          <w:bCs/>
          <w:sz w:val="28"/>
          <w:szCs w:val="28"/>
        </w:rPr>
        <w:tab/>
      </w:r>
      <w:bookmarkStart w:id="1" w:name="_GoBack"/>
      <w:r w:rsidR="0050467E" w:rsidRPr="00917FC2">
        <w:rPr>
          <w:bCs/>
          <w:i/>
          <w:sz w:val="28"/>
          <w:szCs w:val="28"/>
        </w:rPr>
        <w:t xml:space="preserve">Leysath v </w:t>
      </w:r>
      <w:r w:rsidRPr="00917FC2">
        <w:rPr>
          <w:bCs/>
          <w:i/>
          <w:sz w:val="28"/>
          <w:szCs w:val="28"/>
        </w:rPr>
        <w:t>Legal Practitioners</w:t>
      </w:r>
      <w:r w:rsidR="00DE22BF" w:rsidRPr="00917FC2">
        <w:rPr>
          <w:bCs/>
          <w:i/>
          <w:sz w:val="28"/>
          <w:szCs w:val="28"/>
        </w:rPr>
        <w:t>’</w:t>
      </w:r>
      <w:r w:rsidRPr="00917FC2">
        <w:rPr>
          <w:bCs/>
          <w:i/>
          <w:sz w:val="28"/>
          <w:szCs w:val="28"/>
        </w:rPr>
        <w:t xml:space="preserve"> Fidelity Fund Board of Control</w:t>
      </w:r>
      <w:r w:rsidR="00276D89" w:rsidRPr="00917FC2">
        <w:rPr>
          <w:bCs/>
          <w:i/>
          <w:sz w:val="28"/>
          <w:szCs w:val="28"/>
        </w:rPr>
        <w:t xml:space="preserve"> </w:t>
      </w:r>
      <w:bookmarkEnd w:id="1"/>
      <w:r w:rsidRPr="00917FC2">
        <w:rPr>
          <w:bCs/>
          <w:sz w:val="28"/>
          <w:szCs w:val="28"/>
        </w:rPr>
        <w:t xml:space="preserve">(770/2021) [2022] ZASCA </w:t>
      </w:r>
      <w:r w:rsidR="00291D01">
        <w:rPr>
          <w:bCs/>
          <w:sz w:val="28"/>
          <w:szCs w:val="28"/>
        </w:rPr>
        <w:t>115</w:t>
      </w:r>
      <w:r w:rsidRPr="00917FC2">
        <w:rPr>
          <w:bCs/>
          <w:sz w:val="28"/>
          <w:szCs w:val="28"/>
        </w:rPr>
        <w:t xml:space="preserve"> (</w:t>
      </w:r>
      <w:r w:rsidR="00917FC2">
        <w:rPr>
          <w:bCs/>
          <w:sz w:val="28"/>
          <w:szCs w:val="28"/>
        </w:rPr>
        <w:t>28</w:t>
      </w:r>
      <w:r w:rsidRPr="00917FC2">
        <w:rPr>
          <w:bCs/>
          <w:sz w:val="28"/>
          <w:szCs w:val="28"/>
        </w:rPr>
        <w:t xml:space="preserve"> July 2022)</w:t>
      </w:r>
    </w:p>
    <w:p w14:paraId="0213BD78" w14:textId="77777777" w:rsidR="00FD4F20" w:rsidRPr="00917FC2" w:rsidRDefault="00FD4F20" w:rsidP="00C63D6C">
      <w:pPr>
        <w:tabs>
          <w:tab w:val="left" w:pos="2268"/>
        </w:tabs>
        <w:spacing w:line="240" w:lineRule="auto"/>
        <w:ind w:left="2160" w:right="26" w:hanging="2160"/>
        <w:rPr>
          <w:bCs/>
          <w:sz w:val="28"/>
          <w:szCs w:val="28"/>
        </w:rPr>
      </w:pPr>
    </w:p>
    <w:p w14:paraId="18316742" w14:textId="3FB73615" w:rsidR="00276D89" w:rsidRPr="00917FC2" w:rsidRDefault="00274A7A" w:rsidP="00C867F9">
      <w:pPr>
        <w:tabs>
          <w:tab w:val="left" w:pos="-1440"/>
        </w:tabs>
        <w:spacing w:before="120"/>
        <w:ind w:left="2160" w:hanging="2160"/>
        <w:rPr>
          <w:bCs/>
          <w:sz w:val="28"/>
          <w:szCs w:val="28"/>
        </w:rPr>
      </w:pPr>
      <w:r w:rsidRPr="00917FC2">
        <w:rPr>
          <w:b/>
          <w:bCs/>
          <w:sz w:val="28"/>
          <w:szCs w:val="28"/>
        </w:rPr>
        <w:t>Coram:</w:t>
      </w:r>
      <w:r w:rsidRPr="00917FC2">
        <w:rPr>
          <w:bCs/>
          <w:sz w:val="28"/>
          <w:szCs w:val="28"/>
        </w:rPr>
        <w:tab/>
        <w:t xml:space="preserve">PETSE DP, ZONDI </w:t>
      </w:r>
      <w:r w:rsidR="00024D21" w:rsidRPr="00917FC2">
        <w:rPr>
          <w:bCs/>
          <w:sz w:val="28"/>
          <w:szCs w:val="28"/>
        </w:rPr>
        <w:t>and MABINDLA-BOQWANA</w:t>
      </w:r>
      <w:r w:rsidRPr="00917FC2">
        <w:rPr>
          <w:bCs/>
          <w:sz w:val="28"/>
          <w:szCs w:val="28"/>
        </w:rPr>
        <w:t xml:space="preserve"> JJA and SMITH and SAVAGE AJJA</w:t>
      </w:r>
    </w:p>
    <w:p w14:paraId="4A584D48" w14:textId="77777777" w:rsidR="00FD4F20" w:rsidRPr="00917FC2" w:rsidRDefault="00FD4F20" w:rsidP="00C63D6C">
      <w:pPr>
        <w:tabs>
          <w:tab w:val="left" w:pos="-1440"/>
        </w:tabs>
        <w:spacing w:line="240" w:lineRule="auto"/>
        <w:ind w:left="2160" w:hanging="2160"/>
        <w:rPr>
          <w:bCs/>
          <w:sz w:val="28"/>
          <w:szCs w:val="28"/>
        </w:rPr>
      </w:pPr>
    </w:p>
    <w:p w14:paraId="1CB1B7E7" w14:textId="72A2A70E" w:rsidR="00274A7A" w:rsidRPr="00917FC2" w:rsidRDefault="00274A7A" w:rsidP="00761150">
      <w:pPr>
        <w:tabs>
          <w:tab w:val="left" w:pos="-1440"/>
        </w:tabs>
        <w:spacing w:before="120"/>
        <w:ind w:right="-329"/>
        <w:rPr>
          <w:bCs/>
          <w:sz w:val="28"/>
          <w:szCs w:val="28"/>
        </w:rPr>
      </w:pPr>
      <w:r w:rsidRPr="00917FC2">
        <w:rPr>
          <w:b/>
          <w:bCs/>
          <w:sz w:val="28"/>
          <w:szCs w:val="28"/>
        </w:rPr>
        <w:t>Heard:</w:t>
      </w:r>
      <w:r w:rsidRPr="00917FC2">
        <w:rPr>
          <w:bCs/>
          <w:sz w:val="28"/>
          <w:szCs w:val="28"/>
        </w:rPr>
        <w:tab/>
      </w:r>
      <w:r w:rsidR="00C867F9" w:rsidRPr="00917FC2">
        <w:rPr>
          <w:bCs/>
          <w:sz w:val="28"/>
          <w:szCs w:val="28"/>
        </w:rPr>
        <w:tab/>
      </w:r>
      <w:r w:rsidRPr="00917FC2">
        <w:rPr>
          <w:bCs/>
          <w:sz w:val="28"/>
          <w:szCs w:val="28"/>
        </w:rPr>
        <w:t>31 May 2022</w:t>
      </w:r>
    </w:p>
    <w:p w14:paraId="2912771D" w14:textId="77777777" w:rsidR="00C867F9" w:rsidRPr="00917FC2" w:rsidRDefault="00C867F9" w:rsidP="00C63D6C">
      <w:pPr>
        <w:spacing w:line="240" w:lineRule="auto"/>
        <w:rPr>
          <w:rFonts w:eastAsia="Arial"/>
          <w:b/>
          <w:sz w:val="28"/>
          <w:szCs w:val="28"/>
        </w:rPr>
      </w:pPr>
    </w:p>
    <w:p w14:paraId="38998ED6" w14:textId="77777777" w:rsidR="00FD4F20" w:rsidRPr="00917FC2" w:rsidRDefault="00FD4F20" w:rsidP="00FD4F20">
      <w:pPr>
        <w:spacing w:line="240" w:lineRule="auto"/>
        <w:rPr>
          <w:rFonts w:eastAsia="Arial"/>
          <w:b/>
          <w:sz w:val="28"/>
          <w:szCs w:val="28"/>
        </w:rPr>
      </w:pPr>
    </w:p>
    <w:p w14:paraId="4812780D" w14:textId="1EC8F738" w:rsidR="00274A7A" w:rsidRPr="00917FC2" w:rsidRDefault="00274A7A" w:rsidP="00761150">
      <w:pPr>
        <w:rPr>
          <w:sz w:val="28"/>
          <w:szCs w:val="28"/>
        </w:rPr>
      </w:pPr>
      <w:r w:rsidRPr="00917FC2">
        <w:rPr>
          <w:rFonts w:eastAsia="Arial"/>
          <w:b/>
          <w:sz w:val="28"/>
          <w:szCs w:val="28"/>
        </w:rPr>
        <w:t>Delivered:</w:t>
      </w:r>
      <w:r w:rsidRPr="00917FC2">
        <w:rPr>
          <w:rFonts w:eastAsia="Arial"/>
          <w:b/>
          <w:sz w:val="28"/>
          <w:szCs w:val="28"/>
        </w:rPr>
        <w:tab/>
      </w:r>
      <w:r w:rsidR="00C867F9" w:rsidRPr="00917FC2">
        <w:rPr>
          <w:rFonts w:eastAsia="Arial"/>
          <w:b/>
          <w:sz w:val="28"/>
          <w:szCs w:val="28"/>
        </w:rPr>
        <w:tab/>
      </w:r>
      <w:r w:rsidR="00917FC2" w:rsidRPr="00917FC2">
        <w:rPr>
          <w:rFonts w:eastAsia="Arial"/>
          <w:sz w:val="28"/>
          <w:szCs w:val="28"/>
        </w:rPr>
        <w:t>28</w:t>
      </w:r>
      <w:r w:rsidR="00C867F9" w:rsidRPr="00917FC2">
        <w:rPr>
          <w:rFonts w:eastAsia="Arial"/>
          <w:sz w:val="28"/>
          <w:szCs w:val="28"/>
        </w:rPr>
        <w:t xml:space="preserve"> </w:t>
      </w:r>
      <w:r w:rsidRPr="00917FC2">
        <w:rPr>
          <w:rFonts w:eastAsia="Arial"/>
          <w:sz w:val="28"/>
          <w:szCs w:val="28"/>
        </w:rPr>
        <w:t>July 2022</w:t>
      </w:r>
    </w:p>
    <w:p w14:paraId="0E68D2E5" w14:textId="77777777" w:rsidR="00C867F9" w:rsidRPr="00917FC2" w:rsidRDefault="00C867F9" w:rsidP="008B4336">
      <w:pPr>
        <w:contextualSpacing/>
        <w:rPr>
          <w:b/>
          <w:bCs/>
          <w:sz w:val="28"/>
          <w:szCs w:val="28"/>
        </w:rPr>
      </w:pPr>
    </w:p>
    <w:p w14:paraId="07945CA0" w14:textId="1EA2C3BF" w:rsidR="00EE0100" w:rsidRPr="00917FC2" w:rsidRDefault="00274A7A" w:rsidP="008B4336">
      <w:pPr>
        <w:contextualSpacing/>
        <w:rPr>
          <w:bCs/>
          <w:sz w:val="28"/>
          <w:szCs w:val="28"/>
        </w:rPr>
      </w:pPr>
      <w:r w:rsidRPr="00917FC2">
        <w:rPr>
          <w:b/>
          <w:bCs/>
          <w:sz w:val="28"/>
          <w:szCs w:val="28"/>
        </w:rPr>
        <w:t>Summary:</w:t>
      </w:r>
      <w:r w:rsidR="00C867F9" w:rsidRPr="00917FC2">
        <w:rPr>
          <w:b/>
          <w:bCs/>
          <w:sz w:val="28"/>
          <w:szCs w:val="28"/>
        </w:rPr>
        <w:tab/>
      </w:r>
      <w:r w:rsidR="00C63D6C" w:rsidRPr="00917FC2">
        <w:rPr>
          <w:b/>
          <w:bCs/>
          <w:sz w:val="28"/>
          <w:szCs w:val="28"/>
        </w:rPr>
        <w:tab/>
      </w:r>
      <w:r w:rsidR="00D306B4" w:rsidRPr="00917FC2">
        <w:rPr>
          <w:bCs/>
          <w:sz w:val="28"/>
          <w:szCs w:val="28"/>
        </w:rPr>
        <w:t>Claim for r</w:t>
      </w:r>
      <w:r w:rsidRPr="00917FC2">
        <w:rPr>
          <w:bCs/>
          <w:sz w:val="28"/>
          <w:szCs w:val="28"/>
        </w:rPr>
        <w:t>eimbursement in terms of s 26 of the</w:t>
      </w:r>
      <w:r w:rsidR="008C1114" w:rsidRPr="00917FC2">
        <w:rPr>
          <w:bCs/>
          <w:sz w:val="28"/>
          <w:szCs w:val="28"/>
        </w:rPr>
        <w:t xml:space="preserve"> Attorneys Act </w:t>
      </w:r>
      <w:r w:rsidR="00A043D7" w:rsidRPr="00917FC2">
        <w:rPr>
          <w:bCs/>
          <w:sz w:val="28"/>
          <w:szCs w:val="28"/>
        </w:rPr>
        <w:t>53 of 1979</w:t>
      </w:r>
      <w:r w:rsidR="00C63D6C" w:rsidRPr="00917FC2">
        <w:rPr>
          <w:bCs/>
          <w:sz w:val="28"/>
          <w:szCs w:val="28"/>
        </w:rPr>
        <w:t xml:space="preserve"> </w:t>
      </w:r>
      <w:r w:rsidRPr="00917FC2">
        <w:rPr>
          <w:bCs/>
          <w:sz w:val="28"/>
          <w:szCs w:val="28"/>
        </w:rPr>
        <w:t xml:space="preserve">– </w:t>
      </w:r>
      <w:r w:rsidR="004E5D62" w:rsidRPr="00917FC2">
        <w:rPr>
          <w:bCs/>
          <w:sz w:val="28"/>
          <w:szCs w:val="28"/>
        </w:rPr>
        <w:t>a</w:t>
      </w:r>
      <w:r w:rsidRPr="00917FC2">
        <w:rPr>
          <w:bCs/>
          <w:sz w:val="28"/>
          <w:szCs w:val="28"/>
        </w:rPr>
        <w:t>ppellant alleging that deposits paid by clients to instructing attorneys</w:t>
      </w:r>
      <w:r w:rsidR="008C1114" w:rsidRPr="00917FC2">
        <w:rPr>
          <w:bCs/>
          <w:sz w:val="28"/>
          <w:szCs w:val="28"/>
        </w:rPr>
        <w:t>’</w:t>
      </w:r>
      <w:r w:rsidRPr="00917FC2">
        <w:rPr>
          <w:bCs/>
          <w:sz w:val="28"/>
          <w:szCs w:val="28"/>
        </w:rPr>
        <w:t xml:space="preserve"> firm as cover for counsel’s fees constitute an entrustment in terms of s 26 –</w:t>
      </w:r>
      <w:r w:rsidR="005814EF" w:rsidRPr="00917FC2">
        <w:rPr>
          <w:bCs/>
          <w:sz w:val="28"/>
          <w:szCs w:val="28"/>
        </w:rPr>
        <w:t xml:space="preserve"> </w:t>
      </w:r>
      <w:r w:rsidR="00361040" w:rsidRPr="00917FC2">
        <w:rPr>
          <w:bCs/>
          <w:sz w:val="28"/>
          <w:szCs w:val="28"/>
        </w:rPr>
        <w:t xml:space="preserve"> </w:t>
      </w:r>
      <w:r w:rsidR="004E5D62" w:rsidRPr="00917FC2">
        <w:rPr>
          <w:bCs/>
          <w:sz w:val="28"/>
          <w:szCs w:val="28"/>
        </w:rPr>
        <w:t xml:space="preserve">alleged payment disputed - </w:t>
      </w:r>
      <w:r w:rsidR="00361040" w:rsidRPr="00917FC2">
        <w:rPr>
          <w:bCs/>
          <w:sz w:val="28"/>
          <w:szCs w:val="28"/>
        </w:rPr>
        <w:t>onus on c</w:t>
      </w:r>
      <w:r w:rsidRPr="00917FC2">
        <w:rPr>
          <w:bCs/>
          <w:sz w:val="28"/>
          <w:szCs w:val="28"/>
        </w:rPr>
        <w:t xml:space="preserve">laimant </w:t>
      </w:r>
      <w:r w:rsidR="00361040" w:rsidRPr="00917FC2">
        <w:rPr>
          <w:bCs/>
          <w:sz w:val="28"/>
          <w:szCs w:val="28"/>
        </w:rPr>
        <w:t xml:space="preserve">to </w:t>
      </w:r>
      <w:r w:rsidRPr="00917FC2">
        <w:rPr>
          <w:bCs/>
          <w:sz w:val="28"/>
          <w:szCs w:val="28"/>
        </w:rPr>
        <w:t xml:space="preserve">establish that money had been entrusted </w:t>
      </w:r>
      <w:r w:rsidR="00C40A89" w:rsidRPr="00917FC2">
        <w:rPr>
          <w:bCs/>
          <w:sz w:val="28"/>
          <w:szCs w:val="28"/>
        </w:rPr>
        <w:t xml:space="preserve">on his behalf </w:t>
      </w:r>
      <w:r w:rsidRPr="00917FC2">
        <w:rPr>
          <w:bCs/>
          <w:sz w:val="28"/>
          <w:szCs w:val="28"/>
        </w:rPr>
        <w:t xml:space="preserve">to </w:t>
      </w:r>
      <w:r w:rsidR="00C40A89" w:rsidRPr="00917FC2">
        <w:rPr>
          <w:bCs/>
          <w:sz w:val="28"/>
          <w:szCs w:val="28"/>
        </w:rPr>
        <w:t>the attorney –</w:t>
      </w:r>
      <w:r w:rsidR="00361040" w:rsidRPr="00917FC2">
        <w:rPr>
          <w:bCs/>
          <w:sz w:val="28"/>
          <w:szCs w:val="28"/>
        </w:rPr>
        <w:t xml:space="preserve">onus not discharged </w:t>
      </w:r>
      <w:r w:rsidR="00C40A89" w:rsidRPr="00917FC2">
        <w:rPr>
          <w:bCs/>
          <w:sz w:val="28"/>
          <w:szCs w:val="28"/>
        </w:rPr>
        <w:t>– appeal dismissed with costs</w:t>
      </w:r>
      <w:r w:rsidR="00926AB2" w:rsidRPr="00917FC2">
        <w:rPr>
          <w:bCs/>
          <w:sz w:val="28"/>
          <w:szCs w:val="28"/>
        </w:rPr>
        <w:t xml:space="preserve">. </w:t>
      </w:r>
    </w:p>
    <w:p w14:paraId="61B207B1" w14:textId="04C2C394" w:rsidR="00FE442B" w:rsidRPr="00917FC2" w:rsidRDefault="00FE442B" w:rsidP="00C63D6C">
      <w:pPr>
        <w:spacing w:line="240" w:lineRule="auto"/>
        <w:rPr>
          <w:bCs/>
          <w:sz w:val="28"/>
          <w:szCs w:val="28"/>
        </w:rPr>
      </w:pPr>
    </w:p>
    <w:p w14:paraId="05DDF988" w14:textId="77777777" w:rsidR="00926AB2" w:rsidRPr="00917FC2" w:rsidRDefault="00926AB2" w:rsidP="00926AB2">
      <w:pPr>
        <w:pStyle w:val="BodyA"/>
        <w:rPr>
          <w:rFonts w:ascii="Times New Roman" w:eastAsia="Times New Roman" w:hAnsi="Times New Roman" w:cs="Times New Roman"/>
          <w:sz w:val="28"/>
          <w:szCs w:val="28"/>
          <w:lang w:val="en-ZA"/>
        </w:rPr>
      </w:pPr>
      <w:r w:rsidRPr="00917FC2">
        <w:rPr>
          <w:rFonts w:ascii="Times New Roman" w:hAnsi="Times New Roman" w:cs="Times New Roman"/>
          <w:sz w:val="28"/>
          <w:szCs w:val="28"/>
          <w:lang w:val="en-ZA"/>
        </w:rPr>
        <w:t>__________________________________________________________________</w:t>
      </w:r>
    </w:p>
    <w:p w14:paraId="2FBA7CEC" w14:textId="77777777" w:rsidR="00926AB2" w:rsidRPr="00917FC2" w:rsidRDefault="00926AB2" w:rsidP="00926AB2">
      <w:pPr>
        <w:pStyle w:val="BodyA"/>
        <w:spacing w:before="240"/>
        <w:jc w:val="center"/>
        <w:rPr>
          <w:rFonts w:ascii="Times New Roman" w:eastAsia="Times New Roman" w:hAnsi="Times New Roman" w:cs="Times New Roman"/>
          <w:b/>
          <w:bCs/>
          <w:sz w:val="28"/>
          <w:szCs w:val="28"/>
          <w:lang w:val="en-ZA"/>
        </w:rPr>
      </w:pPr>
      <w:r w:rsidRPr="00917FC2">
        <w:rPr>
          <w:rFonts w:ascii="Times New Roman" w:hAnsi="Times New Roman" w:cs="Times New Roman"/>
          <w:b/>
          <w:bCs/>
          <w:sz w:val="28"/>
          <w:szCs w:val="28"/>
          <w:lang w:val="en-ZA"/>
        </w:rPr>
        <w:t>ORDER</w:t>
      </w:r>
    </w:p>
    <w:p w14:paraId="4B1F1A3C" w14:textId="25128948" w:rsidR="00274A7A" w:rsidRPr="00917FC2" w:rsidRDefault="00926AB2" w:rsidP="00761150">
      <w:pPr>
        <w:pStyle w:val="BodyA"/>
      </w:pPr>
      <w:r w:rsidRPr="00917FC2">
        <w:rPr>
          <w:rFonts w:ascii="Times New Roman" w:hAnsi="Times New Roman" w:cs="Times New Roman"/>
          <w:sz w:val="28"/>
          <w:szCs w:val="28"/>
          <w:lang w:val="en-ZA"/>
        </w:rPr>
        <w:t>__________________________________________________________________</w:t>
      </w:r>
    </w:p>
    <w:p w14:paraId="07A74360" w14:textId="532958CF" w:rsidR="00926AB2" w:rsidRPr="00917FC2" w:rsidRDefault="00274A7A" w:rsidP="00DF2D27">
      <w:pPr>
        <w:rPr>
          <w:sz w:val="28"/>
          <w:szCs w:val="28"/>
        </w:rPr>
      </w:pPr>
      <w:r w:rsidRPr="00917FC2">
        <w:rPr>
          <w:b/>
          <w:sz w:val="28"/>
          <w:szCs w:val="28"/>
        </w:rPr>
        <w:t>On appeal from</w:t>
      </w:r>
      <w:r w:rsidRPr="00917FC2">
        <w:rPr>
          <w:sz w:val="28"/>
          <w:szCs w:val="28"/>
        </w:rPr>
        <w:t xml:space="preserve">: </w:t>
      </w:r>
      <w:r w:rsidR="00FF4BC1" w:rsidRPr="00917FC2">
        <w:rPr>
          <w:sz w:val="28"/>
          <w:szCs w:val="28"/>
        </w:rPr>
        <w:t>Gauteng</w:t>
      </w:r>
      <w:r w:rsidRPr="00917FC2">
        <w:rPr>
          <w:sz w:val="28"/>
          <w:szCs w:val="28"/>
        </w:rPr>
        <w:t xml:space="preserve"> Division of the High Court, </w:t>
      </w:r>
      <w:r w:rsidR="00FF4BC1" w:rsidRPr="00917FC2">
        <w:rPr>
          <w:sz w:val="28"/>
          <w:szCs w:val="28"/>
        </w:rPr>
        <w:t xml:space="preserve">Pretoria </w:t>
      </w:r>
      <w:r w:rsidRPr="00917FC2">
        <w:rPr>
          <w:sz w:val="28"/>
          <w:szCs w:val="28"/>
        </w:rPr>
        <w:t>(</w:t>
      </w:r>
      <w:r w:rsidR="00FF4BC1" w:rsidRPr="00917FC2">
        <w:rPr>
          <w:sz w:val="28"/>
          <w:szCs w:val="28"/>
        </w:rPr>
        <w:t>Van Nieuwenhuizen AJ</w:t>
      </w:r>
      <w:r w:rsidR="00FE442B" w:rsidRPr="00917FC2">
        <w:rPr>
          <w:sz w:val="28"/>
          <w:szCs w:val="28"/>
        </w:rPr>
        <w:t>,</w:t>
      </w:r>
      <w:r w:rsidR="00FF4BC1" w:rsidRPr="00917FC2">
        <w:rPr>
          <w:sz w:val="28"/>
          <w:szCs w:val="28"/>
        </w:rPr>
        <w:t xml:space="preserve"> </w:t>
      </w:r>
      <w:r w:rsidRPr="00917FC2">
        <w:rPr>
          <w:sz w:val="28"/>
          <w:szCs w:val="28"/>
        </w:rPr>
        <w:t>sitting as court of first instance):</w:t>
      </w:r>
    </w:p>
    <w:p w14:paraId="22D5F188" w14:textId="77777777" w:rsidR="00C867F9" w:rsidRPr="00917FC2" w:rsidRDefault="00C867F9" w:rsidP="00DF2D27">
      <w:pPr>
        <w:rPr>
          <w:sz w:val="28"/>
          <w:szCs w:val="28"/>
        </w:rPr>
      </w:pPr>
    </w:p>
    <w:p w14:paraId="36D05C6C" w14:textId="77777777" w:rsidR="00EE0100" w:rsidRPr="00917FC2" w:rsidRDefault="00274A7A" w:rsidP="00DF2D27">
      <w:pPr>
        <w:rPr>
          <w:sz w:val="28"/>
          <w:szCs w:val="28"/>
        </w:rPr>
      </w:pPr>
      <w:r w:rsidRPr="00917FC2">
        <w:rPr>
          <w:sz w:val="28"/>
          <w:szCs w:val="28"/>
        </w:rPr>
        <w:t>The appeal is dismissed with costs.</w:t>
      </w:r>
    </w:p>
    <w:p w14:paraId="41A47B89" w14:textId="77777777" w:rsidR="00834AD8" w:rsidRPr="00917FC2" w:rsidRDefault="00443F11">
      <w:pPr>
        <w:pStyle w:val="BodyA"/>
        <w:rPr>
          <w:rFonts w:ascii="Times New Roman" w:eastAsia="Times New Roman" w:hAnsi="Times New Roman" w:cs="Times New Roman"/>
          <w:sz w:val="28"/>
          <w:szCs w:val="28"/>
          <w:lang w:val="en-ZA"/>
        </w:rPr>
      </w:pPr>
      <w:r w:rsidRPr="00917FC2">
        <w:rPr>
          <w:rFonts w:ascii="Times New Roman" w:hAnsi="Times New Roman" w:cs="Times New Roman"/>
          <w:sz w:val="28"/>
          <w:szCs w:val="28"/>
          <w:lang w:val="en-ZA"/>
        </w:rPr>
        <w:t>__________________________________________________________________</w:t>
      </w:r>
    </w:p>
    <w:p w14:paraId="5E23FBED" w14:textId="77777777" w:rsidR="00834AD8" w:rsidRPr="00917FC2" w:rsidRDefault="00443F11" w:rsidP="00926AB2">
      <w:pPr>
        <w:pStyle w:val="BodyA"/>
        <w:spacing w:before="240"/>
        <w:jc w:val="center"/>
        <w:rPr>
          <w:rFonts w:ascii="Times New Roman" w:eastAsia="Times New Roman" w:hAnsi="Times New Roman" w:cs="Times New Roman"/>
          <w:b/>
          <w:bCs/>
          <w:sz w:val="28"/>
          <w:szCs w:val="28"/>
          <w:lang w:val="en-ZA"/>
        </w:rPr>
      </w:pPr>
      <w:r w:rsidRPr="00917FC2">
        <w:rPr>
          <w:rFonts w:ascii="Times New Roman" w:hAnsi="Times New Roman" w:cs="Times New Roman"/>
          <w:b/>
          <w:bCs/>
          <w:sz w:val="28"/>
          <w:szCs w:val="28"/>
          <w:lang w:val="en-ZA"/>
        </w:rPr>
        <w:t>JUDGMENT</w:t>
      </w:r>
    </w:p>
    <w:p w14:paraId="2584A60A" w14:textId="77777777" w:rsidR="00834AD8" w:rsidRPr="00917FC2" w:rsidRDefault="00443F11">
      <w:pPr>
        <w:pStyle w:val="BodyA"/>
        <w:rPr>
          <w:rFonts w:ascii="Times New Roman" w:eastAsia="Times New Roman" w:hAnsi="Times New Roman" w:cs="Times New Roman"/>
          <w:sz w:val="28"/>
          <w:szCs w:val="28"/>
          <w:lang w:val="en-ZA"/>
        </w:rPr>
      </w:pPr>
      <w:r w:rsidRPr="00917FC2">
        <w:rPr>
          <w:rFonts w:ascii="Times New Roman" w:hAnsi="Times New Roman" w:cs="Times New Roman"/>
          <w:sz w:val="28"/>
          <w:szCs w:val="28"/>
          <w:lang w:val="en-ZA"/>
        </w:rPr>
        <w:t>__________________________________________________________________</w:t>
      </w:r>
    </w:p>
    <w:p w14:paraId="6CE29988" w14:textId="46EAC9F2" w:rsidR="00834AD8" w:rsidRPr="00917FC2" w:rsidRDefault="00617FE2">
      <w:pPr>
        <w:pStyle w:val="BodyA"/>
        <w:spacing w:line="360" w:lineRule="auto"/>
        <w:rPr>
          <w:rFonts w:ascii="Times New Roman" w:hAnsi="Times New Roman" w:cs="Times New Roman"/>
          <w:b/>
          <w:bCs/>
          <w:sz w:val="28"/>
          <w:szCs w:val="28"/>
          <w:lang w:val="en-ZA"/>
        </w:rPr>
      </w:pPr>
      <w:r w:rsidRPr="00917FC2">
        <w:rPr>
          <w:rFonts w:ascii="Times New Roman" w:hAnsi="Times New Roman" w:cs="Times New Roman"/>
          <w:b/>
          <w:bCs/>
          <w:sz w:val="28"/>
          <w:szCs w:val="28"/>
          <w:lang w:val="en-ZA"/>
        </w:rPr>
        <w:t xml:space="preserve">Smith AJA (Petse DP, Zondi and Mabindla- Boqwana JJA and Savage AJA </w:t>
      </w:r>
      <w:r w:rsidR="00926AB2" w:rsidRPr="00917FC2">
        <w:rPr>
          <w:rFonts w:ascii="Times New Roman" w:hAnsi="Times New Roman" w:cs="Times New Roman"/>
          <w:b/>
          <w:bCs/>
          <w:sz w:val="28"/>
          <w:szCs w:val="28"/>
          <w:lang w:val="en-ZA"/>
        </w:rPr>
        <w:t>concurring)</w:t>
      </w:r>
    </w:p>
    <w:p w14:paraId="049FAB7A" w14:textId="77777777" w:rsidR="00C867F9" w:rsidRPr="00917FC2" w:rsidRDefault="00C867F9" w:rsidP="00C867F9">
      <w:pPr>
        <w:pStyle w:val="BodyA"/>
        <w:spacing w:after="0" w:line="240" w:lineRule="auto"/>
        <w:rPr>
          <w:rFonts w:ascii="Times New Roman" w:eastAsia="Times New Roman" w:hAnsi="Times New Roman" w:cs="Times New Roman"/>
          <w:b/>
          <w:bCs/>
          <w:sz w:val="28"/>
          <w:szCs w:val="28"/>
          <w:lang w:val="en-ZA"/>
        </w:rPr>
      </w:pPr>
    </w:p>
    <w:p w14:paraId="4C28F6AF" w14:textId="77777777" w:rsidR="00834AD8" w:rsidRPr="00917FC2" w:rsidRDefault="00443F11" w:rsidP="00D54F44">
      <w:pPr>
        <w:pStyle w:val="BodyA"/>
        <w:spacing w:after="0" w:line="360" w:lineRule="auto"/>
        <w:rPr>
          <w:rFonts w:ascii="Times New Roman" w:hAnsi="Times New Roman" w:cs="Times New Roman"/>
          <w:b/>
          <w:iCs/>
          <w:sz w:val="28"/>
          <w:szCs w:val="28"/>
          <w:lang w:val="en-ZA"/>
        </w:rPr>
      </w:pPr>
      <w:r w:rsidRPr="00917FC2">
        <w:rPr>
          <w:rFonts w:ascii="Times New Roman" w:hAnsi="Times New Roman" w:cs="Times New Roman"/>
          <w:b/>
          <w:iCs/>
          <w:sz w:val="28"/>
          <w:szCs w:val="28"/>
          <w:lang w:val="en-ZA"/>
        </w:rPr>
        <w:t xml:space="preserve">Introduction </w:t>
      </w:r>
    </w:p>
    <w:p w14:paraId="2B64D3FD" w14:textId="4C30BCC9" w:rsidR="00AD2D2A" w:rsidRPr="00917FC2" w:rsidRDefault="00443F11" w:rsidP="00D54F44">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926AB2" w:rsidRPr="00917FC2">
        <w:rPr>
          <w:rFonts w:ascii="Times New Roman" w:hAnsi="Times New Roman" w:cs="Times New Roman"/>
          <w:sz w:val="28"/>
          <w:szCs w:val="28"/>
          <w:lang w:val="en-ZA"/>
        </w:rPr>
        <w:tab/>
      </w:r>
      <w:r w:rsidR="008A04A0" w:rsidRPr="00917FC2">
        <w:rPr>
          <w:rFonts w:ascii="Times New Roman" w:hAnsi="Times New Roman" w:cs="Times New Roman"/>
          <w:sz w:val="28"/>
          <w:szCs w:val="28"/>
          <w:lang w:val="en-ZA"/>
        </w:rPr>
        <w:t>This is an appeal against the</w:t>
      </w:r>
      <w:r w:rsidR="000E3395" w:rsidRPr="00917FC2">
        <w:rPr>
          <w:rFonts w:ascii="Times New Roman" w:hAnsi="Times New Roman" w:cs="Times New Roman"/>
          <w:sz w:val="28"/>
          <w:szCs w:val="28"/>
          <w:lang w:val="en-ZA"/>
        </w:rPr>
        <w:t xml:space="preserve"> judgment of the Gauteng High Court, Pretoria</w:t>
      </w:r>
      <w:r w:rsidR="00FE442B" w:rsidRPr="00917FC2">
        <w:rPr>
          <w:rFonts w:ascii="Times New Roman" w:hAnsi="Times New Roman" w:cs="Times New Roman"/>
          <w:sz w:val="28"/>
          <w:szCs w:val="28"/>
          <w:lang w:val="en-ZA"/>
        </w:rPr>
        <w:t xml:space="preserve"> </w:t>
      </w:r>
      <w:r w:rsidR="0096588B" w:rsidRPr="00917FC2">
        <w:rPr>
          <w:rFonts w:ascii="Times New Roman" w:hAnsi="Times New Roman" w:cs="Times New Roman"/>
          <w:sz w:val="28"/>
          <w:szCs w:val="28"/>
          <w:lang w:val="en-ZA"/>
        </w:rPr>
        <w:t>(the high court)</w:t>
      </w:r>
      <w:r w:rsidR="00FE442B" w:rsidRPr="00917FC2">
        <w:rPr>
          <w:rFonts w:ascii="Times New Roman" w:hAnsi="Times New Roman" w:cs="Times New Roman"/>
          <w:sz w:val="28"/>
          <w:szCs w:val="28"/>
          <w:lang w:val="en-ZA"/>
        </w:rPr>
        <w:t>,</w:t>
      </w:r>
      <w:r w:rsidR="0096588B" w:rsidRPr="00917FC2">
        <w:rPr>
          <w:rFonts w:ascii="Times New Roman" w:hAnsi="Times New Roman" w:cs="Times New Roman"/>
          <w:sz w:val="28"/>
          <w:szCs w:val="28"/>
          <w:lang w:val="en-ZA"/>
        </w:rPr>
        <w:t xml:space="preserve"> </w:t>
      </w:r>
      <w:r w:rsidR="008A04A0" w:rsidRPr="00917FC2">
        <w:rPr>
          <w:rFonts w:ascii="Times New Roman" w:hAnsi="Times New Roman" w:cs="Times New Roman"/>
          <w:sz w:val="28"/>
          <w:szCs w:val="28"/>
          <w:lang w:val="en-ZA"/>
        </w:rPr>
        <w:t>dismissing the appellant’s</w:t>
      </w:r>
      <w:r w:rsidR="008C1114" w:rsidRPr="00917FC2">
        <w:rPr>
          <w:rFonts w:ascii="Times New Roman" w:hAnsi="Times New Roman" w:cs="Times New Roman"/>
          <w:sz w:val="28"/>
          <w:szCs w:val="28"/>
          <w:lang w:val="en-ZA"/>
        </w:rPr>
        <w:t>, Mr L C Leysath’s,</w:t>
      </w:r>
      <w:r w:rsidR="000E3395" w:rsidRPr="00917FC2">
        <w:rPr>
          <w:rFonts w:ascii="Times New Roman" w:hAnsi="Times New Roman" w:cs="Times New Roman"/>
          <w:sz w:val="28"/>
          <w:szCs w:val="28"/>
          <w:lang w:val="en-ZA"/>
        </w:rPr>
        <w:t xml:space="preserve"> application </w:t>
      </w:r>
      <w:r w:rsidR="007A62C5" w:rsidRPr="00917FC2">
        <w:rPr>
          <w:rFonts w:ascii="Times New Roman" w:hAnsi="Times New Roman" w:cs="Times New Roman"/>
          <w:sz w:val="28"/>
          <w:szCs w:val="28"/>
          <w:lang w:val="en-ZA"/>
        </w:rPr>
        <w:t xml:space="preserve">for an order </w:t>
      </w:r>
      <w:r w:rsidR="000E3395" w:rsidRPr="00917FC2">
        <w:rPr>
          <w:rFonts w:ascii="Times New Roman" w:hAnsi="Times New Roman" w:cs="Times New Roman"/>
          <w:sz w:val="28"/>
          <w:szCs w:val="28"/>
          <w:lang w:val="en-ZA"/>
        </w:rPr>
        <w:t xml:space="preserve">compelling </w:t>
      </w:r>
      <w:r w:rsidR="00402931" w:rsidRPr="00917FC2">
        <w:rPr>
          <w:rFonts w:ascii="Times New Roman" w:hAnsi="Times New Roman" w:cs="Times New Roman"/>
          <w:sz w:val="28"/>
          <w:szCs w:val="28"/>
          <w:lang w:val="en-ZA"/>
        </w:rPr>
        <w:t xml:space="preserve">the respondent, </w:t>
      </w:r>
      <w:r w:rsidR="000E3395" w:rsidRPr="00917FC2">
        <w:rPr>
          <w:rFonts w:ascii="Times New Roman" w:hAnsi="Times New Roman" w:cs="Times New Roman"/>
          <w:sz w:val="28"/>
          <w:szCs w:val="28"/>
          <w:lang w:val="en-ZA"/>
        </w:rPr>
        <w:t>the Legal Practitioner</w:t>
      </w:r>
      <w:r w:rsidR="009924BE" w:rsidRPr="00917FC2">
        <w:rPr>
          <w:rFonts w:ascii="Times New Roman" w:hAnsi="Times New Roman" w:cs="Times New Roman"/>
          <w:sz w:val="28"/>
          <w:szCs w:val="28"/>
          <w:lang w:val="en-ZA"/>
        </w:rPr>
        <w:t>s</w:t>
      </w:r>
      <w:r w:rsidR="00597319" w:rsidRPr="00917FC2">
        <w:rPr>
          <w:rFonts w:ascii="Times New Roman" w:hAnsi="Times New Roman" w:cs="Times New Roman"/>
          <w:sz w:val="28"/>
          <w:szCs w:val="28"/>
          <w:lang w:val="en-ZA"/>
        </w:rPr>
        <w:t>’</w:t>
      </w:r>
      <w:r w:rsidR="000E3395" w:rsidRPr="00917FC2">
        <w:rPr>
          <w:rFonts w:ascii="Times New Roman" w:hAnsi="Times New Roman" w:cs="Times New Roman"/>
          <w:sz w:val="28"/>
          <w:szCs w:val="28"/>
          <w:lang w:val="en-ZA"/>
        </w:rPr>
        <w:t xml:space="preserve"> Fidelity Fund Board of Control</w:t>
      </w:r>
      <w:r w:rsidR="008C1114" w:rsidRPr="00917FC2">
        <w:rPr>
          <w:rFonts w:ascii="Times New Roman" w:hAnsi="Times New Roman" w:cs="Times New Roman"/>
          <w:sz w:val="28"/>
          <w:szCs w:val="28"/>
          <w:lang w:val="en-ZA"/>
        </w:rPr>
        <w:t>,</w:t>
      </w:r>
      <w:r w:rsidR="000E3395" w:rsidRPr="00917FC2">
        <w:rPr>
          <w:rFonts w:ascii="Times New Roman" w:hAnsi="Times New Roman" w:cs="Times New Roman"/>
          <w:sz w:val="28"/>
          <w:szCs w:val="28"/>
          <w:lang w:val="en-ZA"/>
        </w:rPr>
        <w:t xml:space="preserve"> to reimburse him </w:t>
      </w:r>
      <w:r w:rsidR="008C1114" w:rsidRPr="00917FC2">
        <w:rPr>
          <w:rFonts w:ascii="Times New Roman" w:hAnsi="Times New Roman" w:cs="Times New Roman"/>
          <w:sz w:val="28"/>
          <w:szCs w:val="28"/>
          <w:lang w:val="en-ZA"/>
        </w:rPr>
        <w:t xml:space="preserve">a </w:t>
      </w:r>
      <w:r w:rsidR="000E3395" w:rsidRPr="00917FC2">
        <w:rPr>
          <w:rFonts w:ascii="Times New Roman" w:hAnsi="Times New Roman" w:cs="Times New Roman"/>
          <w:sz w:val="28"/>
          <w:szCs w:val="28"/>
          <w:lang w:val="en-ZA"/>
        </w:rPr>
        <w:t>sum of R472</w:t>
      </w:r>
      <w:r w:rsidR="00565F06" w:rsidRPr="00917FC2">
        <w:rPr>
          <w:rFonts w:ascii="Times New Roman" w:hAnsi="Times New Roman" w:cs="Times New Roman"/>
          <w:sz w:val="28"/>
          <w:szCs w:val="28"/>
          <w:lang w:val="en-ZA"/>
        </w:rPr>
        <w:t> </w:t>
      </w:r>
      <w:r w:rsidR="000E3395" w:rsidRPr="00917FC2">
        <w:rPr>
          <w:rFonts w:ascii="Times New Roman" w:hAnsi="Times New Roman" w:cs="Times New Roman"/>
          <w:sz w:val="28"/>
          <w:szCs w:val="28"/>
          <w:lang w:val="en-ZA"/>
        </w:rPr>
        <w:t>666</w:t>
      </w:r>
      <w:r w:rsidR="00402931" w:rsidRPr="00917FC2">
        <w:rPr>
          <w:rFonts w:ascii="Times New Roman" w:hAnsi="Times New Roman" w:cs="Times New Roman"/>
          <w:sz w:val="28"/>
          <w:szCs w:val="28"/>
          <w:lang w:val="en-ZA"/>
        </w:rPr>
        <w:t>,</w:t>
      </w:r>
      <w:r w:rsidR="00565F06" w:rsidRPr="00917FC2">
        <w:rPr>
          <w:rFonts w:ascii="Times New Roman" w:hAnsi="Times New Roman" w:cs="Times New Roman"/>
          <w:sz w:val="28"/>
          <w:szCs w:val="28"/>
          <w:lang w:val="en-ZA"/>
        </w:rPr>
        <w:t xml:space="preserve"> in terms of s 26</w:t>
      </w:r>
      <w:r w:rsidR="00565F06" w:rsidRPr="00917FC2">
        <w:rPr>
          <w:rFonts w:ascii="Times New Roman" w:hAnsi="Times New Roman" w:cs="Times New Roman"/>
          <w:i/>
          <w:sz w:val="28"/>
          <w:szCs w:val="28"/>
          <w:lang w:val="en-ZA"/>
        </w:rPr>
        <w:t>(a)</w:t>
      </w:r>
      <w:r w:rsidR="00565F06" w:rsidRPr="00917FC2">
        <w:rPr>
          <w:rFonts w:ascii="Times New Roman" w:hAnsi="Times New Roman" w:cs="Times New Roman"/>
          <w:sz w:val="28"/>
          <w:szCs w:val="28"/>
          <w:lang w:val="en-ZA"/>
        </w:rPr>
        <w:t xml:space="preserve"> of the Attorneys Act 53 of 1979 (the Attorneys Act)</w:t>
      </w:r>
      <w:r w:rsidR="009924BE" w:rsidRPr="00917FC2">
        <w:rPr>
          <w:rFonts w:ascii="Times New Roman" w:hAnsi="Times New Roman" w:cs="Times New Roman"/>
          <w:sz w:val="28"/>
          <w:szCs w:val="28"/>
          <w:lang w:val="en-ZA"/>
        </w:rPr>
        <w:t xml:space="preserve">. </w:t>
      </w:r>
    </w:p>
    <w:p w14:paraId="72A88E80" w14:textId="77777777" w:rsidR="00AD2D2A" w:rsidRPr="00917FC2" w:rsidRDefault="00AD2D2A" w:rsidP="00D54F44">
      <w:pPr>
        <w:pStyle w:val="BodyA"/>
        <w:spacing w:after="0" w:line="360" w:lineRule="auto"/>
        <w:rPr>
          <w:rFonts w:ascii="Times New Roman" w:hAnsi="Times New Roman" w:cs="Times New Roman"/>
          <w:sz w:val="28"/>
          <w:szCs w:val="28"/>
          <w:lang w:val="en-ZA"/>
        </w:rPr>
      </w:pPr>
    </w:p>
    <w:p w14:paraId="5A8C7037" w14:textId="350A2ED3" w:rsidR="006D27A9" w:rsidRPr="00917FC2" w:rsidRDefault="0064537E" w:rsidP="00D54F44">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lastRenderedPageBreak/>
        <w:t>[2]</w:t>
      </w:r>
      <w:r w:rsidR="00FD4F20" w:rsidRPr="00917FC2">
        <w:rPr>
          <w:rFonts w:ascii="Times New Roman" w:hAnsi="Times New Roman" w:cs="Times New Roman"/>
          <w:sz w:val="28"/>
          <w:szCs w:val="28"/>
          <w:lang w:val="en-ZA"/>
        </w:rPr>
        <w:tab/>
      </w:r>
      <w:r w:rsidR="006416A4" w:rsidRPr="00917FC2">
        <w:rPr>
          <w:rFonts w:ascii="Times New Roman" w:hAnsi="Times New Roman" w:cs="Times New Roman"/>
          <w:sz w:val="28"/>
          <w:szCs w:val="28"/>
          <w:lang w:val="en-ZA"/>
        </w:rPr>
        <w:t>The appellant, a practising advocate,</w:t>
      </w:r>
      <w:r w:rsidR="0091215D" w:rsidRPr="00917FC2">
        <w:rPr>
          <w:rFonts w:ascii="Times New Roman" w:hAnsi="Times New Roman" w:cs="Times New Roman"/>
          <w:sz w:val="28"/>
          <w:szCs w:val="28"/>
          <w:lang w:val="en-ZA"/>
        </w:rPr>
        <w:t xml:space="preserve"> contended that the</w:t>
      </w:r>
      <w:r w:rsidR="009924BE" w:rsidRPr="00917FC2">
        <w:rPr>
          <w:rFonts w:ascii="Times New Roman" w:hAnsi="Times New Roman" w:cs="Times New Roman"/>
          <w:sz w:val="28"/>
          <w:szCs w:val="28"/>
          <w:lang w:val="en-ZA"/>
        </w:rPr>
        <w:t xml:space="preserve"> </w:t>
      </w:r>
      <w:r w:rsidR="0091215D" w:rsidRPr="00917FC2">
        <w:rPr>
          <w:rFonts w:ascii="Times New Roman" w:hAnsi="Times New Roman" w:cs="Times New Roman"/>
          <w:sz w:val="28"/>
          <w:szCs w:val="28"/>
          <w:lang w:val="en-ZA"/>
        </w:rPr>
        <w:t>money</w:t>
      </w:r>
      <w:r w:rsidR="0067553F" w:rsidRPr="00917FC2">
        <w:rPr>
          <w:rFonts w:ascii="Times New Roman" w:hAnsi="Times New Roman" w:cs="Times New Roman"/>
          <w:sz w:val="28"/>
          <w:szCs w:val="28"/>
          <w:lang w:val="en-ZA"/>
        </w:rPr>
        <w:t xml:space="preserve"> was</w:t>
      </w:r>
      <w:r w:rsidR="00C867F9" w:rsidRPr="00917FC2">
        <w:rPr>
          <w:rFonts w:ascii="Times New Roman" w:hAnsi="Times New Roman" w:cs="Times New Roman"/>
          <w:sz w:val="28"/>
          <w:szCs w:val="28"/>
          <w:lang w:val="en-ZA"/>
        </w:rPr>
        <w:t xml:space="preserve"> </w:t>
      </w:r>
      <w:r w:rsidR="000E3395" w:rsidRPr="00917FC2">
        <w:rPr>
          <w:rFonts w:ascii="Times New Roman" w:hAnsi="Times New Roman" w:cs="Times New Roman"/>
          <w:sz w:val="28"/>
          <w:szCs w:val="28"/>
          <w:lang w:val="en-ZA"/>
        </w:rPr>
        <w:t xml:space="preserve">held in trust </w:t>
      </w:r>
      <w:r w:rsidR="007E59A7" w:rsidRPr="00917FC2">
        <w:rPr>
          <w:rFonts w:ascii="Times New Roman" w:hAnsi="Times New Roman" w:cs="Times New Roman"/>
          <w:sz w:val="28"/>
          <w:szCs w:val="28"/>
          <w:lang w:val="en-ZA"/>
        </w:rPr>
        <w:t xml:space="preserve">on his behalf </w:t>
      </w:r>
      <w:r w:rsidR="000E3395" w:rsidRPr="00917FC2">
        <w:rPr>
          <w:rFonts w:ascii="Times New Roman" w:hAnsi="Times New Roman" w:cs="Times New Roman"/>
          <w:sz w:val="28"/>
          <w:szCs w:val="28"/>
          <w:lang w:val="en-ZA"/>
        </w:rPr>
        <w:t xml:space="preserve">by </w:t>
      </w:r>
      <w:r w:rsidR="009924BE" w:rsidRPr="00917FC2">
        <w:rPr>
          <w:rFonts w:ascii="Times New Roman" w:hAnsi="Times New Roman" w:cs="Times New Roman"/>
          <w:sz w:val="28"/>
          <w:szCs w:val="28"/>
          <w:lang w:val="en-ZA"/>
        </w:rPr>
        <w:t xml:space="preserve">the </w:t>
      </w:r>
      <w:r w:rsidR="000E3395" w:rsidRPr="00917FC2">
        <w:rPr>
          <w:rFonts w:ascii="Times New Roman" w:hAnsi="Times New Roman" w:cs="Times New Roman"/>
          <w:sz w:val="28"/>
          <w:szCs w:val="28"/>
          <w:lang w:val="en-ZA"/>
        </w:rPr>
        <w:t>attorneys</w:t>
      </w:r>
      <w:r w:rsidR="006416A4" w:rsidRPr="00917FC2">
        <w:rPr>
          <w:rFonts w:ascii="Times New Roman" w:hAnsi="Times New Roman" w:cs="Times New Roman"/>
          <w:sz w:val="28"/>
          <w:szCs w:val="28"/>
          <w:lang w:val="en-ZA"/>
        </w:rPr>
        <w:t xml:space="preserve">’ </w:t>
      </w:r>
      <w:r w:rsidR="009924BE" w:rsidRPr="00917FC2">
        <w:rPr>
          <w:rFonts w:ascii="Times New Roman" w:hAnsi="Times New Roman" w:cs="Times New Roman"/>
          <w:sz w:val="28"/>
          <w:szCs w:val="28"/>
          <w:lang w:val="en-ZA"/>
        </w:rPr>
        <w:t>firm</w:t>
      </w:r>
      <w:r w:rsidR="0091215D" w:rsidRPr="00917FC2">
        <w:rPr>
          <w:rFonts w:ascii="Times New Roman" w:hAnsi="Times New Roman" w:cs="Times New Roman"/>
          <w:sz w:val="28"/>
          <w:szCs w:val="28"/>
          <w:lang w:val="en-ZA"/>
        </w:rPr>
        <w:t>,</w:t>
      </w:r>
      <w:r w:rsidR="000E3395" w:rsidRPr="00917FC2">
        <w:rPr>
          <w:rFonts w:ascii="Times New Roman" w:hAnsi="Times New Roman" w:cs="Times New Roman"/>
          <w:sz w:val="28"/>
          <w:szCs w:val="28"/>
          <w:lang w:val="en-ZA"/>
        </w:rPr>
        <w:t xml:space="preserve"> </w:t>
      </w:r>
      <w:r w:rsidR="00752AE5" w:rsidRPr="00917FC2">
        <w:rPr>
          <w:rFonts w:ascii="Times New Roman" w:hAnsi="Times New Roman" w:cs="Times New Roman"/>
          <w:sz w:val="28"/>
          <w:szCs w:val="28"/>
          <w:lang w:val="en-ZA"/>
        </w:rPr>
        <w:t xml:space="preserve">M F </w:t>
      </w:r>
      <w:r w:rsidR="000E3395" w:rsidRPr="00917FC2">
        <w:rPr>
          <w:rFonts w:ascii="Times New Roman" w:hAnsi="Times New Roman" w:cs="Times New Roman"/>
          <w:sz w:val="28"/>
          <w:szCs w:val="28"/>
          <w:lang w:val="en-ZA"/>
        </w:rPr>
        <w:t>Martins Costa Attorneys</w:t>
      </w:r>
      <w:r w:rsidR="004C363B" w:rsidRPr="00917FC2">
        <w:rPr>
          <w:rFonts w:ascii="Times New Roman" w:hAnsi="Times New Roman" w:cs="Times New Roman"/>
          <w:sz w:val="28"/>
          <w:szCs w:val="28"/>
          <w:lang w:val="en-ZA"/>
        </w:rPr>
        <w:t xml:space="preserve"> (Costa Attorneys)</w:t>
      </w:r>
      <w:r w:rsidR="009924BE" w:rsidRPr="00917FC2">
        <w:rPr>
          <w:rFonts w:ascii="Times New Roman" w:hAnsi="Times New Roman" w:cs="Times New Roman"/>
          <w:sz w:val="28"/>
          <w:szCs w:val="28"/>
          <w:lang w:val="en-ZA"/>
        </w:rPr>
        <w:t>,</w:t>
      </w:r>
      <w:r w:rsidR="000E3395" w:rsidRPr="00917FC2">
        <w:rPr>
          <w:rFonts w:ascii="Times New Roman" w:hAnsi="Times New Roman" w:cs="Times New Roman"/>
          <w:sz w:val="28"/>
          <w:szCs w:val="28"/>
          <w:lang w:val="en-ZA"/>
        </w:rPr>
        <w:t xml:space="preserve"> as cover for his fees</w:t>
      </w:r>
      <w:r w:rsidR="0091215D" w:rsidRPr="00917FC2">
        <w:rPr>
          <w:rFonts w:ascii="Times New Roman" w:hAnsi="Times New Roman" w:cs="Times New Roman"/>
          <w:sz w:val="28"/>
          <w:szCs w:val="28"/>
          <w:lang w:val="en-ZA"/>
        </w:rPr>
        <w:t xml:space="preserve"> and had</w:t>
      </w:r>
      <w:r w:rsidR="000F6FE6" w:rsidRPr="00917FC2">
        <w:rPr>
          <w:rFonts w:ascii="Times New Roman" w:hAnsi="Times New Roman" w:cs="Times New Roman"/>
          <w:sz w:val="28"/>
          <w:szCs w:val="28"/>
          <w:lang w:val="en-ZA"/>
        </w:rPr>
        <w:t xml:space="preserve"> been misappropriated</w:t>
      </w:r>
      <w:r w:rsidR="0091215D" w:rsidRPr="00917FC2">
        <w:rPr>
          <w:rFonts w:ascii="Times New Roman" w:hAnsi="Times New Roman" w:cs="Times New Roman"/>
          <w:sz w:val="28"/>
          <w:szCs w:val="28"/>
          <w:lang w:val="en-ZA"/>
        </w:rPr>
        <w:t xml:space="preserve"> by </w:t>
      </w:r>
      <w:r w:rsidR="00243E3A" w:rsidRPr="00917FC2">
        <w:rPr>
          <w:rFonts w:ascii="Times New Roman" w:hAnsi="Times New Roman" w:cs="Times New Roman"/>
          <w:sz w:val="28"/>
          <w:szCs w:val="28"/>
          <w:lang w:val="en-ZA"/>
        </w:rPr>
        <w:t>the firm</w:t>
      </w:r>
      <w:r w:rsidR="009924BE" w:rsidRPr="00917FC2">
        <w:rPr>
          <w:rFonts w:ascii="Times New Roman" w:hAnsi="Times New Roman" w:cs="Times New Roman"/>
          <w:sz w:val="28"/>
          <w:szCs w:val="28"/>
          <w:lang w:val="en-ZA"/>
        </w:rPr>
        <w:t xml:space="preserve">. </w:t>
      </w:r>
      <w:r w:rsidR="00AD2D2A" w:rsidRPr="00917FC2">
        <w:rPr>
          <w:rFonts w:ascii="Times New Roman" w:hAnsi="Times New Roman" w:cs="Times New Roman"/>
          <w:sz w:val="28"/>
          <w:szCs w:val="28"/>
          <w:lang w:val="en-ZA"/>
        </w:rPr>
        <w:t>T</w:t>
      </w:r>
      <w:r w:rsidR="00CE00E5" w:rsidRPr="00917FC2">
        <w:rPr>
          <w:rFonts w:ascii="Times New Roman" w:hAnsi="Times New Roman" w:cs="Times New Roman"/>
          <w:sz w:val="28"/>
          <w:szCs w:val="28"/>
          <w:lang w:val="en-ZA"/>
        </w:rPr>
        <w:t xml:space="preserve">he </w:t>
      </w:r>
      <w:r w:rsidR="009F0C76" w:rsidRPr="00917FC2">
        <w:rPr>
          <w:rFonts w:ascii="Times New Roman" w:hAnsi="Times New Roman" w:cs="Times New Roman"/>
          <w:sz w:val="28"/>
          <w:szCs w:val="28"/>
          <w:lang w:val="en-ZA"/>
        </w:rPr>
        <w:t xml:space="preserve">high </w:t>
      </w:r>
      <w:r w:rsidR="00CE00E5" w:rsidRPr="00917FC2">
        <w:rPr>
          <w:rFonts w:ascii="Times New Roman" w:hAnsi="Times New Roman" w:cs="Times New Roman"/>
          <w:sz w:val="28"/>
          <w:szCs w:val="28"/>
          <w:lang w:val="en-ZA"/>
        </w:rPr>
        <w:t>cour</w:t>
      </w:r>
      <w:r w:rsidR="004E7651" w:rsidRPr="00917FC2">
        <w:rPr>
          <w:rFonts w:ascii="Times New Roman" w:hAnsi="Times New Roman" w:cs="Times New Roman"/>
          <w:sz w:val="28"/>
          <w:szCs w:val="28"/>
          <w:lang w:val="en-ZA"/>
        </w:rPr>
        <w:t xml:space="preserve">t granted leave </w:t>
      </w:r>
      <w:r w:rsidR="004B7631" w:rsidRPr="00917FC2">
        <w:rPr>
          <w:rFonts w:ascii="Times New Roman" w:hAnsi="Times New Roman" w:cs="Times New Roman"/>
          <w:sz w:val="28"/>
          <w:szCs w:val="28"/>
          <w:lang w:val="en-ZA"/>
        </w:rPr>
        <w:t xml:space="preserve">to appeal </w:t>
      </w:r>
      <w:r w:rsidR="00402931" w:rsidRPr="00917FC2">
        <w:rPr>
          <w:rFonts w:ascii="Times New Roman" w:hAnsi="Times New Roman" w:cs="Times New Roman"/>
          <w:sz w:val="28"/>
          <w:szCs w:val="28"/>
          <w:lang w:val="en-ZA"/>
        </w:rPr>
        <w:t xml:space="preserve">to this Court </w:t>
      </w:r>
      <w:r w:rsidR="004E7651" w:rsidRPr="00917FC2">
        <w:rPr>
          <w:rFonts w:ascii="Times New Roman" w:hAnsi="Times New Roman" w:cs="Times New Roman"/>
          <w:sz w:val="28"/>
          <w:szCs w:val="28"/>
          <w:lang w:val="en-ZA"/>
        </w:rPr>
        <w:t>on the</w:t>
      </w:r>
      <w:r w:rsidR="004B7631" w:rsidRPr="00917FC2">
        <w:rPr>
          <w:rFonts w:ascii="Times New Roman" w:hAnsi="Times New Roman" w:cs="Times New Roman"/>
          <w:sz w:val="28"/>
          <w:szCs w:val="28"/>
          <w:lang w:val="en-ZA"/>
        </w:rPr>
        <w:t xml:space="preserve"> ground</w:t>
      </w:r>
      <w:r w:rsidR="00551FD5" w:rsidRPr="00917FC2">
        <w:rPr>
          <w:rFonts w:ascii="Times New Roman" w:hAnsi="Times New Roman" w:cs="Times New Roman"/>
          <w:sz w:val="28"/>
          <w:szCs w:val="28"/>
          <w:lang w:val="en-ZA"/>
        </w:rPr>
        <w:t xml:space="preserve"> that s 17(1)</w:t>
      </w:r>
      <w:r w:rsidR="00551FD5" w:rsidRPr="00917FC2">
        <w:rPr>
          <w:rFonts w:ascii="Times New Roman" w:hAnsi="Times New Roman" w:cs="Times New Roman"/>
          <w:i/>
          <w:sz w:val="28"/>
          <w:szCs w:val="28"/>
          <w:lang w:val="en-ZA"/>
        </w:rPr>
        <w:t>(a)</w:t>
      </w:r>
      <w:r w:rsidR="00551FD5" w:rsidRPr="00917FC2">
        <w:rPr>
          <w:rFonts w:ascii="Times New Roman" w:hAnsi="Times New Roman" w:cs="Times New Roman"/>
          <w:sz w:val="28"/>
          <w:szCs w:val="28"/>
          <w:lang w:val="en-ZA"/>
        </w:rPr>
        <w:t>(ii</w:t>
      </w:r>
      <w:r w:rsidR="00CE00E5" w:rsidRPr="00917FC2">
        <w:rPr>
          <w:rFonts w:ascii="Times New Roman" w:hAnsi="Times New Roman" w:cs="Times New Roman"/>
          <w:sz w:val="28"/>
          <w:szCs w:val="28"/>
          <w:lang w:val="en-ZA"/>
        </w:rPr>
        <w:t>) of the Superior Co</w:t>
      </w:r>
      <w:r w:rsidR="00D92A7E" w:rsidRPr="00917FC2">
        <w:rPr>
          <w:rFonts w:ascii="Times New Roman" w:hAnsi="Times New Roman" w:cs="Times New Roman"/>
          <w:sz w:val="28"/>
          <w:szCs w:val="28"/>
          <w:lang w:val="en-ZA"/>
        </w:rPr>
        <w:t>urts</w:t>
      </w:r>
      <w:r w:rsidR="007B09A3" w:rsidRPr="00917FC2">
        <w:rPr>
          <w:rFonts w:ascii="Times New Roman" w:hAnsi="Times New Roman" w:cs="Times New Roman"/>
          <w:sz w:val="28"/>
          <w:szCs w:val="28"/>
          <w:lang w:val="en-ZA"/>
        </w:rPr>
        <w:t xml:space="preserve"> Act</w:t>
      </w:r>
      <w:r w:rsidR="00D92A7E" w:rsidRPr="00917FC2">
        <w:rPr>
          <w:rFonts w:ascii="Times New Roman" w:hAnsi="Times New Roman" w:cs="Times New Roman"/>
          <w:sz w:val="28"/>
          <w:szCs w:val="28"/>
          <w:lang w:val="en-ZA"/>
        </w:rPr>
        <w:t xml:space="preserve"> 10</w:t>
      </w:r>
      <w:r w:rsidR="0067553F" w:rsidRPr="00917FC2">
        <w:rPr>
          <w:rFonts w:ascii="Times New Roman" w:hAnsi="Times New Roman" w:cs="Times New Roman"/>
          <w:sz w:val="28"/>
          <w:szCs w:val="28"/>
          <w:lang w:val="en-ZA"/>
        </w:rPr>
        <w:t xml:space="preserve"> of </w:t>
      </w:r>
      <w:r w:rsidR="00D92A7E" w:rsidRPr="00917FC2">
        <w:rPr>
          <w:rFonts w:ascii="Times New Roman" w:hAnsi="Times New Roman" w:cs="Times New Roman"/>
          <w:sz w:val="28"/>
          <w:szCs w:val="28"/>
          <w:lang w:val="en-ZA"/>
        </w:rPr>
        <w:t>2013</w:t>
      </w:r>
      <w:r w:rsidR="0067553F" w:rsidRPr="00917FC2">
        <w:rPr>
          <w:rFonts w:ascii="Times New Roman" w:hAnsi="Times New Roman" w:cs="Times New Roman"/>
          <w:sz w:val="28"/>
          <w:szCs w:val="28"/>
          <w:lang w:val="en-ZA"/>
        </w:rPr>
        <w:t xml:space="preserve"> </w:t>
      </w:r>
      <w:r w:rsidR="00B460DA" w:rsidRPr="00917FC2">
        <w:rPr>
          <w:rFonts w:ascii="Times New Roman" w:hAnsi="Times New Roman" w:cs="Times New Roman"/>
          <w:sz w:val="28"/>
          <w:szCs w:val="28"/>
          <w:lang w:val="en-ZA"/>
        </w:rPr>
        <w:t>may be applicable</w:t>
      </w:r>
      <w:r w:rsidR="00F46F20" w:rsidRPr="00917FC2">
        <w:rPr>
          <w:rFonts w:ascii="Times New Roman" w:hAnsi="Times New Roman" w:cs="Times New Roman"/>
          <w:sz w:val="28"/>
          <w:szCs w:val="28"/>
          <w:lang w:val="en-ZA"/>
        </w:rPr>
        <w:t xml:space="preserve"> </w:t>
      </w:r>
      <w:r w:rsidR="009F0C76" w:rsidRPr="00917FC2">
        <w:rPr>
          <w:rFonts w:ascii="Times New Roman" w:hAnsi="Times New Roman" w:cs="Times New Roman"/>
          <w:sz w:val="28"/>
          <w:szCs w:val="28"/>
          <w:lang w:val="en-ZA"/>
        </w:rPr>
        <w:t xml:space="preserve">since </w:t>
      </w:r>
      <w:r w:rsidR="00F46F20" w:rsidRPr="00917FC2">
        <w:rPr>
          <w:rFonts w:ascii="Times New Roman" w:hAnsi="Times New Roman" w:cs="Times New Roman"/>
          <w:sz w:val="28"/>
          <w:szCs w:val="28"/>
          <w:lang w:val="en-ZA"/>
        </w:rPr>
        <w:t>the appellant</w:t>
      </w:r>
      <w:r w:rsidR="00946594" w:rsidRPr="00917FC2">
        <w:rPr>
          <w:rFonts w:ascii="Times New Roman" w:hAnsi="Times New Roman" w:cs="Times New Roman"/>
          <w:sz w:val="28"/>
          <w:szCs w:val="28"/>
          <w:lang w:val="en-ZA"/>
        </w:rPr>
        <w:t xml:space="preserve"> contend</w:t>
      </w:r>
      <w:r w:rsidR="00F46F20" w:rsidRPr="00917FC2">
        <w:rPr>
          <w:rFonts w:ascii="Times New Roman" w:hAnsi="Times New Roman" w:cs="Times New Roman"/>
          <w:sz w:val="28"/>
          <w:szCs w:val="28"/>
          <w:lang w:val="en-ZA"/>
        </w:rPr>
        <w:t xml:space="preserve">ed that </w:t>
      </w:r>
      <w:r w:rsidR="0067553F" w:rsidRPr="00917FC2">
        <w:rPr>
          <w:rFonts w:ascii="Times New Roman" w:hAnsi="Times New Roman" w:cs="Times New Roman"/>
          <w:sz w:val="28"/>
          <w:szCs w:val="28"/>
          <w:lang w:val="en-ZA"/>
        </w:rPr>
        <w:t>the high court</w:t>
      </w:r>
      <w:r w:rsidR="009F0C76" w:rsidRPr="00917FC2">
        <w:rPr>
          <w:rFonts w:ascii="Times New Roman" w:hAnsi="Times New Roman" w:cs="Times New Roman"/>
          <w:sz w:val="28"/>
          <w:szCs w:val="28"/>
          <w:lang w:val="en-ZA"/>
        </w:rPr>
        <w:t xml:space="preserve"> had </w:t>
      </w:r>
      <w:r w:rsidR="00F46F20" w:rsidRPr="00917FC2">
        <w:rPr>
          <w:rFonts w:ascii="Times New Roman" w:hAnsi="Times New Roman" w:cs="Times New Roman"/>
          <w:sz w:val="28"/>
          <w:szCs w:val="28"/>
          <w:lang w:val="en-ZA"/>
        </w:rPr>
        <w:t xml:space="preserve">impermissibly overturned binding </w:t>
      </w:r>
      <w:r w:rsidR="0007665B" w:rsidRPr="00917FC2">
        <w:rPr>
          <w:rFonts w:ascii="Times New Roman" w:hAnsi="Times New Roman" w:cs="Times New Roman"/>
          <w:sz w:val="28"/>
          <w:szCs w:val="28"/>
          <w:lang w:val="en-ZA"/>
        </w:rPr>
        <w:t xml:space="preserve">legal </w:t>
      </w:r>
      <w:r w:rsidR="00DA4DCC" w:rsidRPr="00917FC2">
        <w:rPr>
          <w:rFonts w:ascii="Times New Roman" w:hAnsi="Times New Roman" w:cs="Times New Roman"/>
          <w:sz w:val="28"/>
          <w:szCs w:val="28"/>
          <w:lang w:val="en-ZA"/>
        </w:rPr>
        <w:t>precedent</w:t>
      </w:r>
      <w:r w:rsidR="00F46F20" w:rsidRPr="00917FC2">
        <w:rPr>
          <w:rFonts w:ascii="Times New Roman" w:hAnsi="Times New Roman" w:cs="Times New Roman"/>
          <w:sz w:val="28"/>
          <w:szCs w:val="28"/>
          <w:lang w:val="en-ZA"/>
        </w:rPr>
        <w:t>.</w:t>
      </w:r>
      <w:r w:rsidR="007B09A3" w:rsidRPr="00917FC2">
        <w:rPr>
          <w:rFonts w:ascii="Times New Roman" w:hAnsi="Times New Roman" w:cs="Times New Roman"/>
          <w:sz w:val="28"/>
          <w:szCs w:val="28"/>
          <w:lang w:val="en-ZA"/>
        </w:rPr>
        <w:t xml:space="preserve"> </w:t>
      </w:r>
    </w:p>
    <w:p w14:paraId="58B9C33F" w14:textId="77777777" w:rsidR="00390EE9" w:rsidRPr="00917FC2" w:rsidRDefault="00390EE9" w:rsidP="00D54F44">
      <w:pPr>
        <w:pStyle w:val="BodyA"/>
        <w:spacing w:after="0" w:line="360" w:lineRule="auto"/>
        <w:rPr>
          <w:rFonts w:ascii="Times New Roman" w:hAnsi="Times New Roman" w:cs="Times New Roman"/>
          <w:sz w:val="28"/>
          <w:szCs w:val="28"/>
          <w:lang w:val="en-ZA"/>
        </w:rPr>
      </w:pPr>
    </w:p>
    <w:p w14:paraId="69843CD9" w14:textId="3E6C6634" w:rsidR="00F13F4D" w:rsidRPr="00917FC2" w:rsidRDefault="00FC03F6" w:rsidP="00D54F44">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64537E" w:rsidRPr="00917FC2">
        <w:rPr>
          <w:rFonts w:ascii="Times New Roman" w:hAnsi="Times New Roman" w:cs="Times New Roman"/>
          <w:sz w:val="28"/>
          <w:szCs w:val="28"/>
          <w:lang w:val="en-ZA"/>
        </w:rPr>
        <w:t>3</w:t>
      </w:r>
      <w:r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F13F4D" w:rsidRPr="00917FC2">
        <w:rPr>
          <w:rFonts w:ascii="Times New Roman" w:hAnsi="Times New Roman" w:cs="Times New Roman"/>
          <w:sz w:val="28"/>
          <w:szCs w:val="28"/>
          <w:lang w:val="en-ZA"/>
        </w:rPr>
        <w:t>Although</w:t>
      </w:r>
      <w:r w:rsidR="00390EE9" w:rsidRPr="00917FC2">
        <w:rPr>
          <w:rFonts w:ascii="Times New Roman" w:hAnsi="Times New Roman" w:cs="Times New Roman"/>
          <w:sz w:val="28"/>
          <w:szCs w:val="28"/>
          <w:lang w:val="en-ZA"/>
        </w:rPr>
        <w:t xml:space="preserve"> the Attorneys Act </w:t>
      </w:r>
      <w:r w:rsidR="008E7E4B" w:rsidRPr="00917FC2">
        <w:rPr>
          <w:rFonts w:ascii="Times New Roman" w:hAnsi="Times New Roman" w:cs="Times New Roman"/>
          <w:sz w:val="28"/>
          <w:szCs w:val="28"/>
          <w:lang w:val="en-ZA"/>
        </w:rPr>
        <w:t>was repeal</w:t>
      </w:r>
      <w:r w:rsidR="00F13F4D" w:rsidRPr="00917FC2">
        <w:rPr>
          <w:rFonts w:ascii="Times New Roman" w:hAnsi="Times New Roman" w:cs="Times New Roman"/>
          <w:sz w:val="28"/>
          <w:szCs w:val="28"/>
          <w:lang w:val="en-ZA"/>
        </w:rPr>
        <w:t>ed by</w:t>
      </w:r>
      <w:r w:rsidR="00390EE9" w:rsidRPr="00917FC2">
        <w:rPr>
          <w:rFonts w:ascii="Times New Roman" w:hAnsi="Times New Roman" w:cs="Times New Roman"/>
          <w:sz w:val="28"/>
          <w:szCs w:val="28"/>
          <w:lang w:val="en-ZA"/>
        </w:rPr>
        <w:t xml:space="preserve"> the Legal Practice A</w:t>
      </w:r>
      <w:r w:rsidR="00F13F4D" w:rsidRPr="00917FC2">
        <w:rPr>
          <w:rFonts w:ascii="Times New Roman" w:hAnsi="Times New Roman" w:cs="Times New Roman"/>
          <w:sz w:val="28"/>
          <w:szCs w:val="28"/>
          <w:lang w:val="en-ZA"/>
        </w:rPr>
        <w:t>ct</w:t>
      </w:r>
      <w:r w:rsidR="0067553F" w:rsidRPr="00917FC2">
        <w:rPr>
          <w:rFonts w:ascii="Times New Roman" w:hAnsi="Times New Roman" w:cs="Times New Roman"/>
          <w:sz w:val="28"/>
          <w:szCs w:val="28"/>
          <w:lang w:val="en-ZA"/>
        </w:rPr>
        <w:t xml:space="preserve"> </w:t>
      </w:r>
      <w:r w:rsidR="00F13F4D" w:rsidRPr="00917FC2">
        <w:rPr>
          <w:rFonts w:ascii="Times New Roman" w:hAnsi="Times New Roman" w:cs="Times New Roman"/>
          <w:sz w:val="28"/>
          <w:szCs w:val="28"/>
          <w:lang w:val="en-ZA"/>
        </w:rPr>
        <w:t>28 of 2014</w:t>
      </w:r>
      <w:r w:rsidR="008731BE" w:rsidRPr="00917FC2">
        <w:rPr>
          <w:rFonts w:ascii="Times New Roman" w:hAnsi="Times New Roman" w:cs="Times New Roman"/>
          <w:sz w:val="28"/>
          <w:szCs w:val="28"/>
          <w:lang w:val="en-ZA"/>
        </w:rPr>
        <w:t xml:space="preserve"> (the Legal Pr</w:t>
      </w:r>
      <w:r w:rsidR="008A6E09" w:rsidRPr="00917FC2">
        <w:rPr>
          <w:rFonts w:ascii="Times New Roman" w:hAnsi="Times New Roman" w:cs="Times New Roman"/>
          <w:sz w:val="28"/>
          <w:szCs w:val="28"/>
          <w:lang w:val="en-ZA"/>
        </w:rPr>
        <w:t>actic</w:t>
      </w:r>
      <w:r w:rsidR="008731BE" w:rsidRPr="00917FC2">
        <w:rPr>
          <w:rFonts w:ascii="Times New Roman" w:hAnsi="Times New Roman" w:cs="Times New Roman"/>
          <w:sz w:val="28"/>
          <w:szCs w:val="28"/>
          <w:lang w:val="en-ZA"/>
        </w:rPr>
        <w:t>e Act)</w:t>
      </w:r>
      <w:r w:rsidR="00390EE9" w:rsidRPr="00917FC2">
        <w:rPr>
          <w:rFonts w:ascii="Times New Roman" w:hAnsi="Times New Roman" w:cs="Times New Roman"/>
          <w:sz w:val="28"/>
          <w:szCs w:val="28"/>
          <w:lang w:val="en-ZA"/>
        </w:rPr>
        <w:t>,</w:t>
      </w:r>
      <w:r w:rsidR="008A6E09" w:rsidRPr="00917FC2">
        <w:rPr>
          <w:rFonts w:ascii="Times New Roman" w:hAnsi="Times New Roman" w:cs="Times New Roman"/>
          <w:sz w:val="28"/>
          <w:szCs w:val="28"/>
          <w:lang w:val="en-ZA"/>
        </w:rPr>
        <w:t xml:space="preserve"> which came</w:t>
      </w:r>
      <w:r w:rsidR="00EC3B8B" w:rsidRPr="00917FC2">
        <w:rPr>
          <w:rFonts w:ascii="Times New Roman" w:hAnsi="Times New Roman" w:cs="Times New Roman"/>
          <w:sz w:val="28"/>
          <w:szCs w:val="28"/>
          <w:lang w:val="en-ZA"/>
        </w:rPr>
        <w:t xml:space="preserve"> into effect o</w:t>
      </w:r>
      <w:r w:rsidR="00390EE9" w:rsidRPr="00917FC2">
        <w:rPr>
          <w:rFonts w:ascii="Times New Roman" w:hAnsi="Times New Roman" w:cs="Times New Roman"/>
          <w:sz w:val="28"/>
          <w:szCs w:val="28"/>
          <w:lang w:val="en-ZA"/>
        </w:rPr>
        <w:t>n 1</w:t>
      </w:r>
      <w:r w:rsidR="00F13F4D" w:rsidRPr="00917FC2">
        <w:rPr>
          <w:rFonts w:ascii="Times New Roman" w:hAnsi="Times New Roman" w:cs="Times New Roman"/>
          <w:sz w:val="28"/>
          <w:szCs w:val="28"/>
          <w:lang w:val="en-ZA"/>
        </w:rPr>
        <w:t xml:space="preserve"> November 2018, the latter</w:t>
      </w:r>
      <w:r w:rsidR="0005452F" w:rsidRPr="00917FC2">
        <w:rPr>
          <w:rFonts w:ascii="Times New Roman" w:hAnsi="Times New Roman" w:cs="Times New Roman"/>
          <w:sz w:val="28"/>
          <w:szCs w:val="28"/>
          <w:lang w:val="en-ZA"/>
        </w:rPr>
        <w:t xml:space="preserve"> statute</w:t>
      </w:r>
      <w:r w:rsidR="00F13F4D" w:rsidRPr="00917FC2">
        <w:rPr>
          <w:rFonts w:ascii="Times New Roman" w:hAnsi="Times New Roman" w:cs="Times New Roman"/>
          <w:sz w:val="28"/>
          <w:szCs w:val="28"/>
          <w:lang w:val="en-ZA"/>
        </w:rPr>
        <w:t xml:space="preserve"> </w:t>
      </w:r>
      <w:r w:rsidR="00390EE9" w:rsidRPr="00917FC2">
        <w:rPr>
          <w:rFonts w:ascii="Times New Roman" w:hAnsi="Times New Roman" w:cs="Times New Roman"/>
          <w:sz w:val="28"/>
          <w:szCs w:val="28"/>
          <w:lang w:val="en-ZA"/>
        </w:rPr>
        <w:t>h</w:t>
      </w:r>
      <w:r w:rsidR="00F13F4D" w:rsidRPr="00917FC2">
        <w:rPr>
          <w:rFonts w:ascii="Times New Roman" w:hAnsi="Times New Roman" w:cs="Times New Roman"/>
          <w:sz w:val="28"/>
          <w:szCs w:val="28"/>
          <w:lang w:val="en-ZA"/>
        </w:rPr>
        <w:t>as no retroactive application</w:t>
      </w:r>
      <w:r w:rsidR="00EC3B8B" w:rsidRPr="00917FC2">
        <w:rPr>
          <w:rFonts w:ascii="Times New Roman" w:hAnsi="Times New Roman" w:cs="Times New Roman"/>
          <w:sz w:val="28"/>
          <w:szCs w:val="28"/>
          <w:lang w:val="en-ZA"/>
        </w:rPr>
        <w:t>. Because t</w:t>
      </w:r>
      <w:r w:rsidR="00F13F4D" w:rsidRPr="00917FC2">
        <w:rPr>
          <w:rFonts w:ascii="Times New Roman" w:hAnsi="Times New Roman" w:cs="Times New Roman"/>
          <w:sz w:val="28"/>
          <w:szCs w:val="28"/>
          <w:lang w:val="en-ZA"/>
        </w:rPr>
        <w:t>he facts which gave rise to the appellant</w:t>
      </w:r>
      <w:r w:rsidR="00390EE9" w:rsidRPr="00917FC2">
        <w:rPr>
          <w:rFonts w:ascii="Times New Roman" w:hAnsi="Times New Roman" w:cs="Times New Roman"/>
          <w:sz w:val="28"/>
          <w:szCs w:val="28"/>
          <w:lang w:val="en-ZA"/>
        </w:rPr>
        <w:t>’</w:t>
      </w:r>
      <w:r w:rsidR="00F13F4D" w:rsidRPr="00917FC2">
        <w:rPr>
          <w:rFonts w:ascii="Times New Roman" w:hAnsi="Times New Roman" w:cs="Times New Roman"/>
          <w:sz w:val="28"/>
          <w:szCs w:val="28"/>
          <w:lang w:val="en-ZA"/>
        </w:rPr>
        <w:t>s claim occurred before 1 November 2018</w:t>
      </w:r>
      <w:r w:rsidR="00390EE9" w:rsidRPr="00917FC2">
        <w:rPr>
          <w:rFonts w:ascii="Times New Roman" w:hAnsi="Times New Roman" w:cs="Times New Roman"/>
          <w:sz w:val="28"/>
          <w:szCs w:val="28"/>
          <w:lang w:val="en-ZA"/>
        </w:rPr>
        <w:t>,</w:t>
      </w:r>
      <w:r w:rsidR="00F13F4D" w:rsidRPr="00917FC2">
        <w:rPr>
          <w:rFonts w:ascii="Times New Roman" w:hAnsi="Times New Roman" w:cs="Times New Roman"/>
          <w:sz w:val="28"/>
          <w:szCs w:val="28"/>
          <w:lang w:val="en-ZA"/>
        </w:rPr>
        <w:t xml:space="preserve"> the</w:t>
      </w:r>
      <w:r w:rsidR="00390EE9" w:rsidRPr="00917FC2">
        <w:rPr>
          <w:rFonts w:ascii="Times New Roman" w:hAnsi="Times New Roman" w:cs="Times New Roman"/>
          <w:sz w:val="28"/>
          <w:szCs w:val="28"/>
          <w:lang w:val="en-ZA"/>
        </w:rPr>
        <w:t xml:space="preserve"> matter must</w:t>
      </w:r>
      <w:r w:rsidR="00F13F4D" w:rsidRPr="00917FC2">
        <w:rPr>
          <w:rFonts w:ascii="Times New Roman" w:hAnsi="Times New Roman" w:cs="Times New Roman"/>
          <w:sz w:val="28"/>
          <w:szCs w:val="28"/>
          <w:lang w:val="en-ZA"/>
        </w:rPr>
        <w:t xml:space="preserve"> be decided in terms of the </w:t>
      </w:r>
      <w:r w:rsidR="00A30E1C" w:rsidRPr="00917FC2">
        <w:rPr>
          <w:rFonts w:ascii="Times New Roman" w:hAnsi="Times New Roman" w:cs="Times New Roman"/>
          <w:sz w:val="28"/>
          <w:szCs w:val="28"/>
          <w:lang w:val="en-ZA"/>
        </w:rPr>
        <w:t xml:space="preserve">provisions of the </w:t>
      </w:r>
      <w:r w:rsidR="00390EE9" w:rsidRPr="00917FC2">
        <w:rPr>
          <w:rFonts w:ascii="Times New Roman" w:hAnsi="Times New Roman" w:cs="Times New Roman"/>
          <w:sz w:val="28"/>
          <w:szCs w:val="28"/>
          <w:lang w:val="en-ZA"/>
        </w:rPr>
        <w:t xml:space="preserve">Attorneys </w:t>
      </w:r>
      <w:r w:rsidR="00F13F4D" w:rsidRPr="00917FC2">
        <w:rPr>
          <w:rFonts w:ascii="Times New Roman" w:hAnsi="Times New Roman" w:cs="Times New Roman"/>
          <w:sz w:val="28"/>
          <w:szCs w:val="28"/>
          <w:lang w:val="en-ZA"/>
        </w:rPr>
        <w:t>Act.</w:t>
      </w:r>
    </w:p>
    <w:p w14:paraId="111F3F6E" w14:textId="77777777" w:rsidR="00FC03F6" w:rsidRPr="00917FC2" w:rsidRDefault="00FC03F6" w:rsidP="00D54F44">
      <w:pPr>
        <w:pStyle w:val="BodyA"/>
        <w:spacing w:after="0" w:line="360" w:lineRule="auto"/>
        <w:rPr>
          <w:rFonts w:ascii="Times New Roman" w:hAnsi="Times New Roman" w:cs="Times New Roman"/>
          <w:sz w:val="28"/>
          <w:szCs w:val="28"/>
          <w:lang w:val="en-ZA"/>
        </w:rPr>
      </w:pPr>
    </w:p>
    <w:p w14:paraId="76D11654" w14:textId="7AC57A94" w:rsidR="00F62FA5" w:rsidRPr="00917FC2" w:rsidRDefault="00FC03F6" w:rsidP="00D54F44">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64537E" w:rsidRPr="00917FC2">
        <w:rPr>
          <w:rFonts w:ascii="Times New Roman" w:hAnsi="Times New Roman" w:cs="Times New Roman"/>
          <w:sz w:val="28"/>
          <w:szCs w:val="28"/>
          <w:lang w:val="en-ZA"/>
        </w:rPr>
        <w:t>4</w:t>
      </w:r>
      <w:r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AD2D2A" w:rsidRPr="00917FC2">
        <w:rPr>
          <w:rFonts w:ascii="Times New Roman" w:hAnsi="Times New Roman" w:cs="Times New Roman"/>
          <w:sz w:val="28"/>
          <w:szCs w:val="28"/>
          <w:lang w:val="en-ZA"/>
        </w:rPr>
        <w:t xml:space="preserve">The respondent is the successor in title of the Attorneys Fidelity Fund Board of Control, which ceased to exist on 1 November 2018. It was established in terms of s </w:t>
      </w:r>
      <w:r w:rsidR="00243E3A" w:rsidRPr="00917FC2">
        <w:rPr>
          <w:rFonts w:ascii="Times New Roman" w:hAnsi="Times New Roman" w:cs="Times New Roman"/>
          <w:sz w:val="28"/>
          <w:szCs w:val="28"/>
          <w:lang w:val="en-ZA"/>
        </w:rPr>
        <w:t>61 of the Legal Practice Ac</w:t>
      </w:r>
      <w:r w:rsidR="001762B7" w:rsidRPr="00917FC2">
        <w:rPr>
          <w:rFonts w:ascii="Times New Roman" w:hAnsi="Times New Roman" w:cs="Times New Roman"/>
          <w:sz w:val="28"/>
          <w:szCs w:val="28"/>
          <w:lang w:val="en-ZA"/>
        </w:rPr>
        <w:t xml:space="preserve">t and </w:t>
      </w:r>
      <w:r w:rsidR="00761150" w:rsidRPr="00917FC2">
        <w:rPr>
          <w:rFonts w:ascii="Times New Roman" w:hAnsi="Times New Roman" w:cs="Times New Roman"/>
          <w:sz w:val="28"/>
          <w:szCs w:val="28"/>
          <w:lang w:val="en-ZA"/>
        </w:rPr>
        <w:t xml:space="preserve">is responsible for the </w:t>
      </w:r>
      <w:r w:rsidR="00482547" w:rsidRPr="00917FC2">
        <w:rPr>
          <w:rFonts w:ascii="Times New Roman" w:hAnsi="Times New Roman" w:cs="Times New Roman"/>
          <w:sz w:val="28"/>
          <w:szCs w:val="28"/>
          <w:lang w:val="en-ZA"/>
        </w:rPr>
        <w:t xml:space="preserve">management and </w:t>
      </w:r>
      <w:r w:rsidR="00761150" w:rsidRPr="00917FC2">
        <w:rPr>
          <w:rFonts w:ascii="Times New Roman" w:hAnsi="Times New Roman" w:cs="Times New Roman"/>
          <w:sz w:val="28"/>
          <w:szCs w:val="28"/>
          <w:lang w:val="en-ZA"/>
        </w:rPr>
        <w:t>administra</w:t>
      </w:r>
      <w:r w:rsidR="00280814" w:rsidRPr="00917FC2">
        <w:rPr>
          <w:rFonts w:ascii="Times New Roman" w:hAnsi="Times New Roman" w:cs="Times New Roman"/>
          <w:sz w:val="28"/>
          <w:szCs w:val="28"/>
          <w:lang w:val="en-ZA"/>
        </w:rPr>
        <w:t>tion of the Legal Practitioners</w:t>
      </w:r>
      <w:r w:rsidR="005A35FA" w:rsidRPr="00917FC2">
        <w:rPr>
          <w:rFonts w:ascii="Times New Roman" w:hAnsi="Times New Roman" w:cs="Times New Roman"/>
          <w:sz w:val="28"/>
          <w:szCs w:val="28"/>
          <w:lang w:val="en-ZA"/>
        </w:rPr>
        <w:t>’</w:t>
      </w:r>
      <w:r w:rsidR="00761150" w:rsidRPr="00917FC2">
        <w:rPr>
          <w:rFonts w:ascii="Times New Roman" w:hAnsi="Times New Roman" w:cs="Times New Roman"/>
          <w:sz w:val="28"/>
          <w:szCs w:val="28"/>
          <w:lang w:val="en-ZA"/>
        </w:rPr>
        <w:t xml:space="preserve"> Fidelity Fund</w:t>
      </w:r>
      <w:r w:rsidR="00780FFF" w:rsidRPr="00917FC2">
        <w:rPr>
          <w:rFonts w:ascii="Times New Roman" w:hAnsi="Times New Roman" w:cs="Times New Roman"/>
          <w:sz w:val="28"/>
          <w:szCs w:val="28"/>
          <w:lang w:val="en-ZA"/>
        </w:rPr>
        <w:t xml:space="preserve">. </w:t>
      </w:r>
    </w:p>
    <w:p w14:paraId="4E529DA2" w14:textId="77777777" w:rsidR="00926AB2" w:rsidRPr="00917FC2" w:rsidRDefault="00926AB2" w:rsidP="00D54F44">
      <w:pPr>
        <w:pStyle w:val="BodyA"/>
        <w:spacing w:after="0" w:line="360" w:lineRule="auto"/>
        <w:rPr>
          <w:rFonts w:ascii="Times New Roman" w:hAnsi="Times New Roman" w:cs="Times New Roman"/>
          <w:b/>
          <w:sz w:val="28"/>
          <w:szCs w:val="28"/>
          <w:u w:val="single"/>
          <w:lang w:val="en-ZA"/>
        </w:rPr>
      </w:pPr>
    </w:p>
    <w:p w14:paraId="52763946" w14:textId="2F6D78C4" w:rsidR="00F62FA5" w:rsidRPr="00917FC2" w:rsidRDefault="00F62FA5" w:rsidP="00D54F44">
      <w:pPr>
        <w:pStyle w:val="BodyA"/>
        <w:spacing w:after="0" w:line="360" w:lineRule="auto"/>
        <w:rPr>
          <w:rFonts w:ascii="Times New Roman" w:hAnsi="Times New Roman" w:cs="Times New Roman"/>
          <w:b/>
          <w:sz w:val="28"/>
          <w:szCs w:val="28"/>
          <w:lang w:val="en-ZA"/>
        </w:rPr>
      </w:pPr>
      <w:r w:rsidRPr="00917FC2">
        <w:rPr>
          <w:rFonts w:ascii="Times New Roman" w:hAnsi="Times New Roman" w:cs="Times New Roman"/>
          <w:b/>
          <w:sz w:val="28"/>
          <w:szCs w:val="28"/>
          <w:lang w:val="en-ZA"/>
        </w:rPr>
        <w:t xml:space="preserve">The </w:t>
      </w:r>
      <w:r w:rsidR="00F411CB" w:rsidRPr="00917FC2">
        <w:rPr>
          <w:rFonts w:ascii="Times New Roman" w:hAnsi="Times New Roman" w:cs="Times New Roman"/>
          <w:b/>
          <w:sz w:val="28"/>
          <w:szCs w:val="28"/>
          <w:lang w:val="en-ZA"/>
        </w:rPr>
        <w:t>f</w:t>
      </w:r>
      <w:r w:rsidRPr="00917FC2">
        <w:rPr>
          <w:rFonts w:ascii="Times New Roman" w:hAnsi="Times New Roman" w:cs="Times New Roman"/>
          <w:b/>
          <w:sz w:val="28"/>
          <w:szCs w:val="28"/>
          <w:lang w:val="en-ZA"/>
        </w:rPr>
        <w:t>acts</w:t>
      </w:r>
    </w:p>
    <w:p w14:paraId="1C802213" w14:textId="0E626CCE" w:rsidR="006D27A9" w:rsidRPr="00917FC2" w:rsidRDefault="00FC03F6" w:rsidP="006D27A9">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64537E" w:rsidRPr="00917FC2">
        <w:rPr>
          <w:rFonts w:ascii="Times New Roman" w:hAnsi="Times New Roman" w:cs="Times New Roman"/>
          <w:sz w:val="28"/>
          <w:szCs w:val="28"/>
          <w:lang w:val="en-ZA"/>
        </w:rPr>
        <w:t>5</w:t>
      </w:r>
      <w:r w:rsidR="006D27A9"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752AE5" w:rsidRPr="00917FC2">
        <w:rPr>
          <w:rFonts w:ascii="Times New Roman" w:hAnsi="Times New Roman" w:cs="Times New Roman"/>
          <w:sz w:val="28"/>
          <w:szCs w:val="28"/>
          <w:lang w:val="en-ZA"/>
        </w:rPr>
        <w:t>On 17 July 2018, t</w:t>
      </w:r>
      <w:r w:rsidR="0091215D" w:rsidRPr="00917FC2">
        <w:rPr>
          <w:rFonts w:ascii="Times New Roman" w:hAnsi="Times New Roman" w:cs="Times New Roman"/>
          <w:sz w:val="28"/>
          <w:szCs w:val="28"/>
          <w:lang w:val="en-ZA"/>
        </w:rPr>
        <w:t>he appe</w:t>
      </w:r>
      <w:r w:rsidR="0096588B" w:rsidRPr="00917FC2">
        <w:rPr>
          <w:rFonts w:ascii="Times New Roman" w:hAnsi="Times New Roman" w:cs="Times New Roman"/>
          <w:sz w:val="28"/>
          <w:szCs w:val="28"/>
          <w:lang w:val="en-ZA"/>
        </w:rPr>
        <w:t xml:space="preserve">llant </w:t>
      </w:r>
      <w:r w:rsidR="0091215D" w:rsidRPr="00917FC2">
        <w:rPr>
          <w:rFonts w:ascii="Times New Roman" w:hAnsi="Times New Roman" w:cs="Times New Roman"/>
          <w:sz w:val="28"/>
          <w:szCs w:val="28"/>
          <w:lang w:val="en-ZA"/>
        </w:rPr>
        <w:t>lod</w:t>
      </w:r>
      <w:r w:rsidR="000971AC" w:rsidRPr="00917FC2">
        <w:rPr>
          <w:rFonts w:ascii="Times New Roman" w:hAnsi="Times New Roman" w:cs="Times New Roman"/>
          <w:sz w:val="28"/>
          <w:szCs w:val="28"/>
          <w:lang w:val="en-ZA"/>
        </w:rPr>
        <w:t>ged his claim with the respondent</w:t>
      </w:r>
      <w:r w:rsidR="00CE00E5" w:rsidRPr="00917FC2">
        <w:rPr>
          <w:rFonts w:ascii="Times New Roman" w:hAnsi="Times New Roman" w:cs="Times New Roman"/>
          <w:sz w:val="28"/>
          <w:szCs w:val="28"/>
          <w:lang w:val="en-ZA"/>
        </w:rPr>
        <w:t>. A</w:t>
      </w:r>
      <w:r w:rsidR="0091215D" w:rsidRPr="00917FC2">
        <w:rPr>
          <w:rFonts w:ascii="Times New Roman" w:hAnsi="Times New Roman" w:cs="Times New Roman"/>
          <w:sz w:val="28"/>
          <w:szCs w:val="28"/>
          <w:lang w:val="en-ZA"/>
        </w:rPr>
        <w:t>ft</w:t>
      </w:r>
      <w:r w:rsidR="006D27A9" w:rsidRPr="00917FC2">
        <w:rPr>
          <w:rFonts w:ascii="Times New Roman" w:hAnsi="Times New Roman" w:cs="Times New Roman"/>
          <w:sz w:val="28"/>
          <w:szCs w:val="28"/>
          <w:lang w:val="en-ZA"/>
        </w:rPr>
        <w:t xml:space="preserve">er extensive </w:t>
      </w:r>
      <w:r w:rsidR="005B59AF" w:rsidRPr="00917FC2">
        <w:rPr>
          <w:rFonts w:ascii="Times New Roman" w:hAnsi="Times New Roman" w:cs="Times New Roman"/>
          <w:sz w:val="28"/>
          <w:szCs w:val="28"/>
          <w:lang w:val="en-ZA"/>
        </w:rPr>
        <w:t>correspondence</w:t>
      </w:r>
      <w:r w:rsidR="006D27A9" w:rsidRPr="00917FC2">
        <w:rPr>
          <w:rFonts w:ascii="Times New Roman" w:hAnsi="Times New Roman" w:cs="Times New Roman"/>
          <w:sz w:val="28"/>
          <w:szCs w:val="28"/>
          <w:lang w:val="en-ZA"/>
        </w:rPr>
        <w:t xml:space="preserve"> between the par</w:t>
      </w:r>
      <w:r w:rsidR="0096588B" w:rsidRPr="00917FC2">
        <w:rPr>
          <w:rFonts w:ascii="Times New Roman" w:hAnsi="Times New Roman" w:cs="Times New Roman"/>
          <w:sz w:val="28"/>
          <w:szCs w:val="28"/>
          <w:lang w:val="en-ZA"/>
        </w:rPr>
        <w:t xml:space="preserve">ties, the respondent repudiated </w:t>
      </w:r>
      <w:r w:rsidR="00DE21BF" w:rsidRPr="00917FC2">
        <w:rPr>
          <w:rFonts w:ascii="Times New Roman" w:hAnsi="Times New Roman" w:cs="Times New Roman"/>
          <w:sz w:val="28"/>
          <w:szCs w:val="28"/>
          <w:lang w:val="en-ZA"/>
        </w:rPr>
        <w:t xml:space="preserve">the claim </w:t>
      </w:r>
      <w:r w:rsidR="0096588B" w:rsidRPr="00917FC2">
        <w:rPr>
          <w:rFonts w:ascii="Times New Roman" w:hAnsi="Times New Roman" w:cs="Times New Roman"/>
          <w:sz w:val="28"/>
          <w:szCs w:val="28"/>
          <w:lang w:val="en-ZA"/>
        </w:rPr>
        <w:t>on the ground</w:t>
      </w:r>
      <w:r w:rsidR="00FD1F0E" w:rsidRPr="00917FC2">
        <w:rPr>
          <w:rFonts w:ascii="Times New Roman" w:hAnsi="Times New Roman" w:cs="Times New Roman"/>
          <w:sz w:val="28"/>
          <w:szCs w:val="28"/>
          <w:lang w:val="en-ZA"/>
        </w:rPr>
        <w:t>s</w:t>
      </w:r>
      <w:r w:rsidR="006D27A9" w:rsidRPr="00917FC2">
        <w:rPr>
          <w:rFonts w:ascii="Times New Roman" w:hAnsi="Times New Roman" w:cs="Times New Roman"/>
          <w:sz w:val="28"/>
          <w:szCs w:val="28"/>
          <w:lang w:val="en-ZA"/>
        </w:rPr>
        <w:t xml:space="preserve"> that </w:t>
      </w:r>
      <w:r w:rsidR="00AA7DA6" w:rsidRPr="00917FC2">
        <w:rPr>
          <w:rFonts w:ascii="Times New Roman" w:hAnsi="Times New Roman" w:cs="Times New Roman"/>
          <w:sz w:val="28"/>
          <w:szCs w:val="28"/>
          <w:lang w:val="en-ZA"/>
        </w:rPr>
        <w:t xml:space="preserve">the appellant </w:t>
      </w:r>
      <w:r w:rsidR="00D602BE" w:rsidRPr="00917FC2">
        <w:rPr>
          <w:rFonts w:ascii="Times New Roman" w:hAnsi="Times New Roman" w:cs="Times New Roman"/>
          <w:sz w:val="28"/>
          <w:szCs w:val="28"/>
          <w:lang w:val="en-ZA"/>
        </w:rPr>
        <w:t xml:space="preserve">had </w:t>
      </w:r>
      <w:r w:rsidR="00AA7DA6" w:rsidRPr="00917FC2">
        <w:rPr>
          <w:rFonts w:ascii="Times New Roman" w:hAnsi="Times New Roman" w:cs="Times New Roman"/>
          <w:sz w:val="28"/>
          <w:szCs w:val="28"/>
          <w:lang w:val="en-ZA"/>
        </w:rPr>
        <w:t xml:space="preserve">failed to establish that the funds had been entrusted to Costa </w:t>
      </w:r>
      <w:r w:rsidR="00B816D8" w:rsidRPr="00917FC2">
        <w:rPr>
          <w:rFonts w:ascii="Times New Roman" w:hAnsi="Times New Roman" w:cs="Times New Roman"/>
          <w:sz w:val="28"/>
          <w:szCs w:val="28"/>
          <w:lang w:val="en-ZA"/>
        </w:rPr>
        <w:t xml:space="preserve">Attorneys </w:t>
      </w:r>
      <w:r w:rsidR="00AA7DA6" w:rsidRPr="00917FC2">
        <w:rPr>
          <w:rFonts w:ascii="Times New Roman" w:hAnsi="Times New Roman" w:cs="Times New Roman"/>
          <w:sz w:val="28"/>
          <w:szCs w:val="28"/>
          <w:lang w:val="en-ZA"/>
        </w:rPr>
        <w:t xml:space="preserve">on his behalf and </w:t>
      </w:r>
      <w:r w:rsidR="005B57CA" w:rsidRPr="00917FC2">
        <w:rPr>
          <w:rFonts w:ascii="Times New Roman" w:hAnsi="Times New Roman" w:cs="Times New Roman"/>
          <w:sz w:val="28"/>
          <w:szCs w:val="28"/>
          <w:lang w:val="en-ZA"/>
        </w:rPr>
        <w:t xml:space="preserve">that </w:t>
      </w:r>
      <w:r w:rsidR="00AA7DA6" w:rsidRPr="00917FC2">
        <w:rPr>
          <w:rFonts w:ascii="Times New Roman" w:hAnsi="Times New Roman" w:cs="Times New Roman"/>
          <w:sz w:val="28"/>
          <w:szCs w:val="28"/>
          <w:lang w:val="en-ZA"/>
        </w:rPr>
        <w:t xml:space="preserve">his claim </w:t>
      </w:r>
      <w:r w:rsidR="004136DD" w:rsidRPr="00917FC2">
        <w:rPr>
          <w:rFonts w:ascii="Times New Roman" w:hAnsi="Times New Roman" w:cs="Times New Roman"/>
          <w:sz w:val="28"/>
          <w:szCs w:val="28"/>
          <w:lang w:val="en-ZA"/>
        </w:rPr>
        <w:t>consequently</w:t>
      </w:r>
      <w:r w:rsidR="00AA7DA6" w:rsidRPr="00917FC2">
        <w:rPr>
          <w:rFonts w:ascii="Times New Roman" w:hAnsi="Times New Roman" w:cs="Times New Roman"/>
          <w:sz w:val="28"/>
          <w:szCs w:val="28"/>
          <w:lang w:val="en-ZA"/>
        </w:rPr>
        <w:t xml:space="preserve"> </w:t>
      </w:r>
      <w:r w:rsidR="00F632A3" w:rsidRPr="00917FC2">
        <w:rPr>
          <w:rFonts w:ascii="Times New Roman" w:hAnsi="Times New Roman" w:cs="Times New Roman"/>
          <w:sz w:val="28"/>
          <w:szCs w:val="28"/>
          <w:lang w:val="en-ZA"/>
        </w:rPr>
        <w:t>did</w:t>
      </w:r>
      <w:r w:rsidR="006D27A9" w:rsidRPr="00917FC2">
        <w:rPr>
          <w:rFonts w:ascii="Times New Roman" w:hAnsi="Times New Roman" w:cs="Times New Roman"/>
          <w:sz w:val="28"/>
          <w:szCs w:val="28"/>
          <w:lang w:val="en-ZA"/>
        </w:rPr>
        <w:t xml:space="preserve"> not fall </w:t>
      </w:r>
      <w:r w:rsidR="005B59AF" w:rsidRPr="00917FC2">
        <w:rPr>
          <w:rFonts w:ascii="Times New Roman" w:hAnsi="Times New Roman" w:cs="Times New Roman"/>
          <w:sz w:val="28"/>
          <w:szCs w:val="28"/>
          <w:lang w:val="en-ZA"/>
        </w:rPr>
        <w:t>with</w:t>
      </w:r>
      <w:r w:rsidR="006D27A9" w:rsidRPr="00917FC2">
        <w:rPr>
          <w:rFonts w:ascii="Times New Roman" w:hAnsi="Times New Roman" w:cs="Times New Roman"/>
          <w:sz w:val="28"/>
          <w:szCs w:val="28"/>
          <w:lang w:val="en-ZA"/>
        </w:rPr>
        <w:t>in the amb</w:t>
      </w:r>
      <w:r w:rsidR="00815B6C" w:rsidRPr="00917FC2">
        <w:rPr>
          <w:rFonts w:ascii="Times New Roman" w:hAnsi="Times New Roman" w:cs="Times New Roman"/>
          <w:sz w:val="28"/>
          <w:szCs w:val="28"/>
          <w:lang w:val="en-ZA"/>
        </w:rPr>
        <w:t>i</w:t>
      </w:r>
      <w:r w:rsidR="00926AB2" w:rsidRPr="00917FC2">
        <w:rPr>
          <w:rFonts w:ascii="Times New Roman" w:hAnsi="Times New Roman" w:cs="Times New Roman"/>
          <w:sz w:val="28"/>
          <w:szCs w:val="28"/>
          <w:lang w:val="en-ZA"/>
        </w:rPr>
        <w:t>t of s</w:t>
      </w:r>
      <w:r w:rsidR="006D27A9" w:rsidRPr="00917FC2">
        <w:rPr>
          <w:rFonts w:ascii="Times New Roman" w:hAnsi="Times New Roman" w:cs="Times New Roman"/>
          <w:sz w:val="28"/>
          <w:szCs w:val="28"/>
          <w:lang w:val="en-ZA"/>
        </w:rPr>
        <w:t xml:space="preserve"> 26</w:t>
      </w:r>
      <w:r w:rsidR="006D27A9" w:rsidRPr="00917FC2">
        <w:rPr>
          <w:rFonts w:ascii="Times New Roman" w:hAnsi="Times New Roman" w:cs="Times New Roman"/>
          <w:i/>
          <w:sz w:val="28"/>
          <w:szCs w:val="28"/>
          <w:lang w:val="en-ZA"/>
        </w:rPr>
        <w:t>(a)</w:t>
      </w:r>
      <w:r w:rsidR="006D27A9" w:rsidRPr="00917FC2">
        <w:rPr>
          <w:rFonts w:ascii="Times New Roman" w:hAnsi="Times New Roman" w:cs="Times New Roman"/>
          <w:sz w:val="28"/>
          <w:szCs w:val="28"/>
          <w:lang w:val="en-ZA"/>
        </w:rPr>
        <w:t xml:space="preserve"> of the </w:t>
      </w:r>
      <w:r w:rsidR="006A0DB4" w:rsidRPr="00917FC2">
        <w:rPr>
          <w:rFonts w:ascii="Times New Roman" w:hAnsi="Times New Roman" w:cs="Times New Roman"/>
          <w:sz w:val="28"/>
          <w:szCs w:val="28"/>
          <w:lang w:val="en-ZA"/>
        </w:rPr>
        <w:t xml:space="preserve">Attorneys </w:t>
      </w:r>
      <w:r w:rsidR="005B59AF" w:rsidRPr="00917FC2">
        <w:rPr>
          <w:rFonts w:ascii="Times New Roman" w:hAnsi="Times New Roman" w:cs="Times New Roman"/>
          <w:sz w:val="28"/>
          <w:szCs w:val="28"/>
          <w:lang w:val="en-ZA"/>
        </w:rPr>
        <w:t>Act</w:t>
      </w:r>
      <w:r w:rsidR="006D27A9" w:rsidRPr="00917FC2">
        <w:rPr>
          <w:rFonts w:ascii="Times New Roman" w:hAnsi="Times New Roman" w:cs="Times New Roman"/>
          <w:sz w:val="28"/>
          <w:szCs w:val="28"/>
          <w:lang w:val="en-ZA"/>
        </w:rPr>
        <w:t>.</w:t>
      </w:r>
    </w:p>
    <w:p w14:paraId="7AA7FF1A" w14:textId="77777777" w:rsidR="003644B1" w:rsidRPr="00917FC2" w:rsidRDefault="003644B1" w:rsidP="006D27A9">
      <w:pPr>
        <w:pStyle w:val="BodyA"/>
        <w:spacing w:after="0" w:line="360" w:lineRule="auto"/>
        <w:rPr>
          <w:rFonts w:ascii="Times New Roman" w:hAnsi="Times New Roman" w:cs="Times New Roman"/>
          <w:sz w:val="28"/>
          <w:szCs w:val="28"/>
          <w:lang w:val="en-ZA"/>
        </w:rPr>
      </w:pPr>
    </w:p>
    <w:p w14:paraId="19F27E3C" w14:textId="40A54DFA" w:rsidR="00C979B4" w:rsidRPr="00917FC2" w:rsidRDefault="00C979B4" w:rsidP="006D27A9">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64537E" w:rsidRPr="00917FC2">
        <w:rPr>
          <w:rFonts w:ascii="Times New Roman" w:hAnsi="Times New Roman" w:cs="Times New Roman"/>
          <w:sz w:val="28"/>
          <w:szCs w:val="28"/>
          <w:lang w:val="en-ZA"/>
        </w:rPr>
        <w:t>6</w:t>
      </w:r>
      <w:r w:rsidR="006D27A9"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6D27A9" w:rsidRPr="00917FC2">
        <w:rPr>
          <w:rFonts w:ascii="Times New Roman" w:hAnsi="Times New Roman" w:cs="Times New Roman"/>
          <w:sz w:val="28"/>
          <w:szCs w:val="28"/>
          <w:lang w:val="en-ZA"/>
        </w:rPr>
        <w:t>The appellant</w:t>
      </w:r>
      <w:r w:rsidR="003B21DA" w:rsidRPr="00917FC2">
        <w:rPr>
          <w:rFonts w:ascii="Times New Roman" w:hAnsi="Times New Roman" w:cs="Times New Roman"/>
          <w:sz w:val="28"/>
          <w:szCs w:val="28"/>
          <w:lang w:val="en-ZA"/>
        </w:rPr>
        <w:t>’</w:t>
      </w:r>
      <w:r w:rsidR="005B59AF" w:rsidRPr="00917FC2">
        <w:rPr>
          <w:rFonts w:ascii="Times New Roman" w:hAnsi="Times New Roman" w:cs="Times New Roman"/>
          <w:sz w:val="28"/>
          <w:szCs w:val="28"/>
          <w:lang w:val="en-ZA"/>
        </w:rPr>
        <w:t>s</w:t>
      </w:r>
      <w:r w:rsidR="006D27A9" w:rsidRPr="00917FC2">
        <w:rPr>
          <w:rFonts w:ascii="Times New Roman" w:hAnsi="Times New Roman" w:cs="Times New Roman"/>
          <w:sz w:val="28"/>
          <w:szCs w:val="28"/>
          <w:lang w:val="en-ZA"/>
        </w:rPr>
        <w:t xml:space="preserve"> claim </w:t>
      </w:r>
      <w:r w:rsidR="001C09CE" w:rsidRPr="00917FC2">
        <w:rPr>
          <w:rFonts w:ascii="Times New Roman" w:hAnsi="Times New Roman" w:cs="Times New Roman"/>
          <w:sz w:val="28"/>
          <w:szCs w:val="28"/>
          <w:lang w:val="en-ZA"/>
        </w:rPr>
        <w:t xml:space="preserve">comprised </w:t>
      </w:r>
      <w:r w:rsidR="00540B1C" w:rsidRPr="00917FC2">
        <w:rPr>
          <w:rFonts w:ascii="Times New Roman" w:hAnsi="Times New Roman" w:cs="Times New Roman"/>
          <w:sz w:val="28"/>
          <w:szCs w:val="28"/>
          <w:lang w:val="en-ZA"/>
        </w:rPr>
        <w:t xml:space="preserve">51 </w:t>
      </w:r>
      <w:r w:rsidR="00FC5F1F" w:rsidRPr="00917FC2">
        <w:rPr>
          <w:rFonts w:ascii="Times New Roman" w:hAnsi="Times New Roman" w:cs="Times New Roman"/>
          <w:sz w:val="28"/>
          <w:szCs w:val="28"/>
          <w:lang w:val="en-ZA"/>
        </w:rPr>
        <w:t xml:space="preserve">of </w:t>
      </w:r>
      <w:r w:rsidR="002F7A58" w:rsidRPr="00917FC2">
        <w:rPr>
          <w:rFonts w:ascii="Times New Roman" w:hAnsi="Times New Roman" w:cs="Times New Roman"/>
          <w:sz w:val="28"/>
          <w:szCs w:val="28"/>
          <w:lang w:val="en-ZA"/>
        </w:rPr>
        <w:t xml:space="preserve">unpaid </w:t>
      </w:r>
      <w:r w:rsidR="00540B1C" w:rsidRPr="00917FC2">
        <w:rPr>
          <w:rFonts w:ascii="Times New Roman" w:hAnsi="Times New Roman" w:cs="Times New Roman"/>
          <w:sz w:val="28"/>
          <w:szCs w:val="28"/>
          <w:lang w:val="en-ZA"/>
        </w:rPr>
        <w:t xml:space="preserve">tax </w:t>
      </w:r>
      <w:r w:rsidR="003B2321" w:rsidRPr="00917FC2">
        <w:rPr>
          <w:rFonts w:ascii="Times New Roman" w:hAnsi="Times New Roman" w:cs="Times New Roman"/>
          <w:sz w:val="28"/>
          <w:szCs w:val="28"/>
          <w:lang w:val="en-ZA"/>
        </w:rPr>
        <w:t>invoices that</w:t>
      </w:r>
      <w:r w:rsidR="00540B1C" w:rsidRPr="00917FC2">
        <w:rPr>
          <w:rFonts w:ascii="Times New Roman" w:hAnsi="Times New Roman" w:cs="Times New Roman"/>
          <w:sz w:val="28"/>
          <w:szCs w:val="28"/>
          <w:lang w:val="en-ZA"/>
        </w:rPr>
        <w:t xml:space="preserve"> he </w:t>
      </w:r>
      <w:r w:rsidR="003B2321" w:rsidRPr="00917FC2">
        <w:rPr>
          <w:rFonts w:ascii="Times New Roman" w:hAnsi="Times New Roman" w:cs="Times New Roman"/>
          <w:sz w:val="28"/>
          <w:szCs w:val="28"/>
          <w:lang w:val="en-ZA"/>
        </w:rPr>
        <w:t xml:space="preserve">had </w:t>
      </w:r>
      <w:r w:rsidR="00D602BE" w:rsidRPr="00917FC2">
        <w:rPr>
          <w:rFonts w:ascii="Times New Roman" w:hAnsi="Times New Roman" w:cs="Times New Roman"/>
          <w:sz w:val="28"/>
          <w:szCs w:val="28"/>
          <w:lang w:val="en-ZA"/>
        </w:rPr>
        <w:t xml:space="preserve">allegedly </w:t>
      </w:r>
      <w:r w:rsidR="003B2321" w:rsidRPr="00917FC2">
        <w:rPr>
          <w:rFonts w:ascii="Times New Roman" w:hAnsi="Times New Roman" w:cs="Times New Roman"/>
          <w:sz w:val="28"/>
          <w:szCs w:val="28"/>
          <w:lang w:val="en-ZA"/>
        </w:rPr>
        <w:t xml:space="preserve">rendered to Costa Attorneys </w:t>
      </w:r>
      <w:r w:rsidR="00540B1C" w:rsidRPr="00917FC2">
        <w:rPr>
          <w:rFonts w:ascii="Times New Roman" w:hAnsi="Times New Roman" w:cs="Times New Roman"/>
          <w:sz w:val="28"/>
          <w:szCs w:val="28"/>
          <w:lang w:val="en-ZA"/>
        </w:rPr>
        <w:t xml:space="preserve">in respect of </w:t>
      </w:r>
      <w:r w:rsidR="002F7A58" w:rsidRPr="00917FC2">
        <w:rPr>
          <w:rFonts w:ascii="Times New Roman" w:hAnsi="Times New Roman" w:cs="Times New Roman"/>
          <w:sz w:val="28"/>
          <w:szCs w:val="28"/>
          <w:lang w:val="en-ZA"/>
        </w:rPr>
        <w:t xml:space="preserve">professional </w:t>
      </w:r>
      <w:r w:rsidR="003B2321" w:rsidRPr="00917FC2">
        <w:rPr>
          <w:rFonts w:ascii="Times New Roman" w:hAnsi="Times New Roman" w:cs="Times New Roman"/>
          <w:sz w:val="28"/>
          <w:szCs w:val="28"/>
          <w:lang w:val="en-ZA"/>
        </w:rPr>
        <w:t xml:space="preserve">services performed </w:t>
      </w:r>
      <w:r w:rsidR="00540B1C" w:rsidRPr="00917FC2">
        <w:rPr>
          <w:rFonts w:ascii="Times New Roman" w:hAnsi="Times New Roman" w:cs="Times New Roman"/>
          <w:sz w:val="28"/>
          <w:szCs w:val="28"/>
          <w:lang w:val="en-ZA"/>
        </w:rPr>
        <w:lastRenderedPageBreak/>
        <w:t>by him</w:t>
      </w:r>
      <w:r w:rsidR="00891615" w:rsidRPr="00917FC2">
        <w:rPr>
          <w:rFonts w:ascii="Times New Roman" w:hAnsi="Times New Roman" w:cs="Times New Roman"/>
          <w:sz w:val="28"/>
          <w:szCs w:val="28"/>
          <w:lang w:val="en-ZA"/>
        </w:rPr>
        <w:t xml:space="preserve"> </w:t>
      </w:r>
      <w:r w:rsidR="00503DED" w:rsidRPr="00917FC2">
        <w:rPr>
          <w:rFonts w:ascii="Times New Roman" w:hAnsi="Times New Roman" w:cs="Times New Roman"/>
          <w:sz w:val="28"/>
          <w:szCs w:val="28"/>
          <w:lang w:val="en-ZA"/>
        </w:rPr>
        <w:t xml:space="preserve">for various clients </w:t>
      </w:r>
      <w:r w:rsidR="00891615" w:rsidRPr="00917FC2">
        <w:rPr>
          <w:rFonts w:ascii="Times New Roman" w:hAnsi="Times New Roman" w:cs="Times New Roman"/>
          <w:sz w:val="28"/>
          <w:szCs w:val="28"/>
          <w:lang w:val="en-ZA"/>
        </w:rPr>
        <w:t>during February to June 2018</w:t>
      </w:r>
      <w:r w:rsidR="00540B1C" w:rsidRPr="00917FC2">
        <w:rPr>
          <w:rFonts w:ascii="Times New Roman" w:hAnsi="Times New Roman" w:cs="Times New Roman"/>
          <w:sz w:val="28"/>
          <w:szCs w:val="28"/>
          <w:lang w:val="en-ZA"/>
        </w:rPr>
        <w:t xml:space="preserve">. </w:t>
      </w:r>
      <w:r w:rsidR="00891615" w:rsidRPr="00917FC2">
        <w:rPr>
          <w:rFonts w:ascii="Times New Roman" w:hAnsi="Times New Roman" w:cs="Times New Roman"/>
          <w:sz w:val="28"/>
          <w:szCs w:val="28"/>
          <w:lang w:val="en-ZA"/>
        </w:rPr>
        <w:t xml:space="preserve">He claimed that </w:t>
      </w:r>
      <w:r w:rsidR="009F65B6" w:rsidRPr="00917FC2">
        <w:rPr>
          <w:rFonts w:ascii="Times New Roman" w:hAnsi="Times New Roman" w:cs="Times New Roman"/>
          <w:sz w:val="28"/>
          <w:szCs w:val="28"/>
          <w:lang w:val="en-ZA"/>
        </w:rPr>
        <w:t xml:space="preserve">clients had paid </w:t>
      </w:r>
      <w:r w:rsidR="004C5F71" w:rsidRPr="00917FC2">
        <w:rPr>
          <w:rFonts w:ascii="Times New Roman" w:hAnsi="Times New Roman" w:cs="Times New Roman"/>
          <w:sz w:val="28"/>
          <w:szCs w:val="28"/>
          <w:lang w:val="en-ZA"/>
        </w:rPr>
        <w:t>funds</w:t>
      </w:r>
      <w:r w:rsidR="009F65B6" w:rsidRPr="00917FC2">
        <w:rPr>
          <w:rFonts w:ascii="Times New Roman" w:hAnsi="Times New Roman" w:cs="Times New Roman"/>
          <w:sz w:val="28"/>
          <w:szCs w:val="28"/>
          <w:lang w:val="en-ZA"/>
        </w:rPr>
        <w:t xml:space="preserve"> </w:t>
      </w:r>
      <w:r w:rsidR="00891615" w:rsidRPr="00917FC2">
        <w:rPr>
          <w:rFonts w:ascii="Times New Roman" w:hAnsi="Times New Roman" w:cs="Times New Roman"/>
          <w:sz w:val="28"/>
          <w:szCs w:val="28"/>
          <w:lang w:val="en-ZA"/>
        </w:rPr>
        <w:t xml:space="preserve">to Costa </w:t>
      </w:r>
      <w:r w:rsidR="009E74B1" w:rsidRPr="00917FC2">
        <w:rPr>
          <w:rFonts w:ascii="Times New Roman" w:hAnsi="Times New Roman" w:cs="Times New Roman"/>
          <w:sz w:val="28"/>
          <w:szCs w:val="28"/>
          <w:lang w:val="en-ZA"/>
        </w:rPr>
        <w:t xml:space="preserve">Attorneys </w:t>
      </w:r>
      <w:r w:rsidR="00891615" w:rsidRPr="00917FC2">
        <w:rPr>
          <w:rFonts w:ascii="Times New Roman" w:hAnsi="Times New Roman" w:cs="Times New Roman"/>
          <w:sz w:val="28"/>
          <w:szCs w:val="28"/>
          <w:lang w:val="en-ZA"/>
        </w:rPr>
        <w:t>as cover for</w:t>
      </w:r>
      <w:r w:rsidR="00540B1C" w:rsidRPr="00917FC2">
        <w:rPr>
          <w:rFonts w:ascii="Times New Roman" w:hAnsi="Times New Roman" w:cs="Times New Roman"/>
          <w:sz w:val="28"/>
          <w:szCs w:val="28"/>
          <w:lang w:val="en-ZA"/>
        </w:rPr>
        <w:t xml:space="preserve"> his fees </w:t>
      </w:r>
      <w:r w:rsidR="00891615" w:rsidRPr="00917FC2">
        <w:rPr>
          <w:rFonts w:ascii="Times New Roman" w:hAnsi="Times New Roman" w:cs="Times New Roman"/>
          <w:sz w:val="28"/>
          <w:szCs w:val="28"/>
          <w:lang w:val="en-ZA"/>
        </w:rPr>
        <w:t xml:space="preserve">and </w:t>
      </w:r>
      <w:r w:rsidR="009E74B1" w:rsidRPr="00917FC2">
        <w:rPr>
          <w:rFonts w:ascii="Times New Roman" w:hAnsi="Times New Roman" w:cs="Times New Roman"/>
          <w:sz w:val="28"/>
          <w:szCs w:val="28"/>
          <w:lang w:val="en-ZA"/>
        </w:rPr>
        <w:t xml:space="preserve">that </w:t>
      </w:r>
      <w:r w:rsidR="003E5136" w:rsidRPr="00917FC2">
        <w:rPr>
          <w:rFonts w:ascii="Times New Roman" w:hAnsi="Times New Roman" w:cs="Times New Roman"/>
          <w:sz w:val="28"/>
          <w:szCs w:val="28"/>
          <w:lang w:val="en-ZA"/>
        </w:rPr>
        <w:t>those funds</w:t>
      </w:r>
      <w:r w:rsidR="009F65B6" w:rsidRPr="00917FC2">
        <w:rPr>
          <w:rFonts w:ascii="Times New Roman" w:hAnsi="Times New Roman" w:cs="Times New Roman"/>
          <w:sz w:val="28"/>
          <w:szCs w:val="28"/>
          <w:lang w:val="en-ZA"/>
        </w:rPr>
        <w:t xml:space="preserve"> </w:t>
      </w:r>
      <w:r w:rsidR="00891615" w:rsidRPr="00917FC2">
        <w:rPr>
          <w:rFonts w:ascii="Times New Roman" w:hAnsi="Times New Roman" w:cs="Times New Roman"/>
          <w:sz w:val="28"/>
          <w:szCs w:val="28"/>
          <w:lang w:val="en-ZA"/>
        </w:rPr>
        <w:t>had</w:t>
      </w:r>
      <w:r w:rsidR="00540B1C" w:rsidRPr="00917FC2">
        <w:rPr>
          <w:rFonts w:ascii="Times New Roman" w:hAnsi="Times New Roman" w:cs="Times New Roman"/>
          <w:sz w:val="28"/>
          <w:szCs w:val="28"/>
          <w:lang w:val="en-ZA"/>
        </w:rPr>
        <w:t xml:space="preserve"> </w:t>
      </w:r>
      <w:r w:rsidR="00891615" w:rsidRPr="00917FC2">
        <w:rPr>
          <w:rFonts w:ascii="Times New Roman" w:hAnsi="Times New Roman" w:cs="Times New Roman"/>
          <w:sz w:val="28"/>
          <w:szCs w:val="28"/>
          <w:lang w:val="en-ZA"/>
        </w:rPr>
        <w:t xml:space="preserve">been </w:t>
      </w:r>
      <w:r w:rsidR="00540B1C" w:rsidRPr="00917FC2">
        <w:rPr>
          <w:rFonts w:ascii="Times New Roman" w:hAnsi="Times New Roman" w:cs="Times New Roman"/>
          <w:sz w:val="28"/>
          <w:szCs w:val="28"/>
          <w:lang w:val="en-ZA"/>
        </w:rPr>
        <w:t xml:space="preserve">entrusted to </w:t>
      </w:r>
      <w:r w:rsidR="009E74B1" w:rsidRPr="00917FC2">
        <w:rPr>
          <w:rFonts w:ascii="Times New Roman" w:hAnsi="Times New Roman" w:cs="Times New Roman"/>
          <w:sz w:val="28"/>
          <w:szCs w:val="28"/>
          <w:lang w:val="en-ZA"/>
        </w:rPr>
        <w:t xml:space="preserve">the latter </w:t>
      </w:r>
      <w:r w:rsidR="00540B1C" w:rsidRPr="00917FC2">
        <w:rPr>
          <w:rFonts w:ascii="Times New Roman" w:hAnsi="Times New Roman" w:cs="Times New Roman"/>
          <w:sz w:val="28"/>
          <w:szCs w:val="28"/>
          <w:lang w:val="en-ZA"/>
        </w:rPr>
        <w:t>on his behalf</w:t>
      </w:r>
      <w:r w:rsidR="00621D15" w:rsidRPr="00917FC2">
        <w:rPr>
          <w:rFonts w:ascii="Times New Roman" w:hAnsi="Times New Roman" w:cs="Times New Roman"/>
          <w:sz w:val="28"/>
          <w:szCs w:val="28"/>
          <w:lang w:val="en-ZA"/>
        </w:rPr>
        <w:t>,</w:t>
      </w:r>
      <w:r w:rsidR="003B21DA" w:rsidRPr="00917FC2">
        <w:rPr>
          <w:rFonts w:ascii="Times New Roman" w:hAnsi="Times New Roman" w:cs="Times New Roman"/>
          <w:sz w:val="28"/>
          <w:szCs w:val="28"/>
          <w:lang w:val="en-ZA"/>
        </w:rPr>
        <w:t xml:space="preserve"> as contemplated by s 26</w:t>
      </w:r>
      <w:r w:rsidR="003B21DA" w:rsidRPr="00917FC2">
        <w:rPr>
          <w:rFonts w:ascii="Times New Roman" w:hAnsi="Times New Roman" w:cs="Times New Roman"/>
          <w:i/>
          <w:sz w:val="28"/>
          <w:szCs w:val="28"/>
          <w:lang w:val="en-ZA"/>
        </w:rPr>
        <w:t>(a)</w:t>
      </w:r>
      <w:r w:rsidR="00540B1C" w:rsidRPr="00917FC2">
        <w:rPr>
          <w:rFonts w:ascii="Times New Roman" w:hAnsi="Times New Roman" w:cs="Times New Roman"/>
          <w:sz w:val="28"/>
          <w:szCs w:val="28"/>
          <w:lang w:val="en-ZA"/>
        </w:rPr>
        <w:t>.</w:t>
      </w:r>
      <w:r w:rsidR="002F7A58" w:rsidRPr="00917FC2">
        <w:rPr>
          <w:rFonts w:ascii="Times New Roman" w:hAnsi="Times New Roman" w:cs="Times New Roman"/>
          <w:sz w:val="28"/>
          <w:szCs w:val="28"/>
          <w:lang w:val="en-ZA"/>
        </w:rPr>
        <w:t xml:space="preserve"> </w:t>
      </w:r>
      <w:r w:rsidR="003E5136" w:rsidRPr="00917FC2">
        <w:rPr>
          <w:rFonts w:ascii="Times New Roman" w:hAnsi="Times New Roman" w:cs="Times New Roman"/>
          <w:sz w:val="28"/>
          <w:szCs w:val="28"/>
          <w:lang w:val="en-ZA"/>
        </w:rPr>
        <w:t xml:space="preserve">He </w:t>
      </w:r>
      <w:r w:rsidR="00D602BE" w:rsidRPr="00917FC2">
        <w:rPr>
          <w:rFonts w:ascii="Times New Roman" w:hAnsi="Times New Roman" w:cs="Times New Roman"/>
          <w:sz w:val="28"/>
          <w:szCs w:val="28"/>
          <w:lang w:val="en-ZA"/>
        </w:rPr>
        <w:t xml:space="preserve">further </w:t>
      </w:r>
      <w:r w:rsidR="00030BC0" w:rsidRPr="00917FC2">
        <w:rPr>
          <w:rFonts w:ascii="Times New Roman" w:hAnsi="Times New Roman" w:cs="Times New Roman"/>
          <w:sz w:val="28"/>
          <w:szCs w:val="28"/>
          <w:lang w:val="en-ZA"/>
        </w:rPr>
        <w:t xml:space="preserve">alleged </w:t>
      </w:r>
      <w:r w:rsidR="003E5136" w:rsidRPr="00917FC2">
        <w:rPr>
          <w:rFonts w:ascii="Times New Roman" w:hAnsi="Times New Roman" w:cs="Times New Roman"/>
          <w:sz w:val="28"/>
          <w:szCs w:val="28"/>
          <w:lang w:val="en-ZA"/>
        </w:rPr>
        <w:t>that t</w:t>
      </w:r>
      <w:r w:rsidR="00A73EDB" w:rsidRPr="00917FC2">
        <w:rPr>
          <w:rFonts w:ascii="Times New Roman" w:hAnsi="Times New Roman" w:cs="Times New Roman"/>
          <w:sz w:val="28"/>
          <w:szCs w:val="28"/>
          <w:lang w:val="en-ZA"/>
        </w:rPr>
        <w:t xml:space="preserve">he managing partner, </w:t>
      </w:r>
      <w:r w:rsidR="00C97926" w:rsidRPr="00917FC2">
        <w:rPr>
          <w:rFonts w:ascii="Times New Roman" w:hAnsi="Times New Roman" w:cs="Times New Roman"/>
          <w:sz w:val="28"/>
          <w:szCs w:val="28"/>
          <w:lang w:val="en-ZA"/>
        </w:rPr>
        <w:t xml:space="preserve">Mr </w:t>
      </w:r>
      <w:r w:rsidR="00A73EDB" w:rsidRPr="00917FC2">
        <w:rPr>
          <w:rFonts w:ascii="Times New Roman" w:hAnsi="Times New Roman" w:cs="Times New Roman"/>
          <w:sz w:val="28"/>
          <w:szCs w:val="28"/>
          <w:lang w:val="en-ZA"/>
        </w:rPr>
        <w:t>Manuel Fernando Martins Costa (Mr Costa)</w:t>
      </w:r>
      <w:r w:rsidR="003E5136" w:rsidRPr="00917FC2">
        <w:rPr>
          <w:rFonts w:ascii="Times New Roman" w:hAnsi="Times New Roman" w:cs="Times New Roman"/>
          <w:sz w:val="28"/>
          <w:szCs w:val="28"/>
          <w:lang w:val="en-ZA"/>
        </w:rPr>
        <w:t>,</w:t>
      </w:r>
      <w:r w:rsidR="00A73EDB" w:rsidRPr="00917FC2">
        <w:rPr>
          <w:rFonts w:ascii="Times New Roman" w:hAnsi="Times New Roman" w:cs="Times New Roman"/>
          <w:sz w:val="28"/>
          <w:szCs w:val="28"/>
          <w:lang w:val="en-ZA"/>
        </w:rPr>
        <w:t xml:space="preserve"> </w:t>
      </w:r>
      <w:r w:rsidR="001E5FC7" w:rsidRPr="00917FC2">
        <w:rPr>
          <w:rFonts w:ascii="Times New Roman" w:hAnsi="Times New Roman" w:cs="Times New Roman"/>
          <w:sz w:val="28"/>
          <w:szCs w:val="28"/>
          <w:lang w:val="en-ZA"/>
        </w:rPr>
        <w:t xml:space="preserve">misappropriated the </w:t>
      </w:r>
      <w:r w:rsidR="0041596E" w:rsidRPr="00917FC2">
        <w:rPr>
          <w:rFonts w:ascii="Times New Roman" w:hAnsi="Times New Roman" w:cs="Times New Roman"/>
          <w:sz w:val="28"/>
          <w:szCs w:val="28"/>
          <w:lang w:val="en-ZA"/>
        </w:rPr>
        <w:t>mo</w:t>
      </w:r>
      <w:r w:rsidR="001E5FC7" w:rsidRPr="00917FC2">
        <w:rPr>
          <w:rFonts w:ascii="Times New Roman" w:hAnsi="Times New Roman" w:cs="Times New Roman"/>
          <w:sz w:val="28"/>
          <w:szCs w:val="28"/>
          <w:lang w:val="en-ZA"/>
        </w:rPr>
        <w:t>nies</w:t>
      </w:r>
      <w:r w:rsidR="004B5F13" w:rsidRPr="00917FC2">
        <w:rPr>
          <w:rFonts w:ascii="Times New Roman" w:hAnsi="Times New Roman" w:cs="Times New Roman"/>
          <w:sz w:val="28"/>
          <w:szCs w:val="28"/>
          <w:lang w:val="en-ZA"/>
        </w:rPr>
        <w:t>,</w:t>
      </w:r>
      <w:r w:rsidR="0041596E" w:rsidRPr="00917FC2">
        <w:rPr>
          <w:rFonts w:ascii="Times New Roman" w:hAnsi="Times New Roman" w:cs="Times New Roman"/>
          <w:sz w:val="28"/>
          <w:szCs w:val="28"/>
          <w:lang w:val="en-ZA"/>
        </w:rPr>
        <w:t xml:space="preserve"> causing him to suffer pecuniary </w:t>
      </w:r>
      <w:r w:rsidR="00207CF2" w:rsidRPr="00917FC2">
        <w:rPr>
          <w:rFonts w:ascii="Times New Roman" w:hAnsi="Times New Roman" w:cs="Times New Roman"/>
          <w:sz w:val="28"/>
          <w:szCs w:val="28"/>
          <w:lang w:val="en-ZA"/>
        </w:rPr>
        <w:t xml:space="preserve">loss </w:t>
      </w:r>
      <w:r w:rsidR="0041596E" w:rsidRPr="00917FC2">
        <w:rPr>
          <w:rFonts w:ascii="Times New Roman" w:hAnsi="Times New Roman" w:cs="Times New Roman"/>
          <w:sz w:val="28"/>
          <w:szCs w:val="28"/>
          <w:lang w:val="en-ZA"/>
        </w:rPr>
        <w:t xml:space="preserve">in the </w:t>
      </w:r>
      <w:r w:rsidR="004B5F13" w:rsidRPr="00917FC2">
        <w:rPr>
          <w:rFonts w:ascii="Times New Roman" w:hAnsi="Times New Roman" w:cs="Times New Roman"/>
          <w:sz w:val="28"/>
          <w:szCs w:val="28"/>
          <w:lang w:val="en-ZA"/>
        </w:rPr>
        <w:t>claimed sum.</w:t>
      </w:r>
    </w:p>
    <w:p w14:paraId="06E18BF5" w14:textId="77777777" w:rsidR="00457CFE" w:rsidRPr="00917FC2" w:rsidRDefault="00457CFE" w:rsidP="006D27A9">
      <w:pPr>
        <w:pStyle w:val="BodyA"/>
        <w:spacing w:after="0" w:line="360" w:lineRule="auto"/>
        <w:rPr>
          <w:rFonts w:ascii="Times New Roman" w:hAnsi="Times New Roman" w:cs="Times New Roman"/>
          <w:sz w:val="28"/>
          <w:szCs w:val="28"/>
          <w:lang w:val="en-ZA"/>
        </w:rPr>
      </w:pPr>
    </w:p>
    <w:p w14:paraId="15C2E669" w14:textId="5CF34098" w:rsidR="00AE7897" w:rsidRPr="00917FC2" w:rsidRDefault="00C05AB1" w:rsidP="006D27A9">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64537E" w:rsidRPr="00917FC2">
        <w:rPr>
          <w:rFonts w:ascii="Times New Roman" w:hAnsi="Times New Roman" w:cs="Times New Roman"/>
          <w:sz w:val="28"/>
          <w:szCs w:val="28"/>
          <w:lang w:val="en-ZA"/>
        </w:rPr>
        <w:t>7</w:t>
      </w:r>
      <w:r w:rsidR="00C979B4"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1237A5" w:rsidRPr="00917FC2">
        <w:rPr>
          <w:rFonts w:ascii="Times New Roman" w:hAnsi="Times New Roman" w:cs="Times New Roman"/>
          <w:sz w:val="28"/>
          <w:szCs w:val="28"/>
          <w:lang w:val="en-ZA"/>
        </w:rPr>
        <w:t xml:space="preserve">Mr Costa </w:t>
      </w:r>
      <w:r w:rsidR="004C5F71" w:rsidRPr="00917FC2">
        <w:rPr>
          <w:rFonts w:ascii="Times New Roman" w:hAnsi="Times New Roman" w:cs="Times New Roman"/>
          <w:sz w:val="28"/>
          <w:szCs w:val="28"/>
          <w:lang w:val="en-ZA"/>
        </w:rPr>
        <w:t>absconded</w:t>
      </w:r>
      <w:r w:rsidR="00457CFE" w:rsidRPr="00917FC2">
        <w:rPr>
          <w:rFonts w:ascii="Times New Roman" w:hAnsi="Times New Roman" w:cs="Times New Roman"/>
          <w:sz w:val="28"/>
          <w:szCs w:val="28"/>
          <w:lang w:val="en-ZA"/>
        </w:rPr>
        <w:t xml:space="preserve"> after the Legal Practi</w:t>
      </w:r>
      <w:r w:rsidR="00F84118" w:rsidRPr="00917FC2">
        <w:rPr>
          <w:rFonts w:ascii="Times New Roman" w:hAnsi="Times New Roman" w:cs="Times New Roman"/>
          <w:sz w:val="28"/>
          <w:szCs w:val="28"/>
          <w:lang w:val="en-ZA"/>
        </w:rPr>
        <w:t>c</w:t>
      </w:r>
      <w:r w:rsidR="00457CFE" w:rsidRPr="00917FC2">
        <w:rPr>
          <w:rFonts w:ascii="Times New Roman" w:hAnsi="Times New Roman" w:cs="Times New Roman"/>
          <w:sz w:val="28"/>
          <w:szCs w:val="28"/>
          <w:lang w:val="en-ZA"/>
        </w:rPr>
        <w:t>e Council</w:t>
      </w:r>
      <w:r w:rsidR="00F84118" w:rsidRPr="00917FC2">
        <w:rPr>
          <w:rFonts w:ascii="Times New Roman" w:hAnsi="Times New Roman" w:cs="Times New Roman"/>
          <w:sz w:val="28"/>
          <w:szCs w:val="28"/>
          <w:lang w:val="en-ZA"/>
        </w:rPr>
        <w:t xml:space="preserve"> (the Council)</w:t>
      </w:r>
      <w:r w:rsidR="00457CFE" w:rsidRPr="00917FC2">
        <w:rPr>
          <w:rFonts w:ascii="Times New Roman" w:hAnsi="Times New Roman" w:cs="Times New Roman"/>
          <w:sz w:val="28"/>
          <w:szCs w:val="28"/>
          <w:lang w:val="en-ZA"/>
        </w:rPr>
        <w:t xml:space="preserve"> established that there was a deficit </w:t>
      </w:r>
      <w:r w:rsidR="00CB162D" w:rsidRPr="00917FC2">
        <w:rPr>
          <w:rFonts w:ascii="Times New Roman" w:hAnsi="Times New Roman" w:cs="Times New Roman"/>
          <w:sz w:val="28"/>
          <w:szCs w:val="28"/>
          <w:lang w:val="en-ZA"/>
        </w:rPr>
        <w:t xml:space="preserve">exceeding R30 million </w:t>
      </w:r>
      <w:r w:rsidR="00457CFE" w:rsidRPr="00917FC2">
        <w:rPr>
          <w:rFonts w:ascii="Times New Roman" w:hAnsi="Times New Roman" w:cs="Times New Roman"/>
          <w:sz w:val="28"/>
          <w:szCs w:val="28"/>
          <w:lang w:val="en-ZA"/>
        </w:rPr>
        <w:t xml:space="preserve">in the firm’s trust account. </w:t>
      </w:r>
      <w:r w:rsidR="00F62FA5" w:rsidRPr="00917FC2">
        <w:rPr>
          <w:rFonts w:ascii="Times New Roman" w:hAnsi="Times New Roman" w:cs="Times New Roman"/>
          <w:sz w:val="28"/>
          <w:szCs w:val="28"/>
          <w:lang w:val="en-ZA"/>
        </w:rPr>
        <w:t xml:space="preserve">The </w:t>
      </w:r>
      <w:r w:rsidR="001237A5" w:rsidRPr="00917FC2">
        <w:rPr>
          <w:rFonts w:ascii="Times New Roman" w:hAnsi="Times New Roman" w:cs="Times New Roman"/>
          <w:sz w:val="28"/>
          <w:szCs w:val="28"/>
          <w:lang w:val="en-ZA"/>
        </w:rPr>
        <w:t xml:space="preserve">appellant </w:t>
      </w:r>
      <w:r w:rsidR="00AA52DF" w:rsidRPr="00917FC2">
        <w:rPr>
          <w:rFonts w:ascii="Times New Roman" w:hAnsi="Times New Roman" w:cs="Times New Roman"/>
          <w:sz w:val="28"/>
          <w:szCs w:val="28"/>
          <w:lang w:val="en-ZA"/>
        </w:rPr>
        <w:t xml:space="preserve">first </w:t>
      </w:r>
      <w:r w:rsidR="001237A5" w:rsidRPr="00917FC2">
        <w:rPr>
          <w:rFonts w:ascii="Times New Roman" w:hAnsi="Times New Roman" w:cs="Times New Roman"/>
          <w:sz w:val="28"/>
          <w:szCs w:val="28"/>
          <w:lang w:val="en-ZA"/>
        </w:rPr>
        <w:t>became</w:t>
      </w:r>
      <w:r w:rsidR="00AE7897" w:rsidRPr="00917FC2">
        <w:rPr>
          <w:rFonts w:ascii="Times New Roman" w:hAnsi="Times New Roman" w:cs="Times New Roman"/>
          <w:sz w:val="28"/>
          <w:szCs w:val="28"/>
          <w:lang w:val="en-ZA"/>
        </w:rPr>
        <w:t xml:space="preserve"> aware of the misappropriation of the funds by </w:t>
      </w:r>
      <w:r w:rsidR="001237A5" w:rsidRPr="00917FC2">
        <w:rPr>
          <w:rFonts w:ascii="Times New Roman" w:hAnsi="Times New Roman" w:cs="Times New Roman"/>
          <w:sz w:val="28"/>
          <w:szCs w:val="28"/>
          <w:lang w:val="en-ZA"/>
        </w:rPr>
        <w:t xml:space="preserve">Mr </w:t>
      </w:r>
      <w:r w:rsidR="00AE7897" w:rsidRPr="00917FC2">
        <w:rPr>
          <w:rFonts w:ascii="Times New Roman" w:hAnsi="Times New Roman" w:cs="Times New Roman"/>
          <w:sz w:val="28"/>
          <w:szCs w:val="28"/>
          <w:lang w:val="en-ZA"/>
        </w:rPr>
        <w:t>Costa on 9 July 20</w:t>
      </w:r>
      <w:r w:rsidR="003E5136" w:rsidRPr="00917FC2">
        <w:rPr>
          <w:rFonts w:ascii="Times New Roman" w:hAnsi="Times New Roman" w:cs="Times New Roman"/>
          <w:sz w:val="28"/>
          <w:szCs w:val="28"/>
          <w:lang w:val="en-ZA"/>
        </w:rPr>
        <w:t>18</w:t>
      </w:r>
      <w:r w:rsidR="001237A5" w:rsidRPr="00917FC2">
        <w:rPr>
          <w:rFonts w:ascii="Times New Roman" w:hAnsi="Times New Roman" w:cs="Times New Roman"/>
          <w:sz w:val="28"/>
          <w:szCs w:val="28"/>
          <w:lang w:val="en-ZA"/>
        </w:rPr>
        <w:t>,</w:t>
      </w:r>
      <w:r w:rsidR="00245184" w:rsidRPr="00917FC2">
        <w:rPr>
          <w:rFonts w:ascii="Times New Roman" w:hAnsi="Times New Roman" w:cs="Times New Roman"/>
          <w:sz w:val="28"/>
          <w:szCs w:val="28"/>
          <w:lang w:val="en-ZA"/>
        </w:rPr>
        <w:t xml:space="preserve"> when </w:t>
      </w:r>
      <w:r w:rsidR="00C97926" w:rsidRPr="00917FC2">
        <w:rPr>
          <w:rFonts w:ascii="Times New Roman" w:hAnsi="Times New Roman" w:cs="Times New Roman"/>
          <w:sz w:val="28"/>
          <w:szCs w:val="28"/>
          <w:lang w:val="en-ZA"/>
        </w:rPr>
        <w:t xml:space="preserve">Mr </w:t>
      </w:r>
      <w:r w:rsidR="00D4700A" w:rsidRPr="00917FC2">
        <w:rPr>
          <w:rFonts w:ascii="Times New Roman" w:hAnsi="Times New Roman" w:cs="Times New Roman"/>
          <w:sz w:val="28"/>
          <w:szCs w:val="28"/>
          <w:lang w:val="en-ZA"/>
        </w:rPr>
        <w:t>Wayne Teich, an attorney employed by Mr Costa told him about it</w:t>
      </w:r>
      <w:r w:rsidR="00A45634" w:rsidRPr="00917FC2">
        <w:rPr>
          <w:rFonts w:ascii="Times New Roman" w:hAnsi="Times New Roman" w:cs="Times New Roman"/>
          <w:sz w:val="28"/>
          <w:szCs w:val="28"/>
          <w:lang w:val="en-ZA"/>
        </w:rPr>
        <w:t>.</w:t>
      </w:r>
      <w:r w:rsidR="006E01BA" w:rsidRPr="00917FC2">
        <w:rPr>
          <w:rFonts w:ascii="Times New Roman" w:hAnsi="Times New Roman" w:cs="Times New Roman"/>
          <w:sz w:val="28"/>
          <w:szCs w:val="28"/>
          <w:lang w:val="en-ZA"/>
        </w:rPr>
        <w:t xml:space="preserve"> Mr Costa’s estate has since been sequestrated.</w:t>
      </w:r>
    </w:p>
    <w:p w14:paraId="710E0AA8" w14:textId="77777777" w:rsidR="00F62FA5" w:rsidRPr="00917FC2" w:rsidRDefault="00F62FA5" w:rsidP="006D27A9">
      <w:pPr>
        <w:pStyle w:val="BodyA"/>
        <w:spacing w:after="0" w:line="360" w:lineRule="auto"/>
        <w:rPr>
          <w:rFonts w:ascii="Times New Roman" w:hAnsi="Times New Roman" w:cs="Times New Roman"/>
          <w:sz w:val="28"/>
          <w:szCs w:val="28"/>
          <w:lang w:val="en-ZA"/>
        </w:rPr>
      </w:pPr>
    </w:p>
    <w:p w14:paraId="42BBB7EE" w14:textId="153F5E3D" w:rsidR="00C42666" w:rsidRPr="00917FC2" w:rsidRDefault="00C05AB1" w:rsidP="006D27A9">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64537E" w:rsidRPr="00917FC2">
        <w:rPr>
          <w:rFonts w:ascii="Times New Roman" w:hAnsi="Times New Roman" w:cs="Times New Roman"/>
          <w:sz w:val="28"/>
          <w:szCs w:val="28"/>
          <w:lang w:val="en-ZA"/>
        </w:rPr>
        <w:t>8</w:t>
      </w:r>
      <w:r w:rsidR="00C979B4"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8A026A" w:rsidRPr="00917FC2">
        <w:rPr>
          <w:rFonts w:ascii="Times New Roman" w:hAnsi="Times New Roman" w:cs="Times New Roman"/>
          <w:sz w:val="28"/>
          <w:szCs w:val="28"/>
          <w:lang w:val="en-ZA"/>
        </w:rPr>
        <w:t>The appellant claims that he</w:t>
      </w:r>
      <w:r w:rsidR="00C42666" w:rsidRPr="00917FC2">
        <w:rPr>
          <w:rFonts w:ascii="Times New Roman" w:hAnsi="Times New Roman" w:cs="Times New Roman"/>
          <w:sz w:val="28"/>
          <w:szCs w:val="28"/>
          <w:lang w:val="en-ZA"/>
        </w:rPr>
        <w:t xml:space="preserve"> has had a long professi</w:t>
      </w:r>
      <w:r w:rsidR="001237A5" w:rsidRPr="00917FC2">
        <w:rPr>
          <w:rFonts w:ascii="Times New Roman" w:hAnsi="Times New Roman" w:cs="Times New Roman"/>
          <w:sz w:val="28"/>
          <w:szCs w:val="28"/>
          <w:lang w:val="en-ZA"/>
        </w:rPr>
        <w:t>onal relationship with</w:t>
      </w:r>
      <w:r w:rsidR="003E5136" w:rsidRPr="00917FC2">
        <w:rPr>
          <w:rFonts w:ascii="Times New Roman" w:hAnsi="Times New Roman" w:cs="Times New Roman"/>
          <w:sz w:val="28"/>
          <w:szCs w:val="28"/>
          <w:lang w:val="en-ZA"/>
        </w:rPr>
        <w:t xml:space="preserve"> </w:t>
      </w:r>
      <w:r w:rsidR="001237A5" w:rsidRPr="00917FC2">
        <w:rPr>
          <w:rFonts w:ascii="Times New Roman" w:hAnsi="Times New Roman" w:cs="Times New Roman"/>
          <w:sz w:val="28"/>
          <w:szCs w:val="28"/>
          <w:lang w:val="en-ZA"/>
        </w:rPr>
        <w:t>Costa</w:t>
      </w:r>
      <w:r w:rsidR="003E5136" w:rsidRPr="00917FC2">
        <w:rPr>
          <w:rFonts w:ascii="Times New Roman" w:hAnsi="Times New Roman" w:cs="Times New Roman"/>
          <w:sz w:val="28"/>
          <w:szCs w:val="28"/>
          <w:lang w:val="en-ZA"/>
        </w:rPr>
        <w:t xml:space="preserve"> Atto</w:t>
      </w:r>
      <w:r w:rsidR="00592D95" w:rsidRPr="00917FC2">
        <w:rPr>
          <w:rFonts w:ascii="Times New Roman" w:hAnsi="Times New Roman" w:cs="Times New Roman"/>
          <w:sz w:val="28"/>
          <w:szCs w:val="28"/>
          <w:lang w:val="en-ZA"/>
        </w:rPr>
        <w:t>rneys</w:t>
      </w:r>
      <w:r w:rsidR="001237A5" w:rsidRPr="00917FC2">
        <w:rPr>
          <w:rFonts w:ascii="Times New Roman" w:hAnsi="Times New Roman" w:cs="Times New Roman"/>
          <w:sz w:val="28"/>
          <w:szCs w:val="28"/>
          <w:lang w:val="en-ZA"/>
        </w:rPr>
        <w:t>, spanning</w:t>
      </w:r>
      <w:r w:rsidR="00C42666" w:rsidRPr="00917FC2">
        <w:rPr>
          <w:rFonts w:ascii="Times New Roman" w:hAnsi="Times New Roman" w:cs="Times New Roman"/>
          <w:sz w:val="28"/>
          <w:szCs w:val="28"/>
          <w:lang w:val="en-ZA"/>
        </w:rPr>
        <w:t xml:space="preserve"> over 10 years. Throughout this </w:t>
      </w:r>
      <w:r w:rsidR="001237A5" w:rsidRPr="00917FC2">
        <w:rPr>
          <w:rFonts w:ascii="Times New Roman" w:hAnsi="Times New Roman" w:cs="Times New Roman"/>
          <w:sz w:val="28"/>
          <w:szCs w:val="28"/>
          <w:lang w:val="en-ZA"/>
        </w:rPr>
        <w:t>period,</w:t>
      </w:r>
      <w:r w:rsidR="00C42666" w:rsidRPr="00917FC2">
        <w:rPr>
          <w:rFonts w:ascii="Times New Roman" w:hAnsi="Times New Roman" w:cs="Times New Roman"/>
          <w:sz w:val="28"/>
          <w:szCs w:val="28"/>
          <w:lang w:val="en-ZA"/>
        </w:rPr>
        <w:t xml:space="preserve"> hi</w:t>
      </w:r>
      <w:r w:rsidR="00F62FA5" w:rsidRPr="00917FC2">
        <w:rPr>
          <w:rFonts w:ascii="Times New Roman" w:hAnsi="Times New Roman" w:cs="Times New Roman"/>
          <w:sz w:val="28"/>
          <w:szCs w:val="28"/>
          <w:lang w:val="en-ZA"/>
        </w:rPr>
        <w:t>s accounts were</w:t>
      </w:r>
      <w:r w:rsidR="00C42666" w:rsidRPr="00917FC2">
        <w:rPr>
          <w:rFonts w:ascii="Times New Roman" w:hAnsi="Times New Roman" w:cs="Times New Roman"/>
          <w:sz w:val="28"/>
          <w:szCs w:val="28"/>
          <w:lang w:val="en-ZA"/>
        </w:rPr>
        <w:t xml:space="preserve"> paid within 97 days. He was aware</w:t>
      </w:r>
      <w:r w:rsidR="00F62FA5" w:rsidRPr="00917FC2">
        <w:rPr>
          <w:rFonts w:ascii="Times New Roman" w:hAnsi="Times New Roman" w:cs="Times New Roman"/>
          <w:sz w:val="28"/>
          <w:szCs w:val="28"/>
          <w:lang w:val="en-ZA"/>
        </w:rPr>
        <w:t xml:space="preserve"> </w:t>
      </w:r>
      <w:r w:rsidR="00C42666" w:rsidRPr="00917FC2">
        <w:rPr>
          <w:rFonts w:ascii="Times New Roman" w:hAnsi="Times New Roman" w:cs="Times New Roman"/>
          <w:sz w:val="28"/>
          <w:szCs w:val="28"/>
          <w:lang w:val="en-ZA"/>
        </w:rPr>
        <w:t xml:space="preserve">of the firm’s policy </w:t>
      </w:r>
      <w:r w:rsidR="00DF45D4" w:rsidRPr="00917FC2">
        <w:rPr>
          <w:rFonts w:ascii="Times New Roman" w:hAnsi="Times New Roman" w:cs="Times New Roman"/>
          <w:sz w:val="28"/>
          <w:szCs w:val="28"/>
          <w:lang w:val="en-ZA"/>
        </w:rPr>
        <w:t xml:space="preserve">to the effect </w:t>
      </w:r>
      <w:r w:rsidR="00C42666" w:rsidRPr="00917FC2">
        <w:rPr>
          <w:rFonts w:ascii="Times New Roman" w:hAnsi="Times New Roman" w:cs="Times New Roman"/>
          <w:sz w:val="28"/>
          <w:szCs w:val="28"/>
          <w:lang w:val="en-ZA"/>
        </w:rPr>
        <w:t xml:space="preserve">that </w:t>
      </w:r>
      <w:r w:rsidR="0005779F" w:rsidRPr="00917FC2">
        <w:rPr>
          <w:rFonts w:ascii="Times New Roman" w:hAnsi="Times New Roman" w:cs="Times New Roman"/>
          <w:sz w:val="28"/>
          <w:szCs w:val="28"/>
          <w:lang w:val="en-ZA"/>
        </w:rPr>
        <w:t xml:space="preserve">it would only engage </w:t>
      </w:r>
      <w:r w:rsidR="00C42666" w:rsidRPr="00917FC2">
        <w:rPr>
          <w:rFonts w:ascii="Times New Roman" w:hAnsi="Times New Roman" w:cs="Times New Roman"/>
          <w:sz w:val="28"/>
          <w:szCs w:val="28"/>
          <w:lang w:val="en-ZA"/>
        </w:rPr>
        <w:t>counse</w:t>
      </w:r>
      <w:r w:rsidR="005620E2" w:rsidRPr="00917FC2">
        <w:rPr>
          <w:rFonts w:ascii="Times New Roman" w:hAnsi="Times New Roman" w:cs="Times New Roman"/>
          <w:sz w:val="28"/>
          <w:szCs w:val="28"/>
          <w:lang w:val="en-ZA"/>
        </w:rPr>
        <w:t>l once a</w:t>
      </w:r>
      <w:r w:rsidR="00C42666" w:rsidRPr="00917FC2">
        <w:rPr>
          <w:rFonts w:ascii="Times New Roman" w:hAnsi="Times New Roman" w:cs="Times New Roman"/>
          <w:sz w:val="28"/>
          <w:szCs w:val="28"/>
          <w:lang w:val="en-ZA"/>
        </w:rPr>
        <w:t xml:space="preserve"> client ha</w:t>
      </w:r>
      <w:r w:rsidR="00030BC0" w:rsidRPr="00917FC2">
        <w:rPr>
          <w:rFonts w:ascii="Times New Roman" w:hAnsi="Times New Roman" w:cs="Times New Roman"/>
          <w:sz w:val="28"/>
          <w:szCs w:val="28"/>
          <w:lang w:val="en-ZA"/>
        </w:rPr>
        <w:t>d</w:t>
      </w:r>
      <w:r w:rsidR="00C42666" w:rsidRPr="00917FC2">
        <w:rPr>
          <w:rFonts w:ascii="Times New Roman" w:hAnsi="Times New Roman" w:cs="Times New Roman"/>
          <w:sz w:val="28"/>
          <w:szCs w:val="28"/>
          <w:lang w:val="en-ZA"/>
        </w:rPr>
        <w:t xml:space="preserve"> paid sufficient funds in</w:t>
      </w:r>
      <w:r w:rsidR="00F62FA5" w:rsidRPr="00917FC2">
        <w:rPr>
          <w:rFonts w:ascii="Times New Roman" w:hAnsi="Times New Roman" w:cs="Times New Roman"/>
          <w:sz w:val="28"/>
          <w:szCs w:val="28"/>
          <w:lang w:val="en-ZA"/>
        </w:rPr>
        <w:t>to its</w:t>
      </w:r>
      <w:r w:rsidR="00C42666" w:rsidRPr="00917FC2">
        <w:rPr>
          <w:rFonts w:ascii="Times New Roman" w:hAnsi="Times New Roman" w:cs="Times New Roman"/>
          <w:sz w:val="28"/>
          <w:szCs w:val="28"/>
          <w:lang w:val="en-ZA"/>
        </w:rPr>
        <w:t xml:space="preserve"> trust account</w:t>
      </w:r>
      <w:r w:rsidR="009B5F19" w:rsidRPr="00917FC2">
        <w:rPr>
          <w:rFonts w:ascii="Times New Roman" w:hAnsi="Times New Roman" w:cs="Times New Roman"/>
          <w:sz w:val="28"/>
          <w:szCs w:val="28"/>
          <w:lang w:val="en-ZA"/>
        </w:rPr>
        <w:t>. H</w:t>
      </w:r>
      <w:r w:rsidR="00AA056B" w:rsidRPr="00917FC2">
        <w:rPr>
          <w:rFonts w:ascii="Times New Roman" w:hAnsi="Times New Roman" w:cs="Times New Roman"/>
          <w:sz w:val="28"/>
          <w:szCs w:val="28"/>
          <w:lang w:val="en-ZA"/>
        </w:rPr>
        <w:t xml:space="preserve">e </w:t>
      </w:r>
      <w:r w:rsidR="00C42666" w:rsidRPr="00917FC2">
        <w:rPr>
          <w:rFonts w:ascii="Times New Roman" w:hAnsi="Times New Roman" w:cs="Times New Roman"/>
          <w:sz w:val="28"/>
          <w:szCs w:val="28"/>
          <w:lang w:val="en-ZA"/>
        </w:rPr>
        <w:t xml:space="preserve">was present </w:t>
      </w:r>
      <w:r w:rsidR="002C53AD" w:rsidRPr="00917FC2">
        <w:rPr>
          <w:rFonts w:ascii="Times New Roman" w:hAnsi="Times New Roman" w:cs="Times New Roman"/>
          <w:sz w:val="28"/>
          <w:szCs w:val="28"/>
          <w:lang w:val="en-ZA"/>
        </w:rPr>
        <w:t>on</w:t>
      </w:r>
      <w:r w:rsidR="00C4325C" w:rsidRPr="00917FC2">
        <w:rPr>
          <w:rFonts w:ascii="Times New Roman" w:hAnsi="Times New Roman" w:cs="Times New Roman"/>
          <w:sz w:val="28"/>
          <w:szCs w:val="28"/>
          <w:lang w:val="en-ZA"/>
        </w:rPr>
        <w:t xml:space="preserve"> several</w:t>
      </w:r>
      <w:r w:rsidR="002C53AD" w:rsidRPr="00917FC2">
        <w:rPr>
          <w:rFonts w:ascii="Times New Roman" w:hAnsi="Times New Roman" w:cs="Times New Roman"/>
          <w:sz w:val="28"/>
          <w:szCs w:val="28"/>
          <w:lang w:val="en-ZA"/>
        </w:rPr>
        <w:t xml:space="preserve"> occasions </w:t>
      </w:r>
      <w:r w:rsidR="00C42666" w:rsidRPr="00917FC2">
        <w:rPr>
          <w:rFonts w:ascii="Times New Roman" w:hAnsi="Times New Roman" w:cs="Times New Roman"/>
          <w:sz w:val="28"/>
          <w:szCs w:val="28"/>
          <w:lang w:val="en-ZA"/>
        </w:rPr>
        <w:t xml:space="preserve">when clients were advised to provide </w:t>
      </w:r>
      <w:r w:rsidR="00C54C48" w:rsidRPr="00917FC2">
        <w:rPr>
          <w:rFonts w:ascii="Times New Roman" w:hAnsi="Times New Roman" w:cs="Times New Roman"/>
          <w:sz w:val="28"/>
          <w:szCs w:val="28"/>
          <w:lang w:val="en-ZA"/>
        </w:rPr>
        <w:t>co</w:t>
      </w:r>
      <w:r w:rsidR="00C42666" w:rsidRPr="00917FC2">
        <w:rPr>
          <w:rFonts w:ascii="Times New Roman" w:hAnsi="Times New Roman" w:cs="Times New Roman"/>
          <w:sz w:val="28"/>
          <w:szCs w:val="28"/>
          <w:lang w:val="en-ZA"/>
        </w:rPr>
        <w:t>ver for counsel’s fees.</w:t>
      </w:r>
    </w:p>
    <w:p w14:paraId="368C0AB1" w14:textId="77777777" w:rsidR="002C1253" w:rsidRPr="00917FC2" w:rsidRDefault="002C1253" w:rsidP="006D27A9">
      <w:pPr>
        <w:pStyle w:val="BodyA"/>
        <w:spacing w:after="0" w:line="360" w:lineRule="auto"/>
        <w:rPr>
          <w:rFonts w:ascii="Times New Roman" w:hAnsi="Times New Roman" w:cs="Times New Roman"/>
          <w:sz w:val="28"/>
          <w:szCs w:val="28"/>
          <w:lang w:val="en-ZA"/>
        </w:rPr>
      </w:pPr>
    </w:p>
    <w:p w14:paraId="3582EAFD" w14:textId="334BA049" w:rsidR="00F33C93" w:rsidRPr="00917FC2" w:rsidRDefault="00C05AB1" w:rsidP="009028EA">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64537E" w:rsidRPr="00917FC2">
        <w:rPr>
          <w:rFonts w:ascii="Times New Roman" w:hAnsi="Times New Roman" w:cs="Times New Roman"/>
          <w:sz w:val="28"/>
          <w:szCs w:val="28"/>
          <w:lang w:val="en-ZA"/>
        </w:rPr>
        <w:t>9</w:t>
      </w:r>
      <w:r w:rsidR="00540B1C"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9028EA" w:rsidRPr="00917FC2">
        <w:rPr>
          <w:rFonts w:ascii="Times New Roman" w:hAnsi="Times New Roman" w:cs="Times New Roman"/>
          <w:sz w:val="28"/>
          <w:szCs w:val="28"/>
          <w:lang w:val="en-ZA"/>
        </w:rPr>
        <w:t>I</w:t>
      </w:r>
      <w:r w:rsidR="00540B1C" w:rsidRPr="00917FC2">
        <w:rPr>
          <w:rFonts w:ascii="Times New Roman" w:hAnsi="Times New Roman" w:cs="Times New Roman"/>
          <w:sz w:val="28"/>
          <w:szCs w:val="28"/>
          <w:lang w:val="en-ZA"/>
        </w:rPr>
        <w:t>n support of this a</w:t>
      </w:r>
      <w:r w:rsidR="005B59AF" w:rsidRPr="00917FC2">
        <w:rPr>
          <w:rFonts w:ascii="Times New Roman" w:hAnsi="Times New Roman" w:cs="Times New Roman"/>
          <w:sz w:val="28"/>
          <w:szCs w:val="28"/>
          <w:lang w:val="en-ZA"/>
        </w:rPr>
        <w:t>ssertion</w:t>
      </w:r>
      <w:r w:rsidR="009028EA" w:rsidRPr="00917FC2">
        <w:rPr>
          <w:rFonts w:ascii="Times New Roman" w:hAnsi="Times New Roman" w:cs="Times New Roman"/>
          <w:sz w:val="28"/>
          <w:szCs w:val="28"/>
          <w:lang w:val="en-ZA"/>
        </w:rPr>
        <w:t>, he relied on the confirmatory</w:t>
      </w:r>
      <w:r w:rsidR="00030BC0" w:rsidRPr="00917FC2">
        <w:rPr>
          <w:rFonts w:ascii="Times New Roman" w:hAnsi="Times New Roman" w:cs="Times New Roman"/>
          <w:sz w:val="28"/>
          <w:szCs w:val="28"/>
          <w:lang w:val="en-ZA"/>
        </w:rPr>
        <w:t xml:space="preserve"> affidavit </w:t>
      </w:r>
      <w:r w:rsidR="009028EA" w:rsidRPr="00917FC2">
        <w:rPr>
          <w:rFonts w:ascii="Times New Roman" w:hAnsi="Times New Roman" w:cs="Times New Roman"/>
          <w:sz w:val="28"/>
          <w:szCs w:val="28"/>
          <w:lang w:val="en-ZA"/>
        </w:rPr>
        <w:t>of</w:t>
      </w:r>
      <w:r w:rsidR="00F33C93" w:rsidRPr="00917FC2">
        <w:rPr>
          <w:rFonts w:ascii="Times New Roman" w:hAnsi="Times New Roman" w:cs="Times New Roman"/>
          <w:sz w:val="28"/>
          <w:szCs w:val="28"/>
          <w:lang w:val="en-ZA"/>
        </w:rPr>
        <w:t xml:space="preserve"> </w:t>
      </w:r>
      <w:r w:rsidR="00C97926" w:rsidRPr="00917FC2">
        <w:rPr>
          <w:rFonts w:ascii="Times New Roman" w:hAnsi="Times New Roman" w:cs="Times New Roman"/>
          <w:sz w:val="28"/>
          <w:szCs w:val="28"/>
          <w:lang w:val="en-ZA"/>
        </w:rPr>
        <w:t xml:space="preserve">Ms </w:t>
      </w:r>
      <w:r w:rsidR="004D2DF3" w:rsidRPr="00917FC2">
        <w:rPr>
          <w:rFonts w:ascii="Times New Roman" w:hAnsi="Times New Roman" w:cs="Times New Roman"/>
          <w:sz w:val="28"/>
          <w:szCs w:val="28"/>
          <w:lang w:val="en-ZA"/>
        </w:rPr>
        <w:t>Glynis Wall</w:t>
      </w:r>
      <w:r w:rsidR="009028EA" w:rsidRPr="00917FC2">
        <w:rPr>
          <w:rFonts w:ascii="Times New Roman" w:hAnsi="Times New Roman" w:cs="Times New Roman"/>
          <w:sz w:val="28"/>
          <w:szCs w:val="28"/>
          <w:lang w:val="en-ZA"/>
        </w:rPr>
        <w:t>,</w:t>
      </w:r>
      <w:r w:rsidR="00F33C93" w:rsidRPr="00917FC2">
        <w:rPr>
          <w:rFonts w:ascii="Times New Roman" w:hAnsi="Times New Roman" w:cs="Times New Roman"/>
          <w:sz w:val="28"/>
          <w:szCs w:val="28"/>
          <w:lang w:val="en-ZA"/>
        </w:rPr>
        <w:t xml:space="preserve"> who</w:t>
      </w:r>
      <w:r w:rsidR="00AC1695" w:rsidRPr="00917FC2">
        <w:rPr>
          <w:rFonts w:ascii="Times New Roman" w:hAnsi="Times New Roman" w:cs="Times New Roman"/>
          <w:sz w:val="28"/>
          <w:szCs w:val="28"/>
          <w:lang w:val="en-ZA"/>
        </w:rPr>
        <w:t xml:space="preserve"> was</w:t>
      </w:r>
      <w:r w:rsidR="00592D95" w:rsidRPr="00917FC2">
        <w:rPr>
          <w:rFonts w:ascii="Times New Roman" w:hAnsi="Times New Roman" w:cs="Times New Roman"/>
          <w:sz w:val="28"/>
          <w:szCs w:val="28"/>
          <w:lang w:val="en-ZA"/>
        </w:rPr>
        <w:t>,</w:t>
      </w:r>
      <w:r w:rsidR="00F33C93" w:rsidRPr="00917FC2">
        <w:rPr>
          <w:rFonts w:ascii="Times New Roman" w:hAnsi="Times New Roman" w:cs="Times New Roman"/>
          <w:sz w:val="28"/>
          <w:szCs w:val="28"/>
          <w:lang w:val="en-ZA"/>
        </w:rPr>
        <w:t xml:space="preserve"> at </w:t>
      </w:r>
      <w:r w:rsidR="00030BC0" w:rsidRPr="00917FC2">
        <w:rPr>
          <w:rFonts w:ascii="Times New Roman" w:hAnsi="Times New Roman" w:cs="Times New Roman"/>
          <w:sz w:val="28"/>
          <w:szCs w:val="28"/>
          <w:lang w:val="en-ZA"/>
        </w:rPr>
        <w:t xml:space="preserve">all </w:t>
      </w:r>
      <w:r w:rsidR="00F33C93" w:rsidRPr="00917FC2">
        <w:rPr>
          <w:rFonts w:ascii="Times New Roman" w:hAnsi="Times New Roman" w:cs="Times New Roman"/>
          <w:sz w:val="28"/>
          <w:szCs w:val="28"/>
          <w:lang w:val="en-ZA"/>
        </w:rPr>
        <w:t>material times</w:t>
      </w:r>
      <w:r w:rsidR="00AC1695" w:rsidRPr="00917FC2">
        <w:rPr>
          <w:rFonts w:ascii="Times New Roman" w:hAnsi="Times New Roman" w:cs="Times New Roman"/>
          <w:sz w:val="28"/>
          <w:szCs w:val="28"/>
          <w:lang w:val="en-ZA"/>
        </w:rPr>
        <w:t>,</w:t>
      </w:r>
      <w:r w:rsidR="00F33C93" w:rsidRPr="00917FC2">
        <w:rPr>
          <w:rFonts w:ascii="Times New Roman" w:hAnsi="Times New Roman" w:cs="Times New Roman"/>
          <w:sz w:val="28"/>
          <w:szCs w:val="28"/>
          <w:lang w:val="en-ZA"/>
        </w:rPr>
        <w:t xml:space="preserve"> employed by Costa Attorneys as </w:t>
      </w:r>
      <w:r w:rsidR="009028EA" w:rsidRPr="00917FC2">
        <w:rPr>
          <w:rFonts w:ascii="Times New Roman" w:hAnsi="Times New Roman" w:cs="Times New Roman"/>
          <w:sz w:val="28"/>
          <w:szCs w:val="28"/>
          <w:lang w:val="en-ZA"/>
        </w:rPr>
        <w:t>Mr Costa’s</w:t>
      </w:r>
      <w:r w:rsidR="00F35DF4" w:rsidRPr="00917FC2">
        <w:rPr>
          <w:rFonts w:ascii="Times New Roman" w:hAnsi="Times New Roman" w:cs="Times New Roman"/>
          <w:sz w:val="28"/>
          <w:szCs w:val="28"/>
          <w:lang w:val="en-ZA"/>
        </w:rPr>
        <w:t xml:space="preserve"> personal assistant. A</w:t>
      </w:r>
      <w:r w:rsidR="00F33C93" w:rsidRPr="00917FC2">
        <w:rPr>
          <w:rFonts w:ascii="Times New Roman" w:hAnsi="Times New Roman" w:cs="Times New Roman"/>
          <w:sz w:val="28"/>
          <w:szCs w:val="28"/>
          <w:lang w:val="en-ZA"/>
        </w:rPr>
        <w:t>lthough Ms Wall was able to confirm that she had on many occasions contacted clients prior to the appellant’</w:t>
      </w:r>
      <w:r w:rsidR="009028EA" w:rsidRPr="00917FC2">
        <w:rPr>
          <w:rFonts w:ascii="Times New Roman" w:hAnsi="Times New Roman" w:cs="Times New Roman"/>
          <w:sz w:val="28"/>
          <w:szCs w:val="28"/>
          <w:lang w:val="en-ZA"/>
        </w:rPr>
        <w:t>s engagement to secure</w:t>
      </w:r>
      <w:r w:rsidR="00F33C93" w:rsidRPr="00917FC2">
        <w:rPr>
          <w:rFonts w:ascii="Times New Roman" w:hAnsi="Times New Roman" w:cs="Times New Roman"/>
          <w:sz w:val="28"/>
          <w:szCs w:val="28"/>
          <w:lang w:val="en-ZA"/>
        </w:rPr>
        <w:t xml:space="preserve"> funds, sh</w:t>
      </w:r>
      <w:r w:rsidR="00EE4A46" w:rsidRPr="00917FC2">
        <w:rPr>
          <w:rFonts w:ascii="Times New Roman" w:hAnsi="Times New Roman" w:cs="Times New Roman"/>
          <w:sz w:val="28"/>
          <w:szCs w:val="28"/>
          <w:lang w:val="en-ZA"/>
        </w:rPr>
        <w:t>e could not verify how much was</w:t>
      </w:r>
      <w:r w:rsidR="00F33C93" w:rsidRPr="00917FC2">
        <w:rPr>
          <w:rFonts w:ascii="Times New Roman" w:hAnsi="Times New Roman" w:cs="Times New Roman"/>
          <w:sz w:val="28"/>
          <w:szCs w:val="28"/>
          <w:lang w:val="en-ZA"/>
        </w:rPr>
        <w:t xml:space="preserve"> paid prior to the appellant’s engagement because she did not have direct access to </w:t>
      </w:r>
      <w:r w:rsidR="00FB19B9" w:rsidRPr="00917FC2">
        <w:rPr>
          <w:rFonts w:ascii="Times New Roman" w:hAnsi="Times New Roman" w:cs="Times New Roman"/>
          <w:sz w:val="28"/>
          <w:szCs w:val="28"/>
          <w:lang w:val="en-ZA"/>
        </w:rPr>
        <w:t xml:space="preserve">Costa Attorneys’ </w:t>
      </w:r>
      <w:r w:rsidR="00F33C93" w:rsidRPr="00917FC2">
        <w:rPr>
          <w:rFonts w:ascii="Times New Roman" w:hAnsi="Times New Roman" w:cs="Times New Roman"/>
          <w:sz w:val="28"/>
          <w:szCs w:val="28"/>
          <w:lang w:val="en-ZA"/>
        </w:rPr>
        <w:t>account</w:t>
      </w:r>
      <w:r w:rsidR="00FB19B9" w:rsidRPr="00917FC2">
        <w:rPr>
          <w:rFonts w:ascii="Times New Roman" w:hAnsi="Times New Roman" w:cs="Times New Roman"/>
          <w:sz w:val="28"/>
          <w:szCs w:val="28"/>
          <w:lang w:val="en-ZA"/>
        </w:rPr>
        <w:t>s and systems</w:t>
      </w:r>
      <w:r w:rsidR="00F33C93" w:rsidRPr="00917FC2">
        <w:rPr>
          <w:rFonts w:ascii="Times New Roman" w:hAnsi="Times New Roman" w:cs="Times New Roman"/>
          <w:sz w:val="28"/>
          <w:szCs w:val="28"/>
          <w:lang w:val="en-ZA"/>
        </w:rPr>
        <w:t xml:space="preserve">, ‘such being </w:t>
      </w:r>
      <w:r w:rsidR="00592D95" w:rsidRPr="00917FC2">
        <w:rPr>
          <w:rFonts w:ascii="Times New Roman" w:hAnsi="Times New Roman" w:cs="Times New Roman"/>
          <w:sz w:val="28"/>
          <w:szCs w:val="28"/>
          <w:lang w:val="en-ZA"/>
        </w:rPr>
        <w:t>tightly</w:t>
      </w:r>
      <w:r w:rsidR="00F33C93" w:rsidRPr="00917FC2">
        <w:rPr>
          <w:rFonts w:ascii="Times New Roman" w:hAnsi="Times New Roman" w:cs="Times New Roman"/>
          <w:sz w:val="28"/>
          <w:szCs w:val="28"/>
          <w:lang w:val="en-ZA"/>
        </w:rPr>
        <w:t xml:space="preserve"> controlled by </w:t>
      </w:r>
      <w:r w:rsidR="00AC1695" w:rsidRPr="00917FC2">
        <w:rPr>
          <w:rFonts w:ascii="Times New Roman" w:hAnsi="Times New Roman" w:cs="Times New Roman"/>
          <w:sz w:val="28"/>
          <w:szCs w:val="28"/>
          <w:lang w:val="en-ZA"/>
        </w:rPr>
        <w:t>[Mr Costa]</w:t>
      </w:r>
      <w:r w:rsidR="00F33C93" w:rsidRPr="00917FC2">
        <w:rPr>
          <w:rFonts w:ascii="Times New Roman" w:hAnsi="Times New Roman" w:cs="Times New Roman"/>
          <w:sz w:val="28"/>
          <w:szCs w:val="28"/>
          <w:lang w:val="en-ZA"/>
        </w:rPr>
        <w:t xml:space="preserve">’. </w:t>
      </w:r>
    </w:p>
    <w:p w14:paraId="7A7DB8B5" w14:textId="77777777" w:rsidR="00EE4A46" w:rsidRPr="00917FC2" w:rsidRDefault="00EE4A46" w:rsidP="009028EA">
      <w:pPr>
        <w:pStyle w:val="BodyA"/>
        <w:spacing w:after="0" w:line="360" w:lineRule="auto"/>
        <w:rPr>
          <w:rFonts w:ascii="Times New Roman" w:hAnsi="Times New Roman" w:cs="Times New Roman"/>
          <w:sz w:val="28"/>
          <w:szCs w:val="28"/>
          <w:lang w:val="en-ZA"/>
        </w:rPr>
      </w:pPr>
    </w:p>
    <w:p w14:paraId="4423FEED" w14:textId="46FC7EF3" w:rsidR="005B59AF" w:rsidRPr="00917FC2" w:rsidRDefault="00C05AB1" w:rsidP="00537219">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lastRenderedPageBreak/>
        <w:t>[</w:t>
      </w:r>
      <w:r w:rsidR="0064537E" w:rsidRPr="00917FC2">
        <w:rPr>
          <w:rFonts w:ascii="Times New Roman" w:hAnsi="Times New Roman" w:cs="Times New Roman"/>
          <w:sz w:val="28"/>
          <w:szCs w:val="28"/>
          <w:lang w:val="en-ZA"/>
        </w:rPr>
        <w:t>10</w:t>
      </w:r>
      <w:r w:rsidR="00537219"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EE4A46" w:rsidRPr="00917FC2">
        <w:rPr>
          <w:rFonts w:ascii="Times New Roman" w:hAnsi="Times New Roman" w:cs="Times New Roman"/>
          <w:sz w:val="28"/>
          <w:szCs w:val="28"/>
          <w:lang w:val="en-ZA"/>
        </w:rPr>
        <w:t>The appellant</w:t>
      </w:r>
      <w:r w:rsidR="006E2E05" w:rsidRPr="00917FC2">
        <w:rPr>
          <w:rFonts w:ascii="Times New Roman" w:hAnsi="Times New Roman" w:cs="Times New Roman"/>
          <w:sz w:val="28"/>
          <w:szCs w:val="28"/>
          <w:lang w:val="en-ZA"/>
        </w:rPr>
        <w:t xml:space="preserve"> attached</w:t>
      </w:r>
      <w:r w:rsidR="00AC1695" w:rsidRPr="00917FC2">
        <w:rPr>
          <w:rFonts w:ascii="Times New Roman" w:hAnsi="Times New Roman" w:cs="Times New Roman"/>
          <w:sz w:val="28"/>
          <w:szCs w:val="28"/>
          <w:lang w:val="en-ZA"/>
        </w:rPr>
        <w:t xml:space="preserve">, to his founding affidavit, </w:t>
      </w:r>
      <w:r w:rsidR="006E2E05" w:rsidRPr="00917FC2">
        <w:rPr>
          <w:rFonts w:ascii="Times New Roman" w:hAnsi="Times New Roman" w:cs="Times New Roman"/>
          <w:sz w:val="28"/>
          <w:szCs w:val="28"/>
          <w:lang w:val="en-ZA"/>
        </w:rPr>
        <w:t xml:space="preserve">the tax </w:t>
      </w:r>
      <w:r w:rsidR="00A81AD6" w:rsidRPr="00917FC2">
        <w:rPr>
          <w:rFonts w:ascii="Times New Roman" w:hAnsi="Times New Roman" w:cs="Times New Roman"/>
          <w:sz w:val="28"/>
          <w:szCs w:val="28"/>
          <w:lang w:val="en-ZA"/>
        </w:rPr>
        <w:t xml:space="preserve">invoices </w:t>
      </w:r>
      <w:r w:rsidR="004F5194" w:rsidRPr="00917FC2">
        <w:rPr>
          <w:rFonts w:ascii="Times New Roman" w:hAnsi="Times New Roman" w:cs="Times New Roman"/>
          <w:sz w:val="28"/>
          <w:szCs w:val="28"/>
          <w:lang w:val="en-ZA"/>
        </w:rPr>
        <w:t xml:space="preserve">on which he </w:t>
      </w:r>
      <w:r w:rsidR="006D64E9" w:rsidRPr="00917FC2">
        <w:rPr>
          <w:rFonts w:ascii="Times New Roman" w:hAnsi="Times New Roman" w:cs="Times New Roman"/>
          <w:sz w:val="28"/>
          <w:szCs w:val="28"/>
          <w:lang w:val="en-ZA"/>
        </w:rPr>
        <w:t xml:space="preserve">had </w:t>
      </w:r>
      <w:r w:rsidR="00B925F7" w:rsidRPr="00917FC2">
        <w:rPr>
          <w:rFonts w:ascii="Times New Roman" w:hAnsi="Times New Roman" w:cs="Times New Roman"/>
          <w:sz w:val="28"/>
          <w:szCs w:val="28"/>
          <w:lang w:val="en-ZA"/>
        </w:rPr>
        <w:t>based</w:t>
      </w:r>
      <w:r w:rsidR="004F5194" w:rsidRPr="00917FC2">
        <w:rPr>
          <w:rFonts w:ascii="Times New Roman" w:hAnsi="Times New Roman" w:cs="Times New Roman"/>
          <w:sz w:val="28"/>
          <w:szCs w:val="28"/>
          <w:lang w:val="en-ZA"/>
        </w:rPr>
        <w:t xml:space="preserve"> his </w:t>
      </w:r>
      <w:r w:rsidR="006D64E9" w:rsidRPr="00917FC2">
        <w:rPr>
          <w:rFonts w:ascii="Times New Roman" w:hAnsi="Times New Roman" w:cs="Times New Roman"/>
          <w:sz w:val="28"/>
          <w:szCs w:val="28"/>
          <w:lang w:val="en-ZA"/>
        </w:rPr>
        <w:t>claim</w:t>
      </w:r>
      <w:r w:rsidR="006E2E05" w:rsidRPr="00917FC2">
        <w:rPr>
          <w:rFonts w:ascii="Times New Roman" w:hAnsi="Times New Roman" w:cs="Times New Roman"/>
          <w:sz w:val="28"/>
          <w:szCs w:val="28"/>
          <w:lang w:val="en-ZA"/>
        </w:rPr>
        <w:t xml:space="preserve">. </w:t>
      </w:r>
      <w:r w:rsidR="00540B1C" w:rsidRPr="00917FC2">
        <w:rPr>
          <w:rFonts w:ascii="Times New Roman" w:hAnsi="Times New Roman" w:cs="Times New Roman"/>
          <w:sz w:val="28"/>
          <w:szCs w:val="28"/>
          <w:lang w:val="en-ZA"/>
        </w:rPr>
        <w:t>He conceded that in seven of those matters</w:t>
      </w:r>
      <w:r w:rsidR="00030BC0" w:rsidRPr="00917FC2">
        <w:rPr>
          <w:rFonts w:ascii="Times New Roman" w:hAnsi="Times New Roman" w:cs="Times New Roman"/>
          <w:sz w:val="28"/>
          <w:szCs w:val="28"/>
          <w:lang w:val="en-ZA"/>
        </w:rPr>
        <w:t>,</w:t>
      </w:r>
      <w:r w:rsidR="00540B1C" w:rsidRPr="00917FC2">
        <w:rPr>
          <w:rFonts w:ascii="Times New Roman" w:hAnsi="Times New Roman" w:cs="Times New Roman"/>
          <w:sz w:val="28"/>
          <w:szCs w:val="28"/>
          <w:lang w:val="en-ZA"/>
        </w:rPr>
        <w:t xml:space="preserve"> there was no proof that </w:t>
      </w:r>
      <w:r w:rsidR="0005779F" w:rsidRPr="00917FC2">
        <w:rPr>
          <w:rFonts w:ascii="Times New Roman" w:hAnsi="Times New Roman" w:cs="Times New Roman"/>
          <w:sz w:val="28"/>
          <w:szCs w:val="28"/>
          <w:lang w:val="en-ZA"/>
        </w:rPr>
        <w:t xml:space="preserve">clients had paid </w:t>
      </w:r>
      <w:r w:rsidR="00540B1C" w:rsidRPr="00917FC2">
        <w:rPr>
          <w:rFonts w:ascii="Times New Roman" w:hAnsi="Times New Roman" w:cs="Times New Roman"/>
          <w:sz w:val="28"/>
          <w:szCs w:val="28"/>
          <w:lang w:val="en-ZA"/>
        </w:rPr>
        <w:t xml:space="preserve">the claimed amounts </w:t>
      </w:r>
      <w:r w:rsidR="00A81AD6" w:rsidRPr="00917FC2">
        <w:rPr>
          <w:rFonts w:ascii="Times New Roman" w:hAnsi="Times New Roman" w:cs="Times New Roman"/>
          <w:sz w:val="28"/>
          <w:szCs w:val="28"/>
          <w:lang w:val="en-ZA"/>
        </w:rPr>
        <w:t xml:space="preserve">to </w:t>
      </w:r>
      <w:r w:rsidR="00540B1C" w:rsidRPr="00917FC2">
        <w:rPr>
          <w:rFonts w:ascii="Times New Roman" w:hAnsi="Times New Roman" w:cs="Times New Roman"/>
          <w:sz w:val="28"/>
          <w:szCs w:val="28"/>
          <w:lang w:val="en-ZA"/>
        </w:rPr>
        <w:t xml:space="preserve">Costa </w:t>
      </w:r>
      <w:r w:rsidR="00A81AD6" w:rsidRPr="00917FC2">
        <w:rPr>
          <w:rFonts w:ascii="Times New Roman" w:hAnsi="Times New Roman" w:cs="Times New Roman"/>
          <w:sz w:val="28"/>
          <w:szCs w:val="28"/>
          <w:lang w:val="en-ZA"/>
        </w:rPr>
        <w:t>Attorneys</w:t>
      </w:r>
      <w:r w:rsidR="00B925F7" w:rsidRPr="00917FC2">
        <w:rPr>
          <w:rFonts w:ascii="Times New Roman" w:hAnsi="Times New Roman" w:cs="Times New Roman"/>
          <w:sz w:val="28"/>
          <w:szCs w:val="28"/>
          <w:lang w:val="en-ZA"/>
        </w:rPr>
        <w:t>,</w:t>
      </w:r>
      <w:r w:rsidR="00A81AD6" w:rsidRPr="00917FC2">
        <w:rPr>
          <w:rFonts w:ascii="Times New Roman" w:hAnsi="Times New Roman" w:cs="Times New Roman"/>
          <w:sz w:val="28"/>
          <w:szCs w:val="28"/>
          <w:lang w:val="en-ZA"/>
        </w:rPr>
        <w:t xml:space="preserve"> </w:t>
      </w:r>
      <w:r w:rsidR="00540B1C" w:rsidRPr="00917FC2">
        <w:rPr>
          <w:rFonts w:ascii="Times New Roman" w:hAnsi="Times New Roman" w:cs="Times New Roman"/>
          <w:sz w:val="28"/>
          <w:szCs w:val="28"/>
          <w:lang w:val="en-ZA"/>
        </w:rPr>
        <w:t xml:space="preserve">and that he was </w:t>
      </w:r>
      <w:r w:rsidR="00030BC0" w:rsidRPr="00917FC2">
        <w:rPr>
          <w:rFonts w:ascii="Times New Roman" w:hAnsi="Times New Roman" w:cs="Times New Roman"/>
          <w:sz w:val="28"/>
          <w:szCs w:val="28"/>
          <w:lang w:val="en-ZA"/>
        </w:rPr>
        <w:t>consequently</w:t>
      </w:r>
      <w:r w:rsidR="005B59AF" w:rsidRPr="00917FC2">
        <w:rPr>
          <w:rFonts w:ascii="Times New Roman" w:hAnsi="Times New Roman" w:cs="Times New Roman"/>
          <w:sz w:val="28"/>
          <w:szCs w:val="28"/>
          <w:lang w:val="en-ZA"/>
        </w:rPr>
        <w:t xml:space="preserve"> not </w:t>
      </w:r>
      <w:r w:rsidR="00A81AD6" w:rsidRPr="00917FC2">
        <w:rPr>
          <w:rFonts w:ascii="Times New Roman" w:hAnsi="Times New Roman" w:cs="Times New Roman"/>
          <w:sz w:val="28"/>
          <w:szCs w:val="28"/>
          <w:lang w:val="en-ZA"/>
        </w:rPr>
        <w:t>entitled to re</w:t>
      </w:r>
      <w:r w:rsidR="00540B1C" w:rsidRPr="00917FC2">
        <w:rPr>
          <w:rFonts w:ascii="Times New Roman" w:hAnsi="Times New Roman" w:cs="Times New Roman"/>
          <w:sz w:val="28"/>
          <w:szCs w:val="28"/>
          <w:lang w:val="en-ZA"/>
        </w:rPr>
        <w:t>imburse</w:t>
      </w:r>
      <w:r w:rsidR="00A81AD6" w:rsidRPr="00917FC2">
        <w:rPr>
          <w:rFonts w:ascii="Times New Roman" w:hAnsi="Times New Roman" w:cs="Times New Roman"/>
          <w:sz w:val="28"/>
          <w:szCs w:val="28"/>
          <w:lang w:val="en-ZA"/>
        </w:rPr>
        <w:t>ment</w:t>
      </w:r>
      <w:r w:rsidR="00185C09" w:rsidRPr="00917FC2">
        <w:rPr>
          <w:rFonts w:ascii="Times New Roman" w:hAnsi="Times New Roman" w:cs="Times New Roman"/>
          <w:sz w:val="28"/>
          <w:szCs w:val="28"/>
          <w:lang w:val="en-ZA"/>
        </w:rPr>
        <w:t xml:space="preserve"> in respect </w:t>
      </w:r>
      <w:r w:rsidR="00B672F5" w:rsidRPr="00917FC2">
        <w:rPr>
          <w:rFonts w:ascii="Times New Roman" w:hAnsi="Times New Roman" w:cs="Times New Roman"/>
          <w:sz w:val="28"/>
          <w:szCs w:val="28"/>
          <w:lang w:val="en-ZA"/>
        </w:rPr>
        <w:t>thereof</w:t>
      </w:r>
      <w:r w:rsidR="00540B1C" w:rsidRPr="00917FC2">
        <w:rPr>
          <w:rFonts w:ascii="Times New Roman" w:hAnsi="Times New Roman" w:cs="Times New Roman"/>
          <w:sz w:val="28"/>
          <w:szCs w:val="28"/>
          <w:lang w:val="en-ZA"/>
        </w:rPr>
        <w:t xml:space="preserve">. </w:t>
      </w:r>
      <w:r w:rsidR="002D5A3A" w:rsidRPr="00917FC2">
        <w:rPr>
          <w:rFonts w:ascii="Times New Roman" w:hAnsi="Times New Roman" w:cs="Times New Roman"/>
          <w:sz w:val="28"/>
          <w:szCs w:val="28"/>
          <w:lang w:val="en-ZA"/>
        </w:rPr>
        <w:t>In respect of one of the ma</w:t>
      </w:r>
      <w:r w:rsidR="00B925F7" w:rsidRPr="00917FC2">
        <w:rPr>
          <w:rFonts w:ascii="Times New Roman" w:hAnsi="Times New Roman" w:cs="Times New Roman"/>
          <w:sz w:val="28"/>
          <w:szCs w:val="28"/>
          <w:lang w:val="en-ZA"/>
        </w:rPr>
        <w:t>tters, he asserted that a reduced</w:t>
      </w:r>
      <w:r w:rsidR="002D5A3A" w:rsidRPr="00917FC2">
        <w:rPr>
          <w:rFonts w:ascii="Times New Roman" w:hAnsi="Times New Roman" w:cs="Times New Roman"/>
          <w:sz w:val="28"/>
          <w:szCs w:val="28"/>
          <w:lang w:val="en-ZA"/>
        </w:rPr>
        <w:t xml:space="preserve"> amount </w:t>
      </w:r>
      <w:r w:rsidR="00AC1695" w:rsidRPr="00917FC2">
        <w:rPr>
          <w:rFonts w:ascii="Times New Roman" w:hAnsi="Times New Roman" w:cs="Times New Roman"/>
          <w:sz w:val="28"/>
          <w:szCs w:val="28"/>
          <w:lang w:val="en-ZA"/>
        </w:rPr>
        <w:t>was</w:t>
      </w:r>
      <w:r w:rsidR="002D5A3A" w:rsidRPr="00917FC2">
        <w:rPr>
          <w:rFonts w:ascii="Times New Roman" w:hAnsi="Times New Roman" w:cs="Times New Roman"/>
          <w:sz w:val="28"/>
          <w:szCs w:val="28"/>
          <w:lang w:val="en-ZA"/>
        </w:rPr>
        <w:t xml:space="preserve"> paid.</w:t>
      </w:r>
      <w:r w:rsidR="0016455D" w:rsidRPr="00917FC2">
        <w:rPr>
          <w:rFonts w:ascii="Times New Roman" w:hAnsi="Times New Roman" w:cs="Times New Roman"/>
          <w:sz w:val="28"/>
          <w:szCs w:val="28"/>
          <w:lang w:val="en-ZA"/>
        </w:rPr>
        <w:t xml:space="preserve"> </w:t>
      </w:r>
      <w:r w:rsidR="00AC1695" w:rsidRPr="00917FC2">
        <w:rPr>
          <w:rFonts w:ascii="Times New Roman" w:hAnsi="Times New Roman" w:cs="Times New Roman"/>
          <w:sz w:val="28"/>
          <w:szCs w:val="28"/>
          <w:lang w:val="en-ZA"/>
        </w:rPr>
        <w:t>As a result, h</w:t>
      </w:r>
      <w:r w:rsidR="0016455D" w:rsidRPr="00917FC2">
        <w:rPr>
          <w:rFonts w:ascii="Times New Roman" w:hAnsi="Times New Roman" w:cs="Times New Roman"/>
          <w:sz w:val="28"/>
          <w:szCs w:val="28"/>
          <w:lang w:val="en-ZA"/>
        </w:rPr>
        <w:t xml:space="preserve">is </w:t>
      </w:r>
      <w:r w:rsidR="00CC6856" w:rsidRPr="00917FC2">
        <w:rPr>
          <w:rFonts w:ascii="Times New Roman" w:hAnsi="Times New Roman" w:cs="Times New Roman"/>
          <w:sz w:val="28"/>
          <w:szCs w:val="28"/>
          <w:lang w:val="en-ZA"/>
        </w:rPr>
        <w:t xml:space="preserve">initial </w:t>
      </w:r>
      <w:r w:rsidR="0016455D" w:rsidRPr="00917FC2">
        <w:rPr>
          <w:rFonts w:ascii="Times New Roman" w:hAnsi="Times New Roman" w:cs="Times New Roman"/>
          <w:sz w:val="28"/>
          <w:szCs w:val="28"/>
          <w:lang w:val="en-ZA"/>
        </w:rPr>
        <w:t xml:space="preserve">claim </w:t>
      </w:r>
      <w:r w:rsidR="00CC6856" w:rsidRPr="00917FC2">
        <w:rPr>
          <w:rFonts w:ascii="Times New Roman" w:hAnsi="Times New Roman" w:cs="Times New Roman"/>
          <w:sz w:val="28"/>
          <w:szCs w:val="28"/>
          <w:lang w:val="en-ZA"/>
        </w:rPr>
        <w:t xml:space="preserve">of </w:t>
      </w:r>
      <w:r w:rsidR="006F703E" w:rsidRPr="00917FC2">
        <w:rPr>
          <w:rFonts w:ascii="Times New Roman" w:hAnsi="Times New Roman" w:cs="Times New Roman"/>
          <w:sz w:val="28"/>
          <w:szCs w:val="28"/>
          <w:lang w:val="en-ZA"/>
        </w:rPr>
        <w:t>some</w:t>
      </w:r>
      <w:r w:rsidR="00F84118" w:rsidRPr="00917FC2">
        <w:rPr>
          <w:rFonts w:ascii="Times New Roman" w:hAnsi="Times New Roman" w:cs="Times New Roman"/>
          <w:sz w:val="28"/>
          <w:szCs w:val="28"/>
          <w:lang w:val="en-ZA"/>
        </w:rPr>
        <w:t xml:space="preserve"> </w:t>
      </w:r>
      <w:r w:rsidR="00CC6856" w:rsidRPr="00917FC2">
        <w:rPr>
          <w:rFonts w:ascii="Times New Roman" w:hAnsi="Times New Roman" w:cs="Times New Roman"/>
          <w:sz w:val="28"/>
          <w:szCs w:val="28"/>
          <w:lang w:val="en-ZA"/>
        </w:rPr>
        <w:t>R537</w:t>
      </w:r>
      <w:r w:rsidR="00AC1695" w:rsidRPr="00917FC2">
        <w:rPr>
          <w:rFonts w:ascii="Times New Roman" w:hAnsi="Times New Roman" w:cs="Times New Roman"/>
          <w:sz w:val="28"/>
          <w:szCs w:val="28"/>
          <w:lang w:val="en-ZA"/>
        </w:rPr>
        <w:t> </w:t>
      </w:r>
      <w:r w:rsidR="00CC6856" w:rsidRPr="00917FC2">
        <w:rPr>
          <w:rFonts w:ascii="Times New Roman" w:hAnsi="Times New Roman" w:cs="Times New Roman"/>
          <w:sz w:val="28"/>
          <w:szCs w:val="28"/>
          <w:lang w:val="en-ZA"/>
        </w:rPr>
        <w:t xml:space="preserve">475 </w:t>
      </w:r>
      <w:r w:rsidR="0016455D" w:rsidRPr="00917FC2">
        <w:rPr>
          <w:rFonts w:ascii="Times New Roman" w:hAnsi="Times New Roman" w:cs="Times New Roman"/>
          <w:sz w:val="28"/>
          <w:szCs w:val="28"/>
          <w:lang w:val="en-ZA"/>
        </w:rPr>
        <w:t>was reduced to R472 666.</w:t>
      </w:r>
    </w:p>
    <w:p w14:paraId="33F797A6" w14:textId="77777777" w:rsidR="00A453B1" w:rsidRPr="00917FC2" w:rsidRDefault="00A453B1" w:rsidP="00A453B1">
      <w:pPr>
        <w:pStyle w:val="BodyA"/>
        <w:spacing w:after="0" w:line="360" w:lineRule="auto"/>
        <w:rPr>
          <w:rFonts w:ascii="Times New Roman" w:hAnsi="Times New Roman" w:cs="Times New Roman"/>
          <w:sz w:val="28"/>
          <w:szCs w:val="28"/>
          <w:lang w:val="en-ZA"/>
        </w:rPr>
      </w:pPr>
    </w:p>
    <w:p w14:paraId="3C819512" w14:textId="275E5987" w:rsidR="005B59AF" w:rsidRPr="00917FC2" w:rsidRDefault="00C05AB1" w:rsidP="00A453B1">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1</w:t>
      </w:r>
      <w:r w:rsidR="00A164B3"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2D5A3A" w:rsidRPr="00917FC2">
        <w:rPr>
          <w:rFonts w:ascii="Times New Roman" w:hAnsi="Times New Roman" w:cs="Times New Roman"/>
          <w:sz w:val="28"/>
          <w:szCs w:val="28"/>
          <w:lang w:val="en-ZA"/>
        </w:rPr>
        <w:t xml:space="preserve">In respect of the rest of the </w:t>
      </w:r>
      <w:r w:rsidR="002B5C09" w:rsidRPr="00917FC2">
        <w:rPr>
          <w:rFonts w:ascii="Times New Roman" w:hAnsi="Times New Roman" w:cs="Times New Roman"/>
          <w:sz w:val="28"/>
          <w:szCs w:val="28"/>
          <w:lang w:val="en-ZA"/>
        </w:rPr>
        <w:t>invoices,</w:t>
      </w:r>
      <w:r w:rsidR="002D5A3A" w:rsidRPr="00917FC2">
        <w:rPr>
          <w:rFonts w:ascii="Times New Roman" w:hAnsi="Times New Roman" w:cs="Times New Roman"/>
          <w:sz w:val="28"/>
          <w:szCs w:val="28"/>
          <w:lang w:val="en-ZA"/>
        </w:rPr>
        <w:t xml:space="preserve"> he </w:t>
      </w:r>
      <w:r w:rsidR="002B5C09" w:rsidRPr="00917FC2">
        <w:rPr>
          <w:rFonts w:ascii="Times New Roman" w:hAnsi="Times New Roman" w:cs="Times New Roman"/>
          <w:sz w:val="28"/>
          <w:szCs w:val="28"/>
          <w:lang w:val="en-ZA"/>
        </w:rPr>
        <w:t>a</w:t>
      </w:r>
      <w:r w:rsidR="005E0AEE" w:rsidRPr="00917FC2">
        <w:rPr>
          <w:rFonts w:ascii="Times New Roman" w:hAnsi="Times New Roman" w:cs="Times New Roman"/>
          <w:sz w:val="28"/>
          <w:szCs w:val="28"/>
          <w:lang w:val="en-ZA"/>
        </w:rPr>
        <w:t>sserted</w:t>
      </w:r>
      <w:r w:rsidR="003F7737" w:rsidRPr="00917FC2">
        <w:rPr>
          <w:rFonts w:ascii="Times New Roman" w:hAnsi="Times New Roman" w:cs="Times New Roman"/>
          <w:sz w:val="28"/>
          <w:szCs w:val="28"/>
          <w:lang w:val="en-ZA"/>
        </w:rPr>
        <w:t xml:space="preserve"> that in each </w:t>
      </w:r>
      <w:r w:rsidR="005E0AEE" w:rsidRPr="00917FC2">
        <w:rPr>
          <w:rFonts w:ascii="Times New Roman" w:hAnsi="Times New Roman" w:cs="Times New Roman"/>
          <w:sz w:val="28"/>
          <w:szCs w:val="28"/>
          <w:lang w:val="en-ZA"/>
        </w:rPr>
        <w:t xml:space="preserve">of </w:t>
      </w:r>
      <w:r w:rsidR="003513E2" w:rsidRPr="00917FC2">
        <w:rPr>
          <w:rFonts w:ascii="Times New Roman" w:hAnsi="Times New Roman" w:cs="Times New Roman"/>
          <w:sz w:val="28"/>
          <w:szCs w:val="28"/>
          <w:lang w:val="en-ZA"/>
        </w:rPr>
        <w:t xml:space="preserve">those matters clients </w:t>
      </w:r>
      <w:r w:rsidR="002B5C09" w:rsidRPr="00917FC2">
        <w:rPr>
          <w:rFonts w:ascii="Times New Roman" w:hAnsi="Times New Roman" w:cs="Times New Roman"/>
          <w:sz w:val="28"/>
          <w:szCs w:val="28"/>
          <w:lang w:val="en-ZA"/>
        </w:rPr>
        <w:t>had</w:t>
      </w:r>
      <w:r w:rsidR="003F7737" w:rsidRPr="00917FC2">
        <w:rPr>
          <w:rFonts w:ascii="Times New Roman" w:hAnsi="Times New Roman" w:cs="Times New Roman"/>
          <w:sz w:val="28"/>
          <w:szCs w:val="28"/>
          <w:lang w:val="en-ZA"/>
        </w:rPr>
        <w:t xml:space="preserve"> </w:t>
      </w:r>
      <w:r w:rsidR="003513E2" w:rsidRPr="00917FC2">
        <w:rPr>
          <w:rFonts w:ascii="Times New Roman" w:hAnsi="Times New Roman" w:cs="Times New Roman"/>
          <w:sz w:val="28"/>
          <w:szCs w:val="28"/>
          <w:lang w:val="en-ZA"/>
        </w:rPr>
        <w:t>informed him</w:t>
      </w:r>
      <w:r w:rsidR="003F7737" w:rsidRPr="00917FC2">
        <w:rPr>
          <w:rFonts w:ascii="Times New Roman" w:hAnsi="Times New Roman" w:cs="Times New Roman"/>
          <w:sz w:val="28"/>
          <w:szCs w:val="28"/>
          <w:lang w:val="en-ZA"/>
        </w:rPr>
        <w:t xml:space="preserve"> that they had made payments to Costa </w:t>
      </w:r>
      <w:r w:rsidR="00A164B3" w:rsidRPr="00917FC2">
        <w:rPr>
          <w:rFonts w:ascii="Times New Roman" w:hAnsi="Times New Roman" w:cs="Times New Roman"/>
          <w:sz w:val="28"/>
          <w:szCs w:val="28"/>
          <w:lang w:val="en-ZA"/>
        </w:rPr>
        <w:t xml:space="preserve">Attorneys </w:t>
      </w:r>
      <w:r w:rsidR="003F7737" w:rsidRPr="00917FC2">
        <w:rPr>
          <w:rFonts w:ascii="Times New Roman" w:hAnsi="Times New Roman" w:cs="Times New Roman"/>
          <w:sz w:val="28"/>
          <w:szCs w:val="28"/>
          <w:lang w:val="en-ZA"/>
        </w:rPr>
        <w:t xml:space="preserve">as cover for his fees. He also attached copies of proof of payments by clients and provided the respondent with </w:t>
      </w:r>
      <w:r w:rsidR="002B5C09" w:rsidRPr="00917FC2">
        <w:rPr>
          <w:rFonts w:ascii="Times New Roman" w:hAnsi="Times New Roman" w:cs="Times New Roman"/>
          <w:sz w:val="28"/>
          <w:szCs w:val="28"/>
          <w:lang w:val="en-ZA"/>
        </w:rPr>
        <w:t xml:space="preserve">the </w:t>
      </w:r>
      <w:r w:rsidR="00904C1D" w:rsidRPr="00917FC2">
        <w:rPr>
          <w:rFonts w:ascii="Times New Roman" w:hAnsi="Times New Roman" w:cs="Times New Roman"/>
          <w:sz w:val="28"/>
          <w:szCs w:val="28"/>
          <w:lang w:val="en-ZA"/>
        </w:rPr>
        <w:t xml:space="preserve">respective </w:t>
      </w:r>
      <w:r w:rsidR="003F7737" w:rsidRPr="00917FC2">
        <w:rPr>
          <w:rFonts w:ascii="Times New Roman" w:hAnsi="Times New Roman" w:cs="Times New Roman"/>
          <w:sz w:val="28"/>
          <w:szCs w:val="28"/>
          <w:lang w:val="en-ZA"/>
        </w:rPr>
        <w:t>c</w:t>
      </w:r>
      <w:r w:rsidR="005B59AF" w:rsidRPr="00917FC2">
        <w:rPr>
          <w:rFonts w:ascii="Times New Roman" w:hAnsi="Times New Roman" w:cs="Times New Roman"/>
          <w:sz w:val="28"/>
          <w:szCs w:val="28"/>
          <w:lang w:val="en-ZA"/>
        </w:rPr>
        <w:t>lients</w:t>
      </w:r>
      <w:r w:rsidR="002A565D" w:rsidRPr="00917FC2">
        <w:rPr>
          <w:rFonts w:ascii="Times New Roman" w:hAnsi="Times New Roman" w:cs="Times New Roman"/>
          <w:sz w:val="28"/>
          <w:szCs w:val="28"/>
          <w:lang w:val="en-ZA"/>
        </w:rPr>
        <w:t>’</w:t>
      </w:r>
      <w:r w:rsidR="005B59AF" w:rsidRPr="00917FC2">
        <w:rPr>
          <w:rFonts w:ascii="Times New Roman" w:hAnsi="Times New Roman" w:cs="Times New Roman"/>
          <w:sz w:val="28"/>
          <w:szCs w:val="28"/>
          <w:lang w:val="en-ZA"/>
        </w:rPr>
        <w:t xml:space="preserve"> </w:t>
      </w:r>
      <w:r w:rsidR="003F7737" w:rsidRPr="00917FC2">
        <w:rPr>
          <w:rFonts w:ascii="Times New Roman" w:hAnsi="Times New Roman" w:cs="Times New Roman"/>
          <w:sz w:val="28"/>
          <w:szCs w:val="28"/>
          <w:lang w:val="en-ZA"/>
        </w:rPr>
        <w:t xml:space="preserve">cellular </w:t>
      </w:r>
      <w:r w:rsidR="005B59AF" w:rsidRPr="00917FC2">
        <w:rPr>
          <w:rFonts w:ascii="Times New Roman" w:hAnsi="Times New Roman" w:cs="Times New Roman"/>
          <w:sz w:val="28"/>
          <w:szCs w:val="28"/>
          <w:lang w:val="en-ZA"/>
        </w:rPr>
        <w:t xml:space="preserve">phone </w:t>
      </w:r>
      <w:r w:rsidR="003F7737" w:rsidRPr="00917FC2">
        <w:rPr>
          <w:rFonts w:ascii="Times New Roman" w:hAnsi="Times New Roman" w:cs="Times New Roman"/>
          <w:sz w:val="28"/>
          <w:szCs w:val="28"/>
          <w:lang w:val="en-ZA"/>
        </w:rPr>
        <w:t>numbers.</w:t>
      </w:r>
      <w:r w:rsidR="00942D24" w:rsidRPr="00917FC2">
        <w:rPr>
          <w:rFonts w:ascii="Times New Roman" w:hAnsi="Times New Roman" w:cs="Times New Roman"/>
          <w:sz w:val="28"/>
          <w:szCs w:val="28"/>
          <w:lang w:val="en-ZA"/>
        </w:rPr>
        <w:t xml:space="preserve"> He </w:t>
      </w:r>
      <w:r w:rsidR="00AC1695" w:rsidRPr="00917FC2">
        <w:rPr>
          <w:rFonts w:ascii="Times New Roman" w:hAnsi="Times New Roman" w:cs="Times New Roman"/>
          <w:sz w:val="28"/>
          <w:szCs w:val="28"/>
          <w:lang w:val="en-ZA"/>
        </w:rPr>
        <w:t>explained</w:t>
      </w:r>
      <w:r w:rsidR="00942D24" w:rsidRPr="00917FC2">
        <w:rPr>
          <w:rFonts w:ascii="Times New Roman" w:hAnsi="Times New Roman" w:cs="Times New Roman"/>
          <w:sz w:val="28"/>
          <w:szCs w:val="28"/>
          <w:lang w:val="en-ZA"/>
        </w:rPr>
        <w:t xml:space="preserve"> that he was constrained to follow that route since he </w:t>
      </w:r>
      <w:r w:rsidR="00AC1695" w:rsidRPr="00917FC2">
        <w:rPr>
          <w:rFonts w:ascii="Times New Roman" w:hAnsi="Times New Roman" w:cs="Times New Roman"/>
          <w:sz w:val="28"/>
          <w:szCs w:val="28"/>
          <w:lang w:val="en-ZA"/>
        </w:rPr>
        <w:t>was unsuccessful in his</w:t>
      </w:r>
      <w:r w:rsidR="00942D24" w:rsidRPr="00917FC2">
        <w:rPr>
          <w:rFonts w:ascii="Times New Roman" w:hAnsi="Times New Roman" w:cs="Times New Roman"/>
          <w:sz w:val="28"/>
          <w:szCs w:val="28"/>
          <w:lang w:val="en-ZA"/>
        </w:rPr>
        <w:t xml:space="preserve"> attempt</w:t>
      </w:r>
      <w:r w:rsidR="00AC1695" w:rsidRPr="00917FC2">
        <w:rPr>
          <w:rFonts w:ascii="Times New Roman" w:hAnsi="Times New Roman" w:cs="Times New Roman"/>
          <w:sz w:val="28"/>
          <w:szCs w:val="28"/>
          <w:lang w:val="en-ZA"/>
        </w:rPr>
        <w:t>s</w:t>
      </w:r>
      <w:r w:rsidR="00942D24" w:rsidRPr="00917FC2">
        <w:rPr>
          <w:rFonts w:ascii="Times New Roman" w:hAnsi="Times New Roman" w:cs="Times New Roman"/>
          <w:sz w:val="28"/>
          <w:szCs w:val="28"/>
          <w:lang w:val="en-ZA"/>
        </w:rPr>
        <w:t xml:space="preserve"> to obtain the relevant information from </w:t>
      </w:r>
      <w:r w:rsidR="00D517FC" w:rsidRPr="00917FC2">
        <w:rPr>
          <w:rFonts w:ascii="Times New Roman" w:hAnsi="Times New Roman" w:cs="Times New Roman"/>
          <w:sz w:val="28"/>
          <w:szCs w:val="28"/>
          <w:lang w:val="en-ZA"/>
        </w:rPr>
        <w:t>the Council</w:t>
      </w:r>
      <w:r w:rsidR="00C431D3" w:rsidRPr="00917FC2">
        <w:rPr>
          <w:rFonts w:ascii="Times New Roman" w:hAnsi="Times New Roman" w:cs="Times New Roman"/>
          <w:sz w:val="28"/>
          <w:szCs w:val="28"/>
          <w:lang w:val="en-ZA"/>
        </w:rPr>
        <w:t>.</w:t>
      </w:r>
    </w:p>
    <w:p w14:paraId="52409E3E" w14:textId="77777777" w:rsidR="00A7384A" w:rsidRPr="00917FC2" w:rsidRDefault="00A7384A" w:rsidP="00A453B1">
      <w:pPr>
        <w:pStyle w:val="BodyA"/>
        <w:spacing w:after="0" w:line="360" w:lineRule="auto"/>
        <w:rPr>
          <w:rFonts w:ascii="Times New Roman" w:hAnsi="Times New Roman" w:cs="Times New Roman"/>
          <w:sz w:val="28"/>
          <w:szCs w:val="28"/>
          <w:lang w:val="en-ZA"/>
        </w:rPr>
      </w:pPr>
    </w:p>
    <w:p w14:paraId="14038E09" w14:textId="2E163AC9" w:rsidR="00C54361" w:rsidRPr="00917FC2" w:rsidRDefault="00C05AB1" w:rsidP="00A7384A">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2</w:t>
      </w:r>
      <w:r w:rsidR="00A7384A"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3F7737" w:rsidRPr="00917FC2">
        <w:rPr>
          <w:rFonts w:ascii="Times New Roman" w:hAnsi="Times New Roman" w:cs="Times New Roman"/>
          <w:sz w:val="28"/>
          <w:szCs w:val="28"/>
          <w:lang w:val="en-ZA"/>
        </w:rPr>
        <w:t xml:space="preserve">The appellant also </w:t>
      </w:r>
      <w:r w:rsidR="00153F08" w:rsidRPr="00917FC2">
        <w:rPr>
          <w:rFonts w:ascii="Times New Roman" w:hAnsi="Times New Roman" w:cs="Times New Roman"/>
          <w:sz w:val="28"/>
          <w:szCs w:val="28"/>
          <w:lang w:val="en-ZA"/>
        </w:rPr>
        <w:t xml:space="preserve">relied on </w:t>
      </w:r>
      <w:r w:rsidR="00187627" w:rsidRPr="00917FC2">
        <w:rPr>
          <w:rFonts w:ascii="Times New Roman" w:hAnsi="Times New Roman" w:cs="Times New Roman"/>
          <w:sz w:val="28"/>
          <w:szCs w:val="28"/>
          <w:lang w:val="en-ZA"/>
        </w:rPr>
        <w:t xml:space="preserve">an </w:t>
      </w:r>
      <w:r w:rsidR="002D786A" w:rsidRPr="00917FC2">
        <w:rPr>
          <w:rFonts w:ascii="Times New Roman" w:hAnsi="Times New Roman" w:cs="Times New Roman"/>
          <w:sz w:val="28"/>
          <w:szCs w:val="28"/>
          <w:lang w:val="en-ZA"/>
        </w:rPr>
        <w:t>affidavit</w:t>
      </w:r>
      <w:r w:rsidR="005E4E08" w:rsidRPr="00917FC2">
        <w:rPr>
          <w:rFonts w:ascii="Times New Roman" w:hAnsi="Times New Roman" w:cs="Times New Roman"/>
          <w:sz w:val="28"/>
          <w:szCs w:val="28"/>
          <w:lang w:val="en-ZA"/>
        </w:rPr>
        <w:t xml:space="preserve"> </w:t>
      </w:r>
      <w:r w:rsidR="00F84118" w:rsidRPr="00917FC2">
        <w:rPr>
          <w:rFonts w:ascii="Times New Roman" w:hAnsi="Times New Roman" w:cs="Times New Roman"/>
          <w:sz w:val="28"/>
          <w:szCs w:val="28"/>
          <w:lang w:val="en-ZA"/>
        </w:rPr>
        <w:t xml:space="preserve">that </w:t>
      </w:r>
      <w:r w:rsidR="005D1FAD" w:rsidRPr="00917FC2">
        <w:rPr>
          <w:rFonts w:ascii="Times New Roman" w:hAnsi="Times New Roman" w:cs="Times New Roman"/>
          <w:sz w:val="28"/>
          <w:szCs w:val="28"/>
          <w:lang w:val="en-ZA"/>
        </w:rPr>
        <w:t xml:space="preserve">Mr </w:t>
      </w:r>
      <w:r w:rsidR="005E4E08" w:rsidRPr="00917FC2">
        <w:rPr>
          <w:rFonts w:ascii="Times New Roman" w:hAnsi="Times New Roman" w:cs="Times New Roman"/>
          <w:sz w:val="28"/>
          <w:szCs w:val="28"/>
          <w:lang w:val="en-ZA"/>
        </w:rPr>
        <w:t>Teich</w:t>
      </w:r>
      <w:r w:rsidR="00F84118" w:rsidRPr="00917FC2">
        <w:rPr>
          <w:rFonts w:ascii="Times New Roman" w:hAnsi="Times New Roman" w:cs="Times New Roman"/>
          <w:sz w:val="28"/>
          <w:szCs w:val="28"/>
          <w:lang w:val="en-ZA"/>
        </w:rPr>
        <w:t xml:space="preserve"> had deposed to, in order to </w:t>
      </w:r>
      <w:r w:rsidR="00E26852" w:rsidRPr="00917FC2">
        <w:rPr>
          <w:rFonts w:ascii="Times New Roman" w:hAnsi="Times New Roman" w:cs="Times New Roman"/>
          <w:sz w:val="28"/>
          <w:szCs w:val="28"/>
          <w:lang w:val="en-ZA"/>
        </w:rPr>
        <w:t>assist t</w:t>
      </w:r>
      <w:r w:rsidR="00187627" w:rsidRPr="00917FC2">
        <w:rPr>
          <w:rFonts w:ascii="Times New Roman" w:hAnsi="Times New Roman" w:cs="Times New Roman"/>
          <w:sz w:val="28"/>
          <w:szCs w:val="28"/>
          <w:lang w:val="en-ZA"/>
        </w:rPr>
        <w:t>he Council with</w:t>
      </w:r>
      <w:r w:rsidR="00E26852" w:rsidRPr="00917FC2">
        <w:rPr>
          <w:rFonts w:ascii="Times New Roman" w:hAnsi="Times New Roman" w:cs="Times New Roman"/>
          <w:sz w:val="28"/>
          <w:szCs w:val="28"/>
          <w:lang w:val="en-ZA"/>
        </w:rPr>
        <w:t xml:space="preserve"> </w:t>
      </w:r>
      <w:r w:rsidR="002F5D6F" w:rsidRPr="00917FC2">
        <w:rPr>
          <w:rFonts w:ascii="Times New Roman" w:hAnsi="Times New Roman" w:cs="Times New Roman"/>
          <w:sz w:val="28"/>
          <w:szCs w:val="28"/>
          <w:lang w:val="en-ZA"/>
        </w:rPr>
        <w:t xml:space="preserve">the </w:t>
      </w:r>
      <w:r w:rsidR="00E26852" w:rsidRPr="00917FC2">
        <w:rPr>
          <w:rFonts w:ascii="Times New Roman" w:hAnsi="Times New Roman" w:cs="Times New Roman"/>
          <w:sz w:val="28"/>
          <w:szCs w:val="28"/>
          <w:lang w:val="en-ZA"/>
        </w:rPr>
        <w:t>investigation into</w:t>
      </w:r>
      <w:r w:rsidR="005E4E08" w:rsidRPr="00917FC2">
        <w:rPr>
          <w:rFonts w:ascii="Times New Roman" w:hAnsi="Times New Roman" w:cs="Times New Roman"/>
          <w:sz w:val="28"/>
          <w:szCs w:val="28"/>
          <w:lang w:val="en-ZA"/>
        </w:rPr>
        <w:t xml:space="preserve"> the affairs of Costa Attorneys</w:t>
      </w:r>
      <w:r w:rsidR="00A7384A" w:rsidRPr="00917FC2">
        <w:rPr>
          <w:rFonts w:ascii="Times New Roman" w:hAnsi="Times New Roman" w:cs="Times New Roman"/>
          <w:sz w:val="28"/>
          <w:szCs w:val="28"/>
          <w:lang w:val="en-ZA"/>
        </w:rPr>
        <w:t>.</w:t>
      </w:r>
      <w:r w:rsidR="00187627" w:rsidRPr="00917FC2">
        <w:rPr>
          <w:rFonts w:ascii="Times New Roman" w:hAnsi="Times New Roman" w:cs="Times New Roman"/>
          <w:sz w:val="28"/>
          <w:szCs w:val="28"/>
          <w:lang w:val="en-ZA"/>
        </w:rPr>
        <w:t xml:space="preserve"> The</w:t>
      </w:r>
      <w:r w:rsidR="00F9302E" w:rsidRPr="00917FC2">
        <w:rPr>
          <w:rFonts w:ascii="Times New Roman" w:hAnsi="Times New Roman" w:cs="Times New Roman"/>
          <w:sz w:val="28"/>
          <w:szCs w:val="28"/>
          <w:lang w:val="en-ZA"/>
        </w:rPr>
        <w:t xml:space="preserve"> affidavit</w:t>
      </w:r>
      <w:r w:rsidR="000E45CB" w:rsidRPr="00917FC2">
        <w:rPr>
          <w:rFonts w:ascii="Times New Roman" w:hAnsi="Times New Roman" w:cs="Times New Roman"/>
          <w:sz w:val="28"/>
          <w:szCs w:val="28"/>
          <w:lang w:val="en-ZA"/>
        </w:rPr>
        <w:t xml:space="preserve"> was</w:t>
      </w:r>
      <w:r w:rsidR="00F84118" w:rsidRPr="00917FC2">
        <w:rPr>
          <w:rFonts w:ascii="Times New Roman" w:hAnsi="Times New Roman" w:cs="Times New Roman"/>
          <w:sz w:val="28"/>
          <w:szCs w:val="28"/>
          <w:lang w:val="en-ZA"/>
        </w:rPr>
        <w:t xml:space="preserve"> n</w:t>
      </w:r>
      <w:r w:rsidR="002F35B5" w:rsidRPr="00917FC2">
        <w:rPr>
          <w:rFonts w:ascii="Times New Roman" w:hAnsi="Times New Roman" w:cs="Times New Roman"/>
          <w:sz w:val="28"/>
          <w:szCs w:val="28"/>
          <w:lang w:val="en-ZA"/>
        </w:rPr>
        <w:t>either</w:t>
      </w:r>
      <w:r w:rsidR="00F84118" w:rsidRPr="00917FC2">
        <w:rPr>
          <w:rFonts w:ascii="Times New Roman" w:hAnsi="Times New Roman" w:cs="Times New Roman"/>
          <w:sz w:val="28"/>
          <w:szCs w:val="28"/>
          <w:lang w:val="en-ZA"/>
        </w:rPr>
        <w:t xml:space="preserve"> made in support of </w:t>
      </w:r>
      <w:r w:rsidR="003F7737" w:rsidRPr="00917FC2">
        <w:rPr>
          <w:rFonts w:ascii="Times New Roman" w:hAnsi="Times New Roman" w:cs="Times New Roman"/>
          <w:sz w:val="28"/>
          <w:szCs w:val="28"/>
          <w:lang w:val="en-ZA"/>
        </w:rPr>
        <w:t xml:space="preserve">the appellant’s founding </w:t>
      </w:r>
      <w:r w:rsidR="002D786A" w:rsidRPr="00917FC2">
        <w:rPr>
          <w:rFonts w:ascii="Times New Roman" w:hAnsi="Times New Roman" w:cs="Times New Roman"/>
          <w:sz w:val="28"/>
          <w:szCs w:val="28"/>
          <w:lang w:val="en-ZA"/>
        </w:rPr>
        <w:t>affidavit</w:t>
      </w:r>
      <w:r w:rsidR="00AC1695" w:rsidRPr="00917FC2">
        <w:rPr>
          <w:rFonts w:ascii="Times New Roman" w:hAnsi="Times New Roman" w:cs="Times New Roman"/>
          <w:sz w:val="28"/>
          <w:szCs w:val="28"/>
          <w:lang w:val="en-ZA"/>
        </w:rPr>
        <w:t xml:space="preserve"> nor</w:t>
      </w:r>
      <w:r w:rsidR="0016254F" w:rsidRPr="00917FC2">
        <w:rPr>
          <w:rFonts w:ascii="Times New Roman" w:hAnsi="Times New Roman" w:cs="Times New Roman"/>
          <w:sz w:val="28"/>
          <w:szCs w:val="28"/>
          <w:lang w:val="en-ZA"/>
        </w:rPr>
        <w:t xml:space="preserve"> </w:t>
      </w:r>
      <w:r w:rsidR="00F84118" w:rsidRPr="00917FC2">
        <w:rPr>
          <w:rFonts w:ascii="Times New Roman" w:hAnsi="Times New Roman" w:cs="Times New Roman"/>
          <w:sz w:val="28"/>
          <w:szCs w:val="28"/>
          <w:lang w:val="en-ZA"/>
        </w:rPr>
        <w:t xml:space="preserve">was it a </w:t>
      </w:r>
      <w:r w:rsidR="0016254F" w:rsidRPr="00917FC2">
        <w:rPr>
          <w:rFonts w:ascii="Times New Roman" w:hAnsi="Times New Roman" w:cs="Times New Roman"/>
          <w:sz w:val="28"/>
          <w:szCs w:val="28"/>
          <w:lang w:val="en-ZA"/>
        </w:rPr>
        <w:t>confirm</w:t>
      </w:r>
      <w:r w:rsidR="00F84118" w:rsidRPr="00917FC2">
        <w:rPr>
          <w:rFonts w:ascii="Times New Roman" w:hAnsi="Times New Roman" w:cs="Times New Roman"/>
          <w:sz w:val="28"/>
          <w:szCs w:val="28"/>
          <w:lang w:val="en-ZA"/>
        </w:rPr>
        <w:t>atory affidavit</w:t>
      </w:r>
      <w:r w:rsidR="00B03DD7" w:rsidRPr="00917FC2">
        <w:rPr>
          <w:rFonts w:ascii="Times New Roman" w:hAnsi="Times New Roman" w:cs="Times New Roman"/>
          <w:sz w:val="28"/>
          <w:szCs w:val="28"/>
          <w:lang w:val="en-ZA"/>
        </w:rPr>
        <w:t>.</w:t>
      </w:r>
      <w:r w:rsidR="00655A72" w:rsidRPr="00917FC2">
        <w:rPr>
          <w:rFonts w:ascii="Times New Roman" w:hAnsi="Times New Roman" w:cs="Times New Roman"/>
          <w:sz w:val="28"/>
          <w:szCs w:val="28"/>
          <w:lang w:val="en-ZA"/>
        </w:rPr>
        <w:t xml:space="preserve"> </w:t>
      </w:r>
      <w:r w:rsidR="002F35B5" w:rsidRPr="00917FC2">
        <w:rPr>
          <w:rFonts w:ascii="Times New Roman" w:hAnsi="Times New Roman" w:cs="Times New Roman"/>
          <w:sz w:val="28"/>
          <w:szCs w:val="28"/>
          <w:lang w:val="en-ZA"/>
        </w:rPr>
        <w:t>In any event</w:t>
      </w:r>
      <w:r w:rsidR="002F58B6" w:rsidRPr="00917FC2">
        <w:rPr>
          <w:rFonts w:ascii="Times New Roman" w:hAnsi="Times New Roman" w:cs="Times New Roman"/>
          <w:sz w:val="28"/>
          <w:szCs w:val="28"/>
          <w:lang w:val="en-ZA"/>
        </w:rPr>
        <w:t xml:space="preserve">, </w:t>
      </w:r>
      <w:r w:rsidR="00AD4D0C" w:rsidRPr="00917FC2">
        <w:rPr>
          <w:rFonts w:ascii="Times New Roman" w:hAnsi="Times New Roman" w:cs="Times New Roman"/>
          <w:sz w:val="28"/>
          <w:szCs w:val="28"/>
          <w:lang w:val="en-ZA"/>
        </w:rPr>
        <w:t xml:space="preserve">Mr </w:t>
      </w:r>
      <w:r w:rsidR="002F58B6" w:rsidRPr="00917FC2">
        <w:rPr>
          <w:rFonts w:ascii="Times New Roman" w:hAnsi="Times New Roman" w:cs="Times New Roman"/>
          <w:sz w:val="28"/>
          <w:szCs w:val="28"/>
          <w:lang w:val="en-ZA"/>
        </w:rPr>
        <w:t>Tiech</w:t>
      </w:r>
      <w:r w:rsidR="003F7737" w:rsidRPr="00917FC2">
        <w:rPr>
          <w:rFonts w:ascii="Times New Roman" w:hAnsi="Times New Roman" w:cs="Times New Roman"/>
          <w:sz w:val="28"/>
          <w:szCs w:val="28"/>
          <w:lang w:val="en-ZA"/>
        </w:rPr>
        <w:t xml:space="preserve"> stated that he worked mostly on </w:t>
      </w:r>
      <w:r w:rsidR="002F58B6" w:rsidRPr="00917FC2">
        <w:rPr>
          <w:rFonts w:ascii="Times New Roman" w:hAnsi="Times New Roman" w:cs="Times New Roman"/>
          <w:sz w:val="28"/>
          <w:szCs w:val="28"/>
          <w:lang w:val="en-ZA"/>
        </w:rPr>
        <w:t>conveyancing</w:t>
      </w:r>
      <w:r w:rsidR="003F7737" w:rsidRPr="00917FC2">
        <w:rPr>
          <w:rFonts w:ascii="Times New Roman" w:hAnsi="Times New Roman" w:cs="Times New Roman"/>
          <w:sz w:val="28"/>
          <w:szCs w:val="28"/>
          <w:lang w:val="en-ZA"/>
        </w:rPr>
        <w:t xml:space="preserve"> matters and had no access to any of </w:t>
      </w:r>
      <w:r w:rsidR="007A29BA" w:rsidRPr="00917FC2">
        <w:rPr>
          <w:rFonts w:ascii="Times New Roman" w:hAnsi="Times New Roman" w:cs="Times New Roman"/>
          <w:sz w:val="28"/>
          <w:szCs w:val="28"/>
          <w:lang w:val="en-ZA"/>
        </w:rPr>
        <w:t>the firm’s</w:t>
      </w:r>
      <w:r w:rsidR="00AD4D0C" w:rsidRPr="00917FC2">
        <w:rPr>
          <w:rFonts w:ascii="Times New Roman" w:hAnsi="Times New Roman" w:cs="Times New Roman"/>
          <w:sz w:val="28"/>
          <w:szCs w:val="28"/>
          <w:lang w:val="en-ZA"/>
        </w:rPr>
        <w:t xml:space="preserve"> records or books of </w:t>
      </w:r>
      <w:r w:rsidR="003F7737" w:rsidRPr="00917FC2">
        <w:rPr>
          <w:rFonts w:ascii="Times New Roman" w:hAnsi="Times New Roman" w:cs="Times New Roman"/>
          <w:sz w:val="28"/>
          <w:szCs w:val="28"/>
          <w:lang w:val="en-ZA"/>
        </w:rPr>
        <w:t xml:space="preserve">account. The affidavit </w:t>
      </w:r>
      <w:r w:rsidR="00C54361" w:rsidRPr="00917FC2">
        <w:rPr>
          <w:rFonts w:ascii="Times New Roman" w:hAnsi="Times New Roman" w:cs="Times New Roman"/>
          <w:sz w:val="28"/>
          <w:szCs w:val="28"/>
          <w:lang w:val="en-ZA"/>
        </w:rPr>
        <w:t xml:space="preserve">accordingly </w:t>
      </w:r>
      <w:r w:rsidR="003F7737" w:rsidRPr="00917FC2">
        <w:rPr>
          <w:rFonts w:ascii="Times New Roman" w:hAnsi="Times New Roman" w:cs="Times New Roman"/>
          <w:sz w:val="28"/>
          <w:szCs w:val="28"/>
          <w:lang w:val="en-ZA"/>
        </w:rPr>
        <w:t xml:space="preserve">does not support </w:t>
      </w:r>
      <w:r w:rsidR="00A646F6" w:rsidRPr="00917FC2">
        <w:rPr>
          <w:rFonts w:ascii="Times New Roman" w:hAnsi="Times New Roman" w:cs="Times New Roman"/>
          <w:sz w:val="28"/>
          <w:szCs w:val="28"/>
          <w:lang w:val="en-ZA"/>
        </w:rPr>
        <w:t xml:space="preserve">either </w:t>
      </w:r>
      <w:r w:rsidR="003F7737" w:rsidRPr="00917FC2">
        <w:rPr>
          <w:rFonts w:ascii="Times New Roman" w:hAnsi="Times New Roman" w:cs="Times New Roman"/>
          <w:sz w:val="28"/>
          <w:szCs w:val="28"/>
          <w:lang w:val="en-ZA"/>
        </w:rPr>
        <w:t>the</w:t>
      </w:r>
      <w:r w:rsidR="00C54361" w:rsidRPr="00917FC2">
        <w:rPr>
          <w:rFonts w:ascii="Times New Roman" w:hAnsi="Times New Roman" w:cs="Times New Roman"/>
          <w:sz w:val="28"/>
          <w:szCs w:val="28"/>
          <w:lang w:val="en-ZA"/>
        </w:rPr>
        <w:t xml:space="preserve"> appellant’s or </w:t>
      </w:r>
      <w:r w:rsidR="00AD4D0C" w:rsidRPr="00917FC2">
        <w:rPr>
          <w:rFonts w:ascii="Times New Roman" w:hAnsi="Times New Roman" w:cs="Times New Roman"/>
          <w:sz w:val="28"/>
          <w:szCs w:val="28"/>
          <w:lang w:val="en-ZA"/>
        </w:rPr>
        <w:t xml:space="preserve">Ms </w:t>
      </w:r>
      <w:r w:rsidR="005B59AF" w:rsidRPr="00917FC2">
        <w:rPr>
          <w:rFonts w:ascii="Times New Roman" w:hAnsi="Times New Roman" w:cs="Times New Roman"/>
          <w:sz w:val="28"/>
          <w:szCs w:val="28"/>
          <w:lang w:val="en-ZA"/>
        </w:rPr>
        <w:t>W</w:t>
      </w:r>
      <w:r w:rsidR="00C54361" w:rsidRPr="00917FC2">
        <w:rPr>
          <w:rFonts w:ascii="Times New Roman" w:hAnsi="Times New Roman" w:cs="Times New Roman"/>
          <w:sz w:val="28"/>
          <w:szCs w:val="28"/>
          <w:lang w:val="en-ZA"/>
        </w:rPr>
        <w:t>all</w:t>
      </w:r>
      <w:r w:rsidR="002F58B6" w:rsidRPr="00917FC2">
        <w:rPr>
          <w:rFonts w:ascii="Times New Roman" w:hAnsi="Times New Roman" w:cs="Times New Roman"/>
          <w:sz w:val="28"/>
          <w:szCs w:val="28"/>
          <w:lang w:val="en-ZA"/>
        </w:rPr>
        <w:t>’</w:t>
      </w:r>
      <w:r w:rsidR="005B59AF" w:rsidRPr="00917FC2">
        <w:rPr>
          <w:rFonts w:ascii="Times New Roman" w:hAnsi="Times New Roman" w:cs="Times New Roman"/>
          <w:sz w:val="28"/>
          <w:szCs w:val="28"/>
          <w:lang w:val="en-ZA"/>
        </w:rPr>
        <w:t>s</w:t>
      </w:r>
      <w:r w:rsidR="00C54361" w:rsidRPr="00917FC2">
        <w:rPr>
          <w:rFonts w:ascii="Times New Roman" w:hAnsi="Times New Roman" w:cs="Times New Roman"/>
          <w:sz w:val="28"/>
          <w:szCs w:val="28"/>
          <w:lang w:val="en-ZA"/>
        </w:rPr>
        <w:t xml:space="preserve"> a</w:t>
      </w:r>
      <w:r w:rsidR="005B59AF" w:rsidRPr="00917FC2">
        <w:rPr>
          <w:rFonts w:ascii="Times New Roman" w:hAnsi="Times New Roman" w:cs="Times New Roman"/>
          <w:sz w:val="28"/>
          <w:szCs w:val="28"/>
          <w:lang w:val="en-ZA"/>
        </w:rPr>
        <w:t>ssertion</w:t>
      </w:r>
      <w:r w:rsidR="00A646F6" w:rsidRPr="00917FC2">
        <w:rPr>
          <w:rFonts w:ascii="Times New Roman" w:hAnsi="Times New Roman" w:cs="Times New Roman"/>
          <w:sz w:val="28"/>
          <w:szCs w:val="28"/>
          <w:lang w:val="en-ZA"/>
        </w:rPr>
        <w:t>s</w:t>
      </w:r>
      <w:r w:rsidR="00C54361" w:rsidRPr="00917FC2">
        <w:rPr>
          <w:rFonts w:ascii="Times New Roman" w:hAnsi="Times New Roman" w:cs="Times New Roman"/>
          <w:sz w:val="28"/>
          <w:szCs w:val="28"/>
          <w:lang w:val="en-ZA"/>
        </w:rPr>
        <w:t xml:space="preserve"> regarding the firm</w:t>
      </w:r>
      <w:r w:rsidR="00A646F6" w:rsidRPr="00917FC2">
        <w:rPr>
          <w:rFonts w:ascii="Times New Roman" w:hAnsi="Times New Roman" w:cs="Times New Roman"/>
          <w:sz w:val="28"/>
          <w:szCs w:val="28"/>
          <w:lang w:val="en-ZA"/>
        </w:rPr>
        <w:t>’</w:t>
      </w:r>
      <w:r w:rsidR="00C54361" w:rsidRPr="00917FC2">
        <w:rPr>
          <w:rFonts w:ascii="Times New Roman" w:hAnsi="Times New Roman" w:cs="Times New Roman"/>
          <w:sz w:val="28"/>
          <w:szCs w:val="28"/>
          <w:lang w:val="en-ZA"/>
        </w:rPr>
        <w:t>s brief</w:t>
      </w:r>
      <w:r w:rsidR="00AD4D0C" w:rsidRPr="00917FC2">
        <w:rPr>
          <w:rFonts w:ascii="Times New Roman" w:hAnsi="Times New Roman" w:cs="Times New Roman"/>
          <w:sz w:val="28"/>
          <w:szCs w:val="28"/>
          <w:lang w:val="en-ZA"/>
        </w:rPr>
        <w:t xml:space="preserve">ing policy, </w:t>
      </w:r>
      <w:r w:rsidR="00AC1695" w:rsidRPr="00917FC2">
        <w:rPr>
          <w:rFonts w:ascii="Times New Roman" w:hAnsi="Times New Roman" w:cs="Times New Roman"/>
          <w:sz w:val="28"/>
          <w:szCs w:val="28"/>
          <w:lang w:val="en-ZA"/>
        </w:rPr>
        <w:t>nor</w:t>
      </w:r>
      <w:r w:rsidR="00AD4D0C" w:rsidRPr="00917FC2">
        <w:rPr>
          <w:rFonts w:ascii="Times New Roman" w:hAnsi="Times New Roman" w:cs="Times New Roman"/>
          <w:sz w:val="28"/>
          <w:szCs w:val="28"/>
          <w:lang w:val="en-ZA"/>
        </w:rPr>
        <w:t xml:space="preserve"> does</w:t>
      </w:r>
      <w:r w:rsidR="00A646F6" w:rsidRPr="00917FC2">
        <w:rPr>
          <w:rFonts w:ascii="Times New Roman" w:hAnsi="Times New Roman" w:cs="Times New Roman"/>
          <w:sz w:val="28"/>
          <w:szCs w:val="28"/>
          <w:lang w:val="en-ZA"/>
        </w:rPr>
        <w:t xml:space="preserve"> it she</w:t>
      </w:r>
      <w:r w:rsidR="00C54361" w:rsidRPr="00917FC2">
        <w:rPr>
          <w:rFonts w:ascii="Times New Roman" w:hAnsi="Times New Roman" w:cs="Times New Roman"/>
          <w:sz w:val="28"/>
          <w:szCs w:val="28"/>
          <w:lang w:val="en-ZA"/>
        </w:rPr>
        <w:t xml:space="preserve">d any light </w:t>
      </w:r>
      <w:r w:rsidR="006432AA" w:rsidRPr="00917FC2">
        <w:rPr>
          <w:rFonts w:ascii="Times New Roman" w:hAnsi="Times New Roman" w:cs="Times New Roman"/>
          <w:sz w:val="28"/>
          <w:szCs w:val="28"/>
          <w:lang w:val="en-ZA"/>
        </w:rPr>
        <w:t xml:space="preserve">on </w:t>
      </w:r>
      <w:r w:rsidR="00C54361" w:rsidRPr="00917FC2">
        <w:rPr>
          <w:rFonts w:ascii="Times New Roman" w:hAnsi="Times New Roman" w:cs="Times New Roman"/>
          <w:sz w:val="28"/>
          <w:szCs w:val="28"/>
          <w:lang w:val="en-ZA"/>
        </w:rPr>
        <w:t xml:space="preserve">monies </w:t>
      </w:r>
      <w:r w:rsidR="00AC1695" w:rsidRPr="00917FC2">
        <w:rPr>
          <w:rFonts w:ascii="Times New Roman" w:hAnsi="Times New Roman" w:cs="Times New Roman"/>
          <w:sz w:val="28"/>
          <w:szCs w:val="28"/>
          <w:lang w:val="en-ZA"/>
        </w:rPr>
        <w:t xml:space="preserve">that clients </w:t>
      </w:r>
      <w:r w:rsidR="00C54361" w:rsidRPr="00917FC2">
        <w:rPr>
          <w:rFonts w:ascii="Times New Roman" w:hAnsi="Times New Roman" w:cs="Times New Roman"/>
          <w:sz w:val="28"/>
          <w:szCs w:val="28"/>
          <w:lang w:val="en-ZA"/>
        </w:rPr>
        <w:t xml:space="preserve">paid as cover for </w:t>
      </w:r>
      <w:r w:rsidR="00CF1568" w:rsidRPr="00917FC2">
        <w:rPr>
          <w:rFonts w:ascii="Times New Roman" w:hAnsi="Times New Roman" w:cs="Times New Roman"/>
          <w:sz w:val="28"/>
          <w:szCs w:val="28"/>
          <w:lang w:val="en-ZA"/>
        </w:rPr>
        <w:t xml:space="preserve">counsels’ </w:t>
      </w:r>
      <w:r w:rsidR="00AD4D0C" w:rsidRPr="00917FC2">
        <w:rPr>
          <w:rFonts w:ascii="Times New Roman" w:hAnsi="Times New Roman" w:cs="Times New Roman"/>
          <w:sz w:val="28"/>
          <w:szCs w:val="28"/>
          <w:lang w:val="en-ZA"/>
        </w:rPr>
        <w:t>fees. It appears that the</w:t>
      </w:r>
      <w:r w:rsidR="00C54361" w:rsidRPr="00917FC2">
        <w:rPr>
          <w:rFonts w:ascii="Times New Roman" w:hAnsi="Times New Roman" w:cs="Times New Roman"/>
          <w:sz w:val="28"/>
          <w:szCs w:val="28"/>
          <w:lang w:val="en-ZA"/>
        </w:rPr>
        <w:t xml:space="preserve"> affidavit was </w:t>
      </w:r>
      <w:r w:rsidR="00DA363D" w:rsidRPr="00917FC2">
        <w:rPr>
          <w:rFonts w:ascii="Times New Roman" w:hAnsi="Times New Roman" w:cs="Times New Roman"/>
          <w:sz w:val="28"/>
          <w:szCs w:val="28"/>
          <w:lang w:val="en-ZA"/>
        </w:rPr>
        <w:t>primarily</w:t>
      </w:r>
      <w:r w:rsidR="00C867F9" w:rsidRPr="00917FC2">
        <w:rPr>
          <w:rFonts w:ascii="Times New Roman" w:hAnsi="Times New Roman" w:cs="Times New Roman"/>
          <w:sz w:val="28"/>
          <w:szCs w:val="28"/>
          <w:lang w:val="en-ZA"/>
        </w:rPr>
        <w:t xml:space="preserve"> </w:t>
      </w:r>
      <w:r w:rsidR="00A50CE4" w:rsidRPr="00917FC2">
        <w:rPr>
          <w:rFonts w:ascii="Times New Roman" w:hAnsi="Times New Roman" w:cs="Times New Roman"/>
          <w:sz w:val="28"/>
          <w:szCs w:val="28"/>
          <w:lang w:val="en-ZA"/>
        </w:rPr>
        <w:t>intended</w:t>
      </w:r>
      <w:r w:rsidR="008A2425" w:rsidRPr="00917FC2">
        <w:rPr>
          <w:rFonts w:ascii="Times New Roman" w:hAnsi="Times New Roman" w:cs="Times New Roman"/>
          <w:sz w:val="28"/>
          <w:szCs w:val="28"/>
          <w:lang w:val="en-ZA"/>
        </w:rPr>
        <w:t xml:space="preserve"> </w:t>
      </w:r>
      <w:r w:rsidR="00DA363D" w:rsidRPr="00917FC2">
        <w:rPr>
          <w:rFonts w:ascii="Times New Roman" w:hAnsi="Times New Roman" w:cs="Times New Roman"/>
          <w:sz w:val="28"/>
          <w:szCs w:val="28"/>
          <w:lang w:val="en-ZA"/>
        </w:rPr>
        <w:t>to assist the Counci</w:t>
      </w:r>
      <w:r w:rsidR="003570C6" w:rsidRPr="00917FC2">
        <w:rPr>
          <w:rFonts w:ascii="Times New Roman" w:hAnsi="Times New Roman" w:cs="Times New Roman"/>
          <w:sz w:val="28"/>
          <w:szCs w:val="28"/>
          <w:lang w:val="en-ZA"/>
        </w:rPr>
        <w:t>l in</w:t>
      </w:r>
      <w:r w:rsidR="00C54361" w:rsidRPr="00917FC2">
        <w:rPr>
          <w:rFonts w:ascii="Times New Roman" w:hAnsi="Times New Roman" w:cs="Times New Roman"/>
          <w:sz w:val="28"/>
          <w:szCs w:val="28"/>
          <w:lang w:val="en-ZA"/>
        </w:rPr>
        <w:t xml:space="preserve"> establi</w:t>
      </w:r>
      <w:r w:rsidR="00DA363D" w:rsidRPr="00917FC2">
        <w:rPr>
          <w:rFonts w:ascii="Times New Roman" w:hAnsi="Times New Roman" w:cs="Times New Roman"/>
          <w:sz w:val="28"/>
          <w:szCs w:val="28"/>
          <w:lang w:val="en-ZA"/>
        </w:rPr>
        <w:t>sh</w:t>
      </w:r>
      <w:r w:rsidR="003570C6" w:rsidRPr="00917FC2">
        <w:rPr>
          <w:rFonts w:ascii="Times New Roman" w:hAnsi="Times New Roman" w:cs="Times New Roman"/>
          <w:sz w:val="28"/>
          <w:szCs w:val="28"/>
          <w:lang w:val="en-ZA"/>
        </w:rPr>
        <w:t>ing</w:t>
      </w:r>
      <w:r w:rsidR="00DA363D" w:rsidRPr="00917FC2">
        <w:rPr>
          <w:rFonts w:ascii="Times New Roman" w:hAnsi="Times New Roman" w:cs="Times New Roman"/>
          <w:sz w:val="28"/>
          <w:szCs w:val="28"/>
          <w:lang w:val="en-ZA"/>
        </w:rPr>
        <w:t xml:space="preserve"> the extent of the embezzlement</w:t>
      </w:r>
      <w:r w:rsidR="00C54361" w:rsidRPr="00917FC2">
        <w:rPr>
          <w:rFonts w:ascii="Times New Roman" w:hAnsi="Times New Roman" w:cs="Times New Roman"/>
          <w:sz w:val="28"/>
          <w:szCs w:val="28"/>
          <w:lang w:val="en-ZA"/>
        </w:rPr>
        <w:t xml:space="preserve"> by </w:t>
      </w:r>
      <w:r w:rsidR="001B782E" w:rsidRPr="00917FC2">
        <w:rPr>
          <w:rFonts w:ascii="Times New Roman" w:hAnsi="Times New Roman" w:cs="Times New Roman"/>
          <w:sz w:val="28"/>
          <w:szCs w:val="28"/>
          <w:lang w:val="en-ZA"/>
        </w:rPr>
        <w:t xml:space="preserve">Mr </w:t>
      </w:r>
      <w:r w:rsidR="00C54361" w:rsidRPr="00917FC2">
        <w:rPr>
          <w:rFonts w:ascii="Times New Roman" w:hAnsi="Times New Roman" w:cs="Times New Roman"/>
          <w:sz w:val="28"/>
          <w:szCs w:val="28"/>
          <w:lang w:val="en-ZA"/>
        </w:rPr>
        <w:t>Costa.</w:t>
      </w:r>
    </w:p>
    <w:p w14:paraId="676CBD1E" w14:textId="77777777" w:rsidR="00C54361" w:rsidRPr="00917FC2" w:rsidRDefault="00C54361" w:rsidP="00C54361">
      <w:pPr>
        <w:pStyle w:val="BodyA"/>
        <w:spacing w:after="0" w:line="360" w:lineRule="auto"/>
        <w:ind w:left="360"/>
        <w:rPr>
          <w:rFonts w:ascii="Times New Roman" w:hAnsi="Times New Roman" w:cs="Times New Roman"/>
          <w:sz w:val="28"/>
          <w:szCs w:val="28"/>
          <w:lang w:val="en-ZA"/>
        </w:rPr>
      </w:pPr>
    </w:p>
    <w:p w14:paraId="51A01D89" w14:textId="208196AD" w:rsidR="000A417D" w:rsidRPr="00917FC2" w:rsidRDefault="00C05AB1" w:rsidP="00C54361">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3</w:t>
      </w:r>
      <w:r w:rsidR="00105806" w:rsidRPr="00917FC2">
        <w:rPr>
          <w:rFonts w:ascii="Times New Roman" w:hAnsi="Times New Roman" w:cs="Times New Roman"/>
          <w:sz w:val="28"/>
          <w:szCs w:val="28"/>
          <w:lang w:val="en-ZA"/>
        </w:rPr>
        <w:t>]</w:t>
      </w:r>
      <w:r w:rsidR="00C867F9" w:rsidRPr="00917FC2">
        <w:rPr>
          <w:rFonts w:ascii="Times New Roman" w:hAnsi="Times New Roman" w:cs="Times New Roman"/>
          <w:sz w:val="28"/>
          <w:szCs w:val="28"/>
          <w:lang w:val="en-ZA"/>
        </w:rPr>
        <w:tab/>
      </w:r>
      <w:r w:rsidR="00105806" w:rsidRPr="00917FC2">
        <w:rPr>
          <w:rFonts w:ascii="Times New Roman" w:hAnsi="Times New Roman" w:cs="Times New Roman"/>
          <w:sz w:val="28"/>
          <w:szCs w:val="28"/>
          <w:lang w:val="en-ZA"/>
        </w:rPr>
        <w:t xml:space="preserve">In addition, the appellant relied on affidavits filed by </w:t>
      </w:r>
      <w:r w:rsidR="003B3842" w:rsidRPr="00917FC2">
        <w:rPr>
          <w:rFonts w:ascii="Times New Roman" w:hAnsi="Times New Roman" w:cs="Times New Roman"/>
          <w:sz w:val="28"/>
          <w:szCs w:val="28"/>
          <w:lang w:val="en-ZA"/>
        </w:rPr>
        <w:t xml:space="preserve">Mr </w:t>
      </w:r>
      <w:r w:rsidR="00FC3008" w:rsidRPr="00917FC2">
        <w:rPr>
          <w:rFonts w:ascii="Times New Roman" w:hAnsi="Times New Roman" w:cs="Times New Roman"/>
          <w:sz w:val="28"/>
          <w:szCs w:val="28"/>
          <w:lang w:val="en-ZA"/>
        </w:rPr>
        <w:t>Gary Abkin</w:t>
      </w:r>
      <w:r w:rsidR="00C54361" w:rsidRPr="00917FC2">
        <w:rPr>
          <w:rFonts w:ascii="Times New Roman" w:hAnsi="Times New Roman" w:cs="Times New Roman"/>
          <w:sz w:val="28"/>
          <w:szCs w:val="28"/>
          <w:lang w:val="en-ZA"/>
        </w:rPr>
        <w:t xml:space="preserve"> </w:t>
      </w:r>
      <w:r w:rsidR="00105806" w:rsidRPr="00917FC2">
        <w:rPr>
          <w:rFonts w:ascii="Times New Roman" w:hAnsi="Times New Roman" w:cs="Times New Roman"/>
          <w:sz w:val="28"/>
          <w:szCs w:val="28"/>
          <w:lang w:val="en-ZA"/>
        </w:rPr>
        <w:t xml:space="preserve">and </w:t>
      </w:r>
      <w:r w:rsidR="0043580C" w:rsidRPr="00917FC2">
        <w:rPr>
          <w:rFonts w:ascii="Times New Roman" w:hAnsi="Times New Roman" w:cs="Times New Roman"/>
          <w:sz w:val="28"/>
          <w:szCs w:val="28"/>
          <w:lang w:val="en-ZA"/>
        </w:rPr>
        <w:t xml:space="preserve">Mr </w:t>
      </w:r>
      <w:r w:rsidR="007A29BA" w:rsidRPr="00917FC2">
        <w:rPr>
          <w:rFonts w:ascii="Times New Roman" w:hAnsi="Times New Roman" w:cs="Times New Roman"/>
          <w:sz w:val="28"/>
          <w:szCs w:val="28"/>
          <w:lang w:val="en-ZA"/>
        </w:rPr>
        <w:t>Richard Vaz</w:t>
      </w:r>
      <w:r w:rsidR="00105806" w:rsidRPr="00917FC2">
        <w:rPr>
          <w:rFonts w:ascii="Times New Roman" w:hAnsi="Times New Roman" w:cs="Times New Roman"/>
          <w:sz w:val="28"/>
          <w:szCs w:val="28"/>
          <w:lang w:val="en-ZA"/>
        </w:rPr>
        <w:t xml:space="preserve"> behalf of their respective companies</w:t>
      </w:r>
      <w:r w:rsidR="005D1FAD" w:rsidRPr="00917FC2">
        <w:rPr>
          <w:rFonts w:ascii="Times New Roman" w:hAnsi="Times New Roman" w:cs="Times New Roman"/>
          <w:sz w:val="28"/>
          <w:szCs w:val="28"/>
          <w:lang w:val="en-ZA"/>
        </w:rPr>
        <w:t>,</w:t>
      </w:r>
      <w:r w:rsidR="00105806" w:rsidRPr="00917FC2">
        <w:rPr>
          <w:rFonts w:ascii="Times New Roman" w:hAnsi="Times New Roman" w:cs="Times New Roman"/>
          <w:sz w:val="28"/>
          <w:szCs w:val="28"/>
          <w:lang w:val="en-ZA"/>
        </w:rPr>
        <w:t xml:space="preserve"> who were both clients of Costa </w:t>
      </w:r>
      <w:r w:rsidR="00105806" w:rsidRPr="00917FC2">
        <w:rPr>
          <w:rFonts w:ascii="Times New Roman" w:hAnsi="Times New Roman" w:cs="Times New Roman"/>
          <w:sz w:val="28"/>
          <w:szCs w:val="28"/>
          <w:lang w:val="en-ZA"/>
        </w:rPr>
        <w:lastRenderedPageBreak/>
        <w:t xml:space="preserve">Attorneys. </w:t>
      </w:r>
      <w:r w:rsidR="002E6AED" w:rsidRPr="00917FC2">
        <w:rPr>
          <w:rFonts w:ascii="Times New Roman" w:hAnsi="Times New Roman" w:cs="Times New Roman"/>
          <w:sz w:val="28"/>
          <w:szCs w:val="28"/>
          <w:lang w:val="en-ZA"/>
        </w:rPr>
        <w:t xml:space="preserve">Mr </w:t>
      </w:r>
      <w:r w:rsidR="00D57035" w:rsidRPr="00917FC2">
        <w:rPr>
          <w:rFonts w:ascii="Times New Roman" w:hAnsi="Times New Roman" w:cs="Times New Roman"/>
          <w:sz w:val="28"/>
          <w:szCs w:val="28"/>
          <w:lang w:val="en-ZA"/>
        </w:rPr>
        <w:t>Abkin made</w:t>
      </w:r>
      <w:r w:rsidR="00105806" w:rsidRPr="00917FC2">
        <w:rPr>
          <w:rFonts w:ascii="Times New Roman" w:hAnsi="Times New Roman" w:cs="Times New Roman"/>
          <w:sz w:val="28"/>
          <w:szCs w:val="28"/>
          <w:lang w:val="en-ZA"/>
        </w:rPr>
        <w:t xml:space="preserve"> </w:t>
      </w:r>
      <w:r w:rsidR="00D57035" w:rsidRPr="00917FC2">
        <w:rPr>
          <w:rFonts w:ascii="Times New Roman" w:hAnsi="Times New Roman" w:cs="Times New Roman"/>
          <w:sz w:val="28"/>
          <w:szCs w:val="28"/>
          <w:lang w:val="en-ZA"/>
        </w:rPr>
        <w:t xml:space="preserve">his </w:t>
      </w:r>
      <w:r w:rsidR="00105806" w:rsidRPr="00917FC2">
        <w:rPr>
          <w:rFonts w:ascii="Times New Roman" w:hAnsi="Times New Roman" w:cs="Times New Roman"/>
          <w:sz w:val="28"/>
          <w:szCs w:val="28"/>
          <w:lang w:val="en-ZA"/>
        </w:rPr>
        <w:t xml:space="preserve">affidavit </w:t>
      </w:r>
      <w:r w:rsidR="00C54361" w:rsidRPr="00917FC2">
        <w:rPr>
          <w:rFonts w:ascii="Times New Roman" w:hAnsi="Times New Roman" w:cs="Times New Roman"/>
          <w:sz w:val="28"/>
          <w:szCs w:val="28"/>
          <w:lang w:val="en-ZA"/>
        </w:rPr>
        <w:t xml:space="preserve">in support of a charge of </w:t>
      </w:r>
      <w:r w:rsidR="00CF1568" w:rsidRPr="00917FC2">
        <w:rPr>
          <w:rFonts w:ascii="Times New Roman" w:hAnsi="Times New Roman" w:cs="Times New Roman"/>
          <w:sz w:val="28"/>
          <w:szCs w:val="28"/>
          <w:lang w:val="en-ZA"/>
        </w:rPr>
        <w:t xml:space="preserve">theft against </w:t>
      </w:r>
      <w:r w:rsidR="00E275EF" w:rsidRPr="00917FC2">
        <w:rPr>
          <w:rFonts w:ascii="Times New Roman" w:hAnsi="Times New Roman" w:cs="Times New Roman"/>
          <w:sz w:val="28"/>
          <w:szCs w:val="28"/>
          <w:lang w:val="en-ZA"/>
        </w:rPr>
        <w:t xml:space="preserve">Mr </w:t>
      </w:r>
      <w:r w:rsidR="0052446F" w:rsidRPr="00917FC2">
        <w:rPr>
          <w:rFonts w:ascii="Times New Roman" w:hAnsi="Times New Roman" w:cs="Times New Roman"/>
          <w:sz w:val="28"/>
          <w:szCs w:val="28"/>
          <w:lang w:val="en-ZA"/>
        </w:rPr>
        <w:t>Costa</w:t>
      </w:r>
      <w:r w:rsidR="001B1465" w:rsidRPr="00917FC2">
        <w:rPr>
          <w:rFonts w:ascii="Times New Roman" w:hAnsi="Times New Roman" w:cs="Times New Roman"/>
          <w:sz w:val="28"/>
          <w:szCs w:val="28"/>
          <w:lang w:val="en-ZA"/>
        </w:rPr>
        <w:t>,</w:t>
      </w:r>
      <w:r w:rsidR="0052446F" w:rsidRPr="00917FC2">
        <w:rPr>
          <w:rFonts w:ascii="Times New Roman" w:hAnsi="Times New Roman" w:cs="Times New Roman"/>
          <w:sz w:val="28"/>
          <w:szCs w:val="28"/>
          <w:lang w:val="en-ZA"/>
        </w:rPr>
        <w:t xml:space="preserve"> lodged</w:t>
      </w:r>
      <w:r w:rsidR="00FC3008" w:rsidRPr="00917FC2">
        <w:rPr>
          <w:rFonts w:ascii="Times New Roman" w:hAnsi="Times New Roman" w:cs="Times New Roman"/>
          <w:sz w:val="28"/>
          <w:szCs w:val="28"/>
          <w:lang w:val="en-ZA"/>
        </w:rPr>
        <w:t xml:space="preserve"> on beha</w:t>
      </w:r>
      <w:r w:rsidR="00E275EF" w:rsidRPr="00917FC2">
        <w:rPr>
          <w:rFonts w:ascii="Times New Roman" w:hAnsi="Times New Roman" w:cs="Times New Roman"/>
          <w:sz w:val="28"/>
          <w:szCs w:val="28"/>
          <w:lang w:val="en-ZA"/>
        </w:rPr>
        <w:t>lf of Norman and Gary Abkin Dunswart</w:t>
      </w:r>
      <w:r w:rsidR="00FC3008" w:rsidRPr="00917FC2">
        <w:rPr>
          <w:rFonts w:ascii="Times New Roman" w:hAnsi="Times New Roman" w:cs="Times New Roman"/>
          <w:sz w:val="28"/>
          <w:szCs w:val="28"/>
          <w:lang w:val="en-ZA"/>
        </w:rPr>
        <w:t xml:space="preserve"> Properties</w:t>
      </w:r>
      <w:r w:rsidR="005D1FAD" w:rsidRPr="00917FC2">
        <w:rPr>
          <w:rFonts w:ascii="Times New Roman" w:hAnsi="Times New Roman" w:cs="Times New Roman"/>
          <w:sz w:val="28"/>
          <w:szCs w:val="28"/>
          <w:lang w:val="en-ZA"/>
        </w:rPr>
        <w:t xml:space="preserve"> </w:t>
      </w:r>
      <w:r w:rsidR="00C54361" w:rsidRPr="00917FC2">
        <w:rPr>
          <w:rFonts w:ascii="Times New Roman" w:hAnsi="Times New Roman" w:cs="Times New Roman"/>
          <w:sz w:val="28"/>
          <w:szCs w:val="28"/>
          <w:lang w:val="en-ZA"/>
        </w:rPr>
        <w:t>(Pt</w:t>
      </w:r>
      <w:r w:rsidR="00FC3008" w:rsidRPr="00917FC2">
        <w:rPr>
          <w:rFonts w:ascii="Times New Roman" w:hAnsi="Times New Roman" w:cs="Times New Roman"/>
          <w:sz w:val="28"/>
          <w:szCs w:val="28"/>
          <w:lang w:val="en-ZA"/>
        </w:rPr>
        <w:t>y) Ltd</w:t>
      </w:r>
      <w:r w:rsidR="002F35B5" w:rsidRPr="00917FC2">
        <w:rPr>
          <w:rFonts w:ascii="Times New Roman" w:hAnsi="Times New Roman" w:cs="Times New Roman"/>
          <w:sz w:val="28"/>
          <w:szCs w:val="28"/>
          <w:lang w:val="en-ZA"/>
        </w:rPr>
        <w:t xml:space="preserve"> (the company)</w:t>
      </w:r>
      <w:r w:rsidR="00FC3008" w:rsidRPr="00917FC2">
        <w:rPr>
          <w:rFonts w:ascii="Times New Roman" w:hAnsi="Times New Roman" w:cs="Times New Roman"/>
          <w:sz w:val="28"/>
          <w:szCs w:val="28"/>
          <w:lang w:val="en-ZA"/>
        </w:rPr>
        <w:t xml:space="preserve">. </w:t>
      </w:r>
      <w:r w:rsidR="00D57035" w:rsidRPr="00917FC2">
        <w:rPr>
          <w:rFonts w:ascii="Times New Roman" w:hAnsi="Times New Roman" w:cs="Times New Roman"/>
          <w:sz w:val="28"/>
          <w:szCs w:val="28"/>
          <w:lang w:val="en-ZA"/>
        </w:rPr>
        <w:t xml:space="preserve">He </w:t>
      </w:r>
      <w:r w:rsidR="00E275EF" w:rsidRPr="00917FC2">
        <w:rPr>
          <w:rFonts w:ascii="Times New Roman" w:hAnsi="Times New Roman" w:cs="Times New Roman"/>
          <w:sz w:val="28"/>
          <w:szCs w:val="28"/>
          <w:lang w:val="en-ZA"/>
        </w:rPr>
        <w:t>stated that</w:t>
      </w:r>
      <w:r w:rsidR="00FC3008" w:rsidRPr="00917FC2">
        <w:rPr>
          <w:rFonts w:ascii="Times New Roman" w:hAnsi="Times New Roman" w:cs="Times New Roman"/>
          <w:sz w:val="28"/>
          <w:szCs w:val="28"/>
          <w:lang w:val="en-ZA"/>
        </w:rPr>
        <w:t xml:space="preserve"> </w:t>
      </w:r>
      <w:r w:rsidR="00873666" w:rsidRPr="00917FC2">
        <w:rPr>
          <w:rFonts w:ascii="Times New Roman" w:hAnsi="Times New Roman" w:cs="Times New Roman"/>
          <w:sz w:val="28"/>
          <w:szCs w:val="28"/>
          <w:lang w:val="en-ZA"/>
        </w:rPr>
        <w:t>the comp</w:t>
      </w:r>
      <w:r w:rsidR="00FC3008" w:rsidRPr="00917FC2">
        <w:rPr>
          <w:rFonts w:ascii="Times New Roman" w:hAnsi="Times New Roman" w:cs="Times New Roman"/>
          <w:sz w:val="28"/>
          <w:szCs w:val="28"/>
          <w:lang w:val="en-ZA"/>
        </w:rPr>
        <w:t>a</w:t>
      </w:r>
      <w:r w:rsidR="00C54361" w:rsidRPr="00917FC2">
        <w:rPr>
          <w:rFonts w:ascii="Times New Roman" w:hAnsi="Times New Roman" w:cs="Times New Roman"/>
          <w:sz w:val="28"/>
          <w:szCs w:val="28"/>
          <w:lang w:val="en-ZA"/>
        </w:rPr>
        <w:t>n</w:t>
      </w:r>
      <w:r w:rsidR="00873666" w:rsidRPr="00917FC2">
        <w:rPr>
          <w:rFonts w:ascii="Times New Roman" w:hAnsi="Times New Roman" w:cs="Times New Roman"/>
          <w:sz w:val="28"/>
          <w:szCs w:val="28"/>
          <w:lang w:val="en-ZA"/>
        </w:rPr>
        <w:t xml:space="preserve">y </w:t>
      </w:r>
      <w:r w:rsidR="004278DB" w:rsidRPr="00917FC2">
        <w:rPr>
          <w:rFonts w:ascii="Times New Roman" w:hAnsi="Times New Roman" w:cs="Times New Roman"/>
          <w:sz w:val="28"/>
          <w:szCs w:val="28"/>
          <w:lang w:val="en-ZA"/>
        </w:rPr>
        <w:t xml:space="preserve">had </w:t>
      </w:r>
      <w:r w:rsidR="00873666" w:rsidRPr="00917FC2">
        <w:rPr>
          <w:rFonts w:ascii="Times New Roman" w:hAnsi="Times New Roman" w:cs="Times New Roman"/>
          <w:sz w:val="28"/>
          <w:szCs w:val="28"/>
          <w:lang w:val="en-ZA"/>
        </w:rPr>
        <w:t>paid</w:t>
      </w:r>
      <w:r w:rsidR="00C54361" w:rsidRPr="00917FC2">
        <w:rPr>
          <w:rFonts w:ascii="Times New Roman" w:hAnsi="Times New Roman" w:cs="Times New Roman"/>
          <w:sz w:val="28"/>
          <w:szCs w:val="28"/>
          <w:lang w:val="en-ZA"/>
        </w:rPr>
        <w:t xml:space="preserve"> </w:t>
      </w:r>
      <w:r w:rsidR="002535F2" w:rsidRPr="00917FC2">
        <w:rPr>
          <w:rFonts w:ascii="Times New Roman" w:hAnsi="Times New Roman" w:cs="Times New Roman"/>
          <w:sz w:val="28"/>
          <w:szCs w:val="28"/>
          <w:lang w:val="en-ZA"/>
        </w:rPr>
        <w:t xml:space="preserve">R13 800 </w:t>
      </w:r>
      <w:r w:rsidR="000A417D" w:rsidRPr="00917FC2">
        <w:rPr>
          <w:rFonts w:ascii="Times New Roman" w:hAnsi="Times New Roman" w:cs="Times New Roman"/>
          <w:sz w:val="28"/>
          <w:szCs w:val="28"/>
          <w:lang w:val="en-ZA"/>
        </w:rPr>
        <w:t xml:space="preserve">to Costa </w:t>
      </w:r>
      <w:r w:rsidR="00FC3008" w:rsidRPr="00917FC2">
        <w:rPr>
          <w:rFonts w:ascii="Times New Roman" w:hAnsi="Times New Roman" w:cs="Times New Roman"/>
          <w:sz w:val="28"/>
          <w:szCs w:val="28"/>
          <w:lang w:val="en-ZA"/>
        </w:rPr>
        <w:t xml:space="preserve">Attorneys </w:t>
      </w:r>
      <w:r w:rsidR="000A417D" w:rsidRPr="00917FC2">
        <w:rPr>
          <w:rFonts w:ascii="Times New Roman" w:hAnsi="Times New Roman" w:cs="Times New Roman"/>
          <w:sz w:val="28"/>
          <w:szCs w:val="28"/>
          <w:lang w:val="en-ZA"/>
        </w:rPr>
        <w:t>as</w:t>
      </w:r>
      <w:r w:rsidR="009043E8" w:rsidRPr="00917FC2">
        <w:rPr>
          <w:rFonts w:ascii="Times New Roman" w:hAnsi="Times New Roman" w:cs="Times New Roman"/>
          <w:sz w:val="28"/>
          <w:szCs w:val="28"/>
          <w:lang w:val="en-ZA"/>
        </w:rPr>
        <w:t xml:space="preserve"> cover for </w:t>
      </w:r>
      <w:r w:rsidR="001B1465" w:rsidRPr="00917FC2">
        <w:rPr>
          <w:rFonts w:ascii="Times New Roman" w:hAnsi="Times New Roman" w:cs="Times New Roman"/>
          <w:sz w:val="28"/>
          <w:szCs w:val="28"/>
          <w:lang w:val="en-ZA"/>
        </w:rPr>
        <w:t xml:space="preserve">the </w:t>
      </w:r>
      <w:r w:rsidR="009043E8" w:rsidRPr="00917FC2">
        <w:rPr>
          <w:rFonts w:ascii="Times New Roman" w:hAnsi="Times New Roman" w:cs="Times New Roman"/>
          <w:sz w:val="28"/>
          <w:szCs w:val="28"/>
          <w:lang w:val="en-ZA"/>
        </w:rPr>
        <w:t xml:space="preserve">appellant’s </w:t>
      </w:r>
      <w:r w:rsidR="00E275EF" w:rsidRPr="00917FC2">
        <w:rPr>
          <w:rFonts w:ascii="Times New Roman" w:hAnsi="Times New Roman" w:cs="Times New Roman"/>
          <w:sz w:val="28"/>
          <w:szCs w:val="28"/>
          <w:lang w:val="en-ZA"/>
        </w:rPr>
        <w:t>fees and</w:t>
      </w:r>
      <w:r w:rsidR="009043E8" w:rsidRPr="00917FC2">
        <w:rPr>
          <w:rFonts w:ascii="Times New Roman" w:hAnsi="Times New Roman" w:cs="Times New Roman"/>
          <w:sz w:val="28"/>
          <w:szCs w:val="28"/>
          <w:lang w:val="en-ZA"/>
        </w:rPr>
        <w:t xml:space="preserve"> </w:t>
      </w:r>
      <w:r w:rsidR="000A417D" w:rsidRPr="00917FC2">
        <w:rPr>
          <w:rFonts w:ascii="Times New Roman" w:hAnsi="Times New Roman" w:cs="Times New Roman"/>
          <w:sz w:val="28"/>
          <w:szCs w:val="28"/>
          <w:lang w:val="en-ZA"/>
        </w:rPr>
        <w:t>a further R23 000 a</w:t>
      </w:r>
      <w:r w:rsidR="00743D0D" w:rsidRPr="00917FC2">
        <w:rPr>
          <w:rFonts w:ascii="Times New Roman" w:hAnsi="Times New Roman" w:cs="Times New Roman"/>
          <w:sz w:val="28"/>
          <w:szCs w:val="28"/>
          <w:lang w:val="en-ZA"/>
        </w:rPr>
        <w:t>s cover for hi</w:t>
      </w:r>
      <w:r w:rsidR="00FC3008" w:rsidRPr="00917FC2">
        <w:rPr>
          <w:rFonts w:ascii="Times New Roman" w:hAnsi="Times New Roman" w:cs="Times New Roman"/>
          <w:sz w:val="28"/>
          <w:szCs w:val="28"/>
          <w:lang w:val="en-ZA"/>
        </w:rPr>
        <w:t>s fees in respect of</w:t>
      </w:r>
      <w:r w:rsidR="000A417D" w:rsidRPr="00917FC2">
        <w:rPr>
          <w:rFonts w:ascii="Times New Roman" w:hAnsi="Times New Roman" w:cs="Times New Roman"/>
          <w:sz w:val="28"/>
          <w:szCs w:val="28"/>
          <w:lang w:val="en-ZA"/>
        </w:rPr>
        <w:t xml:space="preserve"> drafting </w:t>
      </w:r>
      <w:r w:rsidR="00CF1568" w:rsidRPr="00917FC2">
        <w:rPr>
          <w:rFonts w:ascii="Times New Roman" w:hAnsi="Times New Roman" w:cs="Times New Roman"/>
          <w:sz w:val="28"/>
          <w:szCs w:val="28"/>
          <w:lang w:val="en-ZA"/>
        </w:rPr>
        <w:t xml:space="preserve">of </w:t>
      </w:r>
      <w:r w:rsidR="00F80DCB" w:rsidRPr="00917FC2">
        <w:rPr>
          <w:rFonts w:ascii="Times New Roman" w:hAnsi="Times New Roman" w:cs="Times New Roman"/>
          <w:sz w:val="28"/>
          <w:szCs w:val="28"/>
          <w:lang w:val="en-ZA"/>
        </w:rPr>
        <w:t>heads of argument</w:t>
      </w:r>
      <w:r w:rsidR="00E275EF" w:rsidRPr="00917FC2">
        <w:rPr>
          <w:rFonts w:ascii="Times New Roman" w:hAnsi="Times New Roman" w:cs="Times New Roman"/>
          <w:sz w:val="28"/>
          <w:szCs w:val="28"/>
          <w:lang w:val="en-ZA"/>
        </w:rPr>
        <w:t>, as well as</w:t>
      </w:r>
      <w:r w:rsidR="000A417D" w:rsidRPr="00917FC2">
        <w:rPr>
          <w:rFonts w:ascii="Times New Roman" w:hAnsi="Times New Roman" w:cs="Times New Roman"/>
          <w:sz w:val="28"/>
          <w:szCs w:val="28"/>
          <w:lang w:val="en-ZA"/>
        </w:rPr>
        <w:t xml:space="preserve"> cover </w:t>
      </w:r>
      <w:r w:rsidR="00F80DCB" w:rsidRPr="00917FC2">
        <w:rPr>
          <w:rFonts w:ascii="Times New Roman" w:hAnsi="Times New Roman" w:cs="Times New Roman"/>
          <w:sz w:val="28"/>
          <w:szCs w:val="28"/>
          <w:lang w:val="en-ZA"/>
        </w:rPr>
        <w:t xml:space="preserve">for </w:t>
      </w:r>
      <w:r w:rsidR="000A417D" w:rsidRPr="00917FC2">
        <w:rPr>
          <w:rFonts w:ascii="Times New Roman" w:hAnsi="Times New Roman" w:cs="Times New Roman"/>
          <w:sz w:val="28"/>
          <w:szCs w:val="28"/>
          <w:lang w:val="en-ZA"/>
        </w:rPr>
        <w:t xml:space="preserve">Costas </w:t>
      </w:r>
      <w:r w:rsidR="00F80DCB" w:rsidRPr="00917FC2">
        <w:rPr>
          <w:rFonts w:ascii="Times New Roman" w:hAnsi="Times New Roman" w:cs="Times New Roman"/>
          <w:sz w:val="28"/>
          <w:szCs w:val="28"/>
          <w:lang w:val="en-ZA"/>
        </w:rPr>
        <w:t>Attorneys</w:t>
      </w:r>
      <w:r w:rsidR="00E275EF" w:rsidRPr="00917FC2">
        <w:rPr>
          <w:rFonts w:ascii="Times New Roman" w:hAnsi="Times New Roman" w:cs="Times New Roman"/>
          <w:sz w:val="28"/>
          <w:szCs w:val="28"/>
          <w:lang w:val="en-ZA"/>
        </w:rPr>
        <w:t>’</w:t>
      </w:r>
      <w:r w:rsidR="00F80DCB" w:rsidRPr="00917FC2">
        <w:rPr>
          <w:rFonts w:ascii="Times New Roman" w:hAnsi="Times New Roman" w:cs="Times New Roman"/>
          <w:sz w:val="28"/>
          <w:szCs w:val="28"/>
          <w:lang w:val="en-ZA"/>
        </w:rPr>
        <w:t xml:space="preserve"> </w:t>
      </w:r>
      <w:r w:rsidR="000A417D" w:rsidRPr="00917FC2">
        <w:rPr>
          <w:rFonts w:ascii="Times New Roman" w:hAnsi="Times New Roman" w:cs="Times New Roman"/>
          <w:sz w:val="28"/>
          <w:szCs w:val="28"/>
          <w:lang w:val="en-ZA"/>
        </w:rPr>
        <w:t>own fees.</w:t>
      </w:r>
      <w:r w:rsidR="005423E8" w:rsidRPr="00917FC2">
        <w:rPr>
          <w:rFonts w:ascii="Times New Roman" w:hAnsi="Times New Roman" w:cs="Times New Roman"/>
          <w:sz w:val="28"/>
          <w:szCs w:val="28"/>
          <w:lang w:val="en-ZA"/>
        </w:rPr>
        <w:t xml:space="preserve"> </w:t>
      </w:r>
      <w:r w:rsidR="002F35B5" w:rsidRPr="00917FC2">
        <w:rPr>
          <w:rFonts w:ascii="Times New Roman" w:hAnsi="Times New Roman" w:cs="Times New Roman"/>
          <w:sz w:val="28"/>
          <w:szCs w:val="28"/>
          <w:lang w:val="en-ZA"/>
        </w:rPr>
        <w:t xml:space="preserve">Mr Abkin </w:t>
      </w:r>
      <w:r w:rsidR="005423E8" w:rsidRPr="00917FC2">
        <w:rPr>
          <w:rFonts w:ascii="Times New Roman" w:hAnsi="Times New Roman" w:cs="Times New Roman"/>
          <w:sz w:val="28"/>
          <w:szCs w:val="28"/>
          <w:lang w:val="en-ZA"/>
        </w:rPr>
        <w:t xml:space="preserve">also </w:t>
      </w:r>
      <w:r w:rsidR="002F35B5" w:rsidRPr="00917FC2">
        <w:rPr>
          <w:rFonts w:ascii="Times New Roman" w:hAnsi="Times New Roman" w:cs="Times New Roman"/>
          <w:sz w:val="28"/>
          <w:szCs w:val="28"/>
          <w:lang w:val="en-ZA"/>
        </w:rPr>
        <w:t>mentioned</w:t>
      </w:r>
      <w:r w:rsidR="005423E8" w:rsidRPr="00917FC2">
        <w:rPr>
          <w:rFonts w:ascii="Times New Roman" w:hAnsi="Times New Roman" w:cs="Times New Roman"/>
          <w:sz w:val="28"/>
          <w:szCs w:val="28"/>
          <w:lang w:val="en-ZA"/>
        </w:rPr>
        <w:t xml:space="preserve"> </w:t>
      </w:r>
      <w:r w:rsidR="002535F2" w:rsidRPr="00917FC2">
        <w:rPr>
          <w:rFonts w:ascii="Times New Roman" w:hAnsi="Times New Roman" w:cs="Times New Roman"/>
          <w:sz w:val="28"/>
          <w:szCs w:val="28"/>
          <w:lang w:val="en-ZA"/>
        </w:rPr>
        <w:t xml:space="preserve">that the company </w:t>
      </w:r>
      <w:r w:rsidR="005423E8" w:rsidRPr="00917FC2">
        <w:rPr>
          <w:rFonts w:ascii="Times New Roman" w:hAnsi="Times New Roman" w:cs="Times New Roman"/>
          <w:sz w:val="28"/>
          <w:szCs w:val="28"/>
          <w:lang w:val="en-ZA"/>
        </w:rPr>
        <w:t xml:space="preserve">had </w:t>
      </w:r>
      <w:r w:rsidR="002535F2" w:rsidRPr="00917FC2">
        <w:rPr>
          <w:rFonts w:ascii="Times New Roman" w:hAnsi="Times New Roman" w:cs="Times New Roman"/>
          <w:sz w:val="28"/>
          <w:szCs w:val="28"/>
          <w:lang w:val="en-ZA"/>
        </w:rPr>
        <w:t xml:space="preserve">paid R240 000 </w:t>
      </w:r>
      <w:r w:rsidR="000A417D" w:rsidRPr="00917FC2">
        <w:rPr>
          <w:rFonts w:ascii="Times New Roman" w:hAnsi="Times New Roman" w:cs="Times New Roman"/>
          <w:sz w:val="28"/>
          <w:szCs w:val="28"/>
          <w:lang w:val="en-ZA"/>
        </w:rPr>
        <w:t xml:space="preserve">to Costa </w:t>
      </w:r>
      <w:r w:rsidR="007D7212" w:rsidRPr="00917FC2">
        <w:rPr>
          <w:rFonts w:ascii="Times New Roman" w:hAnsi="Times New Roman" w:cs="Times New Roman"/>
          <w:sz w:val="28"/>
          <w:szCs w:val="28"/>
          <w:lang w:val="en-ZA"/>
        </w:rPr>
        <w:t xml:space="preserve">Attorneys </w:t>
      </w:r>
      <w:r w:rsidR="000A417D" w:rsidRPr="00917FC2">
        <w:rPr>
          <w:rFonts w:ascii="Times New Roman" w:hAnsi="Times New Roman" w:cs="Times New Roman"/>
          <w:sz w:val="28"/>
          <w:szCs w:val="28"/>
          <w:lang w:val="en-ZA"/>
        </w:rPr>
        <w:t xml:space="preserve">with instructions to hold the money in trust for </w:t>
      </w:r>
      <w:r w:rsidR="004D30C2" w:rsidRPr="00917FC2">
        <w:rPr>
          <w:rFonts w:ascii="Times New Roman" w:hAnsi="Times New Roman" w:cs="Times New Roman"/>
          <w:sz w:val="28"/>
          <w:szCs w:val="28"/>
          <w:lang w:val="en-ZA"/>
        </w:rPr>
        <w:t xml:space="preserve">attorneys’ </w:t>
      </w:r>
      <w:r w:rsidR="000A417D" w:rsidRPr="00917FC2">
        <w:rPr>
          <w:rFonts w:ascii="Times New Roman" w:hAnsi="Times New Roman" w:cs="Times New Roman"/>
          <w:sz w:val="28"/>
          <w:szCs w:val="28"/>
          <w:lang w:val="en-ZA"/>
        </w:rPr>
        <w:t xml:space="preserve">and </w:t>
      </w:r>
      <w:r w:rsidR="001B1465" w:rsidRPr="00917FC2">
        <w:rPr>
          <w:rFonts w:ascii="Times New Roman" w:hAnsi="Times New Roman" w:cs="Times New Roman"/>
          <w:sz w:val="28"/>
          <w:szCs w:val="28"/>
          <w:lang w:val="en-ZA"/>
        </w:rPr>
        <w:t>counsel</w:t>
      </w:r>
      <w:r w:rsidR="00106807" w:rsidRPr="00917FC2">
        <w:rPr>
          <w:rFonts w:ascii="Times New Roman" w:hAnsi="Times New Roman" w:cs="Times New Roman"/>
          <w:sz w:val="28"/>
          <w:szCs w:val="28"/>
          <w:lang w:val="en-ZA"/>
        </w:rPr>
        <w:t>’s fees</w:t>
      </w:r>
      <w:r w:rsidR="004D30C2" w:rsidRPr="00917FC2">
        <w:rPr>
          <w:rFonts w:ascii="Times New Roman" w:hAnsi="Times New Roman" w:cs="Times New Roman"/>
          <w:sz w:val="28"/>
          <w:szCs w:val="28"/>
          <w:lang w:val="en-ZA"/>
        </w:rPr>
        <w:t>. H</w:t>
      </w:r>
      <w:r w:rsidR="00CF1568" w:rsidRPr="00917FC2">
        <w:rPr>
          <w:rFonts w:ascii="Times New Roman" w:hAnsi="Times New Roman" w:cs="Times New Roman"/>
          <w:sz w:val="28"/>
          <w:szCs w:val="28"/>
          <w:lang w:val="en-ZA"/>
        </w:rPr>
        <w:t>owever</w:t>
      </w:r>
      <w:r w:rsidR="007D7212" w:rsidRPr="00917FC2">
        <w:rPr>
          <w:rFonts w:ascii="Times New Roman" w:hAnsi="Times New Roman" w:cs="Times New Roman"/>
          <w:sz w:val="28"/>
          <w:szCs w:val="28"/>
          <w:lang w:val="en-ZA"/>
        </w:rPr>
        <w:t>,</w:t>
      </w:r>
      <w:r w:rsidR="00CF1568" w:rsidRPr="00917FC2">
        <w:rPr>
          <w:rFonts w:ascii="Times New Roman" w:hAnsi="Times New Roman" w:cs="Times New Roman"/>
          <w:sz w:val="28"/>
          <w:szCs w:val="28"/>
          <w:lang w:val="en-ZA"/>
        </w:rPr>
        <w:t xml:space="preserve"> no mention is</w:t>
      </w:r>
      <w:r w:rsidR="000A417D" w:rsidRPr="00917FC2">
        <w:rPr>
          <w:rFonts w:ascii="Times New Roman" w:hAnsi="Times New Roman" w:cs="Times New Roman"/>
          <w:sz w:val="28"/>
          <w:szCs w:val="28"/>
          <w:lang w:val="en-ZA"/>
        </w:rPr>
        <w:t xml:space="preserve"> ma</w:t>
      </w:r>
      <w:r w:rsidR="004D30C2" w:rsidRPr="00917FC2">
        <w:rPr>
          <w:rFonts w:ascii="Times New Roman" w:hAnsi="Times New Roman" w:cs="Times New Roman"/>
          <w:sz w:val="28"/>
          <w:szCs w:val="28"/>
          <w:lang w:val="en-ZA"/>
        </w:rPr>
        <w:t>de of</w:t>
      </w:r>
      <w:r w:rsidR="007B25D7" w:rsidRPr="00917FC2">
        <w:rPr>
          <w:rFonts w:ascii="Times New Roman" w:hAnsi="Times New Roman" w:cs="Times New Roman"/>
          <w:sz w:val="28"/>
          <w:szCs w:val="28"/>
          <w:lang w:val="en-ZA"/>
        </w:rPr>
        <w:t xml:space="preserve"> the appellant in regard to</w:t>
      </w:r>
      <w:r w:rsidR="000A417D" w:rsidRPr="00917FC2">
        <w:rPr>
          <w:rFonts w:ascii="Times New Roman" w:hAnsi="Times New Roman" w:cs="Times New Roman"/>
          <w:sz w:val="28"/>
          <w:szCs w:val="28"/>
          <w:lang w:val="en-ZA"/>
        </w:rPr>
        <w:t xml:space="preserve"> this payment.</w:t>
      </w:r>
    </w:p>
    <w:p w14:paraId="0699F15B" w14:textId="77777777" w:rsidR="000A417D" w:rsidRPr="00917FC2" w:rsidRDefault="000A417D" w:rsidP="00C54361">
      <w:pPr>
        <w:pStyle w:val="BodyA"/>
        <w:spacing w:after="0" w:line="360" w:lineRule="auto"/>
        <w:rPr>
          <w:rFonts w:ascii="Times New Roman" w:hAnsi="Times New Roman" w:cs="Times New Roman"/>
          <w:sz w:val="28"/>
          <w:szCs w:val="28"/>
          <w:lang w:val="en-ZA"/>
        </w:rPr>
      </w:pPr>
    </w:p>
    <w:p w14:paraId="5ACCE8B4" w14:textId="70A3497A" w:rsidR="00D05D55" w:rsidRPr="00917FC2" w:rsidRDefault="000A417D" w:rsidP="00C54361">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4</w:t>
      </w:r>
      <w:r w:rsidR="008A068F"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FF0880" w:rsidRPr="00917FC2">
        <w:rPr>
          <w:rFonts w:ascii="Times New Roman" w:hAnsi="Times New Roman" w:cs="Times New Roman"/>
          <w:sz w:val="28"/>
          <w:szCs w:val="28"/>
          <w:lang w:val="en-ZA"/>
        </w:rPr>
        <w:t xml:space="preserve">Mr </w:t>
      </w:r>
      <w:r w:rsidR="008A068F" w:rsidRPr="00917FC2">
        <w:rPr>
          <w:rFonts w:ascii="Times New Roman" w:hAnsi="Times New Roman" w:cs="Times New Roman"/>
          <w:sz w:val="28"/>
          <w:szCs w:val="28"/>
          <w:lang w:val="en-ZA"/>
        </w:rPr>
        <w:t>Abkin</w:t>
      </w:r>
      <w:r w:rsidR="008C21A4" w:rsidRPr="00917FC2">
        <w:rPr>
          <w:rFonts w:ascii="Times New Roman" w:hAnsi="Times New Roman" w:cs="Times New Roman"/>
          <w:sz w:val="28"/>
          <w:szCs w:val="28"/>
          <w:lang w:val="en-ZA"/>
        </w:rPr>
        <w:t xml:space="preserve"> allege</w:t>
      </w:r>
      <w:r w:rsidR="00341CD5" w:rsidRPr="00917FC2">
        <w:rPr>
          <w:rFonts w:ascii="Times New Roman" w:hAnsi="Times New Roman" w:cs="Times New Roman"/>
          <w:sz w:val="28"/>
          <w:szCs w:val="28"/>
          <w:lang w:val="en-ZA"/>
        </w:rPr>
        <w:t>d</w:t>
      </w:r>
      <w:r w:rsidRPr="00917FC2">
        <w:rPr>
          <w:rFonts w:ascii="Times New Roman" w:hAnsi="Times New Roman" w:cs="Times New Roman"/>
          <w:sz w:val="28"/>
          <w:szCs w:val="28"/>
          <w:lang w:val="en-ZA"/>
        </w:rPr>
        <w:t xml:space="preserve"> that the </w:t>
      </w:r>
      <w:r w:rsidR="009A156F" w:rsidRPr="00917FC2">
        <w:rPr>
          <w:rFonts w:ascii="Times New Roman" w:hAnsi="Times New Roman" w:cs="Times New Roman"/>
          <w:sz w:val="28"/>
          <w:szCs w:val="28"/>
          <w:lang w:val="en-ZA"/>
        </w:rPr>
        <w:t>company entrusted the sum of R276</w:t>
      </w:r>
      <w:r w:rsidR="005D0044" w:rsidRPr="00917FC2">
        <w:rPr>
          <w:rFonts w:ascii="Times New Roman" w:hAnsi="Times New Roman" w:cs="Times New Roman"/>
          <w:sz w:val="28"/>
          <w:szCs w:val="28"/>
          <w:lang w:val="en-ZA"/>
        </w:rPr>
        <w:t> </w:t>
      </w:r>
      <w:r w:rsidR="009A156F" w:rsidRPr="00917FC2">
        <w:rPr>
          <w:rFonts w:ascii="Times New Roman" w:hAnsi="Times New Roman" w:cs="Times New Roman"/>
          <w:sz w:val="28"/>
          <w:szCs w:val="28"/>
          <w:lang w:val="en-ZA"/>
        </w:rPr>
        <w:t>800</w:t>
      </w:r>
      <w:r w:rsidR="005D0044" w:rsidRPr="00917FC2">
        <w:rPr>
          <w:rFonts w:ascii="Times New Roman" w:hAnsi="Times New Roman" w:cs="Times New Roman"/>
          <w:sz w:val="28"/>
          <w:szCs w:val="28"/>
          <w:lang w:val="en-ZA"/>
        </w:rPr>
        <w:t xml:space="preserve"> </w:t>
      </w:r>
      <w:r w:rsidR="009A156F" w:rsidRPr="00917FC2">
        <w:rPr>
          <w:rFonts w:ascii="Times New Roman" w:hAnsi="Times New Roman" w:cs="Times New Roman"/>
          <w:sz w:val="28"/>
          <w:szCs w:val="28"/>
          <w:lang w:val="en-ZA"/>
        </w:rPr>
        <w:t xml:space="preserve">to Costa Attorneys </w:t>
      </w:r>
      <w:r w:rsidRPr="00917FC2">
        <w:rPr>
          <w:rFonts w:ascii="Times New Roman" w:hAnsi="Times New Roman" w:cs="Times New Roman"/>
          <w:sz w:val="28"/>
          <w:szCs w:val="28"/>
          <w:lang w:val="en-ZA"/>
        </w:rPr>
        <w:t xml:space="preserve">and that the </w:t>
      </w:r>
      <w:r w:rsidR="00246196" w:rsidRPr="00917FC2">
        <w:rPr>
          <w:rFonts w:ascii="Times New Roman" w:hAnsi="Times New Roman" w:cs="Times New Roman"/>
          <w:sz w:val="28"/>
          <w:szCs w:val="28"/>
          <w:lang w:val="en-ZA"/>
        </w:rPr>
        <w:t>company</w:t>
      </w:r>
      <w:r w:rsidR="0061368F" w:rsidRPr="00917FC2">
        <w:rPr>
          <w:rFonts w:ascii="Times New Roman" w:hAnsi="Times New Roman" w:cs="Times New Roman"/>
          <w:sz w:val="28"/>
          <w:szCs w:val="28"/>
          <w:lang w:val="en-ZA"/>
        </w:rPr>
        <w:t xml:space="preserve"> </w:t>
      </w:r>
      <w:r w:rsidR="00E609AB" w:rsidRPr="00917FC2">
        <w:rPr>
          <w:rFonts w:ascii="Times New Roman" w:hAnsi="Times New Roman" w:cs="Times New Roman"/>
          <w:sz w:val="28"/>
          <w:szCs w:val="28"/>
          <w:lang w:val="en-ZA"/>
        </w:rPr>
        <w:t>ha</w:t>
      </w:r>
      <w:r w:rsidR="00341CD5" w:rsidRPr="00917FC2">
        <w:rPr>
          <w:rFonts w:ascii="Times New Roman" w:hAnsi="Times New Roman" w:cs="Times New Roman"/>
          <w:sz w:val="28"/>
          <w:szCs w:val="28"/>
          <w:lang w:val="en-ZA"/>
        </w:rPr>
        <w:t>d</w:t>
      </w:r>
      <w:r w:rsidRPr="00917FC2">
        <w:rPr>
          <w:rFonts w:ascii="Times New Roman" w:hAnsi="Times New Roman" w:cs="Times New Roman"/>
          <w:sz w:val="28"/>
          <w:szCs w:val="28"/>
          <w:lang w:val="en-ZA"/>
        </w:rPr>
        <w:t xml:space="preserve"> suffered pecuniary loss </w:t>
      </w:r>
      <w:r w:rsidR="003215DC" w:rsidRPr="00917FC2">
        <w:rPr>
          <w:rFonts w:ascii="Times New Roman" w:hAnsi="Times New Roman" w:cs="Times New Roman"/>
          <w:sz w:val="28"/>
          <w:szCs w:val="28"/>
          <w:lang w:val="en-ZA"/>
        </w:rPr>
        <w:t>because</w:t>
      </w:r>
      <w:r w:rsidR="00FF0880" w:rsidRPr="00917FC2">
        <w:rPr>
          <w:rFonts w:ascii="Times New Roman" w:hAnsi="Times New Roman" w:cs="Times New Roman"/>
          <w:sz w:val="28"/>
          <w:szCs w:val="28"/>
          <w:lang w:val="en-ZA"/>
        </w:rPr>
        <w:t xml:space="preserve"> of Mr </w:t>
      </w:r>
      <w:r w:rsidRPr="00917FC2">
        <w:rPr>
          <w:rFonts w:ascii="Times New Roman" w:hAnsi="Times New Roman" w:cs="Times New Roman"/>
          <w:sz w:val="28"/>
          <w:szCs w:val="28"/>
          <w:lang w:val="en-ZA"/>
        </w:rPr>
        <w:t>Costa</w:t>
      </w:r>
      <w:r w:rsidR="00FF0880" w:rsidRPr="00917FC2">
        <w:rPr>
          <w:rFonts w:ascii="Times New Roman" w:hAnsi="Times New Roman" w:cs="Times New Roman"/>
          <w:sz w:val="28"/>
          <w:szCs w:val="28"/>
          <w:lang w:val="en-ZA"/>
        </w:rPr>
        <w:t xml:space="preserve">’s </w:t>
      </w:r>
      <w:r w:rsidR="008C21A4" w:rsidRPr="00917FC2">
        <w:rPr>
          <w:rFonts w:ascii="Times New Roman" w:hAnsi="Times New Roman" w:cs="Times New Roman"/>
          <w:sz w:val="28"/>
          <w:szCs w:val="28"/>
          <w:lang w:val="en-ZA"/>
        </w:rPr>
        <w:t>misappropriation of the funds</w:t>
      </w:r>
      <w:r w:rsidR="003215DC" w:rsidRPr="00917FC2">
        <w:rPr>
          <w:rFonts w:ascii="Times New Roman" w:hAnsi="Times New Roman" w:cs="Times New Roman"/>
          <w:sz w:val="28"/>
          <w:szCs w:val="28"/>
          <w:lang w:val="en-ZA"/>
        </w:rPr>
        <w:t>. The company</w:t>
      </w:r>
      <w:r w:rsidR="00AC74B3" w:rsidRPr="00917FC2">
        <w:rPr>
          <w:rFonts w:ascii="Times New Roman" w:hAnsi="Times New Roman" w:cs="Times New Roman"/>
          <w:sz w:val="28"/>
          <w:szCs w:val="28"/>
          <w:lang w:val="en-ZA"/>
        </w:rPr>
        <w:t xml:space="preserve"> accordingly sought re</w:t>
      </w:r>
      <w:r w:rsidRPr="00917FC2">
        <w:rPr>
          <w:rFonts w:ascii="Times New Roman" w:hAnsi="Times New Roman" w:cs="Times New Roman"/>
          <w:sz w:val="28"/>
          <w:szCs w:val="28"/>
          <w:lang w:val="en-ZA"/>
        </w:rPr>
        <w:t>imburse</w:t>
      </w:r>
      <w:r w:rsidR="00431015" w:rsidRPr="00917FC2">
        <w:rPr>
          <w:rFonts w:ascii="Times New Roman" w:hAnsi="Times New Roman" w:cs="Times New Roman"/>
          <w:sz w:val="28"/>
          <w:szCs w:val="28"/>
          <w:lang w:val="en-ZA"/>
        </w:rPr>
        <w:t>ment</w:t>
      </w:r>
      <w:r w:rsidR="00B65FEC" w:rsidRPr="00917FC2">
        <w:rPr>
          <w:rFonts w:ascii="Times New Roman" w:hAnsi="Times New Roman" w:cs="Times New Roman"/>
          <w:sz w:val="28"/>
          <w:szCs w:val="28"/>
          <w:lang w:val="en-ZA"/>
        </w:rPr>
        <w:t xml:space="preserve"> of that</w:t>
      </w:r>
      <w:r w:rsidR="005C6331" w:rsidRPr="00917FC2">
        <w:rPr>
          <w:rFonts w:ascii="Times New Roman" w:hAnsi="Times New Roman" w:cs="Times New Roman"/>
          <w:sz w:val="28"/>
          <w:szCs w:val="28"/>
          <w:lang w:val="en-ZA"/>
        </w:rPr>
        <w:t xml:space="preserve"> </w:t>
      </w:r>
      <w:r w:rsidR="00687459" w:rsidRPr="00917FC2">
        <w:rPr>
          <w:rFonts w:ascii="Times New Roman" w:hAnsi="Times New Roman" w:cs="Times New Roman"/>
          <w:sz w:val="28"/>
          <w:szCs w:val="28"/>
          <w:lang w:val="en-ZA"/>
        </w:rPr>
        <w:t>amount</w:t>
      </w:r>
      <w:r w:rsidRPr="00917FC2">
        <w:rPr>
          <w:rFonts w:ascii="Times New Roman" w:hAnsi="Times New Roman" w:cs="Times New Roman"/>
          <w:sz w:val="28"/>
          <w:szCs w:val="28"/>
          <w:lang w:val="en-ZA"/>
        </w:rPr>
        <w:t xml:space="preserve">. </w:t>
      </w:r>
    </w:p>
    <w:p w14:paraId="02082786" w14:textId="77777777" w:rsidR="00B65FEC" w:rsidRPr="00917FC2" w:rsidRDefault="00B65FEC" w:rsidP="00C54361">
      <w:pPr>
        <w:pStyle w:val="BodyA"/>
        <w:spacing w:after="0" w:line="360" w:lineRule="auto"/>
        <w:rPr>
          <w:rFonts w:ascii="Times New Roman" w:hAnsi="Times New Roman" w:cs="Times New Roman"/>
          <w:sz w:val="28"/>
          <w:szCs w:val="28"/>
          <w:lang w:val="en-ZA"/>
        </w:rPr>
      </w:pPr>
    </w:p>
    <w:p w14:paraId="363B3206" w14:textId="76AD81F2" w:rsidR="00687459" w:rsidRPr="00917FC2" w:rsidRDefault="00D05D55" w:rsidP="000D0ADA">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5</w:t>
      </w:r>
      <w:r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542889" w:rsidRPr="00917FC2">
        <w:rPr>
          <w:rFonts w:ascii="Times New Roman" w:hAnsi="Times New Roman" w:cs="Times New Roman"/>
          <w:sz w:val="28"/>
          <w:szCs w:val="28"/>
          <w:lang w:val="en-ZA"/>
        </w:rPr>
        <w:t>In his affidavit</w:t>
      </w:r>
      <w:r w:rsidR="005D0044" w:rsidRPr="00917FC2">
        <w:rPr>
          <w:rFonts w:ascii="Times New Roman" w:hAnsi="Times New Roman" w:cs="Times New Roman"/>
          <w:sz w:val="28"/>
          <w:szCs w:val="28"/>
          <w:lang w:val="en-ZA"/>
        </w:rPr>
        <w:t>,</w:t>
      </w:r>
      <w:r w:rsidR="00542889" w:rsidRPr="00917FC2">
        <w:rPr>
          <w:rFonts w:ascii="Times New Roman" w:hAnsi="Times New Roman" w:cs="Times New Roman"/>
          <w:sz w:val="28"/>
          <w:szCs w:val="28"/>
          <w:lang w:val="en-ZA"/>
        </w:rPr>
        <w:t xml:space="preserve"> Mr </w:t>
      </w:r>
      <w:r w:rsidR="007B3722" w:rsidRPr="00917FC2">
        <w:rPr>
          <w:rFonts w:ascii="Times New Roman" w:hAnsi="Times New Roman" w:cs="Times New Roman"/>
          <w:sz w:val="28"/>
          <w:szCs w:val="28"/>
          <w:lang w:val="en-ZA"/>
        </w:rPr>
        <w:t>Vaz,</w:t>
      </w:r>
      <w:r w:rsidR="004859BA" w:rsidRPr="00917FC2">
        <w:rPr>
          <w:rFonts w:ascii="Times New Roman" w:hAnsi="Times New Roman" w:cs="Times New Roman"/>
          <w:sz w:val="28"/>
          <w:szCs w:val="28"/>
          <w:lang w:val="en-ZA"/>
        </w:rPr>
        <w:t xml:space="preserve"> </w:t>
      </w:r>
      <w:r w:rsidR="00CD3678" w:rsidRPr="00917FC2">
        <w:rPr>
          <w:rFonts w:ascii="Times New Roman" w:hAnsi="Times New Roman" w:cs="Times New Roman"/>
          <w:sz w:val="28"/>
          <w:szCs w:val="28"/>
          <w:lang w:val="en-ZA"/>
        </w:rPr>
        <w:t xml:space="preserve">in his capacity as </w:t>
      </w:r>
      <w:r w:rsidR="004859BA" w:rsidRPr="00917FC2">
        <w:rPr>
          <w:rFonts w:ascii="Times New Roman" w:hAnsi="Times New Roman" w:cs="Times New Roman"/>
          <w:sz w:val="28"/>
          <w:szCs w:val="28"/>
          <w:lang w:val="en-ZA"/>
        </w:rPr>
        <w:t>a director of Annsden</w:t>
      </w:r>
      <w:r w:rsidRPr="00917FC2">
        <w:rPr>
          <w:rFonts w:ascii="Times New Roman" w:hAnsi="Times New Roman" w:cs="Times New Roman"/>
          <w:sz w:val="28"/>
          <w:szCs w:val="28"/>
          <w:lang w:val="en-ZA"/>
        </w:rPr>
        <w:t xml:space="preserve"> </w:t>
      </w:r>
      <w:r w:rsidR="005D0044" w:rsidRPr="00917FC2">
        <w:rPr>
          <w:rFonts w:ascii="Times New Roman" w:hAnsi="Times New Roman" w:cs="Times New Roman"/>
          <w:sz w:val="28"/>
          <w:szCs w:val="28"/>
          <w:lang w:val="en-ZA"/>
        </w:rPr>
        <w:t xml:space="preserve">Property Holdings </w:t>
      </w:r>
      <w:r w:rsidRPr="00917FC2">
        <w:rPr>
          <w:rFonts w:ascii="Times New Roman" w:hAnsi="Times New Roman" w:cs="Times New Roman"/>
          <w:sz w:val="28"/>
          <w:szCs w:val="28"/>
          <w:lang w:val="en-ZA"/>
        </w:rPr>
        <w:t>(Pty) Ltd</w:t>
      </w:r>
      <w:r w:rsidR="00CD3678" w:rsidRPr="00917FC2">
        <w:rPr>
          <w:rFonts w:ascii="Times New Roman" w:hAnsi="Times New Roman" w:cs="Times New Roman"/>
          <w:sz w:val="28"/>
          <w:szCs w:val="28"/>
          <w:lang w:val="en-ZA"/>
        </w:rPr>
        <w:t>,</w:t>
      </w:r>
      <w:r w:rsidR="007B3722" w:rsidRPr="00917FC2">
        <w:rPr>
          <w:rFonts w:ascii="Times New Roman" w:hAnsi="Times New Roman" w:cs="Times New Roman"/>
          <w:sz w:val="28"/>
          <w:szCs w:val="28"/>
          <w:lang w:val="en-ZA"/>
        </w:rPr>
        <w:t xml:space="preserve"> stated</w:t>
      </w:r>
      <w:r w:rsidR="002D31A0" w:rsidRPr="00917FC2">
        <w:rPr>
          <w:rFonts w:ascii="Times New Roman" w:hAnsi="Times New Roman" w:cs="Times New Roman"/>
          <w:sz w:val="28"/>
          <w:szCs w:val="28"/>
          <w:lang w:val="en-ZA"/>
        </w:rPr>
        <w:t xml:space="preserve"> that during May 201</w:t>
      </w:r>
      <w:r w:rsidR="00F97AD6" w:rsidRPr="00917FC2">
        <w:rPr>
          <w:rFonts w:ascii="Times New Roman" w:hAnsi="Times New Roman" w:cs="Times New Roman"/>
          <w:sz w:val="28"/>
          <w:szCs w:val="28"/>
          <w:lang w:val="en-ZA"/>
        </w:rPr>
        <w:t xml:space="preserve">8 he </w:t>
      </w:r>
      <w:r w:rsidR="007B3722" w:rsidRPr="00917FC2">
        <w:rPr>
          <w:rFonts w:ascii="Times New Roman" w:hAnsi="Times New Roman" w:cs="Times New Roman"/>
          <w:sz w:val="28"/>
          <w:szCs w:val="28"/>
          <w:lang w:val="en-ZA"/>
        </w:rPr>
        <w:t xml:space="preserve">had </w:t>
      </w:r>
      <w:r w:rsidR="00F97AD6" w:rsidRPr="00917FC2">
        <w:rPr>
          <w:rFonts w:ascii="Times New Roman" w:hAnsi="Times New Roman" w:cs="Times New Roman"/>
          <w:sz w:val="28"/>
          <w:szCs w:val="28"/>
          <w:lang w:val="en-ZA"/>
        </w:rPr>
        <w:t>caused a sum of R100 000 to be transferred from his company to Costa Attorneys</w:t>
      </w:r>
      <w:r w:rsidR="004F51CD" w:rsidRPr="00917FC2">
        <w:rPr>
          <w:rFonts w:ascii="Times New Roman" w:hAnsi="Times New Roman" w:cs="Times New Roman"/>
          <w:sz w:val="28"/>
          <w:szCs w:val="28"/>
          <w:lang w:val="en-ZA"/>
        </w:rPr>
        <w:t>’</w:t>
      </w:r>
      <w:r w:rsidR="00F97AD6" w:rsidRPr="00917FC2">
        <w:rPr>
          <w:rFonts w:ascii="Times New Roman" w:hAnsi="Times New Roman" w:cs="Times New Roman"/>
          <w:sz w:val="28"/>
          <w:szCs w:val="28"/>
          <w:lang w:val="en-ZA"/>
        </w:rPr>
        <w:t xml:space="preserve"> trust account</w:t>
      </w:r>
      <w:r w:rsidR="00DE542C" w:rsidRPr="00917FC2">
        <w:rPr>
          <w:rFonts w:ascii="Times New Roman" w:hAnsi="Times New Roman" w:cs="Times New Roman"/>
          <w:sz w:val="28"/>
          <w:szCs w:val="28"/>
          <w:lang w:val="en-ZA"/>
        </w:rPr>
        <w:t>. Mr Vaz stated that these funds were</w:t>
      </w:r>
      <w:r w:rsidR="00F97AD6" w:rsidRPr="00917FC2">
        <w:rPr>
          <w:rFonts w:ascii="Times New Roman" w:hAnsi="Times New Roman" w:cs="Times New Roman"/>
          <w:sz w:val="28"/>
          <w:szCs w:val="28"/>
          <w:lang w:val="en-ZA"/>
        </w:rPr>
        <w:t xml:space="preserve"> for the</w:t>
      </w:r>
      <w:r w:rsidRPr="00917FC2">
        <w:rPr>
          <w:rFonts w:ascii="Times New Roman" w:hAnsi="Times New Roman" w:cs="Times New Roman"/>
          <w:sz w:val="28"/>
          <w:szCs w:val="28"/>
          <w:lang w:val="en-ZA"/>
        </w:rPr>
        <w:t xml:space="preserve"> </w:t>
      </w:r>
      <w:r w:rsidR="00F97AD6" w:rsidRPr="00917FC2">
        <w:rPr>
          <w:rFonts w:ascii="Times New Roman" w:hAnsi="Times New Roman" w:cs="Times New Roman"/>
          <w:sz w:val="28"/>
          <w:szCs w:val="28"/>
          <w:lang w:val="en-ZA"/>
        </w:rPr>
        <w:t>‘</w:t>
      </w:r>
      <w:r w:rsidRPr="00917FC2">
        <w:rPr>
          <w:rFonts w:ascii="Times New Roman" w:hAnsi="Times New Roman" w:cs="Times New Roman"/>
          <w:sz w:val="28"/>
          <w:szCs w:val="28"/>
          <w:lang w:val="en-ZA"/>
        </w:rPr>
        <w:t xml:space="preserve">specific and sole purpose of payment of the invoices of </w:t>
      </w:r>
      <w:r w:rsidR="005D0044" w:rsidRPr="00917FC2">
        <w:rPr>
          <w:rFonts w:ascii="Times New Roman" w:hAnsi="Times New Roman" w:cs="Times New Roman"/>
          <w:sz w:val="28"/>
          <w:szCs w:val="28"/>
          <w:lang w:val="en-ZA"/>
        </w:rPr>
        <w:t xml:space="preserve">the </w:t>
      </w:r>
      <w:r w:rsidRPr="00917FC2">
        <w:rPr>
          <w:rFonts w:ascii="Times New Roman" w:hAnsi="Times New Roman" w:cs="Times New Roman"/>
          <w:sz w:val="28"/>
          <w:szCs w:val="28"/>
          <w:lang w:val="en-ZA"/>
        </w:rPr>
        <w:t>two advocates</w:t>
      </w:r>
      <w:r w:rsidR="00F97AD6" w:rsidRPr="00917FC2">
        <w:rPr>
          <w:rFonts w:ascii="Times New Roman" w:hAnsi="Times New Roman" w:cs="Times New Roman"/>
          <w:sz w:val="28"/>
          <w:szCs w:val="28"/>
          <w:lang w:val="en-ZA"/>
        </w:rPr>
        <w:t>’</w:t>
      </w:r>
      <w:r w:rsidRPr="00917FC2">
        <w:rPr>
          <w:rFonts w:ascii="Times New Roman" w:hAnsi="Times New Roman" w:cs="Times New Roman"/>
          <w:sz w:val="28"/>
          <w:szCs w:val="28"/>
          <w:lang w:val="en-ZA"/>
        </w:rPr>
        <w:t xml:space="preserve">, namely the appellant and </w:t>
      </w:r>
      <w:r w:rsidR="00355B2C" w:rsidRPr="00917FC2">
        <w:rPr>
          <w:rFonts w:ascii="Times New Roman" w:hAnsi="Times New Roman" w:cs="Times New Roman"/>
          <w:sz w:val="28"/>
          <w:szCs w:val="28"/>
          <w:lang w:val="en-ZA"/>
        </w:rPr>
        <w:t>Mr</w:t>
      </w:r>
      <w:r w:rsidR="00CF1568" w:rsidRPr="00917FC2">
        <w:rPr>
          <w:rFonts w:ascii="Times New Roman" w:hAnsi="Times New Roman" w:cs="Times New Roman"/>
          <w:sz w:val="28"/>
          <w:szCs w:val="28"/>
          <w:lang w:val="en-ZA"/>
        </w:rPr>
        <w:t xml:space="preserve"> </w:t>
      </w:r>
      <w:r w:rsidR="004859BA" w:rsidRPr="00917FC2">
        <w:rPr>
          <w:rFonts w:ascii="Times New Roman" w:hAnsi="Times New Roman" w:cs="Times New Roman"/>
          <w:sz w:val="28"/>
          <w:szCs w:val="28"/>
          <w:lang w:val="en-ZA"/>
        </w:rPr>
        <w:t>Ralph Kujaw</w:t>
      </w:r>
      <w:r w:rsidRPr="00917FC2">
        <w:rPr>
          <w:rFonts w:ascii="Times New Roman" w:hAnsi="Times New Roman" w:cs="Times New Roman"/>
          <w:sz w:val="28"/>
          <w:szCs w:val="28"/>
          <w:lang w:val="en-ZA"/>
        </w:rPr>
        <w:t xml:space="preserve">a, </w:t>
      </w:r>
      <w:r w:rsidR="00EC6C0A" w:rsidRPr="00917FC2">
        <w:rPr>
          <w:rFonts w:ascii="Times New Roman" w:hAnsi="Times New Roman" w:cs="Times New Roman"/>
          <w:sz w:val="28"/>
          <w:szCs w:val="28"/>
          <w:lang w:val="en-ZA"/>
        </w:rPr>
        <w:t>‘</w:t>
      </w:r>
      <w:r w:rsidRPr="00917FC2">
        <w:rPr>
          <w:rFonts w:ascii="Times New Roman" w:hAnsi="Times New Roman" w:cs="Times New Roman"/>
          <w:sz w:val="28"/>
          <w:szCs w:val="28"/>
          <w:lang w:val="en-ZA"/>
        </w:rPr>
        <w:t>whose services had been ut</w:t>
      </w:r>
      <w:r w:rsidR="004859BA" w:rsidRPr="00917FC2">
        <w:rPr>
          <w:rFonts w:ascii="Times New Roman" w:hAnsi="Times New Roman" w:cs="Times New Roman"/>
          <w:sz w:val="28"/>
          <w:szCs w:val="28"/>
          <w:lang w:val="en-ZA"/>
        </w:rPr>
        <w:t>ilised in litigation against a</w:t>
      </w:r>
      <w:r w:rsidRPr="00917FC2">
        <w:rPr>
          <w:rFonts w:ascii="Times New Roman" w:hAnsi="Times New Roman" w:cs="Times New Roman"/>
          <w:sz w:val="28"/>
          <w:szCs w:val="28"/>
          <w:lang w:val="en-ZA"/>
        </w:rPr>
        <w:t xml:space="preserve"> third party</w:t>
      </w:r>
      <w:r w:rsidR="004859BA" w:rsidRPr="00917FC2">
        <w:rPr>
          <w:rFonts w:ascii="Times New Roman" w:hAnsi="Times New Roman" w:cs="Times New Roman"/>
          <w:sz w:val="28"/>
          <w:szCs w:val="28"/>
          <w:lang w:val="en-ZA"/>
        </w:rPr>
        <w:t>’</w:t>
      </w:r>
      <w:r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 xml:space="preserve"> </w:t>
      </w:r>
      <w:r w:rsidRPr="00917FC2">
        <w:rPr>
          <w:rFonts w:ascii="Times New Roman" w:hAnsi="Times New Roman" w:cs="Times New Roman"/>
          <w:sz w:val="28"/>
          <w:szCs w:val="28"/>
          <w:lang w:val="en-ZA"/>
        </w:rPr>
        <w:t>He stated</w:t>
      </w:r>
      <w:r w:rsidR="00EC6C0A" w:rsidRPr="00917FC2">
        <w:rPr>
          <w:rFonts w:ascii="Times New Roman" w:hAnsi="Times New Roman" w:cs="Times New Roman"/>
          <w:sz w:val="28"/>
          <w:szCs w:val="28"/>
          <w:lang w:val="en-ZA"/>
        </w:rPr>
        <w:t>,</w:t>
      </w:r>
      <w:r w:rsidRPr="00917FC2">
        <w:rPr>
          <w:rFonts w:ascii="Times New Roman" w:hAnsi="Times New Roman" w:cs="Times New Roman"/>
          <w:sz w:val="28"/>
          <w:szCs w:val="28"/>
          <w:lang w:val="en-ZA"/>
        </w:rPr>
        <w:t xml:space="preserve"> </w:t>
      </w:r>
      <w:r w:rsidR="007B3722" w:rsidRPr="00917FC2">
        <w:rPr>
          <w:rFonts w:ascii="Times New Roman" w:hAnsi="Times New Roman" w:cs="Times New Roman"/>
          <w:sz w:val="28"/>
          <w:szCs w:val="28"/>
          <w:lang w:val="en-ZA"/>
        </w:rPr>
        <w:t xml:space="preserve">further </w:t>
      </w:r>
      <w:r w:rsidRPr="00917FC2">
        <w:rPr>
          <w:rFonts w:ascii="Times New Roman" w:hAnsi="Times New Roman" w:cs="Times New Roman"/>
          <w:sz w:val="28"/>
          <w:szCs w:val="28"/>
          <w:lang w:val="en-ZA"/>
        </w:rPr>
        <w:t xml:space="preserve">that he had expressly made it known to </w:t>
      </w:r>
      <w:r w:rsidR="007B3722" w:rsidRPr="00917FC2">
        <w:rPr>
          <w:rFonts w:ascii="Times New Roman" w:hAnsi="Times New Roman" w:cs="Times New Roman"/>
          <w:sz w:val="28"/>
          <w:szCs w:val="28"/>
          <w:lang w:val="en-ZA"/>
        </w:rPr>
        <w:t xml:space="preserve">Mr </w:t>
      </w:r>
      <w:r w:rsidR="004859BA" w:rsidRPr="00917FC2">
        <w:rPr>
          <w:rFonts w:ascii="Times New Roman" w:hAnsi="Times New Roman" w:cs="Times New Roman"/>
          <w:sz w:val="28"/>
          <w:szCs w:val="28"/>
          <w:lang w:val="en-ZA"/>
        </w:rPr>
        <w:t>Costa that the payment was for that</w:t>
      </w:r>
      <w:r w:rsidR="00DC5FBA" w:rsidRPr="00917FC2">
        <w:rPr>
          <w:rFonts w:ascii="Times New Roman" w:hAnsi="Times New Roman" w:cs="Times New Roman"/>
          <w:sz w:val="28"/>
          <w:szCs w:val="28"/>
          <w:lang w:val="en-ZA"/>
        </w:rPr>
        <w:t xml:space="preserve"> purpose</w:t>
      </w:r>
      <w:r w:rsidR="00D14393" w:rsidRPr="00917FC2">
        <w:rPr>
          <w:rFonts w:ascii="Times New Roman" w:hAnsi="Times New Roman" w:cs="Times New Roman"/>
          <w:sz w:val="28"/>
          <w:szCs w:val="28"/>
          <w:lang w:val="en-ZA"/>
        </w:rPr>
        <w:t xml:space="preserve"> only. The money was</w:t>
      </w:r>
      <w:r w:rsidRPr="00917FC2">
        <w:rPr>
          <w:rFonts w:ascii="Times New Roman" w:hAnsi="Times New Roman" w:cs="Times New Roman"/>
          <w:sz w:val="28"/>
          <w:szCs w:val="28"/>
          <w:lang w:val="en-ZA"/>
        </w:rPr>
        <w:t xml:space="preserve"> therefore not paid as </w:t>
      </w:r>
      <w:r w:rsidR="00CF1568" w:rsidRPr="00917FC2">
        <w:rPr>
          <w:rFonts w:ascii="Times New Roman" w:hAnsi="Times New Roman" w:cs="Times New Roman"/>
          <w:sz w:val="28"/>
          <w:szCs w:val="28"/>
          <w:lang w:val="en-ZA"/>
        </w:rPr>
        <w:t xml:space="preserve">cover for </w:t>
      </w:r>
      <w:r w:rsidR="00DF6720" w:rsidRPr="00917FC2">
        <w:rPr>
          <w:rFonts w:ascii="Times New Roman" w:hAnsi="Times New Roman" w:cs="Times New Roman"/>
          <w:sz w:val="28"/>
          <w:szCs w:val="28"/>
          <w:lang w:val="en-ZA"/>
        </w:rPr>
        <w:t>counsels’</w:t>
      </w:r>
      <w:r w:rsidR="00C44575" w:rsidRPr="00917FC2">
        <w:rPr>
          <w:rFonts w:ascii="Times New Roman" w:hAnsi="Times New Roman" w:cs="Times New Roman"/>
          <w:sz w:val="28"/>
          <w:szCs w:val="28"/>
          <w:lang w:val="en-ZA"/>
        </w:rPr>
        <w:t xml:space="preserve"> fees, but to settle </w:t>
      </w:r>
      <w:r w:rsidR="00C36CB6" w:rsidRPr="00917FC2">
        <w:rPr>
          <w:rFonts w:ascii="Times New Roman" w:hAnsi="Times New Roman" w:cs="Times New Roman"/>
          <w:sz w:val="28"/>
          <w:szCs w:val="28"/>
          <w:lang w:val="en-ZA"/>
        </w:rPr>
        <w:t xml:space="preserve">the </w:t>
      </w:r>
      <w:r w:rsidR="007C6061" w:rsidRPr="00917FC2">
        <w:rPr>
          <w:rFonts w:ascii="Times New Roman" w:hAnsi="Times New Roman" w:cs="Times New Roman"/>
          <w:sz w:val="28"/>
          <w:szCs w:val="28"/>
          <w:lang w:val="en-ZA"/>
        </w:rPr>
        <w:t>appellant</w:t>
      </w:r>
      <w:r w:rsidR="00C44575" w:rsidRPr="00917FC2">
        <w:rPr>
          <w:rFonts w:ascii="Times New Roman" w:hAnsi="Times New Roman" w:cs="Times New Roman"/>
          <w:sz w:val="28"/>
          <w:szCs w:val="28"/>
          <w:lang w:val="en-ZA"/>
        </w:rPr>
        <w:t>’s</w:t>
      </w:r>
      <w:r w:rsidR="007C6061" w:rsidRPr="00917FC2">
        <w:rPr>
          <w:rFonts w:ascii="Times New Roman" w:hAnsi="Times New Roman" w:cs="Times New Roman"/>
          <w:sz w:val="28"/>
          <w:szCs w:val="28"/>
          <w:lang w:val="en-ZA"/>
        </w:rPr>
        <w:t xml:space="preserve"> and Mr Kujawa</w:t>
      </w:r>
      <w:r w:rsidR="00C44575" w:rsidRPr="00917FC2">
        <w:rPr>
          <w:rFonts w:ascii="Times New Roman" w:hAnsi="Times New Roman" w:cs="Times New Roman"/>
          <w:sz w:val="28"/>
          <w:szCs w:val="28"/>
          <w:lang w:val="en-ZA"/>
        </w:rPr>
        <w:t>’s accounts</w:t>
      </w:r>
      <w:r w:rsidRPr="00917FC2">
        <w:rPr>
          <w:rFonts w:ascii="Times New Roman" w:hAnsi="Times New Roman" w:cs="Times New Roman"/>
          <w:sz w:val="28"/>
          <w:szCs w:val="28"/>
          <w:lang w:val="en-ZA"/>
        </w:rPr>
        <w:t xml:space="preserve"> in respect of services rendered</w:t>
      </w:r>
      <w:r w:rsidR="00494445" w:rsidRPr="00917FC2">
        <w:rPr>
          <w:rFonts w:ascii="Times New Roman" w:hAnsi="Times New Roman" w:cs="Times New Roman"/>
          <w:sz w:val="28"/>
          <w:szCs w:val="28"/>
          <w:lang w:val="en-ZA"/>
        </w:rPr>
        <w:t xml:space="preserve"> by them</w:t>
      </w:r>
      <w:r w:rsidRPr="00917FC2">
        <w:rPr>
          <w:rFonts w:ascii="Times New Roman" w:hAnsi="Times New Roman" w:cs="Times New Roman"/>
          <w:sz w:val="28"/>
          <w:szCs w:val="28"/>
          <w:lang w:val="en-ZA"/>
        </w:rPr>
        <w:t>.</w:t>
      </w:r>
      <w:r w:rsidR="006C00E1" w:rsidRPr="00917FC2">
        <w:rPr>
          <w:rFonts w:ascii="Times New Roman" w:hAnsi="Times New Roman" w:cs="Times New Roman"/>
          <w:sz w:val="28"/>
          <w:szCs w:val="28"/>
          <w:lang w:val="en-ZA"/>
        </w:rPr>
        <w:t xml:space="preserve"> </w:t>
      </w:r>
      <w:r w:rsidR="00DE542C" w:rsidRPr="00917FC2">
        <w:rPr>
          <w:rFonts w:ascii="Times New Roman" w:hAnsi="Times New Roman" w:cs="Times New Roman"/>
          <w:sz w:val="28"/>
          <w:szCs w:val="28"/>
          <w:lang w:val="en-ZA"/>
        </w:rPr>
        <w:t>However,</w:t>
      </w:r>
      <w:r w:rsidR="006C00E1" w:rsidRPr="00917FC2">
        <w:rPr>
          <w:rFonts w:ascii="Times New Roman" w:hAnsi="Times New Roman" w:cs="Times New Roman"/>
          <w:sz w:val="28"/>
          <w:szCs w:val="28"/>
          <w:lang w:val="en-ZA"/>
        </w:rPr>
        <w:t xml:space="preserve"> Mr Vaz </w:t>
      </w:r>
      <w:r w:rsidR="00021D7F" w:rsidRPr="00917FC2">
        <w:rPr>
          <w:rFonts w:ascii="Times New Roman" w:hAnsi="Times New Roman" w:cs="Times New Roman"/>
          <w:sz w:val="28"/>
          <w:szCs w:val="28"/>
          <w:lang w:val="en-ZA"/>
        </w:rPr>
        <w:t>d</w:t>
      </w:r>
      <w:r w:rsidR="00DE542C" w:rsidRPr="00917FC2">
        <w:rPr>
          <w:rFonts w:ascii="Times New Roman" w:hAnsi="Times New Roman" w:cs="Times New Roman"/>
          <w:sz w:val="28"/>
          <w:szCs w:val="28"/>
          <w:lang w:val="en-ZA"/>
        </w:rPr>
        <w:t>id</w:t>
      </w:r>
      <w:r w:rsidR="00355B2C" w:rsidRPr="00917FC2">
        <w:rPr>
          <w:rFonts w:ascii="Times New Roman" w:hAnsi="Times New Roman" w:cs="Times New Roman"/>
          <w:sz w:val="28"/>
          <w:szCs w:val="28"/>
          <w:lang w:val="en-ZA"/>
        </w:rPr>
        <w:t xml:space="preserve"> not specify what amount his</w:t>
      </w:r>
      <w:r w:rsidR="00021D7F" w:rsidRPr="00917FC2">
        <w:rPr>
          <w:rFonts w:ascii="Times New Roman" w:hAnsi="Times New Roman" w:cs="Times New Roman"/>
          <w:sz w:val="28"/>
          <w:szCs w:val="28"/>
          <w:lang w:val="en-ZA"/>
        </w:rPr>
        <w:t xml:space="preserve"> company</w:t>
      </w:r>
      <w:r w:rsidR="006C00E1" w:rsidRPr="00917FC2">
        <w:rPr>
          <w:rFonts w:ascii="Times New Roman" w:hAnsi="Times New Roman" w:cs="Times New Roman"/>
          <w:sz w:val="28"/>
          <w:szCs w:val="28"/>
          <w:lang w:val="en-ZA"/>
        </w:rPr>
        <w:t xml:space="preserve"> paid in respect of the appellant’</w:t>
      </w:r>
      <w:r w:rsidR="00CA512D" w:rsidRPr="00917FC2">
        <w:rPr>
          <w:rFonts w:ascii="Times New Roman" w:hAnsi="Times New Roman" w:cs="Times New Roman"/>
          <w:sz w:val="28"/>
          <w:szCs w:val="28"/>
          <w:lang w:val="en-ZA"/>
        </w:rPr>
        <w:t>s</w:t>
      </w:r>
      <w:r w:rsidR="006C00E1" w:rsidRPr="00917FC2">
        <w:rPr>
          <w:rFonts w:ascii="Times New Roman" w:hAnsi="Times New Roman" w:cs="Times New Roman"/>
          <w:sz w:val="28"/>
          <w:szCs w:val="28"/>
          <w:lang w:val="en-ZA"/>
        </w:rPr>
        <w:t xml:space="preserve"> fees </w:t>
      </w:r>
      <w:r w:rsidR="008537A7" w:rsidRPr="00917FC2">
        <w:rPr>
          <w:rFonts w:ascii="Times New Roman" w:hAnsi="Times New Roman" w:cs="Times New Roman"/>
          <w:sz w:val="28"/>
          <w:szCs w:val="28"/>
          <w:lang w:val="en-ZA"/>
        </w:rPr>
        <w:t xml:space="preserve">and </w:t>
      </w:r>
      <w:r w:rsidR="00445EDE" w:rsidRPr="00917FC2">
        <w:rPr>
          <w:rFonts w:ascii="Times New Roman" w:hAnsi="Times New Roman" w:cs="Times New Roman"/>
          <w:sz w:val="28"/>
          <w:szCs w:val="28"/>
          <w:lang w:val="en-ZA"/>
        </w:rPr>
        <w:t>claimed</w:t>
      </w:r>
      <w:r w:rsidR="008537A7" w:rsidRPr="00917FC2">
        <w:rPr>
          <w:rFonts w:ascii="Times New Roman" w:hAnsi="Times New Roman" w:cs="Times New Roman"/>
          <w:sz w:val="28"/>
          <w:szCs w:val="28"/>
          <w:lang w:val="en-ZA"/>
        </w:rPr>
        <w:t xml:space="preserve"> that it was his company that suffered the pecuniary loss</w:t>
      </w:r>
      <w:r w:rsidR="00FA1096" w:rsidRPr="00917FC2">
        <w:rPr>
          <w:rFonts w:ascii="Times New Roman" w:hAnsi="Times New Roman" w:cs="Times New Roman"/>
          <w:sz w:val="28"/>
          <w:szCs w:val="28"/>
          <w:lang w:val="en-ZA"/>
        </w:rPr>
        <w:t>.</w:t>
      </w:r>
    </w:p>
    <w:p w14:paraId="17FAD3EB" w14:textId="77777777" w:rsidR="00687459" w:rsidRPr="00917FC2" w:rsidRDefault="00687459" w:rsidP="000D0ADA">
      <w:pPr>
        <w:pStyle w:val="BodyA"/>
        <w:spacing w:after="0" w:line="360" w:lineRule="auto"/>
        <w:rPr>
          <w:rFonts w:ascii="Times New Roman" w:hAnsi="Times New Roman" w:cs="Times New Roman"/>
          <w:sz w:val="28"/>
          <w:szCs w:val="28"/>
          <w:lang w:val="en-ZA"/>
        </w:rPr>
      </w:pPr>
    </w:p>
    <w:p w14:paraId="04FC86A4" w14:textId="77777777" w:rsidR="00FD4F20" w:rsidRPr="00917FC2" w:rsidRDefault="00FD4F20" w:rsidP="000D0ADA">
      <w:pPr>
        <w:pStyle w:val="BodyA"/>
        <w:spacing w:after="0" w:line="360" w:lineRule="auto"/>
        <w:rPr>
          <w:rFonts w:ascii="Times New Roman" w:hAnsi="Times New Roman" w:cs="Times New Roman"/>
          <w:sz w:val="28"/>
          <w:szCs w:val="28"/>
          <w:lang w:val="en-ZA"/>
        </w:rPr>
      </w:pPr>
    </w:p>
    <w:p w14:paraId="08205403" w14:textId="77777777" w:rsidR="000D0ADA" w:rsidRPr="00917FC2" w:rsidRDefault="00D3014E" w:rsidP="000D0ADA">
      <w:pPr>
        <w:pStyle w:val="BodyA"/>
        <w:spacing w:after="0" w:line="360" w:lineRule="auto"/>
        <w:rPr>
          <w:rFonts w:ascii="Times New Roman" w:hAnsi="Times New Roman" w:cs="Times New Roman"/>
          <w:b/>
          <w:sz w:val="28"/>
          <w:szCs w:val="28"/>
          <w:lang w:val="en-ZA"/>
        </w:rPr>
      </w:pPr>
      <w:r w:rsidRPr="00917FC2">
        <w:rPr>
          <w:rFonts w:ascii="Times New Roman" w:hAnsi="Times New Roman" w:cs="Times New Roman"/>
          <w:b/>
          <w:sz w:val="28"/>
          <w:szCs w:val="28"/>
          <w:lang w:val="en-ZA"/>
        </w:rPr>
        <w:lastRenderedPageBreak/>
        <w:t>The findings of the high court</w:t>
      </w:r>
    </w:p>
    <w:p w14:paraId="5B43B7AD" w14:textId="3E8B7BA6" w:rsidR="00B11712" w:rsidRPr="00917FC2" w:rsidRDefault="009A3E90"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6</w:t>
      </w:r>
      <w:r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Pr="00917FC2">
        <w:rPr>
          <w:rFonts w:ascii="Times New Roman" w:hAnsi="Times New Roman" w:cs="Times New Roman"/>
          <w:sz w:val="28"/>
          <w:szCs w:val="28"/>
          <w:lang w:val="en-ZA"/>
        </w:rPr>
        <w:t>Despite th</w:t>
      </w:r>
      <w:r w:rsidR="00537115" w:rsidRPr="00917FC2">
        <w:rPr>
          <w:rFonts w:ascii="Times New Roman" w:hAnsi="Times New Roman" w:cs="Times New Roman"/>
          <w:sz w:val="28"/>
          <w:szCs w:val="28"/>
          <w:lang w:val="en-ZA"/>
        </w:rPr>
        <w:t>e respondent’s</w:t>
      </w:r>
      <w:r w:rsidRPr="00917FC2">
        <w:rPr>
          <w:rFonts w:ascii="Times New Roman" w:hAnsi="Times New Roman" w:cs="Times New Roman"/>
          <w:sz w:val="28"/>
          <w:szCs w:val="28"/>
          <w:lang w:val="en-ZA"/>
        </w:rPr>
        <w:t xml:space="preserve"> </w:t>
      </w:r>
      <w:r w:rsidR="00237403" w:rsidRPr="00917FC2">
        <w:rPr>
          <w:rFonts w:ascii="Times New Roman" w:hAnsi="Times New Roman" w:cs="Times New Roman"/>
          <w:sz w:val="28"/>
          <w:szCs w:val="28"/>
          <w:lang w:val="en-ZA"/>
        </w:rPr>
        <w:t xml:space="preserve">unequivocal </w:t>
      </w:r>
      <w:r w:rsidR="00733D59" w:rsidRPr="00917FC2">
        <w:rPr>
          <w:rFonts w:ascii="Times New Roman" w:hAnsi="Times New Roman" w:cs="Times New Roman"/>
          <w:sz w:val="28"/>
          <w:szCs w:val="28"/>
          <w:lang w:val="en-ZA"/>
        </w:rPr>
        <w:t>assertion</w:t>
      </w:r>
      <w:r w:rsidR="00537115" w:rsidRPr="00917FC2">
        <w:rPr>
          <w:rFonts w:ascii="Times New Roman" w:hAnsi="Times New Roman" w:cs="Times New Roman"/>
          <w:sz w:val="28"/>
          <w:szCs w:val="28"/>
          <w:lang w:val="en-ZA"/>
        </w:rPr>
        <w:t xml:space="preserve"> </w:t>
      </w:r>
      <w:r w:rsidR="00CA1163" w:rsidRPr="00917FC2">
        <w:rPr>
          <w:rFonts w:ascii="Times New Roman" w:hAnsi="Times New Roman" w:cs="Times New Roman"/>
          <w:sz w:val="28"/>
          <w:szCs w:val="28"/>
          <w:lang w:val="en-ZA"/>
        </w:rPr>
        <w:t>that the appellant had failed to establish that clients paid deposits to Costa Attorneys as cover for his fees,</w:t>
      </w:r>
      <w:r w:rsidR="00733D59" w:rsidRPr="00917FC2">
        <w:rPr>
          <w:rFonts w:ascii="Times New Roman" w:hAnsi="Times New Roman" w:cs="Times New Roman"/>
          <w:sz w:val="28"/>
          <w:szCs w:val="28"/>
          <w:lang w:val="en-ZA"/>
        </w:rPr>
        <w:t xml:space="preserve"> the high court</w:t>
      </w:r>
      <w:r w:rsidR="00687459" w:rsidRPr="00917FC2">
        <w:rPr>
          <w:rFonts w:ascii="Times New Roman" w:hAnsi="Times New Roman" w:cs="Times New Roman"/>
          <w:sz w:val="28"/>
          <w:szCs w:val="28"/>
          <w:lang w:val="en-ZA"/>
        </w:rPr>
        <w:t>,</w:t>
      </w:r>
      <w:r w:rsidR="00733D59" w:rsidRPr="00917FC2">
        <w:rPr>
          <w:rFonts w:ascii="Times New Roman" w:hAnsi="Times New Roman" w:cs="Times New Roman"/>
          <w:sz w:val="28"/>
          <w:szCs w:val="28"/>
          <w:lang w:val="en-ZA"/>
        </w:rPr>
        <w:t xml:space="preserve"> nevertheless</w:t>
      </w:r>
      <w:r w:rsidR="00B1509F" w:rsidRPr="00917FC2">
        <w:rPr>
          <w:rFonts w:ascii="Times New Roman" w:hAnsi="Times New Roman" w:cs="Times New Roman"/>
          <w:sz w:val="28"/>
          <w:szCs w:val="28"/>
          <w:lang w:val="en-ZA"/>
        </w:rPr>
        <w:t>,</w:t>
      </w:r>
      <w:r w:rsidR="00733D59" w:rsidRPr="00917FC2">
        <w:rPr>
          <w:rFonts w:ascii="Times New Roman" w:hAnsi="Times New Roman" w:cs="Times New Roman"/>
          <w:sz w:val="28"/>
          <w:szCs w:val="28"/>
          <w:lang w:val="en-ZA"/>
        </w:rPr>
        <w:t xml:space="preserve"> decided the matte</w:t>
      </w:r>
      <w:r w:rsidR="003C3AFB" w:rsidRPr="00917FC2">
        <w:rPr>
          <w:rFonts w:ascii="Times New Roman" w:hAnsi="Times New Roman" w:cs="Times New Roman"/>
          <w:sz w:val="28"/>
          <w:szCs w:val="28"/>
          <w:lang w:val="en-ZA"/>
        </w:rPr>
        <w:t>r based on that</w:t>
      </w:r>
      <w:r w:rsidR="00CA1163" w:rsidRPr="00917FC2">
        <w:rPr>
          <w:rFonts w:ascii="Times New Roman" w:hAnsi="Times New Roman" w:cs="Times New Roman"/>
          <w:sz w:val="28"/>
          <w:szCs w:val="28"/>
          <w:lang w:val="en-ZA"/>
        </w:rPr>
        <w:t xml:space="preserve"> assumption. It</w:t>
      </w:r>
      <w:r w:rsidR="00733D59" w:rsidRPr="00917FC2">
        <w:rPr>
          <w:rFonts w:ascii="Times New Roman" w:hAnsi="Times New Roman" w:cs="Times New Roman"/>
          <w:sz w:val="28"/>
          <w:szCs w:val="28"/>
          <w:lang w:val="en-ZA"/>
        </w:rPr>
        <w:t xml:space="preserve"> further</w:t>
      </w:r>
      <w:r w:rsidR="00C4449D" w:rsidRPr="00917FC2">
        <w:rPr>
          <w:rFonts w:ascii="Times New Roman" w:hAnsi="Times New Roman" w:cs="Times New Roman"/>
          <w:sz w:val="28"/>
          <w:szCs w:val="28"/>
          <w:lang w:val="en-ZA"/>
        </w:rPr>
        <w:t>more</w:t>
      </w:r>
      <w:r w:rsidR="00733D59" w:rsidRPr="00917FC2">
        <w:rPr>
          <w:rFonts w:ascii="Times New Roman" w:hAnsi="Times New Roman" w:cs="Times New Roman"/>
          <w:sz w:val="28"/>
          <w:szCs w:val="28"/>
          <w:lang w:val="en-ZA"/>
        </w:rPr>
        <w:t xml:space="preserve"> assumed that </w:t>
      </w:r>
      <w:r w:rsidR="00C1021E" w:rsidRPr="00917FC2">
        <w:rPr>
          <w:rFonts w:ascii="Times New Roman" w:hAnsi="Times New Roman" w:cs="Times New Roman"/>
          <w:sz w:val="28"/>
          <w:szCs w:val="28"/>
          <w:lang w:val="en-ZA"/>
        </w:rPr>
        <w:t xml:space="preserve">Mr </w:t>
      </w:r>
      <w:r w:rsidR="00733D59" w:rsidRPr="00917FC2">
        <w:rPr>
          <w:rFonts w:ascii="Times New Roman" w:hAnsi="Times New Roman" w:cs="Times New Roman"/>
          <w:sz w:val="28"/>
          <w:szCs w:val="28"/>
          <w:lang w:val="en-ZA"/>
        </w:rPr>
        <w:t xml:space="preserve">Costa </w:t>
      </w:r>
      <w:r w:rsidR="009F2EA3" w:rsidRPr="00917FC2">
        <w:rPr>
          <w:rFonts w:ascii="Times New Roman" w:hAnsi="Times New Roman" w:cs="Times New Roman"/>
          <w:sz w:val="28"/>
          <w:szCs w:val="28"/>
          <w:lang w:val="en-ZA"/>
        </w:rPr>
        <w:t xml:space="preserve">had </w:t>
      </w:r>
      <w:r w:rsidR="00733D59" w:rsidRPr="00917FC2">
        <w:rPr>
          <w:rFonts w:ascii="Times New Roman" w:hAnsi="Times New Roman" w:cs="Times New Roman"/>
          <w:sz w:val="28"/>
          <w:szCs w:val="28"/>
          <w:lang w:val="en-ZA"/>
        </w:rPr>
        <w:t xml:space="preserve">committed theft </w:t>
      </w:r>
      <w:r w:rsidR="00C4449D" w:rsidRPr="00917FC2">
        <w:rPr>
          <w:rFonts w:ascii="Times New Roman" w:hAnsi="Times New Roman" w:cs="Times New Roman"/>
          <w:sz w:val="28"/>
          <w:szCs w:val="28"/>
          <w:lang w:val="en-ZA"/>
        </w:rPr>
        <w:t>in the course</w:t>
      </w:r>
      <w:r w:rsidR="009F2EA3" w:rsidRPr="00917FC2">
        <w:rPr>
          <w:rFonts w:ascii="Times New Roman" w:hAnsi="Times New Roman" w:cs="Times New Roman"/>
          <w:sz w:val="28"/>
          <w:szCs w:val="28"/>
          <w:lang w:val="en-ZA"/>
        </w:rPr>
        <w:t xml:space="preserve"> of </w:t>
      </w:r>
      <w:r w:rsidR="00164632" w:rsidRPr="00917FC2">
        <w:rPr>
          <w:rFonts w:ascii="Times New Roman" w:hAnsi="Times New Roman" w:cs="Times New Roman"/>
          <w:sz w:val="28"/>
          <w:szCs w:val="28"/>
          <w:lang w:val="en-ZA"/>
        </w:rPr>
        <w:t>his practice. The high court</w:t>
      </w:r>
      <w:r w:rsidR="00733D59" w:rsidRPr="00917FC2">
        <w:rPr>
          <w:rFonts w:ascii="Times New Roman" w:hAnsi="Times New Roman" w:cs="Times New Roman"/>
          <w:sz w:val="28"/>
          <w:szCs w:val="28"/>
          <w:lang w:val="en-ZA"/>
        </w:rPr>
        <w:t xml:space="preserve"> then em</w:t>
      </w:r>
      <w:r w:rsidR="00074818" w:rsidRPr="00917FC2">
        <w:rPr>
          <w:rFonts w:ascii="Times New Roman" w:hAnsi="Times New Roman" w:cs="Times New Roman"/>
          <w:sz w:val="28"/>
          <w:szCs w:val="28"/>
          <w:lang w:val="en-ZA"/>
        </w:rPr>
        <w:t>barked on an extensive discussion</w:t>
      </w:r>
      <w:r w:rsidR="00733D59" w:rsidRPr="00917FC2">
        <w:rPr>
          <w:rFonts w:ascii="Times New Roman" w:hAnsi="Times New Roman" w:cs="Times New Roman"/>
          <w:sz w:val="28"/>
          <w:szCs w:val="28"/>
          <w:lang w:val="en-ZA"/>
        </w:rPr>
        <w:t xml:space="preserve"> </w:t>
      </w:r>
      <w:r w:rsidR="00687459" w:rsidRPr="00917FC2">
        <w:rPr>
          <w:rFonts w:ascii="Times New Roman" w:hAnsi="Times New Roman" w:cs="Times New Roman"/>
          <w:sz w:val="28"/>
          <w:szCs w:val="28"/>
          <w:lang w:val="en-ZA"/>
        </w:rPr>
        <w:t>regarding</w:t>
      </w:r>
      <w:r w:rsidR="00B20A8F" w:rsidRPr="00917FC2">
        <w:rPr>
          <w:rFonts w:ascii="Times New Roman" w:hAnsi="Times New Roman" w:cs="Times New Roman"/>
          <w:sz w:val="28"/>
          <w:szCs w:val="28"/>
          <w:lang w:val="en-ZA"/>
        </w:rPr>
        <w:t xml:space="preserve"> the question </w:t>
      </w:r>
      <w:r w:rsidR="00733D59" w:rsidRPr="00917FC2">
        <w:rPr>
          <w:rFonts w:ascii="Times New Roman" w:hAnsi="Times New Roman" w:cs="Times New Roman"/>
          <w:sz w:val="28"/>
          <w:szCs w:val="28"/>
          <w:lang w:val="en-ZA"/>
        </w:rPr>
        <w:t>whether monies paid by a client to a practising</w:t>
      </w:r>
      <w:r w:rsidR="003A7457" w:rsidRPr="00917FC2">
        <w:rPr>
          <w:rFonts w:ascii="Times New Roman" w:hAnsi="Times New Roman" w:cs="Times New Roman"/>
          <w:sz w:val="28"/>
          <w:szCs w:val="28"/>
          <w:lang w:val="en-ZA"/>
        </w:rPr>
        <w:t xml:space="preserve"> attorney as cover for counsel’s</w:t>
      </w:r>
      <w:r w:rsidR="00733D59" w:rsidRPr="00917FC2">
        <w:rPr>
          <w:rFonts w:ascii="Times New Roman" w:hAnsi="Times New Roman" w:cs="Times New Roman"/>
          <w:sz w:val="28"/>
          <w:szCs w:val="28"/>
          <w:lang w:val="en-ZA"/>
        </w:rPr>
        <w:t xml:space="preserve"> fees in respect of services to be rendered</w:t>
      </w:r>
      <w:r w:rsidR="008F277D" w:rsidRPr="00917FC2">
        <w:rPr>
          <w:rFonts w:ascii="Times New Roman" w:hAnsi="Times New Roman" w:cs="Times New Roman"/>
          <w:sz w:val="28"/>
          <w:szCs w:val="28"/>
          <w:lang w:val="en-ZA"/>
        </w:rPr>
        <w:t>,</w:t>
      </w:r>
      <w:r w:rsidR="00733D59" w:rsidRPr="00917FC2">
        <w:rPr>
          <w:rFonts w:ascii="Times New Roman" w:hAnsi="Times New Roman" w:cs="Times New Roman"/>
          <w:sz w:val="28"/>
          <w:szCs w:val="28"/>
          <w:lang w:val="en-ZA"/>
        </w:rPr>
        <w:t xml:space="preserve"> c</w:t>
      </w:r>
      <w:r w:rsidR="008F277D" w:rsidRPr="00917FC2">
        <w:rPr>
          <w:rFonts w:ascii="Times New Roman" w:hAnsi="Times New Roman" w:cs="Times New Roman"/>
          <w:sz w:val="28"/>
          <w:szCs w:val="28"/>
          <w:lang w:val="en-ZA"/>
        </w:rPr>
        <w:t>onstitute</w:t>
      </w:r>
      <w:r w:rsidR="00687459" w:rsidRPr="00917FC2">
        <w:rPr>
          <w:rFonts w:ascii="Times New Roman" w:hAnsi="Times New Roman" w:cs="Times New Roman"/>
          <w:sz w:val="28"/>
          <w:szCs w:val="28"/>
          <w:lang w:val="en-ZA"/>
        </w:rPr>
        <w:t>d</w:t>
      </w:r>
      <w:r w:rsidR="008F277D" w:rsidRPr="00917FC2">
        <w:rPr>
          <w:rFonts w:ascii="Times New Roman" w:hAnsi="Times New Roman" w:cs="Times New Roman"/>
          <w:sz w:val="28"/>
          <w:szCs w:val="28"/>
          <w:lang w:val="en-ZA"/>
        </w:rPr>
        <w:t xml:space="preserve"> an entrustment as envisaged</w:t>
      </w:r>
      <w:r w:rsidR="00C9310A" w:rsidRPr="00917FC2">
        <w:rPr>
          <w:rFonts w:ascii="Times New Roman" w:hAnsi="Times New Roman" w:cs="Times New Roman"/>
          <w:sz w:val="28"/>
          <w:szCs w:val="28"/>
          <w:lang w:val="en-ZA"/>
        </w:rPr>
        <w:t xml:space="preserve"> in s</w:t>
      </w:r>
      <w:r w:rsidR="00DF6028" w:rsidRPr="00917FC2">
        <w:rPr>
          <w:rFonts w:ascii="Times New Roman" w:hAnsi="Times New Roman" w:cs="Times New Roman"/>
          <w:sz w:val="28"/>
          <w:szCs w:val="28"/>
          <w:lang w:val="en-ZA"/>
        </w:rPr>
        <w:t xml:space="preserve"> 26</w:t>
      </w:r>
      <w:r w:rsidR="00733D59" w:rsidRPr="00917FC2">
        <w:rPr>
          <w:rFonts w:ascii="Times New Roman" w:hAnsi="Times New Roman" w:cs="Times New Roman"/>
          <w:sz w:val="28"/>
          <w:szCs w:val="28"/>
          <w:lang w:val="en-ZA"/>
        </w:rPr>
        <w:t xml:space="preserve">. </w:t>
      </w:r>
    </w:p>
    <w:p w14:paraId="4FEA57B7" w14:textId="77777777" w:rsidR="00B11712" w:rsidRPr="00917FC2" w:rsidRDefault="00B11712" w:rsidP="005C0E40">
      <w:pPr>
        <w:pStyle w:val="BodyA"/>
        <w:spacing w:after="0" w:line="360" w:lineRule="auto"/>
        <w:rPr>
          <w:rFonts w:ascii="Times New Roman" w:hAnsi="Times New Roman" w:cs="Times New Roman"/>
          <w:sz w:val="28"/>
          <w:szCs w:val="28"/>
          <w:lang w:val="en-ZA"/>
        </w:rPr>
      </w:pPr>
    </w:p>
    <w:p w14:paraId="6C33E896" w14:textId="7D8967CB" w:rsidR="00CE7CC2" w:rsidRPr="00917FC2" w:rsidRDefault="00C05AB1"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7</w:t>
      </w:r>
      <w:r w:rsidR="00B11712"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1D2F7F" w:rsidRPr="00917FC2">
        <w:rPr>
          <w:rFonts w:ascii="Times New Roman" w:hAnsi="Times New Roman" w:cs="Times New Roman"/>
          <w:sz w:val="28"/>
          <w:szCs w:val="28"/>
          <w:lang w:val="en-ZA"/>
        </w:rPr>
        <w:t>I</w:t>
      </w:r>
      <w:r w:rsidR="00C90CFB" w:rsidRPr="00917FC2">
        <w:rPr>
          <w:rFonts w:ascii="Times New Roman" w:hAnsi="Times New Roman" w:cs="Times New Roman"/>
          <w:sz w:val="28"/>
          <w:szCs w:val="28"/>
          <w:lang w:val="en-ZA"/>
        </w:rPr>
        <w:t>t found</w:t>
      </w:r>
      <w:r w:rsidR="003E6AEE" w:rsidRPr="00917FC2">
        <w:rPr>
          <w:rFonts w:ascii="Times New Roman" w:hAnsi="Times New Roman" w:cs="Times New Roman"/>
          <w:sz w:val="28"/>
          <w:szCs w:val="28"/>
          <w:lang w:val="en-ZA"/>
        </w:rPr>
        <w:t xml:space="preserve"> that </w:t>
      </w:r>
      <w:r w:rsidR="00445EDE" w:rsidRPr="00917FC2">
        <w:rPr>
          <w:rFonts w:ascii="Times New Roman" w:hAnsi="Times New Roman" w:cs="Times New Roman"/>
          <w:sz w:val="28"/>
          <w:szCs w:val="28"/>
          <w:lang w:val="en-ZA"/>
        </w:rPr>
        <w:t xml:space="preserve">the </w:t>
      </w:r>
      <w:r w:rsidR="003E6AEE" w:rsidRPr="00917FC2">
        <w:rPr>
          <w:rFonts w:ascii="Times New Roman" w:hAnsi="Times New Roman" w:cs="Times New Roman"/>
          <w:sz w:val="28"/>
          <w:szCs w:val="28"/>
          <w:lang w:val="en-ZA"/>
        </w:rPr>
        <w:t>monies deposited</w:t>
      </w:r>
      <w:r w:rsidR="00B11712" w:rsidRPr="00917FC2">
        <w:rPr>
          <w:rFonts w:ascii="Times New Roman" w:hAnsi="Times New Roman" w:cs="Times New Roman"/>
          <w:sz w:val="28"/>
          <w:szCs w:val="28"/>
          <w:lang w:val="en-ZA"/>
        </w:rPr>
        <w:t xml:space="preserve"> by clients to ensure that there wer</w:t>
      </w:r>
      <w:r w:rsidR="003A7457" w:rsidRPr="00917FC2">
        <w:rPr>
          <w:rFonts w:ascii="Times New Roman" w:hAnsi="Times New Roman" w:cs="Times New Roman"/>
          <w:sz w:val="28"/>
          <w:szCs w:val="28"/>
          <w:lang w:val="en-ZA"/>
        </w:rPr>
        <w:t xml:space="preserve">e </w:t>
      </w:r>
      <w:r w:rsidR="003E6AEE" w:rsidRPr="00917FC2">
        <w:rPr>
          <w:rFonts w:ascii="Times New Roman" w:hAnsi="Times New Roman" w:cs="Times New Roman"/>
          <w:sz w:val="28"/>
          <w:szCs w:val="28"/>
          <w:lang w:val="en-ZA"/>
        </w:rPr>
        <w:t xml:space="preserve">sufficient </w:t>
      </w:r>
      <w:r w:rsidR="003A7457" w:rsidRPr="00917FC2">
        <w:rPr>
          <w:rFonts w:ascii="Times New Roman" w:hAnsi="Times New Roman" w:cs="Times New Roman"/>
          <w:sz w:val="28"/>
          <w:szCs w:val="28"/>
          <w:lang w:val="en-ZA"/>
        </w:rPr>
        <w:t xml:space="preserve">funds available to pay </w:t>
      </w:r>
      <w:r w:rsidR="00B11712" w:rsidRPr="00917FC2">
        <w:rPr>
          <w:rFonts w:ascii="Times New Roman" w:hAnsi="Times New Roman" w:cs="Times New Roman"/>
          <w:sz w:val="28"/>
          <w:szCs w:val="28"/>
          <w:lang w:val="en-ZA"/>
        </w:rPr>
        <w:t>counsel</w:t>
      </w:r>
      <w:r w:rsidR="003A7457" w:rsidRPr="00917FC2">
        <w:rPr>
          <w:rFonts w:ascii="Times New Roman" w:hAnsi="Times New Roman" w:cs="Times New Roman"/>
          <w:sz w:val="28"/>
          <w:szCs w:val="28"/>
          <w:lang w:val="en-ZA"/>
        </w:rPr>
        <w:t>’</w:t>
      </w:r>
      <w:r w:rsidR="00B11712" w:rsidRPr="00917FC2">
        <w:rPr>
          <w:rFonts w:ascii="Times New Roman" w:hAnsi="Times New Roman" w:cs="Times New Roman"/>
          <w:sz w:val="28"/>
          <w:szCs w:val="28"/>
          <w:lang w:val="en-ZA"/>
        </w:rPr>
        <w:t>s fee</w:t>
      </w:r>
      <w:r w:rsidR="0043245B" w:rsidRPr="00917FC2">
        <w:rPr>
          <w:rFonts w:ascii="Times New Roman" w:hAnsi="Times New Roman" w:cs="Times New Roman"/>
          <w:sz w:val="28"/>
          <w:szCs w:val="28"/>
          <w:lang w:val="en-ZA"/>
        </w:rPr>
        <w:t xml:space="preserve">s were </w:t>
      </w:r>
      <w:r w:rsidR="009644D2" w:rsidRPr="00917FC2">
        <w:rPr>
          <w:rFonts w:ascii="Times New Roman" w:hAnsi="Times New Roman" w:cs="Times New Roman"/>
          <w:sz w:val="28"/>
          <w:szCs w:val="28"/>
          <w:lang w:val="en-ZA"/>
        </w:rPr>
        <w:t>‘</w:t>
      </w:r>
      <w:r w:rsidR="0043245B" w:rsidRPr="00917FC2">
        <w:rPr>
          <w:rFonts w:ascii="Times New Roman" w:hAnsi="Times New Roman" w:cs="Times New Roman"/>
          <w:sz w:val="28"/>
          <w:szCs w:val="28"/>
          <w:lang w:val="en-ZA"/>
        </w:rPr>
        <w:t>entrusted</w:t>
      </w:r>
      <w:r w:rsidR="009644D2" w:rsidRPr="00917FC2">
        <w:rPr>
          <w:rFonts w:ascii="Times New Roman" w:hAnsi="Times New Roman" w:cs="Times New Roman"/>
          <w:sz w:val="28"/>
          <w:szCs w:val="28"/>
          <w:lang w:val="en-ZA"/>
        </w:rPr>
        <w:t>’</w:t>
      </w:r>
      <w:r w:rsidR="0043245B" w:rsidRPr="00917FC2">
        <w:rPr>
          <w:rFonts w:ascii="Times New Roman" w:hAnsi="Times New Roman" w:cs="Times New Roman"/>
          <w:sz w:val="28"/>
          <w:szCs w:val="28"/>
          <w:lang w:val="en-ZA"/>
        </w:rPr>
        <w:t xml:space="preserve"> </w:t>
      </w:r>
      <w:r w:rsidR="00DE7F74" w:rsidRPr="00917FC2">
        <w:rPr>
          <w:rFonts w:ascii="Times New Roman" w:hAnsi="Times New Roman" w:cs="Times New Roman"/>
          <w:sz w:val="28"/>
          <w:szCs w:val="28"/>
          <w:lang w:val="en-ZA"/>
        </w:rPr>
        <w:t>to Costa Attorneys</w:t>
      </w:r>
      <w:r w:rsidR="009644D2" w:rsidRPr="00917FC2">
        <w:rPr>
          <w:rFonts w:ascii="Times New Roman" w:hAnsi="Times New Roman" w:cs="Times New Roman"/>
          <w:sz w:val="28"/>
          <w:szCs w:val="28"/>
          <w:lang w:val="en-ZA"/>
        </w:rPr>
        <w:t xml:space="preserve"> </w:t>
      </w:r>
      <w:r w:rsidR="003E6AEE" w:rsidRPr="00917FC2">
        <w:rPr>
          <w:rFonts w:ascii="Times New Roman" w:hAnsi="Times New Roman" w:cs="Times New Roman"/>
          <w:sz w:val="28"/>
          <w:szCs w:val="28"/>
          <w:lang w:val="en-ZA"/>
        </w:rPr>
        <w:t>as envisaged by s</w:t>
      </w:r>
      <w:r w:rsidR="001D2F7F" w:rsidRPr="00917FC2">
        <w:rPr>
          <w:rFonts w:ascii="Times New Roman" w:hAnsi="Times New Roman" w:cs="Times New Roman"/>
          <w:sz w:val="28"/>
          <w:szCs w:val="28"/>
          <w:lang w:val="en-ZA"/>
        </w:rPr>
        <w:t xml:space="preserve"> </w:t>
      </w:r>
      <w:r w:rsidR="003E6AEE" w:rsidRPr="00917FC2">
        <w:rPr>
          <w:rFonts w:ascii="Times New Roman" w:hAnsi="Times New Roman" w:cs="Times New Roman"/>
          <w:sz w:val="28"/>
          <w:szCs w:val="28"/>
          <w:lang w:val="en-ZA"/>
        </w:rPr>
        <w:t>26</w:t>
      </w:r>
      <w:r w:rsidR="001D2F7F" w:rsidRPr="00917FC2">
        <w:rPr>
          <w:rFonts w:ascii="Times New Roman" w:hAnsi="Times New Roman" w:cs="Times New Roman"/>
          <w:sz w:val="28"/>
          <w:szCs w:val="28"/>
          <w:lang w:val="en-ZA"/>
        </w:rPr>
        <w:t>. However, it</w:t>
      </w:r>
      <w:r w:rsidR="00940BB8" w:rsidRPr="00917FC2">
        <w:rPr>
          <w:rFonts w:ascii="Times New Roman" w:hAnsi="Times New Roman" w:cs="Times New Roman"/>
          <w:sz w:val="28"/>
          <w:szCs w:val="28"/>
          <w:lang w:val="en-ZA"/>
        </w:rPr>
        <w:t xml:space="preserve"> </w:t>
      </w:r>
      <w:r w:rsidR="009F2EA3" w:rsidRPr="00917FC2">
        <w:rPr>
          <w:rFonts w:ascii="Times New Roman" w:hAnsi="Times New Roman" w:cs="Times New Roman"/>
          <w:sz w:val="28"/>
          <w:szCs w:val="28"/>
          <w:lang w:val="en-ZA"/>
        </w:rPr>
        <w:t>reason</w:t>
      </w:r>
      <w:r w:rsidR="0043245B" w:rsidRPr="00917FC2">
        <w:rPr>
          <w:rFonts w:ascii="Times New Roman" w:hAnsi="Times New Roman" w:cs="Times New Roman"/>
          <w:sz w:val="28"/>
          <w:szCs w:val="28"/>
          <w:lang w:val="en-ZA"/>
        </w:rPr>
        <w:t>ed</w:t>
      </w:r>
      <w:r w:rsidR="009F2EA3" w:rsidRPr="00917FC2">
        <w:rPr>
          <w:rFonts w:ascii="Times New Roman" w:hAnsi="Times New Roman" w:cs="Times New Roman"/>
          <w:sz w:val="28"/>
          <w:szCs w:val="28"/>
          <w:lang w:val="en-ZA"/>
        </w:rPr>
        <w:t xml:space="preserve"> that since the</w:t>
      </w:r>
      <w:r w:rsidR="00816576" w:rsidRPr="00917FC2">
        <w:rPr>
          <w:rFonts w:ascii="Times New Roman" w:hAnsi="Times New Roman" w:cs="Times New Roman"/>
          <w:sz w:val="28"/>
          <w:szCs w:val="28"/>
          <w:lang w:val="en-ZA"/>
        </w:rPr>
        <w:t xml:space="preserve"> appellant did not deposit the money</w:t>
      </w:r>
      <w:r w:rsidR="009F2EA3" w:rsidRPr="00917FC2">
        <w:rPr>
          <w:rFonts w:ascii="Times New Roman" w:hAnsi="Times New Roman" w:cs="Times New Roman"/>
          <w:sz w:val="28"/>
          <w:szCs w:val="28"/>
          <w:lang w:val="en-ZA"/>
        </w:rPr>
        <w:t xml:space="preserve"> </w:t>
      </w:r>
      <w:r w:rsidR="001D2F7F" w:rsidRPr="00917FC2">
        <w:rPr>
          <w:rFonts w:ascii="Times New Roman" w:hAnsi="Times New Roman" w:cs="Times New Roman"/>
          <w:sz w:val="28"/>
          <w:szCs w:val="28"/>
          <w:lang w:val="en-ZA"/>
        </w:rPr>
        <w:t>‘</w:t>
      </w:r>
      <w:r w:rsidR="009F2EA3" w:rsidRPr="00917FC2">
        <w:rPr>
          <w:rFonts w:ascii="Times New Roman" w:hAnsi="Times New Roman" w:cs="Times New Roman"/>
          <w:sz w:val="28"/>
          <w:szCs w:val="28"/>
          <w:lang w:val="en-ZA"/>
        </w:rPr>
        <w:t>it can never be said that the money entrusted as deposit</w:t>
      </w:r>
      <w:r w:rsidR="00324F80" w:rsidRPr="00917FC2">
        <w:rPr>
          <w:rFonts w:ascii="Times New Roman" w:hAnsi="Times New Roman" w:cs="Times New Roman"/>
          <w:sz w:val="28"/>
          <w:szCs w:val="28"/>
          <w:lang w:val="en-ZA"/>
        </w:rPr>
        <w:t>s</w:t>
      </w:r>
      <w:r w:rsidR="009F2EA3" w:rsidRPr="00917FC2">
        <w:rPr>
          <w:rFonts w:ascii="Times New Roman" w:hAnsi="Times New Roman" w:cs="Times New Roman"/>
          <w:sz w:val="28"/>
          <w:szCs w:val="28"/>
          <w:lang w:val="en-ZA"/>
        </w:rPr>
        <w:t xml:space="preserve"> by Costa’s client</w:t>
      </w:r>
      <w:r w:rsidR="00324F80" w:rsidRPr="00917FC2">
        <w:rPr>
          <w:rFonts w:ascii="Times New Roman" w:hAnsi="Times New Roman" w:cs="Times New Roman"/>
          <w:sz w:val="28"/>
          <w:szCs w:val="28"/>
          <w:lang w:val="en-ZA"/>
        </w:rPr>
        <w:t>s</w:t>
      </w:r>
      <w:r w:rsidR="009F2EA3" w:rsidRPr="00917FC2">
        <w:rPr>
          <w:rFonts w:ascii="Times New Roman" w:hAnsi="Times New Roman" w:cs="Times New Roman"/>
          <w:sz w:val="28"/>
          <w:szCs w:val="28"/>
          <w:lang w:val="en-ZA"/>
        </w:rPr>
        <w:t xml:space="preserve"> was so entrusted on the </w:t>
      </w:r>
      <w:r w:rsidR="00CD794B" w:rsidRPr="00917FC2">
        <w:rPr>
          <w:rFonts w:ascii="Times New Roman" w:hAnsi="Times New Roman" w:cs="Times New Roman"/>
          <w:sz w:val="28"/>
          <w:szCs w:val="28"/>
          <w:lang w:val="en-ZA"/>
        </w:rPr>
        <w:t>[appellant’s]</w:t>
      </w:r>
      <w:r w:rsidR="009F2EA3" w:rsidRPr="00917FC2">
        <w:rPr>
          <w:rFonts w:ascii="Times New Roman" w:hAnsi="Times New Roman" w:cs="Times New Roman"/>
          <w:sz w:val="28"/>
          <w:szCs w:val="28"/>
          <w:lang w:val="en-ZA"/>
        </w:rPr>
        <w:t xml:space="preserve"> behalf</w:t>
      </w:r>
      <w:r w:rsidR="00F1707D" w:rsidRPr="00917FC2">
        <w:rPr>
          <w:rFonts w:ascii="Times New Roman" w:hAnsi="Times New Roman" w:cs="Times New Roman"/>
          <w:sz w:val="28"/>
          <w:szCs w:val="28"/>
          <w:lang w:val="en-ZA"/>
        </w:rPr>
        <w:t>’</w:t>
      </w:r>
      <w:r w:rsidR="009F2EA3" w:rsidRPr="00917FC2">
        <w:rPr>
          <w:rFonts w:ascii="Times New Roman" w:hAnsi="Times New Roman" w:cs="Times New Roman"/>
          <w:sz w:val="28"/>
          <w:szCs w:val="28"/>
          <w:lang w:val="en-ZA"/>
        </w:rPr>
        <w:t xml:space="preserve">. It </w:t>
      </w:r>
      <w:r w:rsidR="00B46D39" w:rsidRPr="00917FC2">
        <w:rPr>
          <w:rFonts w:ascii="Times New Roman" w:hAnsi="Times New Roman" w:cs="Times New Roman"/>
          <w:sz w:val="28"/>
          <w:szCs w:val="28"/>
          <w:lang w:val="en-ZA"/>
        </w:rPr>
        <w:t>reasoned</w:t>
      </w:r>
      <w:r w:rsidR="00CE7CC2" w:rsidRPr="00917FC2">
        <w:rPr>
          <w:rFonts w:ascii="Times New Roman" w:hAnsi="Times New Roman" w:cs="Times New Roman"/>
          <w:sz w:val="28"/>
          <w:szCs w:val="28"/>
          <w:lang w:val="en-ZA"/>
        </w:rPr>
        <w:t xml:space="preserve"> that:</w:t>
      </w:r>
    </w:p>
    <w:p w14:paraId="1E6EABEB" w14:textId="44BDB182" w:rsidR="00195D85" w:rsidRPr="00917FC2" w:rsidRDefault="00324F80" w:rsidP="005C0E40">
      <w:pPr>
        <w:pStyle w:val="BodyA"/>
        <w:spacing w:after="0" w:line="360" w:lineRule="auto"/>
        <w:rPr>
          <w:rFonts w:ascii="Times New Roman" w:hAnsi="Times New Roman" w:cs="Times New Roman"/>
          <w:sz w:val="24"/>
          <w:szCs w:val="24"/>
          <w:lang w:val="en-ZA"/>
        </w:rPr>
      </w:pPr>
      <w:r w:rsidRPr="00917FC2">
        <w:rPr>
          <w:rFonts w:ascii="Times New Roman" w:hAnsi="Times New Roman" w:cs="Times New Roman"/>
          <w:sz w:val="24"/>
          <w:szCs w:val="24"/>
          <w:lang w:val="en-ZA"/>
        </w:rPr>
        <w:t>‘</w:t>
      </w:r>
      <w:r w:rsidR="00CE7CC2" w:rsidRPr="00917FC2">
        <w:rPr>
          <w:rFonts w:ascii="Times New Roman" w:hAnsi="Times New Roman" w:cs="Times New Roman"/>
          <w:sz w:val="24"/>
          <w:szCs w:val="24"/>
          <w:lang w:val="en-ZA"/>
        </w:rPr>
        <w:t>I</w:t>
      </w:r>
      <w:r w:rsidRPr="00917FC2">
        <w:rPr>
          <w:rFonts w:ascii="Times New Roman" w:hAnsi="Times New Roman" w:cs="Times New Roman"/>
          <w:sz w:val="24"/>
          <w:szCs w:val="24"/>
          <w:lang w:val="en-ZA"/>
        </w:rPr>
        <w:t xml:space="preserve">t </w:t>
      </w:r>
      <w:r w:rsidR="009F2EA3" w:rsidRPr="00917FC2">
        <w:rPr>
          <w:rFonts w:ascii="Times New Roman" w:hAnsi="Times New Roman" w:cs="Times New Roman"/>
          <w:sz w:val="24"/>
          <w:szCs w:val="24"/>
          <w:lang w:val="en-ZA"/>
        </w:rPr>
        <w:t>may well be that its purpose was to ensure that counsel</w:t>
      </w:r>
      <w:r w:rsidR="0042338E" w:rsidRPr="00917FC2">
        <w:rPr>
          <w:rFonts w:ascii="Times New Roman" w:hAnsi="Times New Roman" w:cs="Times New Roman"/>
          <w:sz w:val="24"/>
          <w:szCs w:val="24"/>
          <w:lang w:val="en-ZA"/>
        </w:rPr>
        <w:t>’</w:t>
      </w:r>
      <w:r w:rsidR="009F2EA3" w:rsidRPr="00917FC2">
        <w:rPr>
          <w:rFonts w:ascii="Times New Roman" w:hAnsi="Times New Roman" w:cs="Times New Roman"/>
          <w:sz w:val="24"/>
          <w:szCs w:val="24"/>
          <w:lang w:val="en-ZA"/>
        </w:rPr>
        <w:t xml:space="preserve">s fees were covered, but it would </w:t>
      </w:r>
      <w:r w:rsidRPr="00917FC2">
        <w:rPr>
          <w:rFonts w:ascii="Times New Roman" w:hAnsi="Times New Roman" w:cs="Times New Roman"/>
          <w:sz w:val="24"/>
          <w:szCs w:val="24"/>
          <w:lang w:val="en-ZA"/>
        </w:rPr>
        <w:t xml:space="preserve">be </w:t>
      </w:r>
      <w:r w:rsidR="009F2EA3" w:rsidRPr="00917FC2">
        <w:rPr>
          <w:rFonts w:ascii="Times New Roman" w:hAnsi="Times New Roman" w:cs="Times New Roman"/>
          <w:sz w:val="24"/>
          <w:szCs w:val="24"/>
          <w:lang w:val="en-ZA"/>
        </w:rPr>
        <w:t xml:space="preserve">farfetched to suggest that deposits were paid with </w:t>
      </w:r>
      <w:r w:rsidR="0043245B" w:rsidRPr="00917FC2">
        <w:rPr>
          <w:rFonts w:ascii="Times New Roman" w:hAnsi="Times New Roman" w:cs="Times New Roman"/>
          <w:sz w:val="24"/>
          <w:szCs w:val="24"/>
          <w:lang w:val="en-ZA"/>
        </w:rPr>
        <w:t xml:space="preserve">the sole purpose only </w:t>
      </w:r>
      <w:r w:rsidR="00CE7CC2" w:rsidRPr="00917FC2">
        <w:rPr>
          <w:rFonts w:ascii="Times New Roman" w:hAnsi="Times New Roman" w:cs="Times New Roman"/>
          <w:sz w:val="24"/>
          <w:szCs w:val="24"/>
          <w:lang w:val="en-ZA"/>
        </w:rPr>
        <w:t>of</w:t>
      </w:r>
      <w:r w:rsidR="0042338E" w:rsidRPr="00917FC2">
        <w:rPr>
          <w:rFonts w:ascii="Times New Roman" w:hAnsi="Times New Roman" w:cs="Times New Roman"/>
          <w:sz w:val="24"/>
          <w:szCs w:val="24"/>
          <w:lang w:val="en-ZA"/>
        </w:rPr>
        <w:t xml:space="preserve"> cover</w:t>
      </w:r>
      <w:r w:rsidR="00CE7CC2" w:rsidRPr="00917FC2">
        <w:rPr>
          <w:rFonts w:ascii="Times New Roman" w:hAnsi="Times New Roman" w:cs="Times New Roman"/>
          <w:sz w:val="24"/>
          <w:szCs w:val="24"/>
          <w:lang w:val="en-ZA"/>
        </w:rPr>
        <w:t>ing</w:t>
      </w:r>
      <w:r w:rsidR="0042338E" w:rsidRPr="00917FC2">
        <w:rPr>
          <w:rFonts w:ascii="Times New Roman" w:hAnsi="Times New Roman" w:cs="Times New Roman"/>
          <w:sz w:val="24"/>
          <w:szCs w:val="24"/>
          <w:lang w:val="en-ZA"/>
        </w:rPr>
        <w:t xml:space="preserve"> counsel’s</w:t>
      </w:r>
      <w:r w:rsidR="009F2EA3" w:rsidRPr="00917FC2">
        <w:rPr>
          <w:rFonts w:ascii="Times New Roman" w:hAnsi="Times New Roman" w:cs="Times New Roman"/>
          <w:sz w:val="24"/>
          <w:szCs w:val="24"/>
          <w:lang w:val="en-ZA"/>
        </w:rPr>
        <w:t xml:space="preserve"> fees as a disbursement and not other disbursements, such a</w:t>
      </w:r>
      <w:r w:rsidR="00B2630D" w:rsidRPr="00917FC2">
        <w:rPr>
          <w:rFonts w:ascii="Times New Roman" w:hAnsi="Times New Roman" w:cs="Times New Roman"/>
          <w:sz w:val="24"/>
          <w:szCs w:val="24"/>
          <w:lang w:val="en-ZA"/>
        </w:rPr>
        <w:t>s sheriff’s cost</w:t>
      </w:r>
      <w:r w:rsidR="002B3A60" w:rsidRPr="00917FC2">
        <w:rPr>
          <w:rFonts w:ascii="Times New Roman" w:hAnsi="Times New Roman" w:cs="Times New Roman"/>
          <w:sz w:val="24"/>
          <w:szCs w:val="24"/>
          <w:lang w:val="en-ZA"/>
        </w:rPr>
        <w:t>s</w:t>
      </w:r>
      <w:r w:rsidR="00B2630D" w:rsidRPr="00917FC2">
        <w:rPr>
          <w:rFonts w:ascii="Times New Roman" w:hAnsi="Times New Roman" w:cs="Times New Roman"/>
          <w:sz w:val="24"/>
          <w:szCs w:val="24"/>
          <w:lang w:val="en-ZA"/>
        </w:rPr>
        <w:t>, correspondent’s</w:t>
      </w:r>
      <w:r w:rsidR="009F2EA3" w:rsidRPr="00917FC2">
        <w:rPr>
          <w:rFonts w:ascii="Times New Roman" w:hAnsi="Times New Roman" w:cs="Times New Roman"/>
          <w:sz w:val="24"/>
          <w:szCs w:val="24"/>
          <w:lang w:val="en-ZA"/>
        </w:rPr>
        <w:t xml:space="preserve"> fees, messenger</w:t>
      </w:r>
      <w:r w:rsidR="00B2630D" w:rsidRPr="00917FC2">
        <w:rPr>
          <w:rFonts w:ascii="Times New Roman" w:hAnsi="Times New Roman" w:cs="Times New Roman"/>
          <w:sz w:val="24"/>
          <w:szCs w:val="24"/>
          <w:lang w:val="en-ZA"/>
        </w:rPr>
        <w:t>’</w:t>
      </w:r>
      <w:r w:rsidR="009F2EA3" w:rsidRPr="00917FC2">
        <w:rPr>
          <w:rFonts w:ascii="Times New Roman" w:hAnsi="Times New Roman" w:cs="Times New Roman"/>
          <w:sz w:val="24"/>
          <w:szCs w:val="24"/>
          <w:lang w:val="en-ZA"/>
        </w:rPr>
        <w:t xml:space="preserve">s fees and </w:t>
      </w:r>
      <w:r w:rsidR="00B2630D" w:rsidRPr="00917FC2">
        <w:rPr>
          <w:rFonts w:ascii="Times New Roman" w:hAnsi="Times New Roman" w:cs="Times New Roman"/>
          <w:sz w:val="24"/>
          <w:szCs w:val="24"/>
          <w:lang w:val="en-ZA"/>
        </w:rPr>
        <w:t xml:space="preserve">the </w:t>
      </w:r>
      <w:r w:rsidR="009F2EA3" w:rsidRPr="00917FC2">
        <w:rPr>
          <w:rFonts w:ascii="Times New Roman" w:hAnsi="Times New Roman" w:cs="Times New Roman"/>
          <w:sz w:val="24"/>
          <w:szCs w:val="24"/>
          <w:lang w:val="en-ZA"/>
        </w:rPr>
        <w:t>like</w:t>
      </w:r>
      <w:r w:rsidR="00B2630D" w:rsidRPr="00917FC2">
        <w:rPr>
          <w:rFonts w:ascii="Times New Roman" w:hAnsi="Times New Roman" w:cs="Times New Roman"/>
          <w:sz w:val="24"/>
          <w:szCs w:val="24"/>
          <w:lang w:val="en-ZA"/>
        </w:rPr>
        <w:t>,</w:t>
      </w:r>
      <w:r w:rsidR="009F2EA3" w:rsidRPr="00917FC2">
        <w:rPr>
          <w:rFonts w:ascii="Times New Roman" w:hAnsi="Times New Roman" w:cs="Times New Roman"/>
          <w:sz w:val="24"/>
          <w:szCs w:val="24"/>
          <w:lang w:val="en-ZA"/>
        </w:rPr>
        <w:t xml:space="preserve"> </w:t>
      </w:r>
      <w:r w:rsidR="0042338E" w:rsidRPr="00917FC2">
        <w:rPr>
          <w:rFonts w:ascii="Times New Roman" w:hAnsi="Times New Roman" w:cs="Times New Roman"/>
          <w:sz w:val="24"/>
          <w:szCs w:val="24"/>
          <w:lang w:val="en-ZA"/>
        </w:rPr>
        <w:t>(</w:t>
      </w:r>
      <w:r w:rsidR="009F2EA3" w:rsidRPr="00917FC2">
        <w:rPr>
          <w:rFonts w:ascii="Times New Roman" w:hAnsi="Times New Roman" w:cs="Times New Roman"/>
          <w:sz w:val="24"/>
          <w:szCs w:val="24"/>
          <w:lang w:val="en-ZA"/>
        </w:rPr>
        <w:t>including at least part of the attorney’s own initial fees</w:t>
      </w:r>
      <w:r w:rsidR="0042338E" w:rsidRPr="00917FC2">
        <w:rPr>
          <w:rFonts w:ascii="Times New Roman" w:hAnsi="Times New Roman" w:cs="Times New Roman"/>
          <w:sz w:val="24"/>
          <w:szCs w:val="24"/>
          <w:lang w:val="en-ZA"/>
        </w:rPr>
        <w:t>)</w:t>
      </w:r>
      <w:r w:rsidR="00455AF4" w:rsidRPr="00917FC2">
        <w:rPr>
          <w:rFonts w:ascii="Times New Roman" w:hAnsi="Times New Roman" w:cs="Times New Roman"/>
          <w:sz w:val="24"/>
          <w:szCs w:val="24"/>
          <w:lang w:val="en-ZA"/>
        </w:rPr>
        <w:t>’</w:t>
      </w:r>
      <w:r w:rsidR="009F2EA3" w:rsidRPr="00917FC2">
        <w:rPr>
          <w:rFonts w:ascii="Times New Roman" w:hAnsi="Times New Roman" w:cs="Times New Roman"/>
          <w:sz w:val="24"/>
          <w:szCs w:val="24"/>
          <w:lang w:val="en-ZA"/>
        </w:rPr>
        <w:t xml:space="preserve">. </w:t>
      </w:r>
    </w:p>
    <w:p w14:paraId="16C61FBB" w14:textId="77777777" w:rsidR="00195D85" w:rsidRPr="00917FC2" w:rsidRDefault="00195D85" w:rsidP="005C0E40">
      <w:pPr>
        <w:pStyle w:val="BodyA"/>
        <w:spacing w:after="0" w:line="360" w:lineRule="auto"/>
        <w:rPr>
          <w:rFonts w:ascii="Times New Roman" w:hAnsi="Times New Roman" w:cs="Times New Roman"/>
          <w:sz w:val="28"/>
          <w:szCs w:val="28"/>
          <w:lang w:val="en-ZA"/>
        </w:rPr>
      </w:pPr>
    </w:p>
    <w:p w14:paraId="49BBF5BE" w14:textId="2340BD6D" w:rsidR="003007A0" w:rsidRPr="00917FC2" w:rsidRDefault="00C05AB1"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8</w:t>
      </w:r>
      <w:r w:rsidR="00195D85"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195D85" w:rsidRPr="00917FC2">
        <w:rPr>
          <w:rFonts w:ascii="Times New Roman" w:hAnsi="Times New Roman" w:cs="Times New Roman"/>
          <w:sz w:val="28"/>
          <w:szCs w:val="28"/>
          <w:lang w:val="en-ZA"/>
        </w:rPr>
        <w:t>The</w:t>
      </w:r>
      <w:r w:rsidR="006A0DCA" w:rsidRPr="00917FC2">
        <w:rPr>
          <w:rFonts w:ascii="Times New Roman" w:hAnsi="Times New Roman" w:cs="Times New Roman"/>
          <w:sz w:val="28"/>
          <w:szCs w:val="28"/>
          <w:lang w:val="en-ZA"/>
        </w:rPr>
        <w:t xml:space="preserve"> high</w:t>
      </w:r>
      <w:r w:rsidR="00195D85" w:rsidRPr="00917FC2">
        <w:rPr>
          <w:rFonts w:ascii="Times New Roman" w:hAnsi="Times New Roman" w:cs="Times New Roman"/>
          <w:sz w:val="28"/>
          <w:szCs w:val="28"/>
          <w:lang w:val="en-ZA"/>
        </w:rPr>
        <w:t xml:space="preserve"> court </w:t>
      </w:r>
      <w:r w:rsidR="00E67AE3" w:rsidRPr="00917FC2">
        <w:rPr>
          <w:rFonts w:ascii="Times New Roman" w:hAnsi="Times New Roman" w:cs="Times New Roman"/>
          <w:sz w:val="28"/>
          <w:szCs w:val="28"/>
          <w:lang w:val="en-ZA"/>
        </w:rPr>
        <w:t xml:space="preserve">concluded </w:t>
      </w:r>
      <w:r w:rsidR="00195D85" w:rsidRPr="00917FC2">
        <w:rPr>
          <w:rFonts w:ascii="Times New Roman" w:hAnsi="Times New Roman" w:cs="Times New Roman"/>
          <w:sz w:val="28"/>
          <w:szCs w:val="28"/>
          <w:lang w:val="en-ZA"/>
        </w:rPr>
        <w:t xml:space="preserve">that </w:t>
      </w:r>
      <w:r w:rsidR="000E734B" w:rsidRPr="00917FC2">
        <w:rPr>
          <w:rFonts w:ascii="Times New Roman" w:hAnsi="Times New Roman" w:cs="Times New Roman"/>
          <w:sz w:val="28"/>
          <w:szCs w:val="28"/>
          <w:lang w:val="en-ZA"/>
        </w:rPr>
        <w:t xml:space="preserve">an advocate’s </w:t>
      </w:r>
      <w:r w:rsidR="003F6A44" w:rsidRPr="00917FC2">
        <w:rPr>
          <w:rFonts w:ascii="Times New Roman" w:hAnsi="Times New Roman" w:cs="Times New Roman"/>
          <w:sz w:val="28"/>
          <w:szCs w:val="28"/>
          <w:lang w:val="en-ZA"/>
        </w:rPr>
        <w:t>claim</w:t>
      </w:r>
      <w:r w:rsidR="00195D85" w:rsidRPr="00917FC2">
        <w:rPr>
          <w:rFonts w:ascii="Times New Roman" w:hAnsi="Times New Roman" w:cs="Times New Roman"/>
          <w:sz w:val="28"/>
          <w:szCs w:val="28"/>
          <w:lang w:val="en-ZA"/>
        </w:rPr>
        <w:t xml:space="preserve"> for outstanding fees lies against the attorney</w:t>
      </w:r>
      <w:r w:rsidR="003F6A44" w:rsidRPr="00917FC2">
        <w:rPr>
          <w:rFonts w:ascii="Times New Roman" w:hAnsi="Times New Roman" w:cs="Times New Roman"/>
          <w:sz w:val="28"/>
          <w:szCs w:val="28"/>
          <w:lang w:val="en-ZA"/>
        </w:rPr>
        <w:t xml:space="preserve"> and not the client</w:t>
      </w:r>
      <w:r w:rsidR="00195D85" w:rsidRPr="00917FC2">
        <w:rPr>
          <w:rFonts w:ascii="Times New Roman" w:hAnsi="Times New Roman" w:cs="Times New Roman"/>
          <w:sz w:val="28"/>
          <w:szCs w:val="28"/>
          <w:lang w:val="en-ZA"/>
        </w:rPr>
        <w:t>. If the attorney</w:t>
      </w:r>
      <w:r w:rsidR="00D22338" w:rsidRPr="00917FC2">
        <w:rPr>
          <w:rFonts w:ascii="Times New Roman" w:hAnsi="Times New Roman" w:cs="Times New Roman"/>
          <w:sz w:val="28"/>
          <w:szCs w:val="28"/>
          <w:lang w:val="en-ZA"/>
        </w:rPr>
        <w:t>’s estate</w:t>
      </w:r>
      <w:r w:rsidR="00195D85" w:rsidRPr="00917FC2">
        <w:rPr>
          <w:rFonts w:ascii="Times New Roman" w:hAnsi="Times New Roman" w:cs="Times New Roman"/>
          <w:sz w:val="28"/>
          <w:szCs w:val="28"/>
          <w:lang w:val="en-ZA"/>
        </w:rPr>
        <w:t xml:space="preserve"> </w:t>
      </w:r>
      <w:r w:rsidR="00926AB2" w:rsidRPr="00917FC2">
        <w:rPr>
          <w:rFonts w:ascii="Times New Roman" w:hAnsi="Times New Roman" w:cs="Times New Roman"/>
          <w:sz w:val="28"/>
          <w:szCs w:val="28"/>
          <w:lang w:val="en-ZA"/>
        </w:rPr>
        <w:t>wa</w:t>
      </w:r>
      <w:r w:rsidR="007012DF" w:rsidRPr="00917FC2">
        <w:rPr>
          <w:rFonts w:ascii="Times New Roman" w:hAnsi="Times New Roman" w:cs="Times New Roman"/>
          <w:sz w:val="28"/>
          <w:szCs w:val="28"/>
          <w:lang w:val="en-ZA"/>
        </w:rPr>
        <w:t xml:space="preserve">s </w:t>
      </w:r>
      <w:r w:rsidR="00195D85" w:rsidRPr="00917FC2">
        <w:rPr>
          <w:rFonts w:ascii="Times New Roman" w:hAnsi="Times New Roman" w:cs="Times New Roman"/>
          <w:sz w:val="28"/>
          <w:szCs w:val="28"/>
          <w:lang w:val="en-ZA"/>
        </w:rPr>
        <w:t>seques</w:t>
      </w:r>
      <w:r w:rsidR="0025344A" w:rsidRPr="00917FC2">
        <w:rPr>
          <w:rFonts w:ascii="Times New Roman" w:hAnsi="Times New Roman" w:cs="Times New Roman"/>
          <w:sz w:val="28"/>
          <w:szCs w:val="28"/>
          <w:lang w:val="en-ZA"/>
        </w:rPr>
        <w:t>trated, the claim l</w:t>
      </w:r>
      <w:r w:rsidR="00D22338" w:rsidRPr="00917FC2">
        <w:rPr>
          <w:rFonts w:ascii="Times New Roman" w:hAnsi="Times New Roman" w:cs="Times New Roman"/>
          <w:sz w:val="28"/>
          <w:szCs w:val="28"/>
          <w:lang w:val="en-ZA"/>
        </w:rPr>
        <w:t>ay</w:t>
      </w:r>
      <w:r w:rsidR="007012DF" w:rsidRPr="00917FC2">
        <w:rPr>
          <w:rFonts w:ascii="Times New Roman" w:hAnsi="Times New Roman" w:cs="Times New Roman"/>
          <w:sz w:val="28"/>
          <w:szCs w:val="28"/>
          <w:lang w:val="en-ZA"/>
        </w:rPr>
        <w:t xml:space="preserve"> against his</w:t>
      </w:r>
      <w:r w:rsidR="00D22338" w:rsidRPr="00917FC2">
        <w:rPr>
          <w:rFonts w:ascii="Times New Roman" w:hAnsi="Times New Roman" w:cs="Times New Roman"/>
          <w:sz w:val="28"/>
          <w:szCs w:val="28"/>
          <w:lang w:val="en-ZA"/>
        </w:rPr>
        <w:t xml:space="preserve"> or her</w:t>
      </w:r>
      <w:r w:rsidR="00195D85" w:rsidRPr="00917FC2">
        <w:rPr>
          <w:rFonts w:ascii="Times New Roman" w:hAnsi="Times New Roman" w:cs="Times New Roman"/>
          <w:sz w:val="28"/>
          <w:szCs w:val="28"/>
          <w:lang w:val="en-ZA"/>
        </w:rPr>
        <w:t xml:space="preserve"> insolvent estate. It follow</w:t>
      </w:r>
      <w:r w:rsidR="00D22338" w:rsidRPr="00917FC2">
        <w:rPr>
          <w:rFonts w:ascii="Times New Roman" w:hAnsi="Times New Roman" w:cs="Times New Roman"/>
          <w:sz w:val="28"/>
          <w:szCs w:val="28"/>
          <w:lang w:val="en-ZA"/>
        </w:rPr>
        <w:t>ed, the court held,</w:t>
      </w:r>
      <w:r w:rsidR="00195D85" w:rsidRPr="00917FC2">
        <w:rPr>
          <w:rFonts w:ascii="Times New Roman" w:hAnsi="Times New Roman" w:cs="Times New Roman"/>
          <w:sz w:val="28"/>
          <w:szCs w:val="28"/>
          <w:lang w:val="en-ZA"/>
        </w:rPr>
        <w:t xml:space="preserve"> that the appellant </w:t>
      </w:r>
      <w:r w:rsidR="00795EB0" w:rsidRPr="00917FC2">
        <w:rPr>
          <w:rFonts w:ascii="Times New Roman" w:hAnsi="Times New Roman" w:cs="Times New Roman"/>
          <w:sz w:val="28"/>
          <w:szCs w:val="28"/>
          <w:lang w:val="en-ZA"/>
        </w:rPr>
        <w:t>did not suffer</w:t>
      </w:r>
      <w:r w:rsidR="00195D85" w:rsidRPr="00917FC2">
        <w:rPr>
          <w:rFonts w:ascii="Times New Roman" w:hAnsi="Times New Roman" w:cs="Times New Roman"/>
          <w:sz w:val="28"/>
          <w:szCs w:val="28"/>
          <w:lang w:val="en-ZA"/>
        </w:rPr>
        <w:t xml:space="preserve"> pecuniary loss </w:t>
      </w:r>
      <w:r w:rsidR="00A94C0A" w:rsidRPr="00917FC2">
        <w:rPr>
          <w:rFonts w:ascii="Times New Roman" w:hAnsi="Times New Roman" w:cs="Times New Roman"/>
          <w:sz w:val="28"/>
          <w:szCs w:val="28"/>
          <w:lang w:val="en-ZA"/>
        </w:rPr>
        <w:t xml:space="preserve">due </w:t>
      </w:r>
      <w:r w:rsidR="00441406" w:rsidRPr="00917FC2">
        <w:rPr>
          <w:rFonts w:ascii="Times New Roman" w:hAnsi="Times New Roman" w:cs="Times New Roman"/>
          <w:sz w:val="28"/>
          <w:szCs w:val="28"/>
          <w:lang w:val="en-ZA"/>
        </w:rPr>
        <w:t xml:space="preserve">to the alleged theft </w:t>
      </w:r>
      <w:r w:rsidR="00A94C0A" w:rsidRPr="00917FC2">
        <w:rPr>
          <w:rFonts w:ascii="Times New Roman" w:hAnsi="Times New Roman" w:cs="Times New Roman"/>
          <w:sz w:val="28"/>
          <w:szCs w:val="28"/>
          <w:lang w:val="en-ZA"/>
        </w:rPr>
        <w:t>of any monies paid by clients to Costa</w:t>
      </w:r>
      <w:r w:rsidR="00720101" w:rsidRPr="00917FC2">
        <w:rPr>
          <w:rFonts w:ascii="Times New Roman" w:hAnsi="Times New Roman" w:cs="Times New Roman"/>
          <w:sz w:val="28"/>
          <w:szCs w:val="28"/>
          <w:lang w:val="en-ZA"/>
        </w:rPr>
        <w:t xml:space="preserve"> Attorneys</w:t>
      </w:r>
      <w:r w:rsidR="00A94C0A" w:rsidRPr="00917FC2">
        <w:rPr>
          <w:rFonts w:ascii="Times New Roman" w:hAnsi="Times New Roman" w:cs="Times New Roman"/>
          <w:sz w:val="28"/>
          <w:szCs w:val="28"/>
          <w:lang w:val="en-ZA"/>
        </w:rPr>
        <w:t xml:space="preserve">. The appellant’s loss, as indicated, arises due to </w:t>
      </w:r>
      <w:r w:rsidR="00D46524" w:rsidRPr="00917FC2">
        <w:rPr>
          <w:rFonts w:ascii="Times New Roman" w:hAnsi="Times New Roman" w:cs="Times New Roman"/>
          <w:sz w:val="28"/>
          <w:szCs w:val="28"/>
          <w:lang w:val="en-ZA"/>
        </w:rPr>
        <w:t xml:space="preserve">Mr </w:t>
      </w:r>
      <w:r w:rsidR="00A94C0A" w:rsidRPr="00917FC2">
        <w:rPr>
          <w:rFonts w:ascii="Times New Roman" w:hAnsi="Times New Roman" w:cs="Times New Roman"/>
          <w:sz w:val="28"/>
          <w:szCs w:val="28"/>
          <w:lang w:val="en-ZA"/>
        </w:rPr>
        <w:t xml:space="preserve">Costa’s breach </w:t>
      </w:r>
      <w:r w:rsidR="00913B28" w:rsidRPr="00917FC2">
        <w:rPr>
          <w:rFonts w:ascii="Times New Roman" w:hAnsi="Times New Roman" w:cs="Times New Roman"/>
          <w:sz w:val="28"/>
          <w:szCs w:val="28"/>
          <w:lang w:val="en-ZA"/>
        </w:rPr>
        <w:t xml:space="preserve">of the </w:t>
      </w:r>
      <w:r w:rsidR="00923CB7" w:rsidRPr="00917FC2">
        <w:rPr>
          <w:rFonts w:ascii="Times New Roman" w:hAnsi="Times New Roman" w:cs="Times New Roman"/>
          <w:sz w:val="28"/>
          <w:szCs w:val="28"/>
          <w:lang w:val="en-ZA"/>
        </w:rPr>
        <w:t xml:space="preserve">agreement between him and </w:t>
      </w:r>
      <w:r w:rsidR="00C95EE6" w:rsidRPr="00917FC2">
        <w:rPr>
          <w:rFonts w:ascii="Times New Roman" w:hAnsi="Times New Roman" w:cs="Times New Roman"/>
          <w:sz w:val="28"/>
          <w:szCs w:val="28"/>
          <w:lang w:val="en-ZA"/>
        </w:rPr>
        <w:t>the appellant</w:t>
      </w:r>
      <w:r w:rsidR="00295417" w:rsidRPr="00917FC2">
        <w:rPr>
          <w:rFonts w:ascii="Times New Roman" w:hAnsi="Times New Roman" w:cs="Times New Roman"/>
          <w:sz w:val="28"/>
          <w:szCs w:val="28"/>
          <w:lang w:val="en-ZA"/>
        </w:rPr>
        <w:t>.</w:t>
      </w:r>
    </w:p>
    <w:p w14:paraId="4ACF4553" w14:textId="77777777" w:rsidR="003007A0" w:rsidRPr="00917FC2" w:rsidRDefault="003007A0" w:rsidP="005C0E40">
      <w:pPr>
        <w:pStyle w:val="BodyA"/>
        <w:spacing w:after="0" w:line="360" w:lineRule="auto"/>
        <w:rPr>
          <w:rFonts w:ascii="Times New Roman" w:hAnsi="Times New Roman"/>
          <w:sz w:val="28"/>
          <w:lang w:val="en-ZA"/>
        </w:rPr>
      </w:pPr>
    </w:p>
    <w:p w14:paraId="66C5F341" w14:textId="77777777" w:rsidR="00FD4F20" w:rsidRPr="00917FC2" w:rsidRDefault="00FD4F20" w:rsidP="005C0E40">
      <w:pPr>
        <w:pStyle w:val="BodyA"/>
        <w:spacing w:after="0" w:line="360" w:lineRule="auto"/>
        <w:rPr>
          <w:rFonts w:ascii="Times New Roman" w:hAnsi="Times New Roman" w:cs="Times New Roman"/>
          <w:sz w:val="28"/>
          <w:szCs w:val="28"/>
          <w:lang w:val="en-ZA"/>
        </w:rPr>
      </w:pPr>
    </w:p>
    <w:p w14:paraId="5311EEDC" w14:textId="77777777" w:rsidR="00FD4F20" w:rsidRPr="00917FC2" w:rsidRDefault="00FD4F20" w:rsidP="005C0E40">
      <w:pPr>
        <w:pStyle w:val="BodyA"/>
        <w:spacing w:after="0" w:line="360" w:lineRule="auto"/>
        <w:rPr>
          <w:rFonts w:ascii="Times New Roman" w:hAnsi="Times New Roman" w:cs="Times New Roman"/>
          <w:sz w:val="28"/>
          <w:szCs w:val="28"/>
          <w:lang w:val="en-ZA"/>
        </w:rPr>
      </w:pPr>
    </w:p>
    <w:p w14:paraId="0CA3700D" w14:textId="5D002A42" w:rsidR="00545882" w:rsidRPr="00917FC2" w:rsidRDefault="00B20A8F" w:rsidP="005C0E40">
      <w:pPr>
        <w:pStyle w:val="BodyA"/>
        <w:spacing w:after="0" w:line="360" w:lineRule="auto"/>
        <w:rPr>
          <w:rFonts w:ascii="Times New Roman" w:hAnsi="Times New Roman" w:cs="Times New Roman"/>
          <w:b/>
          <w:sz w:val="28"/>
          <w:szCs w:val="28"/>
          <w:lang w:val="en-ZA"/>
        </w:rPr>
      </w:pPr>
      <w:r w:rsidRPr="00917FC2">
        <w:rPr>
          <w:rFonts w:ascii="Times New Roman" w:hAnsi="Times New Roman" w:cs="Times New Roman"/>
          <w:b/>
          <w:sz w:val="28"/>
          <w:szCs w:val="28"/>
          <w:lang w:val="en-ZA"/>
        </w:rPr>
        <w:lastRenderedPageBreak/>
        <w:t>The appellant’s</w:t>
      </w:r>
      <w:r w:rsidR="00FB0AE1" w:rsidRPr="00917FC2">
        <w:rPr>
          <w:rFonts w:ascii="Times New Roman" w:hAnsi="Times New Roman" w:cs="Times New Roman"/>
          <w:b/>
          <w:sz w:val="28"/>
          <w:szCs w:val="28"/>
          <w:lang w:val="en-ZA"/>
        </w:rPr>
        <w:t xml:space="preserve"> submiss</w:t>
      </w:r>
      <w:r w:rsidR="003007A0" w:rsidRPr="00917FC2">
        <w:rPr>
          <w:rFonts w:ascii="Times New Roman" w:hAnsi="Times New Roman" w:cs="Times New Roman"/>
          <w:b/>
          <w:sz w:val="28"/>
          <w:szCs w:val="28"/>
          <w:lang w:val="en-ZA"/>
        </w:rPr>
        <w:t>ions</w:t>
      </w:r>
      <w:r w:rsidR="00A94C0A" w:rsidRPr="00917FC2">
        <w:rPr>
          <w:rFonts w:ascii="Times New Roman" w:hAnsi="Times New Roman" w:cs="Times New Roman"/>
          <w:b/>
          <w:sz w:val="28"/>
          <w:szCs w:val="28"/>
          <w:lang w:val="en-ZA"/>
        </w:rPr>
        <w:t xml:space="preserve"> </w:t>
      </w:r>
    </w:p>
    <w:p w14:paraId="750E4F9A" w14:textId="2F5BAE34" w:rsidR="00591A7B" w:rsidRPr="00917FC2" w:rsidRDefault="00C05AB1"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[1</w:t>
      </w:r>
      <w:r w:rsidR="0064537E" w:rsidRPr="00917FC2">
        <w:rPr>
          <w:rFonts w:ascii="Times New Roman" w:hAnsi="Times New Roman" w:cs="Times New Roman"/>
          <w:sz w:val="28"/>
          <w:szCs w:val="28"/>
          <w:lang w:val="en-ZA"/>
        </w:rPr>
        <w:t>9</w:t>
      </w:r>
      <w:r w:rsidR="00BF6F47"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A94C0A" w:rsidRPr="00917FC2">
        <w:rPr>
          <w:rFonts w:ascii="Times New Roman" w:hAnsi="Times New Roman" w:cs="Times New Roman"/>
          <w:sz w:val="28"/>
          <w:szCs w:val="28"/>
          <w:lang w:val="en-ZA"/>
        </w:rPr>
        <w:t>A substantial portion of the appellant’s heads of argument</w:t>
      </w:r>
      <w:r w:rsidR="00014B07" w:rsidRPr="00917FC2">
        <w:rPr>
          <w:rFonts w:ascii="Times New Roman" w:hAnsi="Times New Roman" w:cs="Times New Roman"/>
          <w:sz w:val="28"/>
          <w:szCs w:val="28"/>
          <w:lang w:val="en-ZA"/>
        </w:rPr>
        <w:t xml:space="preserve"> </w:t>
      </w:r>
      <w:r w:rsidR="00A94C0A" w:rsidRPr="00917FC2">
        <w:rPr>
          <w:rFonts w:ascii="Times New Roman" w:hAnsi="Times New Roman" w:cs="Times New Roman"/>
          <w:sz w:val="28"/>
          <w:szCs w:val="28"/>
          <w:lang w:val="en-ZA"/>
        </w:rPr>
        <w:t>foc</w:t>
      </w:r>
      <w:r w:rsidR="00F30604" w:rsidRPr="00917FC2">
        <w:rPr>
          <w:rFonts w:ascii="Times New Roman" w:hAnsi="Times New Roman" w:cs="Times New Roman"/>
          <w:sz w:val="28"/>
          <w:szCs w:val="28"/>
          <w:lang w:val="en-ZA"/>
        </w:rPr>
        <w:t>used on the criticism that the high c</w:t>
      </w:r>
      <w:r w:rsidR="00A94C0A" w:rsidRPr="00917FC2">
        <w:rPr>
          <w:rFonts w:ascii="Times New Roman" w:hAnsi="Times New Roman" w:cs="Times New Roman"/>
          <w:sz w:val="28"/>
          <w:szCs w:val="28"/>
          <w:lang w:val="en-ZA"/>
        </w:rPr>
        <w:t>ourt misconstrued the dispute between the parties</w:t>
      </w:r>
      <w:r w:rsidR="00DF3C95" w:rsidRPr="00917FC2">
        <w:rPr>
          <w:rFonts w:ascii="Times New Roman" w:hAnsi="Times New Roman" w:cs="Times New Roman"/>
          <w:sz w:val="28"/>
          <w:szCs w:val="28"/>
          <w:lang w:val="en-ZA"/>
        </w:rPr>
        <w:t xml:space="preserve">. He submitted that the high court </w:t>
      </w:r>
      <w:r w:rsidR="00545882" w:rsidRPr="00917FC2">
        <w:rPr>
          <w:rFonts w:ascii="Times New Roman" w:hAnsi="Times New Roman" w:cs="Times New Roman"/>
          <w:sz w:val="28"/>
          <w:szCs w:val="28"/>
          <w:lang w:val="en-ZA"/>
        </w:rPr>
        <w:t xml:space="preserve">therefore </w:t>
      </w:r>
      <w:r w:rsidR="0051240E" w:rsidRPr="00917FC2">
        <w:rPr>
          <w:rFonts w:ascii="Times New Roman" w:hAnsi="Times New Roman" w:cs="Times New Roman"/>
          <w:sz w:val="28"/>
          <w:szCs w:val="28"/>
          <w:lang w:val="en-ZA"/>
        </w:rPr>
        <w:t>decided the matter</w:t>
      </w:r>
      <w:r w:rsidR="00A94C0A" w:rsidRPr="00917FC2">
        <w:rPr>
          <w:rFonts w:ascii="Times New Roman" w:hAnsi="Times New Roman" w:cs="Times New Roman"/>
          <w:sz w:val="28"/>
          <w:szCs w:val="28"/>
          <w:lang w:val="en-ZA"/>
        </w:rPr>
        <w:t xml:space="preserve"> on a wrong basis</w:t>
      </w:r>
      <w:r w:rsidR="00591A7B" w:rsidRPr="00917FC2">
        <w:rPr>
          <w:rFonts w:ascii="Times New Roman" w:hAnsi="Times New Roman" w:cs="Times New Roman"/>
          <w:sz w:val="28"/>
          <w:szCs w:val="28"/>
          <w:lang w:val="en-ZA"/>
        </w:rPr>
        <w:t xml:space="preserve"> and failed to deal with the real dispute between the parties</w:t>
      </w:r>
      <w:r w:rsidR="00A94C0A" w:rsidRPr="00917FC2">
        <w:rPr>
          <w:rFonts w:ascii="Times New Roman" w:hAnsi="Times New Roman" w:cs="Times New Roman"/>
          <w:sz w:val="28"/>
          <w:szCs w:val="28"/>
          <w:lang w:val="en-ZA"/>
        </w:rPr>
        <w:t>. In this regard</w:t>
      </w:r>
      <w:r w:rsidR="00591A7B" w:rsidRPr="00917FC2">
        <w:rPr>
          <w:rFonts w:ascii="Times New Roman" w:hAnsi="Times New Roman" w:cs="Times New Roman"/>
          <w:sz w:val="28"/>
          <w:szCs w:val="28"/>
          <w:lang w:val="en-ZA"/>
        </w:rPr>
        <w:t>,</w:t>
      </w:r>
      <w:r w:rsidR="00A94C0A" w:rsidRPr="00917FC2">
        <w:rPr>
          <w:rFonts w:ascii="Times New Roman" w:hAnsi="Times New Roman" w:cs="Times New Roman"/>
          <w:sz w:val="28"/>
          <w:szCs w:val="28"/>
          <w:lang w:val="en-ZA"/>
        </w:rPr>
        <w:t xml:space="preserve"> the appellant </w:t>
      </w:r>
      <w:r w:rsidR="00552B27" w:rsidRPr="00917FC2">
        <w:rPr>
          <w:rFonts w:ascii="Times New Roman" w:hAnsi="Times New Roman" w:cs="Times New Roman"/>
          <w:sz w:val="28"/>
          <w:szCs w:val="28"/>
          <w:lang w:val="en-ZA"/>
        </w:rPr>
        <w:t xml:space="preserve">contended that the respondent </w:t>
      </w:r>
      <w:r w:rsidR="00B45AE2" w:rsidRPr="00917FC2">
        <w:rPr>
          <w:rFonts w:ascii="Times New Roman" w:hAnsi="Times New Roman" w:cs="Times New Roman"/>
          <w:sz w:val="28"/>
          <w:szCs w:val="28"/>
          <w:lang w:val="en-ZA"/>
        </w:rPr>
        <w:t xml:space="preserve">had </w:t>
      </w:r>
      <w:r w:rsidR="00A94C0A" w:rsidRPr="00917FC2">
        <w:rPr>
          <w:rFonts w:ascii="Times New Roman" w:hAnsi="Times New Roman" w:cs="Times New Roman"/>
          <w:sz w:val="28"/>
          <w:szCs w:val="28"/>
          <w:lang w:val="en-ZA"/>
        </w:rPr>
        <w:t>accepted that the m</w:t>
      </w:r>
      <w:r w:rsidR="003F4931" w:rsidRPr="00917FC2">
        <w:rPr>
          <w:rFonts w:ascii="Times New Roman" w:hAnsi="Times New Roman" w:cs="Times New Roman"/>
          <w:sz w:val="28"/>
          <w:szCs w:val="28"/>
          <w:lang w:val="en-ZA"/>
        </w:rPr>
        <w:t xml:space="preserve">onies paid </w:t>
      </w:r>
      <w:r w:rsidR="003A4773" w:rsidRPr="00917FC2">
        <w:rPr>
          <w:rFonts w:ascii="Times New Roman" w:hAnsi="Times New Roman" w:cs="Times New Roman"/>
          <w:sz w:val="28"/>
          <w:szCs w:val="28"/>
          <w:lang w:val="en-ZA"/>
        </w:rPr>
        <w:t xml:space="preserve">by clients </w:t>
      </w:r>
      <w:r w:rsidR="003F4931" w:rsidRPr="00917FC2">
        <w:rPr>
          <w:rFonts w:ascii="Times New Roman" w:hAnsi="Times New Roman" w:cs="Times New Roman"/>
          <w:sz w:val="28"/>
          <w:szCs w:val="28"/>
          <w:lang w:val="en-ZA"/>
        </w:rPr>
        <w:t xml:space="preserve">to Costa </w:t>
      </w:r>
      <w:r w:rsidR="00BF6F47" w:rsidRPr="00917FC2">
        <w:rPr>
          <w:rFonts w:ascii="Times New Roman" w:hAnsi="Times New Roman" w:cs="Times New Roman"/>
          <w:sz w:val="28"/>
          <w:szCs w:val="28"/>
          <w:lang w:val="en-ZA"/>
        </w:rPr>
        <w:t xml:space="preserve">Attorneys </w:t>
      </w:r>
      <w:r w:rsidR="003F4931" w:rsidRPr="00917FC2">
        <w:rPr>
          <w:rFonts w:ascii="Times New Roman" w:hAnsi="Times New Roman" w:cs="Times New Roman"/>
          <w:sz w:val="28"/>
          <w:szCs w:val="28"/>
          <w:lang w:val="en-ZA"/>
        </w:rPr>
        <w:t>as cover</w:t>
      </w:r>
      <w:r w:rsidR="00552B27" w:rsidRPr="00917FC2">
        <w:rPr>
          <w:rFonts w:ascii="Times New Roman" w:hAnsi="Times New Roman" w:cs="Times New Roman"/>
          <w:sz w:val="28"/>
          <w:szCs w:val="28"/>
          <w:lang w:val="en-ZA"/>
        </w:rPr>
        <w:t xml:space="preserve"> for hi</w:t>
      </w:r>
      <w:r w:rsidR="00A94C0A" w:rsidRPr="00917FC2">
        <w:rPr>
          <w:rFonts w:ascii="Times New Roman" w:hAnsi="Times New Roman" w:cs="Times New Roman"/>
          <w:sz w:val="28"/>
          <w:szCs w:val="28"/>
          <w:lang w:val="en-ZA"/>
        </w:rPr>
        <w:t>s fees constituted entrust</w:t>
      </w:r>
      <w:r w:rsidR="00BF6F47" w:rsidRPr="00917FC2">
        <w:rPr>
          <w:rFonts w:ascii="Times New Roman" w:hAnsi="Times New Roman" w:cs="Times New Roman"/>
          <w:sz w:val="28"/>
          <w:szCs w:val="28"/>
          <w:lang w:val="en-ZA"/>
        </w:rPr>
        <w:t>ments as envisaged by s</w:t>
      </w:r>
      <w:r w:rsidR="00591A7B" w:rsidRPr="00917FC2">
        <w:rPr>
          <w:rFonts w:ascii="Times New Roman" w:hAnsi="Times New Roman" w:cs="Times New Roman"/>
          <w:sz w:val="28"/>
          <w:szCs w:val="28"/>
          <w:lang w:val="en-ZA"/>
        </w:rPr>
        <w:t xml:space="preserve"> </w:t>
      </w:r>
      <w:r w:rsidR="003F4931" w:rsidRPr="00917FC2">
        <w:rPr>
          <w:rFonts w:ascii="Times New Roman" w:hAnsi="Times New Roman" w:cs="Times New Roman"/>
          <w:sz w:val="28"/>
          <w:szCs w:val="28"/>
          <w:lang w:val="en-ZA"/>
        </w:rPr>
        <w:t>26. The only issue</w:t>
      </w:r>
      <w:r w:rsidR="00B45AE2" w:rsidRPr="00917FC2">
        <w:rPr>
          <w:rFonts w:ascii="Times New Roman" w:hAnsi="Times New Roman" w:cs="Times New Roman"/>
          <w:sz w:val="28"/>
          <w:szCs w:val="28"/>
          <w:lang w:val="en-ZA"/>
        </w:rPr>
        <w:t>, according to him,</w:t>
      </w:r>
      <w:r w:rsidR="003F4931" w:rsidRPr="00917FC2">
        <w:rPr>
          <w:rFonts w:ascii="Times New Roman" w:hAnsi="Times New Roman" w:cs="Times New Roman"/>
          <w:sz w:val="28"/>
          <w:szCs w:val="28"/>
          <w:lang w:val="en-ZA"/>
        </w:rPr>
        <w:t xml:space="preserve"> that was still </w:t>
      </w:r>
      <w:r w:rsidR="00A94C0A" w:rsidRPr="00917FC2">
        <w:rPr>
          <w:rFonts w:ascii="Times New Roman" w:hAnsi="Times New Roman" w:cs="Times New Roman"/>
          <w:sz w:val="28"/>
          <w:szCs w:val="28"/>
          <w:lang w:val="en-ZA"/>
        </w:rPr>
        <w:t xml:space="preserve">alive before the </w:t>
      </w:r>
      <w:r w:rsidR="008B2C61" w:rsidRPr="00917FC2">
        <w:rPr>
          <w:rFonts w:ascii="Times New Roman" w:hAnsi="Times New Roman" w:cs="Times New Roman"/>
          <w:sz w:val="28"/>
          <w:szCs w:val="28"/>
          <w:lang w:val="en-ZA"/>
        </w:rPr>
        <w:t xml:space="preserve">high </w:t>
      </w:r>
      <w:r w:rsidR="00A94C0A" w:rsidRPr="00917FC2">
        <w:rPr>
          <w:rFonts w:ascii="Times New Roman" w:hAnsi="Times New Roman" w:cs="Times New Roman"/>
          <w:sz w:val="28"/>
          <w:szCs w:val="28"/>
          <w:lang w:val="en-ZA"/>
        </w:rPr>
        <w:t>court was the respondent</w:t>
      </w:r>
      <w:r w:rsidR="00B3505B" w:rsidRPr="00917FC2">
        <w:rPr>
          <w:rFonts w:ascii="Times New Roman" w:hAnsi="Times New Roman" w:cs="Times New Roman"/>
          <w:sz w:val="28"/>
          <w:szCs w:val="28"/>
          <w:lang w:val="en-ZA"/>
        </w:rPr>
        <w:t>’s</w:t>
      </w:r>
      <w:r w:rsidR="00A94C0A" w:rsidRPr="00917FC2">
        <w:rPr>
          <w:rFonts w:ascii="Times New Roman" w:hAnsi="Times New Roman" w:cs="Times New Roman"/>
          <w:sz w:val="28"/>
          <w:szCs w:val="28"/>
          <w:lang w:val="en-ZA"/>
        </w:rPr>
        <w:t xml:space="preserve"> contention that t</w:t>
      </w:r>
      <w:r w:rsidR="003F4931" w:rsidRPr="00917FC2">
        <w:rPr>
          <w:rFonts w:ascii="Times New Roman" w:hAnsi="Times New Roman" w:cs="Times New Roman"/>
          <w:sz w:val="28"/>
          <w:szCs w:val="28"/>
          <w:lang w:val="en-ZA"/>
        </w:rPr>
        <w:t>he appellant had failed to prove</w:t>
      </w:r>
      <w:r w:rsidR="00A94C0A" w:rsidRPr="00917FC2">
        <w:rPr>
          <w:rFonts w:ascii="Times New Roman" w:hAnsi="Times New Roman" w:cs="Times New Roman"/>
          <w:sz w:val="28"/>
          <w:szCs w:val="28"/>
          <w:lang w:val="en-ZA"/>
        </w:rPr>
        <w:t xml:space="preserve"> that </w:t>
      </w:r>
      <w:r w:rsidR="00B3505B" w:rsidRPr="00917FC2">
        <w:rPr>
          <w:rFonts w:ascii="Times New Roman" w:hAnsi="Times New Roman" w:cs="Times New Roman"/>
          <w:sz w:val="28"/>
          <w:szCs w:val="28"/>
          <w:lang w:val="en-ZA"/>
        </w:rPr>
        <w:t xml:space="preserve">clients </w:t>
      </w:r>
      <w:r w:rsidR="00A94C0A" w:rsidRPr="00917FC2">
        <w:rPr>
          <w:rFonts w:ascii="Times New Roman" w:hAnsi="Times New Roman" w:cs="Times New Roman"/>
          <w:sz w:val="28"/>
          <w:szCs w:val="28"/>
          <w:lang w:val="en-ZA"/>
        </w:rPr>
        <w:t>had in</w:t>
      </w:r>
      <w:r w:rsidR="003F4931" w:rsidRPr="00917FC2">
        <w:rPr>
          <w:rFonts w:ascii="Times New Roman" w:hAnsi="Times New Roman" w:cs="Times New Roman"/>
          <w:sz w:val="28"/>
          <w:szCs w:val="28"/>
          <w:lang w:val="en-ZA"/>
        </w:rPr>
        <w:t xml:space="preserve"> fa</w:t>
      </w:r>
      <w:r w:rsidR="00B3505B" w:rsidRPr="00917FC2">
        <w:rPr>
          <w:rFonts w:ascii="Times New Roman" w:hAnsi="Times New Roman" w:cs="Times New Roman"/>
          <w:sz w:val="28"/>
          <w:szCs w:val="28"/>
          <w:lang w:val="en-ZA"/>
        </w:rPr>
        <w:t xml:space="preserve">ct </w:t>
      </w:r>
      <w:r w:rsidR="00A94C0A" w:rsidRPr="00917FC2">
        <w:rPr>
          <w:rFonts w:ascii="Times New Roman" w:hAnsi="Times New Roman" w:cs="Times New Roman"/>
          <w:sz w:val="28"/>
          <w:szCs w:val="28"/>
          <w:lang w:val="en-ZA"/>
        </w:rPr>
        <w:t xml:space="preserve">paid </w:t>
      </w:r>
      <w:r w:rsidR="00B3505B" w:rsidRPr="00917FC2">
        <w:rPr>
          <w:rFonts w:ascii="Times New Roman" w:hAnsi="Times New Roman" w:cs="Times New Roman"/>
          <w:sz w:val="28"/>
          <w:szCs w:val="28"/>
          <w:lang w:val="en-ZA"/>
        </w:rPr>
        <w:t xml:space="preserve">the monies </w:t>
      </w:r>
      <w:r w:rsidR="00A94C0A" w:rsidRPr="00917FC2">
        <w:rPr>
          <w:rFonts w:ascii="Times New Roman" w:hAnsi="Times New Roman" w:cs="Times New Roman"/>
          <w:sz w:val="28"/>
          <w:szCs w:val="28"/>
          <w:lang w:val="en-ZA"/>
        </w:rPr>
        <w:t xml:space="preserve">to Costa </w:t>
      </w:r>
      <w:r w:rsidR="0048438E" w:rsidRPr="00917FC2">
        <w:rPr>
          <w:rFonts w:ascii="Times New Roman" w:hAnsi="Times New Roman" w:cs="Times New Roman"/>
          <w:sz w:val="28"/>
          <w:szCs w:val="28"/>
          <w:lang w:val="en-ZA"/>
        </w:rPr>
        <w:t xml:space="preserve">Attorneys </w:t>
      </w:r>
      <w:r w:rsidR="00A94C0A" w:rsidRPr="00917FC2">
        <w:rPr>
          <w:rFonts w:ascii="Times New Roman" w:hAnsi="Times New Roman" w:cs="Times New Roman"/>
          <w:sz w:val="28"/>
          <w:szCs w:val="28"/>
          <w:lang w:val="en-ZA"/>
        </w:rPr>
        <w:t xml:space="preserve">as cover for services rendered by him. </w:t>
      </w:r>
    </w:p>
    <w:p w14:paraId="3A927BB0" w14:textId="77777777" w:rsidR="00BF6F47" w:rsidRPr="00917FC2" w:rsidRDefault="00BF6F47" w:rsidP="005C0E40">
      <w:pPr>
        <w:pStyle w:val="BodyA"/>
        <w:spacing w:after="0" w:line="360" w:lineRule="auto"/>
        <w:rPr>
          <w:rFonts w:ascii="Times New Roman" w:hAnsi="Times New Roman" w:cs="Times New Roman"/>
          <w:sz w:val="28"/>
          <w:szCs w:val="28"/>
          <w:lang w:val="en-ZA"/>
        </w:rPr>
      </w:pPr>
    </w:p>
    <w:p w14:paraId="209FF07F" w14:textId="6B36D2C9" w:rsidR="00822018" w:rsidRPr="00917FC2" w:rsidRDefault="00C05AB1"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64537E" w:rsidRPr="00917FC2">
        <w:rPr>
          <w:rFonts w:ascii="Times New Roman" w:hAnsi="Times New Roman" w:cs="Times New Roman"/>
          <w:sz w:val="28"/>
          <w:szCs w:val="28"/>
          <w:lang w:val="en-ZA"/>
        </w:rPr>
        <w:t>20</w:t>
      </w:r>
      <w:r w:rsidR="00BF6F47"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3A4773" w:rsidRPr="00917FC2">
        <w:rPr>
          <w:rFonts w:ascii="Times New Roman" w:hAnsi="Times New Roman" w:cs="Times New Roman"/>
          <w:sz w:val="28"/>
          <w:szCs w:val="28"/>
          <w:lang w:val="en-ZA"/>
        </w:rPr>
        <w:t xml:space="preserve">In any event, </w:t>
      </w:r>
      <w:r w:rsidR="00B45AE2" w:rsidRPr="00917FC2">
        <w:rPr>
          <w:rFonts w:ascii="Times New Roman" w:hAnsi="Times New Roman" w:cs="Times New Roman"/>
          <w:sz w:val="28"/>
          <w:szCs w:val="28"/>
          <w:lang w:val="en-ZA"/>
        </w:rPr>
        <w:t xml:space="preserve">so </w:t>
      </w:r>
      <w:r w:rsidR="003A4773" w:rsidRPr="00917FC2">
        <w:rPr>
          <w:rFonts w:ascii="Times New Roman" w:hAnsi="Times New Roman" w:cs="Times New Roman"/>
          <w:sz w:val="28"/>
          <w:szCs w:val="28"/>
          <w:lang w:val="en-ZA"/>
        </w:rPr>
        <w:t xml:space="preserve">contended the appellant, </w:t>
      </w:r>
      <w:r w:rsidR="00822018" w:rsidRPr="00917FC2">
        <w:rPr>
          <w:rFonts w:ascii="Times New Roman" w:hAnsi="Times New Roman" w:cs="Times New Roman"/>
          <w:sz w:val="28"/>
          <w:szCs w:val="28"/>
          <w:lang w:val="en-ZA"/>
        </w:rPr>
        <w:t xml:space="preserve">in pronouncing on the issue of entrustment, the high court ignored the fact that there was a </w:t>
      </w:r>
      <w:r w:rsidR="00491767" w:rsidRPr="00917FC2">
        <w:rPr>
          <w:rFonts w:ascii="Times New Roman" w:hAnsi="Times New Roman" w:cs="Times New Roman"/>
          <w:sz w:val="28"/>
          <w:szCs w:val="28"/>
          <w:lang w:val="en-ZA"/>
        </w:rPr>
        <w:t xml:space="preserve">tripartite </w:t>
      </w:r>
      <w:r w:rsidR="00822018" w:rsidRPr="00917FC2">
        <w:rPr>
          <w:rFonts w:ascii="Times New Roman" w:hAnsi="Times New Roman" w:cs="Times New Roman"/>
          <w:sz w:val="28"/>
          <w:szCs w:val="28"/>
          <w:lang w:val="en-ZA"/>
        </w:rPr>
        <w:t>contractual relationship between counsel, client and the attorney</w:t>
      </w:r>
      <w:r w:rsidR="005D751F" w:rsidRPr="00917FC2">
        <w:rPr>
          <w:rFonts w:ascii="Times New Roman" w:hAnsi="Times New Roman" w:cs="Times New Roman"/>
          <w:sz w:val="28"/>
          <w:szCs w:val="28"/>
          <w:lang w:val="en-ZA"/>
        </w:rPr>
        <w:t>,</w:t>
      </w:r>
      <w:r w:rsidR="00822018" w:rsidRPr="00917FC2">
        <w:rPr>
          <w:rFonts w:ascii="Times New Roman" w:hAnsi="Times New Roman" w:cs="Times New Roman"/>
          <w:sz w:val="28"/>
          <w:szCs w:val="28"/>
          <w:lang w:val="en-ZA"/>
        </w:rPr>
        <w:t xml:space="preserve"> and</w:t>
      </w:r>
      <w:r w:rsidR="00A547C9" w:rsidRPr="00917FC2">
        <w:rPr>
          <w:rFonts w:ascii="Times New Roman" w:hAnsi="Times New Roman" w:cs="Times New Roman"/>
          <w:sz w:val="28"/>
          <w:szCs w:val="28"/>
          <w:lang w:val="en-ZA"/>
        </w:rPr>
        <w:t xml:space="preserve"> </w:t>
      </w:r>
      <w:r w:rsidR="00822018" w:rsidRPr="00917FC2">
        <w:rPr>
          <w:rFonts w:ascii="Times New Roman" w:hAnsi="Times New Roman" w:cs="Times New Roman"/>
          <w:sz w:val="28"/>
          <w:szCs w:val="28"/>
          <w:lang w:val="en-ZA"/>
        </w:rPr>
        <w:t>erroneously found that there existed a debtor and creditor relationship between him and the instructing attorney.</w:t>
      </w:r>
      <w:r w:rsidR="00115143" w:rsidRPr="00917FC2">
        <w:rPr>
          <w:rFonts w:ascii="Times New Roman" w:hAnsi="Times New Roman" w:cs="Times New Roman"/>
          <w:sz w:val="28"/>
          <w:szCs w:val="28"/>
          <w:lang w:val="en-ZA"/>
        </w:rPr>
        <w:t xml:space="preserve"> I</w:t>
      </w:r>
      <w:r w:rsidR="004C36BA" w:rsidRPr="00917FC2">
        <w:rPr>
          <w:rFonts w:ascii="Times New Roman" w:hAnsi="Times New Roman" w:cs="Times New Roman"/>
          <w:sz w:val="28"/>
          <w:szCs w:val="28"/>
          <w:lang w:val="en-ZA"/>
        </w:rPr>
        <w:t>n</w:t>
      </w:r>
      <w:r w:rsidR="00115143" w:rsidRPr="00917FC2">
        <w:rPr>
          <w:rFonts w:ascii="Times New Roman" w:hAnsi="Times New Roman" w:cs="Times New Roman"/>
          <w:sz w:val="28"/>
          <w:szCs w:val="28"/>
          <w:lang w:val="en-ZA"/>
        </w:rPr>
        <w:t xml:space="preserve"> doing so</w:t>
      </w:r>
      <w:r w:rsidR="00591A7B" w:rsidRPr="00917FC2">
        <w:rPr>
          <w:rFonts w:ascii="Times New Roman" w:hAnsi="Times New Roman" w:cs="Times New Roman"/>
          <w:sz w:val="28"/>
          <w:szCs w:val="28"/>
          <w:lang w:val="en-ZA"/>
        </w:rPr>
        <w:t>,</w:t>
      </w:r>
      <w:r w:rsidR="00115143" w:rsidRPr="00917FC2">
        <w:rPr>
          <w:rFonts w:ascii="Times New Roman" w:hAnsi="Times New Roman" w:cs="Times New Roman"/>
          <w:sz w:val="28"/>
          <w:szCs w:val="28"/>
          <w:lang w:val="en-ZA"/>
        </w:rPr>
        <w:t xml:space="preserve"> the </w:t>
      </w:r>
      <w:r w:rsidR="00E14E4D" w:rsidRPr="00917FC2">
        <w:rPr>
          <w:rFonts w:ascii="Times New Roman" w:hAnsi="Times New Roman" w:cs="Times New Roman"/>
          <w:sz w:val="28"/>
          <w:szCs w:val="28"/>
          <w:lang w:val="en-ZA"/>
        </w:rPr>
        <w:t xml:space="preserve">high </w:t>
      </w:r>
      <w:r w:rsidR="00115143" w:rsidRPr="00917FC2">
        <w:rPr>
          <w:rFonts w:ascii="Times New Roman" w:hAnsi="Times New Roman" w:cs="Times New Roman"/>
          <w:sz w:val="28"/>
          <w:szCs w:val="28"/>
          <w:lang w:val="en-ZA"/>
        </w:rPr>
        <w:t>court impermissibly ove</w:t>
      </w:r>
      <w:r w:rsidR="00E57DD1" w:rsidRPr="00917FC2">
        <w:rPr>
          <w:rFonts w:ascii="Times New Roman" w:hAnsi="Times New Roman" w:cs="Times New Roman"/>
          <w:sz w:val="28"/>
          <w:szCs w:val="28"/>
          <w:lang w:val="en-ZA"/>
        </w:rPr>
        <w:t>rturned binding precedent that</w:t>
      </w:r>
      <w:r w:rsidR="00115143" w:rsidRPr="00917FC2">
        <w:rPr>
          <w:rFonts w:ascii="Times New Roman" w:hAnsi="Times New Roman" w:cs="Times New Roman"/>
          <w:sz w:val="28"/>
          <w:szCs w:val="28"/>
          <w:lang w:val="en-ZA"/>
        </w:rPr>
        <w:t xml:space="preserve"> established that a client is contractually liable for counsel’s fees</w:t>
      </w:r>
      <w:r w:rsidR="00DF04BC" w:rsidRPr="00917FC2">
        <w:rPr>
          <w:rFonts w:ascii="Times New Roman" w:hAnsi="Times New Roman" w:cs="Times New Roman"/>
          <w:sz w:val="28"/>
          <w:szCs w:val="28"/>
          <w:lang w:val="en-ZA"/>
        </w:rPr>
        <w:t>,</w:t>
      </w:r>
      <w:r w:rsidR="00115143" w:rsidRPr="00917FC2">
        <w:rPr>
          <w:rFonts w:ascii="Times New Roman" w:hAnsi="Times New Roman" w:cs="Times New Roman"/>
          <w:sz w:val="28"/>
          <w:szCs w:val="28"/>
          <w:lang w:val="en-ZA"/>
        </w:rPr>
        <w:t xml:space="preserve"> and </w:t>
      </w:r>
      <w:r w:rsidR="00136731" w:rsidRPr="00917FC2">
        <w:rPr>
          <w:rFonts w:ascii="Times New Roman" w:hAnsi="Times New Roman" w:cs="Times New Roman"/>
          <w:sz w:val="28"/>
          <w:szCs w:val="28"/>
          <w:lang w:val="en-ZA"/>
        </w:rPr>
        <w:t xml:space="preserve">that </w:t>
      </w:r>
      <w:r w:rsidR="00115143" w:rsidRPr="00917FC2">
        <w:rPr>
          <w:rFonts w:ascii="Times New Roman" w:hAnsi="Times New Roman" w:cs="Times New Roman"/>
          <w:sz w:val="28"/>
          <w:szCs w:val="28"/>
          <w:lang w:val="en-ZA"/>
        </w:rPr>
        <w:t xml:space="preserve">there is no </w:t>
      </w:r>
      <w:r w:rsidR="00964C34" w:rsidRPr="00917FC2">
        <w:rPr>
          <w:rFonts w:ascii="Times New Roman" w:hAnsi="Times New Roman" w:cs="Times New Roman"/>
          <w:sz w:val="28"/>
          <w:szCs w:val="28"/>
          <w:lang w:val="en-ZA"/>
        </w:rPr>
        <w:t>‘</w:t>
      </w:r>
      <w:r w:rsidR="00115143" w:rsidRPr="00917FC2">
        <w:rPr>
          <w:rFonts w:ascii="Times New Roman" w:hAnsi="Times New Roman" w:cs="Times New Roman"/>
          <w:sz w:val="28"/>
          <w:szCs w:val="28"/>
          <w:lang w:val="en-ZA"/>
        </w:rPr>
        <w:t>hardened rule</w:t>
      </w:r>
      <w:r w:rsidR="00964C34" w:rsidRPr="00917FC2">
        <w:rPr>
          <w:rFonts w:ascii="Times New Roman" w:hAnsi="Times New Roman" w:cs="Times New Roman"/>
          <w:sz w:val="28"/>
          <w:szCs w:val="28"/>
          <w:lang w:val="en-ZA"/>
        </w:rPr>
        <w:t>’</w:t>
      </w:r>
      <w:r w:rsidR="00115143" w:rsidRPr="00917FC2">
        <w:rPr>
          <w:rFonts w:ascii="Times New Roman" w:hAnsi="Times New Roman" w:cs="Times New Roman"/>
          <w:sz w:val="28"/>
          <w:szCs w:val="28"/>
          <w:lang w:val="en-ZA"/>
        </w:rPr>
        <w:t xml:space="preserve"> t</w:t>
      </w:r>
      <w:r w:rsidR="001A2DFF" w:rsidRPr="00917FC2">
        <w:rPr>
          <w:rFonts w:ascii="Times New Roman" w:hAnsi="Times New Roman" w:cs="Times New Roman"/>
          <w:sz w:val="28"/>
          <w:szCs w:val="28"/>
          <w:lang w:val="en-ZA"/>
        </w:rPr>
        <w:t xml:space="preserve">hat an attorney </w:t>
      </w:r>
      <w:r w:rsidR="00B45AE2" w:rsidRPr="00917FC2">
        <w:rPr>
          <w:rFonts w:ascii="Times New Roman" w:hAnsi="Times New Roman" w:cs="Times New Roman"/>
          <w:sz w:val="28"/>
          <w:szCs w:val="28"/>
          <w:lang w:val="en-ZA"/>
        </w:rPr>
        <w:t>‘</w:t>
      </w:r>
      <w:r w:rsidR="001A2DFF" w:rsidRPr="00917FC2">
        <w:rPr>
          <w:rFonts w:ascii="Times New Roman" w:hAnsi="Times New Roman" w:cs="Times New Roman"/>
          <w:sz w:val="28"/>
          <w:szCs w:val="28"/>
          <w:lang w:val="en-ZA"/>
        </w:rPr>
        <w:t>stands in</w:t>
      </w:r>
      <w:r w:rsidR="00B45AE2" w:rsidRPr="00917FC2">
        <w:rPr>
          <w:rFonts w:ascii="Times New Roman" w:hAnsi="Times New Roman" w:cs="Times New Roman"/>
          <w:sz w:val="28"/>
          <w:szCs w:val="28"/>
          <w:lang w:val="en-ZA"/>
        </w:rPr>
        <w:t>’</w:t>
      </w:r>
      <w:r w:rsidR="001A2DFF" w:rsidRPr="00917FC2">
        <w:rPr>
          <w:rFonts w:ascii="Times New Roman" w:hAnsi="Times New Roman" w:cs="Times New Roman"/>
          <w:sz w:val="28"/>
          <w:szCs w:val="28"/>
          <w:lang w:val="en-ZA"/>
        </w:rPr>
        <w:t xml:space="preserve"> for counsel’s fees. T</w:t>
      </w:r>
      <w:r w:rsidR="00115143" w:rsidRPr="00917FC2">
        <w:rPr>
          <w:rFonts w:ascii="Times New Roman" w:hAnsi="Times New Roman" w:cs="Times New Roman"/>
          <w:sz w:val="28"/>
          <w:szCs w:val="28"/>
          <w:lang w:val="en-ZA"/>
        </w:rPr>
        <w:t>hose cases confirmed that funds held by an attorney in respect of counsel’s fees are in no</w:t>
      </w:r>
      <w:r w:rsidR="00B45AE2" w:rsidRPr="00917FC2">
        <w:rPr>
          <w:rFonts w:ascii="Times New Roman" w:hAnsi="Times New Roman" w:cs="Times New Roman"/>
          <w:sz w:val="28"/>
          <w:szCs w:val="28"/>
          <w:lang w:val="en-ZA"/>
        </w:rPr>
        <w:t>t</w:t>
      </w:r>
      <w:r w:rsidR="00115143" w:rsidRPr="00917FC2">
        <w:rPr>
          <w:rFonts w:ascii="Times New Roman" w:hAnsi="Times New Roman" w:cs="Times New Roman"/>
          <w:sz w:val="28"/>
          <w:szCs w:val="28"/>
          <w:lang w:val="en-ZA"/>
        </w:rPr>
        <w:t xml:space="preserve"> held by the attorney as his</w:t>
      </w:r>
      <w:r w:rsidR="00B45AE2" w:rsidRPr="00917FC2">
        <w:rPr>
          <w:rFonts w:ascii="Times New Roman" w:hAnsi="Times New Roman" w:cs="Times New Roman"/>
          <w:sz w:val="28"/>
          <w:szCs w:val="28"/>
          <w:lang w:val="en-ZA"/>
        </w:rPr>
        <w:t xml:space="preserve"> or her</w:t>
      </w:r>
      <w:r w:rsidR="00115143" w:rsidRPr="00917FC2">
        <w:rPr>
          <w:rFonts w:ascii="Times New Roman" w:hAnsi="Times New Roman" w:cs="Times New Roman"/>
          <w:sz w:val="28"/>
          <w:szCs w:val="28"/>
          <w:lang w:val="en-ZA"/>
        </w:rPr>
        <w:t xml:space="preserve"> own funds or in respect of services to be rendered by him</w:t>
      </w:r>
      <w:r w:rsidR="00B45AE2" w:rsidRPr="00917FC2">
        <w:rPr>
          <w:rFonts w:ascii="Times New Roman" w:hAnsi="Times New Roman" w:cs="Times New Roman"/>
          <w:sz w:val="28"/>
          <w:szCs w:val="28"/>
          <w:lang w:val="en-ZA"/>
        </w:rPr>
        <w:t xml:space="preserve"> or her</w:t>
      </w:r>
      <w:r w:rsidR="00852CBA" w:rsidRPr="00917FC2">
        <w:rPr>
          <w:rFonts w:ascii="Times New Roman" w:hAnsi="Times New Roman" w:cs="Times New Roman"/>
          <w:sz w:val="28"/>
          <w:szCs w:val="28"/>
          <w:lang w:val="en-ZA"/>
        </w:rPr>
        <w:t>,</w:t>
      </w:r>
      <w:r w:rsidR="006D44FE" w:rsidRPr="00917FC2">
        <w:rPr>
          <w:rFonts w:ascii="Times New Roman" w:hAnsi="Times New Roman" w:cs="Times New Roman"/>
          <w:sz w:val="28"/>
          <w:szCs w:val="28"/>
          <w:lang w:val="en-ZA"/>
        </w:rPr>
        <w:t xml:space="preserve"> and they</w:t>
      </w:r>
      <w:r w:rsidR="00115143" w:rsidRPr="00917FC2">
        <w:rPr>
          <w:rFonts w:ascii="Times New Roman" w:hAnsi="Times New Roman" w:cs="Times New Roman"/>
          <w:sz w:val="28"/>
          <w:szCs w:val="28"/>
          <w:lang w:val="en-ZA"/>
        </w:rPr>
        <w:t xml:space="preserve"> are held on behalf of counsel.</w:t>
      </w:r>
      <w:r w:rsidR="00E82F39" w:rsidRPr="00917FC2">
        <w:rPr>
          <w:rStyle w:val="FootnoteReference"/>
          <w:rFonts w:ascii="Times New Roman" w:hAnsi="Times New Roman" w:cs="Times New Roman"/>
          <w:sz w:val="28"/>
          <w:szCs w:val="28"/>
          <w:lang w:val="en-ZA"/>
        </w:rPr>
        <w:footnoteReference w:id="2"/>
      </w:r>
    </w:p>
    <w:p w14:paraId="32D9FEA5" w14:textId="77777777" w:rsidR="00801AC6" w:rsidRPr="00917FC2" w:rsidRDefault="00801AC6" w:rsidP="005C0E40">
      <w:pPr>
        <w:pStyle w:val="BodyA"/>
        <w:spacing w:after="0" w:line="360" w:lineRule="auto"/>
        <w:rPr>
          <w:rFonts w:ascii="Times New Roman" w:hAnsi="Times New Roman" w:cs="Times New Roman"/>
          <w:sz w:val="28"/>
          <w:szCs w:val="28"/>
          <w:lang w:val="en-ZA"/>
        </w:rPr>
      </w:pPr>
    </w:p>
    <w:p w14:paraId="700AD6DB" w14:textId="4C11CD7F" w:rsidR="00801AC6" w:rsidRPr="00917FC2" w:rsidRDefault="00C05AB1"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[2</w:t>
      </w:r>
      <w:r w:rsidR="0064537E" w:rsidRPr="00917FC2">
        <w:rPr>
          <w:rFonts w:ascii="Times New Roman" w:hAnsi="Times New Roman" w:cs="Times New Roman"/>
          <w:sz w:val="28"/>
          <w:szCs w:val="28"/>
          <w:lang w:val="en-ZA"/>
        </w:rPr>
        <w:t>1</w:t>
      </w:r>
      <w:r w:rsidR="00801AC6" w:rsidRPr="00917FC2">
        <w:rPr>
          <w:rFonts w:ascii="Times New Roman" w:hAnsi="Times New Roman" w:cs="Times New Roman"/>
          <w:sz w:val="28"/>
          <w:szCs w:val="28"/>
          <w:lang w:val="en-ZA"/>
        </w:rPr>
        <w:t>]</w:t>
      </w:r>
      <w:r w:rsidR="00926AB2" w:rsidRPr="00917FC2">
        <w:rPr>
          <w:rFonts w:ascii="Times New Roman" w:hAnsi="Times New Roman" w:cs="Times New Roman"/>
          <w:sz w:val="28"/>
          <w:szCs w:val="28"/>
          <w:lang w:val="en-ZA"/>
        </w:rPr>
        <w:tab/>
      </w:r>
      <w:r w:rsidR="000A039F" w:rsidRPr="00917FC2">
        <w:rPr>
          <w:rFonts w:ascii="Times New Roman" w:hAnsi="Times New Roman" w:cs="Times New Roman"/>
          <w:sz w:val="28"/>
          <w:szCs w:val="28"/>
          <w:lang w:val="en-ZA"/>
        </w:rPr>
        <w:t>In addition, t</w:t>
      </w:r>
      <w:r w:rsidR="00801AC6" w:rsidRPr="00917FC2">
        <w:rPr>
          <w:rFonts w:ascii="Times New Roman" w:hAnsi="Times New Roman" w:cs="Times New Roman"/>
          <w:sz w:val="28"/>
          <w:szCs w:val="28"/>
          <w:lang w:val="en-ZA"/>
        </w:rPr>
        <w:t xml:space="preserve">he appellant submitted that the high court was wrong in refusing to follow the dictum in </w:t>
      </w:r>
      <w:r w:rsidR="00801AC6" w:rsidRPr="00917FC2">
        <w:rPr>
          <w:rFonts w:ascii="Times New Roman" w:hAnsi="Times New Roman" w:cs="Times New Roman"/>
          <w:i/>
          <w:sz w:val="28"/>
          <w:szCs w:val="28"/>
          <w:lang w:val="en-ZA"/>
        </w:rPr>
        <w:t>Serrurier and Another v Korzia and Another</w:t>
      </w:r>
      <w:r w:rsidR="00591A7B" w:rsidRPr="00917FC2">
        <w:rPr>
          <w:rFonts w:ascii="Times New Roman" w:hAnsi="Times New Roman" w:cs="Times New Roman"/>
          <w:i/>
          <w:sz w:val="28"/>
          <w:szCs w:val="28"/>
          <w:lang w:val="en-ZA"/>
        </w:rPr>
        <w:t>,</w:t>
      </w:r>
      <w:r w:rsidR="00801AC6" w:rsidRPr="00917FC2">
        <w:rPr>
          <w:rStyle w:val="FootnoteReference"/>
          <w:rFonts w:ascii="Times New Roman" w:hAnsi="Times New Roman" w:cs="Times New Roman"/>
          <w:sz w:val="28"/>
          <w:szCs w:val="28"/>
          <w:lang w:val="en-ZA"/>
        </w:rPr>
        <w:footnoteReference w:id="3"/>
      </w:r>
      <w:r w:rsidR="00801AC6" w:rsidRPr="00917FC2">
        <w:rPr>
          <w:rFonts w:ascii="Times New Roman" w:hAnsi="Times New Roman" w:cs="Times New Roman"/>
          <w:sz w:val="28"/>
          <w:szCs w:val="28"/>
          <w:lang w:val="en-ZA"/>
        </w:rPr>
        <w:t xml:space="preserve"> </w:t>
      </w:r>
      <w:r w:rsidR="00E22CF8" w:rsidRPr="00917FC2">
        <w:rPr>
          <w:rFonts w:ascii="Times New Roman" w:hAnsi="Times New Roman" w:cs="Times New Roman"/>
          <w:sz w:val="28"/>
          <w:szCs w:val="28"/>
          <w:lang w:val="en-ZA"/>
        </w:rPr>
        <w:t xml:space="preserve">to the effect </w:t>
      </w:r>
      <w:r w:rsidR="00801AC6" w:rsidRPr="00917FC2">
        <w:rPr>
          <w:rFonts w:ascii="Times New Roman" w:hAnsi="Times New Roman" w:cs="Times New Roman"/>
          <w:sz w:val="28"/>
          <w:szCs w:val="28"/>
          <w:lang w:val="en-ZA"/>
        </w:rPr>
        <w:lastRenderedPageBreak/>
        <w:t xml:space="preserve">that </w:t>
      </w:r>
      <w:r w:rsidR="00841197" w:rsidRPr="00917FC2">
        <w:rPr>
          <w:rFonts w:ascii="Times New Roman" w:hAnsi="Times New Roman" w:cs="Times New Roman"/>
          <w:sz w:val="28"/>
          <w:szCs w:val="28"/>
          <w:lang w:val="en-ZA"/>
        </w:rPr>
        <w:t>in the ev</w:t>
      </w:r>
      <w:r w:rsidR="00735D70" w:rsidRPr="00917FC2">
        <w:rPr>
          <w:rFonts w:ascii="Times New Roman" w:hAnsi="Times New Roman" w:cs="Times New Roman"/>
          <w:sz w:val="28"/>
          <w:szCs w:val="28"/>
          <w:lang w:val="en-ZA"/>
        </w:rPr>
        <w:t>e</w:t>
      </w:r>
      <w:r w:rsidR="00841197" w:rsidRPr="00917FC2">
        <w:rPr>
          <w:rFonts w:ascii="Times New Roman" w:hAnsi="Times New Roman" w:cs="Times New Roman"/>
          <w:sz w:val="28"/>
          <w:szCs w:val="28"/>
          <w:lang w:val="en-ZA"/>
        </w:rPr>
        <w:t>nt of a client paying an attorney for counsel’s fees and the attorney failing to pay counsel, ‘the fidelity fund would in all probability pay the counsel’</w:t>
      </w:r>
      <w:r w:rsidR="00801AC6" w:rsidRPr="00917FC2">
        <w:rPr>
          <w:rFonts w:ascii="Times New Roman" w:hAnsi="Times New Roman" w:cs="Times New Roman"/>
          <w:sz w:val="28"/>
          <w:szCs w:val="28"/>
          <w:lang w:val="en-ZA"/>
        </w:rPr>
        <w:t>.</w:t>
      </w:r>
    </w:p>
    <w:p w14:paraId="6AE1845F" w14:textId="77777777" w:rsidR="0097676A" w:rsidRPr="00917FC2" w:rsidRDefault="0097676A" w:rsidP="005C0E40">
      <w:pPr>
        <w:pStyle w:val="BodyA"/>
        <w:spacing w:after="0" w:line="360" w:lineRule="auto"/>
        <w:rPr>
          <w:rFonts w:ascii="Times New Roman" w:hAnsi="Times New Roman" w:cs="Times New Roman"/>
          <w:sz w:val="28"/>
          <w:szCs w:val="28"/>
          <w:lang w:val="en-ZA"/>
        </w:rPr>
      </w:pPr>
    </w:p>
    <w:p w14:paraId="68A0113E" w14:textId="241430DD" w:rsidR="0097676A" w:rsidRPr="00917FC2" w:rsidRDefault="0097676A" w:rsidP="0097676A">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[2</w:t>
      </w:r>
      <w:r w:rsidR="0064537E" w:rsidRPr="00917FC2">
        <w:rPr>
          <w:rFonts w:ascii="Times New Roman" w:hAnsi="Times New Roman" w:cs="Times New Roman"/>
          <w:sz w:val="28"/>
          <w:szCs w:val="28"/>
          <w:lang w:val="en-ZA"/>
        </w:rPr>
        <w:t>2</w:t>
      </w:r>
      <w:r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Pr="00917FC2">
        <w:rPr>
          <w:rFonts w:ascii="Times New Roman" w:hAnsi="Times New Roman" w:cs="Times New Roman"/>
          <w:sz w:val="28"/>
          <w:szCs w:val="28"/>
          <w:lang w:val="en-ZA"/>
        </w:rPr>
        <w:t xml:space="preserve">Regarding the adequacy of the proof of payments into Costa Attorneys’ trust account, the appellant contended </w:t>
      </w:r>
      <w:r w:rsidR="009D42A0" w:rsidRPr="00917FC2">
        <w:rPr>
          <w:rFonts w:ascii="Times New Roman" w:hAnsi="Times New Roman" w:cs="Times New Roman"/>
          <w:sz w:val="28"/>
          <w:szCs w:val="28"/>
          <w:lang w:val="en-ZA"/>
        </w:rPr>
        <w:t xml:space="preserve">that </w:t>
      </w:r>
      <w:r w:rsidRPr="00917FC2">
        <w:rPr>
          <w:rFonts w:ascii="Times New Roman" w:hAnsi="Times New Roman" w:cs="Times New Roman"/>
          <w:sz w:val="28"/>
          <w:szCs w:val="28"/>
          <w:lang w:val="en-ZA"/>
        </w:rPr>
        <w:t>the respondent ha</w:t>
      </w:r>
      <w:r w:rsidR="003A4773" w:rsidRPr="00917FC2">
        <w:rPr>
          <w:rFonts w:ascii="Times New Roman" w:hAnsi="Times New Roman" w:cs="Times New Roman"/>
          <w:sz w:val="28"/>
          <w:szCs w:val="28"/>
          <w:lang w:val="en-ZA"/>
        </w:rPr>
        <w:t>d</w:t>
      </w:r>
      <w:r w:rsidR="009D42A0" w:rsidRPr="00917FC2">
        <w:rPr>
          <w:rFonts w:ascii="Times New Roman" w:hAnsi="Times New Roman" w:cs="Times New Roman"/>
          <w:sz w:val="28"/>
          <w:szCs w:val="28"/>
          <w:lang w:val="en-ZA"/>
        </w:rPr>
        <w:t xml:space="preserve">, in </w:t>
      </w:r>
      <w:r w:rsidRPr="00917FC2">
        <w:rPr>
          <w:rFonts w:ascii="Times New Roman" w:hAnsi="Times New Roman" w:cs="Times New Roman"/>
          <w:sz w:val="28"/>
          <w:szCs w:val="28"/>
          <w:lang w:val="en-ZA"/>
        </w:rPr>
        <w:t xml:space="preserve">correspondence between the parties, set out the frame of reference and parameters in which information in support of the claim was to be relayed to it. In terms of that frame of reference, </w:t>
      </w:r>
      <w:r w:rsidR="00F90DB8" w:rsidRPr="00917FC2">
        <w:rPr>
          <w:rFonts w:ascii="Times New Roman" w:hAnsi="Times New Roman" w:cs="Times New Roman"/>
          <w:sz w:val="28"/>
          <w:szCs w:val="28"/>
          <w:lang w:val="en-ZA"/>
        </w:rPr>
        <w:t xml:space="preserve">the </w:t>
      </w:r>
      <w:r w:rsidRPr="00917FC2">
        <w:rPr>
          <w:rFonts w:ascii="Times New Roman" w:hAnsi="Times New Roman" w:cs="Times New Roman"/>
          <w:sz w:val="28"/>
          <w:szCs w:val="28"/>
          <w:lang w:val="en-ZA"/>
        </w:rPr>
        <w:t xml:space="preserve">respondent indicated that it required generic information and supporting documents, and to the extent that they were insufficient, it would request further information. The respondent did not challenge the supporting </w:t>
      </w:r>
      <w:r w:rsidR="00E86D28" w:rsidRPr="00917FC2">
        <w:rPr>
          <w:rFonts w:ascii="Times New Roman" w:hAnsi="Times New Roman" w:cs="Times New Roman"/>
          <w:sz w:val="28"/>
          <w:szCs w:val="28"/>
          <w:lang w:val="en-ZA"/>
        </w:rPr>
        <w:t>documents that</w:t>
      </w:r>
      <w:r w:rsidRPr="00917FC2">
        <w:rPr>
          <w:rFonts w:ascii="Times New Roman" w:hAnsi="Times New Roman" w:cs="Times New Roman"/>
          <w:sz w:val="28"/>
          <w:szCs w:val="28"/>
          <w:lang w:val="en-ZA"/>
        </w:rPr>
        <w:t xml:space="preserve"> he submitted to </w:t>
      </w:r>
      <w:r w:rsidR="00BE2E93" w:rsidRPr="00917FC2">
        <w:rPr>
          <w:rFonts w:ascii="Times New Roman" w:hAnsi="Times New Roman" w:cs="Times New Roman"/>
          <w:sz w:val="28"/>
          <w:szCs w:val="28"/>
          <w:lang w:val="en-ZA"/>
        </w:rPr>
        <w:t>it</w:t>
      </w:r>
      <w:r w:rsidR="00F90DB8" w:rsidRPr="00917FC2">
        <w:rPr>
          <w:rFonts w:ascii="Times New Roman" w:hAnsi="Times New Roman" w:cs="Times New Roman"/>
          <w:sz w:val="28"/>
          <w:szCs w:val="28"/>
          <w:lang w:val="en-ZA"/>
        </w:rPr>
        <w:t xml:space="preserve"> nor </w:t>
      </w:r>
      <w:r w:rsidRPr="00917FC2">
        <w:rPr>
          <w:rFonts w:ascii="Times New Roman" w:hAnsi="Times New Roman" w:cs="Times New Roman"/>
          <w:sz w:val="28"/>
          <w:szCs w:val="28"/>
          <w:lang w:val="en-ZA"/>
        </w:rPr>
        <w:t xml:space="preserve">did it </w:t>
      </w:r>
      <w:r w:rsidR="00991735" w:rsidRPr="00917FC2">
        <w:rPr>
          <w:rFonts w:ascii="Times New Roman" w:hAnsi="Times New Roman" w:cs="Times New Roman"/>
          <w:sz w:val="28"/>
          <w:szCs w:val="28"/>
          <w:lang w:val="en-ZA"/>
        </w:rPr>
        <w:t>request any further information</w:t>
      </w:r>
      <w:r w:rsidRPr="00917FC2">
        <w:rPr>
          <w:rFonts w:ascii="Times New Roman" w:hAnsi="Times New Roman" w:cs="Times New Roman"/>
          <w:sz w:val="28"/>
          <w:szCs w:val="28"/>
          <w:lang w:val="en-ZA"/>
        </w:rPr>
        <w:t xml:space="preserve"> or documents. </w:t>
      </w:r>
      <w:r w:rsidR="00F90DB8" w:rsidRPr="00917FC2">
        <w:rPr>
          <w:rFonts w:ascii="Times New Roman" w:hAnsi="Times New Roman" w:cs="Times New Roman"/>
          <w:sz w:val="28"/>
          <w:szCs w:val="28"/>
          <w:lang w:val="en-ZA"/>
        </w:rPr>
        <w:t>Therefore, t</w:t>
      </w:r>
      <w:r w:rsidR="00C85AD2" w:rsidRPr="00917FC2">
        <w:rPr>
          <w:rFonts w:ascii="Times New Roman" w:hAnsi="Times New Roman" w:cs="Times New Roman"/>
          <w:sz w:val="28"/>
          <w:szCs w:val="28"/>
          <w:lang w:val="en-ZA"/>
        </w:rPr>
        <w:t xml:space="preserve">he respondent was </w:t>
      </w:r>
      <w:r w:rsidR="00133D78" w:rsidRPr="00917FC2">
        <w:rPr>
          <w:rFonts w:ascii="Times New Roman" w:hAnsi="Times New Roman" w:cs="Times New Roman"/>
          <w:sz w:val="28"/>
          <w:szCs w:val="28"/>
          <w:lang w:val="en-ZA"/>
        </w:rPr>
        <w:t>estopped from challenging the adequacy of the evidence that</w:t>
      </w:r>
      <w:r w:rsidR="00F90DB8" w:rsidRPr="00917FC2">
        <w:rPr>
          <w:rFonts w:ascii="Times New Roman" w:hAnsi="Times New Roman" w:cs="Times New Roman"/>
          <w:sz w:val="28"/>
          <w:szCs w:val="28"/>
          <w:lang w:val="en-ZA"/>
        </w:rPr>
        <w:t xml:space="preserve"> the appellant</w:t>
      </w:r>
      <w:r w:rsidR="00133D78" w:rsidRPr="00917FC2">
        <w:rPr>
          <w:rFonts w:ascii="Times New Roman" w:hAnsi="Times New Roman" w:cs="Times New Roman"/>
          <w:sz w:val="28"/>
          <w:szCs w:val="28"/>
          <w:lang w:val="en-ZA"/>
        </w:rPr>
        <w:t xml:space="preserve"> </w:t>
      </w:r>
      <w:r w:rsidR="00B45AE2" w:rsidRPr="00917FC2">
        <w:rPr>
          <w:rFonts w:ascii="Times New Roman" w:hAnsi="Times New Roman" w:cs="Times New Roman"/>
          <w:sz w:val="28"/>
          <w:szCs w:val="28"/>
          <w:lang w:val="en-ZA"/>
        </w:rPr>
        <w:t xml:space="preserve">had </w:t>
      </w:r>
      <w:r w:rsidR="00133D78" w:rsidRPr="00917FC2">
        <w:rPr>
          <w:rFonts w:ascii="Times New Roman" w:hAnsi="Times New Roman" w:cs="Times New Roman"/>
          <w:sz w:val="28"/>
          <w:szCs w:val="28"/>
          <w:lang w:val="en-ZA"/>
        </w:rPr>
        <w:t>submitted in support of his claims</w:t>
      </w:r>
      <w:r w:rsidR="00B45AE2" w:rsidRPr="00917FC2">
        <w:rPr>
          <w:rFonts w:ascii="Times New Roman" w:hAnsi="Times New Roman" w:cs="Times New Roman"/>
          <w:sz w:val="28"/>
          <w:szCs w:val="28"/>
          <w:lang w:val="en-ZA"/>
        </w:rPr>
        <w:t>. C</w:t>
      </w:r>
      <w:r w:rsidR="0098732A" w:rsidRPr="00917FC2">
        <w:rPr>
          <w:rFonts w:ascii="Times New Roman" w:hAnsi="Times New Roman" w:cs="Times New Roman"/>
          <w:sz w:val="28"/>
          <w:szCs w:val="28"/>
          <w:lang w:val="en-ZA"/>
        </w:rPr>
        <w:t>onsequently</w:t>
      </w:r>
      <w:r w:rsidR="00B45AE2" w:rsidRPr="00917FC2">
        <w:rPr>
          <w:rFonts w:ascii="Times New Roman" w:hAnsi="Times New Roman" w:cs="Times New Roman"/>
          <w:sz w:val="28"/>
          <w:szCs w:val="28"/>
          <w:lang w:val="en-ZA"/>
        </w:rPr>
        <w:t>, the respondent</w:t>
      </w:r>
      <w:r w:rsidR="0098732A" w:rsidRPr="00917FC2">
        <w:rPr>
          <w:rFonts w:ascii="Times New Roman" w:hAnsi="Times New Roman" w:cs="Times New Roman"/>
          <w:sz w:val="28"/>
          <w:szCs w:val="28"/>
          <w:lang w:val="en-ZA"/>
        </w:rPr>
        <w:t xml:space="preserve"> </w:t>
      </w:r>
      <w:r w:rsidRPr="00917FC2">
        <w:rPr>
          <w:rFonts w:ascii="Times New Roman" w:hAnsi="Times New Roman" w:cs="Times New Roman"/>
          <w:sz w:val="28"/>
          <w:szCs w:val="28"/>
          <w:lang w:val="en-ZA"/>
        </w:rPr>
        <w:t>impermissibly raised that issu</w:t>
      </w:r>
      <w:r w:rsidR="00C3109D" w:rsidRPr="00917FC2">
        <w:rPr>
          <w:rFonts w:ascii="Times New Roman" w:hAnsi="Times New Roman" w:cs="Times New Roman"/>
          <w:sz w:val="28"/>
          <w:szCs w:val="28"/>
          <w:lang w:val="en-ZA"/>
        </w:rPr>
        <w:t>e for the first time in its answ</w:t>
      </w:r>
      <w:r w:rsidRPr="00917FC2">
        <w:rPr>
          <w:rFonts w:ascii="Times New Roman" w:hAnsi="Times New Roman" w:cs="Times New Roman"/>
          <w:sz w:val="28"/>
          <w:szCs w:val="28"/>
          <w:lang w:val="en-ZA"/>
        </w:rPr>
        <w:t>ering affidavit</w:t>
      </w:r>
      <w:r w:rsidR="006D44FE" w:rsidRPr="00917FC2">
        <w:rPr>
          <w:rFonts w:ascii="Times New Roman" w:hAnsi="Times New Roman" w:cs="Times New Roman"/>
          <w:sz w:val="28"/>
          <w:szCs w:val="28"/>
          <w:lang w:val="en-ZA"/>
        </w:rPr>
        <w:t xml:space="preserve">, </w:t>
      </w:r>
      <w:r w:rsidR="005F0687" w:rsidRPr="00917FC2">
        <w:rPr>
          <w:rFonts w:ascii="Times New Roman" w:hAnsi="Times New Roman" w:cs="Times New Roman"/>
          <w:sz w:val="28"/>
          <w:szCs w:val="28"/>
          <w:lang w:val="en-ZA"/>
        </w:rPr>
        <w:t>so the argument went</w:t>
      </w:r>
      <w:r w:rsidRPr="00917FC2">
        <w:rPr>
          <w:rFonts w:ascii="Times New Roman" w:hAnsi="Times New Roman" w:cs="Times New Roman"/>
          <w:sz w:val="28"/>
          <w:szCs w:val="28"/>
          <w:lang w:val="en-ZA"/>
        </w:rPr>
        <w:t xml:space="preserve">. </w:t>
      </w:r>
    </w:p>
    <w:p w14:paraId="5FC2648B" w14:textId="77777777" w:rsidR="00C76D79" w:rsidRPr="00917FC2" w:rsidRDefault="00C76D79" w:rsidP="005C0E40">
      <w:pPr>
        <w:pStyle w:val="BodyA"/>
        <w:spacing w:after="0" w:line="360" w:lineRule="auto"/>
        <w:rPr>
          <w:rFonts w:ascii="Times New Roman" w:hAnsi="Times New Roman" w:cs="Times New Roman"/>
          <w:sz w:val="28"/>
          <w:szCs w:val="28"/>
          <w:lang w:val="en-ZA"/>
        </w:rPr>
      </w:pPr>
    </w:p>
    <w:p w14:paraId="3F980D5A" w14:textId="77777777" w:rsidR="00A94C0A" w:rsidRPr="00917FC2" w:rsidRDefault="00C76D79" w:rsidP="005C0E40">
      <w:pPr>
        <w:pStyle w:val="BodyA"/>
        <w:spacing w:after="0" w:line="360" w:lineRule="auto"/>
        <w:rPr>
          <w:rFonts w:ascii="Times New Roman" w:hAnsi="Times New Roman" w:cs="Times New Roman"/>
          <w:b/>
          <w:sz w:val="28"/>
          <w:szCs w:val="28"/>
          <w:lang w:val="en-ZA"/>
        </w:rPr>
      </w:pPr>
      <w:r w:rsidRPr="00917FC2">
        <w:rPr>
          <w:rFonts w:ascii="Times New Roman" w:hAnsi="Times New Roman" w:cs="Times New Roman"/>
          <w:b/>
          <w:sz w:val="28"/>
          <w:szCs w:val="28"/>
          <w:lang w:val="en-ZA"/>
        </w:rPr>
        <w:t>Discussion</w:t>
      </w:r>
    </w:p>
    <w:p w14:paraId="4744FBE7" w14:textId="07877920" w:rsidR="00EB2568" w:rsidRPr="00917FC2" w:rsidRDefault="003C1A92" w:rsidP="00EB2568">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[2</w:t>
      </w:r>
      <w:r w:rsidR="0064537E" w:rsidRPr="00917FC2">
        <w:rPr>
          <w:rFonts w:ascii="Times New Roman" w:hAnsi="Times New Roman" w:cs="Times New Roman"/>
          <w:sz w:val="28"/>
          <w:szCs w:val="28"/>
          <w:lang w:val="en-ZA"/>
        </w:rPr>
        <w:t>3</w:t>
      </w:r>
      <w:r w:rsidR="00C05AB1"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EB2568" w:rsidRPr="00917FC2">
        <w:rPr>
          <w:rFonts w:ascii="Times New Roman" w:hAnsi="Times New Roman" w:cs="Times New Roman"/>
          <w:sz w:val="28"/>
          <w:szCs w:val="28"/>
          <w:lang w:val="en-ZA"/>
        </w:rPr>
        <w:t>S</w:t>
      </w:r>
      <w:r w:rsidR="00C85AD2" w:rsidRPr="00917FC2">
        <w:rPr>
          <w:rFonts w:ascii="Times New Roman" w:hAnsi="Times New Roman" w:cs="Times New Roman"/>
          <w:sz w:val="28"/>
          <w:szCs w:val="28"/>
          <w:lang w:val="en-ZA"/>
        </w:rPr>
        <w:t>ection</w:t>
      </w:r>
      <w:r w:rsidR="00EB2568" w:rsidRPr="00917FC2">
        <w:rPr>
          <w:rFonts w:ascii="Times New Roman" w:hAnsi="Times New Roman" w:cs="Times New Roman"/>
          <w:sz w:val="28"/>
          <w:szCs w:val="28"/>
          <w:lang w:val="en-ZA"/>
        </w:rPr>
        <w:t xml:space="preserve"> 26</w:t>
      </w:r>
      <w:r w:rsidR="00EB2568" w:rsidRPr="00917FC2">
        <w:rPr>
          <w:rFonts w:ascii="Times New Roman" w:hAnsi="Times New Roman" w:cs="Times New Roman"/>
          <w:i/>
          <w:sz w:val="28"/>
          <w:szCs w:val="28"/>
          <w:lang w:val="en-ZA"/>
        </w:rPr>
        <w:t>(a)</w:t>
      </w:r>
      <w:r w:rsidR="00EB2568" w:rsidRPr="00917FC2">
        <w:rPr>
          <w:rFonts w:ascii="Times New Roman" w:hAnsi="Times New Roman" w:cs="Times New Roman"/>
          <w:sz w:val="28"/>
          <w:szCs w:val="28"/>
          <w:lang w:val="en-ZA"/>
        </w:rPr>
        <w:t xml:space="preserve"> of the Attorneys Act reads as </w:t>
      </w:r>
      <w:r w:rsidR="00C85AD2" w:rsidRPr="00917FC2">
        <w:rPr>
          <w:rFonts w:ascii="Times New Roman" w:hAnsi="Times New Roman" w:cs="Times New Roman"/>
          <w:sz w:val="28"/>
          <w:szCs w:val="28"/>
          <w:lang w:val="en-ZA"/>
        </w:rPr>
        <w:t>follows:</w:t>
      </w:r>
    </w:p>
    <w:p w14:paraId="2FAC8516" w14:textId="696622DC" w:rsidR="00EB2568" w:rsidRPr="00917FC2" w:rsidRDefault="00EB2568" w:rsidP="00C85AD2">
      <w:pPr>
        <w:pStyle w:val="BodyA"/>
        <w:spacing w:after="0" w:line="360" w:lineRule="auto"/>
        <w:rPr>
          <w:rFonts w:ascii="Times New Roman" w:hAnsi="Times New Roman" w:cs="Times New Roman"/>
          <w:sz w:val="24"/>
          <w:szCs w:val="24"/>
          <w:lang w:val="en-ZA"/>
        </w:rPr>
      </w:pPr>
      <w:r w:rsidRPr="00917FC2">
        <w:rPr>
          <w:rFonts w:ascii="Times New Roman" w:hAnsi="Times New Roman" w:cs="Times New Roman"/>
          <w:sz w:val="24"/>
          <w:szCs w:val="24"/>
          <w:lang w:val="en-ZA"/>
        </w:rPr>
        <w:t>‘Subject to the provisions of this Act, the fund shall be applied for th</w:t>
      </w:r>
      <w:r w:rsidR="007861E5" w:rsidRPr="00917FC2">
        <w:rPr>
          <w:rFonts w:ascii="Times New Roman" w:hAnsi="Times New Roman" w:cs="Times New Roman"/>
          <w:sz w:val="24"/>
          <w:szCs w:val="24"/>
          <w:lang w:val="en-ZA"/>
        </w:rPr>
        <w:t>e</w:t>
      </w:r>
      <w:r w:rsidRPr="00917FC2">
        <w:rPr>
          <w:rFonts w:ascii="Times New Roman" w:hAnsi="Times New Roman" w:cs="Times New Roman"/>
          <w:sz w:val="24"/>
          <w:szCs w:val="24"/>
          <w:lang w:val="en-ZA"/>
        </w:rPr>
        <w:t xml:space="preserve"> purpose of reimbursing persons who may suffer pecuniary loss as a result of –</w:t>
      </w:r>
      <w:r w:rsidR="00600853" w:rsidRPr="00917FC2">
        <w:rPr>
          <w:rFonts w:ascii="Times New Roman" w:hAnsi="Times New Roman" w:cs="Times New Roman"/>
          <w:sz w:val="24"/>
          <w:szCs w:val="24"/>
          <w:lang w:val="en-ZA"/>
        </w:rPr>
        <w:t xml:space="preserve"> </w:t>
      </w:r>
    </w:p>
    <w:p w14:paraId="087A7C28" w14:textId="23851126" w:rsidR="00EB2568" w:rsidRPr="00917FC2" w:rsidRDefault="00C85AD2" w:rsidP="00C85AD2">
      <w:pPr>
        <w:pStyle w:val="BodyA"/>
        <w:spacing w:after="0" w:line="360" w:lineRule="auto"/>
        <w:rPr>
          <w:rFonts w:ascii="Times New Roman" w:hAnsi="Times New Roman" w:cs="Times New Roman"/>
          <w:sz w:val="24"/>
          <w:szCs w:val="24"/>
          <w:lang w:val="en-ZA"/>
        </w:rPr>
      </w:pPr>
      <w:r w:rsidRPr="00917FC2">
        <w:rPr>
          <w:rFonts w:ascii="Times New Roman" w:hAnsi="Times New Roman" w:cs="Times New Roman"/>
          <w:i/>
          <w:sz w:val="24"/>
          <w:szCs w:val="24"/>
          <w:lang w:val="en-ZA"/>
        </w:rPr>
        <w:t>(a)</w:t>
      </w:r>
      <w:r w:rsidR="00600853" w:rsidRPr="00917FC2">
        <w:rPr>
          <w:rFonts w:ascii="Times New Roman" w:hAnsi="Times New Roman" w:cs="Times New Roman"/>
          <w:sz w:val="24"/>
          <w:szCs w:val="24"/>
          <w:lang w:val="en-ZA"/>
        </w:rPr>
        <w:t xml:space="preserve"> </w:t>
      </w:r>
      <w:r w:rsidR="00EB2568" w:rsidRPr="00917FC2">
        <w:rPr>
          <w:rFonts w:ascii="Times New Roman" w:hAnsi="Times New Roman" w:cs="Times New Roman"/>
          <w:sz w:val="24"/>
          <w:szCs w:val="24"/>
          <w:lang w:val="en-ZA"/>
        </w:rPr>
        <w:t>theft committed by a practising practitioner, his candidate attorney or his employee, of any money or other property entrusted by or on behalf of such persons to him or to his candidate attorney or employee in the course of his</w:t>
      </w:r>
      <w:r w:rsidR="00A42E83" w:rsidRPr="00917FC2">
        <w:rPr>
          <w:rFonts w:ascii="Times New Roman" w:hAnsi="Times New Roman" w:cs="Times New Roman"/>
          <w:sz w:val="24"/>
          <w:szCs w:val="24"/>
          <w:lang w:val="en-ZA"/>
        </w:rPr>
        <w:t xml:space="preserve"> practic</w:t>
      </w:r>
      <w:r w:rsidR="00EB2568" w:rsidRPr="00917FC2">
        <w:rPr>
          <w:rFonts w:ascii="Times New Roman" w:hAnsi="Times New Roman" w:cs="Times New Roman"/>
          <w:sz w:val="24"/>
          <w:szCs w:val="24"/>
          <w:lang w:val="en-ZA"/>
        </w:rPr>
        <w:t>e or while acting as executor or administrator in the estate of a deceased person or as a trustee in an insolvent estate or in any other similar capacity</w:t>
      </w:r>
      <w:r w:rsidR="00600853" w:rsidRPr="00917FC2">
        <w:rPr>
          <w:rFonts w:ascii="Times New Roman" w:hAnsi="Times New Roman" w:cs="Times New Roman"/>
          <w:sz w:val="24"/>
          <w:szCs w:val="24"/>
          <w:lang w:val="en-ZA"/>
        </w:rPr>
        <w:t>.</w:t>
      </w:r>
      <w:r w:rsidR="00EB2568" w:rsidRPr="00917FC2">
        <w:rPr>
          <w:rFonts w:ascii="Times New Roman" w:hAnsi="Times New Roman" w:cs="Times New Roman"/>
          <w:sz w:val="24"/>
          <w:szCs w:val="24"/>
          <w:lang w:val="en-ZA"/>
        </w:rPr>
        <w:t>’</w:t>
      </w:r>
    </w:p>
    <w:p w14:paraId="5DF9B1DE" w14:textId="77777777" w:rsidR="00EB2568" w:rsidRPr="00917FC2" w:rsidRDefault="00EB2568" w:rsidP="00EB2568">
      <w:pPr>
        <w:pStyle w:val="BodyA"/>
        <w:spacing w:after="0" w:line="360" w:lineRule="auto"/>
        <w:rPr>
          <w:rFonts w:ascii="Times New Roman" w:hAnsi="Times New Roman" w:cs="Times New Roman"/>
          <w:sz w:val="28"/>
          <w:szCs w:val="28"/>
          <w:lang w:val="en-ZA"/>
        </w:rPr>
      </w:pPr>
    </w:p>
    <w:p w14:paraId="4F297959" w14:textId="027333FC" w:rsidR="00EB2568" w:rsidRPr="00917FC2" w:rsidRDefault="00C05AB1" w:rsidP="00EB2568">
      <w:pPr>
        <w:pStyle w:val="BodyA"/>
        <w:spacing w:after="0" w:line="360" w:lineRule="auto"/>
        <w:rPr>
          <w:rFonts w:ascii="Times New Roman" w:hAnsi="Times New Roman"/>
          <w:sz w:val="28"/>
          <w:lang w:val="en-ZA"/>
        </w:rPr>
      </w:pPr>
      <w:r w:rsidRPr="00917FC2">
        <w:rPr>
          <w:rFonts w:ascii="Times New Roman" w:hAnsi="Times New Roman" w:cs="Times New Roman"/>
          <w:sz w:val="28"/>
          <w:szCs w:val="28"/>
          <w:lang w:val="en-ZA"/>
        </w:rPr>
        <w:t>[2</w:t>
      </w:r>
      <w:r w:rsidR="0064537E" w:rsidRPr="00917FC2">
        <w:rPr>
          <w:rFonts w:ascii="Times New Roman" w:hAnsi="Times New Roman" w:cs="Times New Roman"/>
          <w:sz w:val="28"/>
          <w:szCs w:val="28"/>
          <w:lang w:val="en-ZA"/>
        </w:rPr>
        <w:t>4</w:t>
      </w:r>
      <w:r w:rsidR="00EB2568"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EB2568" w:rsidRPr="00917FC2">
        <w:rPr>
          <w:rFonts w:ascii="Times New Roman" w:hAnsi="Times New Roman" w:cs="Times New Roman"/>
          <w:sz w:val="28"/>
          <w:szCs w:val="28"/>
          <w:lang w:val="en-ZA"/>
        </w:rPr>
        <w:t xml:space="preserve">The appellant was thus required to prove that: (a) he had suffered pecuniary loss; (b) by reason of theft committed by Mr Costa; (c) of money entrusted by or on </w:t>
      </w:r>
      <w:r w:rsidR="00600853" w:rsidRPr="00917FC2">
        <w:rPr>
          <w:rFonts w:ascii="Times New Roman" w:hAnsi="Times New Roman" w:cs="Times New Roman"/>
          <w:sz w:val="28"/>
          <w:szCs w:val="28"/>
          <w:lang w:val="en-ZA"/>
        </w:rPr>
        <w:t xml:space="preserve">the appellant’s </w:t>
      </w:r>
      <w:r w:rsidR="00EB2568" w:rsidRPr="00917FC2">
        <w:rPr>
          <w:rFonts w:ascii="Times New Roman" w:hAnsi="Times New Roman" w:cs="Times New Roman"/>
          <w:sz w:val="28"/>
          <w:szCs w:val="28"/>
          <w:lang w:val="en-ZA"/>
        </w:rPr>
        <w:t xml:space="preserve">behalf; (d) in </w:t>
      </w:r>
      <w:r w:rsidR="00A42E83" w:rsidRPr="00917FC2">
        <w:rPr>
          <w:rFonts w:ascii="Times New Roman" w:hAnsi="Times New Roman" w:cs="Times New Roman"/>
          <w:sz w:val="28"/>
          <w:szCs w:val="28"/>
          <w:lang w:val="en-ZA"/>
        </w:rPr>
        <w:t>the course of Mr Costa’s practic</w:t>
      </w:r>
      <w:r w:rsidR="00EB2568" w:rsidRPr="00917FC2">
        <w:rPr>
          <w:rFonts w:ascii="Times New Roman" w:hAnsi="Times New Roman" w:cs="Times New Roman"/>
          <w:sz w:val="28"/>
          <w:szCs w:val="28"/>
          <w:lang w:val="en-ZA"/>
        </w:rPr>
        <w:t xml:space="preserve">e. </w:t>
      </w:r>
    </w:p>
    <w:p w14:paraId="05213429" w14:textId="5AD8D0F9" w:rsidR="00EB2568" w:rsidRPr="00917FC2" w:rsidRDefault="00EB2568" w:rsidP="00EB2568">
      <w:pPr>
        <w:pStyle w:val="BodyA"/>
        <w:spacing w:after="0" w:line="360" w:lineRule="auto"/>
        <w:ind w:left="720" w:hanging="720"/>
        <w:rPr>
          <w:rFonts w:ascii="Times New Roman" w:hAnsi="Times New Roman" w:cs="Times New Roman"/>
          <w:sz w:val="28"/>
          <w:szCs w:val="28"/>
          <w:lang w:val="en-ZA"/>
        </w:rPr>
      </w:pPr>
    </w:p>
    <w:p w14:paraId="65DAC0CA" w14:textId="2E00B18D" w:rsidR="00EB2568" w:rsidRPr="00917FC2" w:rsidRDefault="00520816" w:rsidP="00520816">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lastRenderedPageBreak/>
        <w:t>[2</w:t>
      </w:r>
      <w:r w:rsidR="0064537E" w:rsidRPr="00917FC2">
        <w:rPr>
          <w:rFonts w:ascii="Times New Roman" w:hAnsi="Times New Roman" w:cs="Times New Roman"/>
          <w:sz w:val="28"/>
          <w:szCs w:val="28"/>
          <w:lang w:val="en-ZA"/>
        </w:rPr>
        <w:t>5</w:t>
      </w:r>
      <w:r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EB2568" w:rsidRPr="00917FC2">
        <w:rPr>
          <w:rFonts w:ascii="Times New Roman" w:hAnsi="Times New Roman" w:cs="Times New Roman"/>
          <w:sz w:val="28"/>
          <w:szCs w:val="28"/>
          <w:lang w:val="en-ZA"/>
        </w:rPr>
        <w:t xml:space="preserve">In </w:t>
      </w:r>
      <w:r w:rsidR="00EB2568" w:rsidRPr="00917FC2">
        <w:rPr>
          <w:rFonts w:ascii="Times New Roman" w:hAnsi="Times New Roman" w:cs="Times New Roman"/>
          <w:i/>
          <w:sz w:val="28"/>
          <w:szCs w:val="28"/>
          <w:lang w:val="en-ZA"/>
        </w:rPr>
        <w:t>Industrial and Commercial Factors (Pty) Ltd v The Attorneys’ Fidelity Fund Board of Control</w:t>
      </w:r>
      <w:r w:rsidR="00A547C9" w:rsidRPr="00917FC2">
        <w:rPr>
          <w:rFonts w:ascii="Times New Roman" w:hAnsi="Times New Roman" w:cs="Times New Roman"/>
          <w:i/>
          <w:sz w:val="28"/>
          <w:szCs w:val="28"/>
          <w:lang w:val="en-ZA"/>
        </w:rPr>
        <w:t xml:space="preserve"> (Industrial and Commercial Factors)</w:t>
      </w:r>
      <w:r w:rsidR="00600853" w:rsidRPr="00917FC2">
        <w:rPr>
          <w:rFonts w:ascii="Times New Roman" w:hAnsi="Times New Roman" w:cs="Times New Roman"/>
          <w:i/>
          <w:sz w:val="28"/>
          <w:szCs w:val="28"/>
          <w:lang w:val="en-ZA"/>
        </w:rPr>
        <w:t>,</w:t>
      </w:r>
      <w:r w:rsidR="00EB2568" w:rsidRPr="00917FC2">
        <w:rPr>
          <w:rStyle w:val="FootnoteReference"/>
          <w:rFonts w:ascii="Times New Roman" w:hAnsi="Times New Roman" w:cs="Times New Roman"/>
          <w:sz w:val="28"/>
          <w:szCs w:val="28"/>
          <w:lang w:val="en-ZA"/>
        </w:rPr>
        <w:footnoteReference w:id="4"/>
      </w:r>
      <w:r w:rsidR="00EB2568" w:rsidRPr="00917FC2">
        <w:rPr>
          <w:rFonts w:ascii="Times New Roman" w:hAnsi="Times New Roman" w:cs="Times New Roman"/>
          <w:sz w:val="28"/>
          <w:szCs w:val="28"/>
          <w:lang w:val="en-ZA"/>
        </w:rPr>
        <w:t xml:space="preserve"> </w:t>
      </w:r>
      <w:r w:rsidR="00600853" w:rsidRPr="00917FC2">
        <w:rPr>
          <w:rFonts w:ascii="Times New Roman" w:hAnsi="Times New Roman" w:cs="Times New Roman"/>
          <w:sz w:val="28"/>
          <w:szCs w:val="28"/>
          <w:lang w:val="en-ZA"/>
        </w:rPr>
        <w:t>t</w:t>
      </w:r>
      <w:r w:rsidR="00EB2568" w:rsidRPr="00917FC2">
        <w:rPr>
          <w:rFonts w:ascii="Times New Roman" w:hAnsi="Times New Roman" w:cs="Times New Roman"/>
          <w:sz w:val="28"/>
          <w:szCs w:val="28"/>
          <w:lang w:val="en-ZA"/>
        </w:rPr>
        <w:t xml:space="preserve">his </w:t>
      </w:r>
      <w:r w:rsidR="00600853" w:rsidRPr="00917FC2">
        <w:rPr>
          <w:rFonts w:ascii="Times New Roman" w:hAnsi="Times New Roman" w:cs="Times New Roman"/>
          <w:sz w:val="28"/>
          <w:szCs w:val="28"/>
          <w:lang w:val="en-ZA"/>
        </w:rPr>
        <w:t>C</w:t>
      </w:r>
      <w:r w:rsidR="00EB2568" w:rsidRPr="00917FC2">
        <w:rPr>
          <w:rFonts w:ascii="Times New Roman" w:hAnsi="Times New Roman" w:cs="Times New Roman"/>
          <w:sz w:val="28"/>
          <w:szCs w:val="28"/>
          <w:lang w:val="en-ZA"/>
        </w:rPr>
        <w:t xml:space="preserve">ourt held that not all monies paid into an attorney’s trust account </w:t>
      </w:r>
      <w:r w:rsidR="009D7102" w:rsidRPr="00917FC2">
        <w:rPr>
          <w:rFonts w:ascii="Times New Roman" w:hAnsi="Times New Roman" w:cs="Times New Roman"/>
          <w:sz w:val="28"/>
          <w:szCs w:val="28"/>
          <w:lang w:val="en-ZA"/>
        </w:rPr>
        <w:t xml:space="preserve">constitute </w:t>
      </w:r>
      <w:r w:rsidR="00EB2568" w:rsidRPr="00917FC2">
        <w:rPr>
          <w:rFonts w:ascii="Times New Roman" w:hAnsi="Times New Roman" w:cs="Times New Roman"/>
          <w:sz w:val="28"/>
          <w:szCs w:val="28"/>
          <w:lang w:val="en-ZA"/>
        </w:rPr>
        <w:t>an entrustment as envisaged by s 26. The term is also not limited to cases where the money or property was subject to a ‘trust’ in the legal technical sense of the word. The court further explained that ‘</w:t>
      </w:r>
      <w:r w:rsidR="00600853" w:rsidRPr="00917FC2">
        <w:rPr>
          <w:rFonts w:ascii="Times New Roman" w:hAnsi="Times New Roman" w:cs="Times New Roman"/>
          <w:sz w:val="28"/>
          <w:szCs w:val="28"/>
          <w:lang w:val="en-ZA"/>
        </w:rPr>
        <w:t>[i]</w:t>
      </w:r>
      <w:r w:rsidR="00EB2568" w:rsidRPr="00917FC2">
        <w:rPr>
          <w:rFonts w:ascii="Times New Roman" w:hAnsi="Times New Roman" w:cs="Times New Roman"/>
          <w:sz w:val="28"/>
          <w:szCs w:val="28"/>
          <w:lang w:val="en-ZA"/>
        </w:rPr>
        <w:t>f money is simply handed over to an attorney by a debtor who thereby wishe</w:t>
      </w:r>
      <w:r w:rsidR="00600853" w:rsidRPr="00917FC2">
        <w:rPr>
          <w:rFonts w:ascii="Times New Roman" w:hAnsi="Times New Roman" w:cs="Times New Roman"/>
          <w:sz w:val="28"/>
          <w:szCs w:val="28"/>
          <w:lang w:val="en-ZA"/>
        </w:rPr>
        <w:t>d</w:t>
      </w:r>
      <w:r w:rsidR="00EB2568" w:rsidRPr="00917FC2">
        <w:rPr>
          <w:rFonts w:ascii="Times New Roman" w:hAnsi="Times New Roman" w:cs="Times New Roman"/>
          <w:sz w:val="28"/>
          <w:szCs w:val="28"/>
          <w:lang w:val="en-ZA"/>
        </w:rPr>
        <w:t xml:space="preserve"> to discharge a debt, and the attorney has a mandate to receive it on behalf of the creditor, it may be difficult to establish an</w:t>
      </w:r>
      <w:r w:rsidR="00600853" w:rsidRPr="00917FC2">
        <w:rPr>
          <w:rFonts w:ascii="Times New Roman" w:hAnsi="Times New Roman" w:cs="Times New Roman"/>
          <w:sz w:val="28"/>
          <w:szCs w:val="28"/>
          <w:lang w:val="en-ZA"/>
        </w:rPr>
        <w:t xml:space="preserve"> </w:t>
      </w:r>
      <w:r w:rsidR="00EB2568" w:rsidRPr="00917FC2">
        <w:rPr>
          <w:rFonts w:ascii="Times New Roman" w:hAnsi="Times New Roman" w:cs="Times New Roman"/>
          <w:sz w:val="28"/>
          <w:szCs w:val="28"/>
          <w:lang w:val="en-ZA"/>
        </w:rPr>
        <w:t xml:space="preserve">entrustment’. </w:t>
      </w:r>
    </w:p>
    <w:p w14:paraId="1422F28E" w14:textId="77777777" w:rsidR="00EB2568" w:rsidRPr="00917FC2" w:rsidRDefault="00EB2568" w:rsidP="00EB2568">
      <w:pPr>
        <w:pStyle w:val="BodyA"/>
        <w:spacing w:after="0" w:line="360" w:lineRule="auto"/>
        <w:rPr>
          <w:rFonts w:ascii="Times New Roman" w:hAnsi="Times New Roman" w:cs="Times New Roman"/>
          <w:sz w:val="28"/>
          <w:szCs w:val="28"/>
          <w:lang w:val="en-ZA"/>
        </w:rPr>
      </w:pPr>
    </w:p>
    <w:p w14:paraId="1BBFFE04" w14:textId="3C81CA99" w:rsidR="00EB2568" w:rsidRPr="00917FC2" w:rsidRDefault="00C05AB1" w:rsidP="00EB2568">
      <w:pPr>
        <w:pStyle w:val="BodyA"/>
        <w:spacing w:after="0" w:line="360" w:lineRule="auto"/>
        <w:rPr>
          <w:rFonts w:ascii="Times New Roman" w:hAnsi="Times New Roman"/>
          <w:sz w:val="28"/>
          <w:lang w:val="en-ZA"/>
        </w:rPr>
      </w:pPr>
      <w:r w:rsidRPr="00917FC2">
        <w:rPr>
          <w:rFonts w:ascii="Times New Roman" w:hAnsi="Times New Roman" w:cs="Times New Roman"/>
          <w:sz w:val="28"/>
          <w:szCs w:val="28"/>
          <w:lang w:val="en-ZA"/>
        </w:rPr>
        <w:t>[2</w:t>
      </w:r>
      <w:r w:rsidR="0064537E" w:rsidRPr="00917FC2">
        <w:rPr>
          <w:rFonts w:ascii="Times New Roman" w:hAnsi="Times New Roman" w:cs="Times New Roman"/>
          <w:sz w:val="28"/>
          <w:szCs w:val="28"/>
          <w:lang w:val="en-ZA"/>
        </w:rPr>
        <w:t>6</w:t>
      </w:r>
      <w:r w:rsidR="00EB2568"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EB2568" w:rsidRPr="00917FC2">
        <w:rPr>
          <w:rFonts w:ascii="Times New Roman" w:hAnsi="Times New Roman" w:cs="Times New Roman"/>
          <w:sz w:val="28"/>
          <w:szCs w:val="28"/>
          <w:lang w:val="en-ZA"/>
        </w:rPr>
        <w:t>Th</w:t>
      </w:r>
      <w:r w:rsidR="00550A57" w:rsidRPr="00917FC2">
        <w:rPr>
          <w:rFonts w:ascii="Times New Roman" w:hAnsi="Times New Roman" w:cs="Times New Roman"/>
          <w:sz w:val="28"/>
          <w:szCs w:val="28"/>
          <w:lang w:val="en-ZA"/>
        </w:rPr>
        <w:t>e</w:t>
      </w:r>
      <w:r w:rsidR="00EB2568" w:rsidRPr="00917FC2">
        <w:rPr>
          <w:rFonts w:ascii="Times New Roman" w:hAnsi="Times New Roman" w:cs="Times New Roman"/>
          <w:sz w:val="28"/>
          <w:szCs w:val="28"/>
          <w:lang w:val="en-ZA"/>
        </w:rPr>
        <w:t xml:space="preserve"> court</w:t>
      </w:r>
      <w:r w:rsidR="00A547C9" w:rsidRPr="00917FC2">
        <w:rPr>
          <w:rFonts w:ascii="Times New Roman" w:hAnsi="Times New Roman" w:cs="Times New Roman"/>
          <w:sz w:val="28"/>
          <w:szCs w:val="28"/>
          <w:lang w:val="en-ZA"/>
        </w:rPr>
        <w:t xml:space="preserve"> </w:t>
      </w:r>
      <w:r w:rsidR="00550A57" w:rsidRPr="00917FC2">
        <w:rPr>
          <w:rFonts w:ascii="Times New Roman" w:hAnsi="Times New Roman" w:cs="Times New Roman"/>
          <w:sz w:val="28"/>
          <w:szCs w:val="28"/>
          <w:lang w:val="en-ZA"/>
        </w:rPr>
        <w:t xml:space="preserve">cited </w:t>
      </w:r>
      <w:r w:rsidR="00EB2568" w:rsidRPr="00917FC2">
        <w:rPr>
          <w:rFonts w:ascii="Times New Roman" w:hAnsi="Times New Roman" w:cs="Times New Roman"/>
          <w:sz w:val="28"/>
          <w:szCs w:val="28"/>
          <w:lang w:val="en-ZA"/>
        </w:rPr>
        <w:t xml:space="preserve">with approval, </w:t>
      </w:r>
      <w:r w:rsidR="00DA3358" w:rsidRPr="00917FC2">
        <w:rPr>
          <w:rFonts w:ascii="Times New Roman" w:hAnsi="Times New Roman" w:cs="Times New Roman"/>
          <w:sz w:val="28"/>
          <w:szCs w:val="28"/>
          <w:lang w:val="en-ZA"/>
        </w:rPr>
        <w:t xml:space="preserve">the dictum in </w:t>
      </w:r>
      <w:r w:rsidR="00EB2568" w:rsidRPr="00917FC2">
        <w:rPr>
          <w:rFonts w:ascii="Times New Roman" w:hAnsi="Times New Roman" w:cs="Times New Roman"/>
          <w:i/>
          <w:sz w:val="28"/>
          <w:szCs w:val="28"/>
          <w:lang w:val="en-ZA"/>
        </w:rPr>
        <w:t>British Kaffrarian Savings Bank Society v Attorneys, Notaries and conveyancers Fidelity Gaurentee Fund Board of Control</w:t>
      </w:r>
      <w:r w:rsidR="00600853" w:rsidRPr="00917FC2">
        <w:rPr>
          <w:rFonts w:ascii="Times New Roman" w:hAnsi="Times New Roman" w:cs="Times New Roman"/>
          <w:i/>
          <w:sz w:val="28"/>
          <w:szCs w:val="28"/>
          <w:lang w:val="en-ZA"/>
        </w:rPr>
        <w:t>,</w:t>
      </w:r>
      <w:r w:rsidR="00EB2568" w:rsidRPr="00917FC2">
        <w:rPr>
          <w:rStyle w:val="FootnoteReference"/>
          <w:rFonts w:ascii="Times New Roman" w:hAnsi="Times New Roman" w:cs="Times New Roman"/>
          <w:sz w:val="28"/>
          <w:szCs w:val="28"/>
          <w:lang w:val="en-ZA"/>
        </w:rPr>
        <w:footnoteReference w:id="5"/>
      </w:r>
      <w:r w:rsidR="00EB2568" w:rsidRPr="00917FC2">
        <w:rPr>
          <w:rFonts w:ascii="Times New Roman" w:hAnsi="Times New Roman" w:cs="Times New Roman"/>
          <w:sz w:val="28"/>
          <w:szCs w:val="28"/>
          <w:lang w:val="en-ZA"/>
        </w:rPr>
        <w:t xml:space="preserve"> </w:t>
      </w:r>
      <w:r w:rsidR="00DA3358" w:rsidRPr="00917FC2">
        <w:rPr>
          <w:rFonts w:ascii="Times New Roman" w:hAnsi="Times New Roman" w:cs="Times New Roman"/>
          <w:sz w:val="28"/>
          <w:szCs w:val="28"/>
          <w:lang w:val="en-ZA"/>
        </w:rPr>
        <w:t xml:space="preserve">to the effect </w:t>
      </w:r>
      <w:r w:rsidR="00EB2568" w:rsidRPr="00917FC2">
        <w:rPr>
          <w:rFonts w:ascii="Times New Roman" w:hAnsi="Times New Roman" w:cs="Times New Roman"/>
          <w:sz w:val="28"/>
          <w:szCs w:val="28"/>
          <w:lang w:val="en-ZA"/>
        </w:rPr>
        <w:t xml:space="preserve">that entrustment comprises two elements namely: </w:t>
      </w:r>
      <w:r w:rsidR="00EB2568" w:rsidRPr="00917FC2">
        <w:rPr>
          <w:rFonts w:ascii="Times New Roman" w:hAnsi="Times New Roman"/>
          <w:sz w:val="28"/>
          <w:lang w:val="en-ZA"/>
        </w:rPr>
        <w:t xml:space="preserve">‘(a) to place in </w:t>
      </w:r>
      <w:r w:rsidR="00355652" w:rsidRPr="00917FC2">
        <w:rPr>
          <w:rFonts w:ascii="Times New Roman" w:hAnsi="Times New Roman"/>
          <w:sz w:val="28"/>
          <w:lang w:val="en-ZA"/>
        </w:rPr>
        <w:t xml:space="preserve">the </w:t>
      </w:r>
      <w:r w:rsidR="00EB2568" w:rsidRPr="00917FC2">
        <w:rPr>
          <w:rFonts w:ascii="Times New Roman" w:hAnsi="Times New Roman"/>
          <w:sz w:val="28"/>
          <w:lang w:val="en-ZA"/>
        </w:rPr>
        <w:t>possession of something, (b) subject to a trust. As to the latter element, this connotes that the person entrusted is bound to deal with the property or money concerned for the benefit of others</w:t>
      </w:r>
      <w:r w:rsidR="00355652" w:rsidRPr="00917FC2">
        <w:rPr>
          <w:rFonts w:ascii="Times New Roman" w:hAnsi="Times New Roman"/>
          <w:sz w:val="28"/>
          <w:lang w:val="en-ZA"/>
        </w:rPr>
        <w:t xml:space="preserve"> . . .</w:t>
      </w:r>
      <w:r w:rsidR="00EB2568" w:rsidRPr="00917FC2">
        <w:rPr>
          <w:rFonts w:ascii="Times New Roman" w:hAnsi="Times New Roman"/>
          <w:sz w:val="28"/>
          <w:lang w:val="en-ZA"/>
        </w:rPr>
        <w:t>’</w:t>
      </w:r>
      <w:r w:rsidR="00EB2568" w:rsidRPr="00917FC2">
        <w:rPr>
          <w:rFonts w:ascii="Times New Roman" w:hAnsi="Times New Roman" w:cs="Times New Roman"/>
          <w:sz w:val="28"/>
          <w:szCs w:val="28"/>
          <w:lang w:val="en-ZA"/>
        </w:rPr>
        <w:t>.</w:t>
      </w:r>
    </w:p>
    <w:p w14:paraId="2F809D6C" w14:textId="77777777" w:rsidR="00EB2568" w:rsidRPr="00917FC2" w:rsidRDefault="00EB2568" w:rsidP="00EB2568">
      <w:pPr>
        <w:pStyle w:val="BodyA"/>
        <w:spacing w:after="0" w:line="360" w:lineRule="auto"/>
        <w:ind w:left="720" w:hanging="720"/>
        <w:rPr>
          <w:rFonts w:ascii="Times New Roman" w:hAnsi="Times New Roman" w:cs="Times New Roman"/>
          <w:sz w:val="28"/>
          <w:szCs w:val="28"/>
          <w:lang w:val="en-ZA"/>
        </w:rPr>
      </w:pPr>
    </w:p>
    <w:p w14:paraId="7423F406" w14:textId="3C3B7471" w:rsidR="00EB2568" w:rsidRPr="00917FC2" w:rsidRDefault="003471A8" w:rsidP="00EB2568">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[2</w:t>
      </w:r>
      <w:r w:rsidR="0064537E" w:rsidRPr="00917FC2">
        <w:rPr>
          <w:rFonts w:ascii="Times New Roman" w:hAnsi="Times New Roman" w:cs="Times New Roman"/>
          <w:sz w:val="28"/>
          <w:szCs w:val="28"/>
          <w:lang w:val="en-ZA"/>
        </w:rPr>
        <w:t>7</w:t>
      </w:r>
      <w:r w:rsidR="00EB2568"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EB2568" w:rsidRPr="00917FC2">
        <w:rPr>
          <w:rFonts w:ascii="Times New Roman" w:hAnsi="Times New Roman" w:cs="Times New Roman"/>
          <w:sz w:val="28"/>
          <w:szCs w:val="28"/>
          <w:lang w:val="en-ZA"/>
        </w:rPr>
        <w:t>In the context of the factual matrix of this case, it is logica</w:t>
      </w:r>
      <w:r w:rsidR="00784A08" w:rsidRPr="00917FC2">
        <w:rPr>
          <w:rFonts w:ascii="Times New Roman" w:hAnsi="Times New Roman" w:cs="Times New Roman"/>
          <w:sz w:val="28"/>
          <w:szCs w:val="28"/>
          <w:lang w:val="en-ZA"/>
        </w:rPr>
        <w:t>l that the starting point must</w:t>
      </w:r>
      <w:r w:rsidR="00EB2568" w:rsidRPr="00917FC2">
        <w:rPr>
          <w:rFonts w:ascii="Times New Roman" w:hAnsi="Times New Roman" w:cs="Times New Roman"/>
          <w:sz w:val="28"/>
          <w:szCs w:val="28"/>
          <w:lang w:val="en-ZA"/>
        </w:rPr>
        <w:t xml:space="preserve"> be whether the appellant has established, on a balance of probabilities, that clients paid money to Costa Attorneys as cover for his fees. This was also the main ground on which the respondent had joined issue with the appellant in its answeri</w:t>
      </w:r>
      <w:r w:rsidR="00EF7295" w:rsidRPr="00917FC2">
        <w:rPr>
          <w:rFonts w:ascii="Times New Roman" w:hAnsi="Times New Roman" w:cs="Times New Roman"/>
          <w:sz w:val="28"/>
          <w:szCs w:val="28"/>
          <w:lang w:val="en-ZA"/>
        </w:rPr>
        <w:t>ng affidavit. The respondent</w:t>
      </w:r>
      <w:r w:rsidR="00DF4464" w:rsidRPr="00917FC2">
        <w:rPr>
          <w:rFonts w:ascii="Times New Roman" w:hAnsi="Times New Roman" w:cs="Times New Roman"/>
          <w:sz w:val="28"/>
          <w:szCs w:val="28"/>
          <w:lang w:val="en-ZA"/>
        </w:rPr>
        <w:t xml:space="preserve"> </w:t>
      </w:r>
      <w:r w:rsidR="00EB2568" w:rsidRPr="00917FC2">
        <w:rPr>
          <w:rFonts w:ascii="Times New Roman" w:hAnsi="Times New Roman" w:cs="Times New Roman"/>
          <w:sz w:val="28"/>
          <w:szCs w:val="28"/>
          <w:lang w:val="en-ZA"/>
        </w:rPr>
        <w:t>stated, upfront, that</w:t>
      </w:r>
      <w:r w:rsidR="00AB3BAD" w:rsidRPr="00917FC2">
        <w:rPr>
          <w:rFonts w:ascii="Times New Roman" w:hAnsi="Times New Roman" w:cs="Times New Roman"/>
          <w:sz w:val="28"/>
          <w:szCs w:val="28"/>
          <w:lang w:val="en-ZA"/>
        </w:rPr>
        <w:t xml:space="preserve"> its main reason for rejecting</w:t>
      </w:r>
      <w:r w:rsidR="00DA5F54" w:rsidRPr="00917FC2">
        <w:rPr>
          <w:rFonts w:ascii="Times New Roman" w:hAnsi="Times New Roman" w:cs="Times New Roman"/>
          <w:sz w:val="28"/>
          <w:szCs w:val="28"/>
          <w:lang w:val="en-ZA"/>
        </w:rPr>
        <w:t xml:space="preserve"> </w:t>
      </w:r>
      <w:r w:rsidR="00EB2568" w:rsidRPr="00917FC2">
        <w:rPr>
          <w:rFonts w:ascii="Times New Roman" w:hAnsi="Times New Roman" w:cs="Times New Roman"/>
          <w:sz w:val="28"/>
          <w:szCs w:val="28"/>
          <w:lang w:val="en-ZA"/>
        </w:rPr>
        <w:t xml:space="preserve">the appellant’s claim was </w:t>
      </w:r>
      <w:r w:rsidR="00AB3BAD" w:rsidRPr="00917FC2">
        <w:rPr>
          <w:rFonts w:ascii="Times New Roman" w:hAnsi="Times New Roman" w:cs="Times New Roman"/>
          <w:sz w:val="28"/>
          <w:szCs w:val="28"/>
          <w:lang w:val="en-ZA"/>
        </w:rPr>
        <w:t>that</w:t>
      </w:r>
      <w:r w:rsidR="00EB2568" w:rsidRPr="00917FC2">
        <w:rPr>
          <w:rFonts w:ascii="Times New Roman" w:hAnsi="Times New Roman" w:cs="Times New Roman"/>
          <w:sz w:val="28"/>
          <w:szCs w:val="28"/>
          <w:lang w:val="en-ZA"/>
        </w:rPr>
        <w:t xml:space="preserve"> he was unable to discharge the onus of proving that </w:t>
      </w:r>
      <w:r w:rsidR="00355652" w:rsidRPr="00917FC2">
        <w:rPr>
          <w:rFonts w:ascii="Times New Roman" w:hAnsi="Times New Roman" w:cs="Times New Roman"/>
          <w:sz w:val="28"/>
          <w:szCs w:val="28"/>
          <w:lang w:val="en-ZA"/>
        </w:rPr>
        <w:t xml:space="preserve">the </w:t>
      </w:r>
      <w:r w:rsidR="00EB2568" w:rsidRPr="00917FC2">
        <w:rPr>
          <w:rFonts w:ascii="Times New Roman" w:hAnsi="Times New Roman" w:cs="Times New Roman"/>
          <w:sz w:val="28"/>
          <w:szCs w:val="28"/>
          <w:lang w:val="en-ZA"/>
        </w:rPr>
        <w:t xml:space="preserve">funds </w:t>
      </w:r>
      <w:r w:rsidR="009F50F0" w:rsidRPr="00917FC2">
        <w:rPr>
          <w:rFonts w:ascii="Times New Roman" w:hAnsi="Times New Roman" w:cs="Times New Roman"/>
          <w:sz w:val="28"/>
          <w:szCs w:val="28"/>
          <w:lang w:val="en-ZA"/>
        </w:rPr>
        <w:t>were e</w:t>
      </w:r>
      <w:r w:rsidR="00EB2568" w:rsidRPr="00917FC2">
        <w:rPr>
          <w:rFonts w:ascii="Times New Roman" w:hAnsi="Times New Roman" w:cs="Times New Roman"/>
          <w:sz w:val="28"/>
          <w:szCs w:val="28"/>
          <w:lang w:val="en-ZA"/>
        </w:rPr>
        <w:t xml:space="preserve">ntrusted to Costa Attorneys on his behalf. </w:t>
      </w:r>
    </w:p>
    <w:p w14:paraId="22558870" w14:textId="77777777" w:rsidR="00EB2568" w:rsidRPr="00917FC2" w:rsidRDefault="00EB2568" w:rsidP="005C0E40">
      <w:pPr>
        <w:pStyle w:val="BodyA"/>
        <w:spacing w:after="0" w:line="360" w:lineRule="auto"/>
        <w:rPr>
          <w:rFonts w:ascii="Times New Roman" w:hAnsi="Times New Roman" w:cs="Times New Roman"/>
          <w:b/>
          <w:sz w:val="28"/>
          <w:szCs w:val="28"/>
          <w:u w:val="single"/>
          <w:lang w:val="en-ZA"/>
        </w:rPr>
      </w:pPr>
    </w:p>
    <w:p w14:paraId="465FE6B6" w14:textId="6646C3C1" w:rsidR="00DC39D2" w:rsidRPr="00917FC2" w:rsidRDefault="003471A8"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lastRenderedPageBreak/>
        <w:t>[2</w:t>
      </w:r>
      <w:r w:rsidR="0064537E" w:rsidRPr="00917FC2">
        <w:rPr>
          <w:rFonts w:ascii="Times New Roman" w:hAnsi="Times New Roman" w:cs="Times New Roman"/>
          <w:sz w:val="28"/>
          <w:szCs w:val="28"/>
          <w:lang w:val="en-ZA"/>
        </w:rPr>
        <w:t>8</w:t>
      </w:r>
      <w:r w:rsidR="00A94C0A"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B36D26" w:rsidRPr="00917FC2">
        <w:rPr>
          <w:rFonts w:ascii="Times New Roman" w:hAnsi="Times New Roman" w:cs="Times New Roman"/>
          <w:sz w:val="28"/>
          <w:szCs w:val="28"/>
          <w:lang w:val="en-ZA"/>
        </w:rPr>
        <w:t>The appellant has</w:t>
      </w:r>
      <w:r w:rsidR="00A94C0A" w:rsidRPr="00917FC2">
        <w:rPr>
          <w:rFonts w:ascii="Times New Roman" w:hAnsi="Times New Roman" w:cs="Times New Roman"/>
          <w:sz w:val="28"/>
          <w:szCs w:val="28"/>
          <w:lang w:val="en-ZA"/>
        </w:rPr>
        <w:t xml:space="preserve"> corr</w:t>
      </w:r>
      <w:r w:rsidR="00CC1942" w:rsidRPr="00917FC2">
        <w:rPr>
          <w:rFonts w:ascii="Times New Roman" w:hAnsi="Times New Roman" w:cs="Times New Roman"/>
          <w:sz w:val="28"/>
          <w:szCs w:val="28"/>
          <w:lang w:val="en-ZA"/>
        </w:rPr>
        <w:t>ect</w:t>
      </w:r>
      <w:r w:rsidR="00B36D26" w:rsidRPr="00917FC2">
        <w:rPr>
          <w:rFonts w:ascii="Times New Roman" w:hAnsi="Times New Roman" w:cs="Times New Roman"/>
          <w:sz w:val="28"/>
          <w:szCs w:val="28"/>
          <w:lang w:val="en-ZA"/>
        </w:rPr>
        <w:t>ly</w:t>
      </w:r>
      <w:r w:rsidR="00CC1942" w:rsidRPr="00917FC2">
        <w:rPr>
          <w:rFonts w:ascii="Times New Roman" w:hAnsi="Times New Roman" w:cs="Times New Roman"/>
          <w:sz w:val="28"/>
          <w:szCs w:val="28"/>
          <w:lang w:val="en-ZA"/>
        </w:rPr>
        <w:t xml:space="preserve"> </w:t>
      </w:r>
      <w:r w:rsidR="00B36D26" w:rsidRPr="00917FC2">
        <w:rPr>
          <w:rFonts w:ascii="Times New Roman" w:hAnsi="Times New Roman" w:cs="Times New Roman"/>
          <w:sz w:val="28"/>
          <w:szCs w:val="28"/>
          <w:lang w:val="en-ZA"/>
        </w:rPr>
        <w:t>submitted</w:t>
      </w:r>
      <w:r w:rsidR="00CC1942" w:rsidRPr="00917FC2">
        <w:rPr>
          <w:rFonts w:ascii="Times New Roman" w:hAnsi="Times New Roman" w:cs="Times New Roman"/>
          <w:sz w:val="28"/>
          <w:szCs w:val="28"/>
          <w:lang w:val="en-ZA"/>
        </w:rPr>
        <w:t xml:space="preserve"> that the high c</w:t>
      </w:r>
      <w:r w:rsidR="00A94C0A" w:rsidRPr="00917FC2">
        <w:rPr>
          <w:rFonts w:ascii="Times New Roman" w:hAnsi="Times New Roman" w:cs="Times New Roman"/>
          <w:sz w:val="28"/>
          <w:szCs w:val="28"/>
          <w:lang w:val="en-ZA"/>
        </w:rPr>
        <w:t>ourt did not have any grounds for deciding the matter on the a</w:t>
      </w:r>
      <w:r w:rsidR="00901A8F" w:rsidRPr="00917FC2">
        <w:rPr>
          <w:rFonts w:ascii="Times New Roman" w:hAnsi="Times New Roman" w:cs="Times New Roman"/>
          <w:sz w:val="28"/>
          <w:szCs w:val="28"/>
          <w:lang w:val="en-ZA"/>
        </w:rPr>
        <w:t xml:space="preserve">ssumption that </w:t>
      </w:r>
      <w:r w:rsidR="009F50F0" w:rsidRPr="00917FC2">
        <w:rPr>
          <w:rFonts w:ascii="Times New Roman" w:hAnsi="Times New Roman" w:cs="Times New Roman"/>
          <w:sz w:val="28"/>
          <w:szCs w:val="28"/>
          <w:lang w:val="en-ZA"/>
        </w:rPr>
        <w:t xml:space="preserve">the </w:t>
      </w:r>
      <w:r w:rsidR="00901A8F" w:rsidRPr="00917FC2">
        <w:rPr>
          <w:rFonts w:ascii="Times New Roman" w:hAnsi="Times New Roman" w:cs="Times New Roman"/>
          <w:sz w:val="28"/>
          <w:szCs w:val="28"/>
          <w:lang w:val="en-ZA"/>
        </w:rPr>
        <w:t xml:space="preserve">funds </w:t>
      </w:r>
      <w:r w:rsidR="009F50F0" w:rsidRPr="00917FC2">
        <w:rPr>
          <w:rFonts w:ascii="Times New Roman" w:hAnsi="Times New Roman" w:cs="Times New Roman"/>
          <w:sz w:val="28"/>
          <w:szCs w:val="28"/>
          <w:lang w:val="en-ZA"/>
        </w:rPr>
        <w:t xml:space="preserve">were </w:t>
      </w:r>
      <w:r w:rsidR="00A94C0A" w:rsidRPr="00917FC2">
        <w:rPr>
          <w:rFonts w:ascii="Times New Roman" w:hAnsi="Times New Roman" w:cs="Times New Roman"/>
          <w:sz w:val="28"/>
          <w:szCs w:val="28"/>
          <w:lang w:val="en-ZA"/>
        </w:rPr>
        <w:t>paid by Costa</w:t>
      </w:r>
      <w:r w:rsidR="00CC1942" w:rsidRPr="00917FC2">
        <w:rPr>
          <w:rFonts w:ascii="Times New Roman" w:hAnsi="Times New Roman" w:cs="Times New Roman"/>
          <w:sz w:val="28"/>
          <w:szCs w:val="28"/>
          <w:lang w:val="en-ZA"/>
        </w:rPr>
        <w:t xml:space="preserve"> </w:t>
      </w:r>
      <w:r w:rsidR="00EA5397" w:rsidRPr="00917FC2">
        <w:rPr>
          <w:rFonts w:ascii="Times New Roman" w:hAnsi="Times New Roman" w:cs="Times New Roman"/>
          <w:sz w:val="28"/>
          <w:szCs w:val="28"/>
          <w:lang w:val="en-ZA"/>
        </w:rPr>
        <w:t xml:space="preserve">Attorneys’ clients </w:t>
      </w:r>
      <w:r w:rsidR="00A94C0A" w:rsidRPr="00917FC2">
        <w:rPr>
          <w:rFonts w:ascii="Times New Roman" w:hAnsi="Times New Roman" w:cs="Times New Roman"/>
          <w:sz w:val="28"/>
          <w:szCs w:val="28"/>
          <w:lang w:val="en-ZA"/>
        </w:rPr>
        <w:t xml:space="preserve">as cover for </w:t>
      </w:r>
      <w:r w:rsidR="005D751F" w:rsidRPr="00917FC2">
        <w:rPr>
          <w:rFonts w:ascii="Times New Roman" w:hAnsi="Times New Roman" w:cs="Times New Roman"/>
          <w:sz w:val="28"/>
          <w:szCs w:val="28"/>
          <w:lang w:val="en-ZA"/>
        </w:rPr>
        <w:t>his fees, since</w:t>
      </w:r>
      <w:r w:rsidR="007D40F0" w:rsidRPr="00917FC2">
        <w:rPr>
          <w:rFonts w:ascii="Times New Roman" w:hAnsi="Times New Roman" w:cs="Times New Roman"/>
          <w:sz w:val="28"/>
          <w:szCs w:val="28"/>
          <w:lang w:val="en-ZA"/>
        </w:rPr>
        <w:t xml:space="preserve"> </w:t>
      </w:r>
      <w:r w:rsidR="000D720D" w:rsidRPr="00917FC2">
        <w:rPr>
          <w:rFonts w:ascii="Times New Roman" w:hAnsi="Times New Roman" w:cs="Times New Roman"/>
          <w:sz w:val="28"/>
          <w:szCs w:val="28"/>
          <w:lang w:val="en-ZA"/>
        </w:rPr>
        <w:t xml:space="preserve">the respondent unambiguously denied </w:t>
      </w:r>
      <w:r w:rsidR="007D40F0" w:rsidRPr="00917FC2">
        <w:rPr>
          <w:rFonts w:ascii="Times New Roman" w:hAnsi="Times New Roman" w:cs="Times New Roman"/>
          <w:sz w:val="28"/>
          <w:szCs w:val="28"/>
          <w:lang w:val="en-ZA"/>
        </w:rPr>
        <w:t>that assertion</w:t>
      </w:r>
      <w:r w:rsidR="00E65E91" w:rsidRPr="00917FC2">
        <w:rPr>
          <w:rFonts w:ascii="Times New Roman" w:hAnsi="Times New Roman" w:cs="Times New Roman"/>
          <w:sz w:val="28"/>
          <w:szCs w:val="28"/>
          <w:lang w:val="en-ZA"/>
        </w:rPr>
        <w:t xml:space="preserve"> </w:t>
      </w:r>
      <w:r w:rsidR="00BB54A2" w:rsidRPr="00917FC2">
        <w:rPr>
          <w:rFonts w:ascii="Times New Roman" w:hAnsi="Times New Roman" w:cs="Times New Roman"/>
          <w:sz w:val="28"/>
          <w:szCs w:val="28"/>
          <w:lang w:val="en-ZA"/>
        </w:rPr>
        <w:t xml:space="preserve">in its answering affidavit. </w:t>
      </w:r>
      <w:r w:rsidR="005D751F" w:rsidRPr="00917FC2">
        <w:rPr>
          <w:rFonts w:ascii="Times New Roman" w:hAnsi="Times New Roman" w:cs="Times New Roman"/>
          <w:sz w:val="28"/>
          <w:szCs w:val="28"/>
          <w:lang w:val="en-ZA"/>
        </w:rPr>
        <w:t>Moreover,</w:t>
      </w:r>
      <w:r w:rsidR="00BB54A2" w:rsidRPr="00917FC2">
        <w:rPr>
          <w:rFonts w:ascii="Times New Roman" w:hAnsi="Times New Roman" w:cs="Times New Roman"/>
          <w:sz w:val="28"/>
          <w:szCs w:val="28"/>
          <w:lang w:val="en-ZA"/>
        </w:rPr>
        <w:t xml:space="preserve"> as I have mentioned earlier</w:t>
      </w:r>
      <w:r w:rsidR="007D40F0" w:rsidRPr="00917FC2">
        <w:rPr>
          <w:rFonts w:ascii="Times New Roman" w:hAnsi="Times New Roman" w:cs="Times New Roman"/>
          <w:sz w:val="28"/>
          <w:szCs w:val="28"/>
          <w:lang w:val="en-ZA"/>
        </w:rPr>
        <w:t xml:space="preserve">, where a client’s payment </w:t>
      </w:r>
      <w:r w:rsidR="005D751F" w:rsidRPr="00917FC2">
        <w:rPr>
          <w:rFonts w:ascii="Times New Roman" w:hAnsi="Times New Roman" w:cs="Times New Roman"/>
          <w:sz w:val="28"/>
          <w:szCs w:val="28"/>
          <w:lang w:val="en-ZA"/>
        </w:rPr>
        <w:t xml:space="preserve">to an attorney </w:t>
      </w:r>
      <w:r w:rsidR="006512B6" w:rsidRPr="00917FC2">
        <w:rPr>
          <w:rFonts w:ascii="Times New Roman" w:hAnsi="Times New Roman" w:cs="Times New Roman"/>
          <w:sz w:val="28"/>
          <w:szCs w:val="28"/>
          <w:lang w:val="en-ZA"/>
        </w:rPr>
        <w:t>has been</w:t>
      </w:r>
      <w:r w:rsidR="005D751F" w:rsidRPr="00917FC2">
        <w:rPr>
          <w:rFonts w:ascii="Times New Roman" w:hAnsi="Times New Roman" w:cs="Times New Roman"/>
          <w:sz w:val="28"/>
          <w:szCs w:val="28"/>
          <w:lang w:val="en-ZA"/>
        </w:rPr>
        <w:t xml:space="preserve"> put i</w:t>
      </w:r>
      <w:r w:rsidR="00BB54A2" w:rsidRPr="00917FC2">
        <w:rPr>
          <w:rFonts w:ascii="Times New Roman" w:hAnsi="Times New Roman" w:cs="Times New Roman"/>
          <w:sz w:val="28"/>
          <w:szCs w:val="28"/>
          <w:lang w:val="en-ZA"/>
        </w:rPr>
        <w:t xml:space="preserve">n issue, the court </w:t>
      </w:r>
      <w:r w:rsidR="007D40F0" w:rsidRPr="00917FC2">
        <w:rPr>
          <w:rFonts w:ascii="Times New Roman" w:hAnsi="Times New Roman" w:cs="Times New Roman"/>
          <w:sz w:val="28"/>
          <w:szCs w:val="28"/>
          <w:lang w:val="en-ZA"/>
        </w:rPr>
        <w:t>must</w:t>
      </w:r>
      <w:r w:rsidR="005D751F" w:rsidRPr="00917FC2">
        <w:rPr>
          <w:rFonts w:ascii="Times New Roman" w:hAnsi="Times New Roman" w:cs="Times New Roman"/>
          <w:sz w:val="28"/>
          <w:szCs w:val="28"/>
          <w:lang w:val="en-ZA"/>
        </w:rPr>
        <w:t>,</w:t>
      </w:r>
      <w:r w:rsidR="007D40F0" w:rsidRPr="00917FC2">
        <w:rPr>
          <w:rFonts w:ascii="Times New Roman" w:hAnsi="Times New Roman" w:cs="Times New Roman"/>
          <w:sz w:val="28"/>
          <w:szCs w:val="28"/>
          <w:lang w:val="en-ZA"/>
        </w:rPr>
        <w:t xml:space="preserve"> </w:t>
      </w:r>
      <w:r w:rsidR="00BB54A2" w:rsidRPr="00917FC2">
        <w:rPr>
          <w:rFonts w:ascii="Times New Roman" w:hAnsi="Times New Roman" w:cs="Times New Roman"/>
          <w:sz w:val="28"/>
          <w:szCs w:val="28"/>
          <w:lang w:val="en-ZA"/>
        </w:rPr>
        <w:t>as a first step</w:t>
      </w:r>
      <w:r w:rsidR="005D751F" w:rsidRPr="00917FC2">
        <w:rPr>
          <w:rFonts w:ascii="Times New Roman" w:hAnsi="Times New Roman" w:cs="Times New Roman"/>
          <w:sz w:val="28"/>
          <w:szCs w:val="28"/>
          <w:lang w:val="en-ZA"/>
        </w:rPr>
        <w:t>,</w:t>
      </w:r>
      <w:r w:rsidR="00BB54A2" w:rsidRPr="00917FC2">
        <w:rPr>
          <w:rFonts w:ascii="Times New Roman" w:hAnsi="Times New Roman" w:cs="Times New Roman"/>
          <w:sz w:val="28"/>
          <w:szCs w:val="28"/>
          <w:lang w:val="en-ZA"/>
        </w:rPr>
        <w:t xml:space="preserve"> </w:t>
      </w:r>
      <w:r w:rsidR="007D40F0" w:rsidRPr="00917FC2">
        <w:rPr>
          <w:rFonts w:ascii="Times New Roman" w:hAnsi="Times New Roman" w:cs="Times New Roman"/>
          <w:sz w:val="28"/>
          <w:szCs w:val="28"/>
          <w:lang w:val="en-ZA"/>
        </w:rPr>
        <w:t>resolve that dispute</w:t>
      </w:r>
      <w:r w:rsidR="0074494D" w:rsidRPr="00917FC2">
        <w:rPr>
          <w:rFonts w:ascii="Times New Roman" w:hAnsi="Times New Roman" w:cs="Times New Roman"/>
          <w:sz w:val="28"/>
          <w:szCs w:val="28"/>
          <w:lang w:val="en-ZA"/>
        </w:rPr>
        <w:t>. It is only once that issue has</w:t>
      </w:r>
      <w:r w:rsidR="00BB54A2" w:rsidRPr="00917FC2">
        <w:rPr>
          <w:rFonts w:ascii="Times New Roman" w:hAnsi="Times New Roman" w:cs="Times New Roman"/>
          <w:sz w:val="28"/>
          <w:szCs w:val="28"/>
          <w:lang w:val="en-ZA"/>
        </w:rPr>
        <w:t xml:space="preserve"> been determined that it becomes necessary to consider </w:t>
      </w:r>
      <w:r w:rsidR="00B36D26" w:rsidRPr="00917FC2">
        <w:rPr>
          <w:rFonts w:ascii="Times New Roman" w:hAnsi="Times New Roman" w:cs="Times New Roman"/>
          <w:sz w:val="28"/>
          <w:szCs w:val="28"/>
          <w:lang w:val="en-ZA"/>
        </w:rPr>
        <w:t>the other re</w:t>
      </w:r>
      <w:r w:rsidR="00883E2A" w:rsidRPr="00917FC2">
        <w:rPr>
          <w:rFonts w:ascii="Times New Roman" w:hAnsi="Times New Roman" w:cs="Times New Roman"/>
          <w:sz w:val="28"/>
          <w:szCs w:val="28"/>
          <w:lang w:val="en-ZA"/>
        </w:rPr>
        <w:t xml:space="preserve">quirements </w:t>
      </w:r>
      <w:r w:rsidR="005D751F" w:rsidRPr="00917FC2">
        <w:rPr>
          <w:rFonts w:ascii="Times New Roman" w:hAnsi="Times New Roman" w:cs="Times New Roman"/>
          <w:sz w:val="28"/>
          <w:szCs w:val="28"/>
          <w:lang w:val="en-ZA"/>
        </w:rPr>
        <w:t>mentioned in s</w:t>
      </w:r>
      <w:r w:rsidR="00355652" w:rsidRPr="00917FC2">
        <w:rPr>
          <w:rFonts w:ascii="Times New Roman" w:hAnsi="Times New Roman" w:cs="Times New Roman"/>
          <w:sz w:val="28"/>
          <w:szCs w:val="28"/>
          <w:lang w:val="en-ZA"/>
        </w:rPr>
        <w:t xml:space="preserve"> </w:t>
      </w:r>
      <w:r w:rsidR="005D751F" w:rsidRPr="00917FC2">
        <w:rPr>
          <w:rFonts w:ascii="Times New Roman" w:hAnsi="Times New Roman" w:cs="Times New Roman"/>
          <w:sz w:val="28"/>
          <w:szCs w:val="28"/>
          <w:lang w:val="en-ZA"/>
        </w:rPr>
        <w:t>26</w:t>
      </w:r>
      <w:r w:rsidR="00000149" w:rsidRPr="00917FC2">
        <w:rPr>
          <w:rFonts w:ascii="Times New Roman" w:hAnsi="Times New Roman" w:cs="Times New Roman"/>
          <w:sz w:val="28"/>
          <w:szCs w:val="28"/>
          <w:lang w:val="en-ZA"/>
        </w:rPr>
        <w:t>,</w:t>
      </w:r>
      <w:r w:rsidR="00BB54A2" w:rsidRPr="00917FC2">
        <w:rPr>
          <w:rFonts w:ascii="Times New Roman" w:hAnsi="Times New Roman" w:cs="Times New Roman"/>
          <w:sz w:val="28"/>
          <w:szCs w:val="28"/>
          <w:lang w:val="en-ZA"/>
        </w:rPr>
        <w:t xml:space="preserve"> namely</w:t>
      </w:r>
      <w:r w:rsidR="009D7102" w:rsidRPr="00917FC2">
        <w:rPr>
          <w:rFonts w:ascii="Times New Roman" w:hAnsi="Times New Roman" w:cs="Times New Roman"/>
          <w:sz w:val="28"/>
          <w:szCs w:val="28"/>
          <w:lang w:val="en-ZA"/>
        </w:rPr>
        <w:t>,</w:t>
      </w:r>
      <w:r w:rsidR="00BB54A2" w:rsidRPr="00917FC2">
        <w:rPr>
          <w:rFonts w:ascii="Times New Roman" w:hAnsi="Times New Roman" w:cs="Times New Roman"/>
          <w:sz w:val="28"/>
          <w:szCs w:val="28"/>
          <w:lang w:val="en-ZA"/>
        </w:rPr>
        <w:t xml:space="preserve"> the issue</w:t>
      </w:r>
      <w:r w:rsidR="00000149" w:rsidRPr="00917FC2">
        <w:rPr>
          <w:rFonts w:ascii="Times New Roman" w:hAnsi="Times New Roman" w:cs="Times New Roman"/>
          <w:sz w:val="28"/>
          <w:szCs w:val="28"/>
          <w:lang w:val="en-ZA"/>
        </w:rPr>
        <w:t>s</w:t>
      </w:r>
      <w:r w:rsidR="00BB54A2" w:rsidRPr="00917FC2">
        <w:rPr>
          <w:rFonts w:ascii="Times New Roman" w:hAnsi="Times New Roman" w:cs="Times New Roman"/>
          <w:sz w:val="28"/>
          <w:szCs w:val="28"/>
          <w:lang w:val="en-ZA"/>
        </w:rPr>
        <w:t xml:space="preserve"> of entrustment and theft of the funds.</w:t>
      </w:r>
      <w:r w:rsidR="00883E2A" w:rsidRPr="00917FC2">
        <w:rPr>
          <w:rFonts w:ascii="Times New Roman" w:hAnsi="Times New Roman" w:cs="Times New Roman"/>
          <w:sz w:val="28"/>
          <w:szCs w:val="28"/>
          <w:lang w:val="en-ZA"/>
        </w:rPr>
        <w:t xml:space="preserve"> </w:t>
      </w:r>
      <w:r w:rsidR="009D7102" w:rsidRPr="00917FC2">
        <w:rPr>
          <w:rFonts w:ascii="Times New Roman" w:hAnsi="Times New Roman" w:cs="Times New Roman"/>
          <w:sz w:val="28"/>
          <w:szCs w:val="28"/>
          <w:lang w:val="en-ZA"/>
        </w:rPr>
        <w:t>T</w:t>
      </w:r>
      <w:r w:rsidR="00B745DF" w:rsidRPr="00917FC2">
        <w:rPr>
          <w:rFonts w:ascii="Times New Roman" w:hAnsi="Times New Roman" w:cs="Times New Roman"/>
          <w:sz w:val="28"/>
          <w:szCs w:val="28"/>
          <w:lang w:val="en-ZA"/>
        </w:rPr>
        <w:t xml:space="preserve">he appellant’s assertion that the respondent conceded the issue of entrustment is misplaced. </w:t>
      </w:r>
      <w:r w:rsidR="00646679" w:rsidRPr="00917FC2">
        <w:rPr>
          <w:rFonts w:ascii="Times New Roman" w:hAnsi="Times New Roman" w:cs="Times New Roman"/>
          <w:sz w:val="28"/>
          <w:szCs w:val="28"/>
          <w:lang w:val="en-ZA"/>
        </w:rPr>
        <w:t>The appellant’s submissions in this regard were not factual in nature,</w:t>
      </w:r>
      <w:r w:rsidR="00BA5D2A" w:rsidRPr="00917FC2">
        <w:rPr>
          <w:rFonts w:ascii="Times New Roman" w:hAnsi="Times New Roman" w:cs="Times New Roman"/>
          <w:sz w:val="28"/>
          <w:szCs w:val="28"/>
          <w:lang w:val="en-ZA"/>
        </w:rPr>
        <w:t xml:space="preserve"> but </w:t>
      </w:r>
      <w:r w:rsidR="009D7102" w:rsidRPr="00917FC2">
        <w:rPr>
          <w:rFonts w:ascii="Times New Roman" w:hAnsi="Times New Roman" w:cs="Times New Roman"/>
          <w:sz w:val="28"/>
          <w:szCs w:val="28"/>
          <w:lang w:val="en-ZA"/>
        </w:rPr>
        <w:t xml:space="preserve">were </w:t>
      </w:r>
      <w:r w:rsidR="00BA5D2A" w:rsidRPr="00917FC2">
        <w:rPr>
          <w:rFonts w:ascii="Times New Roman" w:hAnsi="Times New Roman" w:cs="Times New Roman"/>
          <w:sz w:val="28"/>
          <w:szCs w:val="28"/>
          <w:lang w:val="en-ZA"/>
        </w:rPr>
        <w:t>legal</w:t>
      </w:r>
      <w:r w:rsidR="00E66889" w:rsidRPr="00917FC2">
        <w:rPr>
          <w:rFonts w:ascii="Times New Roman" w:hAnsi="Times New Roman" w:cs="Times New Roman"/>
          <w:sz w:val="28"/>
          <w:szCs w:val="28"/>
          <w:lang w:val="en-ZA"/>
        </w:rPr>
        <w:t xml:space="preserve"> conclusions without a factual foundation</w:t>
      </w:r>
      <w:r w:rsidR="00646679" w:rsidRPr="00917FC2">
        <w:rPr>
          <w:rFonts w:ascii="Times New Roman" w:hAnsi="Times New Roman" w:cs="Times New Roman"/>
          <w:sz w:val="28"/>
          <w:szCs w:val="28"/>
          <w:lang w:val="en-ZA"/>
        </w:rPr>
        <w:t xml:space="preserve">. </w:t>
      </w:r>
      <w:r w:rsidR="001C1146" w:rsidRPr="00917FC2">
        <w:rPr>
          <w:rFonts w:ascii="Times New Roman" w:hAnsi="Times New Roman" w:cs="Times New Roman"/>
          <w:sz w:val="28"/>
          <w:szCs w:val="28"/>
          <w:lang w:val="en-ZA"/>
        </w:rPr>
        <w:t>In any event, the</w:t>
      </w:r>
      <w:r w:rsidR="00F5529D" w:rsidRPr="00917FC2">
        <w:rPr>
          <w:rFonts w:ascii="Times New Roman" w:hAnsi="Times New Roman" w:cs="Times New Roman"/>
          <w:sz w:val="28"/>
          <w:szCs w:val="28"/>
          <w:lang w:val="en-ZA"/>
        </w:rPr>
        <w:t xml:space="preserve"> </w:t>
      </w:r>
      <w:r w:rsidR="001C1146" w:rsidRPr="00917FC2">
        <w:rPr>
          <w:rFonts w:ascii="Times New Roman" w:hAnsi="Times New Roman" w:cs="Times New Roman"/>
          <w:sz w:val="28"/>
          <w:szCs w:val="28"/>
          <w:lang w:val="en-ZA"/>
        </w:rPr>
        <w:t>question</w:t>
      </w:r>
      <w:r w:rsidR="00DC39D2" w:rsidRPr="00917FC2">
        <w:rPr>
          <w:rFonts w:ascii="Times New Roman" w:hAnsi="Times New Roman" w:cs="Times New Roman"/>
          <w:sz w:val="28"/>
          <w:szCs w:val="28"/>
          <w:lang w:val="en-ZA"/>
        </w:rPr>
        <w:t xml:space="preserve"> as to whethe</w:t>
      </w:r>
      <w:r w:rsidR="00611CEB" w:rsidRPr="00917FC2">
        <w:rPr>
          <w:rFonts w:ascii="Times New Roman" w:hAnsi="Times New Roman" w:cs="Times New Roman"/>
          <w:sz w:val="28"/>
          <w:szCs w:val="28"/>
          <w:lang w:val="en-ZA"/>
        </w:rPr>
        <w:t>r the paym</w:t>
      </w:r>
      <w:r w:rsidR="001C1146" w:rsidRPr="00917FC2">
        <w:rPr>
          <w:rFonts w:ascii="Times New Roman" w:hAnsi="Times New Roman" w:cs="Times New Roman"/>
          <w:sz w:val="28"/>
          <w:szCs w:val="28"/>
          <w:lang w:val="en-ZA"/>
        </w:rPr>
        <w:t>ents to Costa A</w:t>
      </w:r>
      <w:r w:rsidR="00DC39D2" w:rsidRPr="00917FC2">
        <w:rPr>
          <w:rFonts w:ascii="Times New Roman" w:hAnsi="Times New Roman" w:cs="Times New Roman"/>
          <w:sz w:val="28"/>
          <w:szCs w:val="28"/>
          <w:lang w:val="en-ZA"/>
        </w:rPr>
        <w:t>ttorneys constituted entrustments as contemplated</w:t>
      </w:r>
      <w:r w:rsidR="009F50F0" w:rsidRPr="00917FC2">
        <w:rPr>
          <w:rFonts w:ascii="Times New Roman" w:hAnsi="Times New Roman" w:cs="Times New Roman"/>
          <w:sz w:val="28"/>
          <w:szCs w:val="28"/>
          <w:lang w:val="en-ZA"/>
        </w:rPr>
        <w:t xml:space="preserve"> by </w:t>
      </w:r>
      <w:r w:rsidR="00DC39D2" w:rsidRPr="00917FC2">
        <w:rPr>
          <w:rFonts w:ascii="Times New Roman" w:hAnsi="Times New Roman" w:cs="Times New Roman"/>
          <w:sz w:val="28"/>
          <w:szCs w:val="28"/>
          <w:lang w:val="en-ZA"/>
        </w:rPr>
        <w:t>s</w:t>
      </w:r>
      <w:r w:rsidR="00C85AD2" w:rsidRPr="00917FC2">
        <w:rPr>
          <w:rFonts w:ascii="Times New Roman" w:hAnsi="Times New Roman" w:cs="Times New Roman"/>
          <w:sz w:val="28"/>
          <w:szCs w:val="28"/>
          <w:lang w:val="en-ZA"/>
        </w:rPr>
        <w:t xml:space="preserve"> </w:t>
      </w:r>
      <w:r w:rsidR="00DC39D2" w:rsidRPr="00917FC2">
        <w:rPr>
          <w:rFonts w:ascii="Times New Roman" w:hAnsi="Times New Roman" w:cs="Times New Roman"/>
          <w:sz w:val="28"/>
          <w:szCs w:val="28"/>
          <w:lang w:val="en-ZA"/>
        </w:rPr>
        <w:t xml:space="preserve">26 is a legal issue </w:t>
      </w:r>
      <w:r w:rsidR="00D26E58" w:rsidRPr="00917FC2">
        <w:rPr>
          <w:rFonts w:ascii="Times New Roman" w:hAnsi="Times New Roman" w:cs="Times New Roman"/>
          <w:sz w:val="28"/>
          <w:szCs w:val="28"/>
          <w:lang w:val="en-ZA"/>
        </w:rPr>
        <w:t>which must</w:t>
      </w:r>
      <w:r w:rsidR="00DC39D2" w:rsidRPr="00917FC2">
        <w:rPr>
          <w:rFonts w:ascii="Times New Roman" w:hAnsi="Times New Roman" w:cs="Times New Roman"/>
          <w:sz w:val="28"/>
          <w:szCs w:val="28"/>
          <w:lang w:val="en-ZA"/>
        </w:rPr>
        <w:t xml:space="preserve"> be determined by this </w:t>
      </w:r>
      <w:r w:rsidR="00355652" w:rsidRPr="00917FC2">
        <w:rPr>
          <w:rFonts w:ascii="Times New Roman" w:hAnsi="Times New Roman" w:cs="Times New Roman"/>
          <w:sz w:val="28"/>
          <w:szCs w:val="28"/>
          <w:lang w:val="en-ZA"/>
        </w:rPr>
        <w:t>C</w:t>
      </w:r>
      <w:r w:rsidR="00DC39D2" w:rsidRPr="00917FC2">
        <w:rPr>
          <w:rFonts w:ascii="Times New Roman" w:hAnsi="Times New Roman" w:cs="Times New Roman"/>
          <w:sz w:val="28"/>
          <w:szCs w:val="28"/>
          <w:lang w:val="en-ZA"/>
        </w:rPr>
        <w:t xml:space="preserve">ourt </w:t>
      </w:r>
      <w:r w:rsidR="00355652" w:rsidRPr="00917FC2">
        <w:rPr>
          <w:rFonts w:ascii="Times New Roman" w:hAnsi="Times New Roman" w:cs="Times New Roman"/>
          <w:sz w:val="28"/>
          <w:szCs w:val="28"/>
          <w:lang w:val="en-ZA"/>
        </w:rPr>
        <w:t>–</w:t>
      </w:r>
      <w:r w:rsidR="00D26E58" w:rsidRPr="00917FC2">
        <w:rPr>
          <w:rFonts w:ascii="Times New Roman" w:hAnsi="Times New Roman" w:cs="Times New Roman"/>
          <w:sz w:val="28"/>
          <w:szCs w:val="28"/>
          <w:lang w:val="en-ZA"/>
        </w:rPr>
        <w:t xml:space="preserve"> if </w:t>
      </w:r>
      <w:r w:rsidR="008D34BF" w:rsidRPr="00917FC2">
        <w:rPr>
          <w:rFonts w:ascii="Times New Roman" w:hAnsi="Times New Roman" w:cs="Times New Roman"/>
          <w:sz w:val="28"/>
          <w:szCs w:val="28"/>
          <w:lang w:val="en-ZA"/>
        </w:rPr>
        <w:t xml:space="preserve">and when </w:t>
      </w:r>
      <w:r w:rsidR="00611CEB" w:rsidRPr="00917FC2">
        <w:rPr>
          <w:rFonts w:ascii="Times New Roman" w:hAnsi="Times New Roman" w:cs="Times New Roman"/>
          <w:sz w:val="28"/>
          <w:szCs w:val="28"/>
          <w:lang w:val="en-ZA"/>
        </w:rPr>
        <w:t xml:space="preserve">it becomes </w:t>
      </w:r>
      <w:r w:rsidR="00D26E58" w:rsidRPr="00917FC2">
        <w:rPr>
          <w:rFonts w:ascii="Times New Roman" w:hAnsi="Times New Roman" w:cs="Times New Roman"/>
          <w:sz w:val="28"/>
          <w:szCs w:val="28"/>
          <w:lang w:val="en-ZA"/>
        </w:rPr>
        <w:t xml:space="preserve">necessary </w:t>
      </w:r>
      <w:r w:rsidR="00355652" w:rsidRPr="00917FC2">
        <w:rPr>
          <w:rFonts w:ascii="Times New Roman" w:hAnsi="Times New Roman" w:cs="Times New Roman"/>
          <w:sz w:val="28"/>
          <w:szCs w:val="28"/>
          <w:lang w:val="en-ZA"/>
        </w:rPr>
        <w:t>–</w:t>
      </w:r>
      <w:r w:rsidR="00D26E58" w:rsidRPr="00917FC2">
        <w:rPr>
          <w:rFonts w:ascii="Times New Roman" w:hAnsi="Times New Roman" w:cs="Times New Roman"/>
          <w:sz w:val="28"/>
          <w:szCs w:val="28"/>
          <w:lang w:val="en-ZA"/>
        </w:rPr>
        <w:t xml:space="preserve"> </w:t>
      </w:r>
      <w:r w:rsidR="00DC39D2" w:rsidRPr="00917FC2">
        <w:rPr>
          <w:rFonts w:ascii="Times New Roman" w:hAnsi="Times New Roman" w:cs="Times New Roman"/>
          <w:sz w:val="28"/>
          <w:szCs w:val="28"/>
          <w:lang w:val="en-ZA"/>
        </w:rPr>
        <w:t>and any concession</w:t>
      </w:r>
      <w:r w:rsidR="008C428A" w:rsidRPr="00917FC2">
        <w:rPr>
          <w:rFonts w:ascii="Times New Roman" w:hAnsi="Times New Roman" w:cs="Times New Roman"/>
          <w:sz w:val="28"/>
          <w:szCs w:val="28"/>
          <w:lang w:val="en-ZA"/>
        </w:rPr>
        <w:t>s</w:t>
      </w:r>
      <w:r w:rsidR="00DC39D2" w:rsidRPr="00917FC2">
        <w:rPr>
          <w:rFonts w:ascii="Times New Roman" w:hAnsi="Times New Roman" w:cs="Times New Roman"/>
          <w:sz w:val="28"/>
          <w:szCs w:val="28"/>
          <w:lang w:val="en-ZA"/>
        </w:rPr>
        <w:t xml:space="preserve"> </w:t>
      </w:r>
      <w:r w:rsidR="00D26E58" w:rsidRPr="00917FC2">
        <w:rPr>
          <w:rFonts w:ascii="Times New Roman" w:hAnsi="Times New Roman" w:cs="Times New Roman"/>
          <w:sz w:val="28"/>
          <w:szCs w:val="28"/>
          <w:lang w:val="en-ZA"/>
        </w:rPr>
        <w:t xml:space="preserve">made </w:t>
      </w:r>
      <w:r w:rsidR="00DC39D2" w:rsidRPr="00917FC2">
        <w:rPr>
          <w:rFonts w:ascii="Times New Roman" w:hAnsi="Times New Roman" w:cs="Times New Roman"/>
          <w:sz w:val="28"/>
          <w:szCs w:val="28"/>
          <w:lang w:val="en-ZA"/>
        </w:rPr>
        <w:t>by the respondent in this re</w:t>
      </w:r>
      <w:r w:rsidR="0016053E" w:rsidRPr="00917FC2">
        <w:rPr>
          <w:rFonts w:ascii="Times New Roman" w:hAnsi="Times New Roman" w:cs="Times New Roman"/>
          <w:sz w:val="28"/>
          <w:szCs w:val="28"/>
          <w:lang w:val="en-ZA"/>
        </w:rPr>
        <w:t>gard</w:t>
      </w:r>
      <w:r w:rsidR="005F0687" w:rsidRPr="00917FC2">
        <w:rPr>
          <w:rFonts w:ascii="Times New Roman" w:hAnsi="Times New Roman" w:cs="Times New Roman"/>
          <w:sz w:val="28"/>
          <w:szCs w:val="28"/>
          <w:lang w:val="en-ZA"/>
        </w:rPr>
        <w:t xml:space="preserve"> </w:t>
      </w:r>
      <w:r w:rsidR="0057525F" w:rsidRPr="00917FC2">
        <w:rPr>
          <w:rFonts w:ascii="Times New Roman" w:hAnsi="Times New Roman" w:cs="Times New Roman"/>
          <w:sz w:val="28"/>
          <w:szCs w:val="28"/>
          <w:lang w:val="en-ZA"/>
        </w:rPr>
        <w:t>are of no moment</w:t>
      </w:r>
      <w:r w:rsidR="00DC39D2" w:rsidRPr="00917FC2">
        <w:rPr>
          <w:rFonts w:ascii="Times New Roman" w:hAnsi="Times New Roman" w:cs="Times New Roman"/>
          <w:sz w:val="28"/>
          <w:szCs w:val="28"/>
          <w:lang w:val="en-ZA"/>
        </w:rPr>
        <w:t>.</w:t>
      </w:r>
    </w:p>
    <w:p w14:paraId="6822AC88" w14:textId="77777777" w:rsidR="00DC39D2" w:rsidRPr="00917FC2" w:rsidRDefault="00DC39D2" w:rsidP="005C0E40">
      <w:pPr>
        <w:pStyle w:val="BodyA"/>
        <w:spacing w:after="0" w:line="360" w:lineRule="auto"/>
        <w:rPr>
          <w:rFonts w:ascii="Times New Roman" w:hAnsi="Times New Roman" w:cs="Times New Roman"/>
          <w:sz w:val="28"/>
          <w:szCs w:val="28"/>
          <w:lang w:val="en-ZA"/>
        </w:rPr>
      </w:pPr>
    </w:p>
    <w:p w14:paraId="1541C423" w14:textId="1978AD4A" w:rsidR="00FB70E5" w:rsidRPr="00917FC2" w:rsidRDefault="001346B4"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[2</w:t>
      </w:r>
      <w:r w:rsidR="0064537E" w:rsidRPr="00917FC2">
        <w:rPr>
          <w:rFonts w:ascii="Times New Roman" w:hAnsi="Times New Roman" w:cs="Times New Roman"/>
          <w:sz w:val="28"/>
          <w:szCs w:val="28"/>
          <w:lang w:val="en-ZA"/>
        </w:rPr>
        <w:t>9</w:t>
      </w:r>
      <w:r w:rsidR="00EE65F8"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922B74" w:rsidRPr="00917FC2">
        <w:rPr>
          <w:rFonts w:ascii="Times New Roman" w:hAnsi="Times New Roman" w:cs="Times New Roman"/>
          <w:sz w:val="28"/>
          <w:szCs w:val="28"/>
          <w:lang w:val="en-ZA"/>
        </w:rPr>
        <w:t xml:space="preserve">Before </w:t>
      </w:r>
      <w:r w:rsidR="003A16F1" w:rsidRPr="00917FC2">
        <w:rPr>
          <w:rFonts w:ascii="Times New Roman" w:hAnsi="Times New Roman" w:cs="Times New Roman"/>
          <w:sz w:val="28"/>
          <w:szCs w:val="28"/>
          <w:lang w:val="en-ZA"/>
        </w:rPr>
        <w:t>I</w:t>
      </w:r>
      <w:r w:rsidR="00922B74" w:rsidRPr="00917FC2">
        <w:rPr>
          <w:rFonts w:ascii="Times New Roman" w:hAnsi="Times New Roman" w:cs="Times New Roman"/>
          <w:sz w:val="28"/>
          <w:szCs w:val="28"/>
          <w:lang w:val="en-ZA"/>
        </w:rPr>
        <w:t xml:space="preserve"> </w:t>
      </w:r>
      <w:r w:rsidR="003A16F1" w:rsidRPr="00917FC2">
        <w:rPr>
          <w:rFonts w:ascii="Times New Roman" w:hAnsi="Times New Roman" w:cs="Times New Roman"/>
          <w:sz w:val="28"/>
          <w:szCs w:val="28"/>
          <w:lang w:val="en-ZA"/>
        </w:rPr>
        <w:t>turn to consider the adequacy of the proof submitted by the appellant in support of his claims</w:t>
      </w:r>
      <w:r w:rsidR="00922B74" w:rsidRPr="00917FC2">
        <w:rPr>
          <w:rFonts w:ascii="Times New Roman" w:hAnsi="Times New Roman" w:cs="Times New Roman"/>
          <w:sz w:val="28"/>
          <w:szCs w:val="28"/>
          <w:lang w:val="en-ZA"/>
        </w:rPr>
        <w:t>, it is necessary to emphasise that s</w:t>
      </w:r>
      <w:r w:rsidR="00C85AD2" w:rsidRPr="00917FC2">
        <w:rPr>
          <w:rFonts w:ascii="Times New Roman" w:hAnsi="Times New Roman" w:cs="Times New Roman"/>
          <w:sz w:val="28"/>
          <w:szCs w:val="28"/>
          <w:lang w:val="en-ZA"/>
        </w:rPr>
        <w:t xml:space="preserve"> </w:t>
      </w:r>
      <w:r w:rsidR="00922B74" w:rsidRPr="00917FC2">
        <w:rPr>
          <w:rFonts w:ascii="Times New Roman" w:hAnsi="Times New Roman" w:cs="Times New Roman"/>
          <w:sz w:val="28"/>
          <w:szCs w:val="28"/>
          <w:lang w:val="en-ZA"/>
        </w:rPr>
        <w:t>26 provides for reimbursement in respect of pecuniary loss suffered by victims of theft by an attorney in the course of his or her practice</w:t>
      </w:r>
      <w:r w:rsidR="003A16F1" w:rsidRPr="00917FC2">
        <w:rPr>
          <w:rFonts w:ascii="Times New Roman" w:hAnsi="Times New Roman" w:cs="Times New Roman"/>
          <w:sz w:val="28"/>
          <w:szCs w:val="28"/>
          <w:lang w:val="en-ZA"/>
        </w:rPr>
        <w:t>.</w:t>
      </w:r>
      <w:r w:rsidR="006B6740" w:rsidRPr="00917FC2">
        <w:rPr>
          <w:rFonts w:ascii="Times New Roman" w:hAnsi="Times New Roman" w:cs="Times New Roman"/>
          <w:sz w:val="28"/>
          <w:szCs w:val="28"/>
          <w:lang w:val="en-ZA"/>
        </w:rPr>
        <w:t xml:space="preserve"> </w:t>
      </w:r>
      <w:r w:rsidR="002720EE" w:rsidRPr="00917FC2">
        <w:rPr>
          <w:rFonts w:ascii="Times New Roman" w:hAnsi="Times New Roman" w:cs="Times New Roman"/>
          <w:sz w:val="28"/>
          <w:szCs w:val="28"/>
          <w:lang w:val="en-ZA"/>
        </w:rPr>
        <w:t>It was therefore incumbent on the appellant to prove</w:t>
      </w:r>
      <w:r w:rsidR="003C62D7" w:rsidRPr="00917FC2">
        <w:rPr>
          <w:rFonts w:ascii="Times New Roman" w:hAnsi="Times New Roman" w:cs="Times New Roman"/>
          <w:sz w:val="28"/>
          <w:szCs w:val="28"/>
          <w:lang w:val="en-ZA"/>
        </w:rPr>
        <w:t>, on a balance of probabilities,</w:t>
      </w:r>
      <w:r w:rsidR="002720EE" w:rsidRPr="00917FC2">
        <w:rPr>
          <w:rFonts w:ascii="Times New Roman" w:hAnsi="Times New Roman" w:cs="Times New Roman"/>
          <w:sz w:val="28"/>
          <w:szCs w:val="28"/>
          <w:lang w:val="en-ZA"/>
        </w:rPr>
        <w:t xml:space="preserve"> the exact amounts that clients </w:t>
      </w:r>
      <w:r w:rsidR="004D3EA4" w:rsidRPr="00917FC2">
        <w:rPr>
          <w:rFonts w:ascii="Times New Roman" w:hAnsi="Times New Roman" w:cs="Times New Roman"/>
          <w:sz w:val="28"/>
          <w:szCs w:val="28"/>
          <w:lang w:val="en-ZA"/>
        </w:rPr>
        <w:t xml:space="preserve">had </w:t>
      </w:r>
      <w:r w:rsidR="002720EE" w:rsidRPr="00917FC2">
        <w:rPr>
          <w:rFonts w:ascii="Times New Roman" w:hAnsi="Times New Roman" w:cs="Times New Roman"/>
          <w:sz w:val="28"/>
          <w:szCs w:val="28"/>
          <w:lang w:val="en-ZA"/>
        </w:rPr>
        <w:t>paid to Costa Attorneys in respect of each of the matters in which he had rendered tax invoices and had sought reimbursement</w:t>
      </w:r>
      <w:r w:rsidR="00922B74" w:rsidRPr="00917FC2">
        <w:rPr>
          <w:rFonts w:ascii="Times New Roman" w:hAnsi="Times New Roman" w:cs="Times New Roman"/>
          <w:sz w:val="28"/>
          <w:szCs w:val="28"/>
          <w:lang w:val="en-ZA"/>
        </w:rPr>
        <w:t xml:space="preserve">. </w:t>
      </w:r>
      <w:r w:rsidR="005123B7" w:rsidRPr="00917FC2">
        <w:rPr>
          <w:rFonts w:ascii="Times New Roman" w:hAnsi="Times New Roman" w:cs="Times New Roman"/>
          <w:sz w:val="28"/>
          <w:szCs w:val="28"/>
          <w:lang w:val="en-ZA"/>
        </w:rPr>
        <w:t xml:space="preserve">In my view, this </w:t>
      </w:r>
      <w:r w:rsidR="002348E9" w:rsidRPr="00917FC2">
        <w:rPr>
          <w:rFonts w:ascii="Times New Roman" w:hAnsi="Times New Roman" w:cs="Times New Roman"/>
          <w:sz w:val="28"/>
          <w:szCs w:val="28"/>
          <w:lang w:val="en-ZA"/>
        </w:rPr>
        <w:t>C</w:t>
      </w:r>
      <w:r w:rsidR="005123B7" w:rsidRPr="00917FC2">
        <w:rPr>
          <w:rFonts w:ascii="Times New Roman" w:hAnsi="Times New Roman" w:cs="Times New Roman"/>
          <w:sz w:val="28"/>
          <w:szCs w:val="28"/>
          <w:lang w:val="en-ZA"/>
        </w:rPr>
        <w:t xml:space="preserve">ourt </w:t>
      </w:r>
      <w:r w:rsidR="002348E9" w:rsidRPr="00917FC2">
        <w:rPr>
          <w:rFonts w:ascii="Times New Roman" w:hAnsi="Times New Roman" w:cs="Times New Roman"/>
          <w:sz w:val="28"/>
          <w:szCs w:val="28"/>
          <w:lang w:val="en-ZA"/>
        </w:rPr>
        <w:t>i</w:t>
      </w:r>
      <w:r w:rsidR="001B14CD" w:rsidRPr="00917FC2">
        <w:rPr>
          <w:rFonts w:ascii="Times New Roman" w:hAnsi="Times New Roman" w:cs="Times New Roman"/>
          <w:sz w:val="28"/>
          <w:szCs w:val="28"/>
          <w:lang w:val="en-ZA"/>
        </w:rPr>
        <w:t>s not bound by an</w:t>
      </w:r>
      <w:r w:rsidR="00FD62D8" w:rsidRPr="00917FC2">
        <w:rPr>
          <w:rFonts w:ascii="Times New Roman" w:hAnsi="Times New Roman" w:cs="Times New Roman"/>
          <w:sz w:val="28"/>
          <w:szCs w:val="28"/>
          <w:lang w:val="en-ZA"/>
        </w:rPr>
        <w:t xml:space="preserve"> agreement</w:t>
      </w:r>
      <w:r w:rsidR="001B14CD" w:rsidRPr="00917FC2">
        <w:rPr>
          <w:rFonts w:ascii="Times New Roman" w:hAnsi="Times New Roman" w:cs="Times New Roman"/>
          <w:sz w:val="28"/>
          <w:szCs w:val="28"/>
          <w:lang w:val="en-ZA"/>
        </w:rPr>
        <w:t xml:space="preserve"> between the respondent and the </w:t>
      </w:r>
      <w:r w:rsidR="00FA44DE" w:rsidRPr="00917FC2">
        <w:rPr>
          <w:rFonts w:ascii="Times New Roman" w:hAnsi="Times New Roman" w:cs="Times New Roman"/>
          <w:sz w:val="28"/>
          <w:szCs w:val="28"/>
          <w:lang w:val="en-ZA"/>
        </w:rPr>
        <w:t>appellant</w:t>
      </w:r>
      <w:r w:rsidR="005123B7" w:rsidRPr="00917FC2">
        <w:rPr>
          <w:rFonts w:ascii="Times New Roman" w:hAnsi="Times New Roman" w:cs="Times New Roman"/>
          <w:sz w:val="28"/>
          <w:szCs w:val="28"/>
          <w:lang w:val="en-ZA"/>
        </w:rPr>
        <w:t xml:space="preserve"> </w:t>
      </w:r>
      <w:r w:rsidR="005F0687" w:rsidRPr="00917FC2">
        <w:rPr>
          <w:rFonts w:ascii="Times New Roman" w:hAnsi="Times New Roman" w:cs="Times New Roman"/>
          <w:sz w:val="28"/>
          <w:szCs w:val="28"/>
          <w:lang w:val="en-ZA"/>
        </w:rPr>
        <w:t>that</w:t>
      </w:r>
      <w:r w:rsidR="00FA44DE" w:rsidRPr="00917FC2">
        <w:rPr>
          <w:rFonts w:ascii="Times New Roman" w:hAnsi="Times New Roman" w:cs="Times New Roman"/>
          <w:sz w:val="28"/>
          <w:szCs w:val="28"/>
          <w:lang w:val="en-ZA"/>
        </w:rPr>
        <w:t xml:space="preserve"> has</w:t>
      </w:r>
      <w:r w:rsidR="005F0687" w:rsidRPr="00917FC2">
        <w:rPr>
          <w:rFonts w:ascii="Times New Roman" w:hAnsi="Times New Roman" w:cs="Times New Roman"/>
          <w:sz w:val="28"/>
          <w:szCs w:val="28"/>
          <w:lang w:val="en-ZA"/>
        </w:rPr>
        <w:t xml:space="preserve"> the effect of relieving </w:t>
      </w:r>
      <w:r w:rsidR="001B14CD" w:rsidRPr="00917FC2">
        <w:rPr>
          <w:rFonts w:ascii="Times New Roman" w:hAnsi="Times New Roman" w:cs="Times New Roman"/>
          <w:sz w:val="28"/>
          <w:szCs w:val="28"/>
          <w:lang w:val="en-ZA"/>
        </w:rPr>
        <w:t>the latter</w:t>
      </w:r>
      <w:r w:rsidR="005F0687" w:rsidRPr="00917FC2">
        <w:rPr>
          <w:rFonts w:ascii="Times New Roman" w:hAnsi="Times New Roman" w:cs="Times New Roman"/>
          <w:sz w:val="28"/>
          <w:szCs w:val="28"/>
          <w:lang w:val="en-ZA"/>
        </w:rPr>
        <w:t xml:space="preserve"> of the obligatio</w:t>
      </w:r>
      <w:r w:rsidR="00FA44DE" w:rsidRPr="00917FC2">
        <w:rPr>
          <w:rFonts w:ascii="Times New Roman" w:hAnsi="Times New Roman" w:cs="Times New Roman"/>
          <w:sz w:val="28"/>
          <w:szCs w:val="28"/>
          <w:lang w:val="en-ZA"/>
        </w:rPr>
        <w:t>n to prove</w:t>
      </w:r>
      <w:r w:rsidR="005F0687" w:rsidRPr="00917FC2">
        <w:rPr>
          <w:rFonts w:ascii="Times New Roman" w:hAnsi="Times New Roman" w:cs="Times New Roman"/>
          <w:sz w:val="28"/>
          <w:szCs w:val="28"/>
          <w:lang w:val="en-ZA"/>
        </w:rPr>
        <w:t xml:space="preserve"> the </w:t>
      </w:r>
      <w:r w:rsidR="00565CB2" w:rsidRPr="00917FC2">
        <w:rPr>
          <w:rFonts w:ascii="Times New Roman" w:hAnsi="Times New Roman" w:cs="Times New Roman"/>
          <w:sz w:val="28"/>
          <w:szCs w:val="28"/>
          <w:lang w:val="en-ZA"/>
        </w:rPr>
        <w:t>factor</w:t>
      </w:r>
      <w:r w:rsidR="001B14CD" w:rsidRPr="00917FC2">
        <w:rPr>
          <w:rFonts w:ascii="Times New Roman" w:hAnsi="Times New Roman" w:cs="Times New Roman"/>
          <w:sz w:val="28"/>
          <w:szCs w:val="28"/>
          <w:lang w:val="en-ZA"/>
        </w:rPr>
        <w:t>s</w:t>
      </w:r>
      <w:r w:rsidR="005F0687" w:rsidRPr="00917FC2">
        <w:rPr>
          <w:rFonts w:ascii="Times New Roman" w:hAnsi="Times New Roman" w:cs="Times New Roman"/>
          <w:sz w:val="28"/>
          <w:szCs w:val="28"/>
          <w:lang w:val="en-ZA"/>
        </w:rPr>
        <w:t xml:space="preserve"> mentioned in s 26 on a balance of probabilities</w:t>
      </w:r>
      <w:r w:rsidR="005123B7" w:rsidRPr="00917FC2">
        <w:rPr>
          <w:rFonts w:ascii="Times New Roman" w:hAnsi="Times New Roman" w:cs="Times New Roman"/>
          <w:sz w:val="28"/>
          <w:szCs w:val="28"/>
          <w:lang w:val="en-ZA"/>
        </w:rPr>
        <w:t>.</w:t>
      </w:r>
    </w:p>
    <w:p w14:paraId="170E2751" w14:textId="77777777" w:rsidR="00FB70E5" w:rsidRPr="00917FC2" w:rsidRDefault="00FB70E5" w:rsidP="005C0E40">
      <w:pPr>
        <w:pStyle w:val="BodyA"/>
        <w:spacing w:after="0" w:line="360" w:lineRule="auto"/>
        <w:rPr>
          <w:rFonts w:ascii="Times New Roman" w:hAnsi="Times New Roman" w:cs="Times New Roman"/>
          <w:sz w:val="28"/>
          <w:szCs w:val="28"/>
          <w:lang w:val="en-ZA"/>
        </w:rPr>
      </w:pPr>
    </w:p>
    <w:p w14:paraId="15071589" w14:textId="459CC048" w:rsidR="00BB54A2"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lastRenderedPageBreak/>
        <w:t>[</w:t>
      </w:r>
      <w:r w:rsidR="0064537E" w:rsidRPr="00917FC2">
        <w:rPr>
          <w:rFonts w:ascii="Times New Roman" w:hAnsi="Times New Roman" w:cs="Times New Roman"/>
          <w:sz w:val="28"/>
          <w:szCs w:val="28"/>
          <w:lang w:val="en-ZA"/>
        </w:rPr>
        <w:t>30</w:t>
      </w:r>
      <w:r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BB54A2" w:rsidRPr="00917FC2">
        <w:rPr>
          <w:rFonts w:ascii="Times New Roman" w:hAnsi="Times New Roman" w:cs="Times New Roman"/>
          <w:sz w:val="28"/>
          <w:szCs w:val="28"/>
          <w:lang w:val="en-ZA"/>
        </w:rPr>
        <w:t xml:space="preserve">As I have </w:t>
      </w:r>
      <w:r w:rsidR="009D780F" w:rsidRPr="00917FC2">
        <w:rPr>
          <w:rFonts w:ascii="Times New Roman" w:hAnsi="Times New Roman" w:cs="Times New Roman"/>
          <w:sz w:val="28"/>
          <w:szCs w:val="28"/>
          <w:lang w:val="en-ZA"/>
        </w:rPr>
        <w:t>indicate</w:t>
      </w:r>
      <w:r w:rsidR="00BB54A2" w:rsidRPr="00917FC2">
        <w:rPr>
          <w:rFonts w:ascii="Times New Roman" w:hAnsi="Times New Roman" w:cs="Times New Roman"/>
          <w:sz w:val="28"/>
          <w:szCs w:val="28"/>
          <w:lang w:val="en-ZA"/>
        </w:rPr>
        <w:t xml:space="preserve">d earlier, </w:t>
      </w:r>
      <w:r w:rsidR="00C95087" w:rsidRPr="00917FC2">
        <w:rPr>
          <w:rFonts w:ascii="Times New Roman" w:hAnsi="Times New Roman" w:cs="Times New Roman"/>
          <w:sz w:val="28"/>
          <w:szCs w:val="28"/>
          <w:lang w:val="en-ZA"/>
        </w:rPr>
        <w:t xml:space="preserve">the appellant relies </w:t>
      </w:r>
      <w:r w:rsidR="00FC190B" w:rsidRPr="00917FC2">
        <w:rPr>
          <w:rFonts w:ascii="Times New Roman" w:hAnsi="Times New Roman" w:cs="Times New Roman"/>
          <w:sz w:val="28"/>
          <w:szCs w:val="28"/>
          <w:lang w:val="en-ZA"/>
        </w:rPr>
        <w:t xml:space="preserve">only </w:t>
      </w:r>
      <w:r w:rsidR="00C95087" w:rsidRPr="00917FC2">
        <w:rPr>
          <w:rFonts w:ascii="Times New Roman" w:hAnsi="Times New Roman" w:cs="Times New Roman"/>
          <w:sz w:val="28"/>
          <w:szCs w:val="28"/>
          <w:lang w:val="en-ZA"/>
        </w:rPr>
        <w:t xml:space="preserve">on hearsay evidence </w:t>
      </w:r>
      <w:r w:rsidR="00BB54A2" w:rsidRPr="00917FC2">
        <w:rPr>
          <w:rFonts w:ascii="Times New Roman" w:hAnsi="Times New Roman" w:cs="Times New Roman"/>
          <w:sz w:val="28"/>
          <w:szCs w:val="28"/>
          <w:lang w:val="en-ZA"/>
        </w:rPr>
        <w:t xml:space="preserve">in support </w:t>
      </w:r>
      <w:r w:rsidR="00110FDC" w:rsidRPr="00917FC2">
        <w:rPr>
          <w:rFonts w:ascii="Times New Roman" w:hAnsi="Times New Roman" w:cs="Times New Roman"/>
          <w:sz w:val="28"/>
          <w:szCs w:val="28"/>
          <w:lang w:val="en-ZA"/>
        </w:rPr>
        <w:t>of his assertion that clients paid money</w:t>
      </w:r>
      <w:r w:rsidR="00BB54A2" w:rsidRPr="00917FC2">
        <w:rPr>
          <w:rFonts w:ascii="Times New Roman" w:hAnsi="Times New Roman" w:cs="Times New Roman"/>
          <w:sz w:val="28"/>
          <w:szCs w:val="28"/>
          <w:lang w:val="en-ZA"/>
        </w:rPr>
        <w:t xml:space="preserve"> to Costa </w:t>
      </w:r>
      <w:r w:rsidR="00894021" w:rsidRPr="00917FC2">
        <w:rPr>
          <w:rFonts w:ascii="Times New Roman" w:hAnsi="Times New Roman" w:cs="Times New Roman"/>
          <w:sz w:val="28"/>
          <w:szCs w:val="28"/>
          <w:lang w:val="en-ZA"/>
        </w:rPr>
        <w:t xml:space="preserve">Attorneys </w:t>
      </w:r>
      <w:r w:rsidR="006B6740" w:rsidRPr="00917FC2">
        <w:rPr>
          <w:rFonts w:ascii="Times New Roman" w:hAnsi="Times New Roman" w:cs="Times New Roman"/>
          <w:sz w:val="28"/>
          <w:szCs w:val="28"/>
          <w:lang w:val="en-ZA"/>
        </w:rPr>
        <w:t xml:space="preserve">as cover for </w:t>
      </w:r>
      <w:r w:rsidR="00BB54A2" w:rsidRPr="00917FC2">
        <w:rPr>
          <w:rFonts w:ascii="Times New Roman" w:hAnsi="Times New Roman" w:cs="Times New Roman"/>
          <w:sz w:val="28"/>
          <w:szCs w:val="28"/>
          <w:lang w:val="en-ZA"/>
        </w:rPr>
        <w:t>his</w:t>
      </w:r>
      <w:r w:rsidR="00C95087" w:rsidRPr="00917FC2">
        <w:rPr>
          <w:rFonts w:ascii="Times New Roman" w:hAnsi="Times New Roman" w:cs="Times New Roman"/>
          <w:sz w:val="28"/>
          <w:szCs w:val="28"/>
          <w:lang w:val="en-ZA"/>
        </w:rPr>
        <w:t xml:space="preserve"> fees</w:t>
      </w:r>
      <w:r w:rsidR="00BB54A2" w:rsidRPr="00917FC2">
        <w:rPr>
          <w:rFonts w:ascii="Times New Roman" w:hAnsi="Times New Roman" w:cs="Times New Roman"/>
          <w:sz w:val="28"/>
          <w:szCs w:val="28"/>
          <w:lang w:val="en-ZA"/>
        </w:rPr>
        <w:t>. In this regard</w:t>
      </w:r>
      <w:r w:rsidR="006B6740" w:rsidRPr="00917FC2">
        <w:rPr>
          <w:rFonts w:ascii="Times New Roman" w:hAnsi="Times New Roman" w:cs="Times New Roman"/>
          <w:sz w:val="28"/>
          <w:szCs w:val="28"/>
          <w:lang w:val="en-ZA"/>
        </w:rPr>
        <w:t xml:space="preserve">, he stated that </w:t>
      </w:r>
      <w:r w:rsidR="00CF707C" w:rsidRPr="00917FC2">
        <w:rPr>
          <w:rFonts w:ascii="Times New Roman" w:hAnsi="Times New Roman" w:cs="Times New Roman"/>
          <w:sz w:val="28"/>
          <w:szCs w:val="28"/>
          <w:lang w:val="en-ZA"/>
        </w:rPr>
        <w:t xml:space="preserve">the relevant </w:t>
      </w:r>
      <w:r w:rsidR="00BB54A2" w:rsidRPr="00917FC2">
        <w:rPr>
          <w:rFonts w:ascii="Times New Roman" w:hAnsi="Times New Roman" w:cs="Times New Roman"/>
          <w:sz w:val="28"/>
          <w:szCs w:val="28"/>
          <w:lang w:val="en-ZA"/>
        </w:rPr>
        <w:t>client</w:t>
      </w:r>
      <w:r w:rsidR="00110FDC" w:rsidRPr="00917FC2">
        <w:rPr>
          <w:rFonts w:ascii="Times New Roman" w:hAnsi="Times New Roman" w:cs="Times New Roman"/>
          <w:sz w:val="28"/>
          <w:szCs w:val="28"/>
          <w:lang w:val="en-ZA"/>
        </w:rPr>
        <w:t>s had informed him that they</w:t>
      </w:r>
      <w:r w:rsidR="00BB54A2" w:rsidRPr="00917FC2">
        <w:rPr>
          <w:rFonts w:ascii="Times New Roman" w:hAnsi="Times New Roman" w:cs="Times New Roman"/>
          <w:sz w:val="28"/>
          <w:szCs w:val="28"/>
          <w:lang w:val="en-ZA"/>
        </w:rPr>
        <w:t xml:space="preserve"> made payments to Costa </w:t>
      </w:r>
      <w:r w:rsidR="006B6740" w:rsidRPr="00917FC2">
        <w:rPr>
          <w:rFonts w:ascii="Times New Roman" w:hAnsi="Times New Roman" w:cs="Times New Roman"/>
          <w:sz w:val="28"/>
          <w:szCs w:val="28"/>
          <w:lang w:val="en-ZA"/>
        </w:rPr>
        <w:t xml:space="preserve">Attorneys </w:t>
      </w:r>
      <w:r w:rsidR="00823A76" w:rsidRPr="00917FC2">
        <w:rPr>
          <w:rFonts w:ascii="Times New Roman" w:hAnsi="Times New Roman" w:cs="Times New Roman"/>
          <w:sz w:val="28"/>
          <w:szCs w:val="28"/>
          <w:lang w:val="en-ZA"/>
        </w:rPr>
        <w:t>in respect of his fees. H</w:t>
      </w:r>
      <w:r w:rsidR="00BB54A2" w:rsidRPr="00917FC2">
        <w:rPr>
          <w:rFonts w:ascii="Times New Roman" w:hAnsi="Times New Roman" w:cs="Times New Roman"/>
          <w:sz w:val="28"/>
          <w:szCs w:val="28"/>
          <w:lang w:val="en-ZA"/>
        </w:rPr>
        <w:t>owever</w:t>
      </w:r>
      <w:r w:rsidR="006B6740" w:rsidRPr="00917FC2">
        <w:rPr>
          <w:rFonts w:ascii="Times New Roman" w:hAnsi="Times New Roman" w:cs="Times New Roman"/>
          <w:sz w:val="28"/>
          <w:szCs w:val="28"/>
          <w:lang w:val="en-ZA"/>
        </w:rPr>
        <w:t>,</w:t>
      </w:r>
      <w:r w:rsidR="00BB54A2" w:rsidRPr="00917FC2">
        <w:rPr>
          <w:rFonts w:ascii="Times New Roman" w:hAnsi="Times New Roman" w:cs="Times New Roman"/>
          <w:sz w:val="28"/>
          <w:szCs w:val="28"/>
          <w:lang w:val="en-ZA"/>
        </w:rPr>
        <w:t xml:space="preserve"> </w:t>
      </w:r>
      <w:r w:rsidR="00823A76" w:rsidRPr="00917FC2">
        <w:rPr>
          <w:rFonts w:ascii="Times New Roman" w:hAnsi="Times New Roman" w:cs="Times New Roman"/>
          <w:sz w:val="28"/>
          <w:szCs w:val="28"/>
          <w:lang w:val="en-ZA"/>
        </w:rPr>
        <w:t xml:space="preserve">he </w:t>
      </w:r>
      <w:r w:rsidR="00067F3F" w:rsidRPr="00917FC2">
        <w:rPr>
          <w:rFonts w:ascii="Times New Roman" w:hAnsi="Times New Roman" w:cs="Times New Roman"/>
          <w:sz w:val="28"/>
          <w:szCs w:val="28"/>
          <w:lang w:val="en-ZA"/>
        </w:rPr>
        <w:t xml:space="preserve">did </w:t>
      </w:r>
      <w:r w:rsidR="00BB54A2" w:rsidRPr="00917FC2">
        <w:rPr>
          <w:rFonts w:ascii="Times New Roman" w:hAnsi="Times New Roman" w:cs="Times New Roman"/>
          <w:sz w:val="28"/>
          <w:szCs w:val="28"/>
          <w:lang w:val="en-ZA"/>
        </w:rPr>
        <w:t>not o</w:t>
      </w:r>
      <w:r w:rsidR="00C23367" w:rsidRPr="00917FC2">
        <w:rPr>
          <w:rFonts w:ascii="Times New Roman" w:hAnsi="Times New Roman" w:cs="Times New Roman"/>
          <w:sz w:val="28"/>
          <w:szCs w:val="28"/>
          <w:lang w:val="en-ZA"/>
        </w:rPr>
        <w:t>btain confirmatory affidavits from</w:t>
      </w:r>
      <w:r w:rsidR="00CF707C" w:rsidRPr="00917FC2">
        <w:rPr>
          <w:rFonts w:ascii="Times New Roman" w:hAnsi="Times New Roman" w:cs="Times New Roman"/>
          <w:sz w:val="28"/>
          <w:szCs w:val="28"/>
          <w:lang w:val="en-ZA"/>
        </w:rPr>
        <w:t xml:space="preserve"> them</w:t>
      </w:r>
      <w:r w:rsidR="006B6740" w:rsidRPr="00917FC2">
        <w:rPr>
          <w:rFonts w:ascii="Times New Roman" w:hAnsi="Times New Roman" w:cs="Times New Roman"/>
          <w:sz w:val="28"/>
          <w:szCs w:val="28"/>
          <w:lang w:val="en-ZA"/>
        </w:rPr>
        <w:t>, but</w:t>
      </w:r>
      <w:r w:rsidR="00BB54A2" w:rsidRPr="00917FC2">
        <w:rPr>
          <w:rFonts w:ascii="Times New Roman" w:hAnsi="Times New Roman" w:cs="Times New Roman"/>
          <w:sz w:val="28"/>
          <w:szCs w:val="28"/>
          <w:lang w:val="en-ZA"/>
        </w:rPr>
        <w:t xml:space="preserve"> merely provided the respondent with their contact details, expectin</w:t>
      </w:r>
      <w:r w:rsidR="00727952" w:rsidRPr="00917FC2">
        <w:rPr>
          <w:rFonts w:ascii="Times New Roman" w:hAnsi="Times New Roman" w:cs="Times New Roman"/>
          <w:sz w:val="28"/>
          <w:szCs w:val="28"/>
          <w:lang w:val="en-ZA"/>
        </w:rPr>
        <w:t>g the latter</w:t>
      </w:r>
      <w:r w:rsidR="00B41841" w:rsidRPr="00917FC2">
        <w:rPr>
          <w:rFonts w:ascii="Times New Roman" w:hAnsi="Times New Roman" w:cs="Times New Roman"/>
          <w:sz w:val="28"/>
          <w:szCs w:val="28"/>
          <w:lang w:val="en-ZA"/>
        </w:rPr>
        <w:t xml:space="preserve"> to verify his</w:t>
      </w:r>
      <w:r w:rsidR="00BB54A2" w:rsidRPr="00917FC2">
        <w:rPr>
          <w:rFonts w:ascii="Times New Roman" w:hAnsi="Times New Roman" w:cs="Times New Roman"/>
          <w:sz w:val="28"/>
          <w:szCs w:val="28"/>
          <w:lang w:val="en-ZA"/>
        </w:rPr>
        <w:t xml:space="preserve"> claims. </w:t>
      </w:r>
    </w:p>
    <w:p w14:paraId="4BD1EAB5" w14:textId="77777777" w:rsidR="00BB54A2" w:rsidRPr="00917FC2" w:rsidRDefault="00BB54A2" w:rsidP="005C0E40">
      <w:pPr>
        <w:pStyle w:val="BodyA"/>
        <w:spacing w:after="0" w:line="360" w:lineRule="auto"/>
        <w:rPr>
          <w:rFonts w:ascii="Times New Roman" w:hAnsi="Times New Roman" w:cs="Times New Roman"/>
          <w:sz w:val="28"/>
          <w:szCs w:val="28"/>
          <w:lang w:val="en-ZA"/>
        </w:rPr>
      </w:pPr>
    </w:p>
    <w:p w14:paraId="4F25F599" w14:textId="163B65E8" w:rsidR="0045625E"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[3</w:t>
      </w:r>
      <w:r w:rsidR="0064537E" w:rsidRPr="00917FC2">
        <w:rPr>
          <w:rFonts w:ascii="Times New Roman" w:hAnsi="Times New Roman" w:cs="Times New Roman"/>
          <w:sz w:val="28"/>
          <w:szCs w:val="28"/>
          <w:lang w:val="en-ZA"/>
        </w:rPr>
        <w:t>1</w:t>
      </w:r>
      <w:r w:rsidR="00BB54A2"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EB2726" w:rsidRPr="00917FC2">
        <w:rPr>
          <w:rFonts w:ascii="Times New Roman" w:hAnsi="Times New Roman" w:cs="Times New Roman"/>
          <w:sz w:val="28"/>
          <w:szCs w:val="28"/>
          <w:lang w:val="en-ZA"/>
        </w:rPr>
        <w:t>In this regard, the affidavits of Ms Wall, or Messrs Abkin, Tiech and Vaz were of no assistance to the appellant</w:t>
      </w:r>
      <w:r w:rsidR="00BB54A2" w:rsidRPr="00917FC2">
        <w:rPr>
          <w:rFonts w:ascii="Times New Roman" w:hAnsi="Times New Roman" w:cs="Times New Roman"/>
          <w:sz w:val="28"/>
          <w:szCs w:val="28"/>
          <w:lang w:val="en-ZA"/>
        </w:rPr>
        <w:t xml:space="preserve">. </w:t>
      </w:r>
      <w:r w:rsidR="00824D99" w:rsidRPr="00917FC2">
        <w:rPr>
          <w:rFonts w:ascii="Times New Roman" w:hAnsi="Times New Roman" w:cs="Times New Roman"/>
          <w:sz w:val="28"/>
          <w:szCs w:val="28"/>
          <w:lang w:val="en-ZA"/>
        </w:rPr>
        <w:t xml:space="preserve">Ms </w:t>
      </w:r>
      <w:r w:rsidR="00750A64" w:rsidRPr="00917FC2">
        <w:rPr>
          <w:rFonts w:ascii="Times New Roman" w:hAnsi="Times New Roman" w:cs="Times New Roman"/>
          <w:sz w:val="28"/>
          <w:szCs w:val="28"/>
          <w:lang w:val="en-ZA"/>
        </w:rPr>
        <w:t>Wall mere</w:t>
      </w:r>
      <w:r w:rsidR="00BB54A2" w:rsidRPr="00917FC2">
        <w:rPr>
          <w:rFonts w:ascii="Times New Roman" w:hAnsi="Times New Roman" w:cs="Times New Roman"/>
          <w:sz w:val="28"/>
          <w:szCs w:val="28"/>
          <w:lang w:val="en-ZA"/>
        </w:rPr>
        <w:t xml:space="preserve">ly confirmed that Costa </w:t>
      </w:r>
      <w:r w:rsidR="00824D99" w:rsidRPr="00917FC2">
        <w:rPr>
          <w:rFonts w:ascii="Times New Roman" w:hAnsi="Times New Roman" w:cs="Times New Roman"/>
          <w:sz w:val="28"/>
          <w:szCs w:val="28"/>
          <w:lang w:val="en-ZA"/>
        </w:rPr>
        <w:t xml:space="preserve">Attorneys </w:t>
      </w:r>
      <w:r w:rsidR="00BB54A2" w:rsidRPr="00917FC2">
        <w:rPr>
          <w:rFonts w:ascii="Times New Roman" w:hAnsi="Times New Roman" w:cs="Times New Roman"/>
          <w:sz w:val="28"/>
          <w:szCs w:val="28"/>
          <w:lang w:val="en-ZA"/>
        </w:rPr>
        <w:t xml:space="preserve">had a policy to brief counsel </w:t>
      </w:r>
      <w:r w:rsidR="00EB2726" w:rsidRPr="00917FC2">
        <w:rPr>
          <w:rFonts w:ascii="Times New Roman" w:hAnsi="Times New Roman" w:cs="Times New Roman"/>
          <w:sz w:val="28"/>
          <w:szCs w:val="28"/>
          <w:lang w:val="en-ZA"/>
        </w:rPr>
        <w:t>upon receipt</w:t>
      </w:r>
      <w:r w:rsidR="00BB54A2" w:rsidRPr="00917FC2">
        <w:rPr>
          <w:rFonts w:ascii="Times New Roman" w:hAnsi="Times New Roman" w:cs="Times New Roman"/>
          <w:sz w:val="28"/>
          <w:szCs w:val="28"/>
          <w:lang w:val="en-ZA"/>
        </w:rPr>
        <w:t xml:space="preserve"> </w:t>
      </w:r>
      <w:r w:rsidR="00EB2726" w:rsidRPr="00917FC2">
        <w:rPr>
          <w:rFonts w:ascii="Times New Roman" w:hAnsi="Times New Roman" w:cs="Times New Roman"/>
          <w:sz w:val="28"/>
          <w:szCs w:val="28"/>
          <w:lang w:val="en-ZA"/>
        </w:rPr>
        <w:t xml:space="preserve">of </w:t>
      </w:r>
      <w:r w:rsidR="00BB54A2" w:rsidRPr="00917FC2">
        <w:rPr>
          <w:rFonts w:ascii="Times New Roman" w:hAnsi="Times New Roman" w:cs="Times New Roman"/>
          <w:sz w:val="28"/>
          <w:szCs w:val="28"/>
          <w:lang w:val="en-ZA"/>
        </w:rPr>
        <w:t>funds by clients. It is common cause</w:t>
      </w:r>
      <w:r w:rsidR="00824D99" w:rsidRPr="00917FC2">
        <w:rPr>
          <w:rFonts w:ascii="Times New Roman" w:hAnsi="Times New Roman" w:cs="Times New Roman"/>
          <w:sz w:val="28"/>
          <w:szCs w:val="28"/>
          <w:lang w:val="en-ZA"/>
        </w:rPr>
        <w:t>,</w:t>
      </w:r>
      <w:r w:rsidR="00BB54A2" w:rsidRPr="00917FC2">
        <w:rPr>
          <w:rFonts w:ascii="Times New Roman" w:hAnsi="Times New Roman" w:cs="Times New Roman"/>
          <w:sz w:val="28"/>
          <w:szCs w:val="28"/>
          <w:lang w:val="en-ZA"/>
        </w:rPr>
        <w:t xml:space="preserve"> </w:t>
      </w:r>
      <w:r w:rsidR="00824D99" w:rsidRPr="00917FC2">
        <w:rPr>
          <w:rFonts w:ascii="Times New Roman" w:hAnsi="Times New Roman" w:cs="Times New Roman"/>
          <w:sz w:val="28"/>
          <w:szCs w:val="28"/>
          <w:lang w:val="en-ZA"/>
        </w:rPr>
        <w:t>however,</w:t>
      </w:r>
      <w:r w:rsidR="00BB54A2" w:rsidRPr="00917FC2">
        <w:rPr>
          <w:rFonts w:ascii="Times New Roman" w:hAnsi="Times New Roman" w:cs="Times New Roman"/>
          <w:sz w:val="28"/>
          <w:szCs w:val="28"/>
          <w:lang w:val="en-ZA"/>
        </w:rPr>
        <w:t xml:space="preserve"> that she was un</w:t>
      </w:r>
      <w:r w:rsidR="001418FD" w:rsidRPr="00917FC2">
        <w:rPr>
          <w:rFonts w:ascii="Times New Roman" w:hAnsi="Times New Roman" w:cs="Times New Roman"/>
          <w:sz w:val="28"/>
          <w:szCs w:val="28"/>
          <w:lang w:val="en-ZA"/>
        </w:rPr>
        <w:t>able to shed any light on</w:t>
      </w:r>
      <w:r w:rsidR="00BB54A2" w:rsidRPr="00917FC2">
        <w:rPr>
          <w:rFonts w:ascii="Times New Roman" w:hAnsi="Times New Roman" w:cs="Times New Roman"/>
          <w:sz w:val="28"/>
          <w:szCs w:val="28"/>
          <w:lang w:val="en-ZA"/>
        </w:rPr>
        <w:t xml:space="preserve"> actual payments made by clients in respect</w:t>
      </w:r>
      <w:r w:rsidR="001418FD" w:rsidRPr="00917FC2">
        <w:rPr>
          <w:rFonts w:ascii="Times New Roman" w:hAnsi="Times New Roman" w:cs="Times New Roman"/>
          <w:sz w:val="28"/>
          <w:szCs w:val="28"/>
          <w:lang w:val="en-ZA"/>
        </w:rPr>
        <w:t xml:space="preserve"> of the appellant’s fees. </w:t>
      </w:r>
      <w:r w:rsidR="00C36BAA" w:rsidRPr="00917FC2">
        <w:rPr>
          <w:rFonts w:ascii="Times New Roman" w:hAnsi="Times New Roman" w:cs="Times New Roman"/>
          <w:sz w:val="28"/>
          <w:szCs w:val="28"/>
          <w:lang w:val="en-ZA"/>
        </w:rPr>
        <w:t xml:space="preserve">In </w:t>
      </w:r>
      <w:r w:rsidR="00EB2726" w:rsidRPr="00917FC2">
        <w:rPr>
          <w:rFonts w:ascii="Times New Roman" w:hAnsi="Times New Roman" w:cs="Times New Roman"/>
          <w:sz w:val="28"/>
          <w:szCs w:val="28"/>
          <w:lang w:val="en-ZA"/>
        </w:rPr>
        <w:t>any</w:t>
      </w:r>
      <w:r w:rsidR="00C36BAA" w:rsidRPr="00917FC2">
        <w:rPr>
          <w:rFonts w:ascii="Times New Roman" w:hAnsi="Times New Roman" w:cs="Times New Roman"/>
          <w:sz w:val="28"/>
          <w:szCs w:val="28"/>
          <w:lang w:val="en-ZA"/>
        </w:rPr>
        <w:t xml:space="preserve"> event, the existence of such a policy does </w:t>
      </w:r>
      <w:r w:rsidR="00EA77BD" w:rsidRPr="00917FC2">
        <w:rPr>
          <w:rFonts w:ascii="Times New Roman" w:hAnsi="Times New Roman" w:cs="Times New Roman"/>
          <w:sz w:val="28"/>
          <w:szCs w:val="28"/>
          <w:lang w:val="en-ZA"/>
        </w:rPr>
        <w:t xml:space="preserve">not take the matter any further in the absence of sufficient proof that the relevant clients actually paid money to Costa Attorneys as cover for the appellant’s fees. </w:t>
      </w:r>
    </w:p>
    <w:p w14:paraId="7E4BD23C" w14:textId="77777777" w:rsidR="0045625E" w:rsidRPr="00917FC2" w:rsidRDefault="0045625E" w:rsidP="005C0E40">
      <w:pPr>
        <w:pStyle w:val="BodyA"/>
        <w:spacing w:after="0" w:line="360" w:lineRule="auto"/>
        <w:rPr>
          <w:rFonts w:ascii="Times New Roman" w:hAnsi="Times New Roman" w:cs="Times New Roman"/>
          <w:sz w:val="28"/>
          <w:szCs w:val="28"/>
          <w:lang w:val="en-ZA"/>
        </w:rPr>
      </w:pPr>
    </w:p>
    <w:p w14:paraId="3DCD37F7" w14:textId="3E4864EE" w:rsidR="0045625E"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[3</w:t>
      </w:r>
      <w:r w:rsidR="0064537E" w:rsidRPr="00917FC2">
        <w:rPr>
          <w:rFonts w:ascii="Times New Roman" w:hAnsi="Times New Roman" w:cs="Times New Roman"/>
          <w:sz w:val="28"/>
          <w:szCs w:val="28"/>
          <w:lang w:val="en-ZA"/>
        </w:rPr>
        <w:t>2</w:t>
      </w:r>
      <w:r w:rsidR="002639EC"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EB2726" w:rsidRPr="00917FC2">
        <w:rPr>
          <w:rFonts w:ascii="Times New Roman" w:hAnsi="Times New Roman" w:cs="Times New Roman"/>
          <w:sz w:val="28"/>
          <w:szCs w:val="28"/>
          <w:lang w:val="en-ZA"/>
        </w:rPr>
        <w:t xml:space="preserve">Mr </w:t>
      </w:r>
      <w:r w:rsidR="001418FD" w:rsidRPr="00917FC2">
        <w:rPr>
          <w:rFonts w:ascii="Times New Roman" w:hAnsi="Times New Roman" w:cs="Times New Roman"/>
          <w:sz w:val="28"/>
          <w:szCs w:val="28"/>
          <w:lang w:val="en-ZA"/>
        </w:rPr>
        <w:t>Abkin</w:t>
      </w:r>
      <w:r w:rsidR="004200F6" w:rsidRPr="00917FC2">
        <w:rPr>
          <w:rFonts w:ascii="Times New Roman" w:hAnsi="Times New Roman" w:cs="Times New Roman"/>
          <w:sz w:val="28"/>
          <w:szCs w:val="28"/>
          <w:lang w:val="en-ZA"/>
        </w:rPr>
        <w:t>’s</w:t>
      </w:r>
      <w:r w:rsidR="00BB54A2" w:rsidRPr="00917FC2">
        <w:rPr>
          <w:rFonts w:ascii="Times New Roman" w:hAnsi="Times New Roman" w:cs="Times New Roman"/>
          <w:sz w:val="28"/>
          <w:szCs w:val="28"/>
          <w:lang w:val="en-ZA"/>
        </w:rPr>
        <w:t xml:space="preserve"> affidavit also did not shed any light on specific amounts paid in anticipation of services to be rendered by the appellant</w:t>
      </w:r>
      <w:r w:rsidR="00704D8A" w:rsidRPr="00917FC2">
        <w:rPr>
          <w:rFonts w:ascii="Times New Roman" w:hAnsi="Times New Roman" w:cs="Times New Roman"/>
          <w:sz w:val="28"/>
          <w:szCs w:val="28"/>
          <w:lang w:val="en-ZA"/>
        </w:rPr>
        <w:t xml:space="preserve">. </w:t>
      </w:r>
      <w:r w:rsidR="00BB54A2" w:rsidRPr="00917FC2">
        <w:rPr>
          <w:rFonts w:ascii="Times New Roman" w:hAnsi="Times New Roman" w:cs="Times New Roman"/>
          <w:sz w:val="28"/>
          <w:szCs w:val="28"/>
          <w:lang w:val="en-ZA"/>
        </w:rPr>
        <w:t xml:space="preserve"> </w:t>
      </w:r>
      <w:r w:rsidR="00704D8A" w:rsidRPr="00917FC2">
        <w:rPr>
          <w:rFonts w:ascii="Times New Roman" w:hAnsi="Times New Roman" w:cs="Times New Roman"/>
          <w:sz w:val="28"/>
          <w:szCs w:val="28"/>
          <w:lang w:val="en-ZA"/>
        </w:rPr>
        <w:t>I</w:t>
      </w:r>
      <w:r w:rsidR="0060467C" w:rsidRPr="00917FC2">
        <w:rPr>
          <w:rFonts w:ascii="Times New Roman" w:hAnsi="Times New Roman" w:cs="Times New Roman"/>
          <w:sz w:val="28"/>
          <w:szCs w:val="28"/>
          <w:lang w:val="en-ZA"/>
        </w:rPr>
        <w:t>nstead</w:t>
      </w:r>
      <w:r w:rsidR="00E7009E" w:rsidRPr="00917FC2">
        <w:rPr>
          <w:rFonts w:ascii="Times New Roman" w:hAnsi="Times New Roman" w:cs="Times New Roman"/>
          <w:sz w:val="28"/>
          <w:szCs w:val="28"/>
          <w:lang w:val="en-ZA"/>
        </w:rPr>
        <w:t>,</w:t>
      </w:r>
      <w:r w:rsidR="0060467C" w:rsidRPr="00917FC2">
        <w:rPr>
          <w:rFonts w:ascii="Times New Roman" w:hAnsi="Times New Roman" w:cs="Times New Roman"/>
          <w:sz w:val="28"/>
          <w:szCs w:val="28"/>
          <w:lang w:val="en-ZA"/>
        </w:rPr>
        <w:t xml:space="preserve"> </w:t>
      </w:r>
      <w:r w:rsidR="00704D8A" w:rsidRPr="00917FC2">
        <w:rPr>
          <w:rFonts w:ascii="Times New Roman" w:hAnsi="Times New Roman" w:cs="Times New Roman"/>
          <w:sz w:val="28"/>
          <w:szCs w:val="28"/>
          <w:lang w:val="en-ZA"/>
        </w:rPr>
        <w:t xml:space="preserve">it </w:t>
      </w:r>
      <w:r w:rsidR="009C6717" w:rsidRPr="00917FC2">
        <w:rPr>
          <w:rFonts w:ascii="Times New Roman" w:hAnsi="Times New Roman" w:cs="Times New Roman"/>
          <w:sz w:val="28"/>
          <w:szCs w:val="28"/>
          <w:lang w:val="en-ZA"/>
        </w:rPr>
        <w:t xml:space="preserve">concentrated on proving </w:t>
      </w:r>
      <w:r w:rsidR="0060467C" w:rsidRPr="00917FC2">
        <w:rPr>
          <w:rFonts w:ascii="Times New Roman" w:hAnsi="Times New Roman" w:cs="Times New Roman"/>
          <w:sz w:val="28"/>
          <w:szCs w:val="28"/>
          <w:lang w:val="en-ZA"/>
        </w:rPr>
        <w:t>pecuniary loss</w:t>
      </w:r>
      <w:r w:rsidR="00704D8A" w:rsidRPr="00917FC2">
        <w:rPr>
          <w:rFonts w:ascii="Times New Roman" w:hAnsi="Times New Roman" w:cs="Times New Roman"/>
          <w:sz w:val="28"/>
          <w:szCs w:val="28"/>
          <w:lang w:val="en-ZA"/>
        </w:rPr>
        <w:t xml:space="preserve"> suffered by his company</w:t>
      </w:r>
      <w:r w:rsidR="004200F6" w:rsidRPr="00917FC2">
        <w:rPr>
          <w:rFonts w:ascii="Times New Roman" w:hAnsi="Times New Roman" w:cs="Times New Roman"/>
          <w:sz w:val="28"/>
          <w:szCs w:val="28"/>
          <w:lang w:val="en-ZA"/>
        </w:rPr>
        <w:t xml:space="preserve">. </w:t>
      </w:r>
    </w:p>
    <w:p w14:paraId="04E8D56D" w14:textId="77777777" w:rsidR="00B66291" w:rsidRPr="00917FC2" w:rsidRDefault="00B66291" w:rsidP="005C0E40">
      <w:pPr>
        <w:pStyle w:val="BodyA"/>
        <w:spacing w:after="0" w:line="360" w:lineRule="auto"/>
        <w:rPr>
          <w:rFonts w:ascii="Times New Roman" w:hAnsi="Times New Roman" w:cs="Times New Roman"/>
          <w:sz w:val="28"/>
          <w:szCs w:val="28"/>
          <w:lang w:val="en-ZA"/>
        </w:rPr>
      </w:pPr>
    </w:p>
    <w:p w14:paraId="73507024" w14:textId="43E3E3BC" w:rsidR="0060467C"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[3</w:t>
      </w:r>
      <w:r w:rsidR="0064537E" w:rsidRPr="00917FC2">
        <w:rPr>
          <w:rFonts w:ascii="Times New Roman" w:hAnsi="Times New Roman" w:cs="Times New Roman"/>
          <w:sz w:val="28"/>
          <w:szCs w:val="28"/>
          <w:lang w:val="en-ZA"/>
        </w:rPr>
        <w:t>3</w:t>
      </w:r>
      <w:r w:rsidR="002639EC"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1418FD" w:rsidRPr="00917FC2">
        <w:rPr>
          <w:rFonts w:ascii="Times New Roman" w:hAnsi="Times New Roman" w:cs="Times New Roman"/>
          <w:sz w:val="28"/>
          <w:szCs w:val="28"/>
          <w:lang w:val="en-ZA"/>
        </w:rPr>
        <w:t xml:space="preserve">Mr </w:t>
      </w:r>
      <w:r w:rsidR="00892CE9" w:rsidRPr="00917FC2">
        <w:rPr>
          <w:rFonts w:ascii="Times New Roman" w:hAnsi="Times New Roman" w:cs="Times New Roman"/>
          <w:sz w:val="28"/>
          <w:szCs w:val="28"/>
          <w:lang w:val="en-ZA"/>
        </w:rPr>
        <w:t>Tiech’s</w:t>
      </w:r>
      <w:r w:rsidR="0060467C" w:rsidRPr="00917FC2">
        <w:rPr>
          <w:rFonts w:ascii="Times New Roman" w:hAnsi="Times New Roman" w:cs="Times New Roman"/>
          <w:sz w:val="28"/>
          <w:szCs w:val="28"/>
          <w:lang w:val="en-ZA"/>
        </w:rPr>
        <w:t xml:space="preserve"> affidavit also does not refer to any specific amounts paid to Costa </w:t>
      </w:r>
      <w:r w:rsidR="001418FD" w:rsidRPr="00917FC2">
        <w:rPr>
          <w:rFonts w:ascii="Times New Roman" w:hAnsi="Times New Roman" w:cs="Times New Roman"/>
          <w:sz w:val="28"/>
          <w:szCs w:val="28"/>
          <w:lang w:val="en-ZA"/>
        </w:rPr>
        <w:t xml:space="preserve">Attorneys </w:t>
      </w:r>
      <w:r w:rsidR="0060467C" w:rsidRPr="00917FC2">
        <w:rPr>
          <w:rFonts w:ascii="Times New Roman" w:hAnsi="Times New Roman" w:cs="Times New Roman"/>
          <w:sz w:val="28"/>
          <w:szCs w:val="28"/>
          <w:lang w:val="en-ZA"/>
        </w:rPr>
        <w:t>on behalf of the appel</w:t>
      </w:r>
      <w:r w:rsidR="000C653C" w:rsidRPr="00917FC2">
        <w:rPr>
          <w:rFonts w:ascii="Times New Roman" w:hAnsi="Times New Roman" w:cs="Times New Roman"/>
          <w:sz w:val="28"/>
          <w:szCs w:val="28"/>
          <w:lang w:val="en-ZA"/>
        </w:rPr>
        <w:t>lant</w:t>
      </w:r>
      <w:r w:rsidR="00704D8A" w:rsidRPr="00917FC2">
        <w:rPr>
          <w:rFonts w:ascii="Times New Roman" w:hAnsi="Times New Roman" w:cs="Times New Roman"/>
          <w:sz w:val="28"/>
          <w:szCs w:val="28"/>
          <w:lang w:val="en-ZA"/>
        </w:rPr>
        <w:t>.</w:t>
      </w:r>
      <w:r w:rsidR="004D422B" w:rsidRPr="00917FC2">
        <w:rPr>
          <w:rFonts w:ascii="Times New Roman" w:hAnsi="Times New Roman" w:cs="Times New Roman"/>
          <w:sz w:val="28"/>
          <w:szCs w:val="28"/>
          <w:lang w:val="en-ZA"/>
        </w:rPr>
        <w:t xml:space="preserve"> </w:t>
      </w:r>
      <w:r w:rsidR="00704D8A" w:rsidRPr="00917FC2">
        <w:rPr>
          <w:rFonts w:ascii="Times New Roman" w:hAnsi="Times New Roman" w:cs="Times New Roman"/>
          <w:sz w:val="28"/>
          <w:szCs w:val="28"/>
          <w:lang w:val="en-ZA"/>
        </w:rPr>
        <w:t>I</w:t>
      </w:r>
      <w:r w:rsidR="001C1E03" w:rsidRPr="00917FC2">
        <w:rPr>
          <w:rFonts w:ascii="Times New Roman" w:hAnsi="Times New Roman" w:cs="Times New Roman"/>
          <w:sz w:val="28"/>
          <w:szCs w:val="28"/>
          <w:lang w:val="en-ZA"/>
        </w:rPr>
        <w:t xml:space="preserve">t </w:t>
      </w:r>
      <w:r w:rsidR="000C653C" w:rsidRPr="00917FC2">
        <w:rPr>
          <w:rFonts w:ascii="Times New Roman" w:hAnsi="Times New Roman" w:cs="Times New Roman"/>
          <w:sz w:val="28"/>
          <w:szCs w:val="28"/>
          <w:lang w:val="en-ZA"/>
        </w:rPr>
        <w:t>w</w:t>
      </w:r>
      <w:r w:rsidR="00832DB0" w:rsidRPr="00917FC2">
        <w:rPr>
          <w:rFonts w:ascii="Times New Roman" w:hAnsi="Times New Roman" w:cs="Times New Roman"/>
          <w:sz w:val="28"/>
          <w:szCs w:val="28"/>
          <w:lang w:val="en-ZA"/>
        </w:rPr>
        <w:t>as only proffered</w:t>
      </w:r>
      <w:r w:rsidR="0060467C" w:rsidRPr="00917FC2">
        <w:rPr>
          <w:rFonts w:ascii="Times New Roman" w:hAnsi="Times New Roman" w:cs="Times New Roman"/>
          <w:sz w:val="28"/>
          <w:szCs w:val="28"/>
          <w:lang w:val="en-ZA"/>
        </w:rPr>
        <w:t xml:space="preserve"> to establish</w:t>
      </w:r>
      <w:r w:rsidR="009B7CA7" w:rsidRPr="00917FC2">
        <w:rPr>
          <w:rFonts w:ascii="Times New Roman" w:hAnsi="Times New Roman" w:cs="Times New Roman"/>
          <w:sz w:val="28"/>
          <w:szCs w:val="28"/>
          <w:lang w:val="en-ZA"/>
        </w:rPr>
        <w:t xml:space="preserve"> that M</w:t>
      </w:r>
      <w:r w:rsidR="00522360" w:rsidRPr="00917FC2">
        <w:rPr>
          <w:rFonts w:ascii="Times New Roman" w:hAnsi="Times New Roman" w:cs="Times New Roman"/>
          <w:sz w:val="28"/>
          <w:szCs w:val="28"/>
          <w:lang w:val="en-ZA"/>
        </w:rPr>
        <w:t xml:space="preserve">r </w:t>
      </w:r>
      <w:r w:rsidR="009B7CA7" w:rsidRPr="00917FC2">
        <w:rPr>
          <w:rFonts w:ascii="Times New Roman" w:hAnsi="Times New Roman" w:cs="Times New Roman"/>
          <w:sz w:val="28"/>
          <w:szCs w:val="28"/>
          <w:lang w:val="en-ZA"/>
        </w:rPr>
        <w:t>Costa had misappropriated trust funds</w:t>
      </w:r>
      <w:r w:rsidR="0060467C" w:rsidRPr="00917FC2">
        <w:rPr>
          <w:rFonts w:ascii="Times New Roman" w:hAnsi="Times New Roman" w:cs="Times New Roman"/>
          <w:sz w:val="28"/>
          <w:szCs w:val="28"/>
          <w:lang w:val="en-ZA"/>
        </w:rPr>
        <w:t xml:space="preserve">. </w:t>
      </w:r>
    </w:p>
    <w:p w14:paraId="6FEB0219" w14:textId="77777777" w:rsidR="0060467C" w:rsidRPr="00917FC2" w:rsidRDefault="0060467C" w:rsidP="005C0E40">
      <w:pPr>
        <w:pStyle w:val="BodyA"/>
        <w:spacing w:after="0" w:line="360" w:lineRule="auto"/>
        <w:rPr>
          <w:rFonts w:ascii="Times New Roman" w:hAnsi="Times New Roman" w:cs="Times New Roman"/>
          <w:sz w:val="28"/>
          <w:szCs w:val="28"/>
          <w:lang w:val="en-ZA"/>
        </w:rPr>
      </w:pPr>
    </w:p>
    <w:p w14:paraId="25BC5E03" w14:textId="7A86136D" w:rsidR="00A95CAA"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[3</w:t>
      </w:r>
      <w:r w:rsidR="0064537E" w:rsidRPr="00917FC2">
        <w:rPr>
          <w:rFonts w:ascii="Times New Roman" w:hAnsi="Times New Roman" w:cs="Times New Roman"/>
          <w:sz w:val="28"/>
          <w:szCs w:val="28"/>
          <w:lang w:val="en-ZA"/>
        </w:rPr>
        <w:t>4</w:t>
      </w:r>
      <w:r w:rsidR="0060467C"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704D8A" w:rsidRPr="00917FC2">
        <w:rPr>
          <w:rFonts w:ascii="Times New Roman" w:hAnsi="Times New Roman" w:cs="Times New Roman"/>
          <w:sz w:val="28"/>
          <w:szCs w:val="28"/>
          <w:lang w:val="en-ZA"/>
        </w:rPr>
        <w:t>T</w:t>
      </w:r>
      <w:r w:rsidR="008A7CE7" w:rsidRPr="00917FC2">
        <w:rPr>
          <w:rFonts w:ascii="Times New Roman" w:hAnsi="Times New Roman" w:cs="Times New Roman"/>
          <w:sz w:val="28"/>
          <w:szCs w:val="28"/>
          <w:lang w:val="en-ZA"/>
        </w:rPr>
        <w:t xml:space="preserve">he </w:t>
      </w:r>
      <w:r w:rsidR="0060467C" w:rsidRPr="00917FC2">
        <w:rPr>
          <w:rFonts w:ascii="Times New Roman" w:hAnsi="Times New Roman" w:cs="Times New Roman"/>
          <w:sz w:val="28"/>
          <w:szCs w:val="28"/>
          <w:lang w:val="en-ZA"/>
        </w:rPr>
        <w:t>a</w:t>
      </w:r>
      <w:r w:rsidR="008A7CE7" w:rsidRPr="00917FC2">
        <w:rPr>
          <w:rFonts w:ascii="Times New Roman" w:hAnsi="Times New Roman" w:cs="Times New Roman"/>
          <w:sz w:val="28"/>
          <w:szCs w:val="28"/>
          <w:lang w:val="en-ZA"/>
        </w:rPr>
        <w:t>ppellant submitted</w:t>
      </w:r>
      <w:r w:rsidR="00227C6E" w:rsidRPr="00917FC2">
        <w:rPr>
          <w:rFonts w:ascii="Times New Roman" w:hAnsi="Times New Roman" w:cs="Times New Roman"/>
          <w:sz w:val="28"/>
          <w:szCs w:val="28"/>
          <w:lang w:val="en-ZA"/>
        </w:rPr>
        <w:t xml:space="preserve"> that it </w:t>
      </w:r>
      <w:r w:rsidR="00E03923" w:rsidRPr="00917FC2">
        <w:rPr>
          <w:rFonts w:ascii="Times New Roman" w:hAnsi="Times New Roman" w:cs="Times New Roman"/>
          <w:sz w:val="28"/>
          <w:szCs w:val="28"/>
          <w:lang w:val="en-ZA"/>
        </w:rPr>
        <w:t>would</w:t>
      </w:r>
      <w:r w:rsidR="00227C6E" w:rsidRPr="00917FC2">
        <w:rPr>
          <w:rFonts w:ascii="Times New Roman" w:hAnsi="Times New Roman" w:cs="Times New Roman"/>
          <w:sz w:val="28"/>
          <w:szCs w:val="28"/>
          <w:lang w:val="en-ZA"/>
        </w:rPr>
        <w:t xml:space="preserve"> be i</w:t>
      </w:r>
      <w:r w:rsidR="0060467C" w:rsidRPr="00917FC2">
        <w:rPr>
          <w:rFonts w:ascii="Times New Roman" w:hAnsi="Times New Roman" w:cs="Times New Roman"/>
          <w:sz w:val="28"/>
          <w:szCs w:val="28"/>
          <w:lang w:val="en-ZA"/>
        </w:rPr>
        <w:t>n the interest</w:t>
      </w:r>
      <w:r w:rsidR="00D33335" w:rsidRPr="00917FC2">
        <w:rPr>
          <w:rFonts w:ascii="Times New Roman" w:hAnsi="Times New Roman" w:cs="Times New Roman"/>
          <w:sz w:val="28"/>
          <w:szCs w:val="28"/>
          <w:lang w:val="en-ZA"/>
        </w:rPr>
        <w:t>s</w:t>
      </w:r>
      <w:r w:rsidR="0060467C" w:rsidRPr="00917FC2">
        <w:rPr>
          <w:rFonts w:ascii="Times New Roman" w:hAnsi="Times New Roman" w:cs="Times New Roman"/>
          <w:sz w:val="28"/>
          <w:szCs w:val="28"/>
          <w:lang w:val="en-ZA"/>
        </w:rPr>
        <w:t xml:space="preserve"> of justice to admit the hearsay evidence. He argued that </w:t>
      </w:r>
      <w:r w:rsidR="00E03923" w:rsidRPr="00917FC2">
        <w:rPr>
          <w:rFonts w:ascii="Times New Roman" w:hAnsi="Times New Roman" w:cs="Times New Roman"/>
          <w:sz w:val="28"/>
          <w:szCs w:val="28"/>
          <w:lang w:val="en-ZA"/>
        </w:rPr>
        <w:t xml:space="preserve">in considering whether to admit the hearsay </w:t>
      </w:r>
      <w:r w:rsidR="003161A0" w:rsidRPr="00917FC2">
        <w:rPr>
          <w:rFonts w:ascii="Times New Roman" w:hAnsi="Times New Roman" w:cs="Times New Roman"/>
          <w:sz w:val="28"/>
          <w:szCs w:val="28"/>
          <w:lang w:val="en-ZA"/>
        </w:rPr>
        <w:t xml:space="preserve">evidence </w:t>
      </w:r>
      <w:r w:rsidR="0060467C" w:rsidRPr="00917FC2">
        <w:rPr>
          <w:rFonts w:ascii="Times New Roman" w:hAnsi="Times New Roman" w:cs="Times New Roman"/>
          <w:sz w:val="28"/>
          <w:szCs w:val="28"/>
          <w:lang w:val="en-ZA"/>
        </w:rPr>
        <w:t>in terms of s 3 of the Law of Ev</w:t>
      </w:r>
      <w:r w:rsidR="00EE0092" w:rsidRPr="00917FC2">
        <w:rPr>
          <w:rFonts w:ascii="Times New Roman" w:hAnsi="Times New Roman" w:cs="Times New Roman"/>
          <w:sz w:val="28"/>
          <w:szCs w:val="28"/>
          <w:lang w:val="en-ZA"/>
        </w:rPr>
        <w:t>idence Amendment Act</w:t>
      </w:r>
      <w:r w:rsidR="00EB2726" w:rsidRPr="00917FC2">
        <w:rPr>
          <w:rFonts w:ascii="Times New Roman" w:hAnsi="Times New Roman" w:cs="Times New Roman"/>
          <w:sz w:val="28"/>
          <w:szCs w:val="28"/>
          <w:lang w:val="en-ZA"/>
        </w:rPr>
        <w:t xml:space="preserve"> </w:t>
      </w:r>
      <w:r w:rsidR="008A7CE7" w:rsidRPr="00917FC2">
        <w:rPr>
          <w:rFonts w:ascii="Times New Roman" w:hAnsi="Times New Roman" w:cs="Times New Roman"/>
          <w:sz w:val="28"/>
          <w:szCs w:val="28"/>
          <w:lang w:val="en-ZA"/>
        </w:rPr>
        <w:t>45 of 1988</w:t>
      </w:r>
      <w:r w:rsidR="00704D8A" w:rsidRPr="00917FC2">
        <w:rPr>
          <w:rFonts w:ascii="Times New Roman" w:hAnsi="Times New Roman" w:cs="Times New Roman"/>
          <w:sz w:val="28"/>
          <w:szCs w:val="28"/>
          <w:lang w:val="en-ZA"/>
        </w:rPr>
        <w:t xml:space="preserve"> (Law </w:t>
      </w:r>
      <w:r w:rsidR="00704D8A" w:rsidRPr="00917FC2">
        <w:rPr>
          <w:rFonts w:ascii="Times New Roman" w:hAnsi="Times New Roman" w:cs="Times New Roman"/>
          <w:sz w:val="28"/>
          <w:szCs w:val="28"/>
          <w:lang w:val="en-ZA"/>
        </w:rPr>
        <w:lastRenderedPageBreak/>
        <w:t>of Evidence Amendment Act)</w:t>
      </w:r>
      <w:r w:rsidR="007F37BF" w:rsidRPr="00917FC2">
        <w:rPr>
          <w:rStyle w:val="FootnoteReference"/>
          <w:rFonts w:ascii="Times New Roman" w:hAnsi="Times New Roman" w:cs="Times New Roman"/>
          <w:sz w:val="28"/>
          <w:szCs w:val="28"/>
          <w:lang w:val="en-ZA"/>
        </w:rPr>
        <w:footnoteReference w:id="6"/>
      </w:r>
      <w:r w:rsidR="0045625E" w:rsidRPr="00917FC2">
        <w:rPr>
          <w:rFonts w:ascii="Times New Roman" w:hAnsi="Times New Roman" w:cs="Times New Roman"/>
          <w:sz w:val="28"/>
          <w:szCs w:val="28"/>
          <w:lang w:val="en-ZA"/>
        </w:rPr>
        <w:t>,</w:t>
      </w:r>
      <w:r w:rsidR="00EE0092" w:rsidRPr="00917FC2">
        <w:rPr>
          <w:rFonts w:ascii="Times New Roman" w:hAnsi="Times New Roman" w:cs="Times New Roman"/>
          <w:sz w:val="28"/>
          <w:szCs w:val="28"/>
          <w:lang w:val="en-ZA"/>
        </w:rPr>
        <w:t xml:space="preserve"> </w:t>
      </w:r>
      <w:r w:rsidR="00E03923" w:rsidRPr="00917FC2">
        <w:rPr>
          <w:rFonts w:ascii="Times New Roman" w:hAnsi="Times New Roman" w:cs="Times New Roman"/>
          <w:sz w:val="28"/>
          <w:szCs w:val="28"/>
          <w:lang w:val="en-ZA"/>
        </w:rPr>
        <w:t>the court must have regard to the following facts</w:t>
      </w:r>
      <w:r w:rsidR="002B26BE" w:rsidRPr="00917FC2">
        <w:rPr>
          <w:rFonts w:ascii="Times New Roman" w:hAnsi="Times New Roman" w:cs="Times New Roman"/>
          <w:sz w:val="28"/>
          <w:szCs w:val="28"/>
          <w:lang w:val="en-ZA"/>
        </w:rPr>
        <w:t xml:space="preserve">. </w:t>
      </w:r>
      <w:r w:rsidR="00A95CAA" w:rsidRPr="00917FC2">
        <w:rPr>
          <w:rFonts w:ascii="Times New Roman" w:hAnsi="Times New Roman" w:cs="Times New Roman"/>
          <w:sz w:val="28"/>
          <w:szCs w:val="28"/>
          <w:lang w:val="en-ZA"/>
        </w:rPr>
        <w:t>First,</w:t>
      </w:r>
      <w:r w:rsidR="00E03923" w:rsidRPr="00917FC2">
        <w:rPr>
          <w:rFonts w:ascii="Times New Roman" w:hAnsi="Times New Roman" w:cs="Times New Roman"/>
          <w:sz w:val="28"/>
          <w:szCs w:val="28"/>
          <w:lang w:val="en-ZA"/>
        </w:rPr>
        <w:t xml:space="preserve"> </w:t>
      </w:r>
      <w:r w:rsidR="00B36715" w:rsidRPr="00917FC2">
        <w:rPr>
          <w:rFonts w:ascii="Times New Roman" w:hAnsi="Times New Roman" w:cs="Times New Roman"/>
          <w:sz w:val="28"/>
          <w:szCs w:val="28"/>
          <w:lang w:val="en-ZA"/>
        </w:rPr>
        <w:t xml:space="preserve">he is a practising advocate and </w:t>
      </w:r>
      <w:r w:rsidR="00965C9C" w:rsidRPr="00917FC2">
        <w:rPr>
          <w:rFonts w:ascii="Times New Roman" w:hAnsi="Times New Roman" w:cs="Times New Roman"/>
          <w:sz w:val="28"/>
          <w:szCs w:val="28"/>
          <w:lang w:val="en-ZA"/>
        </w:rPr>
        <w:t xml:space="preserve">since he </w:t>
      </w:r>
      <w:r w:rsidR="00B36715" w:rsidRPr="00917FC2">
        <w:rPr>
          <w:rFonts w:ascii="Times New Roman" w:hAnsi="Times New Roman" w:cs="Times New Roman"/>
          <w:sz w:val="28"/>
          <w:szCs w:val="28"/>
          <w:lang w:val="en-ZA"/>
        </w:rPr>
        <w:t>has conceded claims in respect of which he was unable to provide proof</w:t>
      </w:r>
      <w:r w:rsidR="00EC4BD2" w:rsidRPr="00917FC2">
        <w:rPr>
          <w:rFonts w:ascii="Times New Roman" w:hAnsi="Times New Roman" w:cs="Times New Roman"/>
          <w:sz w:val="28"/>
          <w:szCs w:val="28"/>
          <w:lang w:val="en-ZA"/>
        </w:rPr>
        <w:t>,</w:t>
      </w:r>
      <w:r w:rsidR="00B36715" w:rsidRPr="00917FC2">
        <w:rPr>
          <w:rFonts w:ascii="Times New Roman" w:hAnsi="Times New Roman" w:cs="Times New Roman"/>
          <w:sz w:val="28"/>
          <w:szCs w:val="28"/>
          <w:lang w:val="en-ZA"/>
        </w:rPr>
        <w:t xml:space="preserve"> there is no reason why the respondent should doubt the probity of his claims</w:t>
      </w:r>
      <w:r w:rsidR="00A95CAA" w:rsidRPr="00917FC2">
        <w:rPr>
          <w:rFonts w:ascii="Times New Roman" w:hAnsi="Times New Roman" w:cs="Times New Roman"/>
          <w:sz w:val="28"/>
          <w:szCs w:val="28"/>
          <w:lang w:val="en-ZA"/>
        </w:rPr>
        <w:t xml:space="preserve">. Second, </w:t>
      </w:r>
      <w:r w:rsidR="00B075E9" w:rsidRPr="00917FC2">
        <w:rPr>
          <w:rFonts w:ascii="Times New Roman" w:hAnsi="Times New Roman" w:cs="Times New Roman"/>
          <w:sz w:val="28"/>
          <w:szCs w:val="28"/>
          <w:lang w:val="en-ZA"/>
        </w:rPr>
        <w:t>the respondent has</w:t>
      </w:r>
      <w:r w:rsidR="008A7CE7" w:rsidRPr="00917FC2">
        <w:rPr>
          <w:rFonts w:ascii="Times New Roman" w:hAnsi="Times New Roman" w:cs="Times New Roman"/>
          <w:sz w:val="28"/>
          <w:szCs w:val="28"/>
          <w:lang w:val="en-ZA"/>
        </w:rPr>
        <w:t xml:space="preserve"> chosen the frame of reference in respect of the evidence it required in support of the claims</w:t>
      </w:r>
      <w:r w:rsidR="00A95CAA" w:rsidRPr="00917FC2">
        <w:rPr>
          <w:rFonts w:ascii="Times New Roman" w:hAnsi="Times New Roman" w:cs="Times New Roman"/>
          <w:sz w:val="28"/>
          <w:szCs w:val="28"/>
          <w:lang w:val="en-ZA"/>
        </w:rPr>
        <w:t xml:space="preserve">. Third, </w:t>
      </w:r>
      <w:r w:rsidR="0060467C" w:rsidRPr="00917FC2">
        <w:rPr>
          <w:rFonts w:ascii="Times New Roman" w:hAnsi="Times New Roman" w:cs="Times New Roman"/>
          <w:sz w:val="28"/>
          <w:szCs w:val="28"/>
          <w:lang w:val="en-ZA"/>
        </w:rPr>
        <w:t>he did not have access to Costa</w:t>
      </w:r>
      <w:r w:rsidR="00EE0092" w:rsidRPr="00917FC2">
        <w:rPr>
          <w:rFonts w:ascii="Times New Roman" w:hAnsi="Times New Roman" w:cs="Times New Roman"/>
          <w:sz w:val="28"/>
          <w:szCs w:val="28"/>
          <w:lang w:val="en-ZA"/>
        </w:rPr>
        <w:t xml:space="preserve"> Attorneys’</w:t>
      </w:r>
      <w:r w:rsidR="008A7CE7" w:rsidRPr="00917FC2">
        <w:rPr>
          <w:rFonts w:ascii="Times New Roman" w:hAnsi="Times New Roman" w:cs="Times New Roman"/>
          <w:sz w:val="28"/>
          <w:szCs w:val="28"/>
          <w:lang w:val="en-ZA"/>
        </w:rPr>
        <w:t xml:space="preserve"> trust account records and</w:t>
      </w:r>
      <w:r w:rsidR="0060467C" w:rsidRPr="00917FC2">
        <w:rPr>
          <w:rFonts w:ascii="Times New Roman" w:hAnsi="Times New Roman" w:cs="Times New Roman"/>
          <w:sz w:val="28"/>
          <w:szCs w:val="28"/>
          <w:lang w:val="en-ZA"/>
        </w:rPr>
        <w:t xml:space="preserve"> it </w:t>
      </w:r>
      <w:r w:rsidR="00AE2FDF" w:rsidRPr="00917FC2">
        <w:rPr>
          <w:rFonts w:ascii="Times New Roman" w:hAnsi="Times New Roman" w:cs="Times New Roman"/>
          <w:sz w:val="28"/>
          <w:szCs w:val="28"/>
          <w:lang w:val="en-ZA"/>
        </w:rPr>
        <w:t>would have been relatively easy</w:t>
      </w:r>
      <w:r w:rsidR="0060467C" w:rsidRPr="00917FC2">
        <w:rPr>
          <w:rFonts w:ascii="Times New Roman" w:hAnsi="Times New Roman" w:cs="Times New Roman"/>
          <w:sz w:val="28"/>
          <w:szCs w:val="28"/>
          <w:lang w:val="en-ZA"/>
        </w:rPr>
        <w:t xml:space="preserve"> for th</w:t>
      </w:r>
      <w:r w:rsidR="00B66291" w:rsidRPr="00917FC2">
        <w:rPr>
          <w:rFonts w:ascii="Times New Roman" w:hAnsi="Times New Roman" w:cs="Times New Roman"/>
          <w:sz w:val="28"/>
          <w:szCs w:val="28"/>
          <w:lang w:val="en-ZA"/>
        </w:rPr>
        <w:t>e respondent to access</w:t>
      </w:r>
      <w:r w:rsidR="00E03923" w:rsidRPr="00917FC2">
        <w:rPr>
          <w:rFonts w:ascii="Times New Roman" w:hAnsi="Times New Roman" w:cs="Times New Roman"/>
          <w:sz w:val="28"/>
          <w:szCs w:val="28"/>
          <w:lang w:val="en-ZA"/>
        </w:rPr>
        <w:t xml:space="preserve"> </w:t>
      </w:r>
      <w:r w:rsidR="00A95CAA" w:rsidRPr="00917FC2">
        <w:rPr>
          <w:rFonts w:ascii="Times New Roman" w:hAnsi="Times New Roman" w:cs="Times New Roman"/>
          <w:sz w:val="28"/>
          <w:szCs w:val="28"/>
          <w:lang w:val="en-ZA"/>
        </w:rPr>
        <w:t>Costa Attorney’s</w:t>
      </w:r>
      <w:r w:rsidR="00E03923" w:rsidRPr="00917FC2">
        <w:rPr>
          <w:rFonts w:ascii="Times New Roman" w:hAnsi="Times New Roman" w:cs="Times New Roman"/>
          <w:sz w:val="28"/>
          <w:szCs w:val="28"/>
          <w:lang w:val="en-ZA"/>
        </w:rPr>
        <w:t xml:space="preserve"> books of account in order to</w:t>
      </w:r>
      <w:r w:rsidR="00AE2FDF" w:rsidRPr="00917FC2">
        <w:rPr>
          <w:rFonts w:ascii="Times New Roman" w:hAnsi="Times New Roman" w:cs="Times New Roman"/>
          <w:sz w:val="28"/>
          <w:szCs w:val="28"/>
          <w:lang w:val="en-ZA"/>
        </w:rPr>
        <w:t xml:space="preserve"> confirm</w:t>
      </w:r>
      <w:r w:rsidR="0060467C" w:rsidRPr="00917FC2">
        <w:rPr>
          <w:rFonts w:ascii="Times New Roman" w:hAnsi="Times New Roman" w:cs="Times New Roman"/>
          <w:sz w:val="28"/>
          <w:szCs w:val="28"/>
          <w:lang w:val="en-ZA"/>
        </w:rPr>
        <w:t xml:space="preserve"> whether the payments </w:t>
      </w:r>
      <w:r w:rsidR="00A95CAA" w:rsidRPr="00917FC2">
        <w:rPr>
          <w:rFonts w:ascii="Times New Roman" w:hAnsi="Times New Roman" w:cs="Times New Roman"/>
          <w:sz w:val="28"/>
          <w:szCs w:val="28"/>
          <w:lang w:val="en-ZA"/>
        </w:rPr>
        <w:t>were</w:t>
      </w:r>
      <w:r w:rsidR="0060467C" w:rsidRPr="00917FC2">
        <w:rPr>
          <w:rFonts w:ascii="Times New Roman" w:hAnsi="Times New Roman" w:cs="Times New Roman"/>
          <w:sz w:val="28"/>
          <w:szCs w:val="28"/>
          <w:lang w:val="en-ZA"/>
        </w:rPr>
        <w:t xml:space="preserve"> m</w:t>
      </w:r>
      <w:r w:rsidR="00EB3B83" w:rsidRPr="00917FC2">
        <w:rPr>
          <w:rFonts w:ascii="Times New Roman" w:hAnsi="Times New Roman" w:cs="Times New Roman"/>
          <w:sz w:val="28"/>
          <w:szCs w:val="28"/>
          <w:lang w:val="en-ZA"/>
        </w:rPr>
        <w:t>ade</w:t>
      </w:r>
      <w:r w:rsidR="00A95CAA" w:rsidRPr="00917FC2">
        <w:rPr>
          <w:rFonts w:ascii="Times New Roman" w:hAnsi="Times New Roman" w:cs="Times New Roman"/>
          <w:sz w:val="28"/>
          <w:szCs w:val="28"/>
          <w:lang w:val="en-ZA"/>
        </w:rPr>
        <w:t xml:space="preserve">. </w:t>
      </w:r>
      <w:r w:rsidR="00BF0BB6" w:rsidRPr="00917FC2">
        <w:rPr>
          <w:rFonts w:ascii="Times New Roman" w:hAnsi="Times New Roman" w:cs="Times New Roman"/>
          <w:sz w:val="28"/>
          <w:szCs w:val="28"/>
          <w:lang w:val="en-ZA"/>
        </w:rPr>
        <w:t>And l</w:t>
      </w:r>
      <w:r w:rsidR="00A95CAA" w:rsidRPr="00917FC2">
        <w:rPr>
          <w:rFonts w:ascii="Times New Roman" w:hAnsi="Times New Roman" w:cs="Times New Roman"/>
          <w:sz w:val="28"/>
          <w:szCs w:val="28"/>
          <w:lang w:val="en-ZA"/>
        </w:rPr>
        <w:t xml:space="preserve">ast, </w:t>
      </w:r>
      <w:r w:rsidR="00EB3B83" w:rsidRPr="00917FC2">
        <w:rPr>
          <w:rFonts w:ascii="Times New Roman" w:hAnsi="Times New Roman" w:cs="Times New Roman"/>
          <w:sz w:val="28"/>
          <w:szCs w:val="28"/>
          <w:lang w:val="en-ZA"/>
        </w:rPr>
        <w:t>he has</w:t>
      </w:r>
      <w:r w:rsidR="0060467C" w:rsidRPr="00917FC2">
        <w:rPr>
          <w:rFonts w:ascii="Times New Roman" w:hAnsi="Times New Roman" w:cs="Times New Roman"/>
          <w:sz w:val="28"/>
          <w:szCs w:val="28"/>
          <w:lang w:val="en-ZA"/>
        </w:rPr>
        <w:t xml:space="preserve"> provided the respondent with the contact details of the respective clients</w:t>
      </w:r>
      <w:r w:rsidR="00AE2FDF" w:rsidRPr="00917FC2">
        <w:rPr>
          <w:rFonts w:ascii="Times New Roman" w:hAnsi="Times New Roman" w:cs="Times New Roman"/>
          <w:sz w:val="28"/>
          <w:szCs w:val="28"/>
          <w:lang w:val="en-ZA"/>
        </w:rPr>
        <w:t>,</w:t>
      </w:r>
      <w:r w:rsidR="0060467C" w:rsidRPr="00917FC2">
        <w:rPr>
          <w:rFonts w:ascii="Times New Roman" w:hAnsi="Times New Roman" w:cs="Times New Roman"/>
          <w:sz w:val="28"/>
          <w:szCs w:val="28"/>
          <w:lang w:val="en-ZA"/>
        </w:rPr>
        <w:t xml:space="preserve"> placing it in a </w:t>
      </w:r>
      <w:r w:rsidR="00AE2FDF" w:rsidRPr="00917FC2">
        <w:rPr>
          <w:rFonts w:ascii="Times New Roman" w:hAnsi="Times New Roman" w:cs="Times New Roman"/>
          <w:sz w:val="28"/>
          <w:szCs w:val="28"/>
          <w:lang w:val="en-ZA"/>
        </w:rPr>
        <w:t>position to confirm the veracity</w:t>
      </w:r>
      <w:r w:rsidR="0060467C" w:rsidRPr="00917FC2">
        <w:rPr>
          <w:rFonts w:ascii="Times New Roman" w:hAnsi="Times New Roman" w:cs="Times New Roman"/>
          <w:sz w:val="28"/>
          <w:szCs w:val="28"/>
          <w:lang w:val="en-ZA"/>
        </w:rPr>
        <w:t xml:space="preserve"> of his assertions</w:t>
      </w:r>
      <w:r w:rsidR="00A95CAA" w:rsidRPr="00917FC2">
        <w:rPr>
          <w:rFonts w:ascii="Times New Roman" w:hAnsi="Times New Roman" w:cs="Times New Roman"/>
          <w:sz w:val="28"/>
          <w:szCs w:val="28"/>
          <w:lang w:val="en-ZA"/>
        </w:rPr>
        <w:t>.</w:t>
      </w:r>
    </w:p>
    <w:p w14:paraId="45AEDD03" w14:textId="77777777" w:rsidR="003A43A5" w:rsidRPr="00917FC2" w:rsidRDefault="003A43A5" w:rsidP="003A43A5">
      <w:pPr>
        <w:pStyle w:val="BodyA"/>
        <w:spacing w:after="0" w:line="360" w:lineRule="auto"/>
        <w:rPr>
          <w:rFonts w:ascii="Times New Roman" w:hAnsi="Times New Roman" w:cs="Times New Roman"/>
          <w:b/>
          <w:sz w:val="28"/>
          <w:szCs w:val="28"/>
          <w:lang w:val="en-ZA"/>
        </w:rPr>
      </w:pPr>
    </w:p>
    <w:p w14:paraId="3AB5FBDC" w14:textId="1A18FB6F" w:rsidR="0060467C" w:rsidRPr="00917FC2" w:rsidRDefault="003A43A5"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b/>
          <w:sz w:val="28"/>
          <w:szCs w:val="28"/>
          <w:lang w:val="en-ZA"/>
        </w:rPr>
        <w:t>Findings</w:t>
      </w:r>
      <w:r w:rsidRPr="00917FC2">
        <w:rPr>
          <w:rFonts w:ascii="Times New Roman" w:hAnsi="Times New Roman" w:cs="Times New Roman"/>
          <w:sz w:val="28"/>
          <w:szCs w:val="28"/>
          <w:lang w:val="en-ZA"/>
        </w:rPr>
        <w:t xml:space="preserve"> </w:t>
      </w:r>
      <w:r w:rsidRPr="00917FC2">
        <w:rPr>
          <w:rFonts w:ascii="Times New Roman" w:hAnsi="Times New Roman" w:cs="Times New Roman"/>
          <w:b/>
          <w:sz w:val="28"/>
          <w:szCs w:val="28"/>
          <w:lang w:val="en-ZA"/>
        </w:rPr>
        <w:t>and order</w:t>
      </w:r>
    </w:p>
    <w:p w14:paraId="4819E01E" w14:textId="2BCBB580" w:rsidR="00CC0CB2"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[3</w:t>
      </w:r>
      <w:r w:rsidR="0064537E" w:rsidRPr="00917FC2">
        <w:rPr>
          <w:rFonts w:ascii="Times New Roman" w:hAnsi="Times New Roman" w:cs="Times New Roman"/>
          <w:sz w:val="28"/>
          <w:szCs w:val="28"/>
          <w:lang w:val="en-ZA"/>
        </w:rPr>
        <w:t>5</w:t>
      </w:r>
      <w:r w:rsidR="0060467C" w:rsidRPr="00917FC2">
        <w:rPr>
          <w:rFonts w:ascii="Times New Roman" w:hAnsi="Times New Roman" w:cs="Times New Roman"/>
          <w:sz w:val="28"/>
          <w:szCs w:val="28"/>
          <w:lang w:val="en-ZA"/>
        </w:rPr>
        <w:t>]</w:t>
      </w:r>
      <w:r w:rsidR="0060467C" w:rsidRPr="00917FC2">
        <w:rPr>
          <w:rFonts w:ascii="Times New Roman" w:hAnsi="Times New Roman" w:cs="Times New Roman"/>
          <w:sz w:val="28"/>
          <w:szCs w:val="28"/>
          <w:lang w:val="en-ZA"/>
        </w:rPr>
        <w:tab/>
      </w:r>
      <w:r w:rsidR="00707CDD" w:rsidRPr="00917FC2">
        <w:rPr>
          <w:rFonts w:ascii="Times New Roman" w:hAnsi="Times New Roman" w:cs="Times New Roman"/>
          <w:sz w:val="28"/>
          <w:szCs w:val="28"/>
          <w:lang w:val="en-ZA"/>
        </w:rPr>
        <w:t>The appellant's recourse</w:t>
      </w:r>
      <w:r w:rsidR="00BF0BB6" w:rsidRPr="00917FC2">
        <w:rPr>
          <w:rFonts w:ascii="Times New Roman" w:hAnsi="Times New Roman" w:cs="Times New Roman"/>
          <w:sz w:val="28"/>
          <w:szCs w:val="28"/>
          <w:lang w:val="en-ZA"/>
        </w:rPr>
        <w:t xml:space="preserve"> </w:t>
      </w:r>
      <w:r w:rsidR="00ED4FAF" w:rsidRPr="00917FC2">
        <w:rPr>
          <w:rFonts w:ascii="Times New Roman" w:hAnsi="Times New Roman" w:cs="Times New Roman"/>
          <w:sz w:val="28"/>
          <w:szCs w:val="28"/>
          <w:lang w:val="en-ZA"/>
        </w:rPr>
        <w:t>to s</w:t>
      </w:r>
      <w:r w:rsidR="00BF0BB6" w:rsidRPr="00917FC2">
        <w:rPr>
          <w:rFonts w:ascii="Times New Roman" w:hAnsi="Times New Roman" w:cs="Times New Roman"/>
          <w:sz w:val="28"/>
          <w:szCs w:val="28"/>
          <w:lang w:val="en-ZA"/>
        </w:rPr>
        <w:t xml:space="preserve"> 3 of the Law of Evidence Amendment Act is misguided. As a practicing advocate, he could not have been oblivious to the fact that references in his affidavits to what he had been told by Mr Costa's clients constituted inadmissible hearsay evidence. Thus, it behoved him to introduce such evidence</w:t>
      </w:r>
      <w:r w:rsidR="000D7992" w:rsidRPr="00917FC2">
        <w:rPr>
          <w:rFonts w:ascii="Times New Roman" w:hAnsi="Times New Roman" w:cs="Times New Roman"/>
          <w:sz w:val="28"/>
          <w:szCs w:val="28"/>
          <w:lang w:val="en-ZA"/>
        </w:rPr>
        <w:t xml:space="preserve"> properly</w:t>
      </w:r>
      <w:r w:rsidR="00BF0BB6" w:rsidRPr="00917FC2">
        <w:rPr>
          <w:rFonts w:ascii="Times New Roman" w:hAnsi="Times New Roman" w:cs="Times New Roman"/>
          <w:sz w:val="28"/>
          <w:szCs w:val="28"/>
          <w:lang w:val="en-ZA"/>
        </w:rPr>
        <w:t xml:space="preserve">, if </w:t>
      </w:r>
      <w:r w:rsidR="000D7992" w:rsidRPr="00917FC2">
        <w:rPr>
          <w:rFonts w:ascii="Times New Roman" w:hAnsi="Times New Roman" w:cs="Times New Roman"/>
          <w:sz w:val="28"/>
          <w:szCs w:val="28"/>
          <w:lang w:val="en-ZA"/>
        </w:rPr>
        <w:t>he</w:t>
      </w:r>
      <w:r w:rsidR="00BF0BB6" w:rsidRPr="00917FC2">
        <w:rPr>
          <w:rFonts w:ascii="Times New Roman" w:hAnsi="Times New Roman" w:cs="Times New Roman"/>
          <w:sz w:val="28"/>
          <w:szCs w:val="28"/>
          <w:lang w:val="en-ZA"/>
        </w:rPr>
        <w:t xml:space="preserve"> </w:t>
      </w:r>
      <w:r w:rsidR="00655A72" w:rsidRPr="00917FC2">
        <w:rPr>
          <w:rFonts w:ascii="Times New Roman" w:hAnsi="Times New Roman" w:cs="Times New Roman"/>
          <w:sz w:val="28"/>
          <w:szCs w:val="28"/>
          <w:lang w:val="en-ZA"/>
        </w:rPr>
        <w:t xml:space="preserve">sought </w:t>
      </w:r>
      <w:r w:rsidR="00BF0BB6" w:rsidRPr="00917FC2">
        <w:rPr>
          <w:rFonts w:ascii="Times New Roman" w:hAnsi="Times New Roman" w:cs="Times New Roman"/>
          <w:sz w:val="28"/>
          <w:szCs w:val="28"/>
          <w:lang w:val="en-ZA"/>
        </w:rPr>
        <w:t xml:space="preserve">to rely on it, assuming that such an avenue was open to him.  He apparently knew of the identities of the persons who, according to him, provided him with this information. </w:t>
      </w:r>
    </w:p>
    <w:p w14:paraId="45875E26" w14:textId="5C0D9F0A" w:rsidR="006F01E0" w:rsidRPr="00917FC2" w:rsidRDefault="00726E1D"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ab/>
      </w:r>
    </w:p>
    <w:p w14:paraId="6F23567D" w14:textId="240614FD" w:rsidR="0031007A" w:rsidRPr="00917FC2" w:rsidRDefault="0064537E"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lastRenderedPageBreak/>
        <w:t>[36]</w:t>
      </w:r>
      <w:r w:rsidR="00FD4F20" w:rsidRPr="00917FC2">
        <w:rPr>
          <w:rFonts w:ascii="Times New Roman" w:hAnsi="Times New Roman" w:cs="Times New Roman"/>
          <w:sz w:val="28"/>
          <w:szCs w:val="28"/>
          <w:lang w:val="en-ZA"/>
        </w:rPr>
        <w:tab/>
      </w:r>
      <w:r w:rsidR="00726E1D" w:rsidRPr="00917FC2">
        <w:rPr>
          <w:rFonts w:ascii="Times New Roman" w:hAnsi="Times New Roman" w:cs="Times New Roman"/>
          <w:sz w:val="28"/>
          <w:szCs w:val="28"/>
          <w:lang w:val="en-ZA"/>
        </w:rPr>
        <w:t xml:space="preserve">In my view, </w:t>
      </w:r>
      <w:r w:rsidR="00583BBA" w:rsidRPr="00917FC2">
        <w:rPr>
          <w:rFonts w:ascii="Times New Roman" w:hAnsi="Times New Roman" w:cs="Times New Roman"/>
          <w:sz w:val="28"/>
          <w:szCs w:val="28"/>
          <w:lang w:val="en-ZA"/>
        </w:rPr>
        <w:t xml:space="preserve">the </w:t>
      </w:r>
      <w:r w:rsidR="00B609ED" w:rsidRPr="00917FC2">
        <w:rPr>
          <w:rFonts w:ascii="Times New Roman" w:hAnsi="Times New Roman" w:cs="Times New Roman"/>
          <w:sz w:val="28"/>
          <w:szCs w:val="28"/>
          <w:lang w:val="en-ZA"/>
        </w:rPr>
        <w:t xml:space="preserve">established </w:t>
      </w:r>
      <w:r w:rsidR="00583BBA" w:rsidRPr="00917FC2">
        <w:rPr>
          <w:rFonts w:ascii="Times New Roman" w:hAnsi="Times New Roman" w:cs="Times New Roman"/>
          <w:sz w:val="28"/>
          <w:szCs w:val="28"/>
          <w:lang w:val="en-ZA"/>
        </w:rPr>
        <w:t xml:space="preserve">facts militate against the admission of the hearsay evidence. As I have mentioned earlier, </w:t>
      </w:r>
      <w:r w:rsidR="003154D6" w:rsidRPr="00917FC2">
        <w:rPr>
          <w:rFonts w:ascii="Times New Roman" w:hAnsi="Times New Roman" w:cs="Times New Roman"/>
          <w:sz w:val="28"/>
          <w:szCs w:val="28"/>
          <w:lang w:val="en-ZA"/>
        </w:rPr>
        <w:t>the purpose of s 26 is to re</w:t>
      </w:r>
      <w:r w:rsidR="00765625" w:rsidRPr="00917FC2">
        <w:rPr>
          <w:rFonts w:ascii="Times New Roman" w:hAnsi="Times New Roman" w:cs="Times New Roman"/>
          <w:sz w:val="28"/>
          <w:szCs w:val="28"/>
          <w:lang w:val="en-ZA"/>
        </w:rPr>
        <w:t xml:space="preserve">imburse victims of theft by </w:t>
      </w:r>
      <w:r w:rsidR="00C51656" w:rsidRPr="00917FC2">
        <w:rPr>
          <w:rFonts w:ascii="Times New Roman" w:hAnsi="Times New Roman" w:cs="Times New Roman"/>
          <w:sz w:val="28"/>
          <w:szCs w:val="28"/>
          <w:lang w:val="en-ZA"/>
        </w:rPr>
        <w:t>a practising attorney</w:t>
      </w:r>
      <w:r w:rsidR="00765625" w:rsidRPr="00917FC2">
        <w:rPr>
          <w:rFonts w:ascii="Times New Roman" w:hAnsi="Times New Roman" w:cs="Times New Roman"/>
          <w:sz w:val="28"/>
          <w:szCs w:val="28"/>
          <w:lang w:val="en-ZA"/>
        </w:rPr>
        <w:t xml:space="preserve"> in respect of specific amounts </w:t>
      </w:r>
      <w:r w:rsidR="003154D6" w:rsidRPr="00917FC2">
        <w:rPr>
          <w:rFonts w:ascii="Times New Roman" w:hAnsi="Times New Roman" w:cs="Times New Roman"/>
          <w:sz w:val="28"/>
          <w:szCs w:val="28"/>
          <w:lang w:val="en-ZA"/>
        </w:rPr>
        <w:t xml:space="preserve">entrusted to the </w:t>
      </w:r>
      <w:r w:rsidR="00765625" w:rsidRPr="00917FC2">
        <w:rPr>
          <w:rFonts w:ascii="Times New Roman" w:hAnsi="Times New Roman" w:cs="Times New Roman"/>
          <w:sz w:val="28"/>
          <w:szCs w:val="28"/>
          <w:lang w:val="en-ZA"/>
        </w:rPr>
        <w:t>atto</w:t>
      </w:r>
      <w:r w:rsidR="00DF10CA" w:rsidRPr="00917FC2">
        <w:rPr>
          <w:rFonts w:ascii="Times New Roman" w:hAnsi="Times New Roman" w:cs="Times New Roman"/>
          <w:sz w:val="28"/>
          <w:szCs w:val="28"/>
          <w:lang w:val="en-ZA"/>
        </w:rPr>
        <w:t>r</w:t>
      </w:r>
      <w:r w:rsidR="00042D43" w:rsidRPr="00917FC2">
        <w:rPr>
          <w:rFonts w:ascii="Times New Roman" w:hAnsi="Times New Roman" w:cs="Times New Roman"/>
          <w:sz w:val="28"/>
          <w:szCs w:val="28"/>
          <w:lang w:val="en-ZA"/>
        </w:rPr>
        <w:t>ney.</w:t>
      </w:r>
      <w:r w:rsidR="00583BBA" w:rsidRPr="00917FC2">
        <w:rPr>
          <w:rFonts w:ascii="Times New Roman" w:hAnsi="Times New Roman" w:cs="Times New Roman"/>
          <w:sz w:val="28"/>
          <w:szCs w:val="28"/>
          <w:lang w:val="en-ZA"/>
        </w:rPr>
        <w:t xml:space="preserve"> T</w:t>
      </w:r>
      <w:r w:rsidR="00A50B47" w:rsidRPr="00917FC2">
        <w:rPr>
          <w:rFonts w:ascii="Times New Roman" w:hAnsi="Times New Roman" w:cs="Times New Roman"/>
          <w:sz w:val="28"/>
          <w:szCs w:val="28"/>
          <w:lang w:val="en-ZA"/>
        </w:rPr>
        <w:t>he first hurdle</w:t>
      </w:r>
      <w:r w:rsidR="00C26A9F" w:rsidRPr="00917FC2">
        <w:rPr>
          <w:rFonts w:ascii="Times New Roman" w:hAnsi="Times New Roman" w:cs="Times New Roman"/>
          <w:sz w:val="28"/>
          <w:szCs w:val="28"/>
          <w:lang w:val="en-ZA"/>
        </w:rPr>
        <w:t xml:space="preserve"> a claimant relying on the section </w:t>
      </w:r>
      <w:r w:rsidR="00A50B47" w:rsidRPr="00917FC2">
        <w:rPr>
          <w:rFonts w:ascii="Times New Roman" w:hAnsi="Times New Roman" w:cs="Times New Roman"/>
          <w:sz w:val="28"/>
          <w:szCs w:val="28"/>
          <w:lang w:val="en-ZA"/>
        </w:rPr>
        <w:t xml:space="preserve">must </w:t>
      </w:r>
      <w:r w:rsidR="00875D3F" w:rsidRPr="00917FC2">
        <w:rPr>
          <w:rFonts w:ascii="Times New Roman" w:hAnsi="Times New Roman" w:cs="Times New Roman"/>
          <w:sz w:val="28"/>
          <w:szCs w:val="28"/>
          <w:lang w:val="en-ZA"/>
        </w:rPr>
        <w:t xml:space="preserve">therefore </w:t>
      </w:r>
      <w:r w:rsidR="00F14D0B" w:rsidRPr="00917FC2">
        <w:rPr>
          <w:rFonts w:ascii="Times New Roman" w:hAnsi="Times New Roman" w:cs="Times New Roman"/>
          <w:sz w:val="28"/>
          <w:szCs w:val="28"/>
          <w:lang w:val="en-ZA"/>
        </w:rPr>
        <w:t>overcome</w:t>
      </w:r>
      <w:r w:rsidR="00A50B47" w:rsidRPr="00917FC2">
        <w:rPr>
          <w:rFonts w:ascii="Times New Roman" w:hAnsi="Times New Roman" w:cs="Times New Roman"/>
          <w:sz w:val="28"/>
          <w:szCs w:val="28"/>
          <w:lang w:val="en-ZA"/>
        </w:rPr>
        <w:t xml:space="preserve"> is to prove</w:t>
      </w:r>
      <w:r w:rsidR="00C26A9F" w:rsidRPr="00917FC2">
        <w:rPr>
          <w:rFonts w:ascii="Times New Roman" w:hAnsi="Times New Roman" w:cs="Times New Roman"/>
          <w:sz w:val="28"/>
          <w:szCs w:val="28"/>
          <w:lang w:val="en-ZA"/>
        </w:rPr>
        <w:t xml:space="preserve"> that </w:t>
      </w:r>
      <w:r w:rsidR="002D38AA" w:rsidRPr="00917FC2">
        <w:rPr>
          <w:rFonts w:ascii="Times New Roman" w:hAnsi="Times New Roman" w:cs="Times New Roman"/>
          <w:sz w:val="28"/>
          <w:szCs w:val="28"/>
          <w:lang w:val="en-ZA"/>
        </w:rPr>
        <w:t xml:space="preserve">the </w:t>
      </w:r>
      <w:r w:rsidR="00C26A9F" w:rsidRPr="00917FC2">
        <w:rPr>
          <w:rFonts w:ascii="Times New Roman" w:hAnsi="Times New Roman" w:cs="Times New Roman"/>
          <w:sz w:val="28"/>
          <w:szCs w:val="28"/>
          <w:lang w:val="en-ZA"/>
        </w:rPr>
        <w:t xml:space="preserve">monies </w:t>
      </w:r>
      <w:r w:rsidR="00F14D0B" w:rsidRPr="00917FC2">
        <w:rPr>
          <w:rFonts w:ascii="Times New Roman" w:hAnsi="Times New Roman" w:cs="Times New Roman"/>
          <w:sz w:val="28"/>
          <w:szCs w:val="28"/>
          <w:lang w:val="en-ZA"/>
        </w:rPr>
        <w:t>were in fact</w:t>
      </w:r>
      <w:r w:rsidR="003154D6" w:rsidRPr="00917FC2">
        <w:rPr>
          <w:rFonts w:ascii="Times New Roman" w:hAnsi="Times New Roman" w:cs="Times New Roman"/>
          <w:sz w:val="28"/>
          <w:szCs w:val="28"/>
          <w:lang w:val="en-ZA"/>
        </w:rPr>
        <w:t xml:space="preserve"> paid to an attorney </w:t>
      </w:r>
      <w:r w:rsidR="00B1363E" w:rsidRPr="00917FC2">
        <w:rPr>
          <w:rFonts w:ascii="Times New Roman" w:hAnsi="Times New Roman" w:cs="Times New Roman"/>
          <w:sz w:val="28"/>
          <w:szCs w:val="28"/>
          <w:lang w:val="en-ZA"/>
        </w:rPr>
        <w:t xml:space="preserve">on his or </w:t>
      </w:r>
      <w:r w:rsidR="003154D6" w:rsidRPr="00917FC2">
        <w:rPr>
          <w:rFonts w:ascii="Times New Roman" w:hAnsi="Times New Roman" w:cs="Times New Roman"/>
          <w:sz w:val="28"/>
          <w:szCs w:val="28"/>
          <w:lang w:val="en-ZA"/>
        </w:rPr>
        <w:t>her</w:t>
      </w:r>
      <w:r w:rsidR="00C26A9F" w:rsidRPr="00917FC2">
        <w:rPr>
          <w:rFonts w:ascii="Times New Roman" w:hAnsi="Times New Roman" w:cs="Times New Roman"/>
          <w:sz w:val="28"/>
          <w:szCs w:val="28"/>
          <w:lang w:val="en-ZA"/>
        </w:rPr>
        <w:t xml:space="preserve"> behalf. Since attorneys are by law required to ke</w:t>
      </w:r>
      <w:r w:rsidR="00C65F05" w:rsidRPr="00917FC2">
        <w:rPr>
          <w:rFonts w:ascii="Times New Roman" w:hAnsi="Times New Roman" w:cs="Times New Roman"/>
          <w:sz w:val="28"/>
          <w:szCs w:val="28"/>
          <w:lang w:val="en-ZA"/>
        </w:rPr>
        <w:t xml:space="preserve">ep proper </w:t>
      </w:r>
      <w:r w:rsidR="00E7199E" w:rsidRPr="00917FC2">
        <w:rPr>
          <w:rFonts w:ascii="Times New Roman" w:hAnsi="Times New Roman" w:cs="Times New Roman"/>
          <w:sz w:val="28"/>
          <w:szCs w:val="28"/>
          <w:lang w:val="en-ZA"/>
        </w:rPr>
        <w:t>books of account and records of trust ledgers</w:t>
      </w:r>
      <w:r w:rsidR="00C26A9F" w:rsidRPr="00917FC2">
        <w:rPr>
          <w:rFonts w:ascii="Times New Roman" w:hAnsi="Times New Roman" w:cs="Times New Roman"/>
          <w:sz w:val="28"/>
          <w:szCs w:val="28"/>
          <w:lang w:val="en-ZA"/>
        </w:rPr>
        <w:t>, this is</w:t>
      </w:r>
      <w:r w:rsidR="00A50B47" w:rsidRPr="00917FC2">
        <w:rPr>
          <w:rFonts w:ascii="Times New Roman" w:hAnsi="Times New Roman" w:cs="Times New Roman"/>
          <w:sz w:val="28"/>
          <w:szCs w:val="28"/>
          <w:lang w:val="en-ZA"/>
        </w:rPr>
        <w:t xml:space="preserve"> usually not a difficult hurdle f</w:t>
      </w:r>
      <w:r w:rsidR="00342572" w:rsidRPr="00917FC2">
        <w:rPr>
          <w:rFonts w:ascii="Times New Roman" w:hAnsi="Times New Roman" w:cs="Times New Roman"/>
          <w:sz w:val="28"/>
          <w:szCs w:val="28"/>
          <w:lang w:val="en-ZA"/>
        </w:rPr>
        <w:t>or a claimant to surmount. This is so</w:t>
      </w:r>
      <w:r w:rsidR="00DC7247" w:rsidRPr="00917FC2">
        <w:rPr>
          <w:rFonts w:ascii="Times New Roman" w:hAnsi="Times New Roman" w:cs="Times New Roman"/>
          <w:sz w:val="28"/>
          <w:szCs w:val="28"/>
          <w:lang w:val="en-ZA"/>
        </w:rPr>
        <w:t xml:space="preserve"> because</w:t>
      </w:r>
      <w:r w:rsidR="00A50B47" w:rsidRPr="00917FC2">
        <w:rPr>
          <w:rFonts w:ascii="Times New Roman" w:hAnsi="Times New Roman" w:cs="Times New Roman"/>
          <w:sz w:val="28"/>
          <w:szCs w:val="28"/>
          <w:lang w:val="en-ZA"/>
        </w:rPr>
        <w:t xml:space="preserve"> the relevant receipt or trust ledger</w:t>
      </w:r>
      <w:r w:rsidR="00C26A9F" w:rsidRPr="00917FC2">
        <w:rPr>
          <w:rFonts w:ascii="Times New Roman" w:hAnsi="Times New Roman" w:cs="Times New Roman"/>
          <w:sz w:val="28"/>
          <w:szCs w:val="28"/>
          <w:lang w:val="en-ZA"/>
        </w:rPr>
        <w:t xml:space="preserve"> </w:t>
      </w:r>
      <w:r w:rsidR="00A50B47" w:rsidRPr="00917FC2">
        <w:rPr>
          <w:rFonts w:ascii="Times New Roman" w:hAnsi="Times New Roman" w:cs="Times New Roman"/>
          <w:sz w:val="28"/>
          <w:szCs w:val="28"/>
          <w:lang w:val="en-ZA"/>
        </w:rPr>
        <w:t xml:space="preserve">would </w:t>
      </w:r>
      <w:r w:rsidR="002D61EB" w:rsidRPr="00917FC2">
        <w:rPr>
          <w:rFonts w:ascii="Times New Roman" w:hAnsi="Times New Roman" w:cs="Times New Roman"/>
          <w:sz w:val="28"/>
          <w:szCs w:val="28"/>
          <w:lang w:val="en-ZA"/>
        </w:rPr>
        <w:t xml:space="preserve">invariably </w:t>
      </w:r>
      <w:r w:rsidR="00830818" w:rsidRPr="00917FC2">
        <w:rPr>
          <w:rFonts w:ascii="Times New Roman" w:hAnsi="Times New Roman" w:cs="Times New Roman"/>
          <w:sz w:val="28"/>
          <w:szCs w:val="28"/>
          <w:lang w:val="en-ZA"/>
        </w:rPr>
        <w:t xml:space="preserve">establish whether the </w:t>
      </w:r>
      <w:r w:rsidR="000F030A" w:rsidRPr="00917FC2">
        <w:rPr>
          <w:rFonts w:ascii="Times New Roman" w:hAnsi="Times New Roman" w:cs="Times New Roman"/>
          <w:sz w:val="28"/>
          <w:szCs w:val="28"/>
          <w:lang w:val="en-ZA"/>
        </w:rPr>
        <w:t>funds</w:t>
      </w:r>
      <w:r w:rsidR="002D61EB" w:rsidRPr="00917FC2">
        <w:rPr>
          <w:rFonts w:ascii="Times New Roman" w:hAnsi="Times New Roman" w:cs="Times New Roman"/>
          <w:sz w:val="28"/>
          <w:szCs w:val="28"/>
          <w:lang w:val="en-ZA"/>
        </w:rPr>
        <w:t xml:space="preserve"> </w:t>
      </w:r>
      <w:r w:rsidR="000F030A" w:rsidRPr="00917FC2">
        <w:rPr>
          <w:rFonts w:ascii="Times New Roman" w:hAnsi="Times New Roman" w:cs="Times New Roman"/>
          <w:sz w:val="28"/>
          <w:szCs w:val="28"/>
          <w:lang w:val="en-ZA"/>
        </w:rPr>
        <w:t xml:space="preserve">were </w:t>
      </w:r>
      <w:r w:rsidR="002D61EB" w:rsidRPr="00917FC2">
        <w:rPr>
          <w:rFonts w:ascii="Times New Roman" w:hAnsi="Times New Roman" w:cs="Times New Roman"/>
          <w:sz w:val="28"/>
          <w:szCs w:val="28"/>
          <w:lang w:val="en-ZA"/>
        </w:rPr>
        <w:t xml:space="preserve">entrusted </w:t>
      </w:r>
      <w:r w:rsidR="009A3FF1" w:rsidRPr="00917FC2">
        <w:rPr>
          <w:rFonts w:ascii="Times New Roman" w:hAnsi="Times New Roman" w:cs="Times New Roman"/>
          <w:sz w:val="28"/>
          <w:szCs w:val="28"/>
          <w:lang w:val="en-ZA"/>
        </w:rPr>
        <w:t xml:space="preserve">to </w:t>
      </w:r>
      <w:r w:rsidR="00C26A9F" w:rsidRPr="00917FC2">
        <w:rPr>
          <w:rFonts w:ascii="Times New Roman" w:hAnsi="Times New Roman" w:cs="Times New Roman"/>
          <w:sz w:val="28"/>
          <w:szCs w:val="28"/>
          <w:lang w:val="en-ZA"/>
        </w:rPr>
        <w:t xml:space="preserve">the attorney. </w:t>
      </w:r>
      <w:r w:rsidR="00042D43" w:rsidRPr="00917FC2">
        <w:rPr>
          <w:rFonts w:ascii="Times New Roman" w:hAnsi="Times New Roman" w:cs="Times New Roman"/>
          <w:sz w:val="28"/>
          <w:szCs w:val="28"/>
          <w:lang w:val="en-ZA"/>
        </w:rPr>
        <w:t>I</w:t>
      </w:r>
      <w:r w:rsidR="00C26A9F" w:rsidRPr="00917FC2">
        <w:rPr>
          <w:rFonts w:ascii="Times New Roman" w:hAnsi="Times New Roman" w:cs="Times New Roman"/>
          <w:sz w:val="28"/>
          <w:szCs w:val="28"/>
          <w:lang w:val="en-ZA"/>
        </w:rPr>
        <w:t>n a case such as this</w:t>
      </w:r>
      <w:r w:rsidR="00830818" w:rsidRPr="00917FC2">
        <w:rPr>
          <w:rFonts w:ascii="Times New Roman" w:hAnsi="Times New Roman" w:cs="Times New Roman"/>
          <w:sz w:val="28"/>
          <w:szCs w:val="28"/>
          <w:lang w:val="en-ZA"/>
        </w:rPr>
        <w:t>,</w:t>
      </w:r>
      <w:r w:rsidR="00C26A9F" w:rsidRPr="00917FC2">
        <w:rPr>
          <w:rFonts w:ascii="Times New Roman" w:hAnsi="Times New Roman" w:cs="Times New Roman"/>
          <w:sz w:val="28"/>
          <w:szCs w:val="28"/>
          <w:lang w:val="en-ZA"/>
        </w:rPr>
        <w:t xml:space="preserve"> where the claimant does not rely on t</w:t>
      </w:r>
      <w:r w:rsidR="004F4F85" w:rsidRPr="00917FC2">
        <w:rPr>
          <w:rFonts w:ascii="Times New Roman" w:hAnsi="Times New Roman" w:cs="Times New Roman"/>
          <w:sz w:val="28"/>
          <w:szCs w:val="28"/>
          <w:lang w:val="en-ZA"/>
        </w:rPr>
        <w:t xml:space="preserve">he </w:t>
      </w:r>
      <w:r w:rsidR="000E1FD4" w:rsidRPr="00917FC2">
        <w:rPr>
          <w:rFonts w:ascii="Times New Roman" w:hAnsi="Times New Roman" w:cs="Times New Roman"/>
          <w:sz w:val="28"/>
          <w:szCs w:val="28"/>
          <w:lang w:val="en-ZA"/>
        </w:rPr>
        <w:t xml:space="preserve">attorney’s </w:t>
      </w:r>
      <w:r w:rsidR="004F4F85" w:rsidRPr="00917FC2">
        <w:rPr>
          <w:rFonts w:ascii="Times New Roman" w:hAnsi="Times New Roman" w:cs="Times New Roman"/>
          <w:sz w:val="28"/>
          <w:szCs w:val="28"/>
          <w:lang w:val="en-ZA"/>
        </w:rPr>
        <w:t xml:space="preserve">trust records </w:t>
      </w:r>
      <w:r w:rsidR="00830818" w:rsidRPr="00917FC2">
        <w:rPr>
          <w:rFonts w:ascii="Times New Roman" w:hAnsi="Times New Roman" w:cs="Times New Roman"/>
          <w:sz w:val="28"/>
          <w:szCs w:val="28"/>
          <w:lang w:val="en-ZA"/>
        </w:rPr>
        <w:t xml:space="preserve">but on the </w:t>
      </w:r>
      <w:r w:rsidR="000E1FD4" w:rsidRPr="00917FC2">
        <w:rPr>
          <w:rFonts w:ascii="Times New Roman" w:hAnsi="Times New Roman" w:cs="Times New Roman"/>
          <w:sz w:val="28"/>
          <w:szCs w:val="28"/>
          <w:lang w:val="en-ZA"/>
        </w:rPr>
        <w:t>say-</w:t>
      </w:r>
      <w:r w:rsidR="004D1ECA" w:rsidRPr="00917FC2">
        <w:rPr>
          <w:rFonts w:ascii="Times New Roman" w:hAnsi="Times New Roman" w:cs="Times New Roman"/>
          <w:sz w:val="28"/>
          <w:szCs w:val="28"/>
          <w:lang w:val="en-ZA"/>
        </w:rPr>
        <w:t xml:space="preserve">so </w:t>
      </w:r>
      <w:r w:rsidR="009B173A" w:rsidRPr="00917FC2">
        <w:rPr>
          <w:rFonts w:ascii="Times New Roman" w:hAnsi="Times New Roman" w:cs="Times New Roman"/>
          <w:sz w:val="28"/>
          <w:szCs w:val="28"/>
          <w:lang w:val="en-ZA"/>
        </w:rPr>
        <w:t>of a client, the latter must file</w:t>
      </w:r>
      <w:r w:rsidR="00C26A9F" w:rsidRPr="00917FC2">
        <w:rPr>
          <w:rFonts w:ascii="Times New Roman" w:hAnsi="Times New Roman" w:cs="Times New Roman"/>
          <w:sz w:val="28"/>
          <w:szCs w:val="28"/>
          <w:lang w:val="en-ZA"/>
        </w:rPr>
        <w:t xml:space="preserve"> a confirmatory affidavit setting out the </w:t>
      </w:r>
      <w:r w:rsidR="000C7134" w:rsidRPr="00917FC2">
        <w:rPr>
          <w:rFonts w:ascii="Times New Roman" w:hAnsi="Times New Roman" w:cs="Times New Roman"/>
          <w:sz w:val="28"/>
          <w:szCs w:val="28"/>
          <w:lang w:val="en-ZA"/>
        </w:rPr>
        <w:t xml:space="preserve">relevant </w:t>
      </w:r>
      <w:r w:rsidR="00BB62C9" w:rsidRPr="00917FC2">
        <w:rPr>
          <w:rFonts w:ascii="Times New Roman" w:hAnsi="Times New Roman" w:cs="Times New Roman"/>
          <w:sz w:val="28"/>
          <w:szCs w:val="28"/>
          <w:lang w:val="en-ZA"/>
        </w:rPr>
        <w:t>information</w:t>
      </w:r>
      <w:r w:rsidR="00574C65" w:rsidRPr="00917FC2">
        <w:rPr>
          <w:rFonts w:ascii="Times New Roman" w:hAnsi="Times New Roman" w:cs="Times New Roman"/>
          <w:sz w:val="28"/>
          <w:szCs w:val="28"/>
          <w:lang w:val="en-ZA"/>
        </w:rPr>
        <w:t xml:space="preserve"> </w:t>
      </w:r>
      <w:r w:rsidR="004D1ECA" w:rsidRPr="00917FC2">
        <w:rPr>
          <w:rFonts w:ascii="Times New Roman" w:hAnsi="Times New Roman" w:cs="Times New Roman"/>
          <w:sz w:val="28"/>
          <w:szCs w:val="28"/>
          <w:lang w:val="en-ZA"/>
        </w:rPr>
        <w:t xml:space="preserve">that </w:t>
      </w:r>
      <w:r w:rsidR="00830818" w:rsidRPr="00917FC2">
        <w:rPr>
          <w:rFonts w:ascii="Times New Roman" w:hAnsi="Times New Roman" w:cs="Times New Roman"/>
          <w:sz w:val="28"/>
          <w:szCs w:val="28"/>
          <w:lang w:val="en-ZA"/>
        </w:rPr>
        <w:t>would</w:t>
      </w:r>
      <w:r w:rsidR="00E50601" w:rsidRPr="00917FC2">
        <w:rPr>
          <w:rFonts w:ascii="Times New Roman" w:hAnsi="Times New Roman" w:cs="Times New Roman"/>
          <w:sz w:val="28"/>
          <w:szCs w:val="28"/>
          <w:lang w:val="en-ZA"/>
        </w:rPr>
        <w:t xml:space="preserve"> enable the respondent </w:t>
      </w:r>
      <w:r w:rsidR="0031007A" w:rsidRPr="00917FC2">
        <w:rPr>
          <w:rFonts w:ascii="Times New Roman" w:hAnsi="Times New Roman" w:cs="Times New Roman"/>
          <w:sz w:val="28"/>
          <w:szCs w:val="28"/>
          <w:lang w:val="en-ZA"/>
        </w:rPr>
        <w:t xml:space="preserve">to </w:t>
      </w:r>
      <w:r w:rsidR="00D9262A" w:rsidRPr="00917FC2">
        <w:rPr>
          <w:rFonts w:ascii="Times New Roman" w:hAnsi="Times New Roman" w:cs="Times New Roman"/>
          <w:sz w:val="28"/>
          <w:szCs w:val="28"/>
          <w:lang w:val="en-ZA"/>
        </w:rPr>
        <w:t xml:space="preserve">determine whether </w:t>
      </w:r>
      <w:r w:rsidR="001C1E03" w:rsidRPr="00917FC2">
        <w:rPr>
          <w:rFonts w:ascii="Times New Roman" w:hAnsi="Times New Roman" w:cs="Times New Roman"/>
          <w:sz w:val="28"/>
          <w:szCs w:val="28"/>
          <w:lang w:val="en-ZA"/>
        </w:rPr>
        <w:t xml:space="preserve">the </w:t>
      </w:r>
      <w:r w:rsidR="00D9262A" w:rsidRPr="00917FC2">
        <w:rPr>
          <w:rFonts w:ascii="Times New Roman" w:hAnsi="Times New Roman" w:cs="Times New Roman"/>
          <w:sz w:val="28"/>
          <w:szCs w:val="28"/>
          <w:lang w:val="en-ZA"/>
        </w:rPr>
        <w:t xml:space="preserve">money had </w:t>
      </w:r>
      <w:r w:rsidR="00774650" w:rsidRPr="00917FC2">
        <w:rPr>
          <w:rFonts w:ascii="Times New Roman" w:hAnsi="Times New Roman" w:cs="Times New Roman"/>
          <w:sz w:val="28"/>
          <w:szCs w:val="28"/>
          <w:lang w:val="en-ZA"/>
        </w:rPr>
        <w:t xml:space="preserve">indeed </w:t>
      </w:r>
      <w:r w:rsidR="00D9262A" w:rsidRPr="00917FC2">
        <w:rPr>
          <w:rFonts w:ascii="Times New Roman" w:hAnsi="Times New Roman" w:cs="Times New Roman"/>
          <w:sz w:val="28"/>
          <w:szCs w:val="28"/>
          <w:lang w:val="en-ZA"/>
        </w:rPr>
        <w:t>been entrusted to the attorney</w:t>
      </w:r>
      <w:r w:rsidR="00042D43" w:rsidRPr="00917FC2">
        <w:rPr>
          <w:rFonts w:ascii="Times New Roman" w:hAnsi="Times New Roman" w:cs="Times New Roman"/>
          <w:sz w:val="28"/>
          <w:szCs w:val="28"/>
          <w:lang w:val="en-ZA"/>
        </w:rPr>
        <w:t>.</w:t>
      </w:r>
      <w:r w:rsidRPr="00917FC2">
        <w:rPr>
          <w:rFonts w:ascii="Times New Roman" w:hAnsi="Times New Roman" w:cs="Times New Roman"/>
          <w:sz w:val="28"/>
          <w:szCs w:val="28"/>
          <w:lang w:val="en-ZA"/>
        </w:rPr>
        <w:t xml:space="preserve"> The appellant has failed to produce any such evidence.</w:t>
      </w:r>
    </w:p>
    <w:p w14:paraId="39B9E1A3" w14:textId="77777777" w:rsidR="0031007A" w:rsidRPr="00917FC2" w:rsidRDefault="0031007A" w:rsidP="005C0E40">
      <w:pPr>
        <w:pStyle w:val="BodyA"/>
        <w:spacing w:after="0" w:line="360" w:lineRule="auto"/>
        <w:rPr>
          <w:rFonts w:ascii="Times New Roman" w:hAnsi="Times New Roman" w:cs="Times New Roman"/>
          <w:sz w:val="28"/>
          <w:szCs w:val="28"/>
          <w:lang w:val="en-ZA"/>
        </w:rPr>
      </w:pPr>
    </w:p>
    <w:p w14:paraId="2B11F72B" w14:textId="355E6D36" w:rsidR="0031007A"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[3</w:t>
      </w:r>
      <w:r w:rsidR="0064537E" w:rsidRPr="00917FC2">
        <w:rPr>
          <w:rFonts w:ascii="Times New Roman" w:hAnsi="Times New Roman" w:cs="Times New Roman"/>
          <w:sz w:val="28"/>
          <w:szCs w:val="28"/>
          <w:lang w:val="en-ZA"/>
        </w:rPr>
        <w:t>7</w:t>
      </w:r>
      <w:r w:rsidR="00BB408A"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4F4F85" w:rsidRPr="00917FC2">
        <w:rPr>
          <w:rFonts w:ascii="Times New Roman" w:hAnsi="Times New Roman" w:cs="Times New Roman"/>
          <w:sz w:val="28"/>
          <w:szCs w:val="28"/>
          <w:lang w:val="en-ZA"/>
        </w:rPr>
        <w:t>He has instead relied on ba</w:t>
      </w:r>
      <w:r w:rsidR="0031007A" w:rsidRPr="00917FC2">
        <w:rPr>
          <w:rFonts w:ascii="Times New Roman" w:hAnsi="Times New Roman" w:cs="Times New Roman"/>
          <w:sz w:val="28"/>
          <w:szCs w:val="28"/>
          <w:lang w:val="en-ZA"/>
        </w:rPr>
        <w:t xml:space="preserve">ld statements by clients </w:t>
      </w:r>
      <w:r w:rsidR="00212A3B" w:rsidRPr="00917FC2">
        <w:rPr>
          <w:rFonts w:ascii="Times New Roman" w:hAnsi="Times New Roman" w:cs="Times New Roman"/>
          <w:sz w:val="28"/>
          <w:szCs w:val="28"/>
          <w:lang w:val="en-ZA"/>
        </w:rPr>
        <w:t xml:space="preserve">to the effect </w:t>
      </w:r>
      <w:r w:rsidR="0031007A" w:rsidRPr="00917FC2">
        <w:rPr>
          <w:rFonts w:ascii="Times New Roman" w:hAnsi="Times New Roman" w:cs="Times New Roman"/>
          <w:sz w:val="28"/>
          <w:szCs w:val="28"/>
          <w:lang w:val="en-ZA"/>
        </w:rPr>
        <w:t xml:space="preserve">that they had paid money to Costa </w:t>
      </w:r>
      <w:r w:rsidR="00212A3B" w:rsidRPr="00917FC2">
        <w:rPr>
          <w:rFonts w:ascii="Times New Roman" w:hAnsi="Times New Roman" w:cs="Times New Roman"/>
          <w:sz w:val="28"/>
          <w:szCs w:val="28"/>
          <w:lang w:val="en-ZA"/>
        </w:rPr>
        <w:t xml:space="preserve">Attorneys </w:t>
      </w:r>
      <w:r w:rsidR="0031007A" w:rsidRPr="00917FC2">
        <w:rPr>
          <w:rFonts w:ascii="Times New Roman" w:hAnsi="Times New Roman" w:cs="Times New Roman"/>
          <w:sz w:val="28"/>
          <w:szCs w:val="28"/>
          <w:lang w:val="en-ZA"/>
        </w:rPr>
        <w:t>in re</w:t>
      </w:r>
      <w:r w:rsidR="00E854E9" w:rsidRPr="00917FC2">
        <w:rPr>
          <w:rFonts w:ascii="Times New Roman" w:hAnsi="Times New Roman" w:cs="Times New Roman"/>
          <w:sz w:val="28"/>
          <w:szCs w:val="28"/>
          <w:lang w:val="en-ZA"/>
        </w:rPr>
        <w:t xml:space="preserve">spect of his </w:t>
      </w:r>
      <w:r w:rsidR="00537A38" w:rsidRPr="00917FC2">
        <w:rPr>
          <w:rFonts w:ascii="Times New Roman" w:hAnsi="Times New Roman" w:cs="Times New Roman"/>
          <w:sz w:val="28"/>
          <w:szCs w:val="28"/>
          <w:lang w:val="en-ZA"/>
        </w:rPr>
        <w:t xml:space="preserve">and </w:t>
      </w:r>
      <w:r w:rsidR="00F14D0B" w:rsidRPr="00917FC2">
        <w:rPr>
          <w:rFonts w:ascii="Times New Roman" w:hAnsi="Times New Roman" w:cs="Times New Roman"/>
          <w:sz w:val="28"/>
          <w:szCs w:val="28"/>
          <w:lang w:val="en-ZA"/>
        </w:rPr>
        <w:t xml:space="preserve">the </w:t>
      </w:r>
      <w:r w:rsidR="00537A38" w:rsidRPr="00917FC2">
        <w:rPr>
          <w:rFonts w:ascii="Times New Roman" w:hAnsi="Times New Roman" w:cs="Times New Roman"/>
          <w:sz w:val="28"/>
          <w:szCs w:val="28"/>
          <w:lang w:val="en-ZA"/>
        </w:rPr>
        <w:t xml:space="preserve">attorneys’ </w:t>
      </w:r>
      <w:r w:rsidR="00E854E9" w:rsidRPr="00917FC2">
        <w:rPr>
          <w:rFonts w:ascii="Times New Roman" w:hAnsi="Times New Roman" w:cs="Times New Roman"/>
          <w:sz w:val="28"/>
          <w:szCs w:val="28"/>
          <w:lang w:val="en-ZA"/>
        </w:rPr>
        <w:t>fees. However, he</w:t>
      </w:r>
      <w:r w:rsidR="0031007A" w:rsidRPr="00917FC2">
        <w:rPr>
          <w:rFonts w:ascii="Times New Roman" w:hAnsi="Times New Roman" w:cs="Times New Roman"/>
          <w:sz w:val="28"/>
          <w:szCs w:val="28"/>
          <w:lang w:val="en-ZA"/>
        </w:rPr>
        <w:t xml:space="preserve"> provide</w:t>
      </w:r>
      <w:r w:rsidR="00212A3B" w:rsidRPr="00917FC2">
        <w:rPr>
          <w:rFonts w:ascii="Times New Roman" w:hAnsi="Times New Roman" w:cs="Times New Roman"/>
          <w:sz w:val="28"/>
          <w:szCs w:val="28"/>
          <w:lang w:val="en-ZA"/>
        </w:rPr>
        <w:t>d</w:t>
      </w:r>
      <w:r w:rsidR="0031007A" w:rsidRPr="00917FC2">
        <w:rPr>
          <w:rFonts w:ascii="Times New Roman" w:hAnsi="Times New Roman" w:cs="Times New Roman"/>
          <w:sz w:val="28"/>
          <w:szCs w:val="28"/>
          <w:lang w:val="en-ZA"/>
        </w:rPr>
        <w:t xml:space="preserve"> no detail</w:t>
      </w:r>
      <w:r w:rsidR="005E45A2" w:rsidRPr="00917FC2">
        <w:rPr>
          <w:rFonts w:ascii="Times New Roman" w:hAnsi="Times New Roman" w:cs="Times New Roman"/>
          <w:sz w:val="28"/>
          <w:szCs w:val="28"/>
          <w:lang w:val="en-ZA"/>
        </w:rPr>
        <w:t>s</w:t>
      </w:r>
      <w:r w:rsidR="00174263" w:rsidRPr="00917FC2">
        <w:rPr>
          <w:rFonts w:ascii="Times New Roman" w:hAnsi="Times New Roman" w:cs="Times New Roman"/>
          <w:sz w:val="28"/>
          <w:szCs w:val="28"/>
          <w:lang w:val="en-ZA"/>
        </w:rPr>
        <w:t xml:space="preserve"> of the exact</w:t>
      </w:r>
      <w:r w:rsidR="00E854E9" w:rsidRPr="00917FC2">
        <w:rPr>
          <w:rFonts w:ascii="Times New Roman" w:hAnsi="Times New Roman" w:cs="Times New Roman"/>
          <w:sz w:val="28"/>
          <w:szCs w:val="28"/>
          <w:lang w:val="en-ZA"/>
        </w:rPr>
        <w:t xml:space="preserve"> amounts that have</w:t>
      </w:r>
      <w:r w:rsidR="0031007A" w:rsidRPr="00917FC2">
        <w:rPr>
          <w:rFonts w:ascii="Times New Roman" w:hAnsi="Times New Roman" w:cs="Times New Roman"/>
          <w:sz w:val="28"/>
          <w:szCs w:val="28"/>
          <w:lang w:val="en-ZA"/>
        </w:rPr>
        <w:t xml:space="preserve"> </w:t>
      </w:r>
      <w:r w:rsidR="00212A3B" w:rsidRPr="00917FC2">
        <w:rPr>
          <w:rFonts w:ascii="Times New Roman" w:hAnsi="Times New Roman" w:cs="Times New Roman"/>
          <w:sz w:val="28"/>
          <w:szCs w:val="28"/>
          <w:lang w:val="en-ZA"/>
        </w:rPr>
        <w:t xml:space="preserve">allegedly </w:t>
      </w:r>
      <w:r w:rsidR="00E854E9" w:rsidRPr="00917FC2">
        <w:rPr>
          <w:rFonts w:ascii="Times New Roman" w:hAnsi="Times New Roman" w:cs="Times New Roman"/>
          <w:sz w:val="28"/>
          <w:szCs w:val="28"/>
          <w:lang w:val="en-ZA"/>
        </w:rPr>
        <w:t>been entrusted to Costa Attorneys</w:t>
      </w:r>
      <w:r w:rsidR="00136CBB" w:rsidRPr="00917FC2">
        <w:rPr>
          <w:rFonts w:ascii="Times New Roman" w:hAnsi="Times New Roman" w:cs="Times New Roman"/>
          <w:sz w:val="28"/>
          <w:szCs w:val="28"/>
          <w:lang w:val="en-ZA"/>
        </w:rPr>
        <w:t xml:space="preserve"> on his behalf</w:t>
      </w:r>
      <w:r w:rsidR="0031007A" w:rsidRPr="00917FC2">
        <w:rPr>
          <w:rFonts w:ascii="Times New Roman" w:hAnsi="Times New Roman" w:cs="Times New Roman"/>
          <w:sz w:val="28"/>
          <w:szCs w:val="28"/>
          <w:lang w:val="en-ZA"/>
        </w:rPr>
        <w:t xml:space="preserve">. </w:t>
      </w:r>
      <w:r w:rsidR="0064537E" w:rsidRPr="00917FC2">
        <w:rPr>
          <w:rFonts w:ascii="Times New Roman" w:hAnsi="Times New Roman" w:cs="Times New Roman"/>
          <w:sz w:val="28"/>
          <w:szCs w:val="28"/>
          <w:lang w:val="en-ZA"/>
        </w:rPr>
        <w:t xml:space="preserve"> While the appellant lamented about the ‘arduous’ task he was compelled to undertake in order to obtain the relevant information from clients, he did not explain why he was unable to procure supporting affidavits from the latter.</w:t>
      </w:r>
    </w:p>
    <w:p w14:paraId="6B43F500" w14:textId="77777777" w:rsidR="0031007A" w:rsidRPr="00917FC2" w:rsidRDefault="0031007A" w:rsidP="005C0E40">
      <w:pPr>
        <w:pStyle w:val="BodyA"/>
        <w:spacing w:after="0" w:line="360" w:lineRule="auto"/>
        <w:rPr>
          <w:rFonts w:ascii="Times New Roman" w:hAnsi="Times New Roman" w:cs="Times New Roman"/>
          <w:sz w:val="28"/>
          <w:szCs w:val="28"/>
          <w:lang w:val="en-ZA"/>
        </w:rPr>
      </w:pPr>
    </w:p>
    <w:p w14:paraId="111973F4" w14:textId="7F306FC2" w:rsidR="006F0261"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[3</w:t>
      </w:r>
      <w:r w:rsidR="0064537E" w:rsidRPr="00917FC2">
        <w:rPr>
          <w:rFonts w:ascii="Times New Roman" w:hAnsi="Times New Roman" w:cs="Times New Roman"/>
          <w:sz w:val="28"/>
          <w:szCs w:val="28"/>
          <w:lang w:val="en-ZA"/>
        </w:rPr>
        <w:t>8</w:t>
      </w:r>
      <w:r w:rsidR="0031007A"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31007A" w:rsidRPr="00917FC2">
        <w:rPr>
          <w:rFonts w:ascii="Times New Roman" w:hAnsi="Times New Roman" w:cs="Times New Roman"/>
          <w:sz w:val="28"/>
          <w:szCs w:val="28"/>
          <w:lang w:val="en-ZA"/>
        </w:rPr>
        <w:t xml:space="preserve">The further difficulty </w:t>
      </w:r>
      <w:r w:rsidR="00B67E90" w:rsidRPr="00917FC2">
        <w:rPr>
          <w:rFonts w:ascii="Times New Roman" w:hAnsi="Times New Roman" w:cs="Times New Roman"/>
          <w:sz w:val="28"/>
          <w:szCs w:val="28"/>
          <w:lang w:val="en-ZA"/>
        </w:rPr>
        <w:t xml:space="preserve">facing the appellant </w:t>
      </w:r>
      <w:r w:rsidR="0031007A" w:rsidRPr="00917FC2">
        <w:rPr>
          <w:rFonts w:ascii="Times New Roman" w:hAnsi="Times New Roman" w:cs="Times New Roman"/>
          <w:sz w:val="28"/>
          <w:szCs w:val="28"/>
          <w:lang w:val="en-ZA"/>
        </w:rPr>
        <w:t xml:space="preserve">is that the </w:t>
      </w:r>
      <w:r w:rsidR="00B67E90" w:rsidRPr="00917FC2">
        <w:rPr>
          <w:rFonts w:ascii="Times New Roman" w:hAnsi="Times New Roman" w:cs="Times New Roman"/>
          <w:sz w:val="28"/>
          <w:szCs w:val="28"/>
          <w:lang w:val="en-ZA"/>
        </w:rPr>
        <w:t xml:space="preserve">hearsay </w:t>
      </w:r>
      <w:r w:rsidR="0031007A" w:rsidRPr="00917FC2">
        <w:rPr>
          <w:rFonts w:ascii="Times New Roman" w:hAnsi="Times New Roman" w:cs="Times New Roman"/>
          <w:sz w:val="28"/>
          <w:szCs w:val="28"/>
          <w:lang w:val="en-ZA"/>
        </w:rPr>
        <w:t xml:space="preserve">evidence is </w:t>
      </w:r>
      <w:r w:rsidR="00500971" w:rsidRPr="00917FC2">
        <w:rPr>
          <w:rFonts w:ascii="Times New Roman" w:hAnsi="Times New Roman" w:cs="Times New Roman"/>
          <w:sz w:val="28"/>
          <w:szCs w:val="28"/>
          <w:lang w:val="en-ZA"/>
        </w:rPr>
        <w:t xml:space="preserve">in any event </w:t>
      </w:r>
      <w:r w:rsidR="0031007A" w:rsidRPr="00917FC2">
        <w:rPr>
          <w:rFonts w:ascii="Times New Roman" w:hAnsi="Times New Roman" w:cs="Times New Roman"/>
          <w:sz w:val="28"/>
          <w:szCs w:val="28"/>
          <w:lang w:val="en-ZA"/>
        </w:rPr>
        <w:t xml:space="preserve">of doubtful probative value. For the </w:t>
      </w:r>
      <w:r w:rsidR="00D14080" w:rsidRPr="00917FC2">
        <w:rPr>
          <w:rFonts w:ascii="Times New Roman" w:hAnsi="Times New Roman" w:cs="Times New Roman"/>
          <w:sz w:val="28"/>
          <w:szCs w:val="28"/>
          <w:lang w:val="en-ZA"/>
        </w:rPr>
        <w:t>reasons that</w:t>
      </w:r>
      <w:r w:rsidR="0031007A" w:rsidRPr="00917FC2">
        <w:rPr>
          <w:rFonts w:ascii="Times New Roman" w:hAnsi="Times New Roman" w:cs="Times New Roman"/>
          <w:sz w:val="28"/>
          <w:szCs w:val="28"/>
          <w:lang w:val="en-ZA"/>
        </w:rPr>
        <w:t xml:space="preserve"> I have set out</w:t>
      </w:r>
      <w:r w:rsidR="00365797" w:rsidRPr="00917FC2">
        <w:rPr>
          <w:rFonts w:ascii="Times New Roman" w:hAnsi="Times New Roman" w:cs="Times New Roman"/>
          <w:sz w:val="28"/>
          <w:szCs w:val="28"/>
          <w:lang w:val="en-ZA"/>
        </w:rPr>
        <w:t xml:space="preserve"> above, </w:t>
      </w:r>
      <w:r w:rsidR="007340CE" w:rsidRPr="00917FC2">
        <w:rPr>
          <w:rFonts w:ascii="Times New Roman" w:hAnsi="Times New Roman" w:cs="Times New Roman"/>
          <w:sz w:val="28"/>
          <w:szCs w:val="28"/>
          <w:lang w:val="en-ZA"/>
        </w:rPr>
        <w:t xml:space="preserve">I am of the view that </w:t>
      </w:r>
      <w:r w:rsidR="00365797" w:rsidRPr="00917FC2">
        <w:rPr>
          <w:rFonts w:ascii="Times New Roman" w:hAnsi="Times New Roman" w:cs="Times New Roman"/>
          <w:sz w:val="28"/>
          <w:szCs w:val="28"/>
          <w:lang w:val="en-ZA"/>
        </w:rPr>
        <w:t xml:space="preserve">even if the </w:t>
      </w:r>
      <w:r w:rsidR="00D85CD1" w:rsidRPr="00917FC2">
        <w:rPr>
          <w:rFonts w:ascii="Times New Roman" w:hAnsi="Times New Roman" w:cs="Times New Roman"/>
          <w:sz w:val="28"/>
          <w:szCs w:val="28"/>
          <w:lang w:val="en-ZA"/>
        </w:rPr>
        <w:t xml:space="preserve">hearsay </w:t>
      </w:r>
      <w:r w:rsidR="00365797" w:rsidRPr="00917FC2">
        <w:rPr>
          <w:rFonts w:ascii="Times New Roman" w:hAnsi="Times New Roman" w:cs="Times New Roman"/>
          <w:sz w:val="28"/>
          <w:szCs w:val="28"/>
          <w:lang w:val="en-ZA"/>
        </w:rPr>
        <w:t>evidence were</w:t>
      </w:r>
      <w:r w:rsidR="0031007A" w:rsidRPr="00917FC2">
        <w:rPr>
          <w:rFonts w:ascii="Times New Roman" w:hAnsi="Times New Roman" w:cs="Times New Roman"/>
          <w:sz w:val="28"/>
          <w:szCs w:val="28"/>
          <w:lang w:val="en-ZA"/>
        </w:rPr>
        <w:t xml:space="preserve"> </w:t>
      </w:r>
      <w:r w:rsidR="00CC0CB2" w:rsidRPr="00917FC2">
        <w:rPr>
          <w:rFonts w:ascii="Times New Roman" w:hAnsi="Times New Roman" w:cs="Times New Roman"/>
          <w:sz w:val="28"/>
          <w:szCs w:val="28"/>
          <w:lang w:val="en-ZA"/>
        </w:rPr>
        <w:t xml:space="preserve">to be </w:t>
      </w:r>
      <w:r w:rsidR="0031007A" w:rsidRPr="00917FC2">
        <w:rPr>
          <w:rFonts w:ascii="Times New Roman" w:hAnsi="Times New Roman" w:cs="Times New Roman"/>
          <w:sz w:val="28"/>
          <w:szCs w:val="28"/>
          <w:lang w:val="en-ZA"/>
        </w:rPr>
        <w:t>admitted, i</w:t>
      </w:r>
      <w:r w:rsidR="00E107C2" w:rsidRPr="00917FC2">
        <w:rPr>
          <w:rFonts w:ascii="Times New Roman" w:hAnsi="Times New Roman" w:cs="Times New Roman"/>
          <w:sz w:val="28"/>
          <w:szCs w:val="28"/>
          <w:lang w:val="en-ZA"/>
        </w:rPr>
        <w:t xml:space="preserve">t would </w:t>
      </w:r>
      <w:r w:rsidR="0097031E" w:rsidRPr="00917FC2">
        <w:rPr>
          <w:rFonts w:ascii="Times New Roman" w:hAnsi="Times New Roman" w:cs="Times New Roman"/>
          <w:sz w:val="28"/>
          <w:szCs w:val="28"/>
          <w:lang w:val="en-ZA"/>
        </w:rPr>
        <w:t>not assist the appellant in proving</w:t>
      </w:r>
      <w:r w:rsidR="0031007A" w:rsidRPr="00917FC2">
        <w:rPr>
          <w:rFonts w:ascii="Times New Roman" w:hAnsi="Times New Roman" w:cs="Times New Roman"/>
          <w:sz w:val="28"/>
          <w:szCs w:val="28"/>
          <w:lang w:val="en-ZA"/>
        </w:rPr>
        <w:t xml:space="preserve"> that</w:t>
      </w:r>
      <w:r w:rsidR="003D3787" w:rsidRPr="00917FC2">
        <w:rPr>
          <w:rFonts w:ascii="Times New Roman" w:hAnsi="Times New Roman" w:cs="Times New Roman"/>
          <w:sz w:val="28"/>
          <w:szCs w:val="28"/>
          <w:lang w:val="en-ZA"/>
        </w:rPr>
        <w:t xml:space="preserve"> </w:t>
      </w:r>
      <w:r w:rsidR="00500971" w:rsidRPr="00917FC2">
        <w:rPr>
          <w:rFonts w:ascii="Times New Roman" w:hAnsi="Times New Roman" w:cs="Times New Roman"/>
          <w:sz w:val="28"/>
          <w:szCs w:val="28"/>
          <w:lang w:val="en-ZA"/>
        </w:rPr>
        <w:t>clients paid specified</w:t>
      </w:r>
      <w:r w:rsidR="003D3787" w:rsidRPr="00917FC2">
        <w:rPr>
          <w:rFonts w:ascii="Times New Roman" w:hAnsi="Times New Roman" w:cs="Times New Roman"/>
          <w:sz w:val="28"/>
          <w:szCs w:val="28"/>
          <w:lang w:val="en-ZA"/>
        </w:rPr>
        <w:t xml:space="preserve"> sums of money </w:t>
      </w:r>
      <w:r w:rsidR="0031007A" w:rsidRPr="00917FC2">
        <w:rPr>
          <w:rFonts w:ascii="Times New Roman" w:hAnsi="Times New Roman" w:cs="Times New Roman"/>
          <w:sz w:val="28"/>
          <w:szCs w:val="28"/>
          <w:lang w:val="en-ZA"/>
        </w:rPr>
        <w:t>to Costa</w:t>
      </w:r>
      <w:r w:rsidR="00E107C2" w:rsidRPr="00917FC2">
        <w:rPr>
          <w:rFonts w:ascii="Times New Roman" w:hAnsi="Times New Roman" w:cs="Times New Roman"/>
          <w:sz w:val="28"/>
          <w:szCs w:val="28"/>
          <w:lang w:val="en-ZA"/>
        </w:rPr>
        <w:t xml:space="preserve"> Attorneys</w:t>
      </w:r>
      <w:r w:rsidR="00E67C25" w:rsidRPr="00917FC2">
        <w:rPr>
          <w:rFonts w:ascii="Times New Roman" w:hAnsi="Times New Roman" w:cs="Times New Roman"/>
          <w:sz w:val="28"/>
          <w:szCs w:val="28"/>
          <w:lang w:val="en-ZA"/>
        </w:rPr>
        <w:t xml:space="preserve"> as cover for his</w:t>
      </w:r>
      <w:r w:rsidR="0031007A" w:rsidRPr="00917FC2">
        <w:rPr>
          <w:rFonts w:ascii="Times New Roman" w:hAnsi="Times New Roman" w:cs="Times New Roman"/>
          <w:sz w:val="28"/>
          <w:szCs w:val="28"/>
          <w:lang w:val="en-ZA"/>
        </w:rPr>
        <w:t xml:space="preserve"> fees. </w:t>
      </w:r>
    </w:p>
    <w:p w14:paraId="3DD77CA3" w14:textId="77777777" w:rsidR="000D7992" w:rsidRPr="00917FC2" w:rsidRDefault="000D7992" w:rsidP="005C0E40">
      <w:pPr>
        <w:pStyle w:val="BodyA"/>
        <w:spacing w:after="0" w:line="360" w:lineRule="auto"/>
        <w:rPr>
          <w:rFonts w:ascii="Times New Roman" w:hAnsi="Times New Roman" w:cs="Times New Roman"/>
          <w:sz w:val="28"/>
          <w:szCs w:val="28"/>
          <w:lang w:val="en-ZA"/>
        </w:rPr>
      </w:pPr>
    </w:p>
    <w:p w14:paraId="18820354" w14:textId="182A3129" w:rsidR="00822BC6"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[39</w:t>
      </w:r>
      <w:r w:rsidR="004E5F49"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6F0261" w:rsidRPr="00917FC2">
        <w:rPr>
          <w:rFonts w:ascii="Times New Roman" w:hAnsi="Times New Roman" w:cs="Times New Roman"/>
          <w:sz w:val="28"/>
          <w:szCs w:val="28"/>
          <w:lang w:val="en-ZA"/>
        </w:rPr>
        <w:t>The appellant</w:t>
      </w:r>
      <w:r w:rsidR="00A138D8" w:rsidRPr="00917FC2">
        <w:rPr>
          <w:rFonts w:ascii="Times New Roman" w:hAnsi="Times New Roman" w:cs="Times New Roman"/>
          <w:sz w:val="28"/>
          <w:szCs w:val="28"/>
          <w:lang w:val="en-ZA"/>
        </w:rPr>
        <w:t xml:space="preserve"> also complained that he was hamstrung by the </w:t>
      </w:r>
      <w:r w:rsidR="006F0261" w:rsidRPr="00917FC2">
        <w:rPr>
          <w:rFonts w:ascii="Times New Roman" w:hAnsi="Times New Roman" w:cs="Times New Roman"/>
          <w:sz w:val="28"/>
          <w:szCs w:val="28"/>
          <w:lang w:val="en-ZA"/>
        </w:rPr>
        <w:t xml:space="preserve">Council’s </w:t>
      </w:r>
      <w:r w:rsidR="00A138D8" w:rsidRPr="00917FC2">
        <w:rPr>
          <w:rFonts w:ascii="Times New Roman" w:hAnsi="Times New Roman" w:cs="Times New Roman"/>
          <w:sz w:val="28"/>
          <w:szCs w:val="28"/>
          <w:lang w:val="en-ZA"/>
        </w:rPr>
        <w:t xml:space="preserve">unreasonable </w:t>
      </w:r>
      <w:r w:rsidR="006F0261" w:rsidRPr="00917FC2">
        <w:rPr>
          <w:rFonts w:ascii="Times New Roman" w:hAnsi="Times New Roman" w:cs="Times New Roman"/>
          <w:sz w:val="28"/>
          <w:szCs w:val="28"/>
          <w:lang w:val="en-ZA"/>
        </w:rPr>
        <w:t>refusal to allow him access to the relevant records</w:t>
      </w:r>
      <w:r w:rsidR="00A138D8" w:rsidRPr="00917FC2">
        <w:rPr>
          <w:rFonts w:ascii="Times New Roman" w:hAnsi="Times New Roman" w:cs="Times New Roman"/>
          <w:sz w:val="28"/>
          <w:szCs w:val="28"/>
          <w:lang w:val="en-ZA"/>
        </w:rPr>
        <w:t>.</w:t>
      </w:r>
      <w:r w:rsidR="006F0261" w:rsidRPr="00917FC2">
        <w:rPr>
          <w:rFonts w:ascii="Times New Roman" w:hAnsi="Times New Roman" w:cs="Times New Roman"/>
          <w:sz w:val="28"/>
          <w:szCs w:val="28"/>
          <w:lang w:val="en-ZA"/>
        </w:rPr>
        <w:t xml:space="preserve"> </w:t>
      </w:r>
      <w:r w:rsidR="00A138D8" w:rsidRPr="00917FC2">
        <w:rPr>
          <w:rFonts w:ascii="Times New Roman" w:hAnsi="Times New Roman" w:cs="Times New Roman"/>
          <w:sz w:val="28"/>
          <w:szCs w:val="28"/>
          <w:lang w:val="en-ZA"/>
        </w:rPr>
        <w:t>However, even if the Council has unfair</w:t>
      </w:r>
      <w:r w:rsidR="00FF7213" w:rsidRPr="00917FC2">
        <w:rPr>
          <w:rFonts w:ascii="Times New Roman" w:hAnsi="Times New Roman" w:cs="Times New Roman"/>
          <w:sz w:val="28"/>
          <w:szCs w:val="28"/>
          <w:lang w:val="en-ZA"/>
        </w:rPr>
        <w:t xml:space="preserve">ly refused him access to documents </w:t>
      </w:r>
      <w:r w:rsidR="00732594" w:rsidRPr="00917FC2">
        <w:rPr>
          <w:rFonts w:ascii="Times New Roman" w:hAnsi="Times New Roman" w:cs="Times New Roman"/>
          <w:sz w:val="28"/>
          <w:szCs w:val="28"/>
          <w:lang w:val="en-ZA"/>
        </w:rPr>
        <w:t xml:space="preserve">that </w:t>
      </w:r>
      <w:r w:rsidR="00FF7213" w:rsidRPr="00917FC2">
        <w:rPr>
          <w:rFonts w:ascii="Times New Roman" w:hAnsi="Times New Roman" w:cs="Times New Roman"/>
          <w:sz w:val="28"/>
          <w:szCs w:val="28"/>
          <w:lang w:val="en-ZA"/>
        </w:rPr>
        <w:t xml:space="preserve">he required to sustain his claim, </w:t>
      </w:r>
      <w:r w:rsidR="00A76D36" w:rsidRPr="00917FC2">
        <w:rPr>
          <w:rFonts w:ascii="Times New Roman" w:hAnsi="Times New Roman" w:cs="Times New Roman"/>
          <w:sz w:val="28"/>
          <w:szCs w:val="28"/>
          <w:lang w:val="en-ZA"/>
        </w:rPr>
        <w:t xml:space="preserve">that </w:t>
      </w:r>
      <w:r w:rsidR="00FF7213" w:rsidRPr="00917FC2">
        <w:rPr>
          <w:rFonts w:ascii="Times New Roman" w:hAnsi="Times New Roman" w:cs="Times New Roman"/>
          <w:sz w:val="28"/>
          <w:szCs w:val="28"/>
          <w:lang w:val="en-ZA"/>
        </w:rPr>
        <w:t xml:space="preserve">does </w:t>
      </w:r>
      <w:r w:rsidR="001279D0" w:rsidRPr="00917FC2">
        <w:rPr>
          <w:rFonts w:ascii="Times New Roman" w:hAnsi="Times New Roman" w:cs="Times New Roman"/>
          <w:sz w:val="28"/>
          <w:szCs w:val="28"/>
          <w:lang w:val="en-ZA"/>
        </w:rPr>
        <w:t xml:space="preserve">not necessarily </w:t>
      </w:r>
      <w:r w:rsidR="00FF7213" w:rsidRPr="00917FC2">
        <w:rPr>
          <w:rFonts w:ascii="Times New Roman" w:hAnsi="Times New Roman" w:cs="Times New Roman"/>
          <w:sz w:val="28"/>
          <w:szCs w:val="28"/>
          <w:lang w:val="en-ZA"/>
        </w:rPr>
        <w:t xml:space="preserve">entitle him to reimbursement in terms of s 26. </w:t>
      </w:r>
      <w:r w:rsidR="00B23504" w:rsidRPr="00917FC2">
        <w:rPr>
          <w:rFonts w:ascii="Times New Roman" w:hAnsi="Times New Roman" w:cs="Times New Roman"/>
          <w:sz w:val="28"/>
          <w:szCs w:val="28"/>
          <w:lang w:val="en-ZA"/>
        </w:rPr>
        <w:t>At bes</w:t>
      </w:r>
      <w:r w:rsidR="005D46CD" w:rsidRPr="00917FC2">
        <w:rPr>
          <w:rFonts w:ascii="Times New Roman" w:hAnsi="Times New Roman" w:cs="Times New Roman"/>
          <w:sz w:val="28"/>
          <w:szCs w:val="28"/>
          <w:lang w:val="en-ZA"/>
        </w:rPr>
        <w:t>t</w:t>
      </w:r>
      <w:r w:rsidR="00B23504" w:rsidRPr="00917FC2">
        <w:rPr>
          <w:rFonts w:ascii="Times New Roman" w:hAnsi="Times New Roman" w:cs="Times New Roman"/>
          <w:sz w:val="28"/>
          <w:szCs w:val="28"/>
          <w:lang w:val="en-ZA"/>
        </w:rPr>
        <w:t>, he would</w:t>
      </w:r>
      <w:r w:rsidR="004E5F49" w:rsidRPr="00917FC2">
        <w:rPr>
          <w:rFonts w:ascii="Times New Roman" w:hAnsi="Times New Roman" w:cs="Times New Roman"/>
          <w:sz w:val="28"/>
          <w:szCs w:val="28"/>
          <w:lang w:val="en-ZA"/>
        </w:rPr>
        <w:t xml:space="preserve"> </w:t>
      </w:r>
      <w:r w:rsidR="00B23504" w:rsidRPr="00917FC2">
        <w:rPr>
          <w:rFonts w:ascii="Times New Roman" w:hAnsi="Times New Roman" w:cs="Times New Roman"/>
          <w:sz w:val="28"/>
          <w:szCs w:val="28"/>
          <w:lang w:val="en-ZA"/>
        </w:rPr>
        <w:t xml:space="preserve">be entitled to an order compelling production of the </w:t>
      </w:r>
      <w:r w:rsidR="008F5C63" w:rsidRPr="00917FC2">
        <w:rPr>
          <w:rFonts w:ascii="Times New Roman" w:hAnsi="Times New Roman" w:cs="Times New Roman"/>
          <w:sz w:val="28"/>
          <w:szCs w:val="28"/>
          <w:lang w:val="en-ZA"/>
        </w:rPr>
        <w:t xml:space="preserve">relevant </w:t>
      </w:r>
      <w:r w:rsidR="00B23504" w:rsidRPr="00917FC2">
        <w:rPr>
          <w:rFonts w:ascii="Times New Roman" w:hAnsi="Times New Roman" w:cs="Times New Roman"/>
          <w:sz w:val="28"/>
          <w:szCs w:val="28"/>
          <w:lang w:val="en-ZA"/>
        </w:rPr>
        <w:t>documents</w:t>
      </w:r>
      <w:r w:rsidR="004E5F49" w:rsidRPr="00917FC2">
        <w:rPr>
          <w:rFonts w:ascii="Times New Roman" w:hAnsi="Times New Roman" w:cs="Times New Roman"/>
          <w:sz w:val="28"/>
          <w:szCs w:val="28"/>
          <w:lang w:val="en-ZA"/>
        </w:rPr>
        <w:t xml:space="preserve"> in such circumstances</w:t>
      </w:r>
      <w:r w:rsidR="00B23504" w:rsidRPr="00917FC2">
        <w:rPr>
          <w:rFonts w:ascii="Times New Roman" w:hAnsi="Times New Roman" w:cs="Times New Roman"/>
          <w:sz w:val="28"/>
          <w:szCs w:val="28"/>
          <w:lang w:val="en-ZA"/>
        </w:rPr>
        <w:t>.</w:t>
      </w:r>
    </w:p>
    <w:p w14:paraId="4EC65D05" w14:textId="77777777" w:rsidR="00822BC6" w:rsidRPr="00917FC2" w:rsidRDefault="00822BC6" w:rsidP="005C0E40">
      <w:pPr>
        <w:pStyle w:val="BodyA"/>
        <w:spacing w:after="0" w:line="360" w:lineRule="auto"/>
        <w:rPr>
          <w:rFonts w:ascii="Times New Roman" w:hAnsi="Times New Roman" w:cs="Times New Roman"/>
          <w:sz w:val="28"/>
          <w:szCs w:val="28"/>
          <w:lang w:val="en-ZA"/>
        </w:rPr>
      </w:pPr>
    </w:p>
    <w:p w14:paraId="2AEB68CD" w14:textId="1D9F0BDD" w:rsidR="00D951B2"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[40</w:t>
      </w:r>
      <w:r w:rsidR="00822BC6"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1D3701" w:rsidRPr="00917FC2">
        <w:rPr>
          <w:rFonts w:ascii="Times New Roman" w:hAnsi="Times New Roman" w:cs="Times New Roman"/>
          <w:sz w:val="28"/>
          <w:szCs w:val="28"/>
          <w:lang w:val="en-ZA"/>
        </w:rPr>
        <w:t>Apart from all else</w:t>
      </w:r>
      <w:r w:rsidR="002964BC" w:rsidRPr="00917FC2">
        <w:rPr>
          <w:rFonts w:ascii="Times New Roman" w:hAnsi="Times New Roman" w:cs="Times New Roman"/>
          <w:sz w:val="28"/>
          <w:szCs w:val="28"/>
          <w:lang w:val="en-ZA"/>
        </w:rPr>
        <w:t>,</w:t>
      </w:r>
      <w:r w:rsidR="00822BC6" w:rsidRPr="00917FC2">
        <w:rPr>
          <w:rFonts w:ascii="Times New Roman" w:hAnsi="Times New Roman" w:cs="Times New Roman"/>
          <w:sz w:val="28"/>
          <w:szCs w:val="28"/>
          <w:lang w:val="en-ZA"/>
        </w:rPr>
        <w:t xml:space="preserve"> the respondent would be</w:t>
      </w:r>
      <w:r w:rsidR="00DA22C5" w:rsidRPr="00917FC2">
        <w:rPr>
          <w:rFonts w:ascii="Times New Roman" w:hAnsi="Times New Roman" w:cs="Times New Roman"/>
          <w:sz w:val="28"/>
          <w:szCs w:val="28"/>
          <w:lang w:val="en-ZA"/>
        </w:rPr>
        <w:t xml:space="preserve"> seriously</w:t>
      </w:r>
      <w:r w:rsidR="00822BC6" w:rsidRPr="00917FC2">
        <w:rPr>
          <w:rFonts w:ascii="Times New Roman" w:hAnsi="Times New Roman" w:cs="Times New Roman"/>
          <w:sz w:val="28"/>
          <w:szCs w:val="28"/>
          <w:lang w:val="en-ZA"/>
        </w:rPr>
        <w:t xml:space="preserve"> </w:t>
      </w:r>
      <w:r w:rsidR="00DA22C5" w:rsidRPr="00917FC2">
        <w:rPr>
          <w:rFonts w:ascii="Times New Roman" w:hAnsi="Times New Roman" w:cs="Times New Roman"/>
          <w:sz w:val="28"/>
          <w:szCs w:val="28"/>
          <w:lang w:val="en-ZA"/>
        </w:rPr>
        <w:t xml:space="preserve">prejudiced </w:t>
      </w:r>
      <w:r w:rsidR="00822BC6" w:rsidRPr="00917FC2">
        <w:rPr>
          <w:rFonts w:ascii="Times New Roman" w:hAnsi="Times New Roman" w:cs="Times New Roman"/>
          <w:sz w:val="28"/>
          <w:szCs w:val="28"/>
          <w:lang w:val="en-ZA"/>
        </w:rPr>
        <w:t>if the hearsay evidence were allowed. The respondent is a st</w:t>
      </w:r>
      <w:r w:rsidR="005E108C" w:rsidRPr="00917FC2">
        <w:rPr>
          <w:rFonts w:ascii="Times New Roman" w:hAnsi="Times New Roman" w:cs="Times New Roman"/>
          <w:sz w:val="28"/>
          <w:szCs w:val="28"/>
          <w:lang w:val="en-ZA"/>
        </w:rPr>
        <w:t>atutory body</w:t>
      </w:r>
      <w:r w:rsidR="000B16F6" w:rsidRPr="00917FC2">
        <w:rPr>
          <w:rFonts w:ascii="Times New Roman" w:hAnsi="Times New Roman" w:cs="Times New Roman"/>
          <w:sz w:val="28"/>
          <w:szCs w:val="28"/>
          <w:lang w:val="en-ZA"/>
        </w:rPr>
        <w:t>,</w:t>
      </w:r>
      <w:r w:rsidR="005E108C" w:rsidRPr="00917FC2">
        <w:rPr>
          <w:rFonts w:ascii="Times New Roman" w:hAnsi="Times New Roman" w:cs="Times New Roman"/>
          <w:sz w:val="28"/>
          <w:szCs w:val="28"/>
          <w:lang w:val="en-ZA"/>
        </w:rPr>
        <w:t xml:space="preserve"> whose powers to re</w:t>
      </w:r>
      <w:r w:rsidR="00822BC6" w:rsidRPr="00917FC2">
        <w:rPr>
          <w:rFonts w:ascii="Times New Roman" w:hAnsi="Times New Roman" w:cs="Times New Roman"/>
          <w:sz w:val="28"/>
          <w:szCs w:val="28"/>
          <w:lang w:val="en-ZA"/>
        </w:rPr>
        <w:t>imburse victims of theft by practising attorneys are carefully circumscribed</w:t>
      </w:r>
      <w:r w:rsidR="00D951B2" w:rsidRPr="00917FC2">
        <w:rPr>
          <w:rFonts w:ascii="Times New Roman" w:hAnsi="Times New Roman" w:cs="Times New Roman"/>
          <w:sz w:val="28"/>
          <w:szCs w:val="28"/>
          <w:lang w:val="en-ZA"/>
        </w:rPr>
        <w:t xml:space="preserve"> by </w:t>
      </w:r>
      <w:r w:rsidR="005E108C" w:rsidRPr="00917FC2">
        <w:rPr>
          <w:rFonts w:ascii="Times New Roman" w:hAnsi="Times New Roman" w:cs="Times New Roman"/>
          <w:sz w:val="28"/>
          <w:szCs w:val="28"/>
          <w:lang w:val="en-ZA"/>
        </w:rPr>
        <w:t xml:space="preserve">s 26. </w:t>
      </w:r>
      <w:r w:rsidR="00FD02DF" w:rsidRPr="00917FC2">
        <w:rPr>
          <w:rFonts w:ascii="Times New Roman" w:hAnsi="Times New Roman" w:cs="Times New Roman"/>
          <w:sz w:val="28"/>
          <w:szCs w:val="28"/>
          <w:lang w:val="en-ZA"/>
        </w:rPr>
        <w:t>The section</w:t>
      </w:r>
      <w:r w:rsidR="00164A04" w:rsidRPr="00917FC2">
        <w:rPr>
          <w:rFonts w:ascii="Times New Roman" w:hAnsi="Times New Roman" w:cs="Times New Roman"/>
          <w:sz w:val="28"/>
          <w:szCs w:val="28"/>
          <w:lang w:val="en-ZA"/>
        </w:rPr>
        <w:t xml:space="preserve"> </w:t>
      </w:r>
      <w:r w:rsidR="00AB569F" w:rsidRPr="00917FC2">
        <w:rPr>
          <w:rFonts w:ascii="Times New Roman" w:hAnsi="Times New Roman" w:cs="Times New Roman"/>
          <w:sz w:val="28"/>
          <w:szCs w:val="28"/>
          <w:lang w:val="en-ZA"/>
        </w:rPr>
        <w:t>requires the respondent</w:t>
      </w:r>
      <w:r w:rsidR="005E108C" w:rsidRPr="00917FC2">
        <w:rPr>
          <w:rFonts w:ascii="Times New Roman" w:hAnsi="Times New Roman" w:cs="Times New Roman"/>
          <w:sz w:val="28"/>
          <w:szCs w:val="28"/>
          <w:lang w:val="en-ZA"/>
        </w:rPr>
        <w:t xml:space="preserve"> to re</w:t>
      </w:r>
      <w:r w:rsidR="00D951B2" w:rsidRPr="00917FC2">
        <w:rPr>
          <w:rFonts w:ascii="Times New Roman" w:hAnsi="Times New Roman" w:cs="Times New Roman"/>
          <w:sz w:val="28"/>
          <w:szCs w:val="28"/>
          <w:lang w:val="en-ZA"/>
        </w:rPr>
        <w:t xml:space="preserve">imburse </w:t>
      </w:r>
      <w:r w:rsidR="00D9485C" w:rsidRPr="00917FC2">
        <w:rPr>
          <w:rFonts w:ascii="Times New Roman" w:hAnsi="Times New Roman" w:cs="Times New Roman"/>
          <w:sz w:val="28"/>
          <w:szCs w:val="28"/>
          <w:lang w:val="en-ZA"/>
        </w:rPr>
        <w:t xml:space="preserve">affected </w:t>
      </w:r>
      <w:r w:rsidR="00D951B2" w:rsidRPr="00917FC2">
        <w:rPr>
          <w:rFonts w:ascii="Times New Roman" w:hAnsi="Times New Roman" w:cs="Times New Roman"/>
          <w:sz w:val="28"/>
          <w:szCs w:val="28"/>
          <w:lang w:val="en-ZA"/>
        </w:rPr>
        <w:t xml:space="preserve">persons in respect of specific amounts </w:t>
      </w:r>
      <w:r w:rsidR="000C4F64" w:rsidRPr="00917FC2">
        <w:rPr>
          <w:rFonts w:ascii="Times New Roman" w:hAnsi="Times New Roman" w:cs="Times New Roman"/>
          <w:sz w:val="28"/>
          <w:szCs w:val="28"/>
          <w:lang w:val="en-ZA"/>
        </w:rPr>
        <w:t xml:space="preserve">entrusted to an attorney and stolen by him or her in the course </w:t>
      </w:r>
      <w:r w:rsidR="002D5C24" w:rsidRPr="00917FC2">
        <w:rPr>
          <w:rFonts w:ascii="Times New Roman" w:hAnsi="Times New Roman" w:cs="Times New Roman"/>
          <w:sz w:val="28"/>
          <w:szCs w:val="28"/>
          <w:lang w:val="en-ZA"/>
        </w:rPr>
        <w:t xml:space="preserve">of </w:t>
      </w:r>
      <w:r w:rsidR="000C4F64" w:rsidRPr="00917FC2">
        <w:rPr>
          <w:rFonts w:ascii="Times New Roman" w:hAnsi="Times New Roman" w:cs="Times New Roman"/>
          <w:sz w:val="28"/>
          <w:szCs w:val="28"/>
          <w:lang w:val="en-ZA"/>
        </w:rPr>
        <w:t>practi</w:t>
      </w:r>
      <w:r w:rsidR="00FE3DE0" w:rsidRPr="00917FC2">
        <w:rPr>
          <w:rFonts w:ascii="Times New Roman" w:hAnsi="Times New Roman" w:cs="Times New Roman"/>
          <w:sz w:val="28"/>
          <w:szCs w:val="28"/>
          <w:lang w:val="en-ZA"/>
        </w:rPr>
        <w:t>c</w:t>
      </w:r>
      <w:r w:rsidR="000C4F64" w:rsidRPr="00917FC2">
        <w:rPr>
          <w:rFonts w:ascii="Times New Roman" w:hAnsi="Times New Roman" w:cs="Times New Roman"/>
          <w:sz w:val="28"/>
          <w:szCs w:val="28"/>
          <w:lang w:val="en-ZA"/>
        </w:rPr>
        <w:t>e</w:t>
      </w:r>
      <w:r w:rsidR="00D951B2" w:rsidRPr="00917FC2">
        <w:rPr>
          <w:rFonts w:ascii="Times New Roman" w:hAnsi="Times New Roman" w:cs="Times New Roman"/>
          <w:sz w:val="28"/>
          <w:szCs w:val="28"/>
          <w:lang w:val="en-ZA"/>
        </w:rPr>
        <w:t>. If the hearsay evidence were allowed, it would put undue pressure on the respondent to consider general al</w:t>
      </w:r>
      <w:r w:rsidR="002D5C24" w:rsidRPr="00917FC2">
        <w:rPr>
          <w:rFonts w:ascii="Times New Roman" w:hAnsi="Times New Roman" w:cs="Times New Roman"/>
          <w:sz w:val="28"/>
          <w:szCs w:val="28"/>
          <w:lang w:val="en-ZA"/>
        </w:rPr>
        <w:t>legations relating to unspecified</w:t>
      </w:r>
      <w:r w:rsidR="00D951B2" w:rsidRPr="00917FC2">
        <w:rPr>
          <w:rFonts w:ascii="Times New Roman" w:hAnsi="Times New Roman" w:cs="Times New Roman"/>
          <w:sz w:val="28"/>
          <w:szCs w:val="28"/>
          <w:lang w:val="en-ZA"/>
        </w:rPr>
        <w:t xml:space="preserve"> amount</w:t>
      </w:r>
      <w:r w:rsidR="00EA7808" w:rsidRPr="00917FC2">
        <w:rPr>
          <w:rFonts w:ascii="Times New Roman" w:hAnsi="Times New Roman" w:cs="Times New Roman"/>
          <w:sz w:val="28"/>
          <w:szCs w:val="28"/>
          <w:lang w:val="en-ZA"/>
        </w:rPr>
        <w:t xml:space="preserve">s paid </w:t>
      </w:r>
      <w:r w:rsidR="00490209" w:rsidRPr="00917FC2">
        <w:rPr>
          <w:rFonts w:ascii="Times New Roman" w:hAnsi="Times New Roman" w:cs="Times New Roman"/>
          <w:sz w:val="28"/>
          <w:szCs w:val="28"/>
          <w:lang w:val="en-ZA"/>
        </w:rPr>
        <w:t xml:space="preserve">to </w:t>
      </w:r>
      <w:r w:rsidR="00EA7808" w:rsidRPr="00917FC2">
        <w:rPr>
          <w:rFonts w:ascii="Times New Roman" w:hAnsi="Times New Roman" w:cs="Times New Roman"/>
          <w:sz w:val="28"/>
          <w:szCs w:val="28"/>
          <w:lang w:val="en-ZA"/>
        </w:rPr>
        <w:t xml:space="preserve">and </w:t>
      </w:r>
      <w:r w:rsidR="0069146A" w:rsidRPr="00917FC2">
        <w:rPr>
          <w:rFonts w:ascii="Times New Roman" w:hAnsi="Times New Roman" w:cs="Times New Roman"/>
          <w:sz w:val="28"/>
          <w:szCs w:val="28"/>
          <w:lang w:val="en-ZA"/>
        </w:rPr>
        <w:t xml:space="preserve">misappropriated </w:t>
      </w:r>
      <w:r w:rsidR="00D951B2" w:rsidRPr="00917FC2">
        <w:rPr>
          <w:rFonts w:ascii="Times New Roman" w:hAnsi="Times New Roman" w:cs="Times New Roman"/>
          <w:sz w:val="28"/>
          <w:szCs w:val="28"/>
          <w:lang w:val="en-ZA"/>
        </w:rPr>
        <w:t xml:space="preserve">by </w:t>
      </w:r>
      <w:r w:rsidR="002D5C24" w:rsidRPr="00917FC2">
        <w:rPr>
          <w:rFonts w:ascii="Times New Roman" w:hAnsi="Times New Roman" w:cs="Times New Roman"/>
          <w:sz w:val="28"/>
          <w:szCs w:val="28"/>
          <w:lang w:val="en-ZA"/>
        </w:rPr>
        <w:t xml:space="preserve">Mr </w:t>
      </w:r>
      <w:r w:rsidR="00D951B2" w:rsidRPr="00917FC2">
        <w:rPr>
          <w:rFonts w:ascii="Times New Roman" w:hAnsi="Times New Roman" w:cs="Times New Roman"/>
          <w:sz w:val="28"/>
          <w:szCs w:val="28"/>
          <w:lang w:val="en-ZA"/>
        </w:rPr>
        <w:t>Costa.</w:t>
      </w:r>
      <w:r w:rsidR="00843EC6" w:rsidRPr="00917FC2">
        <w:rPr>
          <w:rFonts w:ascii="Times New Roman" w:hAnsi="Times New Roman" w:cs="Times New Roman"/>
          <w:sz w:val="28"/>
          <w:szCs w:val="28"/>
          <w:lang w:val="en-ZA"/>
        </w:rPr>
        <w:t xml:space="preserve"> </w:t>
      </w:r>
      <w:r w:rsidR="00D951B2" w:rsidRPr="00917FC2">
        <w:rPr>
          <w:rFonts w:ascii="Times New Roman" w:hAnsi="Times New Roman" w:cs="Times New Roman"/>
          <w:sz w:val="28"/>
          <w:szCs w:val="28"/>
          <w:lang w:val="en-ZA"/>
        </w:rPr>
        <w:t xml:space="preserve">I am </w:t>
      </w:r>
      <w:r w:rsidR="00E34C86" w:rsidRPr="00917FC2">
        <w:rPr>
          <w:rFonts w:ascii="Times New Roman" w:hAnsi="Times New Roman" w:cs="Times New Roman"/>
          <w:sz w:val="28"/>
          <w:szCs w:val="28"/>
          <w:lang w:val="en-ZA"/>
        </w:rPr>
        <w:t xml:space="preserve">therefore </w:t>
      </w:r>
      <w:r w:rsidR="00D951B2" w:rsidRPr="00917FC2">
        <w:rPr>
          <w:rFonts w:ascii="Times New Roman" w:hAnsi="Times New Roman" w:cs="Times New Roman"/>
          <w:sz w:val="28"/>
          <w:szCs w:val="28"/>
          <w:lang w:val="en-ZA"/>
        </w:rPr>
        <w:t>of the view that it would not be in the interest</w:t>
      </w:r>
      <w:r w:rsidR="00843EC6" w:rsidRPr="00917FC2">
        <w:rPr>
          <w:rFonts w:ascii="Times New Roman" w:hAnsi="Times New Roman" w:cs="Times New Roman"/>
          <w:sz w:val="28"/>
          <w:szCs w:val="28"/>
          <w:lang w:val="en-ZA"/>
        </w:rPr>
        <w:t>s</w:t>
      </w:r>
      <w:r w:rsidR="009E43A4" w:rsidRPr="00917FC2">
        <w:rPr>
          <w:rFonts w:ascii="Times New Roman" w:hAnsi="Times New Roman" w:cs="Times New Roman"/>
          <w:sz w:val="28"/>
          <w:szCs w:val="28"/>
          <w:lang w:val="en-ZA"/>
        </w:rPr>
        <w:t xml:space="preserve"> of justice to allow</w:t>
      </w:r>
      <w:r w:rsidR="00D951B2" w:rsidRPr="00917FC2">
        <w:rPr>
          <w:rFonts w:ascii="Times New Roman" w:hAnsi="Times New Roman" w:cs="Times New Roman"/>
          <w:sz w:val="28"/>
          <w:szCs w:val="28"/>
          <w:lang w:val="en-ZA"/>
        </w:rPr>
        <w:t xml:space="preserve"> the hearsay evidence.</w:t>
      </w:r>
    </w:p>
    <w:p w14:paraId="24204E1A" w14:textId="77777777" w:rsidR="00D951B2" w:rsidRPr="00917FC2" w:rsidRDefault="00D951B2" w:rsidP="005C0E40">
      <w:pPr>
        <w:pStyle w:val="BodyA"/>
        <w:spacing w:after="0" w:line="360" w:lineRule="auto"/>
        <w:rPr>
          <w:rFonts w:ascii="Times New Roman" w:hAnsi="Times New Roman" w:cs="Times New Roman"/>
          <w:sz w:val="28"/>
          <w:szCs w:val="28"/>
          <w:lang w:val="en-ZA"/>
        </w:rPr>
      </w:pPr>
    </w:p>
    <w:p w14:paraId="0660F5D1" w14:textId="29F33917" w:rsidR="00D951B2" w:rsidRPr="00917FC2" w:rsidRDefault="000C5961"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w:t>
      </w:r>
      <w:r w:rsidR="00D25043" w:rsidRPr="00917FC2">
        <w:rPr>
          <w:rFonts w:ascii="Times New Roman" w:hAnsi="Times New Roman" w:cs="Times New Roman"/>
          <w:sz w:val="28"/>
          <w:szCs w:val="28"/>
          <w:lang w:val="en-ZA"/>
        </w:rPr>
        <w:t>41</w:t>
      </w:r>
      <w:r w:rsidR="00D951B2"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D951B2" w:rsidRPr="00917FC2">
        <w:rPr>
          <w:rFonts w:ascii="Times New Roman" w:hAnsi="Times New Roman" w:cs="Times New Roman"/>
          <w:sz w:val="28"/>
          <w:szCs w:val="28"/>
          <w:lang w:val="en-ZA"/>
        </w:rPr>
        <w:t>This finding effectiv</w:t>
      </w:r>
      <w:r w:rsidR="00D42A4C" w:rsidRPr="00917FC2">
        <w:rPr>
          <w:rFonts w:ascii="Times New Roman" w:hAnsi="Times New Roman" w:cs="Times New Roman"/>
          <w:sz w:val="28"/>
          <w:szCs w:val="28"/>
          <w:lang w:val="en-ZA"/>
        </w:rPr>
        <w:t>ely means that the appellant has</w:t>
      </w:r>
      <w:r w:rsidR="00D951B2" w:rsidRPr="00917FC2">
        <w:rPr>
          <w:rFonts w:ascii="Times New Roman" w:hAnsi="Times New Roman" w:cs="Times New Roman"/>
          <w:sz w:val="28"/>
          <w:szCs w:val="28"/>
          <w:lang w:val="en-ZA"/>
        </w:rPr>
        <w:t xml:space="preserve"> fail</w:t>
      </w:r>
      <w:r w:rsidR="00A35B3E" w:rsidRPr="00917FC2">
        <w:rPr>
          <w:rFonts w:ascii="Times New Roman" w:hAnsi="Times New Roman" w:cs="Times New Roman"/>
          <w:sz w:val="28"/>
          <w:szCs w:val="28"/>
          <w:lang w:val="en-ZA"/>
        </w:rPr>
        <w:t>ed to overcome the first hurdle</w:t>
      </w:r>
      <w:r w:rsidR="00D951B2" w:rsidRPr="00917FC2">
        <w:rPr>
          <w:rFonts w:ascii="Times New Roman" w:hAnsi="Times New Roman" w:cs="Times New Roman"/>
          <w:sz w:val="28"/>
          <w:szCs w:val="28"/>
          <w:lang w:val="en-ZA"/>
        </w:rPr>
        <w:t xml:space="preserve"> in orde</w:t>
      </w:r>
      <w:r w:rsidR="00A35B3E" w:rsidRPr="00917FC2">
        <w:rPr>
          <w:rFonts w:ascii="Times New Roman" w:hAnsi="Times New Roman" w:cs="Times New Roman"/>
          <w:sz w:val="28"/>
          <w:szCs w:val="28"/>
          <w:lang w:val="en-ZA"/>
        </w:rPr>
        <w:t xml:space="preserve">r to place himself </w:t>
      </w:r>
      <w:r w:rsidR="00B05AFF" w:rsidRPr="00917FC2">
        <w:rPr>
          <w:rFonts w:ascii="Times New Roman" w:hAnsi="Times New Roman" w:cs="Times New Roman"/>
          <w:sz w:val="28"/>
          <w:szCs w:val="28"/>
          <w:lang w:val="en-ZA"/>
        </w:rPr>
        <w:t>within the purview</w:t>
      </w:r>
      <w:r w:rsidR="00D42A4C" w:rsidRPr="00917FC2">
        <w:rPr>
          <w:rFonts w:ascii="Times New Roman" w:hAnsi="Times New Roman" w:cs="Times New Roman"/>
          <w:sz w:val="28"/>
          <w:szCs w:val="28"/>
          <w:lang w:val="en-ZA"/>
        </w:rPr>
        <w:t xml:space="preserve"> of s</w:t>
      </w:r>
      <w:r w:rsidR="00D951B2" w:rsidRPr="00917FC2">
        <w:rPr>
          <w:rFonts w:ascii="Times New Roman" w:hAnsi="Times New Roman" w:cs="Times New Roman"/>
          <w:sz w:val="28"/>
          <w:szCs w:val="28"/>
          <w:lang w:val="en-ZA"/>
        </w:rPr>
        <w:t xml:space="preserve"> 26, namely to establish that clients </w:t>
      </w:r>
      <w:r w:rsidR="003B3C4A" w:rsidRPr="00917FC2">
        <w:rPr>
          <w:rFonts w:ascii="Times New Roman" w:hAnsi="Times New Roman" w:cs="Times New Roman"/>
          <w:sz w:val="28"/>
          <w:szCs w:val="28"/>
          <w:lang w:val="en-ZA"/>
        </w:rPr>
        <w:t>entrusted</w:t>
      </w:r>
      <w:r w:rsidR="00765D4B" w:rsidRPr="00917FC2">
        <w:rPr>
          <w:rFonts w:ascii="Times New Roman" w:hAnsi="Times New Roman" w:cs="Times New Roman"/>
          <w:sz w:val="28"/>
          <w:szCs w:val="28"/>
          <w:lang w:val="en-ZA"/>
        </w:rPr>
        <w:t xml:space="preserve"> specified </w:t>
      </w:r>
      <w:r w:rsidR="00E21064" w:rsidRPr="00917FC2">
        <w:rPr>
          <w:rFonts w:ascii="Times New Roman" w:hAnsi="Times New Roman" w:cs="Times New Roman"/>
          <w:sz w:val="28"/>
          <w:szCs w:val="28"/>
          <w:lang w:val="en-ZA"/>
        </w:rPr>
        <w:t xml:space="preserve">sums of money </w:t>
      </w:r>
      <w:r w:rsidR="00D951B2" w:rsidRPr="00917FC2">
        <w:rPr>
          <w:rFonts w:ascii="Times New Roman" w:hAnsi="Times New Roman" w:cs="Times New Roman"/>
          <w:sz w:val="28"/>
          <w:szCs w:val="28"/>
          <w:lang w:val="en-ZA"/>
        </w:rPr>
        <w:t xml:space="preserve">to Costa </w:t>
      </w:r>
      <w:r w:rsidR="00D42A4C" w:rsidRPr="00917FC2">
        <w:rPr>
          <w:rFonts w:ascii="Times New Roman" w:hAnsi="Times New Roman" w:cs="Times New Roman"/>
          <w:sz w:val="28"/>
          <w:szCs w:val="28"/>
          <w:lang w:val="en-ZA"/>
        </w:rPr>
        <w:t xml:space="preserve">Attorneys </w:t>
      </w:r>
      <w:r w:rsidR="00D951B2" w:rsidRPr="00917FC2">
        <w:rPr>
          <w:rFonts w:ascii="Times New Roman" w:hAnsi="Times New Roman" w:cs="Times New Roman"/>
          <w:sz w:val="28"/>
          <w:szCs w:val="28"/>
          <w:lang w:val="en-ZA"/>
        </w:rPr>
        <w:t>as cover for his fees. In the light of this finding</w:t>
      </w:r>
      <w:r w:rsidR="000D3A03" w:rsidRPr="00917FC2">
        <w:rPr>
          <w:rFonts w:ascii="Times New Roman" w:hAnsi="Times New Roman" w:cs="Times New Roman"/>
          <w:sz w:val="28"/>
          <w:szCs w:val="28"/>
          <w:lang w:val="en-ZA"/>
        </w:rPr>
        <w:t>,</w:t>
      </w:r>
      <w:r w:rsidR="00D951B2" w:rsidRPr="00917FC2">
        <w:rPr>
          <w:rFonts w:ascii="Times New Roman" w:hAnsi="Times New Roman" w:cs="Times New Roman"/>
          <w:sz w:val="28"/>
          <w:szCs w:val="28"/>
          <w:lang w:val="en-ZA"/>
        </w:rPr>
        <w:t xml:space="preserve"> it is not necessary </w:t>
      </w:r>
      <w:r w:rsidR="00756110" w:rsidRPr="00917FC2">
        <w:rPr>
          <w:rFonts w:ascii="Times New Roman" w:hAnsi="Times New Roman" w:cs="Times New Roman"/>
          <w:sz w:val="28"/>
          <w:szCs w:val="28"/>
          <w:lang w:val="en-ZA"/>
        </w:rPr>
        <w:t xml:space="preserve">for </w:t>
      </w:r>
      <w:r w:rsidR="00BF1825" w:rsidRPr="00917FC2">
        <w:rPr>
          <w:rFonts w:ascii="Times New Roman" w:hAnsi="Times New Roman" w:cs="Times New Roman"/>
          <w:sz w:val="28"/>
          <w:szCs w:val="28"/>
          <w:lang w:val="en-ZA"/>
        </w:rPr>
        <w:t xml:space="preserve">us </w:t>
      </w:r>
      <w:r w:rsidR="003155C9" w:rsidRPr="00917FC2">
        <w:rPr>
          <w:rFonts w:ascii="Times New Roman" w:hAnsi="Times New Roman" w:cs="Times New Roman"/>
          <w:sz w:val="28"/>
          <w:szCs w:val="28"/>
          <w:lang w:val="en-ZA"/>
        </w:rPr>
        <w:t xml:space="preserve">to </w:t>
      </w:r>
      <w:r w:rsidR="00BF1825" w:rsidRPr="00917FC2">
        <w:rPr>
          <w:rFonts w:ascii="Times New Roman" w:hAnsi="Times New Roman" w:cs="Times New Roman"/>
          <w:sz w:val="28"/>
          <w:szCs w:val="28"/>
          <w:lang w:val="en-ZA"/>
        </w:rPr>
        <w:t xml:space="preserve">decide whether any of the payments constituted </w:t>
      </w:r>
      <w:r w:rsidR="002852AE" w:rsidRPr="00917FC2">
        <w:rPr>
          <w:rFonts w:ascii="Times New Roman" w:hAnsi="Times New Roman" w:cs="Times New Roman"/>
          <w:sz w:val="28"/>
          <w:szCs w:val="28"/>
          <w:lang w:val="en-ZA"/>
        </w:rPr>
        <w:t>entrustment</w:t>
      </w:r>
      <w:r w:rsidR="00BF1825" w:rsidRPr="00917FC2">
        <w:rPr>
          <w:rFonts w:ascii="Times New Roman" w:hAnsi="Times New Roman" w:cs="Times New Roman"/>
          <w:sz w:val="28"/>
          <w:szCs w:val="28"/>
          <w:lang w:val="en-ZA"/>
        </w:rPr>
        <w:t>s</w:t>
      </w:r>
      <w:r w:rsidR="002852AE" w:rsidRPr="00917FC2">
        <w:rPr>
          <w:rFonts w:ascii="Times New Roman" w:hAnsi="Times New Roman" w:cs="Times New Roman"/>
          <w:sz w:val="28"/>
          <w:szCs w:val="28"/>
          <w:lang w:val="en-ZA"/>
        </w:rPr>
        <w:t xml:space="preserve"> </w:t>
      </w:r>
      <w:r w:rsidR="00012C25" w:rsidRPr="00917FC2">
        <w:rPr>
          <w:rFonts w:ascii="Times New Roman" w:hAnsi="Times New Roman" w:cs="Times New Roman"/>
          <w:sz w:val="28"/>
          <w:szCs w:val="28"/>
          <w:lang w:val="en-ZA"/>
        </w:rPr>
        <w:t xml:space="preserve">as envisaged by s 26 </w:t>
      </w:r>
      <w:r w:rsidR="00B05AFF" w:rsidRPr="00917FC2">
        <w:rPr>
          <w:rFonts w:ascii="Times New Roman" w:hAnsi="Times New Roman" w:cs="Times New Roman"/>
          <w:sz w:val="28"/>
          <w:szCs w:val="28"/>
          <w:lang w:val="en-ZA"/>
        </w:rPr>
        <w:t xml:space="preserve">or </w:t>
      </w:r>
      <w:r w:rsidR="00012C25" w:rsidRPr="00917FC2">
        <w:rPr>
          <w:rFonts w:ascii="Times New Roman" w:hAnsi="Times New Roman" w:cs="Times New Roman"/>
          <w:sz w:val="28"/>
          <w:szCs w:val="28"/>
          <w:lang w:val="en-ZA"/>
        </w:rPr>
        <w:t xml:space="preserve">whether </w:t>
      </w:r>
      <w:r w:rsidR="00B05AFF" w:rsidRPr="00917FC2">
        <w:rPr>
          <w:rFonts w:ascii="Times New Roman" w:hAnsi="Times New Roman" w:cs="Times New Roman"/>
          <w:sz w:val="28"/>
          <w:szCs w:val="28"/>
          <w:lang w:val="en-ZA"/>
        </w:rPr>
        <w:t>Mr Costa has misappropriated the funds</w:t>
      </w:r>
      <w:r w:rsidR="00012C25" w:rsidRPr="00917FC2">
        <w:rPr>
          <w:rFonts w:ascii="Times New Roman" w:hAnsi="Times New Roman" w:cs="Times New Roman"/>
          <w:sz w:val="28"/>
          <w:szCs w:val="28"/>
          <w:lang w:val="en-ZA"/>
        </w:rPr>
        <w:t xml:space="preserve"> in the course of his practice</w:t>
      </w:r>
      <w:r w:rsidR="00D951B2" w:rsidRPr="00917FC2">
        <w:rPr>
          <w:rFonts w:ascii="Times New Roman" w:hAnsi="Times New Roman" w:cs="Times New Roman"/>
          <w:sz w:val="28"/>
          <w:szCs w:val="28"/>
          <w:lang w:val="en-ZA"/>
        </w:rPr>
        <w:t>. The appeal must therefore fail.</w:t>
      </w:r>
    </w:p>
    <w:p w14:paraId="50C31982" w14:textId="77777777" w:rsidR="005B677E" w:rsidRPr="00917FC2" w:rsidRDefault="005B677E" w:rsidP="005C0E40">
      <w:pPr>
        <w:pStyle w:val="BodyA"/>
        <w:spacing w:after="0" w:line="360" w:lineRule="auto"/>
        <w:rPr>
          <w:rFonts w:ascii="Times New Roman" w:hAnsi="Times New Roman" w:cs="Times New Roman"/>
          <w:sz w:val="28"/>
          <w:szCs w:val="28"/>
          <w:lang w:val="en-ZA"/>
        </w:rPr>
      </w:pPr>
    </w:p>
    <w:p w14:paraId="67B66E1C" w14:textId="72E1F9D9" w:rsidR="005B677E"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lastRenderedPageBreak/>
        <w:t>[42</w:t>
      </w:r>
      <w:r w:rsidR="005B677E"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5B677E" w:rsidRPr="00917FC2">
        <w:rPr>
          <w:rFonts w:ascii="Times New Roman" w:hAnsi="Times New Roman" w:cs="Times New Roman"/>
          <w:sz w:val="28"/>
          <w:szCs w:val="28"/>
          <w:lang w:val="en-ZA"/>
        </w:rPr>
        <w:t xml:space="preserve">Regarding the issue of costs, the appellant contended that the principle enunciated in </w:t>
      </w:r>
      <w:r w:rsidR="005B677E" w:rsidRPr="00917FC2">
        <w:rPr>
          <w:rFonts w:ascii="Times New Roman" w:hAnsi="Times New Roman" w:cs="Times New Roman"/>
          <w:i/>
          <w:sz w:val="28"/>
          <w:szCs w:val="28"/>
          <w:lang w:val="en-ZA"/>
        </w:rPr>
        <w:t>Biowatch Trust v Registrar</w:t>
      </w:r>
      <w:r w:rsidR="002201B9" w:rsidRPr="00917FC2">
        <w:rPr>
          <w:rFonts w:ascii="Times New Roman" w:hAnsi="Times New Roman" w:cs="Times New Roman"/>
          <w:i/>
          <w:sz w:val="28"/>
          <w:szCs w:val="28"/>
          <w:lang w:val="en-ZA"/>
        </w:rPr>
        <w:t>,</w:t>
      </w:r>
      <w:r w:rsidR="005B677E" w:rsidRPr="00917FC2">
        <w:rPr>
          <w:rFonts w:ascii="Times New Roman" w:hAnsi="Times New Roman" w:cs="Times New Roman"/>
          <w:i/>
          <w:sz w:val="28"/>
          <w:szCs w:val="28"/>
          <w:lang w:val="en-ZA"/>
        </w:rPr>
        <w:t xml:space="preserve"> Genetic Resources and Others</w:t>
      </w:r>
      <w:r w:rsidR="0041240F" w:rsidRPr="00917FC2">
        <w:rPr>
          <w:rStyle w:val="FootnoteReference"/>
          <w:rFonts w:ascii="Times New Roman" w:hAnsi="Times New Roman" w:cs="Times New Roman"/>
          <w:sz w:val="28"/>
          <w:szCs w:val="28"/>
          <w:lang w:val="en-ZA"/>
        </w:rPr>
        <w:footnoteReference w:id="7"/>
      </w:r>
      <w:r w:rsidR="005B677E" w:rsidRPr="00917FC2">
        <w:rPr>
          <w:rFonts w:ascii="Times New Roman" w:hAnsi="Times New Roman" w:cs="Times New Roman"/>
          <w:i/>
          <w:sz w:val="28"/>
          <w:szCs w:val="28"/>
          <w:lang w:val="en-ZA"/>
        </w:rPr>
        <w:t xml:space="preserve"> </w:t>
      </w:r>
      <w:r w:rsidR="005B677E" w:rsidRPr="00917FC2">
        <w:rPr>
          <w:rFonts w:ascii="Times New Roman" w:hAnsi="Times New Roman" w:cs="Times New Roman"/>
          <w:sz w:val="28"/>
          <w:szCs w:val="28"/>
          <w:lang w:val="en-ZA"/>
        </w:rPr>
        <w:t xml:space="preserve">is applicable since the matter required consideration of </w:t>
      </w:r>
      <w:r w:rsidR="00971664" w:rsidRPr="00917FC2">
        <w:rPr>
          <w:rFonts w:ascii="Times New Roman" w:hAnsi="Times New Roman" w:cs="Times New Roman"/>
          <w:sz w:val="28"/>
          <w:szCs w:val="28"/>
          <w:lang w:val="en-ZA"/>
        </w:rPr>
        <w:t xml:space="preserve">an </w:t>
      </w:r>
      <w:r w:rsidR="005B677E" w:rsidRPr="00917FC2">
        <w:rPr>
          <w:rFonts w:ascii="Times New Roman" w:hAnsi="Times New Roman" w:cs="Times New Roman"/>
          <w:sz w:val="28"/>
          <w:szCs w:val="28"/>
          <w:lang w:val="en-ZA"/>
        </w:rPr>
        <w:t>importa</w:t>
      </w:r>
      <w:r w:rsidR="00971664" w:rsidRPr="00917FC2">
        <w:rPr>
          <w:rFonts w:ascii="Times New Roman" w:hAnsi="Times New Roman" w:cs="Times New Roman"/>
          <w:sz w:val="28"/>
          <w:szCs w:val="28"/>
          <w:lang w:val="en-ZA"/>
        </w:rPr>
        <w:t>nt issue</w:t>
      </w:r>
      <w:r w:rsidR="005B677E" w:rsidRPr="00917FC2">
        <w:rPr>
          <w:rFonts w:ascii="Times New Roman" w:hAnsi="Times New Roman" w:cs="Times New Roman"/>
          <w:sz w:val="28"/>
          <w:szCs w:val="28"/>
          <w:lang w:val="en-ZA"/>
        </w:rPr>
        <w:t xml:space="preserve"> of public interest, namely the legal nature of the relationship between attorneys, </w:t>
      </w:r>
      <w:r w:rsidR="00B44A22" w:rsidRPr="00917FC2">
        <w:rPr>
          <w:rFonts w:ascii="Times New Roman" w:hAnsi="Times New Roman" w:cs="Times New Roman"/>
          <w:sz w:val="28"/>
          <w:szCs w:val="28"/>
          <w:lang w:val="en-ZA"/>
        </w:rPr>
        <w:t>advocates</w:t>
      </w:r>
      <w:r w:rsidR="005B677E" w:rsidRPr="00917FC2">
        <w:rPr>
          <w:rFonts w:ascii="Times New Roman" w:hAnsi="Times New Roman" w:cs="Times New Roman"/>
          <w:sz w:val="28"/>
          <w:szCs w:val="28"/>
          <w:lang w:val="en-ZA"/>
        </w:rPr>
        <w:t xml:space="preserve"> and clients.</w:t>
      </w:r>
      <w:r w:rsidR="006F5590" w:rsidRPr="00917FC2">
        <w:rPr>
          <w:rFonts w:ascii="Times New Roman" w:hAnsi="Times New Roman" w:cs="Times New Roman"/>
          <w:sz w:val="28"/>
          <w:szCs w:val="28"/>
          <w:lang w:val="en-ZA"/>
        </w:rPr>
        <w:t xml:space="preserve"> He submitted that the court should </w:t>
      </w:r>
      <w:r w:rsidR="00A66591" w:rsidRPr="00917FC2">
        <w:rPr>
          <w:rFonts w:ascii="Times New Roman" w:hAnsi="Times New Roman" w:cs="Times New Roman"/>
          <w:sz w:val="28"/>
          <w:szCs w:val="28"/>
          <w:lang w:val="en-ZA"/>
        </w:rPr>
        <w:t xml:space="preserve">accordingly </w:t>
      </w:r>
      <w:r w:rsidR="006F5590" w:rsidRPr="00917FC2">
        <w:rPr>
          <w:rFonts w:ascii="Times New Roman" w:hAnsi="Times New Roman" w:cs="Times New Roman"/>
          <w:sz w:val="28"/>
          <w:szCs w:val="28"/>
          <w:lang w:val="en-ZA"/>
        </w:rPr>
        <w:t>make no order as to c</w:t>
      </w:r>
      <w:r w:rsidR="009523B5" w:rsidRPr="00917FC2">
        <w:rPr>
          <w:rFonts w:ascii="Times New Roman" w:hAnsi="Times New Roman" w:cs="Times New Roman"/>
          <w:sz w:val="28"/>
          <w:szCs w:val="28"/>
          <w:lang w:val="en-ZA"/>
        </w:rPr>
        <w:t>osts if the appeal fails</w:t>
      </w:r>
      <w:r w:rsidR="006F5590" w:rsidRPr="00917FC2">
        <w:rPr>
          <w:rFonts w:ascii="Times New Roman" w:hAnsi="Times New Roman" w:cs="Times New Roman"/>
          <w:sz w:val="28"/>
          <w:szCs w:val="28"/>
          <w:lang w:val="en-ZA"/>
        </w:rPr>
        <w:t>. I disagree. T</w:t>
      </w:r>
      <w:r w:rsidR="004F0535" w:rsidRPr="00917FC2">
        <w:rPr>
          <w:rFonts w:ascii="Times New Roman" w:hAnsi="Times New Roman" w:cs="Times New Roman"/>
          <w:sz w:val="28"/>
          <w:szCs w:val="28"/>
          <w:lang w:val="en-ZA"/>
        </w:rPr>
        <w:t xml:space="preserve">he appellant launched the proceedings to compel reimbursement </w:t>
      </w:r>
      <w:r w:rsidR="005702AD" w:rsidRPr="00917FC2">
        <w:rPr>
          <w:rFonts w:ascii="Times New Roman" w:hAnsi="Times New Roman" w:cs="Times New Roman"/>
          <w:sz w:val="28"/>
          <w:szCs w:val="28"/>
          <w:lang w:val="en-ZA"/>
        </w:rPr>
        <w:t xml:space="preserve">of pecuniary </w:t>
      </w:r>
      <w:r w:rsidR="005E7665" w:rsidRPr="00917FC2">
        <w:rPr>
          <w:rFonts w:ascii="Times New Roman" w:hAnsi="Times New Roman" w:cs="Times New Roman"/>
          <w:sz w:val="28"/>
          <w:szCs w:val="28"/>
          <w:lang w:val="en-ZA"/>
        </w:rPr>
        <w:t>loss that</w:t>
      </w:r>
      <w:r w:rsidR="005702AD" w:rsidRPr="00917FC2">
        <w:rPr>
          <w:rFonts w:ascii="Times New Roman" w:hAnsi="Times New Roman" w:cs="Times New Roman"/>
          <w:sz w:val="28"/>
          <w:szCs w:val="28"/>
          <w:lang w:val="en-ZA"/>
        </w:rPr>
        <w:t xml:space="preserve"> he allegedly suffered </w:t>
      </w:r>
      <w:r w:rsidR="004F0535" w:rsidRPr="00917FC2">
        <w:rPr>
          <w:rFonts w:ascii="Times New Roman" w:hAnsi="Times New Roman" w:cs="Times New Roman"/>
          <w:sz w:val="28"/>
          <w:szCs w:val="28"/>
          <w:lang w:val="en-ZA"/>
        </w:rPr>
        <w:t xml:space="preserve">in respect of his unpaid </w:t>
      </w:r>
      <w:r w:rsidR="005E7665" w:rsidRPr="00917FC2">
        <w:rPr>
          <w:rFonts w:ascii="Times New Roman" w:hAnsi="Times New Roman" w:cs="Times New Roman"/>
          <w:sz w:val="28"/>
          <w:szCs w:val="28"/>
          <w:lang w:val="en-ZA"/>
        </w:rPr>
        <w:t xml:space="preserve">tax </w:t>
      </w:r>
      <w:r w:rsidR="004F0535" w:rsidRPr="00917FC2">
        <w:rPr>
          <w:rFonts w:ascii="Times New Roman" w:hAnsi="Times New Roman" w:cs="Times New Roman"/>
          <w:sz w:val="28"/>
          <w:szCs w:val="28"/>
          <w:lang w:val="en-ZA"/>
        </w:rPr>
        <w:t>invoices.</w:t>
      </w:r>
      <w:r w:rsidR="005702AD" w:rsidRPr="00917FC2">
        <w:rPr>
          <w:rFonts w:ascii="Times New Roman" w:hAnsi="Times New Roman" w:cs="Times New Roman"/>
          <w:sz w:val="28"/>
          <w:szCs w:val="28"/>
          <w:lang w:val="en-ZA"/>
        </w:rPr>
        <w:t xml:space="preserve"> </w:t>
      </w:r>
      <w:r w:rsidR="00BC0EAA" w:rsidRPr="00917FC2">
        <w:rPr>
          <w:rFonts w:ascii="Times New Roman" w:hAnsi="Times New Roman" w:cs="Times New Roman"/>
          <w:sz w:val="28"/>
          <w:szCs w:val="28"/>
          <w:lang w:val="en-ZA"/>
        </w:rPr>
        <w:t xml:space="preserve">He was </w:t>
      </w:r>
      <w:r w:rsidR="00597A6C" w:rsidRPr="00917FC2">
        <w:rPr>
          <w:rFonts w:ascii="Times New Roman" w:hAnsi="Times New Roman" w:cs="Times New Roman"/>
          <w:sz w:val="28"/>
          <w:szCs w:val="28"/>
          <w:lang w:val="en-ZA"/>
        </w:rPr>
        <w:t xml:space="preserve">thus </w:t>
      </w:r>
      <w:r w:rsidR="00BC0EAA" w:rsidRPr="00917FC2">
        <w:rPr>
          <w:rFonts w:ascii="Times New Roman" w:hAnsi="Times New Roman" w:cs="Times New Roman"/>
          <w:sz w:val="28"/>
          <w:szCs w:val="28"/>
          <w:lang w:val="en-ZA"/>
        </w:rPr>
        <w:t xml:space="preserve">clearly </w:t>
      </w:r>
      <w:r w:rsidR="00D11D8A" w:rsidRPr="00917FC2">
        <w:rPr>
          <w:rFonts w:ascii="Times New Roman" w:hAnsi="Times New Roman" w:cs="Times New Roman"/>
          <w:sz w:val="28"/>
          <w:szCs w:val="28"/>
          <w:lang w:val="en-ZA"/>
        </w:rPr>
        <w:t>pursuing</w:t>
      </w:r>
      <w:r w:rsidR="00BC0EAA" w:rsidRPr="00917FC2">
        <w:rPr>
          <w:rFonts w:ascii="Times New Roman" w:hAnsi="Times New Roman" w:cs="Times New Roman"/>
          <w:sz w:val="28"/>
          <w:szCs w:val="28"/>
          <w:lang w:val="en-ZA"/>
        </w:rPr>
        <w:t xml:space="preserve"> a personal </w:t>
      </w:r>
      <w:r w:rsidR="00D11D8A" w:rsidRPr="00917FC2">
        <w:rPr>
          <w:rFonts w:ascii="Times New Roman" w:hAnsi="Times New Roman" w:cs="Times New Roman"/>
          <w:sz w:val="28"/>
          <w:szCs w:val="28"/>
          <w:lang w:val="en-ZA"/>
        </w:rPr>
        <w:t xml:space="preserve">financial </w:t>
      </w:r>
      <w:r w:rsidR="00BC0EAA" w:rsidRPr="00917FC2">
        <w:rPr>
          <w:rFonts w:ascii="Times New Roman" w:hAnsi="Times New Roman" w:cs="Times New Roman"/>
          <w:sz w:val="28"/>
          <w:szCs w:val="28"/>
          <w:lang w:val="en-ZA"/>
        </w:rPr>
        <w:t xml:space="preserve">interest. </w:t>
      </w:r>
      <w:r w:rsidR="00571930" w:rsidRPr="00917FC2">
        <w:rPr>
          <w:rFonts w:ascii="Times New Roman" w:hAnsi="Times New Roman" w:cs="Times New Roman"/>
          <w:sz w:val="28"/>
          <w:szCs w:val="28"/>
          <w:lang w:val="en-ZA"/>
        </w:rPr>
        <w:t>The matter accordingly does not raise any issues that are constitutional in nature; neither does it have any impact on the public interest.</w:t>
      </w:r>
      <w:r w:rsidR="0041240F" w:rsidRPr="00917FC2">
        <w:rPr>
          <w:rStyle w:val="FootnoteReference"/>
          <w:rFonts w:ascii="Times New Roman" w:hAnsi="Times New Roman" w:cs="Times New Roman"/>
          <w:sz w:val="28"/>
          <w:szCs w:val="28"/>
          <w:lang w:val="en-ZA"/>
        </w:rPr>
        <w:footnoteReference w:id="8"/>
      </w:r>
      <w:r w:rsidR="00A2533B" w:rsidRPr="00917FC2">
        <w:rPr>
          <w:rFonts w:ascii="Times New Roman" w:hAnsi="Times New Roman" w:cs="Times New Roman"/>
          <w:sz w:val="28"/>
          <w:szCs w:val="28"/>
          <w:lang w:val="en-ZA"/>
        </w:rPr>
        <w:t xml:space="preserve"> Costs must therefore follow the result.</w:t>
      </w:r>
    </w:p>
    <w:p w14:paraId="5CAB18DD" w14:textId="77777777" w:rsidR="00D951B2" w:rsidRPr="00917FC2" w:rsidRDefault="00D951B2" w:rsidP="005C0E40">
      <w:pPr>
        <w:pStyle w:val="BodyA"/>
        <w:spacing w:after="0" w:line="360" w:lineRule="auto"/>
        <w:rPr>
          <w:rFonts w:ascii="Times New Roman" w:hAnsi="Times New Roman" w:cs="Times New Roman"/>
          <w:sz w:val="28"/>
          <w:szCs w:val="28"/>
          <w:lang w:val="en-ZA"/>
        </w:rPr>
      </w:pPr>
    </w:p>
    <w:p w14:paraId="2AE5B752" w14:textId="0B82DDDA" w:rsidR="00D951B2" w:rsidRPr="00917FC2" w:rsidRDefault="00D25043"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[43</w:t>
      </w:r>
      <w:r w:rsidR="00D951B2" w:rsidRPr="00917FC2">
        <w:rPr>
          <w:rFonts w:ascii="Times New Roman" w:hAnsi="Times New Roman" w:cs="Times New Roman"/>
          <w:sz w:val="28"/>
          <w:szCs w:val="28"/>
          <w:lang w:val="en-ZA"/>
        </w:rPr>
        <w:t>]</w:t>
      </w:r>
      <w:r w:rsidR="00C85AD2" w:rsidRPr="00917FC2">
        <w:rPr>
          <w:rFonts w:ascii="Times New Roman" w:hAnsi="Times New Roman" w:cs="Times New Roman"/>
          <w:sz w:val="28"/>
          <w:szCs w:val="28"/>
          <w:lang w:val="en-ZA"/>
        </w:rPr>
        <w:tab/>
      </w:r>
      <w:r w:rsidR="00D951B2" w:rsidRPr="00917FC2">
        <w:rPr>
          <w:rFonts w:ascii="Times New Roman" w:hAnsi="Times New Roman" w:cs="Times New Roman"/>
          <w:sz w:val="28"/>
          <w:szCs w:val="28"/>
          <w:lang w:val="en-ZA"/>
        </w:rPr>
        <w:t>In the result</w:t>
      </w:r>
      <w:r w:rsidR="009B7BC2" w:rsidRPr="00917FC2">
        <w:rPr>
          <w:rFonts w:ascii="Times New Roman" w:hAnsi="Times New Roman" w:cs="Times New Roman"/>
          <w:sz w:val="28"/>
          <w:szCs w:val="28"/>
          <w:lang w:val="en-ZA"/>
        </w:rPr>
        <w:t>,</w:t>
      </w:r>
      <w:r w:rsidR="00D951B2" w:rsidRPr="00917FC2">
        <w:rPr>
          <w:rFonts w:ascii="Times New Roman" w:hAnsi="Times New Roman" w:cs="Times New Roman"/>
          <w:sz w:val="28"/>
          <w:szCs w:val="28"/>
          <w:lang w:val="en-ZA"/>
        </w:rPr>
        <w:t xml:space="preserve"> I make the following order:</w:t>
      </w:r>
    </w:p>
    <w:p w14:paraId="49B680E2" w14:textId="78106247" w:rsidR="00D951B2" w:rsidRPr="00917FC2" w:rsidRDefault="00D951B2" w:rsidP="005C0E40">
      <w:pPr>
        <w:pStyle w:val="BodyA"/>
        <w:spacing w:after="0" w:line="360" w:lineRule="auto"/>
        <w:rPr>
          <w:rFonts w:ascii="Times New Roman" w:hAnsi="Times New Roman" w:cs="Times New Roman"/>
          <w:sz w:val="28"/>
          <w:szCs w:val="28"/>
          <w:lang w:val="en-ZA"/>
        </w:rPr>
      </w:pPr>
      <w:r w:rsidRPr="00917FC2">
        <w:rPr>
          <w:rFonts w:ascii="Times New Roman" w:hAnsi="Times New Roman" w:cs="Times New Roman"/>
          <w:sz w:val="28"/>
          <w:szCs w:val="28"/>
          <w:lang w:val="en-ZA"/>
        </w:rPr>
        <w:t>The appeal is dismissed with costs.</w:t>
      </w:r>
    </w:p>
    <w:p w14:paraId="797B2B80" w14:textId="2E5F92A0" w:rsidR="006D27A9" w:rsidRPr="00917FC2" w:rsidRDefault="006D27A9" w:rsidP="005C0E40">
      <w:pPr>
        <w:pStyle w:val="BodyA"/>
        <w:spacing w:after="0" w:line="360" w:lineRule="auto"/>
        <w:rPr>
          <w:rFonts w:ascii="Times New Roman" w:hAnsi="Times New Roman" w:cs="Times New Roman"/>
          <w:sz w:val="28"/>
          <w:szCs w:val="28"/>
          <w:lang w:val="en-ZA"/>
        </w:rPr>
      </w:pPr>
    </w:p>
    <w:p w14:paraId="0540BFB2" w14:textId="77777777" w:rsidR="00834AD8" w:rsidRPr="00917FC2" w:rsidRDefault="00834AD8" w:rsidP="00D54F44">
      <w:pPr>
        <w:pStyle w:val="BodyA"/>
        <w:spacing w:after="0" w:line="360" w:lineRule="auto"/>
        <w:rPr>
          <w:rFonts w:ascii="Times New Roman" w:hAnsi="Times New Roman" w:cs="Times New Roman"/>
          <w:sz w:val="28"/>
          <w:szCs w:val="28"/>
          <w:lang w:val="en-ZA"/>
        </w:rPr>
      </w:pPr>
    </w:p>
    <w:p w14:paraId="23C34A33" w14:textId="77777777" w:rsidR="00834AD8" w:rsidRPr="00917FC2" w:rsidRDefault="00834AD8" w:rsidP="00D54F44">
      <w:pPr>
        <w:pStyle w:val="BodyA"/>
        <w:spacing w:after="0" w:line="360" w:lineRule="auto"/>
        <w:rPr>
          <w:rFonts w:ascii="Times New Roman" w:eastAsia="Times New Roman" w:hAnsi="Times New Roman" w:cs="Times New Roman"/>
          <w:sz w:val="28"/>
          <w:szCs w:val="28"/>
          <w:lang w:val="en-ZA"/>
        </w:rPr>
      </w:pPr>
    </w:p>
    <w:p w14:paraId="160258A7" w14:textId="77777777" w:rsidR="00834AD8" w:rsidRPr="00917FC2" w:rsidRDefault="00C85AD2" w:rsidP="00C85AD2">
      <w:pPr>
        <w:pStyle w:val="BodyA"/>
        <w:spacing w:after="0" w:line="360" w:lineRule="auto"/>
        <w:jc w:val="right"/>
        <w:rPr>
          <w:rFonts w:ascii="Times New Roman" w:eastAsia="Times New Roman" w:hAnsi="Times New Roman" w:cs="Times New Roman"/>
          <w:sz w:val="28"/>
          <w:szCs w:val="28"/>
          <w:lang w:val="en-ZA"/>
        </w:rPr>
      </w:pPr>
      <w:r w:rsidRPr="00917FC2">
        <w:rPr>
          <w:rFonts w:ascii="Times New Roman" w:hAnsi="Times New Roman" w:cs="Times New Roman"/>
          <w:sz w:val="28"/>
          <w:szCs w:val="28"/>
          <w:lang w:val="en-ZA"/>
        </w:rPr>
        <w:t>_____________________________</w:t>
      </w:r>
    </w:p>
    <w:p w14:paraId="730FB523" w14:textId="77777777" w:rsidR="00834AD8" w:rsidRPr="00917FC2" w:rsidRDefault="009F2EA3" w:rsidP="00C85AD2">
      <w:pPr>
        <w:pStyle w:val="BodyA"/>
        <w:spacing w:after="0" w:line="360" w:lineRule="auto"/>
        <w:jc w:val="right"/>
        <w:rPr>
          <w:rFonts w:ascii="Times New Roman" w:eastAsia="Times New Roman" w:hAnsi="Times New Roman" w:cs="Times New Roman"/>
          <w:sz w:val="28"/>
          <w:szCs w:val="28"/>
          <w:lang w:val="en-ZA"/>
        </w:rPr>
      </w:pPr>
      <w:r w:rsidRPr="00917FC2">
        <w:rPr>
          <w:rFonts w:ascii="Times New Roman" w:hAnsi="Times New Roman" w:cs="Times New Roman"/>
          <w:sz w:val="28"/>
          <w:szCs w:val="28"/>
          <w:lang w:val="en-ZA"/>
        </w:rPr>
        <w:t>J</w:t>
      </w:r>
      <w:r w:rsidR="008B4336" w:rsidRPr="00917FC2">
        <w:rPr>
          <w:rFonts w:ascii="Times New Roman" w:hAnsi="Times New Roman" w:cs="Times New Roman"/>
          <w:sz w:val="28"/>
          <w:szCs w:val="28"/>
          <w:lang w:val="en-ZA"/>
        </w:rPr>
        <w:t xml:space="preserve"> </w:t>
      </w:r>
      <w:r w:rsidRPr="00917FC2">
        <w:rPr>
          <w:rFonts w:ascii="Times New Roman" w:hAnsi="Times New Roman" w:cs="Times New Roman"/>
          <w:sz w:val="28"/>
          <w:szCs w:val="28"/>
          <w:lang w:val="en-ZA"/>
        </w:rPr>
        <w:t>E SMITH</w:t>
      </w:r>
    </w:p>
    <w:p w14:paraId="3CA501F1" w14:textId="77777777" w:rsidR="00834AD8" w:rsidRPr="00917FC2" w:rsidRDefault="008B4336" w:rsidP="00C85AD2">
      <w:pPr>
        <w:pStyle w:val="BodyA"/>
        <w:spacing w:after="0" w:line="360" w:lineRule="auto"/>
        <w:jc w:val="right"/>
        <w:rPr>
          <w:rFonts w:ascii="Times New Roman" w:eastAsia="Times New Roman" w:hAnsi="Times New Roman" w:cs="Times New Roman"/>
          <w:sz w:val="28"/>
          <w:szCs w:val="28"/>
          <w:lang w:val="en-ZA"/>
        </w:rPr>
      </w:pPr>
      <w:r w:rsidRPr="00917FC2">
        <w:rPr>
          <w:rFonts w:ascii="Times New Roman" w:hAnsi="Times New Roman" w:cs="Times New Roman"/>
          <w:sz w:val="28"/>
          <w:szCs w:val="28"/>
          <w:lang w:val="en-ZA"/>
        </w:rPr>
        <w:t>ACTING JUDGE OF APPEAL</w:t>
      </w:r>
    </w:p>
    <w:p w14:paraId="214848B4" w14:textId="77777777" w:rsidR="00F8046C" w:rsidRPr="00917FC2" w:rsidRDefault="00F8046C">
      <w:pPr>
        <w:rPr>
          <w:rFonts w:eastAsia="Times New Roman"/>
          <w:color w:val="000000"/>
          <w:sz w:val="28"/>
          <w:szCs w:val="28"/>
          <w:u w:color="000000"/>
          <w:lang w:val="en-ZA"/>
          <w14:textOutline w14:w="0" w14:cap="flat" w14:cmpd="sng" w14:algn="ctr">
            <w14:noFill/>
            <w14:prstDash w14:val="solid"/>
            <w14:bevel/>
          </w14:textOutline>
        </w:rPr>
      </w:pPr>
      <w:r w:rsidRPr="00917FC2">
        <w:rPr>
          <w:rFonts w:eastAsia="Times New Roman"/>
          <w:sz w:val="28"/>
          <w:szCs w:val="28"/>
          <w:lang w:val="en-ZA"/>
        </w:rPr>
        <w:br w:type="page"/>
      </w:r>
    </w:p>
    <w:p w14:paraId="7AD512A4" w14:textId="77777777" w:rsidR="00834AD8" w:rsidRPr="00917FC2" w:rsidRDefault="00834AD8" w:rsidP="00761150">
      <w:pPr>
        <w:pStyle w:val="Body"/>
        <w:tabs>
          <w:tab w:val="left" w:pos="720"/>
          <w:tab w:val="left" w:pos="1440"/>
          <w:tab w:val="left" w:pos="2160"/>
          <w:tab w:val="left" w:pos="2880"/>
          <w:tab w:val="left" w:pos="3600"/>
          <w:tab w:val="left" w:pos="4320"/>
          <w:tab w:val="left" w:pos="5040"/>
          <w:tab w:val="right" w:pos="9360"/>
        </w:tabs>
      </w:pPr>
    </w:p>
    <w:p w14:paraId="5B392A11" w14:textId="03A9C4FA" w:rsidR="00C85AD2" w:rsidRPr="00917FC2" w:rsidRDefault="00C85AD2" w:rsidP="00C85AD2">
      <w:pPr>
        <w:widowControl w:val="0"/>
        <w:autoSpaceDE w:val="0"/>
        <w:autoSpaceDN w:val="0"/>
        <w:adjustRightInd w:val="0"/>
        <w:rPr>
          <w:sz w:val="28"/>
          <w:szCs w:val="28"/>
        </w:rPr>
      </w:pPr>
      <w:r w:rsidRPr="00917FC2">
        <w:rPr>
          <w:sz w:val="28"/>
          <w:szCs w:val="28"/>
        </w:rPr>
        <w:t>APPEARANCES</w:t>
      </w:r>
    </w:p>
    <w:p w14:paraId="3490DBA7" w14:textId="77777777" w:rsidR="00C85AD2" w:rsidRPr="00917FC2" w:rsidRDefault="00C85AD2" w:rsidP="00C85AD2">
      <w:pPr>
        <w:widowControl w:val="0"/>
        <w:autoSpaceDE w:val="0"/>
        <w:autoSpaceDN w:val="0"/>
        <w:adjustRightInd w:val="0"/>
        <w:rPr>
          <w:sz w:val="28"/>
          <w:szCs w:val="28"/>
        </w:rPr>
      </w:pPr>
    </w:p>
    <w:p w14:paraId="312F1B30" w14:textId="3CF2833B" w:rsidR="00C85AD2" w:rsidRPr="00917FC2" w:rsidRDefault="00C85AD2" w:rsidP="00761150">
      <w:pPr>
        <w:widowControl w:val="0"/>
        <w:tabs>
          <w:tab w:val="left" w:pos="2127"/>
          <w:tab w:val="left" w:pos="3318"/>
        </w:tabs>
        <w:autoSpaceDE w:val="0"/>
        <w:autoSpaceDN w:val="0"/>
        <w:adjustRightInd w:val="0"/>
        <w:rPr>
          <w:sz w:val="28"/>
          <w:szCs w:val="28"/>
        </w:rPr>
      </w:pPr>
      <w:r w:rsidRPr="00917FC2">
        <w:rPr>
          <w:sz w:val="28"/>
          <w:szCs w:val="28"/>
        </w:rPr>
        <w:t xml:space="preserve">For </w:t>
      </w:r>
      <w:r w:rsidR="00F8046C" w:rsidRPr="00917FC2">
        <w:rPr>
          <w:sz w:val="28"/>
          <w:szCs w:val="28"/>
        </w:rPr>
        <w:t>a</w:t>
      </w:r>
      <w:r w:rsidRPr="00917FC2">
        <w:rPr>
          <w:sz w:val="28"/>
          <w:szCs w:val="28"/>
        </w:rPr>
        <w:t>ppellant:</w:t>
      </w:r>
      <w:r w:rsidRPr="00917FC2">
        <w:rPr>
          <w:sz w:val="28"/>
          <w:szCs w:val="28"/>
        </w:rPr>
        <w:tab/>
      </w:r>
      <w:r w:rsidRPr="00917FC2">
        <w:rPr>
          <w:sz w:val="28"/>
          <w:szCs w:val="28"/>
        </w:rPr>
        <w:tab/>
      </w:r>
      <w:r w:rsidR="000B16F6" w:rsidRPr="00917FC2">
        <w:rPr>
          <w:sz w:val="28"/>
          <w:szCs w:val="28"/>
        </w:rPr>
        <w:tab/>
      </w:r>
      <w:r w:rsidRPr="00917FC2">
        <w:rPr>
          <w:sz w:val="28"/>
          <w:szCs w:val="28"/>
        </w:rPr>
        <w:t>L C Leysath</w:t>
      </w:r>
      <w:r w:rsidRPr="00917FC2">
        <w:rPr>
          <w:sz w:val="28"/>
          <w:szCs w:val="28"/>
        </w:rPr>
        <w:tab/>
      </w:r>
    </w:p>
    <w:p w14:paraId="7732CD03" w14:textId="3EA153AA" w:rsidR="00C85AD2" w:rsidRPr="00917FC2" w:rsidRDefault="00C85AD2" w:rsidP="00C85AD2">
      <w:pPr>
        <w:widowControl w:val="0"/>
        <w:tabs>
          <w:tab w:val="left" w:pos="2127"/>
          <w:tab w:val="left" w:pos="3318"/>
        </w:tabs>
        <w:autoSpaceDE w:val="0"/>
        <w:autoSpaceDN w:val="0"/>
        <w:adjustRightInd w:val="0"/>
        <w:ind w:left="3600" w:hanging="3600"/>
        <w:rPr>
          <w:sz w:val="28"/>
          <w:szCs w:val="28"/>
        </w:rPr>
      </w:pPr>
      <w:r w:rsidRPr="00917FC2">
        <w:rPr>
          <w:sz w:val="28"/>
          <w:szCs w:val="28"/>
        </w:rPr>
        <w:t>Instructed by:</w:t>
      </w:r>
      <w:r w:rsidRPr="00917FC2">
        <w:rPr>
          <w:sz w:val="28"/>
          <w:szCs w:val="28"/>
        </w:rPr>
        <w:tab/>
      </w:r>
      <w:r w:rsidRPr="00917FC2">
        <w:rPr>
          <w:sz w:val="28"/>
          <w:szCs w:val="28"/>
        </w:rPr>
        <w:tab/>
      </w:r>
      <w:r w:rsidR="000B16F6" w:rsidRPr="00917FC2">
        <w:rPr>
          <w:sz w:val="28"/>
          <w:szCs w:val="28"/>
        </w:rPr>
        <w:tab/>
      </w:r>
      <w:r w:rsidRPr="00917FC2">
        <w:rPr>
          <w:sz w:val="28"/>
          <w:szCs w:val="28"/>
        </w:rPr>
        <w:t>Gishen</w:t>
      </w:r>
      <w:r w:rsidR="000B16F6" w:rsidRPr="00917FC2">
        <w:rPr>
          <w:sz w:val="28"/>
          <w:szCs w:val="28"/>
        </w:rPr>
        <w:t>-</w:t>
      </w:r>
      <w:r w:rsidRPr="00917FC2">
        <w:rPr>
          <w:sz w:val="28"/>
          <w:szCs w:val="28"/>
        </w:rPr>
        <w:t>Gilchrist Inc, Benoni</w:t>
      </w:r>
    </w:p>
    <w:p w14:paraId="7732230B" w14:textId="58DAD937" w:rsidR="00F8046C" w:rsidRPr="00917FC2" w:rsidRDefault="00C85AD2" w:rsidP="00C85AD2">
      <w:pPr>
        <w:widowControl w:val="0"/>
        <w:tabs>
          <w:tab w:val="left" w:pos="2127"/>
          <w:tab w:val="left" w:pos="3318"/>
        </w:tabs>
        <w:autoSpaceDE w:val="0"/>
        <w:autoSpaceDN w:val="0"/>
        <w:adjustRightInd w:val="0"/>
        <w:ind w:left="3600" w:hanging="3600"/>
        <w:rPr>
          <w:sz w:val="28"/>
          <w:szCs w:val="28"/>
        </w:rPr>
      </w:pPr>
      <w:r w:rsidRPr="00917FC2">
        <w:rPr>
          <w:sz w:val="28"/>
          <w:szCs w:val="28"/>
        </w:rPr>
        <w:tab/>
      </w:r>
      <w:r w:rsidRPr="00917FC2">
        <w:rPr>
          <w:sz w:val="28"/>
          <w:szCs w:val="28"/>
        </w:rPr>
        <w:tab/>
      </w:r>
      <w:r w:rsidR="000B16F6" w:rsidRPr="00917FC2">
        <w:rPr>
          <w:sz w:val="28"/>
          <w:szCs w:val="28"/>
        </w:rPr>
        <w:tab/>
      </w:r>
      <w:r w:rsidRPr="00917FC2">
        <w:rPr>
          <w:sz w:val="28"/>
          <w:szCs w:val="28"/>
        </w:rPr>
        <w:t xml:space="preserve">Symington </w:t>
      </w:r>
      <w:r w:rsidR="000B16F6" w:rsidRPr="00917FC2">
        <w:rPr>
          <w:sz w:val="28"/>
          <w:szCs w:val="28"/>
        </w:rPr>
        <w:t>D</w:t>
      </w:r>
      <w:r w:rsidRPr="00917FC2">
        <w:rPr>
          <w:sz w:val="28"/>
          <w:szCs w:val="28"/>
        </w:rPr>
        <w:t>e Kok Attorneys, Bloemfontein</w:t>
      </w:r>
    </w:p>
    <w:p w14:paraId="55DF8442" w14:textId="77777777" w:rsidR="00C85AD2" w:rsidRPr="00917FC2" w:rsidRDefault="00C85AD2" w:rsidP="00761150">
      <w:pPr>
        <w:widowControl w:val="0"/>
        <w:tabs>
          <w:tab w:val="left" w:pos="2127"/>
          <w:tab w:val="left" w:pos="3318"/>
        </w:tabs>
        <w:autoSpaceDE w:val="0"/>
        <w:autoSpaceDN w:val="0"/>
        <w:adjustRightInd w:val="0"/>
        <w:ind w:left="3600" w:hanging="3600"/>
        <w:rPr>
          <w:sz w:val="28"/>
          <w:szCs w:val="28"/>
        </w:rPr>
      </w:pPr>
    </w:p>
    <w:p w14:paraId="4174D952" w14:textId="2C0AFF97" w:rsidR="00C85AD2" w:rsidRPr="00917FC2" w:rsidRDefault="00C85AD2" w:rsidP="00761150">
      <w:pPr>
        <w:widowControl w:val="0"/>
        <w:tabs>
          <w:tab w:val="left" w:pos="2127"/>
          <w:tab w:val="left" w:pos="3318"/>
        </w:tabs>
        <w:autoSpaceDE w:val="0"/>
        <w:autoSpaceDN w:val="0"/>
        <w:adjustRightInd w:val="0"/>
        <w:rPr>
          <w:sz w:val="28"/>
          <w:szCs w:val="28"/>
        </w:rPr>
      </w:pPr>
      <w:r w:rsidRPr="00917FC2">
        <w:rPr>
          <w:sz w:val="28"/>
          <w:szCs w:val="28"/>
        </w:rPr>
        <w:t xml:space="preserve">For </w:t>
      </w:r>
      <w:r w:rsidR="00F8046C" w:rsidRPr="00917FC2">
        <w:rPr>
          <w:sz w:val="28"/>
          <w:szCs w:val="28"/>
        </w:rPr>
        <w:t>r</w:t>
      </w:r>
      <w:r w:rsidRPr="00917FC2">
        <w:rPr>
          <w:sz w:val="28"/>
          <w:szCs w:val="28"/>
        </w:rPr>
        <w:t>espondent:</w:t>
      </w:r>
      <w:r w:rsidRPr="00917FC2">
        <w:rPr>
          <w:sz w:val="28"/>
          <w:szCs w:val="28"/>
        </w:rPr>
        <w:tab/>
      </w:r>
      <w:r w:rsidRPr="00917FC2">
        <w:rPr>
          <w:sz w:val="28"/>
          <w:szCs w:val="28"/>
        </w:rPr>
        <w:tab/>
      </w:r>
      <w:r w:rsidR="000B16F6" w:rsidRPr="00917FC2">
        <w:rPr>
          <w:sz w:val="28"/>
          <w:szCs w:val="28"/>
        </w:rPr>
        <w:tab/>
      </w:r>
      <w:r w:rsidRPr="00917FC2">
        <w:rPr>
          <w:sz w:val="28"/>
          <w:szCs w:val="28"/>
        </w:rPr>
        <w:t>G Oliver</w:t>
      </w:r>
    </w:p>
    <w:p w14:paraId="3AC1EB71" w14:textId="3CFC0E8F" w:rsidR="00C85AD2" w:rsidRPr="00917FC2" w:rsidRDefault="00C85AD2" w:rsidP="00C85AD2">
      <w:pPr>
        <w:widowControl w:val="0"/>
        <w:tabs>
          <w:tab w:val="left" w:pos="3318"/>
        </w:tabs>
        <w:autoSpaceDE w:val="0"/>
        <w:autoSpaceDN w:val="0"/>
        <w:adjustRightInd w:val="0"/>
        <w:rPr>
          <w:bCs/>
          <w:sz w:val="28"/>
          <w:szCs w:val="28"/>
        </w:rPr>
      </w:pPr>
      <w:r w:rsidRPr="00917FC2">
        <w:rPr>
          <w:sz w:val="28"/>
          <w:szCs w:val="28"/>
        </w:rPr>
        <w:t>Instructed by:</w:t>
      </w:r>
      <w:r w:rsidRPr="00917FC2">
        <w:rPr>
          <w:sz w:val="28"/>
          <w:szCs w:val="28"/>
        </w:rPr>
        <w:tab/>
      </w:r>
      <w:r w:rsidR="000B16F6" w:rsidRPr="00917FC2">
        <w:rPr>
          <w:sz w:val="28"/>
          <w:szCs w:val="28"/>
        </w:rPr>
        <w:tab/>
      </w:r>
      <w:r w:rsidRPr="00917FC2">
        <w:rPr>
          <w:sz w:val="28"/>
          <w:szCs w:val="28"/>
        </w:rPr>
        <w:t>Brendan Muller Inc, Cape Town</w:t>
      </w:r>
    </w:p>
    <w:p w14:paraId="3C7220EC" w14:textId="7C4E2B76" w:rsidR="00C85AD2" w:rsidRPr="00C85AD2" w:rsidRDefault="00C85AD2" w:rsidP="00C85AD2">
      <w:pPr>
        <w:tabs>
          <w:tab w:val="left" w:pos="0"/>
          <w:tab w:val="left" w:pos="720"/>
          <w:tab w:val="left" w:pos="1440"/>
          <w:tab w:val="left" w:pos="2160"/>
          <w:tab w:val="left" w:pos="3318"/>
        </w:tabs>
        <w:rPr>
          <w:bCs/>
          <w:sz w:val="28"/>
          <w:szCs w:val="28"/>
        </w:rPr>
      </w:pPr>
      <w:r w:rsidRPr="00917FC2">
        <w:rPr>
          <w:bCs/>
          <w:sz w:val="28"/>
          <w:szCs w:val="28"/>
        </w:rPr>
        <w:tab/>
      </w:r>
      <w:r w:rsidRPr="00917FC2">
        <w:rPr>
          <w:bCs/>
          <w:sz w:val="28"/>
          <w:szCs w:val="28"/>
        </w:rPr>
        <w:tab/>
      </w:r>
      <w:r w:rsidRPr="00917FC2">
        <w:rPr>
          <w:bCs/>
          <w:sz w:val="28"/>
          <w:szCs w:val="28"/>
        </w:rPr>
        <w:tab/>
      </w:r>
      <w:r w:rsidRPr="00917FC2">
        <w:rPr>
          <w:bCs/>
          <w:sz w:val="28"/>
          <w:szCs w:val="28"/>
        </w:rPr>
        <w:tab/>
      </w:r>
      <w:r w:rsidR="000B16F6" w:rsidRPr="00917FC2">
        <w:rPr>
          <w:bCs/>
          <w:sz w:val="28"/>
          <w:szCs w:val="28"/>
        </w:rPr>
        <w:tab/>
      </w:r>
      <w:r w:rsidRPr="00917FC2">
        <w:rPr>
          <w:bCs/>
          <w:sz w:val="28"/>
          <w:szCs w:val="28"/>
        </w:rPr>
        <w:t>Van Der Merwe &amp; Sorour Attorneys, Bloemfontein</w:t>
      </w:r>
    </w:p>
    <w:p w14:paraId="0165D388" w14:textId="77777777" w:rsidR="00C85AD2" w:rsidRPr="00C85AD2" w:rsidRDefault="00C85AD2" w:rsidP="00C85AD2">
      <w:pPr>
        <w:tabs>
          <w:tab w:val="left" w:pos="0"/>
          <w:tab w:val="left" w:pos="720"/>
          <w:tab w:val="left" w:pos="1440"/>
          <w:tab w:val="left" w:pos="2160"/>
          <w:tab w:val="left" w:pos="3060"/>
        </w:tabs>
        <w:rPr>
          <w:bCs/>
          <w:sz w:val="28"/>
          <w:szCs w:val="28"/>
        </w:rPr>
      </w:pPr>
    </w:p>
    <w:p w14:paraId="3A70BB0F" w14:textId="77777777" w:rsidR="00C85AD2" w:rsidRPr="00926AB2" w:rsidRDefault="00C85AD2" w:rsidP="00D54F44">
      <w:pPr>
        <w:pStyle w:val="BodyA"/>
        <w:spacing w:after="0" w:line="360" w:lineRule="auto"/>
        <w:rPr>
          <w:rFonts w:ascii="Times New Roman" w:eastAsia="Times New Roman" w:hAnsi="Times New Roman" w:cs="Times New Roman"/>
          <w:sz w:val="28"/>
          <w:szCs w:val="28"/>
          <w:lang w:val="en-ZA"/>
        </w:rPr>
      </w:pPr>
    </w:p>
    <w:sectPr w:rsidR="00C85AD2" w:rsidRPr="00926AB2" w:rsidSect="00926AB2">
      <w:headerReference w:type="default" r:id="rId9"/>
      <w:pgSz w:w="12240" w:h="15840"/>
      <w:pgMar w:top="851"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D162" w14:textId="77777777" w:rsidR="00582D0E" w:rsidRDefault="00582D0E">
      <w:r>
        <w:separator/>
      </w:r>
    </w:p>
  </w:endnote>
  <w:endnote w:type="continuationSeparator" w:id="0">
    <w:p w14:paraId="7B9EBCCA" w14:textId="77777777" w:rsidR="00582D0E" w:rsidRDefault="00582D0E">
      <w:r>
        <w:continuationSeparator/>
      </w:r>
    </w:p>
  </w:endnote>
  <w:endnote w:type="continuationNotice" w:id="1">
    <w:p w14:paraId="66EC42D3" w14:textId="77777777" w:rsidR="00582D0E" w:rsidRDefault="00582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8302" w14:textId="77777777" w:rsidR="00582D0E" w:rsidRDefault="00582D0E">
      <w:r>
        <w:separator/>
      </w:r>
    </w:p>
  </w:footnote>
  <w:footnote w:type="continuationSeparator" w:id="0">
    <w:p w14:paraId="65280CD4" w14:textId="77777777" w:rsidR="00582D0E" w:rsidRDefault="00582D0E">
      <w:r>
        <w:continuationSeparator/>
      </w:r>
    </w:p>
  </w:footnote>
  <w:footnote w:type="continuationNotice" w:id="1">
    <w:p w14:paraId="0B8ED073" w14:textId="77777777" w:rsidR="00582D0E" w:rsidRDefault="00582D0E"/>
  </w:footnote>
  <w:footnote w:id="2">
    <w:p w14:paraId="2EF28E49" w14:textId="6C6CAB42" w:rsidR="00AC1695" w:rsidRPr="00926AB2" w:rsidRDefault="00AC1695" w:rsidP="00C867F9">
      <w:pPr>
        <w:pStyle w:val="FootnoteText"/>
        <w:spacing w:line="240" w:lineRule="auto"/>
        <w:rPr>
          <w:rFonts w:ascii="Times New Roman" w:hAnsi="Times New Roman" w:cs="Times New Roman"/>
          <w:lang w:val="en-ZA"/>
        </w:rPr>
      </w:pPr>
      <w:r w:rsidRPr="00926AB2">
        <w:rPr>
          <w:rStyle w:val="FootnoteReference"/>
          <w:rFonts w:ascii="Times New Roman" w:hAnsi="Times New Roman" w:cs="Times New Roman"/>
        </w:rPr>
        <w:footnoteRef/>
      </w:r>
      <w:r w:rsidRPr="00926AB2">
        <w:rPr>
          <w:rFonts w:ascii="Times New Roman" w:hAnsi="Times New Roman" w:cs="Times New Roman"/>
        </w:rPr>
        <w:t xml:space="preserve"> See</w:t>
      </w:r>
      <w:r w:rsidR="008B4336">
        <w:rPr>
          <w:rFonts w:ascii="Times New Roman" w:hAnsi="Times New Roman" w:cs="Times New Roman"/>
        </w:rPr>
        <w:t xml:space="preserve"> </w:t>
      </w:r>
      <w:r w:rsidRPr="00C85AD2">
        <w:rPr>
          <w:rFonts w:ascii="Times New Roman" w:hAnsi="Times New Roman" w:cs="Times New Roman"/>
          <w:i/>
          <w:lang w:val="en-ZA"/>
        </w:rPr>
        <w:t xml:space="preserve">Bertelsmann v Per </w:t>
      </w:r>
      <w:r w:rsidR="00B4574E">
        <w:rPr>
          <w:rFonts w:ascii="Times New Roman" w:hAnsi="Times New Roman" w:cs="Times New Roman"/>
          <w:lang w:val="en-ZA"/>
        </w:rPr>
        <w:t>1996 (2) SA 375 (T), at 381E-F</w:t>
      </w:r>
      <w:r w:rsidRPr="00926AB2">
        <w:rPr>
          <w:rFonts w:ascii="Times New Roman" w:hAnsi="Times New Roman" w:cs="Times New Roman"/>
          <w:lang w:val="en-ZA"/>
        </w:rPr>
        <w:t xml:space="preserve">; </w:t>
      </w:r>
      <w:r w:rsidRPr="00C85AD2">
        <w:rPr>
          <w:rFonts w:ascii="Times New Roman" w:hAnsi="Times New Roman" w:cs="Times New Roman"/>
          <w:i/>
          <w:lang w:val="en-ZA"/>
        </w:rPr>
        <w:t xml:space="preserve">Minister of Finance </w:t>
      </w:r>
      <w:r w:rsidR="008B4336">
        <w:rPr>
          <w:rFonts w:ascii="Times New Roman" w:hAnsi="Times New Roman" w:cs="Times New Roman"/>
          <w:i/>
          <w:lang w:val="en-ZA"/>
        </w:rPr>
        <w:t xml:space="preserve">and Another </w:t>
      </w:r>
      <w:r w:rsidRPr="00C85AD2">
        <w:rPr>
          <w:rFonts w:ascii="Times New Roman" w:hAnsi="Times New Roman" w:cs="Times New Roman"/>
          <w:i/>
          <w:lang w:val="en-ZA"/>
        </w:rPr>
        <w:t>v Law Society, Transvaal</w:t>
      </w:r>
      <w:r w:rsidRPr="00926AB2">
        <w:rPr>
          <w:rFonts w:ascii="Times New Roman" w:hAnsi="Times New Roman" w:cs="Times New Roman"/>
          <w:lang w:val="en-ZA"/>
        </w:rPr>
        <w:t xml:space="preserve"> 1991 (4) SA 544 </w:t>
      </w:r>
      <w:r w:rsidR="008B4336">
        <w:rPr>
          <w:rFonts w:ascii="Times New Roman" w:hAnsi="Times New Roman" w:cs="Times New Roman"/>
          <w:lang w:val="en-ZA"/>
        </w:rPr>
        <w:t>(A)</w:t>
      </w:r>
      <w:r w:rsidR="00236352">
        <w:rPr>
          <w:rFonts w:ascii="Times New Roman" w:hAnsi="Times New Roman" w:cs="Times New Roman"/>
          <w:lang w:val="en-ZA"/>
        </w:rPr>
        <w:t xml:space="preserve"> at 556I – 557B</w:t>
      </w:r>
      <w:r w:rsidR="008B4336">
        <w:rPr>
          <w:rFonts w:ascii="Times New Roman" w:hAnsi="Times New Roman" w:cs="Times New Roman"/>
          <w:lang w:val="en-ZA"/>
        </w:rPr>
        <w:t xml:space="preserve">. </w:t>
      </w:r>
    </w:p>
  </w:footnote>
  <w:footnote w:id="3">
    <w:p w14:paraId="2A495678" w14:textId="4572540D" w:rsidR="00AC1695" w:rsidRPr="00801AC6" w:rsidRDefault="00AC1695" w:rsidP="00C867F9">
      <w:pPr>
        <w:pStyle w:val="FootnoteText"/>
        <w:spacing w:line="240" w:lineRule="auto"/>
        <w:rPr>
          <w:lang w:val="en-ZA"/>
        </w:rPr>
      </w:pPr>
      <w:r w:rsidRPr="00926AB2">
        <w:rPr>
          <w:rStyle w:val="FootnoteReference"/>
          <w:rFonts w:ascii="Times New Roman" w:hAnsi="Times New Roman" w:cs="Times New Roman"/>
        </w:rPr>
        <w:footnoteRef/>
      </w:r>
      <w:r w:rsidRPr="00926AB2">
        <w:rPr>
          <w:rFonts w:ascii="Times New Roman" w:hAnsi="Times New Roman" w:cs="Times New Roman"/>
        </w:rPr>
        <w:t xml:space="preserve"> </w:t>
      </w:r>
      <w:r w:rsidRPr="00F90DB8">
        <w:rPr>
          <w:rFonts w:ascii="Times New Roman" w:hAnsi="Times New Roman" w:cs="Times New Roman"/>
          <w:i/>
          <w:lang w:val="en-ZA"/>
        </w:rPr>
        <w:t>Serrurier and Another v Korzia and Another</w:t>
      </w:r>
      <w:r w:rsidRPr="00F90DB8">
        <w:rPr>
          <w:rFonts w:ascii="Times New Roman" w:hAnsi="Times New Roman" w:cs="Times New Roman"/>
          <w:lang w:val="en-ZA"/>
        </w:rPr>
        <w:t xml:space="preserve"> </w:t>
      </w:r>
      <w:r w:rsidR="00081C56">
        <w:rPr>
          <w:rFonts w:ascii="Times New Roman" w:hAnsi="Times New Roman" w:cs="Times New Roman"/>
          <w:lang w:val="en-ZA"/>
        </w:rPr>
        <w:t xml:space="preserve">2010 (3) SA 166 (W) para </w:t>
      </w:r>
      <w:r w:rsidRPr="00926AB2">
        <w:rPr>
          <w:rFonts w:ascii="Times New Roman" w:hAnsi="Times New Roman" w:cs="Times New Roman"/>
          <w:lang w:val="en-ZA"/>
        </w:rPr>
        <w:t>17</w:t>
      </w:r>
      <w:r w:rsidR="008B4336">
        <w:rPr>
          <w:rFonts w:ascii="Times New Roman" w:hAnsi="Times New Roman" w:cs="Times New Roman"/>
          <w:lang w:val="en-ZA"/>
        </w:rPr>
        <w:t>.</w:t>
      </w:r>
    </w:p>
  </w:footnote>
  <w:footnote w:id="4">
    <w:p w14:paraId="5A870C2A" w14:textId="78C12EB8" w:rsidR="00AC1695" w:rsidRPr="00C85AD2" w:rsidRDefault="00AC1695" w:rsidP="00C867F9">
      <w:pPr>
        <w:pStyle w:val="FootnoteText"/>
        <w:spacing w:line="240" w:lineRule="auto"/>
        <w:rPr>
          <w:rFonts w:ascii="Times New Roman" w:hAnsi="Times New Roman" w:cs="Times New Roman"/>
          <w:lang w:val="en-ZA"/>
        </w:rPr>
      </w:pPr>
      <w:r w:rsidRPr="00C85AD2">
        <w:rPr>
          <w:rStyle w:val="FootnoteReference"/>
          <w:rFonts w:ascii="Times New Roman" w:hAnsi="Times New Roman" w:cs="Times New Roman"/>
        </w:rPr>
        <w:footnoteRef/>
      </w:r>
      <w:r w:rsidRPr="00C85AD2">
        <w:rPr>
          <w:rFonts w:ascii="Times New Roman" w:hAnsi="Times New Roman" w:cs="Times New Roman"/>
        </w:rPr>
        <w:t xml:space="preserve"> </w:t>
      </w:r>
      <w:r w:rsidRPr="00600853">
        <w:rPr>
          <w:rFonts w:ascii="Times New Roman" w:hAnsi="Times New Roman" w:cs="Times New Roman"/>
          <w:i/>
          <w:lang w:val="en-ZA"/>
        </w:rPr>
        <w:t>Industrial and Commercial Factors (Pty) Ltd v The Attorneys’ Fidelity Fund Board of Control</w:t>
      </w:r>
      <w:r w:rsidRPr="00600853">
        <w:rPr>
          <w:rFonts w:ascii="Times New Roman" w:hAnsi="Times New Roman" w:cs="Times New Roman"/>
          <w:lang w:val="en-ZA"/>
        </w:rPr>
        <w:t xml:space="preserve"> </w:t>
      </w:r>
      <w:r w:rsidRPr="00C85AD2">
        <w:rPr>
          <w:rFonts w:ascii="Times New Roman" w:hAnsi="Times New Roman" w:cs="Times New Roman"/>
          <w:lang w:val="en-ZA"/>
        </w:rPr>
        <w:t xml:space="preserve">1997 (1) SA </w:t>
      </w:r>
      <w:r w:rsidR="008B50E6">
        <w:rPr>
          <w:rFonts w:ascii="Times New Roman" w:hAnsi="Times New Roman" w:cs="Times New Roman"/>
          <w:lang w:val="en-ZA"/>
        </w:rPr>
        <w:t xml:space="preserve">(A) </w:t>
      </w:r>
      <w:r w:rsidRPr="00C85AD2">
        <w:rPr>
          <w:rFonts w:ascii="Times New Roman" w:hAnsi="Times New Roman" w:cs="Times New Roman"/>
          <w:lang w:val="en-ZA"/>
        </w:rPr>
        <w:t xml:space="preserve">136 </w:t>
      </w:r>
      <w:r>
        <w:rPr>
          <w:rFonts w:ascii="Times New Roman" w:hAnsi="Times New Roman" w:cs="Times New Roman"/>
          <w:lang w:val="en-ZA"/>
        </w:rPr>
        <w:t>at 143-144.</w:t>
      </w:r>
      <w:r w:rsidR="003F1BA7">
        <w:rPr>
          <w:rFonts w:ascii="Times New Roman" w:hAnsi="Times New Roman" w:cs="Times New Roman"/>
          <w:lang w:val="en-ZA"/>
        </w:rPr>
        <w:t xml:space="preserve"> </w:t>
      </w:r>
    </w:p>
  </w:footnote>
  <w:footnote w:id="5">
    <w:p w14:paraId="09EA878B" w14:textId="262A4F58" w:rsidR="00AC1695" w:rsidRPr="00C85AD2" w:rsidRDefault="00AC1695" w:rsidP="00C867F9">
      <w:pPr>
        <w:pStyle w:val="FootnoteText"/>
        <w:spacing w:line="240" w:lineRule="auto"/>
        <w:rPr>
          <w:rFonts w:ascii="Times New Roman" w:hAnsi="Times New Roman" w:cs="Times New Roman"/>
          <w:lang w:val="en-ZA"/>
        </w:rPr>
      </w:pPr>
      <w:r w:rsidRPr="00C85AD2">
        <w:rPr>
          <w:rStyle w:val="FootnoteReference"/>
          <w:rFonts w:ascii="Times New Roman" w:hAnsi="Times New Roman" w:cs="Times New Roman"/>
        </w:rPr>
        <w:footnoteRef/>
      </w:r>
      <w:r w:rsidRPr="00C85AD2">
        <w:rPr>
          <w:rFonts w:ascii="Times New Roman" w:hAnsi="Times New Roman" w:cs="Times New Roman"/>
        </w:rPr>
        <w:t xml:space="preserve"> </w:t>
      </w:r>
      <w:r w:rsidRPr="001F41AE">
        <w:rPr>
          <w:rFonts w:ascii="Times New Roman" w:hAnsi="Times New Roman" w:cs="Times New Roman"/>
          <w:i/>
          <w:lang w:val="en-ZA"/>
        </w:rPr>
        <w:t>British Kaffrarian Savings Bank Soc</w:t>
      </w:r>
      <w:r>
        <w:rPr>
          <w:rFonts w:ascii="Times New Roman" w:hAnsi="Times New Roman" w:cs="Times New Roman"/>
          <w:i/>
          <w:lang w:val="en-ZA"/>
        </w:rPr>
        <w:t>iety v Attorneys, Notaries and C</w:t>
      </w:r>
      <w:r w:rsidRPr="001F41AE">
        <w:rPr>
          <w:rFonts w:ascii="Times New Roman" w:hAnsi="Times New Roman" w:cs="Times New Roman"/>
          <w:i/>
          <w:lang w:val="en-ZA"/>
        </w:rPr>
        <w:t>onveyancers Fidelity Gaurentee Fund Board of Control</w:t>
      </w:r>
      <w:r w:rsidRPr="001F41AE">
        <w:rPr>
          <w:rFonts w:ascii="Times New Roman" w:hAnsi="Times New Roman" w:cs="Times New Roman"/>
          <w:lang w:val="en-ZA"/>
        </w:rPr>
        <w:t xml:space="preserve"> </w:t>
      </w:r>
      <w:r>
        <w:rPr>
          <w:rFonts w:ascii="Times New Roman" w:hAnsi="Times New Roman" w:cs="Times New Roman"/>
          <w:lang w:val="en-ZA"/>
        </w:rPr>
        <w:t xml:space="preserve">[1978] 3 All SA 522 (E); 1978 (3) SA 242 (E). </w:t>
      </w:r>
    </w:p>
  </w:footnote>
  <w:footnote w:id="6">
    <w:p w14:paraId="43D717C4" w14:textId="5824A1E8" w:rsidR="007F37BF" w:rsidRPr="00FD4F20" w:rsidRDefault="007F37BF" w:rsidP="00C63D6C">
      <w:pPr>
        <w:pStyle w:val="BodyA"/>
        <w:spacing w:after="0" w:line="240" w:lineRule="auto"/>
        <w:rPr>
          <w:rFonts w:ascii="Times New Roman" w:hAnsi="Times New Roman" w:cs="Times New Roman"/>
          <w:sz w:val="20"/>
          <w:szCs w:val="20"/>
          <w:lang w:val="en-ZA"/>
        </w:rPr>
      </w:pPr>
      <w:r w:rsidRPr="00FD4F20">
        <w:rPr>
          <w:rStyle w:val="FootnoteReference"/>
          <w:rFonts w:ascii="Times New Roman" w:hAnsi="Times New Roman" w:cs="Times New Roman"/>
          <w:sz w:val="20"/>
          <w:szCs w:val="20"/>
        </w:rPr>
        <w:footnoteRef/>
      </w:r>
      <w:r w:rsidRPr="00FD4F20">
        <w:rPr>
          <w:rFonts w:ascii="Times New Roman" w:hAnsi="Times New Roman" w:cs="Times New Roman"/>
          <w:sz w:val="20"/>
          <w:szCs w:val="20"/>
        </w:rPr>
        <w:t xml:space="preserve"> </w:t>
      </w:r>
      <w:r w:rsidRPr="00FD4F20">
        <w:rPr>
          <w:rFonts w:ascii="Times New Roman" w:hAnsi="Times New Roman" w:cs="Times New Roman"/>
          <w:sz w:val="20"/>
          <w:szCs w:val="20"/>
          <w:lang w:val="en-ZA"/>
        </w:rPr>
        <w:t xml:space="preserve">In terms of s 3 of the Law of Evidence Amendment Act, a court has discretion to allow hearsay evidence if it is of the opinion that such evidence should be admitted in the interests of justice, having regard to the following factors:  </w:t>
      </w:r>
    </w:p>
    <w:p w14:paraId="1E738D30" w14:textId="1CFACDD7" w:rsidR="007F37BF" w:rsidRPr="00FD4F20" w:rsidRDefault="007F37BF" w:rsidP="00C63D6C">
      <w:pPr>
        <w:pStyle w:val="BodyA"/>
        <w:spacing w:after="0" w:line="240" w:lineRule="auto"/>
        <w:rPr>
          <w:rFonts w:ascii="Times New Roman" w:hAnsi="Times New Roman" w:cs="Times New Roman"/>
          <w:sz w:val="20"/>
          <w:szCs w:val="20"/>
          <w:lang w:val="en-ZA"/>
        </w:rPr>
      </w:pPr>
      <w:r w:rsidRPr="00FD4F20">
        <w:rPr>
          <w:rFonts w:ascii="Times New Roman" w:hAnsi="Times New Roman" w:cs="Times New Roman"/>
          <w:sz w:val="20"/>
          <w:szCs w:val="20"/>
          <w:lang w:val="en-ZA"/>
        </w:rPr>
        <w:t xml:space="preserve">(a) the nature of the proceedings; </w:t>
      </w:r>
    </w:p>
    <w:p w14:paraId="269B2902" w14:textId="5CB7766A" w:rsidR="007F37BF" w:rsidRPr="00FD4F20" w:rsidRDefault="007F37BF" w:rsidP="00C63D6C">
      <w:pPr>
        <w:pStyle w:val="BodyA"/>
        <w:spacing w:after="0" w:line="240" w:lineRule="auto"/>
        <w:rPr>
          <w:rFonts w:ascii="Times New Roman" w:hAnsi="Times New Roman" w:cs="Times New Roman"/>
          <w:sz w:val="20"/>
          <w:szCs w:val="20"/>
          <w:lang w:val="en-ZA"/>
        </w:rPr>
      </w:pPr>
      <w:r w:rsidRPr="00FD4F20">
        <w:rPr>
          <w:rFonts w:ascii="Times New Roman" w:hAnsi="Times New Roman" w:cs="Times New Roman"/>
          <w:sz w:val="20"/>
          <w:szCs w:val="20"/>
          <w:lang w:val="en-ZA"/>
        </w:rPr>
        <w:t xml:space="preserve">(b) the nature of the evidence; </w:t>
      </w:r>
    </w:p>
    <w:p w14:paraId="508D263F" w14:textId="00B5F8D8" w:rsidR="007F37BF" w:rsidRPr="00FD4F20" w:rsidRDefault="007F37BF" w:rsidP="00C63D6C">
      <w:pPr>
        <w:pStyle w:val="BodyA"/>
        <w:spacing w:after="0" w:line="240" w:lineRule="auto"/>
        <w:rPr>
          <w:rFonts w:ascii="Times New Roman" w:hAnsi="Times New Roman" w:cs="Times New Roman"/>
          <w:sz w:val="20"/>
          <w:szCs w:val="20"/>
          <w:lang w:val="en-ZA"/>
        </w:rPr>
      </w:pPr>
      <w:r w:rsidRPr="00FD4F20" w:rsidDel="007F37BF">
        <w:rPr>
          <w:rFonts w:ascii="Times New Roman" w:hAnsi="Times New Roman" w:cs="Times New Roman"/>
          <w:sz w:val="20"/>
          <w:szCs w:val="20"/>
          <w:lang w:val="en-ZA"/>
        </w:rPr>
        <w:t xml:space="preserve"> </w:t>
      </w:r>
      <w:r w:rsidRPr="00FD4F20">
        <w:rPr>
          <w:rFonts w:ascii="Times New Roman" w:hAnsi="Times New Roman" w:cs="Times New Roman"/>
          <w:sz w:val="20"/>
          <w:szCs w:val="20"/>
          <w:lang w:val="en-ZA"/>
        </w:rPr>
        <w:t xml:space="preserve">(c) the purpose for which the evidence is tendered; </w:t>
      </w:r>
    </w:p>
    <w:p w14:paraId="52012B02" w14:textId="60182AC4" w:rsidR="007F37BF" w:rsidRPr="00FD4F20" w:rsidRDefault="007F37BF" w:rsidP="00C63D6C">
      <w:pPr>
        <w:pStyle w:val="BodyA"/>
        <w:spacing w:after="0" w:line="240" w:lineRule="auto"/>
        <w:rPr>
          <w:rFonts w:ascii="Times New Roman" w:hAnsi="Times New Roman" w:cs="Times New Roman"/>
          <w:sz w:val="20"/>
          <w:szCs w:val="20"/>
          <w:lang w:val="en-ZA"/>
        </w:rPr>
      </w:pPr>
      <w:r w:rsidRPr="00FD4F20">
        <w:rPr>
          <w:rFonts w:ascii="Times New Roman" w:hAnsi="Times New Roman" w:cs="Times New Roman"/>
          <w:sz w:val="20"/>
          <w:szCs w:val="20"/>
          <w:lang w:val="en-ZA"/>
        </w:rPr>
        <w:t xml:space="preserve">(d) the probative value of the evidence; </w:t>
      </w:r>
    </w:p>
    <w:p w14:paraId="11DBC9B1" w14:textId="1A2D992B" w:rsidR="007F37BF" w:rsidRPr="00FD4F20" w:rsidRDefault="007F37BF" w:rsidP="00C63D6C">
      <w:pPr>
        <w:pStyle w:val="BodyA"/>
        <w:spacing w:after="0" w:line="240" w:lineRule="auto"/>
        <w:rPr>
          <w:rFonts w:ascii="Times New Roman" w:hAnsi="Times New Roman" w:cs="Times New Roman"/>
          <w:sz w:val="20"/>
          <w:szCs w:val="20"/>
          <w:lang w:val="en-ZA"/>
        </w:rPr>
      </w:pPr>
      <w:r w:rsidRPr="00FD4F20">
        <w:rPr>
          <w:rFonts w:ascii="Times New Roman" w:hAnsi="Times New Roman" w:cs="Times New Roman"/>
          <w:sz w:val="20"/>
          <w:szCs w:val="20"/>
          <w:lang w:val="en-ZA"/>
        </w:rPr>
        <w:t xml:space="preserve">(e) the reason why the evidence is not given by the person upon whose credibility the probative value of such evidence depend; </w:t>
      </w:r>
    </w:p>
    <w:p w14:paraId="37D5363C" w14:textId="6259BE24" w:rsidR="007F37BF" w:rsidRPr="00FD4F20" w:rsidRDefault="007F37BF" w:rsidP="00C63D6C">
      <w:pPr>
        <w:pStyle w:val="BodyA"/>
        <w:spacing w:after="0" w:line="240" w:lineRule="auto"/>
        <w:rPr>
          <w:rFonts w:ascii="Times New Roman" w:hAnsi="Times New Roman" w:cs="Times New Roman"/>
          <w:sz w:val="20"/>
          <w:szCs w:val="20"/>
          <w:lang w:val="en-ZA"/>
        </w:rPr>
      </w:pPr>
      <w:r w:rsidRPr="00FD4F20">
        <w:rPr>
          <w:rFonts w:ascii="Times New Roman" w:hAnsi="Times New Roman" w:cs="Times New Roman"/>
          <w:sz w:val="20"/>
          <w:szCs w:val="20"/>
          <w:lang w:val="en-ZA"/>
        </w:rPr>
        <w:t xml:space="preserve">(f) any prejudice to a party which the admission of such evidence might entail; and </w:t>
      </w:r>
    </w:p>
    <w:p w14:paraId="098E78B6" w14:textId="1302BA09" w:rsidR="007F37BF" w:rsidRPr="00FD4F20" w:rsidRDefault="007F37BF" w:rsidP="00C63D6C">
      <w:pPr>
        <w:pStyle w:val="BodyA"/>
        <w:spacing w:after="0" w:line="240" w:lineRule="auto"/>
        <w:rPr>
          <w:rFonts w:ascii="Times New Roman" w:hAnsi="Times New Roman" w:cs="Times New Roman"/>
          <w:sz w:val="20"/>
          <w:szCs w:val="20"/>
          <w:lang w:val="en-ZA"/>
        </w:rPr>
      </w:pPr>
      <w:r w:rsidRPr="00FD4F20">
        <w:rPr>
          <w:rFonts w:ascii="Times New Roman" w:hAnsi="Times New Roman" w:cs="Times New Roman"/>
          <w:sz w:val="20"/>
          <w:szCs w:val="20"/>
          <w:lang w:val="en-ZA"/>
        </w:rPr>
        <w:t xml:space="preserve">(g) any other factor which should, in the opinion of the court, be taken into account. </w:t>
      </w:r>
    </w:p>
    <w:p w14:paraId="6F7752BE" w14:textId="6878DAB8" w:rsidR="007F37BF" w:rsidRPr="00851550" w:rsidRDefault="007F37BF" w:rsidP="00C63D6C">
      <w:pPr>
        <w:pStyle w:val="FootnoteText"/>
        <w:spacing w:line="240" w:lineRule="auto"/>
        <w:rPr>
          <w:lang w:val="en-ZA"/>
        </w:rPr>
      </w:pPr>
    </w:p>
  </w:footnote>
  <w:footnote w:id="7">
    <w:p w14:paraId="055EA2A3" w14:textId="00F94BB4" w:rsidR="00AC1695" w:rsidRPr="00C85AD2" w:rsidRDefault="00AC1695" w:rsidP="00C867F9">
      <w:pPr>
        <w:pStyle w:val="FootnoteText"/>
        <w:spacing w:line="240" w:lineRule="auto"/>
        <w:rPr>
          <w:rFonts w:ascii="Times New Roman" w:hAnsi="Times New Roman" w:cs="Times New Roman"/>
          <w:lang w:val="en-ZA"/>
        </w:rPr>
      </w:pPr>
      <w:r w:rsidRPr="00C85AD2">
        <w:rPr>
          <w:rStyle w:val="FootnoteReference"/>
          <w:rFonts w:ascii="Times New Roman" w:hAnsi="Times New Roman" w:cs="Times New Roman"/>
        </w:rPr>
        <w:footnoteRef/>
      </w:r>
      <w:r w:rsidRPr="00C85AD2">
        <w:rPr>
          <w:rFonts w:ascii="Times New Roman" w:hAnsi="Times New Roman" w:cs="Times New Roman"/>
        </w:rPr>
        <w:t xml:space="preserve"> </w:t>
      </w:r>
      <w:r w:rsidRPr="002201B9">
        <w:rPr>
          <w:rFonts w:ascii="Times New Roman" w:hAnsi="Times New Roman" w:cs="Times New Roman"/>
          <w:i/>
          <w:lang w:val="en-ZA"/>
        </w:rPr>
        <w:t>Biowatch Trust v Registrar Genetic Resources and Others</w:t>
      </w:r>
      <w:r w:rsidRPr="002201B9">
        <w:rPr>
          <w:rFonts w:ascii="Times New Roman" w:hAnsi="Times New Roman" w:cs="Times New Roman"/>
          <w:lang w:val="en-ZA"/>
        </w:rPr>
        <w:t xml:space="preserve"> </w:t>
      </w:r>
      <w:r>
        <w:rPr>
          <w:rFonts w:ascii="Times New Roman" w:hAnsi="Times New Roman" w:cs="Times New Roman"/>
          <w:lang w:val="en-ZA"/>
        </w:rPr>
        <w:t xml:space="preserve">[2009] ZACC 14; </w:t>
      </w:r>
      <w:r w:rsidRPr="00C85AD2">
        <w:rPr>
          <w:rFonts w:ascii="Times New Roman" w:hAnsi="Times New Roman" w:cs="Times New Roman"/>
          <w:lang w:val="en-ZA"/>
        </w:rPr>
        <w:t>2009 (6) SA 232 (CC)</w:t>
      </w:r>
      <w:r>
        <w:rPr>
          <w:rFonts w:ascii="Times New Roman" w:hAnsi="Times New Roman" w:cs="Times New Roman"/>
          <w:lang w:val="en-ZA"/>
        </w:rPr>
        <w:t xml:space="preserve">; 2009 (10) BCLR 1014 (CC). </w:t>
      </w:r>
    </w:p>
  </w:footnote>
  <w:footnote w:id="8">
    <w:p w14:paraId="1A91F11A" w14:textId="3EFFF45B" w:rsidR="00AC1695" w:rsidRPr="00C85AD2" w:rsidRDefault="00AC1695" w:rsidP="00C867F9">
      <w:pPr>
        <w:pStyle w:val="FootnoteText"/>
        <w:spacing w:line="240" w:lineRule="auto"/>
        <w:rPr>
          <w:rFonts w:ascii="Times New Roman" w:hAnsi="Times New Roman" w:cs="Times New Roman"/>
          <w:lang w:val="en-ZA"/>
        </w:rPr>
      </w:pPr>
      <w:r w:rsidRPr="00C85AD2">
        <w:rPr>
          <w:rStyle w:val="FootnoteReference"/>
          <w:rFonts w:ascii="Times New Roman" w:hAnsi="Times New Roman" w:cs="Times New Roman"/>
        </w:rPr>
        <w:footnoteRef/>
      </w:r>
      <w:r w:rsidRPr="00C85AD2">
        <w:rPr>
          <w:rFonts w:ascii="Times New Roman" w:hAnsi="Times New Roman" w:cs="Times New Roman"/>
        </w:rPr>
        <w:t xml:space="preserve"> </w:t>
      </w:r>
      <w:r w:rsidRPr="00C85AD2">
        <w:rPr>
          <w:rFonts w:ascii="Times New Roman" w:hAnsi="Times New Roman" w:cs="Times New Roman"/>
          <w:i/>
          <w:lang w:val="en-ZA"/>
        </w:rPr>
        <w:t>Mkhatshwa and Others v Mkhatshwa and Another</w:t>
      </w:r>
      <w:r w:rsidRPr="00C85AD2">
        <w:rPr>
          <w:rFonts w:ascii="Times New Roman" w:hAnsi="Times New Roman" w:cs="Times New Roman"/>
          <w:lang w:val="en-ZA"/>
        </w:rPr>
        <w:t xml:space="preserve"> [2021] ZACC 15</w:t>
      </w:r>
      <w:r>
        <w:rPr>
          <w:rFonts w:ascii="Times New Roman" w:hAnsi="Times New Roman" w:cs="Times New Roman"/>
          <w:lang w:val="en-Z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72B9" w14:textId="0BE3B051" w:rsidR="00AC1695" w:rsidRPr="00C85AD2" w:rsidRDefault="00AC1695">
    <w:pPr>
      <w:pStyle w:val="Header"/>
      <w:tabs>
        <w:tab w:val="clear" w:pos="9360"/>
        <w:tab w:val="right" w:pos="9340"/>
      </w:tabs>
      <w:jc w:val="right"/>
      <w:rPr>
        <w:rFonts w:ascii="Times New Roman" w:hAnsi="Times New Roman" w:cs="Times New Roman"/>
        <w:sz w:val="24"/>
        <w:szCs w:val="24"/>
      </w:rPr>
    </w:pPr>
    <w:r w:rsidRPr="00C85AD2">
      <w:rPr>
        <w:rFonts w:ascii="Times New Roman" w:hAnsi="Times New Roman" w:cs="Times New Roman"/>
        <w:sz w:val="24"/>
        <w:szCs w:val="24"/>
      </w:rPr>
      <w:fldChar w:fldCharType="begin"/>
    </w:r>
    <w:r w:rsidRPr="00C85AD2">
      <w:rPr>
        <w:rFonts w:ascii="Times New Roman" w:hAnsi="Times New Roman" w:cs="Times New Roman"/>
        <w:sz w:val="24"/>
        <w:szCs w:val="24"/>
      </w:rPr>
      <w:instrText xml:space="preserve"> PAGE </w:instrText>
    </w:r>
    <w:r w:rsidRPr="00C85AD2">
      <w:rPr>
        <w:rFonts w:ascii="Times New Roman" w:hAnsi="Times New Roman" w:cs="Times New Roman"/>
        <w:sz w:val="24"/>
        <w:szCs w:val="24"/>
      </w:rPr>
      <w:fldChar w:fldCharType="separate"/>
    </w:r>
    <w:r w:rsidR="00016FFD">
      <w:rPr>
        <w:rFonts w:ascii="Times New Roman" w:hAnsi="Times New Roman" w:cs="Times New Roman"/>
        <w:noProof/>
        <w:sz w:val="24"/>
        <w:szCs w:val="24"/>
      </w:rPr>
      <w:t>4</w:t>
    </w:r>
    <w:r w:rsidRPr="00C85AD2">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E25"/>
    <w:multiLevelType w:val="hybridMultilevel"/>
    <w:tmpl w:val="FFFFFFFF"/>
    <w:styleLink w:val="Lettered"/>
    <w:lvl w:ilvl="0" w:tplc="2FDA1DC2">
      <w:start w:val="1"/>
      <w:numFmt w:val="lowerLetter"/>
      <w:suff w:val="nothing"/>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AC012">
      <w:start w:val="1"/>
      <w:numFmt w:val="lowerLetter"/>
      <w:suff w:val="nothing"/>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20E94">
      <w:start w:val="1"/>
      <w:numFmt w:val="lowerLetter"/>
      <w:suff w:val="nothing"/>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E8A6CA">
      <w:start w:val="1"/>
      <w:numFmt w:val="lowerLetter"/>
      <w:suff w:val="nothing"/>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B4D6BA">
      <w:start w:val="1"/>
      <w:numFmt w:val="lowerLetter"/>
      <w:suff w:val="nothing"/>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F8F530">
      <w:start w:val="1"/>
      <w:numFmt w:val="lowerLetter"/>
      <w:suff w:val="nothing"/>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6FF48">
      <w:start w:val="1"/>
      <w:numFmt w:val="lowerLetter"/>
      <w:suff w:val="nothing"/>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88A88">
      <w:start w:val="1"/>
      <w:numFmt w:val="lowerLetter"/>
      <w:suff w:val="nothing"/>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240">
      <w:start w:val="1"/>
      <w:numFmt w:val="lowerLetter"/>
      <w:suff w:val="nothing"/>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0658F"/>
    <w:multiLevelType w:val="hybridMultilevel"/>
    <w:tmpl w:val="AD76FDC6"/>
    <w:lvl w:ilvl="0" w:tplc="E76A80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03966DD"/>
    <w:multiLevelType w:val="hybridMultilevel"/>
    <w:tmpl w:val="FFFFFFFF"/>
    <w:numStyleLink w:val="Numbered"/>
  </w:abstractNum>
  <w:abstractNum w:abstractNumId="3" w15:restartNumberingAfterBreak="0">
    <w:nsid w:val="520600A6"/>
    <w:multiLevelType w:val="hybridMultilevel"/>
    <w:tmpl w:val="FFFFFFFF"/>
    <w:styleLink w:val="Numbered"/>
    <w:lvl w:ilvl="0" w:tplc="01989DFC">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41E0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73A6">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86C65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C91E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5EF54A">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ED50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A2898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89FA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AEE2BAC"/>
    <w:multiLevelType w:val="hybridMultilevel"/>
    <w:tmpl w:val="FFFFFFFF"/>
    <w:numStyleLink w:val="Lettered"/>
  </w:abstractNum>
  <w:abstractNum w:abstractNumId="5" w15:restartNumberingAfterBreak="0">
    <w:nsid w:val="70EC5160"/>
    <w:multiLevelType w:val="hybridMultilevel"/>
    <w:tmpl w:val="73C255F0"/>
    <w:lvl w:ilvl="0" w:tplc="99224F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n-ZA" w:vendorID="64" w:dllVersion="131078"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3330BA-C5DA-47C4-8699-9E89D65710F0}"/>
    <w:docVar w:name="dgnword-eventsink" w:val="178612856"/>
  </w:docVars>
  <w:rsids>
    <w:rsidRoot w:val="00834AD8"/>
    <w:rsid w:val="00000149"/>
    <w:rsid w:val="0000385F"/>
    <w:rsid w:val="00005FC4"/>
    <w:rsid w:val="00012C25"/>
    <w:rsid w:val="00013F8A"/>
    <w:rsid w:val="00014B07"/>
    <w:rsid w:val="00016FFD"/>
    <w:rsid w:val="000178C3"/>
    <w:rsid w:val="00021D7F"/>
    <w:rsid w:val="00024D21"/>
    <w:rsid w:val="000255A5"/>
    <w:rsid w:val="00026718"/>
    <w:rsid w:val="00030BC0"/>
    <w:rsid w:val="00035058"/>
    <w:rsid w:val="00035AF1"/>
    <w:rsid w:val="00042D43"/>
    <w:rsid w:val="00044050"/>
    <w:rsid w:val="000473D1"/>
    <w:rsid w:val="0005452F"/>
    <w:rsid w:val="000546EB"/>
    <w:rsid w:val="00055358"/>
    <w:rsid w:val="00055916"/>
    <w:rsid w:val="0005779F"/>
    <w:rsid w:val="00067F3F"/>
    <w:rsid w:val="00070C20"/>
    <w:rsid w:val="000720E3"/>
    <w:rsid w:val="000727D0"/>
    <w:rsid w:val="00072C33"/>
    <w:rsid w:val="00072C49"/>
    <w:rsid w:val="00072C51"/>
    <w:rsid w:val="00074818"/>
    <w:rsid w:val="0007665B"/>
    <w:rsid w:val="00081C56"/>
    <w:rsid w:val="00082145"/>
    <w:rsid w:val="00082E17"/>
    <w:rsid w:val="00094FBA"/>
    <w:rsid w:val="000950C0"/>
    <w:rsid w:val="00096F4F"/>
    <w:rsid w:val="000971AC"/>
    <w:rsid w:val="0009778D"/>
    <w:rsid w:val="00097EF7"/>
    <w:rsid w:val="000A039F"/>
    <w:rsid w:val="000A0E3E"/>
    <w:rsid w:val="000A417D"/>
    <w:rsid w:val="000B0041"/>
    <w:rsid w:val="000B08BA"/>
    <w:rsid w:val="000B12E6"/>
    <w:rsid w:val="000B16F6"/>
    <w:rsid w:val="000B2744"/>
    <w:rsid w:val="000B362E"/>
    <w:rsid w:val="000B5826"/>
    <w:rsid w:val="000C4F64"/>
    <w:rsid w:val="000C5961"/>
    <w:rsid w:val="000C653C"/>
    <w:rsid w:val="000C7134"/>
    <w:rsid w:val="000D0ADA"/>
    <w:rsid w:val="000D18F6"/>
    <w:rsid w:val="000D1AF3"/>
    <w:rsid w:val="000D3A03"/>
    <w:rsid w:val="000D3C32"/>
    <w:rsid w:val="000D540C"/>
    <w:rsid w:val="000D5D8E"/>
    <w:rsid w:val="000D720D"/>
    <w:rsid w:val="000D7992"/>
    <w:rsid w:val="000D7E71"/>
    <w:rsid w:val="000E1EE4"/>
    <w:rsid w:val="000E1FD4"/>
    <w:rsid w:val="000E2299"/>
    <w:rsid w:val="000E2BB3"/>
    <w:rsid w:val="000E2E44"/>
    <w:rsid w:val="000E2EEF"/>
    <w:rsid w:val="000E3395"/>
    <w:rsid w:val="000E3469"/>
    <w:rsid w:val="000E45CB"/>
    <w:rsid w:val="000E480A"/>
    <w:rsid w:val="000E734B"/>
    <w:rsid w:val="000E7C94"/>
    <w:rsid w:val="000F030A"/>
    <w:rsid w:val="000F0952"/>
    <w:rsid w:val="000F215A"/>
    <w:rsid w:val="000F49BF"/>
    <w:rsid w:val="000F5E86"/>
    <w:rsid w:val="000F6FE6"/>
    <w:rsid w:val="00100106"/>
    <w:rsid w:val="001027D4"/>
    <w:rsid w:val="0010283E"/>
    <w:rsid w:val="00104841"/>
    <w:rsid w:val="00105806"/>
    <w:rsid w:val="00106807"/>
    <w:rsid w:val="00106BB5"/>
    <w:rsid w:val="00110FDC"/>
    <w:rsid w:val="00111847"/>
    <w:rsid w:val="001138D7"/>
    <w:rsid w:val="00113C57"/>
    <w:rsid w:val="00115143"/>
    <w:rsid w:val="00115C76"/>
    <w:rsid w:val="001166CC"/>
    <w:rsid w:val="00116ACC"/>
    <w:rsid w:val="001213AF"/>
    <w:rsid w:val="00121D2C"/>
    <w:rsid w:val="00122AE6"/>
    <w:rsid w:val="001237A5"/>
    <w:rsid w:val="0012601D"/>
    <w:rsid w:val="00126B02"/>
    <w:rsid w:val="001279D0"/>
    <w:rsid w:val="001309AE"/>
    <w:rsid w:val="00133D78"/>
    <w:rsid w:val="001346B4"/>
    <w:rsid w:val="00136731"/>
    <w:rsid w:val="00136CBB"/>
    <w:rsid w:val="0013706D"/>
    <w:rsid w:val="001406EF"/>
    <w:rsid w:val="001408F7"/>
    <w:rsid w:val="001418FD"/>
    <w:rsid w:val="00141ED9"/>
    <w:rsid w:val="00142FF3"/>
    <w:rsid w:val="00151386"/>
    <w:rsid w:val="001527C4"/>
    <w:rsid w:val="00153F08"/>
    <w:rsid w:val="001563AF"/>
    <w:rsid w:val="00157AC7"/>
    <w:rsid w:val="0016029B"/>
    <w:rsid w:val="0016053E"/>
    <w:rsid w:val="0016254F"/>
    <w:rsid w:val="00163FB2"/>
    <w:rsid w:val="0016455D"/>
    <w:rsid w:val="00164632"/>
    <w:rsid w:val="001648B0"/>
    <w:rsid w:val="00164A04"/>
    <w:rsid w:val="00167466"/>
    <w:rsid w:val="00167BBC"/>
    <w:rsid w:val="00173F5D"/>
    <w:rsid w:val="00174263"/>
    <w:rsid w:val="00174410"/>
    <w:rsid w:val="001762B7"/>
    <w:rsid w:val="001762E1"/>
    <w:rsid w:val="00176ECA"/>
    <w:rsid w:val="0018046A"/>
    <w:rsid w:val="0018390D"/>
    <w:rsid w:val="00183FF0"/>
    <w:rsid w:val="00185C09"/>
    <w:rsid w:val="00187627"/>
    <w:rsid w:val="00187BC7"/>
    <w:rsid w:val="00187CF7"/>
    <w:rsid w:val="00191644"/>
    <w:rsid w:val="00193681"/>
    <w:rsid w:val="00195D85"/>
    <w:rsid w:val="001976DA"/>
    <w:rsid w:val="001A0CF2"/>
    <w:rsid w:val="001A0FC9"/>
    <w:rsid w:val="001A2DFF"/>
    <w:rsid w:val="001A5EDF"/>
    <w:rsid w:val="001B07F0"/>
    <w:rsid w:val="001B1465"/>
    <w:rsid w:val="001B14CD"/>
    <w:rsid w:val="001B367E"/>
    <w:rsid w:val="001B3AE8"/>
    <w:rsid w:val="001B67F6"/>
    <w:rsid w:val="001B6980"/>
    <w:rsid w:val="001B782E"/>
    <w:rsid w:val="001B7F41"/>
    <w:rsid w:val="001C09CE"/>
    <w:rsid w:val="001C1146"/>
    <w:rsid w:val="001C1A15"/>
    <w:rsid w:val="001C1E03"/>
    <w:rsid w:val="001C3529"/>
    <w:rsid w:val="001C6ACD"/>
    <w:rsid w:val="001D0CC0"/>
    <w:rsid w:val="001D1C1A"/>
    <w:rsid w:val="001D2F7F"/>
    <w:rsid w:val="001D30F2"/>
    <w:rsid w:val="001D3701"/>
    <w:rsid w:val="001D4D71"/>
    <w:rsid w:val="001D52E0"/>
    <w:rsid w:val="001D6ED2"/>
    <w:rsid w:val="001E3829"/>
    <w:rsid w:val="001E5FC7"/>
    <w:rsid w:val="001E6CC9"/>
    <w:rsid w:val="001F296A"/>
    <w:rsid w:val="001F41AE"/>
    <w:rsid w:val="001F45EF"/>
    <w:rsid w:val="002013EF"/>
    <w:rsid w:val="00202F9A"/>
    <w:rsid w:val="00207CF2"/>
    <w:rsid w:val="0021061F"/>
    <w:rsid w:val="00212A3B"/>
    <w:rsid w:val="0021565D"/>
    <w:rsid w:val="00217048"/>
    <w:rsid w:val="00217BCC"/>
    <w:rsid w:val="002201B9"/>
    <w:rsid w:val="002263EF"/>
    <w:rsid w:val="002268D0"/>
    <w:rsid w:val="00227C6E"/>
    <w:rsid w:val="002348E9"/>
    <w:rsid w:val="00234B1F"/>
    <w:rsid w:val="00234F61"/>
    <w:rsid w:val="0023542E"/>
    <w:rsid w:val="00235876"/>
    <w:rsid w:val="00236352"/>
    <w:rsid w:val="00237403"/>
    <w:rsid w:val="00243E3A"/>
    <w:rsid w:val="00244AB3"/>
    <w:rsid w:val="00245184"/>
    <w:rsid w:val="00246196"/>
    <w:rsid w:val="00247193"/>
    <w:rsid w:val="0025344A"/>
    <w:rsid w:val="002535F2"/>
    <w:rsid w:val="002538E5"/>
    <w:rsid w:val="00254C31"/>
    <w:rsid w:val="00257C58"/>
    <w:rsid w:val="002607ED"/>
    <w:rsid w:val="00260A0A"/>
    <w:rsid w:val="002639EC"/>
    <w:rsid w:val="002643E7"/>
    <w:rsid w:val="00266CD6"/>
    <w:rsid w:val="00266E93"/>
    <w:rsid w:val="002676CE"/>
    <w:rsid w:val="00271373"/>
    <w:rsid w:val="002720EE"/>
    <w:rsid w:val="00272290"/>
    <w:rsid w:val="00273E5E"/>
    <w:rsid w:val="00274A7A"/>
    <w:rsid w:val="0027576E"/>
    <w:rsid w:val="00276D89"/>
    <w:rsid w:val="00280814"/>
    <w:rsid w:val="002825F8"/>
    <w:rsid w:val="0028373D"/>
    <w:rsid w:val="00283C57"/>
    <w:rsid w:val="00283DCF"/>
    <w:rsid w:val="002852AE"/>
    <w:rsid w:val="002876DD"/>
    <w:rsid w:val="00291116"/>
    <w:rsid w:val="002918ED"/>
    <w:rsid w:val="00291D01"/>
    <w:rsid w:val="002935A5"/>
    <w:rsid w:val="002952D2"/>
    <w:rsid w:val="00295417"/>
    <w:rsid w:val="002964BC"/>
    <w:rsid w:val="002977C9"/>
    <w:rsid w:val="002A35D9"/>
    <w:rsid w:val="002A565D"/>
    <w:rsid w:val="002A68EA"/>
    <w:rsid w:val="002B08F2"/>
    <w:rsid w:val="002B26BE"/>
    <w:rsid w:val="002B3A60"/>
    <w:rsid w:val="002B3B5D"/>
    <w:rsid w:val="002B5C09"/>
    <w:rsid w:val="002C09B9"/>
    <w:rsid w:val="002C1253"/>
    <w:rsid w:val="002C27FF"/>
    <w:rsid w:val="002C53AD"/>
    <w:rsid w:val="002C716C"/>
    <w:rsid w:val="002D0130"/>
    <w:rsid w:val="002D31A0"/>
    <w:rsid w:val="002D33CF"/>
    <w:rsid w:val="002D38AA"/>
    <w:rsid w:val="002D4F7D"/>
    <w:rsid w:val="002D5A3A"/>
    <w:rsid w:val="002D5C24"/>
    <w:rsid w:val="002D61EB"/>
    <w:rsid w:val="002D786A"/>
    <w:rsid w:val="002E06DC"/>
    <w:rsid w:val="002E0919"/>
    <w:rsid w:val="002E0B01"/>
    <w:rsid w:val="002E4909"/>
    <w:rsid w:val="002E6AED"/>
    <w:rsid w:val="002E7E8D"/>
    <w:rsid w:val="002F0477"/>
    <w:rsid w:val="002F0A64"/>
    <w:rsid w:val="002F35B5"/>
    <w:rsid w:val="002F58B6"/>
    <w:rsid w:val="002F5D6F"/>
    <w:rsid w:val="002F7A58"/>
    <w:rsid w:val="003007A0"/>
    <w:rsid w:val="00302A0F"/>
    <w:rsid w:val="00302E83"/>
    <w:rsid w:val="00303427"/>
    <w:rsid w:val="003051AB"/>
    <w:rsid w:val="0031007A"/>
    <w:rsid w:val="00311425"/>
    <w:rsid w:val="00311D3C"/>
    <w:rsid w:val="003154D6"/>
    <w:rsid w:val="003155C9"/>
    <w:rsid w:val="003161A0"/>
    <w:rsid w:val="00317C21"/>
    <w:rsid w:val="00317D17"/>
    <w:rsid w:val="00321530"/>
    <w:rsid w:val="003215DC"/>
    <w:rsid w:val="00321F66"/>
    <w:rsid w:val="00324F80"/>
    <w:rsid w:val="00326D7F"/>
    <w:rsid w:val="00337046"/>
    <w:rsid w:val="003411D4"/>
    <w:rsid w:val="003414EF"/>
    <w:rsid w:val="00341CD5"/>
    <w:rsid w:val="00342572"/>
    <w:rsid w:val="003450A3"/>
    <w:rsid w:val="003471A8"/>
    <w:rsid w:val="00347AB8"/>
    <w:rsid w:val="003513E2"/>
    <w:rsid w:val="00355652"/>
    <w:rsid w:val="00355B2C"/>
    <w:rsid w:val="003570C6"/>
    <w:rsid w:val="003577C0"/>
    <w:rsid w:val="00361040"/>
    <w:rsid w:val="003611A7"/>
    <w:rsid w:val="0036272B"/>
    <w:rsid w:val="003644B1"/>
    <w:rsid w:val="00365797"/>
    <w:rsid w:val="003733B1"/>
    <w:rsid w:val="00373E07"/>
    <w:rsid w:val="003779BB"/>
    <w:rsid w:val="0038224D"/>
    <w:rsid w:val="00390087"/>
    <w:rsid w:val="00390AF2"/>
    <w:rsid w:val="00390DB2"/>
    <w:rsid w:val="00390EE9"/>
    <w:rsid w:val="003919F4"/>
    <w:rsid w:val="003921F9"/>
    <w:rsid w:val="00395A70"/>
    <w:rsid w:val="003A01CF"/>
    <w:rsid w:val="003A16F1"/>
    <w:rsid w:val="003A3E38"/>
    <w:rsid w:val="003A43A5"/>
    <w:rsid w:val="003A4773"/>
    <w:rsid w:val="003A7457"/>
    <w:rsid w:val="003B21DA"/>
    <w:rsid w:val="003B2321"/>
    <w:rsid w:val="003B2450"/>
    <w:rsid w:val="003B2F22"/>
    <w:rsid w:val="003B3842"/>
    <w:rsid w:val="003B3C4A"/>
    <w:rsid w:val="003B410A"/>
    <w:rsid w:val="003B4336"/>
    <w:rsid w:val="003B6D08"/>
    <w:rsid w:val="003C0B33"/>
    <w:rsid w:val="003C1A92"/>
    <w:rsid w:val="003C2ECD"/>
    <w:rsid w:val="003C3AFB"/>
    <w:rsid w:val="003C4AB9"/>
    <w:rsid w:val="003C62D7"/>
    <w:rsid w:val="003D3787"/>
    <w:rsid w:val="003D5862"/>
    <w:rsid w:val="003D5A7B"/>
    <w:rsid w:val="003D5F4C"/>
    <w:rsid w:val="003E358F"/>
    <w:rsid w:val="003E5136"/>
    <w:rsid w:val="003E5B9D"/>
    <w:rsid w:val="003E6AEE"/>
    <w:rsid w:val="003E7637"/>
    <w:rsid w:val="003F11DF"/>
    <w:rsid w:val="003F1BA7"/>
    <w:rsid w:val="003F4931"/>
    <w:rsid w:val="003F628D"/>
    <w:rsid w:val="003F6A44"/>
    <w:rsid w:val="003F7737"/>
    <w:rsid w:val="004001C4"/>
    <w:rsid w:val="00402365"/>
    <w:rsid w:val="00402931"/>
    <w:rsid w:val="00403379"/>
    <w:rsid w:val="00406AB7"/>
    <w:rsid w:val="0041240F"/>
    <w:rsid w:val="004136DD"/>
    <w:rsid w:val="0041596E"/>
    <w:rsid w:val="004200F6"/>
    <w:rsid w:val="00420F44"/>
    <w:rsid w:val="0042231E"/>
    <w:rsid w:val="00423022"/>
    <w:rsid w:val="0042338E"/>
    <w:rsid w:val="00424344"/>
    <w:rsid w:val="00424E1A"/>
    <w:rsid w:val="004278DB"/>
    <w:rsid w:val="00431015"/>
    <w:rsid w:val="0043245B"/>
    <w:rsid w:val="00434AD4"/>
    <w:rsid w:val="0043580C"/>
    <w:rsid w:val="0043620C"/>
    <w:rsid w:val="004376F1"/>
    <w:rsid w:val="00441406"/>
    <w:rsid w:val="00443F11"/>
    <w:rsid w:val="00445EDE"/>
    <w:rsid w:val="00451F49"/>
    <w:rsid w:val="0045401B"/>
    <w:rsid w:val="00455AF4"/>
    <w:rsid w:val="0045625E"/>
    <w:rsid w:val="00457CFE"/>
    <w:rsid w:val="00460A71"/>
    <w:rsid w:val="004610A7"/>
    <w:rsid w:val="00461A93"/>
    <w:rsid w:val="00461D53"/>
    <w:rsid w:val="0046581B"/>
    <w:rsid w:val="00465AE4"/>
    <w:rsid w:val="00473C4D"/>
    <w:rsid w:val="004773F7"/>
    <w:rsid w:val="00481962"/>
    <w:rsid w:val="00482547"/>
    <w:rsid w:val="0048438E"/>
    <w:rsid w:val="004859BA"/>
    <w:rsid w:val="00485B19"/>
    <w:rsid w:val="00486DC6"/>
    <w:rsid w:val="00490209"/>
    <w:rsid w:val="00491767"/>
    <w:rsid w:val="00493E1E"/>
    <w:rsid w:val="00494445"/>
    <w:rsid w:val="00494461"/>
    <w:rsid w:val="00495AB1"/>
    <w:rsid w:val="00496BD2"/>
    <w:rsid w:val="004A1041"/>
    <w:rsid w:val="004A263E"/>
    <w:rsid w:val="004A4208"/>
    <w:rsid w:val="004B0CB3"/>
    <w:rsid w:val="004B2A06"/>
    <w:rsid w:val="004B2F9F"/>
    <w:rsid w:val="004B38A0"/>
    <w:rsid w:val="004B3F4C"/>
    <w:rsid w:val="004B5F13"/>
    <w:rsid w:val="004B7631"/>
    <w:rsid w:val="004B7832"/>
    <w:rsid w:val="004B7EAE"/>
    <w:rsid w:val="004C1CF3"/>
    <w:rsid w:val="004C363B"/>
    <w:rsid w:val="004C36BA"/>
    <w:rsid w:val="004C5825"/>
    <w:rsid w:val="004C5F71"/>
    <w:rsid w:val="004C691D"/>
    <w:rsid w:val="004C707B"/>
    <w:rsid w:val="004C7EF6"/>
    <w:rsid w:val="004D187C"/>
    <w:rsid w:val="004D1ECA"/>
    <w:rsid w:val="004D2DF3"/>
    <w:rsid w:val="004D3005"/>
    <w:rsid w:val="004D30C2"/>
    <w:rsid w:val="004D35E7"/>
    <w:rsid w:val="004D3EA4"/>
    <w:rsid w:val="004D422B"/>
    <w:rsid w:val="004E0826"/>
    <w:rsid w:val="004E2F10"/>
    <w:rsid w:val="004E5371"/>
    <w:rsid w:val="004E5D62"/>
    <w:rsid w:val="004E5F04"/>
    <w:rsid w:val="004E5F49"/>
    <w:rsid w:val="004E6512"/>
    <w:rsid w:val="004E7651"/>
    <w:rsid w:val="004E7CAD"/>
    <w:rsid w:val="004F0535"/>
    <w:rsid w:val="004F4F85"/>
    <w:rsid w:val="004F5194"/>
    <w:rsid w:val="004F51CD"/>
    <w:rsid w:val="004F5B99"/>
    <w:rsid w:val="00500971"/>
    <w:rsid w:val="00502C79"/>
    <w:rsid w:val="00503DED"/>
    <w:rsid w:val="0050467E"/>
    <w:rsid w:val="005106DF"/>
    <w:rsid w:val="00511FA4"/>
    <w:rsid w:val="005123B7"/>
    <w:rsid w:val="0051240E"/>
    <w:rsid w:val="0051628C"/>
    <w:rsid w:val="00517EB8"/>
    <w:rsid w:val="00520816"/>
    <w:rsid w:val="00522360"/>
    <w:rsid w:val="00523C83"/>
    <w:rsid w:val="0052446F"/>
    <w:rsid w:val="00525E7C"/>
    <w:rsid w:val="0052748D"/>
    <w:rsid w:val="00532892"/>
    <w:rsid w:val="0053531B"/>
    <w:rsid w:val="005362A1"/>
    <w:rsid w:val="00537115"/>
    <w:rsid w:val="00537219"/>
    <w:rsid w:val="005372FA"/>
    <w:rsid w:val="00537A38"/>
    <w:rsid w:val="0054012A"/>
    <w:rsid w:val="00540B1C"/>
    <w:rsid w:val="005423E8"/>
    <w:rsid w:val="00542889"/>
    <w:rsid w:val="00545882"/>
    <w:rsid w:val="00545A68"/>
    <w:rsid w:val="00545B44"/>
    <w:rsid w:val="00547D20"/>
    <w:rsid w:val="00550A57"/>
    <w:rsid w:val="005516B6"/>
    <w:rsid w:val="00551FD5"/>
    <w:rsid w:val="00552B27"/>
    <w:rsid w:val="0055649E"/>
    <w:rsid w:val="005620E2"/>
    <w:rsid w:val="005631A2"/>
    <w:rsid w:val="0056472D"/>
    <w:rsid w:val="00565A66"/>
    <w:rsid w:val="00565CB2"/>
    <w:rsid w:val="00565F06"/>
    <w:rsid w:val="005702AD"/>
    <w:rsid w:val="00571930"/>
    <w:rsid w:val="00572C2D"/>
    <w:rsid w:val="00572EDF"/>
    <w:rsid w:val="00574A04"/>
    <w:rsid w:val="00574C65"/>
    <w:rsid w:val="0057525F"/>
    <w:rsid w:val="005776E6"/>
    <w:rsid w:val="00577EBD"/>
    <w:rsid w:val="005814EF"/>
    <w:rsid w:val="00582164"/>
    <w:rsid w:val="00582D0E"/>
    <w:rsid w:val="00583BBA"/>
    <w:rsid w:val="00584052"/>
    <w:rsid w:val="00585A55"/>
    <w:rsid w:val="00585B82"/>
    <w:rsid w:val="005878A2"/>
    <w:rsid w:val="00591A7B"/>
    <w:rsid w:val="00592AB3"/>
    <w:rsid w:val="00592D95"/>
    <w:rsid w:val="00593583"/>
    <w:rsid w:val="00596316"/>
    <w:rsid w:val="00597319"/>
    <w:rsid w:val="00597A6C"/>
    <w:rsid w:val="005A2FF6"/>
    <w:rsid w:val="005A35FA"/>
    <w:rsid w:val="005A6148"/>
    <w:rsid w:val="005A679A"/>
    <w:rsid w:val="005A6C82"/>
    <w:rsid w:val="005B1FE7"/>
    <w:rsid w:val="005B3679"/>
    <w:rsid w:val="005B5420"/>
    <w:rsid w:val="005B57CA"/>
    <w:rsid w:val="005B59AF"/>
    <w:rsid w:val="005B62A5"/>
    <w:rsid w:val="005B677E"/>
    <w:rsid w:val="005C0E40"/>
    <w:rsid w:val="005C6331"/>
    <w:rsid w:val="005D0044"/>
    <w:rsid w:val="005D1FAD"/>
    <w:rsid w:val="005D3B04"/>
    <w:rsid w:val="005D46CD"/>
    <w:rsid w:val="005D751F"/>
    <w:rsid w:val="005E0451"/>
    <w:rsid w:val="005E0AEE"/>
    <w:rsid w:val="005E108C"/>
    <w:rsid w:val="005E45A2"/>
    <w:rsid w:val="005E4BF0"/>
    <w:rsid w:val="005E4E08"/>
    <w:rsid w:val="005E6175"/>
    <w:rsid w:val="005E7665"/>
    <w:rsid w:val="005F0687"/>
    <w:rsid w:val="005F0850"/>
    <w:rsid w:val="005F305D"/>
    <w:rsid w:val="005F46B6"/>
    <w:rsid w:val="005F4761"/>
    <w:rsid w:val="005F6834"/>
    <w:rsid w:val="005F6F38"/>
    <w:rsid w:val="00600853"/>
    <w:rsid w:val="006017B9"/>
    <w:rsid w:val="0060467C"/>
    <w:rsid w:val="00607E14"/>
    <w:rsid w:val="00611CEB"/>
    <w:rsid w:val="006127D2"/>
    <w:rsid w:val="00612B02"/>
    <w:rsid w:val="00613449"/>
    <w:rsid w:val="0061368F"/>
    <w:rsid w:val="0061591C"/>
    <w:rsid w:val="00615CE5"/>
    <w:rsid w:val="00615E61"/>
    <w:rsid w:val="00617FE2"/>
    <w:rsid w:val="006203F7"/>
    <w:rsid w:val="00621460"/>
    <w:rsid w:val="0062153B"/>
    <w:rsid w:val="00621D15"/>
    <w:rsid w:val="00622241"/>
    <w:rsid w:val="00635FA9"/>
    <w:rsid w:val="00637CA7"/>
    <w:rsid w:val="00640D2B"/>
    <w:rsid w:val="006416A4"/>
    <w:rsid w:val="006432AA"/>
    <w:rsid w:val="0064537E"/>
    <w:rsid w:val="00646679"/>
    <w:rsid w:val="006512B6"/>
    <w:rsid w:val="00653E1F"/>
    <w:rsid w:val="00655A72"/>
    <w:rsid w:val="006565B7"/>
    <w:rsid w:val="00656F37"/>
    <w:rsid w:val="00660B14"/>
    <w:rsid w:val="006631ED"/>
    <w:rsid w:val="00664541"/>
    <w:rsid w:val="00670E76"/>
    <w:rsid w:val="006714E2"/>
    <w:rsid w:val="006716DF"/>
    <w:rsid w:val="00672496"/>
    <w:rsid w:val="006725DC"/>
    <w:rsid w:val="0067549D"/>
    <w:rsid w:val="0067553F"/>
    <w:rsid w:val="00683F16"/>
    <w:rsid w:val="0068598A"/>
    <w:rsid w:val="00687459"/>
    <w:rsid w:val="0069146A"/>
    <w:rsid w:val="00692ACB"/>
    <w:rsid w:val="0069610F"/>
    <w:rsid w:val="0069705B"/>
    <w:rsid w:val="006A0248"/>
    <w:rsid w:val="006A0DB4"/>
    <w:rsid w:val="006A0DCA"/>
    <w:rsid w:val="006A19A0"/>
    <w:rsid w:val="006A280A"/>
    <w:rsid w:val="006A7D45"/>
    <w:rsid w:val="006B0ADE"/>
    <w:rsid w:val="006B2C39"/>
    <w:rsid w:val="006B49D8"/>
    <w:rsid w:val="006B5546"/>
    <w:rsid w:val="006B6740"/>
    <w:rsid w:val="006B707C"/>
    <w:rsid w:val="006B785B"/>
    <w:rsid w:val="006C00E1"/>
    <w:rsid w:val="006C362B"/>
    <w:rsid w:val="006D27A9"/>
    <w:rsid w:val="006D39B1"/>
    <w:rsid w:val="006D44FE"/>
    <w:rsid w:val="006D4660"/>
    <w:rsid w:val="006D64E9"/>
    <w:rsid w:val="006E0119"/>
    <w:rsid w:val="006E01BA"/>
    <w:rsid w:val="006E2B60"/>
    <w:rsid w:val="006E2E05"/>
    <w:rsid w:val="006E4C16"/>
    <w:rsid w:val="006F01E0"/>
    <w:rsid w:val="006F0261"/>
    <w:rsid w:val="006F1331"/>
    <w:rsid w:val="006F2474"/>
    <w:rsid w:val="006F4E24"/>
    <w:rsid w:val="006F4E32"/>
    <w:rsid w:val="006F537F"/>
    <w:rsid w:val="006F5590"/>
    <w:rsid w:val="006F6807"/>
    <w:rsid w:val="006F703E"/>
    <w:rsid w:val="0070029C"/>
    <w:rsid w:val="0070113E"/>
    <w:rsid w:val="007012DF"/>
    <w:rsid w:val="00704C21"/>
    <w:rsid w:val="00704D8A"/>
    <w:rsid w:val="00707CDD"/>
    <w:rsid w:val="00710B18"/>
    <w:rsid w:val="0071144E"/>
    <w:rsid w:val="00713D54"/>
    <w:rsid w:val="00717178"/>
    <w:rsid w:val="00720101"/>
    <w:rsid w:val="00726E1D"/>
    <w:rsid w:val="00727952"/>
    <w:rsid w:val="00732594"/>
    <w:rsid w:val="007332C9"/>
    <w:rsid w:val="007335F1"/>
    <w:rsid w:val="00733D59"/>
    <w:rsid w:val="007340CE"/>
    <w:rsid w:val="007356EB"/>
    <w:rsid w:val="00735BEB"/>
    <w:rsid w:val="00735D70"/>
    <w:rsid w:val="007373FE"/>
    <w:rsid w:val="00741B3A"/>
    <w:rsid w:val="00743D0D"/>
    <w:rsid w:val="0074494D"/>
    <w:rsid w:val="00745FA1"/>
    <w:rsid w:val="0074722C"/>
    <w:rsid w:val="00750A64"/>
    <w:rsid w:val="00752AE5"/>
    <w:rsid w:val="0075306C"/>
    <w:rsid w:val="0075523E"/>
    <w:rsid w:val="00756110"/>
    <w:rsid w:val="00756E18"/>
    <w:rsid w:val="00760477"/>
    <w:rsid w:val="00761150"/>
    <w:rsid w:val="00765625"/>
    <w:rsid w:val="00765A10"/>
    <w:rsid w:val="00765D4B"/>
    <w:rsid w:val="0076692C"/>
    <w:rsid w:val="00767AEE"/>
    <w:rsid w:val="00772CEF"/>
    <w:rsid w:val="00773D39"/>
    <w:rsid w:val="00774650"/>
    <w:rsid w:val="00775E8E"/>
    <w:rsid w:val="00776DE0"/>
    <w:rsid w:val="007801D0"/>
    <w:rsid w:val="00780FFF"/>
    <w:rsid w:val="00784A08"/>
    <w:rsid w:val="007861E5"/>
    <w:rsid w:val="00786C9F"/>
    <w:rsid w:val="0078744D"/>
    <w:rsid w:val="0078789A"/>
    <w:rsid w:val="00787C65"/>
    <w:rsid w:val="00791C0A"/>
    <w:rsid w:val="00793AF6"/>
    <w:rsid w:val="00795EB0"/>
    <w:rsid w:val="007A1B4F"/>
    <w:rsid w:val="007A254A"/>
    <w:rsid w:val="007A29BA"/>
    <w:rsid w:val="007A4B8B"/>
    <w:rsid w:val="007A62C5"/>
    <w:rsid w:val="007B09A3"/>
    <w:rsid w:val="007B208B"/>
    <w:rsid w:val="007B25D7"/>
    <w:rsid w:val="007B35A8"/>
    <w:rsid w:val="007B3722"/>
    <w:rsid w:val="007C0A7B"/>
    <w:rsid w:val="007C0C64"/>
    <w:rsid w:val="007C0EF3"/>
    <w:rsid w:val="007C17BD"/>
    <w:rsid w:val="007C2254"/>
    <w:rsid w:val="007C6061"/>
    <w:rsid w:val="007C673C"/>
    <w:rsid w:val="007C67A4"/>
    <w:rsid w:val="007D291B"/>
    <w:rsid w:val="007D3F34"/>
    <w:rsid w:val="007D40F0"/>
    <w:rsid w:val="007D5E97"/>
    <w:rsid w:val="007D7212"/>
    <w:rsid w:val="007D7F53"/>
    <w:rsid w:val="007E087F"/>
    <w:rsid w:val="007E2536"/>
    <w:rsid w:val="007E4145"/>
    <w:rsid w:val="007E55D0"/>
    <w:rsid w:val="007E59A7"/>
    <w:rsid w:val="007F022C"/>
    <w:rsid w:val="007F0451"/>
    <w:rsid w:val="007F16AD"/>
    <w:rsid w:val="007F1D7E"/>
    <w:rsid w:val="007F27A3"/>
    <w:rsid w:val="007F2BC4"/>
    <w:rsid w:val="007F37BF"/>
    <w:rsid w:val="007F4136"/>
    <w:rsid w:val="00801AC6"/>
    <w:rsid w:val="00802109"/>
    <w:rsid w:val="00804BCF"/>
    <w:rsid w:val="00805DC6"/>
    <w:rsid w:val="0080601C"/>
    <w:rsid w:val="00811041"/>
    <w:rsid w:val="00811911"/>
    <w:rsid w:val="00814033"/>
    <w:rsid w:val="00815288"/>
    <w:rsid w:val="00815B6C"/>
    <w:rsid w:val="00816576"/>
    <w:rsid w:val="00822018"/>
    <w:rsid w:val="00822BC6"/>
    <w:rsid w:val="00823A76"/>
    <w:rsid w:val="00823F66"/>
    <w:rsid w:val="00824D99"/>
    <w:rsid w:val="00825D24"/>
    <w:rsid w:val="00830818"/>
    <w:rsid w:val="00831999"/>
    <w:rsid w:val="00832DB0"/>
    <w:rsid w:val="00834AD8"/>
    <w:rsid w:val="00834DF9"/>
    <w:rsid w:val="00837CC7"/>
    <w:rsid w:val="00841197"/>
    <w:rsid w:val="00841743"/>
    <w:rsid w:val="0084191B"/>
    <w:rsid w:val="00843EC6"/>
    <w:rsid w:val="00844525"/>
    <w:rsid w:val="00845B25"/>
    <w:rsid w:val="0084751C"/>
    <w:rsid w:val="00847A69"/>
    <w:rsid w:val="00851550"/>
    <w:rsid w:val="00851B98"/>
    <w:rsid w:val="008520E4"/>
    <w:rsid w:val="00852CBA"/>
    <w:rsid w:val="008537A7"/>
    <w:rsid w:val="00855E9B"/>
    <w:rsid w:val="0086045E"/>
    <w:rsid w:val="008647E6"/>
    <w:rsid w:val="00865E56"/>
    <w:rsid w:val="0086716C"/>
    <w:rsid w:val="0087149C"/>
    <w:rsid w:val="008715C9"/>
    <w:rsid w:val="008731BE"/>
    <w:rsid w:val="00873666"/>
    <w:rsid w:val="0087426B"/>
    <w:rsid w:val="00875BB6"/>
    <w:rsid w:val="00875D3F"/>
    <w:rsid w:val="00877AF7"/>
    <w:rsid w:val="00882EF8"/>
    <w:rsid w:val="00883E2A"/>
    <w:rsid w:val="00891615"/>
    <w:rsid w:val="00892CE9"/>
    <w:rsid w:val="00894021"/>
    <w:rsid w:val="008959F0"/>
    <w:rsid w:val="008967CA"/>
    <w:rsid w:val="008A026A"/>
    <w:rsid w:val="008A04A0"/>
    <w:rsid w:val="008A068F"/>
    <w:rsid w:val="008A2425"/>
    <w:rsid w:val="008A2807"/>
    <w:rsid w:val="008A54B4"/>
    <w:rsid w:val="008A5609"/>
    <w:rsid w:val="008A6E09"/>
    <w:rsid w:val="008A7CE7"/>
    <w:rsid w:val="008B1E17"/>
    <w:rsid w:val="008B2C61"/>
    <w:rsid w:val="008B3F4C"/>
    <w:rsid w:val="008B4336"/>
    <w:rsid w:val="008B4BFD"/>
    <w:rsid w:val="008B50E6"/>
    <w:rsid w:val="008B5436"/>
    <w:rsid w:val="008B75B2"/>
    <w:rsid w:val="008C1114"/>
    <w:rsid w:val="008C21A4"/>
    <w:rsid w:val="008C4090"/>
    <w:rsid w:val="008C428A"/>
    <w:rsid w:val="008D14A7"/>
    <w:rsid w:val="008D34BF"/>
    <w:rsid w:val="008D4CF5"/>
    <w:rsid w:val="008D5C5F"/>
    <w:rsid w:val="008D77B8"/>
    <w:rsid w:val="008E44EE"/>
    <w:rsid w:val="008E5CB1"/>
    <w:rsid w:val="008E7E4B"/>
    <w:rsid w:val="008F0BA2"/>
    <w:rsid w:val="008F277D"/>
    <w:rsid w:val="008F5C63"/>
    <w:rsid w:val="00901A8F"/>
    <w:rsid w:val="009028EA"/>
    <w:rsid w:val="009043E8"/>
    <w:rsid w:val="00904C1D"/>
    <w:rsid w:val="00906786"/>
    <w:rsid w:val="00906C44"/>
    <w:rsid w:val="0091215D"/>
    <w:rsid w:val="00913B28"/>
    <w:rsid w:val="00915C11"/>
    <w:rsid w:val="00917BC8"/>
    <w:rsid w:val="00917FC2"/>
    <w:rsid w:val="00922B74"/>
    <w:rsid w:val="00923CB7"/>
    <w:rsid w:val="00926AB2"/>
    <w:rsid w:val="00927548"/>
    <w:rsid w:val="00927C2B"/>
    <w:rsid w:val="00930A0A"/>
    <w:rsid w:val="00940BB8"/>
    <w:rsid w:val="0094294A"/>
    <w:rsid w:val="00942D24"/>
    <w:rsid w:val="00944170"/>
    <w:rsid w:val="0094458F"/>
    <w:rsid w:val="00946229"/>
    <w:rsid w:val="00946594"/>
    <w:rsid w:val="00947D86"/>
    <w:rsid w:val="009511D8"/>
    <w:rsid w:val="009523B5"/>
    <w:rsid w:val="0095265F"/>
    <w:rsid w:val="00952883"/>
    <w:rsid w:val="00953206"/>
    <w:rsid w:val="009551BD"/>
    <w:rsid w:val="00955AAB"/>
    <w:rsid w:val="00956961"/>
    <w:rsid w:val="0096078E"/>
    <w:rsid w:val="009615F8"/>
    <w:rsid w:val="00961E38"/>
    <w:rsid w:val="00962C45"/>
    <w:rsid w:val="00962E88"/>
    <w:rsid w:val="009644D2"/>
    <w:rsid w:val="00964C34"/>
    <w:rsid w:val="0096588B"/>
    <w:rsid w:val="00965C9C"/>
    <w:rsid w:val="00967114"/>
    <w:rsid w:val="0097031E"/>
    <w:rsid w:val="00971664"/>
    <w:rsid w:val="00972848"/>
    <w:rsid w:val="0097306C"/>
    <w:rsid w:val="009757BA"/>
    <w:rsid w:val="0097676A"/>
    <w:rsid w:val="00982887"/>
    <w:rsid w:val="00982A46"/>
    <w:rsid w:val="00984009"/>
    <w:rsid w:val="009851CE"/>
    <w:rsid w:val="009860DB"/>
    <w:rsid w:val="0098732A"/>
    <w:rsid w:val="0099110B"/>
    <w:rsid w:val="00991735"/>
    <w:rsid w:val="00991AD6"/>
    <w:rsid w:val="009924BE"/>
    <w:rsid w:val="009934AD"/>
    <w:rsid w:val="00993B1F"/>
    <w:rsid w:val="009942FC"/>
    <w:rsid w:val="00995F76"/>
    <w:rsid w:val="00997479"/>
    <w:rsid w:val="009A156F"/>
    <w:rsid w:val="009A3E90"/>
    <w:rsid w:val="009A3FF1"/>
    <w:rsid w:val="009A462D"/>
    <w:rsid w:val="009A4679"/>
    <w:rsid w:val="009A655F"/>
    <w:rsid w:val="009A670F"/>
    <w:rsid w:val="009B060B"/>
    <w:rsid w:val="009B173A"/>
    <w:rsid w:val="009B5F19"/>
    <w:rsid w:val="009B7BC2"/>
    <w:rsid w:val="009B7CA7"/>
    <w:rsid w:val="009C09A9"/>
    <w:rsid w:val="009C13C8"/>
    <w:rsid w:val="009C6717"/>
    <w:rsid w:val="009D42A0"/>
    <w:rsid w:val="009D7102"/>
    <w:rsid w:val="009D780F"/>
    <w:rsid w:val="009E25E0"/>
    <w:rsid w:val="009E3AE0"/>
    <w:rsid w:val="009E422C"/>
    <w:rsid w:val="009E43A4"/>
    <w:rsid w:val="009E74B1"/>
    <w:rsid w:val="009F0C76"/>
    <w:rsid w:val="009F2EA3"/>
    <w:rsid w:val="009F4195"/>
    <w:rsid w:val="009F50F0"/>
    <w:rsid w:val="009F537F"/>
    <w:rsid w:val="009F5667"/>
    <w:rsid w:val="009F65B6"/>
    <w:rsid w:val="009F680E"/>
    <w:rsid w:val="00A00240"/>
    <w:rsid w:val="00A01A1C"/>
    <w:rsid w:val="00A043D7"/>
    <w:rsid w:val="00A05AA8"/>
    <w:rsid w:val="00A0650F"/>
    <w:rsid w:val="00A07817"/>
    <w:rsid w:val="00A102A2"/>
    <w:rsid w:val="00A12AB3"/>
    <w:rsid w:val="00A12F45"/>
    <w:rsid w:val="00A138D8"/>
    <w:rsid w:val="00A1523A"/>
    <w:rsid w:val="00A15539"/>
    <w:rsid w:val="00A164B3"/>
    <w:rsid w:val="00A17FB6"/>
    <w:rsid w:val="00A215BF"/>
    <w:rsid w:val="00A2533B"/>
    <w:rsid w:val="00A271BD"/>
    <w:rsid w:val="00A30E1C"/>
    <w:rsid w:val="00A35B3E"/>
    <w:rsid w:val="00A371DF"/>
    <w:rsid w:val="00A377C8"/>
    <w:rsid w:val="00A42E83"/>
    <w:rsid w:val="00A436C1"/>
    <w:rsid w:val="00A43B01"/>
    <w:rsid w:val="00A453B1"/>
    <w:rsid w:val="00A45634"/>
    <w:rsid w:val="00A4616C"/>
    <w:rsid w:val="00A50B47"/>
    <w:rsid w:val="00A50CE4"/>
    <w:rsid w:val="00A51FA6"/>
    <w:rsid w:val="00A53235"/>
    <w:rsid w:val="00A547C9"/>
    <w:rsid w:val="00A549FB"/>
    <w:rsid w:val="00A55A9D"/>
    <w:rsid w:val="00A56AD0"/>
    <w:rsid w:val="00A60EE6"/>
    <w:rsid w:val="00A628AC"/>
    <w:rsid w:val="00A62BAF"/>
    <w:rsid w:val="00A646F6"/>
    <w:rsid w:val="00A6592B"/>
    <w:rsid w:val="00A66591"/>
    <w:rsid w:val="00A66733"/>
    <w:rsid w:val="00A670FC"/>
    <w:rsid w:val="00A67240"/>
    <w:rsid w:val="00A7384A"/>
    <w:rsid w:val="00A73EDB"/>
    <w:rsid w:val="00A76D36"/>
    <w:rsid w:val="00A81AD6"/>
    <w:rsid w:val="00A8783C"/>
    <w:rsid w:val="00A87904"/>
    <w:rsid w:val="00A91B4D"/>
    <w:rsid w:val="00A94345"/>
    <w:rsid w:val="00A94661"/>
    <w:rsid w:val="00A94C0A"/>
    <w:rsid w:val="00A95CAA"/>
    <w:rsid w:val="00AA056B"/>
    <w:rsid w:val="00AA0A5A"/>
    <w:rsid w:val="00AA0BC5"/>
    <w:rsid w:val="00AA122D"/>
    <w:rsid w:val="00AA1F28"/>
    <w:rsid w:val="00AA3870"/>
    <w:rsid w:val="00AA52DF"/>
    <w:rsid w:val="00AA6700"/>
    <w:rsid w:val="00AA7DA6"/>
    <w:rsid w:val="00AB042E"/>
    <w:rsid w:val="00AB1CCC"/>
    <w:rsid w:val="00AB3BAD"/>
    <w:rsid w:val="00AB569F"/>
    <w:rsid w:val="00AB6374"/>
    <w:rsid w:val="00AB7849"/>
    <w:rsid w:val="00AC1695"/>
    <w:rsid w:val="00AC22A3"/>
    <w:rsid w:val="00AC74B3"/>
    <w:rsid w:val="00AD03D7"/>
    <w:rsid w:val="00AD1438"/>
    <w:rsid w:val="00AD24D4"/>
    <w:rsid w:val="00AD2D2A"/>
    <w:rsid w:val="00AD3756"/>
    <w:rsid w:val="00AD4D0C"/>
    <w:rsid w:val="00AD5400"/>
    <w:rsid w:val="00AE0168"/>
    <w:rsid w:val="00AE2813"/>
    <w:rsid w:val="00AE296B"/>
    <w:rsid w:val="00AE2FDF"/>
    <w:rsid w:val="00AE343C"/>
    <w:rsid w:val="00AE4321"/>
    <w:rsid w:val="00AE7897"/>
    <w:rsid w:val="00AE7BFE"/>
    <w:rsid w:val="00AF03BC"/>
    <w:rsid w:val="00AF22CE"/>
    <w:rsid w:val="00AF2A3D"/>
    <w:rsid w:val="00AF499B"/>
    <w:rsid w:val="00AF57CB"/>
    <w:rsid w:val="00AF60DB"/>
    <w:rsid w:val="00B03DD7"/>
    <w:rsid w:val="00B0447A"/>
    <w:rsid w:val="00B04D28"/>
    <w:rsid w:val="00B05521"/>
    <w:rsid w:val="00B05AFF"/>
    <w:rsid w:val="00B075E9"/>
    <w:rsid w:val="00B11243"/>
    <w:rsid w:val="00B11712"/>
    <w:rsid w:val="00B118B1"/>
    <w:rsid w:val="00B119D8"/>
    <w:rsid w:val="00B1363E"/>
    <w:rsid w:val="00B1509F"/>
    <w:rsid w:val="00B158EC"/>
    <w:rsid w:val="00B17065"/>
    <w:rsid w:val="00B17C81"/>
    <w:rsid w:val="00B20A8F"/>
    <w:rsid w:val="00B22AB2"/>
    <w:rsid w:val="00B22BC8"/>
    <w:rsid w:val="00B231D9"/>
    <w:rsid w:val="00B23504"/>
    <w:rsid w:val="00B2630D"/>
    <w:rsid w:val="00B31916"/>
    <w:rsid w:val="00B33162"/>
    <w:rsid w:val="00B33E0D"/>
    <w:rsid w:val="00B3505B"/>
    <w:rsid w:val="00B36715"/>
    <w:rsid w:val="00B36D26"/>
    <w:rsid w:val="00B37667"/>
    <w:rsid w:val="00B41841"/>
    <w:rsid w:val="00B441AA"/>
    <w:rsid w:val="00B44A22"/>
    <w:rsid w:val="00B451AE"/>
    <w:rsid w:val="00B4574E"/>
    <w:rsid w:val="00B45AE2"/>
    <w:rsid w:val="00B460DA"/>
    <w:rsid w:val="00B46D39"/>
    <w:rsid w:val="00B47CF5"/>
    <w:rsid w:val="00B516BE"/>
    <w:rsid w:val="00B51746"/>
    <w:rsid w:val="00B52043"/>
    <w:rsid w:val="00B55158"/>
    <w:rsid w:val="00B609ED"/>
    <w:rsid w:val="00B62996"/>
    <w:rsid w:val="00B62EA5"/>
    <w:rsid w:val="00B65FEC"/>
    <w:rsid w:val="00B66291"/>
    <w:rsid w:val="00B672F5"/>
    <w:rsid w:val="00B67E90"/>
    <w:rsid w:val="00B72F6A"/>
    <w:rsid w:val="00B73022"/>
    <w:rsid w:val="00B73EC8"/>
    <w:rsid w:val="00B745DF"/>
    <w:rsid w:val="00B7520F"/>
    <w:rsid w:val="00B75677"/>
    <w:rsid w:val="00B75A44"/>
    <w:rsid w:val="00B77206"/>
    <w:rsid w:val="00B816D8"/>
    <w:rsid w:val="00B925F7"/>
    <w:rsid w:val="00B93255"/>
    <w:rsid w:val="00B9698F"/>
    <w:rsid w:val="00BA2977"/>
    <w:rsid w:val="00BA4AFD"/>
    <w:rsid w:val="00BA5D2A"/>
    <w:rsid w:val="00BA5E07"/>
    <w:rsid w:val="00BB1F61"/>
    <w:rsid w:val="00BB408A"/>
    <w:rsid w:val="00BB54A2"/>
    <w:rsid w:val="00BB62C9"/>
    <w:rsid w:val="00BB64C2"/>
    <w:rsid w:val="00BB6BD2"/>
    <w:rsid w:val="00BC0EAA"/>
    <w:rsid w:val="00BC4F44"/>
    <w:rsid w:val="00BD1C7F"/>
    <w:rsid w:val="00BD4CD4"/>
    <w:rsid w:val="00BD5838"/>
    <w:rsid w:val="00BD5938"/>
    <w:rsid w:val="00BD59F1"/>
    <w:rsid w:val="00BE2E93"/>
    <w:rsid w:val="00BE7BF6"/>
    <w:rsid w:val="00BF0BB6"/>
    <w:rsid w:val="00BF1825"/>
    <w:rsid w:val="00BF3ABC"/>
    <w:rsid w:val="00BF5494"/>
    <w:rsid w:val="00BF6F47"/>
    <w:rsid w:val="00C03AC5"/>
    <w:rsid w:val="00C05AB1"/>
    <w:rsid w:val="00C1021E"/>
    <w:rsid w:val="00C12ACA"/>
    <w:rsid w:val="00C12B18"/>
    <w:rsid w:val="00C1396A"/>
    <w:rsid w:val="00C143FA"/>
    <w:rsid w:val="00C152BB"/>
    <w:rsid w:val="00C21206"/>
    <w:rsid w:val="00C215FF"/>
    <w:rsid w:val="00C2212C"/>
    <w:rsid w:val="00C232B0"/>
    <w:rsid w:val="00C23367"/>
    <w:rsid w:val="00C24251"/>
    <w:rsid w:val="00C2604C"/>
    <w:rsid w:val="00C26A9F"/>
    <w:rsid w:val="00C3109D"/>
    <w:rsid w:val="00C339E4"/>
    <w:rsid w:val="00C35314"/>
    <w:rsid w:val="00C36BAA"/>
    <w:rsid w:val="00C36CB6"/>
    <w:rsid w:val="00C36D27"/>
    <w:rsid w:val="00C40A89"/>
    <w:rsid w:val="00C42666"/>
    <w:rsid w:val="00C431D3"/>
    <w:rsid w:val="00C4325C"/>
    <w:rsid w:val="00C4449D"/>
    <w:rsid w:val="00C44575"/>
    <w:rsid w:val="00C470D1"/>
    <w:rsid w:val="00C478B8"/>
    <w:rsid w:val="00C50C86"/>
    <w:rsid w:val="00C51656"/>
    <w:rsid w:val="00C5302B"/>
    <w:rsid w:val="00C53A18"/>
    <w:rsid w:val="00C54361"/>
    <w:rsid w:val="00C54C48"/>
    <w:rsid w:val="00C54E4A"/>
    <w:rsid w:val="00C5646F"/>
    <w:rsid w:val="00C56A64"/>
    <w:rsid w:val="00C621AA"/>
    <w:rsid w:val="00C63D6C"/>
    <w:rsid w:val="00C65F05"/>
    <w:rsid w:val="00C67664"/>
    <w:rsid w:val="00C73F64"/>
    <w:rsid w:val="00C75530"/>
    <w:rsid w:val="00C76D79"/>
    <w:rsid w:val="00C811B6"/>
    <w:rsid w:val="00C85AD2"/>
    <w:rsid w:val="00C867F9"/>
    <w:rsid w:val="00C86F40"/>
    <w:rsid w:val="00C877B4"/>
    <w:rsid w:val="00C878A0"/>
    <w:rsid w:val="00C90517"/>
    <w:rsid w:val="00C90B9A"/>
    <w:rsid w:val="00C90CFB"/>
    <w:rsid w:val="00C92ABF"/>
    <w:rsid w:val="00C9310A"/>
    <w:rsid w:val="00C93544"/>
    <w:rsid w:val="00C95087"/>
    <w:rsid w:val="00C95EE6"/>
    <w:rsid w:val="00C97926"/>
    <w:rsid w:val="00C979B4"/>
    <w:rsid w:val="00CA1163"/>
    <w:rsid w:val="00CA1A8C"/>
    <w:rsid w:val="00CA512D"/>
    <w:rsid w:val="00CA6492"/>
    <w:rsid w:val="00CB162D"/>
    <w:rsid w:val="00CB7ABA"/>
    <w:rsid w:val="00CC0153"/>
    <w:rsid w:val="00CC09E3"/>
    <w:rsid w:val="00CC0CB2"/>
    <w:rsid w:val="00CC1942"/>
    <w:rsid w:val="00CC4F67"/>
    <w:rsid w:val="00CC65CF"/>
    <w:rsid w:val="00CC6856"/>
    <w:rsid w:val="00CC7473"/>
    <w:rsid w:val="00CD101F"/>
    <w:rsid w:val="00CD2D1F"/>
    <w:rsid w:val="00CD3678"/>
    <w:rsid w:val="00CD45C3"/>
    <w:rsid w:val="00CD6F0E"/>
    <w:rsid w:val="00CD794B"/>
    <w:rsid w:val="00CE00E5"/>
    <w:rsid w:val="00CE02D3"/>
    <w:rsid w:val="00CE2EE3"/>
    <w:rsid w:val="00CE37D8"/>
    <w:rsid w:val="00CE3C25"/>
    <w:rsid w:val="00CE62EB"/>
    <w:rsid w:val="00CE68A2"/>
    <w:rsid w:val="00CE7CC2"/>
    <w:rsid w:val="00CF1568"/>
    <w:rsid w:val="00CF707C"/>
    <w:rsid w:val="00D00018"/>
    <w:rsid w:val="00D03249"/>
    <w:rsid w:val="00D05D55"/>
    <w:rsid w:val="00D11D8A"/>
    <w:rsid w:val="00D136D7"/>
    <w:rsid w:val="00D14080"/>
    <w:rsid w:val="00D1424F"/>
    <w:rsid w:val="00D14393"/>
    <w:rsid w:val="00D22338"/>
    <w:rsid w:val="00D25043"/>
    <w:rsid w:val="00D2632F"/>
    <w:rsid w:val="00D26E58"/>
    <w:rsid w:val="00D3014E"/>
    <w:rsid w:val="00D306B4"/>
    <w:rsid w:val="00D33335"/>
    <w:rsid w:val="00D338AD"/>
    <w:rsid w:val="00D3439C"/>
    <w:rsid w:val="00D4101D"/>
    <w:rsid w:val="00D427A4"/>
    <w:rsid w:val="00D42A4C"/>
    <w:rsid w:val="00D4406C"/>
    <w:rsid w:val="00D44AB2"/>
    <w:rsid w:val="00D45929"/>
    <w:rsid w:val="00D45BA1"/>
    <w:rsid w:val="00D461F7"/>
    <w:rsid w:val="00D46524"/>
    <w:rsid w:val="00D4700A"/>
    <w:rsid w:val="00D517FC"/>
    <w:rsid w:val="00D53392"/>
    <w:rsid w:val="00D53FA6"/>
    <w:rsid w:val="00D54F44"/>
    <w:rsid w:val="00D562FD"/>
    <w:rsid w:val="00D56C44"/>
    <w:rsid w:val="00D57035"/>
    <w:rsid w:val="00D602BE"/>
    <w:rsid w:val="00D608F8"/>
    <w:rsid w:val="00D61261"/>
    <w:rsid w:val="00D621D2"/>
    <w:rsid w:val="00D62B16"/>
    <w:rsid w:val="00D67A89"/>
    <w:rsid w:val="00D723AE"/>
    <w:rsid w:val="00D724C2"/>
    <w:rsid w:val="00D75059"/>
    <w:rsid w:val="00D7645A"/>
    <w:rsid w:val="00D8257F"/>
    <w:rsid w:val="00D85CD1"/>
    <w:rsid w:val="00D909A0"/>
    <w:rsid w:val="00D90F40"/>
    <w:rsid w:val="00D9262A"/>
    <w:rsid w:val="00D92A7E"/>
    <w:rsid w:val="00D93039"/>
    <w:rsid w:val="00D942BE"/>
    <w:rsid w:val="00D9485C"/>
    <w:rsid w:val="00D951B2"/>
    <w:rsid w:val="00D959FB"/>
    <w:rsid w:val="00DA1059"/>
    <w:rsid w:val="00DA148D"/>
    <w:rsid w:val="00DA1E7B"/>
    <w:rsid w:val="00DA22C5"/>
    <w:rsid w:val="00DA3358"/>
    <w:rsid w:val="00DA363D"/>
    <w:rsid w:val="00DA4B48"/>
    <w:rsid w:val="00DA4DCC"/>
    <w:rsid w:val="00DA5F54"/>
    <w:rsid w:val="00DA660C"/>
    <w:rsid w:val="00DA7DBD"/>
    <w:rsid w:val="00DB7698"/>
    <w:rsid w:val="00DC1D24"/>
    <w:rsid w:val="00DC35FE"/>
    <w:rsid w:val="00DC39D2"/>
    <w:rsid w:val="00DC44E9"/>
    <w:rsid w:val="00DC593E"/>
    <w:rsid w:val="00DC5C1F"/>
    <w:rsid w:val="00DC5FBA"/>
    <w:rsid w:val="00DC7247"/>
    <w:rsid w:val="00DC7B94"/>
    <w:rsid w:val="00DD27B2"/>
    <w:rsid w:val="00DD2ACE"/>
    <w:rsid w:val="00DE21BF"/>
    <w:rsid w:val="00DE22BF"/>
    <w:rsid w:val="00DE2540"/>
    <w:rsid w:val="00DE542C"/>
    <w:rsid w:val="00DE7F74"/>
    <w:rsid w:val="00DF04BC"/>
    <w:rsid w:val="00DF061D"/>
    <w:rsid w:val="00DF0B1F"/>
    <w:rsid w:val="00DF10CA"/>
    <w:rsid w:val="00DF2D27"/>
    <w:rsid w:val="00DF3B42"/>
    <w:rsid w:val="00DF3C95"/>
    <w:rsid w:val="00DF4464"/>
    <w:rsid w:val="00DF45D4"/>
    <w:rsid w:val="00DF6028"/>
    <w:rsid w:val="00DF6720"/>
    <w:rsid w:val="00DF71A3"/>
    <w:rsid w:val="00E01678"/>
    <w:rsid w:val="00E01D2A"/>
    <w:rsid w:val="00E03923"/>
    <w:rsid w:val="00E107C2"/>
    <w:rsid w:val="00E10B0D"/>
    <w:rsid w:val="00E14E4D"/>
    <w:rsid w:val="00E16D36"/>
    <w:rsid w:val="00E21064"/>
    <w:rsid w:val="00E22CF8"/>
    <w:rsid w:val="00E26852"/>
    <w:rsid w:val="00E275EF"/>
    <w:rsid w:val="00E303D9"/>
    <w:rsid w:val="00E34C86"/>
    <w:rsid w:val="00E3666F"/>
    <w:rsid w:val="00E41A2D"/>
    <w:rsid w:val="00E462EC"/>
    <w:rsid w:val="00E464C8"/>
    <w:rsid w:val="00E477A1"/>
    <w:rsid w:val="00E50601"/>
    <w:rsid w:val="00E50FA9"/>
    <w:rsid w:val="00E52EC4"/>
    <w:rsid w:val="00E53681"/>
    <w:rsid w:val="00E57DD1"/>
    <w:rsid w:val="00E609AB"/>
    <w:rsid w:val="00E65E91"/>
    <w:rsid w:val="00E66889"/>
    <w:rsid w:val="00E67AE3"/>
    <w:rsid w:val="00E67C25"/>
    <w:rsid w:val="00E7009E"/>
    <w:rsid w:val="00E70A54"/>
    <w:rsid w:val="00E70E86"/>
    <w:rsid w:val="00E7199E"/>
    <w:rsid w:val="00E755EB"/>
    <w:rsid w:val="00E7596F"/>
    <w:rsid w:val="00E803AE"/>
    <w:rsid w:val="00E8091C"/>
    <w:rsid w:val="00E80CF6"/>
    <w:rsid w:val="00E82C77"/>
    <w:rsid w:val="00E82F39"/>
    <w:rsid w:val="00E854E9"/>
    <w:rsid w:val="00E86D28"/>
    <w:rsid w:val="00E9388C"/>
    <w:rsid w:val="00E96B74"/>
    <w:rsid w:val="00EA5397"/>
    <w:rsid w:val="00EA5C65"/>
    <w:rsid w:val="00EA77BD"/>
    <w:rsid w:val="00EA7808"/>
    <w:rsid w:val="00EB1E19"/>
    <w:rsid w:val="00EB2568"/>
    <w:rsid w:val="00EB2726"/>
    <w:rsid w:val="00EB3B83"/>
    <w:rsid w:val="00EB4F74"/>
    <w:rsid w:val="00EB69F3"/>
    <w:rsid w:val="00EB7C66"/>
    <w:rsid w:val="00EC3225"/>
    <w:rsid w:val="00EC3B8B"/>
    <w:rsid w:val="00EC4BD2"/>
    <w:rsid w:val="00EC6C0A"/>
    <w:rsid w:val="00ED0AF1"/>
    <w:rsid w:val="00ED18AC"/>
    <w:rsid w:val="00ED3CC1"/>
    <w:rsid w:val="00ED4FAF"/>
    <w:rsid w:val="00ED6A86"/>
    <w:rsid w:val="00ED7239"/>
    <w:rsid w:val="00ED7AA6"/>
    <w:rsid w:val="00EE0092"/>
    <w:rsid w:val="00EE0100"/>
    <w:rsid w:val="00EE0FCB"/>
    <w:rsid w:val="00EE12DB"/>
    <w:rsid w:val="00EE3C0E"/>
    <w:rsid w:val="00EE4A46"/>
    <w:rsid w:val="00EE5434"/>
    <w:rsid w:val="00EE65F8"/>
    <w:rsid w:val="00EE6F56"/>
    <w:rsid w:val="00EF2621"/>
    <w:rsid w:val="00EF2E9C"/>
    <w:rsid w:val="00EF5DB8"/>
    <w:rsid w:val="00EF6F1B"/>
    <w:rsid w:val="00EF7295"/>
    <w:rsid w:val="00EF7881"/>
    <w:rsid w:val="00F00297"/>
    <w:rsid w:val="00F0199A"/>
    <w:rsid w:val="00F041E3"/>
    <w:rsid w:val="00F0484C"/>
    <w:rsid w:val="00F05F70"/>
    <w:rsid w:val="00F10256"/>
    <w:rsid w:val="00F1050A"/>
    <w:rsid w:val="00F10E4C"/>
    <w:rsid w:val="00F11DE6"/>
    <w:rsid w:val="00F13F4D"/>
    <w:rsid w:val="00F14D0B"/>
    <w:rsid w:val="00F15013"/>
    <w:rsid w:val="00F1707D"/>
    <w:rsid w:val="00F20316"/>
    <w:rsid w:val="00F210BA"/>
    <w:rsid w:val="00F217AC"/>
    <w:rsid w:val="00F30604"/>
    <w:rsid w:val="00F308DD"/>
    <w:rsid w:val="00F333FE"/>
    <w:rsid w:val="00F33C93"/>
    <w:rsid w:val="00F35DF4"/>
    <w:rsid w:val="00F37B95"/>
    <w:rsid w:val="00F404C2"/>
    <w:rsid w:val="00F411CB"/>
    <w:rsid w:val="00F44A65"/>
    <w:rsid w:val="00F45BD1"/>
    <w:rsid w:val="00F46F20"/>
    <w:rsid w:val="00F500D8"/>
    <w:rsid w:val="00F530B9"/>
    <w:rsid w:val="00F5529D"/>
    <w:rsid w:val="00F5537C"/>
    <w:rsid w:val="00F564A8"/>
    <w:rsid w:val="00F62FA5"/>
    <w:rsid w:val="00F632A3"/>
    <w:rsid w:val="00F643D4"/>
    <w:rsid w:val="00F660B8"/>
    <w:rsid w:val="00F72694"/>
    <w:rsid w:val="00F73525"/>
    <w:rsid w:val="00F75280"/>
    <w:rsid w:val="00F75E57"/>
    <w:rsid w:val="00F77338"/>
    <w:rsid w:val="00F80258"/>
    <w:rsid w:val="00F8046C"/>
    <w:rsid w:val="00F80DCB"/>
    <w:rsid w:val="00F82B50"/>
    <w:rsid w:val="00F834EC"/>
    <w:rsid w:val="00F84118"/>
    <w:rsid w:val="00F8543F"/>
    <w:rsid w:val="00F90DB8"/>
    <w:rsid w:val="00F9302E"/>
    <w:rsid w:val="00F96E5A"/>
    <w:rsid w:val="00F97609"/>
    <w:rsid w:val="00F97AD6"/>
    <w:rsid w:val="00FA0641"/>
    <w:rsid w:val="00FA0A69"/>
    <w:rsid w:val="00FA1096"/>
    <w:rsid w:val="00FA1DF9"/>
    <w:rsid w:val="00FA3614"/>
    <w:rsid w:val="00FA44DE"/>
    <w:rsid w:val="00FA5351"/>
    <w:rsid w:val="00FB05AB"/>
    <w:rsid w:val="00FB0AE1"/>
    <w:rsid w:val="00FB0E1E"/>
    <w:rsid w:val="00FB19B9"/>
    <w:rsid w:val="00FB3752"/>
    <w:rsid w:val="00FB4C8C"/>
    <w:rsid w:val="00FB5B7F"/>
    <w:rsid w:val="00FB6008"/>
    <w:rsid w:val="00FB70E5"/>
    <w:rsid w:val="00FC03F6"/>
    <w:rsid w:val="00FC190B"/>
    <w:rsid w:val="00FC261A"/>
    <w:rsid w:val="00FC3008"/>
    <w:rsid w:val="00FC3193"/>
    <w:rsid w:val="00FC3D17"/>
    <w:rsid w:val="00FC5EDC"/>
    <w:rsid w:val="00FC5F1F"/>
    <w:rsid w:val="00FC61F0"/>
    <w:rsid w:val="00FC7506"/>
    <w:rsid w:val="00FD02DF"/>
    <w:rsid w:val="00FD1181"/>
    <w:rsid w:val="00FD1F0E"/>
    <w:rsid w:val="00FD2024"/>
    <w:rsid w:val="00FD496C"/>
    <w:rsid w:val="00FD4F20"/>
    <w:rsid w:val="00FD5D28"/>
    <w:rsid w:val="00FD62D8"/>
    <w:rsid w:val="00FD6A7D"/>
    <w:rsid w:val="00FE3DE0"/>
    <w:rsid w:val="00FE442B"/>
    <w:rsid w:val="00FE606A"/>
    <w:rsid w:val="00FE75D3"/>
    <w:rsid w:val="00FF0880"/>
    <w:rsid w:val="00FF0F9D"/>
    <w:rsid w:val="00FF1B7F"/>
    <w:rsid w:val="00FF2628"/>
    <w:rsid w:val="00FF4BC1"/>
    <w:rsid w:val="00FF7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03AB"/>
  <w15:docId w15:val="{15E1BFED-4EA2-46D8-A4A0-A7AA74F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spacing w:line="480" w:lineRule="auto"/>
    </w:pPr>
    <w:rPr>
      <w:rFonts w:cs="Arial Unicode MS"/>
      <w:color w:val="000000"/>
      <w:sz w:val="28"/>
      <w:szCs w:val="28"/>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styleId="FootnoteText">
    <w:name w:val="footnote text"/>
    <w:link w:val="FootnoteTextChar"/>
    <w:uiPriority w:val="99"/>
    <w:rPr>
      <w:rFonts w:ascii="Calibri" w:eastAsia="Calibri" w:hAnsi="Calibri" w:cs="Calibri"/>
      <w:color w:val="000000"/>
      <w:u w:color="000000"/>
      <w:lang w:val="en-US"/>
    </w:rPr>
  </w:style>
  <w:style w:type="numbering" w:customStyle="1" w:styleId="Lettered">
    <w:name w:val="Lettered"/>
    <w:pPr>
      <w:numPr>
        <w:numId w:val="1"/>
      </w:numPr>
    </w:pPr>
  </w:style>
  <w:style w:type="numbering" w:customStyle="1" w:styleId="Numbered">
    <w:name w:val="Numbered"/>
    <w:pPr>
      <w:numPr>
        <w:numId w:val="3"/>
      </w:numPr>
    </w:pPr>
  </w:style>
  <w:style w:type="character" w:styleId="CommentReference">
    <w:name w:val="annotation reference"/>
    <w:basedOn w:val="DefaultParagraphFont"/>
    <w:uiPriority w:val="99"/>
    <w:semiHidden/>
    <w:unhideWhenUsed/>
    <w:rsid w:val="00C50C86"/>
    <w:rPr>
      <w:sz w:val="16"/>
      <w:szCs w:val="16"/>
    </w:rPr>
  </w:style>
  <w:style w:type="paragraph" w:styleId="CommentText">
    <w:name w:val="annotation text"/>
    <w:basedOn w:val="Normal"/>
    <w:link w:val="CommentTextChar"/>
    <w:uiPriority w:val="99"/>
    <w:semiHidden/>
    <w:unhideWhenUsed/>
    <w:rsid w:val="00C50C86"/>
    <w:rPr>
      <w:sz w:val="20"/>
      <w:szCs w:val="20"/>
    </w:rPr>
  </w:style>
  <w:style w:type="character" w:customStyle="1" w:styleId="CommentTextChar">
    <w:name w:val="Comment Text Char"/>
    <w:basedOn w:val="DefaultParagraphFont"/>
    <w:link w:val="CommentText"/>
    <w:uiPriority w:val="99"/>
    <w:semiHidden/>
    <w:rsid w:val="00C50C86"/>
    <w:rPr>
      <w:lang w:val="en-US"/>
    </w:rPr>
  </w:style>
  <w:style w:type="paragraph" w:styleId="CommentSubject">
    <w:name w:val="annotation subject"/>
    <w:basedOn w:val="CommentText"/>
    <w:next w:val="CommentText"/>
    <w:link w:val="CommentSubjectChar"/>
    <w:uiPriority w:val="99"/>
    <w:semiHidden/>
    <w:unhideWhenUsed/>
    <w:rsid w:val="00C50C86"/>
    <w:rPr>
      <w:b/>
      <w:bCs/>
    </w:rPr>
  </w:style>
  <w:style w:type="character" w:customStyle="1" w:styleId="CommentSubjectChar">
    <w:name w:val="Comment Subject Char"/>
    <w:basedOn w:val="CommentTextChar"/>
    <w:link w:val="CommentSubject"/>
    <w:uiPriority w:val="99"/>
    <w:semiHidden/>
    <w:rsid w:val="00C50C86"/>
    <w:rPr>
      <w:b/>
      <w:bCs/>
      <w:lang w:val="en-US"/>
    </w:rPr>
  </w:style>
  <w:style w:type="paragraph" w:styleId="BalloonText">
    <w:name w:val="Balloon Text"/>
    <w:basedOn w:val="Normal"/>
    <w:link w:val="BalloonTextChar"/>
    <w:uiPriority w:val="99"/>
    <w:semiHidden/>
    <w:unhideWhenUsed/>
    <w:rsid w:val="00234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61"/>
    <w:rPr>
      <w:rFonts w:ascii="Segoe UI" w:hAnsi="Segoe UI" w:cs="Segoe UI"/>
      <w:sz w:val="18"/>
      <w:szCs w:val="18"/>
      <w:lang w:val="en-US"/>
    </w:rPr>
  </w:style>
  <w:style w:type="character" w:customStyle="1" w:styleId="FootnoteTextChar">
    <w:name w:val="Footnote Text Char"/>
    <w:basedOn w:val="DefaultParagraphFont"/>
    <w:link w:val="FootnoteText"/>
    <w:uiPriority w:val="99"/>
    <w:rsid w:val="00683F16"/>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683F16"/>
    <w:rPr>
      <w:vertAlign w:val="superscript"/>
    </w:rPr>
  </w:style>
  <w:style w:type="paragraph" w:styleId="ListParagraph">
    <w:name w:val="List Paragraph"/>
    <w:basedOn w:val="Normal"/>
    <w:uiPriority w:val="34"/>
    <w:qFormat/>
    <w:rsid w:val="005B59AF"/>
    <w:pPr>
      <w:ind w:left="720"/>
      <w:contextualSpacing/>
    </w:pPr>
  </w:style>
  <w:style w:type="paragraph" w:customStyle="1" w:styleId="Pa3">
    <w:name w:val="Pa3"/>
    <w:basedOn w:val="Normal"/>
    <w:next w:val="Normal"/>
    <w:rsid w:val="00C242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eastAsia="Times New Roman" w:hAnsi="Arial"/>
      <w:bdr w:val="none" w:sz="0" w:space="0" w:color="auto"/>
    </w:rPr>
  </w:style>
  <w:style w:type="character" w:customStyle="1" w:styleId="A0">
    <w:name w:val="A0"/>
    <w:rsid w:val="00C24251"/>
    <w:rPr>
      <w:rFonts w:cs="Arial"/>
      <w:b/>
      <w:bCs/>
      <w:color w:val="221E1F"/>
      <w:sz w:val="20"/>
      <w:szCs w:val="20"/>
    </w:rPr>
  </w:style>
  <w:style w:type="paragraph" w:styleId="Footer">
    <w:name w:val="footer"/>
    <w:basedOn w:val="Normal"/>
    <w:link w:val="FooterChar"/>
    <w:uiPriority w:val="99"/>
    <w:unhideWhenUsed/>
    <w:rsid w:val="007E59A7"/>
    <w:pPr>
      <w:tabs>
        <w:tab w:val="center" w:pos="4513"/>
        <w:tab w:val="right" w:pos="9026"/>
      </w:tabs>
    </w:pPr>
  </w:style>
  <w:style w:type="character" w:customStyle="1" w:styleId="FooterChar">
    <w:name w:val="Footer Char"/>
    <w:basedOn w:val="DefaultParagraphFont"/>
    <w:link w:val="Footer"/>
    <w:uiPriority w:val="99"/>
    <w:rsid w:val="007E59A7"/>
    <w:rPr>
      <w:sz w:val="24"/>
      <w:szCs w:val="24"/>
      <w:lang w:val="en-US"/>
    </w:rPr>
  </w:style>
  <w:style w:type="paragraph" w:styleId="Revision">
    <w:name w:val="Revision"/>
    <w:hidden/>
    <w:uiPriority w:val="99"/>
    <w:semiHidden/>
    <w:rsid w:val="00C63D6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A632-EE6E-4AC3-AED9-05F9AB6A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Tolmay</dc:creator>
  <cp:keywords/>
  <dc:description/>
  <cp:lastModifiedBy>Ayanda Mdletshe</cp:lastModifiedBy>
  <cp:revision>2</cp:revision>
  <cp:lastPrinted>2022-04-13T08:00:00Z</cp:lastPrinted>
  <dcterms:created xsi:type="dcterms:W3CDTF">2022-07-28T10:47:00Z</dcterms:created>
  <dcterms:modified xsi:type="dcterms:W3CDTF">2022-07-28T10:47:00Z</dcterms:modified>
</cp:coreProperties>
</file>