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708A" w14:textId="1F5295C2" w:rsidR="00A76148" w:rsidRPr="00A76148" w:rsidRDefault="00A76148" w:rsidP="005357B5">
      <w:pPr>
        <w:autoSpaceDE w:val="0"/>
        <w:autoSpaceDN w:val="0"/>
        <w:adjustRightInd w:val="0"/>
        <w:spacing w:after="0" w:line="241" w:lineRule="atLeast"/>
        <w:ind w:firstLine="720"/>
        <w:jc w:val="center"/>
        <w:rPr>
          <w:rFonts w:ascii="Arial" w:eastAsia="Times New Roman" w:hAnsi="Arial" w:cs="Arial"/>
          <w:color w:val="000000"/>
          <w:sz w:val="24"/>
          <w:szCs w:val="24"/>
          <w:lang w:val="en-US"/>
        </w:rPr>
      </w:pPr>
      <w:r w:rsidRPr="00A76148">
        <w:rPr>
          <w:rFonts w:ascii="Arial" w:eastAsia="Times New Roman" w:hAnsi="Arial" w:cs="Times New Roman"/>
          <w:noProof/>
          <w:color w:val="000000"/>
          <w:sz w:val="24"/>
          <w:szCs w:val="24"/>
          <w:lang w:eastAsia="en-ZA"/>
        </w:rPr>
        <w:drawing>
          <wp:inline distT="0" distB="0" distL="0" distR="0" wp14:anchorId="5241CF3E" wp14:editId="74DEB855">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5BC23101" w14:textId="77777777" w:rsidR="00A76148" w:rsidRPr="00A76148" w:rsidRDefault="00A76148" w:rsidP="00A76148">
      <w:pPr>
        <w:autoSpaceDE w:val="0"/>
        <w:autoSpaceDN w:val="0"/>
        <w:adjustRightInd w:val="0"/>
        <w:spacing w:after="0" w:line="241" w:lineRule="atLeast"/>
        <w:jc w:val="center"/>
        <w:rPr>
          <w:rFonts w:ascii="Arial" w:eastAsia="Times New Roman" w:hAnsi="Arial" w:cs="Arial"/>
          <w:color w:val="000000"/>
          <w:sz w:val="24"/>
          <w:szCs w:val="24"/>
          <w:lang w:val="en-US"/>
        </w:rPr>
      </w:pPr>
    </w:p>
    <w:p w14:paraId="43DEC928" w14:textId="77777777" w:rsidR="00A76148" w:rsidRPr="00A76148" w:rsidRDefault="00A76148" w:rsidP="00A76148">
      <w:pPr>
        <w:spacing w:after="0" w:line="240" w:lineRule="auto"/>
        <w:rPr>
          <w:rFonts w:ascii="Arial" w:eastAsia="Times New Roman" w:hAnsi="Arial" w:cs="Arial"/>
          <w:color w:val="000000"/>
          <w:sz w:val="28"/>
          <w:szCs w:val="24"/>
          <w:lang w:val="en-US"/>
        </w:rPr>
      </w:pPr>
    </w:p>
    <w:p w14:paraId="54D7DC8C" w14:textId="77777777" w:rsidR="00A76148" w:rsidRPr="00A76148" w:rsidRDefault="00A76148" w:rsidP="00A76148">
      <w:pPr>
        <w:autoSpaceDE w:val="0"/>
        <w:autoSpaceDN w:val="0"/>
        <w:adjustRightInd w:val="0"/>
        <w:spacing w:after="0" w:line="360" w:lineRule="auto"/>
        <w:jc w:val="center"/>
        <w:rPr>
          <w:rFonts w:ascii="Arial" w:eastAsia="Times New Roman" w:hAnsi="Arial" w:cs="Arial"/>
          <w:b/>
          <w:bCs/>
          <w:color w:val="000000"/>
          <w:sz w:val="24"/>
          <w:szCs w:val="24"/>
          <w:lang w:val="en-US"/>
        </w:rPr>
      </w:pPr>
      <w:r w:rsidRPr="00A76148">
        <w:rPr>
          <w:rFonts w:ascii="Arial" w:eastAsia="Times New Roman" w:hAnsi="Arial" w:cs="Arial"/>
          <w:b/>
          <w:color w:val="000000"/>
          <w:sz w:val="24"/>
          <w:szCs w:val="24"/>
          <w:lang w:val="en-US"/>
        </w:rPr>
        <w:t xml:space="preserve">THE SUPREME COURT OF APPEAL </w:t>
      </w:r>
      <w:r w:rsidRPr="00A76148">
        <w:rPr>
          <w:rFonts w:ascii="Arial" w:eastAsia="Times New Roman" w:hAnsi="Arial" w:cs="Arial"/>
          <w:b/>
          <w:bCs/>
          <w:color w:val="000000"/>
          <w:sz w:val="24"/>
          <w:szCs w:val="24"/>
          <w:lang w:val="en-US"/>
        </w:rPr>
        <w:t xml:space="preserve">OF SOUTH AFRICA </w:t>
      </w:r>
    </w:p>
    <w:p w14:paraId="7834B89A" w14:textId="77777777" w:rsidR="00A76148" w:rsidRPr="00A76148" w:rsidRDefault="00A76148" w:rsidP="00A76148">
      <w:pPr>
        <w:spacing w:after="0" w:line="360" w:lineRule="auto"/>
        <w:jc w:val="center"/>
        <w:rPr>
          <w:rFonts w:ascii="Arial" w:eastAsia="Times New Roman" w:hAnsi="Arial" w:cs="Arial"/>
          <w:color w:val="000000"/>
          <w:sz w:val="24"/>
          <w:szCs w:val="24"/>
          <w:lang w:val="en-GB"/>
        </w:rPr>
      </w:pPr>
      <w:r w:rsidRPr="00A76148">
        <w:rPr>
          <w:rFonts w:ascii="Arial" w:eastAsia="Times New Roman" w:hAnsi="Arial" w:cs="Arial"/>
          <w:b/>
          <w:color w:val="000000"/>
          <w:sz w:val="24"/>
          <w:szCs w:val="24"/>
          <w:lang w:val="en-GB"/>
        </w:rPr>
        <w:t>JUDGMENT</w:t>
      </w:r>
    </w:p>
    <w:p w14:paraId="199AF2AB" w14:textId="77777777" w:rsidR="00A76148" w:rsidRPr="00A76148" w:rsidRDefault="00A76148" w:rsidP="00A76148">
      <w:pPr>
        <w:spacing w:after="0" w:line="240" w:lineRule="auto"/>
        <w:ind w:right="26"/>
        <w:jc w:val="right"/>
        <w:rPr>
          <w:rFonts w:ascii="Arial" w:eastAsia="Times New Roman" w:hAnsi="Arial" w:cs="Arial"/>
          <w:bCs/>
          <w:color w:val="000000"/>
          <w:sz w:val="24"/>
          <w:szCs w:val="24"/>
          <w:lang w:val="en-GB"/>
        </w:rPr>
      </w:pPr>
    </w:p>
    <w:p w14:paraId="685C545F" w14:textId="6FECAD47" w:rsidR="00A76148" w:rsidRPr="00A76148" w:rsidRDefault="009460A9" w:rsidP="00A76148">
      <w:pPr>
        <w:spacing w:after="0" w:line="240" w:lineRule="auto"/>
        <w:ind w:right="26"/>
        <w:jc w:val="right"/>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Reportable</w:t>
      </w:r>
    </w:p>
    <w:p w14:paraId="391DC0F1" w14:textId="77777777" w:rsidR="00A76148" w:rsidRPr="00A76148" w:rsidRDefault="00A76148" w:rsidP="00A76148">
      <w:pPr>
        <w:widowControl w:val="0"/>
        <w:autoSpaceDE w:val="0"/>
        <w:autoSpaceDN w:val="0"/>
        <w:adjustRightInd w:val="0"/>
        <w:spacing w:after="0" w:line="240" w:lineRule="auto"/>
        <w:rPr>
          <w:rFonts w:ascii="Arial" w:eastAsia="Times New Roman" w:hAnsi="Arial" w:cs="Arial"/>
          <w:b/>
          <w:color w:val="000000"/>
          <w:sz w:val="24"/>
          <w:szCs w:val="24"/>
          <w:lang w:val="en-GB"/>
        </w:rPr>
      </w:pPr>
    </w:p>
    <w:p w14:paraId="457F9DC4" w14:textId="0127E62D" w:rsidR="00A76148" w:rsidRPr="00A76148" w:rsidRDefault="00A76148" w:rsidP="00A76148">
      <w:pPr>
        <w:spacing w:after="0" w:line="240" w:lineRule="auto"/>
        <w:ind w:right="26"/>
        <w:jc w:val="right"/>
        <w:rPr>
          <w:rFonts w:ascii="Arial" w:eastAsia="Times New Roman" w:hAnsi="Arial" w:cs="Arial"/>
          <w:bCs/>
          <w:color w:val="000000"/>
          <w:sz w:val="24"/>
          <w:szCs w:val="24"/>
          <w:lang w:val="en-GB"/>
        </w:rPr>
      </w:pPr>
      <w:r w:rsidRPr="00A76148">
        <w:rPr>
          <w:rFonts w:ascii="Arial" w:eastAsia="Times New Roman" w:hAnsi="Arial" w:cs="Arial"/>
          <w:b/>
          <w:color w:val="000000"/>
          <w:sz w:val="24"/>
          <w:szCs w:val="24"/>
          <w:lang w:val="en-GB"/>
        </w:rPr>
        <w:tab/>
      </w:r>
      <w:r w:rsidRPr="00A76148">
        <w:rPr>
          <w:rFonts w:ascii="Arial" w:eastAsia="Times New Roman" w:hAnsi="Arial" w:cs="Arial"/>
          <w:bCs/>
          <w:color w:val="000000"/>
          <w:sz w:val="24"/>
          <w:szCs w:val="24"/>
          <w:lang w:val="en-GB"/>
        </w:rPr>
        <w:t xml:space="preserve">Case No: </w:t>
      </w:r>
      <w:r w:rsidR="00082C30">
        <w:rPr>
          <w:rFonts w:ascii="Arial" w:eastAsia="Times New Roman" w:hAnsi="Arial" w:cs="Arial"/>
          <w:bCs/>
          <w:color w:val="000000"/>
          <w:sz w:val="24"/>
          <w:szCs w:val="24"/>
          <w:lang w:val="en-GB"/>
        </w:rPr>
        <w:t>360</w:t>
      </w:r>
      <w:r w:rsidRPr="00A76148">
        <w:rPr>
          <w:rFonts w:ascii="Arial" w:eastAsia="Times New Roman" w:hAnsi="Arial" w:cs="Arial"/>
          <w:bCs/>
          <w:color w:val="000000"/>
          <w:sz w:val="24"/>
          <w:szCs w:val="24"/>
          <w:lang w:val="en-GB"/>
        </w:rPr>
        <w:t>/2021</w:t>
      </w:r>
    </w:p>
    <w:p w14:paraId="4BD4353B" w14:textId="77777777" w:rsidR="00A76148" w:rsidRPr="00A76148" w:rsidRDefault="00A76148" w:rsidP="00A76148">
      <w:pPr>
        <w:spacing w:after="0" w:line="240" w:lineRule="auto"/>
        <w:ind w:right="-328"/>
        <w:jc w:val="both"/>
        <w:rPr>
          <w:rFonts w:ascii="Arial" w:eastAsia="Times New Roman" w:hAnsi="Arial" w:cs="Arial"/>
          <w:bCs/>
          <w:color w:val="000000"/>
          <w:sz w:val="24"/>
          <w:szCs w:val="24"/>
          <w:lang w:val="en-GB"/>
        </w:rPr>
      </w:pPr>
    </w:p>
    <w:p w14:paraId="270AE7C9" w14:textId="77777777" w:rsidR="00A76148" w:rsidRPr="00A76148" w:rsidRDefault="00A76148" w:rsidP="00A76148">
      <w:pPr>
        <w:spacing w:after="0" w:line="240" w:lineRule="auto"/>
        <w:ind w:right="-328"/>
        <w:jc w:val="both"/>
        <w:rPr>
          <w:rFonts w:ascii="Arial" w:eastAsia="Times New Roman" w:hAnsi="Arial" w:cs="Arial"/>
          <w:bCs/>
          <w:color w:val="000000"/>
          <w:sz w:val="24"/>
          <w:szCs w:val="24"/>
          <w:lang w:val="en-GB"/>
        </w:rPr>
      </w:pPr>
    </w:p>
    <w:p w14:paraId="686ACB34" w14:textId="77777777" w:rsidR="00A76148" w:rsidRPr="00A76148" w:rsidRDefault="00A76148" w:rsidP="00A76148">
      <w:pPr>
        <w:spacing w:after="0" w:line="240" w:lineRule="auto"/>
        <w:ind w:right="-328"/>
        <w:jc w:val="both"/>
        <w:rPr>
          <w:rFonts w:ascii="Arial" w:eastAsia="Times New Roman" w:hAnsi="Arial" w:cs="Arial"/>
          <w:bCs/>
          <w:color w:val="000000"/>
          <w:sz w:val="24"/>
          <w:szCs w:val="24"/>
          <w:lang w:val="en-GB"/>
        </w:rPr>
      </w:pPr>
      <w:r w:rsidRPr="00A76148">
        <w:rPr>
          <w:rFonts w:ascii="Arial" w:eastAsia="Times New Roman" w:hAnsi="Arial" w:cs="Arial"/>
          <w:bCs/>
          <w:color w:val="000000"/>
          <w:sz w:val="24"/>
          <w:szCs w:val="24"/>
          <w:lang w:val="en-GB"/>
        </w:rPr>
        <w:t>In the matter between:</w:t>
      </w:r>
    </w:p>
    <w:p w14:paraId="64028B24" w14:textId="77777777" w:rsidR="00A76148" w:rsidRPr="00A76148" w:rsidRDefault="00A76148" w:rsidP="00A76148">
      <w:pPr>
        <w:tabs>
          <w:tab w:val="right" w:pos="8900"/>
        </w:tabs>
        <w:spacing w:after="0" w:line="240" w:lineRule="auto"/>
        <w:ind w:right="-328"/>
        <w:jc w:val="both"/>
        <w:rPr>
          <w:rFonts w:ascii="Arial" w:eastAsia="Times New Roman" w:hAnsi="Arial" w:cs="Arial"/>
          <w:bCs/>
          <w:color w:val="000000"/>
          <w:sz w:val="24"/>
          <w:szCs w:val="24"/>
          <w:lang w:val="en-GB"/>
        </w:rPr>
      </w:pPr>
    </w:p>
    <w:p w14:paraId="43887C30" w14:textId="1753693C" w:rsidR="00A76148" w:rsidRDefault="009460A9"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M</w:t>
      </w:r>
      <w:r w:rsidR="00082C30">
        <w:rPr>
          <w:rFonts w:ascii="Arial" w:eastAsia="Times New Roman" w:hAnsi="Arial" w:cs="Arial"/>
          <w:b/>
          <w:color w:val="000000"/>
          <w:sz w:val="24"/>
          <w:szCs w:val="24"/>
          <w:lang w:val="en-GB"/>
        </w:rPr>
        <w:t>J K</w:t>
      </w:r>
      <w:r w:rsidR="00A76148" w:rsidRPr="00A76148">
        <w:rPr>
          <w:rFonts w:ascii="Arial" w:eastAsia="Times New Roman" w:hAnsi="Arial" w:cs="Arial"/>
          <w:b/>
          <w:color w:val="000000"/>
          <w:sz w:val="24"/>
          <w:szCs w:val="24"/>
          <w:lang w:val="en-GB"/>
        </w:rPr>
        <w:t xml:space="preserve"> </w:t>
      </w:r>
      <w:r w:rsidR="00A66E23">
        <w:rPr>
          <w:rFonts w:ascii="Arial" w:eastAsia="Times New Roman" w:hAnsi="Arial" w:cs="Arial"/>
          <w:b/>
          <w:color w:val="000000"/>
          <w:sz w:val="24"/>
          <w:szCs w:val="24"/>
          <w:lang w:val="en-GB"/>
        </w:rPr>
        <w:t xml:space="preserve">                            </w:t>
      </w:r>
      <w:r w:rsidR="00A76148" w:rsidRPr="00A76148">
        <w:rPr>
          <w:rFonts w:ascii="Arial" w:eastAsia="Times New Roman" w:hAnsi="Arial" w:cs="Arial"/>
          <w:b/>
          <w:color w:val="000000"/>
          <w:sz w:val="24"/>
          <w:szCs w:val="24"/>
          <w:lang w:val="en-GB"/>
        </w:rPr>
        <w:t xml:space="preserve">                                                          </w:t>
      </w:r>
      <w:r w:rsidR="00A66E23">
        <w:rPr>
          <w:rFonts w:ascii="Arial" w:eastAsia="Times New Roman" w:hAnsi="Arial" w:cs="Arial"/>
          <w:b/>
          <w:color w:val="000000"/>
          <w:sz w:val="24"/>
          <w:szCs w:val="24"/>
          <w:lang w:val="en-GB"/>
        </w:rPr>
        <w:tab/>
        <w:t xml:space="preserve">           </w:t>
      </w:r>
      <w:r w:rsidR="00082C30">
        <w:rPr>
          <w:rFonts w:ascii="Arial" w:eastAsia="Times New Roman" w:hAnsi="Arial" w:cs="Arial"/>
          <w:b/>
          <w:color w:val="000000"/>
          <w:sz w:val="24"/>
          <w:szCs w:val="24"/>
          <w:lang w:val="en-GB"/>
        </w:rPr>
        <w:t>FIRST</w:t>
      </w:r>
      <w:r w:rsidR="007F1413">
        <w:rPr>
          <w:rFonts w:ascii="Arial" w:eastAsia="Times New Roman" w:hAnsi="Arial" w:cs="Arial"/>
          <w:b/>
          <w:color w:val="000000"/>
          <w:sz w:val="24"/>
          <w:szCs w:val="24"/>
          <w:lang w:val="en-GB"/>
        </w:rPr>
        <w:t xml:space="preserve"> </w:t>
      </w:r>
      <w:r w:rsidR="00A76148" w:rsidRPr="00A76148">
        <w:rPr>
          <w:rFonts w:ascii="Arial" w:eastAsia="Times New Roman" w:hAnsi="Arial" w:cs="Arial"/>
          <w:b/>
          <w:color w:val="000000"/>
          <w:sz w:val="24"/>
          <w:szCs w:val="24"/>
          <w:lang w:val="en-GB"/>
        </w:rPr>
        <w:t>APPELLANT</w:t>
      </w:r>
    </w:p>
    <w:p w14:paraId="04CC2A1C" w14:textId="21A4B90C" w:rsidR="00082C30" w:rsidRDefault="009460A9"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M</w:t>
      </w:r>
      <w:r w:rsidR="00082C30">
        <w:rPr>
          <w:rFonts w:ascii="Arial" w:eastAsia="Times New Roman" w:hAnsi="Arial" w:cs="Arial"/>
          <w:b/>
          <w:color w:val="000000"/>
          <w:sz w:val="24"/>
          <w:szCs w:val="24"/>
          <w:lang w:val="en-GB"/>
        </w:rPr>
        <w:t xml:space="preserve">J K NO                          </w:t>
      </w:r>
      <w:r w:rsidR="00A66E23">
        <w:rPr>
          <w:rFonts w:ascii="Arial" w:eastAsia="Times New Roman" w:hAnsi="Arial" w:cs="Arial"/>
          <w:b/>
          <w:color w:val="000000"/>
          <w:sz w:val="24"/>
          <w:szCs w:val="24"/>
          <w:lang w:val="en-GB"/>
        </w:rPr>
        <w:t xml:space="preserve">                                   </w:t>
      </w:r>
      <w:r w:rsidR="00082C30">
        <w:rPr>
          <w:rFonts w:ascii="Arial" w:eastAsia="Times New Roman" w:hAnsi="Arial" w:cs="Arial"/>
          <w:b/>
          <w:color w:val="000000"/>
          <w:sz w:val="24"/>
          <w:szCs w:val="24"/>
          <w:lang w:val="en-GB"/>
        </w:rPr>
        <w:t xml:space="preserve">                       </w:t>
      </w:r>
      <w:r w:rsidR="00A66E23">
        <w:rPr>
          <w:rFonts w:ascii="Arial" w:eastAsia="Times New Roman" w:hAnsi="Arial" w:cs="Arial"/>
          <w:b/>
          <w:color w:val="000000"/>
          <w:sz w:val="24"/>
          <w:szCs w:val="24"/>
          <w:lang w:val="en-GB"/>
        </w:rPr>
        <w:tab/>
      </w:r>
      <w:r w:rsidR="00082C30">
        <w:rPr>
          <w:rFonts w:ascii="Arial" w:eastAsia="Times New Roman" w:hAnsi="Arial" w:cs="Arial"/>
          <w:b/>
          <w:color w:val="000000"/>
          <w:sz w:val="24"/>
          <w:szCs w:val="24"/>
          <w:lang w:val="en-GB"/>
        </w:rPr>
        <w:t xml:space="preserve">  </w:t>
      </w:r>
      <w:r w:rsidR="00A66E23">
        <w:rPr>
          <w:rFonts w:ascii="Arial" w:eastAsia="Times New Roman" w:hAnsi="Arial" w:cs="Arial"/>
          <w:b/>
          <w:color w:val="000000"/>
          <w:sz w:val="24"/>
          <w:szCs w:val="24"/>
          <w:lang w:val="en-GB"/>
        </w:rPr>
        <w:t xml:space="preserve"> </w:t>
      </w:r>
      <w:r w:rsidR="00082C30">
        <w:rPr>
          <w:rFonts w:ascii="Arial" w:eastAsia="Times New Roman" w:hAnsi="Arial" w:cs="Arial"/>
          <w:b/>
          <w:color w:val="000000"/>
          <w:sz w:val="24"/>
          <w:szCs w:val="24"/>
          <w:lang w:val="en-GB"/>
        </w:rPr>
        <w:t>SECOND APPELLANT</w:t>
      </w:r>
    </w:p>
    <w:p w14:paraId="61365D6A" w14:textId="4494E77A" w:rsidR="00082C30" w:rsidRDefault="00082C30"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JOHAN VAN ROOYEN NO                                                               THIRD APPELLANT</w:t>
      </w:r>
    </w:p>
    <w:p w14:paraId="44CAFC20" w14:textId="61F15326" w:rsidR="00082C30" w:rsidRDefault="009460A9"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M</w:t>
      </w:r>
      <w:r w:rsidR="00B06D52">
        <w:rPr>
          <w:rFonts w:ascii="Arial" w:eastAsia="Times New Roman" w:hAnsi="Arial" w:cs="Arial"/>
          <w:b/>
          <w:color w:val="000000"/>
          <w:sz w:val="24"/>
          <w:szCs w:val="24"/>
          <w:lang w:val="en-GB"/>
        </w:rPr>
        <w:t xml:space="preserve">J K NO   </w:t>
      </w:r>
      <w:r w:rsidR="00A66E23">
        <w:rPr>
          <w:rFonts w:ascii="Arial" w:eastAsia="Times New Roman" w:hAnsi="Arial" w:cs="Arial"/>
          <w:b/>
          <w:color w:val="000000"/>
          <w:sz w:val="24"/>
          <w:szCs w:val="24"/>
          <w:lang w:val="en-GB"/>
        </w:rPr>
        <w:t xml:space="preserve">                                      </w:t>
      </w:r>
      <w:r w:rsidR="00B06D52">
        <w:rPr>
          <w:rFonts w:ascii="Arial" w:eastAsia="Times New Roman" w:hAnsi="Arial" w:cs="Arial"/>
          <w:b/>
          <w:color w:val="000000"/>
          <w:sz w:val="24"/>
          <w:szCs w:val="24"/>
          <w:lang w:val="en-GB"/>
        </w:rPr>
        <w:t xml:space="preserve">                                               FOURTH APPELLANT</w:t>
      </w:r>
    </w:p>
    <w:p w14:paraId="7F1D115F" w14:textId="63A03357" w:rsidR="00B06D52" w:rsidRDefault="00B06D52"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JOHAN VAN ROOYEN NO                                                               FIFTH APPELLANT</w:t>
      </w:r>
    </w:p>
    <w:p w14:paraId="0AA99834" w14:textId="28CFC866" w:rsidR="00B06D52" w:rsidRDefault="009460A9"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M</w:t>
      </w:r>
      <w:r w:rsidR="00B06D52">
        <w:rPr>
          <w:rFonts w:ascii="Arial" w:eastAsia="Times New Roman" w:hAnsi="Arial" w:cs="Arial"/>
          <w:b/>
          <w:color w:val="000000"/>
          <w:sz w:val="24"/>
          <w:szCs w:val="24"/>
          <w:lang w:val="en-GB"/>
        </w:rPr>
        <w:t>J K NO</w:t>
      </w:r>
      <w:r w:rsidR="00A66E23">
        <w:rPr>
          <w:rFonts w:ascii="Arial" w:eastAsia="Times New Roman" w:hAnsi="Arial" w:cs="Arial"/>
          <w:b/>
          <w:color w:val="000000"/>
          <w:sz w:val="24"/>
          <w:szCs w:val="24"/>
          <w:lang w:val="en-GB"/>
        </w:rPr>
        <w:t xml:space="preserve">          </w:t>
      </w:r>
      <w:r w:rsidR="00B06D52">
        <w:rPr>
          <w:rFonts w:ascii="Arial" w:eastAsia="Times New Roman" w:hAnsi="Arial" w:cs="Arial"/>
          <w:b/>
          <w:color w:val="000000"/>
          <w:sz w:val="24"/>
          <w:szCs w:val="24"/>
          <w:lang w:val="en-GB"/>
        </w:rPr>
        <w:t xml:space="preserve">                                                   </w:t>
      </w:r>
      <w:r w:rsidR="00A66E23">
        <w:rPr>
          <w:rFonts w:ascii="Arial" w:eastAsia="Times New Roman" w:hAnsi="Arial" w:cs="Arial"/>
          <w:b/>
          <w:color w:val="000000"/>
          <w:sz w:val="24"/>
          <w:szCs w:val="24"/>
          <w:lang w:val="en-GB"/>
        </w:rPr>
        <w:tab/>
      </w:r>
      <w:r w:rsidR="00B06D52">
        <w:rPr>
          <w:rFonts w:ascii="Arial" w:eastAsia="Times New Roman" w:hAnsi="Arial" w:cs="Arial"/>
          <w:b/>
          <w:color w:val="000000"/>
          <w:sz w:val="24"/>
          <w:szCs w:val="24"/>
          <w:lang w:val="en-GB"/>
        </w:rPr>
        <w:t xml:space="preserve">   </w:t>
      </w:r>
      <w:r w:rsidR="00A66E23">
        <w:rPr>
          <w:rFonts w:ascii="Arial" w:eastAsia="Times New Roman" w:hAnsi="Arial" w:cs="Arial"/>
          <w:b/>
          <w:color w:val="000000"/>
          <w:sz w:val="24"/>
          <w:szCs w:val="24"/>
          <w:lang w:val="en-GB"/>
        </w:rPr>
        <w:t xml:space="preserve">                            </w:t>
      </w:r>
      <w:r w:rsidR="00B06D52">
        <w:rPr>
          <w:rFonts w:ascii="Arial" w:eastAsia="Times New Roman" w:hAnsi="Arial" w:cs="Arial"/>
          <w:b/>
          <w:color w:val="000000"/>
          <w:sz w:val="24"/>
          <w:szCs w:val="24"/>
          <w:lang w:val="en-GB"/>
        </w:rPr>
        <w:t>SIXTH APPELLANT</w:t>
      </w:r>
    </w:p>
    <w:p w14:paraId="11214905" w14:textId="7A3D2F14" w:rsidR="00B06D52" w:rsidRDefault="00B06D52"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JOHAN VAN ROOYEN NO                                                        SEVENTH APPELLANT</w:t>
      </w:r>
    </w:p>
    <w:p w14:paraId="6A3A8963" w14:textId="79E72FCC" w:rsidR="00B06D52" w:rsidRDefault="009460A9"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I</w:t>
      </w:r>
      <w:r w:rsidR="00B06D52">
        <w:rPr>
          <w:rFonts w:ascii="Arial" w:eastAsia="Times New Roman" w:hAnsi="Arial" w:cs="Arial"/>
          <w:b/>
          <w:color w:val="000000"/>
          <w:sz w:val="24"/>
          <w:szCs w:val="24"/>
          <w:lang w:val="en-GB"/>
        </w:rPr>
        <w:t xml:space="preserve">I K NO                                                                        </w:t>
      </w:r>
      <w:r w:rsidR="00A66E23">
        <w:rPr>
          <w:rFonts w:ascii="Arial" w:eastAsia="Times New Roman" w:hAnsi="Arial" w:cs="Arial"/>
          <w:b/>
          <w:color w:val="000000"/>
          <w:sz w:val="24"/>
          <w:szCs w:val="24"/>
          <w:lang w:val="en-GB"/>
        </w:rPr>
        <w:t xml:space="preserve">                    </w:t>
      </w:r>
      <w:r w:rsidR="00B06D52">
        <w:rPr>
          <w:rFonts w:ascii="Arial" w:eastAsia="Times New Roman" w:hAnsi="Arial" w:cs="Arial"/>
          <w:b/>
          <w:color w:val="000000"/>
          <w:sz w:val="24"/>
          <w:szCs w:val="24"/>
          <w:lang w:val="en-GB"/>
        </w:rPr>
        <w:t>EIGHTH APPELLANT</w:t>
      </w:r>
    </w:p>
    <w:p w14:paraId="0D9E2370" w14:textId="5E3477EE" w:rsidR="00B06D52" w:rsidRPr="00A76148" w:rsidRDefault="009460A9" w:rsidP="007F1413">
      <w:pPr>
        <w:tabs>
          <w:tab w:val="right" w:pos="9356"/>
        </w:tabs>
        <w:spacing w:after="0" w:line="336"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OLIVIA WILD</w:t>
      </w:r>
      <w:r w:rsidR="00B06D52">
        <w:rPr>
          <w:rFonts w:ascii="Arial" w:eastAsia="Times New Roman" w:hAnsi="Arial" w:cs="Arial"/>
          <w:b/>
          <w:color w:val="000000"/>
          <w:sz w:val="24"/>
          <w:szCs w:val="24"/>
          <w:lang w:val="en-GB"/>
        </w:rPr>
        <w:t xml:space="preserve">PLAAS CC                                                                 </w:t>
      </w:r>
      <w:r w:rsidR="007F1413">
        <w:rPr>
          <w:rFonts w:ascii="Arial" w:eastAsia="Times New Roman" w:hAnsi="Arial" w:cs="Arial"/>
          <w:b/>
          <w:color w:val="000000"/>
          <w:sz w:val="24"/>
          <w:szCs w:val="24"/>
          <w:lang w:val="en-GB"/>
        </w:rPr>
        <w:t xml:space="preserve"> </w:t>
      </w:r>
      <w:r w:rsidR="00B06D52">
        <w:rPr>
          <w:rFonts w:ascii="Arial" w:eastAsia="Times New Roman" w:hAnsi="Arial" w:cs="Arial"/>
          <w:b/>
          <w:color w:val="000000"/>
          <w:sz w:val="24"/>
          <w:szCs w:val="24"/>
          <w:lang w:val="en-GB"/>
        </w:rPr>
        <w:t xml:space="preserve">NINTH APPELLANT  </w:t>
      </w:r>
    </w:p>
    <w:p w14:paraId="661110E8" w14:textId="77777777" w:rsidR="00A76148" w:rsidRPr="00A76148" w:rsidRDefault="00A76148" w:rsidP="007F1413">
      <w:pPr>
        <w:tabs>
          <w:tab w:val="right" w:pos="8280"/>
          <w:tab w:val="right" w:pos="9356"/>
        </w:tabs>
        <w:spacing w:after="0" w:line="240" w:lineRule="auto"/>
        <w:ind w:right="4"/>
        <w:jc w:val="both"/>
        <w:rPr>
          <w:rFonts w:ascii="Arial" w:eastAsia="Times New Roman" w:hAnsi="Arial" w:cs="Arial"/>
          <w:color w:val="000000"/>
          <w:sz w:val="24"/>
          <w:szCs w:val="24"/>
          <w:lang w:val="en-GB"/>
        </w:rPr>
      </w:pPr>
    </w:p>
    <w:p w14:paraId="37C27B75" w14:textId="77777777" w:rsidR="00A76148" w:rsidRPr="00A76148" w:rsidRDefault="00A76148" w:rsidP="007F1413">
      <w:pPr>
        <w:tabs>
          <w:tab w:val="right" w:pos="8280"/>
          <w:tab w:val="right" w:pos="9356"/>
        </w:tabs>
        <w:spacing w:after="0" w:line="240" w:lineRule="auto"/>
        <w:ind w:right="4"/>
        <w:jc w:val="both"/>
        <w:rPr>
          <w:rFonts w:ascii="Arial" w:eastAsia="Times New Roman" w:hAnsi="Arial" w:cs="Arial"/>
          <w:bCs/>
          <w:color w:val="000000"/>
          <w:sz w:val="24"/>
          <w:szCs w:val="24"/>
          <w:lang w:val="en-GB"/>
        </w:rPr>
      </w:pPr>
      <w:r w:rsidRPr="00A76148">
        <w:rPr>
          <w:rFonts w:ascii="Arial" w:eastAsia="Times New Roman" w:hAnsi="Arial" w:cs="Arial"/>
          <w:bCs/>
          <w:color w:val="000000"/>
          <w:sz w:val="24"/>
          <w:szCs w:val="24"/>
          <w:lang w:val="en-GB"/>
        </w:rPr>
        <w:t>and</w:t>
      </w:r>
    </w:p>
    <w:p w14:paraId="3B0715EA" w14:textId="63E19EE7" w:rsidR="00A76148" w:rsidRPr="00A76148" w:rsidRDefault="00B06D52" w:rsidP="007F1413">
      <w:pPr>
        <w:tabs>
          <w:tab w:val="right" w:pos="8280"/>
          <w:tab w:val="right" w:pos="9356"/>
        </w:tabs>
        <w:spacing w:after="0" w:line="240" w:lineRule="auto"/>
        <w:ind w:right="4"/>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
    <w:p w14:paraId="19E086C1" w14:textId="49208047" w:rsidR="00A76148" w:rsidRPr="00A76148" w:rsidRDefault="00B06D52" w:rsidP="007F1413">
      <w:pPr>
        <w:tabs>
          <w:tab w:val="right" w:pos="8280"/>
          <w:tab w:val="right" w:pos="9356"/>
        </w:tabs>
        <w:spacing w:after="0" w:line="240" w:lineRule="auto"/>
        <w:ind w:right="4"/>
        <w:jc w:val="both"/>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II</w:t>
      </w:r>
      <w:r w:rsidR="004A24EE">
        <w:rPr>
          <w:rFonts w:ascii="Arial" w:eastAsia="Times New Roman" w:hAnsi="Arial" w:cs="Arial"/>
          <w:b/>
          <w:color w:val="000000"/>
          <w:sz w:val="24"/>
          <w:szCs w:val="24"/>
          <w:lang w:val="en-GB"/>
        </w:rPr>
        <w:t xml:space="preserve"> </w:t>
      </w:r>
      <w:r w:rsidR="00B558DB">
        <w:rPr>
          <w:rFonts w:ascii="Arial" w:eastAsia="Times New Roman" w:hAnsi="Arial" w:cs="Arial"/>
          <w:b/>
          <w:color w:val="000000"/>
          <w:sz w:val="24"/>
          <w:szCs w:val="24"/>
          <w:lang w:val="en-GB"/>
        </w:rPr>
        <w:t>K</w:t>
      </w:r>
      <w:r w:rsidR="004A24EE">
        <w:rPr>
          <w:rFonts w:ascii="Arial" w:eastAsia="Times New Roman" w:hAnsi="Arial" w:cs="Arial"/>
          <w:b/>
          <w:color w:val="000000"/>
          <w:sz w:val="24"/>
          <w:szCs w:val="24"/>
          <w:lang w:val="en-GB"/>
        </w:rPr>
        <w:t xml:space="preserve">                                                                                                              </w:t>
      </w:r>
      <w:r w:rsidR="00A76148" w:rsidRPr="00A76148">
        <w:rPr>
          <w:rFonts w:ascii="Arial" w:eastAsia="Times New Roman" w:hAnsi="Arial" w:cs="Arial"/>
          <w:b/>
          <w:color w:val="000000"/>
          <w:sz w:val="24"/>
          <w:szCs w:val="24"/>
          <w:lang w:val="en-GB"/>
        </w:rPr>
        <w:t>RESPONDENT</w:t>
      </w:r>
    </w:p>
    <w:p w14:paraId="559E5E4C" w14:textId="77777777" w:rsidR="00A76148" w:rsidRPr="00A76148" w:rsidRDefault="00A76148" w:rsidP="007F1413">
      <w:pPr>
        <w:tabs>
          <w:tab w:val="left" w:pos="-1440"/>
          <w:tab w:val="right" w:pos="9356"/>
        </w:tabs>
        <w:spacing w:after="0" w:line="240" w:lineRule="auto"/>
        <w:ind w:left="2160" w:right="-279" w:hanging="2160"/>
        <w:jc w:val="both"/>
        <w:rPr>
          <w:rFonts w:ascii="Arial" w:eastAsia="Times New Roman" w:hAnsi="Arial" w:cs="Arial"/>
          <w:bCs/>
          <w:color w:val="000000"/>
          <w:sz w:val="24"/>
          <w:szCs w:val="24"/>
          <w:lang w:val="en-GB"/>
        </w:rPr>
      </w:pPr>
    </w:p>
    <w:p w14:paraId="37946EB0" w14:textId="77777777" w:rsidR="00A76148" w:rsidRPr="00A76148" w:rsidRDefault="00A76148" w:rsidP="00A76148">
      <w:pPr>
        <w:tabs>
          <w:tab w:val="left" w:pos="-1440"/>
        </w:tabs>
        <w:spacing w:after="0" w:line="240" w:lineRule="auto"/>
        <w:ind w:left="2160" w:right="-329" w:hanging="2160"/>
        <w:jc w:val="both"/>
        <w:rPr>
          <w:rFonts w:ascii="Arial" w:eastAsia="Times New Roman" w:hAnsi="Arial" w:cs="Arial"/>
          <w:bCs/>
          <w:color w:val="000000"/>
          <w:sz w:val="24"/>
          <w:szCs w:val="24"/>
          <w:lang w:val="en-GB"/>
        </w:rPr>
      </w:pPr>
    </w:p>
    <w:p w14:paraId="5467310D" w14:textId="77777777" w:rsidR="00A76148" w:rsidRPr="00A76148" w:rsidRDefault="00A76148" w:rsidP="00A76148">
      <w:pPr>
        <w:tabs>
          <w:tab w:val="left" w:pos="-1440"/>
        </w:tabs>
        <w:spacing w:after="0" w:line="240" w:lineRule="auto"/>
        <w:ind w:left="2160" w:right="-329" w:hanging="2160"/>
        <w:jc w:val="both"/>
        <w:rPr>
          <w:rFonts w:ascii="Arial" w:eastAsia="Times New Roman" w:hAnsi="Arial" w:cs="Arial"/>
          <w:bCs/>
          <w:color w:val="000000"/>
          <w:sz w:val="24"/>
          <w:szCs w:val="24"/>
          <w:lang w:val="en-GB"/>
        </w:rPr>
      </w:pPr>
    </w:p>
    <w:p w14:paraId="15D194C5" w14:textId="3EB9BEF2" w:rsidR="00A76148" w:rsidRPr="00A76148" w:rsidRDefault="00A76148" w:rsidP="00A76148">
      <w:pPr>
        <w:spacing w:after="0" w:line="360" w:lineRule="auto"/>
        <w:ind w:left="2160" w:right="26" w:hanging="2160"/>
        <w:jc w:val="both"/>
        <w:rPr>
          <w:rFonts w:ascii="Arial" w:eastAsia="Times New Roman" w:hAnsi="Arial" w:cs="Arial"/>
          <w:bCs/>
          <w:color w:val="000000"/>
          <w:sz w:val="24"/>
          <w:szCs w:val="24"/>
          <w:lang w:val="en-GB"/>
        </w:rPr>
      </w:pPr>
      <w:r w:rsidRPr="00A76148">
        <w:rPr>
          <w:rFonts w:ascii="Arial" w:eastAsia="Times New Roman" w:hAnsi="Arial" w:cs="Arial"/>
          <w:b/>
          <w:bCs/>
          <w:color w:val="000000"/>
          <w:sz w:val="24"/>
          <w:szCs w:val="24"/>
          <w:lang w:val="en-GB"/>
        </w:rPr>
        <w:t>Neutral Citation:</w:t>
      </w:r>
      <w:r w:rsidRPr="00A76148">
        <w:rPr>
          <w:rFonts w:ascii="Arial" w:eastAsia="Times New Roman" w:hAnsi="Arial" w:cs="Arial"/>
          <w:bCs/>
          <w:color w:val="000000"/>
          <w:sz w:val="24"/>
          <w:szCs w:val="24"/>
          <w:lang w:val="en-GB"/>
        </w:rPr>
        <w:tab/>
      </w:r>
      <w:bookmarkStart w:id="0" w:name="_GoBack"/>
      <w:r w:rsidR="00B558DB">
        <w:rPr>
          <w:rFonts w:ascii="Arial" w:eastAsia="Times New Roman" w:hAnsi="Arial" w:cs="Arial"/>
          <w:bCs/>
          <w:color w:val="000000"/>
          <w:sz w:val="24"/>
          <w:szCs w:val="24"/>
          <w:lang w:val="en-GB"/>
        </w:rPr>
        <w:t>MJ</w:t>
      </w:r>
      <w:r w:rsidR="004A24EE">
        <w:rPr>
          <w:rFonts w:ascii="Arial" w:eastAsia="Times New Roman" w:hAnsi="Arial" w:cs="Arial"/>
          <w:bCs/>
          <w:color w:val="000000"/>
          <w:sz w:val="24"/>
          <w:szCs w:val="24"/>
          <w:lang w:val="en-GB"/>
        </w:rPr>
        <w:t xml:space="preserve"> </w:t>
      </w:r>
      <w:r w:rsidR="00B06D52">
        <w:rPr>
          <w:rFonts w:ascii="Arial" w:eastAsia="Times New Roman" w:hAnsi="Arial" w:cs="Arial"/>
          <w:bCs/>
          <w:i/>
          <w:color w:val="000000"/>
          <w:sz w:val="24"/>
          <w:szCs w:val="24"/>
          <w:lang w:val="en-GB"/>
        </w:rPr>
        <w:t>K</w:t>
      </w:r>
      <w:r w:rsidRPr="00A76148">
        <w:rPr>
          <w:rFonts w:ascii="Arial" w:eastAsia="Times New Roman" w:hAnsi="Arial" w:cs="Arial"/>
          <w:bCs/>
          <w:i/>
          <w:color w:val="000000"/>
          <w:sz w:val="24"/>
          <w:szCs w:val="24"/>
          <w:lang w:val="en-GB"/>
        </w:rPr>
        <w:t xml:space="preserve"> v </w:t>
      </w:r>
      <w:r w:rsidR="00B558DB">
        <w:rPr>
          <w:rFonts w:ascii="Arial" w:eastAsia="Times New Roman" w:hAnsi="Arial" w:cs="Arial"/>
          <w:bCs/>
          <w:i/>
          <w:color w:val="000000"/>
          <w:sz w:val="24"/>
          <w:szCs w:val="24"/>
          <w:lang w:val="en-GB"/>
        </w:rPr>
        <w:t>II</w:t>
      </w:r>
      <w:r w:rsidR="004A24EE">
        <w:rPr>
          <w:rFonts w:ascii="Arial" w:eastAsia="Times New Roman" w:hAnsi="Arial" w:cs="Arial"/>
          <w:bCs/>
          <w:i/>
          <w:color w:val="000000"/>
          <w:sz w:val="24"/>
          <w:szCs w:val="24"/>
          <w:lang w:val="en-GB"/>
        </w:rPr>
        <w:t xml:space="preserve"> </w:t>
      </w:r>
      <w:r w:rsidR="00B06D52">
        <w:rPr>
          <w:rFonts w:ascii="Arial" w:eastAsia="Times New Roman" w:hAnsi="Arial" w:cs="Arial"/>
          <w:bCs/>
          <w:i/>
          <w:color w:val="000000"/>
          <w:sz w:val="24"/>
          <w:szCs w:val="24"/>
          <w:lang w:val="en-GB"/>
        </w:rPr>
        <w:t>K</w:t>
      </w:r>
      <w:r w:rsidRPr="00A76148">
        <w:rPr>
          <w:rFonts w:ascii="Arial" w:eastAsia="Times New Roman" w:hAnsi="Arial" w:cs="Arial"/>
          <w:bCs/>
          <w:color w:val="000000"/>
          <w:sz w:val="24"/>
          <w:szCs w:val="24"/>
          <w:lang w:val="en-GB"/>
        </w:rPr>
        <w:t xml:space="preserve"> (</w:t>
      </w:r>
      <w:r w:rsidR="00B06D52">
        <w:rPr>
          <w:rFonts w:ascii="Arial" w:eastAsia="Times New Roman" w:hAnsi="Arial" w:cs="Arial"/>
          <w:bCs/>
          <w:color w:val="000000"/>
          <w:sz w:val="24"/>
          <w:szCs w:val="24"/>
          <w:lang w:val="en-GB"/>
        </w:rPr>
        <w:t>360/2021</w:t>
      </w:r>
      <w:r w:rsidRPr="00A76148">
        <w:rPr>
          <w:rFonts w:ascii="Arial" w:eastAsia="Times New Roman" w:hAnsi="Arial" w:cs="Arial"/>
          <w:bCs/>
          <w:color w:val="000000"/>
          <w:sz w:val="24"/>
          <w:szCs w:val="24"/>
          <w:lang w:val="en-GB"/>
        </w:rPr>
        <w:t>) [2022] ZASCA</w:t>
      </w:r>
      <w:r w:rsidR="00DD0C84">
        <w:rPr>
          <w:rFonts w:ascii="Arial" w:eastAsia="Times New Roman" w:hAnsi="Arial" w:cs="Arial"/>
          <w:bCs/>
          <w:color w:val="000000"/>
          <w:sz w:val="24"/>
          <w:szCs w:val="24"/>
          <w:lang w:val="en-GB"/>
        </w:rPr>
        <w:t xml:space="preserve"> 116</w:t>
      </w:r>
      <w:r w:rsidR="00DD0C84" w:rsidRPr="00A76148">
        <w:rPr>
          <w:rFonts w:ascii="Arial" w:eastAsia="Times New Roman" w:hAnsi="Arial" w:cs="Arial"/>
          <w:bCs/>
          <w:color w:val="000000"/>
          <w:sz w:val="24"/>
          <w:szCs w:val="24"/>
          <w:lang w:val="en-GB"/>
        </w:rPr>
        <w:t xml:space="preserve"> (</w:t>
      </w:r>
      <w:r w:rsidR="00DD0C84">
        <w:rPr>
          <w:rFonts w:ascii="Arial" w:eastAsia="Times New Roman" w:hAnsi="Arial" w:cs="Arial"/>
          <w:bCs/>
          <w:color w:val="000000"/>
          <w:sz w:val="24"/>
          <w:szCs w:val="24"/>
          <w:lang w:val="en-GB"/>
        </w:rPr>
        <w:t>28</w:t>
      </w:r>
      <w:r w:rsidR="00CA3EB6">
        <w:rPr>
          <w:rFonts w:ascii="Arial" w:eastAsia="Times New Roman" w:hAnsi="Arial" w:cs="Arial"/>
          <w:bCs/>
          <w:color w:val="000000"/>
          <w:sz w:val="24"/>
          <w:szCs w:val="24"/>
          <w:lang w:val="en-GB"/>
        </w:rPr>
        <w:t xml:space="preserve"> July</w:t>
      </w:r>
      <w:r w:rsidRPr="00A76148">
        <w:rPr>
          <w:rFonts w:ascii="Arial" w:eastAsia="Times New Roman" w:hAnsi="Arial" w:cs="Arial"/>
          <w:bCs/>
          <w:color w:val="000000"/>
          <w:sz w:val="24"/>
          <w:szCs w:val="24"/>
          <w:lang w:val="en-GB"/>
        </w:rPr>
        <w:t xml:space="preserve"> 2022)</w:t>
      </w:r>
    </w:p>
    <w:bookmarkEnd w:id="0"/>
    <w:p w14:paraId="24450343" w14:textId="027A58E2" w:rsidR="00A76148" w:rsidRPr="00A76148" w:rsidRDefault="00A76148" w:rsidP="00A76148">
      <w:pPr>
        <w:tabs>
          <w:tab w:val="left" w:pos="-1440"/>
        </w:tabs>
        <w:spacing w:before="120" w:after="0" w:line="360" w:lineRule="auto"/>
        <w:ind w:left="2160" w:right="28" w:hanging="2160"/>
        <w:jc w:val="both"/>
        <w:rPr>
          <w:rFonts w:ascii="Arial" w:eastAsia="Times New Roman" w:hAnsi="Arial" w:cs="Arial"/>
          <w:bCs/>
          <w:color w:val="000000"/>
          <w:sz w:val="24"/>
          <w:szCs w:val="24"/>
          <w:lang w:val="en-GB"/>
        </w:rPr>
      </w:pPr>
      <w:r w:rsidRPr="00A76148">
        <w:rPr>
          <w:rFonts w:ascii="Arial" w:eastAsia="Times New Roman" w:hAnsi="Arial" w:cs="Arial"/>
          <w:b/>
          <w:bCs/>
          <w:color w:val="000000"/>
          <w:sz w:val="24"/>
          <w:szCs w:val="24"/>
          <w:lang w:val="en-GB"/>
        </w:rPr>
        <w:t>Coram:</w:t>
      </w:r>
      <w:r w:rsidRPr="00A76148">
        <w:rPr>
          <w:rFonts w:ascii="Arial" w:eastAsia="Times New Roman" w:hAnsi="Arial" w:cs="Arial"/>
          <w:bCs/>
          <w:color w:val="000000"/>
          <w:sz w:val="24"/>
          <w:szCs w:val="24"/>
          <w:lang w:val="en-GB"/>
        </w:rPr>
        <w:tab/>
        <w:t xml:space="preserve">ZONDI, </w:t>
      </w:r>
      <w:r w:rsidR="00B06D52">
        <w:rPr>
          <w:rFonts w:ascii="Arial" w:eastAsia="Times New Roman" w:hAnsi="Arial" w:cs="Arial"/>
          <w:bCs/>
          <w:color w:val="000000"/>
          <w:sz w:val="24"/>
          <w:szCs w:val="24"/>
          <w:lang w:val="en-GB"/>
        </w:rPr>
        <w:t>SCHIPPERS</w:t>
      </w:r>
      <w:r w:rsidR="00566268">
        <w:rPr>
          <w:rFonts w:ascii="Arial" w:eastAsia="Times New Roman" w:hAnsi="Arial" w:cs="Arial"/>
          <w:bCs/>
          <w:color w:val="000000"/>
          <w:sz w:val="24"/>
          <w:szCs w:val="24"/>
          <w:lang w:val="en-GB"/>
        </w:rPr>
        <w:t xml:space="preserve"> and</w:t>
      </w:r>
      <w:r w:rsidR="00B06D52">
        <w:rPr>
          <w:rFonts w:ascii="Arial" w:eastAsia="Times New Roman" w:hAnsi="Arial" w:cs="Arial"/>
          <w:bCs/>
          <w:color w:val="000000"/>
          <w:sz w:val="24"/>
          <w:szCs w:val="24"/>
          <w:lang w:val="en-GB"/>
        </w:rPr>
        <w:t xml:space="preserve"> MABINDLA-BOQWANA</w:t>
      </w:r>
      <w:r w:rsidRPr="00A76148">
        <w:rPr>
          <w:rFonts w:ascii="Arial" w:eastAsia="Times New Roman" w:hAnsi="Arial" w:cs="Arial"/>
          <w:bCs/>
          <w:color w:val="000000"/>
          <w:sz w:val="24"/>
          <w:szCs w:val="24"/>
          <w:lang w:val="en-GB"/>
        </w:rPr>
        <w:t xml:space="preserve"> JJA and MATOJANE and SMITH AJJA</w:t>
      </w:r>
    </w:p>
    <w:p w14:paraId="069AF5F0" w14:textId="0AE476E9" w:rsidR="00A76148" w:rsidRPr="00A76148" w:rsidRDefault="00A76148" w:rsidP="00A76148">
      <w:pPr>
        <w:tabs>
          <w:tab w:val="left" w:pos="-1440"/>
        </w:tabs>
        <w:spacing w:before="120" w:after="0" w:line="360" w:lineRule="auto"/>
        <w:ind w:left="2160" w:right="-329" w:hanging="2160"/>
        <w:jc w:val="both"/>
        <w:rPr>
          <w:rFonts w:ascii="Arial" w:eastAsia="Times New Roman" w:hAnsi="Arial" w:cs="Arial"/>
          <w:bCs/>
          <w:color w:val="000000"/>
          <w:sz w:val="24"/>
          <w:szCs w:val="24"/>
          <w:lang w:val="en-GB"/>
        </w:rPr>
      </w:pPr>
      <w:r w:rsidRPr="00A76148">
        <w:rPr>
          <w:rFonts w:ascii="Arial" w:eastAsia="Times New Roman" w:hAnsi="Arial" w:cs="Arial"/>
          <w:b/>
          <w:bCs/>
          <w:color w:val="000000"/>
          <w:sz w:val="24"/>
          <w:szCs w:val="24"/>
          <w:lang w:val="en-GB"/>
        </w:rPr>
        <w:t>Heard:</w:t>
      </w:r>
      <w:r w:rsidRPr="00A76148">
        <w:rPr>
          <w:rFonts w:ascii="Arial" w:eastAsia="Times New Roman" w:hAnsi="Arial" w:cs="Arial"/>
          <w:bCs/>
          <w:color w:val="000000"/>
          <w:sz w:val="24"/>
          <w:szCs w:val="24"/>
          <w:lang w:val="en-GB"/>
        </w:rPr>
        <w:tab/>
      </w:r>
      <w:r w:rsidR="00B06D52">
        <w:rPr>
          <w:rFonts w:ascii="Arial" w:eastAsia="Times New Roman" w:hAnsi="Arial" w:cs="Arial"/>
          <w:bCs/>
          <w:color w:val="000000"/>
          <w:sz w:val="24"/>
          <w:szCs w:val="24"/>
          <w:lang w:val="en-GB"/>
        </w:rPr>
        <w:t>19</w:t>
      </w:r>
      <w:r w:rsidRPr="00A76148">
        <w:rPr>
          <w:rFonts w:ascii="Arial" w:eastAsia="Times New Roman" w:hAnsi="Arial" w:cs="Arial"/>
          <w:bCs/>
          <w:color w:val="000000"/>
          <w:sz w:val="24"/>
          <w:szCs w:val="24"/>
          <w:lang w:val="en-GB"/>
        </w:rPr>
        <w:t xml:space="preserve"> May 2022</w:t>
      </w:r>
    </w:p>
    <w:p w14:paraId="01D9AE71" w14:textId="1DBF4E74" w:rsidR="00A76148" w:rsidRPr="00A76148" w:rsidRDefault="00A76148" w:rsidP="00A76148">
      <w:pPr>
        <w:tabs>
          <w:tab w:val="left" w:pos="-1440"/>
        </w:tabs>
        <w:spacing w:before="120" w:after="0" w:line="360" w:lineRule="auto"/>
        <w:ind w:left="2127" w:right="-329" w:hanging="2160"/>
        <w:jc w:val="both"/>
        <w:rPr>
          <w:rFonts w:ascii="Arial" w:eastAsia="Times New Roman" w:hAnsi="Arial" w:cs="Arial"/>
          <w:color w:val="000000"/>
          <w:sz w:val="24"/>
          <w:szCs w:val="24"/>
          <w:lang w:val="en-GB"/>
        </w:rPr>
      </w:pPr>
      <w:r w:rsidRPr="00A76148">
        <w:rPr>
          <w:rFonts w:ascii="Arial" w:eastAsia="Times New Roman" w:hAnsi="Arial" w:cs="Arial"/>
          <w:b/>
          <w:bCs/>
          <w:color w:val="000000"/>
          <w:sz w:val="24"/>
          <w:szCs w:val="24"/>
          <w:lang w:val="en-GB"/>
        </w:rPr>
        <w:t xml:space="preserve">Delivered: </w:t>
      </w:r>
      <w:r w:rsidRPr="00A76148">
        <w:rPr>
          <w:rFonts w:ascii="Arial" w:eastAsia="Times New Roman" w:hAnsi="Arial" w:cs="Arial"/>
          <w:b/>
          <w:color w:val="000000"/>
          <w:sz w:val="24"/>
          <w:szCs w:val="24"/>
          <w:lang w:val="en-GB"/>
        </w:rPr>
        <w:tab/>
      </w:r>
      <w:r w:rsidR="00DD0C84">
        <w:rPr>
          <w:rFonts w:ascii="Arial" w:eastAsia="Times New Roman" w:hAnsi="Arial" w:cs="Arial"/>
          <w:bCs/>
          <w:color w:val="000000"/>
          <w:sz w:val="24"/>
          <w:szCs w:val="24"/>
          <w:lang w:val="en-GB"/>
        </w:rPr>
        <w:t>28</w:t>
      </w:r>
      <w:r w:rsidR="00566268" w:rsidRPr="002717AB">
        <w:rPr>
          <w:rFonts w:ascii="Arial" w:eastAsia="Times New Roman" w:hAnsi="Arial" w:cs="Arial"/>
          <w:bCs/>
          <w:color w:val="000000"/>
          <w:sz w:val="24"/>
          <w:szCs w:val="24"/>
          <w:lang w:val="en-GB"/>
        </w:rPr>
        <w:t xml:space="preserve"> Ju</w:t>
      </w:r>
      <w:r w:rsidR="00E22260">
        <w:rPr>
          <w:rFonts w:ascii="Arial" w:eastAsia="Times New Roman" w:hAnsi="Arial" w:cs="Arial"/>
          <w:bCs/>
          <w:color w:val="000000"/>
          <w:sz w:val="24"/>
          <w:szCs w:val="24"/>
          <w:lang w:val="en-GB"/>
        </w:rPr>
        <w:t>ly</w:t>
      </w:r>
      <w:r w:rsidR="00566268" w:rsidRPr="002717AB">
        <w:rPr>
          <w:rFonts w:ascii="Arial" w:eastAsia="Times New Roman" w:hAnsi="Arial" w:cs="Arial"/>
          <w:bCs/>
          <w:color w:val="000000"/>
          <w:sz w:val="24"/>
          <w:szCs w:val="24"/>
          <w:lang w:val="en-GB"/>
        </w:rPr>
        <w:t xml:space="preserve"> 2022</w:t>
      </w:r>
    </w:p>
    <w:p w14:paraId="1705C5A6" w14:textId="44C3B333" w:rsidR="00A76148" w:rsidRDefault="00A76148" w:rsidP="00A76148">
      <w:pPr>
        <w:tabs>
          <w:tab w:val="left" w:pos="2127"/>
        </w:tabs>
        <w:spacing w:before="120" w:after="0" w:line="360" w:lineRule="auto"/>
        <w:ind w:right="28"/>
        <w:jc w:val="both"/>
        <w:rPr>
          <w:rFonts w:ascii="Arial" w:eastAsia="Times New Roman" w:hAnsi="Arial" w:cs="Arial"/>
          <w:b/>
          <w:bCs/>
          <w:color w:val="000000"/>
          <w:sz w:val="24"/>
          <w:szCs w:val="24"/>
          <w:lang w:val="en-GB"/>
        </w:rPr>
      </w:pPr>
      <w:r w:rsidRPr="00A66E23">
        <w:rPr>
          <w:rFonts w:ascii="Arial" w:eastAsia="Times New Roman" w:hAnsi="Arial" w:cs="Arial"/>
          <w:b/>
          <w:bCs/>
          <w:color w:val="000000"/>
          <w:sz w:val="24"/>
          <w:szCs w:val="24"/>
          <w:lang w:val="en-GB"/>
        </w:rPr>
        <w:lastRenderedPageBreak/>
        <w:t>Summary:</w:t>
      </w:r>
      <w:r w:rsidRPr="00A66E23">
        <w:rPr>
          <w:rFonts w:ascii="Arial" w:eastAsia="Times New Roman" w:hAnsi="Arial" w:cs="Arial"/>
          <w:bCs/>
          <w:color w:val="000000"/>
          <w:sz w:val="24"/>
          <w:szCs w:val="24"/>
          <w:lang w:val="en-GB"/>
        </w:rPr>
        <w:t xml:space="preserve"> </w:t>
      </w:r>
      <w:r w:rsidR="002010CB" w:rsidRPr="00A66E23">
        <w:rPr>
          <w:rFonts w:ascii="Arial" w:eastAsia="Times New Roman" w:hAnsi="Arial" w:cs="Arial"/>
          <w:bCs/>
          <w:color w:val="000000"/>
          <w:sz w:val="24"/>
          <w:szCs w:val="24"/>
          <w:lang w:val="en-GB"/>
        </w:rPr>
        <w:t>Divorce – parties married out of community of property subject to the accrual system – determination of accrual – whether assets of trusts of which</w:t>
      </w:r>
      <w:r w:rsidR="00557E49" w:rsidRPr="00A66E23">
        <w:rPr>
          <w:rFonts w:ascii="Arial" w:eastAsia="Times New Roman" w:hAnsi="Arial" w:cs="Arial"/>
          <w:bCs/>
          <w:color w:val="000000"/>
          <w:sz w:val="24"/>
          <w:szCs w:val="24"/>
          <w:lang w:val="en-GB"/>
        </w:rPr>
        <w:t xml:space="preserve"> the</w:t>
      </w:r>
      <w:r w:rsidR="002010CB" w:rsidRPr="00A66E23">
        <w:rPr>
          <w:rFonts w:ascii="Arial" w:eastAsia="Times New Roman" w:hAnsi="Arial" w:cs="Arial"/>
          <w:bCs/>
          <w:color w:val="000000"/>
          <w:sz w:val="24"/>
          <w:szCs w:val="24"/>
          <w:lang w:val="en-GB"/>
        </w:rPr>
        <w:t xml:space="preserve"> husband is a trustee and the close corporation of which he </w:t>
      </w:r>
      <w:r w:rsidR="004E71BD" w:rsidRPr="00A66E23">
        <w:rPr>
          <w:rFonts w:ascii="Arial" w:eastAsia="Times New Roman" w:hAnsi="Arial" w:cs="Arial"/>
          <w:bCs/>
          <w:color w:val="000000"/>
          <w:sz w:val="24"/>
          <w:szCs w:val="24"/>
          <w:lang w:val="en-GB"/>
        </w:rPr>
        <w:t>is a sole member should be regarded</w:t>
      </w:r>
      <w:r w:rsidR="002010CB" w:rsidRPr="00A66E23">
        <w:rPr>
          <w:rFonts w:ascii="Arial" w:eastAsia="Times New Roman" w:hAnsi="Arial" w:cs="Arial"/>
          <w:bCs/>
          <w:color w:val="000000"/>
          <w:sz w:val="24"/>
          <w:szCs w:val="24"/>
          <w:lang w:val="en-GB"/>
        </w:rPr>
        <w:t xml:space="preserve"> as belonging to husband for purposes of determining</w:t>
      </w:r>
      <w:r w:rsidR="00557E49" w:rsidRPr="00A66E23">
        <w:rPr>
          <w:rFonts w:ascii="Arial" w:eastAsia="Times New Roman" w:hAnsi="Arial" w:cs="Arial"/>
          <w:bCs/>
          <w:color w:val="000000"/>
          <w:sz w:val="24"/>
          <w:szCs w:val="24"/>
          <w:lang w:val="en-GB"/>
        </w:rPr>
        <w:t xml:space="preserve"> the</w:t>
      </w:r>
      <w:r w:rsidR="002010CB" w:rsidRPr="00A66E23">
        <w:rPr>
          <w:rFonts w:ascii="Arial" w:eastAsia="Times New Roman" w:hAnsi="Arial" w:cs="Arial"/>
          <w:bCs/>
          <w:color w:val="000000"/>
          <w:sz w:val="24"/>
          <w:szCs w:val="24"/>
          <w:lang w:val="en-GB"/>
        </w:rPr>
        <w:t xml:space="preserve"> accrual of his estate – legal basis to pierce the veneer of trusts not established – appeal </w:t>
      </w:r>
      <w:r w:rsidR="004E71BD" w:rsidRPr="00A66E23">
        <w:rPr>
          <w:rFonts w:ascii="Arial" w:eastAsia="Times New Roman" w:hAnsi="Arial" w:cs="Arial"/>
          <w:bCs/>
          <w:color w:val="000000"/>
          <w:sz w:val="24"/>
          <w:szCs w:val="24"/>
          <w:lang w:val="en-GB"/>
        </w:rPr>
        <w:t>upheld</w:t>
      </w:r>
      <w:r w:rsidR="00FC2685" w:rsidRPr="00A66E23">
        <w:rPr>
          <w:rFonts w:ascii="Arial" w:eastAsia="Times New Roman" w:hAnsi="Arial" w:cs="Arial"/>
          <w:bCs/>
          <w:color w:val="000000"/>
          <w:sz w:val="24"/>
          <w:szCs w:val="24"/>
          <w:lang w:val="en-GB"/>
        </w:rPr>
        <w:t>.</w:t>
      </w:r>
    </w:p>
    <w:p w14:paraId="461D92ED" w14:textId="64914FDC" w:rsidR="003F2298" w:rsidRDefault="003F2298">
      <w:pPr>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br w:type="page"/>
      </w:r>
    </w:p>
    <w:p w14:paraId="35B19A91" w14:textId="77777777" w:rsidR="00CF4947" w:rsidRPr="00A76148" w:rsidRDefault="00CF4947" w:rsidP="00A76148">
      <w:pPr>
        <w:tabs>
          <w:tab w:val="left" w:pos="2127"/>
        </w:tabs>
        <w:spacing w:before="120" w:after="0" w:line="360" w:lineRule="auto"/>
        <w:ind w:right="28"/>
        <w:jc w:val="both"/>
        <w:rPr>
          <w:rFonts w:ascii="Arial" w:eastAsia="Times New Roman" w:hAnsi="Arial" w:cs="Arial"/>
          <w:bCs/>
          <w:color w:val="000000"/>
          <w:sz w:val="24"/>
          <w:szCs w:val="24"/>
          <w:lang w:val="en-GB"/>
        </w:rPr>
      </w:pPr>
    </w:p>
    <w:p w14:paraId="0926759B" w14:textId="13576992" w:rsidR="00CF4947" w:rsidRPr="00CF4947" w:rsidRDefault="00CF4947" w:rsidP="00CF4947">
      <w:pPr>
        <w:spacing w:after="0" w:line="240" w:lineRule="auto"/>
        <w:ind w:right="-58"/>
        <w:jc w:val="both"/>
        <w:rPr>
          <w:rFonts w:ascii="Arial" w:eastAsia="Times New Roman" w:hAnsi="Arial" w:cs="Arial"/>
          <w:bCs/>
          <w:color w:val="000000"/>
          <w:sz w:val="24"/>
          <w:szCs w:val="24"/>
          <w:lang w:val="en-GB"/>
        </w:rPr>
      </w:pPr>
      <w:r w:rsidRPr="00CF4947">
        <w:rPr>
          <w:rFonts w:ascii="Arial" w:eastAsia="Times New Roman" w:hAnsi="Arial" w:cs="Arial"/>
          <w:bCs/>
          <w:color w:val="000000"/>
          <w:sz w:val="24"/>
          <w:szCs w:val="24"/>
          <w:lang w:val="en-GB"/>
        </w:rPr>
        <w:t>______________________________________________________________</w:t>
      </w:r>
      <w:r>
        <w:rPr>
          <w:rFonts w:ascii="Arial" w:eastAsia="Times New Roman" w:hAnsi="Arial" w:cs="Arial"/>
          <w:bCs/>
          <w:color w:val="000000"/>
          <w:sz w:val="24"/>
          <w:szCs w:val="24"/>
          <w:lang w:val="en-GB"/>
        </w:rPr>
        <w:t>_______</w:t>
      </w:r>
    </w:p>
    <w:p w14:paraId="237A7D3F" w14:textId="77777777" w:rsidR="00CF4947" w:rsidRPr="00CF4947" w:rsidRDefault="00CF4947" w:rsidP="00CF4947">
      <w:pPr>
        <w:spacing w:after="0" w:line="240" w:lineRule="auto"/>
        <w:ind w:left="720" w:right="26" w:hanging="720"/>
        <w:jc w:val="center"/>
        <w:rPr>
          <w:rFonts w:ascii="Arial" w:eastAsia="Times New Roman" w:hAnsi="Arial" w:cs="Arial"/>
          <w:bCs/>
          <w:color w:val="000000"/>
          <w:sz w:val="24"/>
          <w:szCs w:val="24"/>
          <w:lang w:val="en-GB"/>
        </w:rPr>
      </w:pPr>
    </w:p>
    <w:p w14:paraId="2D23ADBC" w14:textId="77777777" w:rsidR="00CF4947" w:rsidRPr="00CF4947" w:rsidRDefault="00CF4947" w:rsidP="00CF4947">
      <w:pPr>
        <w:tabs>
          <w:tab w:val="right" w:pos="8197"/>
        </w:tabs>
        <w:spacing w:after="0" w:line="240" w:lineRule="auto"/>
        <w:ind w:left="720" w:right="26" w:hanging="720"/>
        <w:jc w:val="center"/>
        <w:rPr>
          <w:rFonts w:ascii="Arial" w:eastAsia="Times New Roman" w:hAnsi="Arial" w:cs="Arial"/>
          <w:b/>
          <w:bCs/>
          <w:color w:val="000000"/>
          <w:sz w:val="24"/>
          <w:szCs w:val="24"/>
          <w:lang w:val="en-GB"/>
        </w:rPr>
      </w:pPr>
      <w:r w:rsidRPr="00CF4947">
        <w:rPr>
          <w:rFonts w:ascii="Arial" w:eastAsia="Times New Roman" w:hAnsi="Arial" w:cs="Arial"/>
          <w:b/>
          <w:bCs/>
          <w:color w:val="000000"/>
          <w:sz w:val="24"/>
          <w:szCs w:val="24"/>
          <w:lang w:val="en-GB"/>
        </w:rPr>
        <w:t>ORDER</w:t>
      </w:r>
    </w:p>
    <w:p w14:paraId="4CCCC296" w14:textId="1049339E" w:rsidR="00CF4947" w:rsidRPr="00CF4947" w:rsidRDefault="00CF4947" w:rsidP="00CF4947">
      <w:pPr>
        <w:spacing w:after="0" w:line="240" w:lineRule="auto"/>
        <w:ind w:right="26"/>
        <w:jc w:val="both"/>
        <w:rPr>
          <w:rFonts w:ascii="Arial" w:eastAsia="Times New Roman" w:hAnsi="Arial" w:cs="Arial"/>
          <w:bCs/>
          <w:color w:val="000000"/>
          <w:sz w:val="24"/>
          <w:szCs w:val="24"/>
          <w:lang w:val="en-GB"/>
        </w:rPr>
      </w:pPr>
      <w:r w:rsidRPr="00CF4947">
        <w:rPr>
          <w:rFonts w:ascii="Arial" w:eastAsia="Times New Roman" w:hAnsi="Arial" w:cs="Arial"/>
          <w:bCs/>
          <w:color w:val="000000"/>
          <w:sz w:val="24"/>
          <w:szCs w:val="24"/>
          <w:lang w:val="en-GB"/>
        </w:rPr>
        <w:t>______________________________________________________________</w:t>
      </w:r>
      <w:r>
        <w:rPr>
          <w:rFonts w:ascii="Arial" w:eastAsia="Times New Roman" w:hAnsi="Arial" w:cs="Arial"/>
          <w:bCs/>
          <w:color w:val="000000"/>
          <w:sz w:val="24"/>
          <w:szCs w:val="24"/>
          <w:lang w:val="en-GB"/>
        </w:rPr>
        <w:t>_______</w:t>
      </w:r>
    </w:p>
    <w:p w14:paraId="6651E4A8" w14:textId="77777777" w:rsidR="00CF4947" w:rsidRPr="00CF4947" w:rsidRDefault="00CF4947" w:rsidP="00CF4947">
      <w:pPr>
        <w:spacing w:after="0" w:line="360" w:lineRule="auto"/>
        <w:jc w:val="both"/>
        <w:rPr>
          <w:rFonts w:ascii="Arial" w:eastAsia="Times New Roman" w:hAnsi="Arial" w:cs="Arial"/>
          <w:color w:val="000000"/>
          <w:sz w:val="24"/>
          <w:szCs w:val="24"/>
          <w:lang w:val="en-GB"/>
        </w:rPr>
      </w:pPr>
    </w:p>
    <w:p w14:paraId="6EBDFE02" w14:textId="5108B50E" w:rsidR="00CF4947" w:rsidRPr="00A66E23" w:rsidRDefault="00CF4947" w:rsidP="00CF4947">
      <w:pPr>
        <w:spacing w:after="0" w:line="360" w:lineRule="auto"/>
        <w:jc w:val="both"/>
        <w:rPr>
          <w:rFonts w:ascii="Arial" w:eastAsia="Times New Roman" w:hAnsi="Arial" w:cs="Arial"/>
          <w:color w:val="000000"/>
          <w:sz w:val="24"/>
          <w:szCs w:val="24"/>
          <w:lang w:val="en-GB"/>
        </w:rPr>
      </w:pPr>
      <w:r w:rsidRPr="00A66E23">
        <w:rPr>
          <w:rFonts w:ascii="Arial" w:eastAsia="Times New Roman" w:hAnsi="Arial" w:cs="Arial"/>
          <w:b/>
          <w:color w:val="000000"/>
          <w:sz w:val="24"/>
          <w:szCs w:val="24"/>
          <w:lang w:val="en-GB"/>
        </w:rPr>
        <w:t>On appeal from</w:t>
      </w:r>
      <w:r w:rsidRPr="00A66E23">
        <w:rPr>
          <w:rFonts w:ascii="Arial" w:eastAsia="Times New Roman" w:hAnsi="Arial" w:cs="Arial"/>
          <w:color w:val="000000"/>
          <w:sz w:val="24"/>
          <w:szCs w:val="24"/>
          <w:lang w:val="en-GB"/>
        </w:rPr>
        <w:t>: The Free State Division of the Hig</w:t>
      </w:r>
      <w:r w:rsidR="009460A9">
        <w:rPr>
          <w:rFonts w:ascii="Arial" w:eastAsia="Times New Roman" w:hAnsi="Arial" w:cs="Arial"/>
          <w:color w:val="000000"/>
          <w:sz w:val="24"/>
          <w:szCs w:val="24"/>
          <w:lang w:val="en-GB"/>
        </w:rPr>
        <w:t>h Court, Bloemfontein (Mbhele J</w:t>
      </w:r>
      <w:r w:rsidRPr="00A66E23">
        <w:rPr>
          <w:rFonts w:ascii="Arial" w:eastAsia="Times New Roman" w:hAnsi="Arial" w:cs="Arial"/>
          <w:color w:val="000000"/>
          <w:sz w:val="24"/>
          <w:szCs w:val="24"/>
          <w:lang w:val="en-GB"/>
        </w:rPr>
        <w:t xml:space="preserve"> sitting as court of first instance</w:t>
      </w:r>
      <w:r w:rsidR="009460A9">
        <w:rPr>
          <w:rFonts w:ascii="Arial" w:eastAsia="Times New Roman" w:hAnsi="Arial" w:cs="Arial"/>
          <w:color w:val="000000"/>
          <w:sz w:val="24"/>
          <w:szCs w:val="24"/>
          <w:lang w:val="en-GB"/>
        </w:rPr>
        <w:t>)</w:t>
      </w:r>
      <w:r w:rsidRPr="00A66E23">
        <w:rPr>
          <w:rFonts w:ascii="Arial" w:eastAsia="Times New Roman" w:hAnsi="Arial" w:cs="Arial"/>
          <w:color w:val="000000"/>
          <w:sz w:val="24"/>
          <w:szCs w:val="24"/>
          <w:lang w:val="en-GB"/>
        </w:rPr>
        <w:t>:</w:t>
      </w:r>
    </w:p>
    <w:p w14:paraId="191B9E26" w14:textId="16963DF5" w:rsidR="00CF4947" w:rsidRPr="00A66E23" w:rsidRDefault="00CF4947" w:rsidP="00CF4947">
      <w:pPr>
        <w:spacing w:after="0" w:line="360" w:lineRule="auto"/>
        <w:jc w:val="both"/>
        <w:rPr>
          <w:rFonts w:ascii="Arial" w:eastAsia="Times New Roman" w:hAnsi="Arial" w:cs="Arial"/>
          <w:color w:val="000000"/>
          <w:sz w:val="24"/>
          <w:szCs w:val="24"/>
        </w:rPr>
      </w:pPr>
      <w:r w:rsidRPr="00A66E23">
        <w:rPr>
          <w:rFonts w:ascii="Arial" w:eastAsia="Times New Roman" w:hAnsi="Arial" w:cs="Arial"/>
          <w:color w:val="000000"/>
          <w:sz w:val="24"/>
          <w:szCs w:val="24"/>
        </w:rPr>
        <w:t>1</w:t>
      </w:r>
      <w:r w:rsidR="00DB686B" w:rsidRPr="00A66E23">
        <w:rPr>
          <w:rFonts w:ascii="Arial" w:eastAsia="Times New Roman" w:hAnsi="Arial" w:cs="Arial"/>
          <w:color w:val="000000"/>
          <w:sz w:val="24"/>
          <w:szCs w:val="24"/>
        </w:rPr>
        <w:tab/>
      </w:r>
      <w:r w:rsidRPr="00A66E23">
        <w:rPr>
          <w:rFonts w:ascii="Arial" w:eastAsia="Times New Roman" w:hAnsi="Arial" w:cs="Arial"/>
          <w:color w:val="000000"/>
          <w:sz w:val="24"/>
          <w:szCs w:val="24"/>
        </w:rPr>
        <w:t>The appeal is upheld with costs including costs of two counsel;</w:t>
      </w:r>
    </w:p>
    <w:p w14:paraId="538ECFC6" w14:textId="404C1968" w:rsidR="00CF4947" w:rsidRPr="00A66E23" w:rsidRDefault="00CF4947" w:rsidP="00CF4947">
      <w:pPr>
        <w:spacing w:after="0" w:line="360" w:lineRule="auto"/>
        <w:jc w:val="both"/>
        <w:rPr>
          <w:rFonts w:ascii="Arial" w:eastAsia="Times New Roman" w:hAnsi="Arial" w:cs="Arial"/>
          <w:color w:val="000000"/>
          <w:sz w:val="24"/>
          <w:szCs w:val="24"/>
        </w:rPr>
      </w:pPr>
      <w:r w:rsidRPr="00A66E23">
        <w:rPr>
          <w:rFonts w:ascii="Arial" w:eastAsia="Times New Roman" w:hAnsi="Arial" w:cs="Arial"/>
          <w:color w:val="000000"/>
          <w:sz w:val="24"/>
          <w:szCs w:val="24"/>
        </w:rPr>
        <w:t>2</w:t>
      </w:r>
      <w:r w:rsidR="00DB686B" w:rsidRPr="00A66E23">
        <w:rPr>
          <w:rFonts w:ascii="Arial" w:eastAsia="Times New Roman" w:hAnsi="Arial" w:cs="Arial"/>
          <w:color w:val="000000"/>
          <w:sz w:val="24"/>
          <w:szCs w:val="24"/>
        </w:rPr>
        <w:tab/>
      </w:r>
      <w:r w:rsidRPr="00A66E23">
        <w:rPr>
          <w:rFonts w:ascii="Arial" w:eastAsia="Times New Roman" w:hAnsi="Arial" w:cs="Arial"/>
          <w:color w:val="000000"/>
          <w:sz w:val="24"/>
          <w:szCs w:val="24"/>
        </w:rPr>
        <w:t>Paragraphs 2 and 6 of the High Co</w:t>
      </w:r>
      <w:r w:rsidR="004E71BD" w:rsidRPr="00A66E23">
        <w:rPr>
          <w:rFonts w:ascii="Arial" w:eastAsia="Times New Roman" w:hAnsi="Arial" w:cs="Arial"/>
          <w:color w:val="000000"/>
          <w:sz w:val="24"/>
          <w:szCs w:val="24"/>
        </w:rPr>
        <w:t xml:space="preserve">urt order are set aside and </w:t>
      </w:r>
      <w:r w:rsidRPr="00A66E23">
        <w:rPr>
          <w:rFonts w:ascii="Arial" w:eastAsia="Times New Roman" w:hAnsi="Arial" w:cs="Arial"/>
          <w:color w:val="000000"/>
          <w:sz w:val="24"/>
          <w:szCs w:val="24"/>
        </w:rPr>
        <w:t xml:space="preserve">replaced </w:t>
      </w:r>
      <w:r w:rsidR="009460A9">
        <w:rPr>
          <w:rFonts w:ascii="Arial" w:eastAsia="Times New Roman" w:hAnsi="Arial" w:cs="Arial"/>
          <w:color w:val="000000"/>
          <w:sz w:val="24"/>
          <w:szCs w:val="24"/>
        </w:rPr>
        <w:t>with the following order</w:t>
      </w:r>
      <w:r w:rsidRPr="00A66E23">
        <w:rPr>
          <w:rFonts w:ascii="Arial" w:eastAsia="Times New Roman" w:hAnsi="Arial" w:cs="Arial"/>
          <w:color w:val="000000"/>
          <w:sz w:val="24"/>
          <w:szCs w:val="24"/>
        </w:rPr>
        <w:t>:</w:t>
      </w:r>
    </w:p>
    <w:p w14:paraId="652B1323" w14:textId="42778C1D" w:rsidR="00A120A4" w:rsidRPr="003F2298" w:rsidRDefault="00E52116" w:rsidP="003F2298">
      <w:pPr>
        <w:spacing w:after="0" w:line="360" w:lineRule="auto"/>
        <w:ind w:firstLine="737"/>
        <w:jc w:val="both"/>
        <w:rPr>
          <w:rFonts w:ascii="Arial" w:eastAsia="Times New Roman" w:hAnsi="Arial" w:cs="Arial"/>
          <w:color w:val="000000"/>
          <w:sz w:val="24"/>
          <w:szCs w:val="24"/>
        </w:rPr>
      </w:pPr>
      <w:r w:rsidRPr="00A66E23">
        <w:rPr>
          <w:rFonts w:ascii="Arial" w:eastAsia="Times New Roman" w:hAnsi="Arial" w:cs="Arial"/>
          <w:color w:val="000000"/>
          <w:sz w:val="24"/>
          <w:szCs w:val="24"/>
        </w:rPr>
        <w:t>‘</w:t>
      </w:r>
      <w:bookmarkStart w:id="1" w:name="_Hlk106630369"/>
      <w:r w:rsidR="00CF4947" w:rsidRPr="00A66E23">
        <w:rPr>
          <w:rFonts w:ascii="Arial" w:eastAsia="Times New Roman" w:hAnsi="Arial" w:cs="Arial"/>
          <w:color w:val="000000"/>
          <w:sz w:val="24"/>
          <w:szCs w:val="24"/>
        </w:rPr>
        <w:t xml:space="preserve">The plaintiff’s claim for an order that the assets of the Koens Besigheids Trust, </w:t>
      </w:r>
      <w:r w:rsidR="00CF4947" w:rsidRPr="00A66E23">
        <w:rPr>
          <w:rFonts w:ascii="Arial" w:eastAsia="Times New Roman" w:hAnsi="Arial" w:cs="Arial"/>
          <w:color w:val="000000"/>
          <w:sz w:val="24"/>
          <w:szCs w:val="24"/>
        </w:rPr>
        <w:tab/>
        <w:t xml:space="preserve">the </w:t>
      </w:r>
      <w:r w:rsidR="004E71BD" w:rsidRPr="00A66E23">
        <w:rPr>
          <w:rFonts w:ascii="Arial" w:eastAsia="Times New Roman" w:hAnsi="Arial" w:cs="Arial"/>
          <w:color w:val="000000"/>
          <w:sz w:val="24"/>
          <w:szCs w:val="24"/>
        </w:rPr>
        <w:t>Koens Familie Trust, the Bulhoek</w:t>
      </w:r>
      <w:r w:rsidR="00CF4947" w:rsidRPr="00A66E23">
        <w:rPr>
          <w:rFonts w:ascii="Arial" w:eastAsia="Times New Roman" w:hAnsi="Arial" w:cs="Arial"/>
          <w:color w:val="000000"/>
          <w:sz w:val="24"/>
          <w:szCs w:val="24"/>
        </w:rPr>
        <w:t xml:space="preserve"> Trust and Olivia Wildplaas CC are to be </w:t>
      </w:r>
      <w:r w:rsidR="00CF4947" w:rsidRPr="00A66E23">
        <w:rPr>
          <w:rFonts w:ascii="Arial" w:eastAsia="Times New Roman" w:hAnsi="Arial" w:cs="Arial"/>
          <w:color w:val="000000"/>
          <w:sz w:val="24"/>
          <w:szCs w:val="24"/>
        </w:rPr>
        <w:tab/>
        <w:t>used to calculate the accrual of the first defendant’s estate is dismissed with costs</w:t>
      </w:r>
      <w:r w:rsidR="009460A9">
        <w:rPr>
          <w:rFonts w:ascii="Arial" w:eastAsia="Times New Roman" w:hAnsi="Arial" w:cs="Arial"/>
          <w:color w:val="000000"/>
          <w:sz w:val="24"/>
          <w:szCs w:val="24"/>
        </w:rPr>
        <w:t>,</w:t>
      </w:r>
      <w:r w:rsidR="00CF4947" w:rsidRPr="00A66E23">
        <w:rPr>
          <w:rFonts w:ascii="Arial" w:eastAsia="Times New Roman" w:hAnsi="Arial" w:cs="Arial"/>
          <w:color w:val="000000"/>
          <w:sz w:val="24"/>
          <w:szCs w:val="24"/>
        </w:rPr>
        <w:t xml:space="preserve"> </w:t>
      </w:r>
      <w:r w:rsidR="00CF4947" w:rsidRPr="00A66E23">
        <w:rPr>
          <w:rFonts w:ascii="Arial" w:eastAsia="Times New Roman" w:hAnsi="Arial" w:cs="Arial"/>
          <w:color w:val="000000"/>
          <w:sz w:val="24"/>
          <w:szCs w:val="24"/>
        </w:rPr>
        <w:tab/>
        <w:t xml:space="preserve">including </w:t>
      </w:r>
      <w:r w:rsidR="009E54B6" w:rsidRPr="00A66E23">
        <w:rPr>
          <w:rFonts w:ascii="Arial" w:eastAsia="Times New Roman" w:hAnsi="Arial" w:cs="Arial"/>
          <w:color w:val="000000"/>
          <w:sz w:val="24"/>
          <w:szCs w:val="24"/>
        </w:rPr>
        <w:t xml:space="preserve">the </w:t>
      </w:r>
      <w:r w:rsidR="00CF4947" w:rsidRPr="00A66E23">
        <w:rPr>
          <w:rFonts w:ascii="Arial" w:eastAsia="Times New Roman" w:hAnsi="Arial" w:cs="Arial"/>
          <w:color w:val="000000"/>
          <w:sz w:val="24"/>
          <w:szCs w:val="24"/>
        </w:rPr>
        <w:t xml:space="preserve">costs of two counsel where </w:t>
      </w:r>
      <w:r w:rsidR="009E54B6" w:rsidRPr="00A66E23">
        <w:rPr>
          <w:rFonts w:ascii="Arial" w:eastAsia="Times New Roman" w:hAnsi="Arial" w:cs="Arial"/>
          <w:color w:val="000000"/>
          <w:sz w:val="24"/>
          <w:szCs w:val="24"/>
        </w:rPr>
        <w:t xml:space="preserve">so </w:t>
      </w:r>
      <w:r w:rsidR="00CF4947" w:rsidRPr="00A66E23">
        <w:rPr>
          <w:rFonts w:ascii="Arial" w:eastAsia="Times New Roman" w:hAnsi="Arial" w:cs="Arial"/>
          <w:color w:val="000000"/>
          <w:sz w:val="24"/>
          <w:szCs w:val="24"/>
        </w:rPr>
        <w:t>employed</w:t>
      </w:r>
      <w:bookmarkEnd w:id="1"/>
      <w:r w:rsidR="00CF4947" w:rsidRPr="00A66E23">
        <w:rPr>
          <w:rFonts w:ascii="Arial" w:eastAsia="Times New Roman" w:hAnsi="Arial" w:cs="Arial"/>
          <w:color w:val="000000"/>
          <w:sz w:val="24"/>
          <w:szCs w:val="24"/>
        </w:rPr>
        <w:t>.’</w:t>
      </w:r>
    </w:p>
    <w:p w14:paraId="014B8082" w14:textId="004FD84F" w:rsidR="00A76148" w:rsidRPr="00A76148" w:rsidRDefault="00A76148" w:rsidP="00A76148">
      <w:pPr>
        <w:spacing w:after="0" w:line="480" w:lineRule="auto"/>
        <w:jc w:val="both"/>
        <w:rPr>
          <w:rFonts w:ascii="Arial" w:eastAsia="Times New Roman" w:hAnsi="Arial" w:cs="Arial"/>
          <w:color w:val="000000"/>
          <w:sz w:val="24"/>
          <w:szCs w:val="24"/>
          <w:lang w:val="en-GB"/>
        </w:rPr>
      </w:pPr>
      <w:r w:rsidRPr="00A76148">
        <w:rPr>
          <w:rFonts w:ascii="Arial" w:eastAsia="Times New Roman" w:hAnsi="Arial" w:cs="Arial"/>
          <w:bCs/>
          <w:color w:val="000000"/>
          <w:sz w:val="24"/>
          <w:szCs w:val="24"/>
          <w:lang w:val="en-GB"/>
        </w:rPr>
        <w:t>______________________________________________________________</w:t>
      </w:r>
      <w:r>
        <w:rPr>
          <w:rFonts w:ascii="Arial" w:eastAsia="Times New Roman" w:hAnsi="Arial" w:cs="Arial"/>
          <w:bCs/>
          <w:color w:val="000000"/>
          <w:sz w:val="24"/>
          <w:szCs w:val="24"/>
          <w:lang w:val="en-GB"/>
        </w:rPr>
        <w:t>_______</w:t>
      </w:r>
    </w:p>
    <w:p w14:paraId="488DBA3E" w14:textId="77777777" w:rsidR="00A76148" w:rsidRPr="00A76148" w:rsidRDefault="00A76148" w:rsidP="00A76148">
      <w:pPr>
        <w:tabs>
          <w:tab w:val="right" w:pos="8197"/>
        </w:tabs>
        <w:spacing w:after="0" w:line="240" w:lineRule="auto"/>
        <w:ind w:left="720" w:right="26" w:hanging="720"/>
        <w:jc w:val="center"/>
        <w:rPr>
          <w:rFonts w:ascii="Arial" w:eastAsia="Times New Roman" w:hAnsi="Arial" w:cs="Arial"/>
          <w:b/>
          <w:bCs/>
          <w:color w:val="000000"/>
          <w:sz w:val="24"/>
          <w:szCs w:val="24"/>
          <w:lang w:val="en-GB"/>
        </w:rPr>
      </w:pPr>
      <w:r w:rsidRPr="00A76148">
        <w:rPr>
          <w:rFonts w:ascii="Arial" w:eastAsia="Times New Roman" w:hAnsi="Arial" w:cs="Arial"/>
          <w:b/>
          <w:bCs/>
          <w:color w:val="000000"/>
          <w:sz w:val="24"/>
          <w:szCs w:val="24"/>
          <w:lang w:val="en-GB"/>
        </w:rPr>
        <w:t>JUDGMENT</w:t>
      </w:r>
    </w:p>
    <w:p w14:paraId="002EAD27" w14:textId="2621F8BB" w:rsidR="00A76148" w:rsidRPr="00A76148" w:rsidRDefault="00A76148" w:rsidP="00A76148">
      <w:pPr>
        <w:spacing w:after="0" w:line="240" w:lineRule="auto"/>
        <w:ind w:right="26"/>
        <w:jc w:val="both"/>
        <w:rPr>
          <w:rFonts w:ascii="Arial" w:eastAsia="Times New Roman" w:hAnsi="Arial" w:cs="Arial"/>
          <w:bCs/>
          <w:color w:val="000000"/>
          <w:sz w:val="24"/>
          <w:szCs w:val="24"/>
          <w:lang w:val="en-GB"/>
        </w:rPr>
      </w:pPr>
      <w:r w:rsidRPr="00A76148">
        <w:rPr>
          <w:rFonts w:ascii="Arial" w:eastAsia="Times New Roman" w:hAnsi="Arial" w:cs="Arial"/>
          <w:bCs/>
          <w:color w:val="000000"/>
          <w:sz w:val="24"/>
          <w:szCs w:val="24"/>
          <w:lang w:val="en-GB"/>
        </w:rPr>
        <w:t>______________________________________________________________</w:t>
      </w:r>
      <w:r>
        <w:rPr>
          <w:rFonts w:ascii="Arial" w:eastAsia="Times New Roman" w:hAnsi="Arial" w:cs="Arial"/>
          <w:bCs/>
          <w:color w:val="000000"/>
          <w:sz w:val="24"/>
          <w:szCs w:val="24"/>
          <w:lang w:val="en-GB"/>
        </w:rPr>
        <w:t>_______</w:t>
      </w:r>
    </w:p>
    <w:p w14:paraId="19B55AD5" w14:textId="77777777" w:rsidR="00A76148" w:rsidRPr="00A76148" w:rsidRDefault="00A76148" w:rsidP="00A76148">
      <w:pPr>
        <w:tabs>
          <w:tab w:val="left" w:pos="-1440"/>
        </w:tabs>
        <w:spacing w:after="0" w:line="360" w:lineRule="auto"/>
        <w:ind w:right="-329"/>
        <w:jc w:val="both"/>
        <w:rPr>
          <w:rFonts w:ascii="Arial" w:eastAsia="Times New Roman" w:hAnsi="Arial" w:cs="Arial"/>
          <w:color w:val="000000"/>
          <w:sz w:val="24"/>
          <w:szCs w:val="24"/>
          <w:lang w:val="en-GB"/>
        </w:rPr>
      </w:pPr>
    </w:p>
    <w:p w14:paraId="5D6A508E" w14:textId="3E5D010F" w:rsidR="00A76148" w:rsidRPr="00A76148" w:rsidRDefault="00A76148" w:rsidP="00A76148">
      <w:pPr>
        <w:tabs>
          <w:tab w:val="left" w:pos="-1440"/>
        </w:tabs>
        <w:spacing w:after="0" w:line="360" w:lineRule="auto"/>
        <w:ind w:right="26"/>
        <w:jc w:val="both"/>
        <w:rPr>
          <w:rFonts w:ascii="Arial" w:eastAsia="Times New Roman" w:hAnsi="Arial" w:cs="Arial"/>
          <w:b/>
          <w:color w:val="000000"/>
          <w:sz w:val="24"/>
          <w:szCs w:val="24"/>
          <w:lang w:val="en-GB"/>
        </w:rPr>
      </w:pPr>
      <w:r w:rsidRPr="00A76148">
        <w:rPr>
          <w:rFonts w:ascii="Arial" w:eastAsia="Times New Roman" w:hAnsi="Arial" w:cs="Arial"/>
          <w:b/>
          <w:color w:val="000000"/>
          <w:sz w:val="24"/>
          <w:szCs w:val="24"/>
          <w:lang w:val="en-GB"/>
        </w:rPr>
        <w:t>Zondi JA (</w:t>
      </w:r>
      <w:r w:rsidR="003550D4" w:rsidRPr="003550D4">
        <w:rPr>
          <w:rFonts w:ascii="Arial" w:eastAsia="Times New Roman" w:hAnsi="Arial" w:cs="Arial"/>
          <w:b/>
          <w:bCs/>
          <w:color w:val="000000"/>
          <w:sz w:val="24"/>
          <w:szCs w:val="24"/>
          <w:lang w:val="en-GB"/>
        </w:rPr>
        <w:t>S</w:t>
      </w:r>
      <w:r w:rsidR="003550D4">
        <w:rPr>
          <w:rFonts w:ascii="Arial" w:eastAsia="Times New Roman" w:hAnsi="Arial" w:cs="Arial"/>
          <w:b/>
          <w:bCs/>
          <w:color w:val="000000"/>
          <w:sz w:val="24"/>
          <w:szCs w:val="24"/>
          <w:lang w:val="en-GB"/>
        </w:rPr>
        <w:t>chippers</w:t>
      </w:r>
      <w:r w:rsidR="003550D4" w:rsidRPr="003550D4">
        <w:rPr>
          <w:rFonts w:ascii="Arial" w:eastAsia="Times New Roman" w:hAnsi="Arial" w:cs="Arial"/>
          <w:b/>
          <w:bCs/>
          <w:color w:val="000000"/>
          <w:sz w:val="24"/>
          <w:szCs w:val="24"/>
          <w:lang w:val="en-GB"/>
        </w:rPr>
        <w:t xml:space="preserve"> and M</w:t>
      </w:r>
      <w:r w:rsidR="003550D4">
        <w:rPr>
          <w:rFonts w:ascii="Arial" w:eastAsia="Times New Roman" w:hAnsi="Arial" w:cs="Arial"/>
          <w:b/>
          <w:bCs/>
          <w:color w:val="000000"/>
          <w:sz w:val="24"/>
          <w:szCs w:val="24"/>
          <w:lang w:val="en-GB"/>
        </w:rPr>
        <w:t>abindla-Boqwana</w:t>
      </w:r>
      <w:r w:rsidR="003550D4" w:rsidRPr="003550D4">
        <w:rPr>
          <w:rFonts w:ascii="Arial" w:eastAsia="Times New Roman" w:hAnsi="Arial" w:cs="Arial"/>
          <w:b/>
          <w:bCs/>
          <w:color w:val="000000"/>
          <w:sz w:val="24"/>
          <w:szCs w:val="24"/>
          <w:lang w:val="en-GB"/>
        </w:rPr>
        <w:t xml:space="preserve"> JJA and M</w:t>
      </w:r>
      <w:r w:rsidR="003550D4">
        <w:rPr>
          <w:rFonts w:ascii="Arial" w:eastAsia="Times New Roman" w:hAnsi="Arial" w:cs="Arial"/>
          <w:b/>
          <w:bCs/>
          <w:color w:val="000000"/>
          <w:sz w:val="24"/>
          <w:szCs w:val="24"/>
          <w:lang w:val="en-GB"/>
        </w:rPr>
        <w:t>atojane</w:t>
      </w:r>
      <w:r w:rsidR="003550D4" w:rsidRPr="003550D4">
        <w:rPr>
          <w:rFonts w:ascii="Arial" w:eastAsia="Times New Roman" w:hAnsi="Arial" w:cs="Arial"/>
          <w:b/>
          <w:bCs/>
          <w:color w:val="000000"/>
          <w:sz w:val="24"/>
          <w:szCs w:val="24"/>
          <w:lang w:val="en-GB"/>
        </w:rPr>
        <w:t xml:space="preserve"> and S</w:t>
      </w:r>
      <w:r w:rsidR="003550D4">
        <w:rPr>
          <w:rFonts w:ascii="Arial" w:eastAsia="Times New Roman" w:hAnsi="Arial" w:cs="Arial"/>
          <w:b/>
          <w:bCs/>
          <w:color w:val="000000"/>
          <w:sz w:val="24"/>
          <w:szCs w:val="24"/>
          <w:lang w:val="en-GB"/>
        </w:rPr>
        <w:t>mith</w:t>
      </w:r>
      <w:r w:rsidR="003550D4" w:rsidRPr="003550D4">
        <w:rPr>
          <w:rFonts w:ascii="Arial" w:eastAsia="Times New Roman" w:hAnsi="Arial" w:cs="Arial"/>
          <w:b/>
          <w:bCs/>
          <w:color w:val="000000"/>
          <w:sz w:val="24"/>
          <w:szCs w:val="24"/>
          <w:lang w:val="en-GB"/>
        </w:rPr>
        <w:t xml:space="preserve"> AJJA</w:t>
      </w:r>
      <w:r w:rsidRPr="00A76148">
        <w:rPr>
          <w:rFonts w:ascii="Arial" w:eastAsia="Times New Roman" w:hAnsi="Arial" w:cs="Arial"/>
          <w:b/>
          <w:color w:val="000000"/>
          <w:sz w:val="24"/>
          <w:szCs w:val="24"/>
          <w:lang w:val="en-GB"/>
        </w:rPr>
        <w:t xml:space="preserve"> concurring):</w:t>
      </w:r>
    </w:p>
    <w:p w14:paraId="65DCAE8D" w14:textId="5405652B" w:rsidR="002F6C56" w:rsidRPr="00A66E23" w:rsidRDefault="00A1146E" w:rsidP="00BF2ED6">
      <w:pPr>
        <w:spacing w:line="360" w:lineRule="auto"/>
        <w:jc w:val="both"/>
        <w:rPr>
          <w:rFonts w:ascii="Arial" w:hAnsi="Arial" w:cs="Arial"/>
          <w:sz w:val="24"/>
          <w:szCs w:val="24"/>
        </w:rPr>
      </w:pPr>
      <w:r w:rsidRPr="00A66E23">
        <w:rPr>
          <w:rFonts w:ascii="Arial" w:hAnsi="Arial" w:cs="Arial"/>
          <w:sz w:val="24"/>
          <w:szCs w:val="24"/>
        </w:rPr>
        <w:t>[1]</w:t>
      </w:r>
      <w:r w:rsidRPr="00A66E23">
        <w:rPr>
          <w:rFonts w:ascii="Arial" w:hAnsi="Arial" w:cs="Arial"/>
          <w:sz w:val="24"/>
          <w:szCs w:val="24"/>
        </w:rPr>
        <w:tab/>
        <w:t>The issue in this appeal is whether the value</w:t>
      </w:r>
      <w:r w:rsidR="005F2E13" w:rsidRPr="00A66E23">
        <w:rPr>
          <w:rFonts w:ascii="Arial" w:hAnsi="Arial" w:cs="Arial"/>
          <w:sz w:val="24"/>
          <w:szCs w:val="24"/>
        </w:rPr>
        <w:t xml:space="preserve"> of the a</w:t>
      </w:r>
      <w:r w:rsidR="00333308" w:rsidRPr="00A66E23">
        <w:rPr>
          <w:rFonts w:ascii="Arial" w:hAnsi="Arial" w:cs="Arial"/>
          <w:sz w:val="24"/>
          <w:szCs w:val="24"/>
        </w:rPr>
        <w:t>ssets</w:t>
      </w:r>
      <w:r w:rsidR="0055133E" w:rsidRPr="00A66E23">
        <w:rPr>
          <w:rFonts w:ascii="Arial" w:hAnsi="Arial" w:cs="Arial"/>
          <w:sz w:val="24"/>
          <w:szCs w:val="24"/>
        </w:rPr>
        <w:t xml:space="preserve"> </w:t>
      </w:r>
      <w:bookmarkStart w:id="2" w:name="_Hlk101868038"/>
      <w:r w:rsidR="00FD7868" w:rsidRPr="00A66E23">
        <w:rPr>
          <w:rFonts w:ascii="Arial" w:hAnsi="Arial" w:cs="Arial"/>
          <w:sz w:val="24"/>
          <w:szCs w:val="24"/>
        </w:rPr>
        <w:t xml:space="preserve">of </w:t>
      </w:r>
      <w:r w:rsidRPr="00A66E23">
        <w:rPr>
          <w:rFonts w:ascii="Arial" w:hAnsi="Arial" w:cs="Arial"/>
          <w:sz w:val="24"/>
          <w:szCs w:val="24"/>
        </w:rPr>
        <w:t>Koens Besigheid</w:t>
      </w:r>
      <w:r w:rsidR="0055133E" w:rsidRPr="00A66E23">
        <w:rPr>
          <w:rFonts w:ascii="Arial" w:hAnsi="Arial" w:cs="Arial"/>
          <w:sz w:val="24"/>
          <w:szCs w:val="24"/>
        </w:rPr>
        <w:t>s</w:t>
      </w:r>
      <w:r w:rsidRPr="00A66E23">
        <w:rPr>
          <w:rFonts w:ascii="Arial" w:hAnsi="Arial" w:cs="Arial"/>
          <w:sz w:val="24"/>
          <w:szCs w:val="24"/>
        </w:rPr>
        <w:t xml:space="preserve"> Trust</w:t>
      </w:r>
      <w:r w:rsidR="0055133E" w:rsidRPr="00A66E23">
        <w:rPr>
          <w:rFonts w:ascii="Arial" w:hAnsi="Arial" w:cs="Arial"/>
          <w:sz w:val="24"/>
          <w:szCs w:val="24"/>
        </w:rPr>
        <w:t xml:space="preserve">, Koens Familie Trust, Bulhoek Trust </w:t>
      </w:r>
      <w:r w:rsidR="00333308" w:rsidRPr="00A66E23">
        <w:rPr>
          <w:rFonts w:ascii="Arial" w:hAnsi="Arial" w:cs="Arial"/>
          <w:sz w:val="24"/>
          <w:szCs w:val="24"/>
        </w:rPr>
        <w:t xml:space="preserve">(the trusts) </w:t>
      </w:r>
      <w:r w:rsidR="009460A9">
        <w:rPr>
          <w:rFonts w:ascii="Arial" w:hAnsi="Arial" w:cs="Arial"/>
          <w:sz w:val="24"/>
          <w:szCs w:val="24"/>
        </w:rPr>
        <w:t>and Olivia Wild</w:t>
      </w:r>
      <w:r w:rsidR="0055133E" w:rsidRPr="00A66E23">
        <w:rPr>
          <w:rFonts w:ascii="Arial" w:hAnsi="Arial" w:cs="Arial"/>
          <w:sz w:val="24"/>
          <w:szCs w:val="24"/>
        </w:rPr>
        <w:t>plaas CC</w:t>
      </w:r>
      <w:r w:rsidR="00333308" w:rsidRPr="00A66E23">
        <w:rPr>
          <w:rFonts w:ascii="Arial" w:hAnsi="Arial" w:cs="Arial"/>
          <w:sz w:val="24"/>
          <w:szCs w:val="24"/>
        </w:rPr>
        <w:t xml:space="preserve"> (the CC)</w:t>
      </w:r>
      <w:r w:rsidR="00711C2D" w:rsidRPr="00A66E23">
        <w:rPr>
          <w:rFonts w:ascii="Arial" w:hAnsi="Arial" w:cs="Arial"/>
          <w:sz w:val="24"/>
          <w:szCs w:val="24"/>
        </w:rPr>
        <w:t xml:space="preserve"> </w:t>
      </w:r>
      <w:bookmarkEnd w:id="2"/>
      <w:r w:rsidR="00144CB0">
        <w:rPr>
          <w:rFonts w:ascii="Arial" w:hAnsi="Arial" w:cs="Arial"/>
          <w:sz w:val="24"/>
          <w:szCs w:val="24"/>
        </w:rPr>
        <w:t>is</w:t>
      </w:r>
      <w:r w:rsidR="0055133E" w:rsidRPr="00A66E23">
        <w:rPr>
          <w:rFonts w:ascii="Arial" w:hAnsi="Arial" w:cs="Arial"/>
          <w:sz w:val="24"/>
          <w:szCs w:val="24"/>
        </w:rPr>
        <w:t xml:space="preserve"> to be taken into account in determining t</w:t>
      </w:r>
      <w:r w:rsidR="004A7C76" w:rsidRPr="00A66E23">
        <w:rPr>
          <w:rFonts w:ascii="Arial" w:hAnsi="Arial" w:cs="Arial"/>
          <w:sz w:val="24"/>
          <w:szCs w:val="24"/>
        </w:rPr>
        <w:t xml:space="preserve">he value of the accrual of the </w:t>
      </w:r>
      <w:r w:rsidR="00964E95" w:rsidRPr="00A66E23">
        <w:rPr>
          <w:rFonts w:ascii="Arial" w:hAnsi="Arial" w:cs="Arial"/>
          <w:sz w:val="24"/>
          <w:szCs w:val="24"/>
        </w:rPr>
        <w:t xml:space="preserve">estate of the first </w:t>
      </w:r>
      <w:r w:rsidR="004A7C76" w:rsidRPr="00A66E23">
        <w:rPr>
          <w:rFonts w:ascii="Arial" w:hAnsi="Arial" w:cs="Arial"/>
          <w:sz w:val="24"/>
          <w:szCs w:val="24"/>
        </w:rPr>
        <w:t>appellant</w:t>
      </w:r>
      <w:r w:rsidR="0055133E" w:rsidRPr="00A66E23">
        <w:rPr>
          <w:rFonts w:ascii="Arial" w:hAnsi="Arial" w:cs="Arial"/>
          <w:sz w:val="24"/>
          <w:szCs w:val="24"/>
        </w:rPr>
        <w:t xml:space="preserve"> </w:t>
      </w:r>
      <w:r w:rsidR="00964E95" w:rsidRPr="00A66E23">
        <w:rPr>
          <w:rFonts w:ascii="Arial" w:hAnsi="Arial" w:cs="Arial"/>
          <w:sz w:val="24"/>
          <w:szCs w:val="24"/>
        </w:rPr>
        <w:t xml:space="preserve">(the appellant) </w:t>
      </w:r>
      <w:r w:rsidR="0055133E" w:rsidRPr="00A66E23">
        <w:rPr>
          <w:rFonts w:ascii="Arial" w:hAnsi="Arial" w:cs="Arial"/>
          <w:sz w:val="24"/>
          <w:szCs w:val="24"/>
        </w:rPr>
        <w:t>as at the date of dissolution of the marriage</w:t>
      </w:r>
      <w:r w:rsidR="00964E95" w:rsidRPr="00A66E23">
        <w:rPr>
          <w:rFonts w:ascii="Arial" w:hAnsi="Arial" w:cs="Arial"/>
          <w:sz w:val="24"/>
          <w:szCs w:val="24"/>
        </w:rPr>
        <w:t xml:space="preserve"> between him and the respondent</w:t>
      </w:r>
      <w:r w:rsidR="0055133E" w:rsidRPr="00A66E23">
        <w:rPr>
          <w:rFonts w:ascii="Arial" w:hAnsi="Arial" w:cs="Arial"/>
          <w:sz w:val="24"/>
          <w:szCs w:val="24"/>
        </w:rPr>
        <w:t>.</w:t>
      </w:r>
    </w:p>
    <w:p w14:paraId="3B723854" w14:textId="46DA8682" w:rsidR="002F6C56" w:rsidRPr="00A66E23" w:rsidRDefault="00711C2D" w:rsidP="00BF2ED6">
      <w:pPr>
        <w:spacing w:line="360" w:lineRule="auto"/>
        <w:jc w:val="both"/>
        <w:rPr>
          <w:rFonts w:ascii="Arial" w:hAnsi="Arial" w:cs="Arial"/>
          <w:sz w:val="24"/>
          <w:szCs w:val="24"/>
        </w:rPr>
      </w:pPr>
      <w:r w:rsidRPr="00A66E23">
        <w:rPr>
          <w:rFonts w:ascii="Arial" w:hAnsi="Arial" w:cs="Arial"/>
          <w:sz w:val="24"/>
          <w:szCs w:val="24"/>
        </w:rPr>
        <w:t>[2]</w:t>
      </w:r>
      <w:r w:rsidRPr="00A66E23">
        <w:rPr>
          <w:rFonts w:ascii="Arial" w:hAnsi="Arial" w:cs="Arial"/>
          <w:sz w:val="24"/>
          <w:szCs w:val="24"/>
        </w:rPr>
        <w:tab/>
        <w:t>The issue arose in the following circumstances: The respondent</w:t>
      </w:r>
      <w:r w:rsidR="004A7C76" w:rsidRPr="00A66E23">
        <w:rPr>
          <w:rFonts w:ascii="Arial" w:hAnsi="Arial" w:cs="Arial"/>
          <w:sz w:val="24"/>
          <w:szCs w:val="24"/>
        </w:rPr>
        <w:t>,</w:t>
      </w:r>
      <w:r w:rsidR="00B558DB" w:rsidRPr="00A66E23">
        <w:rPr>
          <w:rFonts w:ascii="Arial" w:hAnsi="Arial" w:cs="Arial"/>
          <w:sz w:val="24"/>
          <w:szCs w:val="24"/>
        </w:rPr>
        <w:t xml:space="preserve"> II K</w:t>
      </w:r>
      <w:r w:rsidR="002559DE" w:rsidRPr="00A66E23">
        <w:rPr>
          <w:rFonts w:ascii="Arial" w:hAnsi="Arial" w:cs="Arial"/>
          <w:sz w:val="24"/>
          <w:szCs w:val="24"/>
        </w:rPr>
        <w:t xml:space="preserve"> as the plaintiff,</w:t>
      </w:r>
      <w:r w:rsidR="004A7C76" w:rsidRPr="00A66E23">
        <w:rPr>
          <w:rFonts w:ascii="Arial" w:hAnsi="Arial" w:cs="Arial"/>
          <w:sz w:val="24"/>
          <w:szCs w:val="24"/>
        </w:rPr>
        <w:t xml:space="preserve"> </w:t>
      </w:r>
      <w:r w:rsidRPr="00A66E23">
        <w:rPr>
          <w:rFonts w:ascii="Arial" w:hAnsi="Arial" w:cs="Arial"/>
          <w:sz w:val="24"/>
          <w:szCs w:val="24"/>
        </w:rPr>
        <w:t xml:space="preserve">sued the </w:t>
      </w:r>
      <w:r w:rsidR="002559DE" w:rsidRPr="00A66E23">
        <w:rPr>
          <w:rFonts w:ascii="Arial" w:hAnsi="Arial" w:cs="Arial"/>
          <w:sz w:val="24"/>
          <w:szCs w:val="24"/>
        </w:rPr>
        <w:t>appellant</w:t>
      </w:r>
      <w:r w:rsidR="00B558DB" w:rsidRPr="00A66E23">
        <w:rPr>
          <w:rFonts w:ascii="Arial" w:hAnsi="Arial" w:cs="Arial"/>
          <w:sz w:val="24"/>
          <w:szCs w:val="24"/>
        </w:rPr>
        <w:t>, MJ K</w:t>
      </w:r>
      <w:r w:rsidR="002559DE" w:rsidRPr="00A66E23">
        <w:rPr>
          <w:rFonts w:ascii="Arial" w:hAnsi="Arial" w:cs="Arial"/>
          <w:sz w:val="24"/>
          <w:szCs w:val="24"/>
        </w:rPr>
        <w:t xml:space="preserve"> as the defendant</w:t>
      </w:r>
      <w:r w:rsidR="009460A9">
        <w:rPr>
          <w:rFonts w:ascii="Arial" w:hAnsi="Arial" w:cs="Arial"/>
          <w:sz w:val="24"/>
          <w:szCs w:val="24"/>
        </w:rPr>
        <w:t>,</w:t>
      </w:r>
      <w:r w:rsidRPr="00A66E23">
        <w:rPr>
          <w:rFonts w:ascii="Arial" w:hAnsi="Arial" w:cs="Arial"/>
          <w:sz w:val="24"/>
          <w:szCs w:val="24"/>
        </w:rPr>
        <w:t xml:space="preserve"> in the Free State </w:t>
      </w:r>
      <w:r w:rsidR="0055133E" w:rsidRPr="00A66E23">
        <w:rPr>
          <w:rFonts w:ascii="Arial" w:hAnsi="Arial" w:cs="Arial"/>
          <w:sz w:val="24"/>
          <w:szCs w:val="24"/>
        </w:rPr>
        <w:t xml:space="preserve">Division of the </w:t>
      </w:r>
      <w:r w:rsidRPr="00A66E23">
        <w:rPr>
          <w:rFonts w:ascii="Arial" w:hAnsi="Arial" w:cs="Arial"/>
          <w:sz w:val="24"/>
          <w:szCs w:val="24"/>
        </w:rPr>
        <w:t>High Court</w:t>
      </w:r>
      <w:r w:rsidR="00964E95" w:rsidRPr="00A66E23">
        <w:rPr>
          <w:rFonts w:ascii="Arial" w:hAnsi="Arial" w:cs="Arial"/>
          <w:sz w:val="24"/>
          <w:szCs w:val="24"/>
        </w:rPr>
        <w:t>, Bloemfontein</w:t>
      </w:r>
      <w:r w:rsidR="004D4374" w:rsidRPr="00A66E23">
        <w:rPr>
          <w:rStyle w:val="FootnoteReference"/>
          <w:rFonts w:ascii="Arial" w:hAnsi="Arial" w:cs="Arial"/>
          <w:sz w:val="24"/>
          <w:szCs w:val="24"/>
        </w:rPr>
        <w:footnoteReference w:id="1"/>
      </w:r>
      <w:r w:rsidRPr="00A66E23">
        <w:rPr>
          <w:rFonts w:ascii="Arial" w:hAnsi="Arial" w:cs="Arial"/>
          <w:sz w:val="24"/>
          <w:szCs w:val="24"/>
        </w:rPr>
        <w:t xml:space="preserve"> (the high court)</w:t>
      </w:r>
      <w:r w:rsidR="00892601" w:rsidRPr="00A66E23">
        <w:rPr>
          <w:rFonts w:ascii="Arial" w:hAnsi="Arial" w:cs="Arial"/>
          <w:sz w:val="24"/>
          <w:szCs w:val="24"/>
        </w:rPr>
        <w:t>,</w:t>
      </w:r>
      <w:r w:rsidRPr="00A66E23">
        <w:rPr>
          <w:rFonts w:ascii="Arial" w:hAnsi="Arial" w:cs="Arial"/>
          <w:sz w:val="24"/>
          <w:szCs w:val="24"/>
        </w:rPr>
        <w:t xml:space="preserve"> for a decree of divorce</w:t>
      </w:r>
      <w:r w:rsidR="002559DE" w:rsidRPr="00A66E23">
        <w:rPr>
          <w:rFonts w:ascii="Arial" w:hAnsi="Arial" w:cs="Arial"/>
          <w:sz w:val="24"/>
          <w:szCs w:val="24"/>
        </w:rPr>
        <w:t xml:space="preserve">. After joining </w:t>
      </w:r>
      <w:r w:rsidR="00B558DB" w:rsidRPr="00A66E23">
        <w:rPr>
          <w:rFonts w:ascii="Arial" w:hAnsi="Arial" w:cs="Arial"/>
          <w:sz w:val="24"/>
          <w:szCs w:val="24"/>
        </w:rPr>
        <w:t xml:space="preserve">the </w:t>
      </w:r>
      <w:r w:rsidR="00A66E23" w:rsidRPr="00A66E23">
        <w:rPr>
          <w:rFonts w:ascii="Arial" w:hAnsi="Arial" w:cs="Arial"/>
          <w:sz w:val="24"/>
          <w:szCs w:val="24"/>
        </w:rPr>
        <w:t>trusts and</w:t>
      </w:r>
      <w:r w:rsidR="002559DE" w:rsidRPr="00A66E23">
        <w:rPr>
          <w:rFonts w:ascii="Arial" w:hAnsi="Arial" w:cs="Arial"/>
          <w:sz w:val="24"/>
          <w:szCs w:val="24"/>
        </w:rPr>
        <w:t xml:space="preserve"> </w:t>
      </w:r>
      <w:r w:rsidR="00B558DB" w:rsidRPr="00A66E23">
        <w:rPr>
          <w:rFonts w:ascii="Arial" w:hAnsi="Arial" w:cs="Arial"/>
          <w:sz w:val="24"/>
          <w:szCs w:val="24"/>
        </w:rPr>
        <w:t>the CC</w:t>
      </w:r>
      <w:r w:rsidR="00964E95" w:rsidRPr="00A66E23">
        <w:rPr>
          <w:rFonts w:ascii="Arial" w:hAnsi="Arial" w:cs="Arial"/>
          <w:sz w:val="24"/>
          <w:szCs w:val="24"/>
        </w:rPr>
        <w:t xml:space="preserve"> as parties in the divorce proceedings</w:t>
      </w:r>
      <w:r w:rsidR="002559DE" w:rsidRPr="00A66E23">
        <w:rPr>
          <w:rFonts w:ascii="Arial" w:hAnsi="Arial" w:cs="Arial"/>
          <w:sz w:val="24"/>
          <w:szCs w:val="24"/>
        </w:rPr>
        <w:t xml:space="preserve">, the respondent amended her particulars of </w:t>
      </w:r>
      <w:r w:rsidR="002559DE" w:rsidRPr="00A66E23">
        <w:rPr>
          <w:rFonts w:ascii="Arial" w:hAnsi="Arial" w:cs="Arial"/>
          <w:sz w:val="24"/>
          <w:szCs w:val="24"/>
        </w:rPr>
        <w:lastRenderedPageBreak/>
        <w:t>claim</w:t>
      </w:r>
      <w:r w:rsidR="00063C9D" w:rsidRPr="00A66E23">
        <w:rPr>
          <w:rFonts w:ascii="Arial" w:hAnsi="Arial" w:cs="Arial"/>
          <w:sz w:val="24"/>
          <w:szCs w:val="24"/>
        </w:rPr>
        <w:t xml:space="preserve"> so as to include a prayer for an order declaring that the assets of the trusts and the CC be taken into account in determining the value of the accrual in terms of ss 3 and 4 of the Matrimonial Property Act 88 of 1984 (the Act). The basis for her amended claim was that the trusts and the CC were the </w:t>
      </w:r>
      <w:r w:rsidR="00767A38" w:rsidRPr="00A66E23">
        <w:rPr>
          <w:rFonts w:ascii="Arial" w:hAnsi="Arial" w:cs="Arial"/>
          <w:i/>
          <w:iCs/>
          <w:sz w:val="24"/>
          <w:szCs w:val="24"/>
        </w:rPr>
        <w:t xml:space="preserve">alter ego </w:t>
      </w:r>
      <w:r w:rsidR="00767A38" w:rsidRPr="00A66E23">
        <w:rPr>
          <w:rFonts w:ascii="Arial" w:hAnsi="Arial" w:cs="Arial"/>
          <w:iCs/>
          <w:sz w:val="24"/>
          <w:szCs w:val="24"/>
        </w:rPr>
        <w:t xml:space="preserve">of the </w:t>
      </w:r>
      <w:r w:rsidR="00063C9D" w:rsidRPr="00A66E23">
        <w:rPr>
          <w:rFonts w:ascii="Arial" w:hAnsi="Arial" w:cs="Arial"/>
          <w:sz w:val="24"/>
          <w:szCs w:val="24"/>
        </w:rPr>
        <w:t>appellant</w:t>
      </w:r>
      <w:r w:rsidR="00767A38" w:rsidRPr="00A66E23">
        <w:rPr>
          <w:rFonts w:ascii="Arial" w:hAnsi="Arial" w:cs="Arial"/>
          <w:sz w:val="24"/>
          <w:szCs w:val="24"/>
        </w:rPr>
        <w:t>.</w:t>
      </w:r>
      <w:r w:rsidR="00063C9D" w:rsidRPr="00A66E23">
        <w:rPr>
          <w:rFonts w:ascii="Arial" w:hAnsi="Arial" w:cs="Arial"/>
          <w:sz w:val="24"/>
          <w:szCs w:val="24"/>
        </w:rPr>
        <w:t xml:space="preserve"> </w:t>
      </w:r>
      <w:r w:rsidR="00C16E4F" w:rsidRPr="00A66E23">
        <w:rPr>
          <w:rFonts w:ascii="Arial" w:hAnsi="Arial" w:cs="Arial"/>
          <w:sz w:val="24"/>
          <w:szCs w:val="24"/>
        </w:rPr>
        <w:t>In support of her claim for the assets of the trusts and the CC to be regarded as assets of the appellant, the respondent alleged that during the marriage</w:t>
      </w:r>
      <w:r w:rsidR="00557E49" w:rsidRPr="00A66E23">
        <w:rPr>
          <w:rFonts w:ascii="Arial" w:hAnsi="Arial" w:cs="Arial"/>
          <w:sz w:val="24"/>
          <w:szCs w:val="24"/>
        </w:rPr>
        <w:t>,</w:t>
      </w:r>
      <w:r w:rsidR="00C16E4F" w:rsidRPr="00A66E23">
        <w:rPr>
          <w:rFonts w:ascii="Arial" w:hAnsi="Arial" w:cs="Arial"/>
          <w:sz w:val="24"/>
          <w:szCs w:val="24"/>
        </w:rPr>
        <w:t xml:space="preserve"> the appellant established the trusts and the CC over which he assumed sole </w:t>
      </w:r>
      <w:r w:rsidR="00C16E4F" w:rsidRPr="00A66E23">
        <w:rPr>
          <w:rFonts w:ascii="Arial" w:hAnsi="Arial" w:cs="Arial"/>
          <w:i/>
          <w:iCs/>
          <w:sz w:val="24"/>
          <w:szCs w:val="24"/>
        </w:rPr>
        <w:t>de facto</w:t>
      </w:r>
      <w:r w:rsidR="00C16E4F" w:rsidRPr="00A66E23">
        <w:rPr>
          <w:rFonts w:ascii="Arial" w:hAnsi="Arial" w:cs="Arial"/>
          <w:sz w:val="24"/>
          <w:szCs w:val="24"/>
        </w:rPr>
        <w:t xml:space="preserve"> control.</w:t>
      </w:r>
    </w:p>
    <w:p w14:paraId="2F09A178" w14:textId="4497A2B2" w:rsidR="002F6C56" w:rsidRPr="00A66E23" w:rsidRDefault="00DB68A1" w:rsidP="00BF2ED6">
      <w:pPr>
        <w:spacing w:line="360" w:lineRule="auto"/>
        <w:jc w:val="both"/>
        <w:rPr>
          <w:rFonts w:ascii="Arial" w:hAnsi="Arial" w:cs="Arial"/>
          <w:sz w:val="24"/>
          <w:szCs w:val="24"/>
        </w:rPr>
      </w:pPr>
      <w:r w:rsidRPr="00A66E23">
        <w:rPr>
          <w:rFonts w:ascii="Arial" w:hAnsi="Arial" w:cs="Arial"/>
          <w:sz w:val="24"/>
          <w:szCs w:val="24"/>
        </w:rPr>
        <w:t>[</w:t>
      </w:r>
      <w:r w:rsidR="009B0586" w:rsidRPr="00A66E23">
        <w:rPr>
          <w:rFonts w:ascii="Arial" w:hAnsi="Arial" w:cs="Arial"/>
          <w:sz w:val="24"/>
          <w:szCs w:val="24"/>
        </w:rPr>
        <w:t>3</w:t>
      </w:r>
      <w:r w:rsidRPr="00A66E23">
        <w:rPr>
          <w:rFonts w:ascii="Arial" w:hAnsi="Arial" w:cs="Arial"/>
          <w:sz w:val="24"/>
          <w:szCs w:val="24"/>
        </w:rPr>
        <w:t>]</w:t>
      </w:r>
      <w:r w:rsidR="009B0586" w:rsidRPr="00A66E23">
        <w:rPr>
          <w:rFonts w:ascii="Arial" w:hAnsi="Arial" w:cs="Arial"/>
          <w:sz w:val="24"/>
          <w:szCs w:val="24"/>
        </w:rPr>
        <w:tab/>
      </w:r>
      <w:r w:rsidRPr="00A66E23">
        <w:rPr>
          <w:rFonts w:ascii="Arial" w:hAnsi="Arial" w:cs="Arial"/>
          <w:sz w:val="24"/>
          <w:szCs w:val="24"/>
        </w:rPr>
        <w:t>The respects in which the appellant was</w:t>
      </w:r>
      <w:r w:rsidR="005D6A0E" w:rsidRPr="00A66E23">
        <w:rPr>
          <w:rFonts w:ascii="Arial" w:hAnsi="Arial" w:cs="Arial"/>
          <w:sz w:val="24"/>
          <w:szCs w:val="24"/>
        </w:rPr>
        <w:t xml:space="preserve"> alleged to have the </w:t>
      </w:r>
      <w:r w:rsidR="005D6A0E" w:rsidRPr="00A66E23">
        <w:rPr>
          <w:rFonts w:ascii="Arial" w:hAnsi="Arial" w:cs="Arial"/>
          <w:i/>
          <w:iCs/>
          <w:sz w:val="24"/>
          <w:szCs w:val="24"/>
        </w:rPr>
        <w:t>de facto</w:t>
      </w:r>
      <w:r w:rsidR="005D6A0E" w:rsidRPr="00A66E23">
        <w:rPr>
          <w:rFonts w:ascii="Arial" w:hAnsi="Arial" w:cs="Arial"/>
          <w:sz w:val="24"/>
          <w:szCs w:val="24"/>
        </w:rPr>
        <w:t xml:space="preserve"> control over the assets of the trusts and the CC </w:t>
      </w:r>
      <w:r w:rsidR="00D8077E" w:rsidRPr="00A66E23">
        <w:rPr>
          <w:rFonts w:ascii="Arial" w:hAnsi="Arial" w:cs="Arial"/>
          <w:sz w:val="24"/>
          <w:szCs w:val="24"/>
        </w:rPr>
        <w:t>a</w:t>
      </w:r>
      <w:r w:rsidR="005D6A0E" w:rsidRPr="00A66E23">
        <w:rPr>
          <w:rFonts w:ascii="Arial" w:hAnsi="Arial" w:cs="Arial"/>
          <w:sz w:val="24"/>
          <w:szCs w:val="24"/>
        </w:rPr>
        <w:t>re</w:t>
      </w:r>
      <w:r w:rsidR="00D8077E" w:rsidRPr="00A66E23">
        <w:rPr>
          <w:rFonts w:ascii="Arial" w:hAnsi="Arial" w:cs="Arial"/>
          <w:sz w:val="24"/>
          <w:szCs w:val="24"/>
        </w:rPr>
        <w:t>, in broad terms,</w:t>
      </w:r>
      <w:r w:rsidR="005D6A0E" w:rsidRPr="00A66E23">
        <w:rPr>
          <w:rFonts w:ascii="Arial" w:hAnsi="Arial" w:cs="Arial"/>
          <w:sz w:val="24"/>
          <w:szCs w:val="24"/>
        </w:rPr>
        <w:t xml:space="preserve"> pleaded by the respondent as follows</w:t>
      </w:r>
      <w:r w:rsidR="00964E95" w:rsidRPr="00A66E23">
        <w:rPr>
          <w:rFonts w:ascii="Arial" w:hAnsi="Arial" w:cs="Arial"/>
          <w:sz w:val="24"/>
          <w:szCs w:val="24"/>
        </w:rPr>
        <w:t>.</w:t>
      </w:r>
      <w:r w:rsidR="00F63CFE" w:rsidRPr="00A66E23">
        <w:rPr>
          <w:rFonts w:ascii="Arial" w:hAnsi="Arial" w:cs="Arial"/>
          <w:sz w:val="24"/>
          <w:szCs w:val="24"/>
        </w:rPr>
        <w:t xml:space="preserve"> </w:t>
      </w:r>
      <w:r w:rsidR="000F485B" w:rsidRPr="00A66E23">
        <w:rPr>
          <w:rFonts w:ascii="Arial" w:hAnsi="Arial" w:cs="Arial"/>
          <w:sz w:val="24"/>
          <w:szCs w:val="24"/>
        </w:rPr>
        <w:t>At all relevant times during the subsistence of the marriage, t</w:t>
      </w:r>
      <w:r w:rsidR="00F63CFE" w:rsidRPr="00A66E23">
        <w:rPr>
          <w:rFonts w:ascii="Arial" w:hAnsi="Arial" w:cs="Arial"/>
          <w:sz w:val="24"/>
          <w:szCs w:val="24"/>
        </w:rPr>
        <w:t xml:space="preserve">he </w:t>
      </w:r>
      <w:r w:rsidR="00E34DE7" w:rsidRPr="00A66E23">
        <w:rPr>
          <w:rFonts w:ascii="Arial" w:hAnsi="Arial" w:cs="Arial"/>
          <w:sz w:val="24"/>
          <w:szCs w:val="24"/>
        </w:rPr>
        <w:t>appellant</w:t>
      </w:r>
      <w:r w:rsidR="00F63CFE" w:rsidRPr="00A66E23">
        <w:rPr>
          <w:rFonts w:ascii="Arial" w:hAnsi="Arial" w:cs="Arial"/>
          <w:sz w:val="24"/>
          <w:szCs w:val="24"/>
        </w:rPr>
        <w:t xml:space="preserve"> </w:t>
      </w:r>
      <w:r w:rsidR="000F485B" w:rsidRPr="00A66E23">
        <w:rPr>
          <w:rFonts w:ascii="Arial" w:hAnsi="Arial" w:cs="Arial"/>
          <w:sz w:val="24"/>
          <w:szCs w:val="24"/>
        </w:rPr>
        <w:t xml:space="preserve">made no distinction between the income and expenses of the trusts and the </w:t>
      </w:r>
      <w:r w:rsidR="00174326" w:rsidRPr="00A66E23">
        <w:rPr>
          <w:rFonts w:ascii="Arial" w:hAnsi="Arial" w:cs="Arial"/>
          <w:sz w:val="24"/>
          <w:szCs w:val="24"/>
        </w:rPr>
        <w:t>CC</w:t>
      </w:r>
      <w:r w:rsidR="000F485B" w:rsidRPr="00A66E23">
        <w:rPr>
          <w:rFonts w:ascii="Arial" w:hAnsi="Arial" w:cs="Arial"/>
          <w:sz w:val="24"/>
          <w:szCs w:val="24"/>
        </w:rPr>
        <w:t xml:space="preserve"> and his income and expenditure. The control and management of the trusts and </w:t>
      </w:r>
      <w:r w:rsidR="00174326" w:rsidRPr="00A66E23">
        <w:rPr>
          <w:rFonts w:ascii="Arial" w:hAnsi="Arial" w:cs="Arial"/>
          <w:sz w:val="24"/>
          <w:szCs w:val="24"/>
        </w:rPr>
        <w:t xml:space="preserve">the CC </w:t>
      </w:r>
      <w:r w:rsidR="000F485B" w:rsidRPr="00A66E23">
        <w:rPr>
          <w:rFonts w:ascii="Arial" w:hAnsi="Arial" w:cs="Arial"/>
          <w:sz w:val="24"/>
          <w:szCs w:val="24"/>
        </w:rPr>
        <w:t xml:space="preserve">lay solely with </w:t>
      </w:r>
      <w:r w:rsidR="00E34DE7" w:rsidRPr="00A66E23">
        <w:rPr>
          <w:rFonts w:ascii="Arial" w:hAnsi="Arial" w:cs="Arial"/>
          <w:sz w:val="24"/>
          <w:szCs w:val="24"/>
        </w:rPr>
        <w:t>the appellant.</w:t>
      </w:r>
      <w:r w:rsidR="000F485B" w:rsidRPr="00A66E23">
        <w:rPr>
          <w:rFonts w:ascii="Arial" w:hAnsi="Arial" w:cs="Arial"/>
          <w:sz w:val="24"/>
          <w:szCs w:val="24"/>
        </w:rPr>
        <w:t xml:space="preserve"> </w:t>
      </w:r>
      <w:r w:rsidR="00E34DE7" w:rsidRPr="00A66E23">
        <w:rPr>
          <w:rFonts w:ascii="Arial" w:hAnsi="Arial" w:cs="Arial"/>
          <w:sz w:val="24"/>
          <w:szCs w:val="24"/>
        </w:rPr>
        <w:t>In this regard</w:t>
      </w:r>
      <w:r w:rsidR="00F226DD" w:rsidRPr="00A66E23">
        <w:rPr>
          <w:rFonts w:ascii="Arial" w:hAnsi="Arial" w:cs="Arial"/>
          <w:sz w:val="24"/>
          <w:szCs w:val="24"/>
        </w:rPr>
        <w:t>,</w:t>
      </w:r>
      <w:r w:rsidR="00E34DE7" w:rsidRPr="00A66E23">
        <w:rPr>
          <w:rFonts w:ascii="Arial" w:hAnsi="Arial" w:cs="Arial"/>
          <w:sz w:val="24"/>
          <w:szCs w:val="24"/>
        </w:rPr>
        <w:t xml:space="preserve"> the respondent </w:t>
      </w:r>
      <w:r w:rsidR="00174326" w:rsidRPr="00A66E23">
        <w:rPr>
          <w:rFonts w:ascii="Arial" w:hAnsi="Arial" w:cs="Arial"/>
          <w:sz w:val="24"/>
          <w:szCs w:val="24"/>
        </w:rPr>
        <w:t xml:space="preserve">asserted </w:t>
      </w:r>
      <w:r w:rsidR="00E34DE7" w:rsidRPr="00A66E23">
        <w:rPr>
          <w:rFonts w:ascii="Arial" w:hAnsi="Arial" w:cs="Arial"/>
          <w:sz w:val="24"/>
          <w:szCs w:val="24"/>
        </w:rPr>
        <w:t>that the appellant</w:t>
      </w:r>
      <w:r w:rsidR="000F485B" w:rsidRPr="00A66E23">
        <w:rPr>
          <w:rFonts w:ascii="Arial" w:hAnsi="Arial" w:cs="Arial"/>
          <w:sz w:val="24"/>
          <w:szCs w:val="24"/>
        </w:rPr>
        <w:t xml:space="preserve"> </w:t>
      </w:r>
      <w:r w:rsidR="007270FF" w:rsidRPr="00A66E23">
        <w:rPr>
          <w:rFonts w:ascii="Arial" w:hAnsi="Arial" w:cs="Arial"/>
          <w:sz w:val="24"/>
          <w:szCs w:val="24"/>
        </w:rPr>
        <w:t xml:space="preserve">ensured that </w:t>
      </w:r>
      <w:r w:rsidR="000F485B" w:rsidRPr="00A66E23">
        <w:rPr>
          <w:rFonts w:ascii="Arial" w:hAnsi="Arial" w:cs="Arial"/>
          <w:sz w:val="24"/>
          <w:szCs w:val="24"/>
        </w:rPr>
        <w:t xml:space="preserve">his personal friend, </w:t>
      </w:r>
      <w:r w:rsidR="00E34DE7" w:rsidRPr="00A66E23">
        <w:rPr>
          <w:rFonts w:ascii="Arial" w:hAnsi="Arial" w:cs="Arial"/>
          <w:sz w:val="24"/>
          <w:szCs w:val="24"/>
        </w:rPr>
        <w:t xml:space="preserve">Mr </w:t>
      </w:r>
      <w:r w:rsidR="009558DE" w:rsidRPr="00A66E23">
        <w:rPr>
          <w:rFonts w:ascii="Arial" w:hAnsi="Arial" w:cs="Arial"/>
          <w:sz w:val="24"/>
          <w:szCs w:val="24"/>
        </w:rPr>
        <w:t xml:space="preserve">Johan </w:t>
      </w:r>
      <w:r w:rsidR="002C46E7" w:rsidRPr="00A66E23">
        <w:rPr>
          <w:rFonts w:ascii="Arial" w:hAnsi="Arial" w:cs="Arial"/>
          <w:sz w:val="24"/>
          <w:szCs w:val="24"/>
        </w:rPr>
        <w:t>v</w:t>
      </w:r>
      <w:r w:rsidR="00E34DE7" w:rsidRPr="00A66E23">
        <w:rPr>
          <w:rFonts w:ascii="Arial" w:hAnsi="Arial" w:cs="Arial"/>
          <w:sz w:val="24"/>
          <w:szCs w:val="24"/>
        </w:rPr>
        <w:t xml:space="preserve">an </w:t>
      </w:r>
      <w:r w:rsidR="00E34DE7" w:rsidRPr="00144CB0">
        <w:rPr>
          <w:rFonts w:ascii="Arial" w:hAnsi="Arial" w:cs="Arial"/>
          <w:sz w:val="24"/>
          <w:szCs w:val="24"/>
        </w:rPr>
        <w:t>Rooyen</w:t>
      </w:r>
      <w:r w:rsidR="00DE3C7A" w:rsidRPr="00144CB0">
        <w:rPr>
          <w:rFonts w:ascii="Arial" w:hAnsi="Arial" w:cs="Arial"/>
          <w:sz w:val="24"/>
          <w:szCs w:val="24"/>
        </w:rPr>
        <w:t xml:space="preserve"> (Mr van Rooyen)</w:t>
      </w:r>
      <w:r w:rsidR="007270FF" w:rsidRPr="00144CB0">
        <w:rPr>
          <w:rFonts w:ascii="Arial" w:hAnsi="Arial" w:cs="Arial"/>
          <w:sz w:val="24"/>
          <w:szCs w:val="24"/>
        </w:rPr>
        <w:t>,</w:t>
      </w:r>
      <w:r w:rsidR="00E34DE7" w:rsidRPr="00A66E23">
        <w:rPr>
          <w:rFonts w:ascii="Arial" w:hAnsi="Arial" w:cs="Arial"/>
          <w:sz w:val="24"/>
          <w:szCs w:val="24"/>
        </w:rPr>
        <w:t xml:space="preserve"> </w:t>
      </w:r>
      <w:r w:rsidR="007270FF" w:rsidRPr="00A66E23">
        <w:rPr>
          <w:rFonts w:ascii="Arial" w:hAnsi="Arial" w:cs="Arial"/>
          <w:sz w:val="24"/>
          <w:szCs w:val="24"/>
        </w:rPr>
        <w:t xml:space="preserve">was appointed </w:t>
      </w:r>
      <w:r w:rsidR="000F485B" w:rsidRPr="00A66E23">
        <w:rPr>
          <w:rFonts w:ascii="Arial" w:hAnsi="Arial" w:cs="Arial"/>
          <w:sz w:val="24"/>
          <w:szCs w:val="24"/>
        </w:rPr>
        <w:t xml:space="preserve">as </w:t>
      </w:r>
      <w:r w:rsidR="00E34DE7" w:rsidRPr="00A66E23">
        <w:rPr>
          <w:rFonts w:ascii="Arial" w:hAnsi="Arial" w:cs="Arial"/>
          <w:sz w:val="24"/>
          <w:szCs w:val="24"/>
        </w:rPr>
        <w:t xml:space="preserve">a </w:t>
      </w:r>
      <w:r w:rsidR="000F485B" w:rsidRPr="00A66E23">
        <w:rPr>
          <w:rFonts w:ascii="Arial" w:hAnsi="Arial" w:cs="Arial"/>
          <w:sz w:val="24"/>
          <w:szCs w:val="24"/>
        </w:rPr>
        <w:t xml:space="preserve">trustee </w:t>
      </w:r>
      <w:r w:rsidR="007270FF" w:rsidRPr="00A66E23">
        <w:rPr>
          <w:rFonts w:ascii="Arial" w:hAnsi="Arial" w:cs="Arial"/>
          <w:sz w:val="24"/>
          <w:szCs w:val="24"/>
        </w:rPr>
        <w:t xml:space="preserve">of </w:t>
      </w:r>
      <w:r w:rsidR="000F485B" w:rsidRPr="00A66E23">
        <w:rPr>
          <w:rFonts w:ascii="Arial" w:hAnsi="Arial" w:cs="Arial"/>
          <w:sz w:val="24"/>
          <w:szCs w:val="24"/>
        </w:rPr>
        <w:t xml:space="preserve">all the trusts, </w:t>
      </w:r>
      <w:r w:rsidR="007270FF" w:rsidRPr="00A66E23">
        <w:rPr>
          <w:rFonts w:ascii="Arial" w:hAnsi="Arial" w:cs="Arial"/>
          <w:sz w:val="24"/>
          <w:szCs w:val="24"/>
        </w:rPr>
        <w:t>who</w:t>
      </w:r>
      <w:r w:rsidR="000F485B" w:rsidRPr="00A66E23">
        <w:rPr>
          <w:rFonts w:ascii="Arial" w:hAnsi="Arial" w:cs="Arial"/>
          <w:sz w:val="24"/>
          <w:szCs w:val="24"/>
        </w:rPr>
        <w:t xml:space="preserve"> was a trustee in name only. All the </w:t>
      </w:r>
      <w:r w:rsidR="007270FF" w:rsidRPr="00A66E23">
        <w:rPr>
          <w:rFonts w:ascii="Arial" w:hAnsi="Arial" w:cs="Arial"/>
          <w:sz w:val="24"/>
          <w:szCs w:val="24"/>
        </w:rPr>
        <w:t xml:space="preserve">trust deeds of the </w:t>
      </w:r>
      <w:r w:rsidR="000F485B" w:rsidRPr="00A66E23">
        <w:rPr>
          <w:rFonts w:ascii="Arial" w:hAnsi="Arial" w:cs="Arial"/>
          <w:sz w:val="24"/>
          <w:szCs w:val="24"/>
        </w:rPr>
        <w:t xml:space="preserve">discretionary trusts are worded in such a manner as to give the </w:t>
      </w:r>
      <w:r w:rsidR="00E34DE7" w:rsidRPr="00A66E23">
        <w:rPr>
          <w:rFonts w:ascii="Arial" w:hAnsi="Arial" w:cs="Arial"/>
          <w:sz w:val="24"/>
          <w:szCs w:val="24"/>
        </w:rPr>
        <w:t>appellant</w:t>
      </w:r>
      <w:r w:rsidR="00160C98" w:rsidRPr="00A66E23">
        <w:rPr>
          <w:rFonts w:ascii="Arial" w:hAnsi="Arial" w:cs="Arial"/>
          <w:sz w:val="24"/>
          <w:szCs w:val="24"/>
        </w:rPr>
        <w:t xml:space="preserve"> </w:t>
      </w:r>
      <w:r w:rsidR="00160472" w:rsidRPr="00A66E23">
        <w:rPr>
          <w:rFonts w:ascii="Arial" w:hAnsi="Arial" w:cs="Arial"/>
          <w:sz w:val="24"/>
          <w:szCs w:val="24"/>
        </w:rPr>
        <w:t>wide-ranging</w:t>
      </w:r>
      <w:r w:rsidR="00160C98" w:rsidRPr="00A66E23">
        <w:rPr>
          <w:rFonts w:ascii="Arial" w:hAnsi="Arial" w:cs="Arial"/>
          <w:sz w:val="24"/>
          <w:szCs w:val="24"/>
        </w:rPr>
        <w:t xml:space="preserve"> powers</w:t>
      </w:r>
      <w:r w:rsidR="007270FF" w:rsidRPr="00A66E23">
        <w:rPr>
          <w:rFonts w:ascii="Arial" w:hAnsi="Arial" w:cs="Arial"/>
          <w:sz w:val="24"/>
          <w:szCs w:val="24"/>
        </w:rPr>
        <w:t xml:space="preserve"> so </w:t>
      </w:r>
      <w:r w:rsidR="00160C98" w:rsidRPr="00A66E23">
        <w:rPr>
          <w:rFonts w:ascii="Arial" w:hAnsi="Arial" w:cs="Arial"/>
          <w:sz w:val="24"/>
          <w:szCs w:val="24"/>
        </w:rPr>
        <w:t xml:space="preserve">that </w:t>
      </w:r>
      <w:r w:rsidR="0017111C" w:rsidRPr="00A66E23">
        <w:rPr>
          <w:rFonts w:ascii="Arial" w:hAnsi="Arial" w:cs="Arial"/>
          <w:sz w:val="24"/>
          <w:szCs w:val="24"/>
        </w:rPr>
        <w:t>he</w:t>
      </w:r>
      <w:r w:rsidR="000F485B" w:rsidRPr="00A66E23">
        <w:rPr>
          <w:rFonts w:ascii="Arial" w:hAnsi="Arial" w:cs="Arial"/>
          <w:sz w:val="24"/>
          <w:szCs w:val="24"/>
        </w:rPr>
        <w:t xml:space="preserve"> manages the trusts and </w:t>
      </w:r>
      <w:r w:rsidR="007270FF" w:rsidRPr="00A66E23">
        <w:rPr>
          <w:rFonts w:ascii="Arial" w:hAnsi="Arial" w:cs="Arial"/>
          <w:sz w:val="24"/>
          <w:szCs w:val="24"/>
        </w:rPr>
        <w:t xml:space="preserve">the CC </w:t>
      </w:r>
      <w:r w:rsidR="000F485B" w:rsidRPr="00A66E23">
        <w:rPr>
          <w:rFonts w:ascii="Arial" w:hAnsi="Arial" w:cs="Arial"/>
          <w:sz w:val="24"/>
          <w:szCs w:val="24"/>
        </w:rPr>
        <w:t>withou</w:t>
      </w:r>
      <w:r w:rsidR="00277152" w:rsidRPr="00A66E23">
        <w:rPr>
          <w:rFonts w:ascii="Arial" w:hAnsi="Arial" w:cs="Arial"/>
          <w:sz w:val="24"/>
          <w:szCs w:val="24"/>
        </w:rPr>
        <w:t>t input from any third parties</w:t>
      </w:r>
      <w:r w:rsidR="00E3234B" w:rsidRPr="00A66E23">
        <w:rPr>
          <w:rFonts w:ascii="Arial" w:hAnsi="Arial" w:cs="Arial"/>
          <w:sz w:val="24"/>
          <w:szCs w:val="24"/>
        </w:rPr>
        <w:t>, including other trustees</w:t>
      </w:r>
      <w:r w:rsidR="00892601" w:rsidRPr="00A66E23">
        <w:rPr>
          <w:rFonts w:ascii="Arial" w:hAnsi="Arial" w:cs="Arial"/>
          <w:sz w:val="24"/>
          <w:szCs w:val="24"/>
        </w:rPr>
        <w:t>,</w:t>
      </w:r>
      <w:r w:rsidR="00277152" w:rsidRPr="00A66E23">
        <w:rPr>
          <w:rFonts w:ascii="Arial" w:hAnsi="Arial" w:cs="Arial"/>
          <w:sz w:val="24"/>
          <w:szCs w:val="24"/>
        </w:rPr>
        <w:t xml:space="preserve"> and</w:t>
      </w:r>
      <w:r w:rsidR="00160C98" w:rsidRPr="00A66E23">
        <w:rPr>
          <w:rFonts w:ascii="Arial" w:hAnsi="Arial" w:cs="Arial"/>
          <w:sz w:val="24"/>
          <w:szCs w:val="24"/>
        </w:rPr>
        <w:t xml:space="preserve"> </w:t>
      </w:r>
      <w:r w:rsidR="00277152" w:rsidRPr="00A66E23">
        <w:rPr>
          <w:rFonts w:ascii="Arial" w:hAnsi="Arial" w:cs="Arial"/>
          <w:sz w:val="24"/>
          <w:szCs w:val="24"/>
        </w:rPr>
        <w:t>t</w:t>
      </w:r>
      <w:r w:rsidR="00160C98" w:rsidRPr="00A66E23">
        <w:rPr>
          <w:rFonts w:ascii="Arial" w:hAnsi="Arial" w:cs="Arial"/>
          <w:sz w:val="24"/>
          <w:szCs w:val="24"/>
        </w:rPr>
        <w:t>he appellant</w:t>
      </w:r>
      <w:r w:rsidR="00CF6DE1" w:rsidRPr="00A66E23">
        <w:rPr>
          <w:rFonts w:ascii="Arial" w:hAnsi="Arial" w:cs="Arial"/>
          <w:sz w:val="24"/>
          <w:szCs w:val="24"/>
        </w:rPr>
        <w:t xml:space="preserve"> held no meeting</w:t>
      </w:r>
      <w:r w:rsidR="00160C98" w:rsidRPr="00A66E23">
        <w:rPr>
          <w:rFonts w:ascii="Arial" w:hAnsi="Arial" w:cs="Arial"/>
          <w:sz w:val="24"/>
          <w:szCs w:val="24"/>
        </w:rPr>
        <w:t>s</w:t>
      </w:r>
      <w:r w:rsidR="00CF6DE1" w:rsidRPr="00A66E23">
        <w:rPr>
          <w:rFonts w:ascii="Arial" w:hAnsi="Arial" w:cs="Arial"/>
          <w:sz w:val="24"/>
          <w:szCs w:val="24"/>
        </w:rPr>
        <w:t xml:space="preserve"> of trustees or members. </w:t>
      </w:r>
    </w:p>
    <w:p w14:paraId="0A7431AA" w14:textId="09A52020" w:rsidR="002F6C56" w:rsidRPr="00A66E23" w:rsidRDefault="00CF6DE1" w:rsidP="00BF2ED6">
      <w:pPr>
        <w:spacing w:line="360" w:lineRule="auto"/>
        <w:jc w:val="both"/>
        <w:rPr>
          <w:rFonts w:ascii="Arial" w:hAnsi="Arial" w:cs="Arial"/>
          <w:sz w:val="24"/>
          <w:szCs w:val="24"/>
        </w:rPr>
      </w:pPr>
      <w:r w:rsidRPr="00A66E23">
        <w:rPr>
          <w:rFonts w:ascii="Arial" w:hAnsi="Arial" w:cs="Arial"/>
          <w:sz w:val="24"/>
          <w:szCs w:val="24"/>
        </w:rPr>
        <w:t>[</w:t>
      </w:r>
      <w:r w:rsidR="009B0586" w:rsidRPr="00A66E23">
        <w:rPr>
          <w:rFonts w:ascii="Arial" w:hAnsi="Arial" w:cs="Arial"/>
          <w:sz w:val="24"/>
          <w:szCs w:val="24"/>
        </w:rPr>
        <w:t>4</w:t>
      </w:r>
      <w:r w:rsidRPr="00A66E23">
        <w:rPr>
          <w:rFonts w:ascii="Arial" w:hAnsi="Arial" w:cs="Arial"/>
          <w:sz w:val="24"/>
          <w:szCs w:val="24"/>
        </w:rPr>
        <w:t>]</w:t>
      </w:r>
      <w:r w:rsidRPr="00A66E23">
        <w:rPr>
          <w:rFonts w:ascii="Arial" w:hAnsi="Arial" w:cs="Arial"/>
          <w:sz w:val="24"/>
          <w:szCs w:val="24"/>
        </w:rPr>
        <w:tab/>
        <w:t xml:space="preserve">The respondent further alleged that the antenuptial contract contains no stipulation that the assets of the trusts or </w:t>
      </w:r>
      <w:r w:rsidR="0017111C" w:rsidRPr="00A66E23">
        <w:rPr>
          <w:rFonts w:ascii="Arial" w:hAnsi="Arial" w:cs="Arial"/>
          <w:sz w:val="24"/>
          <w:szCs w:val="24"/>
        </w:rPr>
        <w:t xml:space="preserve">the CC </w:t>
      </w:r>
      <w:r w:rsidRPr="00A66E23">
        <w:rPr>
          <w:rFonts w:ascii="Arial" w:hAnsi="Arial" w:cs="Arial"/>
          <w:sz w:val="24"/>
          <w:szCs w:val="24"/>
        </w:rPr>
        <w:t>be excluded from the accr</w:t>
      </w:r>
      <w:r w:rsidR="00C52CFE" w:rsidRPr="00A66E23">
        <w:rPr>
          <w:rFonts w:ascii="Arial" w:hAnsi="Arial" w:cs="Arial"/>
          <w:sz w:val="24"/>
          <w:szCs w:val="24"/>
        </w:rPr>
        <w:t>ual and that the appellant</w:t>
      </w:r>
      <w:r w:rsidRPr="00A66E23">
        <w:rPr>
          <w:rFonts w:ascii="Arial" w:hAnsi="Arial" w:cs="Arial"/>
          <w:sz w:val="24"/>
          <w:szCs w:val="24"/>
        </w:rPr>
        <w:t xml:space="preserve"> acquired and funded the trusts and </w:t>
      </w:r>
      <w:r w:rsidR="0017111C" w:rsidRPr="00A66E23">
        <w:rPr>
          <w:rFonts w:ascii="Arial" w:hAnsi="Arial" w:cs="Arial"/>
          <w:sz w:val="24"/>
          <w:szCs w:val="24"/>
        </w:rPr>
        <w:t xml:space="preserve">the CC </w:t>
      </w:r>
      <w:r w:rsidRPr="00A66E23">
        <w:rPr>
          <w:rFonts w:ascii="Arial" w:hAnsi="Arial" w:cs="Arial"/>
          <w:sz w:val="24"/>
          <w:szCs w:val="24"/>
        </w:rPr>
        <w:t xml:space="preserve">with his personal funds. She went on to state that the </w:t>
      </w:r>
      <w:r w:rsidR="00310886" w:rsidRPr="00A66E23">
        <w:rPr>
          <w:rFonts w:ascii="Arial" w:hAnsi="Arial" w:cs="Arial"/>
          <w:sz w:val="24"/>
          <w:szCs w:val="24"/>
        </w:rPr>
        <w:t>appellant</w:t>
      </w:r>
      <w:r w:rsidRPr="00A66E23">
        <w:rPr>
          <w:rFonts w:ascii="Arial" w:hAnsi="Arial" w:cs="Arial"/>
          <w:sz w:val="24"/>
          <w:szCs w:val="24"/>
        </w:rPr>
        <w:t xml:space="preserve"> managed the trust</w:t>
      </w:r>
      <w:r w:rsidR="00310886" w:rsidRPr="00A66E23">
        <w:rPr>
          <w:rFonts w:ascii="Arial" w:hAnsi="Arial" w:cs="Arial"/>
          <w:sz w:val="24"/>
          <w:szCs w:val="24"/>
        </w:rPr>
        <w:t>s</w:t>
      </w:r>
      <w:r w:rsidRPr="00A66E23">
        <w:rPr>
          <w:rFonts w:ascii="Arial" w:hAnsi="Arial" w:cs="Arial"/>
          <w:sz w:val="24"/>
          <w:szCs w:val="24"/>
        </w:rPr>
        <w:t xml:space="preserve"> and close corporation assets as if they were his own</w:t>
      </w:r>
      <w:r w:rsidR="00F226DD" w:rsidRPr="00A66E23">
        <w:rPr>
          <w:rFonts w:ascii="Arial" w:hAnsi="Arial" w:cs="Arial"/>
          <w:sz w:val="24"/>
          <w:szCs w:val="24"/>
        </w:rPr>
        <w:t>,</w:t>
      </w:r>
      <w:r w:rsidRPr="00A66E23">
        <w:rPr>
          <w:rFonts w:ascii="Arial" w:hAnsi="Arial" w:cs="Arial"/>
          <w:sz w:val="24"/>
          <w:szCs w:val="24"/>
        </w:rPr>
        <w:t xml:space="preserve"> and ther</w:t>
      </w:r>
      <w:r w:rsidR="00C52CFE" w:rsidRPr="00A66E23">
        <w:rPr>
          <w:rFonts w:ascii="Arial" w:hAnsi="Arial" w:cs="Arial"/>
          <w:sz w:val="24"/>
          <w:szCs w:val="24"/>
        </w:rPr>
        <w:t>e was no distinction between</w:t>
      </w:r>
      <w:r w:rsidRPr="00A66E23">
        <w:rPr>
          <w:rFonts w:ascii="Arial" w:hAnsi="Arial" w:cs="Arial"/>
          <w:sz w:val="24"/>
          <w:szCs w:val="24"/>
        </w:rPr>
        <w:t xml:space="preserve"> </w:t>
      </w:r>
      <w:r w:rsidR="00C52CFE" w:rsidRPr="00A66E23">
        <w:rPr>
          <w:rFonts w:ascii="Arial" w:hAnsi="Arial" w:cs="Arial"/>
          <w:sz w:val="24"/>
          <w:szCs w:val="24"/>
        </w:rPr>
        <w:t xml:space="preserve">his </w:t>
      </w:r>
      <w:r w:rsidRPr="00A66E23">
        <w:rPr>
          <w:rFonts w:ascii="Arial" w:hAnsi="Arial" w:cs="Arial"/>
          <w:sz w:val="24"/>
          <w:szCs w:val="24"/>
        </w:rPr>
        <w:t>assets and those of the trusts and/or the close corporation</w:t>
      </w:r>
      <w:r w:rsidR="001D407F" w:rsidRPr="00A66E23">
        <w:rPr>
          <w:rFonts w:ascii="Arial" w:hAnsi="Arial" w:cs="Arial"/>
          <w:sz w:val="24"/>
          <w:szCs w:val="24"/>
        </w:rPr>
        <w:t xml:space="preserve">. </w:t>
      </w:r>
      <w:r w:rsidR="009460A9">
        <w:rPr>
          <w:rFonts w:ascii="Arial" w:hAnsi="Arial" w:cs="Arial"/>
          <w:sz w:val="24"/>
          <w:szCs w:val="24"/>
        </w:rPr>
        <w:t>She asserted that t</w:t>
      </w:r>
      <w:r w:rsidR="001D407F" w:rsidRPr="00A66E23">
        <w:rPr>
          <w:rFonts w:ascii="Arial" w:hAnsi="Arial" w:cs="Arial"/>
          <w:sz w:val="24"/>
          <w:szCs w:val="24"/>
        </w:rPr>
        <w:t xml:space="preserve">he </w:t>
      </w:r>
      <w:r w:rsidR="00C908C6" w:rsidRPr="00A66E23">
        <w:rPr>
          <w:rFonts w:ascii="Arial" w:hAnsi="Arial" w:cs="Arial"/>
          <w:sz w:val="24"/>
          <w:szCs w:val="24"/>
        </w:rPr>
        <w:t>appellant</w:t>
      </w:r>
      <w:r w:rsidR="001D407F" w:rsidRPr="00A66E23">
        <w:rPr>
          <w:rFonts w:ascii="Arial" w:hAnsi="Arial" w:cs="Arial"/>
          <w:sz w:val="24"/>
          <w:szCs w:val="24"/>
        </w:rPr>
        <w:t xml:space="preserve"> had sole signing powers on the bank accounts of the trusts and </w:t>
      </w:r>
      <w:r w:rsidR="0074450C" w:rsidRPr="00A66E23">
        <w:rPr>
          <w:rFonts w:ascii="Arial" w:hAnsi="Arial" w:cs="Arial"/>
          <w:sz w:val="24"/>
          <w:szCs w:val="24"/>
        </w:rPr>
        <w:t>the CC</w:t>
      </w:r>
      <w:r w:rsidR="001E0BAD" w:rsidRPr="00A66E23">
        <w:rPr>
          <w:rFonts w:ascii="Arial" w:hAnsi="Arial" w:cs="Arial"/>
          <w:sz w:val="24"/>
          <w:szCs w:val="24"/>
        </w:rPr>
        <w:t xml:space="preserve">, </w:t>
      </w:r>
      <w:r w:rsidR="009460A9">
        <w:rPr>
          <w:rFonts w:ascii="Arial" w:hAnsi="Arial" w:cs="Arial"/>
          <w:sz w:val="24"/>
          <w:szCs w:val="24"/>
        </w:rPr>
        <w:t xml:space="preserve">and that </w:t>
      </w:r>
      <w:r w:rsidR="0074450C" w:rsidRPr="00A66E23">
        <w:rPr>
          <w:rFonts w:ascii="Arial" w:hAnsi="Arial" w:cs="Arial"/>
          <w:sz w:val="24"/>
          <w:szCs w:val="24"/>
        </w:rPr>
        <w:t xml:space="preserve">these entities </w:t>
      </w:r>
      <w:r w:rsidR="001D407F" w:rsidRPr="00A66E23">
        <w:rPr>
          <w:rFonts w:ascii="Arial" w:hAnsi="Arial" w:cs="Arial"/>
          <w:sz w:val="24"/>
          <w:szCs w:val="24"/>
        </w:rPr>
        <w:t>exist in name only</w:t>
      </w:r>
      <w:r w:rsidR="00515E40" w:rsidRPr="00A66E23">
        <w:rPr>
          <w:rFonts w:ascii="Arial" w:hAnsi="Arial" w:cs="Arial"/>
          <w:sz w:val="24"/>
          <w:szCs w:val="24"/>
        </w:rPr>
        <w:t xml:space="preserve">. She </w:t>
      </w:r>
      <w:r w:rsidR="0074450C" w:rsidRPr="00A66E23">
        <w:rPr>
          <w:rFonts w:ascii="Arial" w:hAnsi="Arial" w:cs="Arial"/>
          <w:sz w:val="24"/>
          <w:szCs w:val="24"/>
        </w:rPr>
        <w:t xml:space="preserve">said </w:t>
      </w:r>
      <w:r w:rsidR="00515E40" w:rsidRPr="00A66E23">
        <w:rPr>
          <w:rFonts w:ascii="Arial" w:hAnsi="Arial" w:cs="Arial"/>
          <w:sz w:val="24"/>
          <w:szCs w:val="24"/>
        </w:rPr>
        <w:t xml:space="preserve">that she performed duties </w:t>
      </w:r>
      <w:r w:rsidR="001D407F" w:rsidRPr="00A66E23">
        <w:rPr>
          <w:rFonts w:ascii="Arial" w:hAnsi="Arial" w:cs="Arial"/>
          <w:sz w:val="24"/>
          <w:szCs w:val="24"/>
        </w:rPr>
        <w:t xml:space="preserve">for the trusts and </w:t>
      </w:r>
      <w:r w:rsidR="008528AD" w:rsidRPr="00A66E23">
        <w:rPr>
          <w:rFonts w:ascii="Arial" w:hAnsi="Arial" w:cs="Arial"/>
          <w:sz w:val="24"/>
          <w:szCs w:val="24"/>
        </w:rPr>
        <w:t>CC</w:t>
      </w:r>
      <w:r w:rsidR="001D407F" w:rsidRPr="00A66E23">
        <w:rPr>
          <w:rFonts w:ascii="Arial" w:hAnsi="Arial" w:cs="Arial"/>
          <w:sz w:val="24"/>
          <w:szCs w:val="24"/>
        </w:rPr>
        <w:t xml:space="preserve"> as if they were part of the </w:t>
      </w:r>
      <w:r w:rsidR="00515E40" w:rsidRPr="00A66E23">
        <w:rPr>
          <w:rFonts w:ascii="Arial" w:hAnsi="Arial" w:cs="Arial"/>
          <w:sz w:val="24"/>
          <w:szCs w:val="24"/>
        </w:rPr>
        <w:t>appellant’s</w:t>
      </w:r>
      <w:r w:rsidR="001D407F" w:rsidRPr="00A66E23">
        <w:rPr>
          <w:rFonts w:ascii="Arial" w:hAnsi="Arial" w:cs="Arial"/>
          <w:sz w:val="24"/>
          <w:szCs w:val="24"/>
        </w:rPr>
        <w:t xml:space="preserve"> farming business. </w:t>
      </w:r>
      <w:r w:rsidR="00915382" w:rsidRPr="00A66E23">
        <w:rPr>
          <w:rFonts w:ascii="Arial" w:hAnsi="Arial" w:cs="Arial"/>
          <w:sz w:val="24"/>
          <w:szCs w:val="24"/>
        </w:rPr>
        <w:t xml:space="preserve">The respondent received monthly payments from a trust for the purchase of groceries and household essentials. </w:t>
      </w:r>
    </w:p>
    <w:p w14:paraId="627AC890" w14:textId="52EA8F73" w:rsidR="00431CF2" w:rsidRDefault="005D6A0E" w:rsidP="00BF2ED6">
      <w:pPr>
        <w:spacing w:line="360" w:lineRule="auto"/>
        <w:jc w:val="both"/>
        <w:rPr>
          <w:rFonts w:ascii="Arial" w:hAnsi="Arial" w:cs="Arial"/>
          <w:sz w:val="24"/>
          <w:szCs w:val="24"/>
        </w:rPr>
      </w:pPr>
      <w:r w:rsidRPr="00A66E23">
        <w:rPr>
          <w:rFonts w:ascii="Arial" w:hAnsi="Arial" w:cs="Arial"/>
          <w:sz w:val="24"/>
          <w:szCs w:val="24"/>
        </w:rPr>
        <w:t>[</w:t>
      </w:r>
      <w:r w:rsidR="009B0586" w:rsidRPr="00A66E23">
        <w:rPr>
          <w:rFonts w:ascii="Arial" w:hAnsi="Arial" w:cs="Arial"/>
          <w:sz w:val="24"/>
          <w:szCs w:val="24"/>
        </w:rPr>
        <w:t>5</w:t>
      </w:r>
      <w:r w:rsidRPr="00A66E23">
        <w:rPr>
          <w:rFonts w:ascii="Arial" w:hAnsi="Arial" w:cs="Arial"/>
          <w:sz w:val="24"/>
          <w:szCs w:val="24"/>
        </w:rPr>
        <w:t>]</w:t>
      </w:r>
      <w:r w:rsidRPr="00A66E23">
        <w:rPr>
          <w:rFonts w:ascii="Arial" w:hAnsi="Arial" w:cs="Arial"/>
          <w:sz w:val="24"/>
          <w:szCs w:val="24"/>
        </w:rPr>
        <w:tab/>
      </w:r>
      <w:r w:rsidR="0074450C" w:rsidRPr="00A66E23">
        <w:rPr>
          <w:rFonts w:ascii="Arial" w:hAnsi="Arial" w:cs="Arial"/>
          <w:sz w:val="24"/>
          <w:szCs w:val="24"/>
        </w:rPr>
        <w:t xml:space="preserve"> The </w:t>
      </w:r>
      <w:r w:rsidR="00431CF2" w:rsidRPr="00A66E23">
        <w:rPr>
          <w:rFonts w:ascii="Arial" w:hAnsi="Arial" w:cs="Arial"/>
          <w:sz w:val="24"/>
          <w:szCs w:val="24"/>
        </w:rPr>
        <w:t xml:space="preserve">respondent </w:t>
      </w:r>
      <w:r w:rsidR="0074450C" w:rsidRPr="00A66E23">
        <w:rPr>
          <w:rFonts w:ascii="Arial" w:hAnsi="Arial" w:cs="Arial"/>
          <w:sz w:val="24"/>
          <w:szCs w:val="24"/>
        </w:rPr>
        <w:t xml:space="preserve">claimed </w:t>
      </w:r>
      <w:r w:rsidR="00431CF2" w:rsidRPr="00A66E23">
        <w:rPr>
          <w:rFonts w:ascii="Arial" w:hAnsi="Arial" w:cs="Arial"/>
          <w:sz w:val="24"/>
          <w:szCs w:val="24"/>
        </w:rPr>
        <w:t xml:space="preserve">that the appellant established the trusts and </w:t>
      </w:r>
      <w:r w:rsidR="0074450C" w:rsidRPr="00A66E23">
        <w:rPr>
          <w:rFonts w:ascii="Arial" w:hAnsi="Arial" w:cs="Arial"/>
          <w:sz w:val="24"/>
          <w:szCs w:val="24"/>
        </w:rPr>
        <w:t>the CC</w:t>
      </w:r>
      <w:r w:rsidR="00431CF2" w:rsidRPr="00A66E23">
        <w:rPr>
          <w:rFonts w:ascii="Arial" w:hAnsi="Arial" w:cs="Arial"/>
          <w:sz w:val="24"/>
          <w:szCs w:val="24"/>
        </w:rPr>
        <w:t xml:space="preserve"> in order to prejudice her in the exercise of her right to claim a fair share of the </w:t>
      </w:r>
      <w:r w:rsidR="001A7E28" w:rsidRPr="00A66E23">
        <w:rPr>
          <w:rFonts w:ascii="Arial" w:hAnsi="Arial" w:cs="Arial"/>
          <w:sz w:val="24"/>
          <w:szCs w:val="24"/>
        </w:rPr>
        <w:t>a</w:t>
      </w:r>
      <w:r w:rsidRPr="00A66E23">
        <w:rPr>
          <w:rFonts w:ascii="Arial" w:hAnsi="Arial" w:cs="Arial"/>
          <w:sz w:val="24"/>
          <w:szCs w:val="24"/>
        </w:rPr>
        <w:t xml:space="preserve">ccrued </w:t>
      </w:r>
      <w:r w:rsidRPr="00A66E23">
        <w:rPr>
          <w:rFonts w:ascii="Arial" w:hAnsi="Arial" w:cs="Arial"/>
          <w:sz w:val="24"/>
          <w:szCs w:val="24"/>
        </w:rPr>
        <w:lastRenderedPageBreak/>
        <w:t>estate</w:t>
      </w:r>
      <w:r w:rsidR="0074450C" w:rsidRPr="00A66E23">
        <w:rPr>
          <w:rFonts w:ascii="Arial" w:hAnsi="Arial" w:cs="Arial"/>
          <w:sz w:val="24"/>
          <w:szCs w:val="24"/>
        </w:rPr>
        <w:t xml:space="preserve">. Therefore, </w:t>
      </w:r>
      <w:r w:rsidR="001A7E28" w:rsidRPr="00A66E23">
        <w:rPr>
          <w:rFonts w:ascii="Arial" w:hAnsi="Arial" w:cs="Arial"/>
          <w:sz w:val="24"/>
          <w:szCs w:val="24"/>
        </w:rPr>
        <w:t>the assets of these entities must be regarded as part of the appellant’s</w:t>
      </w:r>
      <w:r w:rsidR="001A7E28">
        <w:rPr>
          <w:rFonts w:ascii="Arial" w:hAnsi="Arial" w:cs="Arial"/>
          <w:sz w:val="24"/>
          <w:szCs w:val="24"/>
        </w:rPr>
        <w:t xml:space="preserve"> estate and taken into account</w:t>
      </w:r>
      <w:r w:rsidR="0074450C">
        <w:rPr>
          <w:rFonts w:ascii="Arial" w:hAnsi="Arial" w:cs="Arial"/>
          <w:sz w:val="24"/>
          <w:szCs w:val="24"/>
        </w:rPr>
        <w:t>,</w:t>
      </w:r>
      <w:r w:rsidR="001A7E28">
        <w:rPr>
          <w:rFonts w:ascii="Arial" w:hAnsi="Arial" w:cs="Arial"/>
          <w:sz w:val="24"/>
          <w:szCs w:val="24"/>
        </w:rPr>
        <w:t xml:space="preserve"> together with any personal assets accrued by the appellant in his personal capacity in the calculation of accrual in terms of ss 3 and 4 of </w:t>
      </w:r>
      <w:r w:rsidR="002E4578">
        <w:rPr>
          <w:rFonts w:ascii="Arial" w:hAnsi="Arial" w:cs="Arial"/>
          <w:sz w:val="24"/>
          <w:szCs w:val="24"/>
        </w:rPr>
        <w:t>the Act</w:t>
      </w:r>
      <w:r w:rsidR="002F6C56">
        <w:rPr>
          <w:rFonts w:ascii="Arial" w:hAnsi="Arial" w:cs="Arial"/>
          <w:sz w:val="24"/>
          <w:szCs w:val="24"/>
        </w:rPr>
        <w:t>.</w:t>
      </w:r>
      <w:r w:rsidR="00431CF2">
        <w:rPr>
          <w:rFonts w:ascii="Arial" w:hAnsi="Arial" w:cs="Arial"/>
          <w:sz w:val="24"/>
          <w:szCs w:val="24"/>
        </w:rPr>
        <w:t xml:space="preserve"> </w:t>
      </w:r>
    </w:p>
    <w:p w14:paraId="2D7417BA" w14:textId="3E0D00A9" w:rsidR="00B96A44" w:rsidRDefault="001A7E28" w:rsidP="00BF2ED6">
      <w:pPr>
        <w:spacing w:line="360" w:lineRule="auto"/>
        <w:jc w:val="both"/>
        <w:rPr>
          <w:rFonts w:ascii="Arial" w:hAnsi="Arial" w:cs="Arial"/>
          <w:sz w:val="24"/>
          <w:szCs w:val="24"/>
        </w:rPr>
      </w:pPr>
      <w:r>
        <w:rPr>
          <w:rFonts w:ascii="Arial" w:hAnsi="Arial" w:cs="Arial"/>
          <w:sz w:val="24"/>
          <w:szCs w:val="24"/>
        </w:rPr>
        <w:t>[</w:t>
      </w:r>
      <w:r w:rsidR="009B0586">
        <w:rPr>
          <w:rFonts w:ascii="Arial" w:hAnsi="Arial" w:cs="Arial"/>
          <w:sz w:val="24"/>
          <w:szCs w:val="24"/>
        </w:rPr>
        <w:t>6</w:t>
      </w:r>
      <w:r>
        <w:rPr>
          <w:rFonts w:ascii="Arial" w:hAnsi="Arial" w:cs="Arial"/>
          <w:sz w:val="24"/>
          <w:szCs w:val="24"/>
        </w:rPr>
        <w:t>]</w:t>
      </w:r>
      <w:r>
        <w:rPr>
          <w:rFonts w:ascii="Arial" w:hAnsi="Arial" w:cs="Arial"/>
          <w:sz w:val="24"/>
          <w:szCs w:val="24"/>
        </w:rPr>
        <w:tab/>
        <w:t>The appellant denied the allegations</w:t>
      </w:r>
      <w:r w:rsidR="00BF2ED6">
        <w:rPr>
          <w:rFonts w:ascii="Arial" w:hAnsi="Arial" w:cs="Arial"/>
          <w:sz w:val="24"/>
          <w:szCs w:val="24"/>
        </w:rPr>
        <w:t xml:space="preserve"> underpinning the respondent’s claim. The trust</w:t>
      </w:r>
      <w:r w:rsidR="00D24894">
        <w:rPr>
          <w:rFonts w:ascii="Arial" w:hAnsi="Arial" w:cs="Arial"/>
          <w:sz w:val="24"/>
          <w:szCs w:val="24"/>
        </w:rPr>
        <w:t>s</w:t>
      </w:r>
      <w:r w:rsidR="00BF2ED6">
        <w:rPr>
          <w:rFonts w:ascii="Arial" w:hAnsi="Arial" w:cs="Arial"/>
          <w:sz w:val="24"/>
          <w:szCs w:val="24"/>
        </w:rPr>
        <w:t xml:space="preserve"> and </w:t>
      </w:r>
      <w:r w:rsidR="00D24894">
        <w:rPr>
          <w:rFonts w:ascii="Arial" w:hAnsi="Arial" w:cs="Arial"/>
          <w:sz w:val="24"/>
          <w:szCs w:val="24"/>
        </w:rPr>
        <w:t>the CC</w:t>
      </w:r>
      <w:r w:rsidR="00C37DB9">
        <w:rPr>
          <w:rFonts w:ascii="Arial" w:hAnsi="Arial" w:cs="Arial"/>
          <w:sz w:val="24"/>
          <w:szCs w:val="24"/>
        </w:rPr>
        <w:t>,</w:t>
      </w:r>
      <w:r w:rsidR="00D24894">
        <w:rPr>
          <w:rFonts w:ascii="Arial" w:hAnsi="Arial" w:cs="Arial"/>
          <w:sz w:val="24"/>
          <w:szCs w:val="24"/>
        </w:rPr>
        <w:t xml:space="preserve"> </w:t>
      </w:r>
      <w:r w:rsidR="00C37DB9">
        <w:rPr>
          <w:rFonts w:ascii="Arial" w:hAnsi="Arial" w:cs="Arial"/>
          <w:sz w:val="24"/>
          <w:szCs w:val="24"/>
        </w:rPr>
        <w:t>making</w:t>
      </w:r>
      <w:r w:rsidR="005D6A0E">
        <w:rPr>
          <w:rFonts w:ascii="Arial" w:hAnsi="Arial" w:cs="Arial"/>
          <w:sz w:val="24"/>
          <w:szCs w:val="24"/>
        </w:rPr>
        <w:t xml:space="preserve"> common cause</w:t>
      </w:r>
      <w:r w:rsidR="009460A9">
        <w:rPr>
          <w:rFonts w:ascii="Arial" w:hAnsi="Arial" w:cs="Arial"/>
          <w:sz w:val="24"/>
          <w:szCs w:val="24"/>
        </w:rPr>
        <w:t xml:space="preserve"> with the appellant</w:t>
      </w:r>
      <w:r w:rsidR="00C37DB9">
        <w:rPr>
          <w:rFonts w:ascii="Arial" w:hAnsi="Arial" w:cs="Arial"/>
          <w:sz w:val="24"/>
          <w:szCs w:val="24"/>
        </w:rPr>
        <w:t>’s defences, contended</w:t>
      </w:r>
      <w:r w:rsidR="00BF2ED6">
        <w:rPr>
          <w:rFonts w:ascii="Arial" w:hAnsi="Arial" w:cs="Arial"/>
          <w:sz w:val="24"/>
          <w:szCs w:val="24"/>
        </w:rPr>
        <w:t xml:space="preserve"> that the averments as pleaded by the re</w:t>
      </w:r>
      <w:r w:rsidR="002E4578">
        <w:rPr>
          <w:rFonts w:ascii="Arial" w:hAnsi="Arial" w:cs="Arial"/>
          <w:sz w:val="24"/>
          <w:szCs w:val="24"/>
        </w:rPr>
        <w:t>spondent did</w:t>
      </w:r>
      <w:r w:rsidR="00BF2ED6">
        <w:rPr>
          <w:rFonts w:ascii="Arial" w:hAnsi="Arial" w:cs="Arial"/>
          <w:sz w:val="24"/>
          <w:szCs w:val="24"/>
        </w:rPr>
        <w:t xml:space="preserve"> not support the relief </w:t>
      </w:r>
      <w:r w:rsidR="009460A9">
        <w:rPr>
          <w:rFonts w:ascii="Arial" w:hAnsi="Arial" w:cs="Arial"/>
          <w:sz w:val="24"/>
          <w:szCs w:val="24"/>
        </w:rPr>
        <w:t xml:space="preserve">she </w:t>
      </w:r>
      <w:r w:rsidR="00BF2ED6">
        <w:rPr>
          <w:rFonts w:ascii="Arial" w:hAnsi="Arial" w:cs="Arial"/>
          <w:sz w:val="24"/>
          <w:szCs w:val="24"/>
        </w:rPr>
        <w:t>claimed</w:t>
      </w:r>
      <w:r w:rsidR="009460A9">
        <w:rPr>
          <w:rFonts w:ascii="Arial" w:hAnsi="Arial" w:cs="Arial"/>
          <w:sz w:val="24"/>
          <w:szCs w:val="24"/>
        </w:rPr>
        <w:t>.</w:t>
      </w:r>
      <w:r w:rsidR="00BF2ED6">
        <w:rPr>
          <w:rFonts w:ascii="Arial" w:hAnsi="Arial" w:cs="Arial"/>
          <w:sz w:val="24"/>
          <w:szCs w:val="24"/>
        </w:rPr>
        <w:t xml:space="preserve"> The basis for this contention was that there was no averment </w:t>
      </w:r>
      <w:r w:rsidR="00B96A44">
        <w:rPr>
          <w:rFonts w:ascii="Arial" w:hAnsi="Arial" w:cs="Arial"/>
          <w:sz w:val="24"/>
          <w:szCs w:val="24"/>
        </w:rPr>
        <w:t>in the</w:t>
      </w:r>
      <w:r w:rsidR="00BF2ED6">
        <w:rPr>
          <w:rFonts w:ascii="Arial" w:hAnsi="Arial" w:cs="Arial"/>
          <w:sz w:val="24"/>
          <w:szCs w:val="24"/>
        </w:rPr>
        <w:t xml:space="preserve"> particulars of claim that the trusts</w:t>
      </w:r>
      <w:r w:rsidR="002E4578">
        <w:rPr>
          <w:rFonts w:ascii="Arial" w:hAnsi="Arial" w:cs="Arial"/>
          <w:sz w:val="24"/>
          <w:szCs w:val="24"/>
        </w:rPr>
        <w:t xml:space="preserve"> and the CC</w:t>
      </w:r>
      <w:r w:rsidR="00BF2ED6">
        <w:rPr>
          <w:rFonts w:ascii="Arial" w:hAnsi="Arial" w:cs="Arial"/>
          <w:sz w:val="24"/>
          <w:szCs w:val="24"/>
        </w:rPr>
        <w:t xml:space="preserve"> acquired the assets with the fraudulent </w:t>
      </w:r>
      <w:r w:rsidR="00B96A44">
        <w:rPr>
          <w:rFonts w:ascii="Arial" w:hAnsi="Arial" w:cs="Arial"/>
          <w:sz w:val="24"/>
          <w:szCs w:val="24"/>
        </w:rPr>
        <w:t>or dishonest purpose of avoiding the obligation to account for such assets or that the appellant had acted dishonestly or in an unconscionable manner in order to avoid his obligation to account for the accrual in his estate.</w:t>
      </w:r>
    </w:p>
    <w:p w14:paraId="4F7E298F" w14:textId="045B0AF9" w:rsidR="002E460A" w:rsidRPr="00A66E23" w:rsidRDefault="00B96A44" w:rsidP="00BF2ED6">
      <w:pPr>
        <w:spacing w:line="360" w:lineRule="auto"/>
        <w:jc w:val="both"/>
        <w:rPr>
          <w:rFonts w:ascii="Arial" w:hAnsi="Arial" w:cs="Arial"/>
          <w:sz w:val="24"/>
          <w:szCs w:val="24"/>
        </w:rPr>
      </w:pPr>
      <w:r>
        <w:rPr>
          <w:rFonts w:ascii="Arial" w:hAnsi="Arial" w:cs="Arial"/>
          <w:sz w:val="24"/>
          <w:szCs w:val="24"/>
        </w:rPr>
        <w:t>[</w:t>
      </w:r>
      <w:r w:rsidR="009B0586">
        <w:rPr>
          <w:rFonts w:ascii="Arial" w:hAnsi="Arial" w:cs="Arial"/>
          <w:sz w:val="24"/>
          <w:szCs w:val="24"/>
        </w:rPr>
        <w:t>7</w:t>
      </w:r>
      <w:r>
        <w:rPr>
          <w:rFonts w:ascii="Arial" w:hAnsi="Arial" w:cs="Arial"/>
          <w:sz w:val="24"/>
          <w:szCs w:val="24"/>
        </w:rPr>
        <w:t>]</w:t>
      </w:r>
      <w:r>
        <w:rPr>
          <w:rFonts w:ascii="Arial" w:hAnsi="Arial" w:cs="Arial"/>
          <w:sz w:val="24"/>
          <w:szCs w:val="24"/>
        </w:rPr>
        <w:tab/>
        <w:t xml:space="preserve">The evidence proffered by the respondent in support </w:t>
      </w:r>
      <w:r w:rsidR="00515E40">
        <w:rPr>
          <w:rFonts w:ascii="Arial" w:hAnsi="Arial" w:cs="Arial"/>
          <w:sz w:val="24"/>
          <w:szCs w:val="24"/>
        </w:rPr>
        <w:t>of the allegations in the pleadings</w:t>
      </w:r>
      <w:r>
        <w:rPr>
          <w:rFonts w:ascii="Arial" w:hAnsi="Arial" w:cs="Arial"/>
          <w:sz w:val="24"/>
          <w:szCs w:val="24"/>
        </w:rPr>
        <w:t xml:space="preserve"> is to the following effect. The parties were married to each other on 27 March 1993 out of community of property subject to the accrual system in terms of the Act. For purposes of accrual, the </w:t>
      </w:r>
      <w:r w:rsidR="002E460A">
        <w:rPr>
          <w:rFonts w:ascii="Arial" w:hAnsi="Arial" w:cs="Arial"/>
          <w:sz w:val="24"/>
          <w:szCs w:val="24"/>
        </w:rPr>
        <w:t>commencement value of the respondent’s assets at the</w:t>
      </w:r>
      <w:r w:rsidR="00D24894">
        <w:rPr>
          <w:rFonts w:ascii="Arial" w:hAnsi="Arial" w:cs="Arial"/>
          <w:sz w:val="24"/>
          <w:szCs w:val="24"/>
        </w:rPr>
        <w:t xml:space="preserve"> time of marriage was R20 000</w:t>
      </w:r>
      <w:r w:rsidR="00892601">
        <w:rPr>
          <w:rFonts w:ascii="Arial" w:hAnsi="Arial" w:cs="Arial"/>
          <w:sz w:val="24"/>
          <w:szCs w:val="24"/>
        </w:rPr>
        <w:t>,</w:t>
      </w:r>
      <w:r w:rsidR="002E460A">
        <w:rPr>
          <w:rFonts w:ascii="Arial" w:hAnsi="Arial" w:cs="Arial"/>
          <w:sz w:val="24"/>
          <w:szCs w:val="24"/>
        </w:rPr>
        <w:t xml:space="preserve"> and that o</w:t>
      </w:r>
      <w:r w:rsidR="00D24894">
        <w:rPr>
          <w:rFonts w:ascii="Arial" w:hAnsi="Arial" w:cs="Arial"/>
          <w:sz w:val="24"/>
          <w:szCs w:val="24"/>
        </w:rPr>
        <w:t>f the appellant was R175 000. The parties agreed that</w:t>
      </w:r>
      <w:r w:rsidR="00892601">
        <w:rPr>
          <w:rFonts w:ascii="Arial" w:hAnsi="Arial" w:cs="Arial"/>
          <w:sz w:val="24"/>
          <w:szCs w:val="24"/>
        </w:rPr>
        <w:t xml:space="preserve"> using the Consumer Price Index</w:t>
      </w:r>
      <w:r w:rsidR="00D24894">
        <w:rPr>
          <w:rFonts w:ascii="Arial" w:hAnsi="Arial" w:cs="Arial"/>
          <w:sz w:val="24"/>
          <w:szCs w:val="24"/>
        </w:rPr>
        <w:t xml:space="preserve"> as </w:t>
      </w:r>
      <w:r w:rsidR="009460A9">
        <w:rPr>
          <w:rFonts w:ascii="Arial" w:hAnsi="Arial" w:cs="Arial"/>
          <w:sz w:val="24"/>
          <w:szCs w:val="24"/>
        </w:rPr>
        <w:t>at</w:t>
      </w:r>
      <w:r w:rsidR="00D24894">
        <w:rPr>
          <w:rFonts w:ascii="Arial" w:hAnsi="Arial" w:cs="Arial"/>
          <w:sz w:val="24"/>
          <w:szCs w:val="24"/>
        </w:rPr>
        <w:t xml:space="preserve"> the date of divorce</w:t>
      </w:r>
      <w:r w:rsidR="00CE2874">
        <w:rPr>
          <w:rFonts w:ascii="Arial" w:hAnsi="Arial" w:cs="Arial"/>
          <w:sz w:val="24"/>
          <w:szCs w:val="24"/>
        </w:rPr>
        <w:t>,</w:t>
      </w:r>
      <w:r w:rsidR="00D24894">
        <w:rPr>
          <w:rFonts w:ascii="Arial" w:hAnsi="Arial" w:cs="Arial"/>
          <w:sz w:val="24"/>
          <w:szCs w:val="24"/>
        </w:rPr>
        <w:t xml:space="preserve"> these assets are now valued</w:t>
      </w:r>
      <w:r w:rsidR="00DB68A1">
        <w:rPr>
          <w:rFonts w:ascii="Arial" w:hAnsi="Arial" w:cs="Arial"/>
          <w:sz w:val="24"/>
          <w:szCs w:val="24"/>
        </w:rPr>
        <w:t xml:space="preserve"> </w:t>
      </w:r>
      <w:r w:rsidR="00DB68A1" w:rsidRPr="00A66E23">
        <w:rPr>
          <w:rFonts w:ascii="Arial" w:hAnsi="Arial" w:cs="Arial"/>
          <w:sz w:val="24"/>
          <w:szCs w:val="24"/>
        </w:rPr>
        <w:t>at R94 190.87 and R</w:t>
      </w:r>
      <w:r w:rsidR="00763E0F" w:rsidRPr="00A66E23">
        <w:rPr>
          <w:rFonts w:ascii="Arial" w:hAnsi="Arial" w:cs="Arial"/>
          <w:sz w:val="24"/>
          <w:szCs w:val="24"/>
        </w:rPr>
        <w:t>8</w:t>
      </w:r>
      <w:r w:rsidR="00DB68A1" w:rsidRPr="00A66E23">
        <w:rPr>
          <w:rFonts w:ascii="Arial" w:hAnsi="Arial" w:cs="Arial"/>
          <w:sz w:val="24"/>
          <w:szCs w:val="24"/>
        </w:rPr>
        <w:t>24 170.12</w:t>
      </w:r>
      <w:r w:rsidR="00892601" w:rsidRPr="00A66E23">
        <w:rPr>
          <w:rFonts w:ascii="Arial" w:hAnsi="Arial" w:cs="Arial"/>
          <w:sz w:val="24"/>
          <w:szCs w:val="24"/>
        </w:rPr>
        <w:t>,</w:t>
      </w:r>
      <w:r w:rsidR="00DB68A1" w:rsidRPr="00A66E23">
        <w:rPr>
          <w:rFonts w:ascii="Arial" w:hAnsi="Arial" w:cs="Arial"/>
          <w:sz w:val="24"/>
          <w:szCs w:val="24"/>
        </w:rPr>
        <w:t xml:space="preserve"> re</w:t>
      </w:r>
      <w:r w:rsidR="00D24894" w:rsidRPr="00A66E23">
        <w:rPr>
          <w:rFonts w:ascii="Arial" w:hAnsi="Arial" w:cs="Arial"/>
          <w:sz w:val="24"/>
          <w:szCs w:val="24"/>
        </w:rPr>
        <w:t>spectively.</w:t>
      </w:r>
      <w:r w:rsidR="00C37DB9" w:rsidRPr="00A66E23">
        <w:rPr>
          <w:rFonts w:ascii="Arial" w:hAnsi="Arial" w:cs="Arial"/>
          <w:sz w:val="24"/>
          <w:szCs w:val="24"/>
        </w:rPr>
        <w:t xml:space="preserve"> </w:t>
      </w:r>
    </w:p>
    <w:p w14:paraId="19F01655" w14:textId="24400688" w:rsidR="001667C8" w:rsidRPr="00A66E23" w:rsidRDefault="002E460A" w:rsidP="00BF2ED6">
      <w:pPr>
        <w:spacing w:line="360" w:lineRule="auto"/>
        <w:jc w:val="both"/>
        <w:rPr>
          <w:rFonts w:ascii="Arial" w:hAnsi="Arial" w:cs="Arial"/>
          <w:sz w:val="24"/>
          <w:szCs w:val="24"/>
        </w:rPr>
      </w:pPr>
      <w:r w:rsidRPr="00A66E23">
        <w:rPr>
          <w:rFonts w:ascii="Arial" w:hAnsi="Arial" w:cs="Arial"/>
          <w:sz w:val="24"/>
          <w:szCs w:val="24"/>
        </w:rPr>
        <w:t>[</w:t>
      </w:r>
      <w:r w:rsidR="009B0586" w:rsidRPr="00A66E23">
        <w:rPr>
          <w:rFonts w:ascii="Arial" w:hAnsi="Arial" w:cs="Arial"/>
          <w:sz w:val="24"/>
          <w:szCs w:val="24"/>
        </w:rPr>
        <w:t>8</w:t>
      </w:r>
      <w:r w:rsidRPr="00A66E23">
        <w:rPr>
          <w:rFonts w:ascii="Arial" w:hAnsi="Arial" w:cs="Arial"/>
          <w:sz w:val="24"/>
          <w:szCs w:val="24"/>
        </w:rPr>
        <w:t>]</w:t>
      </w:r>
      <w:r w:rsidRPr="00A66E23">
        <w:rPr>
          <w:rFonts w:ascii="Arial" w:hAnsi="Arial" w:cs="Arial"/>
          <w:sz w:val="24"/>
          <w:szCs w:val="24"/>
        </w:rPr>
        <w:tab/>
      </w:r>
      <w:r w:rsidR="0074450C" w:rsidRPr="00A66E23">
        <w:rPr>
          <w:rFonts w:ascii="Arial" w:hAnsi="Arial" w:cs="Arial"/>
          <w:sz w:val="24"/>
          <w:szCs w:val="24"/>
        </w:rPr>
        <w:t xml:space="preserve">The respondent </w:t>
      </w:r>
      <w:r w:rsidR="006E7168" w:rsidRPr="00A66E23">
        <w:rPr>
          <w:rFonts w:ascii="Arial" w:hAnsi="Arial" w:cs="Arial"/>
          <w:sz w:val="24"/>
          <w:szCs w:val="24"/>
        </w:rPr>
        <w:t xml:space="preserve">testified that </w:t>
      </w:r>
      <w:r w:rsidR="00FD7D80" w:rsidRPr="00A66E23">
        <w:rPr>
          <w:rFonts w:ascii="Arial" w:hAnsi="Arial" w:cs="Arial"/>
          <w:sz w:val="24"/>
          <w:szCs w:val="24"/>
        </w:rPr>
        <w:t>she</w:t>
      </w:r>
      <w:r w:rsidR="005C387E" w:rsidRPr="00A66E23">
        <w:rPr>
          <w:rFonts w:ascii="Arial" w:hAnsi="Arial" w:cs="Arial"/>
          <w:sz w:val="24"/>
          <w:szCs w:val="24"/>
        </w:rPr>
        <w:t xml:space="preserve"> had</w:t>
      </w:r>
      <w:r w:rsidR="00FD7D80" w:rsidRPr="00A66E23">
        <w:rPr>
          <w:rFonts w:ascii="Arial" w:hAnsi="Arial" w:cs="Arial"/>
          <w:sz w:val="24"/>
          <w:szCs w:val="24"/>
        </w:rPr>
        <w:t xml:space="preserve"> joined</w:t>
      </w:r>
      <w:r w:rsidR="006E7168" w:rsidRPr="00A66E23">
        <w:rPr>
          <w:rFonts w:ascii="Arial" w:hAnsi="Arial" w:cs="Arial"/>
          <w:sz w:val="24"/>
          <w:szCs w:val="24"/>
        </w:rPr>
        <w:t xml:space="preserve"> the trusts and the C</w:t>
      </w:r>
      <w:r w:rsidR="00FD7D80" w:rsidRPr="00A66E23">
        <w:rPr>
          <w:rFonts w:ascii="Arial" w:hAnsi="Arial" w:cs="Arial"/>
          <w:sz w:val="24"/>
          <w:szCs w:val="24"/>
        </w:rPr>
        <w:t>C</w:t>
      </w:r>
      <w:r w:rsidR="005C387E" w:rsidRPr="00A66E23">
        <w:rPr>
          <w:rFonts w:ascii="Arial" w:hAnsi="Arial" w:cs="Arial"/>
          <w:sz w:val="24"/>
          <w:szCs w:val="24"/>
        </w:rPr>
        <w:t xml:space="preserve"> to</w:t>
      </w:r>
      <w:r w:rsidR="006E7168" w:rsidRPr="00A66E23">
        <w:rPr>
          <w:rFonts w:ascii="Arial" w:hAnsi="Arial" w:cs="Arial"/>
          <w:sz w:val="24"/>
          <w:szCs w:val="24"/>
        </w:rPr>
        <w:t xml:space="preserve"> the </w:t>
      </w:r>
      <w:r w:rsidR="00FD7D80" w:rsidRPr="00A66E23">
        <w:rPr>
          <w:rFonts w:ascii="Arial" w:hAnsi="Arial" w:cs="Arial"/>
          <w:sz w:val="24"/>
          <w:szCs w:val="24"/>
        </w:rPr>
        <w:t xml:space="preserve">divorce proceedings because she felt that she </w:t>
      </w:r>
      <w:r w:rsidR="005C387E" w:rsidRPr="00A66E23">
        <w:rPr>
          <w:rFonts w:ascii="Arial" w:hAnsi="Arial" w:cs="Arial"/>
          <w:sz w:val="24"/>
          <w:szCs w:val="24"/>
        </w:rPr>
        <w:t>had contributed more than her share during her marriag</w:t>
      </w:r>
      <w:r w:rsidR="00F226DD" w:rsidRPr="00A66E23">
        <w:rPr>
          <w:rFonts w:ascii="Arial" w:hAnsi="Arial" w:cs="Arial"/>
          <w:sz w:val="24"/>
          <w:szCs w:val="24"/>
        </w:rPr>
        <w:t>e to the appellant and</w:t>
      </w:r>
      <w:r w:rsidR="005C387E" w:rsidRPr="00A66E23">
        <w:rPr>
          <w:rFonts w:ascii="Arial" w:hAnsi="Arial" w:cs="Arial"/>
          <w:sz w:val="24"/>
          <w:szCs w:val="24"/>
        </w:rPr>
        <w:t xml:space="preserve"> was entitled to a share in these entities.</w:t>
      </w:r>
      <w:r w:rsidR="003464FD" w:rsidRPr="00A66E23">
        <w:rPr>
          <w:rFonts w:ascii="Arial" w:hAnsi="Arial" w:cs="Arial"/>
          <w:sz w:val="24"/>
          <w:szCs w:val="24"/>
        </w:rPr>
        <w:t xml:space="preserve"> </w:t>
      </w:r>
      <w:r w:rsidR="005C387E" w:rsidRPr="00A66E23">
        <w:rPr>
          <w:rFonts w:ascii="Arial" w:hAnsi="Arial" w:cs="Arial"/>
          <w:sz w:val="24"/>
          <w:szCs w:val="24"/>
        </w:rPr>
        <w:t>As regards the management of these entities, the respondent testified that the appellant did not consult her when decisions</w:t>
      </w:r>
      <w:r w:rsidR="001E3F80" w:rsidRPr="00A66E23">
        <w:rPr>
          <w:rFonts w:ascii="Arial" w:hAnsi="Arial" w:cs="Arial"/>
          <w:sz w:val="24"/>
          <w:szCs w:val="24"/>
        </w:rPr>
        <w:t xml:space="preserve"> concerning </w:t>
      </w:r>
      <w:r w:rsidR="005C387E" w:rsidRPr="00A66E23">
        <w:rPr>
          <w:rFonts w:ascii="Arial" w:hAnsi="Arial" w:cs="Arial"/>
          <w:sz w:val="24"/>
          <w:szCs w:val="24"/>
        </w:rPr>
        <w:t xml:space="preserve">their </w:t>
      </w:r>
      <w:r w:rsidR="001E3F80" w:rsidRPr="00A66E23">
        <w:rPr>
          <w:rFonts w:ascii="Arial" w:hAnsi="Arial" w:cs="Arial"/>
          <w:sz w:val="24"/>
          <w:szCs w:val="24"/>
        </w:rPr>
        <w:t>management</w:t>
      </w:r>
      <w:r w:rsidR="005C387E" w:rsidRPr="00A66E23">
        <w:rPr>
          <w:rFonts w:ascii="Arial" w:hAnsi="Arial" w:cs="Arial"/>
          <w:sz w:val="24"/>
          <w:szCs w:val="24"/>
        </w:rPr>
        <w:t xml:space="preserve"> were taken</w:t>
      </w:r>
      <w:r w:rsidR="00892601" w:rsidRPr="00A66E23">
        <w:rPr>
          <w:rFonts w:ascii="Arial" w:hAnsi="Arial" w:cs="Arial"/>
          <w:sz w:val="24"/>
          <w:szCs w:val="24"/>
        </w:rPr>
        <w:t>,</w:t>
      </w:r>
      <w:r w:rsidR="001E3F80" w:rsidRPr="00A66E23">
        <w:rPr>
          <w:rFonts w:ascii="Arial" w:hAnsi="Arial" w:cs="Arial"/>
          <w:sz w:val="24"/>
          <w:szCs w:val="24"/>
        </w:rPr>
        <w:t xml:space="preserve"> and the resolutions</w:t>
      </w:r>
      <w:r w:rsidR="007174E4" w:rsidRPr="00A66E23">
        <w:rPr>
          <w:rFonts w:ascii="Arial" w:hAnsi="Arial" w:cs="Arial"/>
          <w:sz w:val="24"/>
          <w:szCs w:val="24"/>
        </w:rPr>
        <w:t xml:space="preserve"> that were taken</w:t>
      </w:r>
      <w:r w:rsidR="001E3F80" w:rsidRPr="00A66E23">
        <w:rPr>
          <w:rFonts w:ascii="Arial" w:hAnsi="Arial" w:cs="Arial"/>
          <w:sz w:val="24"/>
          <w:szCs w:val="24"/>
        </w:rPr>
        <w:t xml:space="preserve"> were passed in her absence.</w:t>
      </w:r>
      <w:r w:rsidR="00844C5A" w:rsidRPr="00A66E23">
        <w:rPr>
          <w:rFonts w:ascii="Arial" w:hAnsi="Arial" w:cs="Arial"/>
          <w:sz w:val="24"/>
          <w:szCs w:val="24"/>
        </w:rPr>
        <w:t xml:space="preserve"> These claims cannot be</w:t>
      </w:r>
      <w:r w:rsidR="00E3234B" w:rsidRPr="00A66E23">
        <w:rPr>
          <w:rFonts w:ascii="Arial" w:hAnsi="Arial" w:cs="Arial"/>
          <w:sz w:val="24"/>
          <w:szCs w:val="24"/>
        </w:rPr>
        <w:t xml:space="preserve"> entirely</w:t>
      </w:r>
      <w:r w:rsidR="00844C5A" w:rsidRPr="00A66E23">
        <w:rPr>
          <w:rFonts w:ascii="Arial" w:hAnsi="Arial" w:cs="Arial"/>
          <w:sz w:val="24"/>
          <w:szCs w:val="24"/>
        </w:rPr>
        <w:t xml:space="preserve"> true in relation to the conduct of the</w:t>
      </w:r>
      <w:r w:rsidR="00CA1D7A" w:rsidRPr="00A66E23">
        <w:rPr>
          <w:rFonts w:ascii="Arial" w:hAnsi="Arial" w:cs="Arial"/>
          <w:sz w:val="24"/>
          <w:szCs w:val="24"/>
        </w:rPr>
        <w:t xml:space="preserve"> affairs of the Bulhoek Trust because</w:t>
      </w:r>
      <w:r w:rsidR="00892601" w:rsidRPr="00A66E23">
        <w:rPr>
          <w:rFonts w:ascii="Arial" w:hAnsi="Arial" w:cs="Arial"/>
          <w:sz w:val="24"/>
          <w:szCs w:val="24"/>
        </w:rPr>
        <w:t>,</w:t>
      </w:r>
      <w:r w:rsidR="00CA1D7A" w:rsidRPr="00A66E23">
        <w:rPr>
          <w:rFonts w:ascii="Arial" w:hAnsi="Arial" w:cs="Arial"/>
          <w:sz w:val="24"/>
          <w:szCs w:val="24"/>
        </w:rPr>
        <w:t xml:space="preserve"> on not less than </w:t>
      </w:r>
      <w:r w:rsidR="005C387E" w:rsidRPr="00A66E23">
        <w:rPr>
          <w:rFonts w:ascii="Arial" w:hAnsi="Arial" w:cs="Arial"/>
          <w:sz w:val="24"/>
          <w:szCs w:val="24"/>
        </w:rPr>
        <w:t xml:space="preserve">11 </w:t>
      </w:r>
      <w:r w:rsidR="00CA1D7A" w:rsidRPr="00A66E23">
        <w:rPr>
          <w:rFonts w:ascii="Arial" w:hAnsi="Arial" w:cs="Arial"/>
          <w:sz w:val="24"/>
          <w:szCs w:val="24"/>
        </w:rPr>
        <w:t>occasions</w:t>
      </w:r>
      <w:r w:rsidR="00E66642" w:rsidRPr="00A66E23">
        <w:rPr>
          <w:rFonts w:ascii="Arial" w:hAnsi="Arial" w:cs="Arial"/>
          <w:sz w:val="24"/>
          <w:szCs w:val="24"/>
        </w:rPr>
        <w:t>,</w:t>
      </w:r>
      <w:r w:rsidR="00CA1D7A" w:rsidRPr="00A66E23">
        <w:rPr>
          <w:rFonts w:ascii="Arial" w:hAnsi="Arial" w:cs="Arial"/>
          <w:sz w:val="24"/>
          <w:szCs w:val="24"/>
        </w:rPr>
        <w:t xml:space="preserve"> she signed resolutions that were taken.</w:t>
      </w:r>
      <w:r w:rsidR="001E3F80" w:rsidRPr="00A66E23">
        <w:rPr>
          <w:rFonts w:ascii="Arial" w:hAnsi="Arial" w:cs="Arial"/>
          <w:sz w:val="24"/>
          <w:szCs w:val="24"/>
        </w:rPr>
        <w:t xml:space="preserve"> </w:t>
      </w:r>
    </w:p>
    <w:p w14:paraId="5F314CDB" w14:textId="6BB75E7C" w:rsidR="00A31E0B" w:rsidRPr="00A66E23" w:rsidRDefault="000B3563" w:rsidP="00BF2ED6">
      <w:pPr>
        <w:spacing w:line="360" w:lineRule="auto"/>
        <w:jc w:val="both"/>
        <w:rPr>
          <w:rFonts w:ascii="Arial" w:hAnsi="Arial" w:cs="Arial"/>
          <w:sz w:val="24"/>
          <w:szCs w:val="24"/>
        </w:rPr>
      </w:pPr>
      <w:r w:rsidRPr="00A66E23">
        <w:rPr>
          <w:rFonts w:ascii="Arial" w:hAnsi="Arial" w:cs="Arial"/>
          <w:sz w:val="24"/>
          <w:szCs w:val="24"/>
        </w:rPr>
        <w:t xml:space="preserve"> </w:t>
      </w:r>
      <w:r w:rsidR="001667C8" w:rsidRPr="00A66E23">
        <w:rPr>
          <w:rFonts w:ascii="Arial" w:hAnsi="Arial" w:cs="Arial"/>
          <w:sz w:val="24"/>
          <w:szCs w:val="24"/>
        </w:rPr>
        <w:t>[</w:t>
      </w:r>
      <w:r w:rsidR="009B0586" w:rsidRPr="00A66E23">
        <w:rPr>
          <w:rFonts w:ascii="Arial" w:hAnsi="Arial" w:cs="Arial"/>
          <w:sz w:val="24"/>
          <w:szCs w:val="24"/>
        </w:rPr>
        <w:t>9</w:t>
      </w:r>
      <w:r w:rsidR="001667C8" w:rsidRPr="00A66E23">
        <w:rPr>
          <w:rFonts w:ascii="Arial" w:hAnsi="Arial" w:cs="Arial"/>
          <w:sz w:val="24"/>
          <w:szCs w:val="24"/>
        </w:rPr>
        <w:t>]</w:t>
      </w:r>
      <w:r w:rsidR="00016C8B" w:rsidRPr="00A66E23">
        <w:rPr>
          <w:rFonts w:ascii="Arial" w:hAnsi="Arial" w:cs="Arial"/>
          <w:sz w:val="24"/>
          <w:szCs w:val="24"/>
        </w:rPr>
        <w:tab/>
      </w:r>
      <w:r w:rsidR="005C387E" w:rsidRPr="00A66E23">
        <w:rPr>
          <w:rFonts w:ascii="Arial" w:hAnsi="Arial" w:cs="Arial"/>
          <w:sz w:val="24"/>
          <w:szCs w:val="24"/>
        </w:rPr>
        <w:t xml:space="preserve">Mr </w:t>
      </w:r>
      <w:r w:rsidR="002171C9" w:rsidRPr="00A66E23">
        <w:rPr>
          <w:rFonts w:ascii="Arial" w:hAnsi="Arial" w:cs="Arial"/>
          <w:sz w:val="24"/>
          <w:szCs w:val="24"/>
        </w:rPr>
        <w:t>van Rooyen</w:t>
      </w:r>
      <w:r w:rsidR="00CD0C57" w:rsidRPr="00A66E23">
        <w:rPr>
          <w:rFonts w:ascii="Arial" w:hAnsi="Arial" w:cs="Arial"/>
          <w:sz w:val="24"/>
          <w:szCs w:val="24"/>
        </w:rPr>
        <w:t>,</w:t>
      </w:r>
      <w:r w:rsidR="002171C9" w:rsidRPr="00A66E23">
        <w:rPr>
          <w:rFonts w:ascii="Arial" w:hAnsi="Arial" w:cs="Arial"/>
          <w:sz w:val="24"/>
          <w:szCs w:val="24"/>
        </w:rPr>
        <w:t xml:space="preserve"> in his capacity as an independent trust</w:t>
      </w:r>
      <w:r w:rsidR="003324C4" w:rsidRPr="00A66E23">
        <w:rPr>
          <w:rFonts w:ascii="Arial" w:hAnsi="Arial" w:cs="Arial"/>
          <w:sz w:val="24"/>
          <w:szCs w:val="24"/>
        </w:rPr>
        <w:t>ee</w:t>
      </w:r>
      <w:r w:rsidR="00CD0C57" w:rsidRPr="00A66E23">
        <w:rPr>
          <w:rFonts w:ascii="Arial" w:hAnsi="Arial" w:cs="Arial"/>
          <w:sz w:val="24"/>
          <w:szCs w:val="24"/>
        </w:rPr>
        <w:t>,</w:t>
      </w:r>
      <w:r w:rsidR="002171C9" w:rsidRPr="00A66E23">
        <w:rPr>
          <w:rFonts w:ascii="Arial" w:hAnsi="Arial" w:cs="Arial"/>
          <w:sz w:val="24"/>
          <w:szCs w:val="24"/>
        </w:rPr>
        <w:t xml:space="preserve"> explained how the trusts and the CC were formed. </w:t>
      </w:r>
      <w:r w:rsidR="00315747" w:rsidRPr="00A66E23">
        <w:rPr>
          <w:rFonts w:ascii="Arial" w:hAnsi="Arial" w:cs="Arial"/>
          <w:sz w:val="24"/>
          <w:szCs w:val="24"/>
        </w:rPr>
        <w:t xml:space="preserve">According to Mr </w:t>
      </w:r>
      <w:r w:rsidR="007D5C76" w:rsidRPr="00A66E23">
        <w:rPr>
          <w:rFonts w:ascii="Arial" w:hAnsi="Arial" w:cs="Arial"/>
          <w:sz w:val="24"/>
          <w:szCs w:val="24"/>
        </w:rPr>
        <w:t>v</w:t>
      </w:r>
      <w:r w:rsidR="00315747" w:rsidRPr="00A66E23">
        <w:rPr>
          <w:rFonts w:ascii="Arial" w:hAnsi="Arial" w:cs="Arial"/>
          <w:sz w:val="24"/>
          <w:szCs w:val="24"/>
        </w:rPr>
        <w:t>an Rooyen</w:t>
      </w:r>
      <w:r w:rsidR="00D814BF" w:rsidRPr="00A66E23">
        <w:rPr>
          <w:rFonts w:ascii="Arial" w:hAnsi="Arial" w:cs="Arial"/>
          <w:sz w:val="24"/>
          <w:szCs w:val="24"/>
        </w:rPr>
        <w:t>,</w:t>
      </w:r>
      <w:r w:rsidR="007D5C76" w:rsidRPr="00A66E23">
        <w:rPr>
          <w:rFonts w:ascii="Arial" w:hAnsi="Arial" w:cs="Arial"/>
          <w:sz w:val="24"/>
          <w:szCs w:val="24"/>
        </w:rPr>
        <w:t xml:space="preserve"> </w:t>
      </w:r>
      <w:r w:rsidR="000F17BA" w:rsidRPr="00A66E23">
        <w:rPr>
          <w:rFonts w:ascii="Arial" w:hAnsi="Arial" w:cs="Arial"/>
          <w:sz w:val="24"/>
          <w:szCs w:val="24"/>
        </w:rPr>
        <w:t>the Koen</w:t>
      </w:r>
      <w:r w:rsidR="001667C8" w:rsidRPr="00A66E23">
        <w:rPr>
          <w:rFonts w:ascii="Arial" w:hAnsi="Arial" w:cs="Arial"/>
          <w:sz w:val="24"/>
          <w:szCs w:val="24"/>
        </w:rPr>
        <w:t>s</w:t>
      </w:r>
      <w:r w:rsidR="000F17BA" w:rsidRPr="00A66E23">
        <w:rPr>
          <w:rFonts w:ascii="Arial" w:hAnsi="Arial" w:cs="Arial"/>
          <w:sz w:val="24"/>
          <w:szCs w:val="24"/>
        </w:rPr>
        <w:t xml:space="preserve"> Besigheids</w:t>
      </w:r>
      <w:r w:rsidR="00315747" w:rsidRPr="00A66E23">
        <w:rPr>
          <w:rFonts w:ascii="Arial" w:hAnsi="Arial" w:cs="Arial"/>
          <w:sz w:val="24"/>
          <w:szCs w:val="24"/>
        </w:rPr>
        <w:t xml:space="preserve"> Trust </w:t>
      </w:r>
      <w:r w:rsidR="00763E0F" w:rsidRPr="00A66E23">
        <w:rPr>
          <w:rFonts w:ascii="Arial" w:hAnsi="Arial" w:cs="Arial"/>
          <w:sz w:val="24"/>
          <w:szCs w:val="24"/>
        </w:rPr>
        <w:t>and Koens Familie Trust were</w:t>
      </w:r>
      <w:r w:rsidR="00315747" w:rsidRPr="00A66E23">
        <w:rPr>
          <w:rFonts w:ascii="Arial" w:hAnsi="Arial" w:cs="Arial"/>
          <w:sz w:val="24"/>
          <w:szCs w:val="24"/>
        </w:rPr>
        <w:t xml:space="preserve"> formed </w:t>
      </w:r>
      <w:r w:rsidR="00A31E0B" w:rsidRPr="00A66E23">
        <w:rPr>
          <w:rFonts w:ascii="Arial" w:hAnsi="Arial" w:cs="Arial"/>
          <w:sz w:val="24"/>
          <w:szCs w:val="24"/>
        </w:rPr>
        <w:t>in 1999</w:t>
      </w:r>
      <w:r w:rsidR="00892601" w:rsidRPr="00A66E23">
        <w:rPr>
          <w:rFonts w:ascii="Arial" w:hAnsi="Arial" w:cs="Arial"/>
          <w:sz w:val="24"/>
          <w:szCs w:val="24"/>
        </w:rPr>
        <w:t>,</w:t>
      </w:r>
      <w:r w:rsidR="00A31E0B" w:rsidRPr="00A66E23">
        <w:rPr>
          <w:rFonts w:ascii="Arial" w:hAnsi="Arial" w:cs="Arial"/>
          <w:sz w:val="24"/>
          <w:szCs w:val="24"/>
        </w:rPr>
        <w:t xml:space="preserve"> and </w:t>
      </w:r>
      <w:r w:rsidR="00763E0F" w:rsidRPr="00A66E23">
        <w:rPr>
          <w:rFonts w:ascii="Arial" w:hAnsi="Arial" w:cs="Arial"/>
          <w:sz w:val="24"/>
          <w:szCs w:val="24"/>
        </w:rPr>
        <w:t>the appellant was th</w:t>
      </w:r>
      <w:r w:rsidR="007E3466" w:rsidRPr="00A66E23">
        <w:rPr>
          <w:rFonts w:ascii="Arial" w:hAnsi="Arial" w:cs="Arial"/>
          <w:sz w:val="24"/>
          <w:szCs w:val="24"/>
        </w:rPr>
        <w:t>e sole trustee until 2009</w:t>
      </w:r>
      <w:r w:rsidR="00892601" w:rsidRPr="00A66E23">
        <w:rPr>
          <w:rFonts w:ascii="Arial" w:hAnsi="Arial" w:cs="Arial"/>
          <w:sz w:val="24"/>
          <w:szCs w:val="24"/>
        </w:rPr>
        <w:t>,</w:t>
      </w:r>
      <w:r w:rsidR="007E3466" w:rsidRPr="00A66E23">
        <w:rPr>
          <w:rFonts w:ascii="Arial" w:hAnsi="Arial" w:cs="Arial"/>
          <w:sz w:val="24"/>
          <w:szCs w:val="24"/>
        </w:rPr>
        <w:t xml:space="preserve"> when </w:t>
      </w:r>
      <w:r w:rsidR="005D7081" w:rsidRPr="00A66E23">
        <w:rPr>
          <w:rFonts w:ascii="Arial" w:hAnsi="Arial" w:cs="Arial"/>
          <w:sz w:val="24"/>
          <w:szCs w:val="24"/>
        </w:rPr>
        <w:t>Mr v</w:t>
      </w:r>
      <w:r w:rsidR="00763E0F" w:rsidRPr="00A66E23">
        <w:rPr>
          <w:rFonts w:ascii="Arial" w:hAnsi="Arial" w:cs="Arial"/>
          <w:sz w:val="24"/>
          <w:szCs w:val="24"/>
        </w:rPr>
        <w:t xml:space="preserve">an Rooyen </w:t>
      </w:r>
      <w:r w:rsidR="00B03C7B" w:rsidRPr="00A66E23">
        <w:rPr>
          <w:rFonts w:ascii="Arial" w:hAnsi="Arial" w:cs="Arial"/>
          <w:sz w:val="24"/>
          <w:szCs w:val="24"/>
        </w:rPr>
        <w:t xml:space="preserve">was appointed </w:t>
      </w:r>
      <w:r w:rsidR="00763E0F" w:rsidRPr="00A66E23">
        <w:rPr>
          <w:rFonts w:ascii="Arial" w:hAnsi="Arial" w:cs="Arial"/>
          <w:sz w:val="24"/>
          <w:szCs w:val="24"/>
        </w:rPr>
        <w:t>as a second trustee in the two trusts.</w:t>
      </w:r>
      <w:r w:rsidR="00A31E0B" w:rsidRPr="00A66E23">
        <w:rPr>
          <w:rFonts w:ascii="Arial" w:hAnsi="Arial" w:cs="Arial"/>
          <w:sz w:val="24"/>
          <w:szCs w:val="24"/>
        </w:rPr>
        <w:t xml:space="preserve"> Bulhoek </w:t>
      </w:r>
      <w:r w:rsidR="00A31E0B" w:rsidRPr="00A66E23">
        <w:rPr>
          <w:rFonts w:ascii="Arial" w:hAnsi="Arial" w:cs="Arial"/>
          <w:sz w:val="24"/>
          <w:szCs w:val="24"/>
        </w:rPr>
        <w:lastRenderedPageBreak/>
        <w:t>Trust was formed in 2011</w:t>
      </w:r>
      <w:r w:rsidR="00763E0F" w:rsidRPr="00A66E23">
        <w:rPr>
          <w:rFonts w:ascii="Arial" w:hAnsi="Arial" w:cs="Arial"/>
          <w:sz w:val="24"/>
          <w:szCs w:val="24"/>
        </w:rPr>
        <w:t>. It has three trustees</w:t>
      </w:r>
      <w:r w:rsidR="005D7081" w:rsidRPr="00A66E23">
        <w:rPr>
          <w:rFonts w:ascii="Arial" w:hAnsi="Arial" w:cs="Arial"/>
          <w:sz w:val="24"/>
          <w:szCs w:val="24"/>
        </w:rPr>
        <w:t>,</w:t>
      </w:r>
      <w:r w:rsidR="00763E0F" w:rsidRPr="00A66E23">
        <w:rPr>
          <w:rFonts w:ascii="Arial" w:hAnsi="Arial" w:cs="Arial"/>
          <w:sz w:val="24"/>
          <w:szCs w:val="24"/>
        </w:rPr>
        <w:t xml:space="preserve"> namely </w:t>
      </w:r>
      <w:r w:rsidR="005D7081" w:rsidRPr="00A66E23">
        <w:rPr>
          <w:rFonts w:ascii="Arial" w:hAnsi="Arial" w:cs="Arial"/>
          <w:sz w:val="24"/>
          <w:szCs w:val="24"/>
        </w:rPr>
        <w:t xml:space="preserve">Mr van </w:t>
      </w:r>
      <w:r w:rsidR="00763E0F" w:rsidRPr="00A66E23">
        <w:rPr>
          <w:rFonts w:ascii="Arial" w:hAnsi="Arial" w:cs="Arial"/>
          <w:sz w:val="24"/>
          <w:szCs w:val="24"/>
        </w:rPr>
        <w:t>Rooyen, the appellant</w:t>
      </w:r>
      <w:r w:rsidR="00763E0F">
        <w:rPr>
          <w:rFonts w:ascii="Arial" w:hAnsi="Arial" w:cs="Arial"/>
          <w:sz w:val="24"/>
          <w:szCs w:val="24"/>
        </w:rPr>
        <w:t xml:space="preserve"> </w:t>
      </w:r>
      <w:r w:rsidR="00763E0F" w:rsidRPr="00A66E23">
        <w:rPr>
          <w:rFonts w:ascii="Arial" w:hAnsi="Arial" w:cs="Arial"/>
          <w:sz w:val="24"/>
          <w:szCs w:val="24"/>
        </w:rPr>
        <w:t>and the respondent.</w:t>
      </w:r>
      <w:r w:rsidR="00A31E0B" w:rsidRPr="00A66E23">
        <w:rPr>
          <w:rFonts w:ascii="Arial" w:hAnsi="Arial" w:cs="Arial"/>
          <w:sz w:val="24"/>
          <w:szCs w:val="24"/>
        </w:rPr>
        <w:t xml:space="preserve"> </w:t>
      </w:r>
      <w:r w:rsidR="0010082E" w:rsidRPr="00A66E23">
        <w:rPr>
          <w:rFonts w:ascii="Arial" w:hAnsi="Arial" w:cs="Arial"/>
          <w:sz w:val="24"/>
          <w:szCs w:val="24"/>
        </w:rPr>
        <w:t>The appellant</w:t>
      </w:r>
      <w:r w:rsidR="00235770" w:rsidRPr="00A66E23">
        <w:rPr>
          <w:rFonts w:ascii="Arial" w:hAnsi="Arial" w:cs="Arial"/>
          <w:sz w:val="24"/>
          <w:szCs w:val="24"/>
        </w:rPr>
        <w:t xml:space="preserve"> and</w:t>
      </w:r>
      <w:r w:rsidR="0010082E" w:rsidRPr="00A66E23">
        <w:rPr>
          <w:rFonts w:ascii="Arial" w:hAnsi="Arial" w:cs="Arial"/>
          <w:sz w:val="24"/>
          <w:szCs w:val="24"/>
        </w:rPr>
        <w:t xml:space="preserve"> </w:t>
      </w:r>
      <w:r w:rsidR="00E3234B" w:rsidRPr="00A66E23">
        <w:rPr>
          <w:rFonts w:ascii="Arial" w:hAnsi="Arial" w:cs="Arial"/>
          <w:sz w:val="24"/>
          <w:szCs w:val="24"/>
        </w:rPr>
        <w:t xml:space="preserve">the </w:t>
      </w:r>
      <w:r w:rsidR="0010082E" w:rsidRPr="00A66E23">
        <w:rPr>
          <w:rFonts w:ascii="Arial" w:hAnsi="Arial" w:cs="Arial"/>
          <w:sz w:val="24"/>
          <w:szCs w:val="24"/>
        </w:rPr>
        <w:t>respondent together with their children</w:t>
      </w:r>
      <w:r w:rsidR="00892601" w:rsidRPr="00A66E23">
        <w:rPr>
          <w:rFonts w:ascii="Arial" w:hAnsi="Arial" w:cs="Arial"/>
          <w:sz w:val="24"/>
          <w:szCs w:val="24"/>
        </w:rPr>
        <w:t>,</w:t>
      </w:r>
      <w:r w:rsidR="0010082E" w:rsidRPr="00A66E23">
        <w:rPr>
          <w:rFonts w:ascii="Arial" w:hAnsi="Arial" w:cs="Arial"/>
          <w:sz w:val="24"/>
          <w:szCs w:val="24"/>
        </w:rPr>
        <w:t xml:space="preserve"> </w:t>
      </w:r>
      <w:r w:rsidR="001667C8" w:rsidRPr="00A66E23">
        <w:rPr>
          <w:rFonts w:ascii="Arial" w:hAnsi="Arial" w:cs="Arial"/>
          <w:sz w:val="24"/>
          <w:szCs w:val="24"/>
        </w:rPr>
        <w:t>were nominated as</w:t>
      </w:r>
      <w:r w:rsidR="0010082E" w:rsidRPr="00A66E23">
        <w:rPr>
          <w:rFonts w:ascii="Arial" w:hAnsi="Arial" w:cs="Arial"/>
          <w:sz w:val="24"/>
          <w:szCs w:val="24"/>
        </w:rPr>
        <w:t xml:space="preserve"> capital beneficiaries of the trusts.</w:t>
      </w:r>
    </w:p>
    <w:p w14:paraId="6137FAFA" w14:textId="1B59FE7F" w:rsidR="00145BBD" w:rsidRPr="00A66E23" w:rsidRDefault="00016C8B" w:rsidP="00BF2ED6">
      <w:pPr>
        <w:spacing w:line="360" w:lineRule="auto"/>
        <w:jc w:val="both"/>
        <w:rPr>
          <w:rFonts w:ascii="Arial" w:hAnsi="Arial" w:cs="Arial"/>
          <w:sz w:val="24"/>
          <w:szCs w:val="24"/>
        </w:rPr>
      </w:pPr>
      <w:r w:rsidRPr="00A66E23">
        <w:rPr>
          <w:rFonts w:ascii="Arial" w:hAnsi="Arial" w:cs="Arial"/>
          <w:sz w:val="24"/>
          <w:szCs w:val="24"/>
        </w:rPr>
        <w:t>[1</w:t>
      </w:r>
      <w:r w:rsidR="009B0586" w:rsidRPr="00A66E23">
        <w:rPr>
          <w:rFonts w:ascii="Arial" w:hAnsi="Arial" w:cs="Arial"/>
          <w:sz w:val="24"/>
          <w:szCs w:val="24"/>
        </w:rPr>
        <w:t>0</w:t>
      </w:r>
      <w:r w:rsidR="00A31E0B" w:rsidRPr="00A66E23">
        <w:rPr>
          <w:rFonts w:ascii="Arial" w:hAnsi="Arial" w:cs="Arial"/>
          <w:sz w:val="24"/>
          <w:szCs w:val="24"/>
        </w:rPr>
        <w:t>]</w:t>
      </w:r>
      <w:r w:rsidRPr="00A66E23">
        <w:rPr>
          <w:rFonts w:ascii="Arial" w:hAnsi="Arial" w:cs="Arial"/>
          <w:sz w:val="24"/>
          <w:szCs w:val="24"/>
        </w:rPr>
        <w:tab/>
      </w:r>
      <w:r w:rsidR="00481900" w:rsidRPr="00A66E23">
        <w:rPr>
          <w:rFonts w:ascii="Arial" w:hAnsi="Arial" w:cs="Arial"/>
          <w:sz w:val="24"/>
          <w:szCs w:val="24"/>
        </w:rPr>
        <w:t>Prior to the creation of the trusts</w:t>
      </w:r>
      <w:r w:rsidR="00201E1F" w:rsidRPr="00A66E23">
        <w:rPr>
          <w:rFonts w:ascii="Arial" w:hAnsi="Arial" w:cs="Arial"/>
          <w:sz w:val="24"/>
          <w:szCs w:val="24"/>
        </w:rPr>
        <w:t>,</w:t>
      </w:r>
      <w:r w:rsidR="00481900" w:rsidRPr="00A66E23">
        <w:rPr>
          <w:rFonts w:ascii="Arial" w:hAnsi="Arial" w:cs="Arial"/>
          <w:sz w:val="24"/>
          <w:szCs w:val="24"/>
        </w:rPr>
        <w:t xml:space="preserve"> </w:t>
      </w:r>
      <w:r w:rsidR="007D3686" w:rsidRPr="00A66E23">
        <w:rPr>
          <w:rFonts w:ascii="Arial" w:hAnsi="Arial" w:cs="Arial"/>
          <w:sz w:val="24"/>
          <w:szCs w:val="24"/>
        </w:rPr>
        <w:t>since 1988</w:t>
      </w:r>
      <w:r w:rsidR="00834B0F" w:rsidRPr="00A66E23">
        <w:rPr>
          <w:rFonts w:ascii="Arial" w:hAnsi="Arial" w:cs="Arial"/>
          <w:sz w:val="24"/>
          <w:szCs w:val="24"/>
        </w:rPr>
        <w:t>,</w:t>
      </w:r>
      <w:r w:rsidR="007D3686" w:rsidRPr="00A66E23">
        <w:rPr>
          <w:rFonts w:ascii="Arial" w:hAnsi="Arial" w:cs="Arial"/>
          <w:sz w:val="24"/>
          <w:szCs w:val="24"/>
        </w:rPr>
        <w:t xml:space="preserve"> Mr v</w:t>
      </w:r>
      <w:r w:rsidR="00A31E0B" w:rsidRPr="00A66E23">
        <w:rPr>
          <w:rFonts w:ascii="Arial" w:hAnsi="Arial" w:cs="Arial"/>
          <w:sz w:val="24"/>
          <w:szCs w:val="24"/>
        </w:rPr>
        <w:t>an Rooyen had</w:t>
      </w:r>
      <w:r w:rsidR="00F70E07" w:rsidRPr="00A66E23">
        <w:rPr>
          <w:rFonts w:ascii="Arial" w:hAnsi="Arial" w:cs="Arial"/>
          <w:sz w:val="24"/>
          <w:szCs w:val="24"/>
        </w:rPr>
        <w:t xml:space="preserve"> </w:t>
      </w:r>
      <w:r w:rsidR="00A31E0B" w:rsidRPr="00A66E23">
        <w:rPr>
          <w:rFonts w:ascii="Arial" w:hAnsi="Arial" w:cs="Arial"/>
          <w:sz w:val="24"/>
          <w:szCs w:val="24"/>
        </w:rPr>
        <w:t xml:space="preserve">been </w:t>
      </w:r>
      <w:r w:rsidR="00F70E07" w:rsidRPr="00A66E23">
        <w:rPr>
          <w:rFonts w:ascii="Arial" w:hAnsi="Arial" w:cs="Arial"/>
          <w:sz w:val="24"/>
          <w:szCs w:val="24"/>
        </w:rPr>
        <w:t xml:space="preserve">providing accounting services to </w:t>
      </w:r>
      <w:r w:rsidR="00A31E0B" w:rsidRPr="00A66E23">
        <w:rPr>
          <w:rFonts w:ascii="Arial" w:hAnsi="Arial" w:cs="Arial"/>
          <w:sz w:val="24"/>
          <w:szCs w:val="24"/>
        </w:rPr>
        <w:t>ll Civi</w:t>
      </w:r>
      <w:r w:rsidR="004D2FF0" w:rsidRPr="00A66E23">
        <w:rPr>
          <w:rFonts w:ascii="Arial" w:hAnsi="Arial" w:cs="Arial"/>
          <w:sz w:val="24"/>
          <w:szCs w:val="24"/>
        </w:rPr>
        <w:t>l</w:t>
      </w:r>
      <w:r w:rsidR="00A31E0B" w:rsidRPr="00A66E23">
        <w:rPr>
          <w:rFonts w:ascii="Arial" w:hAnsi="Arial" w:cs="Arial"/>
          <w:sz w:val="24"/>
          <w:szCs w:val="24"/>
        </w:rPr>
        <w:t>s</w:t>
      </w:r>
      <w:r w:rsidR="000F17BA" w:rsidRPr="00A66E23">
        <w:rPr>
          <w:rFonts w:ascii="Arial" w:hAnsi="Arial" w:cs="Arial"/>
          <w:sz w:val="24"/>
          <w:szCs w:val="24"/>
        </w:rPr>
        <w:t xml:space="preserve"> CC</w:t>
      </w:r>
      <w:r w:rsidR="00B03C7B" w:rsidRPr="00A66E23">
        <w:rPr>
          <w:rFonts w:ascii="Arial" w:hAnsi="Arial" w:cs="Arial"/>
          <w:sz w:val="24"/>
          <w:szCs w:val="24"/>
        </w:rPr>
        <w:t xml:space="preserve"> (Civils)</w:t>
      </w:r>
      <w:r w:rsidR="001667C8" w:rsidRPr="00A66E23">
        <w:rPr>
          <w:rFonts w:ascii="Arial" w:hAnsi="Arial" w:cs="Arial"/>
          <w:sz w:val="24"/>
          <w:szCs w:val="24"/>
        </w:rPr>
        <w:t>,</w:t>
      </w:r>
      <w:r w:rsidR="00F70E07" w:rsidRPr="00A66E23">
        <w:rPr>
          <w:rFonts w:ascii="Arial" w:hAnsi="Arial" w:cs="Arial"/>
          <w:sz w:val="24"/>
          <w:szCs w:val="24"/>
        </w:rPr>
        <w:t xml:space="preserve"> which t</w:t>
      </w:r>
      <w:r w:rsidR="001667C8" w:rsidRPr="00A66E23">
        <w:rPr>
          <w:rFonts w:ascii="Arial" w:hAnsi="Arial" w:cs="Arial"/>
          <w:sz w:val="24"/>
          <w:szCs w:val="24"/>
        </w:rPr>
        <w:t>he appel</w:t>
      </w:r>
      <w:r w:rsidR="000F17BA" w:rsidRPr="00A66E23">
        <w:rPr>
          <w:rFonts w:ascii="Arial" w:hAnsi="Arial" w:cs="Arial"/>
          <w:sz w:val="24"/>
          <w:szCs w:val="24"/>
        </w:rPr>
        <w:t xml:space="preserve">lant </w:t>
      </w:r>
      <w:r w:rsidR="001667C8" w:rsidRPr="00A66E23">
        <w:rPr>
          <w:rFonts w:ascii="Arial" w:hAnsi="Arial" w:cs="Arial"/>
          <w:sz w:val="24"/>
          <w:szCs w:val="24"/>
        </w:rPr>
        <w:t xml:space="preserve">had </w:t>
      </w:r>
      <w:r w:rsidR="000F17BA" w:rsidRPr="00A66E23">
        <w:rPr>
          <w:rFonts w:ascii="Arial" w:hAnsi="Arial" w:cs="Arial"/>
          <w:sz w:val="24"/>
          <w:szCs w:val="24"/>
        </w:rPr>
        <w:t>registered after his res</w:t>
      </w:r>
      <w:r w:rsidR="00F70E07" w:rsidRPr="00A66E23">
        <w:rPr>
          <w:rFonts w:ascii="Arial" w:hAnsi="Arial" w:cs="Arial"/>
          <w:sz w:val="24"/>
          <w:szCs w:val="24"/>
        </w:rPr>
        <w:t>ignation from Eskom. He</w:t>
      </w:r>
      <w:r w:rsidR="000F17BA" w:rsidRPr="00A66E23">
        <w:rPr>
          <w:rFonts w:ascii="Arial" w:hAnsi="Arial" w:cs="Arial"/>
          <w:sz w:val="24"/>
          <w:szCs w:val="24"/>
        </w:rPr>
        <w:t xml:space="preserve"> used it as a vehicle</w:t>
      </w:r>
      <w:r w:rsidR="000B3563" w:rsidRPr="00A66E23">
        <w:rPr>
          <w:rFonts w:ascii="Arial" w:hAnsi="Arial" w:cs="Arial"/>
          <w:sz w:val="24"/>
          <w:szCs w:val="24"/>
        </w:rPr>
        <w:t xml:space="preserve"> through which he conducted his business.</w:t>
      </w:r>
      <w:r w:rsidR="000F17BA" w:rsidRPr="00A66E23">
        <w:rPr>
          <w:rFonts w:ascii="Arial" w:hAnsi="Arial" w:cs="Arial"/>
          <w:sz w:val="24"/>
          <w:szCs w:val="24"/>
        </w:rPr>
        <w:t xml:space="preserve"> </w:t>
      </w:r>
      <w:r w:rsidR="001667C8" w:rsidRPr="00A66E23">
        <w:rPr>
          <w:rFonts w:ascii="Arial" w:hAnsi="Arial" w:cs="Arial"/>
          <w:sz w:val="24"/>
          <w:szCs w:val="24"/>
        </w:rPr>
        <w:t>Besides providing accounting services to Civils</w:t>
      </w:r>
      <w:r w:rsidRPr="00A66E23">
        <w:rPr>
          <w:rFonts w:ascii="Arial" w:hAnsi="Arial" w:cs="Arial"/>
          <w:sz w:val="24"/>
          <w:szCs w:val="24"/>
        </w:rPr>
        <w:t>,</w:t>
      </w:r>
      <w:r w:rsidR="00B40ED4" w:rsidRPr="00A66E23">
        <w:rPr>
          <w:rFonts w:ascii="Arial" w:hAnsi="Arial" w:cs="Arial"/>
          <w:sz w:val="24"/>
          <w:szCs w:val="24"/>
        </w:rPr>
        <w:t xml:space="preserve"> </w:t>
      </w:r>
      <w:r w:rsidR="007D3686" w:rsidRPr="00A66E23">
        <w:rPr>
          <w:rFonts w:ascii="Arial" w:hAnsi="Arial" w:cs="Arial"/>
          <w:sz w:val="24"/>
          <w:szCs w:val="24"/>
        </w:rPr>
        <w:t>Mr v</w:t>
      </w:r>
      <w:r w:rsidR="000F17BA" w:rsidRPr="00A66E23">
        <w:rPr>
          <w:rFonts w:ascii="Arial" w:hAnsi="Arial" w:cs="Arial"/>
          <w:sz w:val="24"/>
          <w:szCs w:val="24"/>
        </w:rPr>
        <w:t>an Rooyen</w:t>
      </w:r>
      <w:r w:rsidR="004D2FF0" w:rsidRPr="00A66E23">
        <w:rPr>
          <w:rFonts w:ascii="Arial" w:hAnsi="Arial" w:cs="Arial"/>
          <w:sz w:val="24"/>
          <w:szCs w:val="24"/>
        </w:rPr>
        <w:t xml:space="preserve"> also </w:t>
      </w:r>
      <w:r w:rsidR="001667C8" w:rsidRPr="00A66E23">
        <w:rPr>
          <w:rFonts w:ascii="Arial" w:hAnsi="Arial" w:cs="Arial"/>
          <w:sz w:val="24"/>
          <w:szCs w:val="24"/>
        </w:rPr>
        <w:t xml:space="preserve">advised </w:t>
      </w:r>
      <w:r w:rsidR="00487509">
        <w:rPr>
          <w:rFonts w:ascii="Arial" w:hAnsi="Arial" w:cs="Arial"/>
          <w:sz w:val="24"/>
          <w:szCs w:val="24"/>
        </w:rPr>
        <w:t>the appellant</w:t>
      </w:r>
      <w:r w:rsidR="004A24EE" w:rsidRPr="00A66E23">
        <w:rPr>
          <w:rFonts w:ascii="Arial" w:hAnsi="Arial" w:cs="Arial"/>
          <w:sz w:val="24"/>
          <w:szCs w:val="24"/>
        </w:rPr>
        <w:t xml:space="preserve"> and</w:t>
      </w:r>
      <w:r w:rsidR="00487509">
        <w:rPr>
          <w:rFonts w:ascii="Arial" w:hAnsi="Arial" w:cs="Arial"/>
          <w:sz w:val="24"/>
          <w:szCs w:val="24"/>
        </w:rPr>
        <w:t xml:space="preserve"> the respondent</w:t>
      </w:r>
      <w:r w:rsidR="001667C8" w:rsidRPr="00A66E23">
        <w:rPr>
          <w:rFonts w:ascii="Arial" w:hAnsi="Arial" w:cs="Arial"/>
          <w:sz w:val="24"/>
          <w:szCs w:val="24"/>
        </w:rPr>
        <w:t xml:space="preserve"> on</w:t>
      </w:r>
      <w:r w:rsidR="004D2FF0" w:rsidRPr="00A66E23">
        <w:rPr>
          <w:rFonts w:ascii="Arial" w:hAnsi="Arial" w:cs="Arial"/>
          <w:sz w:val="24"/>
          <w:szCs w:val="24"/>
        </w:rPr>
        <w:t xml:space="preserve"> estate planning</w:t>
      </w:r>
      <w:r w:rsidR="00487509">
        <w:rPr>
          <w:rFonts w:ascii="Arial" w:hAnsi="Arial" w:cs="Arial"/>
          <w:sz w:val="24"/>
          <w:szCs w:val="24"/>
        </w:rPr>
        <w:t xml:space="preserve"> related matters</w:t>
      </w:r>
      <w:r w:rsidR="001667C8" w:rsidRPr="00A66E23">
        <w:rPr>
          <w:rFonts w:ascii="Arial" w:hAnsi="Arial" w:cs="Arial"/>
          <w:sz w:val="24"/>
          <w:szCs w:val="24"/>
        </w:rPr>
        <w:t>.</w:t>
      </w:r>
      <w:r w:rsidR="004D2FF0" w:rsidRPr="00A66E23">
        <w:rPr>
          <w:rFonts w:ascii="Arial" w:hAnsi="Arial" w:cs="Arial"/>
          <w:sz w:val="24"/>
          <w:szCs w:val="24"/>
        </w:rPr>
        <w:t xml:space="preserve"> It was on his advice that the trusts were set up</w:t>
      </w:r>
      <w:r w:rsidR="00B76098" w:rsidRPr="00A66E23">
        <w:rPr>
          <w:rFonts w:ascii="Arial" w:hAnsi="Arial" w:cs="Arial"/>
          <w:sz w:val="24"/>
          <w:szCs w:val="24"/>
        </w:rPr>
        <w:t xml:space="preserve"> for tax </w:t>
      </w:r>
      <w:r w:rsidR="00481900" w:rsidRPr="00A66E23">
        <w:rPr>
          <w:rFonts w:ascii="Arial" w:hAnsi="Arial" w:cs="Arial"/>
          <w:sz w:val="24"/>
          <w:szCs w:val="24"/>
        </w:rPr>
        <w:t xml:space="preserve">and estate planning </w:t>
      </w:r>
      <w:r w:rsidR="00B76098" w:rsidRPr="00A66E23">
        <w:rPr>
          <w:rFonts w:ascii="Arial" w:hAnsi="Arial" w:cs="Arial"/>
          <w:sz w:val="24"/>
          <w:szCs w:val="24"/>
        </w:rPr>
        <w:t>purposes</w:t>
      </w:r>
      <w:r w:rsidR="00F31EE4" w:rsidRPr="00A66E23">
        <w:rPr>
          <w:rFonts w:ascii="Arial" w:hAnsi="Arial" w:cs="Arial"/>
          <w:sz w:val="24"/>
          <w:szCs w:val="24"/>
        </w:rPr>
        <w:t xml:space="preserve"> (to minimise tax liability)</w:t>
      </w:r>
      <w:r w:rsidR="00B76098" w:rsidRPr="00A66E23">
        <w:rPr>
          <w:rFonts w:ascii="Arial" w:hAnsi="Arial" w:cs="Arial"/>
          <w:sz w:val="24"/>
          <w:szCs w:val="24"/>
        </w:rPr>
        <w:t xml:space="preserve"> and to protect </w:t>
      </w:r>
      <w:r w:rsidR="00D57280" w:rsidRPr="00A66E23">
        <w:rPr>
          <w:rFonts w:ascii="Arial" w:hAnsi="Arial" w:cs="Arial"/>
          <w:sz w:val="24"/>
          <w:szCs w:val="24"/>
        </w:rPr>
        <w:t>the</w:t>
      </w:r>
      <w:r w:rsidR="00481900" w:rsidRPr="00A66E23">
        <w:rPr>
          <w:rFonts w:ascii="Arial" w:hAnsi="Arial" w:cs="Arial"/>
          <w:sz w:val="24"/>
          <w:szCs w:val="24"/>
        </w:rPr>
        <w:t xml:space="preserve"> appellant’s personal assets from his creditors</w:t>
      </w:r>
      <w:r w:rsidR="00D57280" w:rsidRPr="00A66E23">
        <w:rPr>
          <w:rFonts w:ascii="Arial" w:hAnsi="Arial" w:cs="Arial"/>
          <w:sz w:val="24"/>
          <w:szCs w:val="24"/>
        </w:rPr>
        <w:t xml:space="preserve">. </w:t>
      </w:r>
      <w:r w:rsidR="001067B4" w:rsidRPr="00A66E23">
        <w:rPr>
          <w:rFonts w:ascii="Arial" w:hAnsi="Arial" w:cs="Arial"/>
          <w:sz w:val="24"/>
          <w:szCs w:val="24"/>
        </w:rPr>
        <w:t xml:space="preserve">The appellant wanted to ensure that his family was </w:t>
      </w:r>
      <w:r w:rsidR="00E3234B" w:rsidRPr="00A66E23">
        <w:rPr>
          <w:rFonts w:ascii="Arial" w:hAnsi="Arial" w:cs="Arial"/>
          <w:sz w:val="24"/>
          <w:szCs w:val="24"/>
        </w:rPr>
        <w:t xml:space="preserve">sufficiently </w:t>
      </w:r>
      <w:r w:rsidR="001067B4" w:rsidRPr="00A66E23">
        <w:rPr>
          <w:rFonts w:ascii="Arial" w:hAnsi="Arial" w:cs="Arial"/>
          <w:sz w:val="24"/>
          <w:szCs w:val="24"/>
        </w:rPr>
        <w:t>taken care</w:t>
      </w:r>
      <w:r w:rsidR="00026896" w:rsidRPr="00A66E23">
        <w:rPr>
          <w:rFonts w:ascii="Arial" w:hAnsi="Arial" w:cs="Arial"/>
          <w:sz w:val="24"/>
          <w:szCs w:val="24"/>
        </w:rPr>
        <w:t xml:space="preserve"> of</w:t>
      </w:r>
      <w:r w:rsidR="001067B4" w:rsidRPr="00A66E23">
        <w:rPr>
          <w:rFonts w:ascii="Arial" w:hAnsi="Arial" w:cs="Arial"/>
          <w:sz w:val="24"/>
          <w:szCs w:val="24"/>
        </w:rPr>
        <w:t xml:space="preserve">. </w:t>
      </w:r>
      <w:r w:rsidR="00F70E07" w:rsidRPr="00A66E23">
        <w:rPr>
          <w:rFonts w:ascii="Arial" w:hAnsi="Arial" w:cs="Arial"/>
          <w:sz w:val="24"/>
          <w:szCs w:val="24"/>
        </w:rPr>
        <w:t>Pursuant to</w:t>
      </w:r>
      <w:r w:rsidR="007D3686" w:rsidRPr="00A66E23">
        <w:rPr>
          <w:rFonts w:ascii="Arial" w:hAnsi="Arial" w:cs="Arial"/>
          <w:sz w:val="24"/>
          <w:szCs w:val="24"/>
        </w:rPr>
        <w:t xml:space="preserve"> Mr van Rooyen’s </w:t>
      </w:r>
      <w:r w:rsidR="00F70E07" w:rsidRPr="00A66E23">
        <w:rPr>
          <w:rFonts w:ascii="Arial" w:hAnsi="Arial" w:cs="Arial"/>
          <w:sz w:val="24"/>
          <w:szCs w:val="24"/>
        </w:rPr>
        <w:t>advice</w:t>
      </w:r>
      <w:r w:rsidR="00D57280" w:rsidRPr="00A66E23">
        <w:rPr>
          <w:rFonts w:ascii="Arial" w:hAnsi="Arial" w:cs="Arial"/>
          <w:sz w:val="24"/>
          <w:szCs w:val="24"/>
        </w:rPr>
        <w:t xml:space="preserve">, </w:t>
      </w:r>
      <w:r w:rsidR="007D3686" w:rsidRPr="00A66E23">
        <w:rPr>
          <w:rFonts w:ascii="Arial" w:hAnsi="Arial" w:cs="Arial"/>
          <w:sz w:val="24"/>
          <w:szCs w:val="24"/>
        </w:rPr>
        <w:t>the parties engaged the services of Mr</w:t>
      </w:r>
      <w:r w:rsidR="00D57280" w:rsidRPr="00A66E23">
        <w:rPr>
          <w:rFonts w:ascii="Arial" w:hAnsi="Arial" w:cs="Arial"/>
          <w:sz w:val="24"/>
          <w:szCs w:val="24"/>
        </w:rPr>
        <w:t xml:space="preserve"> Piet Swanepoe</w:t>
      </w:r>
      <w:r w:rsidR="003762E9" w:rsidRPr="00A66E23">
        <w:rPr>
          <w:rFonts w:ascii="Arial" w:hAnsi="Arial" w:cs="Arial"/>
          <w:sz w:val="24"/>
          <w:szCs w:val="24"/>
        </w:rPr>
        <w:t>l of FA Loch Logan</w:t>
      </w:r>
      <w:r w:rsidR="00F70E07" w:rsidRPr="00A66E23">
        <w:rPr>
          <w:rFonts w:ascii="Arial" w:hAnsi="Arial" w:cs="Arial"/>
          <w:sz w:val="24"/>
          <w:szCs w:val="24"/>
        </w:rPr>
        <w:t>, a firm specialising in estate planning,</w:t>
      </w:r>
      <w:r w:rsidR="003762E9" w:rsidRPr="00A66E23">
        <w:rPr>
          <w:rFonts w:ascii="Arial" w:hAnsi="Arial" w:cs="Arial"/>
          <w:sz w:val="24"/>
          <w:szCs w:val="24"/>
        </w:rPr>
        <w:t xml:space="preserve"> to advise them</w:t>
      </w:r>
      <w:r w:rsidR="00D57280" w:rsidRPr="00A66E23">
        <w:rPr>
          <w:rFonts w:ascii="Arial" w:hAnsi="Arial" w:cs="Arial"/>
          <w:sz w:val="24"/>
          <w:szCs w:val="24"/>
        </w:rPr>
        <w:t xml:space="preserve"> on </w:t>
      </w:r>
      <w:r w:rsidR="0003333B" w:rsidRPr="00A66E23">
        <w:rPr>
          <w:rFonts w:ascii="Arial" w:hAnsi="Arial" w:cs="Arial"/>
          <w:sz w:val="24"/>
          <w:szCs w:val="24"/>
        </w:rPr>
        <w:t>forming</w:t>
      </w:r>
      <w:r w:rsidR="00F70E07" w:rsidRPr="00A66E23">
        <w:rPr>
          <w:rFonts w:ascii="Arial" w:hAnsi="Arial" w:cs="Arial"/>
          <w:sz w:val="24"/>
          <w:szCs w:val="24"/>
        </w:rPr>
        <w:t xml:space="preserve"> a</w:t>
      </w:r>
      <w:r w:rsidR="0003333B" w:rsidRPr="00A66E23">
        <w:rPr>
          <w:rFonts w:ascii="Arial" w:hAnsi="Arial" w:cs="Arial"/>
          <w:sz w:val="24"/>
          <w:szCs w:val="24"/>
        </w:rPr>
        <w:t xml:space="preserve"> trust. This occurred in 1999</w:t>
      </w:r>
      <w:r w:rsidR="00F226DD" w:rsidRPr="00A66E23">
        <w:rPr>
          <w:rFonts w:ascii="Arial" w:hAnsi="Arial" w:cs="Arial"/>
          <w:sz w:val="24"/>
          <w:szCs w:val="24"/>
        </w:rPr>
        <w:t>,</w:t>
      </w:r>
      <w:r w:rsidR="00B03C7B" w:rsidRPr="00A66E23">
        <w:rPr>
          <w:rFonts w:ascii="Arial" w:hAnsi="Arial" w:cs="Arial"/>
          <w:sz w:val="24"/>
          <w:szCs w:val="24"/>
        </w:rPr>
        <w:t xml:space="preserve"> long before the appellant became aware of the respondent’s </w:t>
      </w:r>
      <w:r w:rsidR="00746F0F" w:rsidRPr="00A66E23">
        <w:rPr>
          <w:rFonts w:ascii="Arial" w:hAnsi="Arial" w:cs="Arial"/>
          <w:sz w:val="24"/>
          <w:szCs w:val="24"/>
        </w:rPr>
        <w:t>infidelity</w:t>
      </w:r>
      <w:r w:rsidR="0003333B" w:rsidRPr="00A66E23">
        <w:rPr>
          <w:rFonts w:ascii="Arial" w:hAnsi="Arial" w:cs="Arial"/>
          <w:sz w:val="24"/>
          <w:szCs w:val="24"/>
        </w:rPr>
        <w:t xml:space="preserve">. </w:t>
      </w:r>
      <w:r w:rsidR="00B03C7B" w:rsidRPr="00A66E23">
        <w:rPr>
          <w:rFonts w:ascii="Arial" w:hAnsi="Arial" w:cs="Arial"/>
          <w:sz w:val="24"/>
          <w:szCs w:val="24"/>
        </w:rPr>
        <w:t>With the assistance of</w:t>
      </w:r>
      <w:r w:rsidR="00E0688D" w:rsidRPr="00A66E23">
        <w:rPr>
          <w:rFonts w:ascii="Arial" w:hAnsi="Arial" w:cs="Arial"/>
          <w:sz w:val="24"/>
          <w:szCs w:val="24"/>
        </w:rPr>
        <w:t xml:space="preserve"> </w:t>
      </w:r>
      <w:r w:rsidR="007D3686" w:rsidRPr="00A66E23">
        <w:rPr>
          <w:rFonts w:ascii="Arial" w:hAnsi="Arial" w:cs="Arial"/>
          <w:sz w:val="24"/>
          <w:szCs w:val="24"/>
        </w:rPr>
        <w:t xml:space="preserve">Mr </w:t>
      </w:r>
      <w:r w:rsidR="00E0688D" w:rsidRPr="00A66E23">
        <w:rPr>
          <w:rFonts w:ascii="Arial" w:hAnsi="Arial" w:cs="Arial"/>
          <w:sz w:val="24"/>
          <w:szCs w:val="24"/>
        </w:rPr>
        <w:t>Swanepoel</w:t>
      </w:r>
      <w:r w:rsidR="009463E2" w:rsidRPr="00A66E23">
        <w:rPr>
          <w:rFonts w:ascii="Arial" w:hAnsi="Arial" w:cs="Arial"/>
          <w:sz w:val="24"/>
          <w:szCs w:val="24"/>
        </w:rPr>
        <w:t>,</w:t>
      </w:r>
      <w:r w:rsidR="00E0688D" w:rsidRPr="00A66E23">
        <w:rPr>
          <w:rFonts w:ascii="Arial" w:hAnsi="Arial" w:cs="Arial"/>
          <w:sz w:val="24"/>
          <w:szCs w:val="24"/>
        </w:rPr>
        <w:t xml:space="preserve"> </w:t>
      </w:r>
      <w:r w:rsidR="00B03C7B" w:rsidRPr="00A66E23">
        <w:rPr>
          <w:rFonts w:ascii="Arial" w:hAnsi="Arial" w:cs="Arial"/>
          <w:sz w:val="24"/>
          <w:szCs w:val="24"/>
        </w:rPr>
        <w:t>the appellant formed</w:t>
      </w:r>
      <w:r w:rsidR="00E0688D" w:rsidRPr="00A66E23">
        <w:rPr>
          <w:rFonts w:ascii="Arial" w:hAnsi="Arial" w:cs="Arial"/>
          <w:sz w:val="24"/>
          <w:szCs w:val="24"/>
        </w:rPr>
        <w:t xml:space="preserve"> </w:t>
      </w:r>
      <w:r w:rsidR="00B03C7B" w:rsidRPr="00A66E23">
        <w:rPr>
          <w:rFonts w:ascii="Arial" w:hAnsi="Arial" w:cs="Arial"/>
          <w:sz w:val="24"/>
          <w:szCs w:val="24"/>
        </w:rPr>
        <w:t xml:space="preserve">the </w:t>
      </w:r>
      <w:r w:rsidR="00E3234B" w:rsidRPr="00A66E23">
        <w:rPr>
          <w:rFonts w:ascii="Arial" w:hAnsi="Arial" w:cs="Arial"/>
          <w:sz w:val="24"/>
          <w:szCs w:val="24"/>
        </w:rPr>
        <w:t>Koen</w:t>
      </w:r>
      <w:r w:rsidR="00E0688D" w:rsidRPr="00A66E23">
        <w:rPr>
          <w:rFonts w:ascii="Arial" w:hAnsi="Arial" w:cs="Arial"/>
          <w:sz w:val="24"/>
          <w:szCs w:val="24"/>
        </w:rPr>
        <w:t>s</w:t>
      </w:r>
      <w:r w:rsidR="00481900" w:rsidRPr="00A66E23">
        <w:rPr>
          <w:rFonts w:ascii="Arial" w:hAnsi="Arial" w:cs="Arial"/>
          <w:sz w:val="24"/>
          <w:szCs w:val="24"/>
        </w:rPr>
        <w:t xml:space="preserve"> Besigheids Trust and </w:t>
      </w:r>
      <w:r w:rsidR="00B03C7B" w:rsidRPr="00A66E23">
        <w:rPr>
          <w:rFonts w:ascii="Arial" w:hAnsi="Arial" w:cs="Arial"/>
          <w:sz w:val="24"/>
          <w:szCs w:val="24"/>
        </w:rPr>
        <w:t xml:space="preserve">the </w:t>
      </w:r>
      <w:r w:rsidR="00481900" w:rsidRPr="00A66E23">
        <w:rPr>
          <w:rFonts w:ascii="Arial" w:hAnsi="Arial" w:cs="Arial"/>
          <w:sz w:val="24"/>
          <w:szCs w:val="24"/>
        </w:rPr>
        <w:t>Koen</w:t>
      </w:r>
      <w:r w:rsidR="00B03C7B" w:rsidRPr="00A66E23">
        <w:rPr>
          <w:rFonts w:ascii="Arial" w:hAnsi="Arial" w:cs="Arial"/>
          <w:sz w:val="24"/>
          <w:szCs w:val="24"/>
        </w:rPr>
        <w:t>s</w:t>
      </w:r>
      <w:r w:rsidR="00481900" w:rsidRPr="00A66E23">
        <w:rPr>
          <w:rFonts w:ascii="Arial" w:hAnsi="Arial" w:cs="Arial"/>
          <w:sz w:val="24"/>
          <w:szCs w:val="24"/>
        </w:rPr>
        <w:t xml:space="preserve"> Familie</w:t>
      </w:r>
      <w:r w:rsidR="00E0688D" w:rsidRPr="00A66E23">
        <w:rPr>
          <w:rFonts w:ascii="Arial" w:hAnsi="Arial" w:cs="Arial"/>
          <w:sz w:val="24"/>
          <w:szCs w:val="24"/>
        </w:rPr>
        <w:t xml:space="preserve"> Trust. </w:t>
      </w:r>
    </w:p>
    <w:p w14:paraId="54A00493" w14:textId="02E8F151" w:rsidR="00E0688D" w:rsidRPr="00A66E23" w:rsidRDefault="00145BBD" w:rsidP="00BF2ED6">
      <w:pPr>
        <w:spacing w:line="360" w:lineRule="auto"/>
        <w:jc w:val="both"/>
        <w:rPr>
          <w:rFonts w:ascii="Arial" w:hAnsi="Arial" w:cs="Arial"/>
          <w:sz w:val="24"/>
          <w:szCs w:val="24"/>
        </w:rPr>
      </w:pPr>
      <w:r w:rsidRPr="00A66E23">
        <w:rPr>
          <w:rFonts w:ascii="Arial" w:hAnsi="Arial" w:cs="Arial"/>
          <w:sz w:val="24"/>
          <w:szCs w:val="24"/>
        </w:rPr>
        <w:t>[</w:t>
      </w:r>
      <w:r w:rsidR="00FC03B8" w:rsidRPr="00A66E23">
        <w:rPr>
          <w:rFonts w:ascii="Arial" w:hAnsi="Arial" w:cs="Arial"/>
          <w:sz w:val="24"/>
          <w:szCs w:val="24"/>
        </w:rPr>
        <w:t>1</w:t>
      </w:r>
      <w:r w:rsidR="009B0586" w:rsidRPr="00A66E23">
        <w:rPr>
          <w:rFonts w:ascii="Arial" w:hAnsi="Arial" w:cs="Arial"/>
          <w:sz w:val="24"/>
          <w:szCs w:val="24"/>
        </w:rPr>
        <w:t>1</w:t>
      </w:r>
      <w:r w:rsidRPr="00A66E23">
        <w:rPr>
          <w:rFonts w:ascii="Arial" w:hAnsi="Arial" w:cs="Arial"/>
          <w:sz w:val="24"/>
          <w:szCs w:val="24"/>
        </w:rPr>
        <w:t xml:space="preserve">]   </w:t>
      </w:r>
      <w:bookmarkStart w:id="3" w:name="_Hlk108596415"/>
      <w:r w:rsidR="007D3686" w:rsidRPr="00A66E23">
        <w:rPr>
          <w:rFonts w:ascii="Arial" w:hAnsi="Arial" w:cs="Arial"/>
          <w:sz w:val="24"/>
          <w:szCs w:val="24"/>
        </w:rPr>
        <w:t>Mr v</w:t>
      </w:r>
      <w:r w:rsidR="00E0688D" w:rsidRPr="00A66E23">
        <w:rPr>
          <w:rFonts w:ascii="Arial" w:hAnsi="Arial" w:cs="Arial"/>
          <w:sz w:val="24"/>
          <w:szCs w:val="24"/>
        </w:rPr>
        <w:t xml:space="preserve">an Rooyen </w:t>
      </w:r>
      <w:bookmarkEnd w:id="3"/>
      <w:r w:rsidR="007D3686" w:rsidRPr="00A66E23">
        <w:rPr>
          <w:rFonts w:ascii="Arial" w:hAnsi="Arial" w:cs="Arial"/>
          <w:sz w:val="24"/>
          <w:szCs w:val="24"/>
        </w:rPr>
        <w:t xml:space="preserve">testified that he </w:t>
      </w:r>
      <w:r w:rsidR="00892601" w:rsidRPr="00A66E23">
        <w:rPr>
          <w:rFonts w:ascii="Arial" w:hAnsi="Arial" w:cs="Arial"/>
          <w:sz w:val="24"/>
          <w:szCs w:val="24"/>
        </w:rPr>
        <w:t xml:space="preserve">had </w:t>
      </w:r>
      <w:r w:rsidR="00E0688D" w:rsidRPr="00A66E23">
        <w:rPr>
          <w:rFonts w:ascii="Arial" w:hAnsi="Arial" w:cs="Arial"/>
          <w:sz w:val="24"/>
          <w:szCs w:val="24"/>
        </w:rPr>
        <w:t>provide</w:t>
      </w:r>
      <w:r w:rsidR="007D3686" w:rsidRPr="00A66E23">
        <w:rPr>
          <w:rFonts w:ascii="Arial" w:hAnsi="Arial" w:cs="Arial"/>
          <w:sz w:val="24"/>
          <w:szCs w:val="24"/>
        </w:rPr>
        <w:t>d</w:t>
      </w:r>
      <w:r w:rsidR="00E0688D" w:rsidRPr="00A66E23">
        <w:rPr>
          <w:rFonts w:ascii="Arial" w:hAnsi="Arial" w:cs="Arial"/>
          <w:sz w:val="24"/>
          <w:szCs w:val="24"/>
        </w:rPr>
        <w:t xml:space="preserve"> accounting services to the trusts </w:t>
      </w:r>
      <w:r w:rsidR="007D3686" w:rsidRPr="00A66E23">
        <w:rPr>
          <w:rFonts w:ascii="Arial" w:hAnsi="Arial" w:cs="Arial"/>
          <w:sz w:val="24"/>
          <w:szCs w:val="24"/>
        </w:rPr>
        <w:t xml:space="preserve">since </w:t>
      </w:r>
      <w:r w:rsidR="003762E9" w:rsidRPr="00A66E23">
        <w:rPr>
          <w:rFonts w:ascii="Arial" w:hAnsi="Arial" w:cs="Arial"/>
          <w:sz w:val="24"/>
          <w:szCs w:val="24"/>
        </w:rPr>
        <w:t>their</w:t>
      </w:r>
      <w:r w:rsidR="00E0688D" w:rsidRPr="00A66E23">
        <w:rPr>
          <w:rFonts w:ascii="Arial" w:hAnsi="Arial" w:cs="Arial"/>
          <w:sz w:val="24"/>
          <w:szCs w:val="24"/>
        </w:rPr>
        <w:t xml:space="preserve"> formation. His relationship with </w:t>
      </w:r>
      <w:r w:rsidR="00487509">
        <w:rPr>
          <w:rFonts w:ascii="Arial" w:hAnsi="Arial" w:cs="Arial"/>
          <w:sz w:val="24"/>
          <w:szCs w:val="24"/>
        </w:rPr>
        <w:t xml:space="preserve">the appellant and the respondent </w:t>
      </w:r>
      <w:r w:rsidR="00F801D8" w:rsidRPr="00A66E23">
        <w:rPr>
          <w:rFonts w:ascii="Arial" w:hAnsi="Arial" w:cs="Arial"/>
          <w:sz w:val="24"/>
          <w:szCs w:val="24"/>
        </w:rPr>
        <w:t>is</w:t>
      </w:r>
      <w:r w:rsidR="00E0688D" w:rsidRPr="00A66E23">
        <w:rPr>
          <w:rFonts w:ascii="Arial" w:hAnsi="Arial" w:cs="Arial"/>
          <w:sz w:val="24"/>
          <w:szCs w:val="24"/>
        </w:rPr>
        <w:t xml:space="preserve"> purely professional</w:t>
      </w:r>
      <w:r w:rsidR="00FC03B8" w:rsidRPr="00A66E23">
        <w:rPr>
          <w:rFonts w:ascii="Arial" w:hAnsi="Arial" w:cs="Arial"/>
          <w:sz w:val="24"/>
          <w:szCs w:val="24"/>
        </w:rPr>
        <w:t>.</w:t>
      </w:r>
      <w:r w:rsidR="009D1BB0" w:rsidRPr="00A66E23">
        <w:rPr>
          <w:rFonts w:ascii="Arial" w:hAnsi="Arial" w:cs="Arial"/>
          <w:sz w:val="24"/>
          <w:szCs w:val="24"/>
        </w:rPr>
        <w:t xml:space="preserve"> </w:t>
      </w:r>
      <w:r w:rsidR="0094152D" w:rsidRPr="00A66E23">
        <w:rPr>
          <w:rFonts w:ascii="Arial" w:hAnsi="Arial" w:cs="Arial"/>
          <w:sz w:val="24"/>
          <w:szCs w:val="24"/>
        </w:rPr>
        <w:t>His responsibil</w:t>
      </w:r>
      <w:r w:rsidR="009D1BB0" w:rsidRPr="00A66E23">
        <w:rPr>
          <w:rFonts w:ascii="Arial" w:hAnsi="Arial" w:cs="Arial"/>
          <w:sz w:val="24"/>
          <w:szCs w:val="24"/>
        </w:rPr>
        <w:t>ity as an independent trustee i</w:t>
      </w:r>
      <w:r w:rsidR="0094152D" w:rsidRPr="00A66E23">
        <w:rPr>
          <w:rFonts w:ascii="Arial" w:hAnsi="Arial" w:cs="Arial"/>
          <w:sz w:val="24"/>
          <w:szCs w:val="24"/>
        </w:rPr>
        <w:t xml:space="preserve">s to ensure that </w:t>
      </w:r>
      <w:r w:rsidR="00F226DD" w:rsidRPr="00A66E23">
        <w:rPr>
          <w:rFonts w:ascii="Arial" w:hAnsi="Arial" w:cs="Arial"/>
          <w:sz w:val="24"/>
          <w:szCs w:val="24"/>
        </w:rPr>
        <w:t xml:space="preserve">the </w:t>
      </w:r>
      <w:r w:rsidR="0094152D" w:rsidRPr="00A66E23">
        <w:rPr>
          <w:rFonts w:ascii="Arial" w:hAnsi="Arial" w:cs="Arial"/>
          <w:sz w:val="24"/>
          <w:szCs w:val="24"/>
        </w:rPr>
        <w:t xml:space="preserve">assets of the </w:t>
      </w:r>
      <w:r w:rsidR="009D1BB0" w:rsidRPr="00A66E23">
        <w:rPr>
          <w:rFonts w:ascii="Arial" w:hAnsi="Arial" w:cs="Arial"/>
          <w:sz w:val="24"/>
          <w:szCs w:val="24"/>
        </w:rPr>
        <w:t xml:space="preserve">trusts are used </w:t>
      </w:r>
      <w:r w:rsidR="007D3686" w:rsidRPr="00A66E23">
        <w:rPr>
          <w:rFonts w:ascii="Arial" w:hAnsi="Arial" w:cs="Arial"/>
          <w:sz w:val="24"/>
          <w:szCs w:val="24"/>
        </w:rPr>
        <w:t xml:space="preserve">in the interests of </w:t>
      </w:r>
      <w:r w:rsidR="009D1BB0" w:rsidRPr="00A66E23">
        <w:rPr>
          <w:rFonts w:ascii="Arial" w:hAnsi="Arial" w:cs="Arial"/>
          <w:sz w:val="24"/>
          <w:szCs w:val="24"/>
        </w:rPr>
        <w:t>their</w:t>
      </w:r>
      <w:r w:rsidR="0094152D" w:rsidRPr="00A66E23">
        <w:rPr>
          <w:rFonts w:ascii="Arial" w:hAnsi="Arial" w:cs="Arial"/>
          <w:sz w:val="24"/>
          <w:szCs w:val="24"/>
        </w:rPr>
        <w:t xml:space="preserve"> beneficiaries</w:t>
      </w:r>
      <w:r w:rsidR="00FC03B8" w:rsidRPr="00A66E23">
        <w:rPr>
          <w:rFonts w:ascii="Arial" w:hAnsi="Arial" w:cs="Arial"/>
          <w:sz w:val="24"/>
          <w:szCs w:val="24"/>
        </w:rPr>
        <w:t xml:space="preserve">. </w:t>
      </w:r>
      <w:r w:rsidR="0094152D" w:rsidRPr="00A66E23">
        <w:rPr>
          <w:rFonts w:ascii="Arial" w:hAnsi="Arial" w:cs="Arial"/>
          <w:sz w:val="24"/>
          <w:szCs w:val="24"/>
        </w:rPr>
        <w:t xml:space="preserve">Additionally, he </w:t>
      </w:r>
      <w:r w:rsidR="00444882" w:rsidRPr="00A66E23">
        <w:rPr>
          <w:rFonts w:ascii="Arial" w:hAnsi="Arial" w:cs="Arial"/>
          <w:sz w:val="24"/>
          <w:szCs w:val="24"/>
        </w:rPr>
        <w:t>is</w:t>
      </w:r>
      <w:r w:rsidR="0094152D" w:rsidRPr="00A66E23">
        <w:rPr>
          <w:rFonts w:ascii="Arial" w:hAnsi="Arial" w:cs="Arial"/>
          <w:sz w:val="24"/>
          <w:szCs w:val="24"/>
        </w:rPr>
        <w:t xml:space="preserve"> involved in the </w:t>
      </w:r>
      <w:r w:rsidR="003762E9" w:rsidRPr="00A66E23">
        <w:rPr>
          <w:rFonts w:ascii="Arial" w:hAnsi="Arial" w:cs="Arial"/>
          <w:sz w:val="24"/>
          <w:szCs w:val="24"/>
        </w:rPr>
        <w:t xml:space="preserve">administration </w:t>
      </w:r>
      <w:r w:rsidR="00481900" w:rsidRPr="00A66E23">
        <w:rPr>
          <w:rFonts w:ascii="Arial" w:hAnsi="Arial" w:cs="Arial"/>
          <w:sz w:val="24"/>
          <w:szCs w:val="24"/>
        </w:rPr>
        <w:t>of the trusts</w:t>
      </w:r>
      <w:r w:rsidR="009D1BB0" w:rsidRPr="00A66E23">
        <w:rPr>
          <w:rFonts w:ascii="Arial" w:hAnsi="Arial" w:cs="Arial"/>
          <w:sz w:val="24"/>
          <w:szCs w:val="24"/>
        </w:rPr>
        <w:t>,</w:t>
      </w:r>
      <w:r w:rsidR="00481900" w:rsidRPr="00A66E23">
        <w:rPr>
          <w:rFonts w:ascii="Arial" w:hAnsi="Arial" w:cs="Arial"/>
          <w:sz w:val="24"/>
          <w:szCs w:val="24"/>
        </w:rPr>
        <w:t xml:space="preserve"> in particular</w:t>
      </w:r>
      <w:r w:rsidR="0094152D" w:rsidRPr="00A66E23">
        <w:rPr>
          <w:rFonts w:ascii="Arial" w:hAnsi="Arial" w:cs="Arial"/>
          <w:sz w:val="24"/>
          <w:szCs w:val="24"/>
        </w:rPr>
        <w:t xml:space="preserve"> when a decision ha</w:t>
      </w:r>
      <w:r w:rsidR="00444882" w:rsidRPr="00A66E23">
        <w:rPr>
          <w:rFonts w:ascii="Arial" w:hAnsi="Arial" w:cs="Arial"/>
          <w:sz w:val="24"/>
          <w:szCs w:val="24"/>
        </w:rPr>
        <w:t>s</w:t>
      </w:r>
      <w:r w:rsidR="0094152D" w:rsidRPr="00A66E23">
        <w:rPr>
          <w:rFonts w:ascii="Arial" w:hAnsi="Arial" w:cs="Arial"/>
          <w:sz w:val="24"/>
          <w:szCs w:val="24"/>
        </w:rPr>
        <w:t xml:space="preserve"> to be taken to buy or sell property on behalf of the trusts. But the appellant </w:t>
      </w:r>
      <w:r w:rsidR="00444882" w:rsidRPr="00A66E23">
        <w:rPr>
          <w:rFonts w:ascii="Arial" w:hAnsi="Arial" w:cs="Arial"/>
          <w:sz w:val="24"/>
          <w:szCs w:val="24"/>
        </w:rPr>
        <w:t>is</w:t>
      </w:r>
      <w:r w:rsidR="0094152D" w:rsidRPr="00A66E23">
        <w:rPr>
          <w:rFonts w:ascii="Arial" w:hAnsi="Arial" w:cs="Arial"/>
          <w:sz w:val="24"/>
          <w:szCs w:val="24"/>
        </w:rPr>
        <w:t xml:space="preserve"> involved in the </w:t>
      </w:r>
      <w:r w:rsidR="00892601" w:rsidRPr="00A66E23">
        <w:rPr>
          <w:rFonts w:ascii="Arial" w:hAnsi="Arial" w:cs="Arial"/>
          <w:sz w:val="24"/>
          <w:szCs w:val="24"/>
        </w:rPr>
        <w:t>day-to-day</w:t>
      </w:r>
      <w:r w:rsidR="003762E9" w:rsidRPr="00A66E23">
        <w:rPr>
          <w:rFonts w:ascii="Arial" w:hAnsi="Arial" w:cs="Arial"/>
          <w:sz w:val="24"/>
          <w:szCs w:val="24"/>
        </w:rPr>
        <w:t xml:space="preserve"> running of the trusts. When big </w:t>
      </w:r>
      <w:r w:rsidR="0094152D" w:rsidRPr="00A66E23">
        <w:rPr>
          <w:rFonts w:ascii="Arial" w:hAnsi="Arial" w:cs="Arial"/>
          <w:sz w:val="24"/>
          <w:szCs w:val="24"/>
        </w:rPr>
        <w:t>financial decisions ha</w:t>
      </w:r>
      <w:r w:rsidR="00444882" w:rsidRPr="00A66E23">
        <w:rPr>
          <w:rFonts w:ascii="Arial" w:hAnsi="Arial" w:cs="Arial"/>
          <w:sz w:val="24"/>
          <w:szCs w:val="24"/>
        </w:rPr>
        <w:t>ve</w:t>
      </w:r>
      <w:r w:rsidR="0094152D" w:rsidRPr="00A66E23">
        <w:rPr>
          <w:rFonts w:ascii="Arial" w:hAnsi="Arial" w:cs="Arial"/>
          <w:sz w:val="24"/>
          <w:szCs w:val="24"/>
        </w:rPr>
        <w:t xml:space="preserve"> to be taken, he would have a meeting with the appellant </w:t>
      </w:r>
      <w:r w:rsidR="00277152" w:rsidRPr="00A66E23">
        <w:rPr>
          <w:rFonts w:ascii="Arial" w:hAnsi="Arial" w:cs="Arial"/>
          <w:sz w:val="24"/>
          <w:szCs w:val="24"/>
        </w:rPr>
        <w:t xml:space="preserve">or </w:t>
      </w:r>
      <w:r w:rsidR="001108FB" w:rsidRPr="00A66E23">
        <w:rPr>
          <w:rFonts w:ascii="Arial" w:hAnsi="Arial" w:cs="Arial"/>
          <w:sz w:val="24"/>
          <w:szCs w:val="24"/>
        </w:rPr>
        <w:t>discuss them with him over the phone</w:t>
      </w:r>
      <w:r w:rsidR="00FC03B8" w:rsidRPr="00A66E23">
        <w:rPr>
          <w:rFonts w:ascii="Arial" w:hAnsi="Arial" w:cs="Arial"/>
          <w:sz w:val="24"/>
          <w:szCs w:val="24"/>
        </w:rPr>
        <w:t>.</w:t>
      </w:r>
    </w:p>
    <w:p w14:paraId="37387F61" w14:textId="019589A4" w:rsidR="001108FB" w:rsidRPr="00A66E23" w:rsidRDefault="001108FB" w:rsidP="00BF2ED6">
      <w:pPr>
        <w:spacing w:line="360" w:lineRule="auto"/>
        <w:jc w:val="both"/>
        <w:rPr>
          <w:rFonts w:ascii="Arial" w:hAnsi="Arial" w:cs="Arial"/>
          <w:sz w:val="24"/>
          <w:szCs w:val="24"/>
        </w:rPr>
      </w:pPr>
      <w:r w:rsidRPr="00A66E23">
        <w:rPr>
          <w:rFonts w:ascii="Arial" w:hAnsi="Arial" w:cs="Arial"/>
          <w:sz w:val="24"/>
          <w:szCs w:val="24"/>
        </w:rPr>
        <w:t>[1</w:t>
      </w:r>
      <w:r w:rsidR="009B0586" w:rsidRPr="00A66E23">
        <w:rPr>
          <w:rFonts w:ascii="Arial" w:hAnsi="Arial" w:cs="Arial"/>
          <w:sz w:val="24"/>
          <w:szCs w:val="24"/>
        </w:rPr>
        <w:t>2</w:t>
      </w:r>
      <w:r w:rsidRPr="00A66E23">
        <w:rPr>
          <w:rFonts w:ascii="Arial" w:hAnsi="Arial" w:cs="Arial"/>
          <w:sz w:val="24"/>
          <w:szCs w:val="24"/>
        </w:rPr>
        <w:t>]</w:t>
      </w:r>
      <w:r w:rsidRPr="00A66E23">
        <w:rPr>
          <w:rFonts w:ascii="Arial" w:hAnsi="Arial" w:cs="Arial"/>
          <w:sz w:val="24"/>
          <w:szCs w:val="24"/>
        </w:rPr>
        <w:tab/>
        <w:t>As regards</w:t>
      </w:r>
      <w:r w:rsidR="001F7686" w:rsidRPr="00A66E23">
        <w:rPr>
          <w:rFonts w:ascii="Arial" w:hAnsi="Arial" w:cs="Arial"/>
          <w:sz w:val="24"/>
          <w:szCs w:val="24"/>
        </w:rPr>
        <w:t xml:space="preserve"> the</w:t>
      </w:r>
      <w:r w:rsidR="003762E9" w:rsidRPr="00A66E23">
        <w:rPr>
          <w:rFonts w:ascii="Arial" w:hAnsi="Arial" w:cs="Arial"/>
          <w:sz w:val="24"/>
          <w:szCs w:val="24"/>
        </w:rPr>
        <w:t xml:space="preserve"> formation of </w:t>
      </w:r>
      <w:r w:rsidR="0076587D" w:rsidRPr="00A66E23">
        <w:rPr>
          <w:rFonts w:ascii="Arial" w:hAnsi="Arial" w:cs="Arial"/>
          <w:sz w:val="24"/>
          <w:szCs w:val="24"/>
        </w:rPr>
        <w:t xml:space="preserve">Olivia Wildplaas CC, </w:t>
      </w:r>
      <w:r w:rsidR="00767A38" w:rsidRPr="00A66E23">
        <w:rPr>
          <w:rFonts w:ascii="Arial" w:hAnsi="Arial" w:cs="Arial"/>
          <w:sz w:val="24"/>
          <w:szCs w:val="24"/>
        </w:rPr>
        <w:t>Mr v</w:t>
      </w:r>
      <w:r w:rsidR="001F7686" w:rsidRPr="00A66E23">
        <w:rPr>
          <w:rFonts w:ascii="Arial" w:hAnsi="Arial" w:cs="Arial"/>
          <w:sz w:val="24"/>
          <w:szCs w:val="24"/>
        </w:rPr>
        <w:t>an Rooyen testified that the CC used to be a private compan</w:t>
      </w:r>
      <w:r w:rsidR="003762E9" w:rsidRPr="00A66E23">
        <w:rPr>
          <w:rFonts w:ascii="Arial" w:hAnsi="Arial" w:cs="Arial"/>
          <w:sz w:val="24"/>
          <w:szCs w:val="24"/>
        </w:rPr>
        <w:t>y with limited liability before</w:t>
      </w:r>
      <w:r w:rsidR="001F7686" w:rsidRPr="00A66E23">
        <w:rPr>
          <w:rFonts w:ascii="Arial" w:hAnsi="Arial" w:cs="Arial"/>
          <w:sz w:val="24"/>
          <w:szCs w:val="24"/>
        </w:rPr>
        <w:t xml:space="preserve"> the appellant converted it </w:t>
      </w:r>
      <w:r w:rsidR="005F331E" w:rsidRPr="00A66E23">
        <w:rPr>
          <w:rFonts w:ascii="Arial" w:hAnsi="Arial" w:cs="Arial"/>
          <w:sz w:val="24"/>
          <w:szCs w:val="24"/>
        </w:rPr>
        <w:t>int</w:t>
      </w:r>
      <w:r w:rsidR="003762E9" w:rsidRPr="00A66E23">
        <w:rPr>
          <w:rFonts w:ascii="Arial" w:hAnsi="Arial" w:cs="Arial"/>
          <w:sz w:val="24"/>
          <w:szCs w:val="24"/>
        </w:rPr>
        <w:t>o</w:t>
      </w:r>
      <w:r w:rsidR="005F331E" w:rsidRPr="00A66E23">
        <w:rPr>
          <w:rFonts w:ascii="Arial" w:hAnsi="Arial" w:cs="Arial"/>
          <w:sz w:val="24"/>
          <w:szCs w:val="24"/>
        </w:rPr>
        <w:t xml:space="preserve"> a close corporat</w:t>
      </w:r>
      <w:r w:rsidR="0010082E" w:rsidRPr="00A66E23">
        <w:rPr>
          <w:rFonts w:ascii="Arial" w:hAnsi="Arial" w:cs="Arial"/>
          <w:sz w:val="24"/>
          <w:szCs w:val="24"/>
        </w:rPr>
        <w:t>ion. He bought the shares of Olivia Wildplaas</w:t>
      </w:r>
      <w:r w:rsidR="005F331E" w:rsidRPr="00A66E23">
        <w:rPr>
          <w:rFonts w:ascii="Arial" w:hAnsi="Arial" w:cs="Arial"/>
          <w:sz w:val="24"/>
          <w:szCs w:val="24"/>
        </w:rPr>
        <w:t xml:space="preserve"> Pty Ltd</w:t>
      </w:r>
      <w:r w:rsidR="00834B0F" w:rsidRPr="00A66E23">
        <w:rPr>
          <w:rFonts w:ascii="Arial" w:hAnsi="Arial" w:cs="Arial"/>
          <w:sz w:val="24"/>
          <w:szCs w:val="24"/>
        </w:rPr>
        <w:t xml:space="preserve"> (Olivia Wildplaas) </w:t>
      </w:r>
      <w:r w:rsidR="00142E7B" w:rsidRPr="00A66E23">
        <w:rPr>
          <w:rFonts w:ascii="Arial" w:hAnsi="Arial" w:cs="Arial"/>
          <w:sz w:val="24"/>
          <w:szCs w:val="24"/>
        </w:rPr>
        <w:t>at a</w:t>
      </w:r>
      <w:r w:rsidR="009D1BB0" w:rsidRPr="00A66E23">
        <w:rPr>
          <w:rFonts w:ascii="Arial" w:hAnsi="Arial" w:cs="Arial"/>
          <w:sz w:val="24"/>
          <w:szCs w:val="24"/>
        </w:rPr>
        <w:t>n auction in 1999 and became its</w:t>
      </w:r>
      <w:r w:rsidR="00142E7B" w:rsidRPr="00A66E23">
        <w:rPr>
          <w:rFonts w:ascii="Arial" w:hAnsi="Arial" w:cs="Arial"/>
          <w:sz w:val="24"/>
          <w:szCs w:val="24"/>
        </w:rPr>
        <w:t xml:space="preserve"> sole shareholder.</w:t>
      </w:r>
    </w:p>
    <w:p w14:paraId="0DB237F2" w14:textId="7E7F0C4A" w:rsidR="007844E3" w:rsidRPr="00A66E23" w:rsidRDefault="005F331E" w:rsidP="00BF2ED6">
      <w:pPr>
        <w:spacing w:line="360" w:lineRule="auto"/>
        <w:jc w:val="both"/>
        <w:rPr>
          <w:rFonts w:ascii="Arial" w:hAnsi="Arial" w:cs="Arial"/>
          <w:sz w:val="24"/>
          <w:szCs w:val="24"/>
        </w:rPr>
      </w:pPr>
      <w:r w:rsidRPr="00A66E23">
        <w:rPr>
          <w:rFonts w:ascii="Arial" w:hAnsi="Arial" w:cs="Arial"/>
          <w:sz w:val="24"/>
          <w:szCs w:val="24"/>
        </w:rPr>
        <w:t>[1</w:t>
      </w:r>
      <w:r w:rsidR="009B0586" w:rsidRPr="00A66E23">
        <w:rPr>
          <w:rFonts w:ascii="Arial" w:hAnsi="Arial" w:cs="Arial"/>
          <w:sz w:val="24"/>
          <w:szCs w:val="24"/>
        </w:rPr>
        <w:t>3</w:t>
      </w:r>
      <w:r w:rsidRPr="00A66E23">
        <w:rPr>
          <w:rFonts w:ascii="Arial" w:hAnsi="Arial" w:cs="Arial"/>
          <w:sz w:val="24"/>
          <w:szCs w:val="24"/>
        </w:rPr>
        <w:t>]</w:t>
      </w:r>
      <w:r w:rsidRPr="00A66E23">
        <w:rPr>
          <w:rFonts w:ascii="Arial" w:hAnsi="Arial" w:cs="Arial"/>
          <w:sz w:val="24"/>
          <w:szCs w:val="24"/>
        </w:rPr>
        <w:tab/>
        <w:t xml:space="preserve">In about 2000, </w:t>
      </w:r>
      <w:bookmarkStart w:id="4" w:name="_Hlk108596587"/>
      <w:r w:rsidR="00DE04EC" w:rsidRPr="00A66E23">
        <w:rPr>
          <w:rFonts w:ascii="Arial" w:hAnsi="Arial" w:cs="Arial"/>
          <w:sz w:val="24"/>
          <w:szCs w:val="24"/>
        </w:rPr>
        <w:t xml:space="preserve">Olivia Wildplaas </w:t>
      </w:r>
      <w:bookmarkEnd w:id="4"/>
      <w:r w:rsidR="0010082E" w:rsidRPr="00A66E23">
        <w:rPr>
          <w:rFonts w:ascii="Arial" w:hAnsi="Arial" w:cs="Arial"/>
          <w:sz w:val="24"/>
          <w:szCs w:val="24"/>
        </w:rPr>
        <w:t>rented</w:t>
      </w:r>
      <w:r w:rsidR="00CF45FF" w:rsidRPr="00A66E23">
        <w:rPr>
          <w:rFonts w:ascii="Arial" w:hAnsi="Arial" w:cs="Arial"/>
          <w:sz w:val="24"/>
          <w:szCs w:val="24"/>
        </w:rPr>
        <w:t xml:space="preserve"> two farms in </w:t>
      </w:r>
      <w:r w:rsidRPr="00A66E23">
        <w:rPr>
          <w:rFonts w:ascii="Arial" w:hAnsi="Arial" w:cs="Arial"/>
          <w:sz w:val="24"/>
          <w:szCs w:val="24"/>
        </w:rPr>
        <w:t>V</w:t>
      </w:r>
      <w:r w:rsidR="00AC6DAF" w:rsidRPr="00A66E23">
        <w:rPr>
          <w:rFonts w:ascii="Arial" w:hAnsi="Arial" w:cs="Arial"/>
          <w:sz w:val="24"/>
          <w:szCs w:val="24"/>
        </w:rPr>
        <w:t>orster</w:t>
      </w:r>
      <w:r w:rsidR="00FD6FE3" w:rsidRPr="00A66E23">
        <w:rPr>
          <w:rFonts w:ascii="Arial" w:hAnsi="Arial" w:cs="Arial"/>
          <w:sz w:val="24"/>
          <w:szCs w:val="24"/>
        </w:rPr>
        <w:t>s</w:t>
      </w:r>
      <w:r w:rsidR="00AC6DAF" w:rsidRPr="00A66E23">
        <w:rPr>
          <w:rFonts w:ascii="Arial" w:hAnsi="Arial" w:cs="Arial"/>
          <w:sz w:val="24"/>
          <w:szCs w:val="24"/>
        </w:rPr>
        <w:t xml:space="preserve">hoop. It </w:t>
      </w:r>
      <w:r w:rsidR="004D29F3" w:rsidRPr="00A66E23">
        <w:rPr>
          <w:rFonts w:ascii="Arial" w:hAnsi="Arial" w:cs="Arial"/>
          <w:sz w:val="24"/>
          <w:szCs w:val="24"/>
        </w:rPr>
        <w:t xml:space="preserve">later </w:t>
      </w:r>
      <w:r w:rsidR="00142E7B" w:rsidRPr="00A66E23">
        <w:rPr>
          <w:rFonts w:ascii="Arial" w:hAnsi="Arial" w:cs="Arial"/>
          <w:sz w:val="24"/>
          <w:szCs w:val="24"/>
        </w:rPr>
        <w:t>bought</w:t>
      </w:r>
      <w:r w:rsidR="00F226DD" w:rsidRPr="00A66E23">
        <w:rPr>
          <w:rFonts w:ascii="Arial" w:hAnsi="Arial" w:cs="Arial"/>
          <w:sz w:val="24"/>
          <w:szCs w:val="24"/>
        </w:rPr>
        <w:t xml:space="preserve"> two farms</w:t>
      </w:r>
      <w:r w:rsidR="00CF45FF" w:rsidRPr="00A66E23">
        <w:rPr>
          <w:rFonts w:ascii="Arial" w:hAnsi="Arial" w:cs="Arial"/>
          <w:sz w:val="24"/>
          <w:szCs w:val="24"/>
        </w:rPr>
        <w:t>, Pu</w:t>
      </w:r>
      <w:r w:rsidR="00142E7B" w:rsidRPr="00A66E23">
        <w:rPr>
          <w:rFonts w:ascii="Arial" w:hAnsi="Arial" w:cs="Arial"/>
          <w:sz w:val="24"/>
          <w:szCs w:val="24"/>
        </w:rPr>
        <w:t>t</w:t>
      </w:r>
      <w:r w:rsidR="00CF45FF" w:rsidRPr="00A66E23">
        <w:rPr>
          <w:rFonts w:ascii="Arial" w:hAnsi="Arial" w:cs="Arial"/>
          <w:sz w:val="24"/>
          <w:szCs w:val="24"/>
        </w:rPr>
        <w:t>ney and Pienaarskuil</w:t>
      </w:r>
      <w:r w:rsidR="00F226DD" w:rsidRPr="00A66E23">
        <w:rPr>
          <w:rFonts w:ascii="Arial" w:hAnsi="Arial" w:cs="Arial"/>
          <w:sz w:val="24"/>
          <w:szCs w:val="24"/>
        </w:rPr>
        <w:t>,</w:t>
      </w:r>
      <w:r w:rsidR="00CF45FF" w:rsidRPr="00A66E23">
        <w:rPr>
          <w:rFonts w:ascii="Arial" w:hAnsi="Arial" w:cs="Arial"/>
          <w:sz w:val="24"/>
          <w:szCs w:val="24"/>
        </w:rPr>
        <w:t xml:space="preserve"> in June 2000 and October 2000</w:t>
      </w:r>
      <w:r w:rsidR="00892601" w:rsidRPr="00A66E23">
        <w:rPr>
          <w:rFonts w:ascii="Arial" w:hAnsi="Arial" w:cs="Arial"/>
          <w:sz w:val="24"/>
          <w:szCs w:val="24"/>
        </w:rPr>
        <w:t>,</w:t>
      </w:r>
      <w:r w:rsidR="00CF45FF" w:rsidRPr="00A66E23">
        <w:rPr>
          <w:rFonts w:ascii="Arial" w:hAnsi="Arial" w:cs="Arial"/>
          <w:sz w:val="24"/>
          <w:szCs w:val="24"/>
        </w:rPr>
        <w:t xml:space="preserve"> </w:t>
      </w:r>
      <w:r w:rsidR="00746F0F" w:rsidRPr="00A66E23">
        <w:rPr>
          <w:rFonts w:ascii="Arial" w:hAnsi="Arial" w:cs="Arial"/>
          <w:sz w:val="24"/>
          <w:szCs w:val="24"/>
        </w:rPr>
        <w:t>respectively. Olivia</w:t>
      </w:r>
      <w:r w:rsidR="005E6D53" w:rsidRPr="00A66E23">
        <w:rPr>
          <w:rFonts w:ascii="Arial" w:hAnsi="Arial" w:cs="Arial"/>
          <w:sz w:val="24"/>
          <w:szCs w:val="24"/>
        </w:rPr>
        <w:t xml:space="preserve"> </w:t>
      </w:r>
      <w:r w:rsidR="005E6D53" w:rsidRPr="00A66E23">
        <w:rPr>
          <w:rFonts w:ascii="Arial" w:hAnsi="Arial" w:cs="Arial"/>
          <w:sz w:val="24"/>
          <w:szCs w:val="24"/>
        </w:rPr>
        <w:lastRenderedPageBreak/>
        <w:t>Wild</w:t>
      </w:r>
      <w:r w:rsidR="00DE04EC" w:rsidRPr="00A66E23">
        <w:rPr>
          <w:rFonts w:ascii="Arial" w:hAnsi="Arial" w:cs="Arial"/>
          <w:sz w:val="24"/>
          <w:szCs w:val="24"/>
        </w:rPr>
        <w:t>plaas obtained finance from ABSA Bank to pay the purchase price</w:t>
      </w:r>
      <w:r w:rsidR="00F226DD" w:rsidRPr="00A66E23">
        <w:rPr>
          <w:rFonts w:ascii="Arial" w:hAnsi="Arial" w:cs="Arial"/>
          <w:sz w:val="24"/>
          <w:szCs w:val="24"/>
        </w:rPr>
        <w:t>,</w:t>
      </w:r>
      <w:r w:rsidR="00DE04EC" w:rsidRPr="00A66E23">
        <w:rPr>
          <w:rFonts w:ascii="Arial" w:hAnsi="Arial" w:cs="Arial"/>
          <w:sz w:val="24"/>
          <w:szCs w:val="24"/>
        </w:rPr>
        <w:t xml:space="preserve"> and a mortgage bond in its favour was passed over the farms to secure payment. </w:t>
      </w:r>
      <w:r w:rsidR="007E5255" w:rsidRPr="00A66E23">
        <w:rPr>
          <w:rFonts w:ascii="Arial" w:hAnsi="Arial" w:cs="Arial"/>
          <w:sz w:val="24"/>
          <w:szCs w:val="24"/>
        </w:rPr>
        <w:t>The present market</w:t>
      </w:r>
      <w:r w:rsidR="007E5255">
        <w:rPr>
          <w:rFonts w:ascii="Arial" w:hAnsi="Arial" w:cs="Arial"/>
          <w:sz w:val="24"/>
          <w:szCs w:val="24"/>
        </w:rPr>
        <w:t xml:space="preserve"> </w:t>
      </w:r>
      <w:r w:rsidR="007E5255" w:rsidRPr="00A66E23">
        <w:rPr>
          <w:rFonts w:ascii="Arial" w:hAnsi="Arial" w:cs="Arial"/>
          <w:sz w:val="24"/>
          <w:szCs w:val="24"/>
        </w:rPr>
        <w:t xml:space="preserve">value of these farms is </w:t>
      </w:r>
      <w:r w:rsidR="004D29F3" w:rsidRPr="00A66E23">
        <w:rPr>
          <w:rFonts w:ascii="Arial" w:hAnsi="Arial" w:cs="Arial"/>
          <w:sz w:val="24"/>
          <w:szCs w:val="24"/>
        </w:rPr>
        <w:t>R18</w:t>
      </w:r>
      <w:r w:rsidR="007E5255" w:rsidRPr="00A66E23">
        <w:rPr>
          <w:rFonts w:ascii="Arial" w:hAnsi="Arial" w:cs="Arial"/>
          <w:sz w:val="24"/>
          <w:szCs w:val="24"/>
        </w:rPr>
        <w:t xml:space="preserve">,3 million. </w:t>
      </w:r>
      <w:r w:rsidR="003553C1" w:rsidRPr="00A66E23">
        <w:rPr>
          <w:rFonts w:ascii="Arial" w:hAnsi="Arial" w:cs="Arial"/>
          <w:sz w:val="24"/>
          <w:szCs w:val="24"/>
        </w:rPr>
        <w:t>Olivia Wildplaas also acquired Goede</w:t>
      </w:r>
      <w:r w:rsidR="00746F0F" w:rsidRPr="00A66E23">
        <w:rPr>
          <w:rFonts w:ascii="Arial" w:hAnsi="Arial" w:cs="Arial"/>
          <w:sz w:val="24"/>
          <w:szCs w:val="24"/>
        </w:rPr>
        <w:t>h</w:t>
      </w:r>
      <w:r w:rsidR="003553C1" w:rsidRPr="00A66E23">
        <w:rPr>
          <w:rFonts w:ascii="Arial" w:hAnsi="Arial" w:cs="Arial"/>
          <w:sz w:val="24"/>
          <w:szCs w:val="24"/>
        </w:rPr>
        <w:t>oop and Rensburgshoop</w:t>
      </w:r>
      <w:r w:rsidR="001C57B0" w:rsidRPr="00A66E23">
        <w:rPr>
          <w:rFonts w:ascii="Arial" w:hAnsi="Arial" w:cs="Arial"/>
          <w:sz w:val="24"/>
          <w:szCs w:val="24"/>
        </w:rPr>
        <w:t xml:space="preserve"> farms</w:t>
      </w:r>
      <w:r w:rsidR="003553C1" w:rsidRPr="00A66E23">
        <w:rPr>
          <w:rFonts w:ascii="Arial" w:hAnsi="Arial" w:cs="Arial"/>
          <w:sz w:val="24"/>
          <w:szCs w:val="24"/>
        </w:rPr>
        <w:t xml:space="preserve"> which it later sold </w:t>
      </w:r>
      <w:r w:rsidR="0055392C" w:rsidRPr="00A66E23">
        <w:rPr>
          <w:rFonts w:ascii="Arial" w:hAnsi="Arial" w:cs="Arial"/>
          <w:sz w:val="24"/>
          <w:szCs w:val="24"/>
        </w:rPr>
        <w:t xml:space="preserve">due to their unprofitability. </w:t>
      </w:r>
      <w:r w:rsidR="00DE04EC" w:rsidRPr="00A66E23">
        <w:rPr>
          <w:rFonts w:ascii="Arial" w:hAnsi="Arial" w:cs="Arial"/>
          <w:sz w:val="24"/>
          <w:szCs w:val="24"/>
        </w:rPr>
        <w:t>The appellant</w:t>
      </w:r>
      <w:r w:rsidR="003553C1" w:rsidRPr="00A66E23">
        <w:rPr>
          <w:rFonts w:ascii="Arial" w:hAnsi="Arial" w:cs="Arial"/>
          <w:sz w:val="24"/>
          <w:szCs w:val="24"/>
        </w:rPr>
        <w:t>, in 2007,</w:t>
      </w:r>
      <w:r w:rsidR="00DE04EC" w:rsidRPr="00A66E23">
        <w:rPr>
          <w:rFonts w:ascii="Arial" w:hAnsi="Arial" w:cs="Arial"/>
          <w:sz w:val="24"/>
          <w:szCs w:val="24"/>
        </w:rPr>
        <w:t xml:space="preserve"> converted Olivia Wildplaas into </w:t>
      </w:r>
      <w:r w:rsidR="00EB0EDD" w:rsidRPr="00A66E23">
        <w:rPr>
          <w:rFonts w:ascii="Arial" w:hAnsi="Arial" w:cs="Arial"/>
          <w:sz w:val="24"/>
          <w:szCs w:val="24"/>
        </w:rPr>
        <w:t xml:space="preserve">a close corporation </w:t>
      </w:r>
      <w:r w:rsidR="00DE04EC" w:rsidRPr="00A66E23">
        <w:rPr>
          <w:rFonts w:ascii="Arial" w:hAnsi="Arial" w:cs="Arial"/>
          <w:sz w:val="24"/>
          <w:szCs w:val="24"/>
        </w:rPr>
        <w:t>to save costs on audit fees.</w:t>
      </w:r>
      <w:r w:rsidR="00EB0EDD" w:rsidRPr="00A66E23">
        <w:rPr>
          <w:rFonts w:ascii="Arial" w:hAnsi="Arial" w:cs="Arial"/>
          <w:sz w:val="24"/>
          <w:szCs w:val="24"/>
        </w:rPr>
        <w:t xml:space="preserve"> </w:t>
      </w:r>
      <w:r w:rsidR="00E4081F" w:rsidRPr="00A66E23">
        <w:rPr>
          <w:rFonts w:ascii="Arial" w:hAnsi="Arial" w:cs="Arial"/>
          <w:sz w:val="24"/>
          <w:szCs w:val="24"/>
        </w:rPr>
        <w:t>The appellant</w:t>
      </w:r>
      <w:r w:rsidR="00BA5A2F" w:rsidRPr="00A66E23">
        <w:rPr>
          <w:rFonts w:ascii="Arial" w:hAnsi="Arial" w:cs="Arial"/>
          <w:sz w:val="24"/>
          <w:szCs w:val="24"/>
        </w:rPr>
        <w:t>,</w:t>
      </w:r>
      <w:r w:rsidR="00E4081F" w:rsidRPr="00A66E23">
        <w:rPr>
          <w:rFonts w:ascii="Arial" w:hAnsi="Arial" w:cs="Arial"/>
          <w:sz w:val="24"/>
          <w:szCs w:val="24"/>
        </w:rPr>
        <w:t xml:space="preserve"> on the advice of </w:t>
      </w:r>
      <w:r w:rsidR="00487509">
        <w:rPr>
          <w:rFonts w:ascii="Arial" w:hAnsi="Arial" w:cs="Arial"/>
          <w:sz w:val="24"/>
          <w:szCs w:val="24"/>
        </w:rPr>
        <w:t xml:space="preserve">the CC’s </w:t>
      </w:r>
      <w:r w:rsidR="00E4081F" w:rsidRPr="00A66E23">
        <w:rPr>
          <w:rFonts w:ascii="Arial" w:hAnsi="Arial" w:cs="Arial"/>
          <w:sz w:val="24"/>
          <w:szCs w:val="24"/>
        </w:rPr>
        <w:t>auditors</w:t>
      </w:r>
      <w:r w:rsidR="00BA5A2F" w:rsidRPr="00A66E23">
        <w:rPr>
          <w:rFonts w:ascii="Arial" w:hAnsi="Arial" w:cs="Arial"/>
          <w:sz w:val="24"/>
          <w:szCs w:val="24"/>
        </w:rPr>
        <w:t>,</w:t>
      </w:r>
      <w:r w:rsidR="00DE04EC" w:rsidRPr="00A66E23">
        <w:rPr>
          <w:rFonts w:ascii="Arial" w:hAnsi="Arial" w:cs="Arial"/>
          <w:sz w:val="24"/>
          <w:szCs w:val="24"/>
        </w:rPr>
        <w:t xml:space="preserve"> so</w:t>
      </w:r>
      <w:r w:rsidR="00E4081F" w:rsidRPr="00A66E23">
        <w:rPr>
          <w:rFonts w:ascii="Arial" w:hAnsi="Arial" w:cs="Arial"/>
          <w:sz w:val="24"/>
          <w:szCs w:val="24"/>
        </w:rPr>
        <w:t>ld his</w:t>
      </w:r>
      <w:r w:rsidR="00DE04EC" w:rsidRPr="00A66E23">
        <w:rPr>
          <w:rFonts w:ascii="Arial" w:hAnsi="Arial" w:cs="Arial"/>
          <w:sz w:val="24"/>
          <w:szCs w:val="24"/>
        </w:rPr>
        <w:t xml:space="preserve"> whole membership</w:t>
      </w:r>
      <w:r w:rsidR="00E4081F" w:rsidRPr="00A66E23">
        <w:rPr>
          <w:rFonts w:ascii="Arial" w:hAnsi="Arial" w:cs="Arial"/>
          <w:sz w:val="24"/>
          <w:szCs w:val="24"/>
        </w:rPr>
        <w:t xml:space="preserve"> in </w:t>
      </w:r>
      <w:r w:rsidR="00487509">
        <w:rPr>
          <w:rFonts w:ascii="Arial" w:hAnsi="Arial" w:cs="Arial"/>
          <w:sz w:val="24"/>
          <w:szCs w:val="24"/>
        </w:rPr>
        <w:t>the</w:t>
      </w:r>
      <w:r w:rsidR="00DE04EC" w:rsidRPr="00A66E23">
        <w:rPr>
          <w:rFonts w:ascii="Arial" w:hAnsi="Arial" w:cs="Arial"/>
          <w:sz w:val="24"/>
          <w:szCs w:val="24"/>
        </w:rPr>
        <w:t xml:space="preserve"> CC to the Koens Familie Trust</w:t>
      </w:r>
      <w:r w:rsidR="001919B3" w:rsidRPr="00A66E23">
        <w:rPr>
          <w:rFonts w:ascii="Arial" w:hAnsi="Arial" w:cs="Arial"/>
          <w:sz w:val="24"/>
          <w:szCs w:val="24"/>
        </w:rPr>
        <w:t xml:space="preserve"> in about 2005</w:t>
      </w:r>
      <w:r w:rsidR="00DE04EC" w:rsidRPr="00A66E23">
        <w:rPr>
          <w:rFonts w:ascii="Arial" w:hAnsi="Arial" w:cs="Arial"/>
          <w:sz w:val="24"/>
          <w:szCs w:val="24"/>
        </w:rPr>
        <w:t xml:space="preserve">. </w:t>
      </w:r>
      <w:r w:rsidR="00142E7B" w:rsidRPr="00A66E23">
        <w:rPr>
          <w:rFonts w:ascii="Arial" w:hAnsi="Arial" w:cs="Arial"/>
          <w:sz w:val="24"/>
          <w:szCs w:val="24"/>
        </w:rPr>
        <w:t xml:space="preserve">Koens </w:t>
      </w:r>
      <w:r w:rsidR="00213846" w:rsidRPr="00A66E23">
        <w:rPr>
          <w:rFonts w:ascii="Arial" w:hAnsi="Arial" w:cs="Arial"/>
          <w:sz w:val="24"/>
          <w:szCs w:val="24"/>
        </w:rPr>
        <w:t>Besigheids</w:t>
      </w:r>
      <w:r w:rsidR="00142E7B" w:rsidRPr="00A66E23">
        <w:rPr>
          <w:rFonts w:ascii="Arial" w:hAnsi="Arial" w:cs="Arial"/>
          <w:sz w:val="24"/>
          <w:szCs w:val="24"/>
        </w:rPr>
        <w:t xml:space="preserve"> Trust pur</w:t>
      </w:r>
      <w:r w:rsidR="004D29F3" w:rsidRPr="00A66E23">
        <w:rPr>
          <w:rFonts w:ascii="Arial" w:hAnsi="Arial" w:cs="Arial"/>
          <w:sz w:val="24"/>
          <w:szCs w:val="24"/>
        </w:rPr>
        <w:t xml:space="preserve">chased </w:t>
      </w:r>
      <w:r w:rsidR="00557E49" w:rsidRPr="00A66E23">
        <w:rPr>
          <w:rFonts w:ascii="Arial" w:hAnsi="Arial" w:cs="Arial"/>
          <w:sz w:val="24"/>
          <w:szCs w:val="24"/>
        </w:rPr>
        <w:t>the farm</w:t>
      </w:r>
      <w:r w:rsidR="00767A38" w:rsidRPr="00A66E23">
        <w:rPr>
          <w:rFonts w:ascii="Arial" w:hAnsi="Arial" w:cs="Arial"/>
          <w:sz w:val="24"/>
          <w:szCs w:val="24"/>
        </w:rPr>
        <w:t xml:space="preserve"> </w:t>
      </w:r>
      <w:r w:rsidR="004D29F3" w:rsidRPr="00A66E23">
        <w:rPr>
          <w:rFonts w:ascii="Arial" w:hAnsi="Arial" w:cs="Arial"/>
          <w:sz w:val="24"/>
          <w:szCs w:val="24"/>
        </w:rPr>
        <w:t>Bowery in September 2009. The current market value of Bowery is R8 million.</w:t>
      </w:r>
      <w:r w:rsidR="008716D6" w:rsidRPr="00A66E23">
        <w:rPr>
          <w:rFonts w:ascii="Arial" w:hAnsi="Arial" w:cs="Arial"/>
          <w:sz w:val="24"/>
          <w:szCs w:val="24"/>
        </w:rPr>
        <w:t xml:space="preserve"> Bulhoek Family Trust bought </w:t>
      </w:r>
      <w:r w:rsidR="00F226DD" w:rsidRPr="00A66E23">
        <w:rPr>
          <w:rFonts w:ascii="Arial" w:hAnsi="Arial" w:cs="Arial"/>
          <w:sz w:val="24"/>
          <w:szCs w:val="24"/>
        </w:rPr>
        <w:t xml:space="preserve">the </w:t>
      </w:r>
      <w:r w:rsidR="0075734B" w:rsidRPr="00A66E23">
        <w:rPr>
          <w:rFonts w:ascii="Arial" w:hAnsi="Arial" w:cs="Arial"/>
          <w:sz w:val="24"/>
          <w:szCs w:val="24"/>
        </w:rPr>
        <w:t xml:space="preserve">property at </w:t>
      </w:r>
      <w:r w:rsidR="002E0D62" w:rsidRPr="00A66E23">
        <w:rPr>
          <w:rFonts w:ascii="Arial" w:hAnsi="Arial" w:cs="Arial"/>
          <w:sz w:val="24"/>
          <w:szCs w:val="24"/>
        </w:rPr>
        <w:t>Ha</w:t>
      </w:r>
      <w:r w:rsidR="0084370E" w:rsidRPr="00A66E23">
        <w:rPr>
          <w:rFonts w:ascii="Arial" w:hAnsi="Arial" w:cs="Arial"/>
          <w:sz w:val="24"/>
          <w:szCs w:val="24"/>
        </w:rPr>
        <w:t>r</w:t>
      </w:r>
      <w:r w:rsidR="002E0D62" w:rsidRPr="00A66E23">
        <w:rPr>
          <w:rFonts w:ascii="Arial" w:hAnsi="Arial" w:cs="Arial"/>
          <w:sz w:val="24"/>
          <w:szCs w:val="24"/>
        </w:rPr>
        <w:t>tenbo</w:t>
      </w:r>
      <w:r w:rsidR="008716D6" w:rsidRPr="00A66E23">
        <w:rPr>
          <w:rFonts w:ascii="Arial" w:hAnsi="Arial" w:cs="Arial"/>
          <w:sz w:val="24"/>
          <w:szCs w:val="24"/>
        </w:rPr>
        <w:t>s</w:t>
      </w:r>
      <w:r w:rsidR="00F226DD" w:rsidRPr="00A66E23">
        <w:rPr>
          <w:rFonts w:ascii="Arial" w:hAnsi="Arial" w:cs="Arial"/>
          <w:sz w:val="24"/>
          <w:szCs w:val="24"/>
        </w:rPr>
        <w:t xml:space="preserve"> in</w:t>
      </w:r>
      <w:r w:rsidR="0075734B" w:rsidRPr="00A66E23">
        <w:rPr>
          <w:rFonts w:ascii="Arial" w:hAnsi="Arial" w:cs="Arial"/>
          <w:sz w:val="24"/>
          <w:szCs w:val="24"/>
        </w:rPr>
        <w:t xml:space="preserve"> 2011</w:t>
      </w:r>
      <w:r w:rsidR="00CC6AC0" w:rsidRPr="00A66E23">
        <w:rPr>
          <w:rFonts w:ascii="Arial" w:hAnsi="Arial" w:cs="Arial"/>
          <w:sz w:val="24"/>
          <w:szCs w:val="24"/>
        </w:rPr>
        <w:t>,</w:t>
      </w:r>
      <w:r w:rsidR="00E15209" w:rsidRPr="00A66E23">
        <w:rPr>
          <w:rFonts w:ascii="Arial" w:hAnsi="Arial" w:cs="Arial"/>
          <w:sz w:val="24"/>
          <w:szCs w:val="24"/>
        </w:rPr>
        <w:t xml:space="preserve"> </w:t>
      </w:r>
      <w:r w:rsidR="007A523D" w:rsidRPr="00A66E23">
        <w:rPr>
          <w:rFonts w:ascii="Arial" w:hAnsi="Arial" w:cs="Arial"/>
          <w:sz w:val="24"/>
          <w:szCs w:val="24"/>
        </w:rPr>
        <w:t xml:space="preserve">and its current market value is approximately </w:t>
      </w:r>
      <w:r w:rsidR="00E15209" w:rsidRPr="00A66E23">
        <w:rPr>
          <w:rFonts w:ascii="Arial" w:hAnsi="Arial" w:cs="Arial"/>
          <w:sz w:val="24"/>
          <w:szCs w:val="24"/>
        </w:rPr>
        <w:t>R2 million.</w:t>
      </w:r>
      <w:r w:rsidR="008716D6" w:rsidRPr="00A66E23">
        <w:rPr>
          <w:rFonts w:ascii="Arial" w:hAnsi="Arial" w:cs="Arial"/>
          <w:sz w:val="24"/>
          <w:szCs w:val="24"/>
        </w:rPr>
        <w:t xml:space="preserve">  </w:t>
      </w:r>
    </w:p>
    <w:p w14:paraId="3E8FB6A7" w14:textId="6AAEC088" w:rsidR="006856BA" w:rsidRPr="00A66E23" w:rsidRDefault="00AF3EF4" w:rsidP="00BF2ED6">
      <w:pPr>
        <w:spacing w:line="360" w:lineRule="auto"/>
        <w:jc w:val="both"/>
        <w:rPr>
          <w:rFonts w:ascii="Arial" w:hAnsi="Arial" w:cs="Arial"/>
          <w:sz w:val="24"/>
          <w:szCs w:val="24"/>
        </w:rPr>
      </w:pPr>
      <w:r w:rsidRPr="00A66E23">
        <w:rPr>
          <w:rFonts w:ascii="Arial" w:hAnsi="Arial" w:cs="Arial"/>
          <w:sz w:val="24"/>
          <w:szCs w:val="24"/>
        </w:rPr>
        <w:t>[1</w:t>
      </w:r>
      <w:r w:rsidR="009B0586" w:rsidRPr="00A66E23">
        <w:rPr>
          <w:rFonts w:ascii="Arial" w:hAnsi="Arial" w:cs="Arial"/>
          <w:sz w:val="24"/>
          <w:szCs w:val="24"/>
        </w:rPr>
        <w:t>4</w:t>
      </w:r>
      <w:r w:rsidR="006856BA" w:rsidRPr="00A66E23">
        <w:rPr>
          <w:rFonts w:ascii="Arial" w:hAnsi="Arial" w:cs="Arial"/>
          <w:sz w:val="24"/>
          <w:szCs w:val="24"/>
        </w:rPr>
        <w:t>]</w:t>
      </w:r>
      <w:r w:rsidR="005C4246" w:rsidRPr="00A66E23">
        <w:rPr>
          <w:rFonts w:ascii="Arial" w:hAnsi="Arial" w:cs="Arial"/>
          <w:sz w:val="24"/>
          <w:szCs w:val="24"/>
        </w:rPr>
        <w:tab/>
        <w:t xml:space="preserve">Against this background, the </w:t>
      </w:r>
      <w:r w:rsidR="00C545AE" w:rsidRPr="00A66E23">
        <w:rPr>
          <w:rFonts w:ascii="Arial" w:hAnsi="Arial" w:cs="Arial"/>
          <w:sz w:val="24"/>
          <w:szCs w:val="24"/>
        </w:rPr>
        <w:t>h</w:t>
      </w:r>
      <w:r w:rsidR="006856BA" w:rsidRPr="00A66E23">
        <w:rPr>
          <w:rFonts w:ascii="Arial" w:hAnsi="Arial" w:cs="Arial"/>
          <w:sz w:val="24"/>
          <w:szCs w:val="24"/>
        </w:rPr>
        <w:t xml:space="preserve">igh </w:t>
      </w:r>
      <w:r w:rsidR="00C545AE" w:rsidRPr="00A66E23">
        <w:rPr>
          <w:rFonts w:ascii="Arial" w:hAnsi="Arial" w:cs="Arial"/>
          <w:sz w:val="24"/>
          <w:szCs w:val="24"/>
        </w:rPr>
        <w:t>c</w:t>
      </w:r>
      <w:r w:rsidR="00606BD5" w:rsidRPr="00A66E23">
        <w:rPr>
          <w:rFonts w:ascii="Arial" w:hAnsi="Arial" w:cs="Arial"/>
          <w:sz w:val="24"/>
          <w:szCs w:val="24"/>
        </w:rPr>
        <w:t>ourt, after examining the terms of the trust deeds</w:t>
      </w:r>
      <w:r w:rsidR="00FC71E1" w:rsidRPr="00A66E23">
        <w:rPr>
          <w:rFonts w:ascii="Arial" w:hAnsi="Arial" w:cs="Arial"/>
          <w:sz w:val="24"/>
          <w:szCs w:val="24"/>
        </w:rPr>
        <w:t xml:space="preserve"> of </w:t>
      </w:r>
      <w:r w:rsidR="00294824" w:rsidRPr="00A66E23">
        <w:rPr>
          <w:rFonts w:ascii="Arial" w:hAnsi="Arial" w:cs="Arial"/>
          <w:sz w:val="24"/>
          <w:szCs w:val="24"/>
        </w:rPr>
        <w:t>the relevant</w:t>
      </w:r>
      <w:r w:rsidR="00FC71E1" w:rsidRPr="00A66E23">
        <w:rPr>
          <w:rFonts w:ascii="Arial" w:hAnsi="Arial" w:cs="Arial"/>
          <w:sz w:val="24"/>
          <w:szCs w:val="24"/>
        </w:rPr>
        <w:t xml:space="preserve"> trusts</w:t>
      </w:r>
      <w:r w:rsidR="00606BD5" w:rsidRPr="00A66E23">
        <w:rPr>
          <w:rFonts w:ascii="Arial" w:hAnsi="Arial" w:cs="Arial"/>
          <w:sz w:val="24"/>
          <w:szCs w:val="24"/>
        </w:rPr>
        <w:t xml:space="preserve"> and the manner in which the</w:t>
      </w:r>
      <w:r w:rsidR="00E15209" w:rsidRPr="00A66E23">
        <w:rPr>
          <w:rFonts w:ascii="Arial" w:hAnsi="Arial" w:cs="Arial"/>
          <w:sz w:val="24"/>
          <w:szCs w:val="24"/>
        </w:rPr>
        <w:t>ir</w:t>
      </w:r>
      <w:r w:rsidR="00606BD5" w:rsidRPr="00A66E23">
        <w:rPr>
          <w:rFonts w:ascii="Arial" w:hAnsi="Arial" w:cs="Arial"/>
          <w:sz w:val="24"/>
          <w:szCs w:val="24"/>
        </w:rPr>
        <w:t xml:space="preserve"> affairs were conducted, found that the assets</w:t>
      </w:r>
      <w:r w:rsidR="00FC71E1" w:rsidRPr="00A66E23">
        <w:rPr>
          <w:rFonts w:ascii="Arial" w:hAnsi="Arial" w:cs="Arial"/>
          <w:sz w:val="24"/>
          <w:szCs w:val="24"/>
        </w:rPr>
        <w:t xml:space="preserve"> of the three trusts wer</w:t>
      </w:r>
      <w:r w:rsidR="00BA39E8" w:rsidRPr="00A66E23">
        <w:rPr>
          <w:rFonts w:ascii="Arial" w:hAnsi="Arial" w:cs="Arial"/>
          <w:sz w:val="24"/>
          <w:szCs w:val="24"/>
        </w:rPr>
        <w:t>e controlled by the appellant.</w:t>
      </w:r>
      <w:r w:rsidR="00B801A9" w:rsidRPr="00A66E23">
        <w:rPr>
          <w:rFonts w:ascii="Arial" w:hAnsi="Arial" w:cs="Arial"/>
          <w:sz w:val="24"/>
          <w:szCs w:val="24"/>
        </w:rPr>
        <w:t xml:space="preserve"> </w:t>
      </w:r>
      <w:r w:rsidR="00767A38" w:rsidRPr="00A66E23">
        <w:rPr>
          <w:rFonts w:ascii="Arial" w:hAnsi="Arial" w:cs="Arial"/>
          <w:sz w:val="24"/>
          <w:szCs w:val="24"/>
        </w:rPr>
        <w:t>It</w:t>
      </w:r>
      <w:r w:rsidR="00B801A9" w:rsidRPr="00A66E23">
        <w:rPr>
          <w:rFonts w:ascii="Arial" w:hAnsi="Arial" w:cs="Arial"/>
          <w:sz w:val="24"/>
          <w:szCs w:val="24"/>
        </w:rPr>
        <w:t xml:space="preserve"> reasoned </w:t>
      </w:r>
      <w:r w:rsidR="00767A38" w:rsidRPr="00A66E23">
        <w:rPr>
          <w:rFonts w:ascii="Arial" w:hAnsi="Arial" w:cs="Arial"/>
          <w:sz w:val="24"/>
          <w:szCs w:val="24"/>
        </w:rPr>
        <w:t xml:space="preserve">that </w:t>
      </w:r>
      <w:r w:rsidR="00B801A9" w:rsidRPr="00A66E23">
        <w:rPr>
          <w:rFonts w:ascii="Arial" w:hAnsi="Arial" w:cs="Arial"/>
          <w:sz w:val="24"/>
          <w:szCs w:val="24"/>
        </w:rPr>
        <w:t>because</w:t>
      </w:r>
      <w:r w:rsidR="00BA39E8" w:rsidRPr="00A66E23">
        <w:rPr>
          <w:rFonts w:ascii="Arial" w:hAnsi="Arial" w:cs="Arial"/>
          <w:sz w:val="24"/>
          <w:szCs w:val="24"/>
        </w:rPr>
        <w:t xml:space="preserve"> the appellant controlled all the trusts, he took decisions alone to </w:t>
      </w:r>
      <w:r w:rsidR="007A523D" w:rsidRPr="00A66E23">
        <w:rPr>
          <w:rFonts w:ascii="Arial" w:hAnsi="Arial" w:cs="Arial"/>
          <w:sz w:val="24"/>
          <w:szCs w:val="24"/>
        </w:rPr>
        <w:t>the exclusion of other trustees. T</w:t>
      </w:r>
      <w:r w:rsidR="00BA39E8" w:rsidRPr="00A66E23">
        <w:rPr>
          <w:rFonts w:ascii="Arial" w:hAnsi="Arial" w:cs="Arial"/>
          <w:sz w:val="24"/>
          <w:szCs w:val="24"/>
        </w:rPr>
        <w:t>he respondent</w:t>
      </w:r>
      <w:r w:rsidR="00C545AE" w:rsidRPr="00A66E23">
        <w:rPr>
          <w:rFonts w:ascii="Arial" w:hAnsi="Arial" w:cs="Arial"/>
          <w:sz w:val="24"/>
          <w:szCs w:val="24"/>
        </w:rPr>
        <w:t>,</w:t>
      </w:r>
      <w:r w:rsidR="007A523D" w:rsidRPr="00A66E23">
        <w:rPr>
          <w:rFonts w:ascii="Arial" w:hAnsi="Arial" w:cs="Arial"/>
          <w:sz w:val="24"/>
          <w:szCs w:val="24"/>
        </w:rPr>
        <w:t xml:space="preserve"> the high court found,</w:t>
      </w:r>
      <w:r w:rsidR="00BA39E8" w:rsidRPr="00A66E23">
        <w:rPr>
          <w:rFonts w:ascii="Arial" w:hAnsi="Arial" w:cs="Arial"/>
          <w:sz w:val="24"/>
          <w:szCs w:val="24"/>
        </w:rPr>
        <w:t xml:space="preserve"> as a trustee of Bulhoek Trust</w:t>
      </w:r>
      <w:r w:rsidR="00C545AE" w:rsidRPr="00A66E23">
        <w:rPr>
          <w:rFonts w:ascii="Arial" w:hAnsi="Arial" w:cs="Arial"/>
          <w:sz w:val="24"/>
          <w:szCs w:val="24"/>
        </w:rPr>
        <w:t>,</w:t>
      </w:r>
      <w:r w:rsidR="00BA39E8" w:rsidRPr="00A66E23">
        <w:rPr>
          <w:rFonts w:ascii="Arial" w:hAnsi="Arial" w:cs="Arial"/>
          <w:sz w:val="24"/>
          <w:szCs w:val="24"/>
        </w:rPr>
        <w:t xml:space="preserve"> was not consulted when decisions </w:t>
      </w:r>
      <w:r w:rsidR="0085715E" w:rsidRPr="00A66E23">
        <w:rPr>
          <w:rFonts w:ascii="Arial" w:hAnsi="Arial" w:cs="Arial"/>
          <w:sz w:val="24"/>
          <w:szCs w:val="24"/>
        </w:rPr>
        <w:t xml:space="preserve">relating to </w:t>
      </w:r>
      <w:r w:rsidR="007A523D" w:rsidRPr="00A66E23">
        <w:rPr>
          <w:rFonts w:ascii="Arial" w:hAnsi="Arial" w:cs="Arial"/>
          <w:sz w:val="24"/>
          <w:szCs w:val="24"/>
        </w:rPr>
        <w:t>its administration</w:t>
      </w:r>
      <w:r w:rsidR="0085715E" w:rsidRPr="00A66E23">
        <w:rPr>
          <w:rFonts w:ascii="Arial" w:hAnsi="Arial" w:cs="Arial"/>
          <w:sz w:val="24"/>
          <w:szCs w:val="24"/>
        </w:rPr>
        <w:t xml:space="preserve"> </w:t>
      </w:r>
      <w:r w:rsidR="00BA39E8" w:rsidRPr="00A66E23">
        <w:rPr>
          <w:rFonts w:ascii="Arial" w:hAnsi="Arial" w:cs="Arial"/>
          <w:sz w:val="24"/>
          <w:szCs w:val="24"/>
        </w:rPr>
        <w:t>were t</w:t>
      </w:r>
      <w:r w:rsidR="0085715E" w:rsidRPr="00A66E23">
        <w:rPr>
          <w:rFonts w:ascii="Arial" w:hAnsi="Arial" w:cs="Arial"/>
          <w:sz w:val="24"/>
          <w:szCs w:val="24"/>
        </w:rPr>
        <w:t>aken and that the trust deeds ef</w:t>
      </w:r>
      <w:r w:rsidR="00BA39E8" w:rsidRPr="00A66E23">
        <w:rPr>
          <w:rFonts w:ascii="Arial" w:hAnsi="Arial" w:cs="Arial"/>
          <w:sz w:val="24"/>
          <w:szCs w:val="24"/>
        </w:rPr>
        <w:t>fectively g</w:t>
      </w:r>
      <w:r w:rsidR="00C545AE" w:rsidRPr="00A66E23">
        <w:rPr>
          <w:rFonts w:ascii="Arial" w:hAnsi="Arial" w:cs="Arial"/>
          <w:sz w:val="24"/>
          <w:szCs w:val="24"/>
        </w:rPr>
        <w:t>a</w:t>
      </w:r>
      <w:r w:rsidR="00BA39E8" w:rsidRPr="00A66E23">
        <w:rPr>
          <w:rFonts w:ascii="Arial" w:hAnsi="Arial" w:cs="Arial"/>
          <w:sz w:val="24"/>
          <w:szCs w:val="24"/>
        </w:rPr>
        <w:t>ve the appellant absolute power to deal as he wishe</w:t>
      </w:r>
      <w:r w:rsidR="00767A38" w:rsidRPr="00A66E23">
        <w:rPr>
          <w:rFonts w:ascii="Arial" w:hAnsi="Arial" w:cs="Arial"/>
          <w:sz w:val="24"/>
          <w:szCs w:val="24"/>
        </w:rPr>
        <w:t>d</w:t>
      </w:r>
      <w:r w:rsidR="00BA39E8" w:rsidRPr="00A66E23">
        <w:rPr>
          <w:rFonts w:ascii="Arial" w:hAnsi="Arial" w:cs="Arial"/>
          <w:sz w:val="24"/>
          <w:szCs w:val="24"/>
        </w:rPr>
        <w:t xml:space="preserve"> with the assets of </w:t>
      </w:r>
      <w:r w:rsidR="0085715E" w:rsidRPr="00A66E23">
        <w:rPr>
          <w:rFonts w:ascii="Arial" w:hAnsi="Arial" w:cs="Arial"/>
          <w:sz w:val="24"/>
          <w:szCs w:val="24"/>
        </w:rPr>
        <w:t>the trusts.</w:t>
      </w:r>
      <w:r w:rsidR="00C35AC3" w:rsidRPr="00A66E23">
        <w:rPr>
          <w:rFonts w:ascii="Arial" w:hAnsi="Arial" w:cs="Arial"/>
          <w:sz w:val="24"/>
          <w:szCs w:val="24"/>
        </w:rPr>
        <w:t xml:space="preserve"> </w:t>
      </w:r>
      <w:r w:rsidR="0085715E" w:rsidRPr="00A66E23">
        <w:rPr>
          <w:rFonts w:ascii="Arial" w:hAnsi="Arial" w:cs="Arial"/>
          <w:sz w:val="24"/>
          <w:szCs w:val="24"/>
        </w:rPr>
        <w:t>In this regard</w:t>
      </w:r>
      <w:r w:rsidR="00CC6AC0" w:rsidRPr="00A66E23">
        <w:rPr>
          <w:rFonts w:ascii="Arial" w:hAnsi="Arial" w:cs="Arial"/>
          <w:sz w:val="24"/>
          <w:szCs w:val="24"/>
        </w:rPr>
        <w:t>,</w:t>
      </w:r>
      <w:r w:rsidR="0085715E" w:rsidRPr="00A66E23">
        <w:rPr>
          <w:rFonts w:ascii="Arial" w:hAnsi="Arial" w:cs="Arial"/>
          <w:sz w:val="24"/>
          <w:szCs w:val="24"/>
        </w:rPr>
        <w:t xml:space="preserve"> the </w:t>
      </w:r>
      <w:r w:rsidR="00C545AE" w:rsidRPr="00A66E23">
        <w:rPr>
          <w:rFonts w:ascii="Arial" w:hAnsi="Arial" w:cs="Arial"/>
          <w:sz w:val="24"/>
          <w:szCs w:val="24"/>
        </w:rPr>
        <w:t>h</w:t>
      </w:r>
      <w:r w:rsidR="0085715E" w:rsidRPr="00A66E23">
        <w:rPr>
          <w:rFonts w:ascii="Arial" w:hAnsi="Arial" w:cs="Arial"/>
          <w:sz w:val="24"/>
          <w:szCs w:val="24"/>
        </w:rPr>
        <w:t xml:space="preserve">igh </w:t>
      </w:r>
      <w:r w:rsidR="00C545AE" w:rsidRPr="00A66E23">
        <w:rPr>
          <w:rFonts w:ascii="Arial" w:hAnsi="Arial" w:cs="Arial"/>
          <w:sz w:val="24"/>
          <w:szCs w:val="24"/>
        </w:rPr>
        <w:t>c</w:t>
      </w:r>
      <w:r w:rsidR="0085715E" w:rsidRPr="00A66E23">
        <w:rPr>
          <w:rFonts w:ascii="Arial" w:hAnsi="Arial" w:cs="Arial"/>
          <w:sz w:val="24"/>
          <w:szCs w:val="24"/>
        </w:rPr>
        <w:t>ourt stated that t</w:t>
      </w:r>
      <w:r w:rsidR="00C35AC3" w:rsidRPr="00A66E23">
        <w:rPr>
          <w:rFonts w:ascii="Arial" w:hAnsi="Arial" w:cs="Arial"/>
          <w:sz w:val="24"/>
          <w:szCs w:val="24"/>
        </w:rPr>
        <w:t xml:space="preserve">he Bulhoek Trust deed disqualifies the respondent as a trustee upon divorce. </w:t>
      </w:r>
    </w:p>
    <w:p w14:paraId="6865E874" w14:textId="2EFEC9F5" w:rsidR="00114974" w:rsidRPr="00A66E23" w:rsidRDefault="00AF3EF4" w:rsidP="00114974">
      <w:pPr>
        <w:spacing w:after="0" w:line="360" w:lineRule="auto"/>
        <w:jc w:val="both"/>
        <w:rPr>
          <w:rFonts w:ascii="Arial" w:hAnsi="Arial" w:cs="Arial"/>
          <w:sz w:val="24"/>
          <w:szCs w:val="24"/>
        </w:rPr>
      </w:pPr>
      <w:r w:rsidRPr="00A66E23">
        <w:rPr>
          <w:rFonts w:ascii="Arial" w:hAnsi="Arial" w:cs="Arial"/>
          <w:sz w:val="24"/>
          <w:szCs w:val="24"/>
        </w:rPr>
        <w:t>[1</w:t>
      </w:r>
      <w:r w:rsidR="009B0586" w:rsidRPr="00A66E23">
        <w:rPr>
          <w:rFonts w:ascii="Arial" w:hAnsi="Arial" w:cs="Arial"/>
          <w:sz w:val="24"/>
          <w:szCs w:val="24"/>
        </w:rPr>
        <w:t>5</w:t>
      </w:r>
      <w:r w:rsidR="00C35AC3" w:rsidRPr="00A66E23">
        <w:rPr>
          <w:rFonts w:ascii="Arial" w:hAnsi="Arial" w:cs="Arial"/>
          <w:sz w:val="24"/>
          <w:szCs w:val="24"/>
        </w:rPr>
        <w:t>]</w:t>
      </w:r>
      <w:r w:rsidR="00C35AC3" w:rsidRPr="00A66E23">
        <w:rPr>
          <w:rFonts w:ascii="Arial" w:hAnsi="Arial" w:cs="Arial"/>
          <w:sz w:val="24"/>
          <w:szCs w:val="24"/>
        </w:rPr>
        <w:tab/>
        <w:t xml:space="preserve">The high court concluded that the appellant transferred the assets to the trusts with the dishonest </w:t>
      </w:r>
      <w:r w:rsidR="00EE246C" w:rsidRPr="00A66E23">
        <w:rPr>
          <w:rFonts w:ascii="Arial" w:hAnsi="Arial" w:cs="Arial"/>
          <w:sz w:val="24"/>
          <w:szCs w:val="24"/>
        </w:rPr>
        <w:t>and fraudulent purpose of frustrating the responden</w:t>
      </w:r>
      <w:r w:rsidR="00E3234B" w:rsidRPr="00A66E23">
        <w:rPr>
          <w:rFonts w:ascii="Arial" w:hAnsi="Arial" w:cs="Arial"/>
          <w:sz w:val="24"/>
          <w:szCs w:val="24"/>
        </w:rPr>
        <w:t>t’s claim to the accrual of the</w:t>
      </w:r>
      <w:r w:rsidR="00EE246C" w:rsidRPr="00A66E23">
        <w:rPr>
          <w:rFonts w:ascii="Arial" w:hAnsi="Arial" w:cs="Arial"/>
          <w:sz w:val="24"/>
          <w:szCs w:val="24"/>
        </w:rPr>
        <w:t xml:space="preserve"> estate.</w:t>
      </w:r>
      <w:r w:rsidR="00ED0236" w:rsidRPr="00A66E23">
        <w:rPr>
          <w:rFonts w:ascii="Arial" w:hAnsi="Arial" w:cs="Arial"/>
          <w:sz w:val="24"/>
          <w:szCs w:val="24"/>
        </w:rPr>
        <w:t xml:space="preserve"> </w:t>
      </w:r>
      <w:r w:rsidR="005B574F" w:rsidRPr="00A66E23">
        <w:rPr>
          <w:rFonts w:ascii="Arial" w:hAnsi="Arial" w:cs="Arial"/>
          <w:sz w:val="24"/>
          <w:szCs w:val="24"/>
        </w:rPr>
        <w:t>It stated that t</w:t>
      </w:r>
      <w:r w:rsidR="00EE246C" w:rsidRPr="00A66E23">
        <w:rPr>
          <w:rFonts w:ascii="Arial" w:hAnsi="Arial" w:cs="Arial"/>
          <w:sz w:val="24"/>
          <w:szCs w:val="24"/>
        </w:rPr>
        <w:t>he appellant, before</w:t>
      </w:r>
      <w:r w:rsidR="002E5B43" w:rsidRPr="00A66E23">
        <w:rPr>
          <w:rFonts w:ascii="Arial" w:hAnsi="Arial" w:cs="Arial"/>
          <w:sz w:val="24"/>
          <w:szCs w:val="24"/>
        </w:rPr>
        <w:t xml:space="preserve"> he became aware of the respondent’s infidelity, conducted his businesses through his companies and close corporations</w:t>
      </w:r>
      <w:r w:rsidR="00590AFA" w:rsidRPr="00A66E23">
        <w:rPr>
          <w:rFonts w:ascii="Arial" w:hAnsi="Arial" w:cs="Arial"/>
          <w:sz w:val="24"/>
          <w:szCs w:val="24"/>
        </w:rPr>
        <w:t>,</w:t>
      </w:r>
      <w:r w:rsidR="001B7E3C" w:rsidRPr="00A66E23">
        <w:rPr>
          <w:rFonts w:ascii="Arial" w:hAnsi="Arial" w:cs="Arial"/>
          <w:sz w:val="24"/>
          <w:szCs w:val="24"/>
        </w:rPr>
        <w:t xml:space="preserve"> but</w:t>
      </w:r>
      <w:r w:rsidR="002E5B43" w:rsidRPr="00A66E23">
        <w:rPr>
          <w:rFonts w:ascii="Arial" w:hAnsi="Arial" w:cs="Arial"/>
          <w:sz w:val="24"/>
          <w:szCs w:val="24"/>
        </w:rPr>
        <w:t xml:space="preserve"> </w:t>
      </w:r>
      <w:r w:rsidR="001B7E3C" w:rsidRPr="00A66E23">
        <w:rPr>
          <w:rFonts w:ascii="Arial" w:hAnsi="Arial" w:cs="Arial"/>
          <w:sz w:val="24"/>
          <w:szCs w:val="24"/>
        </w:rPr>
        <w:t>a</w:t>
      </w:r>
      <w:r w:rsidR="002E5B43" w:rsidRPr="00A66E23">
        <w:rPr>
          <w:rFonts w:ascii="Arial" w:hAnsi="Arial" w:cs="Arial"/>
          <w:sz w:val="24"/>
          <w:szCs w:val="24"/>
        </w:rPr>
        <w:t xml:space="preserve">fter the discovery of the respondent’s infidelity, the appellant transferred all the assets to the trusts, in some instances, for no value. </w:t>
      </w:r>
      <w:r w:rsidR="005B574F" w:rsidRPr="00A66E23">
        <w:rPr>
          <w:rFonts w:ascii="Arial" w:hAnsi="Arial" w:cs="Arial"/>
          <w:sz w:val="24"/>
          <w:szCs w:val="24"/>
        </w:rPr>
        <w:t xml:space="preserve">The </w:t>
      </w:r>
      <w:r w:rsidR="00114974" w:rsidRPr="00A66E23">
        <w:rPr>
          <w:rFonts w:ascii="Arial" w:hAnsi="Arial" w:cs="Arial"/>
          <w:sz w:val="24"/>
          <w:szCs w:val="24"/>
        </w:rPr>
        <w:t>h</w:t>
      </w:r>
      <w:r w:rsidR="005B574F" w:rsidRPr="00A66E23">
        <w:rPr>
          <w:rFonts w:ascii="Arial" w:hAnsi="Arial" w:cs="Arial"/>
          <w:sz w:val="24"/>
          <w:szCs w:val="24"/>
        </w:rPr>
        <w:t xml:space="preserve">igh </w:t>
      </w:r>
      <w:r w:rsidR="00114974" w:rsidRPr="00A66E23">
        <w:rPr>
          <w:rFonts w:ascii="Arial" w:hAnsi="Arial" w:cs="Arial"/>
          <w:sz w:val="24"/>
          <w:szCs w:val="24"/>
        </w:rPr>
        <w:t>c</w:t>
      </w:r>
      <w:r w:rsidR="005B574F" w:rsidRPr="00A66E23">
        <w:rPr>
          <w:rFonts w:ascii="Arial" w:hAnsi="Arial" w:cs="Arial"/>
          <w:sz w:val="24"/>
          <w:szCs w:val="24"/>
        </w:rPr>
        <w:t>ourt</w:t>
      </w:r>
      <w:r w:rsidR="00862EB6" w:rsidRPr="00A66E23">
        <w:rPr>
          <w:rFonts w:ascii="Arial" w:hAnsi="Arial" w:cs="Arial"/>
          <w:sz w:val="24"/>
          <w:szCs w:val="24"/>
        </w:rPr>
        <w:t xml:space="preserve"> went on to </w:t>
      </w:r>
      <w:r w:rsidR="00767A38" w:rsidRPr="00A66E23">
        <w:rPr>
          <w:rFonts w:ascii="Arial" w:hAnsi="Arial" w:cs="Arial"/>
          <w:sz w:val="24"/>
          <w:szCs w:val="24"/>
        </w:rPr>
        <w:t xml:space="preserve">say </w:t>
      </w:r>
      <w:r w:rsidR="00862EB6" w:rsidRPr="00A66E23">
        <w:rPr>
          <w:rFonts w:ascii="Arial" w:hAnsi="Arial" w:cs="Arial"/>
          <w:sz w:val="24"/>
          <w:szCs w:val="24"/>
        </w:rPr>
        <w:t>that</w:t>
      </w:r>
      <w:r w:rsidR="005B574F" w:rsidRPr="00A66E23">
        <w:rPr>
          <w:rFonts w:ascii="Arial" w:hAnsi="Arial" w:cs="Arial"/>
          <w:sz w:val="24"/>
          <w:szCs w:val="24"/>
        </w:rPr>
        <w:t>:</w:t>
      </w:r>
    </w:p>
    <w:p w14:paraId="50782E0D" w14:textId="296D463E" w:rsidR="005B574F" w:rsidRPr="00A66E23" w:rsidRDefault="00114974" w:rsidP="00BF2ED6">
      <w:pPr>
        <w:spacing w:line="360" w:lineRule="auto"/>
        <w:jc w:val="both"/>
        <w:rPr>
          <w:rFonts w:ascii="Arial" w:hAnsi="Arial" w:cs="Arial"/>
          <w:iCs/>
        </w:rPr>
      </w:pPr>
      <w:r w:rsidRPr="00A66E23">
        <w:rPr>
          <w:rFonts w:ascii="Arial" w:hAnsi="Arial" w:cs="Arial"/>
          <w:iCs/>
        </w:rPr>
        <w:t>‘</w:t>
      </w:r>
      <w:r w:rsidR="005B574F" w:rsidRPr="00A66E23">
        <w:rPr>
          <w:rFonts w:ascii="Arial" w:hAnsi="Arial" w:cs="Arial"/>
          <w:iCs/>
        </w:rPr>
        <w:t>He dissipated his personal estate gradually after the plaintiff left common home with no trace of where their final destination was. He immediately sold his house in Bloemfontein and gave the money to the CC in which the trust holds 100% membership. His loan account to the trusts diminished by half with no clear explanation of how it happened.’</w:t>
      </w:r>
    </w:p>
    <w:p w14:paraId="049BD90C" w14:textId="78B5AD8B" w:rsidR="00C35AC3" w:rsidRPr="00A66E23" w:rsidRDefault="0075083A" w:rsidP="00BF2ED6">
      <w:pPr>
        <w:spacing w:line="360" w:lineRule="auto"/>
        <w:jc w:val="both"/>
        <w:rPr>
          <w:rFonts w:ascii="Arial" w:hAnsi="Arial" w:cs="Arial"/>
          <w:sz w:val="24"/>
          <w:szCs w:val="24"/>
        </w:rPr>
      </w:pPr>
      <w:r w:rsidRPr="00A66E23">
        <w:rPr>
          <w:rFonts w:ascii="Arial" w:hAnsi="Arial" w:cs="Arial"/>
          <w:sz w:val="24"/>
          <w:szCs w:val="24"/>
        </w:rPr>
        <w:lastRenderedPageBreak/>
        <w:t>[</w:t>
      </w:r>
      <w:r w:rsidR="00867715" w:rsidRPr="00A66E23">
        <w:rPr>
          <w:rFonts w:ascii="Arial" w:hAnsi="Arial" w:cs="Arial"/>
          <w:sz w:val="24"/>
          <w:szCs w:val="24"/>
        </w:rPr>
        <w:t>1</w:t>
      </w:r>
      <w:r w:rsidR="009B0586" w:rsidRPr="00A66E23">
        <w:rPr>
          <w:rFonts w:ascii="Arial" w:hAnsi="Arial" w:cs="Arial"/>
          <w:sz w:val="24"/>
          <w:szCs w:val="24"/>
        </w:rPr>
        <w:t>6</w:t>
      </w:r>
      <w:r w:rsidRPr="00A66E23">
        <w:rPr>
          <w:rFonts w:ascii="Arial" w:hAnsi="Arial" w:cs="Arial"/>
          <w:sz w:val="24"/>
          <w:szCs w:val="24"/>
        </w:rPr>
        <w:t>]</w:t>
      </w:r>
      <w:r w:rsidR="00012DFF" w:rsidRPr="00A66E23">
        <w:rPr>
          <w:rFonts w:ascii="Arial" w:hAnsi="Arial" w:cs="Arial"/>
          <w:sz w:val="24"/>
          <w:szCs w:val="24"/>
        </w:rPr>
        <w:tab/>
      </w:r>
      <w:r w:rsidR="002E5B43" w:rsidRPr="00A66E23">
        <w:rPr>
          <w:rFonts w:ascii="Arial" w:hAnsi="Arial" w:cs="Arial"/>
          <w:sz w:val="24"/>
          <w:szCs w:val="24"/>
        </w:rPr>
        <w:t>On the basis of these fact</w:t>
      </w:r>
      <w:r w:rsidRPr="00A66E23">
        <w:rPr>
          <w:rFonts w:ascii="Arial" w:hAnsi="Arial" w:cs="Arial"/>
          <w:sz w:val="24"/>
          <w:szCs w:val="24"/>
        </w:rPr>
        <w:t>ual findings</w:t>
      </w:r>
      <w:r w:rsidR="002E5B43" w:rsidRPr="00A66E23">
        <w:rPr>
          <w:rFonts w:ascii="Arial" w:hAnsi="Arial" w:cs="Arial"/>
          <w:sz w:val="24"/>
          <w:szCs w:val="24"/>
        </w:rPr>
        <w:t xml:space="preserve">, the high court concluded that the veneer of all the three trusts fell to be pierced to determine the accrual of the appellant’s estate as the appellant used the trusts as his </w:t>
      </w:r>
      <w:r w:rsidR="002E5B43" w:rsidRPr="00A66E23">
        <w:rPr>
          <w:rFonts w:ascii="Arial" w:hAnsi="Arial" w:cs="Arial"/>
          <w:i/>
          <w:iCs/>
          <w:sz w:val="24"/>
          <w:szCs w:val="24"/>
        </w:rPr>
        <w:t>alter</w:t>
      </w:r>
      <w:r w:rsidR="00DD65C1" w:rsidRPr="00A66E23">
        <w:rPr>
          <w:rFonts w:ascii="Arial" w:hAnsi="Arial" w:cs="Arial"/>
          <w:i/>
          <w:iCs/>
          <w:sz w:val="24"/>
          <w:szCs w:val="24"/>
        </w:rPr>
        <w:t xml:space="preserve"> </w:t>
      </w:r>
      <w:r w:rsidR="002E5B43" w:rsidRPr="00A66E23">
        <w:rPr>
          <w:rFonts w:ascii="Arial" w:hAnsi="Arial" w:cs="Arial"/>
          <w:i/>
          <w:iCs/>
          <w:sz w:val="24"/>
          <w:szCs w:val="24"/>
        </w:rPr>
        <w:t>ego</w:t>
      </w:r>
      <w:r w:rsidR="002E5B43" w:rsidRPr="00A66E23">
        <w:rPr>
          <w:rFonts w:ascii="Arial" w:hAnsi="Arial" w:cs="Arial"/>
          <w:sz w:val="24"/>
          <w:szCs w:val="24"/>
        </w:rPr>
        <w:t xml:space="preserve">. </w:t>
      </w:r>
      <w:r w:rsidRPr="00A66E23">
        <w:rPr>
          <w:rFonts w:ascii="Arial" w:hAnsi="Arial" w:cs="Arial"/>
          <w:sz w:val="24"/>
          <w:szCs w:val="24"/>
        </w:rPr>
        <w:t>Notably</w:t>
      </w:r>
      <w:r w:rsidR="00DD65C1" w:rsidRPr="00A66E23">
        <w:rPr>
          <w:rFonts w:ascii="Arial" w:hAnsi="Arial" w:cs="Arial"/>
          <w:sz w:val="24"/>
          <w:szCs w:val="24"/>
        </w:rPr>
        <w:t>,</w:t>
      </w:r>
      <w:r w:rsidRPr="00A66E23">
        <w:rPr>
          <w:rFonts w:ascii="Arial" w:hAnsi="Arial" w:cs="Arial"/>
          <w:sz w:val="24"/>
          <w:szCs w:val="24"/>
        </w:rPr>
        <w:t xml:space="preserve"> t</w:t>
      </w:r>
      <w:r w:rsidR="0085715E" w:rsidRPr="00A66E23">
        <w:rPr>
          <w:rFonts w:ascii="Arial" w:hAnsi="Arial" w:cs="Arial"/>
          <w:sz w:val="24"/>
          <w:szCs w:val="24"/>
        </w:rPr>
        <w:t xml:space="preserve">he </w:t>
      </w:r>
      <w:r w:rsidR="006824E8" w:rsidRPr="00A66E23">
        <w:rPr>
          <w:rFonts w:ascii="Arial" w:hAnsi="Arial" w:cs="Arial"/>
          <w:sz w:val="24"/>
          <w:szCs w:val="24"/>
        </w:rPr>
        <w:t>h</w:t>
      </w:r>
      <w:r w:rsidR="0085715E" w:rsidRPr="00A66E23">
        <w:rPr>
          <w:rFonts w:ascii="Arial" w:hAnsi="Arial" w:cs="Arial"/>
          <w:sz w:val="24"/>
          <w:szCs w:val="24"/>
        </w:rPr>
        <w:t xml:space="preserve">igh </w:t>
      </w:r>
      <w:r w:rsidR="006824E8" w:rsidRPr="00A66E23">
        <w:rPr>
          <w:rFonts w:ascii="Arial" w:hAnsi="Arial" w:cs="Arial"/>
          <w:sz w:val="24"/>
          <w:szCs w:val="24"/>
        </w:rPr>
        <w:t>c</w:t>
      </w:r>
      <w:r w:rsidR="0085715E" w:rsidRPr="00A66E23">
        <w:rPr>
          <w:rFonts w:ascii="Arial" w:hAnsi="Arial" w:cs="Arial"/>
          <w:sz w:val="24"/>
          <w:szCs w:val="24"/>
        </w:rPr>
        <w:t xml:space="preserve">ourt </w:t>
      </w:r>
      <w:r w:rsidR="004502CF" w:rsidRPr="00A66E23">
        <w:rPr>
          <w:rFonts w:ascii="Arial" w:hAnsi="Arial" w:cs="Arial"/>
          <w:sz w:val="24"/>
          <w:szCs w:val="24"/>
        </w:rPr>
        <w:t>made no</w:t>
      </w:r>
      <w:r w:rsidR="004502CF">
        <w:rPr>
          <w:rFonts w:ascii="Arial" w:hAnsi="Arial" w:cs="Arial"/>
          <w:sz w:val="24"/>
          <w:szCs w:val="24"/>
        </w:rPr>
        <w:t xml:space="preserve"> </w:t>
      </w:r>
      <w:r w:rsidR="004502CF" w:rsidRPr="00A66E23">
        <w:rPr>
          <w:rFonts w:ascii="Arial" w:hAnsi="Arial" w:cs="Arial"/>
          <w:sz w:val="24"/>
          <w:szCs w:val="24"/>
        </w:rPr>
        <w:t xml:space="preserve">determination </w:t>
      </w:r>
      <w:r w:rsidR="0085715E" w:rsidRPr="00A66E23">
        <w:rPr>
          <w:rFonts w:ascii="Arial" w:hAnsi="Arial" w:cs="Arial"/>
          <w:sz w:val="24"/>
          <w:szCs w:val="24"/>
        </w:rPr>
        <w:t xml:space="preserve">regarding the piercing of the </w:t>
      </w:r>
      <w:r w:rsidR="000C1DF8" w:rsidRPr="00A66E23">
        <w:rPr>
          <w:rFonts w:ascii="Arial" w:hAnsi="Arial" w:cs="Arial"/>
          <w:sz w:val="24"/>
          <w:szCs w:val="24"/>
        </w:rPr>
        <w:t>CC</w:t>
      </w:r>
      <w:r w:rsidR="00012DFF" w:rsidRPr="00A66E23">
        <w:rPr>
          <w:rFonts w:ascii="Arial" w:hAnsi="Arial" w:cs="Arial"/>
          <w:sz w:val="24"/>
          <w:szCs w:val="24"/>
        </w:rPr>
        <w:t>’</w:t>
      </w:r>
      <w:r w:rsidR="00333308" w:rsidRPr="00A66E23">
        <w:rPr>
          <w:rFonts w:ascii="Arial" w:hAnsi="Arial" w:cs="Arial"/>
          <w:sz w:val="24"/>
          <w:szCs w:val="24"/>
        </w:rPr>
        <w:t>s</w:t>
      </w:r>
      <w:r w:rsidR="00CC6AC0" w:rsidRPr="00A66E23">
        <w:rPr>
          <w:rFonts w:ascii="Arial" w:hAnsi="Arial" w:cs="Arial"/>
          <w:sz w:val="24"/>
          <w:szCs w:val="24"/>
        </w:rPr>
        <w:t xml:space="preserve"> corporate</w:t>
      </w:r>
      <w:r w:rsidR="00333308" w:rsidRPr="00A66E23">
        <w:rPr>
          <w:rFonts w:ascii="Arial" w:hAnsi="Arial" w:cs="Arial"/>
          <w:sz w:val="24"/>
          <w:szCs w:val="24"/>
        </w:rPr>
        <w:t xml:space="preserve"> veil and whether the value of its assets should be considered for the purposes of determining the value of the accrual of the appellant’s estate</w:t>
      </w:r>
      <w:r w:rsidR="00767A38" w:rsidRPr="00A66E23">
        <w:rPr>
          <w:rFonts w:ascii="Arial" w:hAnsi="Arial" w:cs="Arial"/>
          <w:sz w:val="24"/>
          <w:szCs w:val="24"/>
        </w:rPr>
        <w:t>.</w:t>
      </w:r>
      <w:r w:rsidRPr="00A66E23">
        <w:rPr>
          <w:rFonts w:ascii="Arial" w:hAnsi="Arial" w:cs="Arial"/>
          <w:sz w:val="24"/>
          <w:szCs w:val="24"/>
        </w:rPr>
        <w:t xml:space="preserve"> </w:t>
      </w:r>
    </w:p>
    <w:p w14:paraId="18F121E4" w14:textId="3FE77A9E" w:rsidR="004502CF" w:rsidRPr="00A66E23" w:rsidRDefault="004502CF" w:rsidP="00BF2ED6">
      <w:pPr>
        <w:spacing w:line="360" w:lineRule="auto"/>
        <w:jc w:val="both"/>
        <w:rPr>
          <w:rFonts w:ascii="Arial" w:hAnsi="Arial" w:cs="Arial"/>
          <w:sz w:val="24"/>
          <w:szCs w:val="24"/>
        </w:rPr>
      </w:pPr>
      <w:r w:rsidRPr="00A66E23">
        <w:rPr>
          <w:rFonts w:ascii="Arial" w:hAnsi="Arial" w:cs="Arial"/>
          <w:sz w:val="24"/>
          <w:szCs w:val="24"/>
        </w:rPr>
        <w:t>[</w:t>
      </w:r>
      <w:r w:rsidR="00867715" w:rsidRPr="00A66E23">
        <w:rPr>
          <w:rFonts w:ascii="Arial" w:hAnsi="Arial" w:cs="Arial"/>
          <w:sz w:val="24"/>
          <w:szCs w:val="24"/>
        </w:rPr>
        <w:t>1</w:t>
      </w:r>
      <w:r w:rsidR="009B0586" w:rsidRPr="00A66E23">
        <w:rPr>
          <w:rFonts w:ascii="Arial" w:hAnsi="Arial" w:cs="Arial"/>
          <w:sz w:val="24"/>
          <w:szCs w:val="24"/>
        </w:rPr>
        <w:t>7</w:t>
      </w:r>
      <w:r w:rsidRPr="00A66E23">
        <w:rPr>
          <w:rFonts w:ascii="Arial" w:hAnsi="Arial" w:cs="Arial"/>
          <w:sz w:val="24"/>
          <w:szCs w:val="24"/>
        </w:rPr>
        <w:t>]</w:t>
      </w:r>
      <w:r w:rsidR="00012DFF" w:rsidRPr="00A66E23">
        <w:rPr>
          <w:rFonts w:ascii="Arial" w:hAnsi="Arial" w:cs="Arial"/>
          <w:sz w:val="24"/>
          <w:szCs w:val="24"/>
        </w:rPr>
        <w:tab/>
      </w:r>
      <w:r w:rsidRPr="00A66E23">
        <w:rPr>
          <w:rFonts w:ascii="Arial" w:hAnsi="Arial" w:cs="Arial"/>
          <w:sz w:val="24"/>
          <w:szCs w:val="24"/>
        </w:rPr>
        <w:t>The appellant attacks the jud</w:t>
      </w:r>
      <w:r w:rsidR="009A35FE" w:rsidRPr="00A66E23">
        <w:rPr>
          <w:rFonts w:ascii="Arial" w:hAnsi="Arial" w:cs="Arial"/>
          <w:sz w:val="24"/>
          <w:szCs w:val="24"/>
        </w:rPr>
        <w:t xml:space="preserve">gment of the </w:t>
      </w:r>
      <w:r w:rsidR="00012DFF" w:rsidRPr="00A66E23">
        <w:rPr>
          <w:rFonts w:ascii="Arial" w:hAnsi="Arial" w:cs="Arial"/>
          <w:sz w:val="24"/>
          <w:szCs w:val="24"/>
        </w:rPr>
        <w:t>h</w:t>
      </w:r>
      <w:r w:rsidR="009A35FE" w:rsidRPr="00A66E23">
        <w:rPr>
          <w:rFonts w:ascii="Arial" w:hAnsi="Arial" w:cs="Arial"/>
          <w:sz w:val="24"/>
          <w:szCs w:val="24"/>
        </w:rPr>
        <w:t xml:space="preserve">igh </w:t>
      </w:r>
      <w:r w:rsidR="00012DFF" w:rsidRPr="00A66E23">
        <w:rPr>
          <w:rFonts w:ascii="Arial" w:hAnsi="Arial" w:cs="Arial"/>
          <w:sz w:val="24"/>
          <w:szCs w:val="24"/>
        </w:rPr>
        <w:t>c</w:t>
      </w:r>
      <w:r w:rsidR="009A35FE" w:rsidRPr="00A66E23">
        <w:rPr>
          <w:rFonts w:ascii="Arial" w:hAnsi="Arial" w:cs="Arial"/>
          <w:sz w:val="24"/>
          <w:szCs w:val="24"/>
        </w:rPr>
        <w:t>ourt on three</w:t>
      </w:r>
      <w:r w:rsidRPr="00A66E23">
        <w:rPr>
          <w:rFonts w:ascii="Arial" w:hAnsi="Arial" w:cs="Arial"/>
          <w:sz w:val="24"/>
          <w:szCs w:val="24"/>
        </w:rPr>
        <w:t xml:space="preserve"> main grounds</w:t>
      </w:r>
      <w:r w:rsidR="00327B02" w:rsidRPr="00A66E23">
        <w:rPr>
          <w:rFonts w:ascii="Arial" w:hAnsi="Arial" w:cs="Arial"/>
          <w:sz w:val="24"/>
          <w:szCs w:val="24"/>
        </w:rPr>
        <w:t>.</w:t>
      </w:r>
      <w:r w:rsidRPr="00A66E23">
        <w:rPr>
          <w:rFonts w:ascii="Arial" w:hAnsi="Arial" w:cs="Arial"/>
          <w:sz w:val="24"/>
          <w:szCs w:val="24"/>
        </w:rPr>
        <w:t xml:space="preserve"> </w:t>
      </w:r>
      <w:r w:rsidR="00327B02" w:rsidRPr="00A66E23">
        <w:rPr>
          <w:rFonts w:ascii="Arial" w:hAnsi="Arial" w:cs="Arial"/>
          <w:sz w:val="24"/>
          <w:szCs w:val="24"/>
        </w:rPr>
        <w:t>F</w:t>
      </w:r>
      <w:r w:rsidRPr="00A66E23">
        <w:rPr>
          <w:rFonts w:ascii="Arial" w:hAnsi="Arial" w:cs="Arial"/>
          <w:sz w:val="24"/>
          <w:szCs w:val="24"/>
        </w:rPr>
        <w:t>irst</w:t>
      </w:r>
      <w:r w:rsidR="009A35FE" w:rsidRPr="00A66E23">
        <w:rPr>
          <w:rFonts w:ascii="Arial" w:hAnsi="Arial" w:cs="Arial"/>
          <w:sz w:val="24"/>
          <w:szCs w:val="24"/>
        </w:rPr>
        <w:t>,</w:t>
      </w:r>
      <w:r w:rsidRPr="00A66E23">
        <w:rPr>
          <w:rFonts w:ascii="Arial" w:hAnsi="Arial" w:cs="Arial"/>
          <w:sz w:val="24"/>
          <w:szCs w:val="24"/>
        </w:rPr>
        <w:t xml:space="preserve"> </w:t>
      </w:r>
      <w:r w:rsidR="0072743C" w:rsidRPr="00A66E23">
        <w:rPr>
          <w:rFonts w:ascii="Arial" w:hAnsi="Arial" w:cs="Arial"/>
          <w:sz w:val="24"/>
          <w:szCs w:val="24"/>
        </w:rPr>
        <w:t xml:space="preserve">the </w:t>
      </w:r>
      <w:r w:rsidR="00327B02" w:rsidRPr="00A66E23">
        <w:rPr>
          <w:rFonts w:ascii="Arial" w:hAnsi="Arial" w:cs="Arial"/>
          <w:sz w:val="24"/>
          <w:szCs w:val="24"/>
        </w:rPr>
        <w:t>h</w:t>
      </w:r>
      <w:r w:rsidR="0072743C" w:rsidRPr="00A66E23">
        <w:rPr>
          <w:rFonts w:ascii="Arial" w:hAnsi="Arial" w:cs="Arial"/>
          <w:sz w:val="24"/>
          <w:szCs w:val="24"/>
        </w:rPr>
        <w:t xml:space="preserve">igh </w:t>
      </w:r>
      <w:r w:rsidR="00327B02" w:rsidRPr="00A66E23">
        <w:rPr>
          <w:rFonts w:ascii="Arial" w:hAnsi="Arial" w:cs="Arial"/>
          <w:sz w:val="24"/>
          <w:szCs w:val="24"/>
        </w:rPr>
        <w:t>c</w:t>
      </w:r>
      <w:r w:rsidR="0072743C" w:rsidRPr="00A66E23">
        <w:rPr>
          <w:rFonts w:ascii="Arial" w:hAnsi="Arial" w:cs="Arial"/>
          <w:sz w:val="24"/>
          <w:szCs w:val="24"/>
        </w:rPr>
        <w:t xml:space="preserve">ourt impermissibly strayed beyond the defined issues. Secondly, there </w:t>
      </w:r>
      <w:r w:rsidR="00767A38" w:rsidRPr="00A66E23">
        <w:rPr>
          <w:rFonts w:ascii="Arial" w:hAnsi="Arial" w:cs="Arial"/>
          <w:sz w:val="24"/>
          <w:szCs w:val="24"/>
        </w:rPr>
        <w:t xml:space="preserve">was </w:t>
      </w:r>
      <w:r w:rsidR="0072743C" w:rsidRPr="00A66E23">
        <w:rPr>
          <w:rFonts w:ascii="Arial" w:hAnsi="Arial" w:cs="Arial"/>
          <w:sz w:val="24"/>
          <w:szCs w:val="24"/>
        </w:rPr>
        <w:t xml:space="preserve">no factual or legal basis for </w:t>
      </w:r>
      <w:r w:rsidR="00767A38" w:rsidRPr="00A66E23">
        <w:rPr>
          <w:rFonts w:ascii="Arial" w:hAnsi="Arial" w:cs="Arial"/>
          <w:sz w:val="24"/>
          <w:szCs w:val="24"/>
        </w:rPr>
        <w:t xml:space="preserve">the court </w:t>
      </w:r>
      <w:r w:rsidR="0072743C" w:rsidRPr="00A66E23">
        <w:rPr>
          <w:rFonts w:ascii="Arial" w:hAnsi="Arial" w:cs="Arial"/>
          <w:sz w:val="24"/>
          <w:szCs w:val="24"/>
        </w:rPr>
        <w:t xml:space="preserve">to pierce the veneer of the trusts in the manner that it did. Thirdly, the </w:t>
      </w:r>
      <w:r w:rsidR="00327B02" w:rsidRPr="00A66E23">
        <w:rPr>
          <w:rFonts w:ascii="Arial" w:hAnsi="Arial" w:cs="Arial"/>
          <w:sz w:val="24"/>
          <w:szCs w:val="24"/>
        </w:rPr>
        <w:t>h</w:t>
      </w:r>
      <w:r w:rsidR="0072743C" w:rsidRPr="00A66E23">
        <w:rPr>
          <w:rFonts w:ascii="Arial" w:hAnsi="Arial" w:cs="Arial"/>
          <w:sz w:val="24"/>
          <w:szCs w:val="24"/>
        </w:rPr>
        <w:t xml:space="preserve">igh </w:t>
      </w:r>
      <w:r w:rsidR="00327B02" w:rsidRPr="00A66E23">
        <w:rPr>
          <w:rFonts w:ascii="Arial" w:hAnsi="Arial" w:cs="Arial"/>
          <w:sz w:val="24"/>
          <w:szCs w:val="24"/>
        </w:rPr>
        <w:t>c</w:t>
      </w:r>
      <w:r w:rsidR="0072743C" w:rsidRPr="00A66E23">
        <w:rPr>
          <w:rFonts w:ascii="Arial" w:hAnsi="Arial" w:cs="Arial"/>
          <w:sz w:val="24"/>
          <w:szCs w:val="24"/>
        </w:rPr>
        <w:t xml:space="preserve">ourt committed </w:t>
      </w:r>
      <w:r w:rsidR="00270234" w:rsidRPr="00A66E23">
        <w:rPr>
          <w:rFonts w:ascii="Arial" w:hAnsi="Arial" w:cs="Arial"/>
          <w:sz w:val="24"/>
          <w:szCs w:val="24"/>
        </w:rPr>
        <w:t>errors of fact.</w:t>
      </w:r>
      <w:r w:rsidR="009A35FE" w:rsidRPr="00A66E23">
        <w:rPr>
          <w:rFonts w:ascii="Arial" w:hAnsi="Arial" w:cs="Arial"/>
          <w:sz w:val="24"/>
          <w:szCs w:val="24"/>
        </w:rPr>
        <w:t xml:space="preserve"> This point is related to the second one. In relation to this point</w:t>
      </w:r>
      <w:r w:rsidR="00327B02" w:rsidRPr="00A66E23">
        <w:rPr>
          <w:rFonts w:ascii="Arial" w:hAnsi="Arial" w:cs="Arial"/>
          <w:sz w:val="24"/>
          <w:szCs w:val="24"/>
        </w:rPr>
        <w:t>,</w:t>
      </w:r>
      <w:r w:rsidR="009A35FE" w:rsidRPr="00A66E23">
        <w:rPr>
          <w:rFonts w:ascii="Arial" w:hAnsi="Arial" w:cs="Arial"/>
          <w:sz w:val="24"/>
          <w:szCs w:val="24"/>
        </w:rPr>
        <w:t xml:space="preserve"> the argument was that some of the findings of the </w:t>
      </w:r>
      <w:r w:rsidR="00327B02" w:rsidRPr="00A66E23">
        <w:rPr>
          <w:rFonts w:ascii="Arial" w:hAnsi="Arial" w:cs="Arial"/>
          <w:sz w:val="24"/>
          <w:szCs w:val="24"/>
        </w:rPr>
        <w:t>h</w:t>
      </w:r>
      <w:r w:rsidR="009A35FE" w:rsidRPr="00A66E23">
        <w:rPr>
          <w:rFonts w:ascii="Arial" w:hAnsi="Arial" w:cs="Arial"/>
          <w:sz w:val="24"/>
          <w:szCs w:val="24"/>
        </w:rPr>
        <w:t xml:space="preserve">igh </w:t>
      </w:r>
      <w:r w:rsidR="00327B02" w:rsidRPr="00A66E23">
        <w:rPr>
          <w:rFonts w:ascii="Arial" w:hAnsi="Arial" w:cs="Arial"/>
          <w:sz w:val="24"/>
          <w:szCs w:val="24"/>
        </w:rPr>
        <w:t>c</w:t>
      </w:r>
      <w:r w:rsidR="009A35FE" w:rsidRPr="00A66E23">
        <w:rPr>
          <w:rFonts w:ascii="Arial" w:hAnsi="Arial" w:cs="Arial"/>
          <w:sz w:val="24"/>
          <w:szCs w:val="24"/>
        </w:rPr>
        <w:t>ourt were made on incorrect facts.</w:t>
      </w:r>
      <w:r w:rsidR="00270234" w:rsidRPr="00A66E23">
        <w:rPr>
          <w:rFonts w:ascii="Arial" w:hAnsi="Arial" w:cs="Arial"/>
          <w:sz w:val="24"/>
          <w:szCs w:val="24"/>
        </w:rPr>
        <w:t xml:space="preserve"> I will deal with each of them</w:t>
      </w:r>
      <w:r w:rsidR="009A35FE" w:rsidRPr="00A66E23">
        <w:rPr>
          <w:rFonts w:ascii="Arial" w:hAnsi="Arial" w:cs="Arial"/>
          <w:sz w:val="24"/>
          <w:szCs w:val="24"/>
        </w:rPr>
        <w:t xml:space="preserve"> in turn</w:t>
      </w:r>
      <w:r w:rsidR="00270234" w:rsidRPr="00A66E23">
        <w:rPr>
          <w:rFonts w:ascii="Arial" w:hAnsi="Arial" w:cs="Arial"/>
          <w:sz w:val="24"/>
          <w:szCs w:val="24"/>
        </w:rPr>
        <w:t>.</w:t>
      </w:r>
    </w:p>
    <w:p w14:paraId="6BC1D7E3" w14:textId="7F968940" w:rsidR="008528AD" w:rsidRPr="00A66E23" w:rsidRDefault="00270234" w:rsidP="008528AD">
      <w:pPr>
        <w:spacing w:line="360" w:lineRule="auto"/>
        <w:jc w:val="both"/>
        <w:rPr>
          <w:rFonts w:ascii="Arial" w:hAnsi="Arial" w:cs="Arial"/>
          <w:sz w:val="24"/>
          <w:szCs w:val="24"/>
        </w:rPr>
      </w:pPr>
      <w:r w:rsidRPr="00A66E23">
        <w:rPr>
          <w:rFonts w:ascii="Arial" w:hAnsi="Arial" w:cs="Arial"/>
          <w:sz w:val="24"/>
          <w:szCs w:val="24"/>
        </w:rPr>
        <w:t>[</w:t>
      </w:r>
      <w:r w:rsidR="009B0586" w:rsidRPr="00A66E23">
        <w:rPr>
          <w:rFonts w:ascii="Arial" w:hAnsi="Arial" w:cs="Arial"/>
          <w:sz w:val="24"/>
          <w:szCs w:val="24"/>
        </w:rPr>
        <w:t>18</w:t>
      </w:r>
      <w:r w:rsidRPr="00A66E23">
        <w:rPr>
          <w:rFonts w:ascii="Arial" w:hAnsi="Arial" w:cs="Arial"/>
          <w:sz w:val="24"/>
          <w:szCs w:val="24"/>
        </w:rPr>
        <w:t>]</w:t>
      </w:r>
      <w:r w:rsidR="00867715" w:rsidRPr="00A66E23">
        <w:rPr>
          <w:rFonts w:ascii="Arial" w:hAnsi="Arial" w:cs="Arial"/>
          <w:sz w:val="24"/>
          <w:szCs w:val="24"/>
        </w:rPr>
        <w:tab/>
      </w:r>
      <w:r w:rsidRPr="00A66E23">
        <w:rPr>
          <w:rFonts w:ascii="Arial" w:hAnsi="Arial" w:cs="Arial"/>
          <w:sz w:val="24"/>
          <w:szCs w:val="24"/>
        </w:rPr>
        <w:t>In relation to the first point</w:t>
      </w:r>
      <w:r w:rsidR="00DD65C1" w:rsidRPr="00A66E23">
        <w:rPr>
          <w:rFonts w:ascii="Arial" w:hAnsi="Arial" w:cs="Arial"/>
          <w:sz w:val="24"/>
          <w:szCs w:val="24"/>
        </w:rPr>
        <w:t>,</w:t>
      </w:r>
      <w:r w:rsidRPr="00A66E23">
        <w:rPr>
          <w:rFonts w:ascii="Arial" w:hAnsi="Arial" w:cs="Arial"/>
          <w:sz w:val="24"/>
          <w:szCs w:val="24"/>
        </w:rPr>
        <w:t xml:space="preserve"> it was submitted by the appellant that the </w:t>
      </w:r>
      <w:r w:rsidR="00327B02" w:rsidRPr="00A66E23">
        <w:rPr>
          <w:rFonts w:ascii="Arial" w:hAnsi="Arial" w:cs="Arial"/>
          <w:sz w:val="24"/>
          <w:szCs w:val="24"/>
        </w:rPr>
        <w:t>h</w:t>
      </w:r>
      <w:r w:rsidRPr="00A66E23">
        <w:rPr>
          <w:rFonts w:ascii="Arial" w:hAnsi="Arial" w:cs="Arial"/>
          <w:sz w:val="24"/>
          <w:szCs w:val="24"/>
        </w:rPr>
        <w:t xml:space="preserve">igh </w:t>
      </w:r>
      <w:r w:rsidR="00327B02" w:rsidRPr="00A66E23">
        <w:rPr>
          <w:rFonts w:ascii="Arial" w:hAnsi="Arial" w:cs="Arial"/>
          <w:sz w:val="24"/>
          <w:szCs w:val="24"/>
        </w:rPr>
        <w:t>c</w:t>
      </w:r>
      <w:r w:rsidRPr="00A66E23">
        <w:rPr>
          <w:rFonts w:ascii="Arial" w:hAnsi="Arial" w:cs="Arial"/>
          <w:sz w:val="24"/>
          <w:szCs w:val="24"/>
        </w:rPr>
        <w:t>ourt impermissibly strayed beyond the iss</w:t>
      </w:r>
      <w:r w:rsidR="00C154CF" w:rsidRPr="00A66E23">
        <w:rPr>
          <w:rFonts w:ascii="Arial" w:hAnsi="Arial" w:cs="Arial"/>
          <w:sz w:val="24"/>
          <w:szCs w:val="24"/>
        </w:rPr>
        <w:t xml:space="preserve">ues as defined in the pleadings </w:t>
      </w:r>
      <w:r w:rsidR="0033296B" w:rsidRPr="00A66E23">
        <w:rPr>
          <w:rFonts w:ascii="Arial" w:hAnsi="Arial" w:cs="Arial"/>
          <w:sz w:val="24"/>
          <w:szCs w:val="24"/>
        </w:rPr>
        <w:t xml:space="preserve">in </w:t>
      </w:r>
      <w:r w:rsidR="00C154CF" w:rsidRPr="00A66E23">
        <w:rPr>
          <w:rFonts w:ascii="Arial" w:hAnsi="Arial" w:cs="Arial"/>
          <w:sz w:val="24"/>
          <w:szCs w:val="24"/>
        </w:rPr>
        <w:t xml:space="preserve">finding that the appellant </w:t>
      </w:r>
      <w:r w:rsidR="0033296B" w:rsidRPr="00A66E23">
        <w:rPr>
          <w:rFonts w:ascii="Arial" w:hAnsi="Arial" w:cs="Arial"/>
          <w:sz w:val="24"/>
          <w:szCs w:val="24"/>
        </w:rPr>
        <w:t xml:space="preserve">had </w:t>
      </w:r>
      <w:r w:rsidR="00C154CF" w:rsidRPr="00A66E23">
        <w:rPr>
          <w:rFonts w:ascii="Arial" w:hAnsi="Arial" w:cs="Arial"/>
          <w:sz w:val="24"/>
          <w:szCs w:val="24"/>
        </w:rPr>
        <w:t xml:space="preserve">transferred the assets to the trusts with the purpose of concealing them through fraud, dishonesty and </w:t>
      </w:r>
      <w:r w:rsidR="0033296B" w:rsidRPr="00A66E23">
        <w:rPr>
          <w:rFonts w:ascii="Arial" w:hAnsi="Arial" w:cs="Arial"/>
          <w:sz w:val="24"/>
          <w:szCs w:val="24"/>
        </w:rPr>
        <w:t xml:space="preserve">to </w:t>
      </w:r>
      <w:r w:rsidR="00C154CF" w:rsidRPr="00A66E23">
        <w:rPr>
          <w:rFonts w:ascii="Arial" w:hAnsi="Arial" w:cs="Arial"/>
          <w:sz w:val="24"/>
          <w:szCs w:val="24"/>
        </w:rPr>
        <w:t>avoid his obligation to account to the respondent for the accrual of his estate</w:t>
      </w:r>
      <w:r w:rsidR="0033296B" w:rsidRPr="00A66E23">
        <w:rPr>
          <w:rFonts w:ascii="Arial" w:hAnsi="Arial" w:cs="Arial"/>
          <w:sz w:val="24"/>
          <w:szCs w:val="24"/>
        </w:rPr>
        <w:t>.</w:t>
      </w:r>
      <w:r w:rsidR="00440166" w:rsidRPr="00A66E23">
        <w:rPr>
          <w:rFonts w:ascii="Arial" w:hAnsi="Arial" w:cs="Arial"/>
          <w:sz w:val="24"/>
          <w:szCs w:val="24"/>
        </w:rPr>
        <w:t xml:space="preserve"> </w:t>
      </w:r>
      <w:r w:rsidR="0033296B" w:rsidRPr="00A66E23">
        <w:rPr>
          <w:rFonts w:ascii="Arial" w:hAnsi="Arial" w:cs="Arial"/>
          <w:sz w:val="24"/>
          <w:szCs w:val="24"/>
        </w:rPr>
        <w:t xml:space="preserve">This </w:t>
      </w:r>
      <w:r w:rsidR="00DE09F1" w:rsidRPr="00A66E23">
        <w:rPr>
          <w:rFonts w:ascii="Arial" w:hAnsi="Arial" w:cs="Arial"/>
          <w:sz w:val="24"/>
          <w:szCs w:val="24"/>
        </w:rPr>
        <w:t>was not the respondent’s case. The appellant contended that the legal basis for the respondent’s claim, as articulated</w:t>
      </w:r>
      <w:r w:rsidR="00CC6AC0" w:rsidRPr="00A66E23">
        <w:rPr>
          <w:rFonts w:ascii="Arial" w:hAnsi="Arial" w:cs="Arial"/>
          <w:sz w:val="24"/>
          <w:szCs w:val="24"/>
        </w:rPr>
        <w:t xml:space="preserve"> in her particulars of claim, was that the trust and the CC were</w:t>
      </w:r>
      <w:r w:rsidR="00DE09F1" w:rsidRPr="00A66E23">
        <w:rPr>
          <w:rFonts w:ascii="Arial" w:hAnsi="Arial" w:cs="Arial"/>
          <w:sz w:val="24"/>
          <w:szCs w:val="24"/>
        </w:rPr>
        <w:t xml:space="preserve"> the </w:t>
      </w:r>
      <w:r w:rsidR="00DE09F1" w:rsidRPr="00A66E23">
        <w:rPr>
          <w:rFonts w:ascii="Arial" w:hAnsi="Arial" w:cs="Arial"/>
          <w:i/>
          <w:iCs/>
          <w:sz w:val="24"/>
          <w:szCs w:val="24"/>
        </w:rPr>
        <w:t>alter ego</w:t>
      </w:r>
      <w:r w:rsidR="00DE09F1" w:rsidRPr="00A66E23">
        <w:rPr>
          <w:rFonts w:ascii="Arial" w:hAnsi="Arial" w:cs="Arial"/>
          <w:sz w:val="24"/>
          <w:szCs w:val="24"/>
        </w:rPr>
        <w:t xml:space="preserve"> of the appel</w:t>
      </w:r>
      <w:r w:rsidR="00CC6AC0" w:rsidRPr="00A66E23">
        <w:rPr>
          <w:rFonts w:ascii="Arial" w:hAnsi="Arial" w:cs="Arial"/>
          <w:sz w:val="24"/>
          <w:szCs w:val="24"/>
        </w:rPr>
        <w:t>lant and that he managed these</w:t>
      </w:r>
      <w:r w:rsidR="00DE09F1" w:rsidRPr="00A66E23">
        <w:rPr>
          <w:rFonts w:ascii="Arial" w:hAnsi="Arial" w:cs="Arial"/>
          <w:sz w:val="24"/>
          <w:szCs w:val="24"/>
        </w:rPr>
        <w:t xml:space="preserve"> entities to prejudice </w:t>
      </w:r>
      <w:r w:rsidR="0033296B" w:rsidRPr="00A66E23">
        <w:rPr>
          <w:rFonts w:ascii="Arial" w:hAnsi="Arial" w:cs="Arial"/>
          <w:sz w:val="24"/>
          <w:szCs w:val="24"/>
        </w:rPr>
        <w:t xml:space="preserve">the </w:t>
      </w:r>
      <w:r w:rsidR="00DE09F1" w:rsidRPr="00A66E23">
        <w:rPr>
          <w:rFonts w:ascii="Arial" w:hAnsi="Arial" w:cs="Arial"/>
          <w:sz w:val="24"/>
          <w:szCs w:val="24"/>
        </w:rPr>
        <w:t>exercise of her rights to obtain her share of the accrued estate.</w:t>
      </w:r>
    </w:p>
    <w:p w14:paraId="6F9365F5" w14:textId="6B0761D9" w:rsidR="00270234" w:rsidRPr="00A66E23" w:rsidRDefault="000D3041" w:rsidP="008A69A8">
      <w:pPr>
        <w:spacing w:after="0" w:line="360" w:lineRule="auto"/>
        <w:jc w:val="both"/>
        <w:rPr>
          <w:rFonts w:ascii="Arial" w:hAnsi="Arial" w:cs="Arial"/>
          <w:sz w:val="24"/>
          <w:szCs w:val="24"/>
        </w:rPr>
      </w:pPr>
      <w:r w:rsidRPr="00A66E23">
        <w:rPr>
          <w:rFonts w:ascii="Arial" w:hAnsi="Arial" w:cs="Arial"/>
          <w:sz w:val="24"/>
          <w:szCs w:val="24"/>
        </w:rPr>
        <w:t>[19]</w:t>
      </w:r>
      <w:r w:rsidRPr="00A66E23">
        <w:rPr>
          <w:rFonts w:ascii="Arial" w:hAnsi="Arial" w:cs="Arial"/>
          <w:sz w:val="24"/>
          <w:szCs w:val="24"/>
        </w:rPr>
        <w:tab/>
      </w:r>
      <w:r w:rsidR="0075083A" w:rsidRPr="00A66E23">
        <w:rPr>
          <w:rFonts w:ascii="Arial" w:hAnsi="Arial" w:cs="Arial"/>
          <w:sz w:val="24"/>
          <w:szCs w:val="24"/>
        </w:rPr>
        <w:t xml:space="preserve">This calls for a careful analysis of the pleadings. The relief </w:t>
      </w:r>
      <w:r w:rsidR="00354A33" w:rsidRPr="00A66E23">
        <w:rPr>
          <w:rFonts w:ascii="Arial" w:hAnsi="Arial" w:cs="Arial"/>
          <w:sz w:val="24"/>
          <w:szCs w:val="24"/>
        </w:rPr>
        <w:t xml:space="preserve">as </w:t>
      </w:r>
      <w:r w:rsidR="0075083A" w:rsidRPr="00A66E23">
        <w:rPr>
          <w:rFonts w:ascii="Arial" w:hAnsi="Arial" w:cs="Arial"/>
          <w:sz w:val="24"/>
          <w:szCs w:val="24"/>
        </w:rPr>
        <w:t>sought by the respondent</w:t>
      </w:r>
      <w:r w:rsidR="0094395B" w:rsidRPr="00A66E23">
        <w:rPr>
          <w:rFonts w:ascii="Arial" w:hAnsi="Arial" w:cs="Arial"/>
          <w:sz w:val="24"/>
          <w:szCs w:val="24"/>
        </w:rPr>
        <w:t xml:space="preserve"> in para 8</w:t>
      </w:r>
      <w:r w:rsidR="0075083A" w:rsidRPr="00A66E23">
        <w:rPr>
          <w:rFonts w:ascii="Arial" w:hAnsi="Arial" w:cs="Arial"/>
          <w:sz w:val="24"/>
          <w:szCs w:val="24"/>
        </w:rPr>
        <w:t xml:space="preserve"> of t</w:t>
      </w:r>
      <w:r w:rsidR="00411417" w:rsidRPr="00A66E23">
        <w:rPr>
          <w:rFonts w:ascii="Arial" w:hAnsi="Arial" w:cs="Arial"/>
          <w:sz w:val="24"/>
          <w:szCs w:val="24"/>
        </w:rPr>
        <w:t>he particulars of claim</w:t>
      </w:r>
      <w:r w:rsidR="00487509">
        <w:rPr>
          <w:rFonts w:ascii="Arial" w:hAnsi="Arial" w:cs="Arial"/>
          <w:sz w:val="24"/>
          <w:szCs w:val="24"/>
        </w:rPr>
        <w:t>,</w:t>
      </w:r>
      <w:r w:rsidR="00411417" w:rsidRPr="00A66E23">
        <w:rPr>
          <w:rFonts w:ascii="Arial" w:hAnsi="Arial" w:cs="Arial"/>
          <w:sz w:val="24"/>
          <w:szCs w:val="24"/>
        </w:rPr>
        <w:t xml:space="preserve"> is</w:t>
      </w:r>
      <w:r w:rsidR="00856B2F" w:rsidRPr="00A66E23">
        <w:rPr>
          <w:rFonts w:ascii="Arial" w:hAnsi="Arial" w:cs="Arial"/>
          <w:sz w:val="24"/>
          <w:szCs w:val="24"/>
        </w:rPr>
        <w:t xml:space="preserve"> the following</w:t>
      </w:r>
      <w:r w:rsidR="00411417" w:rsidRPr="00A66E23">
        <w:rPr>
          <w:rFonts w:ascii="Arial" w:hAnsi="Arial" w:cs="Arial"/>
          <w:sz w:val="24"/>
          <w:szCs w:val="24"/>
        </w:rPr>
        <w:t>:</w:t>
      </w:r>
    </w:p>
    <w:p w14:paraId="6CB2A163" w14:textId="1B893F3D" w:rsidR="00411417" w:rsidRPr="00A66E23" w:rsidRDefault="0094395B" w:rsidP="00BF2ED6">
      <w:pPr>
        <w:spacing w:line="360" w:lineRule="auto"/>
        <w:jc w:val="both"/>
        <w:rPr>
          <w:rFonts w:ascii="Arial" w:hAnsi="Arial" w:cs="Arial"/>
          <w:sz w:val="24"/>
          <w:szCs w:val="24"/>
        </w:rPr>
      </w:pPr>
      <w:r w:rsidRPr="00A66E23">
        <w:rPr>
          <w:rFonts w:ascii="Arial" w:hAnsi="Arial" w:cs="Arial"/>
        </w:rPr>
        <w:t>‘That the assets of the Koe</w:t>
      </w:r>
      <w:r w:rsidR="006A3BBE" w:rsidRPr="00A66E23">
        <w:rPr>
          <w:rFonts w:ascii="Arial" w:hAnsi="Arial" w:cs="Arial"/>
        </w:rPr>
        <w:t>ns Business Trust, Koens Family Trust, Bulhoek Trust and Olivia Wildsplaas CC be taken t</w:t>
      </w:r>
      <w:r w:rsidR="00E3234B" w:rsidRPr="00A66E23">
        <w:rPr>
          <w:rFonts w:ascii="Arial" w:hAnsi="Arial" w:cs="Arial"/>
        </w:rPr>
        <w:t>ogether with the assets of the f</w:t>
      </w:r>
      <w:r w:rsidR="006A3BBE" w:rsidRPr="00A66E23">
        <w:rPr>
          <w:rFonts w:ascii="Arial" w:hAnsi="Arial" w:cs="Arial"/>
        </w:rPr>
        <w:t>irst respondent as assets belonging</w:t>
      </w:r>
      <w:r w:rsidR="008A69A8" w:rsidRPr="00A66E23">
        <w:rPr>
          <w:rFonts w:ascii="Arial" w:hAnsi="Arial" w:cs="Arial"/>
        </w:rPr>
        <w:t xml:space="preserve"> to the first respondent for the purposes of calculating the accrual in terms of sections 3 and 4 of the Matrimonial Property Act.’</w:t>
      </w:r>
      <w:r w:rsidR="008A69A8" w:rsidRPr="00A66E23">
        <w:rPr>
          <w:rFonts w:ascii="Arial" w:hAnsi="Arial" w:cs="Arial"/>
          <w:sz w:val="24"/>
          <w:szCs w:val="24"/>
        </w:rPr>
        <w:t xml:space="preserve"> </w:t>
      </w:r>
    </w:p>
    <w:p w14:paraId="6F586241" w14:textId="76C443BE" w:rsidR="002044F2" w:rsidRPr="00A66E23" w:rsidRDefault="00AF3EF4" w:rsidP="00BF2ED6">
      <w:pPr>
        <w:spacing w:line="360" w:lineRule="auto"/>
        <w:jc w:val="both"/>
        <w:rPr>
          <w:rFonts w:ascii="Arial" w:hAnsi="Arial" w:cs="Arial"/>
          <w:sz w:val="24"/>
          <w:szCs w:val="24"/>
        </w:rPr>
      </w:pPr>
      <w:r w:rsidRPr="00A66E23">
        <w:rPr>
          <w:rFonts w:ascii="Arial" w:hAnsi="Arial" w:cs="Arial"/>
          <w:sz w:val="24"/>
          <w:szCs w:val="24"/>
        </w:rPr>
        <w:t>[</w:t>
      </w:r>
      <w:r w:rsidR="008528AD" w:rsidRPr="00A66E23">
        <w:rPr>
          <w:rFonts w:ascii="Arial" w:hAnsi="Arial" w:cs="Arial"/>
          <w:sz w:val="24"/>
          <w:szCs w:val="24"/>
        </w:rPr>
        <w:t>20</w:t>
      </w:r>
      <w:r w:rsidRPr="00A66E23">
        <w:rPr>
          <w:rFonts w:ascii="Arial" w:hAnsi="Arial" w:cs="Arial"/>
          <w:sz w:val="24"/>
          <w:szCs w:val="24"/>
        </w:rPr>
        <w:t>]</w:t>
      </w:r>
      <w:r w:rsidR="00867715" w:rsidRPr="00A66E23">
        <w:rPr>
          <w:rFonts w:ascii="Arial" w:hAnsi="Arial" w:cs="Arial"/>
          <w:sz w:val="24"/>
          <w:szCs w:val="24"/>
        </w:rPr>
        <w:tab/>
      </w:r>
      <w:r w:rsidR="002270E0" w:rsidRPr="00A66E23">
        <w:rPr>
          <w:rFonts w:ascii="Arial" w:hAnsi="Arial" w:cs="Arial"/>
          <w:sz w:val="24"/>
          <w:szCs w:val="24"/>
        </w:rPr>
        <w:t>In order to succeed in her claim, the respondent had to plead and prove that the appellant transferred personal assets to the trusts and dealt with them as if they were assets of these trusts</w:t>
      </w:r>
      <w:r w:rsidR="00BA7312" w:rsidRPr="00A66E23">
        <w:rPr>
          <w:rFonts w:ascii="Arial" w:hAnsi="Arial" w:cs="Arial"/>
          <w:sz w:val="24"/>
          <w:szCs w:val="24"/>
        </w:rPr>
        <w:t>,</w:t>
      </w:r>
      <w:r w:rsidR="002270E0" w:rsidRPr="00A66E23">
        <w:rPr>
          <w:rFonts w:ascii="Arial" w:hAnsi="Arial" w:cs="Arial"/>
          <w:sz w:val="24"/>
          <w:szCs w:val="24"/>
        </w:rPr>
        <w:t xml:space="preserve"> with the fraudulent or dishonest purpose of avoiding his obligation to properly account to her for the accrual of his estate and thereby evade payment of what </w:t>
      </w:r>
      <w:r w:rsidR="002270E0" w:rsidRPr="00A66E23">
        <w:rPr>
          <w:rFonts w:ascii="Arial" w:hAnsi="Arial" w:cs="Arial"/>
          <w:sz w:val="24"/>
          <w:szCs w:val="24"/>
        </w:rPr>
        <w:lastRenderedPageBreak/>
        <w:t>was due to her in accordance with her accrual claim</w:t>
      </w:r>
      <w:r w:rsidR="008A69A8" w:rsidRPr="00A66E23">
        <w:rPr>
          <w:rFonts w:ascii="Arial" w:hAnsi="Arial" w:cs="Arial"/>
          <w:sz w:val="24"/>
          <w:szCs w:val="24"/>
        </w:rPr>
        <w:t>.</w:t>
      </w:r>
      <w:r w:rsidR="008A69A8" w:rsidRPr="00A66E23">
        <w:rPr>
          <w:rStyle w:val="FootnoteReference"/>
          <w:rFonts w:ascii="Arial" w:hAnsi="Arial" w:cs="Arial"/>
          <w:sz w:val="24"/>
          <w:szCs w:val="24"/>
        </w:rPr>
        <w:footnoteReference w:id="2"/>
      </w:r>
      <w:r w:rsidR="000B6B39" w:rsidRPr="00A66E23">
        <w:rPr>
          <w:rFonts w:ascii="Arial" w:hAnsi="Arial" w:cs="Arial"/>
          <w:sz w:val="24"/>
          <w:szCs w:val="24"/>
        </w:rPr>
        <w:t xml:space="preserve"> </w:t>
      </w:r>
      <w:r w:rsidR="007234A1" w:rsidRPr="00A66E23">
        <w:rPr>
          <w:rFonts w:ascii="Arial" w:hAnsi="Arial" w:cs="Arial"/>
          <w:sz w:val="24"/>
          <w:szCs w:val="24"/>
        </w:rPr>
        <w:t xml:space="preserve">The respondent’s claim was advanced on the basis </w:t>
      </w:r>
      <w:r w:rsidR="00BF4F9B" w:rsidRPr="00A66E23">
        <w:rPr>
          <w:rFonts w:ascii="Arial" w:hAnsi="Arial" w:cs="Arial"/>
          <w:sz w:val="24"/>
          <w:szCs w:val="24"/>
        </w:rPr>
        <w:t xml:space="preserve">that </w:t>
      </w:r>
      <w:r w:rsidR="007234A1" w:rsidRPr="00A66E23">
        <w:rPr>
          <w:rFonts w:ascii="Arial" w:hAnsi="Arial" w:cs="Arial"/>
          <w:sz w:val="24"/>
          <w:szCs w:val="24"/>
        </w:rPr>
        <w:t>the appellant exercised full and exclusive control over the assets of the trusts and the CC and made no distinction between the income and expenses of the trusts and the CC and his own income and expenditure</w:t>
      </w:r>
      <w:r w:rsidR="00A56B38" w:rsidRPr="00A66E23">
        <w:rPr>
          <w:rFonts w:ascii="Arial" w:hAnsi="Arial" w:cs="Arial"/>
          <w:sz w:val="24"/>
          <w:szCs w:val="24"/>
        </w:rPr>
        <w:t>;</w:t>
      </w:r>
      <w:r w:rsidR="007234A1" w:rsidRPr="00A66E23">
        <w:rPr>
          <w:rFonts w:ascii="Arial" w:hAnsi="Arial" w:cs="Arial"/>
          <w:sz w:val="24"/>
          <w:szCs w:val="24"/>
        </w:rPr>
        <w:t xml:space="preserve"> that the trusts and the CC exist in name only</w:t>
      </w:r>
      <w:r w:rsidR="00A56B38" w:rsidRPr="00A66E23">
        <w:rPr>
          <w:rFonts w:ascii="Arial" w:hAnsi="Arial" w:cs="Arial"/>
          <w:sz w:val="24"/>
          <w:szCs w:val="24"/>
        </w:rPr>
        <w:t>;</w:t>
      </w:r>
      <w:r w:rsidR="007234A1" w:rsidRPr="00A66E23">
        <w:rPr>
          <w:rFonts w:ascii="Arial" w:hAnsi="Arial" w:cs="Arial"/>
          <w:sz w:val="24"/>
          <w:szCs w:val="24"/>
        </w:rPr>
        <w:t xml:space="preserve"> that the appellant established the trusts and the CC</w:t>
      </w:r>
      <w:r w:rsidR="007B7225" w:rsidRPr="00A66E23">
        <w:rPr>
          <w:rFonts w:ascii="Arial" w:hAnsi="Arial" w:cs="Arial"/>
          <w:sz w:val="24"/>
          <w:szCs w:val="24"/>
        </w:rPr>
        <w:t xml:space="preserve"> in order to prejudice the respondent in the exercise of her right to claim a fair</w:t>
      </w:r>
      <w:r w:rsidR="007234A1" w:rsidRPr="00A66E23">
        <w:rPr>
          <w:rFonts w:ascii="Arial" w:hAnsi="Arial" w:cs="Arial"/>
          <w:sz w:val="24"/>
          <w:szCs w:val="24"/>
        </w:rPr>
        <w:t xml:space="preserve"> </w:t>
      </w:r>
      <w:r w:rsidR="007B7225" w:rsidRPr="00A66E23">
        <w:rPr>
          <w:rFonts w:ascii="Arial" w:hAnsi="Arial" w:cs="Arial"/>
          <w:sz w:val="24"/>
          <w:szCs w:val="24"/>
        </w:rPr>
        <w:t>share of the accrued estate</w:t>
      </w:r>
      <w:r w:rsidR="00A56B38" w:rsidRPr="00A66E23">
        <w:rPr>
          <w:rFonts w:ascii="Arial" w:hAnsi="Arial" w:cs="Arial"/>
          <w:sz w:val="24"/>
          <w:szCs w:val="24"/>
        </w:rPr>
        <w:t>;</w:t>
      </w:r>
      <w:r w:rsidR="007B7225" w:rsidRPr="00A66E23">
        <w:rPr>
          <w:rFonts w:ascii="Arial" w:hAnsi="Arial" w:cs="Arial"/>
          <w:sz w:val="24"/>
          <w:szCs w:val="24"/>
        </w:rPr>
        <w:t xml:space="preserve"> </w:t>
      </w:r>
      <w:r w:rsidR="007234A1" w:rsidRPr="00A66E23">
        <w:rPr>
          <w:rFonts w:ascii="Arial" w:hAnsi="Arial" w:cs="Arial"/>
          <w:sz w:val="24"/>
          <w:szCs w:val="24"/>
        </w:rPr>
        <w:t>that the respondent performed duties for the trusts and</w:t>
      </w:r>
      <w:r w:rsidR="00BA7312" w:rsidRPr="00A66E23">
        <w:rPr>
          <w:rFonts w:ascii="Arial" w:hAnsi="Arial" w:cs="Arial"/>
          <w:sz w:val="24"/>
          <w:szCs w:val="24"/>
        </w:rPr>
        <w:t xml:space="preserve"> the</w:t>
      </w:r>
      <w:r w:rsidR="007234A1" w:rsidRPr="00A66E23">
        <w:rPr>
          <w:rFonts w:ascii="Arial" w:hAnsi="Arial" w:cs="Arial"/>
          <w:sz w:val="24"/>
          <w:szCs w:val="24"/>
        </w:rPr>
        <w:t xml:space="preserve"> CC as if they were part of the appellant’s farming business</w:t>
      </w:r>
      <w:r w:rsidR="00A56B38" w:rsidRPr="00A66E23">
        <w:rPr>
          <w:rFonts w:ascii="Arial" w:hAnsi="Arial" w:cs="Arial"/>
          <w:sz w:val="24"/>
          <w:szCs w:val="24"/>
        </w:rPr>
        <w:t>;</w:t>
      </w:r>
      <w:r w:rsidR="007234A1" w:rsidRPr="00A66E23">
        <w:rPr>
          <w:rFonts w:ascii="Arial" w:hAnsi="Arial" w:cs="Arial"/>
          <w:sz w:val="24"/>
          <w:szCs w:val="24"/>
        </w:rPr>
        <w:t xml:space="preserve"> and </w:t>
      </w:r>
      <w:r w:rsidR="00A56B38" w:rsidRPr="00A66E23">
        <w:rPr>
          <w:rFonts w:ascii="Arial" w:hAnsi="Arial" w:cs="Arial"/>
          <w:sz w:val="24"/>
          <w:szCs w:val="24"/>
        </w:rPr>
        <w:t xml:space="preserve">that </w:t>
      </w:r>
      <w:r w:rsidR="007234A1" w:rsidRPr="00A66E23">
        <w:rPr>
          <w:rFonts w:ascii="Arial" w:hAnsi="Arial" w:cs="Arial"/>
          <w:sz w:val="24"/>
          <w:szCs w:val="24"/>
        </w:rPr>
        <w:t>the trusts and the CC are the appellant’s</w:t>
      </w:r>
      <w:r w:rsidR="007234A1" w:rsidRPr="00A66E23">
        <w:rPr>
          <w:rFonts w:ascii="Arial" w:hAnsi="Arial" w:cs="Arial"/>
          <w:i/>
          <w:sz w:val="24"/>
          <w:szCs w:val="24"/>
        </w:rPr>
        <w:t xml:space="preserve"> alter ego. </w:t>
      </w:r>
      <w:r w:rsidR="007B7225" w:rsidRPr="00A66E23">
        <w:rPr>
          <w:rFonts w:ascii="Arial" w:hAnsi="Arial" w:cs="Arial"/>
          <w:sz w:val="24"/>
          <w:szCs w:val="24"/>
        </w:rPr>
        <w:t xml:space="preserve">The </w:t>
      </w:r>
      <w:r w:rsidR="00CC6AC0" w:rsidRPr="00A66E23">
        <w:rPr>
          <w:rFonts w:ascii="Arial" w:hAnsi="Arial" w:cs="Arial"/>
          <w:sz w:val="24"/>
          <w:szCs w:val="24"/>
        </w:rPr>
        <w:t xml:space="preserve">trusts and the CC disputed the allegations </w:t>
      </w:r>
      <w:r w:rsidR="007B7225" w:rsidRPr="00A66E23">
        <w:rPr>
          <w:rFonts w:ascii="Arial" w:hAnsi="Arial" w:cs="Arial"/>
          <w:sz w:val="24"/>
          <w:szCs w:val="24"/>
        </w:rPr>
        <w:t>underlying the respondent’s claim</w:t>
      </w:r>
      <w:r w:rsidR="00590AFA" w:rsidRPr="00A66E23">
        <w:rPr>
          <w:rFonts w:ascii="Arial" w:hAnsi="Arial" w:cs="Arial"/>
          <w:sz w:val="24"/>
          <w:szCs w:val="24"/>
        </w:rPr>
        <w:t>,</w:t>
      </w:r>
      <w:r w:rsidR="007B7225" w:rsidRPr="00A66E23">
        <w:rPr>
          <w:rFonts w:ascii="Arial" w:hAnsi="Arial" w:cs="Arial"/>
          <w:sz w:val="24"/>
          <w:szCs w:val="24"/>
        </w:rPr>
        <w:t xml:space="preserve"> and they</w:t>
      </w:r>
      <w:r w:rsidR="007A523D" w:rsidRPr="00A66E23">
        <w:rPr>
          <w:rFonts w:ascii="Arial" w:hAnsi="Arial" w:cs="Arial"/>
          <w:sz w:val="24"/>
          <w:szCs w:val="24"/>
        </w:rPr>
        <w:t xml:space="preserve"> all</w:t>
      </w:r>
      <w:r w:rsidR="007B7225" w:rsidRPr="00A66E23">
        <w:rPr>
          <w:rFonts w:ascii="Arial" w:hAnsi="Arial" w:cs="Arial"/>
          <w:sz w:val="24"/>
          <w:szCs w:val="24"/>
        </w:rPr>
        <w:t xml:space="preserve"> contended that her claim was unsustainable.</w:t>
      </w:r>
    </w:p>
    <w:p w14:paraId="6931E695" w14:textId="41506DFA" w:rsidR="002270E0" w:rsidRPr="00A66E23" w:rsidRDefault="002044F2" w:rsidP="00CE703E">
      <w:pPr>
        <w:spacing w:after="0" w:line="360" w:lineRule="auto"/>
        <w:jc w:val="both"/>
        <w:rPr>
          <w:rFonts w:ascii="Arial" w:hAnsi="Arial" w:cs="Arial"/>
          <w:sz w:val="24"/>
          <w:szCs w:val="24"/>
        </w:rPr>
      </w:pPr>
      <w:r w:rsidRPr="00A66E23">
        <w:rPr>
          <w:rFonts w:ascii="Arial" w:hAnsi="Arial" w:cs="Arial"/>
          <w:sz w:val="24"/>
          <w:szCs w:val="24"/>
        </w:rPr>
        <w:t>[</w:t>
      </w:r>
      <w:r w:rsidR="00AF3EF4" w:rsidRPr="00A66E23">
        <w:rPr>
          <w:rFonts w:ascii="Arial" w:hAnsi="Arial" w:cs="Arial"/>
          <w:sz w:val="24"/>
          <w:szCs w:val="24"/>
        </w:rPr>
        <w:t>2</w:t>
      </w:r>
      <w:r w:rsidR="008528AD" w:rsidRPr="00A66E23">
        <w:rPr>
          <w:rFonts w:ascii="Arial" w:hAnsi="Arial" w:cs="Arial"/>
          <w:sz w:val="24"/>
          <w:szCs w:val="24"/>
        </w:rPr>
        <w:t>1</w:t>
      </w:r>
      <w:r w:rsidRPr="00A66E23">
        <w:rPr>
          <w:rFonts w:ascii="Arial" w:hAnsi="Arial" w:cs="Arial"/>
          <w:sz w:val="24"/>
          <w:szCs w:val="24"/>
        </w:rPr>
        <w:t>]</w:t>
      </w:r>
      <w:r w:rsidR="00867715" w:rsidRPr="00A66E23">
        <w:rPr>
          <w:rFonts w:ascii="Arial" w:hAnsi="Arial" w:cs="Arial"/>
          <w:sz w:val="24"/>
          <w:szCs w:val="24"/>
        </w:rPr>
        <w:tab/>
      </w:r>
      <w:r w:rsidRPr="00A66E23">
        <w:rPr>
          <w:rFonts w:ascii="Arial" w:hAnsi="Arial" w:cs="Arial"/>
          <w:sz w:val="24"/>
          <w:szCs w:val="24"/>
        </w:rPr>
        <w:t xml:space="preserve">It was not open to the </w:t>
      </w:r>
      <w:r w:rsidR="004C4612" w:rsidRPr="00A66E23">
        <w:rPr>
          <w:rFonts w:ascii="Arial" w:hAnsi="Arial" w:cs="Arial"/>
          <w:sz w:val="24"/>
          <w:szCs w:val="24"/>
        </w:rPr>
        <w:t>h</w:t>
      </w:r>
      <w:r w:rsidRPr="00A66E23">
        <w:rPr>
          <w:rFonts w:ascii="Arial" w:hAnsi="Arial" w:cs="Arial"/>
          <w:sz w:val="24"/>
          <w:szCs w:val="24"/>
        </w:rPr>
        <w:t xml:space="preserve">igh </w:t>
      </w:r>
      <w:r w:rsidR="004C4612" w:rsidRPr="00A66E23">
        <w:rPr>
          <w:rFonts w:ascii="Arial" w:hAnsi="Arial" w:cs="Arial"/>
          <w:sz w:val="24"/>
          <w:szCs w:val="24"/>
        </w:rPr>
        <w:t>c</w:t>
      </w:r>
      <w:r w:rsidRPr="00A66E23">
        <w:rPr>
          <w:rFonts w:ascii="Arial" w:hAnsi="Arial" w:cs="Arial"/>
          <w:sz w:val="24"/>
          <w:szCs w:val="24"/>
        </w:rPr>
        <w:t xml:space="preserve">ourt to adjudicate the case on the basis of issues which are not cognisable or derivable from the pleadings. </w:t>
      </w:r>
      <w:r w:rsidR="00217296" w:rsidRPr="00A66E23">
        <w:rPr>
          <w:rFonts w:ascii="Arial" w:hAnsi="Arial" w:cs="Arial"/>
          <w:sz w:val="24"/>
          <w:szCs w:val="24"/>
        </w:rPr>
        <w:t>In this regard</w:t>
      </w:r>
      <w:r w:rsidR="00590AFA" w:rsidRPr="00A66E23">
        <w:rPr>
          <w:rFonts w:ascii="Arial" w:hAnsi="Arial" w:cs="Arial"/>
          <w:sz w:val="24"/>
          <w:szCs w:val="24"/>
        </w:rPr>
        <w:t>,</w:t>
      </w:r>
      <w:r w:rsidR="00217296" w:rsidRPr="00A66E23">
        <w:rPr>
          <w:rFonts w:ascii="Arial" w:hAnsi="Arial" w:cs="Arial"/>
          <w:sz w:val="24"/>
          <w:szCs w:val="24"/>
        </w:rPr>
        <w:t xml:space="preserve"> t</w:t>
      </w:r>
      <w:r w:rsidRPr="00A66E23">
        <w:rPr>
          <w:rFonts w:ascii="Arial" w:hAnsi="Arial" w:cs="Arial"/>
          <w:sz w:val="24"/>
          <w:szCs w:val="24"/>
        </w:rPr>
        <w:t>he Constitutional Court</w:t>
      </w:r>
      <w:r w:rsidR="00217296" w:rsidRPr="00A66E23">
        <w:rPr>
          <w:rFonts w:ascii="Arial" w:hAnsi="Arial" w:cs="Arial"/>
          <w:sz w:val="24"/>
          <w:szCs w:val="24"/>
        </w:rPr>
        <w:t xml:space="preserve"> in </w:t>
      </w:r>
      <w:bookmarkStart w:id="5" w:name="_Hlk105769488"/>
      <w:r w:rsidR="00217296" w:rsidRPr="00A66E23">
        <w:rPr>
          <w:rFonts w:ascii="Arial" w:hAnsi="Arial" w:cs="Arial"/>
          <w:i/>
          <w:sz w:val="24"/>
          <w:szCs w:val="24"/>
        </w:rPr>
        <w:t xml:space="preserve">Molusi and </w:t>
      </w:r>
      <w:r w:rsidR="006E4570" w:rsidRPr="00A66E23">
        <w:rPr>
          <w:rFonts w:ascii="Arial" w:hAnsi="Arial" w:cs="Arial"/>
          <w:i/>
          <w:sz w:val="24"/>
          <w:szCs w:val="24"/>
        </w:rPr>
        <w:t xml:space="preserve">Others </w:t>
      </w:r>
      <w:r w:rsidR="00217296" w:rsidRPr="00A66E23">
        <w:rPr>
          <w:rFonts w:ascii="Arial" w:hAnsi="Arial" w:cs="Arial"/>
          <w:i/>
          <w:sz w:val="24"/>
          <w:szCs w:val="24"/>
        </w:rPr>
        <w:t>v Voges</w:t>
      </w:r>
      <w:bookmarkEnd w:id="5"/>
      <w:r w:rsidR="00217296" w:rsidRPr="00A66E23">
        <w:rPr>
          <w:rFonts w:ascii="Arial" w:hAnsi="Arial" w:cs="Arial"/>
          <w:sz w:val="24"/>
          <w:szCs w:val="24"/>
        </w:rPr>
        <w:t xml:space="preserve"> held </w:t>
      </w:r>
      <w:r w:rsidR="00CE703E" w:rsidRPr="00A66E23">
        <w:rPr>
          <w:rFonts w:ascii="Arial" w:hAnsi="Arial" w:cs="Arial"/>
          <w:sz w:val="24"/>
          <w:szCs w:val="24"/>
        </w:rPr>
        <w:t>that</w:t>
      </w:r>
      <w:r w:rsidR="00217296" w:rsidRPr="00A66E23">
        <w:rPr>
          <w:rFonts w:ascii="Arial" w:hAnsi="Arial" w:cs="Arial"/>
          <w:sz w:val="24"/>
          <w:szCs w:val="24"/>
        </w:rPr>
        <w:t>:</w:t>
      </w:r>
      <w:r w:rsidR="00CE703E" w:rsidRPr="00A66E23">
        <w:rPr>
          <w:rStyle w:val="FootnoteReference"/>
          <w:rFonts w:ascii="Arial" w:hAnsi="Arial" w:cs="Arial"/>
          <w:sz w:val="24"/>
          <w:szCs w:val="24"/>
        </w:rPr>
        <w:footnoteReference w:id="3"/>
      </w:r>
    </w:p>
    <w:p w14:paraId="3A67575F" w14:textId="6EB8EEF4" w:rsidR="00CE703E" w:rsidRPr="00796209" w:rsidRDefault="00CE703E" w:rsidP="00CE703E">
      <w:pPr>
        <w:spacing w:after="0" w:line="360" w:lineRule="auto"/>
        <w:jc w:val="both"/>
        <w:rPr>
          <w:rFonts w:ascii="Arial" w:hAnsi="Arial" w:cs="Arial"/>
          <w:sz w:val="24"/>
          <w:szCs w:val="24"/>
        </w:rPr>
      </w:pPr>
      <w:r w:rsidRPr="00A66E23">
        <w:rPr>
          <w:rFonts w:ascii="Arial" w:hAnsi="Arial" w:cs="Arial"/>
        </w:rPr>
        <w:t>‘The purpose of pleadings is to define the issues for the other party and the Court.  And it is for the Court to adjudicate upon the disputes and those disputes alone. Of course, there are instances where the court may, of its own accord (</w:t>
      </w:r>
      <w:r w:rsidRPr="00A66E23">
        <w:rPr>
          <w:rFonts w:ascii="Arial" w:hAnsi="Arial" w:cs="Arial"/>
          <w:i/>
          <w:iCs/>
        </w:rPr>
        <w:t>mero motu</w:t>
      </w:r>
      <w:r w:rsidRPr="00A66E23">
        <w:rPr>
          <w:rFonts w:ascii="Arial" w:hAnsi="Arial" w:cs="Arial"/>
        </w:rPr>
        <w:t xml:space="preserve">), raise a question of law that emerges fully from the evidence and is necessary for the decision of the case as long as its consideration on appeal involves no unfairness to the other party against whom </w:t>
      </w:r>
      <w:r w:rsidRPr="00144CB0">
        <w:rPr>
          <w:rFonts w:ascii="Arial" w:hAnsi="Arial" w:cs="Arial"/>
        </w:rPr>
        <w:t xml:space="preserve">it is directed. </w:t>
      </w:r>
      <w:r w:rsidRPr="00144CB0">
        <w:rPr>
          <w:rFonts w:ascii="Arial" w:hAnsi="Arial" w:cs="Arial"/>
          <w:sz w:val="24"/>
          <w:szCs w:val="24"/>
        </w:rPr>
        <w:t>In </w:t>
      </w:r>
      <w:r w:rsidR="00796209" w:rsidRPr="00144CB0">
        <w:rPr>
          <w:rFonts w:ascii="Arial" w:hAnsi="Arial" w:cs="Arial"/>
          <w:i/>
          <w:iCs/>
          <w:sz w:val="24"/>
          <w:szCs w:val="24"/>
        </w:rPr>
        <w:t>Minister of Safety &amp; Security v Slabbert</w:t>
      </w:r>
      <w:r w:rsidR="00530849" w:rsidRPr="00144CB0">
        <w:rPr>
          <w:rFonts w:ascii="Arial" w:hAnsi="Arial" w:cs="Arial"/>
          <w:i/>
          <w:iCs/>
          <w:sz w:val="24"/>
          <w:szCs w:val="24"/>
        </w:rPr>
        <w:t>,</w:t>
      </w:r>
      <w:r w:rsidRPr="00796209">
        <w:rPr>
          <w:rFonts w:ascii="Arial" w:hAnsi="Arial" w:cs="Arial"/>
          <w:sz w:val="24"/>
          <w:szCs w:val="24"/>
        </w:rPr>
        <w:t xml:space="preserve"> the Supreme Court of Appeal held:</w:t>
      </w:r>
      <w:r w:rsidR="00F0387A">
        <w:rPr>
          <w:rStyle w:val="FootnoteReference"/>
          <w:rFonts w:ascii="Arial" w:hAnsi="Arial" w:cs="Arial"/>
          <w:sz w:val="24"/>
          <w:szCs w:val="24"/>
        </w:rPr>
        <w:footnoteReference w:id="4"/>
      </w:r>
    </w:p>
    <w:p w14:paraId="5B850968" w14:textId="356022B1" w:rsidR="00CE703E" w:rsidRPr="00A66E23" w:rsidRDefault="00CE703E" w:rsidP="00BF2ED6">
      <w:pPr>
        <w:spacing w:line="360" w:lineRule="auto"/>
        <w:jc w:val="both"/>
        <w:rPr>
          <w:rFonts w:ascii="Arial" w:hAnsi="Arial" w:cs="Arial"/>
        </w:rPr>
      </w:pPr>
      <w:r w:rsidRPr="00A66E23">
        <w:rPr>
          <w:rFonts w:ascii="Arial" w:hAnsi="Arial" w:cs="Arial"/>
        </w:rPr>
        <w:t>“A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p>
    <w:p w14:paraId="441FC17C" w14:textId="6F57379B" w:rsidR="000D3041" w:rsidRPr="00A66E23" w:rsidRDefault="000D3041" w:rsidP="00BF2ED6">
      <w:pPr>
        <w:spacing w:line="360" w:lineRule="auto"/>
        <w:jc w:val="both"/>
        <w:rPr>
          <w:rFonts w:ascii="Arial" w:hAnsi="Arial" w:cs="Arial"/>
          <w:sz w:val="24"/>
          <w:szCs w:val="24"/>
        </w:rPr>
      </w:pPr>
      <w:r w:rsidRPr="00A66E23">
        <w:rPr>
          <w:rFonts w:ascii="Arial" w:hAnsi="Arial" w:cs="Arial"/>
          <w:sz w:val="24"/>
          <w:szCs w:val="24"/>
        </w:rPr>
        <w:t>[</w:t>
      </w:r>
      <w:r w:rsidR="008528AD" w:rsidRPr="00A66E23">
        <w:rPr>
          <w:rFonts w:ascii="Arial" w:hAnsi="Arial" w:cs="Arial"/>
          <w:sz w:val="24"/>
          <w:szCs w:val="24"/>
        </w:rPr>
        <w:t>22</w:t>
      </w:r>
      <w:r w:rsidRPr="00A66E23">
        <w:rPr>
          <w:rFonts w:ascii="Arial" w:hAnsi="Arial" w:cs="Arial"/>
          <w:sz w:val="24"/>
          <w:szCs w:val="24"/>
        </w:rPr>
        <w:t>]</w:t>
      </w:r>
      <w:r w:rsidRPr="00A66E23">
        <w:rPr>
          <w:rFonts w:ascii="Arial" w:hAnsi="Arial" w:cs="Arial"/>
          <w:sz w:val="24"/>
          <w:szCs w:val="24"/>
        </w:rPr>
        <w:tab/>
        <w:t xml:space="preserve">In </w:t>
      </w:r>
      <w:r w:rsidRPr="00A66E23">
        <w:rPr>
          <w:rFonts w:ascii="Arial" w:hAnsi="Arial" w:cs="Arial"/>
          <w:i/>
          <w:iCs/>
          <w:sz w:val="24"/>
          <w:szCs w:val="24"/>
        </w:rPr>
        <w:t>Fischer and Another v Ramahlele and Others</w:t>
      </w:r>
      <w:r w:rsidR="006E4570" w:rsidRPr="00A66E23">
        <w:rPr>
          <w:rStyle w:val="FootnoteReference"/>
          <w:rFonts w:ascii="Arial" w:hAnsi="Arial" w:cs="Arial"/>
          <w:sz w:val="24"/>
          <w:szCs w:val="24"/>
        </w:rPr>
        <w:footnoteReference w:id="5"/>
      </w:r>
      <w:r w:rsidRPr="00A66E23">
        <w:rPr>
          <w:rFonts w:ascii="Arial" w:hAnsi="Arial" w:cs="Arial"/>
          <w:sz w:val="24"/>
          <w:szCs w:val="24"/>
        </w:rPr>
        <w:t xml:space="preserve">, this Court held that it is </w:t>
      </w:r>
      <w:r w:rsidR="00B20B84" w:rsidRPr="00A66E23">
        <w:rPr>
          <w:rFonts w:ascii="Arial" w:hAnsi="Arial" w:cs="Arial"/>
          <w:sz w:val="24"/>
          <w:szCs w:val="24"/>
        </w:rPr>
        <w:t>f</w:t>
      </w:r>
      <w:r w:rsidRPr="00A66E23">
        <w:rPr>
          <w:rFonts w:ascii="Arial" w:hAnsi="Arial" w:cs="Arial"/>
          <w:sz w:val="24"/>
          <w:szCs w:val="24"/>
        </w:rPr>
        <w:t>or the parties</w:t>
      </w:r>
      <w:r w:rsidR="00B20B84" w:rsidRPr="00A66E23">
        <w:rPr>
          <w:rFonts w:ascii="Arial" w:hAnsi="Arial" w:cs="Arial"/>
          <w:sz w:val="24"/>
          <w:szCs w:val="24"/>
        </w:rPr>
        <w:t>,</w:t>
      </w:r>
      <w:r w:rsidRPr="00A66E23">
        <w:rPr>
          <w:rFonts w:ascii="Arial" w:hAnsi="Arial" w:cs="Arial"/>
          <w:sz w:val="24"/>
          <w:szCs w:val="24"/>
        </w:rPr>
        <w:t xml:space="preserve"> either in the pleadings or affidavits</w:t>
      </w:r>
      <w:r w:rsidR="00B20B84" w:rsidRPr="00A66E23">
        <w:rPr>
          <w:rFonts w:ascii="Arial" w:hAnsi="Arial" w:cs="Arial"/>
          <w:sz w:val="24"/>
          <w:szCs w:val="24"/>
        </w:rPr>
        <w:t>,</w:t>
      </w:r>
      <w:r w:rsidRPr="00A66E23">
        <w:rPr>
          <w:rFonts w:ascii="Arial" w:hAnsi="Arial" w:cs="Arial"/>
          <w:sz w:val="24"/>
          <w:szCs w:val="24"/>
        </w:rPr>
        <w:t xml:space="preserve"> to set out and define the nature of their dispute, and it is for the court to adjudicate upon that dispute and that dispute alone. </w:t>
      </w:r>
    </w:p>
    <w:p w14:paraId="2C0CCEA0" w14:textId="30BBD30D" w:rsidR="004768A9" w:rsidRPr="00A66E23" w:rsidRDefault="00634447" w:rsidP="00775F07">
      <w:pPr>
        <w:spacing w:after="0" w:line="360" w:lineRule="auto"/>
        <w:jc w:val="both"/>
        <w:rPr>
          <w:rFonts w:ascii="Arial" w:hAnsi="Arial" w:cs="Arial"/>
          <w:sz w:val="24"/>
          <w:szCs w:val="24"/>
        </w:rPr>
      </w:pPr>
      <w:r w:rsidRPr="00A66E23">
        <w:rPr>
          <w:rFonts w:ascii="Arial" w:hAnsi="Arial" w:cs="Arial"/>
          <w:sz w:val="24"/>
          <w:szCs w:val="24"/>
        </w:rPr>
        <w:lastRenderedPageBreak/>
        <w:t>[</w:t>
      </w:r>
      <w:r w:rsidR="00AF3EF4" w:rsidRPr="00A66E23">
        <w:rPr>
          <w:rFonts w:ascii="Arial" w:hAnsi="Arial" w:cs="Arial"/>
          <w:sz w:val="24"/>
          <w:szCs w:val="24"/>
        </w:rPr>
        <w:t>2</w:t>
      </w:r>
      <w:r w:rsidR="008528AD" w:rsidRPr="00A66E23">
        <w:rPr>
          <w:rFonts w:ascii="Arial" w:hAnsi="Arial" w:cs="Arial"/>
          <w:sz w:val="24"/>
          <w:szCs w:val="24"/>
        </w:rPr>
        <w:t>3</w:t>
      </w:r>
      <w:r w:rsidRPr="00A66E23">
        <w:rPr>
          <w:rFonts w:ascii="Arial" w:hAnsi="Arial" w:cs="Arial"/>
          <w:sz w:val="24"/>
          <w:szCs w:val="24"/>
        </w:rPr>
        <w:t>]</w:t>
      </w:r>
      <w:r w:rsidR="004768A9" w:rsidRPr="00A66E23">
        <w:rPr>
          <w:rFonts w:ascii="Arial" w:hAnsi="Arial" w:cs="Arial"/>
          <w:sz w:val="24"/>
          <w:szCs w:val="24"/>
        </w:rPr>
        <w:tab/>
        <w:t>This was not a case where the parties expanded on the defined issues by the way in whic</w:t>
      </w:r>
      <w:r w:rsidR="00530849" w:rsidRPr="00A66E23">
        <w:rPr>
          <w:rFonts w:ascii="Arial" w:hAnsi="Arial" w:cs="Arial"/>
          <w:sz w:val="24"/>
          <w:szCs w:val="24"/>
        </w:rPr>
        <w:t>h they conducted proceedings. On</w:t>
      </w:r>
      <w:r w:rsidR="004768A9" w:rsidRPr="00A66E23">
        <w:rPr>
          <w:rFonts w:ascii="Arial" w:hAnsi="Arial" w:cs="Arial"/>
          <w:sz w:val="24"/>
          <w:szCs w:val="24"/>
        </w:rPr>
        <w:t xml:space="preserve"> the contra</w:t>
      </w:r>
      <w:r w:rsidR="007A523D" w:rsidRPr="00A66E23">
        <w:rPr>
          <w:rFonts w:ascii="Arial" w:hAnsi="Arial" w:cs="Arial"/>
          <w:sz w:val="24"/>
          <w:szCs w:val="24"/>
        </w:rPr>
        <w:t>ry, the case advanced by the respondent</w:t>
      </w:r>
      <w:r w:rsidR="004768A9" w:rsidRPr="00A66E23">
        <w:rPr>
          <w:rFonts w:ascii="Arial" w:hAnsi="Arial" w:cs="Arial"/>
          <w:sz w:val="24"/>
          <w:szCs w:val="24"/>
        </w:rPr>
        <w:t xml:space="preserve"> was in harmony with her p</w:t>
      </w:r>
      <w:r w:rsidR="006E1927" w:rsidRPr="00A66E23">
        <w:rPr>
          <w:rFonts w:ascii="Arial" w:hAnsi="Arial" w:cs="Arial"/>
          <w:sz w:val="24"/>
          <w:szCs w:val="24"/>
        </w:rPr>
        <w:t>leadings and that approach was also confirmed by her counsel’s opening address</w:t>
      </w:r>
      <w:r w:rsidR="004768A9" w:rsidRPr="00A66E23">
        <w:rPr>
          <w:rFonts w:ascii="Arial" w:hAnsi="Arial" w:cs="Arial"/>
          <w:sz w:val="24"/>
          <w:szCs w:val="24"/>
        </w:rPr>
        <w:t xml:space="preserve">: </w:t>
      </w:r>
    </w:p>
    <w:p w14:paraId="66048081" w14:textId="534367FB" w:rsidR="00775F07" w:rsidRPr="00A66E23" w:rsidRDefault="004768A9" w:rsidP="00BF2ED6">
      <w:pPr>
        <w:spacing w:line="360" w:lineRule="auto"/>
        <w:jc w:val="both"/>
        <w:rPr>
          <w:rFonts w:ascii="Arial" w:hAnsi="Arial" w:cs="Arial"/>
          <w:sz w:val="24"/>
          <w:szCs w:val="24"/>
        </w:rPr>
      </w:pPr>
      <w:r w:rsidRPr="00A66E23">
        <w:rPr>
          <w:rFonts w:ascii="Arial" w:hAnsi="Arial" w:cs="Arial"/>
        </w:rPr>
        <w:t>‘We have also joined the second to ninth defendants in this action being entities consisting of trust – three trusts and one close corporation being according to the plaintiff’s case</w:t>
      </w:r>
      <w:r w:rsidR="00590AFA" w:rsidRPr="00A66E23">
        <w:rPr>
          <w:rFonts w:ascii="Arial" w:hAnsi="Arial" w:cs="Arial"/>
        </w:rPr>
        <w:t>,</w:t>
      </w:r>
      <w:r w:rsidRPr="00A66E23">
        <w:rPr>
          <w:rFonts w:ascii="Arial" w:hAnsi="Arial" w:cs="Arial"/>
        </w:rPr>
        <w:t xml:space="preserve"> the alter ego of the defendant, the first </w:t>
      </w:r>
      <w:r w:rsidR="00775F07" w:rsidRPr="00A66E23">
        <w:rPr>
          <w:rFonts w:ascii="Arial" w:hAnsi="Arial" w:cs="Arial"/>
        </w:rPr>
        <w:t>defendant</w:t>
      </w:r>
      <w:r w:rsidRPr="00A66E23">
        <w:rPr>
          <w:rFonts w:ascii="Arial" w:hAnsi="Arial" w:cs="Arial"/>
        </w:rPr>
        <w:t xml:space="preserve"> for purposes of determining how the accrual should be divided at the end of the day.’</w:t>
      </w:r>
      <w:r w:rsidRPr="00A66E23">
        <w:rPr>
          <w:rFonts w:ascii="Arial" w:hAnsi="Arial" w:cs="Arial"/>
          <w:sz w:val="24"/>
          <w:szCs w:val="24"/>
        </w:rPr>
        <w:t xml:space="preserve"> </w:t>
      </w:r>
    </w:p>
    <w:p w14:paraId="31CEB764" w14:textId="4780D242" w:rsidR="00775F07" w:rsidRPr="00A66E23" w:rsidRDefault="006E1927" w:rsidP="00BF2ED6">
      <w:pPr>
        <w:spacing w:line="360" w:lineRule="auto"/>
        <w:jc w:val="both"/>
        <w:rPr>
          <w:rFonts w:ascii="Arial" w:hAnsi="Arial" w:cs="Arial"/>
          <w:sz w:val="24"/>
          <w:szCs w:val="24"/>
        </w:rPr>
      </w:pPr>
      <w:r w:rsidRPr="00A66E23">
        <w:rPr>
          <w:rFonts w:ascii="Arial" w:hAnsi="Arial" w:cs="Arial"/>
          <w:sz w:val="24"/>
          <w:szCs w:val="24"/>
        </w:rPr>
        <w:t>[2</w:t>
      </w:r>
      <w:r w:rsidR="008528AD" w:rsidRPr="00A66E23">
        <w:rPr>
          <w:rFonts w:ascii="Arial" w:hAnsi="Arial" w:cs="Arial"/>
          <w:sz w:val="24"/>
          <w:szCs w:val="24"/>
        </w:rPr>
        <w:t>4</w:t>
      </w:r>
      <w:r w:rsidRPr="00A66E23">
        <w:rPr>
          <w:rFonts w:ascii="Arial" w:hAnsi="Arial" w:cs="Arial"/>
          <w:sz w:val="24"/>
          <w:szCs w:val="24"/>
        </w:rPr>
        <w:t>]</w:t>
      </w:r>
      <w:r w:rsidRPr="00A66E23">
        <w:rPr>
          <w:rFonts w:ascii="Arial" w:hAnsi="Arial" w:cs="Arial"/>
          <w:sz w:val="24"/>
          <w:szCs w:val="24"/>
        </w:rPr>
        <w:tab/>
        <w:t>The evidence adduced by the respondent was consistent with her pleadings. I</w:t>
      </w:r>
      <w:r w:rsidR="00FF0BCA" w:rsidRPr="00A66E23">
        <w:rPr>
          <w:rFonts w:ascii="Arial" w:hAnsi="Arial" w:cs="Arial"/>
          <w:sz w:val="24"/>
          <w:szCs w:val="24"/>
        </w:rPr>
        <w:t>t was not her case that the appellant</w:t>
      </w:r>
      <w:r w:rsidR="00775F07" w:rsidRPr="00A66E23">
        <w:rPr>
          <w:rFonts w:ascii="Arial" w:hAnsi="Arial" w:cs="Arial"/>
          <w:sz w:val="24"/>
          <w:szCs w:val="24"/>
        </w:rPr>
        <w:t xml:space="preserve"> transferred his assets to the trusts with the purpose of concealing them through fraud, dishonesty and improper purpose of avoiding his obligation to her for the accrual of his estate.</w:t>
      </w:r>
      <w:r w:rsidR="009E54B6" w:rsidRPr="00A66E23">
        <w:rPr>
          <w:rFonts w:ascii="Arial" w:hAnsi="Arial" w:cs="Arial"/>
          <w:sz w:val="24"/>
          <w:szCs w:val="24"/>
        </w:rPr>
        <w:t xml:space="preserve"> In fact, counsel for the respondent conceded that no such case was established.</w:t>
      </w:r>
    </w:p>
    <w:p w14:paraId="44BD5BCB" w14:textId="5EF3EA2B" w:rsidR="006E1927" w:rsidRPr="00A66E23" w:rsidRDefault="00775F07" w:rsidP="00867715">
      <w:pPr>
        <w:spacing w:after="0" w:line="360" w:lineRule="auto"/>
        <w:jc w:val="both"/>
        <w:rPr>
          <w:rFonts w:ascii="Arial" w:hAnsi="Arial" w:cs="Arial"/>
          <w:sz w:val="24"/>
          <w:szCs w:val="24"/>
        </w:rPr>
      </w:pPr>
      <w:r w:rsidRPr="00A66E23">
        <w:rPr>
          <w:rFonts w:ascii="Arial" w:hAnsi="Arial" w:cs="Arial"/>
          <w:sz w:val="24"/>
          <w:szCs w:val="24"/>
        </w:rPr>
        <w:t>[2</w:t>
      </w:r>
      <w:r w:rsidR="008528AD" w:rsidRPr="00A66E23">
        <w:rPr>
          <w:rFonts w:ascii="Arial" w:hAnsi="Arial" w:cs="Arial"/>
          <w:sz w:val="24"/>
          <w:szCs w:val="24"/>
        </w:rPr>
        <w:t>5</w:t>
      </w:r>
      <w:r w:rsidRPr="00A66E23">
        <w:rPr>
          <w:rFonts w:ascii="Arial" w:hAnsi="Arial" w:cs="Arial"/>
          <w:sz w:val="24"/>
          <w:szCs w:val="24"/>
        </w:rPr>
        <w:t>]</w:t>
      </w:r>
      <w:r w:rsidRPr="00A66E23">
        <w:rPr>
          <w:rFonts w:ascii="Arial" w:hAnsi="Arial" w:cs="Arial"/>
          <w:sz w:val="24"/>
          <w:szCs w:val="24"/>
        </w:rPr>
        <w:tab/>
        <w:t xml:space="preserve">It was </w:t>
      </w:r>
      <w:r w:rsidR="009E54B6" w:rsidRPr="00A66E23">
        <w:rPr>
          <w:rFonts w:ascii="Arial" w:hAnsi="Arial" w:cs="Arial"/>
          <w:sz w:val="24"/>
          <w:szCs w:val="24"/>
        </w:rPr>
        <w:t xml:space="preserve">thus </w:t>
      </w:r>
      <w:r w:rsidRPr="00A66E23">
        <w:rPr>
          <w:rFonts w:ascii="Arial" w:hAnsi="Arial" w:cs="Arial"/>
          <w:sz w:val="24"/>
          <w:szCs w:val="24"/>
        </w:rPr>
        <w:t>ne</w:t>
      </w:r>
      <w:r w:rsidR="006E1927" w:rsidRPr="00A66E23">
        <w:rPr>
          <w:rFonts w:ascii="Arial" w:hAnsi="Arial" w:cs="Arial"/>
          <w:sz w:val="24"/>
          <w:szCs w:val="24"/>
        </w:rPr>
        <w:t xml:space="preserve">ver put to </w:t>
      </w:r>
      <w:r w:rsidR="00BA7312" w:rsidRPr="00A66E23">
        <w:rPr>
          <w:rFonts w:ascii="Arial" w:hAnsi="Arial" w:cs="Arial"/>
          <w:sz w:val="24"/>
          <w:szCs w:val="24"/>
        </w:rPr>
        <w:t>Mr v</w:t>
      </w:r>
      <w:r w:rsidR="006E1927" w:rsidRPr="00A66E23">
        <w:rPr>
          <w:rFonts w:ascii="Arial" w:hAnsi="Arial" w:cs="Arial"/>
          <w:sz w:val="24"/>
          <w:szCs w:val="24"/>
        </w:rPr>
        <w:t xml:space="preserve">an Rooyen </w:t>
      </w:r>
      <w:r w:rsidR="00BA7312" w:rsidRPr="00A66E23">
        <w:rPr>
          <w:rFonts w:ascii="Arial" w:hAnsi="Arial" w:cs="Arial"/>
          <w:sz w:val="24"/>
          <w:szCs w:val="24"/>
        </w:rPr>
        <w:t>n</w:t>
      </w:r>
      <w:r w:rsidR="006E1927" w:rsidRPr="00A66E23">
        <w:rPr>
          <w:rFonts w:ascii="Arial" w:hAnsi="Arial" w:cs="Arial"/>
          <w:sz w:val="24"/>
          <w:szCs w:val="24"/>
        </w:rPr>
        <w:t>or the appellant</w:t>
      </w:r>
      <w:r w:rsidRPr="00A66E23">
        <w:rPr>
          <w:rFonts w:ascii="Arial" w:hAnsi="Arial" w:cs="Arial"/>
          <w:sz w:val="24"/>
          <w:szCs w:val="24"/>
        </w:rPr>
        <w:t xml:space="preserve"> that there was a f</w:t>
      </w:r>
      <w:r w:rsidR="0073715F" w:rsidRPr="00A66E23">
        <w:rPr>
          <w:rFonts w:ascii="Arial" w:hAnsi="Arial" w:cs="Arial"/>
          <w:sz w:val="24"/>
          <w:szCs w:val="24"/>
        </w:rPr>
        <w:t>or</w:t>
      </w:r>
      <w:r w:rsidRPr="00A66E23">
        <w:rPr>
          <w:rFonts w:ascii="Arial" w:hAnsi="Arial" w:cs="Arial"/>
          <w:sz w:val="24"/>
          <w:szCs w:val="24"/>
        </w:rPr>
        <w:t xml:space="preserve">m of fraud or dishonesty involved in the creation of the trusts. The highwater mark </w:t>
      </w:r>
      <w:r w:rsidR="00FF36EE" w:rsidRPr="00A66E23">
        <w:rPr>
          <w:rFonts w:ascii="Arial" w:hAnsi="Arial" w:cs="Arial"/>
          <w:sz w:val="24"/>
          <w:szCs w:val="24"/>
        </w:rPr>
        <w:t>of</w:t>
      </w:r>
      <w:r w:rsidR="006E1927" w:rsidRPr="00A66E23">
        <w:rPr>
          <w:rFonts w:ascii="Arial" w:hAnsi="Arial" w:cs="Arial"/>
          <w:sz w:val="24"/>
          <w:szCs w:val="24"/>
        </w:rPr>
        <w:t xml:space="preserve"> the cross-examination of </w:t>
      </w:r>
      <w:r w:rsidR="00BA7312" w:rsidRPr="00A66E23">
        <w:rPr>
          <w:rFonts w:ascii="Arial" w:hAnsi="Arial" w:cs="Arial"/>
          <w:sz w:val="24"/>
          <w:szCs w:val="24"/>
        </w:rPr>
        <w:t>Mr v</w:t>
      </w:r>
      <w:r w:rsidR="006E1927" w:rsidRPr="00A66E23">
        <w:rPr>
          <w:rFonts w:ascii="Arial" w:hAnsi="Arial" w:cs="Arial"/>
          <w:sz w:val="24"/>
          <w:szCs w:val="24"/>
        </w:rPr>
        <w:t>an Rooyen and the appellant was</w:t>
      </w:r>
      <w:r w:rsidR="00FF36EE" w:rsidRPr="00A66E23">
        <w:rPr>
          <w:rFonts w:ascii="Arial" w:hAnsi="Arial" w:cs="Arial"/>
          <w:sz w:val="24"/>
          <w:szCs w:val="24"/>
        </w:rPr>
        <w:t xml:space="preserve"> that the trusts and the </w:t>
      </w:r>
      <w:r w:rsidR="00FF0BCA" w:rsidRPr="00A66E23">
        <w:rPr>
          <w:rFonts w:ascii="Arial" w:hAnsi="Arial" w:cs="Arial"/>
          <w:sz w:val="24"/>
          <w:szCs w:val="24"/>
        </w:rPr>
        <w:t>close corporation were the appellant’s alter ego</w:t>
      </w:r>
      <w:r w:rsidR="00FF36EE" w:rsidRPr="00A66E23">
        <w:rPr>
          <w:rFonts w:ascii="Arial" w:hAnsi="Arial" w:cs="Arial"/>
          <w:sz w:val="24"/>
          <w:szCs w:val="24"/>
        </w:rPr>
        <w:t>.</w:t>
      </w:r>
      <w:r w:rsidR="006E1927" w:rsidRPr="00A66E23">
        <w:rPr>
          <w:rFonts w:ascii="Arial" w:hAnsi="Arial" w:cs="Arial"/>
          <w:sz w:val="24"/>
          <w:szCs w:val="24"/>
        </w:rPr>
        <w:t xml:space="preserve"> The following </w:t>
      </w:r>
      <w:r w:rsidR="00BA7312" w:rsidRPr="00A66E23">
        <w:rPr>
          <w:rFonts w:ascii="Arial" w:hAnsi="Arial" w:cs="Arial"/>
          <w:sz w:val="24"/>
          <w:szCs w:val="24"/>
        </w:rPr>
        <w:t xml:space="preserve">proposition </w:t>
      </w:r>
      <w:r w:rsidR="006E1927" w:rsidRPr="00A66E23">
        <w:rPr>
          <w:rFonts w:ascii="Arial" w:hAnsi="Arial" w:cs="Arial"/>
          <w:sz w:val="24"/>
          <w:szCs w:val="24"/>
        </w:rPr>
        <w:t xml:space="preserve">was put to </w:t>
      </w:r>
      <w:r w:rsidR="00BA7312" w:rsidRPr="00A66E23">
        <w:rPr>
          <w:rFonts w:ascii="Arial" w:hAnsi="Arial" w:cs="Arial"/>
          <w:sz w:val="24"/>
          <w:szCs w:val="24"/>
        </w:rPr>
        <w:t>Mr v</w:t>
      </w:r>
      <w:r w:rsidR="006E1927" w:rsidRPr="00A66E23">
        <w:rPr>
          <w:rFonts w:ascii="Arial" w:hAnsi="Arial" w:cs="Arial"/>
          <w:sz w:val="24"/>
          <w:szCs w:val="24"/>
        </w:rPr>
        <w:t>an Rooyen in cross-examination:</w:t>
      </w:r>
    </w:p>
    <w:p w14:paraId="70443622" w14:textId="309C58AA" w:rsidR="00A8570B" w:rsidRPr="00A66E23" w:rsidRDefault="00FF36EE" w:rsidP="00A8570B">
      <w:pPr>
        <w:spacing w:after="0" w:line="360" w:lineRule="auto"/>
        <w:jc w:val="both"/>
        <w:rPr>
          <w:rFonts w:ascii="Arial" w:hAnsi="Arial" w:cs="Arial"/>
          <w:sz w:val="24"/>
          <w:szCs w:val="24"/>
        </w:rPr>
      </w:pPr>
      <w:r w:rsidRPr="00A66E23">
        <w:rPr>
          <w:rFonts w:ascii="Arial" w:hAnsi="Arial" w:cs="Arial"/>
          <w:sz w:val="24"/>
          <w:szCs w:val="24"/>
        </w:rPr>
        <w:t xml:space="preserve"> ‘</w:t>
      </w:r>
      <w:r w:rsidRPr="00A66E23">
        <w:rPr>
          <w:rFonts w:ascii="Arial" w:hAnsi="Arial" w:cs="Arial"/>
        </w:rPr>
        <w:t>At the end of the day</w:t>
      </w:r>
      <w:r w:rsidR="00530849" w:rsidRPr="00A66E23">
        <w:rPr>
          <w:rFonts w:ascii="Arial" w:hAnsi="Arial" w:cs="Arial"/>
        </w:rPr>
        <w:t>,</w:t>
      </w:r>
      <w:r w:rsidRPr="00A66E23">
        <w:rPr>
          <w:rFonts w:ascii="Arial" w:hAnsi="Arial" w:cs="Arial"/>
        </w:rPr>
        <w:t xml:space="preserve"> I am putting it to you that the initial money where all these entities were created and p</w:t>
      </w:r>
      <w:r w:rsidR="00FF0BCA" w:rsidRPr="00A66E23">
        <w:rPr>
          <w:rFonts w:ascii="Arial" w:hAnsi="Arial" w:cs="Arial"/>
        </w:rPr>
        <w:t>ut into place comes from [Mr K]</w:t>
      </w:r>
      <w:r w:rsidRPr="00A66E23">
        <w:rPr>
          <w:rFonts w:ascii="Arial" w:hAnsi="Arial" w:cs="Arial"/>
        </w:rPr>
        <w:t xml:space="preserve"> and his wife earning a living as employees of Eskom initially and later in their own businesses. And these entit</w:t>
      </w:r>
      <w:r w:rsidR="00C82AFD" w:rsidRPr="00A66E23">
        <w:rPr>
          <w:rFonts w:ascii="Arial" w:hAnsi="Arial" w:cs="Arial"/>
        </w:rPr>
        <w:t>ies were only put in place for purposes of estate planning, as you have said and Receiver of Revenue.’</w:t>
      </w:r>
      <w:r w:rsidR="00775F07" w:rsidRPr="00A66E23">
        <w:rPr>
          <w:rFonts w:ascii="Arial" w:hAnsi="Arial" w:cs="Arial"/>
          <w:sz w:val="24"/>
          <w:szCs w:val="24"/>
        </w:rPr>
        <w:t xml:space="preserve"> </w:t>
      </w:r>
    </w:p>
    <w:p w14:paraId="7754EC43" w14:textId="4E6B546E" w:rsidR="00FF0BCA" w:rsidRPr="00A66E23" w:rsidRDefault="00FF0BCA" w:rsidP="00A8570B">
      <w:pPr>
        <w:spacing w:after="0" w:line="360" w:lineRule="auto"/>
        <w:jc w:val="both"/>
        <w:rPr>
          <w:rFonts w:ascii="Arial" w:hAnsi="Arial" w:cs="Arial"/>
          <w:sz w:val="24"/>
          <w:szCs w:val="24"/>
        </w:rPr>
      </w:pPr>
      <w:r w:rsidRPr="00A66E23">
        <w:rPr>
          <w:rFonts w:ascii="Arial" w:hAnsi="Arial" w:cs="Arial"/>
          <w:sz w:val="24"/>
          <w:szCs w:val="24"/>
        </w:rPr>
        <w:t xml:space="preserve">The following </w:t>
      </w:r>
      <w:r w:rsidR="00C20FE2" w:rsidRPr="00A66E23">
        <w:rPr>
          <w:rFonts w:ascii="Arial" w:hAnsi="Arial" w:cs="Arial"/>
          <w:sz w:val="24"/>
          <w:szCs w:val="24"/>
        </w:rPr>
        <w:t xml:space="preserve">statement </w:t>
      </w:r>
      <w:r w:rsidRPr="00A66E23">
        <w:rPr>
          <w:rFonts w:ascii="Arial" w:hAnsi="Arial" w:cs="Arial"/>
          <w:sz w:val="24"/>
          <w:szCs w:val="24"/>
        </w:rPr>
        <w:t>was put to the appellant in cross-examination</w:t>
      </w:r>
      <w:r w:rsidR="00C82AFD" w:rsidRPr="00A66E23">
        <w:rPr>
          <w:rFonts w:ascii="Arial" w:hAnsi="Arial" w:cs="Arial"/>
          <w:sz w:val="24"/>
          <w:szCs w:val="24"/>
        </w:rPr>
        <w:t>:</w:t>
      </w:r>
    </w:p>
    <w:p w14:paraId="455E9D04" w14:textId="722FBE6E" w:rsidR="00F271DE" w:rsidRPr="00A66E23" w:rsidRDefault="00FF0BCA" w:rsidP="00BF2ED6">
      <w:pPr>
        <w:spacing w:line="360" w:lineRule="auto"/>
        <w:jc w:val="both"/>
        <w:rPr>
          <w:rFonts w:ascii="Arial" w:hAnsi="Arial" w:cs="Arial"/>
        </w:rPr>
      </w:pPr>
      <w:r w:rsidRPr="00A66E23">
        <w:rPr>
          <w:rFonts w:ascii="Arial" w:hAnsi="Arial" w:cs="Arial"/>
        </w:rPr>
        <w:t>‘I want to put it to you [Mr K</w:t>
      </w:r>
      <w:r w:rsidR="00C82AFD" w:rsidRPr="00A66E23">
        <w:rPr>
          <w:rFonts w:ascii="Arial" w:hAnsi="Arial" w:cs="Arial"/>
        </w:rPr>
        <w:t xml:space="preserve"> that</w:t>
      </w:r>
      <w:r w:rsidRPr="00A66E23">
        <w:rPr>
          <w:rFonts w:ascii="Arial" w:hAnsi="Arial" w:cs="Arial"/>
        </w:rPr>
        <w:t>]</w:t>
      </w:r>
      <w:r w:rsidR="00C82AFD" w:rsidRPr="00A66E23">
        <w:rPr>
          <w:rFonts w:ascii="Arial" w:hAnsi="Arial" w:cs="Arial"/>
        </w:rPr>
        <w:t xml:space="preserve"> all these entities and the close corporation, it is you</w:t>
      </w:r>
      <w:r w:rsidR="0037569A" w:rsidRPr="00A66E23">
        <w:rPr>
          <w:rFonts w:ascii="Arial" w:hAnsi="Arial" w:cs="Arial"/>
        </w:rPr>
        <w:t>. . .</w:t>
      </w:r>
      <w:r w:rsidR="00C82AFD" w:rsidRPr="00A66E23">
        <w:rPr>
          <w:rFonts w:ascii="Arial" w:hAnsi="Arial" w:cs="Arial"/>
        </w:rPr>
        <w:t>..That it was your</w:t>
      </w:r>
      <w:r w:rsidR="00590AFA" w:rsidRPr="00A66E23">
        <w:rPr>
          <w:rFonts w:ascii="Arial" w:hAnsi="Arial" w:cs="Arial"/>
        </w:rPr>
        <w:t>,</w:t>
      </w:r>
      <w:r w:rsidR="00C82AFD" w:rsidRPr="00A66E23">
        <w:rPr>
          <w:rFonts w:ascii="Arial" w:hAnsi="Arial" w:cs="Arial"/>
        </w:rPr>
        <w:t xml:space="preserve"> alter ego</w:t>
      </w:r>
      <w:r w:rsidR="007B15F6" w:rsidRPr="00A66E23">
        <w:rPr>
          <w:rFonts w:ascii="Arial" w:hAnsi="Arial" w:cs="Arial"/>
        </w:rPr>
        <w:t>,</w:t>
      </w:r>
      <w:r w:rsidR="00C82AFD" w:rsidRPr="00A66E23">
        <w:rPr>
          <w:rFonts w:ascii="Arial" w:hAnsi="Arial" w:cs="Arial"/>
        </w:rPr>
        <w:t xml:space="preserve"> in other words.’</w:t>
      </w:r>
    </w:p>
    <w:p w14:paraId="4ED124D3" w14:textId="6E5C3C0A" w:rsidR="005D6462" w:rsidRPr="00A66E23" w:rsidRDefault="005D6462" w:rsidP="005D6462">
      <w:pPr>
        <w:spacing w:line="360" w:lineRule="auto"/>
        <w:jc w:val="both"/>
        <w:rPr>
          <w:rFonts w:ascii="Arial" w:hAnsi="Arial" w:cs="Arial"/>
          <w:sz w:val="24"/>
          <w:szCs w:val="24"/>
        </w:rPr>
      </w:pPr>
      <w:r w:rsidRPr="00A66E23">
        <w:rPr>
          <w:rFonts w:ascii="Arial" w:hAnsi="Arial" w:cs="Arial"/>
          <w:sz w:val="24"/>
          <w:szCs w:val="24"/>
        </w:rPr>
        <w:t>[2</w:t>
      </w:r>
      <w:r w:rsidR="008528AD" w:rsidRPr="00A66E23">
        <w:rPr>
          <w:rFonts w:ascii="Arial" w:hAnsi="Arial" w:cs="Arial"/>
          <w:sz w:val="24"/>
          <w:szCs w:val="24"/>
        </w:rPr>
        <w:t>6</w:t>
      </w:r>
      <w:r w:rsidRPr="00A66E23">
        <w:rPr>
          <w:rFonts w:ascii="Arial" w:hAnsi="Arial" w:cs="Arial"/>
          <w:sz w:val="24"/>
          <w:szCs w:val="24"/>
        </w:rPr>
        <w:t>]</w:t>
      </w:r>
      <w:r w:rsidRPr="00A66E23">
        <w:rPr>
          <w:rFonts w:ascii="Arial" w:hAnsi="Arial" w:cs="Arial"/>
          <w:sz w:val="24"/>
          <w:szCs w:val="24"/>
        </w:rPr>
        <w:tab/>
      </w:r>
      <w:r w:rsidR="00590AFA" w:rsidRPr="00A66E23">
        <w:rPr>
          <w:rFonts w:ascii="Arial" w:hAnsi="Arial" w:cs="Arial"/>
          <w:sz w:val="24"/>
          <w:szCs w:val="24"/>
        </w:rPr>
        <w:t>This</w:t>
      </w:r>
      <w:r w:rsidRPr="00A66E23">
        <w:rPr>
          <w:rFonts w:ascii="Arial" w:hAnsi="Arial" w:cs="Arial"/>
          <w:sz w:val="24"/>
          <w:szCs w:val="24"/>
        </w:rPr>
        <w:t xml:space="preserve"> evidence</w:t>
      </w:r>
      <w:r w:rsidR="00590AFA" w:rsidRPr="00A66E23">
        <w:rPr>
          <w:rFonts w:ascii="Arial" w:hAnsi="Arial" w:cs="Arial"/>
          <w:sz w:val="24"/>
          <w:szCs w:val="24"/>
        </w:rPr>
        <w:t xml:space="preserve"> made it</w:t>
      </w:r>
      <w:r w:rsidRPr="00A66E23">
        <w:rPr>
          <w:rFonts w:ascii="Arial" w:hAnsi="Arial" w:cs="Arial"/>
          <w:sz w:val="24"/>
          <w:szCs w:val="24"/>
        </w:rPr>
        <w:t xml:space="preserve"> clear that there was nothing untoward in</w:t>
      </w:r>
      <w:r w:rsidR="00530849" w:rsidRPr="00A66E23">
        <w:rPr>
          <w:rFonts w:ascii="Arial" w:hAnsi="Arial" w:cs="Arial"/>
          <w:sz w:val="24"/>
          <w:szCs w:val="24"/>
        </w:rPr>
        <w:t xml:space="preserve"> establishing</w:t>
      </w:r>
      <w:r w:rsidRPr="00A66E23">
        <w:rPr>
          <w:rFonts w:ascii="Arial" w:hAnsi="Arial" w:cs="Arial"/>
          <w:sz w:val="24"/>
          <w:szCs w:val="24"/>
        </w:rPr>
        <w:t xml:space="preserve"> the trusts so that assets could be held separately from </w:t>
      </w:r>
      <w:r w:rsidR="00FF0BCA" w:rsidRPr="00A66E23">
        <w:rPr>
          <w:rFonts w:ascii="Arial" w:hAnsi="Arial" w:cs="Arial"/>
          <w:sz w:val="24"/>
          <w:szCs w:val="24"/>
        </w:rPr>
        <w:t>the appellant’s</w:t>
      </w:r>
      <w:r w:rsidRPr="00A66E23">
        <w:rPr>
          <w:rFonts w:ascii="Arial" w:hAnsi="Arial" w:cs="Arial"/>
          <w:sz w:val="24"/>
          <w:szCs w:val="24"/>
        </w:rPr>
        <w:t xml:space="preserve"> personal estate. The appellant explained that the principal objective for protecting assets </w:t>
      </w:r>
      <w:r w:rsidR="00FF0BCA" w:rsidRPr="00A66E23">
        <w:rPr>
          <w:rFonts w:ascii="Arial" w:hAnsi="Arial" w:cs="Arial"/>
          <w:sz w:val="24"/>
          <w:szCs w:val="24"/>
        </w:rPr>
        <w:t xml:space="preserve">through the creation of the trusts </w:t>
      </w:r>
      <w:r w:rsidRPr="00A66E23">
        <w:rPr>
          <w:rFonts w:ascii="Arial" w:hAnsi="Arial" w:cs="Arial"/>
          <w:sz w:val="24"/>
          <w:szCs w:val="24"/>
        </w:rPr>
        <w:t xml:space="preserve">was to ensure that the respondent and the appellant’s children, the capital beneficiaries, would be cared for. </w:t>
      </w:r>
    </w:p>
    <w:p w14:paraId="3A6D691C" w14:textId="449C2A77" w:rsidR="005D6462" w:rsidRPr="00A66E23" w:rsidRDefault="005D6462" w:rsidP="005D6462">
      <w:pPr>
        <w:spacing w:line="360" w:lineRule="auto"/>
        <w:jc w:val="both"/>
        <w:rPr>
          <w:rFonts w:ascii="Arial" w:hAnsi="Arial" w:cs="Arial"/>
          <w:sz w:val="24"/>
          <w:szCs w:val="24"/>
        </w:rPr>
      </w:pPr>
      <w:r w:rsidRPr="00A66E23">
        <w:rPr>
          <w:rFonts w:ascii="Arial" w:hAnsi="Arial" w:cs="Arial"/>
          <w:sz w:val="24"/>
          <w:szCs w:val="24"/>
        </w:rPr>
        <w:lastRenderedPageBreak/>
        <w:t>[2</w:t>
      </w:r>
      <w:r w:rsidR="008528AD" w:rsidRPr="00A66E23">
        <w:rPr>
          <w:rFonts w:ascii="Arial" w:hAnsi="Arial" w:cs="Arial"/>
          <w:sz w:val="24"/>
          <w:szCs w:val="24"/>
        </w:rPr>
        <w:t>7</w:t>
      </w:r>
      <w:r w:rsidRPr="00A66E23">
        <w:rPr>
          <w:rFonts w:ascii="Arial" w:hAnsi="Arial" w:cs="Arial"/>
          <w:sz w:val="24"/>
          <w:szCs w:val="24"/>
        </w:rPr>
        <w:t>]</w:t>
      </w:r>
      <w:r w:rsidR="00A24E44" w:rsidRPr="00A66E23">
        <w:rPr>
          <w:rFonts w:ascii="Arial" w:hAnsi="Arial" w:cs="Arial"/>
          <w:sz w:val="24"/>
          <w:szCs w:val="24"/>
        </w:rPr>
        <w:tab/>
      </w:r>
      <w:r w:rsidR="00E3234B" w:rsidRPr="00A66E23">
        <w:rPr>
          <w:rFonts w:ascii="Arial" w:hAnsi="Arial" w:cs="Arial"/>
          <w:sz w:val="24"/>
          <w:szCs w:val="24"/>
        </w:rPr>
        <w:t>As borne out by the evidence, t</w:t>
      </w:r>
      <w:r w:rsidRPr="00A66E23">
        <w:rPr>
          <w:rFonts w:ascii="Arial" w:hAnsi="Arial" w:cs="Arial"/>
          <w:sz w:val="24"/>
          <w:szCs w:val="24"/>
        </w:rPr>
        <w:t>he setting up of trusts was without any ulterior motive on the part of the appellant</w:t>
      </w:r>
      <w:r w:rsidR="0006621F" w:rsidRPr="00A66E23">
        <w:rPr>
          <w:rFonts w:ascii="Arial" w:hAnsi="Arial" w:cs="Arial"/>
          <w:sz w:val="24"/>
          <w:szCs w:val="24"/>
        </w:rPr>
        <w:t>. According to him, he</w:t>
      </w:r>
      <w:r w:rsidRPr="00A66E23">
        <w:rPr>
          <w:rFonts w:ascii="Arial" w:hAnsi="Arial" w:cs="Arial"/>
          <w:sz w:val="24"/>
          <w:szCs w:val="24"/>
        </w:rPr>
        <w:t xml:space="preserve"> did not expect that the respondent would file for divorce. By all accounts, the respondent benefitted from the assets of Koens Familie Trust</w:t>
      </w:r>
      <w:r w:rsidR="00590AFA" w:rsidRPr="00A66E23">
        <w:rPr>
          <w:rFonts w:ascii="Arial" w:hAnsi="Arial" w:cs="Arial"/>
          <w:sz w:val="24"/>
          <w:szCs w:val="24"/>
        </w:rPr>
        <w:t>,</w:t>
      </w:r>
      <w:r w:rsidRPr="00A66E23">
        <w:rPr>
          <w:rFonts w:ascii="Arial" w:hAnsi="Arial" w:cs="Arial"/>
          <w:sz w:val="24"/>
          <w:szCs w:val="24"/>
        </w:rPr>
        <w:t xml:space="preserve"> which it had accumulated when </w:t>
      </w:r>
      <w:r w:rsidR="00530849" w:rsidRPr="00A66E23">
        <w:rPr>
          <w:rFonts w:ascii="Arial" w:hAnsi="Arial" w:cs="Arial"/>
          <w:sz w:val="24"/>
          <w:szCs w:val="24"/>
        </w:rPr>
        <w:t>the appellant</w:t>
      </w:r>
      <w:r w:rsidRPr="00A66E23">
        <w:rPr>
          <w:rFonts w:ascii="Arial" w:hAnsi="Arial" w:cs="Arial"/>
          <w:sz w:val="24"/>
          <w:szCs w:val="24"/>
        </w:rPr>
        <w:t xml:space="preserve"> managed </w:t>
      </w:r>
      <w:r w:rsidR="00530849" w:rsidRPr="00A66E23">
        <w:rPr>
          <w:rFonts w:ascii="Arial" w:hAnsi="Arial" w:cs="Arial"/>
          <w:sz w:val="24"/>
          <w:szCs w:val="24"/>
        </w:rPr>
        <w:t>it.</w:t>
      </w:r>
      <w:r w:rsidRPr="00FA69BA">
        <w:rPr>
          <w:rFonts w:ascii="Arial" w:hAnsi="Arial" w:cs="Arial"/>
          <w:sz w:val="24"/>
          <w:szCs w:val="24"/>
        </w:rPr>
        <w:t xml:space="preserve"> </w:t>
      </w:r>
      <w:r w:rsidRPr="00A66E23">
        <w:rPr>
          <w:rFonts w:ascii="Arial" w:hAnsi="Arial" w:cs="Arial"/>
          <w:sz w:val="24"/>
          <w:szCs w:val="24"/>
        </w:rPr>
        <w:t xml:space="preserve">That enabled both of them to live a comfortable life. The respondent had </w:t>
      </w:r>
      <w:r w:rsidR="00884B4C" w:rsidRPr="00A66E23">
        <w:rPr>
          <w:rFonts w:ascii="Arial" w:hAnsi="Arial" w:cs="Arial"/>
          <w:sz w:val="24"/>
          <w:szCs w:val="24"/>
        </w:rPr>
        <w:t>‘‘</w:t>
      </w:r>
      <w:r w:rsidRPr="00A66E23">
        <w:rPr>
          <w:rFonts w:ascii="Arial" w:hAnsi="Arial" w:cs="Arial"/>
          <w:sz w:val="24"/>
          <w:szCs w:val="24"/>
        </w:rPr>
        <w:t xml:space="preserve">n tjekboek gehad van Koen Familie Trust en [sy] </w:t>
      </w:r>
      <w:r w:rsidR="007412EE" w:rsidRPr="00A66E23">
        <w:rPr>
          <w:rFonts w:ascii="Arial" w:hAnsi="Arial" w:cs="Arial"/>
          <w:sz w:val="24"/>
          <w:szCs w:val="24"/>
        </w:rPr>
        <w:t xml:space="preserve">het </w:t>
      </w:r>
      <w:r w:rsidRPr="00A66E23">
        <w:rPr>
          <w:rFonts w:ascii="Arial" w:hAnsi="Arial" w:cs="Arial"/>
          <w:sz w:val="24"/>
          <w:szCs w:val="24"/>
        </w:rPr>
        <w:t>tekenreg daarop gehad.’</w:t>
      </w:r>
      <w:r w:rsidR="00884B4C" w:rsidRPr="00A66E23">
        <w:rPr>
          <w:rStyle w:val="FootnoteReference"/>
          <w:rFonts w:ascii="Arial" w:hAnsi="Arial" w:cs="Arial"/>
          <w:iCs/>
          <w:sz w:val="24"/>
          <w:szCs w:val="24"/>
        </w:rPr>
        <w:footnoteReference w:id="6"/>
      </w:r>
      <w:r w:rsidRPr="00A66E23">
        <w:rPr>
          <w:rFonts w:ascii="Arial" w:hAnsi="Arial" w:cs="Arial"/>
          <w:iCs/>
          <w:sz w:val="24"/>
          <w:szCs w:val="24"/>
        </w:rPr>
        <w:t xml:space="preserve"> </w:t>
      </w:r>
      <w:r w:rsidRPr="00A66E23">
        <w:rPr>
          <w:rFonts w:ascii="Arial" w:hAnsi="Arial" w:cs="Arial"/>
          <w:sz w:val="24"/>
          <w:szCs w:val="24"/>
        </w:rPr>
        <w:t>It was her evidence that the appellant deposited R20</w:t>
      </w:r>
      <w:r w:rsidR="00C51CB2" w:rsidRPr="00A66E23">
        <w:rPr>
          <w:rFonts w:ascii="Arial" w:hAnsi="Arial" w:cs="Arial"/>
          <w:sz w:val="24"/>
          <w:szCs w:val="24"/>
        </w:rPr>
        <w:t xml:space="preserve"> </w:t>
      </w:r>
      <w:r w:rsidRPr="00A66E23">
        <w:rPr>
          <w:rFonts w:ascii="Arial" w:hAnsi="Arial" w:cs="Arial"/>
          <w:sz w:val="24"/>
          <w:szCs w:val="24"/>
        </w:rPr>
        <w:t>000 every month into its bank account</w:t>
      </w:r>
      <w:r w:rsidR="00590AFA" w:rsidRPr="00A66E23">
        <w:rPr>
          <w:rFonts w:ascii="Arial" w:hAnsi="Arial" w:cs="Arial"/>
          <w:sz w:val="24"/>
          <w:szCs w:val="24"/>
        </w:rPr>
        <w:t>,</w:t>
      </w:r>
      <w:r w:rsidRPr="00A66E23">
        <w:rPr>
          <w:rFonts w:ascii="Arial" w:hAnsi="Arial" w:cs="Arial"/>
          <w:sz w:val="24"/>
          <w:szCs w:val="24"/>
        </w:rPr>
        <w:t xml:space="preserve"> which she then used for household </w:t>
      </w:r>
      <w:r w:rsidR="00571226" w:rsidRPr="00A66E23">
        <w:rPr>
          <w:rFonts w:ascii="Arial" w:hAnsi="Arial" w:cs="Arial"/>
          <w:sz w:val="24"/>
          <w:szCs w:val="24"/>
        </w:rPr>
        <w:t>necessaries</w:t>
      </w:r>
      <w:r w:rsidRPr="00A66E23">
        <w:rPr>
          <w:rFonts w:ascii="Arial" w:hAnsi="Arial" w:cs="Arial"/>
          <w:sz w:val="24"/>
          <w:szCs w:val="24"/>
        </w:rPr>
        <w:t>. She</w:t>
      </w:r>
      <w:r w:rsidR="0006621F" w:rsidRPr="00A66E23">
        <w:rPr>
          <w:rFonts w:ascii="Arial" w:hAnsi="Arial" w:cs="Arial"/>
          <w:sz w:val="24"/>
          <w:szCs w:val="24"/>
        </w:rPr>
        <w:t xml:space="preserve"> further</w:t>
      </w:r>
      <w:r w:rsidRPr="00A66E23">
        <w:rPr>
          <w:rFonts w:ascii="Arial" w:hAnsi="Arial" w:cs="Arial"/>
          <w:sz w:val="24"/>
          <w:szCs w:val="24"/>
        </w:rPr>
        <w:t xml:space="preserve"> testified that her decision to seek </w:t>
      </w:r>
      <w:r w:rsidR="00C20FE2" w:rsidRPr="00A66E23">
        <w:rPr>
          <w:rFonts w:ascii="Arial" w:hAnsi="Arial" w:cs="Arial"/>
          <w:sz w:val="24"/>
          <w:szCs w:val="24"/>
        </w:rPr>
        <w:t xml:space="preserve">a </w:t>
      </w:r>
      <w:r w:rsidRPr="00A66E23">
        <w:rPr>
          <w:rFonts w:ascii="Arial" w:hAnsi="Arial" w:cs="Arial"/>
          <w:sz w:val="24"/>
          <w:szCs w:val="24"/>
        </w:rPr>
        <w:t xml:space="preserve">divorce from the appellant caught </w:t>
      </w:r>
      <w:r w:rsidR="00C20FE2" w:rsidRPr="00A66E23">
        <w:rPr>
          <w:rFonts w:ascii="Arial" w:hAnsi="Arial" w:cs="Arial"/>
          <w:sz w:val="24"/>
          <w:szCs w:val="24"/>
        </w:rPr>
        <w:t>him</w:t>
      </w:r>
      <w:r w:rsidRPr="00A66E23">
        <w:rPr>
          <w:rFonts w:ascii="Arial" w:hAnsi="Arial" w:cs="Arial"/>
          <w:sz w:val="24"/>
          <w:szCs w:val="24"/>
        </w:rPr>
        <w:t xml:space="preserve"> by complete surprise. The contemplation of a future divorce could</w:t>
      </w:r>
      <w:r w:rsidR="00590AFA" w:rsidRPr="00A66E23">
        <w:rPr>
          <w:rFonts w:ascii="Arial" w:hAnsi="Arial" w:cs="Arial"/>
          <w:sz w:val="24"/>
          <w:szCs w:val="24"/>
        </w:rPr>
        <w:t>,</w:t>
      </w:r>
      <w:r w:rsidR="00614B93" w:rsidRPr="00A66E23">
        <w:rPr>
          <w:rFonts w:ascii="Arial" w:hAnsi="Arial" w:cs="Arial"/>
          <w:sz w:val="24"/>
          <w:szCs w:val="24"/>
        </w:rPr>
        <w:t xml:space="preserve"> therefore</w:t>
      </w:r>
      <w:r w:rsidRPr="00A66E23">
        <w:rPr>
          <w:rFonts w:ascii="Arial" w:hAnsi="Arial" w:cs="Arial"/>
          <w:sz w:val="24"/>
          <w:szCs w:val="24"/>
        </w:rPr>
        <w:t xml:space="preserve"> not have been a reason </w:t>
      </w:r>
      <w:r w:rsidR="00614B93" w:rsidRPr="00A66E23">
        <w:rPr>
          <w:rFonts w:ascii="Arial" w:hAnsi="Arial" w:cs="Arial"/>
          <w:sz w:val="24"/>
          <w:szCs w:val="24"/>
        </w:rPr>
        <w:t>for the appellant to create the</w:t>
      </w:r>
      <w:r w:rsidRPr="00A66E23">
        <w:rPr>
          <w:rFonts w:ascii="Arial" w:hAnsi="Arial" w:cs="Arial"/>
          <w:sz w:val="24"/>
          <w:szCs w:val="24"/>
        </w:rPr>
        <w:t xml:space="preserve"> trust</w:t>
      </w:r>
      <w:r w:rsidR="00614B93" w:rsidRPr="00A66E23">
        <w:rPr>
          <w:rFonts w:ascii="Arial" w:hAnsi="Arial" w:cs="Arial"/>
          <w:sz w:val="24"/>
          <w:szCs w:val="24"/>
        </w:rPr>
        <w:t>s</w:t>
      </w:r>
      <w:r w:rsidR="007412EE" w:rsidRPr="00A66E23">
        <w:rPr>
          <w:rFonts w:ascii="Arial" w:hAnsi="Arial" w:cs="Arial"/>
          <w:sz w:val="24"/>
          <w:szCs w:val="24"/>
        </w:rPr>
        <w:t>.</w:t>
      </w:r>
      <w:r w:rsidR="00274802" w:rsidRPr="00A66E23">
        <w:rPr>
          <w:rFonts w:ascii="Arial" w:hAnsi="Arial" w:cs="Arial"/>
          <w:sz w:val="24"/>
          <w:szCs w:val="24"/>
        </w:rPr>
        <w:t xml:space="preserve"> Moreover, the respondent acted as a trustee of the Bulhoek Trust since its formation and was part of the decision by the trustees of that Trust to purchase the Hartenbos property. </w:t>
      </w:r>
      <w:r w:rsidRPr="00A66E23">
        <w:rPr>
          <w:rFonts w:ascii="Arial" w:hAnsi="Arial" w:cs="Arial"/>
          <w:sz w:val="24"/>
          <w:szCs w:val="24"/>
        </w:rPr>
        <w:t xml:space="preserve"> </w:t>
      </w:r>
    </w:p>
    <w:p w14:paraId="12662673" w14:textId="3A4F1F48" w:rsidR="005D6462" w:rsidRPr="005D6462" w:rsidRDefault="005D6462" w:rsidP="0047774C">
      <w:pPr>
        <w:spacing w:after="0" w:line="360" w:lineRule="auto"/>
        <w:jc w:val="both"/>
        <w:rPr>
          <w:rFonts w:ascii="Arial" w:hAnsi="Arial" w:cs="Arial"/>
          <w:sz w:val="24"/>
          <w:szCs w:val="24"/>
        </w:rPr>
      </w:pPr>
      <w:r w:rsidRPr="00A66E23">
        <w:rPr>
          <w:rFonts w:ascii="Arial" w:hAnsi="Arial" w:cs="Arial"/>
          <w:sz w:val="24"/>
          <w:szCs w:val="24"/>
        </w:rPr>
        <w:t>[</w:t>
      </w:r>
      <w:r w:rsidR="00867715" w:rsidRPr="00A66E23">
        <w:rPr>
          <w:rFonts w:ascii="Arial" w:hAnsi="Arial" w:cs="Arial"/>
          <w:sz w:val="24"/>
          <w:szCs w:val="24"/>
        </w:rPr>
        <w:t>2</w:t>
      </w:r>
      <w:r w:rsidR="008528AD" w:rsidRPr="00A66E23">
        <w:rPr>
          <w:rFonts w:ascii="Arial" w:hAnsi="Arial" w:cs="Arial"/>
          <w:sz w:val="24"/>
          <w:szCs w:val="24"/>
        </w:rPr>
        <w:t>8</w:t>
      </w:r>
      <w:r w:rsidRPr="00A66E23">
        <w:rPr>
          <w:rFonts w:ascii="Arial" w:hAnsi="Arial" w:cs="Arial"/>
          <w:sz w:val="24"/>
          <w:szCs w:val="24"/>
        </w:rPr>
        <w:t>]</w:t>
      </w:r>
      <w:r w:rsidRPr="00A66E23">
        <w:rPr>
          <w:rFonts w:ascii="Arial" w:hAnsi="Arial" w:cs="Arial"/>
          <w:sz w:val="24"/>
          <w:szCs w:val="24"/>
        </w:rPr>
        <w:tab/>
        <w:t>In the affidavit in support of her application to join the trusts and the CC, the respondent averred that she joined these entities because she had also contributed to the gro</w:t>
      </w:r>
      <w:r w:rsidR="0006621F" w:rsidRPr="00A66E23">
        <w:rPr>
          <w:rFonts w:ascii="Arial" w:hAnsi="Arial" w:cs="Arial"/>
          <w:sz w:val="24"/>
          <w:szCs w:val="24"/>
        </w:rPr>
        <w:t>wth of their assets. She alleged</w:t>
      </w:r>
      <w:r w:rsidRPr="00A66E23">
        <w:rPr>
          <w:rFonts w:ascii="Arial" w:hAnsi="Arial" w:cs="Arial"/>
          <w:sz w:val="24"/>
          <w:szCs w:val="24"/>
        </w:rPr>
        <w:t xml:space="preserve"> that as part of her contribution, she </w:t>
      </w:r>
      <w:r w:rsidR="00C20FE2" w:rsidRPr="00A66E23">
        <w:rPr>
          <w:rFonts w:ascii="Arial" w:hAnsi="Arial" w:cs="Arial"/>
          <w:sz w:val="24"/>
          <w:szCs w:val="24"/>
        </w:rPr>
        <w:t xml:space="preserve">had </w:t>
      </w:r>
      <w:r w:rsidRPr="00A66E23">
        <w:rPr>
          <w:rFonts w:ascii="Arial" w:hAnsi="Arial" w:cs="Arial"/>
          <w:sz w:val="24"/>
          <w:szCs w:val="24"/>
        </w:rPr>
        <w:t>managed Civils and ran the administration of the trusts and the CC. At the trial</w:t>
      </w:r>
      <w:r w:rsidR="007412EE" w:rsidRPr="00A66E23">
        <w:rPr>
          <w:rFonts w:ascii="Arial" w:hAnsi="Arial" w:cs="Arial"/>
          <w:sz w:val="24"/>
          <w:szCs w:val="24"/>
        </w:rPr>
        <w:t>,</w:t>
      </w:r>
      <w:r w:rsidRPr="00A66E23">
        <w:rPr>
          <w:rFonts w:ascii="Arial" w:hAnsi="Arial" w:cs="Arial"/>
          <w:sz w:val="24"/>
          <w:szCs w:val="24"/>
        </w:rPr>
        <w:t xml:space="preserve"> she gave the following testimony regarding her decision to join the trusts and the CC</w:t>
      </w:r>
      <w:r w:rsidR="0006621F" w:rsidRPr="00A66E23">
        <w:rPr>
          <w:rFonts w:ascii="Arial" w:hAnsi="Arial" w:cs="Arial"/>
          <w:sz w:val="24"/>
          <w:szCs w:val="24"/>
        </w:rPr>
        <w:t xml:space="preserve"> as parties to the proceedings</w:t>
      </w:r>
      <w:r w:rsidRPr="00A66E23">
        <w:rPr>
          <w:rFonts w:ascii="Arial" w:hAnsi="Arial" w:cs="Arial"/>
          <w:sz w:val="24"/>
          <w:szCs w:val="24"/>
        </w:rPr>
        <w:t>:</w:t>
      </w:r>
      <w:r w:rsidRPr="005D6462">
        <w:rPr>
          <w:rFonts w:ascii="Arial" w:hAnsi="Arial" w:cs="Arial"/>
          <w:sz w:val="24"/>
          <w:szCs w:val="24"/>
        </w:rPr>
        <w:t xml:space="preserve"> </w:t>
      </w:r>
    </w:p>
    <w:p w14:paraId="73DDC3FE" w14:textId="50337569" w:rsidR="005D6462" w:rsidRPr="00FA69BA" w:rsidRDefault="005D6462" w:rsidP="005D6462">
      <w:pPr>
        <w:spacing w:line="360" w:lineRule="auto"/>
        <w:jc w:val="both"/>
        <w:rPr>
          <w:rFonts w:ascii="Arial" w:hAnsi="Arial" w:cs="Arial"/>
        </w:rPr>
      </w:pPr>
      <w:r w:rsidRPr="00FA69BA">
        <w:rPr>
          <w:rFonts w:ascii="Arial" w:hAnsi="Arial" w:cs="Arial"/>
        </w:rPr>
        <w:t>‘</w:t>
      </w:r>
      <w:r w:rsidR="007412EE">
        <w:rPr>
          <w:rFonts w:ascii="Arial" w:hAnsi="Arial" w:cs="Arial"/>
        </w:rPr>
        <w:t xml:space="preserve">. . . </w:t>
      </w:r>
      <w:r w:rsidRPr="00FA69BA">
        <w:rPr>
          <w:rFonts w:ascii="Arial" w:hAnsi="Arial" w:cs="Arial"/>
        </w:rPr>
        <w:t xml:space="preserve">ek voel dat ek in </w:t>
      </w:r>
      <w:r w:rsidR="00F74C29">
        <w:rPr>
          <w:rFonts w:ascii="Arial" w:hAnsi="Arial" w:cs="Arial"/>
        </w:rPr>
        <w:t>die tydperk wat ek met mnr. [K]</w:t>
      </w:r>
      <w:r w:rsidRPr="00FA69BA">
        <w:rPr>
          <w:rFonts w:ascii="Arial" w:hAnsi="Arial" w:cs="Arial"/>
        </w:rPr>
        <w:t xml:space="preserve"> getroud was dat ek meer as my deel in die huwelik gebring het</w:t>
      </w:r>
      <w:r w:rsidR="007412EE">
        <w:rPr>
          <w:rFonts w:ascii="Arial" w:hAnsi="Arial" w:cs="Arial"/>
        </w:rPr>
        <w:t xml:space="preserve"> . . . </w:t>
      </w:r>
      <w:r w:rsidRPr="00FA69BA">
        <w:rPr>
          <w:rFonts w:ascii="Arial" w:hAnsi="Arial" w:cs="Arial"/>
        </w:rPr>
        <w:t>en ek voel dat ek in daardie tyd ja, geregtig is op ‘n deel van hierdie entiteite. Ek het self ook op die plaas wat betrokke is by die entiteit het ek gewerk.’</w:t>
      </w:r>
      <w:r w:rsidR="001C79FD">
        <w:rPr>
          <w:rStyle w:val="FootnoteReference"/>
          <w:rFonts w:ascii="Arial" w:hAnsi="Arial" w:cs="Arial"/>
        </w:rPr>
        <w:footnoteReference w:id="7"/>
      </w:r>
    </w:p>
    <w:p w14:paraId="32D77DCA" w14:textId="217BE240" w:rsidR="00AE4D76" w:rsidRDefault="005D6462" w:rsidP="00BF2ED6">
      <w:pPr>
        <w:spacing w:line="360" w:lineRule="auto"/>
        <w:jc w:val="both"/>
        <w:rPr>
          <w:rFonts w:ascii="Arial" w:hAnsi="Arial" w:cs="Arial"/>
          <w:sz w:val="24"/>
          <w:szCs w:val="24"/>
        </w:rPr>
      </w:pPr>
      <w:r>
        <w:rPr>
          <w:rFonts w:ascii="Arial" w:hAnsi="Arial" w:cs="Arial"/>
          <w:sz w:val="24"/>
          <w:szCs w:val="24"/>
        </w:rPr>
        <w:t>[</w:t>
      </w:r>
      <w:r w:rsidR="00772116" w:rsidRPr="00A66E23">
        <w:rPr>
          <w:rFonts w:ascii="Arial" w:hAnsi="Arial" w:cs="Arial"/>
          <w:sz w:val="24"/>
          <w:szCs w:val="24"/>
        </w:rPr>
        <w:t>2</w:t>
      </w:r>
      <w:r w:rsidR="008528AD" w:rsidRPr="00A66E23">
        <w:rPr>
          <w:rFonts w:ascii="Arial" w:hAnsi="Arial" w:cs="Arial"/>
          <w:sz w:val="24"/>
          <w:szCs w:val="24"/>
        </w:rPr>
        <w:t>9</w:t>
      </w:r>
      <w:r w:rsidRPr="00A66E23">
        <w:rPr>
          <w:rFonts w:ascii="Arial" w:hAnsi="Arial" w:cs="Arial"/>
          <w:sz w:val="24"/>
          <w:szCs w:val="24"/>
        </w:rPr>
        <w:t>]</w:t>
      </w:r>
      <w:r w:rsidRPr="00A66E23">
        <w:rPr>
          <w:rFonts w:ascii="Arial" w:hAnsi="Arial" w:cs="Arial"/>
          <w:sz w:val="24"/>
          <w:szCs w:val="24"/>
        </w:rPr>
        <w:tab/>
      </w:r>
      <w:r w:rsidR="00AF3EF4" w:rsidRPr="00A66E23">
        <w:rPr>
          <w:rFonts w:ascii="Arial" w:hAnsi="Arial" w:cs="Arial"/>
          <w:sz w:val="24"/>
          <w:szCs w:val="24"/>
        </w:rPr>
        <w:t xml:space="preserve">In </w:t>
      </w:r>
      <w:r w:rsidR="00530849" w:rsidRPr="00A66E23">
        <w:rPr>
          <w:rFonts w:ascii="Arial" w:hAnsi="Arial" w:cs="Arial"/>
          <w:sz w:val="24"/>
          <w:szCs w:val="24"/>
        </w:rPr>
        <w:t>the circumstances,</w:t>
      </w:r>
      <w:r w:rsidR="00AF3EF4" w:rsidRPr="00A66E23">
        <w:rPr>
          <w:rFonts w:ascii="Arial" w:hAnsi="Arial" w:cs="Arial"/>
          <w:sz w:val="24"/>
          <w:szCs w:val="24"/>
        </w:rPr>
        <w:t xml:space="preserve"> the </w:t>
      </w:r>
      <w:r w:rsidR="00775F07" w:rsidRPr="00A66E23">
        <w:rPr>
          <w:rFonts w:ascii="Arial" w:hAnsi="Arial" w:cs="Arial"/>
          <w:sz w:val="24"/>
          <w:szCs w:val="24"/>
        </w:rPr>
        <w:t>h</w:t>
      </w:r>
      <w:r w:rsidR="00AF3EF4" w:rsidRPr="00A66E23">
        <w:rPr>
          <w:rFonts w:ascii="Arial" w:hAnsi="Arial" w:cs="Arial"/>
          <w:sz w:val="24"/>
          <w:szCs w:val="24"/>
        </w:rPr>
        <w:t xml:space="preserve">igh </w:t>
      </w:r>
      <w:r w:rsidR="00775F07" w:rsidRPr="00A66E23">
        <w:rPr>
          <w:rFonts w:ascii="Arial" w:hAnsi="Arial" w:cs="Arial"/>
          <w:sz w:val="24"/>
          <w:szCs w:val="24"/>
        </w:rPr>
        <w:t>court</w:t>
      </w:r>
      <w:r w:rsidR="00530849" w:rsidRPr="00A66E23">
        <w:rPr>
          <w:rFonts w:ascii="Arial" w:hAnsi="Arial" w:cs="Arial"/>
          <w:sz w:val="24"/>
          <w:szCs w:val="24"/>
        </w:rPr>
        <w:t>’s conclusion</w:t>
      </w:r>
      <w:r w:rsidR="00AF3EF4" w:rsidRPr="00A66E23">
        <w:rPr>
          <w:rFonts w:ascii="Arial" w:hAnsi="Arial" w:cs="Arial"/>
          <w:sz w:val="24"/>
          <w:szCs w:val="24"/>
        </w:rPr>
        <w:t xml:space="preserve"> that the appellant transferred the assets to the trusts with the purpose of concealing them through fraud, dishonesty and improper purpose of avoiding his obligation to account to the respondent for the accrual of his estate is incorrect. </w:t>
      </w:r>
      <w:r w:rsidR="000D3041" w:rsidRPr="00A66E23">
        <w:rPr>
          <w:rFonts w:ascii="Arial" w:hAnsi="Arial" w:cs="Arial"/>
          <w:sz w:val="24"/>
          <w:szCs w:val="24"/>
        </w:rPr>
        <w:t>This conclusion</w:t>
      </w:r>
      <w:r w:rsidR="003A753A" w:rsidRPr="00A66E23">
        <w:rPr>
          <w:rFonts w:ascii="Arial" w:hAnsi="Arial" w:cs="Arial"/>
          <w:sz w:val="24"/>
          <w:szCs w:val="24"/>
        </w:rPr>
        <w:t xml:space="preserve"> is not based on the case</w:t>
      </w:r>
      <w:r w:rsidR="000D3041" w:rsidRPr="00A66E23">
        <w:rPr>
          <w:rFonts w:ascii="Arial" w:hAnsi="Arial" w:cs="Arial"/>
          <w:sz w:val="24"/>
          <w:szCs w:val="24"/>
        </w:rPr>
        <w:t xml:space="preserve"> the respondent had advanced both in her pleadings and during her evidence</w:t>
      </w:r>
      <w:r w:rsidR="003A753A" w:rsidRPr="00A66E23">
        <w:rPr>
          <w:rFonts w:ascii="Arial" w:hAnsi="Arial" w:cs="Arial"/>
          <w:sz w:val="24"/>
          <w:szCs w:val="24"/>
        </w:rPr>
        <w:t xml:space="preserve"> and was not the case</w:t>
      </w:r>
      <w:r w:rsidR="000D3041" w:rsidRPr="00A66E23">
        <w:rPr>
          <w:rFonts w:ascii="Arial" w:hAnsi="Arial" w:cs="Arial"/>
          <w:sz w:val="24"/>
          <w:szCs w:val="24"/>
        </w:rPr>
        <w:t xml:space="preserve"> the appellant was called upon to meet</w:t>
      </w:r>
      <w:r w:rsidR="00A8570B" w:rsidRPr="00A66E23">
        <w:rPr>
          <w:rFonts w:ascii="Arial" w:hAnsi="Arial" w:cs="Arial"/>
          <w:sz w:val="24"/>
          <w:szCs w:val="24"/>
        </w:rPr>
        <w:t>.</w:t>
      </w:r>
      <w:r w:rsidR="0006621F" w:rsidRPr="00A66E23">
        <w:rPr>
          <w:rFonts w:ascii="Arial" w:hAnsi="Arial" w:cs="Arial"/>
          <w:sz w:val="24"/>
          <w:szCs w:val="24"/>
        </w:rPr>
        <w:t xml:space="preserve"> During argument, counsel for the respondent </w:t>
      </w:r>
      <w:r w:rsidR="0006621F" w:rsidRPr="00A66E23">
        <w:rPr>
          <w:rFonts w:ascii="Arial" w:hAnsi="Arial" w:cs="Arial"/>
          <w:sz w:val="24"/>
          <w:szCs w:val="24"/>
        </w:rPr>
        <w:lastRenderedPageBreak/>
        <w:t xml:space="preserve">struggled to point to any specific evidence showing transfer of assets by the appellant from his account(s) to the trusts and the CC at the relevant periods, </w:t>
      </w:r>
      <w:r w:rsidR="00590AFA" w:rsidRPr="00A66E23">
        <w:rPr>
          <w:rFonts w:ascii="Arial" w:hAnsi="Arial" w:cs="Arial"/>
          <w:sz w:val="24"/>
          <w:szCs w:val="24"/>
        </w:rPr>
        <w:t>i.e.</w:t>
      </w:r>
      <w:r w:rsidR="0006621F" w:rsidRPr="00A66E23">
        <w:rPr>
          <w:rFonts w:ascii="Arial" w:hAnsi="Arial" w:cs="Arial"/>
          <w:sz w:val="24"/>
          <w:szCs w:val="24"/>
        </w:rPr>
        <w:t xml:space="preserve"> after the discovery of the infidelity, different to how he conducted his affairs from when these entities were established.</w:t>
      </w:r>
    </w:p>
    <w:p w14:paraId="019C8623" w14:textId="2C0F7B61" w:rsidR="00F271DE" w:rsidRDefault="00F271DE" w:rsidP="00BF2ED6">
      <w:pPr>
        <w:spacing w:line="360" w:lineRule="auto"/>
        <w:jc w:val="both"/>
        <w:rPr>
          <w:rFonts w:ascii="Arial" w:hAnsi="Arial" w:cs="Arial"/>
          <w:sz w:val="24"/>
          <w:szCs w:val="24"/>
        </w:rPr>
      </w:pPr>
      <w:r w:rsidRPr="00C82AFD">
        <w:rPr>
          <w:rFonts w:ascii="Arial" w:hAnsi="Arial" w:cs="Arial"/>
          <w:sz w:val="24"/>
          <w:szCs w:val="24"/>
        </w:rPr>
        <w:t>[</w:t>
      </w:r>
      <w:r w:rsidR="008528AD">
        <w:rPr>
          <w:rFonts w:ascii="Arial" w:hAnsi="Arial" w:cs="Arial"/>
          <w:sz w:val="24"/>
          <w:szCs w:val="24"/>
        </w:rPr>
        <w:t>30</w:t>
      </w:r>
      <w:r w:rsidRPr="00C82AFD">
        <w:rPr>
          <w:rFonts w:ascii="Arial" w:hAnsi="Arial" w:cs="Arial"/>
          <w:sz w:val="24"/>
          <w:szCs w:val="24"/>
        </w:rPr>
        <w:t>]</w:t>
      </w:r>
      <w:r w:rsidR="00DB686B">
        <w:rPr>
          <w:rFonts w:ascii="Arial" w:hAnsi="Arial" w:cs="Arial"/>
          <w:sz w:val="24"/>
          <w:szCs w:val="24"/>
        </w:rPr>
        <w:tab/>
      </w:r>
      <w:r>
        <w:rPr>
          <w:rFonts w:ascii="Arial" w:hAnsi="Arial" w:cs="Arial"/>
          <w:sz w:val="24"/>
          <w:szCs w:val="24"/>
        </w:rPr>
        <w:t xml:space="preserve">I turn to consider the appellant’s second contention that there was no </w:t>
      </w:r>
      <w:r w:rsidRPr="00A66E23">
        <w:rPr>
          <w:rFonts w:ascii="Arial" w:hAnsi="Arial" w:cs="Arial"/>
          <w:sz w:val="24"/>
          <w:szCs w:val="24"/>
        </w:rPr>
        <w:t xml:space="preserve">factual or legal basis for the </w:t>
      </w:r>
      <w:r w:rsidR="0047774C" w:rsidRPr="00A66E23">
        <w:rPr>
          <w:rFonts w:ascii="Arial" w:hAnsi="Arial" w:cs="Arial"/>
          <w:sz w:val="24"/>
          <w:szCs w:val="24"/>
        </w:rPr>
        <w:t>h</w:t>
      </w:r>
      <w:r w:rsidRPr="00A66E23">
        <w:rPr>
          <w:rFonts w:ascii="Arial" w:hAnsi="Arial" w:cs="Arial"/>
          <w:sz w:val="24"/>
          <w:szCs w:val="24"/>
        </w:rPr>
        <w:t xml:space="preserve">igh </w:t>
      </w:r>
      <w:r w:rsidR="0047774C" w:rsidRPr="00A66E23">
        <w:rPr>
          <w:rFonts w:ascii="Arial" w:hAnsi="Arial" w:cs="Arial"/>
          <w:sz w:val="24"/>
          <w:szCs w:val="24"/>
        </w:rPr>
        <w:t>c</w:t>
      </w:r>
      <w:r w:rsidRPr="00A66E23">
        <w:rPr>
          <w:rFonts w:ascii="Arial" w:hAnsi="Arial" w:cs="Arial"/>
          <w:sz w:val="24"/>
          <w:szCs w:val="24"/>
        </w:rPr>
        <w:t>ourt to pierce the veneer of the trusts.</w:t>
      </w:r>
      <w:r w:rsidR="009637FE" w:rsidRPr="00A66E23">
        <w:rPr>
          <w:rFonts w:ascii="Arial" w:hAnsi="Arial" w:cs="Arial"/>
          <w:sz w:val="24"/>
          <w:szCs w:val="24"/>
        </w:rPr>
        <w:t xml:space="preserve"> The </w:t>
      </w:r>
      <w:r w:rsidR="0047774C" w:rsidRPr="00A66E23">
        <w:rPr>
          <w:rFonts w:ascii="Arial" w:hAnsi="Arial" w:cs="Arial"/>
          <w:sz w:val="24"/>
          <w:szCs w:val="24"/>
        </w:rPr>
        <w:t>h</w:t>
      </w:r>
      <w:r w:rsidR="009637FE" w:rsidRPr="00A66E23">
        <w:rPr>
          <w:rFonts w:ascii="Arial" w:hAnsi="Arial" w:cs="Arial"/>
          <w:sz w:val="24"/>
          <w:szCs w:val="24"/>
        </w:rPr>
        <w:t>igh</w:t>
      </w:r>
      <w:r w:rsidR="00573B12" w:rsidRPr="00A66E23">
        <w:rPr>
          <w:rFonts w:ascii="Arial" w:hAnsi="Arial" w:cs="Arial"/>
          <w:sz w:val="24"/>
          <w:szCs w:val="24"/>
        </w:rPr>
        <w:t xml:space="preserve"> </w:t>
      </w:r>
      <w:r w:rsidR="0047774C" w:rsidRPr="00A66E23">
        <w:rPr>
          <w:rFonts w:ascii="Arial" w:hAnsi="Arial" w:cs="Arial"/>
          <w:sz w:val="24"/>
          <w:szCs w:val="24"/>
        </w:rPr>
        <w:t>c</w:t>
      </w:r>
      <w:r w:rsidR="00614B93" w:rsidRPr="00A66E23">
        <w:rPr>
          <w:rFonts w:ascii="Arial" w:hAnsi="Arial" w:cs="Arial"/>
          <w:sz w:val="24"/>
          <w:szCs w:val="24"/>
        </w:rPr>
        <w:t xml:space="preserve">ourt </w:t>
      </w:r>
      <w:r w:rsidR="00C20FE2" w:rsidRPr="00A66E23">
        <w:rPr>
          <w:rFonts w:ascii="Arial" w:hAnsi="Arial" w:cs="Arial"/>
          <w:sz w:val="24"/>
          <w:szCs w:val="24"/>
        </w:rPr>
        <w:t xml:space="preserve">ordered </w:t>
      </w:r>
      <w:r w:rsidR="00573B12" w:rsidRPr="00A66E23">
        <w:rPr>
          <w:rFonts w:ascii="Arial" w:hAnsi="Arial" w:cs="Arial"/>
          <w:sz w:val="24"/>
          <w:szCs w:val="24"/>
        </w:rPr>
        <w:t xml:space="preserve">that the veneer of </w:t>
      </w:r>
      <w:r w:rsidR="009637FE" w:rsidRPr="00A66E23">
        <w:rPr>
          <w:rFonts w:ascii="Arial" w:hAnsi="Arial" w:cs="Arial"/>
          <w:sz w:val="24"/>
          <w:szCs w:val="24"/>
        </w:rPr>
        <w:t>all the thre</w:t>
      </w:r>
      <w:r w:rsidR="00614B93" w:rsidRPr="00A66E23">
        <w:rPr>
          <w:rFonts w:ascii="Arial" w:hAnsi="Arial" w:cs="Arial"/>
          <w:sz w:val="24"/>
          <w:szCs w:val="24"/>
        </w:rPr>
        <w:t>e trusts be pierced to ascertain the acc</w:t>
      </w:r>
      <w:r w:rsidR="009637FE" w:rsidRPr="00A66E23">
        <w:rPr>
          <w:rFonts w:ascii="Arial" w:hAnsi="Arial" w:cs="Arial"/>
          <w:sz w:val="24"/>
          <w:szCs w:val="24"/>
        </w:rPr>
        <w:t>rual of the appellant’s estate.</w:t>
      </w:r>
      <w:r w:rsidR="00AE4D76" w:rsidRPr="00A66E23">
        <w:rPr>
          <w:rFonts w:ascii="Arial" w:hAnsi="Arial" w:cs="Arial"/>
          <w:sz w:val="24"/>
          <w:szCs w:val="24"/>
        </w:rPr>
        <w:t xml:space="preserve"> </w:t>
      </w:r>
      <w:r w:rsidR="003435B8" w:rsidRPr="00A66E23">
        <w:rPr>
          <w:rFonts w:ascii="Arial" w:hAnsi="Arial" w:cs="Arial"/>
          <w:sz w:val="24"/>
          <w:szCs w:val="24"/>
        </w:rPr>
        <w:t xml:space="preserve">Before considering the </w:t>
      </w:r>
      <w:r w:rsidR="00912781" w:rsidRPr="00A66E23">
        <w:rPr>
          <w:rFonts w:ascii="Arial" w:hAnsi="Arial" w:cs="Arial"/>
          <w:sz w:val="24"/>
          <w:szCs w:val="24"/>
        </w:rPr>
        <w:t xml:space="preserve">correctness of the </w:t>
      </w:r>
      <w:r w:rsidR="0047774C" w:rsidRPr="00A66E23">
        <w:rPr>
          <w:rFonts w:ascii="Arial" w:hAnsi="Arial" w:cs="Arial"/>
          <w:sz w:val="24"/>
          <w:szCs w:val="24"/>
        </w:rPr>
        <w:t>h</w:t>
      </w:r>
      <w:r w:rsidR="00912781" w:rsidRPr="00A66E23">
        <w:rPr>
          <w:rFonts w:ascii="Arial" w:hAnsi="Arial" w:cs="Arial"/>
          <w:sz w:val="24"/>
          <w:szCs w:val="24"/>
        </w:rPr>
        <w:t xml:space="preserve">igh </w:t>
      </w:r>
      <w:r w:rsidR="0047774C" w:rsidRPr="00A66E23">
        <w:rPr>
          <w:rFonts w:ascii="Arial" w:hAnsi="Arial" w:cs="Arial"/>
          <w:sz w:val="24"/>
          <w:szCs w:val="24"/>
        </w:rPr>
        <w:t>c</w:t>
      </w:r>
      <w:r w:rsidR="00912781" w:rsidRPr="00A66E23">
        <w:rPr>
          <w:rFonts w:ascii="Arial" w:hAnsi="Arial" w:cs="Arial"/>
          <w:sz w:val="24"/>
          <w:szCs w:val="24"/>
        </w:rPr>
        <w:t>ourt’s conclusion, it is necessary to</w:t>
      </w:r>
      <w:r w:rsidR="003435B8" w:rsidRPr="00A66E23">
        <w:rPr>
          <w:rFonts w:ascii="Arial" w:hAnsi="Arial" w:cs="Arial"/>
          <w:sz w:val="24"/>
          <w:szCs w:val="24"/>
        </w:rPr>
        <w:t xml:space="preserve"> comment briefly regarding the proprietary consequences of a marriage out of community of property subject to an accrual system. </w:t>
      </w:r>
      <w:r w:rsidR="00614B93" w:rsidRPr="00A66E23">
        <w:rPr>
          <w:rFonts w:ascii="Arial" w:hAnsi="Arial" w:cs="Arial"/>
          <w:sz w:val="24"/>
          <w:szCs w:val="24"/>
        </w:rPr>
        <w:t xml:space="preserve">Since community of property was excluded, each party maintained their respective separate estates. </w:t>
      </w:r>
      <w:r w:rsidR="009D2F81" w:rsidRPr="00A66E23">
        <w:rPr>
          <w:rFonts w:ascii="Arial" w:hAnsi="Arial" w:cs="Arial"/>
          <w:sz w:val="24"/>
          <w:szCs w:val="24"/>
        </w:rPr>
        <w:t>Under this regime</w:t>
      </w:r>
      <w:r w:rsidR="003A753A" w:rsidRPr="00A66E23">
        <w:rPr>
          <w:rFonts w:ascii="Arial" w:hAnsi="Arial" w:cs="Arial"/>
          <w:sz w:val="24"/>
          <w:szCs w:val="24"/>
        </w:rPr>
        <w:t>,</w:t>
      </w:r>
      <w:r w:rsidR="009D2F81" w:rsidRPr="00A66E23">
        <w:rPr>
          <w:rFonts w:ascii="Arial" w:hAnsi="Arial" w:cs="Arial"/>
          <w:sz w:val="24"/>
          <w:szCs w:val="24"/>
        </w:rPr>
        <w:t xml:space="preserve"> a claim (an accrual claim) arises at the dissolution of the marriage ‘for an amount equal to</w:t>
      </w:r>
      <w:r w:rsidR="009D2F81">
        <w:rPr>
          <w:rFonts w:ascii="Arial" w:hAnsi="Arial" w:cs="Arial"/>
          <w:sz w:val="24"/>
          <w:szCs w:val="24"/>
        </w:rPr>
        <w:t xml:space="preserve"> half of the difference between the accrual of the respective estates of the spouses.’</w:t>
      </w:r>
      <w:r w:rsidR="004D6D29">
        <w:rPr>
          <w:rStyle w:val="FootnoteReference"/>
          <w:rFonts w:ascii="Arial" w:hAnsi="Arial" w:cs="Arial"/>
          <w:sz w:val="24"/>
          <w:szCs w:val="24"/>
        </w:rPr>
        <w:footnoteReference w:id="8"/>
      </w:r>
      <w:r w:rsidR="004D6D29">
        <w:rPr>
          <w:rFonts w:ascii="Arial" w:hAnsi="Arial" w:cs="Arial"/>
          <w:sz w:val="24"/>
          <w:szCs w:val="24"/>
        </w:rPr>
        <w:t xml:space="preserve"> </w:t>
      </w:r>
    </w:p>
    <w:p w14:paraId="566D778A" w14:textId="197E7A04" w:rsidR="003435B8" w:rsidRDefault="003435B8" w:rsidP="005B720F">
      <w:pPr>
        <w:spacing w:after="0" w:line="360" w:lineRule="auto"/>
        <w:jc w:val="both"/>
        <w:rPr>
          <w:rFonts w:ascii="Arial" w:hAnsi="Arial" w:cs="Arial"/>
          <w:sz w:val="24"/>
          <w:szCs w:val="24"/>
        </w:rPr>
      </w:pPr>
      <w:r>
        <w:rPr>
          <w:rFonts w:ascii="Arial" w:hAnsi="Arial" w:cs="Arial"/>
          <w:sz w:val="24"/>
          <w:szCs w:val="24"/>
        </w:rPr>
        <w:t>[</w:t>
      </w:r>
      <w:r w:rsidR="0047774C">
        <w:rPr>
          <w:rFonts w:ascii="Arial" w:hAnsi="Arial" w:cs="Arial"/>
          <w:sz w:val="24"/>
          <w:szCs w:val="24"/>
        </w:rPr>
        <w:t>3</w:t>
      </w:r>
      <w:r w:rsidR="008528AD">
        <w:rPr>
          <w:rFonts w:ascii="Arial" w:hAnsi="Arial" w:cs="Arial"/>
          <w:sz w:val="24"/>
          <w:szCs w:val="24"/>
        </w:rPr>
        <w:t>1</w:t>
      </w:r>
      <w:r>
        <w:rPr>
          <w:rFonts w:ascii="Arial" w:hAnsi="Arial" w:cs="Arial"/>
          <w:sz w:val="24"/>
          <w:szCs w:val="24"/>
        </w:rPr>
        <w:t>]</w:t>
      </w:r>
      <w:r w:rsidR="0047774C">
        <w:rPr>
          <w:rFonts w:ascii="Arial" w:hAnsi="Arial" w:cs="Arial"/>
          <w:sz w:val="24"/>
          <w:szCs w:val="24"/>
        </w:rPr>
        <w:tab/>
      </w:r>
      <w:r>
        <w:rPr>
          <w:rFonts w:ascii="Arial" w:hAnsi="Arial" w:cs="Arial"/>
          <w:sz w:val="24"/>
          <w:szCs w:val="24"/>
        </w:rPr>
        <w:t>Trusts have</w:t>
      </w:r>
      <w:r w:rsidR="00E81315">
        <w:rPr>
          <w:rFonts w:ascii="Arial" w:hAnsi="Arial" w:cs="Arial"/>
          <w:sz w:val="24"/>
          <w:szCs w:val="24"/>
        </w:rPr>
        <w:t xml:space="preserve"> for years</w:t>
      </w:r>
      <w:r>
        <w:rPr>
          <w:rFonts w:ascii="Arial" w:hAnsi="Arial" w:cs="Arial"/>
          <w:sz w:val="24"/>
          <w:szCs w:val="24"/>
        </w:rPr>
        <w:t xml:space="preserve"> been used</w:t>
      </w:r>
      <w:r w:rsidR="00E81315">
        <w:rPr>
          <w:rFonts w:ascii="Arial" w:hAnsi="Arial" w:cs="Arial"/>
          <w:sz w:val="24"/>
          <w:szCs w:val="24"/>
        </w:rPr>
        <w:t xml:space="preserve"> and </w:t>
      </w:r>
      <w:r w:rsidR="00333659">
        <w:rPr>
          <w:rFonts w:ascii="Arial" w:hAnsi="Arial" w:cs="Arial"/>
          <w:sz w:val="24"/>
          <w:szCs w:val="24"/>
        </w:rPr>
        <w:t xml:space="preserve">will </w:t>
      </w:r>
      <w:r w:rsidR="00E81315">
        <w:rPr>
          <w:rFonts w:ascii="Arial" w:hAnsi="Arial" w:cs="Arial"/>
          <w:sz w:val="24"/>
          <w:szCs w:val="24"/>
        </w:rPr>
        <w:t>continue to be used as a convenient tool for estate planning and are governed by the Trust Property Control Act 57 of 1988. Section 1 of the Trust Property Control Act defines ‘Trust’ as being:</w:t>
      </w:r>
    </w:p>
    <w:p w14:paraId="0B62E903" w14:textId="4EBD612E" w:rsidR="005B720F" w:rsidRPr="005B720F" w:rsidRDefault="005B720F" w:rsidP="00BF2ED6">
      <w:pPr>
        <w:spacing w:line="360" w:lineRule="auto"/>
        <w:jc w:val="both"/>
        <w:rPr>
          <w:rFonts w:ascii="Arial" w:hAnsi="Arial" w:cs="Arial"/>
        </w:rPr>
      </w:pPr>
      <w:r w:rsidRPr="005B720F">
        <w:rPr>
          <w:rFonts w:ascii="Arial" w:hAnsi="Arial" w:cs="Arial"/>
        </w:rPr>
        <w:t>‘</w:t>
      </w:r>
      <w:r w:rsidR="00214C2B">
        <w:rPr>
          <w:rFonts w:ascii="Arial" w:hAnsi="Arial" w:cs="Arial"/>
        </w:rPr>
        <w:t>.</w:t>
      </w:r>
      <w:r w:rsidR="00A849F5">
        <w:rPr>
          <w:rFonts w:ascii="Arial" w:hAnsi="Arial" w:cs="Arial"/>
        </w:rPr>
        <w:t xml:space="preserve"> </w:t>
      </w:r>
      <w:r w:rsidR="00214C2B">
        <w:rPr>
          <w:rFonts w:ascii="Arial" w:hAnsi="Arial" w:cs="Arial"/>
        </w:rPr>
        <w:t>.</w:t>
      </w:r>
      <w:r w:rsidR="00A849F5">
        <w:rPr>
          <w:rFonts w:ascii="Arial" w:hAnsi="Arial" w:cs="Arial"/>
        </w:rPr>
        <w:t xml:space="preserve"> . </w:t>
      </w:r>
      <w:r w:rsidR="00214C2B">
        <w:rPr>
          <w:rFonts w:ascii="Arial" w:hAnsi="Arial" w:cs="Arial"/>
        </w:rPr>
        <w:t>t</w:t>
      </w:r>
      <w:r w:rsidR="00214C2B" w:rsidRPr="005B720F">
        <w:rPr>
          <w:rFonts w:ascii="Arial" w:hAnsi="Arial" w:cs="Arial"/>
        </w:rPr>
        <w:t>he</w:t>
      </w:r>
      <w:r w:rsidR="005E2064" w:rsidRPr="005B720F">
        <w:rPr>
          <w:rFonts w:ascii="Arial" w:hAnsi="Arial" w:cs="Arial"/>
        </w:rPr>
        <w:t xml:space="preserve"> arrangement through which the ownership in property of one person is by virtue of a trust instrument made over or bequeathed- </w:t>
      </w:r>
    </w:p>
    <w:p w14:paraId="3A833CD7" w14:textId="77777777" w:rsidR="005B720F" w:rsidRPr="005B720F" w:rsidRDefault="005E2064" w:rsidP="00BF2ED6">
      <w:pPr>
        <w:spacing w:line="360" w:lineRule="auto"/>
        <w:jc w:val="both"/>
        <w:rPr>
          <w:rFonts w:ascii="Arial" w:hAnsi="Arial" w:cs="Arial"/>
        </w:rPr>
      </w:pPr>
      <w:r w:rsidRPr="005B720F">
        <w:rPr>
          <w:rFonts w:ascii="Arial" w:hAnsi="Arial" w:cs="Arial"/>
        </w:rPr>
        <w:t xml:space="preserve">(a) to another person, the trustee, in whole or in part, to be administered or disposed of according to the provisions of the trust instrument for the benefit of the person or class of persons designated in the trust instrument or for the achievement of the object stated in the trust instrument; or </w:t>
      </w:r>
    </w:p>
    <w:p w14:paraId="6F5C71F2" w14:textId="77777777" w:rsidR="005B720F" w:rsidRPr="005B720F" w:rsidRDefault="005E2064" w:rsidP="00BF2ED6">
      <w:pPr>
        <w:spacing w:line="360" w:lineRule="auto"/>
        <w:jc w:val="both"/>
        <w:rPr>
          <w:rFonts w:ascii="Arial" w:hAnsi="Arial" w:cs="Arial"/>
        </w:rPr>
      </w:pPr>
      <w:r w:rsidRPr="005B720F">
        <w:rPr>
          <w:rFonts w:ascii="Arial" w:hAnsi="Arial" w:cs="Arial"/>
        </w:rPr>
        <w:t xml:space="preserve">(b) to the beneficiaries designated in the trust instrument, which property is placed under the control of another person, the trustee, to be administered or disposed of according to the provisions of the trust instrument for the benefit of the person or class of persons designated in the trust instrument or for the achievement of the object stated in the trust instrument, </w:t>
      </w:r>
    </w:p>
    <w:p w14:paraId="6C54E6FE" w14:textId="39D24CA9" w:rsidR="00E81315" w:rsidRDefault="005E2064" w:rsidP="00214C2B">
      <w:pPr>
        <w:spacing w:line="360" w:lineRule="auto"/>
        <w:jc w:val="both"/>
        <w:rPr>
          <w:rFonts w:ascii="Arial" w:hAnsi="Arial" w:cs="Arial"/>
          <w:sz w:val="24"/>
          <w:szCs w:val="24"/>
        </w:rPr>
      </w:pPr>
      <w:r w:rsidRPr="005B720F">
        <w:rPr>
          <w:rFonts w:ascii="Arial" w:hAnsi="Arial" w:cs="Arial"/>
        </w:rPr>
        <w:t xml:space="preserve">but does not include the case where the property of another is to be administered by any person as executor, tutor or curator in terms of the provisions of the Administration of Estates Act, 1965 </w:t>
      </w:r>
      <w:r w:rsidR="005B720F" w:rsidRPr="005B720F">
        <w:rPr>
          <w:rFonts w:ascii="Arial" w:hAnsi="Arial" w:cs="Arial"/>
        </w:rPr>
        <w:t>(</w:t>
      </w:r>
      <w:r w:rsidRPr="005B720F">
        <w:rPr>
          <w:rFonts w:ascii="Arial" w:hAnsi="Arial" w:cs="Arial"/>
        </w:rPr>
        <w:t>Act No. 66 of 1965)</w:t>
      </w:r>
      <w:r w:rsidR="005B720F" w:rsidRPr="005B720F">
        <w:rPr>
          <w:rFonts w:ascii="Arial" w:hAnsi="Arial" w:cs="Arial"/>
        </w:rPr>
        <w:t>’</w:t>
      </w:r>
      <w:r w:rsidR="00DC3ECB">
        <w:rPr>
          <w:rFonts w:ascii="Arial" w:hAnsi="Arial" w:cs="Arial"/>
        </w:rPr>
        <w:t>.</w:t>
      </w:r>
    </w:p>
    <w:p w14:paraId="5B6DC723" w14:textId="21C049B3" w:rsidR="00D7745B" w:rsidRPr="00A66E23" w:rsidRDefault="00BF15D4" w:rsidP="00BF2ED6">
      <w:pPr>
        <w:spacing w:line="360" w:lineRule="auto"/>
        <w:jc w:val="both"/>
        <w:rPr>
          <w:rFonts w:ascii="Arial" w:hAnsi="Arial" w:cs="Arial"/>
          <w:sz w:val="24"/>
          <w:szCs w:val="24"/>
        </w:rPr>
      </w:pPr>
      <w:r>
        <w:rPr>
          <w:rFonts w:ascii="Arial" w:hAnsi="Arial" w:cs="Arial"/>
          <w:sz w:val="24"/>
          <w:szCs w:val="24"/>
        </w:rPr>
        <w:lastRenderedPageBreak/>
        <w:t>[</w:t>
      </w:r>
      <w:r w:rsidR="00214C2B">
        <w:rPr>
          <w:rFonts w:ascii="Arial" w:hAnsi="Arial" w:cs="Arial"/>
          <w:sz w:val="24"/>
          <w:szCs w:val="24"/>
        </w:rPr>
        <w:t>3</w:t>
      </w:r>
      <w:r w:rsidR="008528AD">
        <w:rPr>
          <w:rFonts w:ascii="Arial" w:hAnsi="Arial" w:cs="Arial"/>
          <w:sz w:val="24"/>
          <w:szCs w:val="24"/>
        </w:rPr>
        <w:t>2</w:t>
      </w:r>
      <w:r>
        <w:rPr>
          <w:rFonts w:ascii="Arial" w:hAnsi="Arial" w:cs="Arial"/>
          <w:sz w:val="24"/>
          <w:szCs w:val="24"/>
        </w:rPr>
        <w:t>]</w:t>
      </w:r>
      <w:r w:rsidR="00DB4E4C">
        <w:rPr>
          <w:rFonts w:ascii="Arial" w:hAnsi="Arial" w:cs="Arial"/>
          <w:sz w:val="24"/>
          <w:szCs w:val="24"/>
        </w:rPr>
        <w:tab/>
      </w:r>
      <w:r w:rsidR="00E81315">
        <w:rPr>
          <w:rFonts w:ascii="Arial" w:hAnsi="Arial" w:cs="Arial"/>
          <w:sz w:val="24"/>
          <w:szCs w:val="24"/>
        </w:rPr>
        <w:t xml:space="preserve">The statutory definition makes it clear that </w:t>
      </w:r>
      <w:r w:rsidR="00C91B6F">
        <w:rPr>
          <w:rFonts w:ascii="Arial" w:hAnsi="Arial" w:cs="Arial"/>
          <w:sz w:val="24"/>
          <w:szCs w:val="24"/>
        </w:rPr>
        <w:t>the trust founder must relinquish at least some of his or her control over the property to the trustee</w:t>
      </w:r>
      <w:r w:rsidR="00590AFA">
        <w:rPr>
          <w:rFonts w:ascii="Arial" w:hAnsi="Arial" w:cs="Arial"/>
          <w:sz w:val="24"/>
          <w:szCs w:val="24"/>
        </w:rPr>
        <w:t>,</w:t>
      </w:r>
      <w:r w:rsidR="00C91B6F">
        <w:rPr>
          <w:rFonts w:ascii="Arial" w:hAnsi="Arial" w:cs="Arial"/>
          <w:sz w:val="24"/>
          <w:szCs w:val="24"/>
        </w:rPr>
        <w:t xml:space="preserve"> which therefore requires that there must be a separation of ownership (or control) from the enjoyment of the trust benefits so derived</w:t>
      </w:r>
      <w:r w:rsidR="00BC55DB">
        <w:rPr>
          <w:rFonts w:ascii="Arial" w:hAnsi="Arial" w:cs="Arial"/>
          <w:sz w:val="24"/>
          <w:szCs w:val="24"/>
        </w:rPr>
        <w:t>.</w:t>
      </w:r>
      <w:r w:rsidR="00BC55DB">
        <w:rPr>
          <w:rStyle w:val="FootnoteReference"/>
          <w:rFonts w:ascii="Arial" w:hAnsi="Arial" w:cs="Arial"/>
          <w:sz w:val="24"/>
          <w:szCs w:val="24"/>
        </w:rPr>
        <w:footnoteReference w:id="9"/>
      </w:r>
      <w:r w:rsidR="00C91B6F">
        <w:rPr>
          <w:rFonts w:ascii="Arial" w:hAnsi="Arial" w:cs="Arial"/>
          <w:sz w:val="24"/>
          <w:szCs w:val="24"/>
        </w:rPr>
        <w:t xml:space="preserve"> T</w:t>
      </w:r>
      <w:r w:rsidR="00655F8D">
        <w:rPr>
          <w:rFonts w:ascii="Arial" w:hAnsi="Arial" w:cs="Arial"/>
          <w:sz w:val="24"/>
          <w:szCs w:val="24"/>
        </w:rPr>
        <w:t>he separation of enjoyment and control is</w:t>
      </w:r>
      <w:r w:rsidR="00EA2BFB">
        <w:rPr>
          <w:rFonts w:ascii="Arial" w:hAnsi="Arial" w:cs="Arial"/>
          <w:sz w:val="24"/>
          <w:szCs w:val="24"/>
        </w:rPr>
        <w:t xml:space="preserve"> designed to ensure that the </w:t>
      </w:r>
      <w:r w:rsidR="00655F8D">
        <w:rPr>
          <w:rFonts w:ascii="Arial" w:hAnsi="Arial" w:cs="Arial"/>
          <w:sz w:val="24"/>
          <w:szCs w:val="24"/>
        </w:rPr>
        <w:t>trustees</w:t>
      </w:r>
      <w:r w:rsidR="00C91B6F">
        <w:rPr>
          <w:rFonts w:ascii="Arial" w:hAnsi="Arial" w:cs="Arial"/>
          <w:sz w:val="24"/>
          <w:szCs w:val="24"/>
        </w:rPr>
        <w:t xml:space="preserve"> in whom the assets of the trust vest are impartial and that they exercise diligence in protecting the </w:t>
      </w:r>
      <w:r w:rsidR="00C91B6F" w:rsidRPr="00A66E23">
        <w:rPr>
          <w:rFonts w:ascii="Arial" w:hAnsi="Arial" w:cs="Arial"/>
          <w:sz w:val="24"/>
          <w:szCs w:val="24"/>
        </w:rPr>
        <w:t>interests of the trust beneficiaries.</w:t>
      </w:r>
      <w:r w:rsidR="006154DE" w:rsidRPr="00A66E23">
        <w:rPr>
          <w:rFonts w:ascii="Arial" w:hAnsi="Arial" w:cs="Arial"/>
          <w:sz w:val="24"/>
          <w:szCs w:val="24"/>
        </w:rPr>
        <w:t xml:space="preserve"> Section 12 provides for </w:t>
      </w:r>
      <w:r w:rsidR="003A753A" w:rsidRPr="00A66E23">
        <w:rPr>
          <w:rFonts w:ascii="Arial" w:hAnsi="Arial" w:cs="Arial"/>
          <w:sz w:val="24"/>
          <w:szCs w:val="24"/>
        </w:rPr>
        <w:t xml:space="preserve">the </w:t>
      </w:r>
      <w:r w:rsidR="006154DE" w:rsidRPr="00A66E23">
        <w:rPr>
          <w:rFonts w:ascii="Arial" w:hAnsi="Arial" w:cs="Arial"/>
          <w:sz w:val="24"/>
          <w:szCs w:val="24"/>
        </w:rPr>
        <w:t>separation of the trust assets from the perso</w:t>
      </w:r>
      <w:r w:rsidR="00655F8D" w:rsidRPr="00A66E23">
        <w:rPr>
          <w:rFonts w:ascii="Arial" w:hAnsi="Arial" w:cs="Arial"/>
          <w:sz w:val="24"/>
          <w:szCs w:val="24"/>
        </w:rPr>
        <w:t xml:space="preserve">nal assets of a trustee unless </w:t>
      </w:r>
      <w:r w:rsidR="006154DE" w:rsidRPr="00A66E23">
        <w:rPr>
          <w:rFonts w:ascii="Arial" w:hAnsi="Arial" w:cs="Arial"/>
          <w:sz w:val="24"/>
          <w:szCs w:val="24"/>
        </w:rPr>
        <w:t>the trustee is also a beneficiary of the same trust.</w:t>
      </w:r>
      <w:r w:rsidR="00F477A7" w:rsidRPr="00A66E23">
        <w:rPr>
          <w:rFonts w:ascii="Arial" w:hAnsi="Arial" w:cs="Arial"/>
          <w:sz w:val="24"/>
          <w:szCs w:val="24"/>
        </w:rPr>
        <w:t xml:space="preserve"> </w:t>
      </w:r>
      <w:r w:rsidR="00B6717E" w:rsidRPr="00A66E23">
        <w:rPr>
          <w:rFonts w:ascii="Arial" w:hAnsi="Arial" w:cs="Arial"/>
          <w:sz w:val="24"/>
          <w:szCs w:val="24"/>
        </w:rPr>
        <w:t xml:space="preserve">The </w:t>
      </w:r>
      <w:r w:rsidR="00333659" w:rsidRPr="00A66E23">
        <w:rPr>
          <w:rFonts w:ascii="Arial" w:hAnsi="Arial" w:cs="Arial"/>
          <w:sz w:val="24"/>
          <w:szCs w:val="24"/>
        </w:rPr>
        <w:t>mere fact that the assets vested</w:t>
      </w:r>
      <w:r w:rsidR="00B6717E" w:rsidRPr="00A66E23">
        <w:rPr>
          <w:rFonts w:ascii="Arial" w:hAnsi="Arial" w:cs="Arial"/>
          <w:sz w:val="24"/>
          <w:szCs w:val="24"/>
        </w:rPr>
        <w:t xml:space="preserve"> in the trustees and did not form part of the appellant’s estate does not per se exclude</w:t>
      </w:r>
      <w:r w:rsidR="00333659" w:rsidRPr="00A66E23">
        <w:rPr>
          <w:rFonts w:ascii="Arial" w:hAnsi="Arial" w:cs="Arial"/>
          <w:sz w:val="24"/>
          <w:szCs w:val="24"/>
        </w:rPr>
        <w:t xml:space="preserve"> it </w:t>
      </w:r>
      <w:r w:rsidR="00B6717E" w:rsidRPr="00A66E23">
        <w:rPr>
          <w:rFonts w:ascii="Arial" w:hAnsi="Arial" w:cs="Arial"/>
          <w:sz w:val="24"/>
          <w:szCs w:val="24"/>
        </w:rPr>
        <w:t>from consideration when determining what must be taken into accou</w:t>
      </w:r>
      <w:r w:rsidR="00333659" w:rsidRPr="00A66E23">
        <w:rPr>
          <w:rFonts w:ascii="Arial" w:hAnsi="Arial" w:cs="Arial"/>
          <w:sz w:val="24"/>
          <w:szCs w:val="24"/>
        </w:rPr>
        <w:t>nt when calculating the accrual</w:t>
      </w:r>
      <w:r w:rsidR="00723E5A" w:rsidRPr="00A66E23">
        <w:rPr>
          <w:rFonts w:ascii="Arial" w:hAnsi="Arial" w:cs="Arial"/>
          <w:sz w:val="24"/>
          <w:szCs w:val="24"/>
        </w:rPr>
        <w:t>.</w:t>
      </w:r>
      <w:r w:rsidR="00723E5A" w:rsidRPr="00A66E23">
        <w:rPr>
          <w:rStyle w:val="FootnoteReference"/>
          <w:rFonts w:ascii="Arial" w:hAnsi="Arial" w:cs="Arial"/>
          <w:sz w:val="24"/>
          <w:szCs w:val="24"/>
        </w:rPr>
        <w:footnoteReference w:id="10"/>
      </w:r>
    </w:p>
    <w:p w14:paraId="5B409948" w14:textId="5836EC6A" w:rsidR="00BC0662" w:rsidRPr="00A66E23" w:rsidRDefault="00D7745B" w:rsidP="00BC0662">
      <w:pPr>
        <w:spacing w:after="0" w:line="360" w:lineRule="auto"/>
        <w:jc w:val="both"/>
        <w:rPr>
          <w:rFonts w:ascii="Verdana" w:eastAsia="Times New Roman" w:hAnsi="Verdana" w:cs="Times New Roman"/>
          <w:color w:val="242121"/>
          <w:sz w:val="27"/>
          <w:szCs w:val="27"/>
          <w:lang w:eastAsia="en-ZA"/>
        </w:rPr>
      </w:pPr>
      <w:r w:rsidRPr="00A66E23">
        <w:rPr>
          <w:rFonts w:ascii="Arial" w:hAnsi="Arial" w:cs="Arial"/>
          <w:sz w:val="24"/>
          <w:szCs w:val="24"/>
        </w:rPr>
        <w:t>[</w:t>
      </w:r>
      <w:r w:rsidR="00F02B0F" w:rsidRPr="00A66E23">
        <w:rPr>
          <w:rFonts w:ascii="Arial" w:hAnsi="Arial" w:cs="Arial"/>
          <w:sz w:val="24"/>
          <w:szCs w:val="24"/>
        </w:rPr>
        <w:t>3</w:t>
      </w:r>
      <w:r w:rsidR="008528AD" w:rsidRPr="00A66E23">
        <w:rPr>
          <w:rFonts w:ascii="Arial" w:hAnsi="Arial" w:cs="Arial"/>
          <w:sz w:val="24"/>
          <w:szCs w:val="24"/>
        </w:rPr>
        <w:t>3</w:t>
      </w:r>
      <w:r w:rsidRPr="00A66E23">
        <w:rPr>
          <w:rFonts w:ascii="Arial" w:hAnsi="Arial" w:cs="Arial"/>
          <w:sz w:val="24"/>
          <w:szCs w:val="24"/>
        </w:rPr>
        <w:t>]</w:t>
      </w:r>
      <w:r w:rsidR="00DB686B" w:rsidRPr="00A66E23">
        <w:rPr>
          <w:rFonts w:ascii="Arial" w:hAnsi="Arial" w:cs="Arial"/>
          <w:sz w:val="24"/>
          <w:szCs w:val="24"/>
        </w:rPr>
        <w:tab/>
      </w:r>
      <w:r w:rsidR="00F477A7" w:rsidRPr="00A66E23">
        <w:rPr>
          <w:rFonts w:ascii="Arial" w:hAnsi="Arial" w:cs="Arial"/>
          <w:sz w:val="24"/>
          <w:szCs w:val="24"/>
        </w:rPr>
        <w:t>Where there is evidence of a</w:t>
      </w:r>
      <w:r w:rsidRPr="00A66E23">
        <w:rPr>
          <w:rFonts w:ascii="Arial" w:hAnsi="Arial" w:cs="Arial"/>
          <w:sz w:val="24"/>
          <w:szCs w:val="24"/>
        </w:rPr>
        <w:t>buse of the trust by the trustee</w:t>
      </w:r>
      <w:r w:rsidR="00F87BD8" w:rsidRPr="00A66E23">
        <w:rPr>
          <w:rFonts w:ascii="Arial" w:hAnsi="Arial" w:cs="Arial"/>
          <w:sz w:val="24"/>
          <w:szCs w:val="24"/>
        </w:rPr>
        <w:t>,</w:t>
      </w:r>
      <w:r w:rsidRPr="00A66E23">
        <w:rPr>
          <w:rFonts w:ascii="Arial" w:hAnsi="Arial" w:cs="Arial"/>
          <w:sz w:val="24"/>
          <w:szCs w:val="24"/>
        </w:rPr>
        <w:t xml:space="preserve"> the courts m</w:t>
      </w:r>
      <w:r w:rsidR="00167E0B" w:rsidRPr="00A66E23">
        <w:rPr>
          <w:rFonts w:ascii="Arial" w:hAnsi="Arial" w:cs="Arial"/>
          <w:sz w:val="24"/>
          <w:szCs w:val="24"/>
        </w:rPr>
        <w:t>ay look behind the</w:t>
      </w:r>
      <w:r w:rsidRPr="00A66E23">
        <w:rPr>
          <w:rFonts w:ascii="Arial" w:hAnsi="Arial" w:cs="Arial"/>
          <w:sz w:val="24"/>
          <w:szCs w:val="24"/>
        </w:rPr>
        <w:t xml:space="preserve"> trust</w:t>
      </w:r>
      <w:r w:rsidR="005E76B2" w:rsidRPr="00A66E23">
        <w:rPr>
          <w:rFonts w:ascii="Arial" w:hAnsi="Arial" w:cs="Arial"/>
          <w:sz w:val="24"/>
          <w:szCs w:val="24"/>
        </w:rPr>
        <w:t xml:space="preserve"> form</w:t>
      </w:r>
      <w:r w:rsidRPr="00A66E23">
        <w:rPr>
          <w:rFonts w:ascii="Arial" w:hAnsi="Arial" w:cs="Arial"/>
          <w:sz w:val="24"/>
          <w:szCs w:val="24"/>
        </w:rPr>
        <w:t xml:space="preserve"> in order to prevent its abuse. </w:t>
      </w:r>
      <w:r w:rsidR="005E76B2" w:rsidRPr="00A66E23">
        <w:rPr>
          <w:rFonts w:ascii="Arial" w:hAnsi="Arial" w:cs="Arial"/>
          <w:sz w:val="24"/>
          <w:szCs w:val="24"/>
        </w:rPr>
        <w:t>In this regard</w:t>
      </w:r>
      <w:r w:rsidR="003A753A" w:rsidRPr="00A66E23">
        <w:rPr>
          <w:rFonts w:ascii="Arial" w:hAnsi="Arial" w:cs="Arial"/>
          <w:sz w:val="24"/>
          <w:szCs w:val="24"/>
        </w:rPr>
        <w:t>,</w:t>
      </w:r>
      <w:r w:rsidR="005E76B2" w:rsidRPr="00A66E23">
        <w:rPr>
          <w:rFonts w:ascii="Arial" w:hAnsi="Arial" w:cs="Arial"/>
          <w:sz w:val="24"/>
          <w:szCs w:val="24"/>
        </w:rPr>
        <w:t xml:space="preserve"> Cameron JA in</w:t>
      </w:r>
      <w:r w:rsidR="00723E5A" w:rsidRPr="00A66E23">
        <w:rPr>
          <w:rFonts w:ascii="Arial" w:hAnsi="Arial" w:cs="Arial"/>
          <w:i/>
        </w:rPr>
        <w:t xml:space="preserve"> </w:t>
      </w:r>
      <w:r w:rsidR="00723E5A" w:rsidRPr="00A66E23">
        <w:rPr>
          <w:rFonts w:ascii="Arial" w:hAnsi="Arial" w:cs="Arial"/>
          <w:i/>
          <w:sz w:val="24"/>
          <w:szCs w:val="24"/>
        </w:rPr>
        <w:t xml:space="preserve">Land and Agricultural Bank of South </w:t>
      </w:r>
      <w:r w:rsidR="00083DDB" w:rsidRPr="00A66E23">
        <w:rPr>
          <w:rFonts w:ascii="Arial" w:hAnsi="Arial" w:cs="Arial"/>
          <w:i/>
          <w:sz w:val="24"/>
          <w:szCs w:val="24"/>
        </w:rPr>
        <w:t xml:space="preserve">Africa </w:t>
      </w:r>
      <w:r w:rsidR="00723E5A" w:rsidRPr="00A66E23">
        <w:rPr>
          <w:rFonts w:ascii="Arial" w:hAnsi="Arial" w:cs="Arial"/>
          <w:i/>
          <w:sz w:val="24"/>
          <w:szCs w:val="24"/>
        </w:rPr>
        <w:t>v Parker</w:t>
      </w:r>
      <w:r w:rsidR="00083DDB" w:rsidRPr="00A66E23">
        <w:rPr>
          <w:rFonts w:ascii="Arial" w:hAnsi="Arial" w:cs="Arial"/>
          <w:i/>
          <w:sz w:val="24"/>
          <w:szCs w:val="24"/>
        </w:rPr>
        <w:t xml:space="preserve"> and Others</w:t>
      </w:r>
      <w:r w:rsidR="005E76B2" w:rsidRPr="00A66E23">
        <w:rPr>
          <w:rFonts w:ascii="Arial" w:hAnsi="Arial" w:cs="Arial"/>
          <w:i/>
          <w:sz w:val="24"/>
          <w:szCs w:val="24"/>
        </w:rPr>
        <w:t xml:space="preserve"> </w:t>
      </w:r>
      <w:r w:rsidR="005E76B2" w:rsidRPr="00A66E23">
        <w:rPr>
          <w:rFonts w:ascii="Arial" w:hAnsi="Arial" w:cs="Arial"/>
          <w:sz w:val="24"/>
          <w:szCs w:val="24"/>
        </w:rPr>
        <w:t>provided an example of abuse</w:t>
      </w:r>
      <w:r w:rsidR="00C20FE2" w:rsidRPr="00A66E23">
        <w:rPr>
          <w:rFonts w:ascii="Arial" w:hAnsi="Arial" w:cs="Arial"/>
          <w:sz w:val="24"/>
          <w:szCs w:val="24"/>
        </w:rPr>
        <w:t xml:space="preserve"> of the trust form</w:t>
      </w:r>
      <w:r w:rsidR="005E76B2" w:rsidRPr="00A66E23">
        <w:rPr>
          <w:rFonts w:ascii="Arial" w:hAnsi="Arial" w:cs="Arial"/>
          <w:sz w:val="24"/>
          <w:szCs w:val="24"/>
        </w:rPr>
        <w:t xml:space="preserve"> which may justify the piercing of the trust veneer:</w:t>
      </w:r>
      <w:r w:rsidR="00BC0662" w:rsidRPr="00A66E23">
        <w:rPr>
          <w:rStyle w:val="FootnoteReference"/>
          <w:rFonts w:ascii="Arial" w:hAnsi="Arial" w:cs="Arial"/>
          <w:sz w:val="24"/>
          <w:szCs w:val="24"/>
        </w:rPr>
        <w:footnoteReference w:id="11"/>
      </w:r>
      <w:r w:rsidR="002A02CC" w:rsidRPr="00A66E23">
        <w:rPr>
          <w:rFonts w:ascii="Verdana" w:eastAsia="Times New Roman" w:hAnsi="Verdana" w:cs="Times New Roman"/>
          <w:color w:val="242121"/>
          <w:sz w:val="27"/>
          <w:szCs w:val="27"/>
          <w:lang w:eastAsia="en-ZA"/>
        </w:rPr>
        <w:t xml:space="preserve"> </w:t>
      </w:r>
    </w:p>
    <w:p w14:paraId="0D505DB7" w14:textId="68D80F9F" w:rsidR="00EA2BFB" w:rsidRPr="00A66E23" w:rsidRDefault="002A02CC" w:rsidP="00BF2ED6">
      <w:pPr>
        <w:spacing w:line="360" w:lineRule="auto"/>
        <w:jc w:val="both"/>
        <w:rPr>
          <w:rFonts w:ascii="Arial" w:hAnsi="Arial" w:cs="Arial"/>
          <w:sz w:val="24"/>
          <w:szCs w:val="24"/>
        </w:rPr>
      </w:pPr>
      <w:r w:rsidRPr="00A66E23">
        <w:rPr>
          <w:rFonts w:ascii="Arial" w:eastAsia="Times New Roman" w:hAnsi="Arial" w:cs="Arial"/>
          <w:color w:val="242121"/>
          <w:lang w:eastAsia="en-ZA"/>
        </w:rPr>
        <w:t>‘I</w:t>
      </w:r>
      <w:r w:rsidRPr="00A66E23">
        <w:rPr>
          <w:rFonts w:ascii="Arial" w:hAnsi="Arial" w:cs="Arial"/>
        </w:rPr>
        <w:t>t may be necessary to go further and extend well-established principles to trusts by holding in a suitable case that the trustees’ conduct invites the inference that the trust form was a mere cover for the conduct of business ‘as before’, and that the assets allegedly vesting in trustees</w:t>
      </w:r>
      <w:r w:rsidR="00590AFA" w:rsidRPr="00A66E23">
        <w:rPr>
          <w:rFonts w:ascii="Arial" w:hAnsi="Arial" w:cs="Arial"/>
        </w:rPr>
        <w:t>,</w:t>
      </w:r>
      <w:r w:rsidRPr="00A66E23">
        <w:rPr>
          <w:rFonts w:ascii="Arial" w:hAnsi="Arial" w:cs="Arial"/>
        </w:rPr>
        <w:t xml:space="preserve"> in fact</w:t>
      </w:r>
      <w:r w:rsidR="00590AFA" w:rsidRPr="00A66E23">
        <w:rPr>
          <w:rFonts w:ascii="Arial" w:hAnsi="Arial" w:cs="Arial"/>
        </w:rPr>
        <w:t>,</w:t>
      </w:r>
      <w:r w:rsidRPr="00A66E23">
        <w:rPr>
          <w:rFonts w:ascii="Arial" w:hAnsi="Arial" w:cs="Arial"/>
        </w:rPr>
        <w:t xml:space="preserve"> belong to one or more of the trustees and so may be used in satisfaction of debts to the repayment of which the trustees purported to bind the trust. Where trustees of a family trust, including the founder, act in breach of the duties imposed by the trust deed and purport on their sole authority to enter into contracts binding the trust, that may provide evidence that the trust form is a veneer that in justice should be pierced in the interests of creditors.</w:t>
      </w:r>
      <w:r w:rsidR="00F87BD8" w:rsidRPr="00A66E23">
        <w:rPr>
          <w:rFonts w:ascii="Arial" w:hAnsi="Arial" w:cs="Arial"/>
        </w:rPr>
        <w:t>’</w:t>
      </w:r>
    </w:p>
    <w:p w14:paraId="1F3F362B" w14:textId="62E0553D" w:rsidR="0069545D" w:rsidRDefault="00EA2BFB" w:rsidP="0069545D">
      <w:pPr>
        <w:spacing w:after="0" w:line="360" w:lineRule="auto"/>
        <w:jc w:val="both"/>
        <w:rPr>
          <w:rFonts w:ascii="Arial" w:hAnsi="Arial" w:cs="Arial"/>
          <w:sz w:val="24"/>
          <w:szCs w:val="24"/>
        </w:rPr>
      </w:pPr>
      <w:r w:rsidRPr="00A66E23">
        <w:rPr>
          <w:rFonts w:ascii="Arial" w:hAnsi="Arial" w:cs="Arial"/>
          <w:sz w:val="24"/>
          <w:szCs w:val="24"/>
        </w:rPr>
        <w:t>[3</w:t>
      </w:r>
      <w:r w:rsidR="008528AD" w:rsidRPr="00A66E23">
        <w:rPr>
          <w:rFonts w:ascii="Arial" w:hAnsi="Arial" w:cs="Arial"/>
          <w:sz w:val="24"/>
          <w:szCs w:val="24"/>
        </w:rPr>
        <w:t>4</w:t>
      </w:r>
      <w:r w:rsidRPr="00A66E23">
        <w:rPr>
          <w:rFonts w:ascii="Arial" w:hAnsi="Arial" w:cs="Arial"/>
          <w:sz w:val="24"/>
          <w:szCs w:val="24"/>
        </w:rPr>
        <w:t>]</w:t>
      </w:r>
      <w:r w:rsidR="00DB686B" w:rsidRPr="00A66E23">
        <w:rPr>
          <w:rFonts w:ascii="Arial" w:hAnsi="Arial" w:cs="Arial"/>
          <w:sz w:val="24"/>
          <w:szCs w:val="24"/>
        </w:rPr>
        <w:tab/>
      </w:r>
      <w:r w:rsidRPr="00A66E23">
        <w:rPr>
          <w:rFonts w:ascii="Arial" w:hAnsi="Arial" w:cs="Arial"/>
          <w:sz w:val="24"/>
          <w:szCs w:val="24"/>
        </w:rPr>
        <w:t>The evidence that the trusts were created as an estate pl</w:t>
      </w:r>
      <w:r w:rsidR="00831003" w:rsidRPr="00A66E23">
        <w:rPr>
          <w:rFonts w:ascii="Arial" w:hAnsi="Arial" w:cs="Arial"/>
          <w:sz w:val="24"/>
          <w:szCs w:val="24"/>
        </w:rPr>
        <w:t>anning tool was not disputed. T</w:t>
      </w:r>
      <w:r w:rsidRPr="00A66E23">
        <w:rPr>
          <w:rFonts w:ascii="Arial" w:hAnsi="Arial" w:cs="Arial"/>
          <w:sz w:val="24"/>
          <w:szCs w:val="24"/>
        </w:rPr>
        <w:t xml:space="preserve">he appellant’s evidence was that the principal objective of creating the trusts was </w:t>
      </w:r>
      <w:r w:rsidR="00831003" w:rsidRPr="00A66E23">
        <w:rPr>
          <w:rFonts w:ascii="Arial" w:hAnsi="Arial" w:cs="Arial"/>
          <w:sz w:val="24"/>
          <w:szCs w:val="24"/>
        </w:rPr>
        <w:t xml:space="preserve">to protect their assets to ensure that the respondent and his children, especially their mentally challenged daughter, would be cared for. The respondent and the two children are also capital beneficiaries of the trusts. </w:t>
      </w:r>
      <w:r w:rsidR="00354A33" w:rsidRPr="00A66E23">
        <w:rPr>
          <w:rFonts w:ascii="Arial" w:hAnsi="Arial" w:cs="Arial"/>
          <w:sz w:val="24"/>
          <w:szCs w:val="24"/>
        </w:rPr>
        <w:t xml:space="preserve">It is not clear from the evidence on which the </w:t>
      </w:r>
      <w:r w:rsidR="00354A33" w:rsidRPr="00226245">
        <w:rPr>
          <w:rFonts w:ascii="Arial" w:hAnsi="Arial" w:cs="Arial"/>
          <w:sz w:val="24"/>
          <w:szCs w:val="24"/>
        </w:rPr>
        <w:lastRenderedPageBreak/>
        <w:t xml:space="preserve">high court based its findings that the appellant used the trusts and the CC as his </w:t>
      </w:r>
      <w:r w:rsidR="00354A33" w:rsidRPr="00226245">
        <w:rPr>
          <w:rFonts w:ascii="Arial" w:hAnsi="Arial" w:cs="Arial"/>
          <w:i/>
          <w:iCs/>
          <w:sz w:val="24"/>
          <w:szCs w:val="24"/>
        </w:rPr>
        <w:t>alter ego</w:t>
      </w:r>
      <w:r w:rsidR="00354A33" w:rsidRPr="00226245">
        <w:rPr>
          <w:rFonts w:ascii="Arial" w:hAnsi="Arial" w:cs="Arial"/>
          <w:sz w:val="24"/>
          <w:szCs w:val="24"/>
        </w:rPr>
        <w:t>.</w:t>
      </w:r>
      <w:r w:rsidR="00354A33" w:rsidRPr="00A66E23">
        <w:rPr>
          <w:rFonts w:ascii="Arial" w:hAnsi="Arial" w:cs="Arial"/>
          <w:sz w:val="24"/>
          <w:szCs w:val="24"/>
        </w:rPr>
        <w:t xml:space="preserve"> </w:t>
      </w:r>
      <w:r w:rsidR="00831003" w:rsidRPr="00A66E23">
        <w:rPr>
          <w:rFonts w:ascii="Arial" w:hAnsi="Arial" w:cs="Arial"/>
          <w:sz w:val="24"/>
          <w:szCs w:val="24"/>
        </w:rPr>
        <w:t>The</w:t>
      </w:r>
      <w:r w:rsidR="00167E0B" w:rsidRPr="00A66E23">
        <w:rPr>
          <w:rFonts w:ascii="Arial" w:hAnsi="Arial" w:cs="Arial"/>
          <w:sz w:val="24"/>
          <w:szCs w:val="24"/>
        </w:rPr>
        <w:t xml:space="preserve"> </w:t>
      </w:r>
      <w:r w:rsidR="002A02CC" w:rsidRPr="00A66E23">
        <w:rPr>
          <w:rFonts w:ascii="Arial" w:hAnsi="Arial" w:cs="Arial"/>
          <w:sz w:val="24"/>
          <w:szCs w:val="24"/>
        </w:rPr>
        <w:t>h</w:t>
      </w:r>
      <w:r w:rsidR="00167E0B" w:rsidRPr="00A66E23">
        <w:rPr>
          <w:rFonts w:ascii="Arial" w:hAnsi="Arial" w:cs="Arial"/>
          <w:sz w:val="24"/>
          <w:szCs w:val="24"/>
        </w:rPr>
        <w:t xml:space="preserve">igh </w:t>
      </w:r>
      <w:r w:rsidR="002A02CC" w:rsidRPr="00A66E23">
        <w:rPr>
          <w:rFonts w:ascii="Arial" w:hAnsi="Arial" w:cs="Arial"/>
          <w:sz w:val="24"/>
          <w:szCs w:val="24"/>
        </w:rPr>
        <w:t>c</w:t>
      </w:r>
      <w:r w:rsidR="00167E0B" w:rsidRPr="00A66E23">
        <w:rPr>
          <w:rFonts w:ascii="Arial" w:hAnsi="Arial" w:cs="Arial"/>
          <w:sz w:val="24"/>
          <w:szCs w:val="24"/>
        </w:rPr>
        <w:t>ourt’s conclusion that the assets of the trust</w:t>
      </w:r>
      <w:r w:rsidR="00333659" w:rsidRPr="00A66E23">
        <w:rPr>
          <w:rFonts w:ascii="Arial" w:hAnsi="Arial" w:cs="Arial"/>
          <w:sz w:val="24"/>
          <w:szCs w:val="24"/>
        </w:rPr>
        <w:t>s</w:t>
      </w:r>
      <w:r w:rsidR="00167E0B" w:rsidRPr="00A66E23">
        <w:rPr>
          <w:rFonts w:ascii="Arial" w:hAnsi="Arial" w:cs="Arial"/>
          <w:sz w:val="24"/>
          <w:szCs w:val="24"/>
        </w:rPr>
        <w:t xml:space="preserve"> should be treated as the appellant’s assets for the purposes of determining accrual was based on </w:t>
      </w:r>
      <w:r w:rsidR="00CF08BC" w:rsidRPr="00A66E23">
        <w:rPr>
          <w:rFonts w:ascii="Arial" w:hAnsi="Arial" w:cs="Arial"/>
          <w:sz w:val="24"/>
          <w:szCs w:val="24"/>
        </w:rPr>
        <w:t xml:space="preserve">a </w:t>
      </w:r>
      <w:r w:rsidR="00CF08BC" w:rsidRPr="00A66E23">
        <w:rPr>
          <w:rFonts w:ascii="Arial" w:hAnsi="Arial" w:cs="Arial"/>
          <w:i/>
          <w:sz w:val="24"/>
          <w:szCs w:val="24"/>
        </w:rPr>
        <w:t>dictum</w:t>
      </w:r>
      <w:r w:rsidR="00CF08BC" w:rsidRPr="00A66E23">
        <w:rPr>
          <w:rFonts w:ascii="Arial" w:hAnsi="Arial" w:cs="Arial"/>
          <w:sz w:val="24"/>
          <w:szCs w:val="24"/>
        </w:rPr>
        <w:t xml:space="preserve"> of this Court in</w:t>
      </w:r>
      <w:r w:rsidR="00CF08BC" w:rsidRPr="00A66E23">
        <w:rPr>
          <w:rFonts w:ascii="Arial" w:hAnsi="Arial" w:cs="Arial"/>
          <w:i/>
          <w:sz w:val="24"/>
          <w:szCs w:val="24"/>
        </w:rPr>
        <w:t xml:space="preserve"> </w:t>
      </w:r>
      <w:r w:rsidR="00723E5A" w:rsidRPr="00A66E23">
        <w:rPr>
          <w:rFonts w:ascii="Arial" w:hAnsi="Arial" w:cs="Arial"/>
          <w:i/>
          <w:sz w:val="24"/>
          <w:szCs w:val="24"/>
        </w:rPr>
        <w:t>Badenhorst v Badenhorst</w:t>
      </w:r>
      <w:r w:rsidR="00BE6199" w:rsidRPr="00A66E23">
        <w:rPr>
          <w:rFonts w:ascii="Arial" w:hAnsi="Arial" w:cs="Arial"/>
          <w:i/>
          <w:sz w:val="24"/>
          <w:szCs w:val="24"/>
        </w:rPr>
        <w:t xml:space="preserve"> (Badenhorst)</w:t>
      </w:r>
      <w:r w:rsidR="003A753A" w:rsidRPr="00A66E23">
        <w:rPr>
          <w:rFonts w:ascii="Arial" w:hAnsi="Arial" w:cs="Arial"/>
          <w:i/>
          <w:sz w:val="24"/>
          <w:szCs w:val="24"/>
        </w:rPr>
        <w:t>,</w:t>
      </w:r>
      <w:r w:rsidR="00723E5A" w:rsidRPr="00A66E23">
        <w:rPr>
          <w:rFonts w:ascii="Arial" w:hAnsi="Arial" w:cs="Arial"/>
          <w:i/>
          <w:sz w:val="24"/>
          <w:szCs w:val="24"/>
        </w:rPr>
        <w:t xml:space="preserve"> </w:t>
      </w:r>
      <w:r w:rsidR="00CF08BC" w:rsidRPr="00A66E23">
        <w:rPr>
          <w:rFonts w:ascii="Arial" w:hAnsi="Arial" w:cs="Arial"/>
          <w:sz w:val="24"/>
          <w:szCs w:val="24"/>
        </w:rPr>
        <w:t>where the following is stated:</w:t>
      </w:r>
      <w:r w:rsidR="0069545D" w:rsidRPr="00A66E23">
        <w:rPr>
          <w:rStyle w:val="FootnoteReference"/>
          <w:rFonts w:ascii="Arial" w:hAnsi="Arial" w:cs="Arial"/>
          <w:sz w:val="24"/>
          <w:szCs w:val="24"/>
        </w:rPr>
        <w:footnoteReference w:id="12"/>
      </w:r>
    </w:p>
    <w:p w14:paraId="1A4EC494" w14:textId="60EDED20" w:rsidR="00CF08BC" w:rsidRPr="0069545D" w:rsidRDefault="0069545D" w:rsidP="00BF2ED6">
      <w:pPr>
        <w:spacing w:line="360" w:lineRule="auto"/>
        <w:jc w:val="both"/>
        <w:rPr>
          <w:rFonts w:ascii="Arial" w:hAnsi="Arial" w:cs="Arial"/>
        </w:rPr>
      </w:pPr>
      <w:r w:rsidRPr="0069545D">
        <w:rPr>
          <w:rFonts w:ascii="Arial" w:hAnsi="Arial" w:cs="Arial"/>
        </w:rPr>
        <w:t>‘To succeed in a claim that trust assets be included in the estate of one of the parties to a marriage there needs to be evidence that such party controlled the trust and but for the trust would have acquired and owned the assets in his own name. Control must be </w:t>
      </w:r>
      <w:r w:rsidRPr="0069545D">
        <w:rPr>
          <w:rFonts w:ascii="Arial" w:hAnsi="Arial" w:cs="Arial"/>
          <w:i/>
          <w:iCs/>
        </w:rPr>
        <w:t>de facto </w:t>
      </w:r>
      <w:r w:rsidRPr="0069545D">
        <w:rPr>
          <w:rFonts w:ascii="Arial" w:hAnsi="Arial" w:cs="Arial"/>
        </w:rPr>
        <w:t>and not necessarily </w:t>
      </w:r>
      <w:r w:rsidRPr="0069545D">
        <w:rPr>
          <w:rFonts w:ascii="Arial" w:hAnsi="Arial" w:cs="Arial"/>
          <w:i/>
          <w:iCs/>
        </w:rPr>
        <w:t>de iure</w:t>
      </w:r>
      <w:r w:rsidRPr="0069545D">
        <w:rPr>
          <w:rFonts w:ascii="Arial" w:hAnsi="Arial" w:cs="Arial"/>
        </w:rPr>
        <w:t>. A nominee of a sole shareholder may have </w:t>
      </w:r>
      <w:r w:rsidRPr="0069545D">
        <w:rPr>
          <w:rFonts w:ascii="Arial" w:hAnsi="Arial" w:cs="Arial"/>
          <w:i/>
          <w:iCs/>
        </w:rPr>
        <w:t>de iure </w:t>
      </w:r>
      <w:r w:rsidRPr="0069545D">
        <w:rPr>
          <w:rFonts w:ascii="Arial" w:hAnsi="Arial" w:cs="Arial"/>
        </w:rPr>
        <w:t>control of the affairs of the company but the </w:t>
      </w:r>
      <w:r w:rsidRPr="0069545D">
        <w:rPr>
          <w:rFonts w:ascii="Arial" w:hAnsi="Arial" w:cs="Arial"/>
          <w:i/>
          <w:iCs/>
        </w:rPr>
        <w:t>de facto </w:t>
      </w:r>
      <w:r w:rsidRPr="0069545D">
        <w:rPr>
          <w:rFonts w:ascii="Arial" w:hAnsi="Arial" w:cs="Arial"/>
        </w:rPr>
        <w:t>control rests with the shareholder. </w:t>
      </w:r>
      <w:r w:rsidRPr="0069545D">
        <w:rPr>
          <w:rFonts w:ascii="Arial" w:hAnsi="Arial" w:cs="Arial"/>
          <w:i/>
          <w:iCs/>
        </w:rPr>
        <w:t>De iure </w:t>
      </w:r>
      <w:r w:rsidRPr="0069545D">
        <w:rPr>
          <w:rFonts w:ascii="Arial" w:hAnsi="Arial" w:cs="Arial"/>
        </w:rPr>
        <w:t>control of a trust is in the hands of the trustees but very often the founder in business or family trusts appoints close relatives or friends who are either supine or do the bidding of their appointer. </w:t>
      </w:r>
      <w:r w:rsidRPr="0069545D">
        <w:rPr>
          <w:rFonts w:ascii="Arial" w:hAnsi="Arial" w:cs="Arial"/>
          <w:i/>
          <w:iCs/>
        </w:rPr>
        <w:t>De facto </w:t>
      </w:r>
      <w:r w:rsidRPr="0069545D">
        <w:rPr>
          <w:rFonts w:ascii="Arial" w:hAnsi="Arial" w:cs="Arial"/>
        </w:rPr>
        <w:t>the founder controls the trust. To determine whether a party has such control it is necessary to first have regard to the terms of the trust deed, and secondly to consider the evidence of how the affairs of the trust were conducted during the marriage. It may be that in terms of the trust deed some or all the assets are beyond the control of the founder, for instance where a vesting has taken place by a beneficiary, such as a charitable institution accepting the benefit. In such a case, provided the party had not made the bequest with the intention of frustrating the wife’s or husband’s claim for a redistribution, the asset or assets concerned cannot be taken into account.’</w:t>
      </w:r>
    </w:p>
    <w:p w14:paraId="3CC32676" w14:textId="501A59AC" w:rsidR="00F271DE" w:rsidRDefault="00723E5A" w:rsidP="00BF2ED6">
      <w:pPr>
        <w:spacing w:line="360" w:lineRule="auto"/>
        <w:jc w:val="both"/>
        <w:rPr>
          <w:rFonts w:ascii="Arial" w:hAnsi="Arial" w:cs="Arial"/>
          <w:sz w:val="24"/>
          <w:szCs w:val="24"/>
        </w:rPr>
      </w:pPr>
      <w:r>
        <w:rPr>
          <w:rFonts w:ascii="Arial" w:hAnsi="Arial" w:cs="Arial"/>
          <w:sz w:val="24"/>
          <w:szCs w:val="24"/>
        </w:rPr>
        <w:t>[3</w:t>
      </w:r>
      <w:r w:rsidR="008528AD">
        <w:rPr>
          <w:rFonts w:ascii="Arial" w:hAnsi="Arial" w:cs="Arial"/>
          <w:sz w:val="24"/>
          <w:szCs w:val="24"/>
        </w:rPr>
        <w:t>5</w:t>
      </w:r>
      <w:r>
        <w:rPr>
          <w:rFonts w:ascii="Arial" w:hAnsi="Arial" w:cs="Arial"/>
          <w:sz w:val="24"/>
          <w:szCs w:val="24"/>
        </w:rPr>
        <w:t>]</w:t>
      </w:r>
      <w:r>
        <w:rPr>
          <w:rFonts w:ascii="Arial" w:hAnsi="Arial" w:cs="Arial"/>
          <w:sz w:val="24"/>
          <w:szCs w:val="24"/>
        </w:rPr>
        <w:tab/>
      </w:r>
      <w:r w:rsidR="008B0F93">
        <w:rPr>
          <w:rFonts w:ascii="Arial" w:hAnsi="Arial" w:cs="Arial"/>
          <w:sz w:val="24"/>
          <w:szCs w:val="24"/>
        </w:rPr>
        <w:t xml:space="preserve">In my </w:t>
      </w:r>
      <w:r w:rsidR="008B0F93" w:rsidRPr="00A66E23">
        <w:rPr>
          <w:rFonts w:ascii="Arial" w:hAnsi="Arial" w:cs="Arial"/>
          <w:sz w:val="24"/>
          <w:szCs w:val="24"/>
        </w:rPr>
        <w:t>view</w:t>
      </w:r>
      <w:r w:rsidR="003A753A" w:rsidRPr="00A66E23">
        <w:rPr>
          <w:rFonts w:ascii="Arial" w:hAnsi="Arial" w:cs="Arial"/>
          <w:sz w:val="24"/>
          <w:szCs w:val="24"/>
        </w:rPr>
        <w:t>,</w:t>
      </w:r>
      <w:r w:rsidR="008B0F93" w:rsidRPr="00A66E23">
        <w:rPr>
          <w:rFonts w:ascii="Arial" w:hAnsi="Arial" w:cs="Arial"/>
          <w:sz w:val="24"/>
          <w:szCs w:val="24"/>
        </w:rPr>
        <w:t xml:space="preserve"> the </w:t>
      </w:r>
      <w:r w:rsidR="001630F0" w:rsidRPr="00A66E23">
        <w:rPr>
          <w:rFonts w:ascii="Arial" w:hAnsi="Arial" w:cs="Arial"/>
          <w:sz w:val="24"/>
          <w:szCs w:val="24"/>
        </w:rPr>
        <w:t>h</w:t>
      </w:r>
      <w:r w:rsidR="008B0F93" w:rsidRPr="00A66E23">
        <w:rPr>
          <w:rFonts w:ascii="Arial" w:hAnsi="Arial" w:cs="Arial"/>
          <w:sz w:val="24"/>
          <w:szCs w:val="24"/>
        </w:rPr>
        <w:t xml:space="preserve">igh </w:t>
      </w:r>
      <w:r w:rsidR="001630F0" w:rsidRPr="00A66E23">
        <w:rPr>
          <w:rFonts w:ascii="Arial" w:hAnsi="Arial" w:cs="Arial"/>
          <w:sz w:val="24"/>
          <w:szCs w:val="24"/>
        </w:rPr>
        <w:t>c</w:t>
      </w:r>
      <w:r w:rsidR="00B6717E" w:rsidRPr="00A66E23">
        <w:rPr>
          <w:rFonts w:ascii="Arial" w:hAnsi="Arial" w:cs="Arial"/>
          <w:sz w:val="24"/>
          <w:szCs w:val="24"/>
        </w:rPr>
        <w:t xml:space="preserve">ourt’s reliance on </w:t>
      </w:r>
      <w:r w:rsidR="008F194A" w:rsidRPr="00A66E23">
        <w:rPr>
          <w:rFonts w:ascii="Arial" w:hAnsi="Arial" w:cs="Arial"/>
          <w:i/>
          <w:sz w:val="24"/>
          <w:szCs w:val="24"/>
        </w:rPr>
        <w:t xml:space="preserve">Badenhorst </w:t>
      </w:r>
      <w:r w:rsidR="008F194A" w:rsidRPr="00A66E23">
        <w:rPr>
          <w:rFonts w:ascii="Arial" w:hAnsi="Arial" w:cs="Arial"/>
          <w:sz w:val="24"/>
          <w:szCs w:val="24"/>
        </w:rPr>
        <w:t>is</w:t>
      </w:r>
      <w:r w:rsidR="008B0F93" w:rsidRPr="00A66E23">
        <w:rPr>
          <w:rFonts w:ascii="Arial" w:hAnsi="Arial" w:cs="Arial"/>
          <w:sz w:val="24"/>
          <w:szCs w:val="24"/>
        </w:rPr>
        <w:t xml:space="preserve"> misplaced. The issue in </w:t>
      </w:r>
      <w:r w:rsidR="008B0F93" w:rsidRPr="00A66E23">
        <w:rPr>
          <w:rFonts w:ascii="Arial" w:hAnsi="Arial" w:cs="Arial"/>
          <w:i/>
          <w:sz w:val="24"/>
          <w:szCs w:val="24"/>
        </w:rPr>
        <w:t xml:space="preserve">Badenhorst </w:t>
      </w:r>
      <w:r w:rsidR="008B0F93" w:rsidRPr="00A66E23">
        <w:rPr>
          <w:rFonts w:ascii="Arial" w:hAnsi="Arial" w:cs="Arial"/>
          <w:sz w:val="24"/>
          <w:szCs w:val="24"/>
        </w:rPr>
        <w:t xml:space="preserve">concerned a just and equitable distribution of assets in terms of s 7(3) of the Divorce Act 70 of 1979. The parties there were married out of </w:t>
      </w:r>
      <w:r w:rsidR="00D03E8B" w:rsidRPr="00A66E23">
        <w:rPr>
          <w:rFonts w:ascii="Arial" w:hAnsi="Arial" w:cs="Arial"/>
          <w:sz w:val="24"/>
          <w:szCs w:val="24"/>
        </w:rPr>
        <w:t>community of property</w:t>
      </w:r>
      <w:r w:rsidR="00E92B9D" w:rsidRPr="00A66E23">
        <w:rPr>
          <w:rFonts w:ascii="Arial" w:hAnsi="Arial" w:cs="Arial"/>
          <w:sz w:val="24"/>
          <w:szCs w:val="24"/>
        </w:rPr>
        <w:t xml:space="preserve"> before the Matrimonial Property Act was enacted</w:t>
      </w:r>
      <w:r w:rsidR="00590AFA">
        <w:rPr>
          <w:rFonts w:ascii="Arial" w:hAnsi="Arial" w:cs="Arial"/>
          <w:sz w:val="24"/>
          <w:szCs w:val="24"/>
        </w:rPr>
        <w:t>,</w:t>
      </w:r>
      <w:r w:rsidR="00D03E8B">
        <w:rPr>
          <w:rFonts w:ascii="Arial" w:hAnsi="Arial" w:cs="Arial"/>
          <w:sz w:val="24"/>
          <w:szCs w:val="24"/>
        </w:rPr>
        <w:t xml:space="preserve"> </w:t>
      </w:r>
      <w:r w:rsidR="00CF08BC">
        <w:rPr>
          <w:rFonts w:ascii="Arial" w:hAnsi="Arial" w:cs="Arial"/>
          <w:sz w:val="24"/>
          <w:szCs w:val="24"/>
        </w:rPr>
        <w:t>and their marriage was</w:t>
      </w:r>
      <w:r w:rsidR="00E92B9D">
        <w:rPr>
          <w:rFonts w:ascii="Arial" w:hAnsi="Arial" w:cs="Arial"/>
          <w:sz w:val="24"/>
          <w:szCs w:val="24"/>
        </w:rPr>
        <w:t xml:space="preserve"> therefore not subject to</w:t>
      </w:r>
      <w:r w:rsidR="00BC275C">
        <w:rPr>
          <w:rFonts w:ascii="Arial" w:hAnsi="Arial" w:cs="Arial"/>
          <w:sz w:val="24"/>
          <w:szCs w:val="24"/>
        </w:rPr>
        <w:t xml:space="preserve"> the</w:t>
      </w:r>
      <w:r w:rsidR="00E92B9D">
        <w:rPr>
          <w:rFonts w:ascii="Arial" w:hAnsi="Arial" w:cs="Arial"/>
          <w:sz w:val="24"/>
          <w:szCs w:val="24"/>
        </w:rPr>
        <w:t xml:space="preserve"> accrual system.</w:t>
      </w:r>
      <w:r w:rsidR="00D03E8B">
        <w:rPr>
          <w:rFonts w:ascii="Arial" w:hAnsi="Arial" w:cs="Arial"/>
          <w:sz w:val="24"/>
          <w:szCs w:val="24"/>
        </w:rPr>
        <w:t xml:space="preserve"> The redistribution order was made </w:t>
      </w:r>
      <w:r w:rsidR="007052BA">
        <w:rPr>
          <w:rFonts w:ascii="Arial" w:hAnsi="Arial" w:cs="Arial"/>
          <w:sz w:val="24"/>
          <w:szCs w:val="24"/>
        </w:rPr>
        <w:t>on the basis that Mr Badenhorst</w:t>
      </w:r>
      <w:r w:rsidR="00D03E8B">
        <w:rPr>
          <w:rFonts w:ascii="Arial" w:hAnsi="Arial" w:cs="Arial"/>
          <w:sz w:val="24"/>
          <w:szCs w:val="24"/>
        </w:rPr>
        <w:t xml:space="preserve"> was found to have had full control of the trust and that he used the trust as a vehicle for his business activities.</w:t>
      </w:r>
      <w:r w:rsidR="008A389B">
        <w:rPr>
          <w:rFonts w:ascii="Arial" w:hAnsi="Arial" w:cs="Arial"/>
          <w:sz w:val="24"/>
          <w:szCs w:val="24"/>
        </w:rPr>
        <w:t xml:space="preserve"> This Court did not find that the trust was </w:t>
      </w:r>
      <w:r w:rsidR="00BC275C">
        <w:rPr>
          <w:rFonts w:ascii="Arial" w:hAnsi="Arial" w:cs="Arial"/>
          <w:sz w:val="24"/>
          <w:szCs w:val="24"/>
        </w:rPr>
        <w:t>a sham or had been abused or mad</w:t>
      </w:r>
      <w:r w:rsidR="008A389B">
        <w:rPr>
          <w:rFonts w:ascii="Arial" w:hAnsi="Arial" w:cs="Arial"/>
          <w:sz w:val="24"/>
          <w:szCs w:val="24"/>
        </w:rPr>
        <w:t>e an order that the assets of the trust were to be regarded as Mr Badenhorst’s property. It did no</w:t>
      </w:r>
      <w:r w:rsidR="00E42E8E">
        <w:rPr>
          <w:rFonts w:ascii="Arial" w:hAnsi="Arial" w:cs="Arial"/>
          <w:sz w:val="24"/>
          <w:szCs w:val="24"/>
        </w:rPr>
        <w:t>t</w:t>
      </w:r>
      <w:r w:rsidR="008A389B">
        <w:rPr>
          <w:rFonts w:ascii="Arial" w:hAnsi="Arial" w:cs="Arial"/>
          <w:sz w:val="24"/>
          <w:szCs w:val="24"/>
        </w:rPr>
        <w:t xml:space="preserve"> go behind the trust form.</w:t>
      </w:r>
      <w:r w:rsidR="0075258E">
        <w:rPr>
          <w:rFonts w:ascii="Arial" w:hAnsi="Arial" w:cs="Arial"/>
          <w:sz w:val="24"/>
          <w:szCs w:val="24"/>
        </w:rPr>
        <w:t xml:space="preserve"> Going behind the trust form is a remedy that will generally be given when the trust form is used in a dishonest or unconscionable manner to avoid an obligation</w:t>
      </w:r>
      <w:r w:rsidR="001630F0">
        <w:rPr>
          <w:rFonts w:ascii="Arial" w:hAnsi="Arial" w:cs="Arial"/>
          <w:sz w:val="24"/>
          <w:szCs w:val="24"/>
        </w:rPr>
        <w:t>.</w:t>
      </w:r>
      <w:r w:rsidR="001630F0">
        <w:rPr>
          <w:rStyle w:val="FootnoteReference"/>
          <w:rFonts w:ascii="Arial" w:hAnsi="Arial" w:cs="Arial"/>
          <w:sz w:val="24"/>
          <w:szCs w:val="24"/>
        </w:rPr>
        <w:footnoteReference w:id="13"/>
      </w:r>
      <w:r w:rsidR="002070A4">
        <w:rPr>
          <w:rFonts w:ascii="Arial" w:hAnsi="Arial" w:cs="Arial"/>
          <w:sz w:val="24"/>
          <w:szCs w:val="24"/>
        </w:rPr>
        <w:t xml:space="preserve"> </w:t>
      </w:r>
    </w:p>
    <w:p w14:paraId="6AAA0577" w14:textId="27BB66D7" w:rsidR="002070A4" w:rsidRDefault="002070A4" w:rsidP="00BF2ED6">
      <w:pPr>
        <w:spacing w:line="360" w:lineRule="auto"/>
        <w:jc w:val="both"/>
        <w:rPr>
          <w:rFonts w:ascii="Arial" w:hAnsi="Arial" w:cs="Arial"/>
          <w:sz w:val="24"/>
          <w:szCs w:val="24"/>
        </w:rPr>
      </w:pPr>
      <w:r>
        <w:rPr>
          <w:rFonts w:ascii="Arial" w:hAnsi="Arial" w:cs="Arial"/>
          <w:sz w:val="24"/>
          <w:szCs w:val="24"/>
        </w:rPr>
        <w:lastRenderedPageBreak/>
        <w:t>[3</w:t>
      </w:r>
      <w:r w:rsidR="008528AD">
        <w:rPr>
          <w:rFonts w:ascii="Arial" w:hAnsi="Arial" w:cs="Arial"/>
          <w:sz w:val="24"/>
          <w:szCs w:val="24"/>
        </w:rPr>
        <w:t>6</w:t>
      </w:r>
      <w:r>
        <w:rPr>
          <w:rFonts w:ascii="Arial" w:hAnsi="Arial" w:cs="Arial"/>
          <w:sz w:val="24"/>
          <w:szCs w:val="24"/>
        </w:rPr>
        <w:t>]</w:t>
      </w:r>
      <w:r w:rsidR="00DB686B">
        <w:rPr>
          <w:rFonts w:ascii="Arial" w:hAnsi="Arial" w:cs="Arial"/>
          <w:sz w:val="24"/>
          <w:szCs w:val="24"/>
        </w:rPr>
        <w:tab/>
      </w:r>
      <w:r>
        <w:rPr>
          <w:rFonts w:ascii="Arial" w:hAnsi="Arial" w:cs="Arial"/>
          <w:sz w:val="24"/>
          <w:szCs w:val="24"/>
        </w:rPr>
        <w:t xml:space="preserve">The evidence accordingly does not support the respondent’s contention that these trusts were established with the </w:t>
      </w:r>
      <w:r w:rsidR="00BC275C">
        <w:rPr>
          <w:rFonts w:ascii="Arial" w:hAnsi="Arial" w:cs="Arial"/>
          <w:sz w:val="24"/>
          <w:szCs w:val="24"/>
        </w:rPr>
        <w:t xml:space="preserve">fraudulent </w:t>
      </w:r>
      <w:r>
        <w:rPr>
          <w:rFonts w:ascii="Arial" w:hAnsi="Arial" w:cs="Arial"/>
          <w:sz w:val="24"/>
          <w:szCs w:val="24"/>
        </w:rPr>
        <w:t>object of defeating any of the patrimonial claims of the respondent.</w:t>
      </w:r>
    </w:p>
    <w:p w14:paraId="5D99CE31" w14:textId="3DC54559" w:rsidR="00782FDB" w:rsidRPr="00A66E23" w:rsidRDefault="006B0D5A" w:rsidP="004626FC">
      <w:pPr>
        <w:spacing w:line="360" w:lineRule="auto"/>
        <w:jc w:val="both"/>
        <w:rPr>
          <w:rFonts w:ascii="Arial" w:hAnsi="Arial" w:cs="Arial"/>
          <w:sz w:val="24"/>
          <w:szCs w:val="24"/>
        </w:rPr>
      </w:pPr>
      <w:r w:rsidRPr="00A66E23">
        <w:rPr>
          <w:rFonts w:ascii="Arial" w:hAnsi="Arial" w:cs="Arial"/>
          <w:sz w:val="24"/>
          <w:szCs w:val="24"/>
        </w:rPr>
        <w:t>[37]</w:t>
      </w:r>
      <w:r w:rsidR="004626FC">
        <w:rPr>
          <w:rFonts w:ascii="Arial" w:hAnsi="Arial" w:cs="Arial"/>
          <w:sz w:val="24"/>
          <w:szCs w:val="24"/>
        </w:rPr>
        <w:tab/>
      </w:r>
      <w:r w:rsidRPr="00A66E23">
        <w:rPr>
          <w:rFonts w:ascii="Arial" w:hAnsi="Arial" w:cs="Arial"/>
          <w:sz w:val="24"/>
          <w:szCs w:val="24"/>
        </w:rPr>
        <w:t>During the preparation of the judgmen</w:t>
      </w:r>
      <w:r w:rsidR="00144CB0">
        <w:rPr>
          <w:rFonts w:ascii="Arial" w:hAnsi="Arial" w:cs="Arial"/>
          <w:sz w:val="24"/>
          <w:szCs w:val="24"/>
        </w:rPr>
        <w:t>t</w:t>
      </w:r>
      <w:r w:rsidR="009928CC">
        <w:rPr>
          <w:rFonts w:ascii="Arial" w:hAnsi="Arial" w:cs="Arial"/>
          <w:sz w:val="24"/>
          <w:szCs w:val="24"/>
        </w:rPr>
        <w:t>,</w:t>
      </w:r>
      <w:r w:rsidRPr="00A66E23">
        <w:rPr>
          <w:rFonts w:ascii="Arial" w:hAnsi="Arial" w:cs="Arial"/>
          <w:sz w:val="24"/>
          <w:szCs w:val="24"/>
        </w:rPr>
        <w:t xml:space="preserve"> </w:t>
      </w:r>
      <w:r w:rsidR="00FB761A" w:rsidRPr="00A66E23">
        <w:rPr>
          <w:rFonts w:ascii="Arial" w:hAnsi="Arial" w:cs="Arial"/>
          <w:sz w:val="24"/>
          <w:szCs w:val="24"/>
        </w:rPr>
        <w:t>this Court on 22 June 2022</w:t>
      </w:r>
      <w:r w:rsidR="00590AFA" w:rsidRPr="00A66E23">
        <w:rPr>
          <w:rFonts w:ascii="Arial" w:hAnsi="Arial" w:cs="Arial"/>
          <w:sz w:val="24"/>
          <w:szCs w:val="24"/>
        </w:rPr>
        <w:t>,</w:t>
      </w:r>
      <w:r w:rsidR="00FB761A" w:rsidRPr="00A66E23">
        <w:rPr>
          <w:rFonts w:ascii="Arial" w:hAnsi="Arial" w:cs="Arial"/>
          <w:sz w:val="24"/>
          <w:szCs w:val="24"/>
        </w:rPr>
        <w:t xml:space="preserve"> delivered its judgment </w:t>
      </w:r>
      <w:r w:rsidRPr="00A66E23">
        <w:rPr>
          <w:rFonts w:ascii="Arial" w:hAnsi="Arial" w:cs="Arial"/>
          <w:sz w:val="24"/>
          <w:szCs w:val="24"/>
        </w:rPr>
        <w:t xml:space="preserve">in </w:t>
      </w:r>
      <w:bookmarkStart w:id="10" w:name="_Hlk107842419"/>
      <w:bookmarkStart w:id="11" w:name="_Hlk108595453"/>
      <w:r w:rsidRPr="00A66E23">
        <w:rPr>
          <w:rFonts w:ascii="Arial" w:hAnsi="Arial" w:cs="Arial"/>
          <w:i/>
          <w:iCs/>
          <w:sz w:val="24"/>
          <w:szCs w:val="24"/>
        </w:rPr>
        <w:t>P A F v S C F</w:t>
      </w:r>
      <w:r w:rsidRPr="00A66E23">
        <w:rPr>
          <w:rFonts w:ascii="Arial" w:hAnsi="Arial" w:cs="Arial"/>
          <w:sz w:val="24"/>
          <w:szCs w:val="24"/>
        </w:rPr>
        <w:t xml:space="preserve"> </w:t>
      </w:r>
      <w:bookmarkEnd w:id="10"/>
      <w:r w:rsidRPr="00A66E23">
        <w:rPr>
          <w:rFonts w:ascii="Arial" w:hAnsi="Arial" w:cs="Arial"/>
          <w:sz w:val="24"/>
          <w:szCs w:val="24"/>
        </w:rPr>
        <w:t>[2022] ZASCA 101</w:t>
      </w:r>
      <w:r w:rsidR="00D233DA" w:rsidRPr="00A66E23">
        <w:rPr>
          <w:rFonts w:ascii="Arial" w:hAnsi="Arial" w:cs="Arial"/>
          <w:sz w:val="24"/>
          <w:szCs w:val="24"/>
        </w:rPr>
        <w:t xml:space="preserve"> </w:t>
      </w:r>
      <w:bookmarkEnd w:id="11"/>
      <w:r w:rsidR="00D233DA" w:rsidRPr="00A66E23">
        <w:rPr>
          <w:rFonts w:ascii="Arial" w:hAnsi="Arial" w:cs="Arial"/>
          <w:sz w:val="24"/>
          <w:szCs w:val="24"/>
        </w:rPr>
        <w:t>(</w:t>
      </w:r>
      <w:r w:rsidR="00D233DA" w:rsidRPr="00A66E23">
        <w:rPr>
          <w:rFonts w:ascii="Arial" w:hAnsi="Arial" w:cs="Arial"/>
          <w:i/>
          <w:iCs/>
          <w:sz w:val="24"/>
          <w:szCs w:val="24"/>
        </w:rPr>
        <w:t>P A F v S C F</w:t>
      </w:r>
      <w:r w:rsidR="00D233DA" w:rsidRPr="00A66E23">
        <w:rPr>
          <w:rFonts w:ascii="Arial" w:hAnsi="Arial" w:cs="Arial"/>
          <w:sz w:val="24"/>
          <w:szCs w:val="24"/>
        </w:rPr>
        <w:t>)</w:t>
      </w:r>
      <w:r w:rsidR="00FB761A" w:rsidRPr="00A66E23">
        <w:rPr>
          <w:rFonts w:ascii="Arial" w:hAnsi="Arial" w:cs="Arial"/>
          <w:sz w:val="24"/>
          <w:szCs w:val="24"/>
        </w:rPr>
        <w:t>.</w:t>
      </w:r>
      <w:r w:rsidR="005F5EF3" w:rsidRPr="00A66E23">
        <w:rPr>
          <w:rFonts w:ascii="Arial" w:hAnsi="Arial" w:cs="Arial"/>
          <w:sz w:val="24"/>
          <w:szCs w:val="24"/>
        </w:rPr>
        <w:t xml:space="preserve"> That</w:t>
      </w:r>
      <w:r w:rsidR="008C06B5" w:rsidRPr="00A66E23">
        <w:rPr>
          <w:rFonts w:ascii="Arial" w:hAnsi="Arial" w:cs="Arial"/>
          <w:sz w:val="24"/>
          <w:szCs w:val="24"/>
        </w:rPr>
        <w:t xml:space="preserve"> case concerned an application for special leave</w:t>
      </w:r>
      <w:r w:rsidR="00896F76" w:rsidRPr="00A66E23">
        <w:rPr>
          <w:rFonts w:ascii="Arial" w:hAnsi="Arial" w:cs="Arial"/>
          <w:sz w:val="24"/>
          <w:szCs w:val="24"/>
        </w:rPr>
        <w:t xml:space="preserve"> to appeal</w:t>
      </w:r>
      <w:r w:rsidR="008C06B5" w:rsidRPr="00A66E23">
        <w:rPr>
          <w:rFonts w:ascii="Arial" w:hAnsi="Arial" w:cs="Arial"/>
          <w:sz w:val="24"/>
          <w:szCs w:val="24"/>
        </w:rPr>
        <w:t xml:space="preserve"> against the dismissal by </w:t>
      </w:r>
      <w:r w:rsidR="005F5EF3" w:rsidRPr="00A66E23">
        <w:rPr>
          <w:rFonts w:ascii="Arial" w:hAnsi="Arial" w:cs="Arial"/>
          <w:sz w:val="24"/>
          <w:szCs w:val="24"/>
        </w:rPr>
        <w:t>a</w:t>
      </w:r>
      <w:r w:rsidR="008C06B5" w:rsidRPr="00A66E23">
        <w:rPr>
          <w:rFonts w:ascii="Arial" w:hAnsi="Arial" w:cs="Arial"/>
          <w:sz w:val="24"/>
          <w:szCs w:val="24"/>
        </w:rPr>
        <w:t xml:space="preserve"> full court of the a</w:t>
      </w:r>
      <w:r w:rsidR="00EB46F1" w:rsidRPr="00A66E23">
        <w:rPr>
          <w:rFonts w:ascii="Arial" w:hAnsi="Arial" w:cs="Arial"/>
          <w:sz w:val="24"/>
          <w:szCs w:val="24"/>
        </w:rPr>
        <w:t>pplicant’s application to introduce</w:t>
      </w:r>
      <w:r w:rsidR="00FB761A" w:rsidRPr="00A66E23">
        <w:rPr>
          <w:rFonts w:ascii="Arial" w:hAnsi="Arial" w:cs="Arial"/>
          <w:sz w:val="24"/>
          <w:szCs w:val="24"/>
        </w:rPr>
        <w:t xml:space="preserve"> further evidence on appeal </w:t>
      </w:r>
      <w:r w:rsidR="00E7264B" w:rsidRPr="00A66E23">
        <w:rPr>
          <w:rFonts w:ascii="Arial" w:hAnsi="Arial" w:cs="Arial"/>
          <w:sz w:val="24"/>
          <w:szCs w:val="24"/>
        </w:rPr>
        <w:t xml:space="preserve">before the full court </w:t>
      </w:r>
      <w:r w:rsidR="00FB761A" w:rsidRPr="00A66E23">
        <w:rPr>
          <w:rFonts w:ascii="Arial" w:hAnsi="Arial" w:cs="Arial"/>
          <w:sz w:val="24"/>
          <w:szCs w:val="24"/>
        </w:rPr>
        <w:t xml:space="preserve">as well as an </w:t>
      </w:r>
      <w:r w:rsidR="008C06B5" w:rsidRPr="00A66E23">
        <w:rPr>
          <w:rFonts w:ascii="Arial" w:hAnsi="Arial" w:cs="Arial"/>
          <w:sz w:val="24"/>
          <w:szCs w:val="24"/>
        </w:rPr>
        <w:t xml:space="preserve">application to condone the </w:t>
      </w:r>
      <w:r w:rsidR="00D40336" w:rsidRPr="00A66E23">
        <w:rPr>
          <w:rFonts w:ascii="Arial" w:hAnsi="Arial" w:cs="Arial"/>
          <w:sz w:val="24"/>
          <w:szCs w:val="24"/>
        </w:rPr>
        <w:t xml:space="preserve">late </w:t>
      </w:r>
      <w:r w:rsidR="00896F76" w:rsidRPr="00A66E23">
        <w:rPr>
          <w:rFonts w:ascii="Arial" w:hAnsi="Arial" w:cs="Arial"/>
          <w:sz w:val="24"/>
          <w:szCs w:val="24"/>
        </w:rPr>
        <w:t>prosecution of the appeal</w:t>
      </w:r>
      <w:r w:rsidR="00FB761A" w:rsidRPr="00A66E23">
        <w:rPr>
          <w:rFonts w:ascii="Arial" w:hAnsi="Arial" w:cs="Arial"/>
          <w:sz w:val="24"/>
          <w:szCs w:val="24"/>
        </w:rPr>
        <w:t>.</w:t>
      </w:r>
      <w:r w:rsidR="00D40336" w:rsidRPr="00A66E23">
        <w:rPr>
          <w:rFonts w:ascii="Arial" w:hAnsi="Arial" w:cs="Arial"/>
          <w:sz w:val="24"/>
          <w:szCs w:val="24"/>
        </w:rPr>
        <w:t xml:space="preserve"> </w:t>
      </w:r>
      <w:r w:rsidR="00E7264B" w:rsidRPr="00A66E23">
        <w:rPr>
          <w:rFonts w:ascii="Arial" w:hAnsi="Arial" w:cs="Arial"/>
          <w:sz w:val="24"/>
          <w:szCs w:val="24"/>
        </w:rPr>
        <w:t>The issue</w:t>
      </w:r>
      <w:r w:rsidR="00896F76" w:rsidRPr="00A66E23">
        <w:rPr>
          <w:rFonts w:ascii="Arial" w:hAnsi="Arial" w:cs="Arial"/>
          <w:sz w:val="24"/>
          <w:szCs w:val="24"/>
        </w:rPr>
        <w:t xml:space="preserve"> was whether the high court was correct</w:t>
      </w:r>
      <w:r w:rsidR="00FB761A" w:rsidRPr="00A66E23">
        <w:rPr>
          <w:rFonts w:ascii="Arial" w:hAnsi="Arial" w:cs="Arial"/>
          <w:sz w:val="24"/>
          <w:szCs w:val="24"/>
        </w:rPr>
        <w:t xml:space="preserve"> to hold</w:t>
      </w:r>
      <w:r w:rsidR="00896F76" w:rsidRPr="00A66E23">
        <w:rPr>
          <w:rFonts w:ascii="Arial" w:hAnsi="Arial" w:cs="Arial"/>
          <w:sz w:val="24"/>
          <w:szCs w:val="24"/>
        </w:rPr>
        <w:t xml:space="preserve"> that </w:t>
      </w:r>
      <w:r w:rsidR="005F5EF3" w:rsidRPr="00A66E23">
        <w:rPr>
          <w:rFonts w:ascii="Arial" w:hAnsi="Arial" w:cs="Arial"/>
          <w:sz w:val="24"/>
          <w:szCs w:val="24"/>
        </w:rPr>
        <w:t>an</w:t>
      </w:r>
      <w:r w:rsidR="00FB761A" w:rsidRPr="00A66E23">
        <w:rPr>
          <w:rFonts w:ascii="Arial" w:hAnsi="Arial" w:cs="Arial"/>
          <w:sz w:val="24"/>
          <w:szCs w:val="24"/>
        </w:rPr>
        <w:t xml:space="preserve"> amount donated by the applicant to </w:t>
      </w:r>
      <w:r w:rsidR="005F5EF3" w:rsidRPr="00A66E23">
        <w:rPr>
          <w:rFonts w:ascii="Arial" w:hAnsi="Arial" w:cs="Arial"/>
          <w:sz w:val="24"/>
          <w:szCs w:val="24"/>
        </w:rPr>
        <w:t>a</w:t>
      </w:r>
      <w:r w:rsidR="00FB761A" w:rsidRPr="00A66E23">
        <w:rPr>
          <w:rFonts w:ascii="Arial" w:hAnsi="Arial" w:cs="Arial"/>
          <w:sz w:val="24"/>
          <w:szCs w:val="24"/>
        </w:rPr>
        <w:t xml:space="preserve"> trust </w:t>
      </w:r>
      <w:r w:rsidR="00896F76" w:rsidRPr="00A66E23">
        <w:rPr>
          <w:rFonts w:ascii="Arial" w:hAnsi="Arial" w:cs="Arial"/>
          <w:sz w:val="24"/>
          <w:szCs w:val="24"/>
        </w:rPr>
        <w:t xml:space="preserve">should be deemed to be part of the applicant’s estate for the purpose of calculating accrual. </w:t>
      </w:r>
      <w:r w:rsidR="00EB46F1" w:rsidRPr="00A66E23">
        <w:rPr>
          <w:rFonts w:ascii="Arial" w:hAnsi="Arial" w:cs="Arial"/>
          <w:sz w:val="24"/>
          <w:szCs w:val="24"/>
        </w:rPr>
        <w:t xml:space="preserve">The applicant had founded the trust under the laws of the British Virgin Islands </w:t>
      </w:r>
      <w:r w:rsidR="005F5EF3" w:rsidRPr="00A66E23">
        <w:rPr>
          <w:rFonts w:ascii="Arial" w:hAnsi="Arial" w:cs="Arial"/>
          <w:sz w:val="24"/>
          <w:szCs w:val="24"/>
        </w:rPr>
        <w:t xml:space="preserve">20 days </w:t>
      </w:r>
      <w:r w:rsidR="00EB46F1" w:rsidRPr="00A66E23">
        <w:rPr>
          <w:rFonts w:ascii="Arial" w:hAnsi="Arial" w:cs="Arial"/>
          <w:sz w:val="24"/>
          <w:szCs w:val="24"/>
        </w:rPr>
        <w:t xml:space="preserve">before the commencement of </w:t>
      </w:r>
      <w:r w:rsidR="005F5EF3" w:rsidRPr="00A66E23">
        <w:rPr>
          <w:rFonts w:ascii="Arial" w:hAnsi="Arial" w:cs="Arial"/>
          <w:sz w:val="24"/>
          <w:szCs w:val="24"/>
        </w:rPr>
        <w:t xml:space="preserve">the </w:t>
      </w:r>
      <w:r w:rsidR="00EB46F1" w:rsidRPr="00A66E23">
        <w:rPr>
          <w:rFonts w:ascii="Arial" w:hAnsi="Arial" w:cs="Arial"/>
          <w:sz w:val="24"/>
          <w:szCs w:val="24"/>
        </w:rPr>
        <w:t xml:space="preserve">divorce </w:t>
      </w:r>
      <w:r w:rsidR="005F5EF3" w:rsidRPr="00A66E23">
        <w:rPr>
          <w:rFonts w:ascii="Arial" w:hAnsi="Arial" w:cs="Arial"/>
          <w:sz w:val="24"/>
          <w:szCs w:val="24"/>
        </w:rPr>
        <w:t>trial</w:t>
      </w:r>
      <w:r w:rsidR="003E6E4B" w:rsidRPr="00A66E23">
        <w:rPr>
          <w:rFonts w:ascii="Arial" w:hAnsi="Arial" w:cs="Arial"/>
          <w:sz w:val="24"/>
          <w:szCs w:val="24"/>
        </w:rPr>
        <w:t>.</w:t>
      </w:r>
      <w:r w:rsidR="005F5EF3" w:rsidRPr="00A66E23">
        <w:rPr>
          <w:rFonts w:ascii="Arial" w:hAnsi="Arial" w:cs="Arial"/>
          <w:sz w:val="24"/>
          <w:szCs w:val="24"/>
        </w:rPr>
        <w:t xml:space="preserve"> </w:t>
      </w:r>
      <w:r w:rsidR="00177661" w:rsidRPr="00A66E23">
        <w:rPr>
          <w:rFonts w:ascii="Arial" w:hAnsi="Arial" w:cs="Arial"/>
          <w:sz w:val="24"/>
          <w:szCs w:val="24"/>
        </w:rPr>
        <w:t>On 30 January 2015, a</w:t>
      </w:r>
      <w:r w:rsidR="005F5EF3" w:rsidRPr="00A66E23">
        <w:rPr>
          <w:rFonts w:ascii="Arial" w:hAnsi="Arial" w:cs="Arial"/>
          <w:sz w:val="24"/>
          <w:szCs w:val="24"/>
        </w:rPr>
        <w:t xml:space="preserve"> day aft</w:t>
      </w:r>
      <w:r w:rsidR="00177661" w:rsidRPr="00A66E23">
        <w:rPr>
          <w:rFonts w:ascii="Arial" w:hAnsi="Arial" w:cs="Arial"/>
          <w:sz w:val="24"/>
          <w:szCs w:val="24"/>
        </w:rPr>
        <w:t>er the trust was established, he</w:t>
      </w:r>
      <w:r w:rsidR="003E6E4B" w:rsidRPr="00A66E23">
        <w:rPr>
          <w:rFonts w:ascii="Arial" w:hAnsi="Arial" w:cs="Arial"/>
          <w:sz w:val="24"/>
          <w:szCs w:val="24"/>
        </w:rPr>
        <w:t xml:space="preserve"> </w:t>
      </w:r>
      <w:r w:rsidR="00177661" w:rsidRPr="00A66E23">
        <w:rPr>
          <w:rFonts w:ascii="Arial" w:hAnsi="Arial" w:cs="Arial"/>
          <w:sz w:val="24"/>
          <w:szCs w:val="24"/>
        </w:rPr>
        <w:t xml:space="preserve">concluded a written deed of donation with the trust, in terms of which </w:t>
      </w:r>
      <w:r w:rsidR="00F83FF5" w:rsidRPr="00A66E23">
        <w:rPr>
          <w:rFonts w:ascii="Arial" w:hAnsi="Arial" w:cs="Arial"/>
          <w:sz w:val="24"/>
          <w:szCs w:val="24"/>
        </w:rPr>
        <w:t xml:space="preserve">he donated </w:t>
      </w:r>
      <w:r w:rsidR="005F5EF3" w:rsidRPr="00A66E23">
        <w:rPr>
          <w:rFonts w:ascii="Arial" w:hAnsi="Arial" w:cs="Arial"/>
          <w:sz w:val="24"/>
          <w:szCs w:val="24"/>
        </w:rPr>
        <w:t xml:space="preserve">the </w:t>
      </w:r>
      <w:r w:rsidR="00F83FF5" w:rsidRPr="00A66E23">
        <w:rPr>
          <w:rFonts w:ascii="Arial" w:hAnsi="Arial" w:cs="Arial"/>
          <w:sz w:val="24"/>
          <w:szCs w:val="24"/>
        </w:rPr>
        <w:t xml:space="preserve">sum of </w:t>
      </w:r>
      <w:r w:rsidR="009313EB" w:rsidRPr="00A66E23">
        <w:rPr>
          <w:rFonts w:ascii="Arial" w:hAnsi="Arial" w:cs="Arial"/>
          <w:sz w:val="24"/>
          <w:szCs w:val="24"/>
        </w:rPr>
        <w:t>£115 000</w:t>
      </w:r>
      <w:r w:rsidR="00177661" w:rsidRPr="00A66E23">
        <w:rPr>
          <w:rFonts w:ascii="Arial" w:hAnsi="Arial" w:cs="Arial"/>
          <w:sz w:val="24"/>
          <w:szCs w:val="24"/>
        </w:rPr>
        <w:t xml:space="preserve"> to the trust, which was paid in March 2015. During the same month</w:t>
      </w:r>
      <w:r w:rsidR="00590AFA" w:rsidRPr="00A66E23">
        <w:rPr>
          <w:rFonts w:ascii="Arial" w:hAnsi="Arial" w:cs="Arial"/>
          <w:sz w:val="24"/>
          <w:szCs w:val="24"/>
        </w:rPr>
        <w:t>,</w:t>
      </w:r>
      <w:r w:rsidR="00177661" w:rsidRPr="00A66E23">
        <w:rPr>
          <w:rFonts w:ascii="Arial" w:hAnsi="Arial" w:cs="Arial"/>
          <w:sz w:val="24"/>
          <w:szCs w:val="24"/>
        </w:rPr>
        <w:t xml:space="preserve"> he transferred an amount of </w:t>
      </w:r>
      <w:r w:rsidR="009313EB" w:rsidRPr="00A66E23">
        <w:rPr>
          <w:rFonts w:ascii="Arial" w:hAnsi="Arial" w:cs="Arial"/>
          <w:sz w:val="24"/>
          <w:szCs w:val="24"/>
        </w:rPr>
        <w:t xml:space="preserve">£125 000 </w:t>
      </w:r>
      <w:r w:rsidR="00177661" w:rsidRPr="00A66E23">
        <w:rPr>
          <w:rFonts w:ascii="Arial" w:hAnsi="Arial" w:cs="Arial"/>
          <w:sz w:val="24"/>
          <w:szCs w:val="24"/>
        </w:rPr>
        <w:t>into the bank account of his father, supposedly the repayment of a loa</w:t>
      </w:r>
      <w:r w:rsidR="008352F9" w:rsidRPr="00A66E23">
        <w:rPr>
          <w:rFonts w:ascii="Arial" w:hAnsi="Arial" w:cs="Arial"/>
          <w:sz w:val="24"/>
          <w:szCs w:val="24"/>
        </w:rPr>
        <w:t xml:space="preserve">n which his father had made to </w:t>
      </w:r>
      <w:r w:rsidR="00177661" w:rsidRPr="00A66E23">
        <w:rPr>
          <w:rFonts w:ascii="Arial" w:hAnsi="Arial" w:cs="Arial"/>
          <w:sz w:val="24"/>
          <w:szCs w:val="24"/>
        </w:rPr>
        <w:t>him some 25 years earlier.</w:t>
      </w:r>
      <w:r w:rsidR="00A253B4" w:rsidRPr="00A66E23">
        <w:rPr>
          <w:rFonts w:ascii="Arial" w:hAnsi="Arial" w:cs="Arial"/>
          <w:sz w:val="24"/>
          <w:szCs w:val="24"/>
        </w:rPr>
        <w:t xml:space="preserve"> </w:t>
      </w:r>
    </w:p>
    <w:p w14:paraId="4CB3DD9C" w14:textId="272E0E79" w:rsidR="00673378" w:rsidRPr="00A66E23" w:rsidRDefault="00782FDB" w:rsidP="004626FC">
      <w:pPr>
        <w:spacing w:line="360" w:lineRule="auto"/>
        <w:jc w:val="both"/>
        <w:rPr>
          <w:rFonts w:ascii="Arial" w:hAnsi="Arial" w:cs="Arial"/>
          <w:sz w:val="24"/>
          <w:szCs w:val="24"/>
        </w:rPr>
      </w:pPr>
      <w:r w:rsidRPr="00A66E23">
        <w:rPr>
          <w:rFonts w:ascii="Arial" w:hAnsi="Arial" w:cs="Arial"/>
          <w:sz w:val="24"/>
          <w:szCs w:val="24"/>
        </w:rPr>
        <w:t>[38]</w:t>
      </w:r>
      <w:r w:rsidRPr="00A66E23">
        <w:rPr>
          <w:rFonts w:ascii="Arial" w:hAnsi="Arial" w:cs="Arial"/>
          <w:sz w:val="24"/>
          <w:szCs w:val="24"/>
        </w:rPr>
        <w:tab/>
      </w:r>
      <w:r w:rsidR="00A253B4" w:rsidRPr="00A66E23">
        <w:rPr>
          <w:rFonts w:ascii="Arial" w:hAnsi="Arial" w:cs="Arial"/>
          <w:sz w:val="24"/>
          <w:szCs w:val="24"/>
        </w:rPr>
        <w:t xml:space="preserve">The respondent amended her counterclaim </w:t>
      </w:r>
      <w:r w:rsidR="00590AFA" w:rsidRPr="00A66E23">
        <w:rPr>
          <w:rFonts w:ascii="Arial" w:hAnsi="Arial" w:cs="Arial"/>
          <w:sz w:val="24"/>
          <w:szCs w:val="24"/>
        </w:rPr>
        <w:t>to</w:t>
      </w:r>
      <w:r w:rsidR="00A253B4" w:rsidRPr="00A66E23">
        <w:rPr>
          <w:rFonts w:ascii="Arial" w:hAnsi="Arial" w:cs="Arial"/>
          <w:sz w:val="24"/>
          <w:szCs w:val="24"/>
        </w:rPr>
        <w:t xml:space="preserve"> include a prayer </w:t>
      </w:r>
      <w:r w:rsidR="00973826" w:rsidRPr="00A66E23">
        <w:rPr>
          <w:rFonts w:ascii="Arial" w:hAnsi="Arial" w:cs="Arial"/>
          <w:sz w:val="24"/>
          <w:szCs w:val="24"/>
        </w:rPr>
        <w:t xml:space="preserve">that </w:t>
      </w:r>
      <w:r w:rsidR="00A253B4" w:rsidRPr="00A66E23">
        <w:rPr>
          <w:rFonts w:ascii="Arial" w:hAnsi="Arial" w:cs="Arial"/>
          <w:sz w:val="24"/>
          <w:szCs w:val="24"/>
        </w:rPr>
        <w:t>the calculation of the accrual should take into account the value of these transactions.</w:t>
      </w:r>
      <w:r w:rsidR="00973826" w:rsidRPr="00A66E23">
        <w:rPr>
          <w:rFonts w:ascii="Arial" w:hAnsi="Arial" w:cs="Arial"/>
          <w:sz w:val="24"/>
          <w:szCs w:val="24"/>
        </w:rPr>
        <w:t xml:space="preserve"> </w:t>
      </w:r>
      <w:r w:rsidR="00A63A28" w:rsidRPr="00A66E23">
        <w:rPr>
          <w:rFonts w:ascii="Arial" w:hAnsi="Arial" w:cs="Arial"/>
          <w:sz w:val="24"/>
          <w:szCs w:val="24"/>
        </w:rPr>
        <w:t>The</w:t>
      </w:r>
      <w:r w:rsidR="006A21AF" w:rsidRPr="00A66E23">
        <w:rPr>
          <w:rFonts w:ascii="Arial" w:hAnsi="Arial" w:cs="Arial"/>
          <w:sz w:val="24"/>
          <w:szCs w:val="24"/>
        </w:rPr>
        <w:t xml:space="preserve"> trial</w:t>
      </w:r>
      <w:r w:rsidR="00A253B4" w:rsidRPr="00A66E23">
        <w:rPr>
          <w:rFonts w:ascii="Arial" w:hAnsi="Arial" w:cs="Arial"/>
          <w:sz w:val="24"/>
          <w:szCs w:val="24"/>
        </w:rPr>
        <w:t xml:space="preserve"> court concluded that the</w:t>
      </w:r>
      <w:r w:rsidR="00A63A28" w:rsidRPr="00A66E23">
        <w:rPr>
          <w:rFonts w:ascii="Arial" w:hAnsi="Arial" w:cs="Arial"/>
          <w:sz w:val="24"/>
          <w:szCs w:val="24"/>
        </w:rPr>
        <w:t xml:space="preserve"> two transactions were made with the fraudulent intention of depriving </w:t>
      </w:r>
      <w:r w:rsidR="00590AFA" w:rsidRPr="00A66E23">
        <w:rPr>
          <w:rFonts w:ascii="Arial" w:hAnsi="Arial" w:cs="Arial"/>
          <w:sz w:val="24"/>
          <w:szCs w:val="24"/>
        </w:rPr>
        <w:t xml:space="preserve">the </w:t>
      </w:r>
      <w:r w:rsidR="00A63A28" w:rsidRPr="00A66E23">
        <w:rPr>
          <w:rFonts w:ascii="Arial" w:hAnsi="Arial" w:cs="Arial"/>
          <w:sz w:val="24"/>
          <w:szCs w:val="24"/>
        </w:rPr>
        <w:t>respondent of her rightful accrual claim.</w:t>
      </w:r>
      <w:r w:rsidRPr="00A66E23">
        <w:rPr>
          <w:rFonts w:ascii="Arial" w:hAnsi="Arial" w:cs="Arial"/>
          <w:sz w:val="24"/>
          <w:szCs w:val="24"/>
        </w:rPr>
        <w:t xml:space="preserve"> </w:t>
      </w:r>
      <w:r w:rsidR="00673378" w:rsidRPr="00A66E23">
        <w:rPr>
          <w:rFonts w:ascii="Arial" w:hAnsi="Arial" w:cs="Arial"/>
          <w:sz w:val="24"/>
          <w:szCs w:val="24"/>
        </w:rPr>
        <w:t xml:space="preserve">The evidence </w:t>
      </w:r>
      <w:r w:rsidR="00590AFA" w:rsidRPr="00A66E23">
        <w:rPr>
          <w:rFonts w:ascii="Arial" w:hAnsi="Arial" w:cs="Arial"/>
          <w:sz w:val="24"/>
          <w:szCs w:val="24"/>
        </w:rPr>
        <w:t>that</w:t>
      </w:r>
      <w:r w:rsidR="00673378" w:rsidRPr="00A66E23">
        <w:rPr>
          <w:rFonts w:ascii="Arial" w:hAnsi="Arial" w:cs="Arial"/>
          <w:sz w:val="24"/>
          <w:szCs w:val="24"/>
        </w:rPr>
        <w:t xml:space="preserve"> the applicant sought to introduce on appeal before the full court was that he had obtained a written legal opinion regarding the lawfulness of establishing the trust and the opinion itself. The outcome of the application for special leave to appeal depended on the admission of this further evidence. </w:t>
      </w:r>
    </w:p>
    <w:p w14:paraId="559DBB1C" w14:textId="6BE60765" w:rsidR="00973826" w:rsidRPr="005F4409" w:rsidRDefault="00673378" w:rsidP="00D233DA">
      <w:pPr>
        <w:spacing w:after="0" w:line="360" w:lineRule="auto"/>
        <w:jc w:val="both"/>
        <w:rPr>
          <w:rFonts w:ascii="Arial" w:hAnsi="Arial" w:cs="Arial"/>
          <w:sz w:val="24"/>
          <w:szCs w:val="24"/>
        </w:rPr>
      </w:pPr>
      <w:r w:rsidRPr="00A66E23">
        <w:rPr>
          <w:rFonts w:ascii="Arial" w:hAnsi="Arial" w:cs="Arial"/>
          <w:sz w:val="24"/>
          <w:szCs w:val="24"/>
        </w:rPr>
        <w:t>[39]</w:t>
      </w:r>
      <w:r w:rsidRPr="00A66E23">
        <w:rPr>
          <w:rFonts w:ascii="Arial" w:hAnsi="Arial" w:cs="Arial"/>
          <w:sz w:val="24"/>
          <w:szCs w:val="24"/>
        </w:rPr>
        <w:tab/>
        <w:t xml:space="preserve">This Court dismissed the application for special leave </w:t>
      </w:r>
      <w:r w:rsidR="006A21AF" w:rsidRPr="00A66E23">
        <w:rPr>
          <w:rFonts w:ascii="Arial" w:hAnsi="Arial" w:cs="Arial"/>
          <w:sz w:val="24"/>
          <w:szCs w:val="24"/>
        </w:rPr>
        <w:t xml:space="preserve">to appeal </w:t>
      </w:r>
      <w:r w:rsidRPr="00A66E23">
        <w:rPr>
          <w:rFonts w:ascii="Arial" w:hAnsi="Arial" w:cs="Arial"/>
          <w:sz w:val="24"/>
          <w:szCs w:val="24"/>
        </w:rPr>
        <w:t>on the basis that the application to introduce further evidence had</w:t>
      </w:r>
      <w:r w:rsidR="00387619" w:rsidRPr="00A66E23">
        <w:rPr>
          <w:rFonts w:ascii="Arial" w:hAnsi="Arial" w:cs="Arial"/>
          <w:sz w:val="24"/>
          <w:szCs w:val="24"/>
        </w:rPr>
        <w:t xml:space="preserve"> no merit. It held that the full court </w:t>
      </w:r>
      <w:r w:rsidR="006A21AF" w:rsidRPr="00A66E23">
        <w:rPr>
          <w:rFonts w:ascii="Arial" w:hAnsi="Arial" w:cs="Arial"/>
          <w:sz w:val="24"/>
          <w:szCs w:val="24"/>
        </w:rPr>
        <w:t xml:space="preserve">had </w:t>
      </w:r>
      <w:r w:rsidR="00387619" w:rsidRPr="00A66E23">
        <w:rPr>
          <w:rFonts w:ascii="Arial" w:hAnsi="Arial" w:cs="Arial"/>
          <w:sz w:val="24"/>
          <w:szCs w:val="24"/>
        </w:rPr>
        <w:t>correct</w:t>
      </w:r>
      <w:r w:rsidR="006A21AF" w:rsidRPr="00A66E23">
        <w:rPr>
          <w:rFonts w:ascii="Arial" w:hAnsi="Arial" w:cs="Arial"/>
          <w:sz w:val="24"/>
          <w:szCs w:val="24"/>
        </w:rPr>
        <w:t xml:space="preserve">ly refused </w:t>
      </w:r>
      <w:r w:rsidR="00387619" w:rsidRPr="00A66E23">
        <w:rPr>
          <w:rFonts w:ascii="Arial" w:hAnsi="Arial" w:cs="Arial"/>
          <w:sz w:val="24"/>
          <w:szCs w:val="24"/>
        </w:rPr>
        <w:t>condonation for the</w:t>
      </w:r>
      <w:r w:rsidR="006A21AF" w:rsidRPr="00A66E23">
        <w:rPr>
          <w:rFonts w:ascii="Arial" w:hAnsi="Arial" w:cs="Arial"/>
          <w:sz w:val="24"/>
          <w:szCs w:val="24"/>
        </w:rPr>
        <w:t xml:space="preserve"> late prosecution of the appeal, as the applicant had not given </w:t>
      </w:r>
      <w:r w:rsidR="00B6116B" w:rsidRPr="00A66E23">
        <w:rPr>
          <w:rFonts w:ascii="Arial" w:hAnsi="Arial" w:cs="Arial"/>
          <w:sz w:val="24"/>
          <w:szCs w:val="24"/>
        </w:rPr>
        <w:t xml:space="preserve">a </w:t>
      </w:r>
      <w:r w:rsidR="006A21AF" w:rsidRPr="00A66E23">
        <w:rPr>
          <w:rFonts w:ascii="Arial" w:hAnsi="Arial" w:cs="Arial"/>
          <w:sz w:val="24"/>
          <w:szCs w:val="24"/>
        </w:rPr>
        <w:t>satisfactory explanation for his delay.</w:t>
      </w:r>
      <w:r w:rsidR="00387619" w:rsidRPr="005F4409">
        <w:rPr>
          <w:rFonts w:ascii="Arial" w:hAnsi="Arial" w:cs="Arial"/>
          <w:sz w:val="24"/>
          <w:szCs w:val="24"/>
        </w:rPr>
        <w:t xml:space="preserve">  </w:t>
      </w:r>
    </w:p>
    <w:p w14:paraId="333EFDF1" w14:textId="77777777" w:rsidR="00973826" w:rsidRDefault="00973826" w:rsidP="00D233DA">
      <w:pPr>
        <w:spacing w:after="0" w:line="360" w:lineRule="auto"/>
        <w:jc w:val="both"/>
        <w:rPr>
          <w:rFonts w:ascii="Arial" w:hAnsi="Arial" w:cs="Arial"/>
          <w:sz w:val="24"/>
          <w:szCs w:val="24"/>
          <w:highlight w:val="cyan"/>
        </w:rPr>
      </w:pPr>
    </w:p>
    <w:p w14:paraId="1C04F3FA" w14:textId="63285196" w:rsidR="00015C1E" w:rsidRPr="00A66E23" w:rsidRDefault="00673378" w:rsidP="004626FC">
      <w:pPr>
        <w:spacing w:line="360" w:lineRule="auto"/>
        <w:jc w:val="both"/>
        <w:rPr>
          <w:rFonts w:ascii="Arial" w:hAnsi="Arial" w:cs="Arial"/>
          <w:sz w:val="24"/>
          <w:szCs w:val="24"/>
        </w:rPr>
      </w:pPr>
      <w:r w:rsidRPr="00A66E23">
        <w:rPr>
          <w:rFonts w:ascii="Arial" w:hAnsi="Arial" w:cs="Arial"/>
          <w:sz w:val="24"/>
          <w:szCs w:val="24"/>
        </w:rPr>
        <w:lastRenderedPageBreak/>
        <w:t>[</w:t>
      </w:r>
      <w:r w:rsidR="00EE5EDD" w:rsidRPr="00A66E23">
        <w:rPr>
          <w:rFonts w:ascii="Arial" w:hAnsi="Arial" w:cs="Arial"/>
          <w:sz w:val="24"/>
          <w:szCs w:val="24"/>
        </w:rPr>
        <w:t>40</w:t>
      </w:r>
      <w:r w:rsidRPr="00A66E23">
        <w:rPr>
          <w:rFonts w:ascii="Arial" w:hAnsi="Arial" w:cs="Arial"/>
          <w:sz w:val="24"/>
          <w:szCs w:val="24"/>
        </w:rPr>
        <w:t>]</w:t>
      </w:r>
      <w:r w:rsidRPr="00A66E23">
        <w:rPr>
          <w:rFonts w:ascii="Arial" w:hAnsi="Arial" w:cs="Arial"/>
          <w:sz w:val="24"/>
          <w:szCs w:val="24"/>
        </w:rPr>
        <w:tab/>
      </w:r>
      <w:r w:rsidR="00782FDB" w:rsidRPr="00A66E23">
        <w:rPr>
          <w:rFonts w:ascii="Arial" w:hAnsi="Arial" w:cs="Arial"/>
          <w:sz w:val="24"/>
          <w:szCs w:val="24"/>
        </w:rPr>
        <w:t xml:space="preserve">The facts in </w:t>
      </w:r>
      <w:r w:rsidR="00782FDB" w:rsidRPr="00A66E23">
        <w:rPr>
          <w:rFonts w:ascii="Arial" w:hAnsi="Arial" w:cs="Arial"/>
          <w:i/>
          <w:iCs/>
          <w:sz w:val="24"/>
          <w:szCs w:val="24"/>
        </w:rPr>
        <w:t xml:space="preserve">P A F v S C F </w:t>
      </w:r>
      <w:r w:rsidR="00782FDB" w:rsidRPr="00A66E23">
        <w:rPr>
          <w:rFonts w:ascii="Arial" w:hAnsi="Arial" w:cs="Arial"/>
          <w:iCs/>
          <w:sz w:val="24"/>
          <w:szCs w:val="24"/>
        </w:rPr>
        <w:t xml:space="preserve">are however clearly distinguishable. </w:t>
      </w:r>
      <w:r w:rsidRPr="00A66E23">
        <w:rPr>
          <w:rFonts w:ascii="Arial" w:hAnsi="Arial" w:cs="Arial"/>
          <w:iCs/>
          <w:sz w:val="24"/>
          <w:szCs w:val="24"/>
        </w:rPr>
        <w:t xml:space="preserve">There it was alleged, and the trial </w:t>
      </w:r>
      <w:r w:rsidR="00387619" w:rsidRPr="00A66E23">
        <w:rPr>
          <w:rFonts w:ascii="Arial" w:hAnsi="Arial" w:cs="Arial"/>
          <w:iCs/>
          <w:sz w:val="24"/>
          <w:szCs w:val="24"/>
        </w:rPr>
        <w:t xml:space="preserve">was </w:t>
      </w:r>
      <w:r w:rsidRPr="00A66E23">
        <w:rPr>
          <w:rFonts w:ascii="Arial" w:hAnsi="Arial" w:cs="Arial"/>
          <w:iCs/>
          <w:sz w:val="24"/>
          <w:szCs w:val="24"/>
        </w:rPr>
        <w:t xml:space="preserve">conducted on the basis </w:t>
      </w:r>
      <w:r w:rsidR="00782FDB" w:rsidRPr="00A66E23">
        <w:rPr>
          <w:rFonts w:ascii="Arial" w:hAnsi="Arial" w:cs="Arial"/>
          <w:iCs/>
          <w:sz w:val="24"/>
          <w:szCs w:val="24"/>
        </w:rPr>
        <w:t xml:space="preserve">that by creating the trust and making a donation to it, the applicant had abused the trust form in order to reduce the respondent’s accrual claim, which entitled the </w:t>
      </w:r>
      <w:r w:rsidR="00387619" w:rsidRPr="00A66E23">
        <w:rPr>
          <w:rFonts w:ascii="Arial" w:hAnsi="Arial" w:cs="Arial"/>
          <w:iCs/>
          <w:sz w:val="24"/>
          <w:szCs w:val="24"/>
        </w:rPr>
        <w:t xml:space="preserve">trial </w:t>
      </w:r>
      <w:r w:rsidR="00782FDB" w:rsidRPr="00A66E23">
        <w:rPr>
          <w:rFonts w:ascii="Arial" w:hAnsi="Arial" w:cs="Arial"/>
          <w:iCs/>
          <w:sz w:val="24"/>
          <w:szCs w:val="24"/>
        </w:rPr>
        <w:t>court to pierce the trust veneer,</w:t>
      </w:r>
      <w:r w:rsidR="002740FB" w:rsidRPr="00A66E23">
        <w:rPr>
          <w:rStyle w:val="FootnoteReference"/>
          <w:rFonts w:ascii="Arial" w:hAnsi="Arial" w:cs="Arial"/>
          <w:iCs/>
          <w:sz w:val="24"/>
          <w:szCs w:val="24"/>
        </w:rPr>
        <w:footnoteReference w:id="14"/>
      </w:r>
      <w:r w:rsidR="00782FDB" w:rsidRPr="00A66E23">
        <w:rPr>
          <w:rFonts w:ascii="Arial" w:hAnsi="Arial" w:cs="Arial"/>
          <w:iCs/>
          <w:sz w:val="24"/>
          <w:szCs w:val="24"/>
        </w:rPr>
        <w:t xml:space="preserve"> consistent with the principle stated in </w:t>
      </w:r>
      <w:r w:rsidR="00782FDB" w:rsidRPr="00A66E23">
        <w:rPr>
          <w:rFonts w:ascii="Arial" w:hAnsi="Arial" w:cs="Arial"/>
          <w:i/>
          <w:iCs/>
          <w:sz w:val="24"/>
          <w:szCs w:val="24"/>
        </w:rPr>
        <w:t>Badenhorst</w:t>
      </w:r>
      <w:r w:rsidR="00782FDB" w:rsidRPr="00A66E23">
        <w:rPr>
          <w:rFonts w:ascii="Arial" w:hAnsi="Arial" w:cs="Arial"/>
          <w:iCs/>
          <w:sz w:val="24"/>
          <w:szCs w:val="24"/>
        </w:rPr>
        <w:t>. That is not the case here.</w:t>
      </w:r>
      <w:r w:rsidR="00015C1E" w:rsidRPr="00A66E23">
        <w:rPr>
          <w:rFonts w:ascii="Arial" w:hAnsi="Arial" w:cs="Arial"/>
          <w:sz w:val="24"/>
          <w:szCs w:val="24"/>
        </w:rPr>
        <w:t xml:space="preserve"> </w:t>
      </w:r>
    </w:p>
    <w:p w14:paraId="160F03BD" w14:textId="67420D0D" w:rsidR="002070A4" w:rsidRPr="00A66E23" w:rsidRDefault="00660D1B" w:rsidP="003E6E4B">
      <w:pPr>
        <w:spacing w:after="0" w:line="360" w:lineRule="auto"/>
        <w:jc w:val="both"/>
        <w:rPr>
          <w:rFonts w:ascii="Arial" w:hAnsi="Arial" w:cs="Arial"/>
          <w:sz w:val="24"/>
          <w:szCs w:val="24"/>
        </w:rPr>
      </w:pPr>
      <w:r w:rsidRPr="00A66E23">
        <w:rPr>
          <w:rFonts w:ascii="Arial" w:hAnsi="Arial" w:cs="Arial"/>
          <w:sz w:val="24"/>
          <w:szCs w:val="24"/>
        </w:rPr>
        <w:t>[4</w:t>
      </w:r>
      <w:r w:rsidR="00EE5EDD" w:rsidRPr="00A66E23">
        <w:rPr>
          <w:rFonts w:ascii="Arial" w:hAnsi="Arial" w:cs="Arial"/>
          <w:sz w:val="24"/>
          <w:szCs w:val="24"/>
        </w:rPr>
        <w:t>1</w:t>
      </w:r>
      <w:r w:rsidR="009540EF" w:rsidRPr="00A66E23">
        <w:rPr>
          <w:rFonts w:ascii="Arial" w:hAnsi="Arial" w:cs="Arial"/>
          <w:sz w:val="24"/>
          <w:szCs w:val="24"/>
        </w:rPr>
        <w:t>]</w:t>
      </w:r>
      <w:r w:rsidR="00DB686B" w:rsidRPr="00A66E23">
        <w:rPr>
          <w:rFonts w:ascii="Arial" w:hAnsi="Arial" w:cs="Arial"/>
          <w:sz w:val="24"/>
          <w:szCs w:val="24"/>
        </w:rPr>
        <w:tab/>
      </w:r>
      <w:r w:rsidR="009540EF" w:rsidRPr="00A66E23">
        <w:rPr>
          <w:rFonts w:ascii="Arial" w:hAnsi="Arial" w:cs="Arial"/>
          <w:sz w:val="24"/>
          <w:szCs w:val="24"/>
        </w:rPr>
        <w:t>In the result, the following order is made:</w:t>
      </w:r>
    </w:p>
    <w:p w14:paraId="5A0B5E1A" w14:textId="0E314ED8" w:rsidR="009540EF" w:rsidRPr="00A66E23" w:rsidRDefault="009540EF" w:rsidP="00BF2ED6">
      <w:pPr>
        <w:spacing w:line="360" w:lineRule="auto"/>
        <w:jc w:val="both"/>
        <w:rPr>
          <w:rFonts w:ascii="Arial" w:hAnsi="Arial" w:cs="Arial"/>
          <w:sz w:val="24"/>
          <w:szCs w:val="24"/>
        </w:rPr>
      </w:pPr>
      <w:bookmarkStart w:id="12" w:name="_Hlk106027697"/>
      <w:r w:rsidRPr="00A66E23">
        <w:rPr>
          <w:rFonts w:ascii="Arial" w:hAnsi="Arial" w:cs="Arial"/>
          <w:sz w:val="24"/>
          <w:szCs w:val="24"/>
        </w:rPr>
        <w:t>1</w:t>
      </w:r>
      <w:r w:rsidR="00DB686B" w:rsidRPr="00A66E23">
        <w:rPr>
          <w:rFonts w:ascii="Arial" w:hAnsi="Arial" w:cs="Arial"/>
          <w:sz w:val="24"/>
          <w:szCs w:val="24"/>
        </w:rPr>
        <w:tab/>
      </w:r>
      <w:r w:rsidRPr="00A66E23">
        <w:rPr>
          <w:rFonts w:ascii="Arial" w:hAnsi="Arial" w:cs="Arial"/>
          <w:sz w:val="24"/>
          <w:szCs w:val="24"/>
        </w:rPr>
        <w:t>The appeal is upheld with costs including costs of two counsel;</w:t>
      </w:r>
    </w:p>
    <w:p w14:paraId="4B80F84D" w14:textId="75400198" w:rsidR="009540EF" w:rsidRPr="00A66E23" w:rsidRDefault="009540EF" w:rsidP="009A4884">
      <w:pPr>
        <w:spacing w:after="0" w:line="360" w:lineRule="auto"/>
        <w:jc w:val="both"/>
        <w:rPr>
          <w:rFonts w:ascii="Arial" w:hAnsi="Arial" w:cs="Arial"/>
          <w:sz w:val="24"/>
          <w:szCs w:val="24"/>
        </w:rPr>
      </w:pPr>
      <w:r w:rsidRPr="00A66E23">
        <w:rPr>
          <w:rFonts w:ascii="Arial" w:hAnsi="Arial" w:cs="Arial"/>
          <w:sz w:val="24"/>
          <w:szCs w:val="24"/>
        </w:rPr>
        <w:t>2</w:t>
      </w:r>
      <w:r w:rsidR="00DB686B" w:rsidRPr="00A66E23">
        <w:rPr>
          <w:rFonts w:ascii="Arial" w:hAnsi="Arial" w:cs="Arial"/>
          <w:sz w:val="24"/>
          <w:szCs w:val="24"/>
        </w:rPr>
        <w:tab/>
      </w:r>
      <w:r w:rsidRPr="00A66E23">
        <w:rPr>
          <w:rFonts w:ascii="Arial" w:hAnsi="Arial" w:cs="Arial"/>
          <w:sz w:val="24"/>
          <w:szCs w:val="24"/>
        </w:rPr>
        <w:t>Paragraphs 2 and 6 of the High Court order are set aside and are re</w:t>
      </w:r>
      <w:r w:rsidR="00932AF6">
        <w:rPr>
          <w:rFonts w:ascii="Arial" w:hAnsi="Arial" w:cs="Arial"/>
          <w:sz w:val="24"/>
          <w:szCs w:val="24"/>
        </w:rPr>
        <w:t>placed with the following order</w:t>
      </w:r>
      <w:r w:rsidRPr="00A66E23">
        <w:rPr>
          <w:rFonts w:ascii="Arial" w:hAnsi="Arial" w:cs="Arial"/>
          <w:sz w:val="24"/>
          <w:szCs w:val="24"/>
        </w:rPr>
        <w:t>:</w:t>
      </w:r>
    </w:p>
    <w:p w14:paraId="1B92734C" w14:textId="338A1D87" w:rsidR="009540EF" w:rsidRPr="007234A1" w:rsidRDefault="009540EF" w:rsidP="009A4884">
      <w:pPr>
        <w:spacing w:after="0" w:line="360" w:lineRule="auto"/>
        <w:jc w:val="both"/>
        <w:rPr>
          <w:rFonts w:ascii="Arial" w:hAnsi="Arial" w:cs="Arial"/>
          <w:sz w:val="24"/>
          <w:szCs w:val="24"/>
        </w:rPr>
      </w:pPr>
      <w:r w:rsidRPr="00A66E23">
        <w:rPr>
          <w:rFonts w:ascii="Arial" w:hAnsi="Arial" w:cs="Arial"/>
          <w:sz w:val="24"/>
          <w:szCs w:val="24"/>
        </w:rPr>
        <w:t xml:space="preserve">‘The plaintiff’s claim for an order that the assets of the Koens Besigheids Trust, the </w:t>
      </w:r>
      <w:r w:rsidR="00BC275C" w:rsidRPr="00A66E23">
        <w:rPr>
          <w:rFonts w:ascii="Arial" w:hAnsi="Arial" w:cs="Arial"/>
          <w:sz w:val="24"/>
          <w:szCs w:val="24"/>
        </w:rPr>
        <w:t>Koens Familie Trust, the Bulhoek</w:t>
      </w:r>
      <w:r w:rsidRPr="00A66E23">
        <w:rPr>
          <w:rFonts w:ascii="Arial" w:hAnsi="Arial" w:cs="Arial"/>
          <w:sz w:val="24"/>
          <w:szCs w:val="24"/>
        </w:rPr>
        <w:t xml:space="preserve"> Trust and Olivia Wildplaas CC are to be used to calculate the accrual of the first defendant’s estate is dismissed with costs</w:t>
      </w:r>
      <w:r w:rsidR="00932AF6">
        <w:rPr>
          <w:rFonts w:ascii="Arial" w:hAnsi="Arial" w:cs="Arial"/>
          <w:sz w:val="24"/>
          <w:szCs w:val="24"/>
        </w:rPr>
        <w:t>,</w:t>
      </w:r>
      <w:r w:rsidRPr="00A66E23">
        <w:rPr>
          <w:rFonts w:ascii="Arial" w:hAnsi="Arial" w:cs="Arial"/>
          <w:sz w:val="24"/>
          <w:szCs w:val="24"/>
        </w:rPr>
        <w:t xml:space="preserve"> including </w:t>
      </w:r>
      <w:r w:rsidR="009E54B6" w:rsidRPr="00A66E23">
        <w:rPr>
          <w:rFonts w:ascii="Arial" w:hAnsi="Arial" w:cs="Arial"/>
          <w:sz w:val="24"/>
          <w:szCs w:val="24"/>
        </w:rPr>
        <w:t xml:space="preserve">the </w:t>
      </w:r>
      <w:r w:rsidRPr="00A66E23">
        <w:rPr>
          <w:rFonts w:ascii="Arial" w:hAnsi="Arial" w:cs="Arial"/>
          <w:sz w:val="24"/>
          <w:szCs w:val="24"/>
        </w:rPr>
        <w:t xml:space="preserve">costs of two counsel where </w:t>
      </w:r>
      <w:r w:rsidR="009E54B6" w:rsidRPr="00A66E23">
        <w:rPr>
          <w:rFonts w:ascii="Arial" w:hAnsi="Arial" w:cs="Arial"/>
          <w:sz w:val="24"/>
          <w:szCs w:val="24"/>
        </w:rPr>
        <w:t xml:space="preserve">so </w:t>
      </w:r>
      <w:r w:rsidRPr="00A66E23">
        <w:rPr>
          <w:rFonts w:ascii="Arial" w:hAnsi="Arial" w:cs="Arial"/>
          <w:sz w:val="24"/>
          <w:szCs w:val="24"/>
        </w:rPr>
        <w:t>employed.’</w:t>
      </w:r>
    </w:p>
    <w:bookmarkEnd w:id="12"/>
    <w:p w14:paraId="1A7D51D6" w14:textId="498EDE65" w:rsidR="007844E3" w:rsidRDefault="007844E3" w:rsidP="00BF2ED6">
      <w:pPr>
        <w:spacing w:line="360" w:lineRule="auto"/>
        <w:jc w:val="both"/>
        <w:rPr>
          <w:rFonts w:ascii="Arial" w:hAnsi="Arial" w:cs="Arial"/>
          <w:sz w:val="24"/>
          <w:szCs w:val="24"/>
        </w:rPr>
      </w:pPr>
    </w:p>
    <w:p w14:paraId="08F6B32B" w14:textId="5AF10217" w:rsidR="00E52116" w:rsidRDefault="00E52116" w:rsidP="00BF2ED6">
      <w:pPr>
        <w:spacing w:line="360" w:lineRule="auto"/>
        <w:jc w:val="both"/>
        <w:rPr>
          <w:rFonts w:ascii="Arial" w:hAnsi="Arial" w:cs="Arial"/>
          <w:sz w:val="24"/>
          <w:szCs w:val="24"/>
        </w:rPr>
      </w:pPr>
    </w:p>
    <w:p w14:paraId="02006563" w14:textId="783219A2" w:rsidR="00E52116" w:rsidRDefault="00E52116" w:rsidP="00BF2ED6">
      <w:pPr>
        <w:spacing w:line="360" w:lineRule="auto"/>
        <w:jc w:val="both"/>
        <w:rPr>
          <w:rFonts w:ascii="Arial" w:hAnsi="Arial" w:cs="Arial"/>
          <w:sz w:val="24"/>
          <w:szCs w:val="24"/>
        </w:rPr>
      </w:pPr>
    </w:p>
    <w:p w14:paraId="41915B85" w14:textId="63E8AD99" w:rsidR="00E52116" w:rsidRDefault="00E52116" w:rsidP="00BF2ED6">
      <w:pPr>
        <w:spacing w:line="360" w:lineRule="auto"/>
        <w:jc w:val="both"/>
        <w:rPr>
          <w:rFonts w:ascii="Arial" w:hAnsi="Arial" w:cs="Arial"/>
          <w:sz w:val="24"/>
          <w:szCs w:val="24"/>
        </w:rPr>
      </w:pPr>
    </w:p>
    <w:p w14:paraId="699B735E" w14:textId="77777777" w:rsidR="00E52116" w:rsidRPr="00E52116" w:rsidRDefault="00E52116" w:rsidP="00E52116">
      <w:pPr>
        <w:widowControl w:val="0"/>
        <w:autoSpaceDE w:val="0"/>
        <w:autoSpaceDN w:val="0"/>
        <w:adjustRightInd w:val="0"/>
        <w:spacing w:after="0" w:line="240" w:lineRule="auto"/>
        <w:jc w:val="right"/>
        <w:rPr>
          <w:rFonts w:ascii="Arial" w:eastAsia="Times New Roman" w:hAnsi="Arial" w:cs="Arial"/>
          <w:sz w:val="24"/>
          <w:szCs w:val="24"/>
          <w:lang w:val="en-GB"/>
        </w:rPr>
      </w:pPr>
      <w:r w:rsidRPr="00E52116">
        <w:rPr>
          <w:rFonts w:ascii="Arial" w:eastAsia="Times New Roman" w:hAnsi="Arial" w:cs="Arial"/>
          <w:sz w:val="24"/>
          <w:szCs w:val="24"/>
          <w:lang w:val="en-GB"/>
        </w:rPr>
        <w:t>________________________</w:t>
      </w:r>
    </w:p>
    <w:p w14:paraId="0BA5CDC5" w14:textId="698F5A12" w:rsidR="00E52116" w:rsidRPr="00E52116" w:rsidRDefault="00E52116" w:rsidP="00E52116">
      <w:pPr>
        <w:widowControl w:val="0"/>
        <w:autoSpaceDE w:val="0"/>
        <w:autoSpaceDN w:val="0"/>
        <w:adjustRightInd w:val="0"/>
        <w:spacing w:after="0" w:line="240" w:lineRule="auto"/>
        <w:jc w:val="right"/>
        <w:rPr>
          <w:rFonts w:ascii="Arial" w:eastAsia="Times New Roman" w:hAnsi="Arial" w:cs="Arial"/>
          <w:sz w:val="24"/>
          <w:szCs w:val="24"/>
          <w:lang w:val="en-GB"/>
        </w:rPr>
      </w:pPr>
      <w:r w:rsidRPr="00E52116">
        <w:rPr>
          <w:rFonts w:ascii="Arial" w:eastAsia="Times New Roman" w:hAnsi="Arial" w:cs="Arial"/>
          <w:sz w:val="24"/>
          <w:szCs w:val="24"/>
          <w:lang w:val="en-GB"/>
        </w:rPr>
        <w:t>D H Zondi</w:t>
      </w:r>
    </w:p>
    <w:p w14:paraId="72D3B244" w14:textId="77777777" w:rsidR="00E52116" w:rsidRPr="00E52116" w:rsidRDefault="00E52116" w:rsidP="00E52116">
      <w:pPr>
        <w:widowControl w:val="0"/>
        <w:autoSpaceDE w:val="0"/>
        <w:autoSpaceDN w:val="0"/>
        <w:adjustRightInd w:val="0"/>
        <w:spacing w:after="0" w:line="240" w:lineRule="auto"/>
        <w:jc w:val="right"/>
        <w:rPr>
          <w:rFonts w:ascii="Arial" w:eastAsia="Times New Roman" w:hAnsi="Arial" w:cs="Arial"/>
          <w:sz w:val="24"/>
          <w:szCs w:val="24"/>
          <w:lang w:val="en-GB"/>
        </w:rPr>
      </w:pPr>
      <w:r w:rsidRPr="00E52116">
        <w:rPr>
          <w:rFonts w:ascii="Arial" w:eastAsia="Times New Roman" w:hAnsi="Arial" w:cs="Arial"/>
          <w:sz w:val="24"/>
          <w:szCs w:val="24"/>
          <w:lang w:val="en-GB"/>
        </w:rPr>
        <w:t>Judge of Appeal</w:t>
      </w:r>
    </w:p>
    <w:p w14:paraId="149CA50E" w14:textId="6A432028" w:rsidR="002E5B43" w:rsidRPr="002E5B43" w:rsidRDefault="002E5B43" w:rsidP="00BF2ED6">
      <w:pPr>
        <w:spacing w:line="360" w:lineRule="auto"/>
        <w:jc w:val="both"/>
        <w:rPr>
          <w:rFonts w:ascii="Arial" w:hAnsi="Arial" w:cs="Arial"/>
          <w:sz w:val="24"/>
          <w:szCs w:val="24"/>
        </w:rPr>
      </w:pPr>
    </w:p>
    <w:p w14:paraId="3D205BDD" w14:textId="7A6F2284" w:rsidR="00B96A44" w:rsidRDefault="00B96A44" w:rsidP="00BF2ED6">
      <w:pPr>
        <w:spacing w:line="360" w:lineRule="auto"/>
        <w:jc w:val="both"/>
        <w:rPr>
          <w:rFonts w:ascii="Arial" w:hAnsi="Arial" w:cs="Arial"/>
          <w:sz w:val="24"/>
          <w:szCs w:val="24"/>
        </w:rPr>
      </w:pPr>
      <w:r>
        <w:rPr>
          <w:rFonts w:ascii="Arial" w:hAnsi="Arial" w:cs="Arial"/>
          <w:sz w:val="24"/>
          <w:szCs w:val="24"/>
        </w:rPr>
        <w:t xml:space="preserve"> </w:t>
      </w:r>
    </w:p>
    <w:p w14:paraId="3504F3E1" w14:textId="35ADCE91" w:rsidR="001A7E28" w:rsidRDefault="00B96A44" w:rsidP="00BF2ED6">
      <w:pPr>
        <w:spacing w:line="360" w:lineRule="auto"/>
        <w:jc w:val="both"/>
        <w:rPr>
          <w:rFonts w:ascii="Arial" w:hAnsi="Arial" w:cs="Arial"/>
          <w:sz w:val="24"/>
          <w:szCs w:val="24"/>
        </w:rPr>
      </w:pPr>
      <w:r>
        <w:rPr>
          <w:rFonts w:ascii="Arial" w:hAnsi="Arial" w:cs="Arial"/>
          <w:sz w:val="24"/>
          <w:szCs w:val="24"/>
        </w:rPr>
        <w:t xml:space="preserve"> </w:t>
      </w:r>
    </w:p>
    <w:p w14:paraId="336CA85E" w14:textId="0E3C2629" w:rsidR="00A649EC" w:rsidRDefault="00A649EC" w:rsidP="00E52116">
      <w:pPr>
        <w:widowControl w:val="0"/>
        <w:autoSpaceDE w:val="0"/>
        <w:autoSpaceDN w:val="0"/>
        <w:adjustRightInd w:val="0"/>
        <w:spacing w:after="0" w:line="360" w:lineRule="auto"/>
        <w:rPr>
          <w:rFonts w:ascii="Arial" w:hAnsi="Arial" w:cs="Arial"/>
          <w:sz w:val="24"/>
          <w:szCs w:val="24"/>
        </w:rPr>
      </w:pPr>
    </w:p>
    <w:p w14:paraId="3490AD31" w14:textId="1F6835E9" w:rsidR="00A66E23" w:rsidRDefault="00A66E23" w:rsidP="00E52116">
      <w:pPr>
        <w:widowControl w:val="0"/>
        <w:autoSpaceDE w:val="0"/>
        <w:autoSpaceDN w:val="0"/>
        <w:adjustRightInd w:val="0"/>
        <w:spacing w:after="0" w:line="360" w:lineRule="auto"/>
        <w:rPr>
          <w:rFonts w:ascii="Arial" w:hAnsi="Arial" w:cs="Arial"/>
          <w:sz w:val="24"/>
          <w:szCs w:val="24"/>
        </w:rPr>
      </w:pPr>
    </w:p>
    <w:p w14:paraId="7BE8E9D5" w14:textId="77777777" w:rsidR="00A66E23" w:rsidRDefault="00A66E23" w:rsidP="00E52116">
      <w:pPr>
        <w:widowControl w:val="0"/>
        <w:autoSpaceDE w:val="0"/>
        <w:autoSpaceDN w:val="0"/>
        <w:adjustRightInd w:val="0"/>
        <w:spacing w:after="0" w:line="360" w:lineRule="auto"/>
        <w:rPr>
          <w:rFonts w:ascii="Arial" w:hAnsi="Arial" w:cs="Arial"/>
          <w:sz w:val="24"/>
          <w:szCs w:val="24"/>
        </w:rPr>
      </w:pPr>
    </w:p>
    <w:p w14:paraId="1BCD3350" w14:textId="77777777" w:rsidR="00113C61" w:rsidRDefault="00113C61" w:rsidP="00E52116">
      <w:pPr>
        <w:widowControl w:val="0"/>
        <w:autoSpaceDE w:val="0"/>
        <w:autoSpaceDN w:val="0"/>
        <w:adjustRightInd w:val="0"/>
        <w:spacing w:after="0" w:line="360" w:lineRule="auto"/>
        <w:rPr>
          <w:rFonts w:ascii="Arial" w:hAnsi="Arial" w:cs="Arial"/>
          <w:sz w:val="24"/>
          <w:szCs w:val="24"/>
        </w:rPr>
      </w:pPr>
    </w:p>
    <w:p w14:paraId="6E65F71A" w14:textId="1DA035A8"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lastRenderedPageBreak/>
        <w:t>Appearances</w:t>
      </w:r>
    </w:p>
    <w:p w14:paraId="58C58E5D" w14:textId="77777777"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p>
    <w:p w14:paraId="2DF3719C" w14:textId="69D58A43"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t>For appellant:</w:t>
      </w:r>
      <w:r w:rsidRPr="00E52116">
        <w:rPr>
          <w:rFonts w:ascii="Arial" w:eastAsia="Times New Roman" w:hAnsi="Arial" w:cs="Arial"/>
          <w:sz w:val="24"/>
          <w:szCs w:val="24"/>
          <w:lang w:val="en-GB"/>
        </w:rPr>
        <w:tab/>
      </w:r>
      <w:r>
        <w:rPr>
          <w:rFonts w:ascii="Arial" w:eastAsia="Times New Roman" w:hAnsi="Arial" w:cs="Arial"/>
          <w:sz w:val="24"/>
          <w:szCs w:val="24"/>
          <w:lang w:val="en-GB"/>
        </w:rPr>
        <w:t>N</w:t>
      </w:r>
      <w:r w:rsidR="00BC275C">
        <w:rPr>
          <w:rFonts w:ascii="Arial" w:eastAsia="Times New Roman" w:hAnsi="Arial" w:cs="Arial"/>
          <w:sz w:val="24"/>
          <w:szCs w:val="24"/>
          <w:lang w:val="en-GB"/>
        </w:rPr>
        <w:t xml:space="preserve"> Grobler</w:t>
      </w:r>
      <w:r w:rsidRPr="00E52116">
        <w:rPr>
          <w:rFonts w:ascii="Arial" w:eastAsia="Times New Roman" w:hAnsi="Arial" w:cs="Arial"/>
          <w:sz w:val="24"/>
          <w:szCs w:val="24"/>
          <w:lang w:val="en-GB"/>
        </w:rPr>
        <w:t xml:space="preserve"> SC (with </w:t>
      </w:r>
      <w:r w:rsidR="00CB2C4D">
        <w:rPr>
          <w:rFonts w:ascii="Arial" w:eastAsia="Times New Roman" w:hAnsi="Arial" w:cs="Arial"/>
          <w:sz w:val="24"/>
          <w:szCs w:val="24"/>
          <w:lang w:val="en-GB"/>
        </w:rPr>
        <w:t>W A van Aswagen</w:t>
      </w:r>
      <w:r w:rsidRPr="00E52116">
        <w:rPr>
          <w:rFonts w:ascii="Arial" w:eastAsia="Times New Roman" w:hAnsi="Arial" w:cs="Arial"/>
          <w:sz w:val="24"/>
          <w:szCs w:val="24"/>
          <w:lang w:val="en-GB"/>
        </w:rPr>
        <w:t>)</w:t>
      </w:r>
    </w:p>
    <w:p w14:paraId="6F5A2FC2" w14:textId="0001D418"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t>Instructed by:</w:t>
      </w:r>
      <w:r w:rsidRPr="00E52116">
        <w:rPr>
          <w:rFonts w:ascii="Arial" w:eastAsia="Times New Roman" w:hAnsi="Arial" w:cs="Arial"/>
          <w:sz w:val="24"/>
          <w:szCs w:val="24"/>
          <w:lang w:val="en-GB"/>
        </w:rPr>
        <w:tab/>
      </w:r>
      <w:r w:rsidR="00CB2C4D">
        <w:rPr>
          <w:rFonts w:ascii="Arial" w:eastAsia="Times New Roman" w:hAnsi="Arial" w:cs="Arial"/>
          <w:sz w:val="24"/>
          <w:szCs w:val="24"/>
          <w:lang w:val="en-GB"/>
        </w:rPr>
        <w:t xml:space="preserve">McIntyre Van </w:t>
      </w:r>
      <w:r w:rsidR="005E3D60">
        <w:rPr>
          <w:rFonts w:ascii="Arial" w:eastAsia="Times New Roman" w:hAnsi="Arial" w:cs="Arial"/>
          <w:sz w:val="24"/>
          <w:szCs w:val="24"/>
          <w:lang w:val="en-GB"/>
        </w:rPr>
        <w:t>d</w:t>
      </w:r>
      <w:r w:rsidR="00CB2C4D">
        <w:rPr>
          <w:rFonts w:ascii="Arial" w:eastAsia="Times New Roman" w:hAnsi="Arial" w:cs="Arial"/>
          <w:sz w:val="24"/>
          <w:szCs w:val="24"/>
          <w:lang w:val="en-GB"/>
        </w:rPr>
        <w:t>er Post</w:t>
      </w:r>
      <w:r w:rsidR="005E3D60">
        <w:rPr>
          <w:rFonts w:ascii="Arial" w:eastAsia="Times New Roman" w:hAnsi="Arial" w:cs="Arial"/>
          <w:sz w:val="24"/>
          <w:szCs w:val="24"/>
          <w:lang w:val="en-GB"/>
        </w:rPr>
        <w:t xml:space="preserve"> Inc.</w:t>
      </w:r>
      <w:r w:rsidR="00CB2C4D">
        <w:rPr>
          <w:rFonts w:ascii="Arial" w:eastAsia="Times New Roman" w:hAnsi="Arial" w:cs="Arial"/>
          <w:sz w:val="24"/>
          <w:szCs w:val="24"/>
          <w:lang w:val="en-GB"/>
        </w:rPr>
        <w:t>, Bloemfontein</w:t>
      </w:r>
    </w:p>
    <w:p w14:paraId="71E70741" w14:textId="27CE6924"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tab/>
        <w:t xml:space="preserve">                      </w:t>
      </w:r>
    </w:p>
    <w:p w14:paraId="0A4B88D5" w14:textId="21F4BCB7"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tab/>
      </w:r>
    </w:p>
    <w:p w14:paraId="0ECCFF71" w14:textId="77777777"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p>
    <w:p w14:paraId="69703E08" w14:textId="7177B399" w:rsidR="00E52116" w:rsidRPr="00E52116" w:rsidRDefault="00932AF6" w:rsidP="00E52116">
      <w:pPr>
        <w:widowControl w:val="0"/>
        <w:autoSpaceDE w:val="0"/>
        <w:autoSpaceDN w:val="0"/>
        <w:adjustRightInd w:val="0"/>
        <w:spacing w:after="0" w:line="360" w:lineRule="auto"/>
        <w:rPr>
          <w:rFonts w:ascii="Arial" w:eastAsia="Times New Roman" w:hAnsi="Arial" w:cs="Arial"/>
          <w:sz w:val="24"/>
          <w:szCs w:val="24"/>
          <w:lang w:val="en-GB"/>
        </w:rPr>
      </w:pPr>
      <w:r>
        <w:rPr>
          <w:rFonts w:ascii="Arial" w:eastAsia="Times New Roman" w:hAnsi="Arial" w:cs="Arial"/>
          <w:sz w:val="24"/>
          <w:szCs w:val="24"/>
          <w:lang w:val="en-GB"/>
        </w:rPr>
        <w:t>For respondents:</w:t>
      </w:r>
      <w:r>
        <w:rPr>
          <w:rFonts w:ascii="Arial" w:eastAsia="Times New Roman" w:hAnsi="Arial" w:cs="Arial"/>
          <w:sz w:val="24"/>
          <w:szCs w:val="24"/>
          <w:lang w:val="en-GB"/>
        </w:rPr>
        <w:tab/>
      </w:r>
      <w:r w:rsidR="00CB2C4D">
        <w:rPr>
          <w:rFonts w:ascii="Arial" w:eastAsia="Times New Roman" w:hAnsi="Arial" w:cs="Arial"/>
          <w:sz w:val="24"/>
          <w:szCs w:val="24"/>
          <w:lang w:val="en-GB"/>
        </w:rPr>
        <w:t xml:space="preserve">P Zietsman </w:t>
      </w:r>
      <w:r w:rsidR="00E52116" w:rsidRPr="00E52116">
        <w:rPr>
          <w:rFonts w:ascii="Arial" w:eastAsia="Times New Roman" w:hAnsi="Arial" w:cs="Arial"/>
          <w:sz w:val="24"/>
          <w:szCs w:val="24"/>
          <w:lang w:val="en-GB"/>
        </w:rPr>
        <w:t xml:space="preserve">SC (with </w:t>
      </w:r>
      <w:r w:rsidR="00CB2C4D">
        <w:rPr>
          <w:rFonts w:ascii="Arial" w:eastAsia="Times New Roman" w:hAnsi="Arial" w:cs="Arial"/>
          <w:sz w:val="24"/>
          <w:szCs w:val="24"/>
          <w:lang w:val="en-GB"/>
        </w:rPr>
        <w:t>D Grewar</w:t>
      </w:r>
      <w:r w:rsidR="00E52116" w:rsidRPr="00E52116">
        <w:rPr>
          <w:rFonts w:ascii="Arial" w:eastAsia="Times New Roman" w:hAnsi="Arial" w:cs="Arial"/>
          <w:sz w:val="24"/>
          <w:szCs w:val="24"/>
          <w:lang w:val="en-GB"/>
        </w:rPr>
        <w:t>)</w:t>
      </w:r>
    </w:p>
    <w:p w14:paraId="66824203" w14:textId="44F34DA8" w:rsidR="00E52116" w:rsidRPr="00E52116" w:rsidRDefault="00E52116" w:rsidP="00CB2C4D">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t>Instructed by:</w:t>
      </w:r>
      <w:r w:rsidRPr="00E52116">
        <w:rPr>
          <w:rFonts w:ascii="Arial" w:eastAsia="Times New Roman" w:hAnsi="Arial" w:cs="Arial"/>
          <w:sz w:val="24"/>
          <w:szCs w:val="24"/>
          <w:lang w:val="en-GB"/>
        </w:rPr>
        <w:tab/>
      </w:r>
      <w:r w:rsidR="00CB2C4D">
        <w:rPr>
          <w:rFonts w:ascii="Arial" w:eastAsia="Times New Roman" w:hAnsi="Arial" w:cs="Arial"/>
          <w:sz w:val="24"/>
          <w:szCs w:val="24"/>
          <w:lang w:val="en-GB"/>
        </w:rPr>
        <w:t>Matsepes Inc., Bloemfontein</w:t>
      </w:r>
      <w:r w:rsidRPr="00E52116">
        <w:rPr>
          <w:rFonts w:ascii="Arial" w:eastAsia="Times New Roman" w:hAnsi="Arial" w:cs="Arial"/>
          <w:sz w:val="24"/>
          <w:szCs w:val="24"/>
          <w:lang w:val="en-GB"/>
        </w:rPr>
        <w:t xml:space="preserve"> </w:t>
      </w:r>
    </w:p>
    <w:p w14:paraId="2E2B546B" w14:textId="77777777" w:rsidR="00E52116" w:rsidRPr="00E52116" w:rsidRDefault="00E52116" w:rsidP="00E52116">
      <w:pPr>
        <w:widowControl w:val="0"/>
        <w:autoSpaceDE w:val="0"/>
        <w:autoSpaceDN w:val="0"/>
        <w:adjustRightInd w:val="0"/>
        <w:spacing w:after="0" w:line="360" w:lineRule="auto"/>
        <w:rPr>
          <w:rFonts w:ascii="Arial" w:eastAsia="Times New Roman" w:hAnsi="Arial" w:cs="Arial"/>
          <w:sz w:val="24"/>
          <w:szCs w:val="24"/>
          <w:lang w:val="en-GB"/>
        </w:rPr>
      </w:pPr>
      <w:r w:rsidRPr="00E52116">
        <w:rPr>
          <w:rFonts w:ascii="Arial" w:eastAsia="Times New Roman" w:hAnsi="Arial" w:cs="Arial"/>
          <w:sz w:val="24"/>
          <w:szCs w:val="24"/>
          <w:lang w:val="en-GB"/>
        </w:rPr>
        <w:tab/>
      </w:r>
    </w:p>
    <w:p w14:paraId="6EFFD2BB" w14:textId="77777777" w:rsidR="00E52116" w:rsidRPr="00A1146E" w:rsidRDefault="00E52116" w:rsidP="00BF2ED6">
      <w:pPr>
        <w:spacing w:line="360" w:lineRule="auto"/>
        <w:jc w:val="both"/>
        <w:rPr>
          <w:rFonts w:ascii="Arial" w:hAnsi="Arial" w:cs="Arial"/>
          <w:sz w:val="24"/>
          <w:szCs w:val="24"/>
        </w:rPr>
      </w:pPr>
    </w:p>
    <w:sectPr w:rsidR="00E52116" w:rsidRPr="00A1146E" w:rsidSect="001E08C9">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93D9" w14:textId="77777777" w:rsidR="00F471D4" w:rsidRDefault="00F471D4" w:rsidP="004D4374">
      <w:pPr>
        <w:spacing w:after="0" w:line="240" w:lineRule="auto"/>
      </w:pPr>
      <w:r>
        <w:separator/>
      </w:r>
    </w:p>
  </w:endnote>
  <w:endnote w:type="continuationSeparator" w:id="0">
    <w:p w14:paraId="10BA40F5" w14:textId="77777777" w:rsidR="00F471D4" w:rsidRDefault="00F471D4" w:rsidP="004D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C3EF" w14:textId="77777777" w:rsidR="00F471D4" w:rsidRDefault="00F471D4" w:rsidP="004D4374">
      <w:pPr>
        <w:spacing w:after="0" w:line="240" w:lineRule="auto"/>
      </w:pPr>
      <w:r>
        <w:separator/>
      </w:r>
    </w:p>
  </w:footnote>
  <w:footnote w:type="continuationSeparator" w:id="0">
    <w:p w14:paraId="5E8AD14C" w14:textId="77777777" w:rsidR="00F471D4" w:rsidRDefault="00F471D4" w:rsidP="004D4374">
      <w:pPr>
        <w:spacing w:after="0" w:line="240" w:lineRule="auto"/>
      </w:pPr>
      <w:r>
        <w:continuationSeparator/>
      </w:r>
    </w:p>
  </w:footnote>
  <w:footnote w:id="1">
    <w:p w14:paraId="1D6F94D7" w14:textId="0205DDB9" w:rsidR="004D4374" w:rsidRPr="004D4374" w:rsidRDefault="004D4374" w:rsidP="004D4374">
      <w:pPr>
        <w:pStyle w:val="FootnoteText"/>
        <w:jc w:val="both"/>
        <w:rPr>
          <w:rFonts w:ascii="Arial" w:hAnsi="Arial" w:cs="Arial"/>
        </w:rPr>
      </w:pPr>
      <w:r w:rsidRPr="004D4374">
        <w:rPr>
          <w:rStyle w:val="FootnoteReference"/>
          <w:rFonts w:ascii="Arial" w:hAnsi="Arial" w:cs="Arial"/>
        </w:rPr>
        <w:footnoteRef/>
      </w:r>
      <w:r w:rsidR="001F7091">
        <w:rPr>
          <w:rFonts w:ascii="Arial" w:hAnsi="Arial" w:cs="Arial"/>
        </w:rPr>
        <w:t xml:space="preserve"> </w:t>
      </w:r>
      <w:r w:rsidRPr="004D4374">
        <w:rPr>
          <w:rFonts w:ascii="Arial" w:hAnsi="Arial" w:cs="Arial"/>
        </w:rPr>
        <w:t xml:space="preserve">The divorce action was instituted in the North </w:t>
      </w:r>
      <w:r w:rsidR="00C16E4F">
        <w:rPr>
          <w:rFonts w:ascii="Arial" w:hAnsi="Arial" w:cs="Arial"/>
        </w:rPr>
        <w:t>W</w:t>
      </w:r>
      <w:r w:rsidR="003A753A">
        <w:rPr>
          <w:rFonts w:ascii="Arial" w:hAnsi="Arial" w:cs="Arial"/>
        </w:rPr>
        <w:t>est Division of th</w:t>
      </w:r>
      <w:r w:rsidR="003A753A" w:rsidRPr="00A66E23">
        <w:rPr>
          <w:rFonts w:ascii="Arial" w:hAnsi="Arial" w:cs="Arial"/>
        </w:rPr>
        <w:t>e High C</w:t>
      </w:r>
      <w:r w:rsidRPr="00A66E23">
        <w:rPr>
          <w:rFonts w:ascii="Arial" w:hAnsi="Arial" w:cs="Arial"/>
        </w:rPr>
        <w:t>ourt and was later transferred to the Free State</w:t>
      </w:r>
      <w:r w:rsidR="00C16E4F" w:rsidRPr="00A66E23">
        <w:rPr>
          <w:rFonts w:ascii="Arial" w:hAnsi="Arial" w:cs="Arial"/>
        </w:rPr>
        <w:t xml:space="preserve"> Division of the</w:t>
      </w:r>
      <w:r w:rsidRPr="00A66E23">
        <w:rPr>
          <w:rFonts w:ascii="Arial" w:hAnsi="Arial" w:cs="Arial"/>
        </w:rPr>
        <w:t xml:space="preserve"> High Court by agreement between the parties.</w:t>
      </w:r>
    </w:p>
    <w:p w14:paraId="248D79BC" w14:textId="5CADC921" w:rsidR="004D4374" w:rsidRDefault="004D4374">
      <w:pPr>
        <w:pStyle w:val="FootnoteText"/>
      </w:pPr>
      <w:r>
        <w:t xml:space="preserve"> </w:t>
      </w:r>
    </w:p>
  </w:footnote>
  <w:footnote w:id="2">
    <w:p w14:paraId="46B9D462" w14:textId="5DBF0E49" w:rsidR="008A69A8" w:rsidRPr="008A69A8" w:rsidRDefault="008A69A8" w:rsidP="001C79FD">
      <w:pPr>
        <w:pStyle w:val="FootnoteText"/>
        <w:jc w:val="both"/>
        <w:rPr>
          <w:rFonts w:ascii="Arial" w:hAnsi="Arial" w:cs="Arial"/>
        </w:rPr>
      </w:pPr>
      <w:r w:rsidRPr="008A69A8">
        <w:rPr>
          <w:rStyle w:val="FootnoteReference"/>
          <w:rFonts w:ascii="Arial" w:hAnsi="Arial" w:cs="Arial"/>
        </w:rPr>
        <w:footnoteRef/>
      </w:r>
      <w:r>
        <w:rPr>
          <w:rFonts w:ascii="Arial" w:hAnsi="Arial" w:cs="Arial"/>
          <w:i/>
        </w:rPr>
        <w:t xml:space="preserve"> </w:t>
      </w:r>
      <w:r w:rsidRPr="008A69A8">
        <w:rPr>
          <w:rFonts w:ascii="Arial" w:hAnsi="Arial" w:cs="Arial"/>
          <w:i/>
        </w:rPr>
        <w:t xml:space="preserve">M v M </w:t>
      </w:r>
      <w:r w:rsidRPr="008A69A8">
        <w:rPr>
          <w:rFonts w:ascii="Arial" w:hAnsi="Arial" w:cs="Arial"/>
          <w:iCs/>
        </w:rPr>
        <w:t>[201</w:t>
      </w:r>
      <w:r w:rsidR="00471561">
        <w:rPr>
          <w:rFonts w:ascii="Arial" w:hAnsi="Arial" w:cs="Arial"/>
          <w:iCs/>
        </w:rPr>
        <w:t>7</w:t>
      </w:r>
      <w:r w:rsidRPr="008A69A8">
        <w:rPr>
          <w:rFonts w:ascii="Arial" w:hAnsi="Arial" w:cs="Arial"/>
          <w:iCs/>
        </w:rPr>
        <w:t>] ZASCA 5</w:t>
      </w:r>
      <w:r w:rsidR="00471561">
        <w:rPr>
          <w:rFonts w:ascii="Arial" w:hAnsi="Arial" w:cs="Arial"/>
          <w:iCs/>
        </w:rPr>
        <w:t>; [2017] 2 All SA 364 (SCA)</w:t>
      </w:r>
      <w:r w:rsidRPr="008A69A8">
        <w:rPr>
          <w:rFonts w:ascii="Arial" w:hAnsi="Arial" w:cs="Arial"/>
          <w:iCs/>
        </w:rPr>
        <w:t xml:space="preserve"> para 20</w:t>
      </w:r>
      <w:r w:rsidRPr="008A69A8">
        <w:rPr>
          <w:rFonts w:ascii="Arial" w:hAnsi="Arial" w:cs="Arial"/>
          <w:i/>
        </w:rPr>
        <w:t>.</w:t>
      </w:r>
      <w:r w:rsidRPr="008A69A8">
        <w:rPr>
          <w:rFonts w:ascii="Arial" w:hAnsi="Arial" w:cs="Arial"/>
        </w:rPr>
        <w:t xml:space="preserve"> </w:t>
      </w:r>
    </w:p>
  </w:footnote>
  <w:footnote w:id="3">
    <w:p w14:paraId="4EA2B81C" w14:textId="32D6CF87" w:rsidR="00CE703E" w:rsidRPr="006E4570" w:rsidRDefault="00CE703E" w:rsidP="001C79FD">
      <w:pPr>
        <w:pStyle w:val="FootnoteText"/>
        <w:jc w:val="both"/>
        <w:rPr>
          <w:rFonts w:ascii="Arial" w:hAnsi="Arial" w:cs="Arial"/>
          <w:iCs/>
        </w:rPr>
      </w:pPr>
      <w:r w:rsidRPr="00CE703E">
        <w:rPr>
          <w:rStyle w:val="FootnoteReference"/>
          <w:rFonts w:ascii="Arial" w:hAnsi="Arial" w:cs="Arial"/>
        </w:rPr>
        <w:footnoteRef/>
      </w:r>
      <w:r w:rsidRPr="00CE703E">
        <w:rPr>
          <w:rFonts w:ascii="Arial" w:hAnsi="Arial" w:cs="Arial"/>
        </w:rPr>
        <w:t xml:space="preserve"> </w:t>
      </w:r>
      <w:r w:rsidRPr="00CE703E">
        <w:rPr>
          <w:rFonts w:ascii="Arial" w:hAnsi="Arial" w:cs="Arial"/>
          <w:i/>
        </w:rPr>
        <w:t xml:space="preserve">Molusi and Others v Voges N.O. and Others </w:t>
      </w:r>
      <w:r w:rsidRPr="00CE703E">
        <w:rPr>
          <w:rFonts w:ascii="Arial" w:hAnsi="Arial" w:cs="Arial"/>
          <w:iCs/>
        </w:rPr>
        <w:t xml:space="preserve">[2016] ZACC 6; </w:t>
      </w:r>
      <w:r w:rsidRPr="006E4570">
        <w:rPr>
          <w:rFonts w:ascii="Arial" w:hAnsi="Arial" w:cs="Arial"/>
          <w:iCs/>
        </w:rPr>
        <w:t>2016 (7) BCLR 839 (CC) para 28.</w:t>
      </w:r>
    </w:p>
  </w:footnote>
  <w:footnote w:id="4">
    <w:p w14:paraId="47B40B1D" w14:textId="219B922D" w:rsidR="00F0387A" w:rsidRPr="00F0387A" w:rsidRDefault="00F0387A" w:rsidP="00F0387A">
      <w:pPr>
        <w:pStyle w:val="FootnoteText"/>
        <w:jc w:val="both"/>
        <w:rPr>
          <w:rFonts w:ascii="Arial" w:hAnsi="Arial" w:cs="Arial"/>
        </w:rPr>
      </w:pPr>
      <w:r w:rsidRPr="00144CB0">
        <w:rPr>
          <w:rStyle w:val="FootnoteReference"/>
          <w:rFonts w:ascii="Arial" w:hAnsi="Arial" w:cs="Arial"/>
        </w:rPr>
        <w:footnoteRef/>
      </w:r>
      <w:r w:rsidRPr="00144CB0">
        <w:rPr>
          <w:rFonts w:ascii="Arial" w:hAnsi="Arial" w:cs="Arial"/>
        </w:rPr>
        <w:t xml:space="preserve"> </w:t>
      </w:r>
      <w:r w:rsidRPr="00144CB0">
        <w:rPr>
          <w:rFonts w:ascii="Arial" w:hAnsi="Arial" w:cs="Arial"/>
          <w:i/>
          <w:iCs/>
        </w:rPr>
        <w:t xml:space="preserve">Minister of Safety &amp; Security v Slabbert </w:t>
      </w:r>
      <w:r w:rsidRPr="00144CB0">
        <w:rPr>
          <w:rFonts w:ascii="Arial" w:hAnsi="Arial" w:cs="Arial"/>
        </w:rPr>
        <w:t>[2010] 2 All SA 474 (SCA) para 11.</w:t>
      </w:r>
    </w:p>
  </w:footnote>
  <w:footnote w:id="5">
    <w:p w14:paraId="3DDFAB47" w14:textId="28B2E7E7" w:rsidR="006E4570" w:rsidRDefault="006E4570" w:rsidP="001C79FD">
      <w:pPr>
        <w:pStyle w:val="FootnoteText"/>
        <w:jc w:val="both"/>
      </w:pPr>
      <w:r w:rsidRPr="003464FD">
        <w:rPr>
          <w:rStyle w:val="FootnoteReference"/>
          <w:rFonts w:ascii="Arial" w:hAnsi="Arial" w:cs="Arial"/>
        </w:rPr>
        <w:footnoteRef/>
      </w:r>
      <w:r w:rsidRPr="003464FD">
        <w:rPr>
          <w:rFonts w:ascii="Arial" w:hAnsi="Arial" w:cs="Arial"/>
        </w:rPr>
        <w:t xml:space="preserve"> </w:t>
      </w:r>
      <w:r w:rsidRPr="003464FD">
        <w:rPr>
          <w:rFonts w:ascii="Arial" w:hAnsi="Arial" w:cs="Arial"/>
          <w:i/>
          <w:iCs/>
        </w:rPr>
        <w:t>Fischer and Another v Ramahlele and Others</w:t>
      </w:r>
      <w:r w:rsidRPr="003464FD">
        <w:rPr>
          <w:rFonts w:ascii="Arial" w:hAnsi="Arial" w:cs="Arial"/>
        </w:rPr>
        <w:t xml:space="preserve"> [2014] ZASCA 88; 2014 (4) SA 614 (SCA)</w:t>
      </w:r>
      <w:r w:rsidR="00A249CF">
        <w:rPr>
          <w:rFonts w:ascii="Arial" w:hAnsi="Arial" w:cs="Arial"/>
        </w:rPr>
        <w:t xml:space="preserve"> para 13.</w:t>
      </w:r>
    </w:p>
  </w:footnote>
  <w:footnote w:id="6">
    <w:p w14:paraId="21FDB3D8" w14:textId="5099D5D8" w:rsidR="00884B4C" w:rsidRPr="001C79FD" w:rsidRDefault="00884B4C" w:rsidP="001C79FD">
      <w:pPr>
        <w:pStyle w:val="FootnoteText"/>
        <w:jc w:val="both"/>
        <w:rPr>
          <w:rFonts w:ascii="Arial" w:hAnsi="Arial" w:cs="Arial"/>
        </w:rPr>
      </w:pPr>
      <w:r w:rsidRPr="001C79FD">
        <w:rPr>
          <w:rStyle w:val="FootnoteReference"/>
          <w:rFonts w:ascii="Arial" w:hAnsi="Arial" w:cs="Arial"/>
        </w:rPr>
        <w:footnoteRef/>
      </w:r>
      <w:r w:rsidRPr="001C79FD">
        <w:rPr>
          <w:rFonts w:ascii="Arial" w:hAnsi="Arial" w:cs="Arial"/>
        </w:rPr>
        <w:t xml:space="preserve"> Loosely translated: ‘</w:t>
      </w:r>
      <w:r w:rsidR="001C79FD">
        <w:rPr>
          <w:rFonts w:ascii="Arial" w:hAnsi="Arial" w:cs="Arial"/>
        </w:rPr>
        <w:t>S</w:t>
      </w:r>
      <w:r w:rsidRPr="001C79FD">
        <w:rPr>
          <w:rFonts w:ascii="Arial" w:hAnsi="Arial" w:cs="Arial"/>
        </w:rPr>
        <w:t>he kept the cheque book of Koens Family Trust and had signing powers</w:t>
      </w:r>
      <w:r w:rsidR="007D7BE2" w:rsidRPr="001C79FD">
        <w:rPr>
          <w:rFonts w:ascii="Arial" w:hAnsi="Arial" w:cs="Arial"/>
        </w:rPr>
        <w:t xml:space="preserve"> on the account</w:t>
      </w:r>
      <w:r w:rsidRPr="001C79FD">
        <w:rPr>
          <w:rFonts w:ascii="Arial" w:hAnsi="Arial" w:cs="Arial"/>
        </w:rPr>
        <w:t>.’</w:t>
      </w:r>
    </w:p>
  </w:footnote>
  <w:footnote w:id="7">
    <w:p w14:paraId="612C1F86" w14:textId="38AD9E67" w:rsidR="001C79FD" w:rsidRDefault="001C79FD" w:rsidP="001C79FD">
      <w:pPr>
        <w:pStyle w:val="FootnoteText"/>
        <w:jc w:val="both"/>
      </w:pPr>
      <w:r w:rsidRPr="00226245">
        <w:rPr>
          <w:rStyle w:val="FootnoteReference"/>
          <w:rFonts w:ascii="Arial" w:hAnsi="Arial" w:cs="Arial"/>
        </w:rPr>
        <w:footnoteRef/>
      </w:r>
      <w:r w:rsidRPr="00226245">
        <w:rPr>
          <w:rFonts w:ascii="Arial" w:hAnsi="Arial" w:cs="Arial"/>
        </w:rPr>
        <w:t xml:space="preserve"> Loosely translated: ‘I feel that during the time I was married to Mr [K] I contributed more than my fair share to the marriage…and I feel that at that time I was entitled to a share of these entities. I was also involved at the farm and worked at the entity.’</w:t>
      </w:r>
    </w:p>
  </w:footnote>
  <w:footnote w:id="8">
    <w:p w14:paraId="3D08D219" w14:textId="63B3A588" w:rsidR="004D6D29" w:rsidRDefault="004D6D29" w:rsidP="00FE51E5">
      <w:pPr>
        <w:pStyle w:val="FootnoteText"/>
        <w:jc w:val="both"/>
      </w:pPr>
      <w:r w:rsidRPr="00FE51E5">
        <w:rPr>
          <w:rStyle w:val="FootnoteReference"/>
          <w:rFonts w:ascii="Arial" w:hAnsi="Arial" w:cs="Arial"/>
        </w:rPr>
        <w:footnoteRef/>
      </w:r>
      <w:r w:rsidRPr="00FE51E5">
        <w:rPr>
          <w:rFonts w:ascii="Arial" w:hAnsi="Arial" w:cs="Arial"/>
        </w:rPr>
        <w:t xml:space="preserve"> Section 3(1) of the </w:t>
      </w:r>
      <w:r w:rsidR="00FE51E5" w:rsidRPr="00FE51E5">
        <w:rPr>
          <w:rFonts w:ascii="Arial" w:hAnsi="Arial" w:cs="Arial"/>
        </w:rPr>
        <w:t>M</w:t>
      </w:r>
      <w:r w:rsidRPr="00FE51E5">
        <w:rPr>
          <w:rFonts w:ascii="Arial" w:hAnsi="Arial" w:cs="Arial"/>
        </w:rPr>
        <w:t xml:space="preserve">atrimonial </w:t>
      </w:r>
      <w:r w:rsidR="00FE51E5" w:rsidRPr="00FE51E5">
        <w:rPr>
          <w:rFonts w:ascii="Arial" w:hAnsi="Arial" w:cs="Arial"/>
        </w:rPr>
        <w:t>P</w:t>
      </w:r>
      <w:r w:rsidRPr="00FE51E5">
        <w:rPr>
          <w:rFonts w:ascii="Arial" w:hAnsi="Arial" w:cs="Arial"/>
        </w:rPr>
        <w:t xml:space="preserve">roperty </w:t>
      </w:r>
      <w:r w:rsidR="00FE51E5" w:rsidRPr="00FE51E5">
        <w:rPr>
          <w:rFonts w:ascii="Arial" w:hAnsi="Arial" w:cs="Arial"/>
        </w:rPr>
        <w:t>A</w:t>
      </w:r>
      <w:r w:rsidRPr="00FE51E5">
        <w:rPr>
          <w:rFonts w:ascii="Arial" w:hAnsi="Arial" w:cs="Arial"/>
        </w:rPr>
        <w:t xml:space="preserve">ct 88 </w:t>
      </w:r>
      <w:r w:rsidR="00FE51E5" w:rsidRPr="00FE51E5">
        <w:rPr>
          <w:rFonts w:ascii="Arial" w:hAnsi="Arial" w:cs="Arial"/>
        </w:rPr>
        <w:t>of</w:t>
      </w:r>
      <w:r w:rsidRPr="00FE51E5">
        <w:rPr>
          <w:rFonts w:ascii="Arial" w:hAnsi="Arial" w:cs="Arial"/>
        </w:rPr>
        <w:t xml:space="preserve"> 1984.</w:t>
      </w:r>
      <w:r>
        <w:t xml:space="preserve"> </w:t>
      </w:r>
    </w:p>
  </w:footnote>
  <w:footnote w:id="9">
    <w:p w14:paraId="7A7BD792" w14:textId="023026C2" w:rsidR="00BC55DB" w:rsidRPr="00BC0662" w:rsidRDefault="00BC55DB" w:rsidP="00A84AD4">
      <w:pPr>
        <w:pStyle w:val="FootnoteText"/>
        <w:jc w:val="both"/>
        <w:rPr>
          <w:rFonts w:ascii="Arial" w:hAnsi="Arial" w:cs="Arial"/>
        </w:rPr>
      </w:pPr>
      <w:r w:rsidRPr="00BC0662">
        <w:rPr>
          <w:rStyle w:val="FootnoteReference"/>
          <w:rFonts w:ascii="Arial" w:hAnsi="Arial" w:cs="Arial"/>
        </w:rPr>
        <w:footnoteRef/>
      </w:r>
      <w:r w:rsidRPr="00BC0662">
        <w:rPr>
          <w:rFonts w:ascii="Arial" w:hAnsi="Arial" w:cs="Arial"/>
        </w:rPr>
        <w:t xml:space="preserve"> </w:t>
      </w:r>
      <w:bookmarkStart w:id="6" w:name="_Hlk106368417"/>
      <w:bookmarkStart w:id="7" w:name="_Hlk106368477"/>
      <w:r w:rsidRPr="00BC0662">
        <w:rPr>
          <w:rFonts w:ascii="Arial" w:hAnsi="Arial" w:cs="Arial"/>
          <w:i/>
        </w:rPr>
        <w:t xml:space="preserve">Land and Agricultural Bank of South </w:t>
      </w:r>
      <w:r w:rsidR="005A0D64">
        <w:rPr>
          <w:rFonts w:ascii="Arial" w:hAnsi="Arial" w:cs="Arial"/>
          <w:i/>
        </w:rPr>
        <w:t xml:space="preserve">Africa </w:t>
      </w:r>
      <w:r w:rsidRPr="00BC0662">
        <w:rPr>
          <w:rFonts w:ascii="Arial" w:hAnsi="Arial" w:cs="Arial"/>
          <w:i/>
        </w:rPr>
        <w:t>v Parker</w:t>
      </w:r>
      <w:r w:rsidR="005A0D64">
        <w:rPr>
          <w:rFonts w:ascii="Arial" w:hAnsi="Arial" w:cs="Arial"/>
          <w:i/>
        </w:rPr>
        <w:t xml:space="preserve"> and Others </w:t>
      </w:r>
      <w:r w:rsidR="005A0D64">
        <w:rPr>
          <w:rFonts w:ascii="Arial" w:hAnsi="Arial" w:cs="Arial"/>
          <w:iCs/>
        </w:rPr>
        <w:t>[2004] ZASCA 56;</w:t>
      </w:r>
      <w:r w:rsidRPr="00BC0662">
        <w:rPr>
          <w:rFonts w:ascii="Arial" w:hAnsi="Arial" w:cs="Arial"/>
          <w:iCs/>
        </w:rPr>
        <w:t xml:space="preserve"> </w:t>
      </w:r>
      <w:bookmarkEnd w:id="6"/>
      <w:r w:rsidRPr="00BC0662">
        <w:rPr>
          <w:rFonts w:ascii="Arial" w:hAnsi="Arial" w:cs="Arial"/>
          <w:iCs/>
        </w:rPr>
        <w:t>2005</w:t>
      </w:r>
      <w:r w:rsidR="00BC342A" w:rsidRPr="00BC0662">
        <w:rPr>
          <w:rFonts w:ascii="Arial" w:hAnsi="Arial" w:cs="Arial"/>
          <w:iCs/>
        </w:rPr>
        <w:t xml:space="preserve"> </w:t>
      </w:r>
      <w:r w:rsidRPr="00BC0662">
        <w:rPr>
          <w:rFonts w:ascii="Arial" w:hAnsi="Arial" w:cs="Arial"/>
          <w:iCs/>
        </w:rPr>
        <w:t>(2) SA 77</w:t>
      </w:r>
      <w:r w:rsidR="002A02CC" w:rsidRPr="00BC0662">
        <w:rPr>
          <w:rFonts w:ascii="Arial" w:hAnsi="Arial" w:cs="Arial"/>
          <w:iCs/>
        </w:rPr>
        <w:t xml:space="preserve"> </w:t>
      </w:r>
      <w:r w:rsidRPr="00BC0662">
        <w:rPr>
          <w:rFonts w:ascii="Arial" w:hAnsi="Arial" w:cs="Arial"/>
          <w:iCs/>
        </w:rPr>
        <w:t>(SCA)</w:t>
      </w:r>
      <w:bookmarkEnd w:id="7"/>
      <w:r w:rsidRPr="00BC0662">
        <w:rPr>
          <w:rFonts w:ascii="Arial" w:hAnsi="Arial" w:cs="Arial"/>
          <w:iCs/>
        </w:rPr>
        <w:t xml:space="preserve"> para </w:t>
      </w:r>
      <w:r w:rsidR="00083DDB">
        <w:rPr>
          <w:rFonts w:ascii="Arial" w:hAnsi="Arial" w:cs="Arial"/>
          <w:iCs/>
        </w:rPr>
        <w:t>37.3</w:t>
      </w:r>
      <w:r w:rsidRPr="00BC0662">
        <w:rPr>
          <w:rFonts w:ascii="Arial" w:hAnsi="Arial" w:cs="Arial"/>
        </w:rPr>
        <w:t>.</w:t>
      </w:r>
    </w:p>
  </w:footnote>
  <w:footnote w:id="10">
    <w:p w14:paraId="375583B8" w14:textId="4A0EC4FF" w:rsidR="00723E5A" w:rsidRPr="00723E5A" w:rsidRDefault="00723E5A" w:rsidP="00A84AD4">
      <w:pPr>
        <w:pStyle w:val="FootnoteText"/>
        <w:jc w:val="both"/>
        <w:rPr>
          <w:rFonts w:ascii="Arial" w:hAnsi="Arial" w:cs="Arial"/>
        </w:rPr>
      </w:pPr>
      <w:r w:rsidRPr="00723E5A">
        <w:rPr>
          <w:rStyle w:val="FootnoteReference"/>
          <w:rFonts w:ascii="Arial" w:hAnsi="Arial" w:cs="Arial"/>
        </w:rPr>
        <w:footnoteRef/>
      </w:r>
      <w:r w:rsidRPr="00723E5A">
        <w:rPr>
          <w:rFonts w:ascii="Arial" w:hAnsi="Arial" w:cs="Arial"/>
        </w:rPr>
        <w:t xml:space="preserve"> </w:t>
      </w:r>
      <w:bookmarkStart w:id="8" w:name="_Hlk106368515"/>
      <w:bookmarkStart w:id="9" w:name="_Hlk106368713"/>
      <w:r w:rsidRPr="00723E5A">
        <w:rPr>
          <w:rFonts w:ascii="Arial" w:hAnsi="Arial" w:cs="Arial"/>
          <w:i/>
        </w:rPr>
        <w:t xml:space="preserve">Badenhorst v Badenhorst </w:t>
      </w:r>
      <w:bookmarkEnd w:id="8"/>
      <w:r w:rsidR="00083DDB">
        <w:rPr>
          <w:rFonts w:ascii="Arial" w:hAnsi="Arial" w:cs="Arial"/>
          <w:iCs/>
        </w:rPr>
        <w:t xml:space="preserve">[2005] ZASCA 116; </w:t>
      </w:r>
      <w:r w:rsidRPr="00723E5A">
        <w:rPr>
          <w:rFonts w:ascii="Arial" w:hAnsi="Arial" w:cs="Arial"/>
          <w:iCs/>
        </w:rPr>
        <w:t>[2006] 2 All SA 363 (SCA) para 9</w:t>
      </w:r>
      <w:bookmarkEnd w:id="9"/>
      <w:r>
        <w:rPr>
          <w:rFonts w:ascii="Arial" w:hAnsi="Arial" w:cs="Arial"/>
          <w:iCs/>
        </w:rPr>
        <w:t>.</w:t>
      </w:r>
    </w:p>
  </w:footnote>
  <w:footnote w:id="11">
    <w:p w14:paraId="79EBD01E" w14:textId="5A7E066D" w:rsidR="00BC0662" w:rsidRDefault="00BC0662" w:rsidP="00A84AD4">
      <w:pPr>
        <w:pStyle w:val="FootnoteText"/>
        <w:jc w:val="both"/>
      </w:pPr>
      <w:r w:rsidRPr="00226245">
        <w:rPr>
          <w:rStyle w:val="FootnoteReference"/>
          <w:rFonts w:ascii="Arial" w:hAnsi="Arial" w:cs="Arial"/>
        </w:rPr>
        <w:footnoteRef/>
      </w:r>
      <w:r w:rsidRPr="00226245">
        <w:rPr>
          <w:rFonts w:ascii="Arial" w:hAnsi="Arial" w:cs="Arial"/>
        </w:rPr>
        <w:t xml:space="preserve"> </w:t>
      </w:r>
      <w:r w:rsidR="00723E5A" w:rsidRPr="00226245">
        <w:rPr>
          <w:rFonts w:ascii="Arial" w:hAnsi="Arial" w:cs="Arial"/>
          <w:i/>
        </w:rPr>
        <w:t>Land and Agricultural Bank of South v Parker</w:t>
      </w:r>
      <w:r w:rsidR="00723E5A" w:rsidRPr="00226245">
        <w:rPr>
          <w:rFonts w:ascii="Arial" w:hAnsi="Arial" w:cs="Arial"/>
          <w:iCs/>
        </w:rPr>
        <w:t xml:space="preserve"> </w:t>
      </w:r>
      <w:r w:rsidR="004626FC" w:rsidRPr="00226245">
        <w:rPr>
          <w:rFonts w:ascii="Arial" w:hAnsi="Arial" w:cs="Arial"/>
          <w:iCs/>
        </w:rPr>
        <w:t>above</w:t>
      </w:r>
      <w:r w:rsidR="00E875BA" w:rsidRPr="00226245">
        <w:rPr>
          <w:rFonts w:ascii="Arial" w:hAnsi="Arial" w:cs="Arial"/>
          <w:iCs/>
        </w:rPr>
        <w:t xml:space="preserve"> </w:t>
      </w:r>
      <w:r w:rsidRPr="00226245">
        <w:rPr>
          <w:rFonts w:ascii="Arial" w:hAnsi="Arial" w:cs="Arial"/>
        </w:rPr>
        <w:t>para 37.3.</w:t>
      </w:r>
    </w:p>
  </w:footnote>
  <w:footnote w:id="12">
    <w:p w14:paraId="27FB284E" w14:textId="13AE878A" w:rsidR="0069545D" w:rsidRPr="00A84AD4" w:rsidRDefault="0069545D" w:rsidP="00A84AD4">
      <w:pPr>
        <w:pStyle w:val="FootnoteText"/>
        <w:jc w:val="both"/>
        <w:rPr>
          <w:rFonts w:ascii="Arial" w:hAnsi="Arial" w:cs="Arial"/>
        </w:rPr>
      </w:pPr>
      <w:r w:rsidRPr="00A84AD4">
        <w:rPr>
          <w:rStyle w:val="FootnoteReference"/>
          <w:rFonts w:ascii="Arial" w:hAnsi="Arial" w:cs="Arial"/>
        </w:rPr>
        <w:footnoteRef/>
      </w:r>
      <w:r w:rsidRPr="00A84AD4">
        <w:rPr>
          <w:rFonts w:ascii="Arial" w:hAnsi="Arial" w:cs="Arial"/>
        </w:rPr>
        <w:t xml:space="preserve"> </w:t>
      </w:r>
      <w:r w:rsidR="00615C3C" w:rsidRPr="00723E5A">
        <w:rPr>
          <w:rFonts w:ascii="Arial" w:hAnsi="Arial" w:cs="Arial"/>
          <w:i/>
        </w:rPr>
        <w:t xml:space="preserve">Badenhorst v Badenhorst </w:t>
      </w:r>
      <w:r w:rsidR="00932AF6">
        <w:rPr>
          <w:rFonts w:ascii="Arial" w:hAnsi="Arial" w:cs="Arial"/>
          <w:iCs/>
        </w:rPr>
        <w:t>above</w:t>
      </w:r>
      <w:r w:rsidR="00615C3C">
        <w:rPr>
          <w:rFonts w:ascii="Arial" w:hAnsi="Arial" w:cs="Arial"/>
          <w:iCs/>
        </w:rPr>
        <w:t xml:space="preserve"> </w:t>
      </w:r>
      <w:r w:rsidRPr="00A84AD4">
        <w:rPr>
          <w:rFonts w:ascii="Arial" w:hAnsi="Arial" w:cs="Arial"/>
          <w:iCs/>
        </w:rPr>
        <w:t>para 9.</w:t>
      </w:r>
    </w:p>
  </w:footnote>
  <w:footnote w:id="13">
    <w:p w14:paraId="31E6E5F3" w14:textId="3E3FDC1F" w:rsidR="001630F0" w:rsidRPr="001630F0" w:rsidRDefault="001630F0" w:rsidP="00A84AD4">
      <w:pPr>
        <w:pStyle w:val="FootnoteText"/>
        <w:jc w:val="both"/>
        <w:rPr>
          <w:rFonts w:ascii="Arial" w:hAnsi="Arial" w:cs="Arial"/>
        </w:rPr>
      </w:pPr>
      <w:r w:rsidRPr="00A84AD4">
        <w:rPr>
          <w:rStyle w:val="FootnoteReference"/>
          <w:rFonts w:ascii="Arial" w:hAnsi="Arial" w:cs="Arial"/>
        </w:rPr>
        <w:footnoteRef/>
      </w:r>
      <w:r w:rsidR="0069545D" w:rsidRPr="00A84AD4">
        <w:rPr>
          <w:rFonts w:ascii="Arial" w:hAnsi="Arial" w:cs="Arial"/>
        </w:rPr>
        <w:t xml:space="preserve"> </w:t>
      </w:r>
      <w:r w:rsidRPr="00A84AD4">
        <w:rPr>
          <w:rFonts w:ascii="Arial" w:hAnsi="Arial" w:cs="Arial"/>
          <w:i/>
        </w:rPr>
        <w:t>Van Zyl</w:t>
      </w:r>
      <w:r w:rsidR="00E42E8E">
        <w:rPr>
          <w:rFonts w:ascii="Arial" w:hAnsi="Arial" w:cs="Arial"/>
          <w:i/>
        </w:rPr>
        <w:t xml:space="preserve"> and Another</w:t>
      </w:r>
      <w:r w:rsidR="00F11BDF">
        <w:rPr>
          <w:rFonts w:ascii="Arial" w:hAnsi="Arial" w:cs="Arial"/>
          <w:i/>
        </w:rPr>
        <w:t xml:space="preserve"> NNO</w:t>
      </w:r>
      <w:r w:rsidRPr="00A84AD4">
        <w:rPr>
          <w:rFonts w:ascii="Arial" w:hAnsi="Arial" w:cs="Arial"/>
          <w:i/>
        </w:rPr>
        <w:t xml:space="preserve"> v Kaye NO and Others</w:t>
      </w:r>
      <w:r w:rsidR="00F11BDF">
        <w:rPr>
          <w:rFonts w:ascii="Arial" w:hAnsi="Arial" w:cs="Arial"/>
          <w:iCs/>
        </w:rPr>
        <w:t>; [2014] ZAWCHC 52;</w:t>
      </w:r>
      <w:r w:rsidRPr="00A84AD4">
        <w:rPr>
          <w:rFonts w:ascii="Arial" w:hAnsi="Arial" w:cs="Arial"/>
          <w:i/>
        </w:rPr>
        <w:t xml:space="preserve"> </w:t>
      </w:r>
      <w:r w:rsidRPr="00A84AD4">
        <w:rPr>
          <w:rFonts w:ascii="Arial" w:hAnsi="Arial" w:cs="Arial"/>
          <w:iCs/>
        </w:rPr>
        <w:t>2014 (4) SA 452 (WCC) para 22.</w:t>
      </w:r>
    </w:p>
  </w:footnote>
  <w:footnote w:id="14">
    <w:p w14:paraId="0C2E6598" w14:textId="35793307" w:rsidR="002740FB" w:rsidRPr="002740FB" w:rsidRDefault="002740FB" w:rsidP="002740FB">
      <w:pPr>
        <w:pStyle w:val="FootnoteText"/>
        <w:jc w:val="both"/>
        <w:rPr>
          <w:rFonts w:ascii="Arial" w:hAnsi="Arial" w:cs="Arial"/>
        </w:rPr>
      </w:pPr>
      <w:r w:rsidRPr="002740FB">
        <w:rPr>
          <w:rStyle w:val="FootnoteReference"/>
          <w:rFonts w:ascii="Arial" w:hAnsi="Arial" w:cs="Arial"/>
        </w:rPr>
        <w:footnoteRef/>
      </w:r>
      <w:r>
        <w:rPr>
          <w:rFonts w:ascii="Arial" w:hAnsi="Arial" w:cs="Arial"/>
          <w:i/>
          <w:iCs/>
        </w:rPr>
        <w:t xml:space="preserve"> </w:t>
      </w:r>
      <w:r w:rsidRPr="002740FB">
        <w:rPr>
          <w:rFonts w:ascii="Arial" w:hAnsi="Arial" w:cs="Arial"/>
          <w:i/>
          <w:iCs/>
        </w:rPr>
        <w:t>P A F v S C F</w:t>
      </w:r>
      <w:r w:rsidRPr="002740FB">
        <w:rPr>
          <w:rFonts w:ascii="Arial" w:hAnsi="Arial" w:cs="Arial"/>
        </w:rPr>
        <w:t xml:space="preserve"> [2022] ZASCA 101 paras 29 – 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3746"/>
      <w:docPartObj>
        <w:docPartGallery w:val="Page Numbers (Top of Page)"/>
        <w:docPartUnique/>
      </w:docPartObj>
    </w:sdtPr>
    <w:sdtEndPr>
      <w:rPr>
        <w:rFonts w:ascii="Arial" w:hAnsi="Arial" w:cs="Arial"/>
        <w:noProof/>
        <w:sz w:val="24"/>
        <w:szCs w:val="24"/>
      </w:rPr>
    </w:sdtEndPr>
    <w:sdtContent>
      <w:p w14:paraId="0C103A2B" w14:textId="49658BB5" w:rsidR="001E08C9" w:rsidRPr="00424706" w:rsidRDefault="001E08C9">
        <w:pPr>
          <w:pStyle w:val="Header"/>
          <w:jc w:val="right"/>
          <w:rPr>
            <w:rFonts w:ascii="Arial" w:hAnsi="Arial" w:cs="Arial"/>
            <w:sz w:val="24"/>
            <w:szCs w:val="24"/>
          </w:rPr>
        </w:pPr>
        <w:r w:rsidRPr="00424706">
          <w:rPr>
            <w:rFonts w:ascii="Arial" w:hAnsi="Arial" w:cs="Arial"/>
            <w:sz w:val="24"/>
            <w:szCs w:val="24"/>
          </w:rPr>
          <w:fldChar w:fldCharType="begin"/>
        </w:r>
        <w:r w:rsidRPr="00424706">
          <w:rPr>
            <w:rFonts w:ascii="Arial" w:hAnsi="Arial" w:cs="Arial"/>
            <w:sz w:val="24"/>
            <w:szCs w:val="24"/>
          </w:rPr>
          <w:instrText xml:space="preserve"> PAGE   \* MERGEFORMAT </w:instrText>
        </w:r>
        <w:r w:rsidRPr="00424706">
          <w:rPr>
            <w:rFonts w:ascii="Arial" w:hAnsi="Arial" w:cs="Arial"/>
            <w:sz w:val="24"/>
            <w:szCs w:val="24"/>
          </w:rPr>
          <w:fldChar w:fldCharType="separate"/>
        </w:r>
        <w:r w:rsidR="00E23B34">
          <w:rPr>
            <w:rFonts w:ascii="Arial" w:hAnsi="Arial" w:cs="Arial"/>
            <w:noProof/>
            <w:sz w:val="24"/>
            <w:szCs w:val="24"/>
          </w:rPr>
          <w:t>2</w:t>
        </w:r>
        <w:r w:rsidRPr="00424706">
          <w:rPr>
            <w:rFonts w:ascii="Arial" w:hAnsi="Arial" w:cs="Arial"/>
            <w:noProof/>
            <w:sz w:val="24"/>
            <w:szCs w:val="24"/>
          </w:rPr>
          <w:fldChar w:fldCharType="end"/>
        </w:r>
      </w:p>
    </w:sdtContent>
  </w:sdt>
  <w:p w14:paraId="003DB410" w14:textId="77777777" w:rsidR="001E08C9" w:rsidRPr="000B5D6E" w:rsidRDefault="001E08C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B0517"/>
    <w:multiLevelType w:val="hybridMultilevel"/>
    <w:tmpl w:val="03DA20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602F3EE-0BFC-492B-93D5-D4500652EE8F}"/>
    <w:docVar w:name="dgnword-eventsink" w:val="2810656251600"/>
    <w:docVar w:name="dgnword-lastRevisionsView" w:val="0"/>
  </w:docVars>
  <w:rsids>
    <w:rsidRoot w:val="00C91F92"/>
    <w:rsid w:val="00006201"/>
    <w:rsid w:val="00012DFF"/>
    <w:rsid w:val="00015C1E"/>
    <w:rsid w:val="00016C8B"/>
    <w:rsid w:val="00020189"/>
    <w:rsid w:val="00026896"/>
    <w:rsid w:val="00031699"/>
    <w:rsid w:val="00033127"/>
    <w:rsid w:val="0003333B"/>
    <w:rsid w:val="00034916"/>
    <w:rsid w:val="00053081"/>
    <w:rsid w:val="00063C9D"/>
    <w:rsid w:val="0006621F"/>
    <w:rsid w:val="00076ECB"/>
    <w:rsid w:val="00082C30"/>
    <w:rsid w:val="00083DDB"/>
    <w:rsid w:val="000A7671"/>
    <w:rsid w:val="000B3563"/>
    <w:rsid w:val="000B5D6E"/>
    <w:rsid w:val="000B659A"/>
    <w:rsid w:val="000B6B39"/>
    <w:rsid w:val="000C17D9"/>
    <w:rsid w:val="000C1DF8"/>
    <w:rsid w:val="000D26EA"/>
    <w:rsid w:val="000D3041"/>
    <w:rsid w:val="000E4A28"/>
    <w:rsid w:val="000F17BA"/>
    <w:rsid w:val="000F485B"/>
    <w:rsid w:val="000F687E"/>
    <w:rsid w:val="001001D8"/>
    <w:rsid w:val="0010082E"/>
    <w:rsid w:val="00106072"/>
    <w:rsid w:val="001067B4"/>
    <w:rsid w:val="001108FB"/>
    <w:rsid w:val="00113C61"/>
    <w:rsid w:val="00114974"/>
    <w:rsid w:val="00124B73"/>
    <w:rsid w:val="00134FF1"/>
    <w:rsid w:val="001375F7"/>
    <w:rsid w:val="00141268"/>
    <w:rsid w:val="00141F07"/>
    <w:rsid w:val="00141F58"/>
    <w:rsid w:val="00142E7B"/>
    <w:rsid w:val="00144CB0"/>
    <w:rsid w:val="00145BBD"/>
    <w:rsid w:val="0014755A"/>
    <w:rsid w:val="00150325"/>
    <w:rsid w:val="00160472"/>
    <w:rsid w:val="00160C98"/>
    <w:rsid w:val="001630F0"/>
    <w:rsid w:val="001667C8"/>
    <w:rsid w:val="00167E0B"/>
    <w:rsid w:val="0017111C"/>
    <w:rsid w:val="00171DE7"/>
    <w:rsid w:val="00174326"/>
    <w:rsid w:val="00177661"/>
    <w:rsid w:val="001825E2"/>
    <w:rsid w:val="001919B3"/>
    <w:rsid w:val="00192257"/>
    <w:rsid w:val="001A4C2E"/>
    <w:rsid w:val="001A7E28"/>
    <w:rsid w:val="001B001E"/>
    <w:rsid w:val="001B7E3C"/>
    <w:rsid w:val="001C4523"/>
    <w:rsid w:val="001C57B0"/>
    <w:rsid w:val="001C79FD"/>
    <w:rsid w:val="001D407F"/>
    <w:rsid w:val="001E06BA"/>
    <w:rsid w:val="001E08C9"/>
    <w:rsid w:val="001E0BAD"/>
    <w:rsid w:val="001E3F80"/>
    <w:rsid w:val="001F7091"/>
    <w:rsid w:val="001F7686"/>
    <w:rsid w:val="002010CB"/>
    <w:rsid w:val="00201E1F"/>
    <w:rsid w:val="002044F2"/>
    <w:rsid w:val="002070A4"/>
    <w:rsid w:val="00211027"/>
    <w:rsid w:val="0021230E"/>
    <w:rsid w:val="00213846"/>
    <w:rsid w:val="00214C2B"/>
    <w:rsid w:val="002171C9"/>
    <w:rsid w:val="00217296"/>
    <w:rsid w:val="002224A5"/>
    <w:rsid w:val="00226245"/>
    <w:rsid w:val="002270E0"/>
    <w:rsid w:val="00235770"/>
    <w:rsid w:val="002559DE"/>
    <w:rsid w:val="002566F5"/>
    <w:rsid w:val="00263F2D"/>
    <w:rsid w:val="00270234"/>
    <w:rsid w:val="002717AB"/>
    <w:rsid w:val="00272CAB"/>
    <w:rsid w:val="002740FB"/>
    <w:rsid w:val="00274802"/>
    <w:rsid w:val="00277152"/>
    <w:rsid w:val="00294824"/>
    <w:rsid w:val="002A02CC"/>
    <w:rsid w:val="002B111C"/>
    <w:rsid w:val="002B62D6"/>
    <w:rsid w:val="002C46E7"/>
    <w:rsid w:val="002D181F"/>
    <w:rsid w:val="002D5882"/>
    <w:rsid w:val="002D7EA5"/>
    <w:rsid w:val="002E0D62"/>
    <w:rsid w:val="002E4578"/>
    <w:rsid w:val="002E460A"/>
    <w:rsid w:val="002E5B43"/>
    <w:rsid w:val="002F6C56"/>
    <w:rsid w:val="00310886"/>
    <w:rsid w:val="0031508F"/>
    <w:rsid w:val="00315747"/>
    <w:rsid w:val="00327B02"/>
    <w:rsid w:val="003324C4"/>
    <w:rsid w:val="0033296B"/>
    <w:rsid w:val="00333308"/>
    <w:rsid w:val="00333659"/>
    <w:rsid w:val="00335ADB"/>
    <w:rsid w:val="003435B8"/>
    <w:rsid w:val="003464FD"/>
    <w:rsid w:val="00354A33"/>
    <w:rsid w:val="003550D4"/>
    <w:rsid w:val="003553C1"/>
    <w:rsid w:val="00356B7E"/>
    <w:rsid w:val="0035741E"/>
    <w:rsid w:val="00371CB0"/>
    <w:rsid w:val="0037453D"/>
    <w:rsid w:val="0037569A"/>
    <w:rsid w:val="003762E9"/>
    <w:rsid w:val="00387619"/>
    <w:rsid w:val="00393B05"/>
    <w:rsid w:val="0039474C"/>
    <w:rsid w:val="003A753A"/>
    <w:rsid w:val="003C3604"/>
    <w:rsid w:val="003C49A9"/>
    <w:rsid w:val="003E14AD"/>
    <w:rsid w:val="003E23FE"/>
    <w:rsid w:val="003E6E4B"/>
    <w:rsid w:val="003F2298"/>
    <w:rsid w:val="003F3E5C"/>
    <w:rsid w:val="00407101"/>
    <w:rsid w:val="00411417"/>
    <w:rsid w:val="00422E27"/>
    <w:rsid w:val="004233D2"/>
    <w:rsid w:val="00424706"/>
    <w:rsid w:val="00431CF2"/>
    <w:rsid w:val="00431F71"/>
    <w:rsid w:val="00436AB5"/>
    <w:rsid w:val="00440166"/>
    <w:rsid w:val="00444882"/>
    <w:rsid w:val="004460E8"/>
    <w:rsid w:val="004502CF"/>
    <w:rsid w:val="004566B8"/>
    <w:rsid w:val="004626FC"/>
    <w:rsid w:val="00470554"/>
    <w:rsid w:val="00471561"/>
    <w:rsid w:val="004737D9"/>
    <w:rsid w:val="004768A9"/>
    <w:rsid w:val="00476B5A"/>
    <w:rsid w:val="0047774C"/>
    <w:rsid w:val="00481900"/>
    <w:rsid w:val="00487509"/>
    <w:rsid w:val="004A24EE"/>
    <w:rsid w:val="004A7C76"/>
    <w:rsid w:val="004C03A2"/>
    <w:rsid w:val="004C4612"/>
    <w:rsid w:val="004D29F3"/>
    <w:rsid w:val="004D2FF0"/>
    <w:rsid w:val="004D4175"/>
    <w:rsid w:val="004D4374"/>
    <w:rsid w:val="004D592D"/>
    <w:rsid w:val="004D6D29"/>
    <w:rsid w:val="004E1D07"/>
    <w:rsid w:val="004E71BD"/>
    <w:rsid w:val="00515E40"/>
    <w:rsid w:val="0052370E"/>
    <w:rsid w:val="00530849"/>
    <w:rsid w:val="00535401"/>
    <w:rsid w:val="005357B5"/>
    <w:rsid w:val="0054412A"/>
    <w:rsid w:val="0055133E"/>
    <w:rsid w:val="0055392C"/>
    <w:rsid w:val="00557E49"/>
    <w:rsid w:val="00566268"/>
    <w:rsid w:val="00571226"/>
    <w:rsid w:val="00573B12"/>
    <w:rsid w:val="0058317C"/>
    <w:rsid w:val="005837AA"/>
    <w:rsid w:val="00590AFA"/>
    <w:rsid w:val="005915B3"/>
    <w:rsid w:val="0059519F"/>
    <w:rsid w:val="005A0D64"/>
    <w:rsid w:val="005A69C1"/>
    <w:rsid w:val="005B574F"/>
    <w:rsid w:val="005B720F"/>
    <w:rsid w:val="005B7359"/>
    <w:rsid w:val="005C387E"/>
    <w:rsid w:val="005C4246"/>
    <w:rsid w:val="005C42DB"/>
    <w:rsid w:val="005D6462"/>
    <w:rsid w:val="005D6A0E"/>
    <w:rsid w:val="005D7081"/>
    <w:rsid w:val="005E2064"/>
    <w:rsid w:val="005E3D60"/>
    <w:rsid w:val="005E5433"/>
    <w:rsid w:val="005E6D53"/>
    <w:rsid w:val="005E76B2"/>
    <w:rsid w:val="005F2E13"/>
    <w:rsid w:val="005F331E"/>
    <w:rsid w:val="005F4409"/>
    <w:rsid w:val="005F5EF3"/>
    <w:rsid w:val="00606BD5"/>
    <w:rsid w:val="00614B93"/>
    <w:rsid w:val="006154DE"/>
    <w:rsid w:val="00615C3C"/>
    <w:rsid w:val="00622E52"/>
    <w:rsid w:val="00634447"/>
    <w:rsid w:val="00655F8D"/>
    <w:rsid w:val="00660D1B"/>
    <w:rsid w:val="00673378"/>
    <w:rsid w:val="00674738"/>
    <w:rsid w:val="006824E8"/>
    <w:rsid w:val="006856BA"/>
    <w:rsid w:val="0068743D"/>
    <w:rsid w:val="00691595"/>
    <w:rsid w:val="0069545D"/>
    <w:rsid w:val="006A21AF"/>
    <w:rsid w:val="006A3BBE"/>
    <w:rsid w:val="006A47D3"/>
    <w:rsid w:val="006B0D5A"/>
    <w:rsid w:val="006B18A8"/>
    <w:rsid w:val="006B27E3"/>
    <w:rsid w:val="006C013E"/>
    <w:rsid w:val="006E1927"/>
    <w:rsid w:val="006E4570"/>
    <w:rsid w:val="006E7168"/>
    <w:rsid w:val="006E7EE0"/>
    <w:rsid w:val="007052BA"/>
    <w:rsid w:val="00711C2D"/>
    <w:rsid w:val="007170A6"/>
    <w:rsid w:val="007174E4"/>
    <w:rsid w:val="007234A1"/>
    <w:rsid w:val="00723E5A"/>
    <w:rsid w:val="00724EB2"/>
    <w:rsid w:val="007270FF"/>
    <w:rsid w:val="0072743C"/>
    <w:rsid w:val="0073715F"/>
    <w:rsid w:val="007412EE"/>
    <w:rsid w:val="0074450C"/>
    <w:rsid w:val="007460DA"/>
    <w:rsid w:val="00746F0F"/>
    <w:rsid w:val="0075083A"/>
    <w:rsid w:val="0075258E"/>
    <w:rsid w:val="0075734B"/>
    <w:rsid w:val="0076214E"/>
    <w:rsid w:val="00763E0F"/>
    <w:rsid w:val="0076587D"/>
    <w:rsid w:val="00767A38"/>
    <w:rsid w:val="00772116"/>
    <w:rsid w:val="007723F5"/>
    <w:rsid w:val="00775F07"/>
    <w:rsid w:val="00782FDB"/>
    <w:rsid w:val="007844E3"/>
    <w:rsid w:val="00796209"/>
    <w:rsid w:val="007969C0"/>
    <w:rsid w:val="007979B5"/>
    <w:rsid w:val="007A0E1E"/>
    <w:rsid w:val="007A523D"/>
    <w:rsid w:val="007B15F6"/>
    <w:rsid w:val="007B62FF"/>
    <w:rsid w:val="007B7225"/>
    <w:rsid w:val="007C5D09"/>
    <w:rsid w:val="007D3686"/>
    <w:rsid w:val="007D5C76"/>
    <w:rsid w:val="007D60B2"/>
    <w:rsid w:val="007D7BE2"/>
    <w:rsid w:val="007E3466"/>
    <w:rsid w:val="007E3A19"/>
    <w:rsid w:val="007E5255"/>
    <w:rsid w:val="007F1413"/>
    <w:rsid w:val="007F4D81"/>
    <w:rsid w:val="00825FCE"/>
    <w:rsid w:val="00831003"/>
    <w:rsid w:val="00834862"/>
    <w:rsid w:val="00834B0F"/>
    <w:rsid w:val="008352F9"/>
    <w:rsid w:val="0084370E"/>
    <w:rsid w:val="00844C5A"/>
    <w:rsid w:val="008528AD"/>
    <w:rsid w:val="0085594D"/>
    <w:rsid w:val="00856B2F"/>
    <w:rsid w:val="0085715E"/>
    <w:rsid w:val="00862EB6"/>
    <w:rsid w:val="00867715"/>
    <w:rsid w:val="008716D6"/>
    <w:rsid w:val="00884B4C"/>
    <w:rsid w:val="00892601"/>
    <w:rsid w:val="00896F76"/>
    <w:rsid w:val="008A389B"/>
    <w:rsid w:val="008A38CB"/>
    <w:rsid w:val="008A69A8"/>
    <w:rsid w:val="008B0F93"/>
    <w:rsid w:val="008B602D"/>
    <w:rsid w:val="008C06B5"/>
    <w:rsid w:val="008E65C7"/>
    <w:rsid w:val="008F194A"/>
    <w:rsid w:val="008F677B"/>
    <w:rsid w:val="00912781"/>
    <w:rsid w:val="00915382"/>
    <w:rsid w:val="00921AA0"/>
    <w:rsid w:val="009313EB"/>
    <w:rsid w:val="00932167"/>
    <w:rsid w:val="00932AF6"/>
    <w:rsid w:val="0094152D"/>
    <w:rsid w:val="0094395B"/>
    <w:rsid w:val="009460A9"/>
    <w:rsid w:val="009463E2"/>
    <w:rsid w:val="009540EF"/>
    <w:rsid w:val="0095503D"/>
    <w:rsid w:val="009558DE"/>
    <w:rsid w:val="009611C7"/>
    <w:rsid w:val="009637FE"/>
    <w:rsid w:val="00964E95"/>
    <w:rsid w:val="00973826"/>
    <w:rsid w:val="00991ADE"/>
    <w:rsid w:val="009928CC"/>
    <w:rsid w:val="009A1306"/>
    <w:rsid w:val="009A35FE"/>
    <w:rsid w:val="009A4884"/>
    <w:rsid w:val="009B0586"/>
    <w:rsid w:val="009B3506"/>
    <w:rsid w:val="009C4513"/>
    <w:rsid w:val="009D1BB0"/>
    <w:rsid w:val="009D2F81"/>
    <w:rsid w:val="009E04A3"/>
    <w:rsid w:val="009E54B6"/>
    <w:rsid w:val="00A1146E"/>
    <w:rsid w:val="00A120A4"/>
    <w:rsid w:val="00A22ED9"/>
    <w:rsid w:val="00A249CF"/>
    <w:rsid w:val="00A24E44"/>
    <w:rsid w:val="00A253B4"/>
    <w:rsid w:val="00A30AE2"/>
    <w:rsid w:val="00A31E0B"/>
    <w:rsid w:val="00A56B38"/>
    <w:rsid w:val="00A63A28"/>
    <w:rsid w:val="00A649EC"/>
    <w:rsid w:val="00A66DC0"/>
    <w:rsid w:val="00A66E23"/>
    <w:rsid w:val="00A66E97"/>
    <w:rsid w:val="00A73533"/>
    <w:rsid w:val="00A76148"/>
    <w:rsid w:val="00A849F5"/>
    <w:rsid w:val="00A84AD4"/>
    <w:rsid w:val="00A8570B"/>
    <w:rsid w:val="00A86B80"/>
    <w:rsid w:val="00A927AE"/>
    <w:rsid w:val="00AC24E0"/>
    <w:rsid w:val="00AC6DAF"/>
    <w:rsid w:val="00AE0A54"/>
    <w:rsid w:val="00AE4D76"/>
    <w:rsid w:val="00AF3EF4"/>
    <w:rsid w:val="00B03C7B"/>
    <w:rsid w:val="00B06D52"/>
    <w:rsid w:val="00B10D29"/>
    <w:rsid w:val="00B1606D"/>
    <w:rsid w:val="00B16B14"/>
    <w:rsid w:val="00B20B84"/>
    <w:rsid w:val="00B23385"/>
    <w:rsid w:val="00B30397"/>
    <w:rsid w:val="00B30D61"/>
    <w:rsid w:val="00B40ED4"/>
    <w:rsid w:val="00B45A17"/>
    <w:rsid w:val="00B46393"/>
    <w:rsid w:val="00B558DB"/>
    <w:rsid w:val="00B6116B"/>
    <w:rsid w:val="00B6488D"/>
    <w:rsid w:val="00B6717E"/>
    <w:rsid w:val="00B67A4F"/>
    <w:rsid w:val="00B70D5E"/>
    <w:rsid w:val="00B76098"/>
    <w:rsid w:val="00B801A9"/>
    <w:rsid w:val="00B96A44"/>
    <w:rsid w:val="00BA1AE9"/>
    <w:rsid w:val="00BA39E8"/>
    <w:rsid w:val="00BA5A2F"/>
    <w:rsid w:val="00BA7312"/>
    <w:rsid w:val="00BC0662"/>
    <w:rsid w:val="00BC275C"/>
    <w:rsid w:val="00BC342A"/>
    <w:rsid w:val="00BC55DB"/>
    <w:rsid w:val="00BD22AA"/>
    <w:rsid w:val="00BD65BE"/>
    <w:rsid w:val="00BE6199"/>
    <w:rsid w:val="00BE6B27"/>
    <w:rsid w:val="00BE77B9"/>
    <w:rsid w:val="00BF15D4"/>
    <w:rsid w:val="00BF1769"/>
    <w:rsid w:val="00BF2ED6"/>
    <w:rsid w:val="00BF4288"/>
    <w:rsid w:val="00BF4F9B"/>
    <w:rsid w:val="00C0114C"/>
    <w:rsid w:val="00C154CF"/>
    <w:rsid w:val="00C16E4F"/>
    <w:rsid w:val="00C20FE2"/>
    <w:rsid w:val="00C27D70"/>
    <w:rsid w:val="00C3013B"/>
    <w:rsid w:val="00C308BB"/>
    <w:rsid w:val="00C31AD0"/>
    <w:rsid w:val="00C3353D"/>
    <w:rsid w:val="00C35AC3"/>
    <w:rsid w:val="00C37DB9"/>
    <w:rsid w:val="00C50D78"/>
    <w:rsid w:val="00C51C63"/>
    <w:rsid w:val="00C51CB2"/>
    <w:rsid w:val="00C52CFE"/>
    <w:rsid w:val="00C545AE"/>
    <w:rsid w:val="00C55C70"/>
    <w:rsid w:val="00C73848"/>
    <w:rsid w:val="00C77A42"/>
    <w:rsid w:val="00C82AFD"/>
    <w:rsid w:val="00C908C6"/>
    <w:rsid w:val="00C91B00"/>
    <w:rsid w:val="00C91B6F"/>
    <w:rsid w:val="00C91F92"/>
    <w:rsid w:val="00CA1D7A"/>
    <w:rsid w:val="00CA3EB6"/>
    <w:rsid w:val="00CB0869"/>
    <w:rsid w:val="00CB1A39"/>
    <w:rsid w:val="00CB2C4D"/>
    <w:rsid w:val="00CC25E6"/>
    <w:rsid w:val="00CC6AC0"/>
    <w:rsid w:val="00CC77E6"/>
    <w:rsid w:val="00CD0C57"/>
    <w:rsid w:val="00CE2874"/>
    <w:rsid w:val="00CE2A21"/>
    <w:rsid w:val="00CE61AE"/>
    <w:rsid w:val="00CE703E"/>
    <w:rsid w:val="00CF08BC"/>
    <w:rsid w:val="00CF45FF"/>
    <w:rsid w:val="00CF4947"/>
    <w:rsid w:val="00CF6DE1"/>
    <w:rsid w:val="00D02C91"/>
    <w:rsid w:val="00D03E8B"/>
    <w:rsid w:val="00D11D9F"/>
    <w:rsid w:val="00D233DA"/>
    <w:rsid w:val="00D24894"/>
    <w:rsid w:val="00D37EFC"/>
    <w:rsid w:val="00D40336"/>
    <w:rsid w:val="00D42D66"/>
    <w:rsid w:val="00D57280"/>
    <w:rsid w:val="00D665F8"/>
    <w:rsid w:val="00D66680"/>
    <w:rsid w:val="00D7745B"/>
    <w:rsid w:val="00D8077E"/>
    <w:rsid w:val="00D814BF"/>
    <w:rsid w:val="00D94399"/>
    <w:rsid w:val="00D96550"/>
    <w:rsid w:val="00D96916"/>
    <w:rsid w:val="00D9789C"/>
    <w:rsid w:val="00DA0AA9"/>
    <w:rsid w:val="00DA6B48"/>
    <w:rsid w:val="00DB4E4C"/>
    <w:rsid w:val="00DB686B"/>
    <w:rsid w:val="00DB68A1"/>
    <w:rsid w:val="00DC03AE"/>
    <w:rsid w:val="00DC3ECB"/>
    <w:rsid w:val="00DD0C84"/>
    <w:rsid w:val="00DD65C1"/>
    <w:rsid w:val="00DE04EC"/>
    <w:rsid w:val="00DE09F1"/>
    <w:rsid w:val="00DE3C7A"/>
    <w:rsid w:val="00DF6DD2"/>
    <w:rsid w:val="00E021CB"/>
    <w:rsid w:val="00E0688D"/>
    <w:rsid w:val="00E11524"/>
    <w:rsid w:val="00E15209"/>
    <w:rsid w:val="00E22260"/>
    <w:rsid w:val="00E23B34"/>
    <w:rsid w:val="00E316B5"/>
    <w:rsid w:val="00E3234B"/>
    <w:rsid w:val="00E342C1"/>
    <w:rsid w:val="00E34DE7"/>
    <w:rsid w:val="00E366BC"/>
    <w:rsid w:val="00E4081F"/>
    <w:rsid w:val="00E42E8E"/>
    <w:rsid w:val="00E52116"/>
    <w:rsid w:val="00E5715E"/>
    <w:rsid w:val="00E66029"/>
    <w:rsid w:val="00E66642"/>
    <w:rsid w:val="00E7264B"/>
    <w:rsid w:val="00E81315"/>
    <w:rsid w:val="00E86ECA"/>
    <w:rsid w:val="00E875BA"/>
    <w:rsid w:val="00E92B9D"/>
    <w:rsid w:val="00EA2BFB"/>
    <w:rsid w:val="00EA5BF1"/>
    <w:rsid w:val="00EA6E92"/>
    <w:rsid w:val="00EB0EDD"/>
    <w:rsid w:val="00EB46F1"/>
    <w:rsid w:val="00EC656E"/>
    <w:rsid w:val="00EC79C0"/>
    <w:rsid w:val="00ED0236"/>
    <w:rsid w:val="00ED3727"/>
    <w:rsid w:val="00EE246C"/>
    <w:rsid w:val="00EE5EDD"/>
    <w:rsid w:val="00EF7C10"/>
    <w:rsid w:val="00F02B0F"/>
    <w:rsid w:val="00F0387A"/>
    <w:rsid w:val="00F11BDF"/>
    <w:rsid w:val="00F21C98"/>
    <w:rsid w:val="00F226DD"/>
    <w:rsid w:val="00F23B4F"/>
    <w:rsid w:val="00F2451B"/>
    <w:rsid w:val="00F271DE"/>
    <w:rsid w:val="00F31EE4"/>
    <w:rsid w:val="00F3591C"/>
    <w:rsid w:val="00F471D4"/>
    <w:rsid w:val="00F477A7"/>
    <w:rsid w:val="00F52FA3"/>
    <w:rsid w:val="00F54428"/>
    <w:rsid w:val="00F63CFE"/>
    <w:rsid w:val="00F70E07"/>
    <w:rsid w:val="00F72E67"/>
    <w:rsid w:val="00F74C29"/>
    <w:rsid w:val="00F801D8"/>
    <w:rsid w:val="00F83FF5"/>
    <w:rsid w:val="00F87BD8"/>
    <w:rsid w:val="00F97E17"/>
    <w:rsid w:val="00FA69BA"/>
    <w:rsid w:val="00FB42B7"/>
    <w:rsid w:val="00FB761A"/>
    <w:rsid w:val="00FC03B8"/>
    <w:rsid w:val="00FC2685"/>
    <w:rsid w:val="00FC71E1"/>
    <w:rsid w:val="00FD620C"/>
    <w:rsid w:val="00FD6FE3"/>
    <w:rsid w:val="00FD7868"/>
    <w:rsid w:val="00FD7D80"/>
    <w:rsid w:val="00FE51E5"/>
    <w:rsid w:val="00FF0BCA"/>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F363"/>
  <w15:chartTrackingRefBased/>
  <w15:docId w15:val="{EB88588C-7AAC-4CD4-988F-6832C01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A4"/>
    <w:rPr>
      <w:lang w:val="en-ZA"/>
    </w:rPr>
  </w:style>
  <w:style w:type="paragraph" w:styleId="Heading2">
    <w:name w:val="heading 2"/>
    <w:basedOn w:val="Normal"/>
    <w:next w:val="Normal"/>
    <w:link w:val="Heading2Char"/>
    <w:uiPriority w:val="9"/>
    <w:semiHidden/>
    <w:unhideWhenUsed/>
    <w:qFormat/>
    <w:rsid w:val="00921A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1AA0"/>
    <w:rPr>
      <w:rFonts w:asciiTheme="majorHAnsi" w:eastAsiaTheme="majorEastAsia" w:hAnsiTheme="majorHAnsi" w:cstheme="majorBidi"/>
      <w:color w:val="2F5496" w:themeColor="accent1" w:themeShade="BF"/>
      <w:sz w:val="26"/>
      <w:szCs w:val="26"/>
      <w:lang w:val="en-ZA"/>
    </w:rPr>
  </w:style>
  <w:style w:type="paragraph" w:styleId="ListParagraph">
    <w:name w:val="List Paragraph"/>
    <w:basedOn w:val="Normal"/>
    <w:uiPriority w:val="34"/>
    <w:qFormat/>
    <w:rsid w:val="00E316B5"/>
    <w:pPr>
      <w:ind w:left="720"/>
      <w:contextualSpacing/>
    </w:pPr>
  </w:style>
  <w:style w:type="character" w:styleId="CommentReference">
    <w:name w:val="annotation reference"/>
    <w:basedOn w:val="DefaultParagraphFont"/>
    <w:uiPriority w:val="99"/>
    <w:semiHidden/>
    <w:unhideWhenUsed/>
    <w:rsid w:val="002E0D62"/>
    <w:rPr>
      <w:sz w:val="16"/>
      <w:szCs w:val="16"/>
    </w:rPr>
  </w:style>
  <w:style w:type="paragraph" w:styleId="CommentText">
    <w:name w:val="annotation text"/>
    <w:basedOn w:val="Normal"/>
    <w:link w:val="CommentTextChar"/>
    <w:uiPriority w:val="99"/>
    <w:semiHidden/>
    <w:unhideWhenUsed/>
    <w:rsid w:val="002E0D62"/>
    <w:pPr>
      <w:spacing w:line="240" w:lineRule="auto"/>
    </w:pPr>
    <w:rPr>
      <w:sz w:val="20"/>
      <w:szCs w:val="20"/>
    </w:rPr>
  </w:style>
  <w:style w:type="character" w:customStyle="1" w:styleId="CommentTextChar">
    <w:name w:val="Comment Text Char"/>
    <w:basedOn w:val="DefaultParagraphFont"/>
    <w:link w:val="CommentText"/>
    <w:uiPriority w:val="99"/>
    <w:semiHidden/>
    <w:rsid w:val="002E0D62"/>
    <w:rPr>
      <w:sz w:val="20"/>
      <w:szCs w:val="20"/>
      <w:lang w:val="en-ZA"/>
    </w:rPr>
  </w:style>
  <w:style w:type="paragraph" w:styleId="CommentSubject">
    <w:name w:val="annotation subject"/>
    <w:basedOn w:val="CommentText"/>
    <w:next w:val="CommentText"/>
    <w:link w:val="CommentSubjectChar"/>
    <w:uiPriority w:val="99"/>
    <w:semiHidden/>
    <w:unhideWhenUsed/>
    <w:rsid w:val="002E0D62"/>
    <w:rPr>
      <w:b/>
      <w:bCs/>
    </w:rPr>
  </w:style>
  <w:style w:type="character" w:customStyle="1" w:styleId="CommentSubjectChar">
    <w:name w:val="Comment Subject Char"/>
    <w:basedOn w:val="CommentTextChar"/>
    <w:link w:val="CommentSubject"/>
    <w:uiPriority w:val="99"/>
    <w:semiHidden/>
    <w:rsid w:val="002E0D62"/>
    <w:rPr>
      <w:b/>
      <w:bCs/>
      <w:sz w:val="20"/>
      <w:szCs w:val="20"/>
      <w:lang w:val="en-ZA"/>
    </w:rPr>
  </w:style>
  <w:style w:type="paragraph" w:styleId="BalloonText">
    <w:name w:val="Balloon Text"/>
    <w:basedOn w:val="Normal"/>
    <w:link w:val="BalloonTextChar"/>
    <w:uiPriority w:val="99"/>
    <w:semiHidden/>
    <w:unhideWhenUsed/>
    <w:rsid w:val="002E0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62"/>
    <w:rPr>
      <w:rFonts w:ascii="Segoe UI" w:hAnsi="Segoe UI" w:cs="Segoe UI"/>
      <w:sz w:val="18"/>
      <w:szCs w:val="18"/>
      <w:lang w:val="en-ZA"/>
    </w:rPr>
  </w:style>
  <w:style w:type="paragraph" w:styleId="FootnoteText">
    <w:name w:val="footnote text"/>
    <w:basedOn w:val="Normal"/>
    <w:link w:val="FootnoteTextChar"/>
    <w:uiPriority w:val="99"/>
    <w:semiHidden/>
    <w:unhideWhenUsed/>
    <w:rsid w:val="004D4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374"/>
    <w:rPr>
      <w:sz w:val="20"/>
      <w:szCs w:val="20"/>
      <w:lang w:val="en-ZA"/>
    </w:rPr>
  </w:style>
  <w:style w:type="character" w:styleId="FootnoteReference">
    <w:name w:val="footnote reference"/>
    <w:basedOn w:val="DefaultParagraphFont"/>
    <w:uiPriority w:val="99"/>
    <w:semiHidden/>
    <w:unhideWhenUsed/>
    <w:rsid w:val="004D4374"/>
    <w:rPr>
      <w:vertAlign w:val="superscript"/>
    </w:rPr>
  </w:style>
  <w:style w:type="paragraph" w:styleId="NormalWeb">
    <w:name w:val="Normal (Web)"/>
    <w:basedOn w:val="Normal"/>
    <w:uiPriority w:val="99"/>
    <w:semiHidden/>
    <w:unhideWhenUsed/>
    <w:rsid w:val="00CE703E"/>
    <w:rPr>
      <w:rFonts w:ascii="Times New Roman" w:hAnsi="Times New Roman" w:cs="Times New Roman"/>
      <w:sz w:val="24"/>
      <w:szCs w:val="24"/>
    </w:rPr>
  </w:style>
  <w:style w:type="character" w:styleId="Hyperlink">
    <w:name w:val="Hyperlink"/>
    <w:basedOn w:val="DefaultParagraphFont"/>
    <w:uiPriority w:val="99"/>
    <w:unhideWhenUsed/>
    <w:rsid w:val="00CE703E"/>
    <w:rPr>
      <w:color w:val="0563C1" w:themeColor="hyperlink"/>
      <w:u w:val="single"/>
    </w:rPr>
  </w:style>
  <w:style w:type="character" w:customStyle="1" w:styleId="UnresolvedMention1">
    <w:name w:val="Unresolved Mention1"/>
    <w:basedOn w:val="DefaultParagraphFont"/>
    <w:uiPriority w:val="99"/>
    <w:semiHidden/>
    <w:unhideWhenUsed/>
    <w:rsid w:val="00CE703E"/>
    <w:rPr>
      <w:color w:val="605E5C"/>
      <w:shd w:val="clear" w:color="auto" w:fill="E1DFDD"/>
    </w:rPr>
  </w:style>
  <w:style w:type="paragraph" w:styleId="Revision">
    <w:name w:val="Revision"/>
    <w:hidden/>
    <w:uiPriority w:val="99"/>
    <w:semiHidden/>
    <w:rsid w:val="003E14AD"/>
    <w:pPr>
      <w:spacing w:after="0" w:line="240" w:lineRule="auto"/>
    </w:pPr>
    <w:rPr>
      <w:lang w:val="en-ZA"/>
    </w:rPr>
  </w:style>
  <w:style w:type="paragraph" w:styleId="Header">
    <w:name w:val="header"/>
    <w:basedOn w:val="Normal"/>
    <w:link w:val="HeaderChar"/>
    <w:uiPriority w:val="99"/>
    <w:unhideWhenUsed/>
    <w:rsid w:val="001E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C9"/>
    <w:rPr>
      <w:lang w:val="en-ZA"/>
    </w:rPr>
  </w:style>
  <w:style w:type="paragraph" w:styleId="Footer">
    <w:name w:val="footer"/>
    <w:basedOn w:val="Normal"/>
    <w:link w:val="FooterChar"/>
    <w:uiPriority w:val="99"/>
    <w:unhideWhenUsed/>
    <w:rsid w:val="001E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C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9354">
      <w:bodyDiv w:val="1"/>
      <w:marLeft w:val="0"/>
      <w:marRight w:val="0"/>
      <w:marTop w:val="0"/>
      <w:marBottom w:val="0"/>
      <w:divBdr>
        <w:top w:val="none" w:sz="0" w:space="0" w:color="auto"/>
        <w:left w:val="none" w:sz="0" w:space="0" w:color="auto"/>
        <w:bottom w:val="none" w:sz="0" w:space="0" w:color="auto"/>
        <w:right w:val="none" w:sz="0" w:space="0" w:color="auto"/>
      </w:divBdr>
      <w:divsChild>
        <w:div w:id="159246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26932">
      <w:bodyDiv w:val="1"/>
      <w:marLeft w:val="0"/>
      <w:marRight w:val="0"/>
      <w:marTop w:val="0"/>
      <w:marBottom w:val="0"/>
      <w:divBdr>
        <w:top w:val="none" w:sz="0" w:space="0" w:color="auto"/>
        <w:left w:val="none" w:sz="0" w:space="0" w:color="auto"/>
        <w:bottom w:val="none" w:sz="0" w:space="0" w:color="auto"/>
        <w:right w:val="none" w:sz="0" w:space="0" w:color="auto"/>
      </w:divBdr>
    </w:div>
    <w:div w:id="745080175">
      <w:bodyDiv w:val="1"/>
      <w:marLeft w:val="0"/>
      <w:marRight w:val="0"/>
      <w:marTop w:val="0"/>
      <w:marBottom w:val="0"/>
      <w:divBdr>
        <w:top w:val="none" w:sz="0" w:space="0" w:color="auto"/>
        <w:left w:val="none" w:sz="0" w:space="0" w:color="auto"/>
        <w:bottom w:val="none" w:sz="0" w:space="0" w:color="auto"/>
        <w:right w:val="none" w:sz="0" w:space="0" w:color="auto"/>
      </w:divBdr>
      <w:divsChild>
        <w:div w:id="187873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289">
      <w:bodyDiv w:val="1"/>
      <w:marLeft w:val="0"/>
      <w:marRight w:val="0"/>
      <w:marTop w:val="0"/>
      <w:marBottom w:val="0"/>
      <w:divBdr>
        <w:top w:val="none" w:sz="0" w:space="0" w:color="auto"/>
        <w:left w:val="none" w:sz="0" w:space="0" w:color="auto"/>
        <w:bottom w:val="none" w:sz="0" w:space="0" w:color="auto"/>
        <w:right w:val="none" w:sz="0" w:space="0" w:color="auto"/>
      </w:divBdr>
    </w:div>
    <w:div w:id="1410542572">
      <w:bodyDiv w:val="1"/>
      <w:marLeft w:val="0"/>
      <w:marRight w:val="0"/>
      <w:marTop w:val="0"/>
      <w:marBottom w:val="0"/>
      <w:divBdr>
        <w:top w:val="none" w:sz="0" w:space="0" w:color="auto"/>
        <w:left w:val="none" w:sz="0" w:space="0" w:color="auto"/>
        <w:bottom w:val="none" w:sz="0" w:space="0" w:color="auto"/>
        <w:right w:val="none" w:sz="0" w:space="0" w:color="auto"/>
      </w:divBdr>
    </w:div>
    <w:div w:id="1593856549">
      <w:bodyDiv w:val="1"/>
      <w:marLeft w:val="0"/>
      <w:marRight w:val="0"/>
      <w:marTop w:val="0"/>
      <w:marBottom w:val="0"/>
      <w:divBdr>
        <w:top w:val="none" w:sz="0" w:space="0" w:color="auto"/>
        <w:left w:val="none" w:sz="0" w:space="0" w:color="auto"/>
        <w:bottom w:val="none" w:sz="0" w:space="0" w:color="auto"/>
        <w:right w:val="none" w:sz="0" w:space="0" w:color="auto"/>
      </w:divBdr>
    </w:div>
    <w:div w:id="20013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1A1200-ACE8-C34D-B60F-91A5F1E07DAC}">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A372-6CAF-4F82-A5A2-B6ACFFFB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Zibusiso</dc:creator>
  <cp:keywords/>
  <dc:description/>
  <cp:lastModifiedBy>Ayanda Mdletshe</cp:lastModifiedBy>
  <cp:revision>3</cp:revision>
  <dcterms:created xsi:type="dcterms:W3CDTF">2022-07-28T10:53:00Z</dcterms:created>
  <dcterms:modified xsi:type="dcterms:W3CDTF">2022-07-28T10:54:00Z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documentId_6397</vt:lpwstr>
  </property>
  <property fmtid="{D5CDD505-2E9C-101B-9397-08002B2CF9AE}" pid="3" name="grammarly_documentContext">
    <vt:lpwstr>{"goals":[],"domain":"general","emotions":[],"dialect":"british"}</vt:lpwstr>
  </property>
</Properties>
</file>