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2D5A" w14:textId="2CC21ED9" w:rsidR="009D4932" w:rsidRDefault="009D4932" w:rsidP="009D4932">
      <w:pPr>
        <w:spacing w:after="0" w:line="360" w:lineRule="auto"/>
        <w:jc w:val="both"/>
        <w:rPr>
          <w:rFonts w:ascii="Arial" w:hAnsi="Arial" w:cs="Arial"/>
          <w:b/>
          <w:bCs/>
          <w:sz w:val="24"/>
          <w:szCs w:val="24"/>
          <w:lang w:val="en-US"/>
        </w:rPr>
      </w:pPr>
      <w:r w:rsidRPr="00CA49C1">
        <w:rPr>
          <w:noProof/>
          <w:lang w:eastAsia="en-ZA"/>
        </w:rPr>
        <w:drawing>
          <wp:anchor distT="0" distB="0" distL="114300" distR="114300" simplePos="0" relativeHeight="251659264" behindDoc="0" locked="0" layoutInCell="1" allowOverlap="1" wp14:anchorId="2E2636D0" wp14:editId="3D7A280F">
            <wp:simplePos x="0" y="0"/>
            <wp:positionH relativeFrom="margin">
              <wp:posOffset>2447925</wp:posOffset>
            </wp:positionH>
            <wp:positionV relativeFrom="paragraph">
              <wp:posOffset>152400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294D9589" w14:textId="77777777" w:rsidR="009D4932" w:rsidRDefault="009D4932" w:rsidP="009D4932">
      <w:pPr>
        <w:spacing w:after="0" w:line="360" w:lineRule="auto"/>
        <w:jc w:val="both"/>
        <w:rPr>
          <w:rFonts w:ascii="Arial" w:hAnsi="Arial" w:cs="Arial"/>
          <w:b/>
          <w:bCs/>
          <w:sz w:val="24"/>
          <w:szCs w:val="24"/>
          <w:lang w:val="en-US"/>
        </w:rPr>
      </w:pPr>
      <w:bookmarkStart w:id="0" w:name="_GoBack"/>
      <w:bookmarkEnd w:id="0"/>
    </w:p>
    <w:p w14:paraId="125FA783" w14:textId="77777777" w:rsidR="009D4932" w:rsidRDefault="009D4932" w:rsidP="009D4932">
      <w:pPr>
        <w:jc w:val="center"/>
        <w:rPr>
          <w:rFonts w:ascii="Arial" w:hAnsi="Arial" w:cs="Arial"/>
          <w:b/>
          <w:bCs/>
          <w:sz w:val="24"/>
          <w:szCs w:val="24"/>
          <w:lang w:val="en-GB"/>
        </w:rPr>
      </w:pPr>
    </w:p>
    <w:p w14:paraId="7AA9FAD1" w14:textId="77777777" w:rsidR="009D4932" w:rsidRDefault="009D4932" w:rsidP="009D4932">
      <w:pPr>
        <w:jc w:val="center"/>
        <w:rPr>
          <w:rFonts w:ascii="Arial" w:hAnsi="Arial" w:cs="Arial"/>
          <w:b/>
          <w:bCs/>
          <w:sz w:val="24"/>
          <w:szCs w:val="24"/>
          <w:lang w:val="en-GB"/>
        </w:rPr>
      </w:pPr>
    </w:p>
    <w:p w14:paraId="660826E6" w14:textId="77777777" w:rsidR="009D4932" w:rsidRDefault="009D4932" w:rsidP="009D4932">
      <w:pPr>
        <w:jc w:val="center"/>
        <w:rPr>
          <w:rFonts w:ascii="Arial" w:hAnsi="Arial" w:cs="Arial"/>
          <w:b/>
          <w:bCs/>
          <w:sz w:val="24"/>
          <w:szCs w:val="24"/>
          <w:lang w:val="en-GB"/>
        </w:rPr>
      </w:pPr>
    </w:p>
    <w:p w14:paraId="206E7952" w14:textId="77777777" w:rsidR="009D4932" w:rsidRPr="00CA49C1" w:rsidRDefault="009D4932" w:rsidP="009D4932">
      <w:pPr>
        <w:jc w:val="center"/>
        <w:rPr>
          <w:rFonts w:ascii="Arial" w:hAnsi="Arial" w:cs="Arial"/>
          <w:b/>
          <w:bCs/>
          <w:sz w:val="24"/>
          <w:szCs w:val="24"/>
          <w:lang w:val="en-GB"/>
        </w:rPr>
      </w:pPr>
      <w:r w:rsidRPr="00CA49C1">
        <w:rPr>
          <w:rFonts w:ascii="Arial" w:hAnsi="Arial" w:cs="Arial"/>
          <w:b/>
          <w:bCs/>
          <w:sz w:val="24"/>
          <w:szCs w:val="24"/>
          <w:lang w:val="en-GB"/>
        </w:rPr>
        <w:t>THE SUPREME COURT OF APPEAL OF SOUTH AFRICA</w:t>
      </w:r>
    </w:p>
    <w:p w14:paraId="4930FC61" w14:textId="77777777" w:rsidR="009D4932" w:rsidRPr="00CA49C1" w:rsidRDefault="009D4932" w:rsidP="009D4932">
      <w:pPr>
        <w:keepNext/>
        <w:jc w:val="center"/>
        <w:outlineLvl w:val="2"/>
        <w:rPr>
          <w:b/>
          <w:iCs/>
          <w:sz w:val="24"/>
          <w:szCs w:val="24"/>
          <w:lang w:val="en-GB"/>
        </w:rPr>
      </w:pPr>
      <w:r w:rsidRPr="00CA49C1">
        <w:rPr>
          <w:rFonts w:ascii="Arial" w:hAnsi="Arial" w:cs="Arial"/>
          <w:b/>
          <w:iCs/>
          <w:sz w:val="24"/>
          <w:szCs w:val="24"/>
          <w:lang w:val="en-GB"/>
        </w:rPr>
        <w:t>JUDGMENT</w:t>
      </w:r>
    </w:p>
    <w:p w14:paraId="2BFCCF81" w14:textId="0E7955DF" w:rsidR="009D4932" w:rsidRPr="00CA49C1" w:rsidRDefault="009D4932" w:rsidP="009D4932">
      <w:pPr>
        <w:spacing w:line="360" w:lineRule="auto"/>
        <w:jc w:val="right"/>
        <w:rPr>
          <w:rFonts w:ascii="Arial" w:hAnsi="Arial" w:cs="Arial"/>
          <w:b/>
          <w:bCs/>
          <w:sz w:val="24"/>
          <w:szCs w:val="24"/>
          <w:lang w:val="en-US"/>
        </w:rPr>
      </w:pPr>
      <w:r>
        <w:rPr>
          <w:rFonts w:ascii="Arial" w:hAnsi="Arial" w:cs="Arial"/>
          <w:b/>
          <w:bCs/>
          <w:sz w:val="24"/>
          <w:szCs w:val="24"/>
          <w:lang w:val="en-US"/>
        </w:rPr>
        <w:t xml:space="preserve">Not Reportable </w:t>
      </w:r>
    </w:p>
    <w:p w14:paraId="1CB1624E" w14:textId="60180B5C" w:rsidR="009D4932" w:rsidRPr="00CA49C1" w:rsidRDefault="009D4932" w:rsidP="009D4932">
      <w:pPr>
        <w:spacing w:line="360" w:lineRule="auto"/>
        <w:jc w:val="right"/>
        <w:rPr>
          <w:rFonts w:ascii="Arial" w:hAnsi="Arial" w:cs="Arial"/>
          <w:b/>
          <w:bCs/>
          <w:sz w:val="24"/>
          <w:szCs w:val="24"/>
          <w:lang w:val="en-US"/>
        </w:rPr>
      </w:pPr>
      <w:r>
        <w:rPr>
          <w:rFonts w:ascii="Arial" w:hAnsi="Arial" w:cs="Arial"/>
          <w:b/>
          <w:bCs/>
          <w:sz w:val="24"/>
          <w:szCs w:val="24"/>
          <w:lang w:val="en-US"/>
        </w:rPr>
        <w:t>Case no. 71/2021</w:t>
      </w:r>
    </w:p>
    <w:p w14:paraId="5C150707" w14:textId="77777777" w:rsidR="009D4932" w:rsidRDefault="009D4932"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In the matter between:</w:t>
      </w:r>
    </w:p>
    <w:p w14:paraId="2DBB7654" w14:textId="77777777" w:rsidR="009D4932" w:rsidRDefault="009D4932" w:rsidP="008640D6">
      <w:pPr>
        <w:spacing w:after="0" w:line="240" w:lineRule="auto"/>
        <w:jc w:val="both"/>
        <w:rPr>
          <w:rFonts w:ascii="Arial" w:hAnsi="Arial" w:cs="Arial"/>
          <w:b/>
          <w:bCs/>
          <w:sz w:val="24"/>
          <w:szCs w:val="24"/>
          <w:lang w:val="en-US"/>
        </w:rPr>
      </w:pPr>
    </w:p>
    <w:p w14:paraId="0BB745BE" w14:textId="546AB4CB" w:rsidR="009D4932" w:rsidRDefault="009D4932"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MINISTER OF SOCIAL DEVELOPMENT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Appellant</w:t>
      </w:r>
    </w:p>
    <w:p w14:paraId="10FB399B" w14:textId="77777777" w:rsidR="009D4932" w:rsidRDefault="009D4932" w:rsidP="008640D6">
      <w:pPr>
        <w:spacing w:after="0" w:line="240" w:lineRule="auto"/>
        <w:jc w:val="both"/>
        <w:rPr>
          <w:rFonts w:ascii="Arial" w:hAnsi="Arial" w:cs="Arial"/>
          <w:b/>
          <w:bCs/>
          <w:sz w:val="24"/>
          <w:szCs w:val="24"/>
          <w:lang w:val="en-US"/>
        </w:rPr>
      </w:pPr>
    </w:p>
    <w:p w14:paraId="10DDAFE6" w14:textId="77777777" w:rsidR="009D4932" w:rsidRDefault="009D4932"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and</w:t>
      </w:r>
    </w:p>
    <w:p w14:paraId="23B1D410" w14:textId="77777777" w:rsidR="009D4932" w:rsidRDefault="009D4932" w:rsidP="008640D6">
      <w:pPr>
        <w:spacing w:after="0" w:line="240" w:lineRule="auto"/>
        <w:jc w:val="both"/>
        <w:rPr>
          <w:rFonts w:ascii="Arial" w:hAnsi="Arial" w:cs="Arial"/>
          <w:b/>
          <w:bCs/>
          <w:sz w:val="24"/>
          <w:szCs w:val="24"/>
          <w:lang w:val="en-US"/>
        </w:rPr>
      </w:pPr>
    </w:p>
    <w:p w14:paraId="7821248E" w14:textId="0898E99F" w:rsidR="009D4932" w:rsidRDefault="009D4932"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SA CHILDCARE (PTY) LTD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Pr>
          <w:rFonts w:ascii="Arial" w:hAnsi="Arial" w:cs="Arial"/>
          <w:b/>
          <w:bCs/>
          <w:sz w:val="24"/>
          <w:szCs w:val="24"/>
          <w:lang w:val="en-US"/>
        </w:rPr>
        <w:tab/>
      </w:r>
      <w:r>
        <w:rPr>
          <w:rFonts w:ascii="Arial" w:hAnsi="Arial" w:cs="Arial"/>
          <w:b/>
          <w:bCs/>
          <w:sz w:val="24"/>
          <w:szCs w:val="24"/>
          <w:lang w:val="en-US"/>
        </w:rPr>
        <w:tab/>
        <w:t xml:space="preserve">        First Respondent</w:t>
      </w:r>
    </w:p>
    <w:p w14:paraId="2A844503" w14:textId="77777777" w:rsidR="009D4932" w:rsidRDefault="009D4932" w:rsidP="008640D6">
      <w:pPr>
        <w:spacing w:after="0" w:line="240" w:lineRule="auto"/>
        <w:jc w:val="both"/>
        <w:rPr>
          <w:rFonts w:ascii="Arial" w:hAnsi="Arial" w:cs="Arial"/>
          <w:b/>
          <w:bCs/>
          <w:sz w:val="24"/>
          <w:szCs w:val="24"/>
          <w:lang w:val="en-US"/>
        </w:rPr>
      </w:pPr>
    </w:p>
    <w:p w14:paraId="4459CB27" w14:textId="77777777" w:rsidR="009D4932" w:rsidRDefault="009D4932"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CENTRE FOR EARLY CHILDHOOD </w:t>
      </w:r>
    </w:p>
    <w:p w14:paraId="2F584D72" w14:textId="575FED0D" w:rsidR="009D4932" w:rsidRDefault="009D4932"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DEVELOPMENT NPC</w:t>
      </w:r>
      <w:r>
        <w:rPr>
          <w:rFonts w:ascii="Arial" w:hAnsi="Arial" w:cs="Arial"/>
          <w:b/>
          <w:bCs/>
          <w:sz w:val="24"/>
          <w:szCs w:val="24"/>
          <w:lang w:val="en-US"/>
        </w:rPr>
        <w:tab/>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Second Respondent</w:t>
      </w:r>
    </w:p>
    <w:p w14:paraId="699FE195" w14:textId="77777777" w:rsidR="009D4932" w:rsidRDefault="009D4932" w:rsidP="008640D6">
      <w:pPr>
        <w:spacing w:after="0" w:line="240" w:lineRule="auto"/>
        <w:jc w:val="both"/>
        <w:rPr>
          <w:rFonts w:ascii="Arial" w:hAnsi="Arial" w:cs="Arial"/>
          <w:b/>
          <w:bCs/>
          <w:sz w:val="24"/>
          <w:szCs w:val="24"/>
          <w:lang w:val="en-US"/>
        </w:rPr>
      </w:pPr>
    </w:p>
    <w:p w14:paraId="359E02CC" w14:textId="1ADF00DC" w:rsidR="009D4932" w:rsidRDefault="009D4932"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REVEREND TEMBELA MAGADLA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Third Respondent</w:t>
      </w:r>
    </w:p>
    <w:p w14:paraId="7830A600" w14:textId="77777777" w:rsidR="009D4932" w:rsidRDefault="009D4932" w:rsidP="008640D6">
      <w:pPr>
        <w:spacing w:after="0" w:line="240" w:lineRule="auto"/>
        <w:jc w:val="both"/>
        <w:rPr>
          <w:rFonts w:ascii="Arial" w:hAnsi="Arial" w:cs="Arial"/>
          <w:b/>
          <w:bCs/>
          <w:sz w:val="24"/>
          <w:szCs w:val="24"/>
          <w:lang w:val="en-US"/>
        </w:rPr>
      </w:pPr>
    </w:p>
    <w:p w14:paraId="7D5D4309" w14:textId="48CECD0D" w:rsidR="009D4932" w:rsidRDefault="009D4932"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BUSY BEE CRECHE AND PLAYSCHOOL</w:t>
      </w:r>
      <w:r>
        <w:rPr>
          <w:rFonts w:ascii="Arial" w:hAnsi="Arial" w:cs="Arial"/>
          <w:b/>
          <w:bCs/>
          <w:sz w:val="24"/>
          <w:szCs w:val="24"/>
          <w:lang w:val="en-US"/>
        </w:rPr>
        <w:tab/>
      </w:r>
      <w:r>
        <w:rPr>
          <w:rFonts w:ascii="Arial" w:hAnsi="Arial" w:cs="Arial"/>
          <w:b/>
          <w:bCs/>
          <w:sz w:val="24"/>
          <w:szCs w:val="24"/>
          <w:lang w:val="en-US"/>
        </w:rPr>
        <w:tab/>
        <w:t>Fourth Respondent</w:t>
      </w:r>
    </w:p>
    <w:p w14:paraId="409D3C1F" w14:textId="77777777" w:rsidR="009D4932" w:rsidRDefault="009D4932"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p>
    <w:p w14:paraId="6B184747" w14:textId="5E8FE8A3" w:rsidR="009D4932" w:rsidRDefault="009D4932"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SOSHANGUVE FOR EARLY CHILDHOOD</w:t>
      </w:r>
    </w:p>
    <w:p w14:paraId="51DC9725" w14:textId="3B4BFB70" w:rsidR="009D4932" w:rsidRDefault="009D4932"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DEVELOPMENT FORUM</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92102C">
        <w:rPr>
          <w:rFonts w:ascii="Arial" w:hAnsi="Arial" w:cs="Arial"/>
          <w:b/>
          <w:bCs/>
          <w:sz w:val="24"/>
          <w:szCs w:val="24"/>
          <w:lang w:val="en-US"/>
        </w:rPr>
        <w:t xml:space="preserve">   </w:t>
      </w:r>
      <w:r w:rsidR="00281F95">
        <w:rPr>
          <w:rFonts w:ascii="Arial" w:hAnsi="Arial" w:cs="Arial"/>
          <w:b/>
          <w:bCs/>
          <w:sz w:val="24"/>
          <w:szCs w:val="24"/>
          <w:lang w:val="en-US"/>
        </w:rPr>
        <w:t xml:space="preserve"> </w:t>
      </w:r>
      <w:r>
        <w:rPr>
          <w:rFonts w:ascii="Arial" w:hAnsi="Arial" w:cs="Arial"/>
          <w:b/>
          <w:bCs/>
          <w:sz w:val="24"/>
          <w:szCs w:val="24"/>
          <w:lang w:val="en-US"/>
        </w:rPr>
        <w:t>Fifth Respondent</w:t>
      </w:r>
    </w:p>
    <w:p w14:paraId="5A98225C" w14:textId="77777777" w:rsidR="0092102C" w:rsidRDefault="0092102C"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p>
    <w:p w14:paraId="45466B89" w14:textId="3E88F5DE" w:rsidR="0092102C" w:rsidRDefault="0092102C" w:rsidP="008640D6">
      <w:pPr>
        <w:tabs>
          <w:tab w:val="left" w:pos="720"/>
          <w:tab w:val="left" w:pos="1440"/>
          <w:tab w:val="left" w:pos="2160"/>
          <w:tab w:val="left" w:pos="2880"/>
        </w:tabs>
        <w:spacing w:after="0" w:line="240" w:lineRule="auto"/>
        <w:jc w:val="both"/>
        <w:rPr>
          <w:rFonts w:ascii="Arial" w:hAnsi="Arial" w:cs="Arial"/>
          <w:b/>
          <w:bCs/>
          <w:sz w:val="24"/>
          <w:szCs w:val="24"/>
          <w:lang w:val="en-US"/>
        </w:rPr>
      </w:pPr>
      <w:r>
        <w:rPr>
          <w:rFonts w:ascii="Arial" w:hAnsi="Arial" w:cs="Arial"/>
          <w:b/>
          <w:bCs/>
          <w:sz w:val="24"/>
          <w:szCs w:val="24"/>
          <w:lang w:val="en-US"/>
        </w:rPr>
        <w:t>BONANG DAY CARE CENTRE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Sixth Respondent</w:t>
      </w:r>
    </w:p>
    <w:p w14:paraId="75F77EA3" w14:textId="77777777" w:rsidR="0092102C" w:rsidRDefault="0092102C" w:rsidP="008640D6">
      <w:pPr>
        <w:tabs>
          <w:tab w:val="left" w:pos="720"/>
          <w:tab w:val="left" w:pos="1440"/>
          <w:tab w:val="left" w:pos="2160"/>
          <w:tab w:val="left" w:pos="2880"/>
        </w:tabs>
        <w:spacing w:after="0" w:line="240" w:lineRule="auto"/>
        <w:jc w:val="both"/>
        <w:rPr>
          <w:rFonts w:ascii="Arial" w:hAnsi="Arial" w:cs="Arial"/>
          <w:b/>
          <w:bCs/>
          <w:sz w:val="24"/>
          <w:szCs w:val="24"/>
          <w:lang w:val="en-US"/>
        </w:rPr>
      </w:pPr>
    </w:p>
    <w:p w14:paraId="2312B9E7" w14:textId="77777777" w:rsidR="0092102C" w:rsidRDefault="0092102C"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 xml:space="preserve">COMMUNITIES, CHILDREN AND </w:t>
      </w:r>
    </w:p>
    <w:p w14:paraId="31C53416" w14:textId="6CF9DE43" w:rsidR="0092102C" w:rsidRDefault="0092102C"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RESPONSIBLE CARE ORGANISATION</w:t>
      </w:r>
      <w:r>
        <w:rPr>
          <w:rFonts w:ascii="Arial" w:hAnsi="Arial" w:cs="Arial"/>
          <w:b/>
          <w:bCs/>
          <w:sz w:val="24"/>
          <w:szCs w:val="24"/>
          <w:lang w:val="en-US"/>
        </w:rPr>
        <w:tab/>
        <w:t xml:space="preserve">                       </w:t>
      </w:r>
      <w:r w:rsidR="00281F95">
        <w:rPr>
          <w:rFonts w:ascii="Arial" w:hAnsi="Arial" w:cs="Arial"/>
          <w:b/>
          <w:bCs/>
          <w:sz w:val="24"/>
          <w:szCs w:val="24"/>
          <w:lang w:val="en-US"/>
        </w:rPr>
        <w:t xml:space="preserve"> </w:t>
      </w:r>
      <w:r>
        <w:rPr>
          <w:rFonts w:ascii="Arial" w:hAnsi="Arial" w:cs="Arial"/>
          <w:b/>
          <w:bCs/>
          <w:sz w:val="24"/>
          <w:szCs w:val="24"/>
          <w:lang w:val="en-US"/>
        </w:rPr>
        <w:t>Seventh Respondent</w:t>
      </w:r>
    </w:p>
    <w:p w14:paraId="48D0A3BB" w14:textId="77777777" w:rsidR="00281F95" w:rsidRDefault="00281F95"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3A4BEA51" w14:textId="60ADA63C" w:rsidR="0092102C" w:rsidRDefault="0092102C"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FEED THE BABIES FUND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Eighth Respondent</w:t>
      </w:r>
    </w:p>
    <w:p w14:paraId="0F778C7E" w14:textId="77777777" w:rsidR="0092102C" w:rsidRDefault="0092102C"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27C1606B" w14:textId="27FA57D5" w:rsidR="0092102C" w:rsidRDefault="0092102C"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MINISTER OF FINANCE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Ninth Respondent</w:t>
      </w:r>
      <w:r>
        <w:rPr>
          <w:rFonts w:ascii="Arial" w:hAnsi="Arial" w:cs="Arial"/>
          <w:b/>
          <w:bCs/>
          <w:sz w:val="24"/>
          <w:szCs w:val="24"/>
          <w:lang w:val="en-US"/>
        </w:rPr>
        <w:tab/>
      </w:r>
    </w:p>
    <w:p w14:paraId="55E71451" w14:textId="77777777" w:rsidR="0092102C" w:rsidRDefault="0092102C"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699F8C7F" w14:textId="77777777" w:rsidR="00273B10" w:rsidRDefault="00273B10"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 xml:space="preserve">In the matter between: </w:t>
      </w:r>
    </w:p>
    <w:p w14:paraId="5F6EBEBD" w14:textId="77777777" w:rsidR="00273B10" w:rsidRDefault="00273B10"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58525769" w14:textId="5FE00C99" w:rsidR="00273B10" w:rsidRDefault="00273B10"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MEC</w:t>
      </w:r>
      <w:r w:rsidR="005F671C">
        <w:rPr>
          <w:rFonts w:ascii="Arial" w:hAnsi="Arial" w:cs="Arial"/>
          <w:b/>
          <w:bCs/>
          <w:sz w:val="24"/>
          <w:szCs w:val="24"/>
          <w:lang w:val="en-US"/>
        </w:rPr>
        <w:t>,</w:t>
      </w:r>
      <w:r>
        <w:rPr>
          <w:rFonts w:ascii="Arial" w:hAnsi="Arial" w:cs="Arial"/>
          <w:b/>
          <w:bCs/>
          <w:sz w:val="24"/>
          <w:szCs w:val="24"/>
          <w:lang w:val="en-US"/>
        </w:rPr>
        <w:t xml:space="preserve"> SOCIAL DEVELOPMENT EASTERN CAPE</w:t>
      </w:r>
      <w:r>
        <w:rPr>
          <w:rFonts w:ascii="Arial" w:hAnsi="Arial" w:cs="Arial"/>
          <w:b/>
          <w:bCs/>
          <w:sz w:val="24"/>
          <w:szCs w:val="24"/>
          <w:lang w:val="en-US"/>
        </w:rPr>
        <w:tab/>
        <w:t xml:space="preserve">        </w:t>
      </w:r>
      <w:r w:rsidR="008640D6">
        <w:rPr>
          <w:rFonts w:ascii="Arial" w:hAnsi="Arial" w:cs="Arial"/>
          <w:b/>
          <w:bCs/>
          <w:sz w:val="24"/>
          <w:szCs w:val="24"/>
          <w:lang w:val="en-US"/>
        </w:rPr>
        <w:t xml:space="preserve">     </w:t>
      </w:r>
      <w:r>
        <w:rPr>
          <w:rFonts w:ascii="Arial" w:hAnsi="Arial" w:cs="Arial"/>
          <w:b/>
          <w:bCs/>
          <w:sz w:val="24"/>
          <w:szCs w:val="24"/>
          <w:lang w:val="en-US"/>
        </w:rPr>
        <w:t>First Appellant</w:t>
      </w:r>
    </w:p>
    <w:p w14:paraId="3FB65828" w14:textId="77777777" w:rsidR="00273B10" w:rsidRDefault="00273B10"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1778A630" w14:textId="31503974" w:rsidR="008640D6" w:rsidRDefault="00273B10" w:rsidP="008640D6">
      <w:pPr>
        <w:tabs>
          <w:tab w:val="left" w:pos="720"/>
          <w:tab w:val="left" w:pos="1440"/>
          <w:tab w:val="left" w:pos="2160"/>
          <w:tab w:val="left" w:pos="2880"/>
          <w:tab w:val="left" w:pos="3600"/>
          <w:tab w:val="left" w:pos="4320"/>
        </w:tabs>
        <w:spacing w:after="0" w:line="240" w:lineRule="auto"/>
        <w:jc w:val="both"/>
        <w:rPr>
          <w:rFonts w:ascii="Arial" w:hAnsi="Arial" w:cs="Arial"/>
          <w:b/>
          <w:bCs/>
          <w:sz w:val="24"/>
          <w:szCs w:val="24"/>
          <w:lang w:val="en-US"/>
        </w:rPr>
      </w:pPr>
      <w:r>
        <w:rPr>
          <w:rFonts w:ascii="Arial" w:hAnsi="Arial" w:cs="Arial"/>
          <w:b/>
          <w:bCs/>
          <w:sz w:val="24"/>
          <w:szCs w:val="24"/>
          <w:lang w:val="en-US"/>
        </w:rPr>
        <w:t>MEC</w:t>
      </w:r>
      <w:r w:rsidR="005F671C">
        <w:rPr>
          <w:rFonts w:ascii="Arial" w:hAnsi="Arial" w:cs="Arial"/>
          <w:b/>
          <w:bCs/>
          <w:sz w:val="24"/>
          <w:szCs w:val="24"/>
          <w:lang w:val="en-US"/>
        </w:rPr>
        <w:t>,</w:t>
      </w:r>
      <w:r>
        <w:rPr>
          <w:rFonts w:ascii="Arial" w:hAnsi="Arial" w:cs="Arial"/>
          <w:b/>
          <w:bCs/>
          <w:sz w:val="24"/>
          <w:szCs w:val="24"/>
          <w:lang w:val="en-US"/>
        </w:rPr>
        <w:t xml:space="preserve"> SOCIAL</w:t>
      </w:r>
      <w:r w:rsidR="008640D6">
        <w:rPr>
          <w:rFonts w:ascii="Arial" w:hAnsi="Arial" w:cs="Arial"/>
          <w:b/>
          <w:bCs/>
          <w:sz w:val="24"/>
          <w:szCs w:val="24"/>
          <w:lang w:val="en-US"/>
        </w:rPr>
        <w:t xml:space="preserve"> DEVELOPMENT GAUTENG</w:t>
      </w:r>
      <w:r w:rsidR="008640D6">
        <w:rPr>
          <w:rFonts w:ascii="Arial" w:hAnsi="Arial" w:cs="Arial"/>
          <w:b/>
          <w:bCs/>
          <w:sz w:val="24"/>
          <w:szCs w:val="24"/>
          <w:lang w:val="en-US"/>
        </w:rPr>
        <w:tab/>
      </w:r>
      <w:r w:rsidR="008640D6">
        <w:rPr>
          <w:rFonts w:ascii="Arial" w:hAnsi="Arial" w:cs="Arial"/>
          <w:b/>
          <w:bCs/>
          <w:sz w:val="24"/>
          <w:szCs w:val="24"/>
          <w:lang w:val="en-US"/>
        </w:rPr>
        <w:tab/>
      </w:r>
      <w:r w:rsidR="008640D6">
        <w:rPr>
          <w:rFonts w:ascii="Arial" w:hAnsi="Arial" w:cs="Arial"/>
          <w:b/>
          <w:bCs/>
          <w:sz w:val="24"/>
          <w:szCs w:val="24"/>
          <w:lang w:val="en-US"/>
        </w:rPr>
        <w:tab/>
        <w:t xml:space="preserve">       Second Appellant</w:t>
      </w:r>
    </w:p>
    <w:p w14:paraId="4141D8E5"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7A2AF931" w14:textId="6DB8D1E2"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MEC</w:t>
      </w:r>
      <w:r w:rsidR="005F671C">
        <w:rPr>
          <w:rFonts w:ascii="Arial" w:hAnsi="Arial" w:cs="Arial"/>
          <w:b/>
          <w:bCs/>
          <w:sz w:val="24"/>
          <w:szCs w:val="24"/>
          <w:lang w:val="en-US"/>
        </w:rPr>
        <w:t>,</w:t>
      </w:r>
      <w:r>
        <w:rPr>
          <w:rFonts w:ascii="Arial" w:hAnsi="Arial" w:cs="Arial"/>
          <w:b/>
          <w:bCs/>
          <w:sz w:val="24"/>
          <w:szCs w:val="24"/>
          <w:lang w:val="en-US"/>
        </w:rPr>
        <w:t xml:space="preserve"> SOCIAL DEVELOPMENT FREE STATE</w:t>
      </w:r>
      <w:r>
        <w:rPr>
          <w:rFonts w:ascii="Arial" w:hAnsi="Arial" w:cs="Arial"/>
          <w:b/>
          <w:bCs/>
          <w:sz w:val="24"/>
          <w:szCs w:val="24"/>
          <w:lang w:val="en-US"/>
        </w:rPr>
        <w:tab/>
      </w:r>
      <w:r>
        <w:rPr>
          <w:rFonts w:ascii="Arial" w:hAnsi="Arial" w:cs="Arial"/>
          <w:b/>
          <w:bCs/>
          <w:sz w:val="24"/>
          <w:szCs w:val="24"/>
          <w:lang w:val="en-US"/>
        </w:rPr>
        <w:tab/>
        <w:t xml:space="preserve">            Third Appellant</w:t>
      </w:r>
    </w:p>
    <w:p w14:paraId="60B4EC52"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4684E9D6" w14:textId="6658B486"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MEC</w:t>
      </w:r>
      <w:r w:rsidR="005F671C">
        <w:rPr>
          <w:rFonts w:ascii="Arial" w:hAnsi="Arial" w:cs="Arial"/>
          <w:b/>
          <w:bCs/>
          <w:sz w:val="24"/>
          <w:szCs w:val="24"/>
          <w:lang w:val="en-US"/>
        </w:rPr>
        <w:t>,</w:t>
      </w:r>
      <w:r>
        <w:rPr>
          <w:rFonts w:ascii="Arial" w:hAnsi="Arial" w:cs="Arial"/>
          <w:b/>
          <w:bCs/>
          <w:sz w:val="24"/>
          <w:szCs w:val="24"/>
          <w:lang w:val="en-US"/>
        </w:rPr>
        <w:t xml:space="preserve"> SOCIAL DEVELOPMENT KWAZULU-NATAL</w:t>
      </w:r>
      <w:r>
        <w:rPr>
          <w:rFonts w:ascii="Arial" w:hAnsi="Arial" w:cs="Arial"/>
          <w:b/>
          <w:bCs/>
          <w:sz w:val="24"/>
          <w:szCs w:val="24"/>
          <w:lang w:val="en-US"/>
        </w:rPr>
        <w:tab/>
        <w:t xml:space="preserve">          Fourth Appellant</w:t>
      </w:r>
    </w:p>
    <w:p w14:paraId="7AB955AB"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33187CD4" w14:textId="74126865"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MEC</w:t>
      </w:r>
      <w:r w:rsidR="005F671C">
        <w:rPr>
          <w:rFonts w:ascii="Arial" w:hAnsi="Arial" w:cs="Arial"/>
          <w:b/>
          <w:bCs/>
          <w:sz w:val="24"/>
          <w:szCs w:val="24"/>
          <w:lang w:val="en-US"/>
        </w:rPr>
        <w:t>,</w:t>
      </w:r>
      <w:r>
        <w:rPr>
          <w:rFonts w:ascii="Arial" w:hAnsi="Arial" w:cs="Arial"/>
          <w:b/>
          <w:bCs/>
          <w:sz w:val="24"/>
          <w:szCs w:val="24"/>
          <w:lang w:val="en-US"/>
        </w:rPr>
        <w:t xml:space="preserve"> SOCIAL DEVELOPMENT LIMPOPO</w:t>
      </w:r>
      <w:r>
        <w:rPr>
          <w:rFonts w:ascii="Arial" w:hAnsi="Arial" w:cs="Arial"/>
          <w:b/>
          <w:bCs/>
          <w:sz w:val="24"/>
          <w:szCs w:val="24"/>
          <w:lang w:val="en-US"/>
        </w:rPr>
        <w:tab/>
      </w:r>
      <w:r>
        <w:rPr>
          <w:rFonts w:ascii="Arial" w:hAnsi="Arial" w:cs="Arial"/>
          <w:b/>
          <w:bCs/>
          <w:sz w:val="24"/>
          <w:szCs w:val="24"/>
          <w:lang w:val="en-US"/>
        </w:rPr>
        <w:tab/>
        <w:t xml:space="preserve">             Fifth Appellant</w:t>
      </w:r>
    </w:p>
    <w:p w14:paraId="4EFB6C79"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513790BE" w14:textId="013BE43B"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MEC</w:t>
      </w:r>
      <w:r w:rsidR="005F671C">
        <w:rPr>
          <w:rFonts w:ascii="Arial" w:hAnsi="Arial" w:cs="Arial"/>
          <w:b/>
          <w:bCs/>
          <w:sz w:val="24"/>
          <w:szCs w:val="24"/>
          <w:lang w:val="en-US"/>
        </w:rPr>
        <w:t>,</w:t>
      </w:r>
      <w:r>
        <w:rPr>
          <w:rFonts w:ascii="Arial" w:hAnsi="Arial" w:cs="Arial"/>
          <w:b/>
          <w:bCs/>
          <w:sz w:val="24"/>
          <w:szCs w:val="24"/>
          <w:lang w:val="en-US"/>
        </w:rPr>
        <w:t xml:space="preserve"> SOCIAL DEVELOPMENT MPUMALANGA</w:t>
      </w:r>
      <w:r>
        <w:rPr>
          <w:rFonts w:ascii="Arial" w:hAnsi="Arial" w:cs="Arial"/>
          <w:b/>
          <w:bCs/>
          <w:sz w:val="24"/>
          <w:szCs w:val="24"/>
          <w:lang w:val="en-US"/>
        </w:rPr>
        <w:tab/>
        <w:t xml:space="preserve">            Sixth Appellant</w:t>
      </w:r>
    </w:p>
    <w:p w14:paraId="55D6C3C0"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4147931D" w14:textId="71AF5085"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MEC</w:t>
      </w:r>
      <w:r w:rsidR="005F671C">
        <w:rPr>
          <w:rFonts w:ascii="Arial" w:hAnsi="Arial" w:cs="Arial"/>
          <w:b/>
          <w:bCs/>
          <w:sz w:val="24"/>
          <w:szCs w:val="24"/>
          <w:lang w:val="en-US"/>
        </w:rPr>
        <w:t>,</w:t>
      </w:r>
      <w:r>
        <w:rPr>
          <w:rFonts w:ascii="Arial" w:hAnsi="Arial" w:cs="Arial"/>
          <w:b/>
          <w:bCs/>
          <w:sz w:val="24"/>
          <w:szCs w:val="24"/>
          <w:lang w:val="en-US"/>
        </w:rPr>
        <w:t xml:space="preserve"> SOCIAL DEVELOPMENT NORTHERN CAPE</w:t>
      </w:r>
      <w:r>
        <w:rPr>
          <w:rFonts w:ascii="Arial" w:hAnsi="Arial" w:cs="Arial"/>
          <w:b/>
          <w:bCs/>
          <w:sz w:val="24"/>
          <w:szCs w:val="24"/>
          <w:lang w:val="en-US"/>
        </w:rPr>
        <w:tab/>
        <w:t xml:space="preserve">       Seventh Appellant</w:t>
      </w:r>
    </w:p>
    <w:p w14:paraId="40C828D8"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612AAE79" w14:textId="5DA7DC62"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MEC</w:t>
      </w:r>
      <w:r w:rsidR="005F671C">
        <w:rPr>
          <w:rFonts w:ascii="Arial" w:hAnsi="Arial" w:cs="Arial"/>
          <w:b/>
          <w:bCs/>
          <w:sz w:val="24"/>
          <w:szCs w:val="24"/>
          <w:lang w:val="en-US"/>
        </w:rPr>
        <w:t>,</w:t>
      </w:r>
      <w:r>
        <w:rPr>
          <w:rFonts w:ascii="Arial" w:hAnsi="Arial" w:cs="Arial"/>
          <w:b/>
          <w:bCs/>
          <w:sz w:val="24"/>
          <w:szCs w:val="24"/>
          <w:lang w:val="en-US"/>
        </w:rPr>
        <w:t xml:space="preserve"> SOCIAL DEVELOPMENT NORTHWEST</w:t>
      </w:r>
      <w:r w:rsidR="0092102C">
        <w:rPr>
          <w:rFonts w:ascii="Arial" w:hAnsi="Arial" w:cs="Arial"/>
          <w:b/>
          <w:bCs/>
          <w:sz w:val="24"/>
          <w:szCs w:val="24"/>
          <w:lang w:val="en-US"/>
        </w:rPr>
        <w:tab/>
      </w:r>
      <w:r>
        <w:rPr>
          <w:rFonts w:ascii="Arial" w:hAnsi="Arial" w:cs="Arial"/>
          <w:b/>
          <w:bCs/>
          <w:sz w:val="24"/>
          <w:szCs w:val="24"/>
          <w:lang w:val="en-US"/>
        </w:rPr>
        <w:tab/>
        <w:t xml:space="preserve">  </w:t>
      </w:r>
      <w:r w:rsidR="003F3CE0">
        <w:rPr>
          <w:rFonts w:ascii="Arial" w:hAnsi="Arial" w:cs="Arial"/>
          <w:b/>
          <w:bCs/>
          <w:sz w:val="24"/>
          <w:szCs w:val="24"/>
          <w:lang w:val="en-US"/>
        </w:rPr>
        <w:t xml:space="preserve">   </w:t>
      </w:r>
      <w:r>
        <w:rPr>
          <w:rFonts w:ascii="Arial" w:hAnsi="Arial" w:cs="Arial"/>
          <w:b/>
          <w:bCs/>
          <w:sz w:val="24"/>
          <w:szCs w:val="24"/>
          <w:lang w:val="en-US"/>
        </w:rPr>
        <w:t>Eighth</w:t>
      </w:r>
      <w:r w:rsidR="005F671C">
        <w:rPr>
          <w:rFonts w:ascii="Arial" w:hAnsi="Arial" w:cs="Arial"/>
          <w:b/>
          <w:bCs/>
          <w:sz w:val="24"/>
          <w:szCs w:val="24"/>
          <w:lang w:val="en-US"/>
        </w:rPr>
        <w:t xml:space="preserve"> A</w:t>
      </w:r>
      <w:r>
        <w:rPr>
          <w:rFonts w:ascii="Arial" w:hAnsi="Arial" w:cs="Arial"/>
          <w:b/>
          <w:bCs/>
          <w:sz w:val="24"/>
          <w:szCs w:val="24"/>
          <w:lang w:val="en-US"/>
        </w:rPr>
        <w:t>ppellant</w:t>
      </w:r>
    </w:p>
    <w:p w14:paraId="31AF225B"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26C5C0CC" w14:textId="17480FB8"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and</w:t>
      </w:r>
    </w:p>
    <w:p w14:paraId="0B820D62"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30559CAC" w14:textId="77777777" w:rsidR="008640D6" w:rsidRDefault="008640D6"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SA CHILDCARE (PTY) LTD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Pr>
          <w:rFonts w:ascii="Arial" w:hAnsi="Arial" w:cs="Arial"/>
          <w:b/>
          <w:bCs/>
          <w:sz w:val="24"/>
          <w:szCs w:val="24"/>
          <w:lang w:val="en-US"/>
        </w:rPr>
        <w:tab/>
      </w:r>
      <w:r>
        <w:rPr>
          <w:rFonts w:ascii="Arial" w:hAnsi="Arial" w:cs="Arial"/>
          <w:b/>
          <w:bCs/>
          <w:sz w:val="24"/>
          <w:szCs w:val="24"/>
          <w:lang w:val="en-US"/>
        </w:rPr>
        <w:tab/>
        <w:t xml:space="preserve">        First Respondent</w:t>
      </w:r>
    </w:p>
    <w:p w14:paraId="5F683FE2" w14:textId="77777777" w:rsidR="008640D6" w:rsidRDefault="008640D6" w:rsidP="008640D6">
      <w:pPr>
        <w:spacing w:after="0" w:line="240" w:lineRule="auto"/>
        <w:jc w:val="both"/>
        <w:rPr>
          <w:rFonts w:ascii="Arial" w:hAnsi="Arial" w:cs="Arial"/>
          <w:b/>
          <w:bCs/>
          <w:sz w:val="24"/>
          <w:szCs w:val="24"/>
          <w:lang w:val="en-US"/>
        </w:rPr>
      </w:pPr>
    </w:p>
    <w:p w14:paraId="3D67B34B" w14:textId="77777777" w:rsidR="008640D6" w:rsidRDefault="008640D6"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CENTRE FOR EARLY CHILDHOOD </w:t>
      </w:r>
    </w:p>
    <w:p w14:paraId="4E561731" w14:textId="77777777" w:rsidR="008640D6" w:rsidRDefault="008640D6"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DEVELOPMENT NPC</w:t>
      </w:r>
      <w:r>
        <w:rPr>
          <w:rFonts w:ascii="Arial" w:hAnsi="Arial" w:cs="Arial"/>
          <w:b/>
          <w:bCs/>
          <w:sz w:val="24"/>
          <w:szCs w:val="24"/>
          <w:lang w:val="en-US"/>
        </w:rPr>
        <w:tab/>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Second Respondent</w:t>
      </w:r>
    </w:p>
    <w:p w14:paraId="57C48F90" w14:textId="77777777" w:rsidR="008640D6" w:rsidRDefault="008640D6" w:rsidP="008640D6">
      <w:pPr>
        <w:spacing w:after="0" w:line="240" w:lineRule="auto"/>
        <w:jc w:val="both"/>
        <w:rPr>
          <w:rFonts w:ascii="Arial" w:hAnsi="Arial" w:cs="Arial"/>
          <w:b/>
          <w:bCs/>
          <w:sz w:val="24"/>
          <w:szCs w:val="24"/>
          <w:lang w:val="en-US"/>
        </w:rPr>
      </w:pPr>
    </w:p>
    <w:p w14:paraId="2AC45C35" w14:textId="77777777" w:rsidR="008640D6" w:rsidRDefault="008640D6" w:rsidP="008640D6">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REVEREND TEMBELA MAGADLA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Third Respondent</w:t>
      </w:r>
    </w:p>
    <w:p w14:paraId="4A122F60" w14:textId="77777777" w:rsidR="008640D6" w:rsidRDefault="008640D6" w:rsidP="008640D6">
      <w:pPr>
        <w:spacing w:after="0" w:line="240" w:lineRule="auto"/>
        <w:jc w:val="both"/>
        <w:rPr>
          <w:rFonts w:ascii="Arial" w:hAnsi="Arial" w:cs="Arial"/>
          <w:b/>
          <w:bCs/>
          <w:sz w:val="24"/>
          <w:szCs w:val="24"/>
          <w:lang w:val="en-US"/>
        </w:rPr>
      </w:pPr>
    </w:p>
    <w:p w14:paraId="36B052B6" w14:textId="77777777" w:rsidR="008640D6" w:rsidRDefault="008640D6"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BUSY BEE CRECHE AND PLAYSCHOOL</w:t>
      </w:r>
      <w:r>
        <w:rPr>
          <w:rFonts w:ascii="Arial" w:hAnsi="Arial" w:cs="Arial"/>
          <w:b/>
          <w:bCs/>
          <w:sz w:val="24"/>
          <w:szCs w:val="24"/>
          <w:lang w:val="en-US"/>
        </w:rPr>
        <w:tab/>
      </w:r>
      <w:r>
        <w:rPr>
          <w:rFonts w:ascii="Arial" w:hAnsi="Arial" w:cs="Arial"/>
          <w:b/>
          <w:bCs/>
          <w:sz w:val="24"/>
          <w:szCs w:val="24"/>
          <w:lang w:val="en-US"/>
        </w:rPr>
        <w:tab/>
        <w:t>Fourth Respondent</w:t>
      </w:r>
    </w:p>
    <w:p w14:paraId="2561EBFB" w14:textId="77777777" w:rsidR="008640D6" w:rsidRDefault="008640D6"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p>
    <w:p w14:paraId="38A6CA2F" w14:textId="77777777" w:rsidR="008640D6" w:rsidRDefault="008640D6"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SOSHANGUVE FOR EARLY CHILDHOOD</w:t>
      </w:r>
    </w:p>
    <w:p w14:paraId="71A74A48" w14:textId="77777777" w:rsidR="008640D6" w:rsidRDefault="008640D6"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DEVELOPMENT FORUM</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Fifth Respondent</w:t>
      </w:r>
    </w:p>
    <w:p w14:paraId="39D9AADC" w14:textId="77777777" w:rsidR="008640D6" w:rsidRDefault="008640D6"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p>
    <w:p w14:paraId="6E7C99C1" w14:textId="77777777" w:rsidR="008640D6" w:rsidRDefault="008640D6" w:rsidP="008640D6">
      <w:pPr>
        <w:tabs>
          <w:tab w:val="left" w:pos="720"/>
          <w:tab w:val="left" w:pos="1440"/>
          <w:tab w:val="left" w:pos="2160"/>
          <w:tab w:val="left" w:pos="2880"/>
        </w:tabs>
        <w:spacing w:after="0" w:line="240" w:lineRule="auto"/>
        <w:jc w:val="both"/>
        <w:rPr>
          <w:rFonts w:ascii="Arial" w:hAnsi="Arial" w:cs="Arial"/>
          <w:b/>
          <w:bCs/>
          <w:sz w:val="24"/>
          <w:szCs w:val="24"/>
          <w:lang w:val="en-US"/>
        </w:rPr>
      </w:pPr>
      <w:r>
        <w:rPr>
          <w:rFonts w:ascii="Arial" w:hAnsi="Arial" w:cs="Arial"/>
          <w:b/>
          <w:bCs/>
          <w:sz w:val="24"/>
          <w:szCs w:val="24"/>
          <w:lang w:val="en-US"/>
        </w:rPr>
        <w:t>BONANG DAY CARE CENTRE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Sixth Respondent</w:t>
      </w:r>
    </w:p>
    <w:p w14:paraId="3D23672B" w14:textId="77777777" w:rsidR="008640D6" w:rsidRDefault="008640D6" w:rsidP="008640D6">
      <w:pPr>
        <w:tabs>
          <w:tab w:val="left" w:pos="720"/>
          <w:tab w:val="left" w:pos="1440"/>
          <w:tab w:val="left" w:pos="2160"/>
          <w:tab w:val="left" w:pos="2880"/>
        </w:tabs>
        <w:spacing w:after="0" w:line="240" w:lineRule="auto"/>
        <w:jc w:val="both"/>
        <w:rPr>
          <w:rFonts w:ascii="Arial" w:hAnsi="Arial" w:cs="Arial"/>
          <w:b/>
          <w:bCs/>
          <w:sz w:val="24"/>
          <w:szCs w:val="24"/>
          <w:lang w:val="en-US"/>
        </w:rPr>
      </w:pPr>
    </w:p>
    <w:p w14:paraId="12399F63" w14:textId="77777777" w:rsidR="008640D6" w:rsidRDefault="008640D6" w:rsidP="008640D6">
      <w:pPr>
        <w:tabs>
          <w:tab w:val="left" w:pos="720"/>
          <w:tab w:val="left" w:pos="1440"/>
          <w:tab w:val="left" w:pos="2160"/>
          <w:tab w:val="left" w:pos="2880"/>
          <w:tab w:val="left" w:pos="3600"/>
          <w:tab w:val="left" w:pos="4320"/>
          <w:tab w:val="left" w:pos="504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 xml:space="preserve">COMMUNITIES, CHILDREN AND </w:t>
      </w:r>
    </w:p>
    <w:p w14:paraId="47A4465F"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RESPONSIBLE CARE ORGANISATION</w:t>
      </w:r>
      <w:r>
        <w:rPr>
          <w:rFonts w:ascii="Arial" w:hAnsi="Arial" w:cs="Arial"/>
          <w:b/>
          <w:bCs/>
          <w:sz w:val="24"/>
          <w:szCs w:val="24"/>
          <w:lang w:val="en-US"/>
        </w:rPr>
        <w:tab/>
        <w:t xml:space="preserve">                        Seventh Respondent</w:t>
      </w:r>
    </w:p>
    <w:p w14:paraId="042C8734"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3B4B7D74"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r>
        <w:rPr>
          <w:rFonts w:ascii="Arial" w:hAnsi="Arial" w:cs="Arial"/>
          <w:b/>
          <w:bCs/>
          <w:sz w:val="24"/>
          <w:szCs w:val="24"/>
          <w:lang w:val="en-US"/>
        </w:rPr>
        <w:t>FEED THE BABIES FUND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Eighth Respondent</w:t>
      </w:r>
    </w:p>
    <w:p w14:paraId="5A18A162" w14:textId="77777777" w:rsidR="008640D6" w:rsidRDefault="008640D6" w:rsidP="008640D6">
      <w:pPr>
        <w:tabs>
          <w:tab w:val="left" w:pos="720"/>
          <w:tab w:val="left" w:pos="1440"/>
          <w:tab w:val="left" w:pos="2160"/>
          <w:tab w:val="left" w:pos="2880"/>
          <w:tab w:val="left" w:pos="3600"/>
          <w:tab w:val="left" w:pos="4320"/>
          <w:tab w:val="left" w:pos="5040"/>
          <w:tab w:val="left" w:pos="6450"/>
          <w:tab w:val="left" w:pos="6765"/>
        </w:tabs>
        <w:spacing w:after="0" w:line="240" w:lineRule="auto"/>
        <w:jc w:val="both"/>
        <w:rPr>
          <w:rFonts w:ascii="Arial" w:hAnsi="Arial" w:cs="Arial"/>
          <w:b/>
          <w:bCs/>
          <w:sz w:val="24"/>
          <w:szCs w:val="24"/>
          <w:lang w:val="en-US"/>
        </w:rPr>
      </w:pPr>
    </w:p>
    <w:p w14:paraId="196B00EF" w14:textId="4842E4C8" w:rsidR="0092102C" w:rsidRDefault="0092102C" w:rsidP="0092102C">
      <w:pPr>
        <w:tabs>
          <w:tab w:val="left" w:pos="720"/>
          <w:tab w:val="left" w:pos="1440"/>
          <w:tab w:val="left" w:pos="2160"/>
          <w:tab w:val="left" w:pos="2880"/>
          <w:tab w:val="left" w:pos="3600"/>
          <w:tab w:val="left" w:pos="4320"/>
          <w:tab w:val="left" w:pos="5040"/>
          <w:tab w:val="left" w:pos="6450"/>
          <w:tab w:val="left" w:pos="6765"/>
        </w:tabs>
        <w:spacing w:after="0" w:line="360" w:lineRule="auto"/>
        <w:jc w:val="both"/>
        <w:rPr>
          <w:rFonts w:ascii="Arial" w:hAnsi="Arial" w:cs="Arial"/>
          <w:b/>
          <w:bCs/>
          <w:sz w:val="24"/>
          <w:szCs w:val="24"/>
          <w:lang w:val="en-US"/>
        </w:rPr>
      </w:pPr>
      <w:r>
        <w:rPr>
          <w:rFonts w:ascii="Arial" w:hAnsi="Arial" w:cs="Arial"/>
          <w:b/>
          <w:bCs/>
          <w:sz w:val="24"/>
          <w:szCs w:val="24"/>
          <w:lang w:val="en-US"/>
        </w:rPr>
        <w:t xml:space="preserve"> </w:t>
      </w:r>
    </w:p>
    <w:p w14:paraId="27CAAAD3" w14:textId="73A6F185" w:rsidR="009D4932" w:rsidRPr="00CA49C1" w:rsidRDefault="009D4932" w:rsidP="009D4932">
      <w:pPr>
        <w:spacing w:after="0"/>
        <w:jc w:val="both"/>
        <w:rPr>
          <w:rFonts w:ascii="Arial" w:hAnsi="Arial" w:cs="Arial"/>
          <w:sz w:val="24"/>
          <w:szCs w:val="24"/>
          <w:lang w:val="en-US"/>
        </w:rPr>
      </w:pPr>
      <w:r w:rsidRPr="00CA49C1">
        <w:rPr>
          <w:rFonts w:ascii="Arial" w:hAnsi="Arial" w:cs="Arial"/>
          <w:b/>
          <w:bCs/>
          <w:sz w:val="24"/>
          <w:szCs w:val="24"/>
          <w:lang w:val="en-US"/>
        </w:rPr>
        <w:t>Neutral citation:</w:t>
      </w:r>
      <w:r w:rsidRPr="00CA49C1">
        <w:rPr>
          <w:rFonts w:ascii="Arial" w:hAnsi="Arial" w:cs="Arial"/>
          <w:b/>
          <w:bCs/>
          <w:sz w:val="24"/>
          <w:szCs w:val="24"/>
          <w:lang w:val="en-US"/>
        </w:rPr>
        <w:tab/>
      </w:r>
      <w:r w:rsidR="008640D6" w:rsidRPr="008640D6">
        <w:rPr>
          <w:rFonts w:ascii="Arial" w:hAnsi="Arial" w:cs="Arial"/>
          <w:bCs/>
          <w:i/>
          <w:sz w:val="24"/>
          <w:szCs w:val="24"/>
          <w:lang w:val="en-US"/>
        </w:rPr>
        <w:t>Minister of Social Development v SA Childcare (Pty) Ltd &amp; Others</w:t>
      </w:r>
      <w:r w:rsidR="007B7726">
        <w:rPr>
          <w:rFonts w:ascii="Arial" w:hAnsi="Arial" w:cs="Arial"/>
          <w:bCs/>
          <w:i/>
          <w:sz w:val="24"/>
          <w:szCs w:val="24"/>
          <w:lang w:val="en-US"/>
        </w:rPr>
        <w:t>;</w:t>
      </w:r>
      <w:r w:rsidR="002F3C63">
        <w:rPr>
          <w:rFonts w:ascii="Arial" w:hAnsi="Arial" w:cs="Arial"/>
          <w:bCs/>
          <w:i/>
          <w:sz w:val="24"/>
          <w:szCs w:val="24"/>
          <w:lang w:val="en-US"/>
        </w:rPr>
        <w:t xml:space="preserve"> MEC</w:t>
      </w:r>
      <w:r w:rsidR="005F671C">
        <w:rPr>
          <w:rFonts w:ascii="Arial" w:hAnsi="Arial" w:cs="Arial"/>
          <w:bCs/>
          <w:i/>
          <w:sz w:val="24"/>
          <w:szCs w:val="24"/>
          <w:lang w:val="en-US"/>
        </w:rPr>
        <w:t>,</w:t>
      </w:r>
      <w:r w:rsidR="002F3C63">
        <w:rPr>
          <w:rFonts w:ascii="Arial" w:hAnsi="Arial" w:cs="Arial"/>
          <w:bCs/>
          <w:i/>
          <w:sz w:val="24"/>
          <w:szCs w:val="24"/>
          <w:lang w:val="en-US"/>
        </w:rPr>
        <w:t xml:space="preserve"> Social Development</w:t>
      </w:r>
      <w:r w:rsidR="003C5BA8">
        <w:rPr>
          <w:rFonts w:ascii="Arial" w:hAnsi="Arial" w:cs="Arial"/>
          <w:bCs/>
          <w:i/>
          <w:sz w:val="24"/>
          <w:szCs w:val="24"/>
          <w:lang w:val="en-US"/>
        </w:rPr>
        <w:t>,</w:t>
      </w:r>
      <w:r w:rsidR="002F3C63">
        <w:rPr>
          <w:rFonts w:ascii="Arial" w:hAnsi="Arial" w:cs="Arial"/>
          <w:bCs/>
          <w:i/>
          <w:sz w:val="24"/>
          <w:szCs w:val="24"/>
          <w:lang w:val="en-US"/>
        </w:rPr>
        <w:t xml:space="preserve"> Eastern Cape &amp; Others v SA Childcare (Pty) Ltd &amp; Others</w:t>
      </w:r>
      <w:r w:rsidR="002F3C63">
        <w:rPr>
          <w:rFonts w:ascii="Arial" w:hAnsi="Arial" w:cs="Arial"/>
          <w:sz w:val="24"/>
          <w:szCs w:val="24"/>
          <w:lang w:val="en-US"/>
        </w:rPr>
        <w:t xml:space="preserve"> (Case no. 71</w:t>
      </w:r>
      <w:r>
        <w:rPr>
          <w:rFonts w:ascii="Arial" w:hAnsi="Arial" w:cs="Arial"/>
          <w:sz w:val="24"/>
          <w:szCs w:val="24"/>
          <w:lang w:val="en-US"/>
        </w:rPr>
        <w:t>/2021</w:t>
      </w:r>
      <w:r w:rsidRPr="00CA49C1">
        <w:rPr>
          <w:rFonts w:ascii="Arial" w:hAnsi="Arial" w:cs="Arial"/>
          <w:sz w:val="24"/>
          <w:szCs w:val="24"/>
          <w:lang w:val="en-US"/>
        </w:rPr>
        <w:t>) [2022</w:t>
      </w:r>
      <w:r w:rsidR="00B70FAB">
        <w:rPr>
          <w:rFonts w:ascii="Arial" w:hAnsi="Arial" w:cs="Arial"/>
          <w:sz w:val="24"/>
          <w:szCs w:val="24"/>
          <w:lang w:val="en-US"/>
        </w:rPr>
        <w:t>] ZASCA 119</w:t>
      </w:r>
      <w:r w:rsidRPr="00CA49C1">
        <w:rPr>
          <w:rFonts w:ascii="Arial" w:hAnsi="Arial" w:cs="Arial"/>
          <w:sz w:val="24"/>
          <w:szCs w:val="24"/>
          <w:lang w:val="en-US"/>
        </w:rPr>
        <w:t xml:space="preserve"> (</w:t>
      </w:r>
      <w:r w:rsidR="0023642B">
        <w:rPr>
          <w:rFonts w:ascii="Arial" w:hAnsi="Arial" w:cs="Arial"/>
          <w:sz w:val="24"/>
          <w:szCs w:val="24"/>
          <w:lang w:val="en-US"/>
        </w:rPr>
        <w:t>29 August</w:t>
      </w:r>
      <w:r w:rsidRPr="00CA49C1">
        <w:rPr>
          <w:rFonts w:ascii="Arial" w:hAnsi="Arial" w:cs="Arial"/>
          <w:sz w:val="24"/>
          <w:szCs w:val="24"/>
          <w:lang w:val="en-US"/>
        </w:rPr>
        <w:t xml:space="preserve"> 2022)</w:t>
      </w:r>
    </w:p>
    <w:p w14:paraId="250832ED" w14:textId="77777777" w:rsidR="009D4932" w:rsidRPr="00CA49C1" w:rsidRDefault="009D4932" w:rsidP="009D4932">
      <w:pPr>
        <w:spacing w:after="0"/>
        <w:jc w:val="both"/>
        <w:rPr>
          <w:rFonts w:ascii="Arial" w:hAnsi="Arial" w:cs="Arial"/>
          <w:sz w:val="24"/>
          <w:szCs w:val="24"/>
          <w:lang w:val="en-US"/>
        </w:rPr>
      </w:pPr>
    </w:p>
    <w:p w14:paraId="46967282" w14:textId="247FE1C3" w:rsidR="009D4932" w:rsidRPr="00CA49C1" w:rsidRDefault="009D4932" w:rsidP="009D4932">
      <w:pPr>
        <w:spacing w:after="0"/>
        <w:jc w:val="both"/>
        <w:rPr>
          <w:rFonts w:ascii="Arial" w:hAnsi="Arial" w:cs="Arial"/>
          <w:sz w:val="24"/>
          <w:szCs w:val="24"/>
          <w:lang w:val="en-US"/>
        </w:rPr>
      </w:pPr>
      <w:r w:rsidRPr="00CA49C1">
        <w:rPr>
          <w:rFonts w:ascii="Arial" w:hAnsi="Arial" w:cs="Arial"/>
          <w:b/>
          <w:bCs/>
          <w:sz w:val="24"/>
          <w:szCs w:val="24"/>
          <w:lang w:val="en-US"/>
        </w:rPr>
        <w:t>Coram:</w:t>
      </w:r>
      <w:r w:rsidRPr="00CA49C1">
        <w:rPr>
          <w:rFonts w:ascii="Arial" w:hAnsi="Arial" w:cs="Arial"/>
          <w:sz w:val="24"/>
          <w:szCs w:val="24"/>
          <w:lang w:val="en-US"/>
        </w:rPr>
        <w:tab/>
      </w:r>
      <w:r w:rsidR="00551B50">
        <w:rPr>
          <w:rFonts w:ascii="Arial" w:hAnsi="Arial" w:cs="Arial"/>
          <w:sz w:val="24"/>
          <w:szCs w:val="24"/>
          <w:lang w:val="en-US"/>
        </w:rPr>
        <w:t>Ponnan, Plasket and Hughes JJA and Tsoka and Savage AJJA</w:t>
      </w:r>
    </w:p>
    <w:p w14:paraId="14B3B8D9" w14:textId="77777777" w:rsidR="009D4932" w:rsidRPr="00CA49C1" w:rsidRDefault="009D4932" w:rsidP="009D4932">
      <w:pPr>
        <w:spacing w:after="0"/>
        <w:jc w:val="both"/>
        <w:rPr>
          <w:rFonts w:ascii="Arial" w:hAnsi="Arial" w:cs="Arial"/>
          <w:sz w:val="24"/>
          <w:szCs w:val="24"/>
          <w:lang w:val="en-US"/>
        </w:rPr>
      </w:pPr>
    </w:p>
    <w:p w14:paraId="4DC72B95" w14:textId="24224B9D" w:rsidR="009D4932" w:rsidRPr="00CA49C1" w:rsidRDefault="009D4932" w:rsidP="009D4932">
      <w:pPr>
        <w:spacing w:after="0"/>
        <w:jc w:val="both"/>
        <w:rPr>
          <w:rFonts w:ascii="Arial" w:hAnsi="Arial" w:cs="Arial"/>
          <w:sz w:val="24"/>
          <w:szCs w:val="24"/>
          <w:lang w:val="en-US"/>
        </w:rPr>
      </w:pPr>
      <w:r w:rsidRPr="00CA49C1">
        <w:rPr>
          <w:rFonts w:ascii="Arial" w:hAnsi="Arial" w:cs="Arial"/>
          <w:b/>
          <w:bCs/>
          <w:sz w:val="24"/>
          <w:szCs w:val="24"/>
          <w:lang w:val="en-US"/>
        </w:rPr>
        <w:t>Heard:</w:t>
      </w:r>
      <w:r w:rsidRPr="00CA49C1">
        <w:rPr>
          <w:rFonts w:ascii="Arial" w:hAnsi="Arial" w:cs="Arial"/>
          <w:b/>
          <w:bCs/>
          <w:sz w:val="24"/>
          <w:szCs w:val="24"/>
          <w:lang w:val="en-US"/>
        </w:rPr>
        <w:tab/>
      </w:r>
      <w:r w:rsidR="00551B50">
        <w:rPr>
          <w:rFonts w:ascii="Arial" w:hAnsi="Arial" w:cs="Arial"/>
          <w:sz w:val="24"/>
          <w:szCs w:val="24"/>
          <w:lang w:val="en-US"/>
        </w:rPr>
        <w:t>20</w:t>
      </w:r>
      <w:r>
        <w:rPr>
          <w:rFonts w:ascii="Arial" w:hAnsi="Arial" w:cs="Arial"/>
          <w:sz w:val="24"/>
          <w:szCs w:val="24"/>
          <w:lang w:val="en-US"/>
        </w:rPr>
        <w:t xml:space="preserve"> May</w:t>
      </w:r>
      <w:r w:rsidRPr="00CA49C1">
        <w:rPr>
          <w:rFonts w:ascii="Arial" w:hAnsi="Arial" w:cs="Arial"/>
          <w:sz w:val="24"/>
          <w:szCs w:val="24"/>
          <w:lang w:val="en-US"/>
        </w:rPr>
        <w:t xml:space="preserve"> 2022</w:t>
      </w:r>
    </w:p>
    <w:p w14:paraId="6CDFC94B" w14:textId="77777777" w:rsidR="009D4932" w:rsidRPr="00CA49C1" w:rsidRDefault="009D4932" w:rsidP="009D4932">
      <w:pPr>
        <w:spacing w:after="0"/>
        <w:jc w:val="both"/>
        <w:rPr>
          <w:rFonts w:ascii="Arial" w:hAnsi="Arial" w:cs="Arial"/>
          <w:sz w:val="24"/>
          <w:szCs w:val="24"/>
          <w:lang w:val="en-US"/>
        </w:rPr>
      </w:pPr>
    </w:p>
    <w:p w14:paraId="603A3E1A" w14:textId="314542CB" w:rsidR="009D4932" w:rsidRPr="00CA49C1" w:rsidRDefault="009D4932" w:rsidP="009D4932">
      <w:pPr>
        <w:spacing w:after="0"/>
        <w:jc w:val="both"/>
        <w:rPr>
          <w:rFonts w:ascii="Arial" w:hAnsi="Arial" w:cs="Arial"/>
          <w:sz w:val="24"/>
          <w:szCs w:val="24"/>
          <w:lang w:val="en-US"/>
        </w:rPr>
      </w:pPr>
      <w:r w:rsidRPr="00CA49C1">
        <w:rPr>
          <w:rFonts w:ascii="Arial" w:hAnsi="Arial" w:cs="Arial"/>
          <w:b/>
          <w:bCs/>
          <w:sz w:val="24"/>
          <w:szCs w:val="24"/>
          <w:lang w:val="en-US"/>
        </w:rPr>
        <w:t>Delivered:</w:t>
      </w:r>
      <w:r w:rsidRPr="00CA49C1">
        <w:rPr>
          <w:rFonts w:ascii="Arial" w:hAnsi="Arial" w:cs="Arial"/>
          <w:b/>
          <w:bCs/>
          <w:sz w:val="24"/>
          <w:szCs w:val="24"/>
          <w:lang w:val="en-US"/>
        </w:rPr>
        <w:tab/>
      </w:r>
      <w:r w:rsidR="005F671C">
        <w:rPr>
          <w:rFonts w:ascii="Arial" w:hAnsi="Arial" w:cs="Arial"/>
          <w:sz w:val="24"/>
          <w:szCs w:val="24"/>
          <w:lang w:val="en-US"/>
        </w:rPr>
        <w:t>29 August</w:t>
      </w:r>
      <w:r>
        <w:rPr>
          <w:rFonts w:ascii="Arial" w:hAnsi="Arial" w:cs="Arial"/>
          <w:bCs/>
          <w:sz w:val="24"/>
          <w:szCs w:val="24"/>
          <w:lang w:val="en-US"/>
        </w:rPr>
        <w:t xml:space="preserve"> </w:t>
      </w:r>
      <w:r w:rsidRPr="00F7251C">
        <w:rPr>
          <w:rFonts w:ascii="Arial" w:hAnsi="Arial" w:cs="Arial"/>
          <w:bCs/>
          <w:sz w:val="24"/>
          <w:szCs w:val="24"/>
          <w:lang w:val="en-US"/>
        </w:rPr>
        <w:t>2022</w:t>
      </w:r>
    </w:p>
    <w:p w14:paraId="356D4F07" w14:textId="77777777" w:rsidR="009D4932" w:rsidRDefault="009D4932" w:rsidP="009D4932">
      <w:pPr>
        <w:spacing w:after="0" w:line="360" w:lineRule="auto"/>
        <w:jc w:val="both"/>
        <w:rPr>
          <w:rFonts w:ascii="Arial" w:hAnsi="Arial" w:cs="Arial"/>
          <w:b/>
          <w:bCs/>
          <w:sz w:val="24"/>
          <w:szCs w:val="24"/>
          <w:lang w:val="en-US"/>
        </w:rPr>
      </w:pPr>
    </w:p>
    <w:p w14:paraId="19BE5B52" w14:textId="796A0215" w:rsidR="0084600D" w:rsidRDefault="009D4932" w:rsidP="009D4932">
      <w:pPr>
        <w:spacing w:after="0" w:line="360" w:lineRule="auto"/>
        <w:jc w:val="both"/>
        <w:rPr>
          <w:rFonts w:ascii="Arial" w:hAnsi="Arial" w:cs="Arial"/>
          <w:sz w:val="24"/>
          <w:szCs w:val="24"/>
          <w:lang w:val="en-US"/>
        </w:rPr>
      </w:pPr>
      <w:r w:rsidRPr="00D96994">
        <w:rPr>
          <w:rFonts w:ascii="Arial" w:hAnsi="Arial" w:cs="Arial"/>
          <w:b/>
          <w:bCs/>
          <w:sz w:val="24"/>
          <w:szCs w:val="24"/>
          <w:lang w:val="en-US"/>
        </w:rPr>
        <w:t>Summary:</w:t>
      </w:r>
      <w:r>
        <w:rPr>
          <w:rFonts w:ascii="Arial" w:hAnsi="Arial" w:cs="Arial"/>
          <w:sz w:val="24"/>
          <w:szCs w:val="24"/>
          <w:lang w:val="en-US"/>
        </w:rPr>
        <w:tab/>
      </w:r>
      <w:r w:rsidR="003C5BA8">
        <w:rPr>
          <w:rFonts w:ascii="Arial" w:hAnsi="Arial" w:cs="Arial"/>
          <w:sz w:val="24"/>
          <w:szCs w:val="24"/>
          <w:lang w:val="en-US"/>
        </w:rPr>
        <w:t xml:space="preserve">Social development – </w:t>
      </w:r>
      <w:r w:rsidR="0084600D">
        <w:rPr>
          <w:rFonts w:ascii="Arial" w:hAnsi="Arial" w:cs="Arial"/>
          <w:sz w:val="24"/>
          <w:szCs w:val="24"/>
          <w:lang w:val="en-US"/>
        </w:rPr>
        <w:t>Early Childhood Development facilities – payment of subsidies by national and provincial Departments of Social Development – whether breaches of constitutional obligations established – principles applicable to determination of disputes of fact in application proceedings re-stated.</w:t>
      </w:r>
    </w:p>
    <w:p w14:paraId="12FF9DFB" w14:textId="77777777" w:rsidR="009D4932" w:rsidRDefault="009D4932" w:rsidP="009D4932">
      <w:pPr>
        <w:pBdr>
          <w:bottom w:val="single" w:sz="12" w:space="1" w:color="auto"/>
        </w:pBdr>
        <w:spacing w:after="0" w:line="360" w:lineRule="auto"/>
        <w:jc w:val="both"/>
        <w:rPr>
          <w:rFonts w:ascii="Arial" w:hAnsi="Arial" w:cs="Arial"/>
          <w:sz w:val="24"/>
          <w:szCs w:val="24"/>
          <w:lang w:val="en-US"/>
        </w:rPr>
      </w:pPr>
    </w:p>
    <w:p w14:paraId="735C5862" w14:textId="77777777" w:rsidR="009D4932" w:rsidRDefault="009D4932" w:rsidP="009D4932">
      <w:pPr>
        <w:spacing w:after="0" w:line="360" w:lineRule="auto"/>
        <w:jc w:val="both"/>
        <w:rPr>
          <w:rFonts w:ascii="Arial" w:hAnsi="Arial" w:cs="Arial"/>
          <w:b/>
          <w:bCs/>
          <w:sz w:val="24"/>
          <w:szCs w:val="24"/>
          <w:lang w:val="en-US"/>
        </w:rPr>
      </w:pPr>
    </w:p>
    <w:p w14:paraId="38B79C44" w14:textId="77777777" w:rsidR="009D4932" w:rsidRDefault="009D4932" w:rsidP="009D4932">
      <w:pPr>
        <w:spacing w:after="0" w:line="360" w:lineRule="auto"/>
        <w:jc w:val="center"/>
        <w:rPr>
          <w:rFonts w:ascii="Arial" w:hAnsi="Arial" w:cs="Arial"/>
          <w:b/>
          <w:bCs/>
          <w:sz w:val="24"/>
          <w:szCs w:val="24"/>
          <w:lang w:val="en-US"/>
        </w:rPr>
      </w:pPr>
      <w:r>
        <w:rPr>
          <w:rFonts w:ascii="Arial" w:hAnsi="Arial" w:cs="Arial"/>
          <w:b/>
          <w:bCs/>
          <w:sz w:val="24"/>
          <w:szCs w:val="24"/>
          <w:lang w:val="en-US"/>
        </w:rPr>
        <w:t>ORDER</w:t>
      </w:r>
    </w:p>
    <w:p w14:paraId="76F2AF7F" w14:textId="77777777" w:rsidR="009D4932" w:rsidRDefault="009D4932" w:rsidP="009D4932">
      <w:pPr>
        <w:pBdr>
          <w:bottom w:val="single" w:sz="12" w:space="1" w:color="auto"/>
        </w:pBdr>
        <w:spacing w:after="0" w:line="360" w:lineRule="auto"/>
        <w:jc w:val="both"/>
        <w:rPr>
          <w:rFonts w:ascii="Arial" w:hAnsi="Arial" w:cs="Arial"/>
          <w:b/>
          <w:bCs/>
          <w:sz w:val="24"/>
          <w:szCs w:val="24"/>
          <w:lang w:val="en-US"/>
        </w:rPr>
      </w:pPr>
    </w:p>
    <w:p w14:paraId="57439053" w14:textId="77777777" w:rsidR="009D4932" w:rsidRDefault="009D4932" w:rsidP="009D4932">
      <w:pPr>
        <w:spacing w:after="0" w:line="360" w:lineRule="auto"/>
        <w:jc w:val="both"/>
        <w:rPr>
          <w:rFonts w:ascii="Arial" w:hAnsi="Arial" w:cs="Arial"/>
          <w:b/>
          <w:bCs/>
          <w:sz w:val="24"/>
          <w:szCs w:val="24"/>
          <w:lang w:val="en-US"/>
        </w:rPr>
      </w:pPr>
    </w:p>
    <w:p w14:paraId="56049D4A" w14:textId="01C5EEBE" w:rsidR="009D4932" w:rsidRDefault="009D4932" w:rsidP="009D4932">
      <w:pPr>
        <w:spacing w:after="0" w:line="360" w:lineRule="auto"/>
        <w:jc w:val="both"/>
        <w:rPr>
          <w:rFonts w:ascii="Arial" w:hAnsi="Arial" w:cs="Arial"/>
          <w:sz w:val="24"/>
          <w:szCs w:val="24"/>
          <w:lang w:val="en-US"/>
        </w:rPr>
      </w:pPr>
      <w:r>
        <w:rPr>
          <w:rFonts w:ascii="Arial" w:hAnsi="Arial" w:cs="Arial"/>
          <w:b/>
          <w:bCs/>
          <w:sz w:val="24"/>
          <w:szCs w:val="24"/>
          <w:lang w:val="en-US"/>
        </w:rPr>
        <w:t>On appeal from:</w:t>
      </w:r>
      <w:r>
        <w:rPr>
          <w:rFonts w:ascii="Arial" w:hAnsi="Arial" w:cs="Arial"/>
          <w:sz w:val="24"/>
          <w:szCs w:val="24"/>
          <w:lang w:val="en-US"/>
        </w:rPr>
        <w:t xml:space="preserve"> Gauteng Local Division of the High Court, </w:t>
      </w:r>
      <w:r w:rsidR="007465C2">
        <w:rPr>
          <w:rFonts w:ascii="Arial" w:hAnsi="Arial" w:cs="Arial"/>
          <w:sz w:val="24"/>
          <w:szCs w:val="24"/>
          <w:lang w:val="en-US"/>
        </w:rPr>
        <w:t>Pretoria</w:t>
      </w:r>
      <w:r>
        <w:rPr>
          <w:rFonts w:ascii="Arial" w:hAnsi="Arial" w:cs="Arial"/>
          <w:sz w:val="24"/>
          <w:szCs w:val="24"/>
          <w:lang w:val="en-US"/>
        </w:rPr>
        <w:t xml:space="preserve"> (</w:t>
      </w:r>
      <w:r w:rsidR="007465C2">
        <w:rPr>
          <w:rFonts w:ascii="Arial" w:hAnsi="Arial" w:cs="Arial"/>
          <w:sz w:val="24"/>
          <w:szCs w:val="24"/>
          <w:lang w:val="en-US"/>
        </w:rPr>
        <w:t>Janse van Nieuwenhuiz</w:t>
      </w:r>
      <w:r w:rsidR="00013509">
        <w:rPr>
          <w:rFonts w:ascii="Arial" w:hAnsi="Arial" w:cs="Arial"/>
          <w:sz w:val="24"/>
          <w:szCs w:val="24"/>
          <w:lang w:val="en-US"/>
        </w:rPr>
        <w:t>e</w:t>
      </w:r>
      <w:r w:rsidR="007465C2">
        <w:rPr>
          <w:rFonts w:ascii="Arial" w:hAnsi="Arial" w:cs="Arial"/>
          <w:sz w:val="24"/>
          <w:szCs w:val="24"/>
          <w:lang w:val="en-US"/>
        </w:rPr>
        <w:t>n</w:t>
      </w:r>
      <w:r>
        <w:rPr>
          <w:rFonts w:ascii="Arial" w:hAnsi="Arial" w:cs="Arial"/>
          <w:sz w:val="24"/>
          <w:szCs w:val="24"/>
          <w:lang w:val="en-US"/>
        </w:rPr>
        <w:t xml:space="preserve"> J sitting as court of first instance).</w:t>
      </w:r>
    </w:p>
    <w:p w14:paraId="66FA0422" w14:textId="77777777" w:rsidR="00754976" w:rsidRDefault="00754976" w:rsidP="009D4932">
      <w:pPr>
        <w:spacing w:after="0" w:line="360" w:lineRule="auto"/>
        <w:jc w:val="both"/>
        <w:rPr>
          <w:rFonts w:ascii="Arial" w:hAnsi="Arial" w:cs="Arial"/>
          <w:sz w:val="24"/>
          <w:szCs w:val="24"/>
          <w:lang w:val="en-US"/>
        </w:rPr>
      </w:pPr>
    </w:p>
    <w:p w14:paraId="0A12F142" w14:textId="431481CD" w:rsidR="009D4932" w:rsidRDefault="003E3646" w:rsidP="009D4932">
      <w:pPr>
        <w:spacing w:after="0" w:line="360" w:lineRule="auto"/>
        <w:jc w:val="both"/>
        <w:rPr>
          <w:rFonts w:ascii="Arial" w:hAnsi="Arial" w:cs="Arial"/>
          <w:sz w:val="24"/>
          <w:szCs w:val="24"/>
          <w:lang w:val="en-US"/>
        </w:rPr>
      </w:pPr>
      <w:r>
        <w:rPr>
          <w:rFonts w:ascii="Arial" w:hAnsi="Arial" w:cs="Arial"/>
          <w:sz w:val="24"/>
          <w:szCs w:val="24"/>
          <w:lang w:val="en-US"/>
        </w:rPr>
        <w:t xml:space="preserve">1 The appeal is </w:t>
      </w:r>
      <w:r w:rsidR="00A81EA8">
        <w:rPr>
          <w:rFonts w:ascii="Arial" w:hAnsi="Arial" w:cs="Arial"/>
          <w:sz w:val="24"/>
          <w:szCs w:val="24"/>
          <w:lang w:val="en-US"/>
        </w:rPr>
        <w:t>upheld</w:t>
      </w:r>
      <w:r>
        <w:rPr>
          <w:rFonts w:ascii="Arial" w:hAnsi="Arial" w:cs="Arial"/>
          <w:sz w:val="24"/>
          <w:szCs w:val="24"/>
          <w:lang w:val="en-US"/>
        </w:rPr>
        <w:t>.</w:t>
      </w:r>
    </w:p>
    <w:p w14:paraId="3C528CB2" w14:textId="06AD488C" w:rsidR="003E3646" w:rsidRDefault="003E3646" w:rsidP="009D4932">
      <w:pPr>
        <w:spacing w:after="0" w:line="360" w:lineRule="auto"/>
        <w:jc w:val="both"/>
        <w:rPr>
          <w:rFonts w:ascii="Arial" w:hAnsi="Arial" w:cs="Arial"/>
          <w:sz w:val="24"/>
          <w:szCs w:val="24"/>
          <w:lang w:val="en-US"/>
        </w:rPr>
      </w:pPr>
      <w:r>
        <w:rPr>
          <w:rFonts w:ascii="Arial" w:hAnsi="Arial" w:cs="Arial"/>
          <w:sz w:val="24"/>
          <w:szCs w:val="24"/>
          <w:lang w:val="en-US"/>
        </w:rPr>
        <w:t xml:space="preserve">2 The order of the </w:t>
      </w:r>
      <w:r w:rsidR="003C5BA8">
        <w:rPr>
          <w:rFonts w:ascii="Arial" w:hAnsi="Arial" w:cs="Arial"/>
          <w:sz w:val="24"/>
          <w:szCs w:val="24"/>
          <w:lang w:val="en-US"/>
        </w:rPr>
        <w:t xml:space="preserve">high </w:t>
      </w:r>
      <w:r>
        <w:rPr>
          <w:rFonts w:ascii="Arial" w:hAnsi="Arial" w:cs="Arial"/>
          <w:sz w:val="24"/>
          <w:szCs w:val="24"/>
          <w:lang w:val="en-US"/>
        </w:rPr>
        <w:t>court is set aside and replaced with the following order.</w:t>
      </w:r>
    </w:p>
    <w:p w14:paraId="73FA6043" w14:textId="2338B3F2" w:rsidR="003E3646" w:rsidRDefault="003E3646" w:rsidP="009D4932">
      <w:pPr>
        <w:spacing w:after="0" w:line="360" w:lineRule="auto"/>
        <w:jc w:val="both"/>
        <w:rPr>
          <w:rFonts w:ascii="Arial" w:hAnsi="Arial" w:cs="Arial"/>
          <w:sz w:val="24"/>
          <w:szCs w:val="24"/>
          <w:lang w:val="en-US"/>
        </w:rPr>
      </w:pPr>
      <w:r>
        <w:rPr>
          <w:rFonts w:ascii="Arial" w:hAnsi="Arial" w:cs="Arial"/>
          <w:sz w:val="24"/>
          <w:szCs w:val="24"/>
          <w:lang w:val="en-US"/>
        </w:rPr>
        <w:t>‘The application is dismissed.’</w:t>
      </w:r>
    </w:p>
    <w:p w14:paraId="4AA7A960" w14:textId="77777777" w:rsidR="009D4932" w:rsidRDefault="009D4932" w:rsidP="001A0C4D">
      <w:pPr>
        <w:pBdr>
          <w:bottom w:val="single" w:sz="12" w:space="1" w:color="auto"/>
        </w:pBdr>
        <w:spacing w:after="0" w:line="360" w:lineRule="auto"/>
        <w:jc w:val="both"/>
        <w:rPr>
          <w:rFonts w:ascii="Arial" w:hAnsi="Arial" w:cs="Arial"/>
          <w:sz w:val="24"/>
          <w:szCs w:val="24"/>
          <w:lang w:val="en-US"/>
        </w:rPr>
      </w:pPr>
    </w:p>
    <w:p w14:paraId="1459D17A" w14:textId="54C5F0BD" w:rsidR="00381944" w:rsidRDefault="00381944" w:rsidP="001A0C4D">
      <w:pPr>
        <w:spacing w:after="0" w:line="360" w:lineRule="auto"/>
        <w:jc w:val="both"/>
        <w:rPr>
          <w:rFonts w:ascii="Arial" w:hAnsi="Arial" w:cs="Arial"/>
          <w:b/>
          <w:bCs/>
          <w:sz w:val="24"/>
          <w:szCs w:val="24"/>
          <w:lang w:val="en-US"/>
        </w:rPr>
      </w:pPr>
    </w:p>
    <w:p w14:paraId="48B15E13" w14:textId="462C4529" w:rsidR="00381944" w:rsidRDefault="00381944" w:rsidP="00381944">
      <w:pPr>
        <w:spacing w:after="0" w:line="360" w:lineRule="auto"/>
        <w:jc w:val="center"/>
        <w:rPr>
          <w:rFonts w:ascii="Arial" w:hAnsi="Arial" w:cs="Arial"/>
          <w:b/>
          <w:bCs/>
          <w:sz w:val="24"/>
          <w:szCs w:val="24"/>
          <w:lang w:val="en-US"/>
        </w:rPr>
      </w:pPr>
      <w:r>
        <w:rPr>
          <w:rFonts w:ascii="Arial" w:hAnsi="Arial" w:cs="Arial"/>
          <w:b/>
          <w:bCs/>
          <w:sz w:val="24"/>
          <w:szCs w:val="24"/>
          <w:lang w:val="en-US"/>
        </w:rPr>
        <w:t>JUDGMENT</w:t>
      </w:r>
    </w:p>
    <w:p w14:paraId="2B66088B" w14:textId="04627D63" w:rsidR="00381944" w:rsidRDefault="00381944" w:rsidP="001A0C4D">
      <w:pPr>
        <w:pBdr>
          <w:bottom w:val="single" w:sz="12" w:space="1" w:color="auto"/>
        </w:pBdr>
        <w:spacing w:after="0" w:line="360" w:lineRule="auto"/>
        <w:jc w:val="both"/>
        <w:rPr>
          <w:rFonts w:ascii="Arial" w:hAnsi="Arial" w:cs="Arial"/>
          <w:b/>
          <w:bCs/>
          <w:sz w:val="24"/>
          <w:szCs w:val="24"/>
          <w:lang w:val="en-US"/>
        </w:rPr>
      </w:pPr>
    </w:p>
    <w:p w14:paraId="53259CCF" w14:textId="64FD82F2" w:rsidR="00381944" w:rsidRDefault="00381944" w:rsidP="001A0C4D">
      <w:pPr>
        <w:spacing w:after="0" w:line="360" w:lineRule="auto"/>
        <w:jc w:val="both"/>
        <w:rPr>
          <w:rFonts w:ascii="Arial" w:hAnsi="Arial" w:cs="Arial"/>
          <w:b/>
          <w:bCs/>
          <w:sz w:val="24"/>
          <w:szCs w:val="24"/>
          <w:lang w:val="en-US"/>
        </w:rPr>
      </w:pPr>
    </w:p>
    <w:p w14:paraId="6C955E45" w14:textId="7D787297" w:rsidR="00381944" w:rsidRPr="00381944" w:rsidRDefault="00381944" w:rsidP="001A0C4D">
      <w:pPr>
        <w:spacing w:after="0" w:line="360" w:lineRule="auto"/>
        <w:jc w:val="both"/>
        <w:rPr>
          <w:rFonts w:ascii="Arial" w:hAnsi="Arial" w:cs="Arial"/>
          <w:b/>
          <w:bCs/>
          <w:sz w:val="24"/>
          <w:szCs w:val="24"/>
          <w:lang w:val="en-US"/>
        </w:rPr>
      </w:pPr>
      <w:r>
        <w:rPr>
          <w:rFonts w:ascii="Arial" w:hAnsi="Arial" w:cs="Arial"/>
          <w:b/>
          <w:bCs/>
          <w:sz w:val="24"/>
          <w:szCs w:val="24"/>
          <w:lang w:val="en-US"/>
        </w:rPr>
        <w:t>Plasket JA (</w:t>
      </w:r>
      <w:r w:rsidR="005F671C">
        <w:rPr>
          <w:rFonts w:ascii="Arial" w:hAnsi="Arial" w:cs="Arial"/>
          <w:b/>
          <w:bCs/>
          <w:sz w:val="24"/>
          <w:szCs w:val="24"/>
          <w:lang w:val="en-US"/>
        </w:rPr>
        <w:t>Ponnan and Hughes JJA and Tsoka and Savage AJJA</w:t>
      </w:r>
      <w:r>
        <w:rPr>
          <w:rFonts w:ascii="Arial" w:hAnsi="Arial" w:cs="Arial"/>
          <w:b/>
          <w:bCs/>
          <w:sz w:val="24"/>
          <w:szCs w:val="24"/>
          <w:lang w:val="en-US"/>
        </w:rPr>
        <w:t xml:space="preserve"> concurring)</w:t>
      </w:r>
    </w:p>
    <w:p w14:paraId="71FB1861" w14:textId="77777777" w:rsidR="00381944" w:rsidRDefault="00381944" w:rsidP="001A0C4D">
      <w:pPr>
        <w:spacing w:after="0" w:line="360" w:lineRule="auto"/>
        <w:jc w:val="both"/>
        <w:rPr>
          <w:rFonts w:ascii="Arial" w:hAnsi="Arial" w:cs="Arial"/>
          <w:sz w:val="24"/>
          <w:szCs w:val="24"/>
          <w:lang w:val="en-US"/>
        </w:rPr>
      </w:pPr>
    </w:p>
    <w:p w14:paraId="0E3C45D3" w14:textId="3637B994" w:rsidR="001A0C4D" w:rsidRDefault="00381944" w:rsidP="001A0C4D">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1A0C4D">
        <w:rPr>
          <w:rFonts w:ascii="Arial" w:hAnsi="Arial" w:cs="Arial"/>
          <w:sz w:val="24"/>
          <w:szCs w:val="24"/>
          <w:lang w:val="en-US"/>
        </w:rPr>
        <w:t>Early Childhood Development and Partial Care facilities</w:t>
      </w:r>
      <w:r w:rsidR="00F44CCD">
        <w:rPr>
          <w:rFonts w:ascii="Arial" w:hAnsi="Arial" w:cs="Arial"/>
          <w:sz w:val="24"/>
          <w:szCs w:val="24"/>
          <w:lang w:val="en-US"/>
        </w:rPr>
        <w:t xml:space="preserve"> (collectively, ECDs)</w:t>
      </w:r>
      <w:r w:rsidR="001A0C4D">
        <w:rPr>
          <w:rFonts w:ascii="Arial" w:hAnsi="Arial" w:cs="Arial"/>
          <w:sz w:val="24"/>
          <w:szCs w:val="24"/>
          <w:lang w:val="en-US"/>
        </w:rPr>
        <w:t xml:space="preserve"> play an important role in the progressive realization of an interwoven network of socio-economic rights guaranteed by the bill of rights that forms part of our Constitution. </w:t>
      </w:r>
      <w:r w:rsidR="007B7726">
        <w:rPr>
          <w:rFonts w:ascii="Arial" w:hAnsi="Arial" w:cs="Arial"/>
          <w:sz w:val="24"/>
          <w:szCs w:val="24"/>
          <w:lang w:val="en-US"/>
        </w:rPr>
        <w:t>These include</w:t>
      </w:r>
      <w:r w:rsidR="001A0C4D">
        <w:rPr>
          <w:rFonts w:ascii="Arial" w:hAnsi="Arial" w:cs="Arial"/>
          <w:sz w:val="24"/>
          <w:szCs w:val="24"/>
          <w:lang w:val="en-US"/>
        </w:rPr>
        <w:t xml:space="preserve"> the fundamental rights to social assistance in terms</w:t>
      </w:r>
      <w:r w:rsidR="004D2B30">
        <w:rPr>
          <w:rFonts w:ascii="Arial" w:hAnsi="Arial" w:cs="Arial"/>
          <w:sz w:val="24"/>
          <w:szCs w:val="24"/>
          <w:lang w:val="en-US"/>
        </w:rPr>
        <w:t xml:space="preserve"> </w:t>
      </w:r>
      <w:r w:rsidR="001A0C4D">
        <w:rPr>
          <w:rFonts w:ascii="Arial" w:hAnsi="Arial" w:cs="Arial"/>
          <w:sz w:val="24"/>
          <w:szCs w:val="24"/>
          <w:lang w:val="en-US"/>
        </w:rPr>
        <w:t>of s 27(1)</w:t>
      </w:r>
      <w:r w:rsidR="001A0C4D">
        <w:rPr>
          <w:rFonts w:ascii="Arial" w:hAnsi="Arial" w:cs="Arial"/>
          <w:i/>
          <w:iCs/>
          <w:sz w:val="24"/>
          <w:szCs w:val="24"/>
          <w:lang w:val="en-US"/>
        </w:rPr>
        <w:t>(c)</w:t>
      </w:r>
      <w:r w:rsidR="004D2B30">
        <w:rPr>
          <w:rFonts w:ascii="Arial" w:hAnsi="Arial" w:cs="Arial"/>
          <w:sz w:val="24"/>
          <w:szCs w:val="24"/>
          <w:lang w:val="en-US"/>
        </w:rPr>
        <w:t>, of children to basic nutrition in terms of s 28(1)</w:t>
      </w:r>
      <w:r w:rsidR="004D2B30">
        <w:rPr>
          <w:rFonts w:ascii="Arial" w:hAnsi="Arial" w:cs="Arial"/>
          <w:i/>
          <w:iCs/>
          <w:sz w:val="24"/>
          <w:szCs w:val="24"/>
          <w:lang w:val="en-US"/>
        </w:rPr>
        <w:t>(c)</w:t>
      </w:r>
      <w:r w:rsidR="004D2B30">
        <w:rPr>
          <w:rFonts w:ascii="Arial" w:hAnsi="Arial" w:cs="Arial"/>
          <w:sz w:val="24"/>
          <w:szCs w:val="24"/>
          <w:lang w:val="en-US"/>
        </w:rPr>
        <w:t xml:space="preserve"> and of the paramountcy of the best interests of children in terms of s 28(2). This case is concerned with whether the appellants – the Minister of Social Development</w:t>
      </w:r>
      <w:r w:rsidR="007B7726">
        <w:rPr>
          <w:rFonts w:ascii="Arial" w:hAnsi="Arial" w:cs="Arial"/>
          <w:sz w:val="24"/>
          <w:szCs w:val="24"/>
          <w:lang w:val="en-US"/>
        </w:rPr>
        <w:t xml:space="preserve"> (the Minister)</w:t>
      </w:r>
      <w:r w:rsidR="004D2B30">
        <w:rPr>
          <w:rFonts w:ascii="Arial" w:hAnsi="Arial" w:cs="Arial"/>
          <w:sz w:val="24"/>
          <w:szCs w:val="24"/>
          <w:lang w:val="en-US"/>
        </w:rPr>
        <w:t xml:space="preserve"> and the MEC’s for Social Development in eight of the nine provinces</w:t>
      </w:r>
      <w:r w:rsidR="007B7726">
        <w:rPr>
          <w:rFonts w:ascii="Arial" w:hAnsi="Arial" w:cs="Arial"/>
          <w:sz w:val="24"/>
          <w:szCs w:val="24"/>
          <w:lang w:val="en-US"/>
        </w:rPr>
        <w:t xml:space="preserve"> (the MECs)</w:t>
      </w:r>
      <w:r w:rsidR="004D2B30">
        <w:rPr>
          <w:rFonts w:ascii="Arial" w:hAnsi="Arial" w:cs="Arial"/>
          <w:sz w:val="24"/>
          <w:szCs w:val="24"/>
          <w:lang w:val="en-US"/>
        </w:rPr>
        <w:t xml:space="preserve"> – violated these rights in relation to the subsidization of ECDs during the lockdown imposed after the declaration of </w:t>
      </w:r>
      <w:r w:rsidR="00F44CCD">
        <w:rPr>
          <w:rFonts w:ascii="Arial" w:hAnsi="Arial" w:cs="Arial"/>
          <w:sz w:val="24"/>
          <w:szCs w:val="24"/>
          <w:lang w:val="en-US"/>
        </w:rPr>
        <w:t>the</w:t>
      </w:r>
      <w:r w:rsidR="004D2B30">
        <w:rPr>
          <w:rFonts w:ascii="Arial" w:hAnsi="Arial" w:cs="Arial"/>
          <w:sz w:val="24"/>
          <w:szCs w:val="24"/>
          <w:lang w:val="en-US"/>
        </w:rPr>
        <w:t xml:space="preserve"> state of disaster</w:t>
      </w:r>
      <w:r w:rsidR="00F44CCD">
        <w:rPr>
          <w:rFonts w:ascii="Arial" w:hAnsi="Arial" w:cs="Arial"/>
          <w:sz w:val="24"/>
          <w:szCs w:val="24"/>
          <w:lang w:val="en-US"/>
        </w:rPr>
        <w:t xml:space="preserve"> </w:t>
      </w:r>
      <w:r w:rsidR="00921771" w:rsidRPr="005F671C">
        <w:rPr>
          <w:rFonts w:ascii="Arial" w:hAnsi="Arial" w:cs="Arial"/>
          <w:sz w:val="24"/>
          <w:szCs w:val="24"/>
          <w:lang w:val="en-US"/>
        </w:rPr>
        <w:t>in</w:t>
      </w:r>
      <w:r w:rsidR="00F44CCD" w:rsidRPr="005F671C">
        <w:rPr>
          <w:rFonts w:ascii="Arial" w:hAnsi="Arial" w:cs="Arial"/>
          <w:sz w:val="24"/>
          <w:szCs w:val="24"/>
          <w:lang w:val="en-US"/>
        </w:rPr>
        <w:t xml:space="preserve"> the country as</w:t>
      </w:r>
      <w:r w:rsidR="00F44CCD">
        <w:rPr>
          <w:rFonts w:ascii="Arial" w:hAnsi="Arial" w:cs="Arial"/>
          <w:sz w:val="24"/>
          <w:szCs w:val="24"/>
          <w:lang w:val="en-US"/>
        </w:rPr>
        <w:t xml:space="preserve"> a result of the COVID-19 pandemic.</w:t>
      </w:r>
      <w:r w:rsidR="004D2B30">
        <w:rPr>
          <w:rFonts w:ascii="Arial" w:hAnsi="Arial" w:cs="Arial"/>
          <w:sz w:val="24"/>
          <w:szCs w:val="24"/>
          <w:lang w:val="en-US"/>
        </w:rPr>
        <w:t xml:space="preserve">   </w:t>
      </w:r>
    </w:p>
    <w:p w14:paraId="3839E912" w14:textId="20AF3307" w:rsidR="00F44CCD" w:rsidRDefault="00F44CCD" w:rsidP="001A0C4D">
      <w:pPr>
        <w:spacing w:after="0" w:line="360" w:lineRule="auto"/>
        <w:jc w:val="both"/>
        <w:rPr>
          <w:rFonts w:ascii="Arial" w:hAnsi="Arial" w:cs="Arial"/>
          <w:sz w:val="24"/>
          <w:szCs w:val="24"/>
          <w:lang w:val="en-US"/>
        </w:rPr>
      </w:pPr>
    </w:p>
    <w:p w14:paraId="7A9D7050" w14:textId="2032FD97" w:rsidR="004D12BE" w:rsidRDefault="005F71A3" w:rsidP="001A0C4D">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F44CCD">
        <w:rPr>
          <w:rFonts w:ascii="Arial" w:hAnsi="Arial" w:cs="Arial"/>
          <w:sz w:val="24"/>
          <w:szCs w:val="24"/>
          <w:lang w:val="en-US"/>
        </w:rPr>
        <w:t>SA Child</w:t>
      </w:r>
      <w:r w:rsidR="007B7726">
        <w:rPr>
          <w:rFonts w:ascii="Arial" w:hAnsi="Arial" w:cs="Arial"/>
          <w:sz w:val="24"/>
          <w:szCs w:val="24"/>
          <w:lang w:val="en-US"/>
        </w:rPr>
        <w:t>c</w:t>
      </w:r>
      <w:r w:rsidR="00F44CCD">
        <w:rPr>
          <w:rFonts w:ascii="Arial" w:hAnsi="Arial" w:cs="Arial"/>
          <w:sz w:val="24"/>
          <w:szCs w:val="24"/>
          <w:lang w:val="en-US"/>
        </w:rPr>
        <w:t xml:space="preserve">are (Pty) Ltd </w:t>
      </w:r>
      <w:r w:rsidR="005F671C">
        <w:rPr>
          <w:rFonts w:ascii="Arial" w:hAnsi="Arial" w:cs="Arial"/>
          <w:sz w:val="24"/>
          <w:szCs w:val="24"/>
          <w:lang w:val="en-US"/>
        </w:rPr>
        <w:t xml:space="preserve">– </w:t>
      </w:r>
      <w:r w:rsidR="00F44CCD">
        <w:rPr>
          <w:rFonts w:ascii="Arial" w:hAnsi="Arial" w:cs="Arial"/>
          <w:sz w:val="24"/>
          <w:szCs w:val="24"/>
          <w:lang w:val="en-US"/>
        </w:rPr>
        <w:t>the first respondent</w:t>
      </w:r>
      <w:r w:rsidR="005F671C">
        <w:rPr>
          <w:rFonts w:ascii="Arial" w:hAnsi="Arial" w:cs="Arial"/>
          <w:sz w:val="24"/>
          <w:szCs w:val="24"/>
          <w:lang w:val="en-US"/>
        </w:rPr>
        <w:t xml:space="preserve"> –</w:t>
      </w:r>
      <w:r w:rsidR="00F44CCD">
        <w:rPr>
          <w:rFonts w:ascii="Arial" w:hAnsi="Arial" w:cs="Arial"/>
          <w:sz w:val="24"/>
          <w:szCs w:val="24"/>
          <w:lang w:val="en-US"/>
        </w:rPr>
        <w:t xml:space="preserve"> and seven other </w:t>
      </w:r>
      <w:r w:rsidR="007B7726">
        <w:rPr>
          <w:rFonts w:ascii="Arial" w:hAnsi="Arial" w:cs="Arial"/>
          <w:sz w:val="24"/>
          <w:szCs w:val="24"/>
          <w:lang w:val="en-US"/>
        </w:rPr>
        <w:t>organisations and an individual</w:t>
      </w:r>
      <w:r w:rsidR="00F44CCD">
        <w:rPr>
          <w:rFonts w:ascii="Arial" w:hAnsi="Arial" w:cs="Arial"/>
          <w:sz w:val="24"/>
          <w:szCs w:val="24"/>
          <w:lang w:val="en-US"/>
        </w:rPr>
        <w:t xml:space="preserve"> involved in the ECD </w:t>
      </w:r>
      <w:r w:rsidR="00F44CCD" w:rsidRPr="005F671C">
        <w:rPr>
          <w:rFonts w:ascii="Arial" w:hAnsi="Arial" w:cs="Arial"/>
          <w:sz w:val="24"/>
          <w:szCs w:val="24"/>
          <w:lang w:val="en-US"/>
        </w:rPr>
        <w:t>sector</w:t>
      </w:r>
      <w:r w:rsidR="00921771" w:rsidRPr="005F671C">
        <w:rPr>
          <w:rFonts w:ascii="Arial" w:hAnsi="Arial" w:cs="Arial"/>
          <w:sz w:val="24"/>
          <w:szCs w:val="24"/>
          <w:lang w:val="en-US"/>
        </w:rPr>
        <w:t xml:space="preserve"> –</w:t>
      </w:r>
      <w:r w:rsidR="007B7726" w:rsidRPr="005F671C">
        <w:rPr>
          <w:rFonts w:ascii="Arial" w:hAnsi="Arial" w:cs="Arial"/>
          <w:sz w:val="24"/>
          <w:szCs w:val="24"/>
          <w:lang w:val="en-US"/>
        </w:rPr>
        <w:t xml:space="preserve"> the second to eighth respondents</w:t>
      </w:r>
      <w:r w:rsidR="00921771" w:rsidRPr="005F671C">
        <w:rPr>
          <w:rFonts w:ascii="Arial" w:hAnsi="Arial" w:cs="Arial"/>
          <w:sz w:val="24"/>
          <w:szCs w:val="24"/>
          <w:lang w:val="en-US"/>
        </w:rPr>
        <w:t xml:space="preserve"> –</w:t>
      </w:r>
      <w:r w:rsidR="00F44CCD">
        <w:rPr>
          <w:rFonts w:ascii="Arial" w:hAnsi="Arial" w:cs="Arial"/>
          <w:sz w:val="24"/>
          <w:szCs w:val="24"/>
          <w:lang w:val="en-US"/>
        </w:rPr>
        <w:t xml:space="preserve"> brought a wide-ranging urgent application for </w:t>
      </w:r>
      <w:r w:rsidR="004D12BE">
        <w:rPr>
          <w:rFonts w:ascii="Arial" w:hAnsi="Arial" w:cs="Arial"/>
          <w:sz w:val="24"/>
          <w:szCs w:val="24"/>
          <w:lang w:val="en-US"/>
        </w:rPr>
        <w:t>declaration</w:t>
      </w:r>
      <w:r w:rsidR="00340198">
        <w:rPr>
          <w:rFonts w:ascii="Arial" w:hAnsi="Arial" w:cs="Arial"/>
          <w:sz w:val="24"/>
          <w:szCs w:val="24"/>
          <w:lang w:val="en-US"/>
        </w:rPr>
        <w:t>s</w:t>
      </w:r>
      <w:r w:rsidR="004D12BE">
        <w:rPr>
          <w:rFonts w:ascii="Arial" w:hAnsi="Arial" w:cs="Arial"/>
          <w:sz w:val="24"/>
          <w:szCs w:val="24"/>
          <w:lang w:val="en-US"/>
        </w:rPr>
        <w:t xml:space="preserve"> of invalidity of various </w:t>
      </w:r>
      <w:r w:rsidR="004D12BE">
        <w:rPr>
          <w:rFonts w:ascii="Arial" w:hAnsi="Arial" w:cs="Arial"/>
          <w:sz w:val="24"/>
          <w:szCs w:val="24"/>
          <w:lang w:val="en-US"/>
        </w:rPr>
        <w:lastRenderedPageBreak/>
        <w:t>directions issued by the Minister</w:t>
      </w:r>
      <w:r w:rsidR="00340198">
        <w:rPr>
          <w:rFonts w:ascii="Arial" w:hAnsi="Arial" w:cs="Arial"/>
          <w:sz w:val="24"/>
          <w:szCs w:val="24"/>
          <w:lang w:val="en-US"/>
        </w:rPr>
        <w:t>;</w:t>
      </w:r>
      <w:r w:rsidR="004D12BE">
        <w:rPr>
          <w:rFonts w:ascii="Arial" w:hAnsi="Arial" w:cs="Arial"/>
          <w:sz w:val="24"/>
          <w:szCs w:val="24"/>
          <w:lang w:val="en-US"/>
        </w:rPr>
        <w:t xml:space="preserve"> what was called a ‘Declaration of Clarification’ in relation to a judgment handed down by the high court</w:t>
      </w:r>
      <w:r w:rsidR="00340198">
        <w:rPr>
          <w:rFonts w:ascii="Arial" w:hAnsi="Arial" w:cs="Arial"/>
          <w:sz w:val="24"/>
          <w:szCs w:val="24"/>
          <w:lang w:val="en-US"/>
        </w:rPr>
        <w:t>;</w:t>
      </w:r>
      <w:r w:rsidR="004D12BE">
        <w:rPr>
          <w:rFonts w:ascii="Arial" w:hAnsi="Arial" w:cs="Arial"/>
          <w:sz w:val="24"/>
          <w:szCs w:val="24"/>
          <w:lang w:val="en-US"/>
        </w:rPr>
        <w:t xml:space="preserve"> and a structural interdict premised on the Minister and MECs having acted unconstitutionally in relation to the payment of subsidies to ECDs during the lockdown. </w:t>
      </w:r>
    </w:p>
    <w:p w14:paraId="398A40F0" w14:textId="77777777" w:rsidR="004D12BE" w:rsidRDefault="004D12BE" w:rsidP="001A0C4D">
      <w:pPr>
        <w:spacing w:after="0" w:line="360" w:lineRule="auto"/>
        <w:jc w:val="both"/>
        <w:rPr>
          <w:rFonts w:ascii="Arial" w:hAnsi="Arial" w:cs="Arial"/>
          <w:sz w:val="24"/>
          <w:szCs w:val="24"/>
          <w:lang w:val="en-US"/>
        </w:rPr>
      </w:pPr>
    </w:p>
    <w:p w14:paraId="65E0A2C2" w14:textId="352D380E" w:rsidR="00625CE4" w:rsidRDefault="005F71A3" w:rsidP="001A0C4D">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4D12BE">
        <w:rPr>
          <w:rFonts w:ascii="Arial" w:hAnsi="Arial" w:cs="Arial"/>
          <w:sz w:val="24"/>
          <w:szCs w:val="24"/>
          <w:lang w:val="en-US"/>
        </w:rPr>
        <w:t>T</w:t>
      </w:r>
      <w:r w:rsidR="00F44CCD">
        <w:rPr>
          <w:rFonts w:ascii="Arial" w:hAnsi="Arial" w:cs="Arial"/>
          <w:sz w:val="24"/>
          <w:szCs w:val="24"/>
          <w:lang w:val="en-US"/>
        </w:rPr>
        <w:t>he court below</w:t>
      </w:r>
      <w:r w:rsidR="004D12BE">
        <w:rPr>
          <w:rFonts w:ascii="Arial" w:hAnsi="Arial" w:cs="Arial"/>
          <w:sz w:val="24"/>
          <w:szCs w:val="24"/>
          <w:lang w:val="en-US"/>
        </w:rPr>
        <w:t xml:space="preserve"> found that much of what had been applied for was moot</w:t>
      </w:r>
      <w:r w:rsidR="00625CE4">
        <w:rPr>
          <w:rFonts w:ascii="Arial" w:hAnsi="Arial" w:cs="Arial"/>
          <w:sz w:val="24"/>
          <w:szCs w:val="24"/>
          <w:lang w:val="en-US"/>
        </w:rPr>
        <w:t xml:space="preserve">, </w:t>
      </w:r>
      <w:r w:rsidR="004D12BE">
        <w:rPr>
          <w:rFonts w:ascii="Arial" w:hAnsi="Arial" w:cs="Arial"/>
          <w:sz w:val="24"/>
          <w:szCs w:val="24"/>
          <w:lang w:val="en-US"/>
        </w:rPr>
        <w:t>a</w:t>
      </w:r>
      <w:r w:rsidR="00625CE4">
        <w:rPr>
          <w:rFonts w:ascii="Arial" w:hAnsi="Arial" w:cs="Arial"/>
          <w:sz w:val="24"/>
          <w:szCs w:val="24"/>
          <w:lang w:val="en-US"/>
        </w:rPr>
        <w:t>nd it declined to engage with those issues</w:t>
      </w:r>
      <w:r>
        <w:rPr>
          <w:rFonts w:ascii="Arial" w:hAnsi="Arial" w:cs="Arial"/>
          <w:sz w:val="24"/>
          <w:szCs w:val="24"/>
          <w:lang w:val="en-US"/>
        </w:rPr>
        <w:t>, and some of the relief claimed was abandoned</w:t>
      </w:r>
      <w:r w:rsidR="00625CE4">
        <w:rPr>
          <w:rFonts w:ascii="Arial" w:hAnsi="Arial" w:cs="Arial"/>
          <w:sz w:val="24"/>
          <w:szCs w:val="24"/>
          <w:lang w:val="en-US"/>
        </w:rPr>
        <w:t xml:space="preserve">. It found, however, that the Minister and the MECs had violated </w:t>
      </w:r>
      <w:r w:rsidR="004D12BE">
        <w:rPr>
          <w:rFonts w:ascii="Arial" w:hAnsi="Arial" w:cs="Arial"/>
          <w:sz w:val="24"/>
          <w:szCs w:val="24"/>
          <w:lang w:val="en-US"/>
        </w:rPr>
        <w:t>the</w:t>
      </w:r>
      <w:r w:rsidR="00625CE4">
        <w:rPr>
          <w:rFonts w:ascii="Arial" w:hAnsi="Arial" w:cs="Arial"/>
          <w:sz w:val="24"/>
          <w:szCs w:val="24"/>
          <w:lang w:val="en-US"/>
        </w:rPr>
        <w:t xml:space="preserve"> Constitution in relation to the payment of subsidies to ECDs during the lockdown and ordered them to rectify the situation. The court below decided against granting a structural interdict as requested.</w:t>
      </w:r>
      <w:r w:rsidR="004D12BE">
        <w:rPr>
          <w:rFonts w:ascii="Arial" w:hAnsi="Arial" w:cs="Arial"/>
          <w:sz w:val="24"/>
          <w:szCs w:val="24"/>
          <w:lang w:val="en-US"/>
        </w:rPr>
        <w:t xml:space="preserve"> </w:t>
      </w:r>
      <w:r w:rsidR="00625CE4">
        <w:rPr>
          <w:rFonts w:ascii="Arial" w:hAnsi="Arial" w:cs="Arial"/>
          <w:sz w:val="24"/>
          <w:szCs w:val="24"/>
          <w:lang w:val="en-US"/>
        </w:rPr>
        <w:t>Two appeals – one in which the Minister is the appellant, and one in which the MECs are the appellants – are before us with the leave of the court below.</w:t>
      </w:r>
      <w:r w:rsidR="00340198">
        <w:rPr>
          <w:rFonts w:ascii="Arial" w:hAnsi="Arial" w:cs="Arial"/>
          <w:sz w:val="24"/>
          <w:szCs w:val="24"/>
          <w:lang w:val="en-US"/>
        </w:rPr>
        <w:t xml:space="preserve"> They constitute, for all intents and purposes, one appeal and I shall treat them in that way.</w:t>
      </w:r>
    </w:p>
    <w:p w14:paraId="2BB362BC" w14:textId="1BDF8E4E" w:rsidR="00625CE4" w:rsidRDefault="00625CE4" w:rsidP="001A0C4D">
      <w:pPr>
        <w:spacing w:after="0" w:line="360" w:lineRule="auto"/>
        <w:jc w:val="both"/>
        <w:rPr>
          <w:rFonts w:ascii="Arial" w:hAnsi="Arial" w:cs="Arial"/>
          <w:sz w:val="24"/>
          <w:szCs w:val="24"/>
          <w:lang w:val="en-US"/>
        </w:rPr>
      </w:pPr>
    </w:p>
    <w:p w14:paraId="37BB544B" w14:textId="2F367E4D" w:rsidR="006E2979" w:rsidRDefault="005F71A3" w:rsidP="001A0C4D">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AB50B9">
        <w:rPr>
          <w:rFonts w:ascii="Arial" w:hAnsi="Arial" w:cs="Arial"/>
          <w:sz w:val="24"/>
          <w:szCs w:val="24"/>
          <w:lang w:val="en-US"/>
        </w:rPr>
        <w:t>As, by the time the appeals were to be heard, the state of disaster had been lifted</w:t>
      </w:r>
      <w:r w:rsidR="000B6F30">
        <w:rPr>
          <w:rFonts w:ascii="Arial" w:hAnsi="Arial" w:cs="Arial"/>
          <w:sz w:val="24"/>
          <w:szCs w:val="24"/>
          <w:lang w:val="en-US"/>
        </w:rPr>
        <w:t xml:space="preserve"> and the relief related to the 202</w:t>
      </w:r>
      <w:r w:rsidR="00A81EA8">
        <w:rPr>
          <w:rFonts w:ascii="Arial" w:hAnsi="Arial" w:cs="Arial"/>
          <w:sz w:val="24"/>
          <w:szCs w:val="24"/>
          <w:lang w:val="en-US"/>
        </w:rPr>
        <w:t>0</w:t>
      </w:r>
      <w:r w:rsidR="000B6F30">
        <w:rPr>
          <w:rFonts w:ascii="Arial" w:hAnsi="Arial" w:cs="Arial"/>
          <w:sz w:val="24"/>
          <w:szCs w:val="24"/>
          <w:lang w:val="en-US"/>
        </w:rPr>
        <w:t>/202</w:t>
      </w:r>
      <w:r w:rsidR="00A81EA8">
        <w:rPr>
          <w:rFonts w:ascii="Arial" w:hAnsi="Arial" w:cs="Arial"/>
          <w:sz w:val="24"/>
          <w:szCs w:val="24"/>
          <w:lang w:val="en-US"/>
        </w:rPr>
        <w:t>1</w:t>
      </w:r>
      <w:r w:rsidR="000B6F30">
        <w:rPr>
          <w:rFonts w:ascii="Arial" w:hAnsi="Arial" w:cs="Arial"/>
          <w:sz w:val="24"/>
          <w:szCs w:val="24"/>
          <w:lang w:val="en-US"/>
        </w:rPr>
        <w:t xml:space="preserve"> financial year, which had passed</w:t>
      </w:r>
      <w:r w:rsidR="000B6F30" w:rsidRPr="005F671C">
        <w:rPr>
          <w:rFonts w:ascii="Arial" w:hAnsi="Arial" w:cs="Arial"/>
          <w:sz w:val="24"/>
          <w:szCs w:val="24"/>
          <w:lang w:val="en-US"/>
        </w:rPr>
        <w:t>,</w:t>
      </w:r>
      <w:r w:rsidR="00AB50B9" w:rsidRPr="005F671C">
        <w:rPr>
          <w:rFonts w:ascii="Arial" w:hAnsi="Arial" w:cs="Arial"/>
          <w:sz w:val="24"/>
          <w:szCs w:val="24"/>
          <w:lang w:val="en-US"/>
        </w:rPr>
        <w:t xml:space="preserve"> the parties </w:t>
      </w:r>
      <w:r w:rsidR="00921771" w:rsidRPr="005F671C">
        <w:rPr>
          <w:rFonts w:ascii="Arial" w:hAnsi="Arial" w:cs="Arial"/>
          <w:sz w:val="24"/>
          <w:szCs w:val="24"/>
          <w:lang w:val="en-US"/>
        </w:rPr>
        <w:t>were</w:t>
      </w:r>
      <w:r w:rsidR="00AB50B9" w:rsidRPr="005F671C">
        <w:rPr>
          <w:rFonts w:ascii="Arial" w:hAnsi="Arial" w:cs="Arial"/>
          <w:sz w:val="24"/>
          <w:szCs w:val="24"/>
          <w:lang w:val="en-US"/>
        </w:rPr>
        <w:t xml:space="preserve"> request</w:t>
      </w:r>
      <w:r w:rsidR="00921771" w:rsidRPr="005F671C">
        <w:rPr>
          <w:rFonts w:ascii="Arial" w:hAnsi="Arial" w:cs="Arial"/>
          <w:sz w:val="24"/>
          <w:szCs w:val="24"/>
          <w:lang w:val="en-US"/>
        </w:rPr>
        <w:t xml:space="preserve">ed </w:t>
      </w:r>
      <w:r w:rsidR="00AB50B9" w:rsidRPr="005F671C">
        <w:rPr>
          <w:rFonts w:ascii="Arial" w:hAnsi="Arial" w:cs="Arial"/>
          <w:sz w:val="24"/>
          <w:szCs w:val="24"/>
          <w:lang w:val="en-US"/>
        </w:rPr>
        <w:t>t</w:t>
      </w:r>
      <w:r w:rsidR="00921771" w:rsidRPr="005F671C">
        <w:rPr>
          <w:rFonts w:ascii="Arial" w:hAnsi="Arial" w:cs="Arial"/>
          <w:sz w:val="24"/>
          <w:szCs w:val="24"/>
          <w:lang w:val="en-US"/>
        </w:rPr>
        <w:t>o</w:t>
      </w:r>
      <w:r w:rsidR="00AB50B9" w:rsidRPr="005F671C">
        <w:rPr>
          <w:rFonts w:ascii="Arial" w:hAnsi="Arial" w:cs="Arial"/>
          <w:sz w:val="24"/>
          <w:szCs w:val="24"/>
          <w:lang w:val="en-US"/>
        </w:rPr>
        <w:t xml:space="preserve"> file heads of argument on whether the appeal w</w:t>
      </w:r>
      <w:r w:rsidR="00340198" w:rsidRPr="005F671C">
        <w:rPr>
          <w:rFonts w:ascii="Arial" w:hAnsi="Arial" w:cs="Arial"/>
          <w:sz w:val="24"/>
          <w:szCs w:val="24"/>
          <w:lang w:val="en-US"/>
        </w:rPr>
        <w:t>as</w:t>
      </w:r>
      <w:r w:rsidR="00AB50B9" w:rsidRPr="005F671C">
        <w:rPr>
          <w:rFonts w:ascii="Arial" w:hAnsi="Arial" w:cs="Arial"/>
          <w:sz w:val="24"/>
          <w:szCs w:val="24"/>
          <w:lang w:val="en-US"/>
        </w:rPr>
        <w:t xml:space="preserve"> moot</w:t>
      </w:r>
      <w:r w:rsidR="00AB50B9">
        <w:rPr>
          <w:rFonts w:ascii="Arial" w:hAnsi="Arial" w:cs="Arial"/>
          <w:sz w:val="24"/>
          <w:szCs w:val="24"/>
          <w:lang w:val="en-US"/>
        </w:rPr>
        <w:t>. The Minister and the MECs conceded that the appeal w</w:t>
      </w:r>
      <w:r w:rsidR="00340198">
        <w:rPr>
          <w:rFonts w:ascii="Arial" w:hAnsi="Arial" w:cs="Arial"/>
          <w:sz w:val="24"/>
          <w:szCs w:val="24"/>
          <w:lang w:val="en-US"/>
        </w:rPr>
        <w:t>as indeed</w:t>
      </w:r>
      <w:r w:rsidR="00AB50B9">
        <w:rPr>
          <w:rFonts w:ascii="Arial" w:hAnsi="Arial" w:cs="Arial"/>
          <w:sz w:val="24"/>
          <w:szCs w:val="24"/>
          <w:lang w:val="en-US"/>
        </w:rPr>
        <w:t xml:space="preserve"> moot but wanted the attorney and client costs orders made against them by the court below altered to party and party costs orders. Strangely, despite being faced with</w:t>
      </w:r>
      <w:r w:rsidR="00381944">
        <w:rPr>
          <w:rFonts w:ascii="Arial" w:hAnsi="Arial" w:cs="Arial"/>
          <w:sz w:val="24"/>
          <w:szCs w:val="24"/>
          <w:lang w:val="en-US"/>
        </w:rPr>
        <w:t xml:space="preserve"> the capitulation of the Minister and the MECs, and certain</w:t>
      </w:r>
      <w:r w:rsidR="00AB50B9">
        <w:rPr>
          <w:rFonts w:ascii="Arial" w:hAnsi="Arial" w:cs="Arial"/>
          <w:sz w:val="24"/>
          <w:szCs w:val="24"/>
          <w:lang w:val="en-US"/>
        </w:rPr>
        <w:t xml:space="preserve"> victory in the appeal, the respondents a</w:t>
      </w:r>
      <w:r w:rsidR="00381944">
        <w:rPr>
          <w:rFonts w:ascii="Arial" w:hAnsi="Arial" w:cs="Arial"/>
          <w:sz w:val="24"/>
          <w:szCs w:val="24"/>
          <w:lang w:val="en-US"/>
        </w:rPr>
        <w:t>sserted that the appeal w</w:t>
      </w:r>
      <w:r w:rsidR="00340198">
        <w:rPr>
          <w:rFonts w:ascii="Arial" w:hAnsi="Arial" w:cs="Arial"/>
          <w:sz w:val="24"/>
          <w:szCs w:val="24"/>
          <w:lang w:val="en-US"/>
        </w:rPr>
        <w:t>as</w:t>
      </w:r>
      <w:r w:rsidR="00381944">
        <w:rPr>
          <w:rFonts w:ascii="Arial" w:hAnsi="Arial" w:cs="Arial"/>
          <w:sz w:val="24"/>
          <w:szCs w:val="24"/>
          <w:lang w:val="en-US"/>
        </w:rPr>
        <w:t xml:space="preserve"> not moot and ought to be argued.</w:t>
      </w:r>
      <w:r w:rsidR="00340198">
        <w:rPr>
          <w:rFonts w:ascii="Arial" w:hAnsi="Arial" w:cs="Arial"/>
          <w:sz w:val="24"/>
          <w:szCs w:val="24"/>
          <w:lang w:val="en-US"/>
        </w:rPr>
        <w:t xml:space="preserve"> They argued that an obligation to pay is a continuous obligation</w:t>
      </w:r>
      <w:r w:rsidR="007F3AAA">
        <w:rPr>
          <w:rFonts w:ascii="Arial" w:hAnsi="Arial" w:cs="Arial"/>
          <w:sz w:val="24"/>
          <w:szCs w:val="24"/>
          <w:lang w:val="en-US"/>
        </w:rPr>
        <w:t xml:space="preserve"> and that a constitutional obligation to pay could not be rendered moot by the lifting of the state of disaster.</w:t>
      </w:r>
      <w:r w:rsidR="00381944">
        <w:rPr>
          <w:rFonts w:ascii="Arial" w:hAnsi="Arial" w:cs="Arial"/>
          <w:sz w:val="24"/>
          <w:szCs w:val="24"/>
          <w:lang w:val="en-US"/>
        </w:rPr>
        <w:t xml:space="preserve"> Faced with this, the Minister and MECs ran down the white flag, withdrew their concession as to mootness and prepared to argue the merits of the appeal.</w:t>
      </w:r>
      <w:r w:rsidR="006E2979">
        <w:rPr>
          <w:rFonts w:ascii="Arial" w:hAnsi="Arial" w:cs="Arial"/>
          <w:sz w:val="24"/>
          <w:szCs w:val="24"/>
          <w:lang w:val="en-US"/>
        </w:rPr>
        <w:t xml:space="preserve"> In the light of </w:t>
      </w:r>
      <w:r w:rsidR="007F3AAA">
        <w:rPr>
          <w:rFonts w:ascii="Arial" w:hAnsi="Arial" w:cs="Arial"/>
          <w:sz w:val="24"/>
          <w:szCs w:val="24"/>
          <w:lang w:val="en-US"/>
        </w:rPr>
        <w:t>the position adopted by the respondents</w:t>
      </w:r>
      <w:r w:rsidR="006E2979">
        <w:rPr>
          <w:rFonts w:ascii="Arial" w:hAnsi="Arial" w:cs="Arial"/>
          <w:sz w:val="24"/>
          <w:szCs w:val="24"/>
          <w:lang w:val="en-US"/>
        </w:rPr>
        <w:t xml:space="preserve"> and the fact that the punitive costs order was a live issue, we </w:t>
      </w:r>
      <w:r w:rsidR="007F3AAA">
        <w:rPr>
          <w:rFonts w:ascii="Arial" w:hAnsi="Arial" w:cs="Arial"/>
          <w:sz w:val="24"/>
          <w:szCs w:val="24"/>
          <w:lang w:val="en-US"/>
        </w:rPr>
        <w:t xml:space="preserve">decided </w:t>
      </w:r>
      <w:r w:rsidR="006E2979">
        <w:rPr>
          <w:rFonts w:ascii="Arial" w:hAnsi="Arial" w:cs="Arial"/>
          <w:sz w:val="24"/>
          <w:szCs w:val="24"/>
          <w:lang w:val="en-US"/>
        </w:rPr>
        <w:t>to determine the appeal on the merits.</w:t>
      </w:r>
    </w:p>
    <w:p w14:paraId="4A504659" w14:textId="04A78E84" w:rsidR="005C0113" w:rsidRDefault="005C0113" w:rsidP="001A0C4D">
      <w:pPr>
        <w:spacing w:after="0" w:line="360" w:lineRule="auto"/>
        <w:jc w:val="both"/>
        <w:rPr>
          <w:rFonts w:ascii="Arial" w:hAnsi="Arial" w:cs="Arial"/>
          <w:sz w:val="24"/>
          <w:szCs w:val="24"/>
          <w:lang w:val="en-US"/>
        </w:rPr>
      </w:pPr>
    </w:p>
    <w:p w14:paraId="2B130AB0" w14:textId="52DFCFFD" w:rsidR="005C0113" w:rsidRDefault="005C0113" w:rsidP="001A0C4D">
      <w:pPr>
        <w:spacing w:after="0" w:line="360" w:lineRule="auto"/>
        <w:jc w:val="both"/>
        <w:rPr>
          <w:rFonts w:ascii="Arial" w:hAnsi="Arial" w:cs="Arial"/>
          <w:sz w:val="24"/>
          <w:szCs w:val="24"/>
          <w:lang w:val="en-US"/>
        </w:rPr>
      </w:pPr>
      <w:r>
        <w:rPr>
          <w:rFonts w:ascii="Arial" w:hAnsi="Arial" w:cs="Arial"/>
          <w:b/>
          <w:bCs/>
          <w:sz w:val="24"/>
          <w:szCs w:val="24"/>
          <w:lang w:val="en-US"/>
        </w:rPr>
        <w:t>The relief claimed and granted</w:t>
      </w:r>
    </w:p>
    <w:p w14:paraId="6F3B0116" w14:textId="444D7CDD" w:rsidR="005C0113" w:rsidRDefault="005C0113" w:rsidP="001A0C4D">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It is necessary at the outset to set out the relief that was claimed by the respondents</w:t>
      </w:r>
      <w:r w:rsidR="009B1DCA">
        <w:rPr>
          <w:rFonts w:ascii="Arial" w:hAnsi="Arial" w:cs="Arial"/>
          <w:sz w:val="24"/>
          <w:szCs w:val="24"/>
          <w:lang w:val="en-US"/>
        </w:rPr>
        <w:t xml:space="preserve"> and what was eventually granted by the court below. In so doing I confine myself to the relief that had not been</w:t>
      </w:r>
      <w:r w:rsidR="007F3AAA">
        <w:rPr>
          <w:rFonts w:ascii="Arial" w:hAnsi="Arial" w:cs="Arial"/>
          <w:sz w:val="24"/>
          <w:szCs w:val="24"/>
          <w:lang w:val="en-US"/>
        </w:rPr>
        <w:t xml:space="preserve"> found to be moot or had been</w:t>
      </w:r>
      <w:r w:rsidR="009B1DCA">
        <w:rPr>
          <w:rFonts w:ascii="Arial" w:hAnsi="Arial" w:cs="Arial"/>
          <w:sz w:val="24"/>
          <w:szCs w:val="24"/>
          <w:lang w:val="en-US"/>
        </w:rPr>
        <w:t xml:space="preserve"> abandoned.</w:t>
      </w:r>
    </w:p>
    <w:p w14:paraId="55D7AA46" w14:textId="4DAC21A9" w:rsidR="009B1DCA" w:rsidRDefault="009B1DCA" w:rsidP="001A0C4D">
      <w:pPr>
        <w:spacing w:after="0" w:line="360" w:lineRule="auto"/>
        <w:jc w:val="both"/>
        <w:rPr>
          <w:rFonts w:ascii="Arial" w:hAnsi="Arial" w:cs="Arial"/>
          <w:sz w:val="24"/>
          <w:szCs w:val="24"/>
          <w:lang w:val="en-US"/>
        </w:rPr>
      </w:pPr>
    </w:p>
    <w:p w14:paraId="04406F97" w14:textId="25CAE6C9" w:rsidR="009B1DCA" w:rsidRDefault="009B1DCA" w:rsidP="001A0C4D">
      <w:pPr>
        <w:spacing w:after="0"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residual relief that was claimed by the respondents was described by them in the notice of motion as a structural interdict. The essence of th</w:t>
      </w:r>
      <w:r w:rsidR="00116F7F">
        <w:rPr>
          <w:rFonts w:ascii="Arial" w:hAnsi="Arial" w:cs="Arial"/>
          <w:sz w:val="24"/>
          <w:szCs w:val="24"/>
          <w:lang w:val="en-US"/>
        </w:rPr>
        <w:t>at</w:t>
      </w:r>
      <w:r>
        <w:rPr>
          <w:rFonts w:ascii="Arial" w:hAnsi="Arial" w:cs="Arial"/>
          <w:sz w:val="24"/>
          <w:szCs w:val="24"/>
          <w:lang w:val="en-US"/>
        </w:rPr>
        <w:t xml:space="preserve"> relief consists of a declarator of a general nature and essentially similar orders in respect of the Minister, on the one hand, and the MECs, on the other.</w:t>
      </w:r>
    </w:p>
    <w:p w14:paraId="6FEE2E2B" w14:textId="77777777" w:rsidR="009B1DCA" w:rsidRDefault="009B1DCA" w:rsidP="001A0C4D">
      <w:pPr>
        <w:spacing w:after="0" w:line="360" w:lineRule="auto"/>
        <w:jc w:val="both"/>
        <w:rPr>
          <w:rFonts w:ascii="Arial" w:hAnsi="Arial" w:cs="Arial"/>
          <w:sz w:val="24"/>
          <w:szCs w:val="24"/>
          <w:lang w:val="en-US"/>
        </w:rPr>
      </w:pPr>
    </w:p>
    <w:p w14:paraId="0F2A3856" w14:textId="78EBE7D7" w:rsidR="004A6A41" w:rsidRDefault="009B1DCA" w:rsidP="001A0C4D">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In the first place a declarator was sought</w:t>
      </w:r>
      <w:r w:rsidR="00D37D17">
        <w:rPr>
          <w:rFonts w:ascii="Arial" w:hAnsi="Arial" w:cs="Arial"/>
          <w:sz w:val="24"/>
          <w:szCs w:val="24"/>
          <w:lang w:val="en-US"/>
        </w:rPr>
        <w:t xml:space="preserve"> to the effect that ‘all approved institutions providing early childhood development and partial care services (hereafter jointly referred to as “</w:t>
      </w:r>
      <w:r w:rsidR="00D37D17">
        <w:rPr>
          <w:rFonts w:ascii="Arial" w:hAnsi="Arial" w:cs="Arial"/>
          <w:i/>
          <w:iCs/>
          <w:sz w:val="24"/>
          <w:szCs w:val="24"/>
          <w:lang w:val="en-US"/>
        </w:rPr>
        <w:t>approved ECDs</w:t>
      </w:r>
      <w:r w:rsidR="00D37D17">
        <w:rPr>
          <w:rFonts w:ascii="Arial" w:hAnsi="Arial" w:cs="Arial"/>
          <w:sz w:val="24"/>
          <w:szCs w:val="24"/>
          <w:lang w:val="en-US"/>
        </w:rPr>
        <w:t>”), regardless of whether or not they have resumed the provision of such services, are entitled to receive all subsidies, inclusive of all three components thereof, namely the nutritional, stimulation and administrative components (hereafter “</w:t>
      </w:r>
      <w:r w:rsidR="00D37D17">
        <w:rPr>
          <w:rFonts w:ascii="Arial" w:hAnsi="Arial" w:cs="Arial"/>
          <w:i/>
          <w:iCs/>
          <w:sz w:val="24"/>
          <w:szCs w:val="24"/>
          <w:lang w:val="en-US"/>
        </w:rPr>
        <w:t>the subsidies</w:t>
      </w:r>
      <w:r w:rsidR="00D37D17">
        <w:rPr>
          <w:rFonts w:ascii="Arial" w:hAnsi="Arial" w:cs="Arial"/>
          <w:sz w:val="24"/>
          <w:szCs w:val="24"/>
          <w:lang w:val="en-US"/>
        </w:rPr>
        <w:t>”) in accordance with the allocation process conducted in terms of the Division of Revenue Act, Act 4 of 2020 (“</w:t>
      </w:r>
      <w:r w:rsidR="00D37D17">
        <w:rPr>
          <w:rFonts w:ascii="Arial" w:hAnsi="Arial" w:cs="Arial"/>
          <w:i/>
          <w:iCs/>
          <w:sz w:val="24"/>
          <w:szCs w:val="24"/>
          <w:lang w:val="en-US"/>
        </w:rPr>
        <w:t>Division of Revenue Act</w:t>
      </w:r>
      <w:r w:rsidR="004A6A41">
        <w:rPr>
          <w:rFonts w:ascii="Arial" w:hAnsi="Arial" w:cs="Arial"/>
          <w:sz w:val="24"/>
          <w:szCs w:val="24"/>
          <w:lang w:val="en-US"/>
        </w:rPr>
        <w:t>”)’.</w:t>
      </w:r>
      <w:r w:rsidR="007F3AAA">
        <w:rPr>
          <w:rFonts w:ascii="Arial" w:hAnsi="Arial" w:cs="Arial"/>
          <w:sz w:val="24"/>
          <w:szCs w:val="24"/>
          <w:lang w:val="en-US"/>
        </w:rPr>
        <w:t xml:space="preserve"> I shall refer to this Act as ‘the DORA’.</w:t>
      </w:r>
    </w:p>
    <w:p w14:paraId="1DB3FDCF" w14:textId="77777777" w:rsidR="004A6A41" w:rsidRDefault="004A6A41" w:rsidP="001A0C4D">
      <w:pPr>
        <w:spacing w:after="0" w:line="360" w:lineRule="auto"/>
        <w:jc w:val="both"/>
        <w:rPr>
          <w:rFonts w:ascii="Arial" w:hAnsi="Arial" w:cs="Arial"/>
          <w:sz w:val="24"/>
          <w:szCs w:val="24"/>
          <w:lang w:val="en-US"/>
        </w:rPr>
      </w:pPr>
    </w:p>
    <w:p w14:paraId="2AE2A2D4" w14:textId="77777777" w:rsidR="00054AE1" w:rsidRDefault="004A6A41" w:rsidP="001A0C4D">
      <w:pPr>
        <w:spacing w:after="0"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A declarator was sought against the Minister to the effect that she was ‘under a constitutional and statutory duty to ensure that the subsidies are paid to approved ECDs to allow them to function so that they may provide nutrition and stimulation to infants and young vulnerable children, thereby promoting the rights of children to life, nutrition, social services, education and the enhancement of their development, whether they are attending qualifying ECD facilities or merely collecting food as a result of the COVID-19 pandemic’.</w:t>
      </w:r>
      <w:r w:rsidR="00054AE1">
        <w:rPr>
          <w:rFonts w:ascii="Arial" w:hAnsi="Arial" w:cs="Arial"/>
          <w:sz w:val="24"/>
          <w:szCs w:val="24"/>
          <w:lang w:val="en-US"/>
        </w:rPr>
        <w:t xml:space="preserve"> This prayer was followed immediately by one to declare that ‘the Minister is in breach of that duty’.</w:t>
      </w:r>
    </w:p>
    <w:p w14:paraId="711B0C80" w14:textId="77777777" w:rsidR="00054AE1" w:rsidRDefault="00054AE1" w:rsidP="001A0C4D">
      <w:pPr>
        <w:spacing w:after="0" w:line="360" w:lineRule="auto"/>
        <w:jc w:val="both"/>
        <w:rPr>
          <w:rFonts w:ascii="Arial" w:hAnsi="Arial" w:cs="Arial"/>
          <w:sz w:val="24"/>
          <w:szCs w:val="24"/>
          <w:lang w:val="en-US"/>
        </w:rPr>
      </w:pPr>
    </w:p>
    <w:p w14:paraId="009731F2" w14:textId="0D2A2CC1" w:rsidR="00D75D9A" w:rsidRDefault="00054AE1" w:rsidP="001A0C4D">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Then, an order was sought that directed the Minister to ‘ensure without delay that the subsidies are paid to approved ECDs to allow them to function so that they may provide nutrition and stimulation to infants and young vulnerable children, thereby promoting the rights of children to life, nutrition, social services</w:t>
      </w:r>
      <w:r w:rsidR="00D712ED">
        <w:rPr>
          <w:rFonts w:ascii="Arial" w:hAnsi="Arial" w:cs="Arial"/>
          <w:sz w:val="24"/>
          <w:szCs w:val="24"/>
          <w:lang w:val="en-US"/>
        </w:rPr>
        <w:t>, education and th</w:t>
      </w:r>
      <w:r w:rsidR="007F3AAA">
        <w:rPr>
          <w:rFonts w:ascii="Arial" w:hAnsi="Arial" w:cs="Arial"/>
          <w:sz w:val="24"/>
          <w:szCs w:val="24"/>
          <w:lang w:val="en-US"/>
        </w:rPr>
        <w:t>e</w:t>
      </w:r>
      <w:r w:rsidR="00D712ED">
        <w:rPr>
          <w:rFonts w:ascii="Arial" w:hAnsi="Arial" w:cs="Arial"/>
          <w:sz w:val="24"/>
          <w:szCs w:val="24"/>
          <w:lang w:val="en-US"/>
        </w:rPr>
        <w:t xml:space="preserve"> enhancement of their development, whether they are attending qualifying ECD facilities or merely collecting food as a result of the COVID-19 pandemic’.</w:t>
      </w:r>
    </w:p>
    <w:p w14:paraId="67CDA6D7" w14:textId="77777777" w:rsidR="00D75D9A" w:rsidRDefault="00D75D9A" w:rsidP="001A0C4D">
      <w:pPr>
        <w:spacing w:after="0" w:line="360" w:lineRule="auto"/>
        <w:jc w:val="both"/>
        <w:rPr>
          <w:rFonts w:ascii="Arial" w:hAnsi="Arial" w:cs="Arial"/>
          <w:sz w:val="24"/>
          <w:szCs w:val="24"/>
          <w:lang w:val="en-US"/>
        </w:rPr>
      </w:pPr>
    </w:p>
    <w:p w14:paraId="6DB6DA8D" w14:textId="1AB80565" w:rsidR="00590AA0" w:rsidRDefault="00D75D9A" w:rsidP="001A0C4D">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Declarators were sought against the MECs to the effect that they were ‘under a constitutional and statutory duty to implement the subsidies in their respective Provinces’ in the manner specified and that they were ‘in breach of that duty’. As with </w:t>
      </w:r>
      <w:r>
        <w:rPr>
          <w:rFonts w:ascii="Arial" w:hAnsi="Arial" w:cs="Arial"/>
          <w:sz w:val="24"/>
          <w:szCs w:val="24"/>
          <w:lang w:val="en-US"/>
        </w:rPr>
        <w:lastRenderedPageBreak/>
        <w:t>the Minister, orders were sought to direct the MECs to ‘forthwith</w:t>
      </w:r>
      <w:r w:rsidR="00590AA0">
        <w:rPr>
          <w:rFonts w:ascii="Arial" w:hAnsi="Arial" w:cs="Arial"/>
          <w:sz w:val="24"/>
          <w:szCs w:val="24"/>
          <w:lang w:val="en-US"/>
        </w:rPr>
        <w:t xml:space="preserve"> implement the subsidies in their respective Provinces’ in the manner specified by the respondents.</w:t>
      </w:r>
    </w:p>
    <w:p w14:paraId="4C2C64F9" w14:textId="77777777" w:rsidR="00590AA0" w:rsidRDefault="00590AA0" w:rsidP="001A0C4D">
      <w:pPr>
        <w:spacing w:after="0" w:line="360" w:lineRule="auto"/>
        <w:jc w:val="both"/>
        <w:rPr>
          <w:rFonts w:ascii="Arial" w:hAnsi="Arial" w:cs="Arial"/>
          <w:sz w:val="24"/>
          <w:szCs w:val="24"/>
          <w:lang w:val="en-US"/>
        </w:rPr>
      </w:pPr>
    </w:p>
    <w:p w14:paraId="5F942F41" w14:textId="63F1C9A0" w:rsidR="009B1DCA" w:rsidRDefault="00590AA0" w:rsidP="001A0C4D">
      <w:pPr>
        <w:spacing w:after="0"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A number of orders were then sought that would require the Minister to file with the court a ‘plan and programme which she will implement without delay so as to ensure that the MECs immediately carry out their duties referred to above’; and directing her to file reports every 15 days ‘setting out the steps she has taken to give effect to this order, when she took such steps, what the result of those steps have been</w:t>
      </w:r>
      <w:r w:rsidR="00A830B9">
        <w:rPr>
          <w:rFonts w:ascii="Arial" w:hAnsi="Arial" w:cs="Arial"/>
          <w:sz w:val="24"/>
          <w:szCs w:val="24"/>
          <w:lang w:val="en-US"/>
        </w:rPr>
        <w:t>, what further steps she will take, and when she will take each such step’. Essentially similar orders were sought against the MECs.</w:t>
      </w:r>
      <w:r w:rsidR="009B1DCA">
        <w:rPr>
          <w:rFonts w:ascii="Arial" w:hAnsi="Arial" w:cs="Arial"/>
          <w:sz w:val="24"/>
          <w:szCs w:val="24"/>
          <w:lang w:val="en-US"/>
        </w:rPr>
        <w:t xml:space="preserve"> </w:t>
      </w:r>
    </w:p>
    <w:p w14:paraId="4DD0EF11" w14:textId="63704740" w:rsidR="00A830B9" w:rsidRDefault="00A830B9" w:rsidP="001A0C4D">
      <w:pPr>
        <w:spacing w:after="0" w:line="360" w:lineRule="auto"/>
        <w:jc w:val="both"/>
        <w:rPr>
          <w:rFonts w:ascii="Arial" w:hAnsi="Arial" w:cs="Arial"/>
          <w:sz w:val="24"/>
          <w:szCs w:val="24"/>
          <w:lang w:val="en-US"/>
        </w:rPr>
      </w:pPr>
    </w:p>
    <w:p w14:paraId="656A478D" w14:textId="0520D719" w:rsidR="00A830B9" w:rsidRDefault="00A830B9" w:rsidP="001A0C4D">
      <w:pPr>
        <w:spacing w:after="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Finally, a costs order was sought. The respondents sought an order directing the Minister and the MECs to pay their costs on an attorney and client scale, with the Minister to pay de bonis propriis.</w:t>
      </w:r>
    </w:p>
    <w:p w14:paraId="57E893B3" w14:textId="10772E05" w:rsidR="00A830B9" w:rsidRDefault="00A830B9" w:rsidP="001A0C4D">
      <w:pPr>
        <w:spacing w:after="0" w:line="360" w:lineRule="auto"/>
        <w:jc w:val="both"/>
        <w:rPr>
          <w:rFonts w:ascii="Arial" w:hAnsi="Arial" w:cs="Arial"/>
          <w:sz w:val="24"/>
          <w:szCs w:val="24"/>
          <w:lang w:val="en-US"/>
        </w:rPr>
      </w:pPr>
    </w:p>
    <w:p w14:paraId="42F6DBD1" w14:textId="77777777" w:rsidR="00CA6859" w:rsidRDefault="00A830B9" w:rsidP="001A0C4D">
      <w:pPr>
        <w:spacing w:after="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 xml:space="preserve">To a large extent, the order granted by the court below followed the notice of motion, although it decided that ‘a structural interdict will not at present be necessary’. The first order made by the court below – the general declarator – differed from the order sought </w:t>
      </w:r>
      <w:r w:rsidR="00CA6859">
        <w:rPr>
          <w:rFonts w:ascii="Arial" w:hAnsi="Arial" w:cs="Arial"/>
          <w:sz w:val="24"/>
          <w:szCs w:val="24"/>
          <w:lang w:val="en-US"/>
        </w:rPr>
        <w:t>in the notice of motion</w:t>
      </w:r>
      <w:r>
        <w:rPr>
          <w:rFonts w:ascii="Arial" w:hAnsi="Arial" w:cs="Arial"/>
          <w:sz w:val="24"/>
          <w:szCs w:val="24"/>
          <w:lang w:val="en-US"/>
        </w:rPr>
        <w:t xml:space="preserve"> </w:t>
      </w:r>
      <w:r w:rsidR="00CA6859">
        <w:rPr>
          <w:rFonts w:ascii="Arial" w:hAnsi="Arial" w:cs="Arial"/>
          <w:sz w:val="24"/>
          <w:szCs w:val="24"/>
          <w:lang w:val="en-US"/>
        </w:rPr>
        <w:t>in two significant ways. First, in the notice of motion, the ECDs that were the subjects of the relief claimed were described as ‘approved institutions’ or ‘approved ECDs’, although what was meant by the word ‘approved’ was never explained or defined. The court below’s order identified the beneficiaries of the relief as ‘institutions providing early childhood development and partial care services that received funding through subsidies before 31 March 2020’.</w:t>
      </w:r>
    </w:p>
    <w:p w14:paraId="41E7B990" w14:textId="77777777" w:rsidR="00CA6859" w:rsidRDefault="00CA6859" w:rsidP="001A0C4D">
      <w:pPr>
        <w:spacing w:after="0" w:line="360" w:lineRule="auto"/>
        <w:jc w:val="both"/>
        <w:rPr>
          <w:rFonts w:ascii="Arial" w:hAnsi="Arial" w:cs="Arial"/>
          <w:sz w:val="24"/>
          <w:szCs w:val="24"/>
          <w:lang w:val="en-US"/>
        </w:rPr>
      </w:pPr>
    </w:p>
    <w:p w14:paraId="4003DAC2" w14:textId="77777777" w:rsidR="007C06D9" w:rsidRDefault="00CA6859" w:rsidP="001A0C4D">
      <w:pPr>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Secondly, the notice of motion sought a declarator that ‘approved ECDs</w:t>
      </w:r>
      <w:r w:rsidR="007C06D9">
        <w:rPr>
          <w:rFonts w:ascii="Arial" w:hAnsi="Arial" w:cs="Arial"/>
          <w:sz w:val="24"/>
          <w:szCs w:val="24"/>
          <w:lang w:val="en-US"/>
        </w:rPr>
        <w:t>’ were entitled to be paid subsidies ‘regardless of whether or not they have resumed the provision’ of services. The court below limited the right to be paid subsidies. Its declarator was to the effect that those ECDs that received subsidies before 31 March 2020 ‘shall continue to receive their funding in the 2020/2021 financial year for the duration of the lockdown’s alert levels . . . regardless of whether or not they have resumed the provision of such services’.</w:t>
      </w:r>
    </w:p>
    <w:p w14:paraId="73B596B3" w14:textId="77777777" w:rsidR="007C06D9" w:rsidRDefault="007C06D9" w:rsidP="001A0C4D">
      <w:pPr>
        <w:spacing w:after="0" w:line="360" w:lineRule="auto"/>
        <w:jc w:val="both"/>
        <w:rPr>
          <w:rFonts w:ascii="Arial" w:hAnsi="Arial" w:cs="Arial"/>
          <w:sz w:val="24"/>
          <w:szCs w:val="24"/>
          <w:lang w:val="en-US"/>
        </w:rPr>
      </w:pPr>
    </w:p>
    <w:p w14:paraId="2903DC8A" w14:textId="249B5FB0" w:rsidR="00E37CC9" w:rsidRDefault="007C06D9" w:rsidP="001A0C4D">
      <w:pPr>
        <w:spacing w:after="0" w:line="360" w:lineRule="auto"/>
        <w:jc w:val="both"/>
        <w:rPr>
          <w:rFonts w:ascii="Arial" w:hAnsi="Arial" w:cs="Arial"/>
          <w:sz w:val="24"/>
          <w:szCs w:val="24"/>
          <w:lang w:val="en-US"/>
        </w:rPr>
      </w:pPr>
      <w:r>
        <w:rPr>
          <w:rFonts w:ascii="Arial" w:hAnsi="Arial" w:cs="Arial"/>
          <w:sz w:val="24"/>
          <w:szCs w:val="24"/>
          <w:lang w:val="en-US"/>
        </w:rPr>
        <w:lastRenderedPageBreak/>
        <w:t>[15]</w:t>
      </w:r>
      <w:r>
        <w:rPr>
          <w:rFonts w:ascii="Arial" w:hAnsi="Arial" w:cs="Arial"/>
          <w:sz w:val="24"/>
          <w:szCs w:val="24"/>
          <w:lang w:val="en-US"/>
        </w:rPr>
        <w:tab/>
        <w:t xml:space="preserve">In the remaining orders, </w:t>
      </w:r>
      <w:r w:rsidRPr="005F671C">
        <w:rPr>
          <w:rFonts w:ascii="Arial" w:hAnsi="Arial" w:cs="Arial"/>
          <w:sz w:val="24"/>
          <w:szCs w:val="24"/>
          <w:lang w:val="en-US"/>
        </w:rPr>
        <w:t>sometimes</w:t>
      </w:r>
      <w:r w:rsidR="00921771" w:rsidRPr="005F671C">
        <w:rPr>
          <w:rFonts w:ascii="Arial" w:hAnsi="Arial" w:cs="Arial"/>
          <w:sz w:val="24"/>
          <w:szCs w:val="24"/>
          <w:lang w:val="en-US"/>
        </w:rPr>
        <w:t xml:space="preserve"> the</w:t>
      </w:r>
      <w:r w:rsidRPr="005F671C">
        <w:rPr>
          <w:rFonts w:ascii="Arial" w:hAnsi="Arial" w:cs="Arial"/>
          <w:sz w:val="24"/>
          <w:szCs w:val="24"/>
          <w:lang w:val="en-US"/>
        </w:rPr>
        <w:t xml:space="preserve"> refere</w:t>
      </w:r>
      <w:r w:rsidR="00921771" w:rsidRPr="005F671C">
        <w:rPr>
          <w:rFonts w:ascii="Arial" w:hAnsi="Arial" w:cs="Arial"/>
          <w:sz w:val="24"/>
          <w:szCs w:val="24"/>
          <w:lang w:val="en-US"/>
        </w:rPr>
        <w:t>nce is</w:t>
      </w:r>
      <w:r w:rsidRPr="005F671C">
        <w:rPr>
          <w:rFonts w:ascii="Arial" w:hAnsi="Arial" w:cs="Arial"/>
          <w:sz w:val="24"/>
          <w:szCs w:val="24"/>
          <w:lang w:val="en-US"/>
        </w:rPr>
        <w:t xml:space="preserve"> to</w:t>
      </w:r>
      <w:r>
        <w:rPr>
          <w:rFonts w:ascii="Arial" w:hAnsi="Arial" w:cs="Arial"/>
          <w:sz w:val="24"/>
          <w:szCs w:val="24"/>
          <w:lang w:val="en-US"/>
        </w:rPr>
        <w:t xml:space="preserve"> ‘approved ECDs’ and at other times they are simply referred to as </w:t>
      </w:r>
      <w:r w:rsidR="00E37CC9">
        <w:rPr>
          <w:rFonts w:ascii="Arial" w:hAnsi="Arial" w:cs="Arial"/>
          <w:sz w:val="24"/>
          <w:szCs w:val="24"/>
          <w:lang w:val="en-US"/>
        </w:rPr>
        <w:t>‘</w:t>
      </w:r>
      <w:r>
        <w:rPr>
          <w:rFonts w:ascii="Arial" w:hAnsi="Arial" w:cs="Arial"/>
          <w:sz w:val="24"/>
          <w:szCs w:val="24"/>
          <w:lang w:val="en-US"/>
        </w:rPr>
        <w:t>ECDs</w:t>
      </w:r>
      <w:r w:rsidR="00E37CC9">
        <w:rPr>
          <w:rFonts w:ascii="Arial" w:hAnsi="Arial" w:cs="Arial"/>
          <w:sz w:val="24"/>
          <w:szCs w:val="24"/>
          <w:lang w:val="en-US"/>
        </w:rPr>
        <w:t xml:space="preserve">’. It seems to me that the first order granted by the court below defined the ECDs that were the beneficiaries of the relief as those who had been receiving subsidies before 31 March 2020, and the references to ‘approved ECDs’ and ‘ECDs’ should be understood in this way. It is also noteworthy that both the notice of motion and the orders made by the court below contemplate the payment of the full subsidy to each ECD, made up of three components – nutrition, stimulation and </w:t>
      </w:r>
      <w:r w:rsidR="00E37CC9" w:rsidRPr="005F671C">
        <w:rPr>
          <w:rFonts w:ascii="Arial" w:hAnsi="Arial" w:cs="Arial"/>
          <w:sz w:val="24"/>
          <w:szCs w:val="24"/>
          <w:lang w:val="en-US"/>
        </w:rPr>
        <w:t>administrative.</w:t>
      </w:r>
      <w:r w:rsidR="00DA0C00">
        <w:rPr>
          <w:rFonts w:ascii="Arial" w:hAnsi="Arial" w:cs="Arial"/>
          <w:sz w:val="24"/>
          <w:szCs w:val="24"/>
          <w:lang w:val="en-US"/>
        </w:rPr>
        <w:t xml:space="preserve"> The administrative component includes salaries.</w:t>
      </w:r>
    </w:p>
    <w:p w14:paraId="21106261" w14:textId="77777777" w:rsidR="00E37CC9" w:rsidRDefault="00E37CC9" w:rsidP="001A0C4D">
      <w:pPr>
        <w:spacing w:after="0" w:line="360" w:lineRule="auto"/>
        <w:jc w:val="both"/>
        <w:rPr>
          <w:rFonts w:ascii="Arial" w:hAnsi="Arial" w:cs="Arial"/>
          <w:sz w:val="24"/>
          <w:szCs w:val="24"/>
          <w:lang w:val="en-US"/>
        </w:rPr>
      </w:pPr>
    </w:p>
    <w:p w14:paraId="47256D3B" w14:textId="5052F6EF" w:rsidR="00A830B9" w:rsidRPr="005C0113" w:rsidRDefault="00E37CC9" w:rsidP="001A0C4D">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 xml:space="preserve">As to the costs order, the most obvious difference between what was sought in the notice of motion and what was granted by the court below is that </w:t>
      </w:r>
      <w:r w:rsidR="00332440">
        <w:rPr>
          <w:rFonts w:ascii="Arial" w:hAnsi="Arial" w:cs="Arial"/>
          <w:sz w:val="24"/>
          <w:szCs w:val="24"/>
          <w:lang w:val="en-US"/>
        </w:rPr>
        <w:t>the costs order did not direct the Minister to pay</w:t>
      </w:r>
      <w:r w:rsidR="00DA0C00">
        <w:rPr>
          <w:rFonts w:ascii="Arial" w:hAnsi="Arial" w:cs="Arial"/>
          <w:sz w:val="24"/>
          <w:szCs w:val="24"/>
          <w:lang w:val="en-US"/>
        </w:rPr>
        <w:t xml:space="preserve"> costs</w:t>
      </w:r>
      <w:r w:rsidR="00332440">
        <w:rPr>
          <w:rFonts w:ascii="Arial" w:hAnsi="Arial" w:cs="Arial"/>
          <w:sz w:val="24"/>
          <w:szCs w:val="24"/>
          <w:lang w:val="en-US"/>
        </w:rPr>
        <w:t xml:space="preserve"> de bonis propriis. She and the MECs were</w:t>
      </w:r>
      <w:r w:rsidR="00DA0C00">
        <w:rPr>
          <w:rFonts w:ascii="Arial" w:hAnsi="Arial" w:cs="Arial"/>
          <w:sz w:val="24"/>
          <w:szCs w:val="24"/>
          <w:lang w:val="en-US"/>
        </w:rPr>
        <w:t>, however,</w:t>
      </w:r>
      <w:r w:rsidR="00332440">
        <w:rPr>
          <w:rFonts w:ascii="Arial" w:hAnsi="Arial" w:cs="Arial"/>
          <w:sz w:val="24"/>
          <w:szCs w:val="24"/>
          <w:lang w:val="en-US"/>
        </w:rPr>
        <w:t xml:space="preserve"> directed to pay the respondents’ costs on an attorney and client scale.</w:t>
      </w:r>
      <w:r w:rsidR="007C06D9">
        <w:rPr>
          <w:rFonts w:ascii="Arial" w:hAnsi="Arial" w:cs="Arial"/>
          <w:sz w:val="24"/>
          <w:szCs w:val="24"/>
          <w:lang w:val="en-US"/>
        </w:rPr>
        <w:t xml:space="preserve"> </w:t>
      </w:r>
      <w:r w:rsidR="00CA6859">
        <w:rPr>
          <w:rFonts w:ascii="Arial" w:hAnsi="Arial" w:cs="Arial"/>
          <w:sz w:val="24"/>
          <w:szCs w:val="24"/>
          <w:lang w:val="en-US"/>
        </w:rPr>
        <w:t xml:space="preserve"> </w:t>
      </w:r>
    </w:p>
    <w:p w14:paraId="3E5C8ECE" w14:textId="77777777" w:rsidR="006E2979" w:rsidRDefault="006E2979" w:rsidP="001A0C4D">
      <w:pPr>
        <w:spacing w:after="0" w:line="360" w:lineRule="auto"/>
        <w:jc w:val="both"/>
        <w:rPr>
          <w:rFonts w:ascii="Arial" w:hAnsi="Arial" w:cs="Arial"/>
          <w:sz w:val="24"/>
          <w:szCs w:val="24"/>
          <w:lang w:val="en-US"/>
        </w:rPr>
      </w:pPr>
    </w:p>
    <w:p w14:paraId="40A7AE32" w14:textId="5E402460" w:rsidR="006E2979" w:rsidRDefault="006E2979" w:rsidP="001A0C4D">
      <w:pPr>
        <w:spacing w:after="0" w:line="360" w:lineRule="auto"/>
        <w:jc w:val="both"/>
        <w:rPr>
          <w:rFonts w:ascii="Arial" w:hAnsi="Arial" w:cs="Arial"/>
          <w:sz w:val="24"/>
          <w:szCs w:val="24"/>
          <w:lang w:val="en-US"/>
        </w:rPr>
      </w:pPr>
      <w:r>
        <w:rPr>
          <w:rFonts w:ascii="Arial" w:hAnsi="Arial" w:cs="Arial"/>
          <w:b/>
          <w:bCs/>
          <w:sz w:val="24"/>
          <w:szCs w:val="24"/>
          <w:lang w:val="en-US"/>
        </w:rPr>
        <w:t xml:space="preserve">The </w:t>
      </w:r>
      <w:r w:rsidR="005C0113">
        <w:rPr>
          <w:rFonts w:ascii="Arial" w:hAnsi="Arial" w:cs="Arial"/>
          <w:b/>
          <w:bCs/>
          <w:sz w:val="24"/>
          <w:szCs w:val="24"/>
          <w:lang w:val="en-US"/>
        </w:rPr>
        <w:t>determination of facts in applications</w:t>
      </w:r>
    </w:p>
    <w:p w14:paraId="17E6764C" w14:textId="7A5E81FE" w:rsidR="00724C25" w:rsidRDefault="006E2979" w:rsidP="001A0C4D">
      <w:pPr>
        <w:spacing w:after="0" w:line="360" w:lineRule="auto"/>
        <w:jc w:val="both"/>
        <w:rPr>
          <w:rFonts w:ascii="Arial" w:hAnsi="Arial" w:cs="Arial"/>
          <w:sz w:val="24"/>
          <w:szCs w:val="24"/>
          <w:lang w:val="en-US"/>
        </w:rPr>
      </w:pPr>
      <w:r>
        <w:rPr>
          <w:rFonts w:ascii="Arial" w:hAnsi="Arial" w:cs="Arial"/>
          <w:sz w:val="24"/>
          <w:szCs w:val="24"/>
          <w:lang w:val="en-US"/>
        </w:rPr>
        <w:t>[</w:t>
      </w:r>
      <w:r w:rsidR="00724C25">
        <w:rPr>
          <w:rFonts w:ascii="Arial" w:hAnsi="Arial" w:cs="Arial"/>
          <w:sz w:val="24"/>
          <w:szCs w:val="24"/>
          <w:lang w:val="en-US"/>
        </w:rPr>
        <w:t>17</w:t>
      </w:r>
      <w:r>
        <w:rPr>
          <w:rFonts w:ascii="Arial" w:hAnsi="Arial" w:cs="Arial"/>
          <w:sz w:val="24"/>
          <w:szCs w:val="24"/>
          <w:lang w:val="en-US"/>
        </w:rPr>
        <w:t>]</w:t>
      </w:r>
      <w:r>
        <w:rPr>
          <w:rFonts w:ascii="Arial" w:hAnsi="Arial" w:cs="Arial"/>
          <w:sz w:val="24"/>
          <w:szCs w:val="24"/>
          <w:lang w:val="en-US"/>
        </w:rPr>
        <w:tab/>
      </w:r>
      <w:r w:rsidR="00724C25">
        <w:rPr>
          <w:rFonts w:ascii="Arial" w:hAnsi="Arial" w:cs="Arial"/>
          <w:sz w:val="24"/>
          <w:szCs w:val="24"/>
          <w:lang w:val="en-US"/>
        </w:rPr>
        <w:t xml:space="preserve">Applications, </w:t>
      </w:r>
      <w:r w:rsidR="003C2685">
        <w:rPr>
          <w:rFonts w:ascii="Arial" w:hAnsi="Arial" w:cs="Arial"/>
          <w:sz w:val="24"/>
          <w:szCs w:val="24"/>
          <w:lang w:val="en-US"/>
        </w:rPr>
        <w:t xml:space="preserve">Harms DP said in </w:t>
      </w:r>
      <w:r w:rsidR="003C2685">
        <w:rPr>
          <w:rFonts w:ascii="Arial" w:hAnsi="Arial" w:cs="Arial"/>
          <w:i/>
          <w:iCs/>
          <w:sz w:val="24"/>
          <w:szCs w:val="24"/>
          <w:lang w:val="en-US"/>
        </w:rPr>
        <w:t>National Director of Public Prosecutions v Zuma</w:t>
      </w:r>
      <w:r w:rsidR="003C2685">
        <w:rPr>
          <w:rFonts w:ascii="Arial" w:hAnsi="Arial" w:cs="Arial"/>
          <w:sz w:val="24"/>
          <w:szCs w:val="24"/>
          <w:lang w:val="en-US"/>
        </w:rPr>
        <w:t>,</w:t>
      </w:r>
      <w:r w:rsidR="005A01C3">
        <w:rPr>
          <w:rStyle w:val="FootnoteReference"/>
          <w:rFonts w:ascii="Arial" w:hAnsi="Arial" w:cs="Arial"/>
          <w:sz w:val="24"/>
          <w:szCs w:val="24"/>
          <w:lang w:val="en-US"/>
        </w:rPr>
        <w:footnoteReference w:id="1"/>
      </w:r>
      <w:r w:rsidR="003C2685">
        <w:rPr>
          <w:rFonts w:ascii="Arial" w:hAnsi="Arial" w:cs="Arial"/>
          <w:sz w:val="24"/>
          <w:szCs w:val="24"/>
          <w:lang w:val="en-US"/>
        </w:rPr>
        <w:t xml:space="preserve"> </w:t>
      </w:r>
      <w:r w:rsidR="00724C25">
        <w:rPr>
          <w:rFonts w:ascii="Arial" w:hAnsi="Arial" w:cs="Arial"/>
          <w:sz w:val="24"/>
          <w:szCs w:val="24"/>
          <w:lang w:val="en-US"/>
        </w:rPr>
        <w:t xml:space="preserve">are designed </w:t>
      </w:r>
      <w:r w:rsidR="003C2685">
        <w:rPr>
          <w:rFonts w:ascii="Arial" w:hAnsi="Arial" w:cs="Arial"/>
          <w:sz w:val="24"/>
          <w:szCs w:val="24"/>
          <w:lang w:val="en-US"/>
        </w:rPr>
        <w:t xml:space="preserve">to deal with legal issues on common cause facts. </w:t>
      </w:r>
      <w:r w:rsidR="00724C25">
        <w:rPr>
          <w:rFonts w:ascii="Arial" w:hAnsi="Arial" w:cs="Arial"/>
          <w:sz w:val="24"/>
          <w:szCs w:val="24"/>
          <w:lang w:val="en-US"/>
        </w:rPr>
        <w:t xml:space="preserve">Unfortunately, few applications meet this idealized standard, with the result that rules have been developed to </w:t>
      </w:r>
      <w:r w:rsidR="00DA0C00">
        <w:rPr>
          <w:rFonts w:ascii="Arial" w:hAnsi="Arial" w:cs="Arial"/>
          <w:sz w:val="24"/>
          <w:szCs w:val="24"/>
          <w:lang w:val="en-US"/>
        </w:rPr>
        <w:t>determine how</w:t>
      </w:r>
      <w:r w:rsidR="00724C25">
        <w:rPr>
          <w:rFonts w:ascii="Arial" w:hAnsi="Arial" w:cs="Arial"/>
          <w:sz w:val="24"/>
          <w:szCs w:val="24"/>
          <w:lang w:val="en-US"/>
        </w:rPr>
        <w:t xml:space="preserve"> disputes of fact should be dealt with in application proceedings. </w:t>
      </w:r>
    </w:p>
    <w:p w14:paraId="7A8A304E" w14:textId="7CE1BB52" w:rsidR="00724C25" w:rsidRDefault="00724C25" w:rsidP="001A0C4D">
      <w:pPr>
        <w:spacing w:after="0" w:line="360" w:lineRule="auto"/>
        <w:jc w:val="both"/>
        <w:rPr>
          <w:rFonts w:ascii="Arial" w:hAnsi="Arial" w:cs="Arial"/>
          <w:sz w:val="24"/>
          <w:szCs w:val="24"/>
          <w:lang w:val="en-US"/>
        </w:rPr>
      </w:pPr>
    </w:p>
    <w:p w14:paraId="3E9959DD" w14:textId="1EA48BDB" w:rsidR="008E5654" w:rsidRPr="008E5654" w:rsidRDefault="00724C25" w:rsidP="001A0C4D">
      <w:pPr>
        <w:spacing w:after="0" w:line="360" w:lineRule="auto"/>
        <w:jc w:val="both"/>
        <w:rPr>
          <w:rFonts w:ascii="Arial" w:hAnsi="Arial" w:cs="Arial"/>
          <w:sz w:val="24"/>
          <w:szCs w:val="24"/>
          <w:lang w:val="en-US"/>
        </w:rPr>
      </w:pPr>
      <w:r>
        <w:rPr>
          <w:rFonts w:ascii="Arial" w:hAnsi="Arial" w:cs="Arial"/>
          <w:sz w:val="24"/>
          <w:szCs w:val="24"/>
          <w:lang w:val="en-US"/>
        </w:rPr>
        <w:t>[18]</w:t>
      </w:r>
      <w:r w:rsidR="005A01C3">
        <w:rPr>
          <w:rFonts w:ascii="Arial" w:hAnsi="Arial" w:cs="Arial"/>
          <w:sz w:val="24"/>
          <w:szCs w:val="24"/>
          <w:lang w:val="en-US"/>
        </w:rPr>
        <w:tab/>
        <w:t>The locus classicus on the issue is Corbett JA’s judgment i</w:t>
      </w:r>
      <w:r w:rsidR="008E5654">
        <w:rPr>
          <w:rFonts w:ascii="Arial" w:hAnsi="Arial" w:cs="Arial"/>
          <w:sz w:val="24"/>
          <w:szCs w:val="24"/>
          <w:lang w:val="en-US"/>
        </w:rPr>
        <w:t xml:space="preserve">n </w:t>
      </w:r>
      <w:r w:rsidR="008E5654">
        <w:rPr>
          <w:rFonts w:ascii="Arial" w:hAnsi="Arial" w:cs="Arial"/>
          <w:i/>
          <w:iCs/>
          <w:sz w:val="24"/>
          <w:szCs w:val="24"/>
          <w:lang w:val="en-US"/>
        </w:rPr>
        <w:t>Plascon-Evans Paints Ltd v Van Riebeeck Paints (Pty) Ltd</w:t>
      </w:r>
      <w:r w:rsidR="005A01C3">
        <w:rPr>
          <w:rFonts w:ascii="Arial" w:hAnsi="Arial" w:cs="Arial"/>
          <w:sz w:val="24"/>
          <w:szCs w:val="24"/>
          <w:lang w:val="en-US"/>
        </w:rPr>
        <w:t>.</w:t>
      </w:r>
      <w:r w:rsidR="005A01C3">
        <w:rPr>
          <w:rStyle w:val="FootnoteReference"/>
          <w:rFonts w:ascii="Arial" w:hAnsi="Arial" w:cs="Arial"/>
          <w:sz w:val="24"/>
          <w:szCs w:val="24"/>
          <w:lang w:val="en-US"/>
        </w:rPr>
        <w:footnoteReference w:id="2"/>
      </w:r>
      <w:r w:rsidR="005A01C3">
        <w:rPr>
          <w:rFonts w:ascii="Arial" w:hAnsi="Arial" w:cs="Arial"/>
          <w:sz w:val="24"/>
          <w:szCs w:val="24"/>
          <w:lang w:val="en-US"/>
        </w:rPr>
        <w:t xml:space="preserve"> He</w:t>
      </w:r>
      <w:r w:rsidR="008E5654">
        <w:rPr>
          <w:rFonts w:ascii="Arial" w:hAnsi="Arial" w:cs="Arial"/>
          <w:sz w:val="24"/>
          <w:szCs w:val="24"/>
          <w:lang w:val="en-US"/>
        </w:rPr>
        <w:t xml:space="preserve"> </w:t>
      </w:r>
      <w:r w:rsidR="005A01C3">
        <w:rPr>
          <w:rFonts w:ascii="Arial" w:hAnsi="Arial" w:cs="Arial"/>
          <w:sz w:val="24"/>
          <w:szCs w:val="24"/>
          <w:lang w:val="en-US"/>
        </w:rPr>
        <w:t>defin</w:t>
      </w:r>
      <w:r w:rsidR="008E5654">
        <w:rPr>
          <w:rFonts w:ascii="Arial" w:hAnsi="Arial" w:cs="Arial"/>
          <w:sz w:val="24"/>
          <w:szCs w:val="24"/>
          <w:lang w:val="en-US"/>
        </w:rPr>
        <w:t>ed the general rule as to the resolution of disputes of fact as follows:</w:t>
      </w:r>
    </w:p>
    <w:p w14:paraId="6FEF6A7A" w14:textId="77777777" w:rsidR="008E5654" w:rsidRPr="004836F1" w:rsidRDefault="008E5654" w:rsidP="008E5654">
      <w:pPr>
        <w:spacing w:after="0" w:line="360" w:lineRule="auto"/>
        <w:jc w:val="both"/>
        <w:rPr>
          <w:rFonts w:ascii="Arial" w:hAnsi="Arial" w:cs="Arial"/>
          <w:lang w:val="en-US"/>
        </w:rPr>
      </w:pPr>
      <w:r w:rsidRPr="004836F1">
        <w:rPr>
          <w:rFonts w:ascii="Arial" w:hAnsi="Arial" w:cs="Arial"/>
          <w:lang w:val="en-US"/>
        </w:rPr>
        <w:t>‘It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w:t>
      </w:r>
    </w:p>
    <w:p w14:paraId="5490C8C5" w14:textId="77777777" w:rsidR="005A01C3" w:rsidRDefault="005A01C3" w:rsidP="008E5654">
      <w:pPr>
        <w:spacing w:after="0" w:line="360" w:lineRule="auto"/>
        <w:jc w:val="both"/>
        <w:rPr>
          <w:rFonts w:ascii="Arial" w:hAnsi="Arial" w:cs="Arial"/>
          <w:sz w:val="24"/>
          <w:szCs w:val="24"/>
          <w:lang w:val="en-US"/>
        </w:rPr>
      </w:pPr>
    </w:p>
    <w:p w14:paraId="7CBC4842" w14:textId="7F1FEF8B" w:rsidR="00614679" w:rsidRDefault="005A01C3" w:rsidP="008E5654">
      <w:pPr>
        <w:spacing w:after="0"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DF4072">
        <w:rPr>
          <w:rFonts w:ascii="Arial" w:hAnsi="Arial" w:cs="Arial"/>
          <w:sz w:val="24"/>
          <w:szCs w:val="24"/>
          <w:lang w:val="en-US"/>
        </w:rPr>
        <w:t>Corbett JA</w:t>
      </w:r>
      <w:r w:rsidR="00614679">
        <w:rPr>
          <w:rFonts w:ascii="Arial" w:hAnsi="Arial" w:cs="Arial"/>
          <w:sz w:val="24"/>
          <w:szCs w:val="24"/>
          <w:lang w:val="en-US"/>
        </w:rPr>
        <w:t xml:space="preserve"> proceeded to state, however, that t</w:t>
      </w:r>
      <w:r w:rsidR="008E5654" w:rsidRPr="008E5654">
        <w:rPr>
          <w:rFonts w:ascii="Arial" w:hAnsi="Arial" w:cs="Arial"/>
          <w:sz w:val="24"/>
          <w:szCs w:val="24"/>
          <w:lang w:val="en-US"/>
        </w:rPr>
        <w:t>he</w:t>
      </w:r>
      <w:r w:rsidR="00614679">
        <w:rPr>
          <w:rFonts w:ascii="Arial" w:hAnsi="Arial" w:cs="Arial"/>
          <w:sz w:val="24"/>
          <w:szCs w:val="24"/>
          <w:lang w:val="en-US"/>
        </w:rPr>
        <w:t xml:space="preserve"> court’s </w:t>
      </w:r>
      <w:r w:rsidR="008E5654" w:rsidRPr="008E5654">
        <w:rPr>
          <w:rFonts w:ascii="Arial" w:hAnsi="Arial" w:cs="Arial"/>
          <w:sz w:val="24"/>
          <w:szCs w:val="24"/>
          <w:lang w:val="en-US"/>
        </w:rPr>
        <w:t>power to g</w:t>
      </w:r>
      <w:r w:rsidR="00614679">
        <w:rPr>
          <w:rFonts w:ascii="Arial" w:hAnsi="Arial" w:cs="Arial"/>
          <w:sz w:val="24"/>
          <w:szCs w:val="24"/>
          <w:lang w:val="en-US"/>
        </w:rPr>
        <w:t>rant</w:t>
      </w:r>
      <w:r w:rsidR="008E5654" w:rsidRPr="008E5654">
        <w:rPr>
          <w:rFonts w:ascii="Arial" w:hAnsi="Arial" w:cs="Arial"/>
          <w:sz w:val="24"/>
          <w:szCs w:val="24"/>
          <w:lang w:val="en-US"/>
        </w:rPr>
        <w:t xml:space="preserve"> final relief on the papers </w:t>
      </w:r>
      <w:r w:rsidR="00614679">
        <w:rPr>
          <w:rFonts w:ascii="Arial" w:hAnsi="Arial" w:cs="Arial"/>
          <w:sz w:val="24"/>
          <w:szCs w:val="24"/>
          <w:lang w:val="en-US"/>
        </w:rPr>
        <w:t xml:space="preserve">was not </w:t>
      </w:r>
      <w:r w:rsidR="00A04FD2">
        <w:rPr>
          <w:rFonts w:ascii="Arial" w:hAnsi="Arial" w:cs="Arial"/>
          <w:sz w:val="24"/>
          <w:szCs w:val="24"/>
          <w:lang w:val="en-US"/>
        </w:rPr>
        <w:t>limited</w:t>
      </w:r>
      <w:r w:rsidR="008E5654" w:rsidRPr="008E5654">
        <w:rPr>
          <w:rFonts w:ascii="Arial" w:hAnsi="Arial" w:cs="Arial"/>
          <w:sz w:val="24"/>
          <w:szCs w:val="24"/>
          <w:lang w:val="en-US"/>
        </w:rPr>
        <w:t xml:space="preserve"> to </w:t>
      </w:r>
      <w:r w:rsidR="00614679">
        <w:rPr>
          <w:rFonts w:ascii="Arial" w:hAnsi="Arial" w:cs="Arial"/>
          <w:sz w:val="24"/>
          <w:szCs w:val="24"/>
          <w:lang w:val="en-US"/>
        </w:rPr>
        <w:t>the above</w:t>
      </w:r>
      <w:r w:rsidR="008E5654" w:rsidRPr="008E5654">
        <w:rPr>
          <w:rFonts w:ascii="Arial" w:hAnsi="Arial" w:cs="Arial"/>
          <w:sz w:val="24"/>
          <w:szCs w:val="24"/>
          <w:lang w:val="en-US"/>
        </w:rPr>
        <w:t xml:space="preserve">. </w:t>
      </w:r>
      <w:r w:rsidR="00614679">
        <w:rPr>
          <w:rFonts w:ascii="Arial" w:hAnsi="Arial" w:cs="Arial"/>
          <w:sz w:val="24"/>
          <w:szCs w:val="24"/>
          <w:lang w:val="en-US"/>
        </w:rPr>
        <w:t>He held in this regard:</w:t>
      </w:r>
      <w:r w:rsidR="00DF4072">
        <w:rPr>
          <w:rStyle w:val="FootnoteReference"/>
          <w:rFonts w:ascii="Arial" w:hAnsi="Arial" w:cs="Arial"/>
          <w:sz w:val="24"/>
          <w:szCs w:val="24"/>
          <w:lang w:val="en-US"/>
        </w:rPr>
        <w:footnoteReference w:id="3"/>
      </w:r>
      <w:r w:rsidR="00614679">
        <w:rPr>
          <w:rFonts w:ascii="Arial" w:hAnsi="Arial" w:cs="Arial"/>
          <w:sz w:val="24"/>
          <w:szCs w:val="24"/>
          <w:lang w:val="en-US"/>
        </w:rPr>
        <w:t xml:space="preserve"> </w:t>
      </w:r>
    </w:p>
    <w:p w14:paraId="47ADF6FE" w14:textId="77777777" w:rsidR="000A0FBE" w:rsidRDefault="00614679" w:rsidP="008E5654">
      <w:pPr>
        <w:spacing w:after="0" w:line="360" w:lineRule="auto"/>
        <w:jc w:val="both"/>
        <w:rPr>
          <w:rFonts w:ascii="Arial" w:hAnsi="Arial" w:cs="Arial"/>
          <w:sz w:val="24"/>
          <w:szCs w:val="24"/>
          <w:lang w:val="en-US"/>
        </w:rPr>
      </w:pPr>
      <w:r w:rsidRPr="000A0FBE">
        <w:rPr>
          <w:rFonts w:ascii="Arial" w:hAnsi="Arial" w:cs="Arial"/>
          <w:lang w:val="en-US"/>
        </w:rPr>
        <w:lastRenderedPageBreak/>
        <w:t>‘</w:t>
      </w:r>
      <w:r w:rsidR="008E5654" w:rsidRPr="000A0FBE">
        <w:rPr>
          <w:rFonts w:ascii="Arial" w:hAnsi="Arial" w:cs="Arial"/>
          <w:lang w:val="en-US"/>
        </w:rPr>
        <w:t>In certain instances the denial by respondent of a fact alleged by the applicant may not be such as to raise a real, genuine or bona fide dispute of fact. If in such a case the respondent has not availed himself of his right to apply for the deponents concerned to be called for cross-examination under Rule 6(5)(g) of the Uniform Rules of Court and the Court is satisfied as to the inherent credibility of the applicant's factual averment, it may proceed on the basis of the correctness thereof and include this fact among those upon which it determines whether the applicant is entitled to the final relief which he seeks Moreover, there may be exceptions to this general rule, as, for example, where the allegations or denials of the respondent are so far-fetched or clearly untenable that the Court is justified in rejecting them merely on the papers</w:t>
      </w:r>
      <w:r w:rsidR="00E54E70" w:rsidRPr="000A0FBE">
        <w:rPr>
          <w:rFonts w:ascii="Arial" w:hAnsi="Arial" w:cs="Arial"/>
          <w:lang w:val="en-US"/>
        </w:rPr>
        <w:t>.’</w:t>
      </w:r>
    </w:p>
    <w:p w14:paraId="4BAE5023" w14:textId="77777777" w:rsidR="000A0FBE" w:rsidRDefault="000A0FBE" w:rsidP="008E5654">
      <w:pPr>
        <w:spacing w:after="0" w:line="360" w:lineRule="auto"/>
        <w:jc w:val="both"/>
        <w:rPr>
          <w:rFonts w:ascii="Arial" w:hAnsi="Arial" w:cs="Arial"/>
          <w:sz w:val="24"/>
          <w:szCs w:val="24"/>
          <w:lang w:val="en-US"/>
        </w:rPr>
      </w:pPr>
    </w:p>
    <w:p w14:paraId="071F89A6" w14:textId="61BE6E32" w:rsidR="003435F9" w:rsidRPr="003435F9" w:rsidRDefault="000A0FBE" w:rsidP="003435F9">
      <w:pPr>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AE761C">
        <w:rPr>
          <w:rFonts w:ascii="Arial" w:hAnsi="Arial" w:cs="Arial"/>
          <w:sz w:val="24"/>
          <w:szCs w:val="24"/>
          <w:lang w:val="en-US"/>
        </w:rPr>
        <w:t xml:space="preserve">A gloss to </w:t>
      </w:r>
      <w:r w:rsidR="00AE761C">
        <w:rPr>
          <w:rFonts w:ascii="Arial" w:hAnsi="Arial" w:cs="Arial"/>
          <w:i/>
          <w:iCs/>
          <w:sz w:val="24"/>
          <w:szCs w:val="24"/>
          <w:lang w:val="en-US"/>
        </w:rPr>
        <w:t>Plascon-Evans</w:t>
      </w:r>
      <w:r w:rsidR="00AE761C">
        <w:rPr>
          <w:rFonts w:ascii="Arial" w:hAnsi="Arial" w:cs="Arial"/>
          <w:sz w:val="24"/>
          <w:szCs w:val="24"/>
          <w:lang w:val="en-US"/>
        </w:rPr>
        <w:t xml:space="preserve"> was added in </w:t>
      </w:r>
      <w:r w:rsidR="00AE761C">
        <w:rPr>
          <w:rFonts w:ascii="Arial" w:hAnsi="Arial" w:cs="Arial"/>
          <w:i/>
          <w:iCs/>
          <w:sz w:val="24"/>
          <w:szCs w:val="24"/>
          <w:lang w:val="en-US"/>
        </w:rPr>
        <w:t>Wightman</w:t>
      </w:r>
      <w:r w:rsidR="003435F9">
        <w:rPr>
          <w:rFonts w:ascii="Arial" w:hAnsi="Arial" w:cs="Arial"/>
          <w:i/>
          <w:iCs/>
          <w:sz w:val="24"/>
          <w:szCs w:val="24"/>
          <w:lang w:val="en-US"/>
        </w:rPr>
        <w:t xml:space="preserve"> t/a JW Construction v </w:t>
      </w:r>
      <w:r w:rsidR="00AE761C">
        <w:rPr>
          <w:rFonts w:ascii="Arial" w:hAnsi="Arial" w:cs="Arial"/>
          <w:i/>
          <w:iCs/>
          <w:sz w:val="24"/>
          <w:szCs w:val="24"/>
          <w:lang w:val="en-US"/>
        </w:rPr>
        <w:t>Headfour</w:t>
      </w:r>
      <w:r w:rsidR="003435F9">
        <w:rPr>
          <w:rFonts w:ascii="Arial" w:hAnsi="Arial" w:cs="Arial"/>
          <w:i/>
          <w:iCs/>
          <w:sz w:val="24"/>
          <w:szCs w:val="24"/>
          <w:lang w:val="en-US"/>
        </w:rPr>
        <w:t xml:space="preserve"> (Pty) Ltd and Another</w:t>
      </w:r>
      <w:r w:rsidR="00AE761C">
        <w:rPr>
          <w:rFonts w:ascii="Arial" w:hAnsi="Arial" w:cs="Arial"/>
          <w:sz w:val="24"/>
          <w:szCs w:val="24"/>
          <w:lang w:val="en-US"/>
        </w:rPr>
        <w:t>.</w:t>
      </w:r>
      <w:r w:rsidR="00F679CF">
        <w:rPr>
          <w:rStyle w:val="FootnoteReference"/>
          <w:rFonts w:ascii="Arial" w:hAnsi="Arial" w:cs="Arial"/>
          <w:sz w:val="24"/>
          <w:szCs w:val="24"/>
          <w:lang w:val="en-US"/>
        </w:rPr>
        <w:footnoteReference w:id="4"/>
      </w:r>
      <w:r w:rsidR="00AE761C">
        <w:rPr>
          <w:rFonts w:ascii="Arial" w:hAnsi="Arial" w:cs="Arial"/>
          <w:sz w:val="24"/>
          <w:szCs w:val="24"/>
          <w:lang w:val="en-US"/>
        </w:rPr>
        <w:t xml:space="preserve"> Heher JA </w:t>
      </w:r>
      <w:r w:rsidR="003435F9">
        <w:rPr>
          <w:rFonts w:ascii="Arial" w:hAnsi="Arial" w:cs="Arial"/>
          <w:sz w:val="24"/>
          <w:szCs w:val="24"/>
          <w:lang w:val="en-US"/>
        </w:rPr>
        <w:t>re-iterated that ‘</w:t>
      </w:r>
      <w:r w:rsidR="003435F9" w:rsidRPr="003435F9">
        <w:rPr>
          <w:rFonts w:ascii="Arial" w:hAnsi="Arial" w:cs="Arial"/>
          <w:sz w:val="24"/>
          <w:szCs w:val="24"/>
          <w:lang w:val="en-US"/>
        </w:rPr>
        <w:t>an applicant who seeks final relief on motion must, in the event of conflict, accept the version set up by his opponent unless the latter's allegations are, in the opinion of the court, not such as to raise a real, genuine or bona fide dispute of fact or are so far-fetched or clearly untenable that the court is justified in rejecting them merely on the papers</w:t>
      </w:r>
      <w:r w:rsidR="003435F9">
        <w:rPr>
          <w:rFonts w:ascii="Arial" w:hAnsi="Arial" w:cs="Arial"/>
          <w:sz w:val="24"/>
          <w:szCs w:val="24"/>
          <w:lang w:val="en-US"/>
        </w:rPr>
        <w:t>’.</w:t>
      </w:r>
      <w:r w:rsidR="00F679CF">
        <w:rPr>
          <w:rStyle w:val="FootnoteReference"/>
          <w:rFonts w:ascii="Arial" w:hAnsi="Arial" w:cs="Arial"/>
          <w:sz w:val="24"/>
          <w:szCs w:val="24"/>
          <w:lang w:val="en-US"/>
        </w:rPr>
        <w:footnoteReference w:id="5"/>
      </w:r>
      <w:r w:rsidR="003435F9">
        <w:rPr>
          <w:rFonts w:ascii="Arial" w:hAnsi="Arial" w:cs="Arial"/>
          <w:sz w:val="24"/>
          <w:szCs w:val="24"/>
          <w:lang w:val="en-US"/>
        </w:rPr>
        <w:t xml:space="preserve"> He then considered how a </w:t>
      </w:r>
      <w:r w:rsidR="00F679CF">
        <w:rPr>
          <w:rFonts w:ascii="Arial" w:hAnsi="Arial" w:cs="Arial"/>
          <w:sz w:val="24"/>
          <w:szCs w:val="24"/>
          <w:lang w:val="en-US"/>
        </w:rPr>
        <w:t xml:space="preserve">proper </w:t>
      </w:r>
      <w:r w:rsidR="003435F9">
        <w:rPr>
          <w:rFonts w:ascii="Arial" w:hAnsi="Arial" w:cs="Arial"/>
          <w:sz w:val="24"/>
          <w:szCs w:val="24"/>
          <w:lang w:val="en-US"/>
        </w:rPr>
        <w:t>dispute of fact arises. He held:</w:t>
      </w:r>
      <w:r w:rsidR="00F679CF">
        <w:rPr>
          <w:rStyle w:val="FootnoteReference"/>
          <w:rFonts w:ascii="Arial" w:hAnsi="Arial" w:cs="Arial"/>
          <w:sz w:val="24"/>
          <w:szCs w:val="24"/>
          <w:lang w:val="en-US"/>
        </w:rPr>
        <w:footnoteReference w:id="6"/>
      </w:r>
    </w:p>
    <w:p w14:paraId="35455299" w14:textId="77777777" w:rsidR="00F679CF" w:rsidRDefault="003435F9" w:rsidP="003435F9">
      <w:pPr>
        <w:spacing w:after="0" w:line="360" w:lineRule="auto"/>
        <w:jc w:val="both"/>
        <w:rPr>
          <w:rFonts w:ascii="Arial" w:hAnsi="Arial" w:cs="Arial"/>
          <w:sz w:val="24"/>
          <w:szCs w:val="24"/>
          <w:lang w:val="en-US"/>
        </w:rPr>
      </w:pPr>
      <w:r w:rsidRPr="00F679CF">
        <w:rPr>
          <w:rFonts w:ascii="Arial" w:hAnsi="Arial" w:cs="Arial"/>
          <w:lang w:val="en-US"/>
        </w:rPr>
        <w:t xml:space="preserve">‘A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w:t>
      </w:r>
      <w:r w:rsidRPr="00F679CF">
        <w:rPr>
          <w:rFonts w:ascii="Arial" w:hAnsi="Arial" w:cs="Arial"/>
          <w:lang w:val="en-US"/>
        </w:rPr>
        <w:lastRenderedPageBreak/>
        <w:t>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r w:rsidR="00F679CF" w:rsidRPr="00F679CF">
        <w:rPr>
          <w:rFonts w:ascii="Arial" w:hAnsi="Arial" w:cs="Arial"/>
          <w:lang w:val="en-US"/>
        </w:rPr>
        <w:t>’</w:t>
      </w:r>
      <w:r w:rsidR="00AE761C" w:rsidRPr="00F679CF">
        <w:rPr>
          <w:rFonts w:ascii="Arial" w:hAnsi="Arial" w:cs="Arial"/>
          <w:lang w:val="en-US"/>
        </w:rPr>
        <w:t xml:space="preserve"> </w:t>
      </w:r>
    </w:p>
    <w:p w14:paraId="762A8791" w14:textId="77777777" w:rsidR="00F679CF" w:rsidRDefault="00F679CF" w:rsidP="003435F9">
      <w:pPr>
        <w:spacing w:after="0" w:line="360" w:lineRule="auto"/>
        <w:jc w:val="both"/>
        <w:rPr>
          <w:rFonts w:ascii="Arial" w:hAnsi="Arial" w:cs="Arial"/>
          <w:sz w:val="24"/>
          <w:szCs w:val="24"/>
          <w:lang w:val="en-US"/>
        </w:rPr>
      </w:pPr>
    </w:p>
    <w:p w14:paraId="4ED09E59" w14:textId="77777777" w:rsidR="00F679CF" w:rsidRPr="00DB476C" w:rsidRDefault="00F679CF" w:rsidP="003435F9">
      <w:pPr>
        <w:spacing w:after="0" w:line="360" w:lineRule="auto"/>
        <w:jc w:val="both"/>
        <w:rPr>
          <w:rFonts w:ascii="Arial" w:hAnsi="Arial" w:cs="Arial"/>
          <w:sz w:val="24"/>
          <w:szCs w:val="24"/>
          <w:lang w:val="en-US"/>
        </w:rPr>
      </w:pPr>
      <w:r w:rsidRPr="00DB476C">
        <w:rPr>
          <w:rFonts w:ascii="Arial" w:hAnsi="Arial" w:cs="Arial"/>
          <w:b/>
          <w:bCs/>
          <w:sz w:val="24"/>
          <w:szCs w:val="24"/>
          <w:lang w:val="en-US"/>
        </w:rPr>
        <w:t>The issue in dispute and the evidence</w:t>
      </w:r>
    </w:p>
    <w:p w14:paraId="2F5B88B5" w14:textId="257E989C" w:rsidR="00CA0B85" w:rsidRDefault="00F679CF" w:rsidP="003435F9">
      <w:pPr>
        <w:spacing w:after="0" w:line="360" w:lineRule="auto"/>
        <w:jc w:val="both"/>
        <w:rPr>
          <w:rFonts w:ascii="Arial" w:hAnsi="Arial" w:cs="Arial"/>
          <w:sz w:val="24"/>
          <w:szCs w:val="24"/>
          <w:lang w:val="en-US"/>
        </w:rPr>
      </w:pPr>
      <w:r w:rsidRPr="00DB476C">
        <w:rPr>
          <w:rFonts w:ascii="Arial" w:hAnsi="Arial" w:cs="Arial"/>
          <w:sz w:val="24"/>
          <w:szCs w:val="24"/>
          <w:lang w:val="en-US"/>
        </w:rPr>
        <w:t>[21]</w:t>
      </w:r>
      <w:r w:rsidRPr="00DB476C">
        <w:rPr>
          <w:rFonts w:ascii="Arial" w:hAnsi="Arial" w:cs="Arial"/>
          <w:sz w:val="24"/>
          <w:szCs w:val="24"/>
          <w:lang w:val="en-US"/>
        </w:rPr>
        <w:tab/>
      </w:r>
      <w:r w:rsidR="00DB476C">
        <w:rPr>
          <w:rFonts w:ascii="Arial" w:hAnsi="Arial" w:cs="Arial"/>
          <w:sz w:val="24"/>
          <w:szCs w:val="24"/>
          <w:lang w:val="en-US"/>
        </w:rPr>
        <w:t>In the founding affidavit, the respondents summarized the principal issue of relevance to this appeal as being that the Minister and the MECs had unlawfully withheld subsidies due to ECDs, to the detriment of children attending those institutions. That this is the issue to be decided is also evident from the relief that was claimed and</w:t>
      </w:r>
      <w:r w:rsidR="001010EA">
        <w:rPr>
          <w:rFonts w:ascii="Arial" w:hAnsi="Arial" w:cs="Arial"/>
          <w:sz w:val="24"/>
          <w:szCs w:val="24"/>
          <w:lang w:val="en-US"/>
        </w:rPr>
        <w:t xml:space="preserve"> then</w:t>
      </w:r>
      <w:r w:rsidR="00DB476C">
        <w:rPr>
          <w:rFonts w:ascii="Arial" w:hAnsi="Arial" w:cs="Arial"/>
          <w:sz w:val="24"/>
          <w:szCs w:val="24"/>
          <w:lang w:val="en-US"/>
        </w:rPr>
        <w:t xml:space="preserve"> </w:t>
      </w:r>
      <w:r w:rsidR="00CA0B85">
        <w:rPr>
          <w:rFonts w:ascii="Arial" w:hAnsi="Arial" w:cs="Arial"/>
          <w:sz w:val="24"/>
          <w:szCs w:val="24"/>
          <w:lang w:val="en-US"/>
        </w:rPr>
        <w:t>granted by the court below</w:t>
      </w:r>
      <w:r w:rsidR="00DB476C">
        <w:rPr>
          <w:rFonts w:ascii="Arial" w:hAnsi="Arial" w:cs="Arial"/>
          <w:sz w:val="24"/>
          <w:szCs w:val="24"/>
          <w:lang w:val="en-US"/>
        </w:rPr>
        <w:t>. That relief is not aimed at securing specific relief for particular ECDs that may claim to have been denied what was their due, but for general, decla</w:t>
      </w:r>
      <w:r w:rsidR="00523BC2">
        <w:rPr>
          <w:rFonts w:ascii="Arial" w:hAnsi="Arial" w:cs="Arial"/>
          <w:sz w:val="24"/>
          <w:szCs w:val="24"/>
          <w:lang w:val="en-US"/>
        </w:rPr>
        <w:t>ra</w:t>
      </w:r>
      <w:r w:rsidR="00DB476C">
        <w:rPr>
          <w:rFonts w:ascii="Arial" w:hAnsi="Arial" w:cs="Arial"/>
          <w:sz w:val="24"/>
          <w:szCs w:val="24"/>
          <w:lang w:val="en-US"/>
        </w:rPr>
        <w:t xml:space="preserve">tory relief </w:t>
      </w:r>
      <w:r w:rsidR="00A65FC4">
        <w:rPr>
          <w:rFonts w:ascii="Arial" w:hAnsi="Arial" w:cs="Arial"/>
          <w:sz w:val="24"/>
          <w:szCs w:val="24"/>
          <w:lang w:val="en-US"/>
        </w:rPr>
        <w:t xml:space="preserve">premised </w:t>
      </w:r>
      <w:r w:rsidR="00DB476C">
        <w:rPr>
          <w:rFonts w:ascii="Arial" w:hAnsi="Arial" w:cs="Arial"/>
          <w:sz w:val="24"/>
          <w:szCs w:val="24"/>
          <w:lang w:val="en-US"/>
        </w:rPr>
        <w:t xml:space="preserve">in the main on </w:t>
      </w:r>
      <w:r w:rsidR="00523BC2">
        <w:rPr>
          <w:rFonts w:ascii="Arial" w:hAnsi="Arial" w:cs="Arial"/>
          <w:sz w:val="24"/>
          <w:szCs w:val="24"/>
          <w:lang w:val="en-US"/>
        </w:rPr>
        <w:t>a systemic denial of subsidies to ECDs.</w:t>
      </w:r>
      <w:r w:rsidR="00CA0B85">
        <w:rPr>
          <w:rFonts w:ascii="Arial" w:hAnsi="Arial" w:cs="Arial"/>
          <w:sz w:val="24"/>
          <w:szCs w:val="24"/>
          <w:lang w:val="en-US"/>
        </w:rPr>
        <w:t xml:space="preserve"> </w:t>
      </w:r>
      <w:r w:rsidR="00A04FD2">
        <w:rPr>
          <w:rFonts w:ascii="Arial" w:hAnsi="Arial" w:cs="Arial"/>
          <w:sz w:val="24"/>
          <w:szCs w:val="24"/>
          <w:lang w:val="en-US"/>
        </w:rPr>
        <w:t>T</w:t>
      </w:r>
      <w:r w:rsidR="00CA0B85">
        <w:rPr>
          <w:rFonts w:ascii="Arial" w:hAnsi="Arial" w:cs="Arial"/>
          <w:sz w:val="24"/>
          <w:szCs w:val="24"/>
          <w:lang w:val="en-US"/>
        </w:rPr>
        <w:t xml:space="preserve">his is a factual issue, the question to be answered being whether the facts admitted by the Minister and the MECs, together with their version of events, justified the granting of </w:t>
      </w:r>
      <w:r w:rsidR="00A04FD2">
        <w:rPr>
          <w:rFonts w:ascii="Arial" w:hAnsi="Arial" w:cs="Arial"/>
          <w:sz w:val="24"/>
          <w:szCs w:val="24"/>
          <w:lang w:val="en-US"/>
        </w:rPr>
        <w:t xml:space="preserve">the </w:t>
      </w:r>
      <w:r w:rsidR="00CA0B85">
        <w:rPr>
          <w:rFonts w:ascii="Arial" w:hAnsi="Arial" w:cs="Arial"/>
          <w:sz w:val="24"/>
          <w:szCs w:val="24"/>
          <w:lang w:val="en-US"/>
        </w:rPr>
        <w:t>relief by the court below.</w:t>
      </w:r>
    </w:p>
    <w:p w14:paraId="208625AC" w14:textId="77777777" w:rsidR="00CA0B85" w:rsidRDefault="00CA0B85" w:rsidP="003435F9">
      <w:pPr>
        <w:spacing w:after="0" w:line="360" w:lineRule="auto"/>
        <w:jc w:val="both"/>
        <w:rPr>
          <w:rFonts w:ascii="Arial" w:hAnsi="Arial" w:cs="Arial"/>
          <w:sz w:val="24"/>
          <w:szCs w:val="24"/>
          <w:lang w:val="en-US"/>
        </w:rPr>
      </w:pPr>
    </w:p>
    <w:p w14:paraId="6B1E3F4F" w14:textId="0BDBC14C" w:rsidR="00443546" w:rsidRDefault="00CA0B85" w:rsidP="003435F9">
      <w:pPr>
        <w:spacing w:after="0"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This core issue also appears clearly from the respondents’ averments concerning urgency. The deponent to the founding affidavit stated that non-compliance by the Minister and the MECs</w:t>
      </w:r>
      <w:r w:rsidR="00443546">
        <w:rPr>
          <w:rFonts w:ascii="Arial" w:hAnsi="Arial" w:cs="Arial"/>
          <w:sz w:val="24"/>
          <w:szCs w:val="24"/>
          <w:lang w:val="en-US"/>
        </w:rPr>
        <w:t xml:space="preserve"> with statutory obligations in terms of the DORA and directions made in terms of the Disaster Management Regulations to pay subsidies to ECDs constituted a ‘gross violation of children’s rights to a life, basic nutrition, basic education, to equality and to public administration that is in line with the basic values expressed in section 195 of the Constitution’. </w:t>
      </w:r>
    </w:p>
    <w:p w14:paraId="0F30D33A" w14:textId="77777777" w:rsidR="00443546" w:rsidRDefault="00443546" w:rsidP="003435F9">
      <w:pPr>
        <w:spacing w:after="0" w:line="360" w:lineRule="auto"/>
        <w:jc w:val="both"/>
        <w:rPr>
          <w:rFonts w:ascii="Arial" w:hAnsi="Arial" w:cs="Arial"/>
          <w:sz w:val="24"/>
          <w:szCs w:val="24"/>
          <w:lang w:val="en-US"/>
        </w:rPr>
      </w:pPr>
    </w:p>
    <w:p w14:paraId="33D8FDD8" w14:textId="466DE1E6" w:rsidR="00F04562" w:rsidRDefault="00443546" w:rsidP="003435F9">
      <w:pPr>
        <w:spacing w:after="0"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Later in the founding affidavit, the point was made that</w:t>
      </w:r>
      <w:r w:rsidR="00404AC9">
        <w:rPr>
          <w:rFonts w:ascii="Arial" w:hAnsi="Arial" w:cs="Arial"/>
          <w:sz w:val="24"/>
          <w:szCs w:val="24"/>
          <w:lang w:val="en-US"/>
        </w:rPr>
        <w:t xml:space="preserve"> the application was directed at compelling ‘the performance of the [Minister’s and MECs’] statutory duties to transfer subsidies already allocated in terms of the ECD Conditional Grant, established in 2017/2018, the purpose of which</w:t>
      </w:r>
      <w:r w:rsidR="00F04562">
        <w:rPr>
          <w:rFonts w:ascii="Arial" w:hAnsi="Arial" w:cs="Arial"/>
          <w:sz w:val="24"/>
          <w:szCs w:val="24"/>
          <w:lang w:val="en-US"/>
        </w:rPr>
        <w:t xml:space="preserve"> is to increase the number of poor children accessing subsidized early childhood development services’. It was alleged that these subsidies ‘have been allocated since 1 April 2020 but have been unlawfully withheld without reason or justification’ </w:t>
      </w:r>
    </w:p>
    <w:p w14:paraId="5C3FC265" w14:textId="77777777" w:rsidR="00F04562" w:rsidRDefault="00F04562" w:rsidP="003435F9">
      <w:pPr>
        <w:spacing w:after="0" w:line="360" w:lineRule="auto"/>
        <w:jc w:val="both"/>
        <w:rPr>
          <w:rFonts w:ascii="Arial" w:hAnsi="Arial" w:cs="Arial"/>
          <w:sz w:val="24"/>
          <w:szCs w:val="24"/>
          <w:lang w:val="en-US"/>
        </w:rPr>
      </w:pPr>
    </w:p>
    <w:p w14:paraId="38F42CF0" w14:textId="77777777" w:rsidR="00F04562" w:rsidRDefault="00F04562" w:rsidP="003435F9">
      <w:pPr>
        <w:spacing w:after="0"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t>The crux of the respondents’ case against the Minister and the MECs is captured in the following paragraphs of the founding affidavit:</w:t>
      </w:r>
    </w:p>
    <w:p w14:paraId="268C0164" w14:textId="37E83521" w:rsidR="00E04549" w:rsidRDefault="00F04562" w:rsidP="003435F9">
      <w:pPr>
        <w:spacing w:after="0" w:line="360" w:lineRule="auto"/>
        <w:jc w:val="both"/>
        <w:rPr>
          <w:rFonts w:ascii="Arial" w:hAnsi="Arial" w:cs="Arial"/>
          <w:lang w:val="en-US"/>
        </w:rPr>
      </w:pPr>
      <w:r>
        <w:rPr>
          <w:rFonts w:ascii="Arial" w:hAnsi="Arial" w:cs="Arial"/>
          <w:lang w:val="en-US"/>
        </w:rPr>
        <w:t>‘135 The [Minister] (who is well aware of these factors) has publicly announced and issued directions that subsidy payment</w:t>
      </w:r>
      <w:r w:rsidR="00E04549">
        <w:rPr>
          <w:rFonts w:ascii="Arial" w:hAnsi="Arial" w:cs="Arial"/>
          <w:lang w:val="en-US"/>
        </w:rPr>
        <w:t>s must continue flowing to funded registered ECD operators in spite of closures. Her practices, however, indicate otherwise.</w:t>
      </w:r>
    </w:p>
    <w:p w14:paraId="6C90B83A" w14:textId="77777777" w:rsidR="00E04549" w:rsidRDefault="00E04549" w:rsidP="003435F9">
      <w:pPr>
        <w:spacing w:after="0" w:line="360" w:lineRule="auto"/>
        <w:jc w:val="both"/>
        <w:rPr>
          <w:rFonts w:ascii="Arial" w:hAnsi="Arial" w:cs="Arial"/>
          <w:lang w:val="en-US"/>
        </w:rPr>
      </w:pPr>
      <w:r>
        <w:rPr>
          <w:rFonts w:ascii="Arial" w:hAnsi="Arial" w:cs="Arial"/>
          <w:lang w:val="en-US"/>
        </w:rPr>
        <w:t>136 It will be shown in this affidavit that the [Minister] (supported by the [MECs]) have acted in the utmost bad faith to the detriment of infants and young innocent children, not only by infringing their rights, but also by causing them to suffer physical hardship and probable impairment as a result of this conduct, as illustrated in the supporting affidavits attached hereto.</w:t>
      </w:r>
    </w:p>
    <w:p w14:paraId="162FAD93" w14:textId="77777777" w:rsidR="00EE71A9" w:rsidRDefault="00E04549" w:rsidP="003435F9">
      <w:pPr>
        <w:spacing w:after="0" w:line="360" w:lineRule="auto"/>
        <w:jc w:val="both"/>
        <w:rPr>
          <w:rFonts w:ascii="Arial" w:hAnsi="Arial" w:cs="Arial"/>
          <w:sz w:val="24"/>
          <w:szCs w:val="24"/>
          <w:lang w:val="en-US"/>
        </w:rPr>
      </w:pPr>
      <w:r>
        <w:rPr>
          <w:rFonts w:ascii="Arial" w:hAnsi="Arial" w:cs="Arial"/>
          <w:lang w:val="en-US"/>
        </w:rPr>
        <w:t>137 The conduct of the [Minister and the MECs] falls significantly below the standard expected</w:t>
      </w:r>
      <w:r w:rsidR="00EE71A9">
        <w:rPr>
          <w:rFonts w:ascii="Arial" w:hAnsi="Arial" w:cs="Arial"/>
          <w:lang w:val="en-US"/>
        </w:rPr>
        <w:t xml:space="preserve"> of officials in a position of trust, tasked with the protection of the rights and interests of infants and young children and is nothing short of delinquent.</w:t>
      </w:r>
      <w:r w:rsidR="00EE71A9">
        <w:rPr>
          <w:rFonts w:ascii="Arial" w:hAnsi="Arial" w:cs="Arial"/>
          <w:sz w:val="24"/>
          <w:szCs w:val="24"/>
          <w:lang w:val="en-US"/>
        </w:rPr>
        <w:t>’</w:t>
      </w:r>
    </w:p>
    <w:p w14:paraId="52E2CA21" w14:textId="77777777" w:rsidR="00EE71A9" w:rsidRDefault="00EE71A9" w:rsidP="003435F9">
      <w:pPr>
        <w:spacing w:after="0" w:line="360" w:lineRule="auto"/>
        <w:jc w:val="both"/>
        <w:rPr>
          <w:rFonts w:ascii="Arial" w:hAnsi="Arial" w:cs="Arial"/>
          <w:sz w:val="24"/>
          <w:szCs w:val="24"/>
          <w:lang w:val="en-US"/>
        </w:rPr>
      </w:pPr>
    </w:p>
    <w:p w14:paraId="3C57B94D" w14:textId="5F08A9F5" w:rsidR="00DF4ACD" w:rsidRDefault="00EE71A9" w:rsidP="003435F9">
      <w:pPr>
        <w:spacing w:after="0"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t>Before progressing any further, it is necessary to say something of the respondents’ papers. They consist, in large measure, of vague factual allegations such as, for instance</w:t>
      </w:r>
      <w:r w:rsidR="00846C84">
        <w:rPr>
          <w:rFonts w:ascii="Arial" w:hAnsi="Arial" w:cs="Arial"/>
          <w:sz w:val="24"/>
          <w:szCs w:val="24"/>
          <w:lang w:val="en-US"/>
        </w:rPr>
        <w:t>,</w:t>
      </w:r>
      <w:r>
        <w:rPr>
          <w:rFonts w:ascii="Arial" w:hAnsi="Arial" w:cs="Arial"/>
          <w:sz w:val="24"/>
          <w:szCs w:val="24"/>
          <w:lang w:val="en-US"/>
        </w:rPr>
        <w:t xml:space="preserve"> that ECD staff were intimidated</w:t>
      </w:r>
      <w:r w:rsidR="00A03BF0">
        <w:rPr>
          <w:rFonts w:ascii="Arial" w:hAnsi="Arial" w:cs="Arial"/>
          <w:sz w:val="24"/>
          <w:szCs w:val="24"/>
          <w:lang w:val="en-US"/>
        </w:rPr>
        <w:t>,</w:t>
      </w:r>
      <w:r>
        <w:rPr>
          <w:rFonts w:ascii="Arial" w:hAnsi="Arial" w:cs="Arial"/>
          <w:sz w:val="24"/>
          <w:szCs w:val="24"/>
          <w:lang w:val="en-US"/>
        </w:rPr>
        <w:t xml:space="preserve"> with absolutely no detail as to how, </w:t>
      </w:r>
      <w:r w:rsidR="00DF4ACD">
        <w:rPr>
          <w:rFonts w:ascii="Arial" w:hAnsi="Arial" w:cs="Arial"/>
          <w:sz w:val="24"/>
          <w:szCs w:val="24"/>
          <w:lang w:val="en-US"/>
        </w:rPr>
        <w:t>when, where and by whom; of emotive and vague statements masquerading as facts; of inadmissible hearsay evidence; and of unfortunate, ill-conceived and unsubstantiated allegations of bad faith directed at the Minister and the MECs.</w:t>
      </w:r>
    </w:p>
    <w:p w14:paraId="3DF2AC71" w14:textId="77777777" w:rsidR="00DF4ACD" w:rsidRDefault="00DF4ACD" w:rsidP="003435F9">
      <w:pPr>
        <w:spacing w:after="0" w:line="360" w:lineRule="auto"/>
        <w:jc w:val="both"/>
        <w:rPr>
          <w:rFonts w:ascii="Arial" w:hAnsi="Arial" w:cs="Arial"/>
          <w:sz w:val="24"/>
          <w:szCs w:val="24"/>
          <w:lang w:val="en-US"/>
        </w:rPr>
      </w:pPr>
    </w:p>
    <w:p w14:paraId="579B7092" w14:textId="6B250F03" w:rsidR="00ED0021" w:rsidRDefault="00DF4ACD" w:rsidP="003435F9">
      <w:pPr>
        <w:spacing w:after="0"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t>When boiled down to its basics, the factual basis of the respondents’ case appears to be that the Minister and the MECs withheld subsidies to ECDs when the lockdown commenced, have continued to do so</w:t>
      </w:r>
      <w:r w:rsidR="00ED0021">
        <w:rPr>
          <w:rFonts w:ascii="Arial" w:hAnsi="Arial" w:cs="Arial"/>
          <w:sz w:val="24"/>
          <w:szCs w:val="24"/>
          <w:lang w:val="en-US"/>
        </w:rPr>
        <w:t>,</w:t>
      </w:r>
      <w:r>
        <w:rPr>
          <w:rFonts w:ascii="Arial" w:hAnsi="Arial" w:cs="Arial"/>
          <w:sz w:val="24"/>
          <w:szCs w:val="24"/>
          <w:lang w:val="en-US"/>
        </w:rPr>
        <w:t xml:space="preserve"> and in this way have breached their statutory and constitutional obligations.</w:t>
      </w:r>
      <w:r w:rsidR="00A20A4D">
        <w:rPr>
          <w:rFonts w:ascii="Arial" w:hAnsi="Arial" w:cs="Arial"/>
          <w:sz w:val="24"/>
          <w:szCs w:val="24"/>
          <w:lang w:val="en-US"/>
        </w:rPr>
        <w:t xml:space="preserve"> </w:t>
      </w:r>
      <w:r w:rsidR="00ED0021">
        <w:rPr>
          <w:rFonts w:ascii="Arial" w:hAnsi="Arial" w:cs="Arial"/>
          <w:sz w:val="24"/>
          <w:szCs w:val="24"/>
          <w:lang w:val="en-US"/>
        </w:rPr>
        <w:t>It is, for instance, stated in the founding affidavit that the Minister’s direction to the MECs to pay the subsidies was intended to mean the full subsidy because provincial administrations do not have the authority to adjust the subsidy; and that despite</w:t>
      </w:r>
      <w:r w:rsidR="007C7E75">
        <w:rPr>
          <w:rFonts w:ascii="Arial" w:hAnsi="Arial" w:cs="Arial"/>
          <w:sz w:val="24"/>
          <w:szCs w:val="24"/>
          <w:lang w:val="en-US"/>
        </w:rPr>
        <w:t xml:space="preserve"> the Minister’s direction, payments ‘did not materialise’, with th</w:t>
      </w:r>
      <w:r w:rsidR="00846C84">
        <w:rPr>
          <w:rFonts w:ascii="Arial" w:hAnsi="Arial" w:cs="Arial"/>
          <w:sz w:val="24"/>
          <w:szCs w:val="24"/>
          <w:lang w:val="en-US"/>
        </w:rPr>
        <w:t>e</w:t>
      </w:r>
      <w:r w:rsidR="007C7E75">
        <w:rPr>
          <w:rFonts w:ascii="Arial" w:hAnsi="Arial" w:cs="Arial"/>
          <w:sz w:val="24"/>
          <w:szCs w:val="24"/>
          <w:lang w:val="en-US"/>
        </w:rPr>
        <w:t xml:space="preserve"> result that many children and their caregivers were left ‘without funding for a period of approximately 4 (four) months at this point in time’.</w:t>
      </w:r>
    </w:p>
    <w:p w14:paraId="386553F2" w14:textId="539CE312" w:rsidR="00ED0021" w:rsidRDefault="00ED0021" w:rsidP="003435F9">
      <w:pPr>
        <w:spacing w:after="0" w:line="360" w:lineRule="auto"/>
        <w:jc w:val="both"/>
        <w:rPr>
          <w:rFonts w:ascii="Arial" w:hAnsi="Arial" w:cs="Arial"/>
          <w:sz w:val="24"/>
          <w:szCs w:val="24"/>
          <w:lang w:val="en-US"/>
        </w:rPr>
      </w:pPr>
    </w:p>
    <w:p w14:paraId="207D6E0F" w14:textId="77777777" w:rsidR="00754976" w:rsidRDefault="00754976" w:rsidP="00431081">
      <w:pPr>
        <w:spacing w:after="0" w:line="360" w:lineRule="auto"/>
        <w:jc w:val="both"/>
        <w:rPr>
          <w:rFonts w:ascii="Arial" w:hAnsi="Arial" w:cs="Arial"/>
          <w:b/>
          <w:bCs/>
          <w:sz w:val="24"/>
          <w:szCs w:val="24"/>
          <w:lang w:val="en-US"/>
        </w:rPr>
      </w:pPr>
    </w:p>
    <w:p w14:paraId="06F409E6" w14:textId="77777777" w:rsidR="00754976" w:rsidRDefault="00754976" w:rsidP="00431081">
      <w:pPr>
        <w:spacing w:after="0" w:line="360" w:lineRule="auto"/>
        <w:jc w:val="both"/>
        <w:rPr>
          <w:rFonts w:ascii="Arial" w:hAnsi="Arial" w:cs="Arial"/>
          <w:b/>
          <w:bCs/>
          <w:sz w:val="24"/>
          <w:szCs w:val="24"/>
          <w:lang w:val="en-US"/>
        </w:rPr>
      </w:pPr>
    </w:p>
    <w:p w14:paraId="165F85A1" w14:textId="77777777" w:rsidR="00431081" w:rsidRDefault="00431081" w:rsidP="00431081">
      <w:pPr>
        <w:spacing w:after="0" w:line="360" w:lineRule="auto"/>
        <w:jc w:val="both"/>
        <w:rPr>
          <w:rFonts w:ascii="Arial" w:hAnsi="Arial" w:cs="Arial"/>
          <w:sz w:val="24"/>
          <w:szCs w:val="24"/>
          <w:lang w:val="en-US"/>
        </w:rPr>
      </w:pPr>
      <w:r>
        <w:rPr>
          <w:rFonts w:ascii="Arial" w:hAnsi="Arial" w:cs="Arial"/>
          <w:b/>
          <w:bCs/>
          <w:sz w:val="24"/>
          <w:szCs w:val="24"/>
          <w:lang w:val="en-US"/>
        </w:rPr>
        <w:lastRenderedPageBreak/>
        <w:t>The answering papers</w:t>
      </w:r>
    </w:p>
    <w:p w14:paraId="6A630F2A" w14:textId="1995A7B3" w:rsidR="00625CE4" w:rsidRDefault="007C7E75" w:rsidP="003435F9">
      <w:pPr>
        <w:spacing w:after="0" w:line="360" w:lineRule="auto"/>
        <w:jc w:val="both"/>
        <w:rPr>
          <w:rFonts w:ascii="Arial" w:hAnsi="Arial" w:cs="Arial"/>
          <w:lang w:val="en-US"/>
        </w:rPr>
      </w:pPr>
      <w:r>
        <w:rPr>
          <w:rFonts w:ascii="Arial" w:hAnsi="Arial" w:cs="Arial"/>
          <w:sz w:val="24"/>
          <w:szCs w:val="24"/>
          <w:lang w:val="en-US"/>
        </w:rPr>
        <w:t>[27]</w:t>
      </w:r>
      <w:r>
        <w:rPr>
          <w:rFonts w:ascii="Arial" w:hAnsi="Arial" w:cs="Arial"/>
          <w:sz w:val="24"/>
          <w:szCs w:val="24"/>
          <w:lang w:val="en-US"/>
        </w:rPr>
        <w:tab/>
      </w:r>
      <w:r w:rsidR="00A20A4D">
        <w:rPr>
          <w:rFonts w:ascii="Arial" w:hAnsi="Arial" w:cs="Arial"/>
          <w:sz w:val="24"/>
          <w:szCs w:val="24"/>
          <w:lang w:val="en-US"/>
        </w:rPr>
        <w:t xml:space="preserve">It is to these allegations that the Minister and the MECs have responded. </w:t>
      </w:r>
      <w:r>
        <w:rPr>
          <w:rFonts w:ascii="Arial" w:hAnsi="Arial" w:cs="Arial"/>
          <w:sz w:val="24"/>
          <w:szCs w:val="24"/>
          <w:lang w:val="en-US"/>
        </w:rPr>
        <w:t>After sketching some common cause background, I</w:t>
      </w:r>
      <w:r w:rsidR="00A20A4D">
        <w:rPr>
          <w:rFonts w:ascii="Arial" w:hAnsi="Arial" w:cs="Arial"/>
          <w:sz w:val="24"/>
          <w:szCs w:val="24"/>
          <w:lang w:val="en-US"/>
        </w:rPr>
        <w:t xml:space="preserve"> commence with the answering affidavit of Ms Isabella Sekawana, the Chief Director: Early Childhood Development in the Department of Social Development, </w:t>
      </w:r>
      <w:r w:rsidR="000235EF">
        <w:rPr>
          <w:rFonts w:ascii="Arial" w:hAnsi="Arial" w:cs="Arial"/>
          <w:sz w:val="24"/>
          <w:szCs w:val="24"/>
          <w:lang w:val="en-US"/>
        </w:rPr>
        <w:t xml:space="preserve">deposed to </w:t>
      </w:r>
      <w:r w:rsidR="00A20A4D">
        <w:rPr>
          <w:rFonts w:ascii="Arial" w:hAnsi="Arial" w:cs="Arial"/>
          <w:sz w:val="24"/>
          <w:szCs w:val="24"/>
          <w:lang w:val="en-US"/>
        </w:rPr>
        <w:t>on behalf of the MECs. I shall then deal with the Minister’s answering affidavit.</w:t>
      </w:r>
      <w:r w:rsidR="00E04549">
        <w:rPr>
          <w:rFonts w:ascii="Arial" w:hAnsi="Arial" w:cs="Arial"/>
          <w:lang w:val="en-US"/>
        </w:rPr>
        <w:t xml:space="preserve"> </w:t>
      </w:r>
      <w:r w:rsidR="00404AC9">
        <w:rPr>
          <w:rFonts w:ascii="Arial" w:hAnsi="Arial" w:cs="Arial"/>
          <w:sz w:val="24"/>
          <w:szCs w:val="24"/>
          <w:lang w:val="en-US"/>
        </w:rPr>
        <w:t xml:space="preserve"> </w:t>
      </w:r>
      <w:r w:rsidR="00CA0B85">
        <w:rPr>
          <w:rFonts w:ascii="Arial" w:hAnsi="Arial" w:cs="Arial"/>
          <w:sz w:val="24"/>
          <w:szCs w:val="24"/>
          <w:lang w:val="en-US"/>
        </w:rPr>
        <w:t xml:space="preserve"> </w:t>
      </w:r>
      <w:r w:rsidR="00724C25" w:rsidRPr="00F679CF">
        <w:rPr>
          <w:rFonts w:ascii="Arial" w:hAnsi="Arial" w:cs="Arial"/>
          <w:lang w:val="en-US"/>
        </w:rPr>
        <w:tab/>
      </w:r>
      <w:r w:rsidR="003C2685" w:rsidRPr="00F679CF">
        <w:rPr>
          <w:rFonts w:ascii="Arial" w:hAnsi="Arial" w:cs="Arial"/>
          <w:lang w:val="en-US"/>
        </w:rPr>
        <w:t xml:space="preserve"> </w:t>
      </w:r>
    </w:p>
    <w:p w14:paraId="6CF52F68" w14:textId="0228D796" w:rsidR="007C7E75" w:rsidRDefault="007C7E75" w:rsidP="003435F9">
      <w:pPr>
        <w:spacing w:after="0" w:line="360" w:lineRule="auto"/>
        <w:jc w:val="both"/>
        <w:rPr>
          <w:rFonts w:ascii="Arial" w:hAnsi="Arial" w:cs="Arial"/>
          <w:sz w:val="24"/>
          <w:szCs w:val="24"/>
          <w:lang w:val="en-US"/>
        </w:rPr>
      </w:pPr>
    </w:p>
    <w:p w14:paraId="773EF8AE" w14:textId="44462BC9" w:rsidR="00383CF5" w:rsidRDefault="007C7E75" w:rsidP="003435F9">
      <w:pPr>
        <w:spacing w:after="0" w:line="360" w:lineRule="auto"/>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t>As a result of the C</w:t>
      </w:r>
      <w:r w:rsidR="000235EF">
        <w:rPr>
          <w:rFonts w:ascii="Arial" w:hAnsi="Arial" w:cs="Arial"/>
          <w:sz w:val="24"/>
          <w:szCs w:val="24"/>
          <w:lang w:val="en-US"/>
        </w:rPr>
        <w:t>OVID</w:t>
      </w:r>
      <w:r>
        <w:rPr>
          <w:rFonts w:ascii="Arial" w:hAnsi="Arial" w:cs="Arial"/>
          <w:sz w:val="24"/>
          <w:szCs w:val="24"/>
          <w:lang w:val="en-US"/>
        </w:rPr>
        <w:t xml:space="preserve">-19 pandemic, a national state of disaster was proclaimed </w:t>
      </w:r>
      <w:r w:rsidR="00A362C3">
        <w:rPr>
          <w:rFonts w:ascii="Arial" w:hAnsi="Arial" w:cs="Arial"/>
          <w:sz w:val="24"/>
          <w:szCs w:val="24"/>
          <w:lang w:val="en-US"/>
        </w:rPr>
        <w:t xml:space="preserve">on </w:t>
      </w:r>
      <w:r w:rsidR="00FD4A18">
        <w:rPr>
          <w:rFonts w:ascii="Arial" w:hAnsi="Arial" w:cs="Arial"/>
          <w:sz w:val="24"/>
          <w:szCs w:val="24"/>
          <w:lang w:val="en-US"/>
        </w:rPr>
        <w:t>15</w:t>
      </w:r>
      <w:r w:rsidR="00A362C3">
        <w:rPr>
          <w:rFonts w:ascii="Arial" w:hAnsi="Arial" w:cs="Arial"/>
          <w:sz w:val="24"/>
          <w:szCs w:val="24"/>
          <w:lang w:val="en-US"/>
        </w:rPr>
        <w:t xml:space="preserve"> March 2020 in terms of s 27</w:t>
      </w:r>
      <w:r w:rsidR="003F5280">
        <w:rPr>
          <w:rFonts w:ascii="Arial" w:hAnsi="Arial" w:cs="Arial"/>
          <w:sz w:val="24"/>
          <w:szCs w:val="24"/>
          <w:lang w:val="en-US"/>
        </w:rPr>
        <w:t>(1)</w:t>
      </w:r>
      <w:r w:rsidR="00A362C3">
        <w:rPr>
          <w:rFonts w:ascii="Arial" w:hAnsi="Arial" w:cs="Arial"/>
          <w:sz w:val="24"/>
          <w:szCs w:val="24"/>
          <w:lang w:val="en-US"/>
        </w:rPr>
        <w:t xml:space="preserve"> of the Disaster Management Act </w:t>
      </w:r>
      <w:r w:rsidR="00FD4A18">
        <w:rPr>
          <w:rFonts w:ascii="Arial" w:hAnsi="Arial" w:cs="Arial"/>
          <w:sz w:val="24"/>
          <w:szCs w:val="24"/>
          <w:lang w:val="en-US"/>
        </w:rPr>
        <w:t>57</w:t>
      </w:r>
      <w:r w:rsidR="00A362C3">
        <w:rPr>
          <w:rFonts w:ascii="Arial" w:hAnsi="Arial" w:cs="Arial"/>
          <w:sz w:val="24"/>
          <w:szCs w:val="24"/>
          <w:lang w:val="en-US"/>
        </w:rPr>
        <w:t xml:space="preserve"> of </w:t>
      </w:r>
      <w:r w:rsidR="00FD4A18">
        <w:rPr>
          <w:rFonts w:ascii="Arial" w:hAnsi="Arial" w:cs="Arial"/>
          <w:sz w:val="24"/>
          <w:szCs w:val="24"/>
          <w:lang w:val="en-US"/>
        </w:rPr>
        <w:t>2002</w:t>
      </w:r>
      <w:r w:rsidR="00A362C3">
        <w:rPr>
          <w:rFonts w:ascii="Arial" w:hAnsi="Arial" w:cs="Arial"/>
          <w:sz w:val="24"/>
          <w:szCs w:val="24"/>
          <w:lang w:val="en-US"/>
        </w:rPr>
        <w:t xml:space="preserve"> (the DMA). Section </w:t>
      </w:r>
      <w:r w:rsidR="003F5280">
        <w:rPr>
          <w:rFonts w:ascii="Arial" w:hAnsi="Arial" w:cs="Arial"/>
          <w:sz w:val="24"/>
          <w:szCs w:val="24"/>
          <w:lang w:val="en-US"/>
        </w:rPr>
        <w:t>27(2)</w:t>
      </w:r>
      <w:r w:rsidR="00A362C3">
        <w:rPr>
          <w:rFonts w:ascii="Arial" w:hAnsi="Arial" w:cs="Arial"/>
          <w:sz w:val="24"/>
          <w:szCs w:val="24"/>
          <w:lang w:val="en-US"/>
        </w:rPr>
        <w:t xml:space="preserve"> of the DMA empowers a minister designated by the President – in this instance, the Minister of Co-operative Governance and Traditional Affairs (the COGTA Minister) – to make regulations. The regulations empowered</w:t>
      </w:r>
      <w:r w:rsidR="000235EF">
        <w:rPr>
          <w:rFonts w:ascii="Arial" w:hAnsi="Arial" w:cs="Arial"/>
          <w:sz w:val="24"/>
          <w:szCs w:val="24"/>
          <w:lang w:val="en-US"/>
        </w:rPr>
        <w:t xml:space="preserve"> all other</w:t>
      </w:r>
      <w:r w:rsidR="00A362C3">
        <w:rPr>
          <w:rFonts w:ascii="Arial" w:hAnsi="Arial" w:cs="Arial"/>
          <w:sz w:val="24"/>
          <w:szCs w:val="24"/>
          <w:lang w:val="en-US"/>
        </w:rPr>
        <w:t xml:space="preserve"> ministers to make directions in relation to their portfolios. The COGTA Minister imposed</w:t>
      </w:r>
      <w:r w:rsidR="00383CF5">
        <w:rPr>
          <w:rFonts w:ascii="Arial" w:hAnsi="Arial" w:cs="Arial"/>
          <w:sz w:val="24"/>
          <w:szCs w:val="24"/>
          <w:lang w:val="en-US"/>
        </w:rPr>
        <w:t xml:space="preserve"> an almost complete lockdown of the population. With the exception of those people deemed to provide essential services, the rest of the population was required to remain at home, and only allowed out of their homes for limited purposes. With time, the lockdown measures were progressively relaxed to the point where, now, </w:t>
      </w:r>
      <w:r w:rsidR="00FD4A18">
        <w:rPr>
          <w:rFonts w:ascii="Arial" w:hAnsi="Arial" w:cs="Arial"/>
          <w:sz w:val="24"/>
          <w:szCs w:val="24"/>
          <w:lang w:val="en-US"/>
        </w:rPr>
        <w:t xml:space="preserve">the state of disaster has been lifted and </w:t>
      </w:r>
      <w:r w:rsidR="00383CF5">
        <w:rPr>
          <w:rFonts w:ascii="Arial" w:hAnsi="Arial" w:cs="Arial"/>
          <w:sz w:val="24"/>
          <w:szCs w:val="24"/>
          <w:lang w:val="en-US"/>
        </w:rPr>
        <w:t>very few restrictions remain.</w:t>
      </w:r>
      <w:r w:rsidR="00405384">
        <w:rPr>
          <w:rStyle w:val="FootnoteReference"/>
          <w:rFonts w:ascii="Arial" w:hAnsi="Arial" w:cs="Arial"/>
          <w:sz w:val="24"/>
          <w:szCs w:val="24"/>
          <w:lang w:val="en-US"/>
        </w:rPr>
        <w:footnoteReference w:id="7"/>
      </w:r>
    </w:p>
    <w:p w14:paraId="68564DF3" w14:textId="77777777" w:rsidR="00383CF5" w:rsidRDefault="00383CF5" w:rsidP="003435F9">
      <w:pPr>
        <w:spacing w:after="0" w:line="360" w:lineRule="auto"/>
        <w:jc w:val="both"/>
        <w:rPr>
          <w:rFonts w:ascii="Arial" w:hAnsi="Arial" w:cs="Arial"/>
          <w:sz w:val="24"/>
          <w:szCs w:val="24"/>
          <w:lang w:val="en-US"/>
        </w:rPr>
      </w:pPr>
    </w:p>
    <w:p w14:paraId="3AD714C3" w14:textId="42E93382" w:rsidR="00A362C3" w:rsidRPr="007C7E75" w:rsidRDefault="00383CF5" w:rsidP="003435F9">
      <w:pPr>
        <w:spacing w:after="0" w:line="360" w:lineRule="auto"/>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t>One of the consequences of the initial lockdown</w:t>
      </w:r>
      <w:r w:rsidR="00A362C3">
        <w:rPr>
          <w:rFonts w:ascii="Arial" w:hAnsi="Arial" w:cs="Arial"/>
          <w:sz w:val="24"/>
          <w:szCs w:val="24"/>
          <w:lang w:val="en-US"/>
        </w:rPr>
        <w:t xml:space="preserve"> </w:t>
      </w:r>
      <w:r>
        <w:rPr>
          <w:rFonts w:ascii="Arial" w:hAnsi="Arial" w:cs="Arial"/>
          <w:sz w:val="24"/>
          <w:szCs w:val="24"/>
          <w:lang w:val="en-US"/>
        </w:rPr>
        <w:t xml:space="preserve">was that schools, universities and </w:t>
      </w:r>
      <w:r w:rsidR="00960A7C">
        <w:rPr>
          <w:rFonts w:ascii="Arial" w:hAnsi="Arial" w:cs="Arial"/>
          <w:sz w:val="24"/>
          <w:szCs w:val="24"/>
          <w:lang w:val="en-US"/>
        </w:rPr>
        <w:t>t</w:t>
      </w:r>
      <w:r>
        <w:rPr>
          <w:rFonts w:ascii="Arial" w:hAnsi="Arial" w:cs="Arial"/>
          <w:sz w:val="24"/>
          <w:szCs w:val="24"/>
          <w:lang w:val="en-US"/>
        </w:rPr>
        <w:t>echnikons were all closed. Students attending these institutions were required to remain at home. The same fate befell ECDs</w:t>
      </w:r>
      <w:r w:rsidR="00405384">
        <w:rPr>
          <w:rFonts w:ascii="Arial" w:hAnsi="Arial" w:cs="Arial"/>
          <w:sz w:val="24"/>
          <w:szCs w:val="24"/>
          <w:lang w:val="en-US"/>
        </w:rPr>
        <w:t>.</w:t>
      </w:r>
      <w:r w:rsidR="004E21CD">
        <w:rPr>
          <w:rFonts w:ascii="Arial" w:hAnsi="Arial" w:cs="Arial"/>
          <w:sz w:val="24"/>
          <w:szCs w:val="24"/>
          <w:lang w:val="en-US"/>
        </w:rPr>
        <w:t xml:space="preserve"> </w:t>
      </w:r>
      <w:r w:rsidR="004E21CD" w:rsidRPr="00D402DF">
        <w:rPr>
          <w:rFonts w:ascii="Arial" w:hAnsi="Arial" w:cs="Arial"/>
          <w:sz w:val="24"/>
          <w:szCs w:val="24"/>
          <w:lang w:val="en-US"/>
        </w:rPr>
        <w:t xml:space="preserve">On 16 March </w:t>
      </w:r>
      <w:r w:rsidR="004E21CD">
        <w:rPr>
          <w:rFonts w:ascii="Arial" w:hAnsi="Arial" w:cs="Arial"/>
          <w:sz w:val="24"/>
          <w:szCs w:val="24"/>
          <w:lang w:val="en-US"/>
        </w:rPr>
        <w:t>2020, the Minister issued a circular directing that, with effect from 18 March 2020, all ECDs were to close, as part of the national lockdown aimed at keeping the large majority of the population in their homes with a view to limiting the transmission of C</w:t>
      </w:r>
      <w:r w:rsidR="000235EF">
        <w:rPr>
          <w:rFonts w:ascii="Arial" w:hAnsi="Arial" w:cs="Arial"/>
          <w:sz w:val="24"/>
          <w:szCs w:val="24"/>
          <w:lang w:val="en-US"/>
        </w:rPr>
        <w:t>OVID</w:t>
      </w:r>
      <w:r w:rsidR="004E21CD">
        <w:rPr>
          <w:rFonts w:ascii="Arial" w:hAnsi="Arial" w:cs="Arial"/>
          <w:sz w:val="24"/>
          <w:szCs w:val="24"/>
          <w:lang w:val="en-US"/>
        </w:rPr>
        <w:t xml:space="preserve">-19. The closure of ECDs was, initially, to last until 15 April 2020, but was extended from time to time. </w:t>
      </w:r>
      <w:r w:rsidR="00405384">
        <w:rPr>
          <w:rFonts w:ascii="Arial" w:hAnsi="Arial" w:cs="Arial"/>
          <w:sz w:val="24"/>
          <w:szCs w:val="24"/>
          <w:lang w:val="en-US"/>
        </w:rPr>
        <w:t>They were required to close their doors and the children who attended them were required to remain in their homes. The issues in this case arise from the lockdown and the re-opening of ECDs as the lockdown restrictions were eased.</w:t>
      </w:r>
      <w:r w:rsidR="00A362C3">
        <w:rPr>
          <w:rFonts w:ascii="Arial" w:hAnsi="Arial" w:cs="Arial"/>
          <w:sz w:val="24"/>
          <w:szCs w:val="24"/>
          <w:lang w:val="en-US"/>
        </w:rPr>
        <w:t xml:space="preserve"> </w:t>
      </w:r>
    </w:p>
    <w:p w14:paraId="5052A679" w14:textId="07BDCE8B" w:rsidR="007C7E75" w:rsidRDefault="007C7E75" w:rsidP="003435F9">
      <w:pPr>
        <w:spacing w:after="0" w:line="360" w:lineRule="auto"/>
        <w:jc w:val="both"/>
        <w:rPr>
          <w:rFonts w:ascii="Arial" w:hAnsi="Arial" w:cs="Arial"/>
          <w:lang w:val="en-US"/>
        </w:rPr>
      </w:pPr>
    </w:p>
    <w:p w14:paraId="3E67A78C" w14:textId="35F84C00" w:rsidR="006A1BB5" w:rsidRDefault="00846C84" w:rsidP="003435F9">
      <w:pPr>
        <w:spacing w:after="0" w:line="360" w:lineRule="auto"/>
        <w:jc w:val="both"/>
        <w:rPr>
          <w:rFonts w:ascii="Arial" w:hAnsi="Arial" w:cs="Arial"/>
          <w:sz w:val="24"/>
          <w:szCs w:val="24"/>
          <w:lang w:val="en-US"/>
        </w:rPr>
      </w:pPr>
      <w:r w:rsidRPr="00D402DF">
        <w:rPr>
          <w:rFonts w:ascii="Arial" w:hAnsi="Arial" w:cs="Arial"/>
          <w:sz w:val="24"/>
          <w:szCs w:val="24"/>
          <w:lang w:val="en-US"/>
        </w:rPr>
        <w:lastRenderedPageBreak/>
        <w:t>[30]</w:t>
      </w:r>
      <w:r w:rsidRPr="00D402DF">
        <w:rPr>
          <w:rFonts w:ascii="Arial" w:hAnsi="Arial" w:cs="Arial"/>
          <w:sz w:val="24"/>
          <w:szCs w:val="24"/>
          <w:lang w:val="en-US"/>
        </w:rPr>
        <w:tab/>
      </w:r>
      <w:r w:rsidR="006A1BB5">
        <w:rPr>
          <w:rFonts w:ascii="Arial" w:hAnsi="Arial" w:cs="Arial"/>
          <w:sz w:val="24"/>
          <w:szCs w:val="24"/>
          <w:lang w:val="en-US"/>
        </w:rPr>
        <w:t>The Minister made it clear that despite the closure of ECDs, those of them that</w:t>
      </w:r>
      <w:r w:rsidR="000235EF">
        <w:rPr>
          <w:rFonts w:ascii="Arial" w:hAnsi="Arial" w:cs="Arial"/>
          <w:sz w:val="24"/>
          <w:szCs w:val="24"/>
          <w:lang w:val="en-US"/>
        </w:rPr>
        <w:t xml:space="preserve"> had been </w:t>
      </w:r>
      <w:r w:rsidR="006A1BB5">
        <w:rPr>
          <w:rFonts w:ascii="Arial" w:hAnsi="Arial" w:cs="Arial"/>
          <w:sz w:val="24"/>
          <w:szCs w:val="24"/>
          <w:lang w:val="en-US"/>
        </w:rPr>
        <w:t>receiv</w:t>
      </w:r>
      <w:r w:rsidR="000235EF">
        <w:rPr>
          <w:rFonts w:ascii="Arial" w:hAnsi="Arial" w:cs="Arial"/>
          <w:sz w:val="24"/>
          <w:szCs w:val="24"/>
          <w:lang w:val="en-US"/>
        </w:rPr>
        <w:t>ing</w:t>
      </w:r>
      <w:r w:rsidR="006A1BB5">
        <w:rPr>
          <w:rFonts w:ascii="Arial" w:hAnsi="Arial" w:cs="Arial"/>
          <w:sz w:val="24"/>
          <w:szCs w:val="24"/>
          <w:lang w:val="en-US"/>
        </w:rPr>
        <w:t xml:space="preserve"> subsidies before 31 March 2020 would continue to receive funding for the 2020/2021 financial year</w:t>
      </w:r>
      <w:r w:rsidR="00EB1B12">
        <w:rPr>
          <w:rFonts w:ascii="Arial" w:hAnsi="Arial" w:cs="Arial"/>
          <w:sz w:val="24"/>
          <w:szCs w:val="24"/>
          <w:lang w:val="en-US"/>
        </w:rPr>
        <w:t>.</w:t>
      </w:r>
      <w:r w:rsidR="004E21CD">
        <w:rPr>
          <w:rFonts w:ascii="Arial" w:hAnsi="Arial" w:cs="Arial"/>
          <w:sz w:val="24"/>
          <w:szCs w:val="24"/>
          <w:lang w:val="en-US"/>
        </w:rPr>
        <w:t xml:space="preserve"> </w:t>
      </w:r>
      <w:r w:rsidR="001131D4">
        <w:rPr>
          <w:rFonts w:ascii="Arial" w:hAnsi="Arial" w:cs="Arial"/>
          <w:sz w:val="24"/>
          <w:szCs w:val="24"/>
          <w:lang w:val="en-US"/>
        </w:rPr>
        <w:t>She stated t</w:t>
      </w:r>
      <w:r w:rsidR="004E21CD">
        <w:rPr>
          <w:rFonts w:ascii="Arial" w:hAnsi="Arial" w:cs="Arial"/>
          <w:sz w:val="24"/>
          <w:szCs w:val="24"/>
          <w:lang w:val="en-US"/>
        </w:rPr>
        <w:t>his</w:t>
      </w:r>
      <w:r w:rsidR="001E1464">
        <w:rPr>
          <w:rFonts w:ascii="Arial" w:hAnsi="Arial" w:cs="Arial"/>
          <w:sz w:val="24"/>
          <w:szCs w:val="24"/>
          <w:lang w:val="en-US"/>
        </w:rPr>
        <w:t>, inter alia,</w:t>
      </w:r>
      <w:r w:rsidR="004E21CD">
        <w:rPr>
          <w:rFonts w:ascii="Arial" w:hAnsi="Arial" w:cs="Arial"/>
          <w:sz w:val="24"/>
          <w:szCs w:val="24"/>
          <w:lang w:val="en-US"/>
        </w:rPr>
        <w:t xml:space="preserve"> </w:t>
      </w:r>
      <w:r w:rsidR="001131D4">
        <w:rPr>
          <w:rFonts w:ascii="Arial" w:hAnsi="Arial" w:cs="Arial"/>
          <w:sz w:val="24"/>
          <w:szCs w:val="24"/>
          <w:lang w:val="en-US"/>
        </w:rPr>
        <w:t xml:space="preserve">in </w:t>
      </w:r>
      <w:r w:rsidR="001E1464">
        <w:rPr>
          <w:rFonts w:ascii="Arial" w:hAnsi="Arial" w:cs="Arial"/>
          <w:sz w:val="24"/>
          <w:szCs w:val="24"/>
          <w:lang w:val="en-US"/>
        </w:rPr>
        <w:t xml:space="preserve">directions she issued in terms of the DMA on 9 May 2020 and in </w:t>
      </w:r>
      <w:r w:rsidR="004E21CD">
        <w:rPr>
          <w:rFonts w:ascii="Arial" w:hAnsi="Arial" w:cs="Arial"/>
          <w:sz w:val="24"/>
          <w:szCs w:val="24"/>
          <w:lang w:val="en-US"/>
        </w:rPr>
        <w:t>a circular dated 29 May 2020 addressed to the heads of social development departments in the provinces.</w:t>
      </w:r>
    </w:p>
    <w:p w14:paraId="3E34691A" w14:textId="7BB0DEE3" w:rsidR="004E21CD" w:rsidRDefault="004E21CD" w:rsidP="003435F9">
      <w:pPr>
        <w:spacing w:after="0" w:line="360" w:lineRule="auto"/>
        <w:jc w:val="both"/>
        <w:rPr>
          <w:rFonts w:ascii="Arial" w:hAnsi="Arial" w:cs="Arial"/>
          <w:sz w:val="24"/>
          <w:szCs w:val="24"/>
          <w:lang w:val="en-US"/>
        </w:rPr>
      </w:pPr>
    </w:p>
    <w:p w14:paraId="461F0B37" w14:textId="58074D2D" w:rsidR="008D68F3" w:rsidRDefault="004E21CD" w:rsidP="003435F9">
      <w:pPr>
        <w:spacing w:after="0" w:line="360" w:lineRule="auto"/>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t xml:space="preserve">In early June 2020, the Minister announced that workstreams </w:t>
      </w:r>
      <w:r w:rsidR="00671F26">
        <w:rPr>
          <w:rFonts w:ascii="Arial" w:hAnsi="Arial" w:cs="Arial"/>
          <w:sz w:val="24"/>
          <w:szCs w:val="24"/>
          <w:lang w:val="en-US"/>
        </w:rPr>
        <w:t xml:space="preserve">would be set up to conduct risk assessments and to determine the state of readiness of ECDs to re-open. She </w:t>
      </w:r>
      <w:r w:rsidR="00FA15AE">
        <w:rPr>
          <w:rFonts w:ascii="Arial" w:hAnsi="Arial" w:cs="Arial"/>
          <w:sz w:val="24"/>
          <w:szCs w:val="24"/>
          <w:lang w:val="en-US"/>
        </w:rPr>
        <w:t xml:space="preserve">said </w:t>
      </w:r>
      <w:r w:rsidR="00671F26">
        <w:rPr>
          <w:rFonts w:ascii="Arial" w:hAnsi="Arial" w:cs="Arial"/>
          <w:sz w:val="24"/>
          <w:szCs w:val="24"/>
          <w:lang w:val="en-US"/>
        </w:rPr>
        <w:t>that ECDs would remain closed while the country was under alert level 3 lockdown, but that planning for re-opening would forge ahead. This process was an inclusive one. It involved engagement with the ECD sector. Ms Sekawana stated, for instance, that in addition to working with the provincial administrations on planning for the re-opening of ECDs, she ‘engaged extensively with the sector itself’ by convening meetings</w:t>
      </w:r>
      <w:r w:rsidR="00AF773D">
        <w:rPr>
          <w:rFonts w:ascii="Arial" w:hAnsi="Arial" w:cs="Arial"/>
          <w:sz w:val="24"/>
          <w:szCs w:val="24"/>
          <w:lang w:val="en-US"/>
        </w:rPr>
        <w:t xml:space="preserve"> on 26 May 2020, 3 June 2020, 12 June 2020, 22 June 2020 and 28 July 2020. The minutes of these meetings confirm the involvement of a significant number of organisations in the ECD sector, including the first respondent, and their participation in the process, especially in the eight workstreams that were established.</w:t>
      </w:r>
    </w:p>
    <w:p w14:paraId="43CC504B" w14:textId="77777777" w:rsidR="008D68F3" w:rsidRDefault="008D68F3" w:rsidP="003435F9">
      <w:pPr>
        <w:spacing w:after="0" w:line="360" w:lineRule="auto"/>
        <w:jc w:val="both"/>
        <w:rPr>
          <w:rFonts w:ascii="Arial" w:hAnsi="Arial" w:cs="Arial"/>
          <w:sz w:val="24"/>
          <w:szCs w:val="24"/>
          <w:lang w:val="en-US"/>
        </w:rPr>
      </w:pPr>
    </w:p>
    <w:p w14:paraId="17C6A78C" w14:textId="168BB798" w:rsidR="00C40DB6" w:rsidRPr="001131D4" w:rsidRDefault="008D68F3" w:rsidP="003435F9">
      <w:pPr>
        <w:spacing w:after="0" w:line="36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t xml:space="preserve">Ms Sekawana made the point that at the first meeting, attended by 69 people, after she had explained the purpose of the workstreams, ‘all members </w:t>
      </w:r>
      <w:r w:rsidR="00C60BDA">
        <w:rPr>
          <w:rFonts w:ascii="Arial" w:hAnsi="Arial" w:cs="Arial"/>
          <w:sz w:val="24"/>
          <w:szCs w:val="24"/>
          <w:lang w:val="en-US"/>
        </w:rPr>
        <w:t>present agreed</w:t>
      </w:r>
      <w:r>
        <w:rPr>
          <w:rFonts w:ascii="Arial" w:hAnsi="Arial" w:cs="Arial"/>
          <w:sz w:val="24"/>
          <w:szCs w:val="24"/>
          <w:lang w:val="en-US"/>
        </w:rPr>
        <w:t xml:space="preserve"> that there had to be a support package that was COVID-19 compliant, and to participate in and support the planning and re-opening of ECDs’. </w:t>
      </w:r>
      <w:r w:rsidR="001131D4">
        <w:rPr>
          <w:rFonts w:ascii="Arial" w:hAnsi="Arial" w:cs="Arial"/>
          <w:sz w:val="24"/>
          <w:szCs w:val="24"/>
          <w:lang w:val="en-US"/>
        </w:rPr>
        <w:t>By the end of the meeting</w:t>
      </w:r>
      <w:r w:rsidR="00C40DB6">
        <w:rPr>
          <w:rFonts w:ascii="Arial" w:hAnsi="Arial" w:cs="Arial"/>
          <w:lang w:val="en-US"/>
        </w:rPr>
        <w:t xml:space="preserve"> </w:t>
      </w:r>
      <w:r w:rsidR="001131D4" w:rsidRPr="001131D4">
        <w:rPr>
          <w:rFonts w:ascii="Arial" w:hAnsi="Arial" w:cs="Arial"/>
          <w:sz w:val="24"/>
          <w:szCs w:val="24"/>
          <w:lang w:val="en-US"/>
        </w:rPr>
        <w:t>‘</w:t>
      </w:r>
      <w:r w:rsidR="00C40DB6" w:rsidRPr="001131D4">
        <w:rPr>
          <w:rFonts w:ascii="Arial" w:hAnsi="Arial" w:cs="Arial"/>
          <w:sz w:val="24"/>
          <w:szCs w:val="24"/>
          <w:lang w:val="en-US"/>
        </w:rPr>
        <w:t>there was firm consensus that workstreams would start meeting and begin drafting plans and proposals</w:t>
      </w:r>
      <w:r w:rsidR="001131D4">
        <w:rPr>
          <w:rFonts w:ascii="Arial" w:hAnsi="Arial" w:cs="Arial"/>
          <w:sz w:val="24"/>
          <w:szCs w:val="24"/>
          <w:lang w:val="en-US"/>
        </w:rPr>
        <w:t>’</w:t>
      </w:r>
      <w:r w:rsidR="00C40DB6" w:rsidRPr="001131D4">
        <w:rPr>
          <w:rFonts w:ascii="Arial" w:hAnsi="Arial" w:cs="Arial"/>
          <w:sz w:val="24"/>
          <w:szCs w:val="24"/>
          <w:lang w:val="en-US"/>
        </w:rPr>
        <w:t>.</w:t>
      </w:r>
    </w:p>
    <w:p w14:paraId="632ECCC2" w14:textId="77777777" w:rsidR="00C40DB6" w:rsidRDefault="00C40DB6" w:rsidP="003435F9">
      <w:pPr>
        <w:spacing w:after="0" w:line="360" w:lineRule="auto"/>
        <w:jc w:val="both"/>
        <w:rPr>
          <w:rFonts w:ascii="Arial" w:hAnsi="Arial" w:cs="Arial"/>
          <w:sz w:val="24"/>
          <w:szCs w:val="24"/>
          <w:lang w:val="en-US"/>
        </w:rPr>
      </w:pPr>
    </w:p>
    <w:p w14:paraId="7AF28F41" w14:textId="77777777" w:rsidR="00242000" w:rsidRDefault="00C40DB6" w:rsidP="003435F9">
      <w:pPr>
        <w:spacing w:after="0" w:line="360" w:lineRule="auto"/>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t>At the second meeting (on 3 June 2020), attended by 26 people, it was agreed that ‘a coherent document setting out a reopening plan based on the collective input of the workstreams would be developed</w:t>
      </w:r>
      <w:r w:rsidR="00702C7D">
        <w:rPr>
          <w:rFonts w:ascii="Arial" w:hAnsi="Arial" w:cs="Arial"/>
          <w:sz w:val="24"/>
          <w:szCs w:val="24"/>
          <w:lang w:val="en-US"/>
        </w:rPr>
        <w:t xml:space="preserve"> for presentation to the Minister’. It was also agreed at this meeting that ‘monitoring and evaluation was to continue’. Ms Sekawana described this as ‘the golden thread running through every element of a viable reopening plan’.</w:t>
      </w:r>
    </w:p>
    <w:p w14:paraId="1BE19D5F" w14:textId="77777777" w:rsidR="00242000" w:rsidRDefault="00242000" w:rsidP="003435F9">
      <w:pPr>
        <w:spacing w:after="0" w:line="360" w:lineRule="auto"/>
        <w:jc w:val="both"/>
        <w:rPr>
          <w:rFonts w:ascii="Arial" w:hAnsi="Arial" w:cs="Arial"/>
          <w:sz w:val="24"/>
          <w:szCs w:val="24"/>
          <w:lang w:val="en-US"/>
        </w:rPr>
      </w:pPr>
    </w:p>
    <w:p w14:paraId="51DECB04" w14:textId="77777777" w:rsidR="00C82F13" w:rsidRDefault="00242000" w:rsidP="003435F9">
      <w:pPr>
        <w:spacing w:after="0" w:line="360" w:lineRule="auto"/>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C82F13">
        <w:rPr>
          <w:rFonts w:ascii="Arial" w:hAnsi="Arial" w:cs="Arial"/>
          <w:sz w:val="24"/>
          <w:szCs w:val="24"/>
          <w:lang w:val="en-US"/>
        </w:rPr>
        <w:t xml:space="preserve">The third meeting (on 12 June 2020) was attended by ’70 members from civil society; provincial departments of social development and national departments’. It </w:t>
      </w:r>
      <w:r w:rsidR="00C82F13">
        <w:rPr>
          <w:rFonts w:ascii="Arial" w:hAnsi="Arial" w:cs="Arial"/>
          <w:sz w:val="24"/>
          <w:szCs w:val="24"/>
          <w:lang w:val="en-US"/>
        </w:rPr>
        <w:lastRenderedPageBreak/>
        <w:t>was noteworthy, Ms Sekawana said, that it was agreed that ‘everything had to be done in line with the disaster management regulations’ and that the ‘verification process and the support required for self-assessment was accepted as a legitimate part of the process’.</w:t>
      </w:r>
    </w:p>
    <w:p w14:paraId="26663E18" w14:textId="77777777" w:rsidR="00C82F13" w:rsidRDefault="00C82F13" w:rsidP="003435F9">
      <w:pPr>
        <w:spacing w:after="0" w:line="360" w:lineRule="auto"/>
        <w:jc w:val="both"/>
        <w:rPr>
          <w:rFonts w:ascii="Arial" w:hAnsi="Arial" w:cs="Arial"/>
          <w:sz w:val="24"/>
          <w:szCs w:val="24"/>
          <w:lang w:val="en-US"/>
        </w:rPr>
      </w:pPr>
    </w:p>
    <w:p w14:paraId="25BC4D4F" w14:textId="3A453182" w:rsidR="00C66A0D" w:rsidRDefault="00C82F13" w:rsidP="003435F9">
      <w:pPr>
        <w:spacing w:after="0" w:line="360" w:lineRule="auto"/>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t xml:space="preserve">The fourth meeting (on 22 June 2020) was attended by 65 people. Those present were informed that their work had been presented to the Department as well </w:t>
      </w:r>
      <w:r w:rsidR="00C66A0D">
        <w:rPr>
          <w:rFonts w:ascii="Arial" w:hAnsi="Arial" w:cs="Arial"/>
          <w:sz w:val="24"/>
          <w:szCs w:val="24"/>
          <w:lang w:val="en-US"/>
        </w:rPr>
        <w:t xml:space="preserve">as the meeting of the </w:t>
      </w:r>
      <w:r>
        <w:rPr>
          <w:rFonts w:ascii="Arial" w:hAnsi="Arial" w:cs="Arial"/>
          <w:sz w:val="24"/>
          <w:szCs w:val="24"/>
          <w:lang w:val="en-US"/>
        </w:rPr>
        <w:t>Minister</w:t>
      </w:r>
      <w:r w:rsidR="00C66A0D">
        <w:rPr>
          <w:rFonts w:ascii="Arial" w:hAnsi="Arial" w:cs="Arial"/>
          <w:sz w:val="24"/>
          <w:szCs w:val="24"/>
          <w:lang w:val="en-US"/>
        </w:rPr>
        <w:t xml:space="preserve"> and MECs, and that the go-ahead for implementation had been given. What remained to be done was the finalization of standard operating procedures for ECDs.</w:t>
      </w:r>
    </w:p>
    <w:p w14:paraId="32C60904" w14:textId="77777777" w:rsidR="00C66A0D" w:rsidRDefault="00C66A0D" w:rsidP="003435F9">
      <w:pPr>
        <w:spacing w:after="0" w:line="360" w:lineRule="auto"/>
        <w:jc w:val="both"/>
        <w:rPr>
          <w:rFonts w:ascii="Arial" w:hAnsi="Arial" w:cs="Arial"/>
          <w:sz w:val="24"/>
          <w:szCs w:val="24"/>
          <w:lang w:val="en-US"/>
        </w:rPr>
      </w:pPr>
    </w:p>
    <w:p w14:paraId="4B639F81" w14:textId="6D7815B8" w:rsidR="004E21CD" w:rsidRDefault="00C66A0D" w:rsidP="003435F9">
      <w:pPr>
        <w:spacing w:after="0" w:line="360" w:lineRule="auto"/>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t xml:space="preserve">The final meeting </w:t>
      </w:r>
      <w:r w:rsidR="00E84650">
        <w:rPr>
          <w:rFonts w:ascii="Arial" w:hAnsi="Arial" w:cs="Arial"/>
          <w:sz w:val="24"/>
          <w:szCs w:val="24"/>
          <w:lang w:val="en-US"/>
        </w:rPr>
        <w:t>(on 28 July 2020) was attended by 70 people. It was convened to ‘wrap up the first phase of the re-opening process’. Ms Sekawana said that the meeting concluded with an agreement that ECDs ‘could reopen subject to meeting the prescribed COVID-19 requirements and that parties would continue working together to deal with the registration backlog’.</w:t>
      </w:r>
      <w:r w:rsidR="00702C7D">
        <w:rPr>
          <w:rFonts w:ascii="Arial" w:hAnsi="Arial" w:cs="Arial"/>
          <w:sz w:val="24"/>
          <w:szCs w:val="24"/>
          <w:lang w:val="en-US"/>
        </w:rPr>
        <w:t xml:space="preserve"> </w:t>
      </w:r>
      <w:r w:rsidR="00671F26">
        <w:rPr>
          <w:rFonts w:ascii="Arial" w:hAnsi="Arial" w:cs="Arial"/>
          <w:sz w:val="24"/>
          <w:szCs w:val="24"/>
          <w:lang w:val="en-US"/>
        </w:rPr>
        <w:t xml:space="preserve">  </w:t>
      </w:r>
    </w:p>
    <w:p w14:paraId="20ADD205" w14:textId="77777777" w:rsidR="00FA1B38" w:rsidRDefault="00FA1B38" w:rsidP="003435F9">
      <w:pPr>
        <w:spacing w:after="0" w:line="360" w:lineRule="auto"/>
        <w:jc w:val="both"/>
        <w:rPr>
          <w:rFonts w:ascii="Arial" w:hAnsi="Arial" w:cs="Arial"/>
          <w:sz w:val="24"/>
          <w:szCs w:val="24"/>
          <w:lang w:val="en-US"/>
        </w:rPr>
      </w:pPr>
    </w:p>
    <w:p w14:paraId="482D7A99" w14:textId="16BF8F82" w:rsidR="00923B05" w:rsidRDefault="000E197F" w:rsidP="00FA1B38">
      <w:pPr>
        <w:spacing w:after="0" w:line="360" w:lineRule="auto"/>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2C3FD8">
        <w:rPr>
          <w:rFonts w:ascii="Arial" w:hAnsi="Arial" w:cs="Arial"/>
          <w:sz w:val="24"/>
          <w:szCs w:val="24"/>
          <w:lang w:val="en-US"/>
        </w:rPr>
        <w:t>By that stage, directions had been issued by the Minister in terms of the DMA to regulate the phased return to ECDs of the children who, prior to the lockdown, had attended them. The directions were also aimed at achieving uniformity in the re-opening process. They prescribed conditions such as that ECDs had to ‘comply with the minimum health, safety</w:t>
      </w:r>
      <w:r w:rsidR="00B266CA">
        <w:rPr>
          <w:rFonts w:ascii="Arial" w:hAnsi="Arial" w:cs="Arial"/>
          <w:sz w:val="24"/>
          <w:szCs w:val="24"/>
          <w:lang w:val="en-US"/>
        </w:rPr>
        <w:t xml:space="preserve"> and social distancing measures on COVID-19, referred to in these directions and the Regulations’.</w:t>
      </w:r>
      <w:r w:rsidR="00B266CA">
        <w:rPr>
          <w:rStyle w:val="FootnoteReference"/>
          <w:rFonts w:ascii="Arial" w:hAnsi="Arial" w:cs="Arial"/>
          <w:sz w:val="24"/>
          <w:szCs w:val="24"/>
          <w:lang w:val="en-US"/>
        </w:rPr>
        <w:footnoteReference w:id="8"/>
      </w:r>
      <w:r w:rsidR="00B266CA">
        <w:rPr>
          <w:rFonts w:ascii="Arial" w:hAnsi="Arial" w:cs="Arial"/>
          <w:sz w:val="24"/>
          <w:szCs w:val="24"/>
          <w:lang w:val="en-US"/>
        </w:rPr>
        <w:t xml:space="preserve"> Section </w:t>
      </w:r>
      <w:r w:rsidR="00E3606B">
        <w:rPr>
          <w:rFonts w:ascii="Arial" w:hAnsi="Arial" w:cs="Arial"/>
          <w:sz w:val="24"/>
          <w:szCs w:val="24"/>
          <w:lang w:val="en-US"/>
        </w:rPr>
        <w:t>14 of the directions stated that the ‘department must continue to subsidise early childhood development centres or partial care facilities during the national state of disaster’.</w:t>
      </w:r>
    </w:p>
    <w:p w14:paraId="0E137764" w14:textId="77777777" w:rsidR="00923B05" w:rsidRDefault="00923B05" w:rsidP="00FA1B38">
      <w:pPr>
        <w:spacing w:after="0" w:line="360" w:lineRule="auto"/>
        <w:jc w:val="both"/>
        <w:rPr>
          <w:rFonts w:ascii="Arial" w:hAnsi="Arial" w:cs="Arial"/>
          <w:sz w:val="24"/>
          <w:szCs w:val="24"/>
          <w:lang w:val="en-US"/>
        </w:rPr>
      </w:pPr>
    </w:p>
    <w:p w14:paraId="68C628C4" w14:textId="2B642BBB" w:rsidR="00E81FDE" w:rsidRDefault="00923B05" w:rsidP="00FA1B38">
      <w:pPr>
        <w:spacing w:after="0" w:line="360" w:lineRule="auto"/>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866AE8">
        <w:rPr>
          <w:rFonts w:ascii="Arial" w:hAnsi="Arial" w:cs="Arial"/>
          <w:sz w:val="24"/>
          <w:szCs w:val="24"/>
          <w:lang w:val="en-US"/>
        </w:rPr>
        <w:t>A number of facts emerge from the chronology that I have outlined. The first is that when the lockdown was imposed, ECDs had to close their doors and the children who attended them had to remain at home. Secondly, the Minister made it clear throughout, and repeatedly, that the subsidies that were paid to ECDs</w:t>
      </w:r>
      <w:r w:rsidR="0020577F">
        <w:rPr>
          <w:rFonts w:ascii="Arial" w:hAnsi="Arial" w:cs="Arial"/>
          <w:sz w:val="24"/>
          <w:szCs w:val="24"/>
          <w:lang w:val="en-US"/>
        </w:rPr>
        <w:t xml:space="preserve"> prior to the lockdown would continue to be paid to them </w:t>
      </w:r>
      <w:r w:rsidR="005959A5">
        <w:rPr>
          <w:rFonts w:ascii="Arial" w:hAnsi="Arial" w:cs="Arial"/>
          <w:sz w:val="24"/>
          <w:szCs w:val="24"/>
          <w:lang w:val="en-US"/>
        </w:rPr>
        <w:t>during</w:t>
      </w:r>
      <w:r w:rsidR="0020577F">
        <w:rPr>
          <w:rFonts w:ascii="Arial" w:hAnsi="Arial" w:cs="Arial"/>
          <w:sz w:val="24"/>
          <w:szCs w:val="24"/>
          <w:lang w:val="en-US"/>
        </w:rPr>
        <w:t xml:space="preserve"> the lockdown. Thirdly, as soon as it was possible to do so, detailed plans were developed to regulate the re-opening of </w:t>
      </w:r>
      <w:r w:rsidR="0020577F">
        <w:rPr>
          <w:rFonts w:ascii="Arial" w:hAnsi="Arial" w:cs="Arial"/>
          <w:sz w:val="24"/>
          <w:szCs w:val="24"/>
          <w:lang w:val="en-US"/>
        </w:rPr>
        <w:lastRenderedPageBreak/>
        <w:t>ECDs in a safe and responsible manner. Fourthly, those plans were formulated with the active participation and involvement of organisations in the ECD sector, including the first respondent. Fifthly, ECDs were re-opened as soon as they could be in the circumstances. With this context in mind, I turn now to that section of the affidavit of Ms Sekawana in which she deals specifically with the payment of subsidies to</w:t>
      </w:r>
      <w:r w:rsidR="00E81FDE">
        <w:rPr>
          <w:rFonts w:ascii="Arial" w:hAnsi="Arial" w:cs="Arial"/>
          <w:sz w:val="24"/>
          <w:szCs w:val="24"/>
          <w:lang w:val="en-US"/>
        </w:rPr>
        <w:t xml:space="preserve"> ECDs.</w:t>
      </w:r>
      <w:r w:rsidR="00BA542E">
        <w:rPr>
          <w:rFonts w:ascii="Arial" w:hAnsi="Arial" w:cs="Arial"/>
          <w:sz w:val="24"/>
          <w:szCs w:val="24"/>
          <w:lang w:val="en-US"/>
        </w:rPr>
        <w:t xml:space="preserve"> </w:t>
      </w:r>
    </w:p>
    <w:p w14:paraId="28A1AA82" w14:textId="77777777" w:rsidR="00E81FDE" w:rsidRDefault="00E81FDE" w:rsidP="00FA1B38">
      <w:pPr>
        <w:spacing w:after="0" w:line="360" w:lineRule="auto"/>
        <w:jc w:val="both"/>
        <w:rPr>
          <w:rFonts w:ascii="Arial" w:hAnsi="Arial" w:cs="Arial"/>
          <w:sz w:val="24"/>
          <w:szCs w:val="24"/>
          <w:lang w:val="en-US"/>
        </w:rPr>
      </w:pPr>
    </w:p>
    <w:p w14:paraId="39E07E01" w14:textId="7404661D" w:rsidR="002904CD" w:rsidRDefault="00E81FDE" w:rsidP="00FA1B38">
      <w:pPr>
        <w:spacing w:after="0" w:line="360" w:lineRule="auto"/>
        <w:jc w:val="both"/>
        <w:rPr>
          <w:rFonts w:ascii="Arial" w:hAnsi="Arial" w:cs="Arial"/>
          <w:sz w:val="24"/>
          <w:szCs w:val="24"/>
          <w:lang w:val="en-US"/>
        </w:rPr>
      </w:pPr>
      <w:r>
        <w:rPr>
          <w:rFonts w:ascii="Arial" w:hAnsi="Arial" w:cs="Arial"/>
          <w:sz w:val="24"/>
          <w:szCs w:val="24"/>
          <w:lang w:val="en-US"/>
        </w:rPr>
        <w:t>[39]</w:t>
      </w:r>
      <w:r w:rsidR="003933BD">
        <w:rPr>
          <w:rFonts w:ascii="Arial" w:hAnsi="Arial" w:cs="Arial"/>
          <w:sz w:val="24"/>
          <w:szCs w:val="24"/>
          <w:lang w:val="en-US"/>
        </w:rPr>
        <w:tab/>
        <w:t>Ms Sekawana denied that the eight MECs had unlawfully withh</w:t>
      </w:r>
      <w:r w:rsidR="00116F7F">
        <w:rPr>
          <w:rFonts w:ascii="Arial" w:hAnsi="Arial" w:cs="Arial"/>
          <w:sz w:val="24"/>
          <w:szCs w:val="24"/>
          <w:lang w:val="en-US"/>
        </w:rPr>
        <w:t>e</w:t>
      </w:r>
      <w:r w:rsidR="003933BD">
        <w:rPr>
          <w:rFonts w:ascii="Arial" w:hAnsi="Arial" w:cs="Arial"/>
          <w:sz w:val="24"/>
          <w:szCs w:val="24"/>
          <w:lang w:val="en-US"/>
        </w:rPr>
        <w:t>ld subsidies to ECDs. Instead, the provincial departments were encouraged to use their discretion during th</w:t>
      </w:r>
      <w:r w:rsidR="005959A5">
        <w:rPr>
          <w:rFonts w:ascii="Arial" w:hAnsi="Arial" w:cs="Arial"/>
          <w:sz w:val="24"/>
          <w:szCs w:val="24"/>
          <w:lang w:val="en-US"/>
        </w:rPr>
        <w:t>e</w:t>
      </w:r>
      <w:r w:rsidR="003933BD">
        <w:rPr>
          <w:rFonts w:ascii="Arial" w:hAnsi="Arial" w:cs="Arial"/>
          <w:sz w:val="24"/>
          <w:szCs w:val="24"/>
          <w:lang w:val="en-US"/>
        </w:rPr>
        <w:t xml:space="preserve"> lockdown </w:t>
      </w:r>
      <w:r w:rsidR="005959A5">
        <w:rPr>
          <w:rFonts w:ascii="Arial" w:hAnsi="Arial" w:cs="Arial"/>
          <w:sz w:val="24"/>
          <w:szCs w:val="24"/>
          <w:lang w:val="en-US"/>
        </w:rPr>
        <w:t xml:space="preserve">in respect of </w:t>
      </w:r>
      <w:r w:rsidR="003933BD">
        <w:rPr>
          <w:rFonts w:ascii="Arial" w:hAnsi="Arial" w:cs="Arial"/>
          <w:sz w:val="24"/>
          <w:szCs w:val="24"/>
          <w:lang w:val="en-US"/>
        </w:rPr>
        <w:t>the utiliz</w:t>
      </w:r>
      <w:r w:rsidR="005959A5">
        <w:rPr>
          <w:rFonts w:ascii="Arial" w:hAnsi="Arial" w:cs="Arial"/>
          <w:sz w:val="24"/>
          <w:szCs w:val="24"/>
          <w:lang w:val="en-US"/>
        </w:rPr>
        <w:t>ation of</w:t>
      </w:r>
      <w:r w:rsidR="003933BD">
        <w:rPr>
          <w:rFonts w:ascii="Arial" w:hAnsi="Arial" w:cs="Arial"/>
          <w:sz w:val="24"/>
          <w:szCs w:val="24"/>
          <w:lang w:val="en-US"/>
        </w:rPr>
        <w:t xml:space="preserve"> their funds because they would have to account in due course to the Auditor-General for their expenditure. As a result, each of the MECs had taken a decision on how to implement the Minister’s direction that ECDs be paid their subsidies </w:t>
      </w:r>
      <w:r w:rsidR="005959A5">
        <w:rPr>
          <w:rFonts w:ascii="Arial" w:hAnsi="Arial" w:cs="Arial"/>
          <w:sz w:val="24"/>
          <w:szCs w:val="24"/>
          <w:lang w:val="en-US"/>
        </w:rPr>
        <w:t>during</w:t>
      </w:r>
      <w:r w:rsidR="003933BD">
        <w:rPr>
          <w:rFonts w:ascii="Arial" w:hAnsi="Arial" w:cs="Arial"/>
          <w:sz w:val="24"/>
          <w:szCs w:val="24"/>
          <w:lang w:val="en-US"/>
        </w:rPr>
        <w:t xml:space="preserve"> the lockdown. These decisions were described as executive in nature. They were</w:t>
      </w:r>
      <w:r w:rsidR="00FE1A52">
        <w:rPr>
          <w:rFonts w:ascii="Arial" w:hAnsi="Arial" w:cs="Arial"/>
          <w:sz w:val="24"/>
          <w:szCs w:val="24"/>
          <w:lang w:val="en-US"/>
        </w:rPr>
        <w:t>, however, probably administrative in nature. Their classification is of no real moment because no</w:t>
      </w:r>
      <w:r w:rsidR="005959A5">
        <w:rPr>
          <w:rFonts w:ascii="Arial" w:hAnsi="Arial" w:cs="Arial"/>
          <w:sz w:val="24"/>
          <w:szCs w:val="24"/>
          <w:lang w:val="en-US"/>
        </w:rPr>
        <w:t>ne</w:t>
      </w:r>
      <w:r w:rsidR="00FE1A52">
        <w:rPr>
          <w:rFonts w:ascii="Arial" w:hAnsi="Arial" w:cs="Arial"/>
          <w:sz w:val="24"/>
          <w:szCs w:val="24"/>
          <w:lang w:val="en-US"/>
        </w:rPr>
        <w:t xml:space="preserve"> of these decisions has been challenged by means of an application to review them. Th</w:t>
      </w:r>
      <w:r w:rsidR="00005C47">
        <w:rPr>
          <w:rFonts w:ascii="Arial" w:hAnsi="Arial" w:cs="Arial"/>
          <w:sz w:val="24"/>
          <w:szCs w:val="24"/>
          <w:lang w:val="en-US"/>
        </w:rPr>
        <w:t>e</w:t>
      </w:r>
      <w:r w:rsidR="00FE1A52">
        <w:rPr>
          <w:rFonts w:ascii="Arial" w:hAnsi="Arial" w:cs="Arial"/>
          <w:sz w:val="24"/>
          <w:szCs w:val="24"/>
          <w:lang w:val="en-US"/>
        </w:rPr>
        <w:t xml:space="preserve"> result is that they</w:t>
      </w:r>
      <w:r w:rsidR="005959A5">
        <w:rPr>
          <w:rFonts w:ascii="Arial" w:hAnsi="Arial" w:cs="Arial"/>
          <w:sz w:val="24"/>
          <w:szCs w:val="24"/>
          <w:lang w:val="en-US"/>
        </w:rPr>
        <w:t xml:space="preserve"> exist in fact and</w:t>
      </w:r>
      <w:r w:rsidR="00FE1A52">
        <w:rPr>
          <w:rFonts w:ascii="Arial" w:hAnsi="Arial" w:cs="Arial"/>
          <w:sz w:val="24"/>
          <w:szCs w:val="24"/>
          <w:lang w:val="en-US"/>
        </w:rPr>
        <w:t xml:space="preserve"> have practical effect until </w:t>
      </w:r>
      <w:r w:rsidR="005959A5">
        <w:rPr>
          <w:rFonts w:ascii="Arial" w:hAnsi="Arial" w:cs="Arial"/>
          <w:sz w:val="24"/>
          <w:szCs w:val="24"/>
          <w:lang w:val="en-US"/>
        </w:rPr>
        <w:t>such time</w:t>
      </w:r>
      <w:r w:rsidR="001B72EC">
        <w:rPr>
          <w:rFonts w:ascii="Arial" w:hAnsi="Arial" w:cs="Arial"/>
          <w:sz w:val="24"/>
          <w:szCs w:val="24"/>
          <w:lang w:val="en-US"/>
        </w:rPr>
        <w:t xml:space="preserve"> as </w:t>
      </w:r>
      <w:r w:rsidR="00FE1A52">
        <w:rPr>
          <w:rFonts w:ascii="Arial" w:hAnsi="Arial" w:cs="Arial"/>
          <w:sz w:val="24"/>
          <w:szCs w:val="24"/>
          <w:lang w:val="en-US"/>
        </w:rPr>
        <w:t>the</w:t>
      </w:r>
      <w:r w:rsidR="002904CD">
        <w:rPr>
          <w:rFonts w:ascii="Arial" w:hAnsi="Arial" w:cs="Arial"/>
          <w:sz w:val="24"/>
          <w:szCs w:val="24"/>
          <w:lang w:val="en-US"/>
        </w:rPr>
        <w:t>y</w:t>
      </w:r>
      <w:r w:rsidR="00FE1A52">
        <w:rPr>
          <w:rFonts w:ascii="Arial" w:hAnsi="Arial" w:cs="Arial"/>
          <w:sz w:val="24"/>
          <w:szCs w:val="24"/>
          <w:lang w:val="en-US"/>
        </w:rPr>
        <w:t xml:space="preserve"> may be successfully challenged</w:t>
      </w:r>
      <w:r w:rsidR="001B72EC">
        <w:rPr>
          <w:rFonts w:ascii="Arial" w:hAnsi="Arial" w:cs="Arial"/>
          <w:sz w:val="24"/>
          <w:szCs w:val="24"/>
          <w:lang w:val="en-US"/>
        </w:rPr>
        <w:t xml:space="preserve"> and set aside by a court</w:t>
      </w:r>
      <w:r w:rsidR="00FE1A52">
        <w:rPr>
          <w:rFonts w:ascii="Arial" w:hAnsi="Arial" w:cs="Arial"/>
          <w:sz w:val="24"/>
          <w:szCs w:val="24"/>
          <w:lang w:val="en-US"/>
        </w:rPr>
        <w:t>.</w:t>
      </w:r>
      <w:r w:rsidR="00FE1A52">
        <w:rPr>
          <w:rStyle w:val="FootnoteReference"/>
          <w:rFonts w:ascii="Arial" w:hAnsi="Arial" w:cs="Arial"/>
          <w:sz w:val="24"/>
          <w:szCs w:val="24"/>
          <w:lang w:val="en-US"/>
        </w:rPr>
        <w:footnoteReference w:id="9"/>
      </w:r>
    </w:p>
    <w:p w14:paraId="0D082B36" w14:textId="77777777" w:rsidR="002904CD" w:rsidRDefault="002904CD" w:rsidP="00FA1B38">
      <w:pPr>
        <w:spacing w:after="0" w:line="360" w:lineRule="auto"/>
        <w:jc w:val="both"/>
        <w:rPr>
          <w:rFonts w:ascii="Arial" w:hAnsi="Arial" w:cs="Arial"/>
          <w:sz w:val="24"/>
          <w:szCs w:val="24"/>
          <w:lang w:val="en-US"/>
        </w:rPr>
      </w:pPr>
    </w:p>
    <w:p w14:paraId="398C930E" w14:textId="69445923" w:rsidR="002904CD" w:rsidRDefault="002904CD" w:rsidP="00FA1B38">
      <w:pPr>
        <w:spacing w:after="0" w:line="360" w:lineRule="auto"/>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t>Most of the MECs decided to pay 60 percent of the subsidies for the period when ECDs were prohibited from operating. This percentage of the subsidy constituted the salaries of staff and the administration costs of ECDs. It did not cover the nutrition component of the subsidies because the children were precluded from attending the ECDs.</w:t>
      </w:r>
    </w:p>
    <w:p w14:paraId="4B42D859" w14:textId="77777777" w:rsidR="002904CD" w:rsidRDefault="002904CD" w:rsidP="00FA1B38">
      <w:pPr>
        <w:spacing w:after="0" w:line="360" w:lineRule="auto"/>
        <w:jc w:val="both"/>
        <w:rPr>
          <w:rFonts w:ascii="Arial" w:hAnsi="Arial" w:cs="Arial"/>
          <w:sz w:val="24"/>
          <w:szCs w:val="24"/>
          <w:lang w:val="en-US"/>
        </w:rPr>
      </w:pPr>
    </w:p>
    <w:p w14:paraId="341CC4C3" w14:textId="5069A106" w:rsidR="001A2316" w:rsidRDefault="002904CD" w:rsidP="00FA1B38">
      <w:pPr>
        <w:spacing w:after="0" w:line="360" w:lineRule="auto"/>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t>Ms Seka</w:t>
      </w:r>
      <w:r w:rsidR="001A2316">
        <w:rPr>
          <w:rFonts w:ascii="Arial" w:hAnsi="Arial" w:cs="Arial"/>
          <w:sz w:val="24"/>
          <w:szCs w:val="24"/>
          <w:lang w:val="en-US"/>
        </w:rPr>
        <w:t>wana explained the reasoning behind these decisions as follows:</w:t>
      </w:r>
    </w:p>
    <w:p w14:paraId="3BA2DDE0" w14:textId="76D42E7C" w:rsidR="00F5455E" w:rsidRDefault="001A2316" w:rsidP="00FA1B38">
      <w:pPr>
        <w:spacing w:after="0" w:line="360" w:lineRule="auto"/>
        <w:jc w:val="both"/>
        <w:rPr>
          <w:rFonts w:ascii="Arial" w:hAnsi="Arial" w:cs="Arial"/>
          <w:sz w:val="24"/>
          <w:szCs w:val="24"/>
          <w:lang w:val="en-US"/>
        </w:rPr>
      </w:pPr>
      <w:r>
        <w:rPr>
          <w:rFonts w:ascii="Arial" w:hAnsi="Arial" w:cs="Arial"/>
          <w:lang w:val="en-US"/>
        </w:rPr>
        <w:t>‘The rationale for the decision was that the centres and programmes were closed until 6 July 2020 and therefore, no children attend</w:t>
      </w:r>
      <w:r w:rsidR="001B72EC">
        <w:rPr>
          <w:rFonts w:ascii="Arial" w:hAnsi="Arial" w:cs="Arial"/>
          <w:lang w:val="en-US"/>
        </w:rPr>
        <w:t>e</w:t>
      </w:r>
      <w:r>
        <w:rPr>
          <w:rFonts w:ascii="Arial" w:hAnsi="Arial" w:cs="Arial"/>
          <w:lang w:val="en-US"/>
        </w:rPr>
        <w:t>d. Furthermore, given th</w:t>
      </w:r>
      <w:r w:rsidR="001B72EC">
        <w:rPr>
          <w:rFonts w:ascii="Arial" w:hAnsi="Arial" w:cs="Arial"/>
          <w:lang w:val="en-US"/>
        </w:rPr>
        <w:t>e</w:t>
      </w:r>
      <w:r>
        <w:rPr>
          <w:rFonts w:ascii="Arial" w:hAnsi="Arial" w:cs="Arial"/>
          <w:lang w:val="en-US"/>
        </w:rPr>
        <w:t xml:space="preserve"> restrictions on movement during the hard lockdown, children and their parents would not have been </w:t>
      </w:r>
      <w:r w:rsidR="001B72EC">
        <w:rPr>
          <w:rFonts w:ascii="Arial" w:hAnsi="Arial" w:cs="Arial"/>
          <w:lang w:val="en-US"/>
        </w:rPr>
        <w:t>i</w:t>
      </w:r>
      <w:r>
        <w:rPr>
          <w:rFonts w:ascii="Arial" w:hAnsi="Arial" w:cs="Arial"/>
          <w:lang w:val="en-US"/>
        </w:rPr>
        <w:t xml:space="preserve">n a position to attend the centres and programmes purely for the purpose of meeting their nutritional needs. As such, centres and programmes were funded for the administrative costs associated with </w:t>
      </w:r>
      <w:r>
        <w:rPr>
          <w:rFonts w:ascii="Arial" w:hAnsi="Arial" w:cs="Arial"/>
          <w:lang w:val="en-US"/>
        </w:rPr>
        <w:lastRenderedPageBreak/>
        <w:t>their operations and the stipend payable to their employees.</w:t>
      </w:r>
      <w:r w:rsidR="00F5455E">
        <w:rPr>
          <w:rFonts w:ascii="Arial" w:hAnsi="Arial" w:cs="Arial"/>
          <w:lang w:val="en-US"/>
        </w:rPr>
        <w:t xml:space="preserve"> The 40% portion of the subsidy that was meant to be allocated for learners’ nutritional needs was repurposed during the lockdown period for the benefit of children not attending ECD programmes</w:t>
      </w:r>
      <w:r w:rsidR="003933BD">
        <w:rPr>
          <w:rFonts w:ascii="Arial" w:hAnsi="Arial" w:cs="Arial"/>
          <w:sz w:val="24"/>
          <w:szCs w:val="24"/>
          <w:lang w:val="en-US"/>
        </w:rPr>
        <w:t xml:space="preserve"> </w:t>
      </w:r>
      <w:r w:rsidR="00F5455E">
        <w:rPr>
          <w:rFonts w:ascii="Arial" w:hAnsi="Arial" w:cs="Arial"/>
          <w:sz w:val="24"/>
          <w:szCs w:val="24"/>
          <w:lang w:val="en-US"/>
        </w:rPr>
        <w:t>and partial care facilities.’</w:t>
      </w:r>
    </w:p>
    <w:p w14:paraId="4E3EDD4B" w14:textId="77777777" w:rsidR="00F5455E" w:rsidRDefault="00F5455E" w:rsidP="00FA1B38">
      <w:pPr>
        <w:spacing w:after="0" w:line="360" w:lineRule="auto"/>
        <w:jc w:val="both"/>
        <w:rPr>
          <w:rFonts w:ascii="Arial" w:hAnsi="Arial" w:cs="Arial"/>
          <w:sz w:val="24"/>
          <w:szCs w:val="24"/>
          <w:lang w:val="en-US"/>
        </w:rPr>
      </w:pPr>
    </w:p>
    <w:p w14:paraId="2EC1BA8E" w14:textId="3882E481" w:rsidR="00B02C46" w:rsidRDefault="00F5455E" w:rsidP="00FA1B38">
      <w:pPr>
        <w:spacing w:after="0" w:line="360" w:lineRule="auto"/>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t>Because the children could not obtain nutrition from the ECDs, the</w:t>
      </w:r>
      <w:r w:rsidR="00593762">
        <w:rPr>
          <w:rFonts w:ascii="Arial" w:hAnsi="Arial" w:cs="Arial"/>
          <w:sz w:val="24"/>
          <w:szCs w:val="24"/>
          <w:lang w:val="en-US"/>
        </w:rPr>
        <w:t xml:space="preserve"> </w:t>
      </w:r>
      <w:r>
        <w:rPr>
          <w:rFonts w:ascii="Arial" w:hAnsi="Arial" w:cs="Arial"/>
          <w:sz w:val="24"/>
          <w:szCs w:val="24"/>
          <w:lang w:val="en-US"/>
        </w:rPr>
        <w:t>department put in place other measures to provide access to nutrition for them</w:t>
      </w:r>
      <w:r w:rsidRPr="005F671C">
        <w:rPr>
          <w:rFonts w:ascii="Arial" w:hAnsi="Arial" w:cs="Arial"/>
          <w:sz w:val="24"/>
          <w:szCs w:val="24"/>
          <w:lang w:val="en-US"/>
        </w:rPr>
        <w:t xml:space="preserve">. </w:t>
      </w:r>
      <w:r w:rsidR="006B002D" w:rsidRPr="005F671C">
        <w:rPr>
          <w:rFonts w:ascii="Arial" w:hAnsi="Arial" w:cs="Arial"/>
          <w:sz w:val="24"/>
          <w:szCs w:val="24"/>
          <w:lang w:val="en-US"/>
        </w:rPr>
        <w:t>Those measures</w:t>
      </w:r>
      <w:r>
        <w:rPr>
          <w:rFonts w:ascii="Arial" w:hAnsi="Arial" w:cs="Arial"/>
          <w:sz w:val="24"/>
          <w:szCs w:val="24"/>
          <w:lang w:val="en-US"/>
        </w:rPr>
        <w:t>, as part of broader C</w:t>
      </w:r>
      <w:r w:rsidR="00A06534">
        <w:rPr>
          <w:rFonts w:ascii="Arial" w:hAnsi="Arial" w:cs="Arial"/>
          <w:sz w:val="24"/>
          <w:szCs w:val="24"/>
          <w:lang w:val="en-US"/>
        </w:rPr>
        <w:t>OVID</w:t>
      </w:r>
      <w:r>
        <w:rPr>
          <w:rFonts w:ascii="Arial" w:hAnsi="Arial" w:cs="Arial"/>
          <w:sz w:val="24"/>
          <w:szCs w:val="24"/>
          <w:lang w:val="en-US"/>
        </w:rPr>
        <w:t>-19 relief measures</w:t>
      </w:r>
      <w:r w:rsidR="006B002D" w:rsidRPr="005F671C">
        <w:rPr>
          <w:rFonts w:ascii="Arial" w:hAnsi="Arial" w:cs="Arial"/>
          <w:sz w:val="24"/>
          <w:szCs w:val="24"/>
          <w:lang w:val="en-US"/>
        </w:rPr>
        <w:t>,</w:t>
      </w:r>
      <w:r>
        <w:rPr>
          <w:rFonts w:ascii="Arial" w:hAnsi="Arial" w:cs="Arial"/>
          <w:sz w:val="24"/>
          <w:szCs w:val="24"/>
          <w:lang w:val="en-US"/>
        </w:rPr>
        <w:t xml:space="preserve"> made provision for the payment </w:t>
      </w:r>
      <w:r w:rsidR="00997F79">
        <w:rPr>
          <w:rFonts w:ascii="Arial" w:hAnsi="Arial" w:cs="Arial"/>
          <w:sz w:val="24"/>
          <w:szCs w:val="24"/>
          <w:lang w:val="en-US"/>
        </w:rPr>
        <w:t>of an additional amount of R300 for child support beneficiaries in May 2020. This amount increased to R500 from June to October 2020. In addition</w:t>
      </w:r>
      <w:r w:rsidR="00997F79" w:rsidRPr="005F671C">
        <w:rPr>
          <w:rFonts w:ascii="Arial" w:hAnsi="Arial" w:cs="Arial"/>
          <w:sz w:val="24"/>
          <w:szCs w:val="24"/>
          <w:lang w:val="en-US"/>
        </w:rPr>
        <w:t>, food parcels</w:t>
      </w:r>
      <w:r w:rsidR="006B002D" w:rsidRPr="005F671C">
        <w:rPr>
          <w:rFonts w:ascii="Arial" w:hAnsi="Arial" w:cs="Arial"/>
          <w:sz w:val="24"/>
          <w:szCs w:val="24"/>
          <w:lang w:val="en-US"/>
        </w:rPr>
        <w:t xml:space="preserve"> were provided</w:t>
      </w:r>
      <w:r w:rsidR="00997F79">
        <w:rPr>
          <w:rFonts w:ascii="Arial" w:hAnsi="Arial" w:cs="Arial"/>
          <w:sz w:val="24"/>
          <w:szCs w:val="24"/>
          <w:lang w:val="en-US"/>
        </w:rPr>
        <w:t xml:space="preserve"> as temporary assistance for those in need. These measures, Ms Sekawana said, were ‘directed at ensuring that even though children did not receive their daily meal at [ECDs], their nutritional needs were met’.</w:t>
      </w:r>
      <w:r w:rsidR="006A3462">
        <w:rPr>
          <w:rFonts w:ascii="Arial" w:hAnsi="Arial" w:cs="Arial"/>
          <w:sz w:val="24"/>
          <w:szCs w:val="24"/>
          <w:lang w:val="en-US"/>
        </w:rPr>
        <w:t xml:space="preserve"> Ms Sekawana emphasized that it had been decided that as soon as children returned to ECDs, full subsidies would again be paid, and that ‘all of the cited provinces have undertaken to re-instate the full allocation of the grant’ when this happened.</w:t>
      </w:r>
    </w:p>
    <w:p w14:paraId="081B8230" w14:textId="77777777" w:rsidR="00B02C46" w:rsidRDefault="00B02C46" w:rsidP="00FA1B38">
      <w:pPr>
        <w:spacing w:after="0" w:line="360" w:lineRule="auto"/>
        <w:jc w:val="both"/>
        <w:rPr>
          <w:rFonts w:ascii="Arial" w:hAnsi="Arial" w:cs="Arial"/>
          <w:sz w:val="24"/>
          <w:szCs w:val="24"/>
          <w:lang w:val="en-US"/>
        </w:rPr>
      </w:pPr>
    </w:p>
    <w:p w14:paraId="36BAA19A" w14:textId="678D6D63" w:rsidR="00593762" w:rsidRDefault="00B02C46" w:rsidP="00FA1B38">
      <w:pPr>
        <w:spacing w:after="0" w:line="360" w:lineRule="auto"/>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t>She made the point that it was a ‘curious fact of this application’ that while ‘the applicants use sensationalist language, accusing the department of starving defenceless children, there is no evidence before this Court that any of the centres were open prior to the judgment of Fabricius J’, which allowed for the conditional re-opening of private ECDs, and ‘that children actually attended centres allowing these facil</w:t>
      </w:r>
      <w:r w:rsidR="00593762">
        <w:rPr>
          <w:rFonts w:ascii="Arial" w:hAnsi="Arial" w:cs="Arial"/>
          <w:sz w:val="24"/>
          <w:szCs w:val="24"/>
          <w:lang w:val="en-US"/>
        </w:rPr>
        <w:t>i</w:t>
      </w:r>
      <w:r>
        <w:rPr>
          <w:rFonts w:ascii="Arial" w:hAnsi="Arial" w:cs="Arial"/>
          <w:sz w:val="24"/>
          <w:szCs w:val="24"/>
          <w:lang w:val="en-US"/>
        </w:rPr>
        <w:t>ties to attend to their nutritional needs’</w:t>
      </w:r>
      <w:r w:rsidR="00593762">
        <w:rPr>
          <w:rFonts w:ascii="Arial" w:hAnsi="Arial" w:cs="Arial"/>
          <w:sz w:val="24"/>
          <w:szCs w:val="24"/>
          <w:lang w:val="en-US"/>
        </w:rPr>
        <w:t>. No evidence was, in other words, adduced to establish that ‘when centres were empty the nutritional component was necessary for them to continue functioning’.</w:t>
      </w:r>
    </w:p>
    <w:p w14:paraId="2C35F96B" w14:textId="77777777" w:rsidR="00593762" w:rsidRDefault="00593762" w:rsidP="00FA1B38">
      <w:pPr>
        <w:spacing w:after="0" w:line="360" w:lineRule="auto"/>
        <w:jc w:val="both"/>
        <w:rPr>
          <w:rFonts w:ascii="Arial" w:hAnsi="Arial" w:cs="Arial"/>
          <w:sz w:val="24"/>
          <w:szCs w:val="24"/>
          <w:lang w:val="en-US"/>
        </w:rPr>
      </w:pPr>
    </w:p>
    <w:p w14:paraId="6D809B79" w14:textId="4C5BAC5F" w:rsidR="004C4455" w:rsidRDefault="00593762" w:rsidP="00FA1B38">
      <w:pPr>
        <w:spacing w:after="0" w:line="360" w:lineRule="auto"/>
        <w:jc w:val="both"/>
        <w:rPr>
          <w:rFonts w:ascii="Arial" w:hAnsi="Arial" w:cs="Arial"/>
          <w:sz w:val="24"/>
          <w:szCs w:val="24"/>
          <w:lang w:val="en-US"/>
        </w:rPr>
      </w:pPr>
      <w:r>
        <w:rPr>
          <w:rFonts w:ascii="Arial" w:hAnsi="Arial" w:cs="Arial"/>
          <w:sz w:val="24"/>
          <w:szCs w:val="24"/>
          <w:lang w:val="en-US"/>
        </w:rPr>
        <w:t>[44]</w:t>
      </w:r>
      <w:r w:rsidR="00F63412">
        <w:rPr>
          <w:rFonts w:ascii="Arial" w:hAnsi="Arial" w:cs="Arial"/>
          <w:sz w:val="24"/>
          <w:szCs w:val="24"/>
          <w:lang w:val="en-US"/>
        </w:rPr>
        <w:tab/>
        <w:t xml:space="preserve">She then dealt with the allegations of </w:t>
      </w:r>
      <w:r w:rsidR="0010264A">
        <w:rPr>
          <w:rFonts w:ascii="Arial" w:hAnsi="Arial" w:cs="Arial"/>
          <w:sz w:val="24"/>
          <w:szCs w:val="24"/>
          <w:lang w:val="en-US"/>
        </w:rPr>
        <w:t>non-payment of subsidies to some ECDs. She admitted that there had ‘regret</w:t>
      </w:r>
      <w:r w:rsidR="00D92C15">
        <w:rPr>
          <w:rFonts w:ascii="Arial" w:hAnsi="Arial" w:cs="Arial"/>
          <w:sz w:val="24"/>
          <w:szCs w:val="24"/>
          <w:lang w:val="en-US"/>
        </w:rPr>
        <w:t>t</w:t>
      </w:r>
      <w:r w:rsidR="0010264A">
        <w:rPr>
          <w:rFonts w:ascii="Arial" w:hAnsi="Arial" w:cs="Arial"/>
          <w:sz w:val="24"/>
          <w:szCs w:val="24"/>
          <w:lang w:val="en-US"/>
        </w:rPr>
        <w:t>ably’ been ‘occurrences of non-payment’. This had, however, been ‘sporadic and certainly not systemic or as a result of an unwillingness to pay’. In certain instances</w:t>
      </w:r>
      <w:r w:rsidR="00A06534">
        <w:rPr>
          <w:rFonts w:ascii="Arial" w:hAnsi="Arial" w:cs="Arial"/>
          <w:sz w:val="24"/>
          <w:szCs w:val="24"/>
          <w:lang w:val="en-US"/>
        </w:rPr>
        <w:t>,</w:t>
      </w:r>
      <w:r w:rsidR="0010264A">
        <w:rPr>
          <w:rFonts w:ascii="Arial" w:hAnsi="Arial" w:cs="Arial"/>
          <w:sz w:val="24"/>
          <w:szCs w:val="24"/>
          <w:lang w:val="en-US"/>
        </w:rPr>
        <w:t xml:space="preserve"> blame could not be attributed to the provincial departments. In some cases payments </w:t>
      </w:r>
      <w:r w:rsidR="004338D2">
        <w:rPr>
          <w:rFonts w:ascii="Arial" w:hAnsi="Arial" w:cs="Arial"/>
          <w:sz w:val="24"/>
          <w:szCs w:val="24"/>
          <w:lang w:val="en-US"/>
        </w:rPr>
        <w:t xml:space="preserve">were not made because ECDs had previously misused subsidies. In other </w:t>
      </w:r>
      <w:r w:rsidR="00A06534">
        <w:rPr>
          <w:rFonts w:ascii="Arial" w:hAnsi="Arial" w:cs="Arial"/>
          <w:sz w:val="24"/>
          <w:szCs w:val="24"/>
          <w:lang w:val="en-US"/>
        </w:rPr>
        <w:t>c</w:t>
      </w:r>
      <w:r w:rsidR="004338D2">
        <w:rPr>
          <w:rFonts w:ascii="Arial" w:hAnsi="Arial" w:cs="Arial"/>
          <w:sz w:val="24"/>
          <w:szCs w:val="24"/>
          <w:lang w:val="en-US"/>
        </w:rPr>
        <w:t>as</w:t>
      </w:r>
      <w:r w:rsidR="00A06534">
        <w:rPr>
          <w:rFonts w:ascii="Arial" w:hAnsi="Arial" w:cs="Arial"/>
          <w:sz w:val="24"/>
          <w:szCs w:val="24"/>
          <w:lang w:val="en-US"/>
        </w:rPr>
        <w:t>es,</w:t>
      </w:r>
      <w:r w:rsidR="004338D2">
        <w:rPr>
          <w:rFonts w:ascii="Arial" w:hAnsi="Arial" w:cs="Arial"/>
          <w:sz w:val="24"/>
          <w:szCs w:val="24"/>
          <w:lang w:val="en-US"/>
        </w:rPr>
        <w:t xml:space="preserve"> details had been furnished by ECDs of inoperative or closed bank accounts. These instances apart, Ms Sekawana was unequivocal in asserting that despite the administrative challenges that faced provincial departments, </w:t>
      </w:r>
      <w:r w:rsidR="004338D2">
        <w:rPr>
          <w:rFonts w:ascii="Arial" w:hAnsi="Arial" w:cs="Arial"/>
          <w:sz w:val="24"/>
          <w:szCs w:val="24"/>
          <w:lang w:val="en-US"/>
        </w:rPr>
        <w:lastRenderedPageBreak/>
        <w:t>‘where centres are open and they qualify for subsidies under the Children’s Act they have been paid, or will in due course be paid’.</w:t>
      </w:r>
      <w:r w:rsidR="004C4455">
        <w:rPr>
          <w:rFonts w:ascii="Arial" w:hAnsi="Arial" w:cs="Arial"/>
          <w:sz w:val="24"/>
          <w:szCs w:val="24"/>
          <w:lang w:val="en-US"/>
        </w:rPr>
        <w:t xml:space="preserve"> She had been assured of this by the provincial departments.</w:t>
      </w:r>
    </w:p>
    <w:p w14:paraId="24D72F3A" w14:textId="77777777" w:rsidR="004C4455" w:rsidRDefault="004C4455" w:rsidP="00FA1B38">
      <w:pPr>
        <w:spacing w:after="0" w:line="360" w:lineRule="auto"/>
        <w:jc w:val="both"/>
        <w:rPr>
          <w:rFonts w:ascii="Arial" w:hAnsi="Arial" w:cs="Arial"/>
          <w:sz w:val="24"/>
          <w:szCs w:val="24"/>
          <w:lang w:val="en-US"/>
        </w:rPr>
      </w:pPr>
    </w:p>
    <w:p w14:paraId="65A42CA4" w14:textId="73F0A814" w:rsidR="0070384B" w:rsidRDefault="004C4455" w:rsidP="00FA1B38">
      <w:pPr>
        <w:spacing w:after="0" w:line="360" w:lineRule="auto"/>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t xml:space="preserve">Action was taken to ensure that payments were made. For instance, at a meeting held on 20 July 2020, reports were submitted </w:t>
      </w:r>
      <w:r w:rsidR="005451E7">
        <w:rPr>
          <w:rFonts w:ascii="Arial" w:hAnsi="Arial" w:cs="Arial"/>
          <w:sz w:val="24"/>
          <w:szCs w:val="24"/>
          <w:lang w:val="en-US"/>
        </w:rPr>
        <w:t>by provincial departments concerning the payment of subsidies to ECDs. For the most part, this concerned the payment of subsidies for the second quarter. Some administrative difficulties were reported on. The Eastern Cape department had experienced ‘challenges’ in respect of payment to ‘new ECDs’. The Gauteng department had paid most of the ECDs in the first quarter but undertook to pay those that had not been paid a lump sum for the fi</w:t>
      </w:r>
      <w:r w:rsidR="00D92C15">
        <w:rPr>
          <w:rFonts w:ascii="Arial" w:hAnsi="Arial" w:cs="Arial"/>
          <w:sz w:val="24"/>
          <w:szCs w:val="24"/>
          <w:lang w:val="en-US"/>
        </w:rPr>
        <w:t>r</w:t>
      </w:r>
      <w:r w:rsidR="005451E7">
        <w:rPr>
          <w:rFonts w:ascii="Arial" w:hAnsi="Arial" w:cs="Arial"/>
          <w:sz w:val="24"/>
          <w:szCs w:val="24"/>
          <w:lang w:val="en-US"/>
        </w:rPr>
        <w:t>st and second quarters when payment for the second quarter fell due. The Northern Cape department reported that it had ‘paid the organisations until September 2020’</w:t>
      </w:r>
      <w:r w:rsidR="0070384B">
        <w:rPr>
          <w:rFonts w:ascii="Arial" w:hAnsi="Arial" w:cs="Arial"/>
          <w:sz w:val="24"/>
          <w:szCs w:val="24"/>
          <w:lang w:val="en-US"/>
        </w:rPr>
        <w:t>. The provincial departments were requested to continuously update their reports on subsidy payments.</w:t>
      </w:r>
    </w:p>
    <w:p w14:paraId="5DDE2D2D" w14:textId="77777777" w:rsidR="0070384B" w:rsidRDefault="0070384B" w:rsidP="00FA1B38">
      <w:pPr>
        <w:spacing w:after="0" w:line="360" w:lineRule="auto"/>
        <w:jc w:val="both"/>
        <w:rPr>
          <w:rFonts w:ascii="Arial" w:hAnsi="Arial" w:cs="Arial"/>
          <w:sz w:val="24"/>
          <w:szCs w:val="24"/>
          <w:lang w:val="en-US"/>
        </w:rPr>
      </w:pPr>
    </w:p>
    <w:p w14:paraId="5633E519" w14:textId="77777777" w:rsidR="0070384B" w:rsidRDefault="0070384B" w:rsidP="00FA1B38">
      <w:pPr>
        <w:spacing w:after="0" w:line="360" w:lineRule="auto"/>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t>Ms Sekawana explained that the purpose of the meetings with provincial departments was to ‘gauge from the provinces the extent to which they were implementing the recommendations emanating from the workstreams and to assess readiness to reopen ECDs’. To that end, a ‘toolkit was developed and all of the provinces submitted feedback on registration, payment of subsidies and the procurement of PPE’.</w:t>
      </w:r>
      <w:r w:rsidR="00F63412">
        <w:rPr>
          <w:rFonts w:ascii="Arial" w:hAnsi="Arial" w:cs="Arial"/>
          <w:sz w:val="24"/>
          <w:szCs w:val="24"/>
          <w:lang w:val="en-US"/>
        </w:rPr>
        <w:tab/>
      </w:r>
    </w:p>
    <w:p w14:paraId="44AD8555" w14:textId="77777777" w:rsidR="0070384B" w:rsidRDefault="0070384B" w:rsidP="00FA1B38">
      <w:pPr>
        <w:spacing w:after="0" w:line="360" w:lineRule="auto"/>
        <w:jc w:val="both"/>
        <w:rPr>
          <w:rFonts w:ascii="Arial" w:hAnsi="Arial" w:cs="Arial"/>
          <w:sz w:val="24"/>
          <w:szCs w:val="24"/>
          <w:lang w:val="en-US"/>
        </w:rPr>
      </w:pPr>
    </w:p>
    <w:p w14:paraId="55D4B2A8" w14:textId="77777777" w:rsidR="00D435A0" w:rsidRDefault="0070384B" w:rsidP="00FA1B38">
      <w:pPr>
        <w:spacing w:after="0" w:line="360" w:lineRule="auto"/>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t>Finally, in answer to the allegations made by the respondents</w:t>
      </w:r>
      <w:r w:rsidR="00D435A0">
        <w:rPr>
          <w:rFonts w:ascii="Arial" w:hAnsi="Arial" w:cs="Arial"/>
          <w:sz w:val="24"/>
          <w:szCs w:val="24"/>
          <w:lang w:val="en-US"/>
        </w:rPr>
        <w:t xml:space="preserve"> concerning unconstitutional conduct on the part of the Minister and the MECs, Ms Sekawana stated:</w:t>
      </w:r>
    </w:p>
    <w:p w14:paraId="32456AF9" w14:textId="726CF2DC" w:rsidR="00A66540" w:rsidRDefault="00D435A0" w:rsidP="00FA1B38">
      <w:pPr>
        <w:spacing w:after="0" w:line="360" w:lineRule="auto"/>
        <w:jc w:val="both"/>
        <w:rPr>
          <w:rFonts w:ascii="Arial" w:hAnsi="Arial" w:cs="Arial"/>
          <w:sz w:val="24"/>
          <w:szCs w:val="24"/>
          <w:lang w:val="en-US"/>
        </w:rPr>
      </w:pPr>
      <w:r>
        <w:rPr>
          <w:rFonts w:ascii="Arial" w:hAnsi="Arial" w:cs="Arial"/>
          <w:lang w:val="en-US"/>
        </w:rPr>
        <w:t>‘Again, the applicants in broad sensationalist terms accuse the department and provinces of reneging on their constitutional mandate. There is no objective empirical evidence before this Court that the department with the assistance of the provinces is not attending to the needs of the poor and vulnerable. In fact, th</w:t>
      </w:r>
      <w:r w:rsidR="00D92C15">
        <w:rPr>
          <w:rFonts w:ascii="Arial" w:hAnsi="Arial" w:cs="Arial"/>
          <w:lang w:val="en-US"/>
        </w:rPr>
        <w:t>e</w:t>
      </w:r>
      <w:r>
        <w:rPr>
          <w:rFonts w:ascii="Arial" w:hAnsi="Arial" w:cs="Arial"/>
          <w:lang w:val="en-US"/>
        </w:rPr>
        <w:t xml:space="preserve"> evidence shows the contrary. It demonstrates that through the implementation of the 8 workstreams; the increase in grant money</w:t>
      </w:r>
      <w:r w:rsidR="00A66540">
        <w:rPr>
          <w:rFonts w:ascii="Arial" w:hAnsi="Arial" w:cs="Arial"/>
          <w:lang w:val="en-US"/>
        </w:rPr>
        <w:t>; the provision of groceries to households and the social [distress relief] programme vulnerable communities are being reached and assisted.’</w:t>
      </w:r>
    </w:p>
    <w:p w14:paraId="392AD57E" w14:textId="77777777" w:rsidR="00A66540" w:rsidRDefault="00A66540" w:rsidP="00FA1B38">
      <w:pPr>
        <w:spacing w:after="0" w:line="360" w:lineRule="auto"/>
        <w:jc w:val="both"/>
        <w:rPr>
          <w:rFonts w:ascii="Arial" w:hAnsi="Arial" w:cs="Arial"/>
          <w:sz w:val="24"/>
          <w:szCs w:val="24"/>
          <w:lang w:val="en-US"/>
        </w:rPr>
      </w:pPr>
    </w:p>
    <w:p w14:paraId="3B8BB8E4" w14:textId="2B1184AA" w:rsidR="005A2301" w:rsidRDefault="00A66540" w:rsidP="00FA1B38">
      <w:pPr>
        <w:spacing w:after="0" w:line="360" w:lineRule="auto"/>
        <w:jc w:val="both"/>
        <w:rPr>
          <w:rFonts w:ascii="Arial" w:hAnsi="Arial" w:cs="Arial"/>
          <w:sz w:val="24"/>
          <w:szCs w:val="24"/>
          <w:lang w:val="en-US"/>
        </w:rPr>
      </w:pPr>
      <w:r>
        <w:rPr>
          <w:rFonts w:ascii="Arial" w:hAnsi="Arial" w:cs="Arial"/>
          <w:sz w:val="24"/>
          <w:szCs w:val="24"/>
          <w:lang w:val="en-US"/>
        </w:rPr>
        <w:lastRenderedPageBreak/>
        <w:t>[48]</w:t>
      </w:r>
      <w:r>
        <w:rPr>
          <w:rFonts w:ascii="Arial" w:hAnsi="Arial" w:cs="Arial"/>
          <w:sz w:val="24"/>
          <w:szCs w:val="24"/>
          <w:lang w:val="en-US"/>
        </w:rPr>
        <w:tab/>
      </w:r>
      <w:r w:rsidR="00AA465C">
        <w:rPr>
          <w:rFonts w:ascii="Arial" w:hAnsi="Arial" w:cs="Arial"/>
          <w:sz w:val="24"/>
          <w:szCs w:val="24"/>
          <w:lang w:val="en-US"/>
        </w:rPr>
        <w:t xml:space="preserve">During the course of Ms Sekawana’s answering affidavit, she </w:t>
      </w:r>
      <w:r w:rsidR="00885D40">
        <w:rPr>
          <w:rFonts w:ascii="Arial" w:hAnsi="Arial" w:cs="Arial"/>
          <w:sz w:val="24"/>
          <w:szCs w:val="24"/>
          <w:lang w:val="en-US"/>
        </w:rPr>
        <w:t>dealt in detail with the position of each of the provincial departments. Her averments in that regard have been confirmed in affidavits deposed to by each of the eight MECs concerned. The Minister, in her affidavit, confirmed the correctness of Ms Sekawana’s affidavit insofar as it related to her.</w:t>
      </w:r>
    </w:p>
    <w:p w14:paraId="2395695C" w14:textId="77777777" w:rsidR="005A2301" w:rsidRDefault="005A2301" w:rsidP="00FA1B38">
      <w:pPr>
        <w:spacing w:after="0" w:line="360" w:lineRule="auto"/>
        <w:jc w:val="both"/>
        <w:rPr>
          <w:rFonts w:ascii="Arial" w:hAnsi="Arial" w:cs="Arial"/>
          <w:sz w:val="24"/>
          <w:szCs w:val="24"/>
          <w:lang w:val="en-US"/>
        </w:rPr>
      </w:pPr>
    </w:p>
    <w:p w14:paraId="7020C7E0" w14:textId="67C00877" w:rsidR="007210F6" w:rsidRDefault="005A2301" w:rsidP="00FA1B38">
      <w:pPr>
        <w:spacing w:after="0" w:line="360" w:lineRule="auto"/>
        <w:jc w:val="both"/>
        <w:rPr>
          <w:rFonts w:ascii="Arial" w:hAnsi="Arial" w:cs="Arial"/>
          <w:sz w:val="24"/>
          <w:szCs w:val="24"/>
          <w:lang w:val="en-US"/>
        </w:rPr>
      </w:pPr>
      <w:r>
        <w:rPr>
          <w:rFonts w:ascii="Arial" w:hAnsi="Arial" w:cs="Arial"/>
          <w:sz w:val="24"/>
          <w:szCs w:val="24"/>
          <w:lang w:val="en-US"/>
        </w:rPr>
        <w:t>[49]</w:t>
      </w:r>
      <w:r>
        <w:rPr>
          <w:rFonts w:ascii="Arial" w:hAnsi="Arial" w:cs="Arial"/>
          <w:sz w:val="24"/>
          <w:szCs w:val="24"/>
          <w:lang w:val="en-US"/>
        </w:rPr>
        <w:tab/>
      </w:r>
      <w:r w:rsidR="007210F6">
        <w:rPr>
          <w:rFonts w:ascii="Arial" w:hAnsi="Arial" w:cs="Arial"/>
          <w:sz w:val="24"/>
          <w:szCs w:val="24"/>
          <w:lang w:val="en-US"/>
        </w:rPr>
        <w:t>The Minister also dealt specifically with the respondents’ attack on her conduct. In this respect, she denied having withheld, ‘unlawfully or otherwise’, the subsidies due to ECDs. She rejected what she termed ‘the unsubstantiated insinuations and allegations’ made by the respondents of bad faith on her part as well as irrational conduct, unlawfulness and contempt of court. She took exception to being labelled ‘delinquent’.</w:t>
      </w:r>
    </w:p>
    <w:p w14:paraId="197A541B" w14:textId="77777777" w:rsidR="007210F6" w:rsidRDefault="007210F6" w:rsidP="00FA1B38">
      <w:pPr>
        <w:spacing w:after="0" w:line="360" w:lineRule="auto"/>
        <w:jc w:val="both"/>
        <w:rPr>
          <w:rFonts w:ascii="Arial" w:hAnsi="Arial" w:cs="Arial"/>
          <w:sz w:val="24"/>
          <w:szCs w:val="24"/>
          <w:lang w:val="en-US"/>
        </w:rPr>
      </w:pPr>
    </w:p>
    <w:p w14:paraId="00EB39C9" w14:textId="58ADDBD4" w:rsidR="005C49D8" w:rsidRDefault="007210F6" w:rsidP="00FA1B38">
      <w:pPr>
        <w:spacing w:after="0" w:line="360" w:lineRule="auto"/>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t>She stressed that it was common cause that she had issued a direction that ECDs were to be paid their subsidies during the lockdown</w:t>
      </w:r>
      <w:r w:rsidR="005C49D8">
        <w:rPr>
          <w:rFonts w:ascii="Arial" w:hAnsi="Arial" w:cs="Arial"/>
          <w:sz w:val="24"/>
          <w:szCs w:val="24"/>
          <w:lang w:val="en-US"/>
        </w:rPr>
        <w:t>. She also said that, once the lockdown had been relaxed sufficiently to allow ECDs to re-open and children to attend them once again, there was no longer any reason why the provinces could not pay a ‘hundred percent of the subsidies to relevant ECDs’.</w:t>
      </w:r>
      <w:r w:rsidR="00D92C15">
        <w:rPr>
          <w:rFonts w:ascii="Arial" w:hAnsi="Arial" w:cs="Arial"/>
          <w:sz w:val="24"/>
          <w:szCs w:val="24"/>
          <w:lang w:val="en-US"/>
        </w:rPr>
        <w:t xml:space="preserve"> </w:t>
      </w:r>
      <w:r w:rsidR="005C49D8">
        <w:rPr>
          <w:rFonts w:ascii="Arial" w:hAnsi="Arial" w:cs="Arial"/>
          <w:sz w:val="24"/>
          <w:szCs w:val="24"/>
          <w:lang w:val="en-US"/>
        </w:rPr>
        <w:t>She noted that the provincial departments had undertaken to do so and stated that there was no reason why that undertaking could not be accepted.</w:t>
      </w:r>
    </w:p>
    <w:p w14:paraId="3E795AFB" w14:textId="77777777" w:rsidR="005C49D8" w:rsidRDefault="005C49D8" w:rsidP="00FA1B38">
      <w:pPr>
        <w:spacing w:after="0" w:line="360" w:lineRule="auto"/>
        <w:jc w:val="both"/>
        <w:rPr>
          <w:rFonts w:ascii="Arial" w:hAnsi="Arial" w:cs="Arial"/>
          <w:sz w:val="24"/>
          <w:szCs w:val="24"/>
          <w:lang w:val="en-US"/>
        </w:rPr>
      </w:pPr>
    </w:p>
    <w:p w14:paraId="38E939C4" w14:textId="77777777" w:rsidR="00327F02" w:rsidRDefault="005C49D8" w:rsidP="00FA1B38">
      <w:pPr>
        <w:spacing w:after="0" w:line="360" w:lineRule="auto"/>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t>She submitted that, on the basis of what is contained in Ms Sekawana’s affidavit as well as her own, there was no basis for the structural relief claimed by the respondents</w:t>
      </w:r>
      <w:r w:rsidR="00327F02">
        <w:rPr>
          <w:rFonts w:ascii="Arial" w:hAnsi="Arial" w:cs="Arial"/>
          <w:sz w:val="24"/>
          <w:szCs w:val="24"/>
          <w:lang w:val="en-US"/>
        </w:rPr>
        <w:t xml:space="preserve"> because the ‘MECs and I [are] complying with our statutory and constitutional obligations vis-à-vis the ECDs’.</w:t>
      </w:r>
    </w:p>
    <w:p w14:paraId="1FCC532D" w14:textId="77777777" w:rsidR="00327F02" w:rsidRDefault="00327F02" w:rsidP="00FA1B38">
      <w:pPr>
        <w:spacing w:after="0" w:line="360" w:lineRule="auto"/>
        <w:jc w:val="both"/>
        <w:rPr>
          <w:rFonts w:ascii="Arial" w:hAnsi="Arial" w:cs="Arial"/>
          <w:sz w:val="24"/>
          <w:szCs w:val="24"/>
          <w:lang w:val="en-US"/>
        </w:rPr>
      </w:pPr>
    </w:p>
    <w:p w14:paraId="1C14DAA5" w14:textId="77777777" w:rsidR="00327F02" w:rsidRDefault="00327F02" w:rsidP="00FA1B38">
      <w:pPr>
        <w:spacing w:after="0" w:line="360" w:lineRule="auto"/>
        <w:jc w:val="both"/>
        <w:rPr>
          <w:rFonts w:ascii="Arial" w:hAnsi="Arial" w:cs="Arial"/>
          <w:b/>
          <w:bCs/>
          <w:sz w:val="24"/>
          <w:szCs w:val="24"/>
          <w:lang w:val="en-US"/>
        </w:rPr>
      </w:pPr>
      <w:r>
        <w:rPr>
          <w:rFonts w:ascii="Arial" w:hAnsi="Arial" w:cs="Arial"/>
          <w:b/>
          <w:bCs/>
          <w:sz w:val="24"/>
          <w:szCs w:val="24"/>
          <w:lang w:val="en-US"/>
        </w:rPr>
        <w:t>Conclusion</w:t>
      </w:r>
    </w:p>
    <w:p w14:paraId="3CB7DEC7" w14:textId="73F557A6" w:rsidR="00B25E39" w:rsidRDefault="00CE6D14" w:rsidP="00FA1B38">
      <w:pPr>
        <w:spacing w:after="0" w:line="360" w:lineRule="auto"/>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C17AFB">
        <w:rPr>
          <w:rFonts w:ascii="Arial" w:hAnsi="Arial" w:cs="Arial"/>
          <w:sz w:val="24"/>
          <w:szCs w:val="24"/>
          <w:lang w:val="en-US"/>
        </w:rPr>
        <w:t>The court</w:t>
      </w:r>
      <w:r w:rsidR="00D92C15">
        <w:rPr>
          <w:rFonts w:ascii="Arial" w:hAnsi="Arial" w:cs="Arial"/>
          <w:sz w:val="24"/>
          <w:szCs w:val="24"/>
          <w:lang w:val="en-US"/>
        </w:rPr>
        <w:t xml:space="preserve"> below</w:t>
      </w:r>
      <w:r w:rsidR="00C17AFB">
        <w:rPr>
          <w:rFonts w:ascii="Arial" w:hAnsi="Arial" w:cs="Arial"/>
          <w:sz w:val="24"/>
          <w:szCs w:val="24"/>
          <w:lang w:val="en-US"/>
        </w:rPr>
        <w:t xml:space="preserve"> misdirected itself on the facts. It all but ignored the version of the Minister and the MECs and, when it took it into account, it appeared to find that it lacked credibility. It thus decided the matter on the facts put up by the applicants before </w:t>
      </w:r>
      <w:r w:rsidR="00C17AFB" w:rsidRPr="005F671C">
        <w:rPr>
          <w:rFonts w:ascii="Arial" w:hAnsi="Arial" w:cs="Arial"/>
          <w:sz w:val="24"/>
          <w:szCs w:val="24"/>
          <w:lang w:val="en-US"/>
        </w:rPr>
        <w:t xml:space="preserve">it </w:t>
      </w:r>
      <w:r w:rsidR="00921771" w:rsidRPr="005F671C">
        <w:rPr>
          <w:rFonts w:ascii="Arial" w:hAnsi="Arial" w:cs="Arial"/>
          <w:sz w:val="24"/>
          <w:szCs w:val="24"/>
          <w:lang w:val="en-US"/>
        </w:rPr>
        <w:t>(</w:t>
      </w:r>
      <w:r w:rsidR="00C17AFB" w:rsidRPr="005F671C">
        <w:rPr>
          <w:rFonts w:ascii="Arial" w:hAnsi="Arial" w:cs="Arial"/>
          <w:sz w:val="24"/>
          <w:szCs w:val="24"/>
          <w:lang w:val="en-US"/>
        </w:rPr>
        <w:t>the respondents on appeal</w:t>
      </w:r>
      <w:r w:rsidR="00921771" w:rsidRPr="005F671C">
        <w:rPr>
          <w:rFonts w:ascii="Arial" w:hAnsi="Arial" w:cs="Arial"/>
          <w:sz w:val="24"/>
          <w:szCs w:val="24"/>
          <w:lang w:val="en-US"/>
        </w:rPr>
        <w:t>)</w:t>
      </w:r>
      <w:r w:rsidR="00C17AFB" w:rsidRPr="005F671C">
        <w:rPr>
          <w:rFonts w:ascii="Arial" w:hAnsi="Arial" w:cs="Arial"/>
          <w:sz w:val="24"/>
          <w:szCs w:val="24"/>
          <w:lang w:val="en-US"/>
        </w:rPr>
        <w:t xml:space="preserve"> even</w:t>
      </w:r>
      <w:r w:rsidR="00C17AFB">
        <w:rPr>
          <w:rFonts w:ascii="Arial" w:hAnsi="Arial" w:cs="Arial"/>
          <w:sz w:val="24"/>
          <w:szCs w:val="24"/>
          <w:lang w:val="en-US"/>
        </w:rPr>
        <w:t xml:space="preserve"> when those facts were disputed. </w:t>
      </w:r>
    </w:p>
    <w:p w14:paraId="5B21823F" w14:textId="77777777" w:rsidR="00B25E39" w:rsidRDefault="00B25E39" w:rsidP="00FA1B38">
      <w:pPr>
        <w:spacing w:after="0" w:line="360" w:lineRule="auto"/>
        <w:jc w:val="both"/>
        <w:rPr>
          <w:rFonts w:ascii="Arial" w:hAnsi="Arial" w:cs="Arial"/>
          <w:sz w:val="24"/>
          <w:szCs w:val="24"/>
          <w:lang w:val="en-US"/>
        </w:rPr>
      </w:pPr>
    </w:p>
    <w:p w14:paraId="535E9EB4" w14:textId="6FDCFB29" w:rsidR="00485E7D" w:rsidRDefault="00B25E39" w:rsidP="00FA1B38">
      <w:pPr>
        <w:spacing w:after="0" w:line="360" w:lineRule="auto"/>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C17AFB">
        <w:rPr>
          <w:rFonts w:ascii="Arial" w:hAnsi="Arial" w:cs="Arial"/>
          <w:sz w:val="24"/>
          <w:szCs w:val="24"/>
          <w:lang w:val="en-US"/>
        </w:rPr>
        <w:t>To the extent that the court</w:t>
      </w:r>
      <w:r w:rsidR="00D92C15">
        <w:rPr>
          <w:rFonts w:ascii="Arial" w:hAnsi="Arial" w:cs="Arial"/>
          <w:sz w:val="24"/>
          <w:szCs w:val="24"/>
          <w:lang w:val="en-US"/>
        </w:rPr>
        <w:t xml:space="preserve"> below</w:t>
      </w:r>
      <w:r w:rsidR="00C17AFB">
        <w:rPr>
          <w:rFonts w:ascii="Arial" w:hAnsi="Arial" w:cs="Arial"/>
          <w:sz w:val="24"/>
          <w:szCs w:val="24"/>
          <w:lang w:val="en-US"/>
        </w:rPr>
        <w:t xml:space="preserve"> rejected the Minister’s and the MEC’s version on the papers, there was no justifiable basis for doing so.</w:t>
      </w:r>
      <w:r>
        <w:rPr>
          <w:rFonts w:ascii="Arial" w:hAnsi="Arial" w:cs="Arial"/>
          <w:sz w:val="24"/>
          <w:szCs w:val="24"/>
          <w:lang w:val="en-US"/>
        </w:rPr>
        <w:t xml:space="preserve"> It cannot be said that the </w:t>
      </w:r>
      <w:r>
        <w:rPr>
          <w:rFonts w:ascii="Arial" w:hAnsi="Arial" w:cs="Arial"/>
          <w:sz w:val="24"/>
          <w:szCs w:val="24"/>
          <w:lang w:val="en-US"/>
        </w:rPr>
        <w:lastRenderedPageBreak/>
        <w:t xml:space="preserve">disputes of fact raised by the Minister and the MECs were not real, genuine or bona fide disputes of fact. In their affidavits, they engaged with the facts in detail, </w:t>
      </w:r>
      <w:r w:rsidR="006D6B5E">
        <w:rPr>
          <w:rFonts w:ascii="Arial" w:hAnsi="Arial" w:cs="Arial"/>
          <w:sz w:val="24"/>
          <w:szCs w:val="24"/>
          <w:lang w:val="en-US"/>
        </w:rPr>
        <w:t xml:space="preserve">and did so </w:t>
      </w:r>
      <w:r>
        <w:rPr>
          <w:rFonts w:ascii="Arial" w:hAnsi="Arial" w:cs="Arial"/>
          <w:sz w:val="24"/>
          <w:szCs w:val="24"/>
          <w:lang w:val="en-US"/>
        </w:rPr>
        <w:t xml:space="preserve">seriously and unambiguously. </w:t>
      </w:r>
      <w:r w:rsidR="006D6B5E">
        <w:rPr>
          <w:rFonts w:ascii="Arial" w:hAnsi="Arial" w:cs="Arial"/>
          <w:sz w:val="24"/>
          <w:szCs w:val="24"/>
          <w:lang w:val="en-US"/>
        </w:rPr>
        <w:t xml:space="preserve">In addition, </w:t>
      </w:r>
      <w:r>
        <w:rPr>
          <w:rFonts w:ascii="Arial" w:hAnsi="Arial" w:cs="Arial"/>
          <w:sz w:val="24"/>
          <w:szCs w:val="24"/>
          <w:lang w:val="en-US"/>
        </w:rPr>
        <w:t xml:space="preserve">it certainly cannot be said that their version was far-fetched, clearly untenable or uncreditworthy </w:t>
      </w:r>
      <w:r w:rsidR="00485E7D">
        <w:rPr>
          <w:rFonts w:ascii="Arial" w:hAnsi="Arial" w:cs="Arial"/>
          <w:sz w:val="24"/>
          <w:szCs w:val="24"/>
          <w:lang w:val="en-US"/>
        </w:rPr>
        <w:t>– and thus liable to be rejected on the papers. The court</w:t>
      </w:r>
      <w:r w:rsidR="00D92C15">
        <w:rPr>
          <w:rFonts w:ascii="Arial" w:hAnsi="Arial" w:cs="Arial"/>
          <w:sz w:val="24"/>
          <w:szCs w:val="24"/>
          <w:lang w:val="en-US"/>
        </w:rPr>
        <w:t xml:space="preserve"> below</w:t>
      </w:r>
      <w:r w:rsidR="00485E7D">
        <w:rPr>
          <w:rFonts w:ascii="Arial" w:hAnsi="Arial" w:cs="Arial"/>
          <w:sz w:val="24"/>
          <w:szCs w:val="24"/>
          <w:lang w:val="en-US"/>
        </w:rPr>
        <w:t xml:space="preserve"> ought to have decided the application on the basis of the Minister’s and the MECs’ version. </w:t>
      </w:r>
    </w:p>
    <w:p w14:paraId="15B24862" w14:textId="77777777" w:rsidR="00485E7D" w:rsidRDefault="00485E7D" w:rsidP="00FA1B38">
      <w:pPr>
        <w:spacing w:after="0" w:line="360" w:lineRule="auto"/>
        <w:jc w:val="both"/>
        <w:rPr>
          <w:rFonts w:ascii="Arial" w:hAnsi="Arial" w:cs="Arial"/>
          <w:sz w:val="24"/>
          <w:szCs w:val="24"/>
          <w:lang w:val="en-US"/>
        </w:rPr>
      </w:pPr>
    </w:p>
    <w:p w14:paraId="0691B441" w14:textId="0CEC323E" w:rsidR="00D0209C" w:rsidRDefault="00485E7D" w:rsidP="00FA1B38">
      <w:pPr>
        <w:spacing w:after="0" w:line="360" w:lineRule="auto"/>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t>Had it done so, it could not have justifiably upheld the application and granted the relief that it did. On the version of the Minister and the MECs, the former instructed the MECs to pay subsidies to ECDs during the lockdown when ECDs could not function and children were prevented from attending them. The MECs, for their part, undertook to</w:t>
      </w:r>
      <w:r w:rsidR="00B25E39">
        <w:rPr>
          <w:rFonts w:ascii="Arial" w:hAnsi="Arial" w:cs="Arial"/>
          <w:sz w:val="24"/>
          <w:szCs w:val="24"/>
          <w:lang w:val="en-US"/>
        </w:rPr>
        <w:t xml:space="preserve"> </w:t>
      </w:r>
      <w:r>
        <w:rPr>
          <w:rFonts w:ascii="Arial" w:hAnsi="Arial" w:cs="Arial"/>
          <w:sz w:val="24"/>
          <w:szCs w:val="24"/>
          <w:lang w:val="en-US"/>
        </w:rPr>
        <w:t xml:space="preserve">do so. </w:t>
      </w:r>
      <w:r w:rsidR="00D93DA6">
        <w:rPr>
          <w:rFonts w:ascii="Arial" w:hAnsi="Arial" w:cs="Arial"/>
          <w:sz w:val="24"/>
          <w:szCs w:val="24"/>
          <w:lang w:val="en-US"/>
        </w:rPr>
        <w:t xml:space="preserve">The affidavit of Ms Sekawana stated that the necessary funds were transferred from the national sphere of government to the provinces to augment each province’s own contribution. </w:t>
      </w:r>
      <w:r>
        <w:rPr>
          <w:rFonts w:ascii="Arial" w:hAnsi="Arial" w:cs="Arial"/>
          <w:sz w:val="24"/>
          <w:szCs w:val="24"/>
          <w:lang w:val="en-US"/>
        </w:rPr>
        <w:t>As the nutrition component of the subsidies could not be utilized by the ECDs</w:t>
      </w:r>
      <w:r w:rsidRPr="005F671C">
        <w:rPr>
          <w:rFonts w:ascii="Arial" w:hAnsi="Arial" w:cs="Arial"/>
          <w:sz w:val="24"/>
          <w:szCs w:val="24"/>
          <w:lang w:val="en-US"/>
        </w:rPr>
        <w:t xml:space="preserve">, </w:t>
      </w:r>
      <w:r w:rsidR="00921771" w:rsidRPr="005F671C">
        <w:rPr>
          <w:rFonts w:ascii="Arial" w:hAnsi="Arial" w:cs="Arial"/>
          <w:sz w:val="24"/>
          <w:szCs w:val="24"/>
          <w:lang w:val="en-US"/>
        </w:rPr>
        <w:t xml:space="preserve">it was </w:t>
      </w:r>
      <w:r w:rsidRPr="005F671C">
        <w:rPr>
          <w:rFonts w:ascii="Arial" w:hAnsi="Arial" w:cs="Arial"/>
          <w:sz w:val="24"/>
          <w:szCs w:val="24"/>
          <w:lang w:val="en-US"/>
        </w:rPr>
        <w:t>deci</w:t>
      </w:r>
      <w:r w:rsidR="00921771" w:rsidRPr="005F671C">
        <w:rPr>
          <w:rFonts w:ascii="Arial" w:hAnsi="Arial" w:cs="Arial"/>
          <w:sz w:val="24"/>
          <w:szCs w:val="24"/>
          <w:lang w:val="en-US"/>
        </w:rPr>
        <w:t>ded</w:t>
      </w:r>
      <w:r>
        <w:rPr>
          <w:rFonts w:ascii="Arial" w:hAnsi="Arial" w:cs="Arial"/>
          <w:sz w:val="24"/>
          <w:szCs w:val="24"/>
          <w:lang w:val="en-US"/>
        </w:rPr>
        <w:t xml:space="preserve"> by the MECs to withhold payment of </w:t>
      </w:r>
      <w:r w:rsidR="009C6C03">
        <w:rPr>
          <w:rFonts w:ascii="Arial" w:hAnsi="Arial" w:cs="Arial"/>
          <w:sz w:val="24"/>
          <w:szCs w:val="24"/>
          <w:lang w:val="en-US"/>
        </w:rPr>
        <w:t xml:space="preserve">that part of the subsidy and to repurpose it, so that the nutritional needs of children could be addressed in other ways. </w:t>
      </w:r>
    </w:p>
    <w:p w14:paraId="4E61585A" w14:textId="77777777" w:rsidR="00D0209C" w:rsidRDefault="00D0209C" w:rsidP="00FA1B38">
      <w:pPr>
        <w:spacing w:after="0" w:line="360" w:lineRule="auto"/>
        <w:jc w:val="both"/>
        <w:rPr>
          <w:rFonts w:ascii="Arial" w:hAnsi="Arial" w:cs="Arial"/>
          <w:sz w:val="24"/>
          <w:szCs w:val="24"/>
          <w:lang w:val="en-US"/>
        </w:rPr>
      </w:pPr>
    </w:p>
    <w:p w14:paraId="61CCC75E" w14:textId="0B9C42CB" w:rsidR="00D0209C" w:rsidRDefault="00D0209C" w:rsidP="00FA1B38">
      <w:pPr>
        <w:spacing w:after="0" w:line="360" w:lineRule="auto"/>
        <w:jc w:val="both"/>
        <w:rPr>
          <w:rFonts w:ascii="Arial" w:hAnsi="Arial" w:cs="Arial"/>
          <w:sz w:val="24"/>
          <w:szCs w:val="24"/>
          <w:lang w:val="en-US"/>
        </w:rPr>
      </w:pPr>
      <w:r>
        <w:rPr>
          <w:rFonts w:ascii="Arial" w:hAnsi="Arial" w:cs="Arial"/>
          <w:sz w:val="24"/>
          <w:szCs w:val="24"/>
          <w:lang w:val="en-US"/>
        </w:rPr>
        <w:t>[55]</w:t>
      </w:r>
      <w:r>
        <w:rPr>
          <w:rFonts w:ascii="Arial" w:hAnsi="Arial" w:cs="Arial"/>
          <w:sz w:val="24"/>
          <w:szCs w:val="24"/>
          <w:lang w:val="en-US"/>
        </w:rPr>
        <w:tab/>
      </w:r>
      <w:r w:rsidR="009C6C03">
        <w:rPr>
          <w:rFonts w:ascii="Arial" w:hAnsi="Arial" w:cs="Arial"/>
          <w:sz w:val="24"/>
          <w:szCs w:val="24"/>
          <w:lang w:val="en-US"/>
        </w:rPr>
        <w:t xml:space="preserve">I cannot see what prejudice the management of ECDs </w:t>
      </w:r>
      <w:r w:rsidR="00332870">
        <w:rPr>
          <w:rFonts w:ascii="Arial" w:hAnsi="Arial" w:cs="Arial"/>
          <w:sz w:val="24"/>
          <w:szCs w:val="24"/>
          <w:lang w:val="en-US"/>
        </w:rPr>
        <w:t>c</w:t>
      </w:r>
      <w:r w:rsidR="009C6C03">
        <w:rPr>
          <w:rFonts w:ascii="Arial" w:hAnsi="Arial" w:cs="Arial"/>
          <w:sz w:val="24"/>
          <w:szCs w:val="24"/>
          <w:lang w:val="en-US"/>
        </w:rPr>
        <w:t xml:space="preserve">ould </w:t>
      </w:r>
      <w:r w:rsidR="006D6B5E">
        <w:rPr>
          <w:rFonts w:ascii="Arial" w:hAnsi="Arial" w:cs="Arial"/>
          <w:sz w:val="24"/>
          <w:szCs w:val="24"/>
          <w:lang w:val="en-US"/>
        </w:rPr>
        <w:t xml:space="preserve">possibly have </w:t>
      </w:r>
      <w:r w:rsidR="009C6C03">
        <w:rPr>
          <w:rFonts w:ascii="Arial" w:hAnsi="Arial" w:cs="Arial"/>
          <w:sz w:val="24"/>
          <w:szCs w:val="24"/>
          <w:lang w:val="en-US"/>
        </w:rPr>
        <w:t>suffer</w:t>
      </w:r>
      <w:r w:rsidR="006D6B5E">
        <w:rPr>
          <w:rFonts w:ascii="Arial" w:hAnsi="Arial" w:cs="Arial"/>
          <w:sz w:val="24"/>
          <w:szCs w:val="24"/>
          <w:lang w:val="en-US"/>
        </w:rPr>
        <w:t>ed</w:t>
      </w:r>
      <w:r w:rsidR="009C6C03">
        <w:rPr>
          <w:rFonts w:ascii="Arial" w:hAnsi="Arial" w:cs="Arial"/>
          <w:sz w:val="24"/>
          <w:szCs w:val="24"/>
          <w:lang w:val="en-US"/>
        </w:rPr>
        <w:t xml:space="preserve"> as a result of this arrangement: if the nutrition component had been paid to them during the lockdown, they </w:t>
      </w:r>
      <w:r w:rsidR="00332870">
        <w:rPr>
          <w:rFonts w:ascii="Arial" w:hAnsi="Arial" w:cs="Arial"/>
          <w:sz w:val="24"/>
          <w:szCs w:val="24"/>
          <w:lang w:val="en-US"/>
        </w:rPr>
        <w:t>c</w:t>
      </w:r>
      <w:r w:rsidR="009C6C03">
        <w:rPr>
          <w:rFonts w:ascii="Arial" w:hAnsi="Arial" w:cs="Arial"/>
          <w:sz w:val="24"/>
          <w:szCs w:val="24"/>
          <w:lang w:val="en-US"/>
        </w:rPr>
        <w:t>ould not lawfully have use</w:t>
      </w:r>
      <w:r w:rsidR="006D6B5E">
        <w:rPr>
          <w:rFonts w:ascii="Arial" w:hAnsi="Arial" w:cs="Arial"/>
          <w:sz w:val="24"/>
          <w:szCs w:val="24"/>
          <w:lang w:val="en-US"/>
        </w:rPr>
        <w:t>d</w:t>
      </w:r>
      <w:r w:rsidR="009C6C03">
        <w:rPr>
          <w:rFonts w:ascii="Arial" w:hAnsi="Arial" w:cs="Arial"/>
          <w:sz w:val="24"/>
          <w:szCs w:val="24"/>
          <w:lang w:val="en-US"/>
        </w:rPr>
        <w:t xml:space="preserve"> it for the intended</w:t>
      </w:r>
      <w:r w:rsidR="006D6B5E">
        <w:rPr>
          <w:rFonts w:ascii="Arial" w:hAnsi="Arial" w:cs="Arial"/>
          <w:sz w:val="24"/>
          <w:szCs w:val="24"/>
          <w:lang w:val="en-US"/>
        </w:rPr>
        <w:t xml:space="preserve"> </w:t>
      </w:r>
      <w:r w:rsidR="009C6C03">
        <w:rPr>
          <w:rFonts w:ascii="Arial" w:hAnsi="Arial" w:cs="Arial"/>
          <w:sz w:val="24"/>
          <w:szCs w:val="24"/>
          <w:lang w:val="en-US"/>
        </w:rPr>
        <w:t>purpose.</w:t>
      </w:r>
      <w:r>
        <w:rPr>
          <w:rFonts w:ascii="Arial" w:hAnsi="Arial" w:cs="Arial"/>
          <w:sz w:val="24"/>
          <w:szCs w:val="24"/>
          <w:lang w:val="en-US"/>
        </w:rPr>
        <w:t xml:space="preserve"> Those funds would have had to remain unspent in each ECD’s bank account and, presumably</w:t>
      </w:r>
      <w:r w:rsidR="00D92C15">
        <w:rPr>
          <w:rFonts w:ascii="Arial" w:hAnsi="Arial" w:cs="Arial"/>
          <w:sz w:val="24"/>
          <w:szCs w:val="24"/>
          <w:lang w:val="en-US"/>
        </w:rPr>
        <w:t>,</w:t>
      </w:r>
      <w:r>
        <w:rPr>
          <w:rFonts w:ascii="Arial" w:hAnsi="Arial" w:cs="Arial"/>
          <w:sz w:val="24"/>
          <w:szCs w:val="24"/>
          <w:lang w:val="en-US"/>
        </w:rPr>
        <w:t xml:space="preserve"> be returned to the provincial department concerned.</w:t>
      </w:r>
      <w:r w:rsidR="009C6C03">
        <w:rPr>
          <w:rFonts w:ascii="Arial" w:hAnsi="Arial" w:cs="Arial"/>
          <w:sz w:val="24"/>
          <w:szCs w:val="24"/>
          <w:lang w:val="en-US"/>
        </w:rPr>
        <w:t xml:space="preserve"> As ECDs were, in effect, mothballed for the period of the lockdown, the payment of the administrative component of the subsidy and salaries </w:t>
      </w:r>
      <w:r>
        <w:rPr>
          <w:rFonts w:ascii="Arial" w:hAnsi="Arial" w:cs="Arial"/>
          <w:sz w:val="24"/>
          <w:szCs w:val="24"/>
          <w:lang w:val="en-US"/>
        </w:rPr>
        <w:t>kept them in a position to re-open as soon as the C</w:t>
      </w:r>
      <w:r w:rsidR="006D6B5E">
        <w:rPr>
          <w:rFonts w:ascii="Arial" w:hAnsi="Arial" w:cs="Arial"/>
          <w:sz w:val="24"/>
          <w:szCs w:val="24"/>
          <w:lang w:val="en-US"/>
        </w:rPr>
        <w:t>OVID</w:t>
      </w:r>
      <w:r>
        <w:rPr>
          <w:rFonts w:ascii="Arial" w:hAnsi="Arial" w:cs="Arial"/>
          <w:sz w:val="24"/>
          <w:szCs w:val="24"/>
          <w:lang w:val="en-US"/>
        </w:rPr>
        <w:t>-19 position improved sufficiently to allow this.</w:t>
      </w:r>
    </w:p>
    <w:p w14:paraId="687307B0" w14:textId="77777777" w:rsidR="00D0209C" w:rsidRDefault="00D0209C" w:rsidP="00FA1B38">
      <w:pPr>
        <w:spacing w:after="0" w:line="360" w:lineRule="auto"/>
        <w:jc w:val="both"/>
        <w:rPr>
          <w:rFonts w:ascii="Arial" w:hAnsi="Arial" w:cs="Arial"/>
          <w:sz w:val="24"/>
          <w:szCs w:val="24"/>
          <w:lang w:val="en-US"/>
        </w:rPr>
      </w:pPr>
    </w:p>
    <w:p w14:paraId="578A9A69" w14:textId="7BF19716" w:rsidR="00872F28" w:rsidRDefault="00D0209C" w:rsidP="00FA1B38">
      <w:pPr>
        <w:spacing w:after="0" w:line="360" w:lineRule="auto"/>
        <w:jc w:val="both"/>
        <w:rPr>
          <w:rFonts w:ascii="Arial" w:hAnsi="Arial" w:cs="Arial"/>
          <w:sz w:val="24"/>
          <w:szCs w:val="24"/>
          <w:lang w:val="en-US"/>
        </w:rPr>
      </w:pPr>
      <w:r>
        <w:rPr>
          <w:rFonts w:ascii="Arial" w:hAnsi="Arial" w:cs="Arial"/>
          <w:sz w:val="24"/>
          <w:szCs w:val="24"/>
          <w:lang w:val="en-US"/>
        </w:rPr>
        <w:t>[56]</w:t>
      </w:r>
      <w:r>
        <w:rPr>
          <w:rFonts w:ascii="Arial" w:hAnsi="Arial" w:cs="Arial"/>
          <w:sz w:val="24"/>
          <w:szCs w:val="24"/>
          <w:lang w:val="en-US"/>
        </w:rPr>
        <w:tab/>
        <w:t>I am not unmindful of the fact that a great deal of suffering occurred during the lockdown. What is clear, however, is that it was not possible</w:t>
      </w:r>
      <w:r w:rsidR="001D35CF">
        <w:rPr>
          <w:rFonts w:ascii="Arial" w:hAnsi="Arial" w:cs="Arial"/>
          <w:sz w:val="24"/>
          <w:szCs w:val="24"/>
          <w:lang w:val="en-US"/>
        </w:rPr>
        <w:t>, in the light of the lockdown,</w:t>
      </w:r>
      <w:r>
        <w:rPr>
          <w:rFonts w:ascii="Arial" w:hAnsi="Arial" w:cs="Arial"/>
          <w:sz w:val="24"/>
          <w:szCs w:val="24"/>
          <w:lang w:val="en-US"/>
        </w:rPr>
        <w:t xml:space="preserve"> for</w:t>
      </w:r>
      <w:r w:rsidR="001D35CF">
        <w:rPr>
          <w:rFonts w:ascii="Arial" w:hAnsi="Arial" w:cs="Arial"/>
          <w:sz w:val="24"/>
          <w:szCs w:val="24"/>
          <w:lang w:val="en-US"/>
        </w:rPr>
        <w:t xml:space="preserve"> ECDs to provide nutrition to the children that had attended them prior to the lockdown. The Minister and the MECs tried to find alternative ways to provide that nutrition to those children.  </w:t>
      </w:r>
    </w:p>
    <w:p w14:paraId="296292C5" w14:textId="77777777" w:rsidR="00872F28" w:rsidRDefault="00872F28" w:rsidP="00FA1B38">
      <w:pPr>
        <w:spacing w:after="0" w:line="360" w:lineRule="auto"/>
        <w:jc w:val="both"/>
        <w:rPr>
          <w:rFonts w:ascii="Arial" w:hAnsi="Arial" w:cs="Arial"/>
          <w:sz w:val="24"/>
          <w:szCs w:val="24"/>
          <w:lang w:val="en-US"/>
        </w:rPr>
      </w:pPr>
    </w:p>
    <w:p w14:paraId="111E5644" w14:textId="20C272FD" w:rsidR="00DD3B0C" w:rsidRDefault="00872F28" w:rsidP="00FA1B38">
      <w:pPr>
        <w:spacing w:after="0" w:line="360" w:lineRule="auto"/>
        <w:jc w:val="both"/>
        <w:rPr>
          <w:rFonts w:ascii="Arial" w:hAnsi="Arial" w:cs="Arial"/>
          <w:sz w:val="24"/>
          <w:szCs w:val="24"/>
          <w:lang w:val="en-US"/>
        </w:rPr>
      </w:pPr>
      <w:r>
        <w:rPr>
          <w:rFonts w:ascii="Arial" w:hAnsi="Arial" w:cs="Arial"/>
          <w:sz w:val="24"/>
          <w:szCs w:val="24"/>
          <w:lang w:val="en-US"/>
        </w:rPr>
        <w:lastRenderedPageBreak/>
        <w:t>[57]</w:t>
      </w:r>
      <w:r>
        <w:rPr>
          <w:rFonts w:ascii="Arial" w:hAnsi="Arial" w:cs="Arial"/>
          <w:sz w:val="24"/>
          <w:szCs w:val="24"/>
          <w:lang w:val="en-US"/>
        </w:rPr>
        <w:tab/>
        <w:t xml:space="preserve">The </w:t>
      </w:r>
      <w:r w:rsidR="00332870">
        <w:rPr>
          <w:rFonts w:ascii="Arial" w:hAnsi="Arial" w:cs="Arial"/>
          <w:sz w:val="24"/>
          <w:szCs w:val="24"/>
          <w:lang w:val="en-US"/>
        </w:rPr>
        <w:t xml:space="preserve">Minister made it clear that </w:t>
      </w:r>
      <w:r>
        <w:rPr>
          <w:rFonts w:ascii="Arial" w:hAnsi="Arial" w:cs="Arial"/>
          <w:sz w:val="24"/>
          <w:szCs w:val="24"/>
          <w:lang w:val="en-US"/>
        </w:rPr>
        <w:t xml:space="preserve">full subsidies </w:t>
      </w:r>
      <w:r w:rsidR="00332870">
        <w:rPr>
          <w:rFonts w:ascii="Arial" w:hAnsi="Arial" w:cs="Arial"/>
          <w:sz w:val="24"/>
          <w:szCs w:val="24"/>
          <w:lang w:val="en-US"/>
        </w:rPr>
        <w:t>were to be paid to ECDs as soon as the</w:t>
      </w:r>
      <w:r>
        <w:rPr>
          <w:rFonts w:ascii="Arial" w:hAnsi="Arial" w:cs="Arial"/>
          <w:sz w:val="24"/>
          <w:szCs w:val="24"/>
          <w:lang w:val="en-US"/>
        </w:rPr>
        <w:t xml:space="preserve"> lockdown</w:t>
      </w:r>
      <w:r w:rsidR="00332870">
        <w:rPr>
          <w:rFonts w:ascii="Arial" w:hAnsi="Arial" w:cs="Arial"/>
          <w:sz w:val="24"/>
          <w:szCs w:val="24"/>
          <w:lang w:val="en-US"/>
        </w:rPr>
        <w:t xml:space="preserve"> had been lifted and children could attend them again. Once again, the MECs were in agreement and undertook to comply with the Minister’s direction. Ms Sekawana’s evidence was that subsidies were, for the most part, paid to ECDs, but some were not. </w:t>
      </w:r>
      <w:r w:rsidR="00DD3B0C">
        <w:rPr>
          <w:rFonts w:ascii="Arial" w:hAnsi="Arial" w:cs="Arial"/>
          <w:sz w:val="24"/>
          <w:szCs w:val="24"/>
          <w:lang w:val="en-US"/>
        </w:rPr>
        <w:t xml:space="preserve">This failure was not the result of a reluctance to pay but rather the result of administrative failures attributable in some cases to one or other of the provincial departments and in others to the management of particular ECDs. She stressed </w:t>
      </w:r>
      <w:r w:rsidR="00DD3B0C" w:rsidRPr="005F671C">
        <w:rPr>
          <w:rFonts w:ascii="Arial" w:hAnsi="Arial" w:cs="Arial"/>
          <w:sz w:val="24"/>
          <w:szCs w:val="24"/>
          <w:lang w:val="en-US"/>
        </w:rPr>
        <w:t xml:space="preserve">that </w:t>
      </w:r>
      <w:r w:rsidR="00921771" w:rsidRPr="005F671C">
        <w:rPr>
          <w:rFonts w:ascii="Arial" w:hAnsi="Arial" w:cs="Arial"/>
          <w:sz w:val="24"/>
          <w:szCs w:val="24"/>
          <w:lang w:val="en-US"/>
        </w:rPr>
        <w:t>such</w:t>
      </w:r>
      <w:r w:rsidR="00DD3B0C" w:rsidRPr="005F671C">
        <w:rPr>
          <w:rFonts w:ascii="Arial" w:hAnsi="Arial" w:cs="Arial"/>
          <w:sz w:val="24"/>
          <w:szCs w:val="24"/>
          <w:lang w:val="en-US"/>
        </w:rPr>
        <w:t xml:space="preserve"> failures as the</w:t>
      </w:r>
      <w:r w:rsidR="00921771" w:rsidRPr="005F671C">
        <w:rPr>
          <w:rFonts w:ascii="Arial" w:hAnsi="Arial" w:cs="Arial"/>
          <w:sz w:val="24"/>
          <w:szCs w:val="24"/>
          <w:lang w:val="en-US"/>
        </w:rPr>
        <w:t>re ma</w:t>
      </w:r>
      <w:r w:rsidR="00DD3B0C" w:rsidRPr="005F671C">
        <w:rPr>
          <w:rFonts w:ascii="Arial" w:hAnsi="Arial" w:cs="Arial"/>
          <w:sz w:val="24"/>
          <w:szCs w:val="24"/>
          <w:lang w:val="en-US"/>
        </w:rPr>
        <w:t>y</w:t>
      </w:r>
      <w:r w:rsidR="00921771" w:rsidRPr="005F671C">
        <w:rPr>
          <w:rFonts w:ascii="Arial" w:hAnsi="Arial" w:cs="Arial"/>
          <w:sz w:val="24"/>
          <w:szCs w:val="24"/>
          <w:lang w:val="en-US"/>
        </w:rPr>
        <w:t xml:space="preserve"> have been</w:t>
      </w:r>
      <w:r w:rsidR="00DD3B0C">
        <w:rPr>
          <w:rFonts w:ascii="Arial" w:hAnsi="Arial" w:cs="Arial"/>
          <w:sz w:val="24"/>
          <w:szCs w:val="24"/>
          <w:lang w:val="en-US"/>
        </w:rPr>
        <w:t xml:space="preserve"> were not systemic, and would be </w:t>
      </w:r>
      <w:r w:rsidR="006D6B5E">
        <w:rPr>
          <w:rFonts w:ascii="Arial" w:hAnsi="Arial" w:cs="Arial"/>
          <w:sz w:val="24"/>
          <w:szCs w:val="24"/>
          <w:lang w:val="en-US"/>
        </w:rPr>
        <w:t>rectified</w:t>
      </w:r>
      <w:r w:rsidR="00DD3B0C">
        <w:rPr>
          <w:rFonts w:ascii="Arial" w:hAnsi="Arial" w:cs="Arial"/>
          <w:sz w:val="24"/>
          <w:szCs w:val="24"/>
          <w:lang w:val="en-US"/>
        </w:rPr>
        <w:t>.</w:t>
      </w:r>
    </w:p>
    <w:p w14:paraId="573BBF83" w14:textId="77777777" w:rsidR="00DD3B0C" w:rsidRDefault="00DD3B0C" w:rsidP="00FA1B38">
      <w:pPr>
        <w:spacing w:after="0" w:line="360" w:lineRule="auto"/>
        <w:jc w:val="both"/>
        <w:rPr>
          <w:rFonts w:ascii="Arial" w:hAnsi="Arial" w:cs="Arial"/>
          <w:sz w:val="24"/>
          <w:szCs w:val="24"/>
          <w:lang w:val="en-US"/>
        </w:rPr>
      </w:pPr>
    </w:p>
    <w:p w14:paraId="247AC787" w14:textId="1E057481" w:rsidR="00872F28" w:rsidRDefault="00DD3B0C" w:rsidP="00FA1B38">
      <w:pPr>
        <w:spacing w:after="0" w:line="360" w:lineRule="auto"/>
        <w:jc w:val="both"/>
        <w:rPr>
          <w:rFonts w:ascii="Arial" w:hAnsi="Arial" w:cs="Arial"/>
          <w:sz w:val="24"/>
          <w:szCs w:val="24"/>
          <w:lang w:val="en-US"/>
        </w:rPr>
      </w:pPr>
      <w:r>
        <w:rPr>
          <w:rFonts w:ascii="Arial" w:hAnsi="Arial" w:cs="Arial"/>
          <w:sz w:val="24"/>
          <w:szCs w:val="24"/>
          <w:lang w:val="en-US"/>
        </w:rPr>
        <w:t>[58]</w:t>
      </w:r>
      <w:r>
        <w:rPr>
          <w:rFonts w:ascii="Arial" w:hAnsi="Arial" w:cs="Arial"/>
          <w:sz w:val="24"/>
          <w:szCs w:val="24"/>
          <w:lang w:val="en-US"/>
        </w:rPr>
        <w:tab/>
        <w:t xml:space="preserve">Once the above evidence is accepted, as it must be, it cannot be concluded that either the Minister or the MECs had breached </w:t>
      </w:r>
      <w:r w:rsidR="00E06585">
        <w:rPr>
          <w:rFonts w:ascii="Arial" w:hAnsi="Arial" w:cs="Arial"/>
          <w:sz w:val="24"/>
          <w:szCs w:val="24"/>
          <w:lang w:val="en-US"/>
        </w:rPr>
        <w:t>any of their constitutional obligations in respect of the funding of ECDs. The relief claimed by the respondents</w:t>
      </w:r>
      <w:r w:rsidR="006D6B5E">
        <w:rPr>
          <w:rFonts w:ascii="Arial" w:hAnsi="Arial" w:cs="Arial"/>
          <w:sz w:val="24"/>
          <w:szCs w:val="24"/>
          <w:lang w:val="en-US"/>
        </w:rPr>
        <w:t>, and granted by the court below,</w:t>
      </w:r>
      <w:r w:rsidR="00E06585">
        <w:rPr>
          <w:rFonts w:ascii="Arial" w:hAnsi="Arial" w:cs="Arial"/>
          <w:sz w:val="24"/>
          <w:szCs w:val="24"/>
          <w:lang w:val="en-US"/>
        </w:rPr>
        <w:t xml:space="preserve"> is, in any event, not designed to remedy the individual instances of non-payment, and is incapable of doing so. </w:t>
      </w:r>
      <w:r>
        <w:rPr>
          <w:rFonts w:ascii="Arial" w:hAnsi="Arial" w:cs="Arial"/>
          <w:sz w:val="24"/>
          <w:szCs w:val="24"/>
          <w:lang w:val="en-US"/>
        </w:rPr>
        <w:t xml:space="preserve"> </w:t>
      </w:r>
      <w:r w:rsidR="00332870">
        <w:rPr>
          <w:rFonts w:ascii="Arial" w:hAnsi="Arial" w:cs="Arial"/>
          <w:sz w:val="24"/>
          <w:szCs w:val="24"/>
          <w:lang w:val="en-US"/>
        </w:rPr>
        <w:t xml:space="preserve"> </w:t>
      </w:r>
    </w:p>
    <w:p w14:paraId="2125F6A8" w14:textId="4BA95982" w:rsidR="00872F28" w:rsidRDefault="00872F28" w:rsidP="00FA1B38">
      <w:pPr>
        <w:spacing w:after="0" w:line="360" w:lineRule="auto"/>
        <w:jc w:val="both"/>
        <w:rPr>
          <w:rFonts w:ascii="Arial" w:hAnsi="Arial" w:cs="Arial"/>
          <w:sz w:val="24"/>
          <w:szCs w:val="24"/>
          <w:lang w:val="en-US"/>
        </w:rPr>
      </w:pPr>
    </w:p>
    <w:p w14:paraId="6BCF81CB" w14:textId="22DDAF51" w:rsidR="0051537B" w:rsidRDefault="00872F28" w:rsidP="00FA1B38">
      <w:pPr>
        <w:spacing w:after="0" w:line="360" w:lineRule="auto"/>
        <w:jc w:val="both"/>
        <w:rPr>
          <w:rFonts w:ascii="Arial" w:hAnsi="Arial" w:cs="Arial"/>
          <w:sz w:val="24"/>
          <w:szCs w:val="24"/>
          <w:lang w:val="en-US"/>
        </w:rPr>
      </w:pPr>
      <w:r>
        <w:rPr>
          <w:rFonts w:ascii="Arial" w:hAnsi="Arial" w:cs="Arial"/>
          <w:sz w:val="24"/>
          <w:szCs w:val="24"/>
          <w:lang w:val="en-US"/>
        </w:rPr>
        <w:t>[</w:t>
      </w:r>
      <w:r w:rsidR="00B57819">
        <w:rPr>
          <w:rFonts w:ascii="Arial" w:hAnsi="Arial" w:cs="Arial"/>
          <w:sz w:val="24"/>
          <w:szCs w:val="24"/>
          <w:lang w:val="en-US"/>
        </w:rPr>
        <w:t>59</w:t>
      </w:r>
      <w:r>
        <w:rPr>
          <w:rFonts w:ascii="Arial" w:hAnsi="Arial" w:cs="Arial"/>
          <w:sz w:val="24"/>
          <w:szCs w:val="24"/>
          <w:lang w:val="en-US"/>
        </w:rPr>
        <w:t>]</w:t>
      </w:r>
      <w:r>
        <w:rPr>
          <w:rFonts w:ascii="Arial" w:hAnsi="Arial" w:cs="Arial"/>
          <w:sz w:val="24"/>
          <w:szCs w:val="24"/>
          <w:lang w:val="en-US"/>
        </w:rPr>
        <w:tab/>
        <w:t xml:space="preserve">The </w:t>
      </w:r>
      <w:r w:rsidR="00944A0B">
        <w:rPr>
          <w:rFonts w:ascii="Arial" w:hAnsi="Arial" w:cs="Arial"/>
          <w:sz w:val="24"/>
          <w:szCs w:val="24"/>
          <w:lang w:val="en-US"/>
        </w:rPr>
        <w:t xml:space="preserve">appeal must, for the reasons stated above, succeed. Before I make an order to that effect, it is necessary to </w:t>
      </w:r>
      <w:r w:rsidR="00013509">
        <w:rPr>
          <w:rFonts w:ascii="Arial" w:hAnsi="Arial" w:cs="Arial"/>
          <w:sz w:val="24"/>
          <w:szCs w:val="24"/>
          <w:lang w:val="en-US"/>
        </w:rPr>
        <w:t xml:space="preserve">record two observations. First, the punitive costs orders made by the court below were unwarranted. Secondly, despite the patently unreasonable attitude adopted by the respondents in the appeal, the Minister and the MECs have not sought costs against them either in the court below or in the appeal. </w:t>
      </w:r>
      <w:r w:rsidR="00944A0B">
        <w:rPr>
          <w:rFonts w:ascii="Arial" w:hAnsi="Arial" w:cs="Arial"/>
          <w:sz w:val="24"/>
          <w:szCs w:val="24"/>
          <w:lang w:val="en-US"/>
        </w:rPr>
        <w:t xml:space="preserve"> </w:t>
      </w:r>
    </w:p>
    <w:p w14:paraId="7FF1A767" w14:textId="77777777" w:rsidR="0051537B" w:rsidRDefault="0051537B" w:rsidP="00FA1B38">
      <w:pPr>
        <w:spacing w:after="0" w:line="360" w:lineRule="auto"/>
        <w:jc w:val="both"/>
        <w:rPr>
          <w:rFonts w:ascii="Arial" w:hAnsi="Arial" w:cs="Arial"/>
          <w:sz w:val="24"/>
          <w:szCs w:val="24"/>
          <w:lang w:val="en-US"/>
        </w:rPr>
      </w:pPr>
    </w:p>
    <w:p w14:paraId="621192F3" w14:textId="413CF1EE" w:rsidR="00872F28" w:rsidRDefault="00B57819" w:rsidP="00FA1B38">
      <w:pPr>
        <w:spacing w:after="0" w:line="360" w:lineRule="auto"/>
        <w:jc w:val="both"/>
        <w:rPr>
          <w:rFonts w:ascii="Arial" w:hAnsi="Arial" w:cs="Arial"/>
          <w:sz w:val="24"/>
          <w:szCs w:val="24"/>
          <w:lang w:val="en-US"/>
        </w:rPr>
      </w:pPr>
      <w:r>
        <w:rPr>
          <w:rFonts w:ascii="Arial" w:hAnsi="Arial" w:cs="Arial"/>
          <w:sz w:val="24"/>
          <w:szCs w:val="24"/>
          <w:lang w:val="en-US"/>
        </w:rPr>
        <w:t>[60</w:t>
      </w:r>
      <w:r w:rsidR="00BA4928">
        <w:rPr>
          <w:rFonts w:ascii="Arial" w:hAnsi="Arial" w:cs="Arial"/>
          <w:sz w:val="24"/>
          <w:szCs w:val="24"/>
          <w:lang w:val="en-US"/>
        </w:rPr>
        <w:t>]</w:t>
      </w:r>
      <w:r w:rsidR="00BA4928">
        <w:rPr>
          <w:rFonts w:ascii="Arial" w:hAnsi="Arial" w:cs="Arial"/>
          <w:sz w:val="24"/>
          <w:szCs w:val="24"/>
          <w:lang w:val="en-US"/>
        </w:rPr>
        <w:tab/>
        <w:t>As a result, I make the following order.</w:t>
      </w:r>
    </w:p>
    <w:p w14:paraId="62F7E5A4" w14:textId="061692AA" w:rsidR="009519DF" w:rsidRDefault="009519DF" w:rsidP="009519DF">
      <w:pPr>
        <w:spacing w:after="0" w:line="360" w:lineRule="auto"/>
        <w:jc w:val="both"/>
        <w:rPr>
          <w:rFonts w:ascii="Arial" w:hAnsi="Arial" w:cs="Arial"/>
          <w:sz w:val="24"/>
          <w:szCs w:val="24"/>
          <w:lang w:val="en-US"/>
        </w:rPr>
      </w:pPr>
      <w:r>
        <w:rPr>
          <w:rFonts w:ascii="Arial" w:hAnsi="Arial" w:cs="Arial"/>
          <w:sz w:val="24"/>
          <w:szCs w:val="24"/>
          <w:lang w:val="en-US"/>
        </w:rPr>
        <w:t xml:space="preserve">1 The appeal is </w:t>
      </w:r>
      <w:r w:rsidR="00013509">
        <w:rPr>
          <w:rFonts w:ascii="Arial" w:hAnsi="Arial" w:cs="Arial"/>
          <w:sz w:val="24"/>
          <w:szCs w:val="24"/>
          <w:lang w:val="en-US"/>
        </w:rPr>
        <w:t>upheld</w:t>
      </w:r>
      <w:r>
        <w:rPr>
          <w:rFonts w:ascii="Arial" w:hAnsi="Arial" w:cs="Arial"/>
          <w:sz w:val="24"/>
          <w:szCs w:val="24"/>
          <w:lang w:val="en-US"/>
        </w:rPr>
        <w:t>.</w:t>
      </w:r>
    </w:p>
    <w:p w14:paraId="5B31B5A5" w14:textId="77777777" w:rsidR="009519DF" w:rsidRDefault="009519DF" w:rsidP="009519DF">
      <w:pPr>
        <w:spacing w:after="0" w:line="360" w:lineRule="auto"/>
        <w:jc w:val="both"/>
        <w:rPr>
          <w:rFonts w:ascii="Arial" w:hAnsi="Arial" w:cs="Arial"/>
          <w:sz w:val="24"/>
          <w:szCs w:val="24"/>
          <w:lang w:val="en-US"/>
        </w:rPr>
      </w:pPr>
      <w:r>
        <w:rPr>
          <w:rFonts w:ascii="Arial" w:hAnsi="Arial" w:cs="Arial"/>
          <w:sz w:val="24"/>
          <w:szCs w:val="24"/>
          <w:lang w:val="en-US"/>
        </w:rPr>
        <w:t>2 The order of the high court is set aside and replaced with the following order.</w:t>
      </w:r>
    </w:p>
    <w:p w14:paraId="1D125874" w14:textId="77777777" w:rsidR="009519DF" w:rsidRDefault="009519DF" w:rsidP="009519DF">
      <w:pPr>
        <w:spacing w:after="0" w:line="360" w:lineRule="auto"/>
        <w:jc w:val="both"/>
        <w:rPr>
          <w:rFonts w:ascii="Arial" w:hAnsi="Arial" w:cs="Arial"/>
          <w:sz w:val="24"/>
          <w:szCs w:val="24"/>
          <w:lang w:val="en-US"/>
        </w:rPr>
      </w:pPr>
      <w:r>
        <w:rPr>
          <w:rFonts w:ascii="Arial" w:hAnsi="Arial" w:cs="Arial"/>
          <w:sz w:val="24"/>
          <w:szCs w:val="24"/>
          <w:lang w:val="en-US"/>
        </w:rPr>
        <w:t>‘The application is dismissed.’</w:t>
      </w:r>
    </w:p>
    <w:p w14:paraId="1D316244" w14:textId="698599D4" w:rsidR="00B25E39" w:rsidRPr="00CE6D14" w:rsidRDefault="00B25E39" w:rsidP="00FA1B38">
      <w:pPr>
        <w:spacing w:after="0" w:line="360" w:lineRule="auto"/>
        <w:jc w:val="both"/>
        <w:rPr>
          <w:rFonts w:ascii="Arial" w:hAnsi="Arial" w:cs="Arial"/>
          <w:sz w:val="24"/>
          <w:szCs w:val="24"/>
          <w:lang w:val="en-US"/>
        </w:rPr>
      </w:pPr>
    </w:p>
    <w:p w14:paraId="18C75577" w14:textId="6714A243" w:rsidR="00FA1B38" w:rsidRPr="00FA1B38" w:rsidRDefault="005C49D8" w:rsidP="00FA1B38">
      <w:pPr>
        <w:spacing w:after="0" w:line="360" w:lineRule="auto"/>
        <w:jc w:val="both"/>
        <w:rPr>
          <w:rFonts w:ascii="Arial" w:hAnsi="Arial" w:cs="Arial"/>
          <w:sz w:val="24"/>
          <w:szCs w:val="24"/>
          <w:lang w:val="en-US"/>
        </w:rPr>
      </w:pPr>
      <w:r>
        <w:rPr>
          <w:rFonts w:ascii="Arial" w:hAnsi="Arial" w:cs="Arial"/>
          <w:sz w:val="24"/>
          <w:szCs w:val="24"/>
          <w:lang w:val="en-US"/>
        </w:rPr>
        <w:t xml:space="preserve">  </w:t>
      </w:r>
      <w:r w:rsidR="007210F6">
        <w:rPr>
          <w:rFonts w:ascii="Arial" w:hAnsi="Arial" w:cs="Arial"/>
          <w:sz w:val="24"/>
          <w:szCs w:val="24"/>
          <w:lang w:val="en-US"/>
        </w:rPr>
        <w:t xml:space="preserve"> </w:t>
      </w:r>
      <w:r w:rsidR="00593762">
        <w:rPr>
          <w:rFonts w:ascii="Arial" w:hAnsi="Arial" w:cs="Arial"/>
          <w:sz w:val="24"/>
          <w:szCs w:val="24"/>
          <w:lang w:val="en-US"/>
        </w:rPr>
        <w:tab/>
      </w:r>
      <w:r w:rsidR="00B02C46">
        <w:rPr>
          <w:rFonts w:ascii="Arial" w:hAnsi="Arial" w:cs="Arial"/>
          <w:sz w:val="24"/>
          <w:szCs w:val="24"/>
          <w:lang w:val="en-US"/>
        </w:rPr>
        <w:t xml:space="preserve"> </w:t>
      </w:r>
      <w:r w:rsidR="006A3462">
        <w:rPr>
          <w:rFonts w:ascii="Arial" w:hAnsi="Arial" w:cs="Arial"/>
          <w:sz w:val="24"/>
          <w:szCs w:val="24"/>
          <w:lang w:val="en-US"/>
        </w:rPr>
        <w:t xml:space="preserve"> </w:t>
      </w:r>
      <w:r w:rsidR="002C3FD8">
        <w:rPr>
          <w:rFonts w:ascii="Arial" w:hAnsi="Arial" w:cs="Arial"/>
          <w:sz w:val="24"/>
          <w:szCs w:val="24"/>
          <w:lang w:val="en-US"/>
        </w:rPr>
        <w:t xml:space="preserve">  </w:t>
      </w:r>
    </w:p>
    <w:p w14:paraId="322667AF" w14:textId="540AA657" w:rsidR="00FA1B38" w:rsidRPr="00FA1B38" w:rsidRDefault="00FA1B38" w:rsidP="00FA1B38">
      <w:pPr>
        <w:spacing w:after="0" w:line="360" w:lineRule="auto"/>
        <w:jc w:val="right"/>
        <w:rPr>
          <w:rFonts w:ascii="Arial" w:hAnsi="Arial" w:cs="Arial"/>
          <w:b/>
          <w:bCs/>
          <w:sz w:val="24"/>
          <w:szCs w:val="24"/>
          <w:lang w:val="en-US"/>
        </w:rPr>
      </w:pPr>
      <w:r w:rsidRPr="00FA1B38">
        <w:rPr>
          <w:rFonts w:ascii="Arial" w:hAnsi="Arial" w:cs="Arial"/>
          <w:b/>
          <w:bCs/>
          <w:sz w:val="24"/>
          <w:szCs w:val="24"/>
          <w:lang w:val="en-US"/>
        </w:rPr>
        <w:t>________________________</w:t>
      </w:r>
    </w:p>
    <w:p w14:paraId="066479EC" w14:textId="77777777" w:rsidR="00FA1B38" w:rsidRPr="00FA1B38" w:rsidRDefault="00FA1B38" w:rsidP="00FA1B38">
      <w:pPr>
        <w:spacing w:after="0" w:line="360" w:lineRule="auto"/>
        <w:jc w:val="right"/>
        <w:rPr>
          <w:rFonts w:ascii="Arial" w:hAnsi="Arial" w:cs="Arial"/>
          <w:b/>
          <w:bCs/>
          <w:sz w:val="24"/>
          <w:szCs w:val="24"/>
          <w:lang w:val="en-US"/>
        </w:rPr>
      </w:pPr>
      <w:r w:rsidRPr="00FA1B38">
        <w:rPr>
          <w:rFonts w:ascii="Arial" w:hAnsi="Arial" w:cs="Arial"/>
          <w:b/>
          <w:bCs/>
          <w:sz w:val="24"/>
          <w:szCs w:val="24"/>
          <w:lang w:val="en-US"/>
        </w:rPr>
        <w:t>C Plasket</w:t>
      </w:r>
    </w:p>
    <w:p w14:paraId="57A601F0" w14:textId="77777777" w:rsidR="00FA1B38" w:rsidRPr="00FA1B38" w:rsidRDefault="00FA1B38" w:rsidP="00FA1B38">
      <w:pPr>
        <w:spacing w:after="0" w:line="360" w:lineRule="auto"/>
        <w:jc w:val="right"/>
        <w:rPr>
          <w:rFonts w:ascii="Arial" w:hAnsi="Arial" w:cs="Arial"/>
          <w:sz w:val="24"/>
          <w:szCs w:val="24"/>
          <w:lang w:val="en-US"/>
        </w:rPr>
      </w:pPr>
      <w:r w:rsidRPr="00FA1B38">
        <w:rPr>
          <w:rFonts w:ascii="Arial" w:hAnsi="Arial" w:cs="Arial"/>
          <w:b/>
          <w:bCs/>
          <w:sz w:val="24"/>
          <w:szCs w:val="24"/>
          <w:lang w:val="en-US"/>
        </w:rPr>
        <w:t>Judge of Appeal</w:t>
      </w:r>
    </w:p>
    <w:p w14:paraId="2B5BF6A8" w14:textId="77777777" w:rsidR="00E44B51" w:rsidRDefault="00E44B51" w:rsidP="00FA1B38">
      <w:pPr>
        <w:spacing w:after="0" w:line="360" w:lineRule="auto"/>
        <w:jc w:val="both"/>
        <w:rPr>
          <w:rFonts w:ascii="Arial" w:hAnsi="Arial" w:cs="Arial"/>
          <w:sz w:val="24"/>
          <w:szCs w:val="24"/>
          <w:lang w:val="en-US"/>
        </w:rPr>
      </w:pPr>
    </w:p>
    <w:p w14:paraId="021266BF" w14:textId="77777777" w:rsidR="00E44B51" w:rsidRDefault="00E44B51" w:rsidP="00FA1B38">
      <w:pPr>
        <w:spacing w:after="0" w:line="360" w:lineRule="auto"/>
        <w:jc w:val="both"/>
        <w:rPr>
          <w:rFonts w:ascii="Arial" w:hAnsi="Arial" w:cs="Arial"/>
          <w:sz w:val="24"/>
          <w:szCs w:val="24"/>
          <w:lang w:val="en-US"/>
        </w:rPr>
      </w:pPr>
    </w:p>
    <w:p w14:paraId="16FC6D74" w14:textId="77777777" w:rsidR="00E44B51" w:rsidRDefault="00E44B51" w:rsidP="00FA1B38">
      <w:pPr>
        <w:spacing w:after="0" w:line="360" w:lineRule="auto"/>
        <w:jc w:val="both"/>
        <w:rPr>
          <w:rFonts w:ascii="Arial" w:hAnsi="Arial" w:cs="Arial"/>
          <w:sz w:val="24"/>
          <w:szCs w:val="24"/>
          <w:lang w:val="en-US"/>
        </w:rPr>
      </w:pPr>
    </w:p>
    <w:p w14:paraId="51E8900D" w14:textId="5C94AB0E" w:rsidR="00FA1B38" w:rsidRPr="00FA1B38" w:rsidRDefault="00FA1B38" w:rsidP="00FA1B38">
      <w:pPr>
        <w:spacing w:after="0" w:line="360" w:lineRule="auto"/>
        <w:jc w:val="both"/>
        <w:rPr>
          <w:rFonts w:ascii="Arial" w:hAnsi="Arial" w:cs="Arial"/>
          <w:sz w:val="24"/>
          <w:szCs w:val="24"/>
          <w:lang w:val="en-US"/>
        </w:rPr>
      </w:pPr>
      <w:r w:rsidRPr="00FA1B38">
        <w:rPr>
          <w:rFonts w:ascii="Arial" w:hAnsi="Arial" w:cs="Arial"/>
          <w:sz w:val="24"/>
          <w:szCs w:val="24"/>
          <w:lang w:val="en-US"/>
        </w:rPr>
        <w:lastRenderedPageBreak/>
        <w:t>APPEARANCES</w:t>
      </w:r>
    </w:p>
    <w:p w14:paraId="61EB2015" w14:textId="77777777" w:rsidR="00FA1B38" w:rsidRPr="00FA1B38" w:rsidRDefault="00FA1B38" w:rsidP="00FA1B38">
      <w:pPr>
        <w:spacing w:after="0" w:line="360" w:lineRule="auto"/>
        <w:jc w:val="both"/>
        <w:rPr>
          <w:rFonts w:ascii="Arial" w:hAnsi="Arial" w:cs="Arial"/>
          <w:sz w:val="24"/>
          <w:szCs w:val="24"/>
          <w:lang w:val="en-US"/>
        </w:rPr>
      </w:pPr>
    </w:p>
    <w:p w14:paraId="143AABE9" w14:textId="5CCF6A4B" w:rsidR="00FA1B38" w:rsidRPr="00FA1B38" w:rsidRDefault="00FA1B38" w:rsidP="00641F48">
      <w:pPr>
        <w:spacing w:after="0" w:line="360" w:lineRule="auto"/>
        <w:ind w:left="5040" w:hanging="5040"/>
        <w:jc w:val="both"/>
        <w:rPr>
          <w:rFonts w:ascii="Arial" w:hAnsi="Arial" w:cs="Arial"/>
          <w:sz w:val="24"/>
          <w:szCs w:val="24"/>
          <w:lang w:val="en-US"/>
        </w:rPr>
      </w:pPr>
      <w:r w:rsidRPr="00FA1B38">
        <w:rPr>
          <w:rFonts w:ascii="Arial" w:hAnsi="Arial" w:cs="Arial"/>
          <w:sz w:val="24"/>
          <w:szCs w:val="24"/>
          <w:lang w:val="en-US"/>
        </w:rPr>
        <w:t xml:space="preserve">For the </w:t>
      </w:r>
      <w:r w:rsidR="006C5756">
        <w:rPr>
          <w:rFonts w:ascii="Arial" w:hAnsi="Arial" w:cs="Arial"/>
          <w:sz w:val="24"/>
          <w:szCs w:val="24"/>
          <w:lang w:val="en-US"/>
        </w:rPr>
        <w:t xml:space="preserve">first </w:t>
      </w:r>
      <w:r w:rsidRPr="00FA1B38">
        <w:rPr>
          <w:rFonts w:ascii="Arial" w:hAnsi="Arial" w:cs="Arial"/>
          <w:sz w:val="24"/>
          <w:szCs w:val="24"/>
          <w:lang w:val="en-US"/>
        </w:rPr>
        <w:t>appellant:</w:t>
      </w:r>
      <w:r w:rsidRPr="00FA1B38">
        <w:rPr>
          <w:rFonts w:ascii="Arial" w:hAnsi="Arial" w:cs="Arial"/>
          <w:sz w:val="24"/>
          <w:szCs w:val="24"/>
          <w:lang w:val="en-US"/>
        </w:rPr>
        <w:tab/>
      </w:r>
      <w:r w:rsidR="00641F48">
        <w:rPr>
          <w:rFonts w:ascii="Arial" w:hAnsi="Arial" w:cs="Arial"/>
          <w:sz w:val="24"/>
          <w:szCs w:val="24"/>
          <w:lang w:val="en-US"/>
        </w:rPr>
        <w:t>N Muva</w:t>
      </w:r>
      <w:r w:rsidR="001D093B">
        <w:rPr>
          <w:rFonts w:ascii="Arial" w:hAnsi="Arial" w:cs="Arial"/>
          <w:sz w:val="24"/>
          <w:szCs w:val="24"/>
          <w:lang w:val="en-US"/>
        </w:rPr>
        <w:t xml:space="preserve">ngua </w:t>
      </w:r>
      <w:r w:rsidR="006C5756">
        <w:rPr>
          <w:rFonts w:ascii="Arial" w:hAnsi="Arial" w:cs="Arial"/>
          <w:sz w:val="24"/>
          <w:szCs w:val="24"/>
          <w:lang w:val="en-US"/>
        </w:rPr>
        <w:t>(with</w:t>
      </w:r>
      <w:r w:rsidR="001D093B">
        <w:rPr>
          <w:rFonts w:ascii="Arial" w:hAnsi="Arial" w:cs="Arial"/>
          <w:sz w:val="24"/>
          <w:szCs w:val="24"/>
          <w:lang w:val="en-US"/>
        </w:rPr>
        <w:t xml:space="preserve"> </w:t>
      </w:r>
      <w:r w:rsidR="00641F48">
        <w:rPr>
          <w:rFonts w:ascii="Arial" w:hAnsi="Arial" w:cs="Arial"/>
          <w:sz w:val="24"/>
          <w:szCs w:val="24"/>
          <w:lang w:val="en-US"/>
        </w:rPr>
        <w:t>P Sokhela)</w:t>
      </w:r>
    </w:p>
    <w:p w14:paraId="29E1BACD" w14:textId="4449EE2D" w:rsidR="00FA1B38" w:rsidRPr="00FA1B38" w:rsidRDefault="00FA1B38" w:rsidP="00FA1B38">
      <w:pPr>
        <w:spacing w:after="0" w:line="360" w:lineRule="auto"/>
        <w:ind w:left="5040" w:hanging="5040"/>
        <w:jc w:val="both"/>
        <w:rPr>
          <w:rFonts w:ascii="Arial" w:hAnsi="Arial" w:cs="Arial"/>
          <w:sz w:val="24"/>
          <w:szCs w:val="24"/>
          <w:lang w:val="en-US"/>
        </w:rPr>
      </w:pPr>
      <w:r w:rsidRPr="00FA1B38">
        <w:rPr>
          <w:rFonts w:ascii="Arial" w:hAnsi="Arial" w:cs="Arial"/>
          <w:sz w:val="24"/>
          <w:szCs w:val="24"/>
          <w:lang w:val="en-US"/>
        </w:rPr>
        <w:t>Instructed by:</w:t>
      </w:r>
      <w:r w:rsidRPr="00FA1B38">
        <w:rPr>
          <w:rFonts w:ascii="Arial" w:hAnsi="Arial" w:cs="Arial"/>
          <w:sz w:val="24"/>
          <w:szCs w:val="24"/>
          <w:lang w:val="en-US"/>
        </w:rPr>
        <w:tab/>
      </w:r>
      <w:r w:rsidR="00F8153E">
        <w:rPr>
          <w:rFonts w:ascii="Arial" w:hAnsi="Arial" w:cs="Arial"/>
          <w:sz w:val="24"/>
          <w:szCs w:val="24"/>
          <w:lang w:val="en-US"/>
        </w:rPr>
        <w:t>The State Attorney, Pretoria</w:t>
      </w:r>
    </w:p>
    <w:p w14:paraId="53C803F1" w14:textId="3BA3DBC7" w:rsidR="00FA1B38" w:rsidRPr="00FA1B38" w:rsidRDefault="00FA1B38" w:rsidP="00FA1B38">
      <w:pPr>
        <w:spacing w:after="0" w:line="360" w:lineRule="auto"/>
        <w:ind w:left="5040" w:hanging="5040"/>
        <w:jc w:val="both"/>
        <w:rPr>
          <w:rFonts w:ascii="Arial" w:hAnsi="Arial" w:cs="Arial"/>
          <w:sz w:val="24"/>
          <w:szCs w:val="24"/>
          <w:lang w:val="en-US"/>
        </w:rPr>
      </w:pPr>
      <w:r w:rsidRPr="00FA1B38">
        <w:rPr>
          <w:rFonts w:ascii="Arial" w:hAnsi="Arial" w:cs="Arial"/>
          <w:sz w:val="24"/>
          <w:szCs w:val="24"/>
          <w:lang w:val="en-US"/>
        </w:rPr>
        <w:tab/>
      </w:r>
      <w:r w:rsidR="00F8153E">
        <w:rPr>
          <w:rFonts w:ascii="Arial" w:hAnsi="Arial" w:cs="Arial"/>
          <w:sz w:val="24"/>
          <w:szCs w:val="24"/>
          <w:lang w:val="en-US"/>
        </w:rPr>
        <w:t>The State Attorneys</w:t>
      </w:r>
      <w:r w:rsidRPr="00FA1B38">
        <w:rPr>
          <w:rFonts w:ascii="Arial" w:hAnsi="Arial" w:cs="Arial"/>
          <w:sz w:val="24"/>
          <w:szCs w:val="24"/>
          <w:lang w:val="en-US"/>
        </w:rPr>
        <w:t>, Bloemfontein</w:t>
      </w:r>
    </w:p>
    <w:p w14:paraId="3B4C1A9B" w14:textId="0B6DB6F6" w:rsidR="00FA1B38" w:rsidRDefault="00FA1B38" w:rsidP="00FA1B38">
      <w:pPr>
        <w:spacing w:after="0" w:line="360" w:lineRule="auto"/>
        <w:ind w:left="5040" w:hanging="5040"/>
        <w:jc w:val="both"/>
        <w:rPr>
          <w:rFonts w:ascii="Arial" w:hAnsi="Arial" w:cs="Arial"/>
          <w:sz w:val="24"/>
          <w:szCs w:val="24"/>
          <w:lang w:val="en-US"/>
        </w:rPr>
      </w:pPr>
    </w:p>
    <w:p w14:paraId="0B10AA80" w14:textId="004A7E55" w:rsidR="006C5756" w:rsidRDefault="006C5756" w:rsidP="00FA1B38">
      <w:pPr>
        <w:spacing w:after="0" w:line="360" w:lineRule="auto"/>
        <w:ind w:left="5040" w:hanging="5040"/>
        <w:jc w:val="both"/>
        <w:rPr>
          <w:rFonts w:ascii="Arial" w:hAnsi="Arial" w:cs="Arial"/>
          <w:sz w:val="24"/>
          <w:szCs w:val="24"/>
          <w:lang w:val="en-US"/>
        </w:rPr>
      </w:pPr>
      <w:r>
        <w:rPr>
          <w:rFonts w:ascii="Arial" w:hAnsi="Arial" w:cs="Arial"/>
          <w:sz w:val="24"/>
          <w:szCs w:val="24"/>
          <w:lang w:val="en-US"/>
        </w:rPr>
        <w:t>For the second to ninth appellants:</w:t>
      </w:r>
      <w:r>
        <w:rPr>
          <w:rFonts w:ascii="Arial" w:hAnsi="Arial" w:cs="Arial"/>
          <w:sz w:val="24"/>
          <w:szCs w:val="24"/>
          <w:lang w:val="en-US"/>
        </w:rPr>
        <w:tab/>
        <w:t>K Pillay SC (with M Rantho and R Tulk)</w:t>
      </w:r>
    </w:p>
    <w:p w14:paraId="44DD4591" w14:textId="435BDC10" w:rsidR="006C5756" w:rsidRDefault="006C5756" w:rsidP="00FA1B38">
      <w:pPr>
        <w:spacing w:after="0" w:line="360" w:lineRule="auto"/>
        <w:ind w:left="5040" w:hanging="5040"/>
        <w:jc w:val="both"/>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t>The State Attorney, Pretoria</w:t>
      </w:r>
    </w:p>
    <w:p w14:paraId="36161A92" w14:textId="741C43B8" w:rsidR="006C5756" w:rsidRDefault="006C5756" w:rsidP="00FA1B38">
      <w:pPr>
        <w:spacing w:after="0" w:line="360" w:lineRule="auto"/>
        <w:ind w:left="5040" w:hanging="5040"/>
        <w:jc w:val="both"/>
        <w:rPr>
          <w:rFonts w:ascii="Arial" w:hAnsi="Arial" w:cs="Arial"/>
          <w:sz w:val="24"/>
          <w:szCs w:val="24"/>
          <w:lang w:val="en-US"/>
        </w:rPr>
      </w:pPr>
      <w:r>
        <w:rPr>
          <w:rFonts w:ascii="Arial" w:hAnsi="Arial" w:cs="Arial"/>
          <w:sz w:val="24"/>
          <w:szCs w:val="24"/>
          <w:lang w:val="en-US"/>
        </w:rPr>
        <w:tab/>
        <w:t>The State Attorney, Bloemfontein</w:t>
      </w:r>
    </w:p>
    <w:p w14:paraId="7B5ECD6C" w14:textId="77777777" w:rsidR="006C5756" w:rsidRPr="00FA1B38" w:rsidRDefault="006C5756" w:rsidP="00FA1B38">
      <w:pPr>
        <w:spacing w:after="0" w:line="360" w:lineRule="auto"/>
        <w:ind w:left="5040" w:hanging="5040"/>
        <w:jc w:val="both"/>
        <w:rPr>
          <w:rFonts w:ascii="Arial" w:hAnsi="Arial" w:cs="Arial"/>
          <w:sz w:val="24"/>
          <w:szCs w:val="24"/>
          <w:lang w:val="en-US"/>
        </w:rPr>
      </w:pPr>
    </w:p>
    <w:p w14:paraId="71A56EEB" w14:textId="25E2EFE6" w:rsidR="00FA1B38" w:rsidRPr="00FA1B38" w:rsidRDefault="00FA1B38" w:rsidP="00FA1B38">
      <w:pPr>
        <w:spacing w:after="0" w:line="360" w:lineRule="auto"/>
        <w:ind w:left="5040" w:hanging="5040"/>
        <w:jc w:val="both"/>
        <w:rPr>
          <w:rFonts w:ascii="Arial" w:hAnsi="Arial" w:cs="Arial"/>
          <w:sz w:val="24"/>
          <w:szCs w:val="24"/>
          <w:lang w:val="en-US"/>
        </w:rPr>
      </w:pPr>
      <w:r w:rsidRPr="00FA1B38">
        <w:rPr>
          <w:rFonts w:ascii="Arial" w:hAnsi="Arial" w:cs="Arial"/>
          <w:sz w:val="24"/>
          <w:szCs w:val="24"/>
          <w:lang w:val="en-US"/>
        </w:rPr>
        <w:t xml:space="preserve">For the </w:t>
      </w:r>
      <w:r w:rsidR="006C5756">
        <w:rPr>
          <w:rFonts w:ascii="Arial" w:hAnsi="Arial" w:cs="Arial"/>
          <w:sz w:val="24"/>
          <w:szCs w:val="24"/>
          <w:lang w:val="en-US"/>
        </w:rPr>
        <w:t>first to eighth</w:t>
      </w:r>
      <w:r w:rsidR="00641F48">
        <w:rPr>
          <w:rFonts w:ascii="Arial" w:hAnsi="Arial" w:cs="Arial"/>
          <w:sz w:val="24"/>
          <w:szCs w:val="24"/>
          <w:lang w:val="en-US"/>
        </w:rPr>
        <w:t xml:space="preserve"> </w:t>
      </w:r>
      <w:r w:rsidRPr="00FA1B38">
        <w:rPr>
          <w:rFonts w:ascii="Arial" w:hAnsi="Arial" w:cs="Arial"/>
          <w:sz w:val="24"/>
          <w:szCs w:val="24"/>
          <w:lang w:val="en-US"/>
        </w:rPr>
        <w:t>respondents:</w:t>
      </w:r>
      <w:r w:rsidRPr="00FA1B38">
        <w:rPr>
          <w:rFonts w:ascii="Arial" w:hAnsi="Arial" w:cs="Arial"/>
          <w:sz w:val="24"/>
          <w:szCs w:val="24"/>
          <w:lang w:val="en-US"/>
        </w:rPr>
        <w:tab/>
      </w:r>
      <w:r w:rsidR="00F8153E">
        <w:rPr>
          <w:rFonts w:ascii="Arial" w:hAnsi="Arial" w:cs="Arial"/>
          <w:sz w:val="24"/>
          <w:szCs w:val="24"/>
          <w:lang w:val="en-US"/>
        </w:rPr>
        <w:t>E A Lourens</w:t>
      </w:r>
    </w:p>
    <w:p w14:paraId="729D1991" w14:textId="5CD9C788" w:rsidR="00FA1B38" w:rsidRPr="00FA1B38" w:rsidRDefault="00FA1B38" w:rsidP="00FA1B38">
      <w:pPr>
        <w:spacing w:after="0" w:line="360" w:lineRule="auto"/>
        <w:ind w:left="5040" w:hanging="5040"/>
        <w:jc w:val="both"/>
        <w:rPr>
          <w:rFonts w:ascii="Arial" w:hAnsi="Arial" w:cs="Arial"/>
          <w:sz w:val="24"/>
          <w:szCs w:val="24"/>
          <w:lang w:val="en-US"/>
        </w:rPr>
      </w:pPr>
      <w:r w:rsidRPr="00FA1B38">
        <w:rPr>
          <w:rFonts w:ascii="Arial" w:hAnsi="Arial" w:cs="Arial"/>
          <w:sz w:val="24"/>
          <w:szCs w:val="24"/>
          <w:lang w:val="en-US"/>
        </w:rPr>
        <w:t>Instructed by:</w:t>
      </w:r>
      <w:r w:rsidRPr="00FA1B38">
        <w:rPr>
          <w:rFonts w:ascii="Arial" w:hAnsi="Arial" w:cs="Arial"/>
          <w:sz w:val="24"/>
          <w:szCs w:val="24"/>
          <w:lang w:val="en-US"/>
        </w:rPr>
        <w:tab/>
      </w:r>
      <w:r w:rsidR="006C5756">
        <w:rPr>
          <w:rFonts w:ascii="Arial" w:hAnsi="Arial" w:cs="Arial"/>
          <w:sz w:val="24"/>
          <w:szCs w:val="24"/>
          <w:lang w:val="en-US"/>
        </w:rPr>
        <w:t>Van Wyk &amp; Associates, Pretoria</w:t>
      </w:r>
    </w:p>
    <w:p w14:paraId="475EBEB7" w14:textId="76E4887C" w:rsidR="00FA1B38" w:rsidRPr="00D402DF" w:rsidRDefault="00FA1B38" w:rsidP="00FA1B38">
      <w:pPr>
        <w:spacing w:after="0" w:line="360" w:lineRule="auto"/>
        <w:jc w:val="both"/>
        <w:rPr>
          <w:rFonts w:ascii="Arial" w:hAnsi="Arial" w:cs="Arial"/>
          <w:sz w:val="24"/>
          <w:szCs w:val="24"/>
          <w:lang w:val="en-US"/>
        </w:rPr>
      </w:pPr>
      <w:r w:rsidRPr="00FA1B38">
        <w:rPr>
          <w:rFonts w:ascii="Arial" w:hAnsi="Arial" w:cs="Arial"/>
          <w:sz w:val="24"/>
          <w:szCs w:val="24"/>
          <w:lang w:val="en-US"/>
        </w:rPr>
        <w:tab/>
      </w:r>
      <w:r w:rsidR="00F8153E">
        <w:rPr>
          <w:rFonts w:ascii="Arial" w:hAnsi="Arial" w:cs="Arial"/>
          <w:sz w:val="24"/>
          <w:szCs w:val="24"/>
          <w:lang w:val="en-US"/>
        </w:rPr>
        <w:tab/>
      </w:r>
      <w:r w:rsidR="00F8153E">
        <w:rPr>
          <w:rFonts w:ascii="Arial" w:hAnsi="Arial" w:cs="Arial"/>
          <w:sz w:val="24"/>
          <w:szCs w:val="24"/>
          <w:lang w:val="en-US"/>
        </w:rPr>
        <w:tab/>
      </w:r>
      <w:r w:rsidR="00F8153E">
        <w:rPr>
          <w:rFonts w:ascii="Arial" w:hAnsi="Arial" w:cs="Arial"/>
          <w:sz w:val="24"/>
          <w:szCs w:val="24"/>
          <w:lang w:val="en-US"/>
        </w:rPr>
        <w:tab/>
      </w:r>
      <w:r w:rsidR="00F8153E">
        <w:rPr>
          <w:rFonts w:ascii="Arial" w:hAnsi="Arial" w:cs="Arial"/>
          <w:sz w:val="24"/>
          <w:szCs w:val="24"/>
          <w:lang w:val="en-US"/>
        </w:rPr>
        <w:tab/>
      </w:r>
      <w:r w:rsidR="00F8153E">
        <w:rPr>
          <w:rFonts w:ascii="Arial" w:hAnsi="Arial" w:cs="Arial"/>
          <w:sz w:val="24"/>
          <w:szCs w:val="24"/>
          <w:lang w:val="en-US"/>
        </w:rPr>
        <w:tab/>
      </w:r>
      <w:r w:rsidR="00F8153E">
        <w:rPr>
          <w:rFonts w:ascii="Arial" w:hAnsi="Arial" w:cs="Arial"/>
          <w:sz w:val="24"/>
          <w:szCs w:val="24"/>
          <w:lang w:val="en-US"/>
        </w:rPr>
        <w:tab/>
        <w:t>Lovius Block Inc.</w:t>
      </w:r>
      <w:r w:rsidRPr="00FA1B38">
        <w:rPr>
          <w:rFonts w:ascii="Arial" w:hAnsi="Arial" w:cs="Arial"/>
          <w:sz w:val="24"/>
          <w:szCs w:val="24"/>
          <w:lang w:val="en-US"/>
        </w:rPr>
        <w:t xml:space="preserve">, </w:t>
      </w:r>
      <w:r w:rsidR="00F8153E" w:rsidRPr="00FA1B38">
        <w:rPr>
          <w:rFonts w:ascii="Arial" w:hAnsi="Arial" w:cs="Arial"/>
          <w:sz w:val="24"/>
          <w:szCs w:val="24"/>
          <w:lang w:val="en-US"/>
        </w:rPr>
        <w:t>Bloemfontein</w:t>
      </w:r>
    </w:p>
    <w:sectPr w:rsidR="00FA1B38" w:rsidRPr="00D402DF" w:rsidSect="009D493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5EF1F" w14:textId="77777777" w:rsidR="00712D86" w:rsidRDefault="00712D86" w:rsidP="00CD454A">
      <w:pPr>
        <w:spacing w:after="0" w:line="240" w:lineRule="auto"/>
      </w:pPr>
      <w:r>
        <w:separator/>
      </w:r>
    </w:p>
  </w:endnote>
  <w:endnote w:type="continuationSeparator" w:id="0">
    <w:p w14:paraId="5275769A" w14:textId="77777777" w:rsidR="00712D86" w:rsidRDefault="00712D86" w:rsidP="00CD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6AA4E" w14:textId="77777777" w:rsidR="00712D86" w:rsidRDefault="00712D86" w:rsidP="00CD454A">
      <w:pPr>
        <w:spacing w:after="0" w:line="240" w:lineRule="auto"/>
      </w:pPr>
      <w:r>
        <w:separator/>
      </w:r>
    </w:p>
  </w:footnote>
  <w:footnote w:type="continuationSeparator" w:id="0">
    <w:p w14:paraId="74DFF723" w14:textId="77777777" w:rsidR="00712D86" w:rsidRDefault="00712D86" w:rsidP="00CD454A">
      <w:pPr>
        <w:spacing w:after="0" w:line="240" w:lineRule="auto"/>
      </w:pPr>
      <w:r>
        <w:continuationSeparator/>
      </w:r>
    </w:p>
  </w:footnote>
  <w:footnote w:id="1">
    <w:p w14:paraId="233329A6" w14:textId="13ED5433" w:rsidR="005A01C3" w:rsidRPr="005A01C3" w:rsidRDefault="005A01C3" w:rsidP="005A01C3">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National Director of Public Prosecutions v Zuma</w:t>
      </w:r>
      <w:r>
        <w:rPr>
          <w:rFonts w:ascii="Arial" w:hAnsi="Arial" w:cs="Arial"/>
          <w:lang w:val="en-US"/>
        </w:rPr>
        <w:t xml:space="preserve"> [200</w:t>
      </w:r>
      <w:r w:rsidR="00DA0C00">
        <w:rPr>
          <w:rFonts w:ascii="Arial" w:hAnsi="Arial" w:cs="Arial"/>
          <w:lang w:val="en-US"/>
        </w:rPr>
        <w:t>9</w:t>
      </w:r>
      <w:r>
        <w:rPr>
          <w:rFonts w:ascii="Arial" w:hAnsi="Arial" w:cs="Arial"/>
          <w:lang w:val="en-US"/>
        </w:rPr>
        <w:t xml:space="preserve">] ZASCA </w:t>
      </w:r>
      <w:r w:rsidR="00DA0C00">
        <w:rPr>
          <w:rFonts w:ascii="Arial" w:hAnsi="Arial" w:cs="Arial"/>
          <w:lang w:val="en-US"/>
        </w:rPr>
        <w:t>1</w:t>
      </w:r>
      <w:r>
        <w:rPr>
          <w:rFonts w:ascii="Arial" w:hAnsi="Arial" w:cs="Arial"/>
          <w:lang w:val="en-US"/>
        </w:rPr>
        <w:t>; 2009 (2) SA 277 (SCA) para 26.</w:t>
      </w:r>
    </w:p>
  </w:footnote>
  <w:footnote w:id="2">
    <w:p w14:paraId="4E91AD52" w14:textId="165DCF91" w:rsidR="005A01C3" w:rsidRPr="00DF4072" w:rsidRDefault="005A01C3" w:rsidP="005A01C3">
      <w:pPr>
        <w:pStyle w:val="FootnoteText"/>
        <w:jc w:val="both"/>
        <w:rPr>
          <w:rFonts w:ascii="Arial" w:hAnsi="Arial" w:cs="Arial"/>
          <w:lang w:val="en-US"/>
        </w:rPr>
      </w:pPr>
      <w:r>
        <w:rPr>
          <w:rStyle w:val="FootnoteReference"/>
        </w:rPr>
        <w:footnoteRef/>
      </w:r>
      <w:r>
        <w:t xml:space="preserve"> </w:t>
      </w:r>
      <w:r w:rsidR="00DF4072">
        <w:rPr>
          <w:rFonts w:ascii="Arial" w:hAnsi="Arial" w:cs="Arial"/>
          <w:i/>
          <w:iCs/>
          <w:lang w:val="en-US"/>
        </w:rPr>
        <w:t>Plascon-Evans Paints Ltd v Van Riebeeck Paints (Pty) Ltd</w:t>
      </w:r>
      <w:r w:rsidR="00DF4072">
        <w:rPr>
          <w:rFonts w:ascii="Arial" w:hAnsi="Arial" w:cs="Arial"/>
          <w:lang w:val="en-US"/>
        </w:rPr>
        <w:t xml:space="preserve"> </w:t>
      </w:r>
      <w:r w:rsidR="00DA0C00">
        <w:rPr>
          <w:rFonts w:ascii="Arial" w:hAnsi="Arial" w:cs="Arial"/>
          <w:lang w:val="en-US"/>
        </w:rPr>
        <w:t>[1984] ZASCA 51</w:t>
      </w:r>
      <w:r w:rsidR="006B002D">
        <w:rPr>
          <w:rFonts w:ascii="Arial" w:hAnsi="Arial" w:cs="Arial"/>
          <w:lang w:val="en-US"/>
        </w:rPr>
        <w:t xml:space="preserve">; </w:t>
      </w:r>
      <w:r w:rsidR="00DF4072">
        <w:rPr>
          <w:rFonts w:ascii="Arial" w:hAnsi="Arial" w:cs="Arial"/>
          <w:lang w:val="en-US"/>
        </w:rPr>
        <w:t>1984 (3) SA 623 (A) at 634H-I.</w:t>
      </w:r>
    </w:p>
  </w:footnote>
  <w:footnote w:id="3">
    <w:p w14:paraId="2430C156" w14:textId="3D478125" w:rsidR="00DF4072" w:rsidRPr="00DF4072" w:rsidRDefault="00DF4072" w:rsidP="00DF4072">
      <w:pPr>
        <w:pStyle w:val="FootnoteText"/>
        <w:jc w:val="both"/>
        <w:rPr>
          <w:rFonts w:ascii="Arial" w:hAnsi="Arial" w:cs="Arial"/>
          <w:lang w:val="en-US"/>
        </w:rPr>
      </w:pPr>
      <w:r>
        <w:rPr>
          <w:rStyle w:val="FootnoteReference"/>
        </w:rPr>
        <w:footnoteRef/>
      </w:r>
      <w:r>
        <w:t xml:space="preserve"> </w:t>
      </w:r>
      <w:r>
        <w:rPr>
          <w:rFonts w:ascii="Arial" w:hAnsi="Arial" w:cs="Arial"/>
          <w:lang w:val="en-US"/>
        </w:rPr>
        <w:t>At 634I-635C.</w:t>
      </w:r>
    </w:p>
  </w:footnote>
  <w:footnote w:id="4">
    <w:p w14:paraId="137E3197" w14:textId="7EEFA154" w:rsidR="00F679CF" w:rsidRPr="00F679CF" w:rsidRDefault="00F679CF" w:rsidP="00F679CF">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Wightman t/a JW Construction v Headfour (Pty) Ltd and Another</w:t>
      </w:r>
      <w:r>
        <w:rPr>
          <w:rFonts w:ascii="Arial" w:hAnsi="Arial" w:cs="Arial"/>
          <w:lang w:val="en-US"/>
        </w:rPr>
        <w:t xml:space="preserve"> </w:t>
      </w:r>
      <w:r w:rsidR="00A04FD2">
        <w:rPr>
          <w:rFonts w:ascii="Arial" w:hAnsi="Arial" w:cs="Arial"/>
          <w:lang w:val="en-US"/>
        </w:rPr>
        <w:t xml:space="preserve">[2008] ZASCA 6; </w:t>
      </w:r>
      <w:r>
        <w:rPr>
          <w:rFonts w:ascii="Arial" w:hAnsi="Arial" w:cs="Arial"/>
          <w:lang w:val="en-US"/>
        </w:rPr>
        <w:t>2008 (3) SA 371 (SCA).</w:t>
      </w:r>
    </w:p>
  </w:footnote>
  <w:footnote w:id="5">
    <w:p w14:paraId="130BC6ED" w14:textId="7FED254F" w:rsidR="00F679CF" w:rsidRPr="00F679CF" w:rsidRDefault="00F679CF" w:rsidP="00F679CF">
      <w:pPr>
        <w:pStyle w:val="FootnoteText"/>
        <w:jc w:val="both"/>
        <w:rPr>
          <w:rFonts w:ascii="Arial" w:hAnsi="Arial" w:cs="Arial"/>
          <w:lang w:val="en-US"/>
        </w:rPr>
      </w:pPr>
      <w:r>
        <w:rPr>
          <w:rStyle w:val="FootnoteReference"/>
        </w:rPr>
        <w:footnoteRef/>
      </w:r>
      <w:r>
        <w:t xml:space="preserve"> </w:t>
      </w:r>
      <w:r>
        <w:rPr>
          <w:rFonts w:ascii="Arial" w:hAnsi="Arial" w:cs="Arial"/>
          <w:lang w:val="en-US"/>
        </w:rPr>
        <w:t>Para 12.</w:t>
      </w:r>
    </w:p>
  </w:footnote>
  <w:footnote w:id="6">
    <w:p w14:paraId="61964EFA" w14:textId="40A70037" w:rsidR="00F679CF" w:rsidRPr="00F679CF" w:rsidRDefault="00F679CF" w:rsidP="00F679CF">
      <w:pPr>
        <w:pStyle w:val="FootnoteText"/>
        <w:jc w:val="both"/>
        <w:rPr>
          <w:rFonts w:ascii="Arial" w:hAnsi="Arial" w:cs="Arial"/>
          <w:lang w:val="en-US"/>
        </w:rPr>
      </w:pPr>
      <w:r>
        <w:rPr>
          <w:rStyle w:val="FootnoteReference"/>
        </w:rPr>
        <w:footnoteRef/>
      </w:r>
      <w:r>
        <w:t xml:space="preserve"> </w:t>
      </w:r>
      <w:r>
        <w:rPr>
          <w:rFonts w:ascii="Arial" w:hAnsi="Arial" w:cs="Arial"/>
          <w:lang w:val="en-US"/>
        </w:rPr>
        <w:t>Para 13.</w:t>
      </w:r>
    </w:p>
  </w:footnote>
  <w:footnote w:id="7">
    <w:p w14:paraId="03305E26" w14:textId="6E8D42E9" w:rsidR="00405384" w:rsidRPr="00405384" w:rsidRDefault="00405384" w:rsidP="00405384">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For background to the declaration of the state of disaster and its consequences, see </w:t>
      </w:r>
      <w:r>
        <w:rPr>
          <w:rFonts w:ascii="Arial" w:hAnsi="Arial" w:cs="Arial"/>
          <w:i/>
          <w:iCs/>
          <w:lang w:val="en-US"/>
        </w:rPr>
        <w:t>Esau and Others v Minister of Co-operative Governance and Traditional Affairs and Others</w:t>
      </w:r>
      <w:r>
        <w:rPr>
          <w:rFonts w:ascii="Arial" w:hAnsi="Arial" w:cs="Arial"/>
          <w:lang w:val="en-US"/>
        </w:rPr>
        <w:t xml:space="preserve"> [2021] ZASCA </w:t>
      </w:r>
      <w:r w:rsidR="00032CCD">
        <w:rPr>
          <w:rFonts w:ascii="Arial" w:hAnsi="Arial" w:cs="Arial"/>
          <w:lang w:val="en-US"/>
        </w:rPr>
        <w:t>9</w:t>
      </w:r>
      <w:r>
        <w:rPr>
          <w:rFonts w:ascii="Arial" w:hAnsi="Arial" w:cs="Arial"/>
          <w:lang w:val="en-US"/>
        </w:rPr>
        <w:t>; 2021 (</w:t>
      </w:r>
      <w:r w:rsidR="00032CCD">
        <w:rPr>
          <w:rFonts w:ascii="Arial" w:hAnsi="Arial" w:cs="Arial"/>
          <w:lang w:val="en-US"/>
        </w:rPr>
        <w:t>3</w:t>
      </w:r>
      <w:r>
        <w:rPr>
          <w:rFonts w:ascii="Arial" w:hAnsi="Arial" w:cs="Arial"/>
          <w:lang w:val="en-US"/>
        </w:rPr>
        <w:t xml:space="preserve">) SA </w:t>
      </w:r>
      <w:r w:rsidR="00032CCD">
        <w:rPr>
          <w:rFonts w:ascii="Arial" w:hAnsi="Arial" w:cs="Arial"/>
          <w:lang w:val="en-US"/>
        </w:rPr>
        <w:t>593</w:t>
      </w:r>
      <w:r>
        <w:rPr>
          <w:rFonts w:ascii="Arial" w:hAnsi="Arial" w:cs="Arial"/>
          <w:lang w:val="en-US"/>
        </w:rPr>
        <w:t xml:space="preserve"> (SCA)</w:t>
      </w:r>
      <w:r w:rsidR="00A228BD">
        <w:rPr>
          <w:rFonts w:ascii="Arial" w:hAnsi="Arial" w:cs="Arial"/>
          <w:lang w:val="en-US"/>
        </w:rPr>
        <w:t xml:space="preserve"> paras</w:t>
      </w:r>
      <w:r w:rsidR="00032CCD">
        <w:rPr>
          <w:rFonts w:ascii="Arial" w:hAnsi="Arial" w:cs="Arial"/>
          <w:lang w:val="en-US"/>
        </w:rPr>
        <w:t xml:space="preserve"> 18</w:t>
      </w:r>
      <w:r w:rsidR="00A228BD">
        <w:rPr>
          <w:rFonts w:ascii="Arial" w:hAnsi="Arial" w:cs="Arial"/>
          <w:lang w:val="en-US"/>
        </w:rPr>
        <w:t>-</w:t>
      </w:r>
      <w:r w:rsidR="00032CCD">
        <w:rPr>
          <w:rFonts w:ascii="Arial" w:hAnsi="Arial" w:cs="Arial"/>
          <w:lang w:val="en-US"/>
        </w:rPr>
        <w:t>33</w:t>
      </w:r>
      <w:r w:rsidR="00A228BD">
        <w:rPr>
          <w:rFonts w:ascii="Arial" w:hAnsi="Arial" w:cs="Arial"/>
          <w:lang w:val="en-US"/>
        </w:rPr>
        <w:t>. On the power vested in ministers to make directions, see</w:t>
      </w:r>
      <w:r w:rsidR="00FD4A18">
        <w:rPr>
          <w:rFonts w:ascii="Arial" w:hAnsi="Arial" w:cs="Arial"/>
          <w:lang w:val="en-US"/>
        </w:rPr>
        <w:t xml:space="preserve"> </w:t>
      </w:r>
      <w:r w:rsidR="00FD4A18">
        <w:rPr>
          <w:rFonts w:ascii="Arial" w:hAnsi="Arial" w:cs="Arial"/>
          <w:i/>
          <w:iCs/>
          <w:lang w:val="en-US"/>
        </w:rPr>
        <w:t>Afriforum NPC v Minister of Tourism and Others; Solidarity Trade Union v Minister of Small Business Development and Others</w:t>
      </w:r>
      <w:r w:rsidR="00FD4A18">
        <w:rPr>
          <w:rFonts w:ascii="Arial" w:hAnsi="Arial" w:cs="Arial"/>
          <w:lang w:val="en-US"/>
        </w:rPr>
        <w:t xml:space="preserve"> [2021] ZASCA 121; 2022 (1) SA 359 (SCA) paras 17-18 and 33-34.</w:t>
      </w:r>
      <w:r w:rsidR="00A228BD">
        <w:rPr>
          <w:rFonts w:ascii="Arial" w:hAnsi="Arial" w:cs="Arial"/>
          <w:lang w:val="en-US"/>
        </w:rPr>
        <w:t xml:space="preserve"> </w:t>
      </w:r>
    </w:p>
  </w:footnote>
  <w:footnote w:id="8">
    <w:p w14:paraId="6CAE521C" w14:textId="25030432" w:rsidR="00B266CA" w:rsidRPr="00B266CA" w:rsidRDefault="00B266CA" w:rsidP="00B266CA">
      <w:pPr>
        <w:pStyle w:val="FootnoteText"/>
        <w:jc w:val="both"/>
        <w:rPr>
          <w:rFonts w:ascii="Arial" w:hAnsi="Arial" w:cs="Arial"/>
          <w:lang w:val="en-US"/>
        </w:rPr>
      </w:pPr>
      <w:r>
        <w:rPr>
          <w:rStyle w:val="FootnoteReference"/>
        </w:rPr>
        <w:footnoteRef/>
      </w:r>
      <w:r>
        <w:t xml:space="preserve"> </w:t>
      </w:r>
      <w:r>
        <w:rPr>
          <w:rFonts w:ascii="Arial" w:hAnsi="Arial" w:cs="Arial"/>
          <w:lang w:val="en-US"/>
        </w:rPr>
        <w:t>Government Gazette 43520, GN 762 of 10 July 2020, s 4(4)</w:t>
      </w:r>
      <w:r>
        <w:rPr>
          <w:rFonts w:ascii="Arial" w:hAnsi="Arial" w:cs="Arial"/>
          <w:i/>
          <w:iCs/>
          <w:lang w:val="en-US"/>
        </w:rPr>
        <w:t>(a)</w:t>
      </w:r>
      <w:r>
        <w:rPr>
          <w:rFonts w:ascii="Arial" w:hAnsi="Arial" w:cs="Arial"/>
          <w:lang w:val="en-US"/>
        </w:rPr>
        <w:t>.</w:t>
      </w:r>
    </w:p>
  </w:footnote>
  <w:footnote w:id="9">
    <w:p w14:paraId="6F7D7E7A" w14:textId="3FE308D1" w:rsidR="00FE1A52" w:rsidRPr="00005C47" w:rsidRDefault="00FE1A52" w:rsidP="00FE1A52">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Oudekraal Est</w:t>
      </w:r>
      <w:r w:rsidR="00005C47">
        <w:rPr>
          <w:rFonts w:ascii="Arial" w:hAnsi="Arial" w:cs="Arial"/>
          <w:i/>
          <w:iCs/>
          <w:lang w:val="en-US"/>
        </w:rPr>
        <w:t>a</w:t>
      </w:r>
      <w:r>
        <w:rPr>
          <w:rFonts w:ascii="Arial" w:hAnsi="Arial" w:cs="Arial"/>
          <w:i/>
          <w:iCs/>
          <w:lang w:val="en-US"/>
        </w:rPr>
        <w:t xml:space="preserve">tes </w:t>
      </w:r>
      <w:r w:rsidR="00F5455E">
        <w:rPr>
          <w:rFonts w:ascii="Arial" w:hAnsi="Arial" w:cs="Arial"/>
          <w:i/>
          <w:iCs/>
          <w:lang w:val="en-US"/>
        </w:rPr>
        <w:t>(</w:t>
      </w:r>
      <w:r>
        <w:rPr>
          <w:rFonts w:ascii="Arial" w:hAnsi="Arial" w:cs="Arial"/>
          <w:i/>
          <w:iCs/>
          <w:lang w:val="en-US"/>
        </w:rPr>
        <w:t>Pty</w:t>
      </w:r>
      <w:r w:rsidRPr="005F671C">
        <w:rPr>
          <w:rFonts w:ascii="Arial" w:hAnsi="Arial" w:cs="Arial"/>
          <w:i/>
          <w:iCs/>
          <w:lang w:val="en-US"/>
        </w:rPr>
        <w:t>) Ltd v</w:t>
      </w:r>
      <w:r>
        <w:rPr>
          <w:rFonts w:ascii="Arial" w:hAnsi="Arial" w:cs="Arial"/>
          <w:i/>
          <w:iCs/>
          <w:lang w:val="en-US"/>
        </w:rPr>
        <w:t xml:space="preserve"> City of Cape Town</w:t>
      </w:r>
      <w:r w:rsidR="00137FF6">
        <w:rPr>
          <w:rFonts w:ascii="Arial" w:hAnsi="Arial" w:cs="Arial"/>
          <w:i/>
          <w:iCs/>
          <w:lang w:val="en-US"/>
        </w:rPr>
        <w:t xml:space="preserve"> and Others</w:t>
      </w:r>
      <w:r>
        <w:rPr>
          <w:rFonts w:ascii="Arial" w:hAnsi="Arial" w:cs="Arial"/>
          <w:lang w:val="en-US"/>
        </w:rPr>
        <w:t xml:space="preserve"> </w:t>
      </w:r>
      <w:r w:rsidR="001B72EC">
        <w:rPr>
          <w:rFonts w:ascii="Arial" w:hAnsi="Arial" w:cs="Arial"/>
          <w:lang w:val="en-US"/>
        </w:rPr>
        <w:t xml:space="preserve">[2004] ZASCA 48; </w:t>
      </w:r>
      <w:r>
        <w:rPr>
          <w:rFonts w:ascii="Arial" w:hAnsi="Arial" w:cs="Arial"/>
          <w:lang w:val="en-US"/>
        </w:rPr>
        <w:t>200</w:t>
      </w:r>
      <w:r w:rsidR="00005C47">
        <w:rPr>
          <w:rFonts w:ascii="Arial" w:hAnsi="Arial" w:cs="Arial"/>
          <w:lang w:val="en-US"/>
        </w:rPr>
        <w:t xml:space="preserve">4 (6) SA 222 (SCA) para </w:t>
      </w:r>
      <w:r w:rsidR="001B72EC">
        <w:rPr>
          <w:rFonts w:ascii="Arial" w:hAnsi="Arial" w:cs="Arial"/>
          <w:lang w:val="en-US"/>
        </w:rPr>
        <w:t>26</w:t>
      </w:r>
      <w:r w:rsidR="00005C47">
        <w:rPr>
          <w:rFonts w:ascii="Arial" w:hAnsi="Arial" w:cs="Arial"/>
          <w:lang w:val="en-US"/>
        </w:rPr>
        <w:t xml:space="preserve">; </w:t>
      </w:r>
      <w:r w:rsidR="00005C47">
        <w:rPr>
          <w:rFonts w:ascii="Arial" w:hAnsi="Arial" w:cs="Arial"/>
          <w:i/>
          <w:iCs/>
          <w:lang w:val="en-US"/>
        </w:rPr>
        <w:t xml:space="preserve">MEC for Health, Eastern Cape and </w:t>
      </w:r>
      <w:r w:rsidR="001B72EC">
        <w:rPr>
          <w:rFonts w:ascii="Arial" w:hAnsi="Arial" w:cs="Arial"/>
          <w:i/>
          <w:iCs/>
          <w:lang w:val="en-US"/>
        </w:rPr>
        <w:t>Ano</w:t>
      </w:r>
      <w:r w:rsidR="00005C47">
        <w:rPr>
          <w:rFonts w:ascii="Arial" w:hAnsi="Arial" w:cs="Arial"/>
          <w:i/>
          <w:iCs/>
          <w:lang w:val="en-US"/>
        </w:rPr>
        <w:t>ther v Kirland Investments (Pty) Ltd t/a Eye and Laser Institute</w:t>
      </w:r>
      <w:r w:rsidR="00005C47">
        <w:rPr>
          <w:rFonts w:ascii="Arial" w:hAnsi="Arial" w:cs="Arial"/>
          <w:lang w:val="en-US"/>
        </w:rPr>
        <w:t xml:space="preserve"> </w:t>
      </w:r>
      <w:r w:rsidR="001B72EC">
        <w:rPr>
          <w:rFonts w:ascii="Arial" w:hAnsi="Arial" w:cs="Arial"/>
          <w:lang w:val="en-US"/>
        </w:rPr>
        <w:t xml:space="preserve">[2013] ZASCA 58; </w:t>
      </w:r>
      <w:r w:rsidR="00005C47">
        <w:rPr>
          <w:rFonts w:ascii="Arial" w:hAnsi="Arial" w:cs="Arial"/>
          <w:lang w:val="en-US"/>
        </w:rPr>
        <w:t>2014 (3) SA 219 (SCA) para</w:t>
      </w:r>
      <w:r w:rsidR="00137FF6">
        <w:rPr>
          <w:rFonts w:ascii="Arial" w:hAnsi="Arial" w:cs="Arial"/>
          <w:lang w:val="en-US"/>
        </w:rPr>
        <w:t>s</w:t>
      </w:r>
      <w:r w:rsidR="00005C47">
        <w:rPr>
          <w:rFonts w:ascii="Arial" w:hAnsi="Arial" w:cs="Arial"/>
          <w:lang w:val="en-US"/>
        </w:rPr>
        <w:t xml:space="preserve"> </w:t>
      </w:r>
      <w:r w:rsidR="00137FF6">
        <w:rPr>
          <w:rFonts w:ascii="Arial" w:hAnsi="Arial" w:cs="Arial"/>
          <w:lang w:val="en-US"/>
        </w:rPr>
        <w:t>20-22</w:t>
      </w:r>
      <w:r w:rsidR="00F63412">
        <w:rPr>
          <w:rFonts w:ascii="Arial" w:hAnsi="Arial" w:cs="Arial"/>
          <w:lang w:val="en-US"/>
        </w:rPr>
        <w:t xml:space="preserve">; </w:t>
      </w:r>
      <w:r w:rsidR="00F63412">
        <w:rPr>
          <w:rFonts w:ascii="Arial" w:hAnsi="Arial" w:cs="Arial"/>
          <w:i/>
          <w:iCs/>
          <w:lang w:val="en-US"/>
        </w:rPr>
        <w:t>MEC for Health, Eastern Cape</w:t>
      </w:r>
      <w:r w:rsidR="001B72EC">
        <w:rPr>
          <w:rFonts w:ascii="Arial" w:hAnsi="Arial" w:cs="Arial"/>
          <w:i/>
          <w:iCs/>
          <w:lang w:val="en-US"/>
        </w:rPr>
        <w:t xml:space="preserve"> and Another</w:t>
      </w:r>
      <w:r w:rsidR="00F63412">
        <w:rPr>
          <w:rFonts w:ascii="Arial" w:hAnsi="Arial" w:cs="Arial"/>
          <w:i/>
          <w:iCs/>
          <w:lang w:val="en-US"/>
        </w:rPr>
        <w:t xml:space="preserve"> v Kirland Investments (Pty) Ltd t/a Eye and Laser Institute</w:t>
      </w:r>
      <w:r w:rsidR="00F63412">
        <w:rPr>
          <w:rFonts w:ascii="Arial" w:hAnsi="Arial" w:cs="Arial"/>
          <w:lang w:val="en-US"/>
        </w:rPr>
        <w:t xml:space="preserve"> </w:t>
      </w:r>
      <w:r w:rsidR="001B72EC">
        <w:rPr>
          <w:rFonts w:ascii="Arial" w:hAnsi="Arial" w:cs="Arial"/>
          <w:lang w:val="en-US"/>
        </w:rPr>
        <w:t xml:space="preserve">[2014] ZACC 6; </w:t>
      </w:r>
      <w:r w:rsidR="00F63412">
        <w:rPr>
          <w:rFonts w:ascii="Arial" w:hAnsi="Arial" w:cs="Arial"/>
          <w:lang w:val="en-US"/>
        </w:rPr>
        <w:t>2014 (3) SA 481 (CC)</w:t>
      </w:r>
      <w:r w:rsidR="001B72EC">
        <w:rPr>
          <w:rFonts w:ascii="Arial" w:hAnsi="Arial" w:cs="Arial"/>
          <w:lang w:val="en-US"/>
        </w:rPr>
        <w:t>; 2014 (5) BCLR 547 (CC)</w:t>
      </w:r>
      <w:r w:rsidR="00F63412">
        <w:rPr>
          <w:rFonts w:ascii="Arial" w:hAnsi="Arial" w:cs="Arial"/>
          <w:lang w:val="en-US"/>
        </w:rPr>
        <w:t xml:space="preserve"> para 105</w:t>
      </w:r>
      <w:r w:rsidR="00005C47">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56252"/>
      <w:docPartObj>
        <w:docPartGallery w:val="Page Numbers (Top of Page)"/>
        <w:docPartUnique/>
      </w:docPartObj>
    </w:sdtPr>
    <w:sdtEndPr>
      <w:rPr>
        <w:noProof/>
      </w:rPr>
    </w:sdtEndPr>
    <w:sdtContent>
      <w:p w14:paraId="4D7B8F81" w14:textId="3EAF48D0" w:rsidR="00CD454A" w:rsidRDefault="00CD454A">
        <w:pPr>
          <w:pStyle w:val="Header"/>
          <w:jc w:val="right"/>
        </w:pPr>
        <w:r>
          <w:fldChar w:fldCharType="begin"/>
        </w:r>
        <w:r>
          <w:instrText xml:space="preserve"> PAGE   \* MERGEFORMAT </w:instrText>
        </w:r>
        <w:r>
          <w:fldChar w:fldCharType="separate"/>
        </w:r>
        <w:r w:rsidR="00CD15A0">
          <w:rPr>
            <w:noProof/>
          </w:rPr>
          <w:t>20</w:t>
        </w:r>
        <w:r>
          <w:rPr>
            <w:noProof/>
          </w:rPr>
          <w:fldChar w:fldCharType="end"/>
        </w:r>
      </w:p>
    </w:sdtContent>
  </w:sdt>
  <w:p w14:paraId="24104D56" w14:textId="77777777" w:rsidR="00CD454A" w:rsidRDefault="00CD4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D"/>
    <w:rsid w:val="00005B25"/>
    <w:rsid w:val="00005C47"/>
    <w:rsid w:val="00007155"/>
    <w:rsid w:val="0001038F"/>
    <w:rsid w:val="00013509"/>
    <w:rsid w:val="000235EF"/>
    <w:rsid w:val="00032CCD"/>
    <w:rsid w:val="00054AE1"/>
    <w:rsid w:val="000A0FBE"/>
    <w:rsid w:val="000B6F30"/>
    <w:rsid w:val="000C6B88"/>
    <w:rsid w:val="000E197F"/>
    <w:rsid w:val="000E216B"/>
    <w:rsid w:val="000E473D"/>
    <w:rsid w:val="000E6A64"/>
    <w:rsid w:val="001010EA"/>
    <w:rsid w:val="0010264A"/>
    <w:rsid w:val="00103276"/>
    <w:rsid w:val="001131D4"/>
    <w:rsid w:val="00116F7F"/>
    <w:rsid w:val="00137FF6"/>
    <w:rsid w:val="00155B79"/>
    <w:rsid w:val="00194F72"/>
    <w:rsid w:val="001A0C4D"/>
    <w:rsid w:val="001A2316"/>
    <w:rsid w:val="001B72EC"/>
    <w:rsid w:val="001D093B"/>
    <w:rsid w:val="001D35CF"/>
    <w:rsid w:val="001E1464"/>
    <w:rsid w:val="001F67B9"/>
    <w:rsid w:val="0020577F"/>
    <w:rsid w:val="00225C7A"/>
    <w:rsid w:val="0023642B"/>
    <w:rsid w:val="00242000"/>
    <w:rsid w:val="00273B10"/>
    <w:rsid w:val="00281F95"/>
    <w:rsid w:val="00283A14"/>
    <w:rsid w:val="002904CD"/>
    <w:rsid w:val="002C3FD8"/>
    <w:rsid w:val="002D16B2"/>
    <w:rsid w:val="002D2167"/>
    <w:rsid w:val="002D4049"/>
    <w:rsid w:val="002F3C63"/>
    <w:rsid w:val="00327F02"/>
    <w:rsid w:val="00332440"/>
    <w:rsid w:val="00332870"/>
    <w:rsid w:val="00340198"/>
    <w:rsid w:val="003435F9"/>
    <w:rsid w:val="00381944"/>
    <w:rsid w:val="00383CF5"/>
    <w:rsid w:val="003933BD"/>
    <w:rsid w:val="003C2685"/>
    <w:rsid w:val="003C5BA8"/>
    <w:rsid w:val="003E3646"/>
    <w:rsid w:val="003F3CE0"/>
    <w:rsid w:val="003F5280"/>
    <w:rsid w:val="00401AF8"/>
    <w:rsid w:val="00404AC9"/>
    <w:rsid w:val="00405384"/>
    <w:rsid w:val="00431081"/>
    <w:rsid w:val="004338D2"/>
    <w:rsid w:val="00443546"/>
    <w:rsid w:val="00455066"/>
    <w:rsid w:val="004836F1"/>
    <w:rsid w:val="00485E7D"/>
    <w:rsid w:val="004956BD"/>
    <w:rsid w:val="004A3CF7"/>
    <w:rsid w:val="004A6A41"/>
    <w:rsid w:val="004C4455"/>
    <w:rsid w:val="004D12BE"/>
    <w:rsid w:val="004D2B30"/>
    <w:rsid w:val="004E21CD"/>
    <w:rsid w:val="0051537B"/>
    <w:rsid w:val="00523BC2"/>
    <w:rsid w:val="005451E7"/>
    <w:rsid w:val="00551B50"/>
    <w:rsid w:val="00590AA0"/>
    <w:rsid w:val="00593762"/>
    <w:rsid w:val="005959A5"/>
    <w:rsid w:val="00597BC9"/>
    <w:rsid w:val="005A01C3"/>
    <w:rsid w:val="005A2301"/>
    <w:rsid w:val="005C0113"/>
    <w:rsid w:val="005C49D8"/>
    <w:rsid w:val="005F3CC2"/>
    <w:rsid w:val="005F671C"/>
    <w:rsid w:val="005F71A3"/>
    <w:rsid w:val="00614679"/>
    <w:rsid w:val="00625CE4"/>
    <w:rsid w:val="006303F8"/>
    <w:rsid w:val="00641F48"/>
    <w:rsid w:val="0064242A"/>
    <w:rsid w:val="00671F26"/>
    <w:rsid w:val="006A1BB5"/>
    <w:rsid w:val="006A3462"/>
    <w:rsid w:val="006A71A9"/>
    <w:rsid w:val="006B002D"/>
    <w:rsid w:val="006B20DF"/>
    <w:rsid w:val="006C5756"/>
    <w:rsid w:val="006C6EEC"/>
    <w:rsid w:val="006C7ECE"/>
    <w:rsid w:val="006D6B5E"/>
    <w:rsid w:val="006E2979"/>
    <w:rsid w:val="00702C7D"/>
    <w:rsid w:val="0070384B"/>
    <w:rsid w:val="00712D86"/>
    <w:rsid w:val="007210F6"/>
    <w:rsid w:val="00721351"/>
    <w:rsid w:val="00724C25"/>
    <w:rsid w:val="007465C2"/>
    <w:rsid w:val="00754976"/>
    <w:rsid w:val="00760389"/>
    <w:rsid w:val="007A7268"/>
    <w:rsid w:val="007B432B"/>
    <w:rsid w:val="007B5537"/>
    <w:rsid w:val="007B7726"/>
    <w:rsid w:val="007C06D9"/>
    <w:rsid w:val="007C7E75"/>
    <w:rsid w:val="007F3AAA"/>
    <w:rsid w:val="007F7F0C"/>
    <w:rsid w:val="00843939"/>
    <w:rsid w:val="0084600D"/>
    <w:rsid w:val="00846C84"/>
    <w:rsid w:val="008640D6"/>
    <w:rsid w:val="00866AE8"/>
    <w:rsid w:val="00872F28"/>
    <w:rsid w:val="00882508"/>
    <w:rsid w:val="00885D40"/>
    <w:rsid w:val="008C61D4"/>
    <w:rsid w:val="008D68F3"/>
    <w:rsid w:val="008E4AA3"/>
    <w:rsid w:val="008E5654"/>
    <w:rsid w:val="00920B10"/>
    <w:rsid w:val="0092102C"/>
    <w:rsid w:val="00921771"/>
    <w:rsid w:val="00923B05"/>
    <w:rsid w:val="00944A0B"/>
    <w:rsid w:val="009519DF"/>
    <w:rsid w:val="00960A7C"/>
    <w:rsid w:val="009755E0"/>
    <w:rsid w:val="00997F79"/>
    <w:rsid w:val="009B1DCA"/>
    <w:rsid w:val="009C1E1C"/>
    <w:rsid w:val="009C6C03"/>
    <w:rsid w:val="009D4932"/>
    <w:rsid w:val="00A02693"/>
    <w:rsid w:val="00A03BF0"/>
    <w:rsid w:val="00A04FD2"/>
    <w:rsid w:val="00A06534"/>
    <w:rsid w:val="00A159EB"/>
    <w:rsid w:val="00A20A4D"/>
    <w:rsid w:val="00A228BD"/>
    <w:rsid w:val="00A362C3"/>
    <w:rsid w:val="00A53E57"/>
    <w:rsid w:val="00A65FC4"/>
    <w:rsid w:val="00A66540"/>
    <w:rsid w:val="00A81EA8"/>
    <w:rsid w:val="00A830B9"/>
    <w:rsid w:val="00AA465C"/>
    <w:rsid w:val="00AB50B9"/>
    <w:rsid w:val="00AC75A6"/>
    <w:rsid w:val="00AE099A"/>
    <w:rsid w:val="00AE761C"/>
    <w:rsid w:val="00AF773D"/>
    <w:rsid w:val="00B02C46"/>
    <w:rsid w:val="00B06532"/>
    <w:rsid w:val="00B15CD5"/>
    <w:rsid w:val="00B21C7E"/>
    <w:rsid w:val="00B25E39"/>
    <w:rsid w:val="00B266CA"/>
    <w:rsid w:val="00B448A9"/>
    <w:rsid w:val="00B57819"/>
    <w:rsid w:val="00B70FAB"/>
    <w:rsid w:val="00BA4928"/>
    <w:rsid w:val="00BA542E"/>
    <w:rsid w:val="00BD473E"/>
    <w:rsid w:val="00C111E6"/>
    <w:rsid w:val="00C17AFB"/>
    <w:rsid w:val="00C40DB6"/>
    <w:rsid w:val="00C508CA"/>
    <w:rsid w:val="00C60BDA"/>
    <w:rsid w:val="00C66A0D"/>
    <w:rsid w:val="00C82F13"/>
    <w:rsid w:val="00C962CE"/>
    <w:rsid w:val="00CA0B85"/>
    <w:rsid w:val="00CA6859"/>
    <w:rsid w:val="00CD15A0"/>
    <w:rsid w:val="00CD454A"/>
    <w:rsid w:val="00CE6D14"/>
    <w:rsid w:val="00D0209C"/>
    <w:rsid w:val="00D37D17"/>
    <w:rsid w:val="00D402DF"/>
    <w:rsid w:val="00D435A0"/>
    <w:rsid w:val="00D712ED"/>
    <w:rsid w:val="00D75D9A"/>
    <w:rsid w:val="00D92C15"/>
    <w:rsid w:val="00D93DA6"/>
    <w:rsid w:val="00DA0C00"/>
    <w:rsid w:val="00DB38A7"/>
    <w:rsid w:val="00DB476C"/>
    <w:rsid w:val="00DD3B0C"/>
    <w:rsid w:val="00DF4072"/>
    <w:rsid w:val="00DF4ACD"/>
    <w:rsid w:val="00E00CC7"/>
    <w:rsid w:val="00E04549"/>
    <w:rsid w:val="00E06585"/>
    <w:rsid w:val="00E25A45"/>
    <w:rsid w:val="00E3606B"/>
    <w:rsid w:val="00E37CC9"/>
    <w:rsid w:val="00E4419A"/>
    <w:rsid w:val="00E44B51"/>
    <w:rsid w:val="00E54E70"/>
    <w:rsid w:val="00E81FDE"/>
    <w:rsid w:val="00E84650"/>
    <w:rsid w:val="00EB1B12"/>
    <w:rsid w:val="00ED0021"/>
    <w:rsid w:val="00EE71A9"/>
    <w:rsid w:val="00F04562"/>
    <w:rsid w:val="00F44CCD"/>
    <w:rsid w:val="00F5455E"/>
    <w:rsid w:val="00F63412"/>
    <w:rsid w:val="00F679CF"/>
    <w:rsid w:val="00F76159"/>
    <w:rsid w:val="00F8153E"/>
    <w:rsid w:val="00FA15AE"/>
    <w:rsid w:val="00FA1B38"/>
    <w:rsid w:val="00FB029E"/>
    <w:rsid w:val="00FD4A18"/>
    <w:rsid w:val="00FE1A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CB37"/>
  <w15:chartTrackingRefBased/>
  <w15:docId w15:val="{F10BE731-7888-460F-9F9C-40F2E0CC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4A"/>
  </w:style>
  <w:style w:type="paragraph" w:styleId="Footer">
    <w:name w:val="footer"/>
    <w:basedOn w:val="Normal"/>
    <w:link w:val="FooterChar"/>
    <w:uiPriority w:val="99"/>
    <w:unhideWhenUsed/>
    <w:rsid w:val="00CD4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4A"/>
  </w:style>
  <w:style w:type="paragraph" w:styleId="FootnoteText">
    <w:name w:val="footnote text"/>
    <w:basedOn w:val="Normal"/>
    <w:link w:val="FootnoteTextChar"/>
    <w:uiPriority w:val="99"/>
    <w:semiHidden/>
    <w:unhideWhenUsed/>
    <w:rsid w:val="005A0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1C3"/>
    <w:rPr>
      <w:sz w:val="20"/>
      <w:szCs w:val="20"/>
    </w:rPr>
  </w:style>
  <w:style w:type="character" w:styleId="FootnoteReference">
    <w:name w:val="footnote reference"/>
    <w:basedOn w:val="DefaultParagraphFont"/>
    <w:uiPriority w:val="99"/>
    <w:semiHidden/>
    <w:unhideWhenUsed/>
    <w:rsid w:val="005A0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93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ED78-BF15-4A88-9B79-A3E8FEC8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6046</Words>
  <Characters>34464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Ayanda Mdletshe</cp:lastModifiedBy>
  <cp:revision>2</cp:revision>
  <dcterms:created xsi:type="dcterms:W3CDTF">2022-08-29T09:33:00Z</dcterms:created>
  <dcterms:modified xsi:type="dcterms:W3CDTF">2022-08-29T09:33:00Z</dcterms:modified>
</cp:coreProperties>
</file>