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BCDE7" w14:textId="572BEBA5" w:rsidR="002073C1" w:rsidRDefault="002073C1" w:rsidP="00BD73E7">
      <w:pPr>
        <w:spacing w:after="0" w:line="360" w:lineRule="auto"/>
        <w:jc w:val="both"/>
        <w:rPr>
          <w:rFonts w:ascii="Arial" w:hAnsi="Arial" w:cs="Arial"/>
          <w:b/>
          <w:bCs/>
          <w:sz w:val="24"/>
          <w:szCs w:val="24"/>
          <w:lang w:val="en-US"/>
        </w:rPr>
      </w:pPr>
      <w:r w:rsidRPr="00CA49C1">
        <w:rPr>
          <w:noProof/>
          <w:lang w:eastAsia="en-ZA"/>
        </w:rPr>
        <w:drawing>
          <wp:anchor distT="0" distB="0" distL="114300" distR="114300" simplePos="0" relativeHeight="251659264" behindDoc="0" locked="0" layoutInCell="1" allowOverlap="1" wp14:anchorId="4AFBF960" wp14:editId="50399C27">
            <wp:simplePos x="0" y="0"/>
            <wp:positionH relativeFrom="margin">
              <wp:align>center</wp:align>
            </wp:positionH>
            <wp:positionV relativeFrom="paragraph">
              <wp:posOffset>76200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7CD016B9" w14:textId="77777777" w:rsidR="002073C1" w:rsidRDefault="002073C1" w:rsidP="002073C1">
      <w:pPr>
        <w:spacing w:after="0" w:line="360" w:lineRule="auto"/>
        <w:jc w:val="both"/>
        <w:rPr>
          <w:rFonts w:ascii="Arial" w:hAnsi="Arial" w:cs="Arial"/>
          <w:b/>
          <w:bCs/>
          <w:sz w:val="24"/>
          <w:szCs w:val="24"/>
          <w:lang w:val="en-US"/>
        </w:rPr>
      </w:pPr>
    </w:p>
    <w:p w14:paraId="5604A0DB" w14:textId="77777777" w:rsidR="002073C1" w:rsidRDefault="002073C1" w:rsidP="002073C1">
      <w:pPr>
        <w:spacing w:after="0" w:line="360" w:lineRule="auto"/>
        <w:jc w:val="both"/>
        <w:rPr>
          <w:rFonts w:ascii="Arial" w:hAnsi="Arial" w:cs="Arial"/>
          <w:b/>
          <w:bCs/>
          <w:sz w:val="24"/>
          <w:szCs w:val="24"/>
          <w:lang w:val="en-US"/>
        </w:rPr>
      </w:pPr>
    </w:p>
    <w:p w14:paraId="4D28699F" w14:textId="77777777" w:rsidR="002073C1" w:rsidRDefault="002073C1" w:rsidP="002073C1">
      <w:pPr>
        <w:jc w:val="center"/>
        <w:rPr>
          <w:rFonts w:ascii="Arial" w:hAnsi="Arial" w:cs="Arial"/>
          <w:b/>
          <w:bCs/>
          <w:sz w:val="24"/>
          <w:szCs w:val="24"/>
          <w:lang w:val="en-GB"/>
        </w:rPr>
      </w:pPr>
    </w:p>
    <w:p w14:paraId="3B5CF056" w14:textId="77777777" w:rsidR="00A17461" w:rsidRDefault="00A17461" w:rsidP="002073C1">
      <w:pPr>
        <w:jc w:val="center"/>
        <w:rPr>
          <w:rFonts w:ascii="Arial" w:hAnsi="Arial" w:cs="Arial"/>
          <w:b/>
          <w:bCs/>
          <w:sz w:val="24"/>
          <w:szCs w:val="24"/>
          <w:lang w:val="en-GB"/>
        </w:rPr>
      </w:pPr>
    </w:p>
    <w:p w14:paraId="0A9BCFE6" w14:textId="77777777" w:rsidR="002073C1" w:rsidRPr="00CA49C1" w:rsidRDefault="002073C1" w:rsidP="002073C1">
      <w:pPr>
        <w:jc w:val="center"/>
        <w:rPr>
          <w:rFonts w:ascii="Arial" w:hAnsi="Arial" w:cs="Arial"/>
          <w:b/>
          <w:bCs/>
          <w:sz w:val="24"/>
          <w:szCs w:val="24"/>
          <w:lang w:val="en-GB"/>
        </w:rPr>
      </w:pPr>
      <w:r w:rsidRPr="00CA49C1">
        <w:rPr>
          <w:rFonts w:ascii="Arial" w:hAnsi="Arial" w:cs="Arial"/>
          <w:b/>
          <w:bCs/>
          <w:sz w:val="24"/>
          <w:szCs w:val="24"/>
          <w:lang w:val="en-GB"/>
        </w:rPr>
        <w:t>THE SUPREME COURT OF APPEAL OF SOUTH AFRICA</w:t>
      </w:r>
    </w:p>
    <w:p w14:paraId="168351F8" w14:textId="77777777" w:rsidR="002073C1" w:rsidRPr="00CA49C1" w:rsidRDefault="002073C1" w:rsidP="002073C1">
      <w:pPr>
        <w:keepNext/>
        <w:jc w:val="center"/>
        <w:outlineLvl w:val="2"/>
        <w:rPr>
          <w:b/>
          <w:iCs/>
          <w:sz w:val="24"/>
          <w:szCs w:val="24"/>
          <w:lang w:val="en-GB"/>
        </w:rPr>
      </w:pPr>
      <w:r w:rsidRPr="00CA49C1">
        <w:rPr>
          <w:rFonts w:ascii="Arial" w:hAnsi="Arial" w:cs="Arial"/>
          <w:b/>
          <w:iCs/>
          <w:sz w:val="24"/>
          <w:szCs w:val="24"/>
          <w:lang w:val="en-GB"/>
        </w:rPr>
        <w:t>JUDGMENT</w:t>
      </w:r>
    </w:p>
    <w:p w14:paraId="46EC5F66" w14:textId="77777777" w:rsidR="002073C1" w:rsidRDefault="002073C1" w:rsidP="002073C1">
      <w:pPr>
        <w:spacing w:after="0" w:line="360" w:lineRule="auto"/>
        <w:jc w:val="both"/>
        <w:rPr>
          <w:rFonts w:ascii="Arial" w:hAnsi="Arial" w:cs="Arial"/>
          <w:b/>
          <w:bCs/>
          <w:sz w:val="24"/>
          <w:szCs w:val="24"/>
          <w:lang w:val="en-US"/>
        </w:rPr>
      </w:pPr>
    </w:p>
    <w:p w14:paraId="7514B0C1" w14:textId="5C70C595" w:rsidR="002073C1" w:rsidRPr="00CA49C1" w:rsidRDefault="002073C1" w:rsidP="002073C1">
      <w:pPr>
        <w:spacing w:line="360" w:lineRule="auto"/>
        <w:jc w:val="right"/>
        <w:rPr>
          <w:rFonts w:ascii="Arial" w:hAnsi="Arial" w:cs="Arial"/>
          <w:b/>
          <w:bCs/>
          <w:sz w:val="24"/>
          <w:szCs w:val="24"/>
          <w:lang w:val="en-US"/>
        </w:rPr>
      </w:pPr>
      <w:r>
        <w:rPr>
          <w:rFonts w:ascii="Arial" w:hAnsi="Arial" w:cs="Arial"/>
          <w:b/>
          <w:bCs/>
          <w:sz w:val="24"/>
          <w:szCs w:val="24"/>
          <w:lang w:val="en-US"/>
        </w:rPr>
        <w:t xml:space="preserve">Reportable </w:t>
      </w:r>
    </w:p>
    <w:p w14:paraId="35CDE11D" w14:textId="347D15BD" w:rsidR="002073C1" w:rsidRPr="00CA49C1" w:rsidRDefault="002073C1" w:rsidP="002073C1">
      <w:pPr>
        <w:spacing w:line="360" w:lineRule="auto"/>
        <w:jc w:val="right"/>
        <w:rPr>
          <w:rFonts w:ascii="Arial" w:hAnsi="Arial" w:cs="Arial"/>
          <w:b/>
          <w:bCs/>
          <w:sz w:val="24"/>
          <w:szCs w:val="24"/>
          <w:lang w:val="en-US"/>
        </w:rPr>
      </w:pPr>
      <w:r>
        <w:rPr>
          <w:rFonts w:ascii="Arial" w:hAnsi="Arial" w:cs="Arial"/>
          <w:b/>
          <w:bCs/>
          <w:sz w:val="24"/>
          <w:szCs w:val="24"/>
          <w:lang w:val="en-US"/>
        </w:rPr>
        <w:t>Case no. 838/2021</w:t>
      </w:r>
    </w:p>
    <w:p w14:paraId="1BD6D530" w14:textId="77777777" w:rsidR="002073C1" w:rsidRDefault="002073C1" w:rsidP="00BD73E7">
      <w:pPr>
        <w:spacing w:after="0" w:line="360" w:lineRule="auto"/>
        <w:jc w:val="both"/>
        <w:rPr>
          <w:rFonts w:ascii="Arial" w:hAnsi="Arial" w:cs="Arial"/>
          <w:b/>
          <w:bCs/>
          <w:sz w:val="24"/>
          <w:szCs w:val="24"/>
          <w:lang w:val="en-US"/>
        </w:rPr>
      </w:pPr>
    </w:p>
    <w:p w14:paraId="2E1D44B5" w14:textId="24367FFE" w:rsidR="00BD73E7" w:rsidRDefault="00BD73E7" w:rsidP="00BD73E7">
      <w:pPr>
        <w:spacing w:after="0" w:line="360" w:lineRule="auto"/>
        <w:jc w:val="both"/>
        <w:rPr>
          <w:rFonts w:ascii="Arial" w:hAnsi="Arial" w:cs="Arial"/>
          <w:b/>
          <w:bCs/>
          <w:sz w:val="24"/>
          <w:szCs w:val="24"/>
          <w:lang w:val="en-US"/>
        </w:rPr>
      </w:pPr>
      <w:r>
        <w:rPr>
          <w:rFonts w:ascii="Arial" w:hAnsi="Arial" w:cs="Arial"/>
          <w:b/>
          <w:bCs/>
          <w:sz w:val="24"/>
          <w:szCs w:val="24"/>
          <w:lang w:val="en-US"/>
        </w:rPr>
        <w:t>In the matter between:</w:t>
      </w:r>
    </w:p>
    <w:p w14:paraId="59D8F74F" w14:textId="14D0FA50" w:rsidR="00BD73E7" w:rsidRDefault="00BD73E7" w:rsidP="00BD73E7">
      <w:pPr>
        <w:spacing w:after="0" w:line="360" w:lineRule="auto"/>
        <w:jc w:val="both"/>
        <w:rPr>
          <w:rFonts w:ascii="Arial" w:hAnsi="Arial" w:cs="Arial"/>
          <w:b/>
          <w:bCs/>
          <w:sz w:val="24"/>
          <w:szCs w:val="24"/>
          <w:lang w:val="en-US"/>
        </w:rPr>
      </w:pPr>
    </w:p>
    <w:p w14:paraId="301F9DBD" w14:textId="582BCF2A" w:rsidR="00BD73E7" w:rsidRDefault="00BD73E7" w:rsidP="00BD73E7">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JAMES MATODZI NESONGOZWI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Appellant</w:t>
      </w:r>
    </w:p>
    <w:p w14:paraId="23B7588C" w14:textId="4BCCC7FA" w:rsidR="00BD73E7" w:rsidRDefault="00BD73E7" w:rsidP="00BD73E7">
      <w:pPr>
        <w:spacing w:after="0" w:line="360" w:lineRule="auto"/>
        <w:jc w:val="both"/>
        <w:rPr>
          <w:rFonts w:ascii="Arial" w:hAnsi="Arial" w:cs="Arial"/>
          <w:b/>
          <w:bCs/>
          <w:sz w:val="24"/>
          <w:szCs w:val="24"/>
          <w:lang w:val="en-US"/>
        </w:rPr>
      </w:pPr>
    </w:p>
    <w:p w14:paraId="0A20A8DA" w14:textId="3A37193D" w:rsidR="00BD73E7" w:rsidRDefault="00BD73E7" w:rsidP="00BD73E7">
      <w:pPr>
        <w:spacing w:after="0" w:line="360" w:lineRule="auto"/>
        <w:jc w:val="both"/>
        <w:rPr>
          <w:rFonts w:ascii="Arial" w:hAnsi="Arial" w:cs="Arial"/>
          <w:b/>
          <w:bCs/>
          <w:sz w:val="24"/>
          <w:szCs w:val="24"/>
          <w:lang w:val="en-US"/>
        </w:rPr>
      </w:pPr>
      <w:r>
        <w:rPr>
          <w:rFonts w:ascii="Arial" w:hAnsi="Arial" w:cs="Arial"/>
          <w:b/>
          <w:bCs/>
          <w:sz w:val="24"/>
          <w:szCs w:val="24"/>
          <w:lang w:val="en-US"/>
        </w:rPr>
        <w:t>and</w:t>
      </w:r>
    </w:p>
    <w:p w14:paraId="2C082C12" w14:textId="6ED00223" w:rsidR="00BD73E7" w:rsidRDefault="00BD73E7" w:rsidP="00BD73E7">
      <w:pPr>
        <w:spacing w:after="0" w:line="360" w:lineRule="auto"/>
        <w:jc w:val="both"/>
        <w:rPr>
          <w:rFonts w:ascii="Arial" w:hAnsi="Arial" w:cs="Arial"/>
          <w:b/>
          <w:bCs/>
          <w:sz w:val="24"/>
          <w:szCs w:val="24"/>
          <w:lang w:val="en-US"/>
        </w:rPr>
      </w:pPr>
    </w:p>
    <w:p w14:paraId="5F4F443A" w14:textId="77777777" w:rsidR="002073C1" w:rsidRDefault="00BD73E7" w:rsidP="00BD73E7">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COMMISSIONER FOR THE SOUTH </w:t>
      </w:r>
    </w:p>
    <w:p w14:paraId="3CEEF5C5" w14:textId="31A76535" w:rsidR="00BD73E7" w:rsidRDefault="00BD73E7" w:rsidP="00BD73E7">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AFRICAN REVENUE SERVICE    </w:t>
      </w:r>
      <w:r w:rsidR="002073C1">
        <w:rPr>
          <w:rFonts w:ascii="Arial" w:hAnsi="Arial" w:cs="Arial"/>
          <w:b/>
          <w:bCs/>
          <w:sz w:val="24"/>
          <w:szCs w:val="24"/>
          <w:lang w:val="en-US"/>
        </w:rPr>
        <w:tab/>
      </w:r>
      <w:r w:rsidR="002073C1">
        <w:rPr>
          <w:rFonts w:ascii="Arial" w:hAnsi="Arial" w:cs="Arial"/>
          <w:b/>
          <w:bCs/>
          <w:sz w:val="24"/>
          <w:szCs w:val="24"/>
          <w:lang w:val="en-US"/>
        </w:rPr>
        <w:tab/>
      </w:r>
      <w:r w:rsidR="002073C1">
        <w:rPr>
          <w:rFonts w:ascii="Arial" w:hAnsi="Arial" w:cs="Arial"/>
          <w:b/>
          <w:bCs/>
          <w:sz w:val="24"/>
          <w:szCs w:val="24"/>
          <w:lang w:val="en-US"/>
        </w:rPr>
        <w:tab/>
      </w:r>
      <w:r w:rsidR="002073C1">
        <w:rPr>
          <w:rFonts w:ascii="Arial" w:hAnsi="Arial" w:cs="Arial"/>
          <w:b/>
          <w:bCs/>
          <w:sz w:val="24"/>
          <w:szCs w:val="24"/>
          <w:lang w:val="en-US"/>
        </w:rPr>
        <w:tab/>
      </w:r>
      <w:r w:rsidR="002073C1">
        <w:rPr>
          <w:rFonts w:ascii="Arial" w:hAnsi="Arial" w:cs="Arial"/>
          <w:b/>
          <w:bCs/>
          <w:sz w:val="24"/>
          <w:szCs w:val="24"/>
          <w:lang w:val="en-US"/>
        </w:rPr>
        <w:tab/>
        <w:t xml:space="preserve">      </w:t>
      </w:r>
      <w:r>
        <w:rPr>
          <w:rFonts w:ascii="Arial" w:hAnsi="Arial" w:cs="Arial"/>
          <w:b/>
          <w:bCs/>
          <w:sz w:val="24"/>
          <w:szCs w:val="24"/>
          <w:lang w:val="en-US"/>
        </w:rPr>
        <w:t>Respondent</w:t>
      </w:r>
    </w:p>
    <w:p w14:paraId="02BD3B4D" w14:textId="3098B717" w:rsidR="00BD73E7" w:rsidRDefault="00BD73E7" w:rsidP="00BD73E7">
      <w:pPr>
        <w:spacing w:after="0" w:line="360" w:lineRule="auto"/>
        <w:jc w:val="both"/>
        <w:rPr>
          <w:rFonts w:ascii="Arial" w:hAnsi="Arial" w:cs="Arial"/>
          <w:b/>
          <w:bCs/>
          <w:sz w:val="24"/>
          <w:szCs w:val="24"/>
          <w:lang w:val="en-US"/>
        </w:rPr>
      </w:pPr>
    </w:p>
    <w:p w14:paraId="34133F46" w14:textId="4062CC23" w:rsidR="002073C1" w:rsidRPr="00CA49C1" w:rsidRDefault="002073C1" w:rsidP="002073C1">
      <w:pPr>
        <w:spacing w:after="0"/>
        <w:jc w:val="both"/>
        <w:rPr>
          <w:rFonts w:ascii="Arial" w:hAnsi="Arial" w:cs="Arial"/>
          <w:sz w:val="24"/>
          <w:szCs w:val="24"/>
          <w:lang w:val="en-US"/>
        </w:rPr>
      </w:pPr>
      <w:r w:rsidRPr="00CA49C1">
        <w:rPr>
          <w:rFonts w:ascii="Arial" w:hAnsi="Arial" w:cs="Arial"/>
          <w:b/>
          <w:bCs/>
          <w:sz w:val="24"/>
          <w:szCs w:val="24"/>
          <w:lang w:val="en-US"/>
        </w:rPr>
        <w:t>Neutral citation:</w:t>
      </w:r>
      <w:r w:rsidRPr="00CA49C1">
        <w:rPr>
          <w:rFonts w:ascii="Arial" w:hAnsi="Arial" w:cs="Arial"/>
          <w:b/>
          <w:bCs/>
          <w:sz w:val="24"/>
          <w:szCs w:val="24"/>
          <w:lang w:val="en-US"/>
        </w:rPr>
        <w:tab/>
      </w:r>
      <w:bookmarkStart w:id="0" w:name="_GoBack"/>
      <w:r>
        <w:rPr>
          <w:rFonts w:ascii="Arial" w:hAnsi="Arial" w:cs="Arial"/>
          <w:i/>
          <w:iCs/>
          <w:sz w:val="24"/>
          <w:szCs w:val="24"/>
          <w:lang w:val="en-US"/>
        </w:rPr>
        <w:t>Nesongozwi v Commissioner for SARS</w:t>
      </w:r>
      <w:r>
        <w:rPr>
          <w:rFonts w:ascii="Arial" w:hAnsi="Arial" w:cs="Arial"/>
          <w:sz w:val="24"/>
          <w:szCs w:val="24"/>
          <w:lang w:val="en-US"/>
        </w:rPr>
        <w:t xml:space="preserve"> (</w:t>
      </w:r>
      <w:r w:rsidRPr="00C779A2">
        <w:rPr>
          <w:rFonts w:ascii="Arial" w:hAnsi="Arial" w:cs="Arial"/>
          <w:sz w:val="24"/>
          <w:szCs w:val="24"/>
          <w:lang w:val="en-US"/>
        </w:rPr>
        <w:t>838/2021)</w:t>
      </w:r>
      <w:r w:rsidRPr="00CA49C1">
        <w:rPr>
          <w:rFonts w:ascii="Arial" w:hAnsi="Arial" w:cs="Arial"/>
          <w:sz w:val="24"/>
          <w:szCs w:val="24"/>
          <w:lang w:val="en-US"/>
        </w:rPr>
        <w:t xml:space="preserve"> [2022</w:t>
      </w:r>
      <w:r w:rsidR="006323AC">
        <w:rPr>
          <w:rFonts w:ascii="Arial" w:hAnsi="Arial" w:cs="Arial"/>
          <w:sz w:val="24"/>
          <w:szCs w:val="24"/>
          <w:lang w:val="en-US"/>
        </w:rPr>
        <w:t>] ZASCA 138</w:t>
      </w:r>
      <w:r w:rsidRPr="00CA49C1">
        <w:rPr>
          <w:rFonts w:ascii="Arial" w:hAnsi="Arial" w:cs="Arial"/>
          <w:sz w:val="24"/>
          <w:szCs w:val="24"/>
          <w:lang w:val="en-US"/>
        </w:rPr>
        <w:t xml:space="preserve"> (</w:t>
      </w:r>
      <w:r w:rsidR="00BF1FA9">
        <w:rPr>
          <w:rFonts w:ascii="Arial" w:hAnsi="Arial" w:cs="Arial"/>
          <w:sz w:val="24"/>
          <w:szCs w:val="24"/>
          <w:lang w:val="en-US"/>
        </w:rPr>
        <w:t>24</w:t>
      </w:r>
      <w:r>
        <w:rPr>
          <w:rFonts w:ascii="Arial" w:hAnsi="Arial" w:cs="Arial"/>
          <w:sz w:val="24"/>
          <w:szCs w:val="24"/>
          <w:lang w:val="en-US"/>
        </w:rPr>
        <w:t xml:space="preserve"> </w:t>
      </w:r>
      <w:r w:rsidR="00C779A2">
        <w:rPr>
          <w:rFonts w:ascii="Arial" w:hAnsi="Arial" w:cs="Arial"/>
          <w:sz w:val="24"/>
          <w:szCs w:val="24"/>
          <w:lang w:val="en-US"/>
        </w:rPr>
        <w:t>October</w:t>
      </w:r>
      <w:r w:rsidRPr="00CA49C1">
        <w:rPr>
          <w:rFonts w:ascii="Arial" w:hAnsi="Arial" w:cs="Arial"/>
          <w:sz w:val="24"/>
          <w:szCs w:val="24"/>
          <w:lang w:val="en-US"/>
        </w:rPr>
        <w:t xml:space="preserve"> 2022</w:t>
      </w:r>
      <w:bookmarkEnd w:id="0"/>
      <w:r w:rsidRPr="00CA49C1">
        <w:rPr>
          <w:rFonts w:ascii="Arial" w:hAnsi="Arial" w:cs="Arial"/>
          <w:sz w:val="24"/>
          <w:szCs w:val="24"/>
          <w:lang w:val="en-US"/>
        </w:rPr>
        <w:t>)</w:t>
      </w:r>
    </w:p>
    <w:p w14:paraId="616F1E2B" w14:textId="77777777" w:rsidR="002073C1" w:rsidRPr="00CA49C1" w:rsidRDefault="002073C1" w:rsidP="002073C1">
      <w:pPr>
        <w:spacing w:after="0"/>
        <w:jc w:val="both"/>
        <w:rPr>
          <w:rFonts w:ascii="Arial" w:hAnsi="Arial" w:cs="Arial"/>
          <w:sz w:val="24"/>
          <w:szCs w:val="24"/>
          <w:lang w:val="en-US"/>
        </w:rPr>
      </w:pPr>
    </w:p>
    <w:p w14:paraId="7EE54B3B" w14:textId="4DD82A1C" w:rsidR="002073C1" w:rsidRPr="00CA49C1" w:rsidRDefault="002073C1" w:rsidP="002073C1">
      <w:pPr>
        <w:spacing w:after="0"/>
        <w:jc w:val="both"/>
        <w:rPr>
          <w:rFonts w:ascii="Arial" w:hAnsi="Arial" w:cs="Arial"/>
          <w:sz w:val="24"/>
          <w:szCs w:val="24"/>
          <w:lang w:val="en-US"/>
        </w:rPr>
      </w:pPr>
      <w:r w:rsidRPr="00CA49C1">
        <w:rPr>
          <w:rFonts w:ascii="Arial" w:hAnsi="Arial" w:cs="Arial"/>
          <w:b/>
          <w:bCs/>
          <w:sz w:val="24"/>
          <w:szCs w:val="24"/>
          <w:lang w:val="en-US"/>
        </w:rPr>
        <w:t>Coram:</w:t>
      </w:r>
      <w:r w:rsidRPr="00CA49C1">
        <w:rPr>
          <w:rFonts w:ascii="Arial" w:hAnsi="Arial" w:cs="Arial"/>
          <w:sz w:val="24"/>
          <w:szCs w:val="24"/>
          <w:lang w:val="en-US"/>
        </w:rPr>
        <w:tab/>
      </w:r>
      <w:r>
        <w:rPr>
          <w:rFonts w:ascii="Arial" w:hAnsi="Arial" w:cs="Arial"/>
          <w:sz w:val="24"/>
          <w:szCs w:val="24"/>
          <w:lang w:val="en-US"/>
        </w:rPr>
        <w:t>Ponnan, Makgoka and Plasket JJA and Weiner and Windell AJJA</w:t>
      </w:r>
    </w:p>
    <w:p w14:paraId="3D84210D" w14:textId="77777777" w:rsidR="002073C1" w:rsidRPr="00CA49C1" w:rsidRDefault="002073C1" w:rsidP="002073C1">
      <w:pPr>
        <w:spacing w:after="0"/>
        <w:jc w:val="both"/>
        <w:rPr>
          <w:rFonts w:ascii="Arial" w:hAnsi="Arial" w:cs="Arial"/>
          <w:sz w:val="24"/>
          <w:szCs w:val="24"/>
          <w:lang w:val="en-US"/>
        </w:rPr>
      </w:pPr>
    </w:p>
    <w:p w14:paraId="10F4CB10" w14:textId="596AC70A" w:rsidR="002073C1" w:rsidRPr="00CA49C1" w:rsidRDefault="002073C1" w:rsidP="002073C1">
      <w:pPr>
        <w:spacing w:after="0"/>
        <w:jc w:val="both"/>
        <w:rPr>
          <w:rFonts w:ascii="Arial" w:hAnsi="Arial" w:cs="Arial"/>
          <w:sz w:val="24"/>
          <w:szCs w:val="24"/>
          <w:lang w:val="en-US"/>
        </w:rPr>
      </w:pPr>
      <w:r w:rsidRPr="00CA49C1">
        <w:rPr>
          <w:rFonts w:ascii="Arial" w:hAnsi="Arial" w:cs="Arial"/>
          <w:b/>
          <w:bCs/>
          <w:sz w:val="24"/>
          <w:szCs w:val="24"/>
          <w:lang w:val="en-US"/>
        </w:rPr>
        <w:t>Heard:</w:t>
      </w:r>
      <w:r w:rsidRPr="00CA49C1">
        <w:rPr>
          <w:rFonts w:ascii="Arial" w:hAnsi="Arial" w:cs="Arial"/>
          <w:b/>
          <w:bCs/>
          <w:sz w:val="24"/>
          <w:szCs w:val="24"/>
          <w:lang w:val="en-US"/>
        </w:rPr>
        <w:tab/>
      </w:r>
      <w:r>
        <w:rPr>
          <w:rFonts w:ascii="Arial" w:hAnsi="Arial" w:cs="Arial"/>
          <w:sz w:val="24"/>
          <w:szCs w:val="24"/>
          <w:lang w:val="en-US"/>
        </w:rPr>
        <w:t>24 August</w:t>
      </w:r>
      <w:r w:rsidRPr="00CA49C1">
        <w:rPr>
          <w:rFonts w:ascii="Arial" w:hAnsi="Arial" w:cs="Arial"/>
          <w:sz w:val="24"/>
          <w:szCs w:val="24"/>
          <w:lang w:val="en-US"/>
        </w:rPr>
        <w:t xml:space="preserve"> 2022</w:t>
      </w:r>
    </w:p>
    <w:p w14:paraId="1A1EE867" w14:textId="77777777" w:rsidR="002073C1" w:rsidRPr="00CA49C1" w:rsidRDefault="002073C1" w:rsidP="002073C1">
      <w:pPr>
        <w:spacing w:after="0"/>
        <w:jc w:val="both"/>
        <w:rPr>
          <w:rFonts w:ascii="Arial" w:hAnsi="Arial" w:cs="Arial"/>
          <w:sz w:val="24"/>
          <w:szCs w:val="24"/>
          <w:lang w:val="en-US"/>
        </w:rPr>
      </w:pPr>
    </w:p>
    <w:p w14:paraId="2EC664C0" w14:textId="3DEF9824" w:rsidR="002073C1" w:rsidRPr="00CA49C1" w:rsidRDefault="002073C1" w:rsidP="002073C1">
      <w:pPr>
        <w:spacing w:after="0"/>
        <w:jc w:val="both"/>
        <w:rPr>
          <w:rFonts w:ascii="Arial" w:hAnsi="Arial" w:cs="Arial"/>
          <w:sz w:val="24"/>
          <w:szCs w:val="24"/>
          <w:lang w:val="en-US"/>
        </w:rPr>
      </w:pPr>
      <w:r w:rsidRPr="00CA49C1">
        <w:rPr>
          <w:rFonts w:ascii="Arial" w:hAnsi="Arial" w:cs="Arial"/>
          <w:b/>
          <w:bCs/>
          <w:sz w:val="24"/>
          <w:szCs w:val="24"/>
          <w:lang w:val="en-US"/>
        </w:rPr>
        <w:t>Delivered:</w:t>
      </w:r>
      <w:r w:rsidRPr="00CA49C1">
        <w:rPr>
          <w:rFonts w:ascii="Arial" w:hAnsi="Arial" w:cs="Arial"/>
          <w:b/>
          <w:bCs/>
          <w:sz w:val="24"/>
          <w:szCs w:val="24"/>
          <w:lang w:val="en-US"/>
        </w:rPr>
        <w:tab/>
      </w:r>
      <w:r w:rsidR="003B6798">
        <w:rPr>
          <w:rFonts w:ascii="Arial" w:hAnsi="Arial" w:cs="Arial"/>
          <w:sz w:val="24"/>
          <w:szCs w:val="24"/>
          <w:lang w:val="en-US"/>
        </w:rPr>
        <w:t>24</w:t>
      </w:r>
      <w:r w:rsidR="00F21C10">
        <w:rPr>
          <w:rFonts w:ascii="Arial" w:hAnsi="Arial" w:cs="Arial"/>
          <w:sz w:val="24"/>
          <w:szCs w:val="24"/>
          <w:lang w:val="en-US"/>
        </w:rPr>
        <w:t xml:space="preserve"> October </w:t>
      </w:r>
      <w:r w:rsidRPr="00F7251C">
        <w:rPr>
          <w:rFonts w:ascii="Arial" w:hAnsi="Arial" w:cs="Arial"/>
          <w:bCs/>
          <w:sz w:val="24"/>
          <w:szCs w:val="24"/>
          <w:lang w:val="en-US"/>
        </w:rPr>
        <w:t>2022</w:t>
      </w:r>
    </w:p>
    <w:p w14:paraId="0C13EF79" w14:textId="77777777" w:rsidR="002073C1" w:rsidRDefault="002073C1" w:rsidP="002073C1">
      <w:pPr>
        <w:spacing w:after="0" w:line="360" w:lineRule="auto"/>
        <w:jc w:val="both"/>
        <w:rPr>
          <w:rFonts w:ascii="Arial" w:hAnsi="Arial" w:cs="Arial"/>
          <w:b/>
          <w:bCs/>
          <w:sz w:val="24"/>
          <w:szCs w:val="24"/>
          <w:lang w:val="en-US"/>
        </w:rPr>
      </w:pPr>
    </w:p>
    <w:p w14:paraId="36D0918F" w14:textId="67B78C94" w:rsidR="00F21C10" w:rsidRPr="00F21C10" w:rsidRDefault="002073C1" w:rsidP="002073C1">
      <w:pPr>
        <w:spacing w:after="0" w:line="360" w:lineRule="auto"/>
        <w:jc w:val="both"/>
        <w:rPr>
          <w:rFonts w:ascii="Arial" w:hAnsi="Arial" w:cs="Arial"/>
          <w:sz w:val="24"/>
          <w:szCs w:val="24"/>
          <w:lang w:val="en-US"/>
        </w:rPr>
      </w:pPr>
      <w:r w:rsidRPr="00D96994">
        <w:rPr>
          <w:rFonts w:ascii="Arial" w:hAnsi="Arial" w:cs="Arial"/>
          <w:b/>
          <w:bCs/>
          <w:sz w:val="24"/>
          <w:szCs w:val="24"/>
          <w:lang w:val="en-US"/>
        </w:rPr>
        <w:t>Summary:</w:t>
      </w:r>
      <w:r>
        <w:rPr>
          <w:rFonts w:ascii="Arial" w:hAnsi="Arial" w:cs="Arial"/>
          <w:sz w:val="24"/>
          <w:szCs w:val="24"/>
          <w:lang w:val="en-US"/>
        </w:rPr>
        <w:tab/>
      </w:r>
      <w:r w:rsidR="00F21C10" w:rsidRPr="00F21C10">
        <w:rPr>
          <w:rFonts w:ascii="Arial" w:hAnsi="Arial" w:cs="Arial"/>
          <w:sz w:val="24"/>
          <w:szCs w:val="24"/>
          <w:lang w:val="en-US"/>
        </w:rPr>
        <w:t>Tax Administration Act 28 of 2011 – valuation of shares for purposes of donations tax and capital gains tax – assessment and objection – appeal to tax court – only issues objected to subject to appeal.</w:t>
      </w:r>
    </w:p>
    <w:p w14:paraId="51609AF8" w14:textId="77777777" w:rsidR="002073C1" w:rsidRDefault="002073C1" w:rsidP="002073C1">
      <w:pPr>
        <w:spacing w:after="0" w:line="360" w:lineRule="auto"/>
        <w:jc w:val="both"/>
        <w:rPr>
          <w:rFonts w:ascii="Arial" w:hAnsi="Arial" w:cs="Arial"/>
          <w:sz w:val="24"/>
          <w:szCs w:val="24"/>
          <w:lang w:val="en-US"/>
        </w:rPr>
      </w:pPr>
    </w:p>
    <w:p w14:paraId="0225EB86" w14:textId="77777777" w:rsidR="002073C1" w:rsidRDefault="002073C1" w:rsidP="002073C1">
      <w:pPr>
        <w:spacing w:after="0" w:line="360" w:lineRule="auto"/>
        <w:jc w:val="both"/>
        <w:rPr>
          <w:rFonts w:ascii="Arial" w:hAnsi="Arial" w:cs="Arial"/>
          <w:sz w:val="24"/>
          <w:szCs w:val="24"/>
          <w:lang w:val="en-US"/>
        </w:rPr>
      </w:pPr>
    </w:p>
    <w:p w14:paraId="61BB0283" w14:textId="77777777" w:rsidR="002073C1" w:rsidRDefault="002073C1" w:rsidP="002073C1">
      <w:pPr>
        <w:spacing w:after="0" w:line="360" w:lineRule="auto"/>
        <w:jc w:val="both"/>
        <w:rPr>
          <w:rFonts w:ascii="Arial" w:hAnsi="Arial" w:cs="Arial"/>
          <w:sz w:val="24"/>
          <w:szCs w:val="24"/>
          <w:lang w:val="en-US"/>
        </w:rPr>
      </w:pPr>
    </w:p>
    <w:p w14:paraId="046A9AA7" w14:textId="77777777" w:rsidR="002073C1" w:rsidRDefault="002073C1" w:rsidP="002073C1">
      <w:pPr>
        <w:pBdr>
          <w:bottom w:val="single" w:sz="12" w:space="1" w:color="auto"/>
        </w:pBdr>
        <w:spacing w:after="0" w:line="360" w:lineRule="auto"/>
        <w:jc w:val="both"/>
        <w:rPr>
          <w:rFonts w:ascii="Arial" w:hAnsi="Arial" w:cs="Arial"/>
          <w:sz w:val="24"/>
          <w:szCs w:val="24"/>
          <w:lang w:val="en-US"/>
        </w:rPr>
      </w:pPr>
    </w:p>
    <w:p w14:paraId="08BBA34E" w14:textId="77777777" w:rsidR="002073C1" w:rsidRDefault="002073C1" w:rsidP="002073C1">
      <w:pPr>
        <w:spacing w:after="0" w:line="360" w:lineRule="auto"/>
        <w:jc w:val="both"/>
        <w:rPr>
          <w:rFonts w:ascii="Arial" w:hAnsi="Arial" w:cs="Arial"/>
          <w:b/>
          <w:bCs/>
          <w:sz w:val="24"/>
          <w:szCs w:val="24"/>
          <w:lang w:val="en-US"/>
        </w:rPr>
      </w:pPr>
    </w:p>
    <w:p w14:paraId="2174A860" w14:textId="77777777" w:rsidR="002073C1" w:rsidRDefault="002073C1" w:rsidP="002073C1">
      <w:pPr>
        <w:spacing w:after="0" w:line="360" w:lineRule="auto"/>
        <w:jc w:val="center"/>
        <w:rPr>
          <w:rFonts w:ascii="Arial" w:hAnsi="Arial" w:cs="Arial"/>
          <w:b/>
          <w:bCs/>
          <w:sz w:val="24"/>
          <w:szCs w:val="24"/>
          <w:lang w:val="en-US"/>
        </w:rPr>
      </w:pPr>
      <w:r>
        <w:rPr>
          <w:rFonts w:ascii="Arial" w:hAnsi="Arial" w:cs="Arial"/>
          <w:b/>
          <w:bCs/>
          <w:sz w:val="24"/>
          <w:szCs w:val="24"/>
          <w:lang w:val="en-US"/>
        </w:rPr>
        <w:t>ORDER</w:t>
      </w:r>
    </w:p>
    <w:p w14:paraId="136C37D4" w14:textId="77777777" w:rsidR="002073C1" w:rsidRDefault="002073C1" w:rsidP="002073C1">
      <w:pPr>
        <w:pBdr>
          <w:bottom w:val="single" w:sz="12" w:space="1" w:color="auto"/>
        </w:pBdr>
        <w:spacing w:after="0" w:line="360" w:lineRule="auto"/>
        <w:jc w:val="both"/>
        <w:rPr>
          <w:rFonts w:ascii="Arial" w:hAnsi="Arial" w:cs="Arial"/>
          <w:b/>
          <w:bCs/>
          <w:sz w:val="24"/>
          <w:szCs w:val="24"/>
          <w:lang w:val="en-US"/>
        </w:rPr>
      </w:pPr>
    </w:p>
    <w:p w14:paraId="39A68866" w14:textId="77777777" w:rsidR="002073C1" w:rsidRDefault="002073C1" w:rsidP="002073C1">
      <w:pPr>
        <w:spacing w:after="0" w:line="360" w:lineRule="auto"/>
        <w:jc w:val="both"/>
        <w:rPr>
          <w:rFonts w:ascii="Arial" w:hAnsi="Arial" w:cs="Arial"/>
          <w:b/>
          <w:bCs/>
          <w:sz w:val="24"/>
          <w:szCs w:val="24"/>
          <w:lang w:val="en-US"/>
        </w:rPr>
      </w:pPr>
    </w:p>
    <w:p w14:paraId="44CB765D" w14:textId="49D927E0" w:rsidR="002073C1" w:rsidRDefault="002073C1" w:rsidP="002073C1">
      <w:pPr>
        <w:spacing w:after="0" w:line="360" w:lineRule="auto"/>
        <w:jc w:val="both"/>
        <w:rPr>
          <w:rFonts w:ascii="Arial" w:hAnsi="Arial" w:cs="Arial"/>
          <w:sz w:val="24"/>
          <w:szCs w:val="24"/>
          <w:lang w:val="en-US"/>
        </w:rPr>
      </w:pPr>
      <w:r>
        <w:rPr>
          <w:rFonts w:ascii="Arial" w:hAnsi="Arial" w:cs="Arial"/>
          <w:b/>
          <w:bCs/>
          <w:sz w:val="24"/>
          <w:szCs w:val="24"/>
          <w:lang w:val="en-US"/>
        </w:rPr>
        <w:t>On appeal from:</w:t>
      </w:r>
      <w:r>
        <w:rPr>
          <w:rFonts w:ascii="Arial" w:hAnsi="Arial" w:cs="Arial"/>
          <w:sz w:val="24"/>
          <w:szCs w:val="24"/>
          <w:lang w:val="en-US"/>
        </w:rPr>
        <w:t xml:space="preserve"> </w:t>
      </w:r>
      <w:r w:rsidRPr="00C779A2">
        <w:rPr>
          <w:rFonts w:ascii="Arial" w:hAnsi="Arial" w:cs="Arial"/>
          <w:sz w:val="24"/>
          <w:szCs w:val="24"/>
          <w:lang w:val="en-US"/>
        </w:rPr>
        <w:t>Gauteng Division of</w:t>
      </w:r>
      <w:r>
        <w:rPr>
          <w:rFonts w:ascii="Arial" w:hAnsi="Arial" w:cs="Arial"/>
          <w:sz w:val="24"/>
          <w:szCs w:val="24"/>
          <w:lang w:val="en-US"/>
        </w:rPr>
        <w:t xml:space="preserve"> the High C</w:t>
      </w:r>
      <w:r w:rsidR="00A17461">
        <w:rPr>
          <w:rFonts w:ascii="Arial" w:hAnsi="Arial" w:cs="Arial"/>
          <w:sz w:val="24"/>
          <w:szCs w:val="24"/>
          <w:lang w:val="en-US"/>
        </w:rPr>
        <w:t>ourt, Johannesburg (Dippenaar</w:t>
      </w:r>
      <w:r w:rsidR="00AA3379">
        <w:rPr>
          <w:rFonts w:ascii="Arial" w:hAnsi="Arial" w:cs="Arial"/>
          <w:sz w:val="24"/>
          <w:szCs w:val="24"/>
          <w:lang w:val="en-US"/>
        </w:rPr>
        <w:t xml:space="preserve"> and Senyatsi JJ and Wanless AJ</w:t>
      </w:r>
      <w:r w:rsidR="00A17461">
        <w:rPr>
          <w:rFonts w:ascii="Arial" w:hAnsi="Arial" w:cs="Arial"/>
          <w:sz w:val="24"/>
          <w:szCs w:val="24"/>
          <w:lang w:val="en-US"/>
        </w:rPr>
        <w:t xml:space="preserve"> </w:t>
      </w:r>
      <w:r>
        <w:rPr>
          <w:rFonts w:ascii="Arial" w:hAnsi="Arial" w:cs="Arial"/>
          <w:sz w:val="24"/>
          <w:szCs w:val="24"/>
          <w:lang w:val="en-US"/>
        </w:rPr>
        <w:t xml:space="preserve">sitting as court of </w:t>
      </w:r>
      <w:r w:rsidR="00AA3379">
        <w:rPr>
          <w:rFonts w:ascii="Arial" w:hAnsi="Arial" w:cs="Arial"/>
          <w:sz w:val="24"/>
          <w:szCs w:val="24"/>
          <w:lang w:val="en-US"/>
        </w:rPr>
        <w:t>appeal</w:t>
      </w:r>
      <w:r w:rsidR="00E96FF5">
        <w:rPr>
          <w:rFonts w:ascii="Arial" w:hAnsi="Arial" w:cs="Arial"/>
          <w:sz w:val="24"/>
          <w:szCs w:val="24"/>
          <w:lang w:val="en-US"/>
        </w:rPr>
        <w:t>)</w:t>
      </w:r>
      <w:r>
        <w:rPr>
          <w:rFonts w:ascii="Arial" w:hAnsi="Arial" w:cs="Arial"/>
          <w:sz w:val="24"/>
          <w:szCs w:val="24"/>
          <w:lang w:val="en-US"/>
        </w:rPr>
        <w:t>.</w:t>
      </w:r>
    </w:p>
    <w:p w14:paraId="4C88A84C" w14:textId="3AEB9EA8" w:rsidR="002073C1" w:rsidRDefault="002073C1" w:rsidP="002073C1">
      <w:pPr>
        <w:spacing w:after="0" w:line="360" w:lineRule="auto"/>
        <w:jc w:val="both"/>
        <w:rPr>
          <w:rFonts w:ascii="Arial" w:hAnsi="Arial" w:cs="Arial"/>
          <w:sz w:val="24"/>
          <w:szCs w:val="24"/>
          <w:lang w:val="en-US"/>
        </w:rPr>
      </w:pPr>
    </w:p>
    <w:p w14:paraId="31AD55A2" w14:textId="01B92340" w:rsidR="002073C1" w:rsidRPr="0062660B" w:rsidRDefault="00AA3379" w:rsidP="002073C1">
      <w:pPr>
        <w:spacing w:after="0" w:line="360" w:lineRule="auto"/>
        <w:jc w:val="both"/>
        <w:rPr>
          <w:rFonts w:ascii="Arial" w:hAnsi="Arial" w:cs="Arial"/>
          <w:sz w:val="24"/>
          <w:szCs w:val="24"/>
          <w:lang w:val="en-US"/>
        </w:rPr>
      </w:pPr>
      <w:r>
        <w:rPr>
          <w:rFonts w:ascii="Arial" w:hAnsi="Arial" w:cs="Arial"/>
          <w:sz w:val="24"/>
          <w:szCs w:val="24"/>
          <w:lang w:val="en-US"/>
        </w:rPr>
        <w:t>The appeal is dismissed with costs</w:t>
      </w:r>
      <w:r w:rsidR="00160C32">
        <w:rPr>
          <w:rFonts w:ascii="Arial" w:hAnsi="Arial" w:cs="Arial"/>
          <w:sz w:val="24"/>
          <w:szCs w:val="24"/>
          <w:lang w:val="en-US"/>
        </w:rPr>
        <w:t>,</w:t>
      </w:r>
      <w:r>
        <w:rPr>
          <w:rFonts w:ascii="Arial" w:hAnsi="Arial" w:cs="Arial"/>
          <w:sz w:val="24"/>
          <w:szCs w:val="24"/>
          <w:lang w:val="en-US"/>
        </w:rPr>
        <w:t xml:space="preserve"> including the costs of two counsel.</w:t>
      </w:r>
    </w:p>
    <w:p w14:paraId="5C4C2E5D" w14:textId="719B8BD6" w:rsidR="00BD73E7" w:rsidRDefault="00BD73E7" w:rsidP="00BD73E7">
      <w:pPr>
        <w:pBdr>
          <w:bottom w:val="single" w:sz="12" w:space="1" w:color="auto"/>
        </w:pBdr>
        <w:spacing w:after="0" w:line="360" w:lineRule="auto"/>
        <w:jc w:val="both"/>
        <w:rPr>
          <w:rFonts w:ascii="Arial" w:hAnsi="Arial" w:cs="Arial"/>
          <w:b/>
          <w:bCs/>
          <w:sz w:val="24"/>
          <w:szCs w:val="24"/>
          <w:lang w:val="en-US"/>
        </w:rPr>
      </w:pPr>
    </w:p>
    <w:p w14:paraId="3A504304" w14:textId="3427C965" w:rsidR="00BD73E7" w:rsidRDefault="00BD73E7" w:rsidP="00BD73E7">
      <w:pPr>
        <w:spacing w:after="0" w:line="360" w:lineRule="auto"/>
        <w:jc w:val="both"/>
        <w:rPr>
          <w:rFonts w:ascii="Arial" w:hAnsi="Arial" w:cs="Arial"/>
          <w:b/>
          <w:bCs/>
          <w:sz w:val="24"/>
          <w:szCs w:val="24"/>
          <w:lang w:val="en-US"/>
        </w:rPr>
      </w:pPr>
    </w:p>
    <w:p w14:paraId="7565F278" w14:textId="3AC295DB" w:rsidR="00BD73E7" w:rsidRDefault="00BD73E7" w:rsidP="00E91F81">
      <w:pPr>
        <w:spacing w:after="0" w:line="360" w:lineRule="auto"/>
        <w:jc w:val="center"/>
        <w:rPr>
          <w:rFonts w:ascii="Arial" w:hAnsi="Arial" w:cs="Arial"/>
          <w:b/>
          <w:bCs/>
          <w:sz w:val="24"/>
          <w:szCs w:val="24"/>
          <w:lang w:val="en-US"/>
        </w:rPr>
      </w:pPr>
      <w:r>
        <w:rPr>
          <w:rFonts w:ascii="Arial" w:hAnsi="Arial" w:cs="Arial"/>
          <w:b/>
          <w:bCs/>
          <w:sz w:val="24"/>
          <w:szCs w:val="24"/>
          <w:lang w:val="en-US"/>
        </w:rPr>
        <w:t>JUDGMENT</w:t>
      </w:r>
    </w:p>
    <w:p w14:paraId="55FBB5EB" w14:textId="347EDD86" w:rsidR="00BD73E7" w:rsidRDefault="00BD73E7" w:rsidP="00BD73E7">
      <w:pPr>
        <w:pBdr>
          <w:bottom w:val="single" w:sz="12" w:space="1" w:color="auto"/>
        </w:pBdr>
        <w:spacing w:after="0" w:line="360" w:lineRule="auto"/>
        <w:jc w:val="both"/>
        <w:rPr>
          <w:rFonts w:ascii="Arial" w:hAnsi="Arial" w:cs="Arial"/>
          <w:b/>
          <w:bCs/>
          <w:sz w:val="24"/>
          <w:szCs w:val="24"/>
          <w:lang w:val="en-US"/>
        </w:rPr>
      </w:pPr>
    </w:p>
    <w:p w14:paraId="57CE9257" w14:textId="2AD10054" w:rsidR="00BD73E7" w:rsidRDefault="00BD73E7" w:rsidP="00BD73E7">
      <w:pPr>
        <w:spacing w:after="0" w:line="360" w:lineRule="auto"/>
        <w:jc w:val="both"/>
        <w:rPr>
          <w:rFonts w:ascii="Arial" w:hAnsi="Arial" w:cs="Arial"/>
          <w:b/>
          <w:bCs/>
          <w:sz w:val="24"/>
          <w:szCs w:val="24"/>
          <w:lang w:val="en-US"/>
        </w:rPr>
      </w:pPr>
    </w:p>
    <w:p w14:paraId="2F065F7F" w14:textId="7F702D64" w:rsidR="00BD73E7" w:rsidRDefault="00BD73E7" w:rsidP="00BD73E7">
      <w:pPr>
        <w:spacing w:after="0" w:line="360" w:lineRule="auto"/>
        <w:jc w:val="both"/>
        <w:rPr>
          <w:rFonts w:ascii="Arial" w:hAnsi="Arial" w:cs="Arial"/>
          <w:sz w:val="24"/>
          <w:szCs w:val="24"/>
          <w:lang w:val="en-US"/>
        </w:rPr>
      </w:pPr>
      <w:r>
        <w:rPr>
          <w:rFonts w:ascii="Arial" w:hAnsi="Arial" w:cs="Arial"/>
          <w:b/>
          <w:bCs/>
          <w:sz w:val="24"/>
          <w:szCs w:val="24"/>
          <w:lang w:val="en-US"/>
        </w:rPr>
        <w:t>Plasket JA (</w:t>
      </w:r>
      <w:r w:rsidR="00C779A2">
        <w:rPr>
          <w:rFonts w:ascii="Arial" w:hAnsi="Arial" w:cs="Arial"/>
          <w:b/>
          <w:bCs/>
          <w:sz w:val="24"/>
          <w:szCs w:val="24"/>
          <w:lang w:val="en-US"/>
        </w:rPr>
        <w:t>Ponnan and Makgoka JJA and Weiner and Windell AJJA</w:t>
      </w:r>
      <w:r>
        <w:rPr>
          <w:rFonts w:ascii="Arial" w:hAnsi="Arial" w:cs="Arial"/>
          <w:b/>
          <w:bCs/>
          <w:sz w:val="24"/>
          <w:szCs w:val="24"/>
          <w:lang w:val="en-US"/>
        </w:rPr>
        <w:t xml:space="preserve"> concurring)</w:t>
      </w:r>
    </w:p>
    <w:p w14:paraId="1F06ECBC" w14:textId="67B4A570" w:rsidR="00BD73E7" w:rsidRDefault="00BD73E7" w:rsidP="00BD73E7">
      <w:pPr>
        <w:spacing w:after="0" w:line="360" w:lineRule="auto"/>
        <w:jc w:val="both"/>
        <w:rPr>
          <w:rFonts w:ascii="Arial" w:hAnsi="Arial" w:cs="Arial"/>
          <w:sz w:val="24"/>
          <w:szCs w:val="24"/>
          <w:lang w:val="en-US"/>
        </w:rPr>
      </w:pPr>
    </w:p>
    <w:p w14:paraId="063538BF" w14:textId="1076188B" w:rsidR="00B91DA9" w:rsidRDefault="00BD73E7" w:rsidP="00BD73E7">
      <w:pPr>
        <w:spacing w:after="0" w:line="36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 xml:space="preserve">This is an appeal against an order of a full </w:t>
      </w:r>
      <w:r w:rsidR="002B20CA">
        <w:rPr>
          <w:rFonts w:ascii="Arial" w:hAnsi="Arial" w:cs="Arial"/>
          <w:sz w:val="24"/>
          <w:szCs w:val="24"/>
          <w:lang w:val="en-US"/>
        </w:rPr>
        <w:t>court</w:t>
      </w:r>
      <w:r>
        <w:rPr>
          <w:rFonts w:ascii="Arial" w:hAnsi="Arial" w:cs="Arial"/>
          <w:sz w:val="24"/>
          <w:szCs w:val="24"/>
          <w:lang w:val="en-US"/>
        </w:rPr>
        <w:t xml:space="preserve"> of the </w:t>
      </w:r>
      <w:r w:rsidRPr="00C779A2">
        <w:rPr>
          <w:rFonts w:ascii="Arial" w:hAnsi="Arial" w:cs="Arial"/>
          <w:sz w:val="24"/>
          <w:szCs w:val="24"/>
          <w:lang w:val="en-US"/>
        </w:rPr>
        <w:t>Gauteng Division</w:t>
      </w:r>
      <w:r>
        <w:rPr>
          <w:rFonts w:ascii="Arial" w:hAnsi="Arial" w:cs="Arial"/>
          <w:sz w:val="24"/>
          <w:szCs w:val="24"/>
          <w:lang w:val="en-US"/>
        </w:rPr>
        <w:t xml:space="preserve"> of the High Court, Johannesburg (the full </w:t>
      </w:r>
      <w:r w:rsidR="002B20CA">
        <w:rPr>
          <w:rFonts w:ascii="Arial" w:hAnsi="Arial" w:cs="Arial"/>
          <w:sz w:val="24"/>
          <w:szCs w:val="24"/>
          <w:lang w:val="en-US"/>
        </w:rPr>
        <w:t>court</w:t>
      </w:r>
      <w:r>
        <w:rPr>
          <w:rFonts w:ascii="Arial" w:hAnsi="Arial" w:cs="Arial"/>
          <w:sz w:val="24"/>
          <w:szCs w:val="24"/>
          <w:lang w:val="en-US"/>
        </w:rPr>
        <w:t>)</w:t>
      </w:r>
      <w:r w:rsidR="001403CA">
        <w:rPr>
          <w:rFonts w:ascii="Arial" w:hAnsi="Arial" w:cs="Arial"/>
          <w:sz w:val="24"/>
          <w:szCs w:val="24"/>
          <w:lang w:val="en-US"/>
        </w:rPr>
        <w:t xml:space="preserve"> dismissing an appeal against </w:t>
      </w:r>
      <w:r w:rsidR="00222DBE">
        <w:rPr>
          <w:rFonts w:ascii="Arial" w:hAnsi="Arial" w:cs="Arial"/>
          <w:sz w:val="24"/>
          <w:szCs w:val="24"/>
          <w:lang w:val="en-US"/>
        </w:rPr>
        <w:t>an</w:t>
      </w:r>
      <w:r w:rsidR="001403CA">
        <w:rPr>
          <w:rFonts w:ascii="Arial" w:hAnsi="Arial" w:cs="Arial"/>
          <w:sz w:val="24"/>
          <w:szCs w:val="24"/>
          <w:lang w:val="en-US"/>
        </w:rPr>
        <w:t xml:space="preserve"> order of the </w:t>
      </w:r>
      <w:r w:rsidR="00E32FA3">
        <w:rPr>
          <w:rFonts w:ascii="Arial" w:hAnsi="Arial" w:cs="Arial"/>
          <w:sz w:val="24"/>
          <w:szCs w:val="24"/>
          <w:lang w:val="en-US"/>
        </w:rPr>
        <w:t>t</w:t>
      </w:r>
      <w:r w:rsidR="001403CA">
        <w:rPr>
          <w:rFonts w:ascii="Arial" w:hAnsi="Arial" w:cs="Arial"/>
          <w:sz w:val="24"/>
          <w:szCs w:val="24"/>
          <w:lang w:val="en-US"/>
        </w:rPr>
        <w:t xml:space="preserve">ax </w:t>
      </w:r>
      <w:r w:rsidR="00E32FA3">
        <w:rPr>
          <w:rFonts w:ascii="Arial" w:hAnsi="Arial" w:cs="Arial"/>
          <w:sz w:val="24"/>
          <w:szCs w:val="24"/>
          <w:lang w:val="en-US"/>
        </w:rPr>
        <w:t>c</w:t>
      </w:r>
      <w:r w:rsidR="001403CA">
        <w:rPr>
          <w:rFonts w:ascii="Arial" w:hAnsi="Arial" w:cs="Arial"/>
          <w:sz w:val="24"/>
          <w:szCs w:val="24"/>
          <w:lang w:val="en-US"/>
        </w:rPr>
        <w:t>ourt</w:t>
      </w:r>
      <w:r w:rsidR="00222DBE">
        <w:rPr>
          <w:rFonts w:ascii="Arial" w:hAnsi="Arial" w:cs="Arial"/>
          <w:sz w:val="24"/>
          <w:szCs w:val="24"/>
          <w:lang w:val="en-US"/>
        </w:rPr>
        <w:t xml:space="preserve"> made by Francis J</w:t>
      </w:r>
      <w:r w:rsidR="009D6D51">
        <w:rPr>
          <w:rFonts w:ascii="Arial" w:hAnsi="Arial" w:cs="Arial"/>
          <w:sz w:val="24"/>
          <w:szCs w:val="24"/>
          <w:lang w:val="en-US"/>
        </w:rPr>
        <w:t>,</w:t>
      </w:r>
      <w:r w:rsidR="00222DBE">
        <w:rPr>
          <w:rFonts w:ascii="Arial" w:hAnsi="Arial" w:cs="Arial"/>
          <w:sz w:val="24"/>
          <w:szCs w:val="24"/>
          <w:lang w:val="en-US"/>
        </w:rPr>
        <w:t xml:space="preserve"> assisted by assessors</w:t>
      </w:r>
      <w:r w:rsidR="001403CA">
        <w:rPr>
          <w:rFonts w:ascii="Arial" w:hAnsi="Arial" w:cs="Arial"/>
          <w:sz w:val="24"/>
          <w:szCs w:val="24"/>
          <w:lang w:val="en-US"/>
        </w:rPr>
        <w:t>. It concerns an additional assessment of the appellant, Mr James Matodzi Nesongozwi (the taxpayer</w:t>
      </w:r>
      <w:r w:rsidR="001403CA" w:rsidRPr="00C779A2">
        <w:rPr>
          <w:rFonts w:ascii="Arial" w:hAnsi="Arial" w:cs="Arial"/>
          <w:sz w:val="24"/>
          <w:szCs w:val="24"/>
          <w:lang w:val="en-US"/>
        </w:rPr>
        <w:t>)</w:t>
      </w:r>
      <w:r w:rsidR="00222DBE" w:rsidRPr="00C779A2">
        <w:rPr>
          <w:rFonts w:ascii="Arial" w:hAnsi="Arial" w:cs="Arial"/>
          <w:sz w:val="24"/>
          <w:szCs w:val="24"/>
          <w:lang w:val="en-US"/>
        </w:rPr>
        <w:t>,</w:t>
      </w:r>
      <w:r w:rsidR="00B27B16" w:rsidRPr="00C779A2">
        <w:rPr>
          <w:rFonts w:ascii="Arial" w:hAnsi="Arial" w:cs="Arial"/>
          <w:sz w:val="24"/>
          <w:szCs w:val="24"/>
          <w:lang w:val="en-US"/>
        </w:rPr>
        <w:t xml:space="preserve"> to tax</w:t>
      </w:r>
      <w:r w:rsidR="001403CA" w:rsidRPr="00C779A2">
        <w:rPr>
          <w:rFonts w:ascii="Arial" w:hAnsi="Arial" w:cs="Arial"/>
          <w:sz w:val="24"/>
          <w:szCs w:val="24"/>
          <w:lang w:val="en-US"/>
        </w:rPr>
        <w:t xml:space="preserve"> for the 2010 year of assessment. More particularly, it concerns the</w:t>
      </w:r>
      <w:r w:rsidR="00E32FA3" w:rsidRPr="00C779A2">
        <w:rPr>
          <w:rFonts w:ascii="Arial" w:hAnsi="Arial" w:cs="Arial"/>
          <w:sz w:val="24"/>
          <w:szCs w:val="24"/>
          <w:lang w:val="en-US"/>
        </w:rPr>
        <w:t xml:space="preserve"> quantum of h</w:t>
      </w:r>
      <w:r w:rsidR="00B27B16" w:rsidRPr="00C779A2">
        <w:rPr>
          <w:rFonts w:ascii="Arial" w:hAnsi="Arial" w:cs="Arial"/>
          <w:sz w:val="24"/>
          <w:szCs w:val="24"/>
          <w:lang w:val="en-US"/>
        </w:rPr>
        <w:t>is liability for</w:t>
      </w:r>
      <w:r w:rsidR="00E32FA3" w:rsidRPr="00C779A2">
        <w:rPr>
          <w:rFonts w:ascii="Arial" w:hAnsi="Arial" w:cs="Arial"/>
          <w:sz w:val="24"/>
          <w:szCs w:val="24"/>
          <w:lang w:val="en-US"/>
        </w:rPr>
        <w:t xml:space="preserve"> </w:t>
      </w:r>
      <w:r w:rsidR="001403CA" w:rsidRPr="00C779A2">
        <w:rPr>
          <w:rFonts w:ascii="Arial" w:hAnsi="Arial" w:cs="Arial"/>
          <w:sz w:val="24"/>
          <w:szCs w:val="24"/>
          <w:lang w:val="en-US"/>
        </w:rPr>
        <w:t>capital gains tax and donati</w:t>
      </w:r>
      <w:r w:rsidR="00222DBE" w:rsidRPr="00C779A2">
        <w:rPr>
          <w:rFonts w:ascii="Arial" w:hAnsi="Arial" w:cs="Arial"/>
          <w:sz w:val="24"/>
          <w:szCs w:val="24"/>
          <w:lang w:val="en-US"/>
        </w:rPr>
        <w:t xml:space="preserve">ons tax imposed </w:t>
      </w:r>
      <w:r w:rsidR="001403CA" w:rsidRPr="00C779A2">
        <w:rPr>
          <w:rFonts w:ascii="Arial" w:hAnsi="Arial" w:cs="Arial"/>
          <w:sz w:val="24"/>
          <w:szCs w:val="24"/>
          <w:lang w:val="en-US"/>
        </w:rPr>
        <w:t>by the respondent, the Commissioner for the South African Revenue Service (the Commissioner)</w:t>
      </w:r>
      <w:r w:rsidR="00222DBE" w:rsidRPr="00C779A2">
        <w:rPr>
          <w:rFonts w:ascii="Arial" w:hAnsi="Arial" w:cs="Arial"/>
          <w:sz w:val="24"/>
          <w:szCs w:val="24"/>
          <w:lang w:val="en-US"/>
        </w:rPr>
        <w:t>,</w:t>
      </w:r>
      <w:r w:rsidR="001403CA" w:rsidRPr="00C779A2">
        <w:rPr>
          <w:rFonts w:ascii="Arial" w:hAnsi="Arial" w:cs="Arial"/>
          <w:sz w:val="24"/>
          <w:szCs w:val="24"/>
          <w:lang w:val="en-US"/>
        </w:rPr>
        <w:t xml:space="preserve"> </w:t>
      </w:r>
      <w:r w:rsidR="00B27B16" w:rsidRPr="00C779A2">
        <w:rPr>
          <w:rFonts w:ascii="Arial" w:hAnsi="Arial" w:cs="Arial"/>
          <w:sz w:val="24"/>
          <w:szCs w:val="24"/>
          <w:lang w:val="en-US"/>
        </w:rPr>
        <w:t>ar</w:t>
      </w:r>
      <w:r w:rsidR="001403CA" w:rsidRPr="00C779A2">
        <w:rPr>
          <w:rFonts w:ascii="Arial" w:hAnsi="Arial" w:cs="Arial"/>
          <w:sz w:val="24"/>
          <w:szCs w:val="24"/>
          <w:lang w:val="en-US"/>
        </w:rPr>
        <w:t>i</w:t>
      </w:r>
      <w:r w:rsidR="00B27B16" w:rsidRPr="00C779A2">
        <w:rPr>
          <w:rFonts w:ascii="Arial" w:hAnsi="Arial" w:cs="Arial"/>
          <w:sz w:val="24"/>
          <w:szCs w:val="24"/>
          <w:lang w:val="en-US"/>
        </w:rPr>
        <w:t>si</w:t>
      </w:r>
      <w:r w:rsidR="001403CA" w:rsidRPr="00C779A2">
        <w:rPr>
          <w:rFonts w:ascii="Arial" w:hAnsi="Arial" w:cs="Arial"/>
          <w:sz w:val="24"/>
          <w:szCs w:val="24"/>
          <w:lang w:val="en-US"/>
        </w:rPr>
        <w:t>n</w:t>
      </w:r>
      <w:r w:rsidR="00B27B16" w:rsidRPr="00C779A2">
        <w:rPr>
          <w:rFonts w:ascii="Arial" w:hAnsi="Arial" w:cs="Arial"/>
          <w:sz w:val="24"/>
          <w:szCs w:val="24"/>
          <w:lang w:val="en-US"/>
        </w:rPr>
        <w:t>g from</w:t>
      </w:r>
      <w:r w:rsidR="001403CA" w:rsidRPr="00C779A2">
        <w:rPr>
          <w:rFonts w:ascii="Arial" w:hAnsi="Arial" w:cs="Arial"/>
          <w:sz w:val="24"/>
          <w:szCs w:val="24"/>
          <w:lang w:val="en-US"/>
        </w:rPr>
        <w:t xml:space="preserve"> the transfer</w:t>
      </w:r>
      <w:r w:rsidR="00B91DA9">
        <w:rPr>
          <w:rFonts w:ascii="Arial" w:hAnsi="Arial" w:cs="Arial"/>
          <w:sz w:val="24"/>
          <w:szCs w:val="24"/>
          <w:lang w:val="en-US"/>
        </w:rPr>
        <w:t xml:space="preserve"> of</w:t>
      </w:r>
      <w:r w:rsidR="00222DBE">
        <w:rPr>
          <w:rFonts w:ascii="Arial" w:hAnsi="Arial" w:cs="Arial"/>
          <w:sz w:val="24"/>
          <w:szCs w:val="24"/>
          <w:lang w:val="en-US"/>
        </w:rPr>
        <w:t xml:space="preserve"> his</w:t>
      </w:r>
      <w:r w:rsidR="00B91DA9">
        <w:rPr>
          <w:rFonts w:ascii="Arial" w:hAnsi="Arial" w:cs="Arial"/>
          <w:sz w:val="24"/>
          <w:szCs w:val="24"/>
          <w:lang w:val="en-US"/>
        </w:rPr>
        <w:t xml:space="preserve"> shares in the Nesongozwi Mining Corporation (Pty) Ltd (NMC)</w:t>
      </w:r>
      <w:r w:rsidR="001403CA">
        <w:rPr>
          <w:rFonts w:ascii="Arial" w:hAnsi="Arial" w:cs="Arial"/>
          <w:sz w:val="24"/>
          <w:szCs w:val="24"/>
          <w:lang w:val="en-US"/>
        </w:rPr>
        <w:t xml:space="preserve"> </w:t>
      </w:r>
      <w:r w:rsidR="00B91DA9">
        <w:rPr>
          <w:rFonts w:ascii="Arial" w:hAnsi="Arial" w:cs="Arial"/>
          <w:sz w:val="24"/>
          <w:szCs w:val="24"/>
          <w:lang w:val="en-US"/>
        </w:rPr>
        <w:t>to the Nesongozwi Family Trust (the trust). The appeal is before us with the special leave of this court.</w:t>
      </w:r>
    </w:p>
    <w:p w14:paraId="0ABD71A5" w14:textId="77777777" w:rsidR="00B91DA9" w:rsidRDefault="00B91DA9" w:rsidP="00BD73E7">
      <w:pPr>
        <w:spacing w:after="0" w:line="360" w:lineRule="auto"/>
        <w:jc w:val="both"/>
        <w:rPr>
          <w:rFonts w:ascii="Arial" w:hAnsi="Arial" w:cs="Arial"/>
          <w:sz w:val="24"/>
          <w:szCs w:val="24"/>
          <w:lang w:val="en-US"/>
        </w:rPr>
      </w:pPr>
    </w:p>
    <w:p w14:paraId="6DB951B4" w14:textId="77777777" w:rsidR="00B91DA9" w:rsidRDefault="00B91DA9" w:rsidP="00BD73E7">
      <w:pPr>
        <w:spacing w:after="0" w:line="360" w:lineRule="auto"/>
        <w:jc w:val="both"/>
        <w:rPr>
          <w:rFonts w:ascii="Arial" w:hAnsi="Arial" w:cs="Arial"/>
          <w:sz w:val="24"/>
          <w:szCs w:val="24"/>
          <w:lang w:val="en-US"/>
        </w:rPr>
      </w:pPr>
      <w:r>
        <w:rPr>
          <w:rFonts w:ascii="Arial" w:hAnsi="Arial" w:cs="Arial"/>
          <w:b/>
          <w:bCs/>
          <w:sz w:val="24"/>
          <w:szCs w:val="24"/>
          <w:lang w:val="en-US"/>
        </w:rPr>
        <w:t>Background</w:t>
      </w:r>
    </w:p>
    <w:p w14:paraId="7305B70C" w14:textId="6446CC90" w:rsidR="00793313" w:rsidRDefault="00B91DA9" w:rsidP="00BD73E7">
      <w:pPr>
        <w:spacing w:after="0"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taxpayer is a mining engineer. He was initially the sole director of Umthombo Resources (Pty) Ltd (Umthombo), a company that held </w:t>
      </w:r>
      <w:r w:rsidR="002B20CA">
        <w:rPr>
          <w:rFonts w:ascii="Arial" w:hAnsi="Arial" w:cs="Arial"/>
          <w:sz w:val="24"/>
          <w:szCs w:val="24"/>
          <w:lang w:val="en-US"/>
        </w:rPr>
        <w:t xml:space="preserve">coal </w:t>
      </w:r>
      <w:r>
        <w:rPr>
          <w:rFonts w:ascii="Arial" w:hAnsi="Arial" w:cs="Arial"/>
          <w:sz w:val="24"/>
          <w:szCs w:val="24"/>
          <w:lang w:val="en-US"/>
        </w:rPr>
        <w:t xml:space="preserve">prospecting and mining rights. Umthombo’s sole shareholder was NMC. The taxpayer was, until August 2008, </w:t>
      </w:r>
      <w:r w:rsidR="00582269">
        <w:rPr>
          <w:rFonts w:ascii="Arial" w:hAnsi="Arial" w:cs="Arial"/>
          <w:sz w:val="24"/>
          <w:szCs w:val="24"/>
          <w:lang w:val="en-US"/>
        </w:rPr>
        <w:t xml:space="preserve">also </w:t>
      </w:r>
      <w:r>
        <w:rPr>
          <w:rFonts w:ascii="Arial" w:hAnsi="Arial" w:cs="Arial"/>
          <w:sz w:val="24"/>
          <w:szCs w:val="24"/>
          <w:lang w:val="en-US"/>
        </w:rPr>
        <w:t>the sole shareholder of NMC.</w:t>
      </w:r>
    </w:p>
    <w:p w14:paraId="3245725B" w14:textId="77777777" w:rsidR="00793313" w:rsidRDefault="00793313" w:rsidP="00BD73E7">
      <w:pPr>
        <w:spacing w:after="0" w:line="360" w:lineRule="auto"/>
        <w:jc w:val="both"/>
        <w:rPr>
          <w:rFonts w:ascii="Arial" w:hAnsi="Arial" w:cs="Arial"/>
          <w:sz w:val="24"/>
          <w:szCs w:val="24"/>
          <w:lang w:val="en-US"/>
        </w:rPr>
      </w:pPr>
    </w:p>
    <w:p w14:paraId="56D2B838" w14:textId="775F6D45" w:rsidR="00BF5157" w:rsidRDefault="00793313" w:rsidP="00BD73E7">
      <w:pPr>
        <w:spacing w:after="0" w:line="360" w:lineRule="auto"/>
        <w:jc w:val="both"/>
        <w:rPr>
          <w:rFonts w:ascii="Arial" w:hAnsi="Arial" w:cs="Arial"/>
          <w:sz w:val="24"/>
          <w:szCs w:val="24"/>
          <w:lang w:val="en-US"/>
        </w:rPr>
      </w:pPr>
      <w:r>
        <w:rPr>
          <w:rFonts w:ascii="Arial" w:hAnsi="Arial" w:cs="Arial"/>
          <w:sz w:val="24"/>
          <w:szCs w:val="24"/>
          <w:lang w:val="en-US"/>
        </w:rPr>
        <w:lastRenderedPageBreak/>
        <w:t>[3]</w:t>
      </w:r>
      <w:r>
        <w:rPr>
          <w:rFonts w:ascii="Arial" w:hAnsi="Arial" w:cs="Arial"/>
          <w:sz w:val="24"/>
          <w:szCs w:val="24"/>
          <w:lang w:val="en-US"/>
        </w:rPr>
        <w:tab/>
      </w:r>
      <w:r w:rsidR="00E267D0">
        <w:rPr>
          <w:rFonts w:ascii="Arial" w:hAnsi="Arial" w:cs="Arial"/>
          <w:sz w:val="24"/>
          <w:szCs w:val="24"/>
          <w:lang w:val="en-US"/>
        </w:rPr>
        <w:t>In May 2006, Umthombo entered into a</w:t>
      </w:r>
      <w:r w:rsidR="00E32FA3">
        <w:rPr>
          <w:rFonts w:ascii="Arial" w:hAnsi="Arial" w:cs="Arial"/>
          <w:sz w:val="24"/>
          <w:szCs w:val="24"/>
          <w:lang w:val="en-US"/>
        </w:rPr>
        <w:t xml:space="preserve"> co</w:t>
      </w:r>
      <w:r w:rsidR="00E267D0">
        <w:rPr>
          <w:rFonts w:ascii="Arial" w:hAnsi="Arial" w:cs="Arial"/>
          <w:sz w:val="24"/>
          <w:szCs w:val="24"/>
          <w:lang w:val="en-US"/>
        </w:rPr>
        <w:t>n</w:t>
      </w:r>
      <w:r w:rsidR="00E32FA3">
        <w:rPr>
          <w:rFonts w:ascii="Arial" w:hAnsi="Arial" w:cs="Arial"/>
          <w:sz w:val="24"/>
          <w:szCs w:val="24"/>
          <w:lang w:val="en-US"/>
        </w:rPr>
        <w:t>sultancy</w:t>
      </w:r>
      <w:r w:rsidR="00E267D0">
        <w:rPr>
          <w:rFonts w:ascii="Arial" w:hAnsi="Arial" w:cs="Arial"/>
          <w:sz w:val="24"/>
          <w:szCs w:val="24"/>
          <w:lang w:val="en-US"/>
        </w:rPr>
        <w:t xml:space="preserve"> agreement with Sumo Coal (Pty) Ltd (Sumo) in terms of </w:t>
      </w:r>
      <w:r w:rsidR="00E267D0" w:rsidRPr="00C779A2">
        <w:rPr>
          <w:rFonts w:ascii="Arial" w:hAnsi="Arial" w:cs="Arial"/>
          <w:sz w:val="24"/>
          <w:szCs w:val="24"/>
          <w:lang w:val="en-US"/>
        </w:rPr>
        <w:t xml:space="preserve">which </w:t>
      </w:r>
      <w:r w:rsidR="00B27B16" w:rsidRPr="00C779A2">
        <w:rPr>
          <w:rFonts w:ascii="Arial" w:hAnsi="Arial" w:cs="Arial"/>
          <w:sz w:val="24"/>
          <w:szCs w:val="24"/>
          <w:lang w:val="en-US"/>
        </w:rPr>
        <w:t>it</w:t>
      </w:r>
      <w:r w:rsidR="00E267D0">
        <w:rPr>
          <w:rFonts w:ascii="Arial" w:hAnsi="Arial" w:cs="Arial"/>
          <w:sz w:val="24"/>
          <w:szCs w:val="24"/>
          <w:lang w:val="en-US"/>
        </w:rPr>
        <w:t xml:space="preserve"> was to prospect for coal in defined areas in Mpumalanga, KwaZulu-Natal, Gauteng and the Free State. Sumo undertook to pay Umthombo for this work. The parties als</w:t>
      </w:r>
      <w:r w:rsidR="00222DBE">
        <w:rPr>
          <w:rFonts w:ascii="Arial" w:hAnsi="Arial" w:cs="Arial"/>
          <w:sz w:val="24"/>
          <w:szCs w:val="24"/>
          <w:lang w:val="en-US"/>
        </w:rPr>
        <w:t>o agreed that, in the event of</w:t>
      </w:r>
      <w:r w:rsidR="00E267D0">
        <w:rPr>
          <w:rFonts w:ascii="Arial" w:hAnsi="Arial" w:cs="Arial"/>
          <w:sz w:val="24"/>
          <w:szCs w:val="24"/>
          <w:lang w:val="en-US"/>
        </w:rPr>
        <w:t xml:space="preserve"> viable deposit</w:t>
      </w:r>
      <w:r w:rsidR="00222DBE">
        <w:rPr>
          <w:rFonts w:ascii="Arial" w:hAnsi="Arial" w:cs="Arial"/>
          <w:sz w:val="24"/>
          <w:szCs w:val="24"/>
          <w:lang w:val="en-US"/>
        </w:rPr>
        <w:t>s</w:t>
      </w:r>
      <w:r w:rsidR="00E267D0">
        <w:rPr>
          <w:rFonts w:ascii="Arial" w:hAnsi="Arial" w:cs="Arial"/>
          <w:sz w:val="24"/>
          <w:szCs w:val="24"/>
          <w:lang w:val="en-US"/>
        </w:rPr>
        <w:t xml:space="preserve"> of coal being found, </w:t>
      </w:r>
      <w:r w:rsidR="00BF5157">
        <w:rPr>
          <w:rFonts w:ascii="Arial" w:hAnsi="Arial" w:cs="Arial"/>
          <w:sz w:val="24"/>
          <w:szCs w:val="24"/>
          <w:lang w:val="en-US"/>
        </w:rPr>
        <w:t xml:space="preserve">they </w:t>
      </w:r>
      <w:r w:rsidR="00222DBE">
        <w:rPr>
          <w:rFonts w:ascii="Arial" w:hAnsi="Arial" w:cs="Arial"/>
          <w:sz w:val="24"/>
          <w:szCs w:val="24"/>
          <w:lang w:val="en-US"/>
        </w:rPr>
        <w:t>c</w:t>
      </w:r>
      <w:r w:rsidR="00BF5157">
        <w:rPr>
          <w:rFonts w:ascii="Arial" w:hAnsi="Arial" w:cs="Arial"/>
          <w:sz w:val="24"/>
          <w:szCs w:val="24"/>
          <w:lang w:val="en-US"/>
        </w:rPr>
        <w:t>ould</w:t>
      </w:r>
      <w:r w:rsidR="00E96FF5">
        <w:rPr>
          <w:rFonts w:ascii="Arial" w:hAnsi="Arial" w:cs="Arial"/>
          <w:sz w:val="24"/>
          <w:szCs w:val="24"/>
          <w:lang w:val="en-US"/>
        </w:rPr>
        <w:t>, if Sumo wished to,</w:t>
      </w:r>
      <w:r w:rsidR="00BF5157">
        <w:rPr>
          <w:rFonts w:ascii="Arial" w:hAnsi="Arial" w:cs="Arial"/>
          <w:sz w:val="24"/>
          <w:szCs w:val="24"/>
          <w:lang w:val="en-US"/>
        </w:rPr>
        <w:t xml:space="preserve"> conclude joint venture agreement</w:t>
      </w:r>
      <w:r w:rsidR="00222DBE">
        <w:rPr>
          <w:rFonts w:ascii="Arial" w:hAnsi="Arial" w:cs="Arial"/>
          <w:sz w:val="24"/>
          <w:szCs w:val="24"/>
          <w:lang w:val="en-US"/>
        </w:rPr>
        <w:t>s</w:t>
      </w:r>
      <w:r w:rsidR="00BF5157">
        <w:rPr>
          <w:rFonts w:ascii="Arial" w:hAnsi="Arial" w:cs="Arial"/>
          <w:sz w:val="24"/>
          <w:szCs w:val="24"/>
          <w:lang w:val="en-US"/>
        </w:rPr>
        <w:t xml:space="preserve"> to </w:t>
      </w:r>
      <w:r w:rsidR="00A04E6C">
        <w:rPr>
          <w:rFonts w:ascii="Arial" w:hAnsi="Arial" w:cs="Arial"/>
          <w:sz w:val="24"/>
          <w:szCs w:val="24"/>
          <w:lang w:val="en-US"/>
        </w:rPr>
        <w:t>exploit</w:t>
      </w:r>
      <w:r w:rsidR="00BF5157">
        <w:rPr>
          <w:rFonts w:ascii="Arial" w:hAnsi="Arial" w:cs="Arial"/>
          <w:sz w:val="24"/>
          <w:szCs w:val="24"/>
          <w:lang w:val="en-US"/>
        </w:rPr>
        <w:t xml:space="preserve"> th</w:t>
      </w:r>
      <w:r w:rsidR="00222DBE">
        <w:rPr>
          <w:rFonts w:ascii="Arial" w:hAnsi="Arial" w:cs="Arial"/>
          <w:sz w:val="24"/>
          <w:szCs w:val="24"/>
          <w:lang w:val="en-US"/>
        </w:rPr>
        <w:t>ose</w:t>
      </w:r>
      <w:r w:rsidR="00BF5157">
        <w:rPr>
          <w:rFonts w:ascii="Arial" w:hAnsi="Arial" w:cs="Arial"/>
          <w:sz w:val="24"/>
          <w:szCs w:val="24"/>
          <w:lang w:val="en-US"/>
        </w:rPr>
        <w:t xml:space="preserve"> deposit</w:t>
      </w:r>
      <w:r w:rsidR="00222DBE">
        <w:rPr>
          <w:rFonts w:ascii="Arial" w:hAnsi="Arial" w:cs="Arial"/>
          <w:sz w:val="24"/>
          <w:szCs w:val="24"/>
          <w:lang w:val="en-US"/>
        </w:rPr>
        <w:t>s</w:t>
      </w:r>
      <w:r w:rsidR="00BF5157">
        <w:rPr>
          <w:rFonts w:ascii="Arial" w:hAnsi="Arial" w:cs="Arial"/>
          <w:sz w:val="24"/>
          <w:szCs w:val="24"/>
          <w:lang w:val="en-US"/>
        </w:rPr>
        <w:t xml:space="preserve">. Sumo would have a 60 percent participation interest in </w:t>
      </w:r>
      <w:r w:rsidR="00E96FF5">
        <w:rPr>
          <w:rFonts w:ascii="Arial" w:hAnsi="Arial" w:cs="Arial"/>
          <w:sz w:val="24"/>
          <w:szCs w:val="24"/>
          <w:lang w:val="en-US"/>
        </w:rPr>
        <w:t>any such</w:t>
      </w:r>
      <w:r w:rsidR="00BF5157">
        <w:rPr>
          <w:rFonts w:ascii="Arial" w:hAnsi="Arial" w:cs="Arial"/>
          <w:sz w:val="24"/>
          <w:szCs w:val="24"/>
          <w:lang w:val="en-US"/>
        </w:rPr>
        <w:t xml:space="preserve"> joint venture, while Umthombo would hold a 40 percent interest.</w:t>
      </w:r>
      <w:r w:rsidR="00222DBE">
        <w:rPr>
          <w:rFonts w:ascii="Arial" w:hAnsi="Arial" w:cs="Arial"/>
          <w:sz w:val="24"/>
          <w:szCs w:val="24"/>
          <w:lang w:val="en-US"/>
        </w:rPr>
        <w:t xml:space="preserve"> </w:t>
      </w:r>
    </w:p>
    <w:p w14:paraId="1DC88091" w14:textId="77777777" w:rsidR="00BF5157" w:rsidRDefault="00BF5157" w:rsidP="00BD73E7">
      <w:pPr>
        <w:spacing w:after="0" w:line="360" w:lineRule="auto"/>
        <w:jc w:val="both"/>
        <w:rPr>
          <w:rFonts w:ascii="Arial" w:hAnsi="Arial" w:cs="Arial"/>
          <w:sz w:val="24"/>
          <w:szCs w:val="24"/>
          <w:lang w:val="en-US"/>
        </w:rPr>
      </w:pPr>
    </w:p>
    <w:p w14:paraId="76015349" w14:textId="3B669AF0" w:rsidR="006F3C39" w:rsidRDefault="00BF5157" w:rsidP="00BD73E7">
      <w:pPr>
        <w:spacing w:after="0"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 xml:space="preserve">In August 2008, </w:t>
      </w:r>
      <w:r w:rsidR="00582269">
        <w:rPr>
          <w:rFonts w:ascii="Arial" w:hAnsi="Arial" w:cs="Arial"/>
          <w:sz w:val="24"/>
          <w:szCs w:val="24"/>
          <w:lang w:val="en-US"/>
        </w:rPr>
        <w:t xml:space="preserve">the taxpayer sold </w:t>
      </w:r>
      <w:r>
        <w:rPr>
          <w:rFonts w:ascii="Arial" w:hAnsi="Arial" w:cs="Arial"/>
          <w:sz w:val="24"/>
          <w:szCs w:val="24"/>
          <w:lang w:val="en-US"/>
        </w:rPr>
        <w:t xml:space="preserve">50 percent </w:t>
      </w:r>
      <w:r w:rsidR="00582269">
        <w:rPr>
          <w:rFonts w:ascii="Arial" w:hAnsi="Arial" w:cs="Arial"/>
          <w:sz w:val="24"/>
          <w:szCs w:val="24"/>
          <w:lang w:val="en-US"/>
        </w:rPr>
        <w:t xml:space="preserve">of </w:t>
      </w:r>
      <w:r w:rsidR="009549EF">
        <w:rPr>
          <w:rFonts w:ascii="Arial" w:hAnsi="Arial" w:cs="Arial"/>
          <w:sz w:val="24"/>
          <w:szCs w:val="24"/>
          <w:lang w:val="en-US"/>
        </w:rPr>
        <w:t>NMC’s</w:t>
      </w:r>
      <w:r w:rsidR="00582269">
        <w:rPr>
          <w:rFonts w:ascii="Arial" w:hAnsi="Arial" w:cs="Arial"/>
          <w:sz w:val="24"/>
          <w:szCs w:val="24"/>
          <w:lang w:val="en-US"/>
        </w:rPr>
        <w:t xml:space="preserve"> </w:t>
      </w:r>
      <w:r>
        <w:rPr>
          <w:rFonts w:ascii="Arial" w:hAnsi="Arial" w:cs="Arial"/>
          <w:sz w:val="24"/>
          <w:szCs w:val="24"/>
          <w:lang w:val="en-US"/>
        </w:rPr>
        <w:t>share</w:t>
      </w:r>
      <w:r w:rsidR="00582269">
        <w:rPr>
          <w:rFonts w:ascii="Arial" w:hAnsi="Arial" w:cs="Arial"/>
          <w:sz w:val="24"/>
          <w:szCs w:val="24"/>
          <w:lang w:val="en-US"/>
        </w:rPr>
        <w:t>s</w:t>
      </w:r>
      <w:r>
        <w:rPr>
          <w:rFonts w:ascii="Arial" w:hAnsi="Arial" w:cs="Arial"/>
          <w:sz w:val="24"/>
          <w:szCs w:val="24"/>
          <w:lang w:val="en-US"/>
        </w:rPr>
        <w:t xml:space="preserve"> in Umthombo </w:t>
      </w:r>
      <w:r w:rsidR="009549EF">
        <w:rPr>
          <w:rFonts w:ascii="Arial" w:hAnsi="Arial" w:cs="Arial"/>
          <w:sz w:val="24"/>
          <w:szCs w:val="24"/>
          <w:lang w:val="en-US"/>
        </w:rPr>
        <w:t>to</w:t>
      </w:r>
      <w:r w:rsidR="006F3C39">
        <w:rPr>
          <w:rFonts w:ascii="Arial" w:hAnsi="Arial" w:cs="Arial"/>
          <w:sz w:val="24"/>
          <w:szCs w:val="24"/>
          <w:lang w:val="en-US"/>
        </w:rPr>
        <w:t xml:space="preserve"> Kalyana Resources (Pty) Ltd. </w:t>
      </w:r>
      <w:r w:rsidR="009549EF">
        <w:rPr>
          <w:rFonts w:ascii="Arial" w:hAnsi="Arial" w:cs="Arial"/>
          <w:sz w:val="24"/>
          <w:szCs w:val="24"/>
          <w:lang w:val="en-US"/>
        </w:rPr>
        <w:t xml:space="preserve">The purchase price of the shares was R150 million. </w:t>
      </w:r>
      <w:r w:rsidR="006F3C39">
        <w:rPr>
          <w:rFonts w:ascii="Arial" w:hAnsi="Arial" w:cs="Arial"/>
          <w:sz w:val="24"/>
          <w:szCs w:val="24"/>
          <w:lang w:val="en-US"/>
        </w:rPr>
        <w:t>A shareholders agreement was concluded that regulated the disposal by the shareholders of their shares in Umthombo.</w:t>
      </w:r>
    </w:p>
    <w:p w14:paraId="0D1F994D" w14:textId="77777777" w:rsidR="006F3C39" w:rsidRDefault="006F3C39" w:rsidP="00BD73E7">
      <w:pPr>
        <w:spacing w:after="0" w:line="360" w:lineRule="auto"/>
        <w:jc w:val="both"/>
        <w:rPr>
          <w:rFonts w:ascii="Arial" w:hAnsi="Arial" w:cs="Arial"/>
          <w:sz w:val="24"/>
          <w:szCs w:val="24"/>
          <w:lang w:val="en-US"/>
        </w:rPr>
      </w:pPr>
    </w:p>
    <w:p w14:paraId="313AFC74" w14:textId="32359373" w:rsidR="003244D0" w:rsidRDefault="006F3C39" w:rsidP="00BD73E7">
      <w:pPr>
        <w:spacing w:after="0"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In October 2009, the taxpayer concluded a verbal agreement with the trust for the s</w:t>
      </w:r>
      <w:r w:rsidR="00222DBE">
        <w:rPr>
          <w:rFonts w:ascii="Arial" w:hAnsi="Arial" w:cs="Arial"/>
          <w:sz w:val="24"/>
          <w:szCs w:val="24"/>
          <w:lang w:val="en-US"/>
        </w:rPr>
        <w:t>al</w:t>
      </w:r>
      <w:r>
        <w:rPr>
          <w:rFonts w:ascii="Arial" w:hAnsi="Arial" w:cs="Arial"/>
          <w:sz w:val="24"/>
          <w:szCs w:val="24"/>
          <w:lang w:val="en-US"/>
        </w:rPr>
        <w:t>e of his shares in NMC for a price of R547 275. The purchase price was determined on the basis that NMC was not a trading entity but a holding entity and that its only anticipated income would be dividends paid by Umthombo.</w:t>
      </w:r>
      <w:r w:rsidR="003244D0">
        <w:rPr>
          <w:rFonts w:ascii="Arial" w:hAnsi="Arial" w:cs="Arial"/>
          <w:sz w:val="24"/>
          <w:szCs w:val="24"/>
          <w:lang w:val="en-US"/>
        </w:rPr>
        <w:t xml:space="preserve"> No dividends had, by that time, been decla</w:t>
      </w:r>
      <w:r w:rsidR="00E91F81">
        <w:rPr>
          <w:rFonts w:ascii="Arial" w:hAnsi="Arial" w:cs="Arial"/>
          <w:sz w:val="24"/>
          <w:szCs w:val="24"/>
          <w:lang w:val="en-US"/>
        </w:rPr>
        <w:t>r</w:t>
      </w:r>
      <w:r w:rsidR="003244D0">
        <w:rPr>
          <w:rFonts w:ascii="Arial" w:hAnsi="Arial" w:cs="Arial"/>
          <w:sz w:val="24"/>
          <w:szCs w:val="24"/>
          <w:lang w:val="en-US"/>
        </w:rPr>
        <w:t>ed by Umthombo, and neither had it engaged in any mining operations.</w:t>
      </w:r>
    </w:p>
    <w:p w14:paraId="282DB6BA" w14:textId="77777777" w:rsidR="003244D0" w:rsidRDefault="003244D0" w:rsidP="00BD73E7">
      <w:pPr>
        <w:spacing w:after="0" w:line="360" w:lineRule="auto"/>
        <w:jc w:val="both"/>
        <w:rPr>
          <w:rFonts w:ascii="Arial" w:hAnsi="Arial" w:cs="Arial"/>
          <w:sz w:val="24"/>
          <w:szCs w:val="24"/>
          <w:lang w:val="en-US"/>
        </w:rPr>
      </w:pPr>
    </w:p>
    <w:p w14:paraId="50360469" w14:textId="1912FE18" w:rsidR="00EE5C1F" w:rsidRDefault="003244D0" w:rsidP="00BD73E7">
      <w:pPr>
        <w:spacing w:after="0"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In October 2014, the Commissioner issued an additional assessment in respect, inter alia, of the 2010 year of assessment, which took into account the taxpayer’s disposal of his NMC</w:t>
      </w:r>
      <w:r w:rsidR="00222DBE">
        <w:rPr>
          <w:rFonts w:ascii="Arial" w:hAnsi="Arial" w:cs="Arial"/>
          <w:sz w:val="24"/>
          <w:szCs w:val="24"/>
          <w:lang w:val="en-US"/>
        </w:rPr>
        <w:t xml:space="preserve"> shares</w:t>
      </w:r>
      <w:r w:rsidRPr="00C779A2">
        <w:rPr>
          <w:rFonts w:ascii="Arial" w:hAnsi="Arial" w:cs="Arial"/>
          <w:sz w:val="24"/>
          <w:szCs w:val="24"/>
          <w:lang w:val="en-US"/>
        </w:rPr>
        <w:t>.</w:t>
      </w:r>
      <w:r w:rsidR="00C66DE9" w:rsidRPr="00C779A2">
        <w:rPr>
          <w:rFonts w:ascii="Arial" w:hAnsi="Arial" w:cs="Arial"/>
          <w:sz w:val="24"/>
          <w:szCs w:val="24"/>
          <w:lang w:val="en-US"/>
        </w:rPr>
        <w:t xml:space="preserve"> The Commissioner determined that the taxpayer had disposed of the NMC shares at a price below their market value and imposed a donations tax and capital gains tax liability on him of R48 635 677.49.</w:t>
      </w:r>
      <w:r>
        <w:rPr>
          <w:rFonts w:ascii="Arial" w:hAnsi="Arial" w:cs="Arial"/>
          <w:sz w:val="24"/>
          <w:szCs w:val="24"/>
          <w:lang w:val="en-US"/>
        </w:rPr>
        <w:t xml:space="preserve"> The taxpayer objected to the assessment</w:t>
      </w:r>
      <w:r w:rsidR="00A04E6C">
        <w:rPr>
          <w:rFonts w:ascii="Arial" w:hAnsi="Arial" w:cs="Arial"/>
          <w:sz w:val="24"/>
          <w:szCs w:val="24"/>
          <w:lang w:val="en-US"/>
        </w:rPr>
        <w:t xml:space="preserve">. </w:t>
      </w:r>
      <w:r>
        <w:rPr>
          <w:rFonts w:ascii="Arial" w:hAnsi="Arial" w:cs="Arial"/>
          <w:sz w:val="24"/>
          <w:szCs w:val="24"/>
          <w:lang w:val="en-US"/>
        </w:rPr>
        <w:t xml:space="preserve">The Commissioner disallowed the objection and the taxpayer then </w:t>
      </w:r>
      <w:r w:rsidR="002C4B7D">
        <w:rPr>
          <w:rFonts w:ascii="Arial" w:hAnsi="Arial" w:cs="Arial"/>
          <w:sz w:val="24"/>
          <w:szCs w:val="24"/>
          <w:lang w:val="en-US"/>
        </w:rPr>
        <w:t xml:space="preserve">appealed to the </w:t>
      </w:r>
      <w:r w:rsidR="00A04E6C">
        <w:rPr>
          <w:rFonts w:ascii="Arial" w:hAnsi="Arial" w:cs="Arial"/>
          <w:sz w:val="24"/>
          <w:szCs w:val="24"/>
          <w:lang w:val="en-US"/>
        </w:rPr>
        <w:t>t</w:t>
      </w:r>
      <w:r w:rsidR="002C4B7D">
        <w:rPr>
          <w:rFonts w:ascii="Arial" w:hAnsi="Arial" w:cs="Arial"/>
          <w:sz w:val="24"/>
          <w:szCs w:val="24"/>
          <w:lang w:val="en-US"/>
        </w:rPr>
        <w:t xml:space="preserve">ax </w:t>
      </w:r>
      <w:r w:rsidR="00A04E6C">
        <w:rPr>
          <w:rFonts w:ascii="Arial" w:hAnsi="Arial" w:cs="Arial"/>
          <w:sz w:val="24"/>
          <w:szCs w:val="24"/>
          <w:lang w:val="en-US"/>
        </w:rPr>
        <w:t>c</w:t>
      </w:r>
      <w:r w:rsidR="002C4B7D">
        <w:rPr>
          <w:rFonts w:ascii="Arial" w:hAnsi="Arial" w:cs="Arial"/>
          <w:sz w:val="24"/>
          <w:szCs w:val="24"/>
          <w:lang w:val="en-US"/>
        </w:rPr>
        <w:t>ourt.</w:t>
      </w:r>
      <w:r w:rsidR="008535F0">
        <w:rPr>
          <w:rFonts w:ascii="Arial" w:hAnsi="Arial" w:cs="Arial"/>
          <w:sz w:val="24"/>
          <w:szCs w:val="24"/>
          <w:lang w:val="en-US"/>
        </w:rPr>
        <w:t xml:space="preserve"> </w:t>
      </w:r>
      <w:r w:rsidR="00E96FF5">
        <w:rPr>
          <w:rFonts w:ascii="Arial" w:hAnsi="Arial" w:cs="Arial"/>
          <w:sz w:val="24"/>
          <w:szCs w:val="24"/>
          <w:lang w:val="en-US"/>
        </w:rPr>
        <w:t>It is only in respect of the share transaction that this appeal is concerned.</w:t>
      </w:r>
    </w:p>
    <w:p w14:paraId="0DB61031" w14:textId="77777777" w:rsidR="00EE5C1F" w:rsidRDefault="00EE5C1F" w:rsidP="00BD73E7">
      <w:pPr>
        <w:spacing w:after="0" w:line="360" w:lineRule="auto"/>
        <w:jc w:val="both"/>
        <w:rPr>
          <w:rFonts w:ascii="Arial" w:hAnsi="Arial" w:cs="Arial"/>
          <w:sz w:val="24"/>
          <w:szCs w:val="24"/>
          <w:lang w:val="en-US"/>
        </w:rPr>
      </w:pPr>
    </w:p>
    <w:p w14:paraId="74CBB8F4" w14:textId="687FED51" w:rsidR="00222DBE" w:rsidRDefault="00222DBE" w:rsidP="00222DBE">
      <w:pPr>
        <w:spacing w:after="0"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 xml:space="preserve">After hearing evidence that was largely of an expert nature, the </w:t>
      </w:r>
      <w:r w:rsidR="00A04E6C">
        <w:rPr>
          <w:rFonts w:ascii="Arial" w:hAnsi="Arial" w:cs="Arial"/>
          <w:sz w:val="24"/>
          <w:szCs w:val="24"/>
          <w:lang w:val="en-US"/>
        </w:rPr>
        <w:t>t</w:t>
      </w:r>
      <w:r>
        <w:rPr>
          <w:rFonts w:ascii="Arial" w:hAnsi="Arial" w:cs="Arial"/>
          <w:sz w:val="24"/>
          <w:szCs w:val="24"/>
          <w:lang w:val="en-US"/>
        </w:rPr>
        <w:t xml:space="preserve">ax </w:t>
      </w:r>
      <w:r w:rsidR="00A04E6C">
        <w:rPr>
          <w:rFonts w:ascii="Arial" w:hAnsi="Arial" w:cs="Arial"/>
          <w:sz w:val="24"/>
          <w:szCs w:val="24"/>
          <w:lang w:val="en-US"/>
        </w:rPr>
        <w:t>c</w:t>
      </w:r>
      <w:r>
        <w:rPr>
          <w:rFonts w:ascii="Arial" w:hAnsi="Arial" w:cs="Arial"/>
          <w:sz w:val="24"/>
          <w:szCs w:val="24"/>
          <w:lang w:val="en-US"/>
        </w:rPr>
        <w:t>ourt, dismissed the taxpayer’s appeal but made certain amendments to the assessment. In re</w:t>
      </w:r>
      <w:r w:rsidR="00A04E6C">
        <w:rPr>
          <w:rFonts w:ascii="Arial" w:hAnsi="Arial" w:cs="Arial"/>
          <w:sz w:val="24"/>
          <w:szCs w:val="24"/>
          <w:lang w:val="en-US"/>
        </w:rPr>
        <w:t xml:space="preserve">levant </w:t>
      </w:r>
      <w:r>
        <w:rPr>
          <w:rFonts w:ascii="Arial" w:hAnsi="Arial" w:cs="Arial"/>
          <w:sz w:val="24"/>
          <w:szCs w:val="24"/>
          <w:lang w:val="en-US"/>
        </w:rPr>
        <w:t>p</w:t>
      </w:r>
      <w:r w:rsidR="00A04E6C">
        <w:rPr>
          <w:rFonts w:ascii="Arial" w:hAnsi="Arial" w:cs="Arial"/>
          <w:sz w:val="24"/>
          <w:szCs w:val="24"/>
          <w:lang w:val="en-US"/>
        </w:rPr>
        <w:t>art</w:t>
      </w:r>
      <w:r>
        <w:rPr>
          <w:rFonts w:ascii="Arial" w:hAnsi="Arial" w:cs="Arial"/>
          <w:sz w:val="24"/>
          <w:szCs w:val="24"/>
          <w:lang w:val="en-US"/>
        </w:rPr>
        <w:t xml:space="preserve"> the order read</w:t>
      </w:r>
      <w:r w:rsidR="00F271C0" w:rsidRPr="00C779A2">
        <w:rPr>
          <w:rFonts w:ascii="Arial" w:hAnsi="Arial" w:cs="Arial"/>
          <w:sz w:val="24"/>
          <w:szCs w:val="24"/>
          <w:lang w:val="en-US"/>
        </w:rPr>
        <w:t>s</w:t>
      </w:r>
      <w:r>
        <w:rPr>
          <w:rFonts w:ascii="Arial" w:hAnsi="Arial" w:cs="Arial"/>
          <w:sz w:val="24"/>
          <w:szCs w:val="24"/>
          <w:lang w:val="en-US"/>
        </w:rPr>
        <w:t>:</w:t>
      </w:r>
    </w:p>
    <w:p w14:paraId="468367B8" w14:textId="77777777" w:rsidR="00222DBE" w:rsidRDefault="00222DBE" w:rsidP="00222DBE">
      <w:pPr>
        <w:spacing w:after="0" w:line="360" w:lineRule="auto"/>
        <w:jc w:val="both"/>
        <w:rPr>
          <w:rFonts w:ascii="Arial" w:hAnsi="Arial" w:cs="Arial"/>
          <w:lang w:val="en-US"/>
        </w:rPr>
      </w:pPr>
      <w:r>
        <w:rPr>
          <w:rFonts w:ascii="Arial" w:hAnsi="Arial" w:cs="Arial"/>
          <w:lang w:val="en-US"/>
        </w:rPr>
        <w:t>‘130.4</w:t>
      </w:r>
      <w:r>
        <w:rPr>
          <w:rFonts w:ascii="Arial" w:hAnsi="Arial" w:cs="Arial"/>
          <w:lang w:val="en-US"/>
        </w:rPr>
        <w:tab/>
        <w:t>The additional assessment for 2010 dated 10 October 2014 is altered as follows in terms of section 129(2)(b) of the TAA:</w:t>
      </w:r>
    </w:p>
    <w:p w14:paraId="3A2EDA15" w14:textId="77777777" w:rsidR="00222DBE" w:rsidRDefault="00222DBE" w:rsidP="00222DBE">
      <w:pPr>
        <w:spacing w:after="0" w:line="360" w:lineRule="auto"/>
        <w:ind w:left="2160" w:hanging="1440"/>
        <w:jc w:val="both"/>
        <w:rPr>
          <w:rFonts w:ascii="Arial" w:hAnsi="Arial" w:cs="Arial"/>
          <w:lang w:val="en-US"/>
        </w:rPr>
      </w:pPr>
      <w:r>
        <w:rPr>
          <w:rFonts w:ascii="Arial" w:hAnsi="Arial" w:cs="Arial"/>
          <w:lang w:val="en-US"/>
        </w:rPr>
        <w:lastRenderedPageBreak/>
        <w:t>130.4.1</w:t>
      </w:r>
      <w:r>
        <w:rPr>
          <w:rFonts w:ascii="Arial" w:hAnsi="Arial" w:cs="Arial"/>
          <w:lang w:val="en-US"/>
        </w:rPr>
        <w:tab/>
        <w:t>To reflect a capital gain in respect of the disposal by the taxpayer of the shares he held in NMC to the Nesongozwi Family Trust, in the amount of R115 700 000 (R231 400 000X50%);</w:t>
      </w:r>
    </w:p>
    <w:p w14:paraId="3271221C" w14:textId="77777777" w:rsidR="00222DBE" w:rsidRDefault="00222DBE" w:rsidP="00222DBE">
      <w:pPr>
        <w:spacing w:after="0" w:line="360" w:lineRule="auto"/>
        <w:ind w:left="2160" w:hanging="1440"/>
        <w:jc w:val="both"/>
        <w:rPr>
          <w:rFonts w:ascii="Arial" w:hAnsi="Arial" w:cs="Arial"/>
          <w:lang w:val="en-US"/>
        </w:rPr>
      </w:pPr>
      <w:r>
        <w:rPr>
          <w:rFonts w:ascii="Arial" w:hAnsi="Arial" w:cs="Arial"/>
          <w:lang w:val="en-US"/>
        </w:rPr>
        <w:t>130.4.2</w:t>
      </w:r>
      <w:r>
        <w:rPr>
          <w:rFonts w:ascii="Arial" w:hAnsi="Arial" w:cs="Arial"/>
          <w:lang w:val="en-US"/>
        </w:rPr>
        <w:tab/>
        <w:t>To reflect a donation in respect of the disposal by the taxpayer of the shares he held in NMC to the Nesongozwi Family Trust, on the amount of R115 125 725 (R115 700 000—R547 725);</w:t>
      </w:r>
    </w:p>
    <w:p w14:paraId="393654C7" w14:textId="77777777" w:rsidR="00222DBE" w:rsidRDefault="00222DBE" w:rsidP="00222DBE">
      <w:pPr>
        <w:spacing w:after="0" w:line="360" w:lineRule="auto"/>
        <w:jc w:val="both"/>
        <w:rPr>
          <w:rFonts w:ascii="Arial" w:hAnsi="Arial" w:cs="Arial"/>
          <w:lang w:val="en-US"/>
        </w:rPr>
      </w:pPr>
      <w:r>
        <w:rPr>
          <w:rFonts w:ascii="Arial" w:hAnsi="Arial" w:cs="Arial"/>
          <w:lang w:val="en-US"/>
        </w:rPr>
        <w:t>130.5</w:t>
      </w:r>
      <w:r>
        <w:rPr>
          <w:rFonts w:ascii="Arial" w:hAnsi="Arial" w:cs="Arial"/>
          <w:lang w:val="en-US"/>
        </w:rPr>
        <w:tab/>
        <w:t>The imposition of a 10% understatement penalty in terms of section 222 and 223 of the TAA is confirmed.</w:t>
      </w:r>
    </w:p>
    <w:p w14:paraId="745F3081" w14:textId="77777777" w:rsidR="00222DBE" w:rsidRDefault="00222DBE" w:rsidP="00222DBE">
      <w:pPr>
        <w:spacing w:after="0" w:line="360" w:lineRule="auto"/>
        <w:jc w:val="both"/>
        <w:rPr>
          <w:rFonts w:ascii="Arial" w:hAnsi="Arial" w:cs="Arial"/>
          <w:lang w:val="en-US"/>
        </w:rPr>
      </w:pPr>
      <w:r>
        <w:rPr>
          <w:rFonts w:ascii="Arial" w:hAnsi="Arial" w:cs="Arial"/>
          <w:lang w:val="en-US"/>
        </w:rPr>
        <w:t>130.6</w:t>
      </w:r>
      <w:r>
        <w:rPr>
          <w:rFonts w:ascii="Arial" w:hAnsi="Arial" w:cs="Arial"/>
          <w:lang w:val="en-US"/>
        </w:rPr>
        <w:tab/>
        <w:t>The imposition of interest in terms of section 89</w:t>
      </w:r>
      <w:r>
        <w:rPr>
          <w:rFonts w:ascii="Arial" w:hAnsi="Arial" w:cs="Arial"/>
          <w:i/>
          <w:iCs/>
          <w:lang w:val="en-US"/>
        </w:rPr>
        <w:t>quat</w:t>
      </w:r>
      <w:r>
        <w:rPr>
          <w:rFonts w:ascii="Arial" w:hAnsi="Arial" w:cs="Arial"/>
          <w:lang w:val="en-US"/>
        </w:rPr>
        <w:t xml:space="preserve"> of the Income Tax Act 58 of 1961 is confirmed.</w:t>
      </w:r>
    </w:p>
    <w:p w14:paraId="02D4B961" w14:textId="77777777" w:rsidR="00222DBE" w:rsidRDefault="00222DBE" w:rsidP="00222DBE">
      <w:pPr>
        <w:spacing w:after="0" w:line="360" w:lineRule="auto"/>
        <w:jc w:val="both"/>
        <w:rPr>
          <w:rFonts w:ascii="Arial" w:hAnsi="Arial" w:cs="Arial"/>
          <w:lang w:val="en-US"/>
        </w:rPr>
      </w:pPr>
      <w:r>
        <w:rPr>
          <w:rFonts w:ascii="Arial" w:hAnsi="Arial" w:cs="Arial"/>
          <w:lang w:val="en-US"/>
        </w:rPr>
        <w:t>130.7</w:t>
      </w:r>
      <w:r>
        <w:rPr>
          <w:rFonts w:ascii="Arial" w:hAnsi="Arial" w:cs="Arial"/>
          <w:lang w:val="en-US"/>
        </w:rPr>
        <w:tab/>
        <w:t>The taxpayer is ordered to pay 50% of the costs of this appeal including 50 % of the qualifying fees of the following expert witnesses:</w:t>
      </w:r>
    </w:p>
    <w:p w14:paraId="35D88319" w14:textId="77777777" w:rsidR="00222DBE" w:rsidRDefault="00222DBE" w:rsidP="00222DBE">
      <w:pPr>
        <w:spacing w:after="0" w:line="360" w:lineRule="auto"/>
        <w:jc w:val="both"/>
        <w:rPr>
          <w:rFonts w:ascii="Arial" w:hAnsi="Arial" w:cs="Arial"/>
          <w:lang w:val="en-US"/>
        </w:rPr>
      </w:pPr>
      <w:r>
        <w:rPr>
          <w:rFonts w:ascii="Arial" w:hAnsi="Arial" w:cs="Arial"/>
          <w:lang w:val="en-US"/>
        </w:rPr>
        <w:t>(a)</w:t>
      </w:r>
      <w:r>
        <w:rPr>
          <w:rFonts w:ascii="Arial" w:hAnsi="Arial" w:cs="Arial"/>
          <w:lang w:val="en-US"/>
        </w:rPr>
        <w:tab/>
        <w:t>Mr A Clay;</w:t>
      </w:r>
    </w:p>
    <w:p w14:paraId="4E2A2D27" w14:textId="77777777" w:rsidR="00222DBE" w:rsidRDefault="00222DBE" w:rsidP="00222DBE">
      <w:pPr>
        <w:spacing w:after="0" w:line="360" w:lineRule="auto"/>
        <w:jc w:val="both"/>
        <w:rPr>
          <w:rFonts w:ascii="Arial" w:hAnsi="Arial" w:cs="Arial"/>
          <w:lang w:val="en-US"/>
        </w:rPr>
      </w:pPr>
      <w:r>
        <w:rPr>
          <w:rFonts w:ascii="Arial" w:hAnsi="Arial" w:cs="Arial"/>
          <w:lang w:val="en-US"/>
        </w:rPr>
        <w:t>(b)</w:t>
      </w:r>
      <w:r>
        <w:rPr>
          <w:rFonts w:ascii="Arial" w:hAnsi="Arial" w:cs="Arial"/>
          <w:lang w:val="en-US"/>
        </w:rPr>
        <w:tab/>
        <w:t>Mr D Thayser;</w:t>
      </w:r>
    </w:p>
    <w:p w14:paraId="4312FE32" w14:textId="77777777" w:rsidR="00222DBE" w:rsidRDefault="00222DBE" w:rsidP="00222DBE">
      <w:pPr>
        <w:spacing w:after="0" w:line="360" w:lineRule="auto"/>
        <w:jc w:val="both"/>
        <w:rPr>
          <w:rFonts w:ascii="Arial" w:hAnsi="Arial" w:cs="Arial"/>
          <w:sz w:val="24"/>
          <w:szCs w:val="24"/>
          <w:lang w:val="en-US"/>
        </w:rPr>
      </w:pPr>
      <w:r>
        <w:rPr>
          <w:rFonts w:ascii="Arial" w:hAnsi="Arial" w:cs="Arial"/>
          <w:lang w:val="en-US"/>
        </w:rPr>
        <w:t>(c)</w:t>
      </w:r>
      <w:r>
        <w:rPr>
          <w:rFonts w:ascii="Arial" w:hAnsi="Arial" w:cs="Arial"/>
          <w:lang w:val="en-US"/>
        </w:rPr>
        <w:tab/>
        <w:t>Mr A McDonald.’</w:t>
      </w:r>
    </w:p>
    <w:p w14:paraId="4AAE9383" w14:textId="77777777" w:rsidR="00222DBE" w:rsidRDefault="00222DBE" w:rsidP="00222DBE">
      <w:pPr>
        <w:spacing w:after="0" w:line="360" w:lineRule="auto"/>
        <w:jc w:val="both"/>
        <w:rPr>
          <w:rFonts w:ascii="Arial" w:hAnsi="Arial" w:cs="Arial"/>
          <w:sz w:val="24"/>
          <w:szCs w:val="24"/>
          <w:lang w:val="en-US"/>
        </w:rPr>
      </w:pPr>
    </w:p>
    <w:p w14:paraId="7D44FDC3" w14:textId="25EEAB74" w:rsidR="00C27006" w:rsidRDefault="00222DBE" w:rsidP="00222DBE">
      <w:pPr>
        <w:spacing w:after="0"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C27006">
        <w:rPr>
          <w:rFonts w:ascii="Arial" w:hAnsi="Arial" w:cs="Arial"/>
          <w:sz w:val="24"/>
          <w:szCs w:val="24"/>
          <w:lang w:val="en-US"/>
        </w:rPr>
        <w:t xml:space="preserve">In his appeal to </w:t>
      </w:r>
      <w:r>
        <w:rPr>
          <w:rFonts w:ascii="Arial" w:hAnsi="Arial" w:cs="Arial"/>
          <w:sz w:val="24"/>
          <w:szCs w:val="24"/>
          <w:lang w:val="en-US"/>
        </w:rPr>
        <w:t>the full court</w:t>
      </w:r>
      <w:r w:rsidR="00C27006">
        <w:rPr>
          <w:rFonts w:ascii="Arial" w:hAnsi="Arial" w:cs="Arial"/>
          <w:sz w:val="24"/>
          <w:szCs w:val="24"/>
          <w:lang w:val="en-US"/>
        </w:rPr>
        <w:t xml:space="preserve">, the taxpayer raised two </w:t>
      </w:r>
      <w:r>
        <w:rPr>
          <w:rFonts w:ascii="Arial" w:hAnsi="Arial" w:cs="Arial"/>
          <w:sz w:val="24"/>
          <w:szCs w:val="24"/>
          <w:lang w:val="en-US"/>
        </w:rPr>
        <w:t>grounds of appeal</w:t>
      </w:r>
      <w:r w:rsidR="00C27006">
        <w:rPr>
          <w:rFonts w:ascii="Arial" w:hAnsi="Arial" w:cs="Arial"/>
          <w:sz w:val="24"/>
          <w:szCs w:val="24"/>
          <w:lang w:val="en-US"/>
        </w:rPr>
        <w:t>. They</w:t>
      </w:r>
      <w:r>
        <w:rPr>
          <w:rFonts w:ascii="Arial" w:hAnsi="Arial" w:cs="Arial"/>
          <w:sz w:val="24"/>
          <w:szCs w:val="24"/>
          <w:lang w:val="en-US"/>
        </w:rPr>
        <w:t xml:space="preserve"> were </w:t>
      </w:r>
      <w:r w:rsidR="00C27006">
        <w:rPr>
          <w:rFonts w:ascii="Arial" w:hAnsi="Arial" w:cs="Arial"/>
          <w:sz w:val="24"/>
          <w:szCs w:val="24"/>
          <w:lang w:val="en-US"/>
        </w:rPr>
        <w:t xml:space="preserve">that the </w:t>
      </w:r>
      <w:r w:rsidR="00B27B16" w:rsidRPr="00C779A2">
        <w:rPr>
          <w:rFonts w:ascii="Arial" w:hAnsi="Arial" w:cs="Arial"/>
          <w:sz w:val="24"/>
          <w:szCs w:val="24"/>
          <w:lang w:val="en-US"/>
        </w:rPr>
        <w:t>t</w:t>
      </w:r>
      <w:r w:rsidR="00C27006" w:rsidRPr="00C779A2">
        <w:rPr>
          <w:rFonts w:ascii="Arial" w:hAnsi="Arial" w:cs="Arial"/>
          <w:sz w:val="24"/>
          <w:szCs w:val="24"/>
          <w:lang w:val="en-US"/>
        </w:rPr>
        <w:t xml:space="preserve">ax </w:t>
      </w:r>
      <w:r w:rsidR="00B27B16" w:rsidRPr="00C779A2">
        <w:rPr>
          <w:rFonts w:ascii="Arial" w:hAnsi="Arial" w:cs="Arial"/>
          <w:sz w:val="24"/>
          <w:szCs w:val="24"/>
          <w:lang w:val="en-US"/>
        </w:rPr>
        <w:t>c</w:t>
      </w:r>
      <w:r w:rsidR="00C27006" w:rsidRPr="00C779A2">
        <w:rPr>
          <w:rFonts w:ascii="Arial" w:hAnsi="Arial" w:cs="Arial"/>
          <w:sz w:val="24"/>
          <w:szCs w:val="24"/>
          <w:lang w:val="en-US"/>
        </w:rPr>
        <w:t>ourt</w:t>
      </w:r>
      <w:r w:rsidR="00C27006">
        <w:rPr>
          <w:rFonts w:ascii="Arial" w:hAnsi="Arial" w:cs="Arial"/>
          <w:sz w:val="24"/>
          <w:szCs w:val="24"/>
          <w:lang w:val="en-US"/>
        </w:rPr>
        <w:t xml:space="preserve"> had erred in not discounting the value of Umthombo’s shares as a result of the potential joint venture agreements envisaged by the consultancy agreement with Sumo; and that the </w:t>
      </w:r>
      <w:r w:rsidR="00A04E6C">
        <w:rPr>
          <w:rFonts w:ascii="Arial" w:hAnsi="Arial" w:cs="Arial"/>
          <w:sz w:val="24"/>
          <w:szCs w:val="24"/>
          <w:lang w:val="en-US"/>
        </w:rPr>
        <w:t>t</w:t>
      </w:r>
      <w:r w:rsidR="00C27006">
        <w:rPr>
          <w:rFonts w:ascii="Arial" w:hAnsi="Arial" w:cs="Arial"/>
          <w:sz w:val="24"/>
          <w:szCs w:val="24"/>
          <w:lang w:val="en-US"/>
        </w:rPr>
        <w:t xml:space="preserve">ax </w:t>
      </w:r>
      <w:r w:rsidR="00A04E6C">
        <w:rPr>
          <w:rFonts w:ascii="Arial" w:hAnsi="Arial" w:cs="Arial"/>
          <w:sz w:val="24"/>
          <w:szCs w:val="24"/>
          <w:lang w:val="en-US"/>
        </w:rPr>
        <w:t>c</w:t>
      </w:r>
      <w:r w:rsidR="00C27006">
        <w:rPr>
          <w:rFonts w:ascii="Arial" w:hAnsi="Arial" w:cs="Arial"/>
          <w:sz w:val="24"/>
          <w:szCs w:val="24"/>
          <w:lang w:val="en-US"/>
        </w:rPr>
        <w:t xml:space="preserve">ourt had erred in </w:t>
      </w:r>
      <w:r w:rsidR="00A04E6C">
        <w:rPr>
          <w:rFonts w:ascii="Arial" w:hAnsi="Arial" w:cs="Arial"/>
          <w:sz w:val="24"/>
          <w:szCs w:val="24"/>
          <w:lang w:val="en-US"/>
        </w:rPr>
        <w:t>ordering</w:t>
      </w:r>
      <w:r w:rsidR="00C27006">
        <w:rPr>
          <w:rFonts w:ascii="Arial" w:hAnsi="Arial" w:cs="Arial"/>
          <w:sz w:val="24"/>
          <w:szCs w:val="24"/>
          <w:lang w:val="en-US"/>
        </w:rPr>
        <w:t xml:space="preserve"> the taxpayer </w:t>
      </w:r>
      <w:r w:rsidR="00A04E6C">
        <w:rPr>
          <w:rFonts w:ascii="Arial" w:hAnsi="Arial" w:cs="Arial"/>
          <w:sz w:val="24"/>
          <w:szCs w:val="24"/>
          <w:lang w:val="en-US"/>
        </w:rPr>
        <w:t>to pay</w:t>
      </w:r>
      <w:r w:rsidR="00C27006">
        <w:rPr>
          <w:rFonts w:ascii="Arial" w:hAnsi="Arial" w:cs="Arial"/>
          <w:sz w:val="24"/>
          <w:szCs w:val="24"/>
          <w:lang w:val="en-US"/>
        </w:rPr>
        <w:t xml:space="preserve"> 50 percent of the costs and the qualifying fees of t</w:t>
      </w:r>
      <w:r w:rsidR="00D97973">
        <w:rPr>
          <w:rFonts w:ascii="Arial" w:hAnsi="Arial" w:cs="Arial"/>
          <w:sz w:val="24"/>
          <w:szCs w:val="24"/>
          <w:lang w:val="en-US"/>
        </w:rPr>
        <w:t xml:space="preserve">he Commissioner’s </w:t>
      </w:r>
      <w:r w:rsidR="00A04E6C">
        <w:rPr>
          <w:rFonts w:ascii="Arial" w:hAnsi="Arial" w:cs="Arial"/>
          <w:sz w:val="24"/>
          <w:szCs w:val="24"/>
          <w:lang w:val="en-US"/>
        </w:rPr>
        <w:t xml:space="preserve">expert </w:t>
      </w:r>
      <w:r w:rsidR="00C27006">
        <w:rPr>
          <w:rFonts w:ascii="Arial" w:hAnsi="Arial" w:cs="Arial"/>
          <w:sz w:val="24"/>
          <w:szCs w:val="24"/>
          <w:lang w:val="en-US"/>
        </w:rPr>
        <w:t>witnesses.</w:t>
      </w:r>
      <w:r>
        <w:rPr>
          <w:rFonts w:ascii="Arial" w:hAnsi="Arial" w:cs="Arial"/>
          <w:sz w:val="24"/>
          <w:szCs w:val="24"/>
          <w:lang w:val="en-US"/>
        </w:rPr>
        <w:t xml:space="preserve"> </w:t>
      </w:r>
    </w:p>
    <w:p w14:paraId="4CE299BE" w14:textId="77777777" w:rsidR="00C27006" w:rsidRDefault="00C27006" w:rsidP="00222DBE">
      <w:pPr>
        <w:spacing w:after="0" w:line="360" w:lineRule="auto"/>
        <w:jc w:val="both"/>
        <w:rPr>
          <w:rFonts w:ascii="Arial" w:hAnsi="Arial" w:cs="Arial"/>
          <w:sz w:val="24"/>
          <w:szCs w:val="24"/>
          <w:lang w:val="en-US"/>
        </w:rPr>
      </w:pPr>
    </w:p>
    <w:p w14:paraId="265DF025" w14:textId="0844AEBF" w:rsidR="00222DBE" w:rsidRDefault="00C27006" w:rsidP="00222DBE">
      <w:pPr>
        <w:spacing w:after="0"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222DBE">
        <w:rPr>
          <w:rFonts w:ascii="Arial" w:hAnsi="Arial" w:cs="Arial"/>
          <w:sz w:val="24"/>
          <w:szCs w:val="24"/>
          <w:lang w:val="en-US"/>
        </w:rPr>
        <w:t xml:space="preserve">A day before the appeal was argued, the taxpayer gave notice of his intention to apply for an amendment of the notice of appeal to introduce two further grounds, namely that the valuation method applied by the Commissioner’s experts was </w:t>
      </w:r>
      <w:r w:rsidR="00FF613D" w:rsidRPr="00C779A2">
        <w:rPr>
          <w:rFonts w:ascii="Arial" w:hAnsi="Arial" w:cs="Arial"/>
          <w:sz w:val="24"/>
          <w:szCs w:val="24"/>
          <w:lang w:val="en-US"/>
        </w:rPr>
        <w:t>an</w:t>
      </w:r>
      <w:r w:rsidR="00222DBE" w:rsidRPr="00C779A2">
        <w:rPr>
          <w:rFonts w:ascii="Arial" w:hAnsi="Arial" w:cs="Arial"/>
          <w:sz w:val="24"/>
          <w:szCs w:val="24"/>
          <w:lang w:val="en-US"/>
        </w:rPr>
        <w:t xml:space="preserve"> incorrect </w:t>
      </w:r>
      <w:r w:rsidR="00FF613D" w:rsidRPr="00C779A2">
        <w:rPr>
          <w:rFonts w:ascii="Arial" w:hAnsi="Arial" w:cs="Arial"/>
          <w:sz w:val="24"/>
          <w:szCs w:val="24"/>
          <w:lang w:val="en-US"/>
        </w:rPr>
        <w:t>one</w:t>
      </w:r>
      <w:r w:rsidR="00222DBE" w:rsidRPr="00C779A2">
        <w:rPr>
          <w:rFonts w:ascii="Arial" w:hAnsi="Arial" w:cs="Arial"/>
          <w:sz w:val="24"/>
          <w:szCs w:val="24"/>
          <w:lang w:val="en-US"/>
        </w:rPr>
        <w:t xml:space="preserve"> and that Umthombo’s mineral resources were incorrectly categorize</w:t>
      </w:r>
      <w:r w:rsidR="00222DBE">
        <w:rPr>
          <w:rFonts w:ascii="Arial" w:hAnsi="Arial" w:cs="Arial"/>
          <w:sz w:val="24"/>
          <w:szCs w:val="24"/>
          <w:lang w:val="en-US"/>
        </w:rPr>
        <w:t xml:space="preserve">d. The full court disallowed the amendment in respect of the first issue but allowed it in respect of the second issue. It concluded, however, that there was no merit in any of the grounds of appeal before it and dismissed the appeal. </w:t>
      </w:r>
    </w:p>
    <w:p w14:paraId="7CD26FF6" w14:textId="77777777" w:rsidR="00222DBE" w:rsidRDefault="00222DBE" w:rsidP="00222DBE">
      <w:pPr>
        <w:spacing w:after="0" w:line="360" w:lineRule="auto"/>
        <w:jc w:val="both"/>
        <w:rPr>
          <w:rFonts w:ascii="Arial" w:hAnsi="Arial" w:cs="Arial"/>
          <w:sz w:val="24"/>
          <w:szCs w:val="24"/>
          <w:lang w:val="en-US"/>
        </w:rPr>
      </w:pPr>
    </w:p>
    <w:p w14:paraId="301E3D3C" w14:textId="1F98FC20" w:rsidR="00222DBE" w:rsidRDefault="00C27006" w:rsidP="00222DBE">
      <w:pPr>
        <w:spacing w:after="0" w:line="360" w:lineRule="auto"/>
        <w:jc w:val="both"/>
        <w:rPr>
          <w:rFonts w:ascii="Arial" w:hAnsi="Arial" w:cs="Arial"/>
          <w:sz w:val="24"/>
          <w:szCs w:val="24"/>
          <w:lang w:val="en-US"/>
        </w:rPr>
      </w:pPr>
      <w:r>
        <w:rPr>
          <w:rFonts w:ascii="Arial" w:hAnsi="Arial" w:cs="Arial"/>
          <w:sz w:val="24"/>
          <w:szCs w:val="24"/>
          <w:lang w:val="en-US"/>
        </w:rPr>
        <w:t>[10</w:t>
      </w:r>
      <w:r w:rsidR="00222DBE">
        <w:rPr>
          <w:rFonts w:ascii="Arial" w:hAnsi="Arial" w:cs="Arial"/>
          <w:sz w:val="24"/>
          <w:szCs w:val="24"/>
          <w:lang w:val="en-US"/>
        </w:rPr>
        <w:t>]</w:t>
      </w:r>
      <w:r w:rsidR="00222DBE">
        <w:rPr>
          <w:rFonts w:ascii="Arial" w:hAnsi="Arial" w:cs="Arial"/>
          <w:sz w:val="24"/>
          <w:szCs w:val="24"/>
          <w:lang w:val="en-US"/>
        </w:rPr>
        <w:tab/>
        <w:t>From the taxpayer’s heads of argument, it appears that he wishes to revisit (a) whether the method used to determine the market value of the shares was the appropriate method; (b) whether the impact of the consultancy agreement between Sumo and Umthombo was taken into account</w:t>
      </w:r>
      <w:r>
        <w:rPr>
          <w:rFonts w:ascii="Arial" w:hAnsi="Arial" w:cs="Arial"/>
          <w:sz w:val="24"/>
          <w:szCs w:val="24"/>
          <w:lang w:val="en-US"/>
        </w:rPr>
        <w:t xml:space="preserve"> correctly</w:t>
      </w:r>
      <w:r w:rsidR="00222DBE">
        <w:rPr>
          <w:rFonts w:ascii="Arial" w:hAnsi="Arial" w:cs="Arial"/>
          <w:sz w:val="24"/>
          <w:szCs w:val="24"/>
          <w:lang w:val="en-US"/>
        </w:rPr>
        <w:t xml:space="preserve">; and (c) whether Umthombo’s </w:t>
      </w:r>
      <w:r w:rsidR="00222DBE">
        <w:rPr>
          <w:rFonts w:ascii="Arial" w:hAnsi="Arial" w:cs="Arial"/>
          <w:sz w:val="24"/>
          <w:szCs w:val="24"/>
          <w:lang w:val="en-US"/>
        </w:rPr>
        <w:lastRenderedPageBreak/>
        <w:t>mineral resources were correctly characterized. This raises an important point of principle anterior to the merits, namely whether these points are properly before this court as grounds of appeal. I</w:t>
      </w:r>
      <w:r w:rsidR="00664A9C">
        <w:rPr>
          <w:rFonts w:ascii="Arial" w:hAnsi="Arial" w:cs="Arial"/>
          <w:sz w:val="24"/>
          <w:szCs w:val="24"/>
          <w:lang w:val="en-US"/>
        </w:rPr>
        <w:t xml:space="preserve"> say this because the </w:t>
      </w:r>
      <w:r w:rsidR="00A04E6C">
        <w:rPr>
          <w:rFonts w:ascii="Arial" w:hAnsi="Arial" w:cs="Arial"/>
          <w:sz w:val="24"/>
          <w:szCs w:val="24"/>
          <w:lang w:val="en-US"/>
        </w:rPr>
        <w:t>t</w:t>
      </w:r>
      <w:r w:rsidR="00664A9C">
        <w:rPr>
          <w:rFonts w:ascii="Arial" w:hAnsi="Arial" w:cs="Arial"/>
          <w:sz w:val="24"/>
          <w:szCs w:val="24"/>
          <w:lang w:val="en-US"/>
        </w:rPr>
        <w:t xml:space="preserve">ax </w:t>
      </w:r>
      <w:r w:rsidR="00A04E6C">
        <w:rPr>
          <w:rFonts w:ascii="Arial" w:hAnsi="Arial" w:cs="Arial"/>
          <w:sz w:val="24"/>
          <w:szCs w:val="24"/>
          <w:lang w:val="en-US"/>
        </w:rPr>
        <w:t>c</w:t>
      </w:r>
      <w:r w:rsidR="00664A9C">
        <w:rPr>
          <w:rFonts w:ascii="Arial" w:hAnsi="Arial" w:cs="Arial"/>
          <w:sz w:val="24"/>
          <w:szCs w:val="24"/>
          <w:lang w:val="en-US"/>
        </w:rPr>
        <w:t>ourt is a creature of statute</w:t>
      </w:r>
      <w:r w:rsidR="00A04E6C">
        <w:rPr>
          <w:rFonts w:ascii="Arial" w:hAnsi="Arial" w:cs="Arial"/>
          <w:sz w:val="24"/>
          <w:szCs w:val="24"/>
          <w:lang w:val="en-US"/>
        </w:rPr>
        <w:t xml:space="preserve"> </w:t>
      </w:r>
      <w:r w:rsidR="00664A9C">
        <w:rPr>
          <w:rFonts w:ascii="Arial" w:hAnsi="Arial" w:cs="Arial"/>
          <w:sz w:val="24"/>
          <w:szCs w:val="24"/>
          <w:lang w:val="en-US"/>
        </w:rPr>
        <w:t xml:space="preserve">with the result that, as was held in </w:t>
      </w:r>
      <w:r w:rsidR="00664A9C">
        <w:rPr>
          <w:rFonts w:ascii="Arial" w:hAnsi="Arial" w:cs="Arial"/>
          <w:i/>
          <w:iCs/>
          <w:sz w:val="24"/>
          <w:szCs w:val="24"/>
          <w:lang w:val="en-US"/>
        </w:rPr>
        <w:t>Lion Match Company (Pty) Ltd v Commissioner for the South African Revenue Service</w:t>
      </w:r>
      <w:r w:rsidR="00664A9C">
        <w:rPr>
          <w:rFonts w:ascii="Arial" w:hAnsi="Arial" w:cs="Arial"/>
          <w:sz w:val="24"/>
          <w:szCs w:val="24"/>
          <w:lang w:val="en-US"/>
        </w:rPr>
        <w:t>,</w:t>
      </w:r>
      <w:r w:rsidR="00664A9C">
        <w:rPr>
          <w:rStyle w:val="FootnoteReference"/>
          <w:rFonts w:ascii="Arial" w:hAnsi="Arial" w:cs="Arial"/>
          <w:sz w:val="24"/>
          <w:szCs w:val="24"/>
          <w:lang w:val="en-US"/>
        </w:rPr>
        <w:footnoteReference w:id="1"/>
      </w:r>
      <w:r w:rsidR="00664A9C">
        <w:rPr>
          <w:rFonts w:ascii="Arial" w:hAnsi="Arial" w:cs="Arial"/>
          <w:sz w:val="24"/>
          <w:szCs w:val="24"/>
          <w:lang w:val="en-US"/>
        </w:rPr>
        <w:t xml:space="preserve"> ‘the scope</w:t>
      </w:r>
      <w:r w:rsidR="003C1D50">
        <w:rPr>
          <w:rFonts w:ascii="Arial" w:hAnsi="Arial" w:cs="Arial"/>
          <w:sz w:val="24"/>
          <w:szCs w:val="24"/>
          <w:lang w:val="en-US"/>
        </w:rPr>
        <w:t xml:space="preserve"> of its jurisdiction, its powers and the ambit of any right of appeal from its decisions’ are defined i</w:t>
      </w:r>
      <w:r w:rsidR="001C4328">
        <w:rPr>
          <w:rFonts w:ascii="Arial" w:hAnsi="Arial" w:cs="Arial"/>
          <w:sz w:val="24"/>
          <w:szCs w:val="24"/>
          <w:lang w:val="en-US"/>
        </w:rPr>
        <w:t>n</w:t>
      </w:r>
      <w:r w:rsidR="003C1D50">
        <w:rPr>
          <w:rFonts w:ascii="Arial" w:hAnsi="Arial" w:cs="Arial"/>
          <w:sz w:val="24"/>
          <w:szCs w:val="24"/>
          <w:lang w:val="en-US"/>
        </w:rPr>
        <w:t xml:space="preserve"> the Tax Administration Act 28 of 2011 (the TAA).</w:t>
      </w:r>
    </w:p>
    <w:p w14:paraId="32712639" w14:textId="23C31676" w:rsidR="00222DBE" w:rsidRDefault="00222DBE" w:rsidP="00BD73E7">
      <w:pPr>
        <w:spacing w:after="0" w:line="360" w:lineRule="auto"/>
        <w:jc w:val="both"/>
        <w:rPr>
          <w:rFonts w:ascii="Arial" w:hAnsi="Arial" w:cs="Arial"/>
          <w:sz w:val="24"/>
          <w:szCs w:val="24"/>
          <w:lang w:val="en-US"/>
        </w:rPr>
      </w:pPr>
    </w:p>
    <w:p w14:paraId="0E4182BD" w14:textId="5F4914A7" w:rsidR="00923BB3" w:rsidRDefault="00923BB3" w:rsidP="00BD73E7">
      <w:pPr>
        <w:spacing w:after="0"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 xml:space="preserve">The same principle was applied, in relation to an appeal to the tax court in terms of the Value Added Tax Act 89 of 1991, in </w:t>
      </w:r>
      <w:r>
        <w:rPr>
          <w:rFonts w:ascii="Arial" w:hAnsi="Arial" w:cs="Arial"/>
          <w:i/>
          <w:iCs/>
          <w:sz w:val="24"/>
          <w:szCs w:val="24"/>
          <w:lang w:val="en-US"/>
        </w:rPr>
        <w:t>H R Computek (Pty) Ltd v Commissioner for the South African Revenue Services</w:t>
      </w:r>
      <w:r>
        <w:rPr>
          <w:rStyle w:val="FootnoteReference"/>
          <w:rFonts w:ascii="Arial" w:hAnsi="Arial" w:cs="Arial"/>
          <w:i/>
          <w:iCs/>
          <w:sz w:val="24"/>
          <w:szCs w:val="24"/>
          <w:lang w:val="en-US"/>
        </w:rPr>
        <w:footnoteReference w:id="2"/>
      </w:r>
      <w:r>
        <w:rPr>
          <w:rFonts w:ascii="Arial" w:hAnsi="Arial" w:cs="Arial"/>
          <w:sz w:val="24"/>
          <w:szCs w:val="24"/>
          <w:lang w:val="en-US"/>
        </w:rPr>
        <w:t xml:space="preserve"> when Ponnan JA held that it had followed that ‘not having raised an objection to the capital assessment in its notice of objection, the taxpayer was precluded from raising it on appeal before the tax court’. The purpose underpinning this principle (which is of </w:t>
      </w:r>
      <w:r w:rsidR="005D2419">
        <w:rPr>
          <w:rFonts w:ascii="Arial" w:hAnsi="Arial" w:cs="Arial"/>
          <w:sz w:val="24"/>
          <w:szCs w:val="24"/>
          <w:lang w:val="en-US"/>
        </w:rPr>
        <w:t xml:space="preserve">general application in civil and criminal appeals too) was set out thus by Corbett JA in </w:t>
      </w:r>
      <w:r w:rsidR="005D2419">
        <w:rPr>
          <w:rFonts w:ascii="Arial" w:hAnsi="Arial" w:cs="Arial"/>
          <w:i/>
          <w:iCs/>
          <w:sz w:val="24"/>
          <w:szCs w:val="24"/>
          <w:lang w:val="en-US"/>
        </w:rPr>
        <w:t>Matla Coal Ltd v Commissioner for Inland Revenue</w:t>
      </w:r>
      <w:r w:rsidR="005D2419">
        <w:rPr>
          <w:rFonts w:ascii="Arial" w:hAnsi="Arial" w:cs="Arial"/>
          <w:sz w:val="24"/>
          <w:szCs w:val="24"/>
          <w:lang w:val="en-US"/>
        </w:rPr>
        <w:t>,</w:t>
      </w:r>
      <w:r w:rsidR="005D2419">
        <w:rPr>
          <w:rStyle w:val="FootnoteReference"/>
          <w:rFonts w:ascii="Arial" w:hAnsi="Arial" w:cs="Arial"/>
          <w:sz w:val="24"/>
          <w:szCs w:val="24"/>
          <w:lang w:val="en-US"/>
        </w:rPr>
        <w:footnoteReference w:id="3"/>
      </w:r>
      <w:r w:rsidR="005D2419">
        <w:rPr>
          <w:rFonts w:ascii="Arial" w:hAnsi="Arial" w:cs="Arial"/>
          <w:sz w:val="24"/>
          <w:szCs w:val="24"/>
          <w:lang w:val="en-US"/>
        </w:rPr>
        <w:t xml:space="preserve"> a matter concerning the Income Tax Act </w:t>
      </w:r>
      <w:r w:rsidR="00E24F71">
        <w:rPr>
          <w:rFonts w:ascii="Arial" w:hAnsi="Arial" w:cs="Arial"/>
          <w:sz w:val="24"/>
          <w:szCs w:val="24"/>
          <w:lang w:val="en-US"/>
        </w:rPr>
        <w:t>58</w:t>
      </w:r>
      <w:r w:rsidR="005D2419">
        <w:rPr>
          <w:rFonts w:ascii="Arial" w:hAnsi="Arial" w:cs="Arial"/>
          <w:sz w:val="24"/>
          <w:szCs w:val="24"/>
          <w:lang w:val="en-US"/>
        </w:rPr>
        <w:t xml:space="preserve"> of </w:t>
      </w:r>
      <w:r w:rsidR="00E24F71">
        <w:rPr>
          <w:rFonts w:ascii="Arial" w:hAnsi="Arial" w:cs="Arial"/>
          <w:sz w:val="24"/>
          <w:szCs w:val="24"/>
          <w:lang w:val="en-US"/>
        </w:rPr>
        <w:t>1962</w:t>
      </w:r>
      <w:r w:rsidR="005D2419">
        <w:rPr>
          <w:rFonts w:ascii="Arial" w:hAnsi="Arial" w:cs="Arial"/>
          <w:sz w:val="24"/>
          <w:szCs w:val="24"/>
          <w:lang w:val="en-US"/>
        </w:rPr>
        <w:t>:</w:t>
      </w:r>
    </w:p>
    <w:p w14:paraId="2CF4F10C" w14:textId="70FA09F4" w:rsidR="00E24F71" w:rsidRDefault="005D2419" w:rsidP="00E24F71">
      <w:pPr>
        <w:spacing w:after="0" w:line="360" w:lineRule="auto"/>
        <w:jc w:val="both"/>
        <w:rPr>
          <w:rFonts w:ascii="Arial" w:hAnsi="Arial" w:cs="Arial"/>
          <w:sz w:val="24"/>
          <w:szCs w:val="24"/>
          <w:lang w:val="en-US"/>
        </w:rPr>
      </w:pPr>
      <w:r>
        <w:rPr>
          <w:rFonts w:ascii="Arial" w:hAnsi="Arial" w:cs="Arial"/>
          <w:lang w:val="en-US"/>
        </w:rPr>
        <w:t>‘</w:t>
      </w:r>
      <w:r w:rsidR="00E24F71" w:rsidRPr="00E24F71">
        <w:rPr>
          <w:rFonts w:ascii="Arial" w:hAnsi="Arial" w:cs="Arial"/>
          <w:lang w:val="en-US"/>
        </w:rPr>
        <w:t>Section 81(3) of the Act provides that every objection shall be in writing and shall specify in detail the grounds upon which it is made. And in terms of s 83(7)(b) the appellant in an appeal against the disallowance of his objection is limited to the grounds stated in his notice of objection. This limitation is for the benefit of the Commissioner and may be waived by him</w:t>
      </w:r>
      <w:r w:rsidR="00E24F71">
        <w:rPr>
          <w:rFonts w:ascii="Arial" w:hAnsi="Arial" w:cs="Arial"/>
          <w:lang w:val="en-US"/>
        </w:rPr>
        <w:t>.’</w:t>
      </w:r>
      <w:r w:rsidR="00E24F71" w:rsidRPr="00E24F71">
        <w:rPr>
          <w:rFonts w:ascii="Arial" w:hAnsi="Arial" w:cs="Arial"/>
          <w:lang w:val="en-US"/>
        </w:rPr>
        <w:t xml:space="preserve"> </w:t>
      </w:r>
    </w:p>
    <w:p w14:paraId="017EEA99" w14:textId="530A807F" w:rsidR="005D2419" w:rsidRPr="00E24F71" w:rsidRDefault="00E24F71" w:rsidP="00E24F71">
      <w:pPr>
        <w:spacing w:after="0" w:line="360" w:lineRule="auto"/>
        <w:jc w:val="both"/>
        <w:rPr>
          <w:rFonts w:ascii="Arial" w:hAnsi="Arial" w:cs="Arial"/>
          <w:sz w:val="24"/>
          <w:szCs w:val="24"/>
          <w:lang w:val="en-US"/>
        </w:rPr>
      </w:pPr>
      <w:r>
        <w:rPr>
          <w:rFonts w:ascii="Arial" w:hAnsi="Arial" w:cs="Arial"/>
          <w:sz w:val="24"/>
          <w:szCs w:val="24"/>
          <w:lang w:val="en-US"/>
        </w:rPr>
        <w:t>He stressed the importance of adherence to this principle, ‘</w:t>
      </w:r>
      <w:r w:rsidRPr="00E24F71">
        <w:rPr>
          <w:rFonts w:ascii="Arial" w:hAnsi="Arial" w:cs="Arial"/>
          <w:sz w:val="24"/>
          <w:szCs w:val="24"/>
          <w:lang w:val="en-US"/>
        </w:rPr>
        <w:t>for otherwise the Commissioner may be prejudiced by an appellant shifting the grounds of his objection to the assessment in issue</w:t>
      </w:r>
      <w:r>
        <w:rPr>
          <w:rFonts w:ascii="Arial" w:hAnsi="Arial" w:cs="Arial"/>
          <w:sz w:val="24"/>
          <w:szCs w:val="24"/>
          <w:lang w:val="en-US"/>
        </w:rPr>
        <w:t>’</w:t>
      </w:r>
      <w:r w:rsidRPr="00E24F71">
        <w:rPr>
          <w:rFonts w:ascii="Arial" w:hAnsi="Arial" w:cs="Arial"/>
          <w:sz w:val="24"/>
          <w:szCs w:val="24"/>
          <w:lang w:val="en-US"/>
        </w:rPr>
        <w:t>. At the same time</w:t>
      </w:r>
      <w:r>
        <w:rPr>
          <w:rFonts w:ascii="Arial" w:hAnsi="Arial" w:cs="Arial"/>
          <w:sz w:val="24"/>
          <w:szCs w:val="24"/>
          <w:lang w:val="en-US"/>
        </w:rPr>
        <w:t xml:space="preserve">, however, he </w:t>
      </w:r>
      <w:r w:rsidR="00D97973">
        <w:rPr>
          <w:rFonts w:ascii="Arial" w:hAnsi="Arial" w:cs="Arial"/>
          <w:sz w:val="24"/>
          <w:szCs w:val="24"/>
          <w:lang w:val="en-US"/>
        </w:rPr>
        <w:t xml:space="preserve">held </w:t>
      </w:r>
      <w:r>
        <w:rPr>
          <w:rFonts w:ascii="Arial" w:hAnsi="Arial" w:cs="Arial"/>
          <w:sz w:val="24"/>
          <w:szCs w:val="24"/>
          <w:lang w:val="en-US"/>
        </w:rPr>
        <w:t xml:space="preserve">that in the application of the principle, a court </w:t>
      </w:r>
      <w:r w:rsidRPr="00E24F71">
        <w:rPr>
          <w:rFonts w:ascii="Arial" w:hAnsi="Arial" w:cs="Arial"/>
          <w:sz w:val="24"/>
          <w:szCs w:val="24"/>
          <w:lang w:val="en-US"/>
        </w:rPr>
        <w:t>should</w:t>
      </w:r>
      <w:r>
        <w:rPr>
          <w:rFonts w:ascii="Arial" w:hAnsi="Arial" w:cs="Arial"/>
          <w:sz w:val="24"/>
          <w:szCs w:val="24"/>
          <w:lang w:val="en-US"/>
        </w:rPr>
        <w:t xml:space="preserve"> not</w:t>
      </w:r>
      <w:r w:rsidRPr="00E24F71">
        <w:rPr>
          <w:rFonts w:ascii="Arial" w:hAnsi="Arial" w:cs="Arial"/>
          <w:sz w:val="24"/>
          <w:szCs w:val="24"/>
          <w:lang w:val="en-US"/>
        </w:rPr>
        <w:t xml:space="preserve"> be </w:t>
      </w:r>
      <w:r>
        <w:rPr>
          <w:rFonts w:ascii="Arial" w:hAnsi="Arial" w:cs="Arial"/>
          <w:sz w:val="24"/>
          <w:szCs w:val="24"/>
          <w:lang w:val="en-US"/>
        </w:rPr>
        <w:t>‘</w:t>
      </w:r>
      <w:r w:rsidRPr="00E24F71">
        <w:rPr>
          <w:rFonts w:ascii="Arial" w:hAnsi="Arial" w:cs="Arial"/>
          <w:sz w:val="24"/>
          <w:szCs w:val="24"/>
          <w:lang w:val="en-US"/>
        </w:rPr>
        <w:t>unduly technical or rigid in its approach</w:t>
      </w:r>
      <w:r>
        <w:rPr>
          <w:rFonts w:ascii="Arial" w:hAnsi="Arial" w:cs="Arial"/>
          <w:sz w:val="24"/>
          <w:szCs w:val="24"/>
          <w:lang w:val="en-US"/>
        </w:rPr>
        <w:t>’ and ‘</w:t>
      </w:r>
      <w:r w:rsidRPr="00E24F71">
        <w:rPr>
          <w:rFonts w:ascii="Arial" w:hAnsi="Arial" w:cs="Arial"/>
          <w:sz w:val="24"/>
          <w:szCs w:val="24"/>
          <w:lang w:val="en-US"/>
        </w:rPr>
        <w:t>should look at the substance of the objection and the issue as to whether it covers the point which the appellant wishes to advance on appeal must be adjudged on the particular facts of the case</w:t>
      </w:r>
      <w:r>
        <w:rPr>
          <w:rFonts w:ascii="Arial" w:hAnsi="Arial" w:cs="Arial"/>
          <w:sz w:val="24"/>
          <w:szCs w:val="24"/>
          <w:lang w:val="en-US"/>
        </w:rPr>
        <w:t>’</w:t>
      </w:r>
      <w:r w:rsidRPr="00E24F71">
        <w:rPr>
          <w:rFonts w:ascii="Arial" w:hAnsi="Arial" w:cs="Arial"/>
          <w:sz w:val="24"/>
          <w:szCs w:val="24"/>
          <w:lang w:val="en-US"/>
        </w:rPr>
        <w:t>.</w:t>
      </w:r>
      <w:r>
        <w:rPr>
          <w:rStyle w:val="FootnoteReference"/>
          <w:rFonts w:ascii="Arial" w:hAnsi="Arial" w:cs="Arial"/>
          <w:sz w:val="24"/>
          <w:szCs w:val="24"/>
          <w:lang w:val="en-US"/>
        </w:rPr>
        <w:footnoteReference w:id="4"/>
      </w:r>
    </w:p>
    <w:p w14:paraId="367F25ED" w14:textId="77777777" w:rsidR="005D2419" w:rsidRPr="005D2419" w:rsidRDefault="005D2419" w:rsidP="00BD73E7">
      <w:pPr>
        <w:spacing w:after="0" w:line="360" w:lineRule="auto"/>
        <w:jc w:val="both"/>
        <w:rPr>
          <w:rFonts w:ascii="Arial" w:hAnsi="Arial" w:cs="Arial"/>
          <w:sz w:val="24"/>
          <w:szCs w:val="24"/>
          <w:lang w:val="en-US"/>
        </w:rPr>
      </w:pPr>
    </w:p>
    <w:p w14:paraId="6A176D29" w14:textId="089ABB01" w:rsidR="00C01794" w:rsidRPr="00C01794" w:rsidRDefault="00C01794" w:rsidP="00BD73E7">
      <w:pPr>
        <w:spacing w:after="0" w:line="360" w:lineRule="auto"/>
        <w:jc w:val="both"/>
        <w:rPr>
          <w:rFonts w:ascii="Arial" w:hAnsi="Arial" w:cs="Arial"/>
          <w:b/>
          <w:sz w:val="24"/>
          <w:szCs w:val="24"/>
          <w:lang w:val="en-US"/>
        </w:rPr>
      </w:pPr>
      <w:r w:rsidRPr="00C01794">
        <w:rPr>
          <w:rFonts w:ascii="Arial" w:hAnsi="Arial" w:cs="Arial"/>
          <w:b/>
          <w:sz w:val="24"/>
          <w:szCs w:val="24"/>
          <w:lang w:val="en-US"/>
        </w:rPr>
        <w:lastRenderedPageBreak/>
        <w:t>The system</w:t>
      </w:r>
    </w:p>
    <w:p w14:paraId="3FBE6B08" w14:textId="7FF903DC" w:rsidR="002550DB" w:rsidRDefault="00C01794" w:rsidP="00BD73E7">
      <w:pPr>
        <w:spacing w:after="0" w:line="360" w:lineRule="auto"/>
        <w:jc w:val="both"/>
        <w:rPr>
          <w:rFonts w:ascii="Arial" w:hAnsi="Arial" w:cs="Arial"/>
          <w:sz w:val="24"/>
          <w:szCs w:val="24"/>
          <w:lang w:val="en-US"/>
        </w:rPr>
      </w:pPr>
      <w:r>
        <w:rPr>
          <w:rFonts w:ascii="Arial" w:hAnsi="Arial" w:cs="Arial"/>
          <w:sz w:val="24"/>
          <w:szCs w:val="24"/>
          <w:lang w:val="en-US"/>
        </w:rPr>
        <w:t>[</w:t>
      </w:r>
      <w:r w:rsidR="00DC30F4">
        <w:rPr>
          <w:rFonts w:ascii="Arial" w:hAnsi="Arial" w:cs="Arial"/>
          <w:sz w:val="24"/>
          <w:szCs w:val="24"/>
          <w:lang w:val="en-US"/>
        </w:rPr>
        <w:t>1</w:t>
      </w:r>
      <w:r w:rsidR="00D97973">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2550DB">
        <w:rPr>
          <w:rFonts w:ascii="Arial" w:hAnsi="Arial" w:cs="Arial"/>
          <w:sz w:val="24"/>
          <w:szCs w:val="24"/>
          <w:lang w:val="en-US"/>
        </w:rPr>
        <w:t>The term ‘assessment’ is defined in s 1 of the TAA to mean ‘the determination of the amount of</w:t>
      </w:r>
      <w:r w:rsidR="003C1D50">
        <w:rPr>
          <w:rFonts w:ascii="Arial" w:hAnsi="Arial" w:cs="Arial"/>
          <w:sz w:val="24"/>
          <w:szCs w:val="24"/>
          <w:lang w:val="en-US"/>
        </w:rPr>
        <w:t xml:space="preserve"> </w:t>
      </w:r>
      <w:r w:rsidR="002550DB">
        <w:rPr>
          <w:rFonts w:ascii="Arial" w:hAnsi="Arial" w:cs="Arial"/>
          <w:sz w:val="24"/>
          <w:szCs w:val="24"/>
          <w:lang w:val="en-US"/>
        </w:rPr>
        <w:t>a tax liability or refund, by way of self-assessment by the taxpayer or assessment by SARS’.</w:t>
      </w:r>
      <w:r>
        <w:rPr>
          <w:rFonts w:ascii="Arial" w:hAnsi="Arial" w:cs="Arial"/>
          <w:sz w:val="24"/>
          <w:szCs w:val="24"/>
          <w:lang w:val="en-US"/>
        </w:rPr>
        <w:t xml:space="preserve"> In terms of s 92 of the</w:t>
      </w:r>
      <w:r w:rsidR="002550DB">
        <w:rPr>
          <w:rFonts w:ascii="Arial" w:hAnsi="Arial" w:cs="Arial"/>
          <w:sz w:val="24"/>
          <w:szCs w:val="24"/>
          <w:lang w:val="en-US"/>
        </w:rPr>
        <w:t xml:space="preserve"> TAA</w:t>
      </w:r>
      <w:r>
        <w:rPr>
          <w:rFonts w:ascii="Arial" w:hAnsi="Arial" w:cs="Arial"/>
          <w:sz w:val="24"/>
          <w:szCs w:val="24"/>
          <w:lang w:val="en-US"/>
        </w:rPr>
        <w:t xml:space="preserve">, if </w:t>
      </w:r>
      <w:r w:rsidR="002550DB">
        <w:rPr>
          <w:rFonts w:ascii="Arial" w:hAnsi="Arial" w:cs="Arial"/>
          <w:sz w:val="24"/>
          <w:szCs w:val="24"/>
          <w:lang w:val="en-US"/>
        </w:rPr>
        <w:t>SARS</w:t>
      </w:r>
      <w:r>
        <w:rPr>
          <w:rFonts w:ascii="Arial" w:hAnsi="Arial" w:cs="Arial"/>
          <w:sz w:val="24"/>
          <w:szCs w:val="24"/>
          <w:lang w:val="en-US"/>
        </w:rPr>
        <w:t xml:space="preserve"> is satisfied that an assessment ‘does not reflect the correct application of a tax Act to the prejudice of SARS or the </w:t>
      </w:r>
      <w:r>
        <w:rPr>
          <w:rFonts w:ascii="Arial" w:hAnsi="Arial" w:cs="Arial"/>
          <w:i/>
          <w:sz w:val="24"/>
          <w:szCs w:val="24"/>
          <w:lang w:val="en-US"/>
        </w:rPr>
        <w:t>fiscus</w:t>
      </w:r>
      <w:r>
        <w:rPr>
          <w:rFonts w:ascii="Arial" w:hAnsi="Arial" w:cs="Arial"/>
          <w:sz w:val="24"/>
          <w:szCs w:val="24"/>
          <w:lang w:val="en-US"/>
        </w:rPr>
        <w:t xml:space="preserve">, SARS must make an additional assessment to correct the prejudice’. If it does so, s 104(1) grants </w:t>
      </w:r>
      <w:r w:rsidR="00803BD7">
        <w:rPr>
          <w:rFonts w:ascii="Arial" w:hAnsi="Arial" w:cs="Arial"/>
          <w:sz w:val="24"/>
          <w:szCs w:val="24"/>
          <w:lang w:val="en-US"/>
        </w:rPr>
        <w:t>a</w:t>
      </w:r>
      <w:r>
        <w:rPr>
          <w:rFonts w:ascii="Arial" w:hAnsi="Arial" w:cs="Arial"/>
          <w:sz w:val="24"/>
          <w:szCs w:val="24"/>
          <w:lang w:val="en-US"/>
        </w:rPr>
        <w:t xml:space="preserve"> right to the taxpayer to object to the assessment so made. </w:t>
      </w:r>
    </w:p>
    <w:p w14:paraId="7CE2E0AA" w14:textId="77777777" w:rsidR="002550DB" w:rsidRDefault="002550DB" w:rsidP="00BD73E7">
      <w:pPr>
        <w:spacing w:after="0" w:line="360" w:lineRule="auto"/>
        <w:jc w:val="both"/>
        <w:rPr>
          <w:rFonts w:ascii="Arial" w:hAnsi="Arial" w:cs="Arial"/>
          <w:sz w:val="24"/>
          <w:szCs w:val="24"/>
          <w:lang w:val="en-US"/>
        </w:rPr>
      </w:pPr>
    </w:p>
    <w:p w14:paraId="1453CB29" w14:textId="2EB9053F" w:rsidR="001E6D41" w:rsidRDefault="002550DB" w:rsidP="001E6D41">
      <w:pPr>
        <w:spacing w:after="0" w:line="360" w:lineRule="auto"/>
        <w:jc w:val="both"/>
        <w:rPr>
          <w:rFonts w:ascii="Arial" w:hAnsi="Arial" w:cs="Arial"/>
          <w:sz w:val="24"/>
          <w:szCs w:val="24"/>
          <w:lang w:val="en-US"/>
        </w:rPr>
      </w:pPr>
      <w:r>
        <w:rPr>
          <w:rFonts w:ascii="Arial" w:hAnsi="Arial" w:cs="Arial"/>
          <w:sz w:val="24"/>
          <w:szCs w:val="24"/>
          <w:lang w:val="en-US"/>
        </w:rPr>
        <w:t>[</w:t>
      </w:r>
      <w:r w:rsidR="00DC30F4">
        <w:rPr>
          <w:rFonts w:ascii="Arial" w:hAnsi="Arial" w:cs="Arial"/>
          <w:sz w:val="24"/>
          <w:szCs w:val="24"/>
          <w:lang w:val="en-US"/>
        </w:rPr>
        <w:t>1</w:t>
      </w:r>
      <w:r w:rsidR="00803BD7">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C01794">
        <w:rPr>
          <w:rFonts w:ascii="Arial" w:hAnsi="Arial" w:cs="Arial"/>
          <w:sz w:val="24"/>
          <w:szCs w:val="24"/>
          <w:lang w:val="en-US"/>
        </w:rPr>
        <w:t>When the taxpayer o</w:t>
      </w:r>
      <w:r w:rsidR="00803BD7">
        <w:rPr>
          <w:rFonts w:ascii="Arial" w:hAnsi="Arial" w:cs="Arial"/>
          <w:sz w:val="24"/>
          <w:szCs w:val="24"/>
          <w:lang w:val="en-US"/>
        </w:rPr>
        <w:t>bj</w:t>
      </w:r>
      <w:r w:rsidR="00C01794">
        <w:rPr>
          <w:rFonts w:ascii="Arial" w:hAnsi="Arial" w:cs="Arial"/>
          <w:sz w:val="24"/>
          <w:szCs w:val="24"/>
          <w:lang w:val="en-US"/>
        </w:rPr>
        <w:t>e</w:t>
      </w:r>
      <w:r w:rsidR="00803BD7">
        <w:rPr>
          <w:rFonts w:ascii="Arial" w:hAnsi="Arial" w:cs="Arial"/>
          <w:sz w:val="24"/>
          <w:szCs w:val="24"/>
          <w:lang w:val="en-US"/>
        </w:rPr>
        <w:t>ct</w:t>
      </w:r>
      <w:r w:rsidR="00C01794">
        <w:rPr>
          <w:rFonts w:ascii="Arial" w:hAnsi="Arial" w:cs="Arial"/>
          <w:sz w:val="24"/>
          <w:szCs w:val="24"/>
          <w:lang w:val="en-US"/>
        </w:rPr>
        <w:t>s, they must, in terms of s 104(3), lodge their objection ‘in the manner, under the terms, and within the period prescribed in the “rules”’.</w:t>
      </w:r>
      <w:r w:rsidR="001E6D41">
        <w:rPr>
          <w:rFonts w:ascii="Arial" w:hAnsi="Arial" w:cs="Arial"/>
          <w:sz w:val="24"/>
          <w:szCs w:val="24"/>
          <w:lang w:val="en-US"/>
        </w:rPr>
        <w:t xml:space="preserve"> Those rules are made in terms of s 103 by the Minister of Finance after consultation with the Minister of Justice and Constitutional Development. They govern ‘the procedures to lodge an objection and appeal against an assessment or “decision”, and the conduct and hearing of an appeal before a tax board or tax court’.</w:t>
      </w:r>
    </w:p>
    <w:p w14:paraId="6DA599EA" w14:textId="382F54A9" w:rsidR="001E6D41" w:rsidRDefault="001E6D41" w:rsidP="001E6D41">
      <w:pPr>
        <w:spacing w:after="0" w:line="360" w:lineRule="auto"/>
        <w:jc w:val="both"/>
        <w:rPr>
          <w:rFonts w:ascii="Arial" w:hAnsi="Arial" w:cs="Arial"/>
          <w:sz w:val="24"/>
          <w:szCs w:val="24"/>
          <w:lang w:val="en-US"/>
        </w:rPr>
      </w:pPr>
    </w:p>
    <w:p w14:paraId="0ACF9A9C" w14:textId="45CB31AA" w:rsidR="00552BF9" w:rsidRDefault="00552BF9" w:rsidP="001E6D41">
      <w:pPr>
        <w:spacing w:after="0" w:line="360" w:lineRule="auto"/>
        <w:jc w:val="both"/>
        <w:rPr>
          <w:rFonts w:ascii="Arial" w:hAnsi="Arial" w:cs="Arial"/>
          <w:sz w:val="24"/>
          <w:szCs w:val="24"/>
          <w:lang w:val="en-US"/>
        </w:rPr>
      </w:pPr>
      <w:r>
        <w:rPr>
          <w:rFonts w:ascii="Arial" w:hAnsi="Arial" w:cs="Arial"/>
          <w:sz w:val="24"/>
          <w:szCs w:val="24"/>
          <w:lang w:val="en-US"/>
        </w:rPr>
        <w:t>[</w:t>
      </w:r>
      <w:r w:rsidR="00DC30F4">
        <w:rPr>
          <w:rFonts w:ascii="Arial" w:hAnsi="Arial" w:cs="Arial"/>
          <w:sz w:val="24"/>
          <w:szCs w:val="24"/>
          <w:lang w:val="en-US"/>
        </w:rPr>
        <w:t>1</w:t>
      </w:r>
      <w:r w:rsidR="00803BD7">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t>Rule 7 sets out how a taxpayer object</w:t>
      </w:r>
      <w:r w:rsidR="00803BD7">
        <w:rPr>
          <w:rFonts w:ascii="Arial" w:hAnsi="Arial" w:cs="Arial"/>
          <w:sz w:val="24"/>
          <w:szCs w:val="24"/>
          <w:lang w:val="en-US"/>
        </w:rPr>
        <w:t>s</w:t>
      </w:r>
      <w:r>
        <w:rPr>
          <w:rFonts w:ascii="Arial" w:hAnsi="Arial" w:cs="Arial"/>
          <w:sz w:val="24"/>
          <w:szCs w:val="24"/>
          <w:lang w:val="en-US"/>
        </w:rPr>
        <w:t xml:space="preserve"> to an assessment</w:t>
      </w:r>
      <w:r w:rsidR="00705B58">
        <w:rPr>
          <w:rFonts w:ascii="Arial" w:hAnsi="Arial" w:cs="Arial"/>
          <w:sz w:val="24"/>
          <w:szCs w:val="24"/>
          <w:lang w:val="en-US"/>
        </w:rPr>
        <w:t>.</w:t>
      </w:r>
      <w:r w:rsidR="00BE26D8">
        <w:rPr>
          <w:rFonts w:ascii="Arial" w:hAnsi="Arial" w:cs="Arial"/>
          <w:sz w:val="24"/>
          <w:szCs w:val="24"/>
          <w:lang w:val="en-US"/>
        </w:rPr>
        <w:t xml:space="preserve"> They are required to deliver their objection to SARS within 30 days of obtaining the reasons for the assessment or, if no reasons were sought, of the date of assessment.</w:t>
      </w:r>
      <w:r w:rsidR="00BE26D8">
        <w:rPr>
          <w:rStyle w:val="FootnoteReference"/>
          <w:rFonts w:ascii="Arial" w:hAnsi="Arial" w:cs="Arial"/>
          <w:sz w:val="24"/>
          <w:szCs w:val="24"/>
          <w:lang w:val="en-US"/>
        </w:rPr>
        <w:footnoteReference w:id="5"/>
      </w:r>
      <w:r w:rsidR="00BE26D8">
        <w:rPr>
          <w:rFonts w:ascii="Arial" w:hAnsi="Arial" w:cs="Arial"/>
          <w:sz w:val="24"/>
          <w:szCs w:val="24"/>
          <w:lang w:val="en-US"/>
        </w:rPr>
        <w:t xml:space="preserve"> The objection must be made on the prescribed form, completed in full,</w:t>
      </w:r>
      <w:r w:rsidR="00BE26D8">
        <w:rPr>
          <w:rStyle w:val="FootnoteReference"/>
          <w:rFonts w:ascii="Arial" w:hAnsi="Arial" w:cs="Arial"/>
          <w:sz w:val="24"/>
          <w:szCs w:val="24"/>
          <w:lang w:val="en-US"/>
        </w:rPr>
        <w:footnoteReference w:id="6"/>
      </w:r>
      <w:r w:rsidR="00BE26D8">
        <w:rPr>
          <w:rFonts w:ascii="Arial" w:hAnsi="Arial" w:cs="Arial"/>
          <w:sz w:val="24"/>
          <w:szCs w:val="24"/>
          <w:lang w:val="en-US"/>
        </w:rPr>
        <w:t xml:space="preserve"> and it must ‘specify the grounds of the objection </w:t>
      </w:r>
      <w:r w:rsidR="006952FA">
        <w:rPr>
          <w:rFonts w:ascii="Arial" w:hAnsi="Arial" w:cs="Arial"/>
          <w:sz w:val="24"/>
          <w:szCs w:val="24"/>
          <w:lang w:val="en-US"/>
        </w:rPr>
        <w:t>in detail’, including the part or amount objected to and the grounds of assessment that are disputed.</w:t>
      </w:r>
      <w:r w:rsidR="006952FA">
        <w:rPr>
          <w:rStyle w:val="FootnoteReference"/>
          <w:rFonts w:ascii="Arial" w:hAnsi="Arial" w:cs="Arial"/>
          <w:sz w:val="24"/>
          <w:szCs w:val="24"/>
          <w:lang w:val="en-US"/>
        </w:rPr>
        <w:footnoteReference w:id="7"/>
      </w:r>
      <w:r w:rsidR="00BE26D8">
        <w:rPr>
          <w:rFonts w:ascii="Arial" w:hAnsi="Arial" w:cs="Arial"/>
          <w:sz w:val="24"/>
          <w:szCs w:val="24"/>
          <w:lang w:val="en-US"/>
        </w:rPr>
        <w:t xml:space="preserve">  </w:t>
      </w:r>
    </w:p>
    <w:p w14:paraId="257AC84E" w14:textId="77777777" w:rsidR="00BE26D8" w:rsidRDefault="00BE26D8" w:rsidP="001E6D41">
      <w:pPr>
        <w:spacing w:after="0" w:line="360" w:lineRule="auto"/>
        <w:jc w:val="both"/>
        <w:rPr>
          <w:rFonts w:ascii="Arial" w:hAnsi="Arial" w:cs="Arial"/>
          <w:sz w:val="24"/>
          <w:szCs w:val="24"/>
          <w:lang w:val="en-US"/>
        </w:rPr>
      </w:pPr>
    </w:p>
    <w:p w14:paraId="26B6E95B" w14:textId="65B14798" w:rsidR="00C01794" w:rsidRDefault="00C01794" w:rsidP="00BD73E7">
      <w:pPr>
        <w:spacing w:after="0" w:line="360" w:lineRule="auto"/>
        <w:jc w:val="both"/>
        <w:rPr>
          <w:rFonts w:ascii="Arial" w:hAnsi="Arial" w:cs="Arial"/>
          <w:sz w:val="24"/>
          <w:szCs w:val="24"/>
          <w:lang w:val="en-US"/>
        </w:rPr>
      </w:pPr>
      <w:r>
        <w:rPr>
          <w:rFonts w:ascii="Arial" w:hAnsi="Arial" w:cs="Arial"/>
          <w:sz w:val="24"/>
          <w:szCs w:val="24"/>
          <w:lang w:val="en-US"/>
        </w:rPr>
        <w:t>[</w:t>
      </w:r>
      <w:r w:rsidR="00DC30F4">
        <w:rPr>
          <w:rFonts w:ascii="Arial" w:hAnsi="Arial" w:cs="Arial"/>
          <w:sz w:val="24"/>
          <w:szCs w:val="24"/>
          <w:lang w:val="en-US"/>
        </w:rPr>
        <w:t>1</w:t>
      </w:r>
      <w:r w:rsidR="00803BD7">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t xml:space="preserve">Section 106, which deals with the determination </w:t>
      </w:r>
      <w:r w:rsidR="00133ADF">
        <w:rPr>
          <w:rFonts w:ascii="Arial" w:hAnsi="Arial" w:cs="Arial"/>
          <w:sz w:val="24"/>
          <w:szCs w:val="24"/>
          <w:lang w:val="en-US"/>
        </w:rPr>
        <w:t>of objections by SARS, provides in relevant part:</w:t>
      </w:r>
    </w:p>
    <w:p w14:paraId="3752244E" w14:textId="5ECE0046" w:rsidR="005304C3" w:rsidRPr="005304C3" w:rsidRDefault="00133ADF" w:rsidP="005304C3">
      <w:pPr>
        <w:spacing w:after="0" w:line="360" w:lineRule="auto"/>
        <w:jc w:val="both"/>
        <w:rPr>
          <w:rFonts w:ascii="Arial" w:hAnsi="Arial" w:cs="Arial"/>
          <w:lang w:val="en-US"/>
        </w:rPr>
      </w:pPr>
      <w:r>
        <w:rPr>
          <w:rFonts w:ascii="Arial" w:hAnsi="Arial" w:cs="Arial"/>
          <w:lang w:val="en-US"/>
        </w:rPr>
        <w:t>‘</w:t>
      </w:r>
      <w:r w:rsidR="005304C3" w:rsidRPr="005304C3">
        <w:rPr>
          <w:rFonts w:ascii="Arial" w:hAnsi="Arial" w:cs="Arial"/>
          <w:lang w:val="en-US"/>
        </w:rPr>
        <w:t xml:space="preserve">(1) SARS must consider a valid objection in the manner and within the period prescribed under this Act and the </w:t>
      </w:r>
      <w:r w:rsidR="005304C3">
        <w:rPr>
          <w:rFonts w:ascii="Arial" w:hAnsi="Arial" w:cs="Arial"/>
          <w:lang w:val="en-US"/>
        </w:rPr>
        <w:t>“</w:t>
      </w:r>
      <w:r w:rsidR="005304C3" w:rsidRPr="005304C3">
        <w:rPr>
          <w:rFonts w:ascii="Arial" w:hAnsi="Arial" w:cs="Arial"/>
          <w:lang w:val="en-US"/>
        </w:rPr>
        <w:t>rules</w:t>
      </w:r>
      <w:r w:rsidR="005304C3">
        <w:rPr>
          <w:rFonts w:ascii="Arial" w:hAnsi="Arial" w:cs="Arial"/>
          <w:lang w:val="en-US"/>
        </w:rPr>
        <w:t>”</w:t>
      </w:r>
      <w:r w:rsidR="005304C3" w:rsidRPr="005304C3">
        <w:rPr>
          <w:rFonts w:ascii="Arial" w:hAnsi="Arial" w:cs="Arial"/>
          <w:lang w:val="en-US"/>
        </w:rPr>
        <w:t>.</w:t>
      </w:r>
    </w:p>
    <w:p w14:paraId="654788BE" w14:textId="77777777" w:rsidR="005304C3" w:rsidRPr="005304C3" w:rsidRDefault="005304C3" w:rsidP="005304C3">
      <w:pPr>
        <w:spacing w:after="0" w:line="360" w:lineRule="auto"/>
        <w:jc w:val="both"/>
        <w:rPr>
          <w:rFonts w:ascii="Arial" w:hAnsi="Arial" w:cs="Arial"/>
          <w:lang w:val="en-US"/>
        </w:rPr>
      </w:pPr>
      <w:r w:rsidRPr="005304C3">
        <w:rPr>
          <w:rFonts w:ascii="Arial" w:hAnsi="Arial" w:cs="Arial"/>
          <w:lang w:val="en-US"/>
        </w:rPr>
        <w:t>(2) SARS may disallow the objection or allow it either in whole or in part.</w:t>
      </w:r>
    </w:p>
    <w:p w14:paraId="0455DB03" w14:textId="790A09AB" w:rsidR="005304C3" w:rsidRPr="005304C3" w:rsidRDefault="005304C3" w:rsidP="005304C3">
      <w:pPr>
        <w:spacing w:after="0" w:line="360" w:lineRule="auto"/>
        <w:jc w:val="both"/>
        <w:rPr>
          <w:rFonts w:ascii="Arial" w:hAnsi="Arial" w:cs="Arial"/>
          <w:lang w:val="en-US"/>
        </w:rPr>
      </w:pPr>
      <w:r w:rsidRPr="005304C3">
        <w:rPr>
          <w:rFonts w:ascii="Arial" w:hAnsi="Arial" w:cs="Arial"/>
          <w:lang w:val="en-US"/>
        </w:rPr>
        <w:t xml:space="preserve">(3) If the objection is allowed either in whole or in part, the assessment or </w:t>
      </w:r>
      <w:r>
        <w:rPr>
          <w:rFonts w:ascii="Arial" w:hAnsi="Arial" w:cs="Arial"/>
          <w:lang w:val="en-US"/>
        </w:rPr>
        <w:t>“</w:t>
      </w:r>
      <w:r w:rsidRPr="005304C3">
        <w:rPr>
          <w:rFonts w:ascii="Arial" w:hAnsi="Arial" w:cs="Arial"/>
          <w:lang w:val="en-US"/>
        </w:rPr>
        <w:t>decision</w:t>
      </w:r>
      <w:r>
        <w:rPr>
          <w:rFonts w:ascii="Arial" w:hAnsi="Arial" w:cs="Arial"/>
          <w:lang w:val="en-US"/>
        </w:rPr>
        <w:t>”</w:t>
      </w:r>
      <w:r w:rsidRPr="005304C3">
        <w:rPr>
          <w:rFonts w:ascii="Arial" w:hAnsi="Arial" w:cs="Arial"/>
          <w:lang w:val="en-US"/>
        </w:rPr>
        <w:t xml:space="preserve"> must be altered accordingly.</w:t>
      </w:r>
    </w:p>
    <w:p w14:paraId="6CBFAA79" w14:textId="23741FBF" w:rsidR="005304C3" w:rsidRPr="005304C3" w:rsidRDefault="005304C3" w:rsidP="005304C3">
      <w:pPr>
        <w:spacing w:after="0" w:line="360" w:lineRule="auto"/>
        <w:jc w:val="both"/>
        <w:rPr>
          <w:rFonts w:ascii="Arial" w:hAnsi="Arial" w:cs="Arial"/>
          <w:lang w:val="en-US"/>
        </w:rPr>
      </w:pPr>
      <w:r w:rsidRPr="005304C3">
        <w:rPr>
          <w:rFonts w:ascii="Arial" w:hAnsi="Arial" w:cs="Arial"/>
          <w:lang w:val="en-US"/>
        </w:rPr>
        <w:lastRenderedPageBreak/>
        <w:t xml:space="preserve">(4) SARS must, by notice, inform the taxpayer objecting or the taxpayer's representative of the decision referred to in subsection (2), unless the objection is stayed under subsection (6) in which case notice of this must be given in accordance with the </w:t>
      </w:r>
      <w:r>
        <w:rPr>
          <w:rFonts w:ascii="Arial" w:hAnsi="Arial" w:cs="Arial"/>
          <w:lang w:val="en-US"/>
        </w:rPr>
        <w:t>“</w:t>
      </w:r>
      <w:r w:rsidRPr="005304C3">
        <w:rPr>
          <w:rFonts w:ascii="Arial" w:hAnsi="Arial" w:cs="Arial"/>
          <w:lang w:val="en-US"/>
        </w:rPr>
        <w:t>rules</w:t>
      </w:r>
      <w:r>
        <w:rPr>
          <w:rFonts w:ascii="Arial" w:hAnsi="Arial" w:cs="Arial"/>
          <w:lang w:val="en-US"/>
        </w:rPr>
        <w:t>”</w:t>
      </w:r>
      <w:r w:rsidRPr="005304C3">
        <w:rPr>
          <w:rFonts w:ascii="Arial" w:hAnsi="Arial" w:cs="Arial"/>
          <w:lang w:val="en-US"/>
        </w:rPr>
        <w:t>.</w:t>
      </w:r>
    </w:p>
    <w:p w14:paraId="0FFBE07E" w14:textId="358439EC" w:rsidR="005304C3" w:rsidRPr="005304C3" w:rsidRDefault="005304C3" w:rsidP="005304C3">
      <w:pPr>
        <w:spacing w:after="0" w:line="360" w:lineRule="auto"/>
        <w:jc w:val="both"/>
        <w:rPr>
          <w:rFonts w:ascii="Arial" w:hAnsi="Arial" w:cs="Arial"/>
          <w:lang w:val="en-US"/>
        </w:rPr>
      </w:pPr>
      <w:r w:rsidRPr="005304C3">
        <w:rPr>
          <w:rFonts w:ascii="Arial" w:hAnsi="Arial" w:cs="Arial"/>
          <w:lang w:val="en-US"/>
        </w:rPr>
        <w:t>(5) The notice must state the basis for the decision and a summary of the procedures for appeal.</w:t>
      </w:r>
      <w:r>
        <w:rPr>
          <w:rFonts w:ascii="Arial" w:hAnsi="Arial" w:cs="Arial"/>
          <w:lang w:val="en-US"/>
        </w:rPr>
        <w:t>’</w:t>
      </w:r>
    </w:p>
    <w:p w14:paraId="53A92B48" w14:textId="5632F7D9" w:rsidR="005304C3" w:rsidRDefault="006952FA" w:rsidP="005304C3">
      <w:pPr>
        <w:spacing w:after="0" w:line="360" w:lineRule="auto"/>
        <w:jc w:val="both"/>
        <w:rPr>
          <w:rFonts w:ascii="Arial" w:hAnsi="Arial" w:cs="Arial"/>
          <w:sz w:val="24"/>
          <w:szCs w:val="24"/>
          <w:lang w:val="en-US"/>
        </w:rPr>
      </w:pPr>
      <w:r>
        <w:rPr>
          <w:rFonts w:ascii="Arial" w:hAnsi="Arial" w:cs="Arial"/>
          <w:sz w:val="24"/>
          <w:szCs w:val="24"/>
          <w:lang w:val="en-US"/>
        </w:rPr>
        <w:t xml:space="preserve">In terms of rule </w:t>
      </w:r>
      <w:r w:rsidR="00FE7F54">
        <w:rPr>
          <w:rFonts w:ascii="Arial" w:hAnsi="Arial" w:cs="Arial"/>
          <w:sz w:val="24"/>
          <w:szCs w:val="24"/>
          <w:lang w:val="en-US"/>
        </w:rPr>
        <w:t>9</w:t>
      </w:r>
      <w:r>
        <w:rPr>
          <w:rFonts w:ascii="Arial" w:hAnsi="Arial" w:cs="Arial"/>
          <w:sz w:val="24"/>
          <w:szCs w:val="24"/>
          <w:lang w:val="en-US"/>
        </w:rPr>
        <w:t xml:space="preserve">, SARS must ‘notify the taxpayer of the allowance or disallowance of the objection and the basis thereof’ within 60 days </w:t>
      </w:r>
      <w:r w:rsidR="00FE7F54">
        <w:rPr>
          <w:rFonts w:ascii="Arial" w:hAnsi="Arial" w:cs="Arial"/>
          <w:sz w:val="24"/>
          <w:szCs w:val="24"/>
          <w:lang w:val="en-US"/>
        </w:rPr>
        <w:t>of receipt of the objection.</w:t>
      </w:r>
    </w:p>
    <w:p w14:paraId="3BC5022E" w14:textId="77777777" w:rsidR="00FE7F54" w:rsidRDefault="00FE7F54" w:rsidP="005304C3">
      <w:pPr>
        <w:spacing w:after="0" w:line="360" w:lineRule="auto"/>
        <w:jc w:val="both"/>
        <w:rPr>
          <w:rFonts w:ascii="Arial" w:hAnsi="Arial" w:cs="Arial"/>
          <w:sz w:val="24"/>
          <w:szCs w:val="24"/>
          <w:lang w:val="en-US"/>
        </w:rPr>
      </w:pPr>
    </w:p>
    <w:p w14:paraId="17595681" w14:textId="73C46A25" w:rsidR="00133ADF" w:rsidRDefault="00133ADF" w:rsidP="00BD73E7">
      <w:pPr>
        <w:spacing w:after="0" w:line="360" w:lineRule="auto"/>
        <w:jc w:val="both"/>
        <w:rPr>
          <w:rFonts w:ascii="Arial" w:hAnsi="Arial" w:cs="Arial"/>
          <w:sz w:val="24"/>
          <w:szCs w:val="24"/>
          <w:lang w:val="en-US"/>
        </w:rPr>
      </w:pPr>
      <w:r>
        <w:rPr>
          <w:rFonts w:ascii="Arial" w:hAnsi="Arial" w:cs="Arial"/>
          <w:sz w:val="24"/>
          <w:szCs w:val="24"/>
          <w:lang w:val="en-US"/>
        </w:rPr>
        <w:t>[</w:t>
      </w:r>
      <w:r w:rsidR="00DC30F4">
        <w:rPr>
          <w:rFonts w:ascii="Arial" w:hAnsi="Arial" w:cs="Arial"/>
          <w:sz w:val="24"/>
          <w:szCs w:val="24"/>
          <w:lang w:val="en-US"/>
        </w:rPr>
        <w:t>1</w:t>
      </w:r>
      <w:r w:rsidR="00803BD7">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t>Section 107 makes provision for an appeal against an assessment. The relevant sub-sections provide:</w:t>
      </w:r>
    </w:p>
    <w:p w14:paraId="6F9FB0D9" w14:textId="12CC4F84" w:rsidR="005304C3" w:rsidRPr="005304C3" w:rsidRDefault="00133ADF" w:rsidP="005304C3">
      <w:pPr>
        <w:spacing w:after="0" w:line="360" w:lineRule="auto"/>
        <w:jc w:val="both"/>
        <w:rPr>
          <w:rFonts w:ascii="Arial" w:hAnsi="Arial" w:cs="Arial"/>
          <w:lang w:val="en-US"/>
        </w:rPr>
      </w:pPr>
      <w:r w:rsidRPr="00133ADF">
        <w:rPr>
          <w:rFonts w:ascii="Arial" w:hAnsi="Arial" w:cs="Arial"/>
          <w:lang w:val="en-US"/>
        </w:rPr>
        <w:t>‘</w:t>
      </w:r>
      <w:r w:rsidR="005304C3" w:rsidRPr="005304C3">
        <w:rPr>
          <w:rFonts w:ascii="Arial" w:hAnsi="Arial" w:cs="Arial"/>
          <w:lang w:val="en-US"/>
        </w:rPr>
        <w:t xml:space="preserve">(1) After delivery of the notice of the decision referred to in section 106(4), a taxpayer objecting to an assessment or </w:t>
      </w:r>
      <w:r w:rsidR="005304C3">
        <w:rPr>
          <w:rFonts w:ascii="Arial" w:hAnsi="Arial" w:cs="Arial"/>
          <w:lang w:val="en-US"/>
        </w:rPr>
        <w:t>“</w:t>
      </w:r>
      <w:r w:rsidR="005304C3" w:rsidRPr="005304C3">
        <w:rPr>
          <w:rFonts w:ascii="Arial" w:hAnsi="Arial" w:cs="Arial"/>
          <w:lang w:val="en-US"/>
        </w:rPr>
        <w:t>decision</w:t>
      </w:r>
      <w:r w:rsidR="005304C3">
        <w:rPr>
          <w:rFonts w:ascii="Arial" w:hAnsi="Arial" w:cs="Arial"/>
          <w:lang w:val="en-US"/>
        </w:rPr>
        <w:t>”</w:t>
      </w:r>
      <w:r w:rsidR="005304C3" w:rsidRPr="005304C3">
        <w:rPr>
          <w:rFonts w:ascii="Arial" w:hAnsi="Arial" w:cs="Arial"/>
          <w:lang w:val="en-US"/>
        </w:rPr>
        <w:t xml:space="preserve"> may appeal against the assessment or </w:t>
      </w:r>
      <w:r w:rsidR="005304C3">
        <w:rPr>
          <w:rFonts w:ascii="Arial" w:hAnsi="Arial" w:cs="Arial"/>
          <w:lang w:val="en-US"/>
        </w:rPr>
        <w:t>“</w:t>
      </w:r>
      <w:r w:rsidR="005304C3" w:rsidRPr="005304C3">
        <w:rPr>
          <w:rFonts w:ascii="Arial" w:hAnsi="Arial" w:cs="Arial"/>
          <w:lang w:val="en-US"/>
        </w:rPr>
        <w:t>decision</w:t>
      </w:r>
      <w:r w:rsidR="005304C3">
        <w:rPr>
          <w:rFonts w:ascii="Arial" w:hAnsi="Arial" w:cs="Arial"/>
          <w:lang w:val="en-US"/>
        </w:rPr>
        <w:t>”</w:t>
      </w:r>
      <w:r w:rsidR="005304C3" w:rsidRPr="005304C3">
        <w:rPr>
          <w:rFonts w:ascii="Arial" w:hAnsi="Arial" w:cs="Arial"/>
          <w:lang w:val="en-US"/>
        </w:rPr>
        <w:t xml:space="preserve"> to the tax board or tax court in the manner, under the terms and within the period prescribed in this Act and the </w:t>
      </w:r>
      <w:r w:rsidR="005304C3">
        <w:rPr>
          <w:rFonts w:ascii="Arial" w:hAnsi="Arial" w:cs="Arial"/>
          <w:lang w:val="en-US"/>
        </w:rPr>
        <w:t>“</w:t>
      </w:r>
      <w:r w:rsidR="005304C3" w:rsidRPr="005304C3">
        <w:rPr>
          <w:rFonts w:ascii="Arial" w:hAnsi="Arial" w:cs="Arial"/>
          <w:lang w:val="en-US"/>
        </w:rPr>
        <w:t>rules</w:t>
      </w:r>
      <w:r w:rsidR="005304C3">
        <w:rPr>
          <w:rFonts w:ascii="Arial" w:hAnsi="Arial" w:cs="Arial"/>
          <w:lang w:val="en-US"/>
        </w:rPr>
        <w:t>”</w:t>
      </w:r>
      <w:r w:rsidR="005304C3" w:rsidRPr="005304C3">
        <w:rPr>
          <w:rFonts w:ascii="Arial" w:hAnsi="Arial" w:cs="Arial"/>
          <w:lang w:val="en-US"/>
        </w:rPr>
        <w:t>.</w:t>
      </w:r>
    </w:p>
    <w:p w14:paraId="65F76344" w14:textId="3081765B" w:rsidR="005304C3" w:rsidRPr="005304C3" w:rsidRDefault="005304C3" w:rsidP="005304C3">
      <w:pPr>
        <w:spacing w:after="0" w:line="360" w:lineRule="auto"/>
        <w:jc w:val="both"/>
        <w:rPr>
          <w:rFonts w:ascii="Arial" w:hAnsi="Arial" w:cs="Arial"/>
          <w:lang w:val="en-US"/>
        </w:rPr>
      </w:pPr>
      <w:r w:rsidRPr="005304C3">
        <w:rPr>
          <w:rFonts w:ascii="Arial" w:hAnsi="Arial" w:cs="Arial"/>
          <w:lang w:val="en-US"/>
        </w:rPr>
        <w:t xml:space="preserve">(2) </w:t>
      </w:r>
      <w:r>
        <w:rPr>
          <w:rFonts w:ascii="Arial" w:hAnsi="Arial" w:cs="Arial"/>
          <w:lang w:val="en-US"/>
        </w:rPr>
        <w:t xml:space="preserve">. . . </w:t>
      </w:r>
    </w:p>
    <w:p w14:paraId="5EA8189E" w14:textId="77777777" w:rsidR="005304C3" w:rsidRPr="005304C3" w:rsidRDefault="005304C3" w:rsidP="005304C3">
      <w:pPr>
        <w:spacing w:after="0" w:line="360" w:lineRule="auto"/>
        <w:jc w:val="both"/>
        <w:rPr>
          <w:rFonts w:ascii="Arial" w:hAnsi="Arial" w:cs="Arial"/>
          <w:lang w:val="en-US"/>
        </w:rPr>
      </w:pPr>
      <w:r w:rsidRPr="005304C3">
        <w:rPr>
          <w:rFonts w:ascii="Arial" w:hAnsi="Arial" w:cs="Arial"/>
          <w:lang w:val="en-US"/>
        </w:rPr>
        <w:t>(3) A notice of appeal that does not satisfy the requirements of subsection (1) is not valid.</w:t>
      </w:r>
    </w:p>
    <w:p w14:paraId="71C55B55" w14:textId="2DD806F1" w:rsidR="005304C3" w:rsidRPr="000F62CE" w:rsidRDefault="005304C3" w:rsidP="005304C3">
      <w:pPr>
        <w:spacing w:after="0" w:line="360" w:lineRule="auto"/>
        <w:jc w:val="both"/>
        <w:rPr>
          <w:rFonts w:ascii="Arial" w:hAnsi="Arial" w:cs="Arial"/>
          <w:sz w:val="24"/>
          <w:szCs w:val="24"/>
          <w:lang w:val="en-US"/>
        </w:rPr>
      </w:pPr>
      <w:r w:rsidRPr="005304C3">
        <w:rPr>
          <w:rFonts w:ascii="Arial" w:hAnsi="Arial" w:cs="Arial"/>
          <w:lang w:val="en-US"/>
        </w:rPr>
        <w:t xml:space="preserve">(4) If an assessment or </w:t>
      </w:r>
      <w:r w:rsidR="000F62CE">
        <w:rPr>
          <w:rFonts w:ascii="Arial" w:hAnsi="Arial" w:cs="Arial"/>
          <w:lang w:val="en-US"/>
        </w:rPr>
        <w:t>“</w:t>
      </w:r>
      <w:r w:rsidRPr="005304C3">
        <w:rPr>
          <w:rFonts w:ascii="Arial" w:hAnsi="Arial" w:cs="Arial"/>
          <w:lang w:val="en-US"/>
        </w:rPr>
        <w:t>decision</w:t>
      </w:r>
      <w:r w:rsidR="000F62CE">
        <w:rPr>
          <w:rFonts w:ascii="Arial" w:hAnsi="Arial" w:cs="Arial"/>
          <w:lang w:val="en-US"/>
        </w:rPr>
        <w:t>”</w:t>
      </w:r>
      <w:r w:rsidRPr="005304C3">
        <w:rPr>
          <w:rFonts w:ascii="Arial" w:hAnsi="Arial" w:cs="Arial"/>
          <w:lang w:val="en-US"/>
        </w:rPr>
        <w:t xml:space="preserve"> has been altered under section 106(3), the assessment or </w:t>
      </w:r>
      <w:r w:rsidR="000F62CE">
        <w:rPr>
          <w:rFonts w:ascii="Arial" w:hAnsi="Arial" w:cs="Arial"/>
          <w:lang w:val="en-US"/>
        </w:rPr>
        <w:t>“</w:t>
      </w:r>
      <w:r w:rsidRPr="005304C3">
        <w:rPr>
          <w:rFonts w:ascii="Arial" w:hAnsi="Arial" w:cs="Arial"/>
          <w:lang w:val="en-US"/>
        </w:rPr>
        <w:t>decision</w:t>
      </w:r>
      <w:r w:rsidR="000F62CE">
        <w:rPr>
          <w:rFonts w:ascii="Arial" w:hAnsi="Arial" w:cs="Arial"/>
          <w:lang w:val="en-US"/>
        </w:rPr>
        <w:t>”</w:t>
      </w:r>
      <w:r w:rsidRPr="005304C3">
        <w:rPr>
          <w:rFonts w:ascii="Arial" w:hAnsi="Arial" w:cs="Arial"/>
          <w:lang w:val="en-US"/>
        </w:rPr>
        <w:t xml:space="preserve"> as altered is the assessment or </w:t>
      </w:r>
      <w:r w:rsidR="000F62CE">
        <w:rPr>
          <w:rFonts w:ascii="Arial" w:hAnsi="Arial" w:cs="Arial"/>
          <w:lang w:val="en-US"/>
        </w:rPr>
        <w:t>“</w:t>
      </w:r>
      <w:r w:rsidRPr="005304C3">
        <w:rPr>
          <w:rFonts w:ascii="Arial" w:hAnsi="Arial" w:cs="Arial"/>
          <w:lang w:val="en-US"/>
        </w:rPr>
        <w:t>decision</w:t>
      </w:r>
      <w:r w:rsidR="000F62CE">
        <w:rPr>
          <w:rFonts w:ascii="Arial" w:hAnsi="Arial" w:cs="Arial"/>
          <w:lang w:val="en-US"/>
        </w:rPr>
        <w:t>”</w:t>
      </w:r>
      <w:r w:rsidRPr="005304C3">
        <w:rPr>
          <w:rFonts w:ascii="Arial" w:hAnsi="Arial" w:cs="Arial"/>
          <w:lang w:val="en-US"/>
        </w:rPr>
        <w:t xml:space="preserve"> against which the appeal is noted.</w:t>
      </w:r>
      <w:r w:rsidR="000F62CE">
        <w:rPr>
          <w:rFonts w:ascii="Arial" w:hAnsi="Arial" w:cs="Arial"/>
          <w:lang w:val="en-US"/>
        </w:rPr>
        <w:t>’</w:t>
      </w:r>
    </w:p>
    <w:p w14:paraId="58D8D51D" w14:textId="7C5B12DA" w:rsidR="00133ADF" w:rsidRDefault="00133ADF" w:rsidP="00BD73E7">
      <w:pPr>
        <w:spacing w:after="0" w:line="360" w:lineRule="auto"/>
        <w:jc w:val="both"/>
        <w:rPr>
          <w:rFonts w:ascii="Arial" w:hAnsi="Arial" w:cs="Arial"/>
          <w:sz w:val="24"/>
          <w:szCs w:val="24"/>
          <w:lang w:val="en-US"/>
        </w:rPr>
      </w:pPr>
    </w:p>
    <w:p w14:paraId="6D265955" w14:textId="2C37448F" w:rsidR="00CE1299" w:rsidRDefault="00FE7F54" w:rsidP="00BD73E7">
      <w:pPr>
        <w:spacing w:after="0" w:line="360" w:lineRule="auto"/>
        <w:jc w:val="both"/>
        <w:rPr>
          <w:rFonts w:ascii="Arial" w:hAnsi="Arial" w:cs="Arial"/>
          <w:sz w:val="24"/>
          <w:szCs w:val="24"/>
          <w:lang w:val="en-US"/>
        </w:rPr>
      </w:pPr>
      <w:r>
        <w:rPr>
          <w:rFonts w:ascii="Arial" w:hAnsi="Arial" w:cs="Arial"/>
          <w:sz w:val="24"/>
          <w:szCs w:val="24"/>
          <w:lang w:val="en-US"/>
        </w:rPr>
        <w:t>[</w:t>
      </w:r>
      <w:r w:rsidR="00DC30F4">
        <w:rPr>
          <w:rFonts w:ascii="Arial" w:hAnsi="Arial" w:cs="Arial"/>
          <w:sz w:val="24"/>
          <w:szCs w:val="24"/>
          <w:lang w:val="en-US"/>
        </w:rPr>
        <w:t>1</w:t>
      </w:r>
      <w:r w:rsidR="00803BD7">
        <w:rPr>
          <w:rFonts w:ascii="Arial" w:hAnsi="Arial" w:cs="Arial"/>
          <w:sz w:val="24"/>
          <w:szCs w:val="24"/>
          <w:lang w:val="en-US"/>
        </w:rPr>
        <w:t>7</w:t>
      </w:r>
      <w:r>
        <w:rPr>
          <w:rFonts w:ascii="Arial" w:hAnsi="Arial" w:cs="Arial"/>
          <w:sz w:val="24"/>
          <w:szCs w:val="24"/>
          <w:lang w:val="en-US"/>
        </w:rPr>
        <w:t>]</w:t>
      </w:r>
      <w:r w:rsidR="006C18C1">
        <w:rPr>
          <w:rFonts w:ascii="Arial" w:hAnsi="Arial" w:cs="Arial"/>
          <w:sz w:val="24"/>
          <w:szCs w:val="24"/>
          <w:lang w:val="en-US"/>
        </w:rPr>
        <w:tab/>
      </w:r>
      <w:r>
        <w:rPr>
          <w:rFonts w:ascii="Arial" w:hAnsi="Arial" w:cs="Arial"/>
          <w:sz w:val="24"/>
          <w:szCs w:val="24"/>
          <w:lang w:val="en-US"/>
        </w:rPr>
        <w:t>Rule 10</w:t>
      </w:r>
      <w:r w:rsidR="00D341FB">
        <w:rPr>
          <w:rFonts w:ascii="Arial" w:hAnsi="Arial" w:cs="Arial"/>
          <w:sz w:val="24"/>
          <w:szCs w:val="24"/>
          <w:lang w:val="en-US"/>
        </w:rPr>
        <w:t xml:space="preserve"> </w:t>
      </w:r>
      <w:r w:rsidR="006C18C1">
        <w:rPr>
          <w:rFonts w:ascii="Arial" w:hAnsi="Arial" w:cs="Arial"/>
          <w:sz w:val="24"/>
          <w:szCs w:val="24"/>
          <w:lang w:val="en-US"/>
        </w:rPr>
        <w:t xml:space="preserve">provides that when a taxpayer </w:t>
      </w:r>
      <w:r w:rsidR="00B84981">
        <w:rPr>
          <w:rFonts w:ascii="Arial" w:hAnsi="Arial" w:cs="Arial"/>
          <w:sz w:val="24"/>
          <w:szCs w:val="24"/>
          <w:lang w:val="en-US"/>
        </w:rPr>
        <w:t>wishes to appeal against an assessment, they must deliver a notice of appeal in the prescribed manner, within 30 days of receipt of SARS’s notice of disallowance of the objection.</w:t>
      </w:r>
      <w:r w:rsidR="00B84981">
        <w:rPr>
          <w:rStyle w:val="FootnoteReference"/>
          <w:rFonts w:ascii="Arial" w:hAnsi="Arial" w:cs="Arial"/>
          <w:sz w:val="24"/>
          <w:szCs w:val="24"/>
          <w:lang w:val="en-US"/>
        </w:rPr>
        <w:footnoteReference w:id="8"/>
      </w:r>
      <w:r w:rsidR="00B84981">
        <w:rPr>
          <w:rFonts w:ascii="Arial" w:hAnsi="Arial" w:cs="Arial"/>
          <w:sz w:val="24"/>
          <w:szCs w:val="24"/>
          <w:lang w:val="en-US"/>
        </w:rPr>
        <w:t xml:space="preserve"> In terms of rule 10(2)</w:t>
      </w:r>
      <w:r w:rsidR="00B84981">
        <w:rPr>
          <w:rFonts w:ascii="Arial" w:hAnsi="Arial" w:cs="Arial"/>
          <w:i/>
          <w:iCs/>
          <w:sz w:val="24"/>
          <w:szCs w:val="24"/>
          <w:lang w:val="en-US"/>
        </w:rPr>
        <w:t>(a)</w:t>
      </w:r>
      <w:r w:rsidR="00B84981">
        <w:rPr>
          <w:rFonts w:ascii="Arial" w:hAnsi="Arial" w:cs="Arial"/>
          <w:sz w:val="24"/>
          <w:szCs w:val="24"/>
          <w:lang w:val="en-US"/>
        </w:rPr>
        <w:t>, a notice of appeal must be ‘made in the prescribed form’ and, in terms of rule 10(2)</w:t>
      </w:r>
      <w:r w:rsidR="00CE1299">
        <w:rPr>
          <w:rFonts w:ascii="Arial" w:hAnsi="Arial" w:cs="Arial"/>
          <w:i/>
          <w:iCs/>
          <w:sz w:val="24"/>
          <w:szCs w:val="24"/>
          <w:lang w:val="en-US"/>
        </w:rPr>
        <w:t>(c)</w:t>
      </w:r>
      <w:r w:rsidR="00CE1299">
        <w:rPr>
          <w:rFonts w:ascii="Arial" w:hAnsi="Arial" w:cs="Arial"/>
          <w:sz w:val="24"/>
          <w:szCs w:val="24"/>
          <w:lang w:val="en-US"/>
        </w:rPr>
        <w:t>, it must:</w:t>
      </w:r>
    </w:p>
    <w:p w14:paraId="38D46131" w14:textId="77777777" w:rsidR="00CE1299" w:rsidRDefault="00CE1299" w:rsidP="00BD73E7">
      <w:pPr>
        <w:spacing w:after="0" w:line="360" w:lineRule="auto"/>
        <w:jc w:val="both"/>
        <w:rPr>
          <w:rFonts w:ascii="Arial" w:hAnsi="Arial" w:cs="Arial"/>
          <w:lang w:val="en-US"/>
        </w:rPr>
      </w:pPr>
      <w:r>
        <w:rPr>
          <w:rFonts w:ascii="Arial" w:hAnsi="Arial" w:cs="Arial"/>
          <w:lang w:val="en-US"/>
        </w:rPr>
        <w:t>‘specify in detail –</w:t>
      </w:r>
    </w:p>
    <w:p w14:paraId="5DDBE637" w14:textId="34864DE5" w:rsidR="00D341FB" w:rsidRPr="00D341FB" w:rsidRDefault="00D341FB" w:rsidP="00D341FB">
      <w:pPr>
        <w:spacing w:after="0" w:line="360" w:lineRule="auto"/>
        <w:ind w:left="720" w:hanging="720"/>
        <w:jc w:val="both"/>
        <w:rPr>
          <w:rFonts w:ascii="Arial" w:hAnsi="Arial" w:cs="Arial"/>
          <w:lang w:val="en-US"/>
        </w:rPr>
      </w:pPr>
      <w:r w:rsidRPr="00D341FB">
        <w:rPr>
          <w:rFonts w:ascii="Arial" w:hAnsi="Arial" w:cs="Arial"/>
          <w:lang w:val="en-US"/>
        </w:rPr>
        <w:t>(i)</w:t>
      </w:r>
      <w:r w:rsidRPr="00D341FB">
        <w:rPr>
          <w:rFonts w:ascii="Arial" w:hAnsi="Arial" w:cs="Arial"/>
          <w:lang w:val="en-US"/>
        </w:rPr>
        <w:tab/>
        <w:t>in respect of which grounds of the objection referred to in rule 7 the taxpayer is appealing;</w:t>
      </w:r>
    </w:p>
    <w:p w14:paraId="581BBACC" w14:textId="64F774C1" w:rsidR="00D341FB" w:rsidRPr="00D341FB" w:rsidRDefault="00D341FB" w:rsidP="00D341FB">
      <w:pPr>
        <w:spacing w:after="0" w:line="360" w:lineRule="auto"/>
        <w:ind w:left="720" w:hanging="720"/>
        <w:jc w:val="both"/>
        <w:rPr>
          <w:rFonts w:ascii="Arial" w:hAnsi="Arial" w:cs="Arial"/>
          <w:lang w:val="en-US"/>
        </w:rPr>
      </w:pPr>
      <w:r w:rsidRPr="00D341FB">
        <w:rPr>
          <w:rFonts w:ascii="Arial" w:hAnsi="Arial" w:cs="Arial"/>
          <w:lang w:val="en-US"/>
        </w:rPr>
        <w:t>(ii)</w:t>
      </w:r>
      <w:r w:rsidRPr="00D341FB">
        <w:rPr>
          <w:rFonts w:ascii="Arial" w:hAnsi="Arial" w:cs="Arial"/>
          <w:lang w:val="en-US"/>
        </w:rPr>
        <w:tab/>
        <w:t>the grounds for disputing the basis of the decision to disallow the objection referred to in section 106(5); and</w:t>
      </w:r>
    </w:p>
    <w:p w14:paraId="3ADA16C0" w14:textId="2A205F90" w:rsidR="00D341FB" w:rsidRPr="00D341FB" w:rsidRDefault="00D341FB" w:rsidP="00D341FB">
      <w:pPr>
        <w:spacing w:after="0" w:line="360" w:lineRule="auto"/>
        <w:jc w:val="both"/>
        <w:rPr>
          <w:rFonts w:ascii="Arial" w:hAnsi="Arial" w:cs="Arial"/>
          <w:lang w:val="en-US"/>
        </w:rPr>
      </w:pPr>
      <w:r w:rsidRPr="00D341FB">
        <w:rPr>
          <w:rFonts w:ascii="Arial" w:hAnsi="Arial" w:cs="Arial"/>
          <w:lang w:val="en-US"/>
        </w:rPr>
        <w:t>(iii)</w:t>
      </w:r>
      <w:r w:rsidRPr="00D341FB">
        <w:rPr>
          <w:rFonts w:ascii="Arial" w:hAnsi="Arial" w:cs="Arial"/>
          <w:lang w:val="en-US"/>
        </w:rPr>
        <w:tab/>
        <w:t>any new ground on which the taxpayer is appealing.’</w:t>
      </w:r>
    </w:p>
    <w:p w14:paraId="4B0105BD" w14:textId="77777777" w:rsidR="00803BD7" w:rsidRDefault="00803BD7" w:rsidP="00D341FB">
      <w:pPr>
        <w:spacing w:after="0" w:line="360" w:lineRule="auto"/>
        <w:jc w:val="both"/>
        <w:rPr>
          <w:rFonts w:ascii="Arial" w:hAnsi="Arial" w:cs="Arial"/>
          <w:sz w:val="24"/>
          <w:szCs w:val="24"/>
          <w:lang w:val="en-US"/>
        </w:rPr>
      </w:pPr>
    </w:p>
    <w:p w14:paraId="4CEF2FED" w14:textId="55D58537" w:rsidR="00FE7F54" w:rsidRPr="00CE1299" w:rsidRDefault="00803BD7" w:rsidP="00D341FB">
      <w:pPr>
        <w:spacing w:after="0" w:line="360" w:lineRule="auto"/>
        <w:jc w:val="both"/>
        <w:rPr>
          <w:rFonts w:ascii="Arial" w:hAnsi="Arial" w:cs="Arial"/>
          <w:lang w:val="en-US"/>
        </w:rPr>
      </w:pPr>
      <w:r>
        <w:rPr>
          <w:rFonts w:ascii="Arial" w:hAnsi="Arial" w:cs="Arial"/>
          <w:sz w:val="24"/>
          <w:szCs w:val="24"/>
          <w:lang w:val="en-US"/>
        </w:rPr>
        <w:t>[18]</w:t>
      </w:r>
      <w:r>
        <w:rPr>
          <w:rFonts w:ascii="Arial" w:hAnsi="Arial" w:cs="Arial"/>
          <w:sz w:val="24"/>
          <w:szCs w:val="24"/>
          <w:lang w:val="en-US"/>
        </w:rPr>
        <w:tab/>
      </w:r>
      <w:r w:rsidR="00D341FB">
        <w:rPr>
          <w:rFonts w:ascii="Arial" w:hAnsi="Arial" w:cs="Arial"/>
          <w:sz w:val="24"/>
          <w:szCs w:val="24"/>
          <w:lang w:val="en-US"/>
        </w:rPr>
        <w:t>In terms of rule 10(3), a ta</w:t>
      </w:r>
      <w:r w:rsidR="00D341FB" w:rsidRPr="00D341FB">
        <w:rPr>
          <w:rFonts w:ascii="Arial" w:hAnsi="Arial" w:cs="Arial"/>
          <w:sz w:val="24"/>
          <w:szCs w:val="24"/>
          <w:lang w:val="en-US"/>
        </w:rPr>
        <w:t xml:space="preserve">xpayer may not appeal </w:t>
      </w:r>
      <w:r w:rsidR="00D341FB">
        <w:rPr>
          <w:rFonts w:ascii="Arial" w:hAnsi="Arial" w:cs="Arial"/>
          <w:sz w:val="24"/>
          <w:szCs w:val="24"/>
          <w:lang w:val="en-US"/>
        </w:rPr>
        <w:t>‘</w:t>
      </w:r>
      <w:r w:rsidR="00D341FB" w:rsidRPr="00D341FB">
        <w:rPr>
          <w:rFonts w:ascii="Arial" w:hAnsi="Arial" w:cs="Arial"/>
          <w:sz w:val="24"/>
          <w:szCs w:val="24"/>
          <w:lang w:val="en-US"/>
        </w:rPr>
        <w:t>on a ground that constitutes a new objection against a part or amount of the disputed assessment not objected to under rule 7</w:t>
      </w:r>
      <w:r w:rsidR="00D341FB">
        <w:rPr>
          <w:rFonts w:ascii="Arial" w:hAnsi="Arial" w:cs="Arial"/>
          <w:sz w:val="24"/>
          <w:szCs w:val="24"/>
          <w:lang w:val="en-US"/>
        </w:rPr>
        <w:t>’</w:t>
      </w:r>
      <w:r w:rsidR="00D341FB" w:rsidRPr="00D341FB">
        <w:rPr>
          <w:rFonts w:ascii="Arial" w:hAnsi="Arial" w:cs="Arial"/>
          <w:sz w:val="24"/>
          <w:szCs w:val="24"/>
          <w:lang w:val="en-US"/>
        </w:rPr>
        <w:t>.</w:t>
      </w:r>
      <w:r w:rsidR="00D341FB">
        <w:rPr>
          <w:rFonts w:ascii="Arial" w:hAnsi="Arial" w:cs="Arial"/>
          <w:sz w:val="24"/>
          <w:szCs w:val="24"/>
          <w:lang w:val="en-US"/>
        </w:rPr>
        <w:t xml:space="preserve"> If they do so, however, SARS may, in terms of rule 10(4), </w:t>
      </w:r>
      <w:r w:rsidR="00D341FB" w:rsidRPr="00D341FB">
        <w:rPr>
          <w:rFonts w:ascii="Arial" w:hAnsi="Arial" w:cs="Arial"/>
          <w:sz w:val="24"/>
          <w:szCs w:val="24"/>
          <w:lang w:val="en-US"/>
        </w:rPr>
        <w:t>require t</w:t>
      </w:r>
      <w:r w:rsidR="00D341FB">
        <w:rPr>
          <w:rFonts w:ascii="Arial" w:hAnsi="Arial" w:cs="Arial"/>
          <w:sz w:val="24"/>
          <w:szCs w:val="24"/>
          <w:lang w:val="en-US"/>
        </w:rPr>
        <w:t>h</w:t>
      </w:r>
      <w:r w:rsidR="00D341FB" w:rsidRPr="00D341FB">
        <w:rPr>
          <w:rFonts w:ascii="Arial" w:hAnsi="Arial" w:cs="Arial"/>
          <w:sz w:val="24"/>
          <w:szCs w:val="24"/>
          <w:lang w:val="en-US"/>
        </w:rPr>
        <w:t>e</w:t>
      </w:r>
      <w:r w:rsidR="00D341FB">
        <w:rPr>
          <w:rFonts w:ascii="Arial" w:hAnsi="Arial" w:cs="Arial"/>
          <w:sz w:val="24"/>
          <w:szCs w:val="24"/>
          <w:lang w:val="en-US"/>
        </w:rPr>
        <w:t>m</w:t>
      </w:r>
      <w:r w:rsidR="00D341FB" w:rsidRPr="00D341FB">
        <w:rPr>
          <w:rFonts w:ascii="Arial" w:hAnsi="Arial" w:cs="Arial"/>
          <w:sz w:val="24"/>
          <w:szCs w:val="24"/>
          <w:lang w:val="en-US"/>
        </w:rPr>
        <w:t xml:space="preserve"> </w:t>
      </w:r>
      <w:r w:rsidR="00D341FB">
        <w:rPr>
          <w:rFonts w:ascii="Arial" w:hAnsi="Arial" w:cs="Arial"/>
          <w:sz w:val="24"/>
          <w:szCs w:val="24"/>
          <w:lang w:val="en-US"/>
        </w:rPr>
        <w:lastRenderedPageBreak/>
        <w:t>‘</w:t>
      </w:r>
      <w:r w:rsidR="00D341FB" w:rsidRPr="00D341FB">
        <w:rPr>
          <w:rFonts w:ascii="Arial" w:hAnsi="Arial" w:cs="Arial"/>
          <w:sz w:val="24"/>
          <w:szCs w:val="24"/>
          <w:lang w:val="en-US"/>
        </w:rPr>
        <w:t>within 15 days after delivery of the notice of appeal to produce the substantiating documents necessary to decide on the further progress of the appeal</w:t>
      </w:r>
      <w:r w:rsidR="00D341FB">
        <w:rPr>
          <w:rFonts w:ascii="Arial" w:hAnsi="Arial" w:cs="Arial"/>
          <w:sz w:val="24"/>
          <w:szCs w:val="24"/>
          <w:lang w:val="en-US"/>
        </w:rPr>
        <w:t>’</w:t>
      </w:r>
      <w:r w:rsidR="00D341FB" w:rsidRPr="00D341FB">
        <w:rPr>
          <w:rFonts w:ascii="Arial" w:hAnsi="Arial" w:cs="Arial"/>
          <w:sz w:val="24"/>
          <w:szCs w:val="24"/>
          <w:lang w:val="en-US"/>
        </w:rPr>
        <w:t>.</w:t>
      </w:r>
    </w:p>
    <w:p w14:paraId="40962771" w14:textId="5B73E700" w:rsidR="00FE7F54" w:rsidRDefault="00FE7F54" w:rsidP="00BD73E7">
      <w:pPr>
        <w:spacing w:after="0" w:line="360" w:lineRule="auto"/>
        <w:jc w:val="both"/>
        <w:rPr>
          <w:rFonts w:ascii="Arial" w:hAnsi="Arial" w:cs="Arial"/>
          <w:sz w:val="24"/>
          <w:szCs w:val="24"/>
          <w:lang w:val="en-US"/>
        </w:rPr>
      </w:pPr>
    </w:p>
    <w:p w14:paraId="0032E0E3" w14:textId="54C2ECAF" w:rsidR="00B85F5C" w:rsidRDefault="00133ADF" w:rsidP="00BD73E7">
      <w:pPr>
        <w:spacing w:after="0" w:line="360" w:lineRule="auto"/>
        <w:jc w:val="both"/>
        <w:rPr>
          <w:rFonts w:ascii="Arial" w:hAnsi="Arial" w:cs="Arial"/>
          <w:sz w:val="24"/>
          <w:szCs w:val="24"/>
          <w:lang w:val="en-US"/>
        </w:rPr>
      </w:pPr>
      <w:r>
        <w:rPr>
          <w:rFonts w:ascii="Arial" w:hAnsi="Arial" w:cs="Arial"/>
          <w:sz w:val="24"/>
          <w:szCs w:val="24"/>
          <w:lang w:val="en-US"/>
        </w:rPr>
        <w:t>[</w:t>
      </w:r>
      <w:r w:rsidR="00DC30F4">
        <w:rPr>
          <w:rFonts w:ascii="Arial" w:hAnsi="Arial" w:cs="Arial"/>
          <w:sz w:val="24"/>
          <w:szCs w:val="24"/>
          <w:lang w:val="en-US"/>
        </w:rPr>
        <w:t>1</w:t>
      </w:r>
      <w:r w:rsidR="00803BD7">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t>Section 116 empowers the President to establish by proclamation ‘a tax court or additional tax courts’. A tax court has, in terms of s 117</w:t>
      </w:r>
      <w:r w:rsidR="00B85F5C">
        <w:rPr>
          <w:rFonts w:ascii="Arial" w:hAnsi="Arial" w:cs="Arial"/>
          <w:sz w:val="24"/>
          <w:szCs w:val="24"/>
          <w:lang w:val="en-US"/>
        </w:rPr>
        <w:t>(1), ‘jurisdiction over tax appeals lodged under section 107’ as well as, in terms of s 117(3), in respect of interlocutory applications or procedural matters ‘relating to a dispute under this Chapter as provided for in the “rules”’.</w:t>
      </w:r>
      <w:r w:rsidR="00BF5062">
        <w:rPr>
          <w:rFonts w:ascii="Arial" w:hAnsi="Arial" w:cs="Arial"/>
          <w:sz w:val="24"/>
          <w:szCs w:val="24"/>
          <w:lang w:val="en-US"/>
        </w:rPr>
        <w:t xml:space="preserve"> </w:t>
      </w:r>
    </w:p>
    <w:p w14:paraId="245E4053" w14:textId="77777777" w:rsidR="001E6D41" w:rsidRDefault="001E6D41" w:rsidP="00BD73E7">
      <w:pPr>
        <w:spacing w:after="0" w:line="360" w:lineRule="auto"/>
        <w:jc w:val="both"/>
        <w:rPr>
          <w:rFonts w:ascii="Arial" w:hAnsi="Arial" w:cs="Arial"/>
          <w:sz w:val="24"/>
          <w:szCs w:val="24"/>
          <w:lang w:val="en-US"/>
        </w:rPr>
      </w:pPr>
    </w:p>
    <w:p w14:paraId="3AEA073B" w14:textId="0151681F" w:rsidR="00B85F5C" w:rsidRDefault="00B85F5C" w:rsidP="00BD73E7">
      <w:pPr>
        <w:spacing w:after="0" w:line="360" w:lineRule="auto"/>
        <w:jc w:val="both"/>
        <w:rPr>
          <w:rFonts w:ascii="Arial" w:hAnsi="Arial" w:cs="Arial"/>
          <w:sz w:val="24"/>
          <w:szCs w:val="24"/>
          <w:lang w:val="en-US"/>
        </w:rPr>
      </w:pPr>
      <w:r>
        <w:rPr>
          <w:rFonts w:ascii="Arial" w:hAnsi="Arial" w:cs="Arial"/>
          <w:sz w:val="24"/>
          <w:szCs w:val="24"/>
          <w:lang w:val="en-US"/>
        </w:rPr>
        <w:t>[</w:t>
      </w:r>
      <w:r w:rsidR="00803BD7">
        <w:rPr>
          <w:rFonts w:ascii="Arial" w:hAnsi="Arial" w:cs="Arial"/>
          <w:sz w:val="24"/>
          <w:szCs w:val="24"/>
          <w:lang w:val="en-US"/>
        </w:rPr>
        <w:t>20</w:t>
      </w:r>
      <w:r>
        <w:rPr>
          <w:rFonts w:ascii="Arial" w:hAnsi="Arial" w:cs="Arial"/>
          <w:sz w:val="24"/>
          <w:szCs w:val="24"/>
          <w:lang w:val="en-US"/>
        </w:rPr>
        <w:t>]</w:t>
      </w:r>
      <w:r>
        <w:rPr>
          <w:rFonts w:ascii="Arial" w:hAnsi="Arial" w:cs="Arial"/>
          <w:sz w:val="24"/>
          <w:szCs w:val="24"/>
          <w:lang w:val="en-US"/>
        </w:rPr>
        <w:tab/>
        <w:t>Section 129 deals with th</w:t>
      </w:r>
      <w:r w:rsidR="00BF5062">
        <w:rPr>
          <w:rFonts w:ascii="Arial" w:hAnsi="Arial" w:cs="Arial"/>
          <w:sz w:val="24"/>
          <w:szCs w:val="24"/>
          <w:lang w:val="en-US"/>
        </w:rPr>
        <w:t>e</w:t>
      </w:r>
      <w:r>
        <w:rPr>
          <w:rFonts w:ascii="Arial" w:hAnsi="Arial" w:cs="Arial"/>
          <w:sz w:val="24"/>
          <w:szCs w:val="24"/>
          <w:lang w:val="en-US"/>
        </w:rPr>
        <w:t xml:space="preserve"> decisions that a tax court may make. It provides, in the first two sub-sections:</w:t>
      </w:r>
    </w:p>
    <w:p w14:paraId="426711BC" w14:textId="378C401A" w:rsidR="00873B15" w:rsidRPr="00873B15" w:rsidRDefault="00B85F5C" w:rsidP="00873B15">
      <w:pPr>
        <w:spacing w:after="0" w:line="360" w:lineRule="auto"/>
        <w:jc w:val="both"/>
        <w:rPr>
          <w:rFonts w:ascii="Arial" w:hAnsi="Arial" w:cs="Arial"/>
          <w:lang w:val="en-US"/>
        </w:rPr>
      </w:pPr>
      <w:r>
        <w:rPr>
          <w:rFonts w:ascii="Arial" w:hAnsi="Arial" w:cs="Arial"/>
          <w:lang w:val="en-US"/>
        </w:rPr>
        <w:t>‘</w:t>
      </w:r>
      <w:r w:rsidR="00873B15" w:rsidRPr="00873B15">
        <w:rPr>
          <w:rFonts w:ascii="Arial" w:hAnsi="Arial" w:cs="Arial"/>
          <w:lang w:val="en-US"/>
        </w:rPr>
        <w:t xml:space="preserve">(1) The tax court, after hearing the </w:t>
      </w:r>
      <w:r w:rsidR="002101C5">
        <w:rPr>
          <w:rFonts w:ascii="Arial" w:hAnsi="Arial" w:cs="Arial"/>
          <w:lang w:val="en-US"/>
        </w:rPr>
        <w:t>“</w:t>
      </w:r>
      <w:r w:rsidR="00873B15" w:rsidRPr="00873B15">
        <w:rPr>
          <w:rFonts w:ascii="Arial" w:hAnsi="Arial" w:cs="Arial"/>
          <w:lang w:val="en-US"/>
        </w:rPr>
        <w:t>appellant's</w:t>
      </w:r>
      <w:r w:rsidR="002101C5">
        <w:rPr>
          <w:rFonts w:ascii="Arial" w:hAnsi="Arial" w:cs="Arial"/>
          <w:lang w:val="en-US"/>
        </w:rPr>
        <w:t>”</w:t>
      </w:r>
      <w:r w:rsidR="00873B15" w:rsidRPr="00873B15">
        <w:rPr>
          <w:rFonts w:ascii="Arial" w:hAnsi="Arial" w:cs="Arial"/>
          <w:lang w:val="en-US"/>
        </w:rPr>
        <w:t xml:space="preserve"> appeal lodged under section 107 against an assessment or </w:t>
      </w:r>
      <w:r w:rsidR="002101C5">
        <w:rPr>
          <w:rFonts w:ascii="Arial" w:hAnsi="Arial" w:cs="Arial"/>
          <w:lang w:val="en-US"/>
        </w:rPr>
        <w:t>“</w:t>
      </w:r>
      <w:r w:rsidR="00873B15" w:rsidRPr="00873B15">
        <w:rPr>
          <w:rFonts w:ascii="Arial" w:hAnsi="Arial" w:cs="Arial"/>
          <w:lang w:val="en-US"/>
        </w:rPr>
        <w:t>decision</w:t>
      </w:r>
      <w:r w:rsidR="002101C5">
        <w:rPr>
          <w:rFonts w:ascii="Arial" w:hAnsi="Arial" w:cs="Arial"/>
          <w:lang w:val="en-US"/>
        </w:rPr>
        <w:t>”</w:t>
      </w:r>
      <w:r w:rsidR="00873B15" w:rsidRPr="00873B15">
        <w:rPr>
          <w:rFonts w:ascii="Arial" w:hAnsi="Arial" w:cs="Arial"/>
          <w:lang w:val="en-US"/>
        </w:rPr>
        <w:t>, must decide the matter on the basis that the burden of proof as described in section 102 is upon the taxpayer.</w:t>
      </w:r>
    </w:p>
    <w:p w14:paraId="0720407A" w14:textId="397BFF1D" w:rsidR="00873B15" w:rsidRPr="00873B15" w:rsidRDefault="00873B15" w:rsidP="00873B15">
      <w:pPr>
        <w:spacing w:after="0" w:line="360" w:lineRule="auto"/>
        <w:jc w:val="both"/>
        <w:rPr>
          <w:rFonts w:ascii="Arial" w:hAnsi="Arial" w:cs="Arial"/>
          <w:lang w:val="en-US"/>
        </w:rPr>
      </w:pPr>
      <w:r w:rsidRPr="00873B15">
        <w:rPr>
          <w:rFonts w:ascii="Arial" w:hAnsi="Arial" w:cs="Arial"/>
          <w:lang w:val="en-US"/>
        </w:rPr>
        <w:t xml:space="preserve">(2) In the case of an assessment or </w:t>
      </w:r>
      <w:r w:rsidR="002101C5">
        <w:rPr>
          <w:rFonts w:ascii="Arial" w:hAnsi="Arial" w:cs="Arial"/>
          <w:lang w:val="en-US"/>
        </w:rPr>
        <w:t>“</w:t>
      </w:r>
      <w:r w:rsidRPr="00873B15">
        <w:rPr>
          <w:rFonts w:ascii="Arial" w:hAnsi="Arial" w:cs="Arial"/>
          <w:lang w:val="en-US"/>
        </w:rPr>
        <w:t>decision</w:t>
      </w:r>
      <w:r w:rsidR="002101C5">
        <w:rPr>
          <w:rFonts w:ascii="Arial" w:hAnsi="Arial" w:cs="Arial"/>
          <w:lang w:val="en-US"/>
        </w:rPr>
        <w:t>”</w:t>
      </w:r>
      <w:r w:rsidRPr="00873B15">
        <w:rPr>
          <w:rFonts w:ascii="Arial" w:hAnsi="Arial" w:cs="Arial"/>
          <w:lang w:val="en-US"/>
        </w:rPr>
        <w:t xml:space="preserve"> under appeal or an application in a procedural matter referred to in section 117(3), the tax court may-</w:t>
      </w:r>
    </w:p>
    <w:p w14:paraId="7B56405D" w14:textId="44E8EB8E" w:rsidR="00873B15" w:rsidRPr="00873B15" w:rsidRDefault="00873B15" w:rsidP="00873B15">
      <w:pPr>
        <w:spacing w:after="0" w:line="360" w:lineRule="auto"/>
        <w:jc w:val="both"/>
        <w:rPr>
          <w:rFonts w:ascii="Arial" w:hAnsi="Arial" w:cs="Arial"/>
          <w:lang w:val="en-US"/>
        </w:rPr>
      </w:pPr>
      <w:r w:rsidRPr="00873B15">
        <w:rPr>
          <w:rFonts w:ascii="Arial" w:hAnsi="Arial" w:cs="Arial"/>
          <w:lang w:val="en-US"/>
        </w:rPr>
        <w:tab/>
        <w:t>(a)</w:t>
      </w:r>
      <w:r w:rsidRPr="00873B15">
        <w:rPr>
          <w:rFonts w:ascii="Arial" w:hAnsi="Arial" w:cs="Arial"/>
          <w:lang w:val="en-US"/>
        </w:rPr>
        <w:tab/>
        <w:t xml:space="preserve">confirm the assessment or </w:t>
      </w:r>
      <w:r w:rsidR="002101C5">
        <w:rPr>
          <w:rFonts w:ascii="Arial" w:hAnsi="Arial" w:cs="Arial"/>
          <w:lang w:val="en-US"/>
        </w:rPr>
        <w:t>“</w:t>
      </w:r>
      <w:r w:rsidRPr="00873B15">
        <w:rPr>
          <w:rFonts w:ascii="Arial" w:hAnsi="Arial" w:cs="Arial"/>
          <w:lang w:val="en-US"/>
        </w:rPr>
        <w:t>decision</w:t>
      </w:r>
      <w:r w:rsidR="002101C5">
        <w:rPr>
          <w:rFonts w:ascii="Arial" w:hAnsi="Arial" w:cs="Arial"/>
          <w:lang w:val="en-US"/>
        </w:rPr>
        <w:t>”</w:t>
      </w:r>
      <w:r w:rsidRPr="00873B15">
        <w:rPr>
          <w:rFonts w:ascii="Arial" w:hAnsi="Arial" w:cs="Arial"/>
          <w:lang w:val="en-US"/>
        </w:rPr>
        <w:t>;</w:t>
      </w:r>
    </w:p>
    <w:p w14:paraId="36F02AE5" w14:textId="21AF01F6" w:rsidR="00873B15" w:rsidRPr="00873B15" w:rsidRDefault="00873B15" w:rsidP="00873B15">
      <w:pPr>
        <w:spacing w:after="0" w:line="360" w:lineRule="auto"/>
        <w:jc w:val="both"/>
        <w:rPr>
          <w:rFonts w:ascii="Arial" w:hAnsi="Arial" w:cs="Arial"/>
          <w:lang w:val="en-US"/>
        </w:rPr>
      </w:pPr>
      <w:r w:rsidRPr="00873B15">
        <w:rPr>
          <w:rFonts w:ascii="Arial" w:hAnsi="Arial" w:cs="Arial"/>
          <w:lang w:val="en-US"/>
        </w:rPr>
        <w:tab/>
        <w:t>(b)</w:t>
      </w:r>
      <w:r w:rsidRPr="00873B15">
        <w:rPr>
          <w:rFonts w:ascii="Arial" w:hAnsi="Arial" w:cs="Arial"/>
          <w:lang w:val="en-US"/>
        </w:rPr>
        <w:tab/>
        <w:t xml:space="preserve">order the assessment or </w:t>
      </w:r>
      <w:r w:rsidR="002101C5">
        <w:rPr>
          <w:rFonts w:ascii="Arial" w:hAnsi="Arial" w:cs="Arial"/>
          <w:lang w:val="en-US"/>
        </w:rPr>
        <w:t>“</w:t>
      </w:r>
      <w:r w:rsidRPr="00873B15">
        <w:rPr>
          <w:rFonts w:ascii="Arial" w:hAnsi="Arial" w:cs="Arial"/>
          <w:lang w:val="en-US"/>
        </w:rPr>
        <w:t>decision</w:t>
      </w:r>
      <w:r w:rsidR="002101C5">
        <w:rPr>
          <w:rFonts w:ascii="Arial" w:hAnsi="Arial" w:cs="Arial"/>
          <w:lang w:val="en-US"/>
        </w:rPr>
        <w:t>”</w:t>
      </w:r>
      <w:r w:rsidRPr="00873B15">
        <w:rPr>
          <w:rFonts w:ascii="Arial" w:hAnsi="Arial" w:cs="Arial"/>
          <w:lang w:val="en-US"/>
        </w:rPr>
        <w:t xml:space="preserve"> to be altered;</w:t>
      </w:r>
    </w:p>
    <w:p w14:paraId="36AA5774" w14:textId="762448A9" w:rsidR="00873B15" w:rsidRPr="00873B15" w:rsidRDefault="00873B15" w:rsidP="00873B15">
      <w:pPr>
        <w:spacing w:after="0" w:line="360" w:lineRule="auto"/>
        <w:ind w:left="1440" w:hanging="720"/>
        <w:jc w:val="both"/>
        <w:rPr>
          <w:rFonts w:ascii="Arial" w:hAnsi="Arial" w:cs="Arial"/>
          <w:lang w:val="en-US"/>
        </w:rPr>
      </w:pPr>
      <w:r w:rsidRPr="00873B15">
        <w:rPr>
          <w:rFonts w:ascii="Arial" w:hAnsi="Arial" w:cs="Arial"/>
          <w:lang w:val="en-US"/>
        </w:rPr>
        <w:t>(c)</w:t>
      </w:r>
      <w:r w:rsidRPr="00873B15">
        <w:rPr>
          <w:rFonts w:ascii="Arial" w:hAnsi="Arial" w:cs="Arial"/>
          <w:lang w:val="en-US"/>
        </w:rPr>
        <w:tab/>
        <w:t>refer the assessment back to SARS for further examination and assessment; or</w:t>
      </w:r>
    </w:p>
    <w:p w14:paraId="1F2D599F" w14:textId="43633FF5" w:rsidR="00B85F5C" w:rsidRPr="00873B15" w:rsidRDefault="00873B15" w:rsidP="00873B15">
      <w:pPr>
        <w:spacing w:after="0" w:line="360" w:lineRule="auto"/>
        <w:jc w:val="both"/>
        <w:rPr>
          <w:rFonts w:ascii="Arial" w:hAnsi="Arial" w:cs="Arial"/>
          <w:sz w:val="24"/>
          <w:szCs w:val="24"/>
          <w:lang w:val="en-US"/>
        </w:rPr>
      </w:pPr>
      <w:r w:rsidRPr="00873B15">
        <w:rPr>
          <w:rFonts w:ascii="Arial" w:hAnsi="Arial" w:cs="Arial"/>
          <w:lang w:val="en-US"/>
        </w:rPr>
        <w:tab/>
        <w:t>(d)</w:t>
      </w:r>
      <w:r w:rsidRPr="00873B15">
        <w:rPr>
          <w:rFonts w:ascii="Arial" w:hAnsi="Arial" w:cs="Arial"/>
          <w:lang w:val="en-US"/>
        </w:rPr>
        <w:tab/>
        <w:t>make an appropriate order in a procedural matter.</w:t>
      </w:r>
      <w:r>
        <w:rPr>
          <w:rFonts w:ascii="Arial" w:hAnsi="Arial" w:cs="Arial"/>
          <w:lang w:val="en-US"/>
        </w:rPr>
        <w:t>’</w:t>
      </w:r>
    </w:p>
    <w:p w14:paraId="414D0F78" w14:textId="2C8B447B" w:rsidR="00B85F5C" w:rsidRDefault="00B85F5C" w:rsidP="00BD73E7">
      <w:pPr>
        <w:spacing w:after="0" w:line="360" w:lineRule="auto"/>
        <w:jc w:val="both"/>
        <w:rPr>
          <w:rFonts w:ascii="Arial" w:hAnsi="Arial" w:cs="Arial"/>
          <w:sz w:val="24"/>
          <w:szCs w:val="24"/>
          <w:lang w:val="en-US"/>
        </w:rPr>
      </w:pPr>
    </w:p>
    <w:p w14:paraId="7C11253E" w14:textId="67AC47F2" w:rsidR="00C9156A" w:rsidRDefault="007A699E" w:rsidP="00BD73E7">
      <w:pPr>
        <w:spacing w:after="0" w:line="360" w:lineRule="auto"/>
        <w:jc w:val="both"/>
        <w:rPr>
          <w:rFonts w:ascii="Arial" w:hAnsi="Arial" w:cs="Arial"/>
          <w:sz w:val="24"/>
          <w:szCs w:val="24"/>
          <w:lang w:val="en-US"/>
        </w:rPr>
      </w:pPr>
      <w:r>
        <w:rPr>
          <w:rFonts w:ascii="Arial" w:hAnsi="Arial" w:cs="Arial"/>
          <w:sz w:val="24"/>
          <w:szCs w:val="24"/>
          <w:lang w:val="en-US"/>
        </w:rPr>
        <w:t>[</w:t>
      </w:r>
      <w:r w:rsidR="00FB554C">
        <w:rPr>
          <w:rFonts w:ascii="Arial" w:hAnsi="Arial" w:cs="Arial"/>
          <w:sz w:val="24"/>
          <w:szCs w:val="24"/>
          <w:lang w:val="en-US"/>
        </w:rPr>
        <w:t>2</w:t>
      </w:r>
      <w:r w:rsidR="00DC30F4">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t xml:space="preserve">Part E of the rules deals with the procedure before a tax court. Rule 31(1) requires SARS to deliver ‘a statement of the grounds of assessment and opposing the appeal’, which it must do within 45 days of delivery to it of the taxpayer’s notice of appeal. In terms of rule 30(2), </w:t>
      </w:r>
      <w:r w:rsidR="00C9156A">
        <w:rPr>
          <w:rFonts w:ascii="Arial" w:hAnsi="Arial" w:cs="Arial"/>
          <w:sz w:val="24"/>
          <w:szCs w:val="24"/>
          <w:lang w:val="en-US"/>
        </w:rPr>
        <w:t>that statement ‘must set out a clear and concise statement of’ the following:</w:t>
      </w:r>
    </w:p>
    <w:p w14:paraId="2203FE87" w14:textId="77777777" w:rsidR="007D5938" w:rsidRPr="007D5938" w:rsidRDefault="00C9156A" w:rsidP="007D5938">
      <w:pPr>
        <w:spacing w:after="0" w:line="360" w:lineRule="auto"/>
        <w:jc w:val="both"/>
        <w:rPr>
          <w:rFonts w:ascii="Arial" w:hAnsi="Arial" w:cs="Arial"/>
          <w:lang w:val="en-US"/>
        </w:rPr>
      </w:pPr>
      <w:r>
        <w:rPr>
          <w:rFonts w:ascii="Arial" w:hAnsi="Arial" w:cs="Arial"/>
          <w:lang w:val="en-US"/>
        </w:rPr>
        <w:t>‘</w:t>
      </w:r>
      <w:r w:rsidR="007D5938" w:rsidRPr="007D5938">
        <w:rPr>
          <w:rFonts w:ascii="Arial" w:hAnsi="Arial" w:cs="Arial"/>
          <w:i/>
          <w:iCs/>
          <w:lang w:val="en-US"/>
        </w:rPr>
        <w:t>(a) </w:t>
      </w:r>
      <w:r w:rsidR="007D5938" w:rsidRPr="007D5938">
        <w:rPr>
          <w:rFonts w:ascii="Arial" w:hAnsi="Arial" w:cs="Arial"/>
          <w:lang w:val="en-US"/>
        </w:rPr>
        <w:tab/>
        <w:t>the consolidated grounds of the disputed assessment;</w:t>
      </w:r>
    </w:p>
    <w:p w14:paraId="0E48381E" w14:textId="1BE08327" w:rsidR="007D5938" w:rsidRPr="007D5938" w:rsidRDefault="007D5938" w:rsidP="007D5938">
      <w:pPr>
        <w:spacing w:after="0" w:line="360" w:lineRule="auto"/>
        <w:ind w:left="720" w:hanging="720"/>
        <w:jc w:val="both"/>
        <w:rPr>
          <w:rFonts w:ascii="Arial" w:hAnsi="Arial" w:cs="Arial"/>
          <w:lang w:val="en-US"/>
        </w:rPr>
      </w:pPr>
      <w:r w:rsidRPr="007D5938">
        <w:rPr>
          <w:rFonts w:ascii="Arial" w:hAnsi="Arial" w:cs="Arial"/>
          <w:i/>
          <w:iCs/>
          <w:lang w:val="en-US"/>
        </w:rPr>
        <w:t>(b)</w:t>
      </w:r>
      <w:r w:rsidRPr="007D5938">
        <w:rPr>
          <w:rFonts w:ascii="Arial" w:hAnsi="Arial" w:cs="Arial"/>
          <w:lang w:val="en-US"/>
        </w:rPr>
        <w:t> </w:t>
      </w:r>
      <w:r w:rsidRPr="007D5938">
        <w:rPr>
          <w:rFonts w:ascii="Arial" w:hAnsi="Arial" w:cs="Arial"/>
          <w:lang w:val="en-US"/>
        </w:rPr>
        <w:tab/>
        <w:t>which of the facts or the legal grounds in the notice of appeal under rule 10 are admitted and which of those facts or legal grounds are opposed; and</w:t>
      </w:r>
    </w:p>
    <w:p w14:paraId="039D9DC9" w14:textId="6CE091B3" w:rsidR="007D5938" w:rsidRPr="007D5938" w:rsidRDefault="007D5938" w:rsidP="007D5938">
      <w:pPr>
        <w:spacing w:after="0" w:line="360" w:lineRule="auto"/>
        <w:jc w:val="both"/>
        <w:rPr>
          <w:rFonts w:ascii="Arial" w:hAnsi="Arial" w:cs="Arial"/>
          <w:sz w:val="24"/>
          <w:szCs w:val="24"/>
          <w:lang w:val="en-US"/>
        </w:rPr>
      </w:pPr>
      <w:r w:rsidRPr="007D5938">
        <w:rPr>
          <w:rFonts w:ascii="Arial" w:hAnsi="Arial" w:cs="Arial"/>
          <w:i/>
          <w:iCs/>
          <w:lang w:val="en-US"/>
        </w:rPr>
        <w:t>(c)</w:t>
      </w:r>
      <w:r w:rsidRPr="007D5938">
        <w:rPr>
          <w:rFonts w:ascii="Arial" w:hAnsi="Arial" w:cs="Arial"/>
          <w:lang w:val="en-US"/>
        </w:rPr>
        <w:t> </w:t>
      </w:r>
      <w:r w:rsidRPr="007D5938">
        <w:rPr>
          <w:rFonts w:ascii="Arial" w:hAnsi="Arial" w:cs="Arial"/>
          <w:lang w:val="en-US"/>
        </w:rPr>
        <w:tab/>
        <w:t>the material facts and legal grounds upon which SARS relies in opposing the appeal.</w:t>
      </w:r>
      <w:r>
        <w:rPr>
          <w:rFonts w:ascii="Arial" w:hAnsi="Arial" w:cs="Arial"/>
          <w:lang w:val="en-US"/>
        </w:rPr>
        <w:t>’</w:t>
      </w:r>
    </w:p>
    <w:p w14:paraId="7E42731D" w14:textId="124EFF58" w:rsidR="007D5938" w:rsidRDefault="007D5938" w:rsidP="007D5938">
      <w:pPr>
        <w:spacing w:after="0" w:line="360" w:lineRule="auto"/>
        <w:jc w:val="both"/>
        <w:rPr>
          <w:rFonts w:ascii="Arial" w:hAnsi="Arial" w:cs="Arial"/>
          <w:sz w:val="24"/>
          <w:szCs w:val="24"/>
          <w:lang w:val="en-US"/>
        </w:rPr>
      </w:pPr>
    </w:p>
    <w:p w14:paraId="7BA6A131" w14:textId="060F6389" w:rsidR="007D5938" w:rsidRPr="007D5938" w:rsidRDefault="007D5938" w:rsidP="007D5938">
      <w:pPr>
        <w:spacing w:after="0" w:line="360" w:lineRule="auto"/>
        <w:jc w:val="both"/>
        <w:rPr>
          <w:rFonts w:ascii="Arial" w:hAnsi="Arial" w:cs="Arial"/>
          <w:sz w:val="24"/>
          <w:szCs w:val="24"/>
          <w:lang w:val="en-US"/>
        </w:rPr>
      </w:pPr>
      <w:r>
        <w:rPr>
          <w:rFonts w:ascii="Arial" w:hAnsi="Arial" w:cs="Arial"/>
          <w:sz w:val="24"/>
          <w:szCs w:val="24"/>
          <w:lang w:val="en-US"/>
        </w:rPr>
        <w:t>[</w:t>
      </w:r>
      <w:r w:rsidR="00DC30F4">
        <w:rPr>
          <w:rFonts w:ascii="Arial" w:hAnsi="Arial" w:cs="Arial"/>
          <w:sz w:val="24"/>
          <w:szCs w:val="24"/>
          <w:lang w:val="en-US"/>
        </w:rPr>
        <w:t>2</w:t>
      </w:r>
      <w:r w:rsidR="00FB554C">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t>In terms of rule 32(1), the taxpayer is then required to deliver to SARS, within 45 days</w:t>
      </w:r>
      <w:r w:rsidR="00C42192">
        <w:rPr>
          <w:rFonts w:ascii="Arial" w:hAnsi="Arial" w:cs="Arial"/>
          <w:sz w:val="24"/>
          <w:szCs w:val="24"/>
          <w:lang w:val="en-US"/>
        </w:rPr>
        <w:t xml:space="preserve"> of receipt of the rule 31 statement</w:t>
      </w:r>
      <w:r>
        <w:rPr>
          <w:rFonts w:ascii="Arial" w:hAnsi="Arial" w:cs="Arial"/>
          <w:sz w:val="24"/>
          <w:szCs w:val="24"/>
          <w:lang w:val="en-US"/>
        </w:rPr>
        <w:t>, a statement of the grounds of their appeal.</w:t>
      </w:r>
      <w:r w:rsidR="00C42192">
        <w:rPr>
          <w:rFonts w:ascii="Arial" w:hAnsi="Arial" w:cs="Arial"/>
          <w:sz w:val="24"/>
          <w:szCs w:val="24"/>
          <w:lang w:val="en-US"/>
        </w:rPr>
        <w:t xml:space="preserve"> </w:t>
      </w:r>
      <w:r w:rsidR="00FB554C">
        <w:rPr>
          <w:rFonts w:ascii="Arial" w:hAnsi="Arial" w:cs="Arial"/>
          <w:sz w:val="24"/>
          <w:szCs w:val="24"/>
          <w:lang w:val="en-US"/>
        </w:rPr>
        <w:t>The taxpayer</w:t>
      </w:r>
      <w:r w:rsidR="00C42192">
        <w:rPr>
          <w:rFonts w:ascii="Arial" w:hAnsi="Arial" w:cs="Arial"/>
          <w:sz w:val="24"/>
          <w:szCs w:val="24"/>
          <w:lang w:val="en-US"/>
        </w:rPr>
        <w:t xml:space="preserve"> must, in terms of rule 32(2), set out ‘clearly and concisely’ the following:</w:t>
      </w:r>
    </w:p>
    <w:p w14:paraId="446C1A5D" w14:textId="63277D1F" w:rsidR="007D5938" w:rsidRPr="007D5938" w:rsidRDefault="00C42192" w:rsidP="007D5938">
      <w:pPr>
        <w:spacing w:after="0" w:line="360" w:lineRule="auto"/>
        <w:jc w:val="both"/>
        <w:rPr>
          <w:rFonts w:ascii="Arial" w:hAnsi="Arial" w:cs="Arial"/>
          <w:lang w:val="en-US"/>
        </w:rPr>
      </w:pPr>
      <w:r>
        <w:rPr>
          <w:rFonts w:ascii="Arial" w:hAnsi="Arial" w:cs="Arial"/>
          <w:lang w:val="en-US"/>
        </w:rPr>
        <w:lastRenderedPageBreak/>
        <w:t>‘</w:t>
      </w:r>
      <w:r w:rsidR="007D5938" w:rsidRPr="00C42192">
        <w:rPr>
          <w:rFonts w:ascii="Arial" w:hAnsi="Arial" w:cs="Arial"/>
          <w:i/>
          <w:iCs/>
          <w:lang w:val="en-US"/>
        </w:rPr>
        <w:t>(a)</w:t>
      </w:r>
      <w:r w:rsidR="007D5938" w:rsidRPr="007D5938">
        <w:rPr>
          <w:rFonts w:ascii="Arial" w:hAnsi="Arial" w:cs="Arial"/>
          <w:lang w:val="en-US"/>
        </w:rPr>
        <w:t> </w:t>
      </w:r>
      <w:r w:rsidR="007D5938" w:rsidRPr="007D5938">
        <w:rPr>
          <w:rFonts w:ascii="Arial" w:hAnsi="Arial" w:cs="Arial"/>
          <w:lang w:val="en-US"/>
        </w:rPr>
        <w:tab/>
        <w:t>the grounds upon which the appellant appeals;</w:t>
      </w:r>
    </w:p>
    <w:p w14:paraId="023C4884" w14:textId="6E3562AA" w:rsidR="007D5938" w:rsidRPr="007D5938" w:rsidRDefault="007D5938" w:rsidP="00C42192">
      <w:pPr>
        <w:spacing w:after="0" w:line="360" w:lineRule="auto"/>
        <w:ind w:left="720" w:hanging="720"/>
        <w:jc w:val="both"/>
        <w:rPr>
          <w:rFonts w:ascii="Arial" w:hAnsi="Arial" w:cs="Arial"/>
          <w:lang w:val="en-US"/>
        </w:rPr>
      </w:pPr>
      <w:r w:rsidRPr="00C42192">
        <w:rPr>
          <w:rFonts w:ascii="Arial" w:hAnsi="Arial" w:cs="Arial"/>
          <w:i/>
          <w:iCs/>
          <w:lang w:val="en-US"/>
        </w:rPr>
        <w:t>(b)</w:t>
      </w:r>
      <w:r w:rsidRPr="007D5938">
        <w:rPr>
          <w:rFonts w:ascii="Arial" w:hAnsi="Arial" w:cs="Arial"/>
          <w:lang w:val="en-US"/>
        </w:rPr>
        <w:t> </w:t>
      </w:r>
      <w:r w:rsidRPr="007D5938">
        <w:rPr>
          <w:rFonts w:ascii="Arial" w:hAnsi="Arial" w:cs="Arial"/>
          <w:lang w:val="en-US"/>
        </w:rPr>
        <w:tab/>
        <w:t>which of the facts or the legal grounds in the statement under rule 31 are admitted and which of those facts or legal grounds are opposed; and</w:t>
      </w:r>
    </w:p>
    <w:p w14:paraId="5DB6A48D" w14:textId="5B762DE7" w:rsidR="007D5938" w:rsidRPr="007D5938" w:rsidRDefault="007D5938" w:rsidP="00FB554C">
      <w:pPr>
        <w:spacing w:after="0" w:line="360" w:lineRule="auto"/>
        <w:ind w:left="720" w:hanging="720"/>
        <w:jc w:val="both"/>
        <w:rPr>
          <w:rFonts w:ascii="Arial" w:hAnsi="Arial" w:cs="Arial"/>
          <w:lang w:val="en-US"/>
        </w:rPr>
      </w:pPr>
      <w:r w:rsidRPr="00C42192">
        <w:rPr>
          <w:rFonts w:ascii="Arial" w:hAnsi="Arial" w:cs="Arial"/>
          <w:i/>
          <w:iCs/>
          <w:lang w:val="en-US"/>
        </w:rPr>
        <w:t>(c)</w:t>
      </w:r>
      <w:r w:rsidRPr="007D5938">
        <w:rPr>
          <w:rFonts w:ascii="Arial" w:hAnsi="Arial" w:cs="Arial"/>
          <w:lang w:val="en-US"/>
        </w:rPr>
        <w:t> </w:t>
      </w:r>
      <w:r w:rsidRPr="007D5938">
        <w:rPr>
          <w:rFonts w:ascii="Arial" w:hAnsi="Arial" w:cs="Arial"/>
          <w:lang w:val="en-US"/>
        </w:rPr>
        <w:tab/>
        <w:t>the material facts and the legal grounds upon which the appellant relies for the appeal and opposing the facts or legal grounds in the statement under rule 31.</w:t>
      </w:r>
      <w:r w:rsidR="00C42192">
        <w:rPr>
          <w:rFonts w:ascii="Arial" w:hAnsi="Arial" w:cs="Arial"/>
          <w:lang w:val="en-US"/>
        </w:rPr>
        <w:t>’</w:t>
      </w:r>
    </w:p>
    <w:p w14:paraId="42D3A2B2" w14:textId="5C387AD1" w:rsidR="007D5938" w:rsidRPr="00C42192" w:rsidRDefault="00C42192" w:rsidP="007D5938">
      <w:pPr>
        <w:spacing w:after="0" w:line="360" w:lineRule="auto"/>
        <w:jc w:val="both"/>
        <w:rPr>
          <w:rFonts w:ascii="Arial" w:hAnsi="Arial" w:cs="Arial"/>
          <w:sz w:val="24"/>
          <w:szCs w:val="24"/>
          <w:lang w:val="en-US"/>
        </w:rPr>
      </w:pPr>
      <w:r>
        <w:rPr>
          <w:rFonts w:ascii="Arial" w:hAnsi="Arial" w:cs="Arial"/>
          <w:sz w:val="24"/>
          <w:szCs w:val="24"/>
          <w:lang w:val="en-US"/>
        </w:rPr>
        <w:t>In terms of rule 32(3), the taxpayer ‘</w:t>
      </w:r>
      <w:r w:rsidR="007D5938" w:rsidRPr="00C42192">
        <w:rPr>
          <w:rFonts w:ascii="Arial" w:hAnsi="Arial" w:cs="Arial"/>
          <w:sz w:val="24"/>
          <w:szCs w:val="24"/>
          <w:lang w:val="en-US"/>
        </w:rPr>
        <w:t>may not include in the statement a ground of appeal that constitutes a new ground of objection against a part or amount of the disputed assessment not objected to under rule 7</w:t>
      </w:r>
      <w:r w:rsidR="00FC327F">
        <w:rPr>
          <w:rFonts w:ascii="Arial" w:hAnsi="Arial" w:cs="Arial"/>
          <w:sz w:val="24"/>
          <w:szCs w:val="24"/>
          <w:lang w:val="en-US"/>
        </w:rPr>
        <w:t>’</w:t>
      </w:r>
      <w:r w:rsidR="007D5938" w:rsidRPr="00C42192">
        <w:rPr>
          <w:rFonts w:ascii="Arial" w:hAnsi="Arial" w:cs="Arial"/>
          <w:sz w:val="24"/>
          <w:szCs w:val="24"/>
          <w:lang w:val="en-US"/>
        </w:rPr>
        <w:t>.</w:t>
      </w:r>
    </w:p>
    <w:p w14:paraId="4C155F9B" w14:textId="27507DA3" w:rsidR="007D5938" w:rsidRDefault="007D5938" w:rsidP="007D5938">
      <w:pPr>
        <w:spacing w:after="0" w:line="360" w:lineRule="auto"/>
        <w:jc w:val="both"/>
        <w:rPr>
          <w:rFonts w:ascii="Arial" w:hAnsi="Arial" w:cs="Arial"/>
          <w:sz w:val="24"/>
          <w:szCs w:val="24"/>
          <w:lang w:val="en-US"/>
        </w:rPr>
      </w:pPr>
    </w:p>
    <w:p w14:paraId="55F099A6" w14:textId="236B29A1" w:rsidR="00FC327F" w:rsidRPr="00FC327F" w:rsidRDefault="00FC327F" w:rsidP="007D5938">
      <w:pPr>
        <w:spacing w:after="0" w:line="360" w:lineRule="auto"/>
        <w:jc w:val="both"/>
        <w:rPr>
          <w:rFonts w:ascii="Arial" w:hAnsi="Arial" w:cs="Arial"/>
          <w:sz w:val="24"/>
          <w:szCs w:val="24"/>
          <w:lang w:val="en-US"/>
        </w:rPr>
      </w:pPr>
      <w:r>
        <w:rPr>
          <w:rFonts w:ascii="Arial" w:hAnsi="Arial" w:cs="Arial"/>
          <w:sz w:val="24"/>
          <w:szCs w:val="24"/>
          <w:lang w:val="en-US"/>
        </w:rPr>
        <w:t>[</w:t>
      </w:r>
      <w:r w:rsidR="00DC30F4">
        <w:rPr>
          <w:rFonts w:ascii="Arial" w:hAnsi="Arial" w:cs="Arial"/>
          <w:sz w:val="24"/>
          <w:szCs w:val="24"/>
          <w:lang w:val="en-US"/>
        </w:rPr>
        <w:t>2</w:t>
      </w:r>
      <w:r w:rsidR="00FB554C">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t xml:space="preserve">SARS has a </w:t>
      </w:r>
      <w:r w:rsidRPr="00C779A2">
        <w:rPr>
          <w:rFonts w:ascii="Arial" w:hAnsi="Arial" w:cs="Arial"/>
          <w:sz w:val="24"/>
          <w:szCs w:val="24"/>
          <w:lang w:val="en-US"/>
        </w:rPr>
        <w:t>right</w:t>
      </w:r>
      <w:r w:rsidR="00C66DE9" w:rsidRPr="00C779A2">
        <w:rPr>
          <w:rFonts w:ascii="Arial" w:hAnsi="Arial" w:cs="Arial"/>
          <w:sz w:val="24"/>
          <w:szCs w:val="24"/>
          <w:lang w:val="en-US"/>
        </w:rPr>
        <w:t>, in terms of rule 33,</w:t>
      </w:r>
      <w:r>
        <w:rPr>
          <w:rFonts w:ascii="Arial" w:hAnsi="Arial" w:cs="Arial"/>
          <w:sz w:val="24"/>
          <w:szCs w:val="24"/>
          <w:lang w:val="en-US"/>
        </w:rPr>
        <w:t xml:space="preserve"> to reply to the taxpayer’s statement of grounds of appeal. Its reply must be a ‘clear and concise’ response to any new grounds, facts o</w:t>
      </w:r>
      <w:r w:rsidR="00E96FF5">
        <w:rPr>
          <w:rFonts w:ascii="Arial" w:hAnsi="Arial" w:cs="Arial"/>
          <w:sz w:val="24"/>
          <w:szCs w:val="24"/>
          <w:lang w:val="en-US"/>
        </w:rPr>
        <w:t>r</w:t>
      </w:r>
      <w:r>
        <w:rPr>
          <w:rFonts w:ascii="Arial" w:hAnsi="Arial" w:cs="Arial"/>
          <w:sz w:val="24"/>
          <w:szCs w:val="24"/>
          <w:lang w:val="en-US"/>
        </w:rPr>
        <w:t xml:space="preserve"> law raised by the taxpayer. Finally, s 34 defines the </w:t>
      </w:r>
      <w:r w:rsidR="003510C0">
        <w:rPr>
          <w:rFonts w:ascii="Arial" w:hAnsi="Arial" w:cs="Arial"/>
          <w:sz w:val="24"/>
          <w:szCs w:val="24"/>
          <w:lang w:val="en-US"/>
        </w:rPr>
        <w:t xml:space="preserve">scope of the </w:t>
      </w:r>
      <w:r>
        <w:rPr>
          <w:rFonts w:ascii="Arial" w:hAnsi="Arial" w:cs="Arial"/>
          <w:sz w:val="24"/>
          <w:szCs w:val="24"/>
          <w:lang w:val="en-US"/>
        </w:rPr>
        <w:t>issues before the tax court on appeal. It provides:</w:t>
      </w:r>
    </w:p>
    <w:p w14:paraId="75CEDFF9" w14:textId="4C4367DF" w:rsidR="007A699E" w:rsidRDefault="003510C0" w:rsidP="007D5938">
      <w:pPr>
        <w:spacing w:after="0" w:line="360" w:lineRule="auto"/>
        <w:jc w:val="both"/>
        <w:rPr>
          <w:rFonts w:ascii="Arial" w:hAnsi="Arial" w:cs="Arial"/>
          <w:sz w:val="24"/>
          <w:szCs w:val="24"/>
          <w:lang w:val="en-US"/>
        </w:rPr>
      </w:pPr>
      <w:r>
        <w:rPr>
          <w:rFonts w:ascii="Arial" w:hAnsi="Arial" w:cs="Arial"/>
          <w:lang w:val="en-US"/>
        </w:rPr>
        <w:t>‘</w:t>
      </w:r>
      <w:r w:rsidR="007D5938" w:rsidRPr="007D5938">
        <w:rPr>
          <w:rFonts w:ascii="Arial" w:hAnsi="Arial" w:cs="Arial"/>
          <w:lang w:val="en-US"/>
        </w:rPr>
        <w:t>The issues in an appeal to the tax court will be those contained in the statement of the grounds of assessment and opposing the appeal read with the statement of the grounds of appeal and, if any, the reply to the grounds of appeal.</w:t>
      </w:r>
      <w:r>
        <w:rPr>
          <w:rFonts w:ascii="Arial" w:hAnsi="Arial" w:cs="Arial"/>
          <w:lang w:val="en-US"/>
        </w:rPr>
        <w:t>’</w:t>
      </w:r>
      <w:r w:rsidR="00C9156A">
        <w:rPr>
          <w:rFonts w:ascii="Arial" w:hAnsi="Arial" w:cs="Arial"/>
          <w:sz w:val="24"/>
          <w:szCs w:val="24"/>
          <w:lang w:val="en-US"/>
        </w:rPr>
        <w:t xml:space="preserve">  </w:t>
      </w:r>
      <w:r w:rsidR="007A699E">
        <w:rPr>
          <w:rFonts w:ascii="Arial" w:hAnsi="Arial" w:cs="Arial"/>
          <w:sz w:val="24"/>
          <w:szCs w:val="24"/>
          <w:lang w:val="en-US"/>
        </w:rPr>
        <w:t xml:space="preserve">  </w:t>
      </w:r>
    </w:p>
    <w:p w14:paraId="0CF627D2" w14:textId="77777777" w:rsidR="007A699E" w:rsidRDefault="007A699E" w:rsidP="00BD73E7">
      <w:pPr>
        <w:spacing w:after="0" w:line="360" w:lineRule="auto"/>
        <w:jc w:val="both"/>
        <w:rPr>
          <w:rFonts w:ascii="Arial" w:hAnsi="Arial" w:cs="Arial"/>
          <w:sz w:val="24"/>
          <w:szCs w:val="24"/>
          <w:lang w:val="en-US"/>
        </w:rPr>
      </w:pPr>
    </w:p>
    <w:p w14:paraId="036AC232" w14:textId="5E782AC6" w:rsidR="00B85F5C" w:rsidRDefault="00B85F5C" w:rsidP="00BD73E7">
      <w:pPr>
        <w:spacing w:after="0" w:line="360" w:lineRule="auto"/>
        <w:jc w:val="both"/>
        <w:rPr>
          <w:rFonts w:ascii="Arial" w:hAnsi="Arial" w:cs="Arial"/>
          <w:sz w:val="24"/>
          <w:szCs w:val="24"/>
          <w:lang w:val="en-US"/>
        </w:rPr>
      </w:pPr>
      <w:r>
        <w:rPr>
          <w:rFonts w:ascii="Arial" w:hAnsi="Arial" w:cs="Arial"/>
          <w:sz w:val="24"/>
          <w:szCs w:val="24"/>
          <w:lang w:val="en-US"/>
        </w:rPr>
        <w:t>[</w:t>
      </w:r>
      <w:r w:rsidR="00DC30F4">
        <w:rPr>
          <w:rFonts w:ascii="Arial" w:hAnsi="Arial" w:cs="Arial"/>
          <w:sz w:val="24"/>
          <w:szCs w:val="24"/>
          <w:lang w:val="en-US"/>
        </w:rPr>
        <w:t>2</w:t>
      </w:r>
      <w:r w:rsidR="00FB554C">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t>Section 133 makes provision for an appeal from a decision of a tax court. It states:</w:t>
      </w:r>
    </w:p>
    <w:p w14:paraId="4ED1749F" w14:textId="77777777" w:rsidR="00201CA8" w:rsidRPr="00201CA8" w:rsidRDefault="00B85F5C" w:rsidP="00201CA8">
      <w:pPr>
        <w:spacing w:after="0" w:line="360" w:lineRule="auto"/>
        <w:jc w:val="both"/>
        <w:rPr>
          <w:rFonts w:ascii="Arial" w:hAnsi="Arial" w:cs="Arial"/>
          <w:lang w:val="en-US"/>
        </w:rPr>
      </w:pPr>
      <w:r>
        <w:rPr>
          <w:rFonts w:ascii="Arial" w:hAnsi="Arial" w:cs="Arial"/>
          <w:lang w:val="en-US"/>
        </w:rPr>
        <w:t>‘</w:t>
      </w:r>
      <w:r w:rsidR="00201CA8" w:rsidRPr="00201CA8">
        <w:rPr>
          <w:rFonts w:ascii="Arial" w:hAnsi="Arial" w:cs="Arial"/>
          <w:lang w:val="en-US"/>
        </w:rPr>
        <w:t>(1) The taxpayer or SARS may in the manner provided for in this Act appeal against a decision of the tax court under sections 129 and 130.</w:t>
      </w:r>
    </w:p>
    <w:p w14:paraId="5473D353" w14:textId="77777777" w:rsidR="00201CA8" w:rsidRPr="00201CA8" w:rsidRDefault="00201CA8" w:rsidP="00201CA8">
      <w:pPr>
        <w:spacing w:after="0" w:line="360" w:lineRule="auto"/>
        <w:jc w:val="both"/>
        <w:rPr>
          <w:rFonts w:ascii="Arial" w:hAnsi="Arial" w:cs="Arial"/>
          <w:lang w:val="en-US"/>
        </w:rPr>
      </w:pPr>
      <w:r w:rsidRPr="00201CA8">
        <w:rPr>
          <w:rFonts w:ascii="Arial" w:hAnsi="Arial" w:cs="Arial"/>
          <w:lang w:val="en-US"/>
        </w:rPr>
        <w:t>(2) An appeal against a decision of the tax court lies-</w:t>
      </w:r>
    </w:p>
    <w:p w14:paraId="7A7EEFA4" w14:textId="79D274D8" w:rsidR="00201CA8" w:rsidRPr="00201CA8" w:rsidRDefault="00201CA8" w:rsidP="00201CA8">
      <w:pPr>
        <w:spacing w:after="0" w:line="360" w:lineRule="auto"/>
        <w:ind w:left="1440" w:hanging="720"/>
        <w:jc w:val="both"/>
        <w:rPr>
          <w:rFonts w:ascii="Arial" w:hAnsi="Arial" w:cs="Arial"/>
          <w:lang w:val="en-US"/>
        </w:rPr>
      </w:pPr>
      <w:r w:rsidRPr="00201CA8">
        <w:rPr>
          <w:rFonts w:ascii="Arial" w:hAnsi="Arial" w:cs="Arial"/>
          <w:lang w:val="en-US"/>
        </w:rPr>
        <w:t>(a)</w:t>
      </w:r>
      <w:r w:rsidRPr="00201CA8">
        <w:rPr>
          <w:rFonts w:ascii="Arial" w:hAnsi="Arial" w:cs="Arial"/>
          <w:lang w:val="en-US"/>
        </w:rPr>
        <w:tab/>
        <w:t>to the full bench of the Provincial Division of the High Court which has jurisdiction in the area in which the tax court sitting is held; or</w:t>
      </w:r>
    </w:p>
    <w:p w14:paraId="72BC5445" w14:textId="19D98406" w:rsidR="00201CA8" w:rsidRPr="00201CA8" w:rsidRDefault="00201CA8" w:rsidP="00201CA8">
      <w:pPr>
        <w:spacing w:after="0" w:line="360" w:lineRule="auto"/>
        <w:ind w:left="1440" w:hanging="720"/>
        <w:jc w:val="both"/>
        <w:rPr>
          <w:rFonts w:ascii="Arial" w:hAnsi="Arial" w:cs="Arial"/>
          <w:lang w:val="en-US"/>
        </w:rPr>
      </w:pPr>
      <w:r w:rsidRPr="00201CA8">
        <w:rPr>
          <w:rFonts w:ascii="Arial" w:hAnsi="Arial" w:cs="Arial"/>
          <w:lang w:val="en-US"/>
        </w:rPr>
        <w:t>(b)</w:t>
      </w:r>
      <w:r w:rsidRPr="00201CA8">
        <w:rPr>
          <w:rFonts w:ascii="Arial" w:hAnsi="Arial" w:cs="Arial"/>
          <w:lang w:val="en-US"/>
        </w:rPr>
        <w:tab/>
        <w:t>to the Supreme Court of Appeal, without an intermediate appeal to the Provincial Division, if-</w:t>
      </w:r>
    </w:p>
    <w:p w14:paraId="3DF9D846" w14:textId="48AA8FE7" w:rsidR="00201CA8" w:rsidRPr="00201CA8" w:rsidRDefault="00201CA8" w:rsidP="00201CA8">
      <w:pPr>
        <w:spacing w:after="0" w:line="360" w:lineRule="auto"/>
        <w:jc w:val="both"/>
        <w:rPr>
          <w:rFonts w:ascii="Arial" w:hAnsi="Arial" w:cs="Arial"/>
          <w:lang w:val="en-US"/>
        </w:rPr>
      </w:pPr>
      <w:r w:rsidRPr="00201CA8">
        <w:rPr>
          <w:rFonts w:ascii="Arial" w:hAnsi="Arial" w:cs="Arial"/>
          <w:lang w:val="en-US"/>
        </w:rPr>
        <w:tab/>
        <w:t>  </w:t>
      </w:r>
      <w:r>
        <w:rPr>
          <w:rFonts w:ascii="Arial" w:hAnsi="Arial" w:cs="Arial"/>
          <w:lang w:val="en-US"/>
        </w:rPr>
        <w:tab/>
      </w:r>
      <w:r w:rsidRPr="00201CA8">
        <w:rPr>
          <w:rFonts w:ascii="Arial" w:hAnsi="Arial" w:cs="Arial"/>
          <w:lang w:val="en-US"/>
        </w:rPr>
        <w:t>(i)</w:t>
      </w:r>
      <w:r w:rsidRPr="00201CA8">
        <w:rPr>
          <w:rFonts w:ascii="Arial" w:hAnsi="Arial" w:cs="Arial"/>
          <w:lang w:val="en-US"/>
        </w:rPr>
        <w:tab/>
        <w:t>the president of the tax court has granted leave under section 135; or</w:t>
      </w:r>
    </w:p>
    <w:p w14:paraId="2C60FB4C" w14:textId="31071341" w:rsidR="00201CA8" w:rsidRPr="00201CA8" w:rsidRDefault="00201CA8" w:rsidP="00201CA8">
      <w:pPr>
        <w:spacing w:after="0" w:line="360" w:lineRule="auto"/>
        <w:jc w:val="both"/>
        <w:rPr>
          <w:rFonts w:ascii="Arial" w:hAnsi="Arial" w:cs="Arial"/>
          <w:sz w:val="24"/>
          <w:szCs w:val="24"/>
          <w:lang w:val="en-US"/>
        </w:rPr>
      </w:pPr>
      <w:r w:rsidRPr="00201CA8">
        <w:rPr>
          <w:rFonts w:ascii="Arial" w:hAnsi="Arial" w:cs="Arial"/>
          <w:lang w:val="en-US"/>
        </w:rPr>
        <w:tab/>
        <w:t> </w:t>
      </w:r>
      <w:r>
        <w:rPr>
          <w:rFonts w:ascii="Arial" w:hAnsi="Arial" w:cs="Arial"/>
          <w:lang w:val="en-US"/>
        </w:rPr>
        <w:tab/>
      </w:r>
      <w:r w:rsidRPr="00201CA8">
        <w:rPr>
          <w:rFonts w:ascii="Arial" w:hAnsi="Arial" w:cs="Arial"/>
          <w:lang w:val="en-US"/>
        </w:rPr>
        <w:t>(ii)</w:t>
      </w:r>
      <w:r w:rsidRPr="00201CA8">
        <w:rPr>
          <w:rFonts w:ascii="Arial" w:hAnsi="Arial" w:cs="Arial"/>
          <w:lang w:val="en-US"/>
        </w:rPr>
        <w:tab/>
        <w:t>the appeal was heard by the tax court constituted under section 118(5).</w:t>
      </w:r>
      <w:r>
        <w:rPr>
          <w:rFonts w:ascii="Arial" w:hAnsi="Arial" w:cs="Arial"/>
          <w:lang w:val="en-US"/>
        </w:rPr>
        <w:t>’</w:t>
      </w:r>
    </w:p>
    <w:p w14:paraId="1F954DBB" w14:textId="6212C36E" w:rsidR="00201CA8" w:rsidRPr="00201CA8" w:rsidRDefault="00201CA8" w:rsidP="00201CA8">
      <w:pPr>
        <w:spacing w:after="0" w:line="360" w:lineRule="auto"/>
        <w:jc w:val="both"/>
        <w:rPr>
          <w:rFonts w:ascii="Arial" w:hAnsi="Arial" w:cs="Arial"/>
          <w:sz w:val="24"/>
          <w:szCs w:val="24"/>
          <w:lang w:val="en-US"/>
        </w:rPr>
      </w:pPr>
    </w:p>
    <w:p w14:paraId="13BC972B" w14:textId="05678334" w:rsidR="00B85F5C" w:rsidRDefault="009562EA" w:rsidP="00BD73E7">
      <w:pPr>
        <w:spacing w:after="0" w:line="360" w:lineRule="auto"/>
        <w:jc w:val="both"/>
        <w:rPr>
          <w:rFonts w:ascii="Arial" w:hAnsi="Arial" w:cs="Arial"/>
          <w:sz w:val="24"/>
          <w:szCs w:val="24"/>
          <w:lang w:val="en-US"/>
        </w:rPr>
      </w:pPr>
      <w:r>
        <w:rPr>
          <w:rFonts w:ascii="Arial" w:hAnsi="Arial" w:cs="Arial"/>
          <w:sz w:val="24"/>
          <w:szCs w:val="24"/>
          <w:lang w:val="en-US"/>
        </w:rPr>
        <w:t>[</w:t>
      </w:r>
      <w:r w:rsidR="00DC30F4">
        <w:rPr>
          <w:rFonts w:ascii="Arial" w:hAnsi="Arial" w:cs="Arial"/>
          <w:sz w:val="24"/>
          <w:szCs w:val="24"/>
          <w:lang w:val="en-US"/>
        </w:rPr>
        <w:t>2</w:t>
      </w:r>
      <w:r w:rsidR="00FB554C">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t xml:space="preserve">Section 134 prescribes the procedure for noting an intention to appeal against a decision of a tax court. </w:t>
      </w:r>
      <w:r w:rsidR="00201CA8">
        <w:rPr>
          <w:rFonts w:ascii="Arial" w:hAnsi="Arial" w:cs="Arial"/>
          <w:sz w:val="24"/>
          <w:szCs w:val="24"/>
          <w:lang w:val="en-US"/>
        </w:rPr>
        <w:t>Sections 134(1) and (2)</w:t>
      </w:r>
      <w:r>
        <w:rPr>
          <w:rFonts w:ascii="Arial" w:hAnsi="Arial" w:cs="Arial"/>
          <w:sz w:val="24"/>
          <w:szCs w:val="24"/>
          <w:lang w:val="en-US"/>
        </w:rPr>
        <w:t xml:space="preserve"> state:</w:t>
      </w:r>
    </w:p>
    <w:p w14:paraId="1DA708F7" w14:textId="77777777" w:rsidR="00201CA8" w:rsidRPr="00201CA8" w:rsidRDefault="009562EA" w:rsidP="00201CA8">
      <w:pPr>
        <w:spacing w:after="0" w:line="360" w:lineRule="auto"/>
        <w:jc w:val="both"/>
        <w:rPr>
          <w:rFonts w:ascii="Arial" w:hAnsi="Arial" w:cs="Arial"/>
          <w:lang w:val="en-US"/>
        </w:rPr>
      </w:pPr>
      <w:r>
        <w:rPr>
          <w:rFonts w:ascii="Arial" w:hAnsi="Arial" w:cs="Arial"/>
          <w:lang w:val="en-US"/>
        </w:rPr>
        <w:t>‘</w:t>
      </w:r>
      <w:r w:rsidR="00201CA8" w:rsidRPr="00201CA8">
        <w:rPr>
          <w:rFonts w:ascii="Arial" w:hAnsi="Arial" w:cs="Arial"/>
          <w:lang w:val="en-US"/>
        </w:rPr>
        <w:t xml:space="preserve">(1) A party who intends to lodge an appeal against a decision of the tax court (hereinafter in this Part referred to as the appellant) must, within 21 business days after the date of the notice by the 'registrar' notifying the parties of the tax court's decision under section 131, or within a further period as the president of the tax court may on good cause shown allow, lodge with </w:t>
      </w:r>
      <w:r w:rsidR="00201CA8" w:rsidRPr="00201CA8">
        <w:rPr>
          <w:rFonts w:ascii="Arial" w:hAnsi="Arial" w:cs="Arial"/>
          <w:lang w:val="en-US"/>
        </w:rPr>
        <w:lastRenderedPageBreak/>
        <w:t>the 'registrar' and serve upon the opposite party or the opposite party's legal practitioner or agent, a notice of intention to appeal against the decision.</w:t>
      </w:r>
    </w:p>
    <w:p w14:paraId="71DC5D93" w14:textId="77777777" w:rsidR="00201CA8" w:rsidRPr="00201CA8" w:rsidRDefault="00201CA8" w:rsidP="00201CA8">
      <w:pPr>
        <w:spacing w:after="0" w:line="360" w:lineRule="auto"/>
        <w:jc w:val="both"/>
        <w:rPr>
          <w:rFonts w:ascii="Arial" w:hAnsi="Arial" w:cs="Arial"/>
          <w:lang w:val="en-US"/>
        </w:rPr>
      </w:pPr>
      <w:r w:rsidRPr="00201CA8">
        <w:rPr>
          <w:rFonts w:ascii="Arial" w:hAnsi="Arial" w:cs="Arial"/>
          <w:lang w:val="en-US"/>
        </w:rPr>
        <w:t>(2) A notice of intention to appeal must state-</w:t>
      </w:r>
    </w:p>
    <w:p w14:paraId="2DFEBC60" w14:textId="77777777" w:rsidR="00201CA8" w:rsidRPr="00201CA8" w:rsidRDefault="00201CA8" w:rsidP="00201CA8">
      <w:pPr>
        <w:spacing w:after="0" w:line="360" w:lineRule="auto"/>
        <w:jc w:val="both"/>
        <w:rPr>
          <w:rFonts w:ascii="Arial" w:hAnsi="Arial" w:cs="Arial"/>
          <w:lang w:val="en-US"/>
        </w:rPr>
      </w:pPr>
      <w:r w:rsidRPr="00201CA8">
        <w:rPr>
          <w:rFonts w:ascii="Arial" w:hAnsi="Arial" w:cs="Arial"/>
          <w:lang w:val="en-US"/>
        </w:rPr>
        <w:tab/>
        <w:t>(a)</w:t>
      </w:r>
      <w:r w:rsidRPr="00201CA8">
        <w:rPr>
          <w:rFonts w:ascii="Arial" w:hAnsi="Arial" w:cs="Arial"/>
          <w:lang w:val="en-US"/>
        </w:rPr>
        <w:tab/>
        <w:t>in which division of the High Court the appellant wishes the appeal to be heard;</w:t>
      </w:r>
    </w:p>
    <w:p w14:paraId="208D7EFA" w14:textId="52920633" w:rsidR="00201CA8" w:rsidRPr="00201CA8" w:rsidRDefault="00201CA8" w:rsidP="00201CA8">
      <w:pPr>
        <w:spacing w:after="0" w:line="360" w:lineRule="auto"/>
        <w:ind w:left="1440" w:hanging="720"/>
        <w:jc w:val="both"/>
        <w:rPr>
          <w:rFonts w:ascii="Arial" w:hAnsi="Arial" w:cs="Arial"/>
          <w:lang w:val="en-US"/>
        </w:rPr>
      </w:pPr>
      <w:r w:rsidRPr="00201CA8">
        <w:rPr>
          <w:rFonts w:ascii="Arial" w:hAnsi="Arial" w:cs="Arial"/>
          <w:lang w:val="en-US"/>
        </w:rPr>
        <w:t>(b)</w:t>
      </w:r>
      <w:r w:rsidRPr="00201CA8">
        <w:rPr>
          <w:rFonts w:ascii="Arial" w:hAnsi="Arial" w:cs="Arial"/>
          <w:lang w:val="en-US"/>
        </w:rPr>
        <w:tab/>
        <w:t>whether the whole or only part of the judgment is to be appealed against (if in part only, which part), and the grounds of the intended appeal, indicating the findings of fact or rulings of law to be appealed against; and</w:t>
      </w:r>
    </w:p>
    <w:p w14:paraId="6F4CF6F6" w14:textId="4ACB2025" w:rsidR="00201CA8" w:rsidRPr="00201CA8" w:rsidRDefault="00201CA8" w:rsidP="00201CA8">
      <w:pPr>
        <w:spacing w:after="0" w:line="360" w:lineRule="auto"/>
        <w:ind w:left="1440" w:hanging="720"/>
        <w:jc w:val="both"/>
        <w:rPr>
          <w:rFonts w:ascii="Arial" w:hAnsi="Arial" w:cs="Arial"/>
          <w:sz w:val="24"/>
          <w:szCs w:val="24"/>
          <w:lang w:val="en-US"/>
        </w:rPr>
      </w:pPr>
      <w:r w:rsidRPr="00201CA8">
        <w:rPr>
          <w:rFonts w:ascii="Arial" w:hAnsi="Arial" w:cs="Arial"/>
          <w:lang w:val="en-US"/>
        </w:rPr>
        <w:t>(c)</w:t>
      </w:r>
      <w:r w:rsidRPr="00201CA8">
        <w:rPr>
          <w:rFonts w:ascii="Arial" w:hAnsi="Arial" w:cs="Arial"/>
          <w:lang w:val="en-US"/>
        </w:rPr>
        <w:tab/>
        <w:t>whether the appellant requires a transcript of the evidence given at the tax court's hearing of the case in order to prepare the record on appeal (or if only a part of the evidence is required, which part).</w:t>
      </w:r>
      <w:r>
        <w:rPr>
          <w:rFonts w:ascii="Arial" w:hAnsi="Arial" w:cs="Arial"/>
          <w:lang w:val="en-US"/>
        </w:rPr>
        <w:t>’</w:t>
      </w:r>
    </w:p>
    <w:p w14:paraId="599742CE" w14:textId="24D63822" w:rsidR="009562EA" w:rsidRPr="00201CA8" w:rsidRDefault="009562EA" w:rsidP="00BD73E7">
      <w:pPr>
        <w:spacing w:after="0" w:line="360" w:lineRule="auto"/>
        <w:jc w:val="both"/>
        <w:rPr>
          <w:rFonts w:ascii="Arial" w:hAnsi="Arial" w:cs="Arial"/>
          <w:sz w:val="24"/>
          <w:szCs w:val="24"/>
          <w:lang w:val="en-US"/>
        </w:rPr>
      </w:pPr>
    </w:p>
    <w:p w14:paraId="217FD319" w14:textId="7BF71AA7" w:rsidR="009562EA" w:rsidRDefault="003510C0" w:rsidP="00BD73E7">
      <w:pPr>
        <w:spacing w:after="0" w:line="360" w:lineRule="auto"/>
        <w:jc w:val="both"/>
        <w:rPr>
          <w:rFonts w:ascii="Arial" w:hAnsi="Arial" w:cs="Arial"/>
          <w:sz w:val="24"/>
          <w:szCs w:val="24"/>
          <w:lang w:val="en-US"/>
        </w:rPr>
      </w:pPr>
      <w:r>
        <w:rPr>
          <w:rFonts w:ascii="Arial" w:hAnsi="Arial" w:cs="Arial"/>
          <w:sz w:val="24"/>
          <w:szCs w:val="24"/>
          <w:lang w:val="en-US"/>
        </w:rPr>
        <w:t>[</w:t>
      </w:r>
      <w:r w:rsidR="00DC30F4">
        <w:rPr>
          <w:rFonts w:ascii="Arial" w:hAnsi="Arial" w:cs="Arial"/>
          <w:sz w:val="24"/>
          <w:szCs w:val="24"/>
          <w:lang w:val="en-US"/>
        </w:rPr>
        <w:t>2</w:t>
      </w:r>
      <w:r w:rsidR="00FB554C">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013B9A">
        <w:rPr>
          <w:rFonts w:ascii="Arial" w:hAnsi="Arial" w:cs="Arial"/>
          <w:sz w:val="24"/>
          <w:szCs w:val="24"/>
          <w:lang w:val="en-US"/>
        </w:rPr>
        <w:t>Having considered the statutory regime that regulates appeals against assessments to the tax court and to the high court, I shall now consider which issues were before the tax court and</w:t>
      </w:r>
      <w:r w:rsidR="00FB554C">
        <w:rPr>
          <w:rFonts w:ascii="Arial" w:hAnsi="Arial" w:cs="Arial"/>
          <w:sz w:val="24"/>
          <w:szCs w:val="24"/>
          <w:lang w:val="en-US"/>
        </w:rPr>
        <w:t>, by extension,</w:t>
      </w:r>
      <w:r w:rsidR="00013B9A">
        <w:rPr>
          <w:rFonts w:ascii="Arial" w:hAnsi="Arial" w:cs="Arial"/>
          <w:sz w:val="24"/>
          <w:szCs w:val="24"/>
          <w:lang w:val="en-US"/>
        </w:rPr>
        <w:t xml:space="preserve"> the full court.</w:t>
      </w:r>
    </w:p>
    <w:p w14:paraId="6E7B8ACF" w14:textId="77777777" w:rsidR="009562EA" w:rsidRPr="009562EA" w:rsidRDefault="009562EA" w:rsidP="00BD73E7">
      <w:pPr>
        <w:spacing w:after="0" w:line="360" w:lineRule="auto"/>
        <w:jc w:val="both"/>
        <w:rPr>
          <w:rFonts w:ascii="Arial" w:hAnsi="Arial" w:cs="Arial"/>
          <w:sz w:val="24"/>
          <w:szCs w:val="24"/>
          <w:lang w:val="en-US"/>
        </w:rPr>
      </w:pPr>
    </w:p>
    <w:p w14:paraId="131FECDC" w14:textId="411D586A" w:rsidR="00222DBE" w:rsidRPr="00C27006" w:rsidRDefault="00C27006" w:rsidP="00BD73E7">
      <w:pPr>
        <w:spacing w:after="0" w:line="360" w:lineRule="auto"/>
        <w:jc w:val="both"/>
        <w:rPr>
          <w:rFonts w:ascii="Arial" w:hAnsi="Arial" w:cs="Arial"/>
          <w:b/>
          <w:sz w:val="24"/>
          <w:szCs w:val="24"/>
          <w:lang w:val="en-US"/>
        </w:rPr>
      </w:pPr>
      <w:r>
        <w:rPr>
          <w:rFonts w:ascii="Arial" w:hAnsi="Arial" w:cs="Arial"/>
          <w:b/>
          <w:sz w:val="24"/>
          <w:szCs w:val="24"/>
          <w:lang w:val="en-US"/>
        </w:rPr>
        <w:t>The taxpayer’s objection and appeals</w:t>
      </w:r>
    </w:p>
    <w:p w14:paraId="29C0278C" w14:textId="711FDD6B" w:rsidR="002038A1" w:rsidRDefault="00EE5C1F" w:rsidP="00BD73E7">
      <w:pPr>
        <w:spacing w:after="0" w:line="360" w:lineRule="auto"/>
        <w:jc w:val="both"/>
        <w:rPr>
          <w:rFonts w:ascii="Arial" w:hAnsi="Arial" w:cs="Arial"/>
          <w:sz w:val="24"/>
          <w:szCs w:val="24"/>
          <w:lang w:val="en-US"/>
        </w:rPr>
      </w:pPr>
      <w:r>
        <w:rPr>
          <w:rFonts w:ascii="Arial" w:hAnsi="Arial" w:cs="Arial"/>
          <w:sz w:val="24"/>
          <w:szCs w:val="24"/>
          <w:lang w:val="en-US"/>
        </w:rPr>
        <w:t>[</w:t>
      </w:r>
      <w:r w:rsidR="002038A1">
        <w:rPr>
          <w:rFonts w:ascii="Arial" w:hAnsi="Arial" w:cs="Arial"/>
          <w:sz w:val="24"/>
          <w:szCs w:val="24"/>
          <w:lang w:val="en-US"/>
        </w:rPr>
        <w:t>2</w:t>
      </w:r>
      <w:r w:rsidR="00FB554C">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2038A1">
        <w:rPr>
          <w:rFonts w:ascii="Arial" w:hAnsi="Arial" w:cs="Arial"/>
          <w:sz w:val="24"/>
          <w:szCs w:val="24"/>
          <w:lang w:val="en-US"/>
        </w:rPr>
        <w:t xml:space="preserve">After </w:t>
      </w:r>
      <w:r w:rsidR="005222E3">
        <w:rPr>
          <w:rFonts w:ascii="Arial" w:hAnsi="Arial" w:cs="Arial"/>
          <w:sz w:val="24"/>
          <w:szCs w:val="24"/>
          <w:lang w:val="en-US"/>
        </w:rPr>
        <w:t xml:space="preserve">receiving </w:t>
      </w:r>
      <w:r w:rsidR="002038A1">
        <w:rPr>
          <w:rFonts w:ascii="Arial" w:hAnsi="Arial" w:cs="Arial"/>
          <w:sz w:val="24"/>
          <w:szCs w:val="24"/>
          <w:lang w:val="en-US"/>
        </w:rPr>
        <w:t>the first additional assessment made by SARS, the taxpayer objected on the basis that</w:t>
      </w:r>
      <w:r w:rsidR="001401DE">
        <w:rPr>
          <w:rFonts w:ascii="Arial" w:hAnsi="Arial" w:cs="Arial"/>
          <w:sz w:val="24"/>
          <w:szCs w:val="24"/>
          <w:lang w:val="en-US"/>
        </w:rPr>
        <w:t xml:space="preserve"> ‘SARS USED INCORRECT VALU</w:t>
      </w:r>
      <w:r w:rsidR="00101FE2">
        <w:rPr>
          <w:rFonts w:ascii="Arial" w:hAnsi="Arial" w:cs="Arial"/>
          <w:sz w:val="24"/>
          <w:szCs w:val="24"/>
          <w:lang w:val="en-US"/>
        </w:rPr>
        <w:t>A</w:t>
      </w:r>
      <w:r w:rsidR="001401DE">
        <w:rPr>
          <w:rFonts w:ascii="Arial" w:hAnsi="Arial" w:cs="Arial"/>
          <w:sz w:val="24"/>
          <w:szCs w:val="24"/>
          <w:lang w:val="en-US"/>
        </w:rPr>
        <w:t xml:space="preserve">TIONS FOR ITS ASSESSMENTS’. The taxpayer argued that </w:t>
      </w:r>
      <w:r w:rsidR="00FF613D" w:rsidRPr="00C779A2">
        <w:rPr>
          <w:rFonts w:ascii="Arial" w:hAnsi="Arial" w:cs="Arial"/>
          <w:sz w:val="24"/>
          <w:szCs w:val="24"/>
          <w:lang w:val="en-US"/>
        </w:rPr>
        <w:t>the</w:t>
      </w:r>
      <w:r w:rsidR="001401DE">
        <w:rPr>
          <w:rFonts w:ascii="Arial" w:hAnsi="Arial" w:cs="Arial"/>
          <w:sz w:val="24"/>
          <w:szCs w:val="24"/>
          <w:lang w:val="en-US"/>
        </w:rPr>
        <w:t xml:space="preserve"> valuation was excessive and that it should have valued Umthombo’s assets at R63 million. It was suggested that if SARS did not agree with this valuation, </w:t>
      </w:r>
      <w:r w:rsidR="001401DE" w:rsidRPr="00C779A2">
        <w:rPr>
          <w:rFonts w:ascii="Arial" w:hAnsi="Arial" w:cs="Arial"/>
          <w:sz w:val="24"/>
          <w:szCs w:val="24"/>
          <w:lang w:val="en-US"/>
        </w:rPr>
        <w:t xml:space="preserve">the </w:t>
      </w:r>
      <w:r w:rsidR="005222E3" w:rsidRPr="00C779A2">
        <w:rPr>
          <w:rFonts w:ascii="Arial" w:hAnsi="Arial" w:cs="Arial"/>
          <w:sz w:val="24"/>
          <w:szCs w:val="24"/>
          <w:lang w:val="en-US"/>
        </w:rPr>
        <w:t>process</w:t>
      </w:r>
      <w:r w:rsidR="00FF613D" w:rsidRPr="00C779A2">
        <w:rPr>
          <w:rFonts w:ascii="Arial" w:hAnsi="Arial" w:cs="Arial"/>
          <w:sz w:val="24"/>
          <w:szCs w:val="24"/>
          <w:lang w:val="en-US"/>
        </w:rPr>
        <w:t xml:space="preserve"> should</w:t>
      </w:r>
      <w:r w:rsidR="001401DE">
        <w:rPr>
          <w:rFonts w:ascii="Arial" w:hAnsi="Arial" w:cs="Arial"/>
          <w:sz w:val="24"/>
          <w:szCs w:val="24"/>
          <w:lang w:val="en-US"/>
        </w:rPr>
        <w:t xml:space="preserve"> ‘be suspended until an independent valuator is appointed that is acceptable to both SARS and our client’.</w:t>
      </w:r>
    </w:p>
    <w:p w14:paraId="01BF9020" w14:textId="2D08D7DE" w:rsidR="001401DE" w:rsidRDefault="001401DE" w:rsidP="00BD73E7">
      <w:pPr>
        <w:spacing w:after="0" w:line="360" w:lineRule="auto"/>
        <w:jc w:val="both"/>
        <w:rPr>
          <w:rFonts w:ascii="Arial" w:hAnsi="Arial" w:cs="Arial"/>
          <w:sz w:val="24"/>
          <w:szCs w:val="24"/>
          <w:lang w:val="en-US"/>
        </w:rPr>
      </w:pPr>
    </w:p>
    <w:p w14:paraId="474E3AFD" w14:textId="2F598AF6" w:rsidR="001401DE" w:rsidRDefault="001401DE" w:rsidP="00BD73E7">
      <w:pPr>
        <w:spacing w:after="0" w:line="360" w:lineRule="auto"/>
        <w:jc w:val="both"/>
        <w:rPr>
          <w:rFonts w:ascii="Arial" w:hAnsi="Arial" w:cs="Arial"/>
          <w:sz w:val="24"/>
          <w:szCs w:val="24"/>
          <w:lang w:val="en-US"/>
        </w:rPr>
      </w:pPr>
      <w:r>
        <w:rPr>
          <w:rFonts w:ascii="Arial" w:hAnsi="Arial" w:cs="Arial"/>
          <w:sz w:val="24"/>
          <w:szCs w:val="24"/>
          <w:lang w:val="en-US"/>
        </w:rPr>
        <w:t>[2</w:t>
      </w:r>
      <w:r w:rsidR="005222E3">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t xml:space="preserve">Venmyn Rand (Pty) Ltd (Venmyn) </w:t>
      </w:r>
      <w:r w:rsidR="0027171C">
        <w:rPr>
          <w:rFonts w:ascii="Arial" w:hAnsi="Arial" w:cs="Arial"/>
          <w:sz w:val="24"/>
          <w:szCs w:val="24"/>
          <w:lang w:val="en-US"/>
        </w:rPr>
        <w:t>was</w:t>
      </w:r>
      <w:r w:rsidR="00E96FF5">
        <w:rPr>
          <w:rFonts w:ascii="Arial" w:hAnsi="Arial" w:cs="Arial"/>
          <w:sz w:val="24"/>
          <w:szCs w:val="24"/>
          <w:lang w:val="en-US"/>
        </w:rPr>
        <w:t xml:space="preserve"> then</w:t>
      </w:r>
      <w:r w:rsidR="0027171C">
        <w:rPr>
          <w:rFonts w:ascii="Arial" w:hAnsi="Arial" w:cs="Arial"/>
          <w:sz w:val="24"/>
          <w:szCs w:val="24"/>
          <w:lang w:val="en-US"/>
        </w:rPr>
        <w:t xml:space="preserve"> commissioned by SARS to value the NMC shares. A second valuation was obtained from Mr Dave Thayser. On the strength of these valuations, SARS delivered </w:t>
      </w:r>
      <w:r w:rsidR="005222E3">
        <w:rPr>
          <w:rFonts w:ascii="Arial" w:hAnsi="Arial" w:cs="Arial"/>
          <w:sz w:val="24"/>
          <w:szCs w:val="24"/>
          <w:lang w:val="en-US"/>
        </w:rPr>
        <w:t>another</w:t>
      </w:r>
      <w:r w:rsidR="0027171C">
        <w:rPr>
          <w:rFonts w:ascii="Arial" w:hAnsi="Arial" w:cs="Arial"/>
          <w:sz w:val="24"/>
          <w:szCs w:val="24"/>
          <w:lang w:val="en-US"/>
        </w:rPr>
        <w:t xml:space="preserve"> additional assessment, to which the taxpayer objected.</w:t>
      </w:r>
      <w:r w:rsidR="00101FE2">
        <w:rPr>
          <w:rFonts w:ascii="Arial" w:hAnsi="Arial" w:cs="Arial"/>
          <w:sz w:val="24"/>
          <w:szCs w:val="24"/>
          <w:lang w:val="en-US"/>
        </w:rPr>
        <w:t xml:space="preserve"> That is the assessment of relevance in this matter.</w:t>
      </w:r>
      <w:r w:rsidR="0027171C">
        <w:rPr>
          <w:rFonts w:ascii="Arial" w:hAnsi="Arial" w:cs="Arial"/>
          <w:sz w:val="24"/>
          <w:szCs w:val="24"/>
          <w:lang w:val="en-US"/>
        </w:rPr>
        <w:t xml:space="preserve">   </w:t>
      </w:r>
    </w:p>
    <w:p w14:paraId="38A1D290" w14:textId="77777777" w:rsidR="002038A1" w:rsidRDefault="002038A1" w:rsidP="00BD73E7">
      <w:pPr>
        <w:spacing w:after="0" w:line="360" w:lineRule="auto"/>
        <w:jc w:val="both"/>
        <w:rPr>
          <w:rFonts w:ascii="Arial" w:hAnsi="Arial" w:cs="Arial"/>
          <w:sz w:val="24"/>
          <w:szCs w:val="24"/>
          <w:lang w:val="en-US"/>
        </w:rPr>
      </w:pPr>
    </w:p>
    <w:p w14:paraId="6603DAE1" w14:textId="4BC64CF0" w:rsidR="00962017" w:rsidRDefault="00962017" w:rsidP="00BD73E7">
      <w:pPr>
        <w:spacing w:after="0" w:line="360" w:lineRule="auto"/>
        <w:jc w:val="both"/>
        <w:rPr>
          <w:rFonts w:ascii="Arial" w:hAnsi="Arial" w:cs="Arial"/>
          <w:sz w:val="24"/>
          <w:szCs w:val="24"/>
          <w:lang w:val="en-US"/>
        </w:rPr>
      </w:pPr>
      <w:r>
        <w:rPr>
          <w:rFonts w:ascii="Arial" w:hAnsi="Arial" w:cs="Arial"/>
          <w:sz w:val="24"/>
          <w:szCs w:val="24"/>
          <w:lang w:val="en-US"/>
        </w:rPr>
        <w:t>[2</w:t>
      </w:r>
      <w:r w:rsidR="005222E3">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t>The taxpayer’s grounds of objection</w:t>
      </w:r>
      <w:r w:rsidR="005C40AF">
        <w:rPr>
          <w:rFonts w:ascii="Arial" w:hAnsi="Arial" w:cs="Arial"/>
          <w:sz w:val="24"/>
          <w:szCs w:val="24"/>
          <w:lang w:val="en-US"/>
        </w:rPr>
        <w:t>, in terms of rule 7,</w:t>
      </w:r>
      <w:r>
        <w:rPr>
          <w:rFonts w:ascii="Arial" w:hAnsi="Arial" w:cs="Arial"/>
          <w:sz w:val="24"/>
          <w:szCs w:val="24"/>
          <w:lang w:val="en-US"/>
        </w:rPr>
        <w:t xml:space="preserve"> focused on one issue. It was that Venmyn’s valuation of the NMC shares, confirmed in a slightly lower amount by Thayser,</w:t>
      </w:r>
      <w:r w:rsidR="00556F4B">
        <w:rPr>
          <w:rFonts w:ascii="Arial" w:hAnsi="Arial" w:cs="Arial"/>
          <w:sz w:val="24"/>
          <w:szCs w:val="24"/>
          <w:lang w:val="en-US"/>
        </w:rPr>
        <w:t xml:space="preserve"> was ‘grossly overstated’ and that, in accordance with </w:t>
      </w:r>
      <w:r w:rsidR="005222E3">
        <w:rPr>
          <w:rFonts w:ascii="Arial" w:hAnsi="Arial" w:cs="Arial"/>
          <w:sz w:val="24"/>
          <w:szCs w:val="24"/>
          <w:lang w:val="en-US"/>
        </w:rPr>
        <w:t xml:space="preserve">a valuation made by </w:t>
      </w:r>
      <w:r w:rsidR="00556F4B">
        <w:rPr>
          <w:rFonts w:ascii="Arial" w:hAnsi="Arial" w:cs="Arial"/>
          <w:sz w:val="24"/>
          <w:szCs w:val="24"/>
          <w:lang w:val="en-US"/>
        </w:rPr>
        <w:t>Fin5, the shares should have been valued at –R136 million.</w:t>
      </w:r>
      <w:r>
        <w:rPr>
          <w:rFonts w:ascii="Arial" w:hAnsi="Arial" w:cs="Arial"/>
          <w:sz w:val="24"/>
          <w:szCs w:val="24"/>
          <w:lang w:val="en-US"/>
        </w:rPr>
        <w:t xml:space="preserve">  </w:t>
      </w:r>
    </w:p>
    <w:p w14:paraId="3B7EF825" w14:textId="77777777" w:rsidR="00556F4B" w:rsidRDefault="00556F4B" w:rsidP="00BD73E7">
      <w:pPr>
        <w:spacing w:after="0" w:line="360" w:lineRule="auto"/>
        <w:jc w:val="both"/>
        <w:rPr>
          <w:rFonts w:ascii="Arial" w:hAnsi="Arial" w:cs="Arial"/>
          <w:sz w:val="24"/>
          <w:szCs w:val="24"/>
          <w:lang w:val="en-US"/>
        </w:rPr>
      </w:pPr>
    </w:p>
    <w:p w14:paraId="636CA4B7" w14:textId="0749AD4C" w:rsidR="00DC238A" w:rsidRDefault="0027171C" w:rsidP="00BD73E7">
      <w:pPr>
        <w:spacing w:after="0" w:line="360" w:lineRule="auto"/>
        <w:jc w:val="both"/>
        <w:rPr>
          <w:rFonts w:ascii="Arial" w:hAnsi="Arial" w:cs="Arial"/>
          <w:sz w:val="24"/>
          <w:szCs w:val="24"/>
          <w:lang w:val="en-US"/>
        </w:rPr>
      </w:pPr>
      <w:r>
        <w:rPr>
          <w:rFonts w:ascii="Arial" w:hAnsi="Arial" w:cs="Arial"/>
          <w:sz w:val="24"/>
          <w:szCs w:val="24"/>
          <w:lang w:val="en-US"/>
        </w:rPr>
        <w:lastRenderedPageBreak/>
        <w:t>[</w:t>
      </w:r>
      <w:r w:rsidR="005222E3">
        <w:rPr>
          <w:rFonts w:ascii="Arial" w:hAnsi="Arial" w:cs="Arial"/>
          <w:sz w:val="24"/>
          <w:szCs w:val="24"/>
          <w:lang w:val="en-US"/>
        </w:rPr>
        <w:t>30</w:t>
      </w:r>
      <w:r>
        <w:rPr>
          <w:rFonts w:ascii="Arial" w:hAnsi="Arial" w:cs="Arial"/>
          <w:sz w:val="24"/>
          <w:szCs w:val="24"/>
          <w:lang w:val="en-US"/>
        </w:rPr>
        <w:t>]</w:t>
      </w:r>
      <w:r>
        <w:rPr>
          <w:rFonts w:ascii="Arial" w:hAnsi="Arial" w:cs="Arial"/>
          <w:sz w:val="24"/>
          <w:szCs w:val="24"/>
          <w:lang w:val="en-US"/>
        </w:rPr>
        <w:tab/>
      </w:r>
      <w:r w:rsidR="008535F0">
        <w:rPr>
          <w:rFonts w:ascii="Arial" w:hAnsi="Arial" w:cs="Arial"/>
          <w:sz w:val="24"/>
          <w:szCs w:val="24"/>
          <w:lang w:val="en-US"/>
        </w:rPr>
        <w:t xml:space="preserve">The Commissioner </w:t>
      </w:r>
      <w:r w:rsidR="00556F4B">
        <w:rPr>
          <w:rFonts w:ascii="Arial" w:hAnsi="Arial" w:cs="Arial"/>
          <w:sz w:val="24"/>
          <w:szCs w:val="24"/>
          <w:lang w:val="en-US"/>
        </w:rPr>
        <w:t>d</w:t>
      </w:r>
      <w:r w:rsidR="008535F0">
        <w:rPr>
          <w:rFonts w:ascii="Arial" w:hAnsi="Arial" w:cs="Arial"/>
          <w:sz w:val="24"/>
          <w:szCs w:val="24"/>
          <w:lang w:val="en-US"/>
        </w:rPr>
        <w:t>isallow</w:t>
      </w:r>
      <w:r w:rsidR="005679E1">
        <w:rPr>
          <w:rFonts w:ascii="Arial" w:hAnsi="Arial" w:cs="Arial"/>
          <w:sz w:val="24"/>
          <w:szCs w:val="24"/>
          <w:lang w:val="en-US"/>
        </w:rPr>
        <w:t>ed</w:t>
      </w:r>
      <w:r w:rsidR="008535F0">
        <w:rPr>
          <w:rFonts w:ascii="Arial" w:hAnsi="Arial" w:cs="Arial"/>
          <w:sz w:val="24"/>
          <w:szCs w:val="24"/>
          <w:lang w:val="en-US"/>
        </w:rPr>
        <w:t xml:space="preserve"> </w:t>
      </w:r>
      <w:r w:rsidR="00556F4B">
        <w:rPr>
          <w:rFonts w:ascii="Arial" w:hAnsi="Arial" w:cs="Arial"/>
          <w:sz w:val="24"/>
          <w:szCs w:val="24"/>
          <w:lang w:val="en-US"/>
        </w:rPr>
        <w:t>the o</w:t>
      </w:r>
      <w:r w:rsidR="008535F0">
        <w:rPr>
          <w:rFonts w:ascii="Arial" w:hAnsi="Arial" w:cs="Arial"/>
          <w:sz w:val="24"/>
          <w:szCs w:val="24"/>
          <w:lang w:val="en-US"/>
        </w:rPr>
        <w:t>bjection</w:t>
      </w:r>
      <w:r w:rsidR="005679E1">
        <w:rPr>
          <w:rFonts w:ascii="Arial" w:hAnsi="Arial" w:cs="Arial"/>
          <w:sz w:val="24"/>
          <w:szCs w:val="24"/>
          <w:lang w:val="en-US"/>
        </w:rPr>
        <w:t xml:space="preserve"> and </w:t>
      </w:r>
      <w:r w:rsidR="00EE5C1F">
        <w:rPr>
          <w:rFonts w:ascii="Arial" w:hAnsi="Arial" w:cs="Arial"/>
          <w:sz w:val="24"/>
          <w:szCs w:val="24"/>
          <w:lang w:val="en-US"/>
        </w:rPr>
        <w:t xml:space="preserve">furnished </w:t>
      </w:r>
      <w:r w:rsidR="00556F4B">
        <w:rPr>
          <w:rFonts w:ascii="Arial" w:hAnsi="Arial" w:cs="Arial"/>
          <w:sz w:val="24"/>
          <w:szCs w:val="24"/>
          <w:lang w:val="en-US"/>
        </w:rPr>
        <w:t>t</w:t>
      </w:r>
      <w:r w:rsidR="00EE5C1F">
        <w:rPr>
          <w:rFonts w:ascii="Arial" w:hAnsi="Arial" w:cs="Arial"/>
          <w:sz w:val="24"/>
          <w:szCs w:val="24"/>
          <w:lang w:val="en-US"/>
        </w:rPr>
        <w:t>h</w:t>
      </w:r>
      <w:r w:rsidR="00556F4B">
        <w:rPr>
          <w:rFonts w:ascii="Arial" w:hAnsi="Arial" w:cs="Arial"/>
          <w:sz w:val="24"/>
          <w:szCs w:val="24"/>
          <w:lang w:val="en-US"/>
        </w:rPr>
        <w:t>e following</w:t>
      </w:r>
      <w:r w:rsidR="00EE5C1F">
        <w:rPr>
          <w:rFonts w:ascii="Arial" w:hAnsi="Arial" w:cs="Arial"/>
          <w:sz w:val="24"/>
          <w:szCs w:val="24"/>
          <w:lang w:val="en-US"/>
        </w:rPr>
        <w:t xml:space="preserve"> reasons for </w:t>
      </w:r>
      <w:r w:rsidR="00556F4B">
        <w:rPr>
          <w:rFonts w:ascii="Arial" w:hAnsi="Arial" w:cs="Arial"/>
          <w:sz w:val="24"/>
          <w:szCs w:val="24"/>
          <w:lang w:val="en-US"/>
        </w:rPr>
        <w:t>his decision</w:t>
      </w:r>
      <w:r w:rsidR="00EE5C1F">
        <w:rPr>
          <w:rFonts w:ascii="Arial" w:hAnsi="Arial" w:cs="Arial"/>
          <w:sz w:val="24"/>
          <w:szCs w:val="24"/>
          <w:lang w:val="en-US"/>
        </w:rPr>
        <w:t xml:space="preserve">. He </w:t>
      </w:r>
      <w:r w:rsidR="007C4A7C">
        <w:rPr>
          <w:rFonts w:ascii="Arial" w:hAnsi="Arial" w:cs="Arial"/>
          <w:sz w:val="24"/>
          <w:szCs w:val="24"/>
          <w:lang w:val="en-US"/>
        </w:rPr>
        <w:t xml:space="preserve">stated </w:t>
      </w:r>
      <w:r w:rsidR="00EE5C1F">
        <w:rPr>
          <w:rFonts w:ascii="Arial" w:hAnsi="Arial" w:cs="Arial"/>
          <w:sz w:val="24"/>
          <w:szCs w:val="24"/>
          <w:lang w:val="en-US"/>
        </w:rPr>
        <w:t>that the share transfer to the trust in effect ‘constituted a transferal of 50% of the total Umthombo shares’. Venmyn</w:t>
      </w:r>
      <w:r w:rsidR="00C746C7">
        <w:rPr>
          <w:rFonts w:ascii="Arial" w:hAnsi="Arial" w:cs="Arial"/>
          <w:sz w:val="24"/>
          <w:szCs w:val="24"/>
          <w:lang w:val="en-US"/>
        </w:rPr>
        <w:t xml:space="preserve"> considered that ‘the most appropriate and fair value of mineral assets of the company should be based on the values derived from the Venmyn commodity valuation curve’ and</w:t>
      </w:r>
      <w:r w:rsidR="00EE5C1F">
        <w:rPr>
          <w:rFonts w:ascii="Arial" w:hAnsi="Arial" w:cs="Arial"/>
          <w:sz w:val="24"/>
          <w:szCs w:val="24"/>
          <w:lang w:val="en-US"/>
        </w:rPr>
        <w:t xml:space="preserve"> concluded</w:t>
      </w:r>
      <w:r w:rsidR="00556F4B">
        <w:rPr>
          <w:rFonts w:ascii="Arial" w:hAnsi="Arial" w:cs="Arial"/>
          <w:sz w:val="24"/>
          <w:szCs w:val="24"/>
          <w:lang w:val="en-US"/>
        </w:rPr>
        <w:t>, on this basis,</w:t>
      </w:r>
      <w:r w:rsidR="00EE5C1F">
        <w:rPr>
          <w:rFonts w:ascii="Arial" w:hAnsi="Arial" w:cs="Arial"/>
          <w:sz w:val="24"/>
          <w:szCs w:val="24"/>
          <w:lang w:val="en-US"/>
        </w:rPr>
        <w:t xml:space="preserve"> that </w:t>
      </w:r>
      <w:r w:rsidR="00C746C7">
        <w:rPr>
          <w:rFonts w:ascii="Arial" w:hAnsi="Arial" w:cs="Arial"/>
          <w:sz w:val="24"/>
          <w:szCs w:val="24"/>
          <w:lang w:val="en-US"/>
        </w:rPr>
        <w:t>Umthombo’s</w:t>
      </w:r>
      <w:r w:rsidR="00EE5C1F">
        <w:rPr>
          <w:rFonts w:ascii="Arial" w:hAnsi="Arial" w:cs="Arial"/>
          <w:sz w:val="24"/>
          <w:szCs w:val="24"/>
          <w:lang w:val="en-US"/>
        </w:rPr>
        <w:t xml:space="preserve"> fair value</w:t>
      </w:r>
      <w:r w:rsidR="00556F4B">
        <w:rPr>
          <w:rFonts w:ascii="Arial" w:hAnsi="Arial" w:cs="Arial"/>
          <w:sz w:val="24"/>
          <w:szCs w:val="24"/>
          <w:lang w:val="en-US"/>
        </w:rPr>
        <w:t xml:space="preserve"> – and hence that of the NMC shares</w:t>
      </w:r>
      <w:r w:rsidR="0028108E">
        <w:rPr>
          <w:rFonts w:ascii="Arial" w:hAnsi="Arial" w:cs="Arial"/>
          <w:sz w:val="24"/>
          <w:szCs w:val="24"/>
          <w:lang w:val="en-US"/>
        </w:rPr>
        <w:t>,</w:t>
      </w:r>
      <w:r w:rsidR="00EE5C1F">
        <w:rPr>
          <w:rFonts w:ascii="Arial" w:hAnsi="Arial" w:cs="Arial"/>
          <w:sz w:val="24"/>
          <w:szCs w:val="24"/>
          <w:lang w:val="en-US"/>
        </w:rPr>
        <w:t xml:space="preserve"> was R</w:t>
      </w:r>
      <w:r w:rsidR="00C746C7">
        <w:rPr>
          <w:rFonts w:ascii="Arial" w:hAnsi="Arial" w:cs="Arial"/>
          <w:sz w:val="24"/>
          <w:szCs w:val="24"/>
          <w:lang w:val="en-US"/>
        </w:rPr>
        <w:t xml:space="preserve">562 million. </w:t>
      </w:r>
      <w:r w:rsidR="00556F4B">
        <w:rPr>
          <w:rFonts w:ascii="Arial" w:hAnsi="Arial" w:cs="Arial"/>
          <w:sz w:val="24"/>
          <w:szCs w:val="24"/>
          <w:lang w:val="en-US"/>
        </w:rPr>
        <w:t>In the</w:t>
      </w:r>
      <w:r w:rsidR="00C746C7">
        <w:rPr>
          <w:rFonts w:ascii="Arial" w:hAnsi="Arial" w:cs="Arial"/>
          <w:sz w:val="24"/>
          <w:szCs w:val="24"/>
          <w:lang w:val="en-US"/>
        </w:rPr>
        <w:t xml:space="preserve"> second opinion</w:t>
      </w:r>
      <w:r w:rsidR="00556F4B">
        <w:rPr>
          <w:rFonts w:ascii="Arial" w:hAnsi="Arial" w:cs="Arial"/>
          <w:sz w:val="24"/>
          <w:szCs w:val="24"/>
          <w:lang w:val="en-US"/>
        </w:rPr>
        <w:t xml:space="preserve">, </w:t>
      </w:r>
      <w:r w:rsidR="00C746C7">
        <w:rPr>
          <w:rFonts w:ascii="Arial" w:hAnsi="Arial" w:cs="Arial"/>
          <w:sz w:val="24"/>
          <w:szCs w:val="24"/>
          <w:lang w:val="en-US"/>
        </w:rPr>
        <w:t xml:space="preserve">Thayser had been </w:t>
      </w:r>
      <w:r w:rsidR="00556F4B">
        <w:rPr>
          <w:rFonts w:ascii="Arial" w:hAnsi="Arial" w:cs="Arial"/>
          <w:sz w:val="24"/>
          <w:szCs w:val="24"/>
          <w:lang w:val="en-US"/>
        </w:rPr>
        <w:t xml:space="preserve">of the view </w:t>
      </w:r>
      <w:r w:rsidR="00DC238A">
        <w:rPr>
          <w:rFonts w:ascii="Arial" w:hAnsi="Arial" w:cs="Arial"/>
          <w:sz w:val="24"/>
          <w:szCs w:val="24"/>
          <w:lang w:val="en-US"/>
        </w:rPr>
        <w:t>that the most appropriate valuation method</w:t>
      </w:r>
      <w:r w:rsidR="00E96FF5">
        <w:rPr>
          <w:rFonts w:ascii="Arial" w:hAnsi="Arial" w:cs="Arial"/>
          <w:sz w:val="24"/>
          <w:szCs w:val="24"/>
          <w:lang w:val="en-US"/>
        </w:rPr>
        <w:t>, namely the net asset value method,</w:t>
      </w:r>
      <w:r w:rsidR="00DC238A">
        <w:rPr>
          <w:rFonts w:ascii="Arial" w:hAnsi="Arial" w:cs="Arial"/>
          <w:sz w:val="24"/>
          <w:szCs w:val="24"/>
          <w:lang w:val="en-US"/>
        </w:rPr>
        <w:t xml:space="preserve"> had been used by Venmyn</w:t>
      </w:r>
      <w:r w:rsidR="00556F4B">
        <w:rPr>
          <w:rFonts w:ascii="Arial" w:hAnsi="Arial" w:cs="Arial"/>
          <w:sz w:val="24"/>
          <w:szCs w:val="24"/>
          <w:lang w:val="en-US"/>
        </w:rPr>
        <w:t>,</w:t>
      </w:r>
      <w:r w:rsidR="00DC238A">
        <w:rPr>
          <w:rFonts w:ascii="Arial" w:hAnsi="Arial" w:cs="Arial"/>
          <w:sz w:val="24"/>
          <w:szCs w:val="24"/>
          <w:lang w:val="en-US"/>
        </w:rPr>
        <w:t xml:space="preserve"> but he valued Umthombo</w:t>
      </w:r>
      <w:r w:rsidR="00556F4B">
        <w:rPr>
          <w:rFonts w:ascii="Arial" w:hAnsi="Arial" w:cs="Arial"/>
          <w:sz w:val="24"/>
          <w:szCs w:val="24"/>
          <w:lang w:val="en-US"/>
        </w:rPr>
        <w:t>, and hence the NMC shares,</w:t>
      </w:r>
      <w:r w:rsidR="00DC238A">
        <w:rPr>
          <w:rFonts w:ascii="Arial" w:hAnsi="Arial" w:cs="Arial"/>
          <w:sz w:val="24"/>
          <w:szCs w:val="24"/>
          <w:lang w:val="en-US"/>
        </w:rPr>
        <w:t xml:space="preserve"> at R548.1 million. The Commissioner accepted Thayser’s lower figure, and so </w:t>
      </w:r>
      <w:r w:rsidR="00E32FA3">
        <w:rPr>
          <w:rFonts w:ascii="Arial" w:hAnsi="Arial" w:cs="Arial"/>
          <w:sz w:val="24"/>
          <w:szCs w:val="24"/>
          <w:lang w:val="en-US"/>
        </w:rPr>
        <w:t>used</w:t>
      </w:r>
      <w:r w:rsidR="00DC238A">
        <w:rPr>
          <w:rFonts w:ascii="Arial" w:hAnsi="Arial" w:cs="Arial"/>
          <w:sz w:val="24"/>
          <w:szCs w:val="24"/>
          <w:lang w:val="en-US"/>
        </w:rPr>
        <w:t xml:space="preserve"> a figure of half of R548.1 million, namely R274 050</w:t>
      </w:r>
      <w:r w:rsidR="00566F9F">
        <w:rPr>
          <w:rFonts w:ascii="Arial" w:hAnsi="Arial" w:cs="Arial"/>
          <w:sz w:val="24"/>
          <w:szCs w:val="24"/>
          <w:lang w:val="en-US"/>
        </w:rPr>
        <w:t> </w:t>
      </w:r>
      <w:r w:rsidR="00DC238A">
        <w:rPr>
          <w:rFonts w:ascii="Arial" w:hAnsi="Arial" w:cs="Arial"/>
          <w:sz w:val="24"/>
          <w:szCs w:val="24"/>
          <w:lang w:val="en-US"/>
        </w:rPr>
        <w:t>000</w:t>
      </w:r>
      <w:r w:rsidR="00566F9F">
        <w:rPr>
          <w:rFonts w:ascii="Arial" w:hAnsi="Arial" w:cs="Arial"/>
          <w:sz w:val="24"/>
          <w:szCs w:val="24"/>
          <w:lang w:val="en-US"/>
        </w:rPr>
        <w:t xml:space="preserve">, </w:t>
      </w:r>
      <w:r w:rsidR="00566F9F" w:rsidRPr="00C779A2">
        <w:rPr>
          <w:rFonts w:ascii="Arial" w:hAnsi="Arial" w:cs="Arial"/>
          <w:sz w:val="24"/>
          <w:szCs w:val="24"/>
          <w:lang w:val="en-US"/>
        </w:rPr>
        <w:t>for</w:t>
      </w:r>
      <w:r w:rsidR="00B27B16" w:rsidRPr="00C779A2">
        <w:rPr>
          <w:rFonts w:ascii="Arial" w:hAnsi="Arial" w:cs="Arial"/>
          <w:sz w:val="24"/>
          <w:szCs w:val="24"/>
          <w:lang w:val="en-US"/>
        </w:rPr>
        <w:t xml:space="preserve"> the</w:t>
      </w:r>
      <w:r w:rsidR="00566F9F">
        <w:rPr>
          <w:rFonts w:ascii="Arial" w:hAnsi="Arial" w:cs="Arial"/>
          <w:sz w:val="24"/>
          <w:szCs w:val="24"/>
          <w:lang w:val="en-US"/>
        </w:rPr>
        <w:t xml:space="preserve"> purposes of determining the taxpayer’s donations tax and capital gains tax liabilities.</w:t>
      </w:r>
    </w:p>
    <w:p w14:paraId="17F1C5C3" w14:textId="77777777" w:rsidR="00DC238A" w:rsidRDefault="00DC238A" w:rsidP="00BD73E7">
      <w:pPr>
        <w:spacing w:after="0" w:line="360" w:lineRule="auto"/>
        <w:jc w:val="both"/>
        <w:rPr>
          <w:rFonts w:ascii="Arial" w:hAnsi="Arial" w:cs="Arial"/>
          <w:sz w:val="24"/>
          <w:szCs w:val="24"/>
          <w:lang w:val="en-US"/>
        </w:rPr>
      </w:pPr>
    </w:p>
    <w:p w14:paraId="3757C2CB" w14:textId="3BA977A0" w:rsidR="00161E17" w:rsidRDefault="00671AD4" w:rsidP="00BD73E7">
      <w:pPr>
        <w:spacing w:after="0" w:line="360" w:lineRule="auto"/>
        <w:jc w:val="both"/>
        <w:rPr>
          <w:rFonts w:ascii="Arial" w:hAnsi="Arial" w:cs="Arial"/>
          <w:sz w:val="24"/>
          <w:szCs w:val="24"/>
          <w:lang w:val="en-US"/>
        </w:rPr>
      </w:pPr>
      <w:r>
        <w:rPr>
          <w:rFonts w:ascii="Arial" w:hAnsi="Arial" w:cs="Arial"/>
          <w:sz w:val="24"/>
          <w:szCs w:val="24"/>
          <w:lang w:val="en-US"/>
        </w:rPr>
        <w:t>[</w:t>
      </w:r>
      <w:r w:rsidR="005222E3">
        <w:rPr>
          <w:rFonts w:ascii="Arial" w:hAnsi="Arial" w:cs="Arial"/>
          <w:sz w:val="24"/>
          <w:szCs w:val="24"/>
          <w:lang w:val="en-US"/>
        </w:rPr>
        <w:t>31</w:t>
      </w:r>
      <w:r>
        <w:rPr>
          <w:rFonts w:ascii="Arial" w:hAnsi="Arial" w:cs="Arial"/>
          <w:sz w:val="24"/>
          <w:szCs w:val="24"/>
          <w:lang w:val="en-US"/>
        </w:rPr>
        <w:t>]</w:t>
      </w:r>
      <w:r>
        <w:rPr>
          <w:rFonts w:ascii="Arial" w:hAnsi="Arial" w:cs="Arial"/>
          <w:sz w:val="24"/>
          <w:szCs w:val="24"/>
          <w:lang w:val="en-US"/>
        </w:rPr>
        <w:tab/>
        <w:t xml:space="preserve">The Commissioner, after stating that the </w:t>
      </w:r>
      <w:r w:rsidRPr="00C779A2">
        <w:rPr>
          <w:rFonts w:ascii="Arial" w:hAnsi="Arial" w:cs="Arial"/>
          <w:sz w:val="24"/>
          <w:szCs w:val="24"/>
          <w:lang w:val="en-US"/>
        </w:rPr>
        <w:t>N</w:t>
      </w:r>
      <w:r w:rsidR="00B27B16" w:rsidRPr="00C779A2">
        <w:rPr>
          <w:rFonts w:ascii="Arial" w:hAnsi="Arial" w:cs="Arial"/>
          <w:sz w:val="24"/>
          <w:szCs w:val="24"/>
          <w:lang w:val="en-US"/>
        </w:rPr>
        <w:t>M</w:t>
      </w:r>
      <w:r w:rsidRPr="00C779A2">
        <w:rPr>
          <w:rFonts w:ascii="Arial" w:hAnsi="Arial" w:cs="Arial"/>
          <w:sz w:val="24"/>
          <w:szCs w:val="24"/>
          <w:lang w:val="en-US"/>
        </w:rPr>
        <w:t>C</w:t>
      </w:r>
      <w:r>
        <w:rPr>
          <w:rFonts w:ascii="Arial" w:hAnsi="Arial" w:cs="Arial"/>
          <w:sz w:val="24"/>
          <w:szCs w:val="24"/>
          <w:lang w:val="en-US"/>
        </w:rPr>
        <w:t xml:space="preserve"> shares had been sold to the trust for R547 275, concluded that they had been disposed of for an inadequate consideration, </w:t>
      </w:r>
      <w:r w:rsidR="00DC7BD7">
        <w:rPr>
          <w:rFonts w:ascii="Arial" w:hAnsi="Arial" w:cs="Arial"/>
          <w:sz w:val="24"/>
          <w:szCs w:val="24"/>
          <w:lang w:val="en-US"/>
        </w:rPr>
        <w:t>and</w:t>
      </w:r>
      <w:r>
        <w:rPr>
          <w:rFonts w:ascii="Arial" w:hAnsi="Arial" w:cs="Arial"/>
          <w:sz w:val="24"/>
          <w:szCs w:val="24"/>
          <w:lang w:val="en-US"/>
        </w:rPr>
        <w:t xml:space="preserve"> were deemed to have been disposed of as a donation, in terms of s 58 of the Income Tax Act. As the shares had a market value of R274 050 000, donations tax and capital gains tax had been levied on the basis of this </w:t>
      </w:r>
      <w:r w:rsidR="00E32FA3">
        <w:rPr>
          <w:rFonts w:ascii="Arial" w:hAnsi="Arial" w:cs="Arial"/>
          <w:sz w:val="24"/>
          <w:szCs w:val="24"/>
          <w:lang w:val="en-US"/>
        </w:rPr>
        <w:t>v</w:t>
      </w:r>
      <w:r>
        <w:rPr>
          <w:rFonts w:ascii="Arial" w:hAnsi="Arial" w:cs="Arial"/>
          <w:sz w:val="24"/>
          <w:szCs w:val="24"/>
          <w:lang w:val="en-US"/>
        </w:rPr>
        <w:t>alue.</w:t>
      </w:r>
      <w:r w:rsidR="005679E1">
        <w:rPr>
          <w:rFonts w:ascii="Arial" w:hAnsi="Arial" w:cs="Arial"/>
          <w:sz w:val="24"/>
          <w:szCs w:val="24"/>
          <w:lang w:val="en-US"/>
        </w:rPr>
        <w:t xml:space="preserve"> </w:t>
      </w:r>
      <w:r w:rsidR="00CB06F7">
        <w:rPr>
          <w:rFonts w:ascii="Arial" w:hAnsi="Arial" w:cs="Arial"/>
          <w:sz w:val="24"/>
          <w:szCs w:val="24"/>
          <w:lang w:val="en-US"/>
        </w:rPr>
        <w:t>The Commissioner summarized the taxpayer’s grounds of objection</w:t>
      </w:r>
      <w:r w:rsidR="005679E1">
        <w:rPr>
          <w:rFonts w:ascii="Arial" w:hAnsi="Arial" w:cs="Arial"/>
          <w:sz w:val="24"/>
          <w:szCs w:val="24"/>
          <w:lang w:val="en-US"/>
        </w:rPr>
        <w:t xml:space="preserve"> as being that, </w:t>
      </w:r>
      <w:r w:rsidR="00CB06F7">
        <w:rPr>
          <w:rFonts w:ascii="Arial" w:hAnsi="Arial" w:cs="Arial"/>
          <w:sz w:val="24"/>
          <w:szCs w:val="24"/>
          <w:lang w:val="en-US"/>
        </w:rPr>
        <w:t xml:space="preserve">in relation to the value of the </w:t>
      </w:r>
      <w:r w:rsidR="00DC7BD7">
        <w:rPr>
          <w:rFonts w:ascii="Arial" w:hAnsi="Arial" w:cs="Arial"/>
          <w:sz w:val="24"/>
          <w:szCs w:val="24"/>
          <w:lang w:val="en-US"/>
        </w:rPr>
        <w:t xml:space="preserve">NMC </w:t>
      </w:r>
      <w:r w:rsidR="00CB06F7">
        <w:rPr>
          <w:rFonts w:ascii="Arial" w:hAnsi="Arial" w:cs="Arial"/>
          <w:sz w:val="24"/>
          <w:szCs w:val="24"/>
          <w:lang w:val="en-US"/>
        </w:rPr>
        <w:t>shares</w:t>
      </w:r>
      <w:r w:rsidR="00DC7BD7">
        <w:rPr>
          <w:rFonts w:ascii="Arial" w:hAnsi="Arial" w:cs="Arial"/>
          <w:sz w:val="24"/>
          <w:szCs w:val="24"/>
          <w:lang w:val="en-US"/>
        </w:rPr>
        <w:t>, t</w:t>
      </w:r>
      <w:r w:rsidR="00CB06F7">
        <w:rPr>
          <w:rFonts w:ascii="Arial" w:hAnsi="Arial" w:cs="Arial"/>
          <w:sz w:val="24"/>
          <w:szCs w:val="24"/>
          <w:lang w:val="en-US"/>
        </w:rPr>
        <w:t>he taxpayer</w:t>
      </w:r>
      <w:r w:rsidR="00DC7BD7">
        <w:rPr>
          <w:rFonts w:ascii="Arial" w:hAnsi="Arial" w:cs="Arial"/>
          <w:sz w:val="24"/>
          <w:szCs w:val="24"/>
          <w:lang w:val="en-US"/>
        </w:rPr>
        <w:t xml:space="preserve"> assert</w:t>
      </w:r>
      <w:r w:rsidR="005679E1">
        <w:rPr>
          <w:rFonts w:ascii="Arial" w:hAnsi="Arial" w:cs="Arial"/>
          <w:sz w:val="24"/>
          <w:szCs w:val="24"/>
          <w:lang w:val="en-US"/>
        </w:rPr>
        <w:t>ed</w:t>
      </w:r>
      <w:r w:rsidR="00DC7BD7">
        <w:rPr>
          <w:rFonts w:ascii="Arial" w:hAnsi="Arial" w:cs="Arial"/>
          <w:sz w:val="24"/>
          <w:szCs w:val="24"/>
          <w:lang w:val="en-US"/>
        </w:rPr>
        <w:t xml:space="preserve"> that the </w:t>
      </w:r>
      <w:r w:rsidR="00CB06F7">
        <w:rPr>
          <w:rFonts w:ascii="Arial" w:hAnsi="Arial" w:cs="Arial"/>
          <w:sz w:val="24"/>
          <w:szCs w:val="24"/>
          <w:lang w:val="en-US"/>
        </w:rPr>
        <w:t xml:space="preserve">Fin5 </w:t>
      </w:r>
      <w:r w:rsidR="00DC7BD7">
        <w:rPr>
          <w:rFonts w:ascii="Arial" w:hAnsi="Arial" w:cs="Arial"/>
          <w:sz w:val="24"/>
          <w:szCs w:val="24"/>
          <w:lang w:val="en-US"/>
        </w:rPr>
        <w:t>valuation of –R136 million was the correct valuation and the Venmyn and Thayser valuations were grossly inflated.</w:t>
      </w:r>
      <w:r w:rsidR="00CB06F7">
        <w:rPr>
          <w:rFonts w:ascii="Arial" w:hAnsi="Arial" w:cs="Arial"/>
          <w:sz w:val="24"/>
          <w:szCs w:val="24"/>
          <w:lang w:val="en-US"/>
        </w:rPr>
        <w:t xml:space="preserve"> </w:t>
      </w:r>
    </w:p>
    <w:p w14:paraId="619F7625" w14:textId="77777777" w:rsidR="00161E17" w:rsidRDefault="00161E17" w:rsidP="00BD73E7">
      <w:pPr>
        <w:spacing w:after="0" w:line="360" w:lineRule="auto"/>
        <w:jc w:val="both"/>
        <w:rPr>
          <w:rFonts w:ascii="Arial" w:hAnsi="Arial" w:cs="Arial"/>
          <w:sz w:val="24"/>
          <w:szCs w:val="24"/>
          <w:lang w:val="en-US"/>
        </w:rPr>
      </w:pPr>
    </w:p>
    <w:p w14:paraId="16A0EE88" w14:textId="50C0792F" w:rsidR="00FC371E" w:rsidRDefault="00D12391" w:rsidP="00BD73E7">
      <w:pPr>
        <w:spacing w:after="0" w:line="360" w:lineRule="auto"/>
        <w:jc w:val="both"/>
        <w:rPr>
          <w:rFonts w:ascii="Arial" w:hAnsi="Arial" w:cs="Arial"/>
          <w:sz w:val="24"/>
          <w:szCs w:val="24"/>
          <w:lang w:val="en-US"/>
        </w:rPr>
      </w:pPr>
      <w:r>
        <w:rPr>
          <w:rFonts w:ascii="Arial" w:hAnsi="Arial" w:cs="Arial"/>
          <w:sz w:val="24"/>
          <w:szCs w:val="24"/>
          <w:lang w:val="en-US"/>
        </w:rPr>
        <w:t>[3</w:t>
      </w:r>
      <w:r w:rsidR="005222E3">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t xml:space="preserve">In his rule 10 notice of appeal, the taxpayer confirmed that his grounds of appeal </w:t>
      </w:r>
      <w:r w:rsidRPr="00C779A2">
        <w:rPr>
          <w:rFonts w:ascii="Arial" w:hAnsi="Arial" w:cs="Arial"/>
          <w:sz w:val="24"/>
          <w:szCs w:val="24"/>
          <w:lang w:val="en-US"/>
        </w:rPr>
        <w:t>were precisely</w:t>
      </w:r>
      <w:r>
        <w:rPr>
          <w:rFonts w:ascii="Arial" w:hAnsi="Arial" w:cs="Arial"/>
          <w:sz w:val="24"/>
          <w:szCs w:val="24"/>
          <w:lang w:val="en-US"/>
        </w:rPr>
        <w:t xml:space="preserve"> the same </w:t>
      </w:r>
      <w:r w:rsidR="00E32FA3">
        <w:rPr>
          <w:rFonts w:ascii="Arial" w:hAnsi="Arial" w:cs="Arial"/>
          <w:sz w:val="24"/>
          <w:szCs w:val="24"/>
          <w:lang w:val="en-US"/>
        </w:rPr>
        <w:t xml:space="preserve">as his </w:t>
      </w:r>
      <w:r>
        <w:rPr>
          <w:rFonts w:ascii="Arial" w:hAnsi="Arial" w:cs="Arial"/>
          <w:sz w:val="24"/>
          <w:szCs w:val="24"/>
          <w:lang w:val="en-US"/>
        </w:rPr>
        <w:t>grounds</w:t>
      </w:r>
      <w:r w:rsidR="00E32FA3">
        <w:rPr>
          <w:rFonts w:ascii="Arial" w:hAnsi="Arial" w:cs="Arial"/>
          <w:sz w:val="24"/>
          <w:szCs w:val="24"/>
          <w:lang w:val="en-US"/>
        </w:rPr>
        <w:t xml:space="preserve"> of objection</w:t>
      </w:r>
      <w:r>
        <w:rPr>
          <w:rFonts w:ascii="Arial" w:hAnsi="Arial" w:cs="Arial"/>
          <w:sz w:val="24"/>
          <w:szCs w:val="24"/>
          <w:lang w:val="en-US"/>
        </w:rPr>
        <w:t xml:space="preserve">. </w:t>
      </w:r>
      <w:r w:rsidR="005E1825">
        <w:rPr>
          <w:rFonts w:ascii="Arial" w:hAnsi="Arial" w:cs="Arial"/>
          <w:sz w:val="24"/>
          <w:szCs w:val="24"/>
          <w:lang w:val="en-US"/>
        </w:rPr>
        <w:t>In the Commissioner’s statement of the grounds of assessment and opposition to the appeal,</w:t>
      </w:r>
      <w:r w:rsidR="00315C1A">
        <w:rPr>
          <w:rFonts w:ascii="Arial" w:hAnsi="Arial" w:cs="Arial"/>
          <w:sz w:val="24"/>
          <w:szCs w:val="24"/>
          <w:lang w:val="en-US"/>
        </w:rPr>
        <w:t xml:space="preserve"> in terms of rule 31</w:t>
      </w:r>
      <w:r w:rsidR="00315C1A" w:rsidRPr="00C779A2">
        <w:rPr>
          <w:rFonts w:ascii="Arial" w:hAnsi="Arial" w:cs="Arial"/>
          <w:sz w:val="24"/>
          <w:szCs w:val="24"/>
          <w:lang w:val="en-US"/>
        </w:rPr>
        <w:t>,</w:t>
      </w:r>
      <w:r w:rsidR="005E1825" w:rsidRPr="00C779A2">
        <w:rPr>
          <w:rFonts w:ascii="Arial" w:hAnsi="Arial" w:cs="Arial"/>
          <w:sz w:val="24"/>
          <w:szCs w:val="24"/>
          <w:lang w:val="en-US"/>
        </w:rPr>
        <w:t xml:space="preserve"> </w:t>
      </w:r>
      <w:r w:rsidR="00B27B16" w:rsidRPr="00C779A2">
        <w:rPr>
          <w:rFonts w:ascii="Arial" w:hAnsi="Arial" w:cs="Arial"/>
          <w:sz w:val="24"/>
          <w:szCs w:val="24"/>
          <w:lang w:val="en-US"/>
        </w:rPr>
        <w:t>it was</w:t>
      </w:r>
      <w:r w:rsidR="005E1825">
        <w:rPr>
          <w:rFonts w:ascii="Arial" w:hAnsi="Arial" w:cs="Arial"/>
          <w:sz w:val="24"/>
          <w:szCs w:val="24"/>
          <w:lang w:val="en-US"/>
        </w:rPr>
        <w:t xml:space="preserve"> </w:t>
      </w:r>
      <w:r w:rsidR="0028108E">
        <w:rPr>
          <w:rFonts w:ascii="Arial" w:hAnsi="Arial" w:cs="Arial"/>
          <w:sz w:val="24"/>
          <w:szCs w:val="24"/>
          <w:lang w:val="en-US"/>
        </w:rPr>
        <w:t>simply</w:t>
      </w:r>
      <w:r w:rsidR="004778A2">
        <w:rPr>
          <w:rFonts w:ascii="Arial" w:hAnsi="Arial" w:cs="Arial"/>
          <w:sz w:val="24"/>
          <w:szCs w:val="24"/>
          <w:lang w:val="en-US"/>
        </w:rPr>
        <w:t xml:space="preserve"> stated </w:t>
      </w:r>
      <w:r w:rsidR="005E1825">
        <w:rPr>
          <w:rFonts w:ascii="Arial" w:hAnsi="Arial" w:cs="Arial"/>
          <w:sz w:val="24"/>
          <w:szCs w:val="24"/>
          <w:lang w:val="en-US"/>
        </w:rPr>
        <w:t xml:space="preserve">that the negative value attributed to the shares by Fin5 was ‘unfounded’. </w:t>
      </w:r>
    </w:p>
    <w:p w14:paraId="1990575B" w14:textId="77777777" w:rsidR="00D12391" w:rsidRDefault="00D12391" w:rsidP="00BD73E7">
      <w:pPr>
        <w:spacing w:after="0" w:line="360" w:lineRule="auto"/>
        <w:jc w:val="both"/>
        <w:rPr>
          <w:rFonts w:ascii="Arial" w:hAnsi="Arial" w:cs="Arial"/>
          <w:sz w:val="24"/>
          <w:szCs w:val="24"/>
          <w:lang w:val="en-US"/>
        </w:rPr>
      </w:pPr>
    </w:p>
    <w:p w14:paraId="1C90E866" w14:textId="686C0FCC" w:rsidR="00315C1A" w:rsidRDefault="00315C1A" w:rsidP="00BD73E7">
      <w:pPr>
        <w:spacing w:after="0" w:line="360" w:lineRule="auto"/>
        <w:jc w:val="both"/>
        <w:rPr>
          <w:rFonts w:ascii="Arial" w:hAnsi="Arial" w:cs="Arial"/>
          <w:sz w:val="24"/>
          <w:szCs w:val="24"/>
          <w:lang w:val="en-US"/>
        </w:rPr>
      </w:pPr>
      <w:r>
        <w:rPr>
          <w:rFonts w:ascii="Arial" w:hAnsi="Arial" w:cs="Arial"/>
          <w:sz w:val="24"/>
          <w:szCs w:val="24"/>
          <w:lang w:val="en-US"/>
        </w:rPr>
        <w:t>[3</w:t>
      </w:r>
      <w:r w:rsidR="005222E3">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t xml:space="preserve">The taxpayer, in his rule 32 statement, devoted attention to the source of the difference in opinion as to the value of the NMC shares. That was the consultancy agreement that had been concluded between Umthombo and Sumo, and </w:t>
      </w:r>
      <w:r w:rsidR="004778A2">
        <w:rPr>
          <w:rFonts w:ascii="Arial" w:hAnsi="Arial" w:cs="Arial"/>
          <w:sz w:val="24"/>
          <w:szCs w:val="24"/>
          <w:lang w:val="en-US"/>
        </w:rPr>
        <w:t>a</w:t>
      </w:r>
      <w:r>
        <w:rPr>
          <w:rFonts w:ascii="Arial" w:hAnsi="Arial" w:cs="Arial"/>
          <w:sz w:val="24"/>
          <w:szCs w:val="24"/>
          <w:lang w:val="en-US"/>
        </w:rPr>
        <w:t xml:space="preserve"> dispute that had developed in respect of </w:t>
      </w:r>
      <w:r w:rsidR="004778A2">
        <w:rPr>
          <w:rFonts w:ascii="Arial" w:hAnsi="Arial" w:cs="Arial"/>
          <w:sz w:val="24"/>
          <w:szCs w:val="24"/>
          <w:lang w:val="en-US"/>
        </w:rPr>
        <w:t xml:space="preserve">the </w:t>
      </w:r>
      <w:r>
        <w:rPr>
          <w:rFonts w:ascii="Arial" w:hAnsi="Arial" w:cs="Arial"/>
          <w:sz w:val="24"/>
          <w:szCs w:val="24"/>
          <w:lang w:val="en-US"/>
        </w:rPr>
        <w:t>form</w:t>
      </w:r>
      <w:r w:rsidR="004778A2">
        <w:rPr>
          <w:rFonts w:ascii="Arial" w:hAnsi="Arial" w:cs="Arial"/>
          <w:sz w:val="24"/>
          <w:szCs w:val="24"/>
          <w:lang w:val="en-US"/>
        </w:rPr>
        <w:t xml:space="preserve">ation of </w:t>
      </w:r>
      <w:r>
        <w:rPr>
          <w:rFonts w:ascii="Arial" w:hAnsi="Arial" w:cs="Arial"/>
          <w:sz w:val="24"/>
          <w:szCs w:val="24"/>
          <w:lang w:val="en-US"/>
        </w:rPr>
        <w:t>a joint venture</w:t>
      </w:r>
      <w:r w:rsidR="005222E3">
        <w:rPr>
          <w:rFonts w:ascii="Arial" w:hAnsi="Arial" w:cs="Arial"/>
          <w:sz w:val="24"/>
          <w:szCs w:val="24"/>
          <w:lang w:val="en-US"/>
        </w:rPr>
        <w:t xml:space="preserve">, in respect of one </w:t>
      </w:r>
      <w:r w:rsidR="004778A2">
        <w:rPr>
          <w:rFonts w:ascii="Arial" w:hAnsi="Arial" w:cs="Arial"/>
          <w:sz w:val="24"/>
          <w:szCs w:val="24"/>
          <w:lang w:val="en-US"/>
        </w:rPr>
        <w:t xml:space="preserve">mining </w:t>
      </w:r>
      <w:r w:rsidR="005222E3">
        <w:rPr>
          <w:rFonts w:ascii="Arial" w:hAnsi="Arial" w:cs="Arial"/>
          <w:sz w:val="24"/>
          <w:szCs w:val="24"/>
          <w:lang w:val="en-US"/>
        </w:rPr>
        <w:t>property,</w:t>
      </w:r>
      <w:r>
        <w:rPr>
          <w:rFonts w:ascii="Arial" w:hAnsi="Arial" w:cs="Arial"/>
          <w:sz w:val="24"/>
          <w:szCs w:val="24"/>
          <w:lang w:val="en-US"/>
        </w:rPr>
        <w:t xml:space="preserve"> in terms of that agreement.</w:t>
      </w:r>
    </w:p>
    <w:p w14:paraId="1F70E82C" w14:textId="77777777" w:rsidR="00315C1A" w:rsidRDefault="00315C1A" w:rsidP="00BD73E7">
      <w:pPr>
        <w:spacing w:after="0" w:line="360" w:lineRule="auto"/>
        <w:jc w:val="both"/>
        <w:rPr>
          <w:rFonts w:ascii="Arial" w:hAnsi="Arial" w:cs="Arial"/>
          <w:sz w:val="24"/>
          <w:szCs w:val="24"/>
          <w:lang w:val="en-US"/>
        </w:rPr>
      </w:pPr>
    </w:p>
    <w:p w14:paraId="4D2A26AB" w14:textId="1B6909EB" w:rsidR="00F972EF" w:rsidRDefault="00315C1A" w:rsidP="00BD73E7">
      <w:pPr>
        <w:spacing w:after="0" w:line="360" w:lineRule="auto"/>
        <w:jc w:val="both"/>
        <w:rPr>
          <w:rFonts w:ascii="Arial" w:hAnsi="Arial" w:cs="Arial"/>
          <w:sz w:val="24"/>
          <w:szCs w:val="24"/>
          <w:lang w:val="en-US"/>
        </w:rPr>
      </w:pPr>
      <w:r>
        <w:rPr>
          <w:rFonts w:ascii="Arial" w:hAnsi="Arial" w:cs="Arial"/>
          <w:sz w:val="24"/>
          <w:szCs w:val="24"/>
          <w:lang w:val="en-US"/>
        </w:rPr>
        <w:lastRenderedPageBreak/>
        <w:t>[3</w:t>
      </w:r>
      <w:r w:rsidR="0028108E">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t xml:space="preserve">In essence, it was pleaded that the value of the NMC shareholding in Umthombo had to take account of three </w:t>
      </w:r>
      <w:r w:rsidR="00E96FF5">
        <w:rPr>
          <w:rFonts w:ascii="Arial" w:hAnsi="Arial" w:cs="Arial"/>
          <w:sz w:val="24"/>
          <w:szCs w:val="24"/>
          <w:lang w:val="en-US"/>
        </w:rPr>
        <w:t>factors</w:t>
      </w:r>
      <w:r w:rsidR="00E32FA3">
        <w:rPr>
          <w:rFonts w:ascii="Arial" w:hAnsi="Arial" w:cs="Arial"/>
          <w:sz w:val="24"/>
          <w:szCs w:val="24"/>
          <w:lang w:val="en-US"/>
        </w:rPr>
        <w:t xml:space="preserve"> namely</w:t>
      </w:r>
      <w:r>
        <w:rPr>
          <w:rFonts w:ascii="Arial" w:hAnsi="Arial" w:cs="Arial"/>
          <w:sz w:val="24"/>
          <w:szCs w:val="24"/>
          <w:lang w:val="en-US"/>
        </w:rPr>
        <w:t xml:space="preserve">: Sumo’s 60 percent participation interest in the joint ventures that were to be formed in appropriate circumstances; </w:t>
      </w:r>
      <w:r w:rsidR="00F972EF">
        <w:rPr>
          <w:rFonts w:ascii="Arial" w:hAnsi="Arial" w:cs="Arial"/>
          <w:sz w:val="24"/>
          <w:szCs w:val="24"/>
          <w:lang w:val="en-US"/>
        </w:rPr>
        <w:t xml:space="preserve">the contingent liability that was said to have arisen as a result of the dispute between Umthombo and Sumo that was settled by Umthombo paying Sumo R300 million; and limitations </w:t>
      </w:r>
      <w:r w:rsidR="00E96FF5">
        <w:rPr>
          <w:rFonts w:ascii="Arial" w:hAnsi="Arial" w:cs="Arial"/>
          <w:sz w:val="24"/>
          <w:szCs w:val="24"/>
          <w:lang w:val="en-US"/>
        </w:rPr>
        <w:t>im</w:t>
      </w:r>
      <w:r w:rsidR="00F972EF">
        <w:rPr>
          <w:rFonts w:ascii="Arial" w:hAnsi="Arial" w:cs="Arial"/>
          <w:sz w:val="24"/>
          <w:szCs w:val="24"/>
          <w:lang w:val="en-US"/>
        </w:rPr>
        <w:t>p</w:t>
      </w:r>
      <w:r w:rsidR="00E96FF5">
        <w:rPr>
          <w:rFonts w:ascii="Arial" w:hAnsi="Arial" w:cs="Arial"/>
          <w:sz w:val="24"/>
          <w:szCs w:val="24"/>
          <w:lang w:val="en-US"/>
        </w:rPr>
        <w:t>os</w:t>
      </w:r>
      <w:r w:rsidR="00F972EF">
        <w:rPr>
          <w:rFonts w:ascii="Arial" w:hAnsi="Arial" w:cs="Arial"/>
          <w:sz w:val="24"/>
          <w:szCs w:val="24"/>
          <w:lang w:val="en-US"/>
        </w:rPr>
        <w:t>ed by the shareholders agreement regarding the disposal of Umthombo’s shares.</w:t>
      </w:r>
    </w:p>
    <w:p w14:paraId="3ADA6A77" w14:textId="77777777" w:rsidR="00F972EF" w:rsidRDefault="00F972EF" w:rsidP="00BD73E7">
      <w:pPr>
        <w:spacing w:after="0" w:line="360" w:lineRule="auto"/>
        <w:jc w:val="both"/>
        <w:rPr>
          <w:rFonts w:ascii="Arial" w:hAnsi="Arial" w:cs="Arial"/>
          <w:sz w:val="24"/>
          <w:szCs w:val="24"/>
          <w:lang w:val="en-US"/>
        </w:rPr>
      </w:pPr>
    </w:p>
    <w:p w14:paraId="510D6E5B" w14:textId="0FAB9795" w:rsidR="001E788F" w:rsidRDefault="00F972EF" w:rsidP="00BD73E7">
      <w:pPr>
        <w:spacing w:after="0" w:line="360" w:lineRule="auto"/>
        <w:jc w:val="both"/>
        <w:rPr>
          <w:rFonts w:ascii="Arial" w:hAnsi="Arial" w:cs="Arial"/>
          <w:sz w:val="24"/>
          <w:szCs w:val="24"/>
          <w:lang w:val="en-US"/>
        </w:rPr>
      </w:pPr>
      <w:r>
        <w:rPr>
          <w:rFonts w:ascii="Arial" w:hAnsi="Arial" w:cs="Arial"/>
          <w:sz w:val="24"/>
          <w:szCs w:val="24"/>
          <w:lang w:val="en-US"/>
        </w:rPr>
        <w:t>[3</w:t>
      </w:r>
      <w:r w:rsidR="0028108E">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t xml:space="preserve">The taxpayer </w:t>
      </w:r>
      <w:r w:rsidR="004778A2">
        <w:rPr>
          <w:rFonts w:ascii="Arial" w:hAnsi="Arial" w:cs="Arial"/>
          <w:sz w:val="24"/>
          <w:szCs w:val="24"/>
          <w:lang w:val="en-US"/>
        </w:rPr>
        <w:t>argued</w:t>
      </w:r>
      <w:r>
        <w:rPr>
          <w:rFonts w:ascii="Arial" w:hAnsi="Arial" w:cs="Arial"/>
          <w:sz w:val="24"/>
          <w:szCs w:val="24"/>
          <w:lang w:val="en-US"/>
        </w:rPr>
        <w:t xml:space="preserve"> that the value ascribed by the Commissioner to the NMC shares had to be reduced by 60 percent to account for Sumo’s participation interest in the joint venture; by the contingent liability of R300 million, which later became an actual liability; and to reflect the uncertainties attendant on the disposal of Umthombo’s shares because of the terms of the shareholders agreement. The result, he pleaded, was that no value could be ascribed to the NMC shares</w:t>
      </w:r>
      <w:r w:rsidR="001E788F">
        <w:rPr>
          <w:rFonts w:ascii="Arial" w:hAnsi="Arial" w:cs="Arial"/>
          <w:sz w:val="24"/>
          <w:szCs w:val="24"/>
          <w:lang w:val="en-US"/>
        </w:rPr>
        <w:t>, and</w:t>
      </w:r>
      <w:r w:rsidR="00FF613D">
        <w:rPr>
          <w:rFonts w:ascii="Arial" w:hAnsi="Arial" w:cs="Arial"/>
          <w:sz w:val="24"/>
          <w:szCs w:val="24"/>
          <w:lang w:val="en-US"/>
        </w:rPr>
        <w:t xml:space="preserve"> </w:t>
      </w:r>
      <w:r w:rsidR="00FF613D" w:rsidRPr="00C779A2">
        <w:rPr>
          <w:rFonts w:ascii="Arial" w:hAnsi="Arial" w:cs="Arial"/>
          <w:sz w:val="24"/>
          <w:szCs w:val="24"/>
          <w:lang w:val="en-US"/>
        </w:rPr>
        <w:t>consequently</w:t>
      </w:r>
      <w:r w:rsidR="001E788F">
        <w:rPr>
          <w:rFonts w:ascii="Arial" w:hAnsi="Arial" w:cs="Arial"/>
          <w:sz w:val="24"/>
          <w:szCs w:val="24"/>
          <w:lang w:val="en-US"/>
        </w:rPr>
        <w:t xml:space="preserve"> no donations tax or capital gains tax liabilities arose.</w:t>
      </w:r>
    </w:p>
    <w:p w14:paraId="0281AD06" w14:textId="77777777" w:rsidR="001E788F" w:rsidRDefault="001E788F" w:rsidP="00BD73E7">
      <w:pPr>
        <w:spacing w:after="0" w:line="360" w:lineRule="auto"/>
        <w:jc w:val="both"/>
        <w:rPr>
          <w:rFonts w:ascii="Arial" w:hAnsi="Arial" w:cs="Arial"/>
          <w:sz w:val="24"/>
          <w:szCs w:val="24"/>
          <w:lang w:val="en-US"/>
        </w:rPr>
      </w:pPr>
    </w:p>
    <w:p w14:paraId="565E3EE8" w14:textId="26D20D36" w:rsidR="00461EAD" w:rsidRDefault="001E788F" w:rsidP="00BD73E7">
      <w:pPr>
        <w:spacing w:after="0" w:line="360" w:lineRule="auto"/>
        <w:jc w:val="both"/>
        <w:rPr>
          <w:rFonts w:ascii="Arial" w:hAnsi="Arial" w:cs="Arial"/>
          <w:sz w:val="24"/>
          <w:szCs w:val="24"/>
          <w:lang w:val="en-US"/>
        </w:rPr>
      </w:pPr>
      <w:r>
        <w:rPr>
          <w:rFonts w:ascii="Arial" w:hAnsi="Arial" w:cs="Arial"/>
          <w:sz w:val="24"/>
          <w:szCs w:val="24"/>
          <w:lang w:val="en-US"/>
        </w:rPr>
        <w:t>[3</w:t>
      </w:r>
      <w:r w:rsidR="0028108E">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t>It was further pleaded by the taxpayer that both the Venmyn and Thayser valuations were erroneous because they had failed to take the above factors into account and were, because of this flaw, both ‘grossly overstated’. Had they taken these matters into account then, based on SARS’ own evaluation, the value of the share</w:t>
      </w:r>
      <w:r w:rsidR="004778A2">
        <w:rPr>
          <w:rFonts w:ascii="Arial" w:hAnsi="Arial" w:cs="Arial"/>
          <w:sz w:val="24"/>
          <w:szCs w:val="24"/>
          <w:lang w:val="en-US"/>
        </w:rPr>
        <w:t>s s</w:t>
      </w:r>
      <w:r>
        <w:rPr>
          <w:rFonts w:ascii="Arial" w:hAnsi="Arial" w:cs="Arial"/>
          <w:sz w:val="24"/>
          <w:szCs w:val="24"/>
          <w:lang w:val="en-US"/>
        </w:rPr>
        <w:t xml:space="preserve">old to the </w:t>
      </w:r>
      <w:r w:rsidR="004778A2">
        <w:rPr>
          <w:rFonts w:ascii="Arial" w:hAnsi="Arial" w:cs="Arial"/>
          <w:sz w:val="24"/>
          <w:szCs w:val="24"/>
          <w:lang w:val="en-US"/>
        </w:rPr>
        <w:t>t</w:t>
      </w:r>
      <w:r>
        <w:rPr>
          <w:rFonts w:ascii="Arial" w:hAnsi="Arial" w:cs="Arial"/>
          <w:sz w:val="24"/>
          <w:szCs w:val="24"/>
          <w:lang w:val="en-US"/>
        </w:rPr>
        <w:t>rust was the sum of –R136 million.</w:t>
      </w:r>
      <w:r w:rsidR="00315C1A">
        <w:rPr>
          <w:rFonts w:ascii="Arial" w:hAnsi="Arial" w:cs="Arial"/>
          <w:sz w:val="24"/>
          <w:szCs w:val="24"/>
          <w:lang w:val="en-US"/>
        </w:rPr>
        <w:t xml:space="preserve">  </w:t>
      </w:r>
    </w:p>
    <w:p w14:paraId="33CCFCF8" w14:textId="2368907B" w:rsidR="00461EAD" w:rsidRDefault="00461EAD" w:rsidP="00BD73E7">
      <w:pPr>
        <w:spacing w:after="0" w:line="360" w:lineRule="auto"/>
        <w:jc w:val="both"/>
        <w:rPr>
          <w:rFonts w:ascii="Arial" w:hAnsi="Arial" w:cs="Arial"/>
          <w:sz w:val="24"/>
          <w:szCs w:val="24"/>
          <w:lang w:val="en-US"/>
        </w:rPr>
      </w:pPr>
    </w:p>
    <w:p w14:paraId="7D7B8291" w14:textId="58772341" w:rsidR="00D107F4" w:rsidRDefault="00D107F4" w:rsidP="00BD73E7">
      <w:pPr>
        <w:spacing w:after="0" w:line="360" w:lineRule="auto"/>
        <w:jc w:val="both"/>
        <w:rPr>
          <w:rFonts w:ascii="Arial" w:hAnsi="Arial" w:cs="Arial"/>
          <w:sz w:val="24"/>
          <w:szCs w:val="24"/>
          <w:lang w:val="en-US"/>
        </w:rPr>
      </w:pPr>
      <w:r>
        <w:rPr>
          <w:rFonts w:ascii="Arial" w:hAnsi="Arial" w:cs="Arial"/>
          <w:sz w:val="24"/>
          <w:szCs w:val="24"/>
          <w:lang w:val="en-US"/>
        </w:rPr>
        <w:t>[3</w:t>
      </w:r>
      <w:r w:rsidR="0028108E">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t xml:space="preserve">The Commissioner pleaded to this case in his rule 33 statement. He denied that the 60 percent participation interest of Sumo was to be taken into account in the valuation because, even after having been ordered to do so in </w:t>
      </w:r>
      <w:r w:rsidR="004778A2">
        <w:rPr>
          <w:rFonts w:ascii="Arial" w:hAnsi="Arial" w:cs="Arial"/>
          <w:sz w:val="24"/>
          <w:szCs w:val="24"/>
          <w:lang w:val="en-US"/>
        </w:rPr>
        <w:t>an</w:t>
      </w:r>
      <w:r>
        <w:rPr>
          <w:rFonts w:ascii="Arial" w:hAnsi="Arial" w:cs="Arial"/>
          <w:sz w:val="24"/>
          <w:szCs w:val="24"/>
          <w:lang w:val="en-US"/>
        </w:rPr>
        <w:t xml:space="preserve"> arbitration,</w:t>
      </w:r>
      <w:r w:rsidR="00D73493">
        <w:rPr>
          <w:rFonts w:ascii="Arial" w:hAnsi="Arial" w:cs="Arial"/>
          <w:sz w:val="24"/>
          <w:szCs w:val="24"/>
          <w:lang w:val="en-US"/>
        </w:rPr>
        <w:t xml:space="preserve"> Umthombo still did not enter into a joint venture with Sumo</w:t>
      </w:r>
      <w:r w:rsidR="004778A2">
        <w:rPr>
          <w:rFonts w:ascii="Arial" w:hAnsi="Arial" w:cs="Arial"/>
          <w:sz w:val="24"/>
          <w:szCs w:val="24"/>
          <w:lang w:val="en-US"/>
        </w:rPr>
        <w:t xml:space="preserve"> in respect of the one mining property</w:t>
      </w:r>
      <w:r w:rsidR="00D73493">
        <w:rPr>
          <w:rFonts w:ascii="Arial" w:hAnsi="Arial" w:cs="Arial"/>
          <w:sz w:val="24"/>
          <w:szCs w:val="24"/>
          <w:lang w:val="en-US"/>
        </w:rPr>
        <w:t>.</w:t>
      </w:r>
      <w:r>
        <w:rPr>
          <w:rFonts w:ascii="Arial" w:hAnsi="Arial" w:cs="Arial"/>
          <w:sz w:val="24"/>
          <w:szCs w:val="24"/>
          <w:lang w:val="en-US"/>
        </w:rPr>
        <w:t xml:space="preserve"> </w:t>
      </w:r>
    </w:p>
    <w:p w14:paraId="6B4ABDD8" w14:textId="2D61F4A4" w:rsidR="00461EAD" w:rsidRDefault="00461EAD" w:rsidP="00BD73E7">
      <w:pPr>
        <w:spacing w:after="0" w:line="360" w:lineRule="auto"/>
        <w:jc w:val="both"/>
        <w:rPr>
          <w:rFonts w:ascii="Arial" w:hAnsi="Arial" w:cs="Arial"/>
          <w:sz w:val="24"/>
          <w:szCs w:val="24"/>
          <w:lang w:val="en-US"/>
        </w:rPr>
      </w:pPr>
    </w:p>
    <w:p w14:paraId="0EF11A34" w14:textId="20853B9F" w:rsidR="004371C3" w:rsidRDefault="00D73493" w:rsidP="00BD73E7">
      <w:pPr>
        <w:spacing w:after="0" w:line="360" w:lineRule="auto"/>
        <w:jc w:val="both"/>
        <w:rPr>
          <w:rFonts w:ascii="Arial" w:hAnsi="Arial" w:cs="Arial"/>
          <w:sz w:val="24"/>
          <w:szCs w:val="24"/>
          <w:lang w:val="en-US"/>
        </w:rPr>
      </w:pPr>
      <w:r>
        <w:rPr>
          <w:rFonts w:ascii="Arial" w:hAnsi="Arial" w:cs="Arial"/>
          <w:sz w:val="24"/>
          <w:szCs w:val="24"/>
          <w:lang w:val="en-US"/>
        </w:rPr>
        <w:t>[3</w:t>
      </w:r>
      <w:r w:rsidR="0028108E">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t xml:space="preserve">The R300 million that Umthombo had agreed to pay to Sumo in settlement of their dispute was also not to be taken into account for purposes of the valuation because, as at the date of the sale of the shares, there was no contingent liability in this amount. In any event, in terms of the settlement, Sumo surrendered its right to 60 percent of the </w:t>
      </w:r>
      <w:r w:rsidR="00BF3D61">
        <w:rPr>
          <w:rFonts w:ascii="Arial" w:hAnsi="Arial" w:cs="Arial"/>
          <w:sz w:val="24"/>
          <w:szCs w:val="24"/>
          <w:lang w:val="en-US"/>
        </w:rPr>
        <w:t xml:space="preserve">future </w:t>
      </w:r>
      <w:r>
        <w:rPr>
          <w:rFonts w:ascii="Arial" w:hAnsi="Arial" w:cs="Arial"/>
          <w:sz w:val="24"/>
          <w:szCs w:val="24"/>
          <w:lang w:val="en-US"/>
        </w:rPr>
        <w:t xml:space="preserve">profits </w:t>
      </w:r>
      <w:r w:rsidR="00BF3D61">
        <w:rPr>
          <w:rFonts w:ascii="Arial" w:hAnsi="Arial" w:cs="Arial"/>
          <w:sz w:val="24"/>
          <w:szCs w:val="24"/>
          <w:lang w:val="en-US"/>
        </w:rPr>
        <w:t xml:space="preserve">in relation to </w:t>
      </w:r>
      <w:r w:rsidR="00B27B16" w:rsidRPr="00C779A2">
        <w:rPr>
          <w:rFonts w:ascii="Arial" w:hAnsi="Arial" w:cs="Arial"/>
          <w:sz w:val="24"/>
          <w:szCs w:val="24"/>
          <w:lang w:val="en-US"/>
        </w:rPr>
        <w:t>the</w:t>
      </w:r>
      <w:r w:rsidR="00B27B16">
        <w:rPr>
          <w:rFonts w:ascii="Arial" w:hAnsi="Arial" w:cs="Arial"/>
          <w:sz w:val="24"/>
          <w:szCs w:val="24"/>
          <w:lang w:val="en-US"/>
        </w:rPr>
        <w:t xml:space="preserve"> </w:t>
      </w:r>
      <w:r w:rsidR="00BF3D61">
        <w:rPr>
          <w:rFonts w:ascii="Arial" w:hAnsi="Arial" w:cs="Arial"/>
          <w:sz w:val="24"/>
          <w:szCs w:val="24"/>
          <w:lang w:val="en-US"/>
        </w:rPr>
        <w:t xml:space="preserve">joint ventures with Umthombo in terms of the consultancy agreement, in return for payment of R300 million. The result was that </w:t>
      </w:r>
      <w:r w:rsidR="00BF3D61">
        <w:rPr>
          <w:rFonts w:ascii="Arial" w:hAnsi="Arial" w:cs="Arial"/>
          <w:sz w:val="24"/>
          <w:szCs w:val="24"/>
          <w:lang w:val="en-US"/>
        </w:rPr>
        <w:lastRenderedPageBreak/>
        <w:t>Umthombo acquired a right to ‘100% of the future profits in the project(s) that would have been conducted by the JV, had it been formed’. On this basis, the Commissioner pleaded, if the R300 million was to be taken into account, so should 100 percent of anticipated future profits which would accrue to Umthombo. This would be in excess of R500 million</w:t>
      </w:r>
      <w:r w:rsidR="0028108E">
        <w:rPr>
          <w:rFonts w:ascii="Arial" w:hAnsi="Arial" w:cs="Arial"/>
          <w:sz w:val="24"/>
          <w:szCs w:val="24"/>
          <w:lang w:val="en-US"/>
        </w:rPr>
        <w:t xml:space="preserve"> – and would increase the value rather than reduce it</w:t>
      </w:r>
      <w:r w:rsidR="00BF3D61">
        <w:rPr>
          <w:rFonts w:ascii="Arial" w:hAnsi="Arial" w:cs="Arial"/>
          <w:sz w:val="24"/>
          <w:szCs w:val="24"/>
          <w:lang w:val="en-US"/>
        </w:rPr>
        <w:t>.</w:t>
      </w:r>
    </w:p>
    <w:p w14:paraId="1E8C2EA4" w14:textId="77777777" w:rsidR="004371C3" w:rsidRDefault="004371C3" w:rsidP="00BD73E7">
      <w:pPr>
        <w:spacing w:after="0" w:line="360" w:lineRule="auto"/>
        <w:jc w:val="both"/>
        <w:rPr>
          <w:rFonts w:ascii="Arial" w:hAnsi="Arial" w:cs="Arial"/>
          <w:sz w:val="24"/>
          <w:szCs w:val="24"/>
          <w:lang w:val="en-US"/>
        </w:rPr>
      </w:pPr>
    </w:p>
    <w:p w14:paraId="21F30415" w14:textId="660229F1" w:rsidR="00461EAD" w:rsidRDefault="004371C3" w:rsidP="00BD73E7">
      <w:pPr>
        <w:spacing w:after="0" w:line="360" w:lineRule="auto"/>
        <w:jc w:val="both"/>
        <w:rPr>
          <w:rFonts w:ascii="Arial" w:hAnsi="Arial" w:cs="Arial"/>
          <w:sz w:val="24"/>
          <w:szCs w:val="24"/>
          <w:lang w:val="en-US"/>
        </w:rPr>
      </w:pPr>
      <w:r>
        <w:rPr>
          <w:rFonts w:ascii="Arial" w:hAnsi="Arial" w:cs="Arial"/>
          <w:sz w:val="24"/>
          <w:szCs w:val="24"/>
          <w:lang w:val="en-US"/>
        </w:rPr>
        <w:t>[3</w:t>
      </w:r>
      <w:r w:rsidR="0028108E">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t>The issue that was thus before the tax court</w:t>
      </w:r>
      <w:r w:rsidR="006D60EB">
        <w:rPr>
          <w:rFonts w:ascii="Arial" w:hAnsi="Arial" w:cs="Arial"/>
          <w:sz w:val="24"/>
          <w:szCs w:val="24"/>
          <w:lang w:val="en-US"/>
        </w:rPr>
        <w:t>, in terms of rule 34,</w:t>
      </w:r>
      <w:r>
        <w:rPr>
          <w:rFonts w:ascii="Arial" w:hAnsi="Arial" w:cs="Arial"/>
          <w:sz w:val="24"/>
          <w:szCs w:val="24"/>
          <w:lang w:val="en-US"/>
        </w:rPr>
        <w:t xml:space="preserve"> was whether the Venmyn and Thayser valuations were correct or whether the Fin5 valuation was correct. That issue was to be answered by determining whether Sumo’s 60 percent participation interest, the R300 million payment to Sumo and the effect of the shareholders agreement were to be taken into account in the valuation. This was so because, on the taxpayer’s pleaded case, the fault in the Commissioner’s valuation was the failure to take these issues into account and the result of doing so would produce a valuation identical to Fin5’s valuation – a valuation of -R136 million.</w:t>
      </w:r>
      <w:r w:rsidR="00BF3D61">
        <w:rPr>
          <w:rFonts w:ascii="Arial" w:hAnsi="Arial" w:cs="Arial"/>
          <w:sz w:val="24"/>
          <w:szCs w:val="24"/>
          <w:lang w:val="en-US"/>
        </w:rPr>
        <w:t xml:space="preserve"> </w:t>
      </w:r>
      <w:r w:rsidR="00D73493">
        <w:rPr>
          <w:rFonts w:ascii="Arial" w:hAnsi="Arial" w:cs="Arial"/>
          <w:sz w:val="24"/>
          <w:szCs w:val="24"/>
          <w:lang w:val="en-US"/>
        </w:rPr>
        <w:t xml:space="preserve"> </w:t>
      </w:r>
    </w:p>
    <w:p w14:paraId="4DE514B2" w14:textId="6857C628" w:rsidR="00D73493" w:rsidRDefault="00D73493" w:rsidP="00BD73E7">
      <w:pPr>
        <w:spacing w:after="0" w:line="360" w:lineRule="auto"/>
        <w:jc w:val="both"/>
        <w:rPr>
          <w:rFonts w:ascii="Arial" w:hAnsi="Arial" w:cs="Arial"/>
          <w:sz w:val="24"/>
          <w:szCs w:val="24"/>
          <w:lang w:val="en-US"/>
        </w:rPr>
      </w:pPr>
    </w:p>
    <w:p w14:paraId="085DCDB2" w14:textId="60B1695D" w:rsidR="00FC371E" w:rsidRDefault="00FC371E" w:rsidP="00BD73E7">
      <w:pPr>
        <w:spacing w:after="0" w:line="360" w:lineRule="auto"/>
        <w:jc w:val="both"/>
        <w:rPr>
          <w:rFonts w:ascii="Arial" w:hAnsi="Arial" w:cs="Arial"/>
          <w:sz w:val="24"/>
          <w:szCs w:val="24"/>
          <w:lang w:val="en-US"/>
        </w:rPr>
      </w:pPr>
      <w:r>
        <w:rPr>
          <w:rFonts w:ascii="Arial" w:hAnsi="Arial" w:cs="Arial"/>
          <w:b/>
          <w:bCs/>
          <w:sz w:val="24"/>
          <w:szCs w:val="24"/>
          <w:lang w:val="en-US"/>
        </w:rPr>
        <w:t xml:space="preserve">The </w:t>
      </w:r>
      <w:r w:rsidR="00BC50CC">
        <w:rPr>
          <w:rFonts w:ascii="Arial" w:hAnsi="Arial" w:cs="Arial"/>
          <w:b/>
          <w:bCs/>
          <w:sz w:val="24"/>
          <w:szCs w:val="24"/>
          <w:lang w:val="en-US"/>
        </w:rPr>
        <w:t>tax court and full court appeals</w:t>
      </w:r>
    </w:p>
    <w:p w14:paraId="5BAB981C" w14:textId="10B76CA7" w:rsidR="00621169" w:rsidRDefault="00FC371E" w:rsidP="00BD73E7">
      <w:pPr>
        <w:spacing w:after="0" w:line="360" w:lineRule="auto"/>
        <w:jc w:val="both"/>
        <w:rPr>
          <w:rFonts w:ascii="Arial" w:hAnsi="Arial" w:cs="Arial"/>
          <w:sz w:val="24"/>
          <w:szCs w:val="24"/>
          <w:lang w:val="en-US"/>
        </w:rPr>
      </w:pPr>
      <w:r>
        <w:rPr>
          <w:rFonts w:ascii="Arial" w:hAnsi="Arial" w:cs="Arial"/>
          <w:sz w:val="24"/>
          <w:szCs w:val="24"/>
          <w:lang w:val="en-US"/>
        </w:rPr>
        <w:t>[</w:t>
      </w:r>
      <w:r w:rsidR="0028108E">
        <w:rPr>
          <w:rFonts w:ascii="Arial" w:hAnsi="Arial" w:cs="Arial"/>
          <w:sz w:val="24"/>
          <w:szCs w:val="24"/>
          <w:lang w:val="en-US"/>
        </w:rPr>
        <w:t>40</w:t>
      </w:r>
      <w:r>
        <w:rPr>
          <w:rFonts w:ascii="Arial" w:hAnsi="Arial" w:cs="Arial"/>
          <w:sz w:val="24"/>
          <w:szCs w:val="24"/>
          <w:lang w:val="en-US"/>
        </w:rPr>
        <w:t>]</w:t>
      </w:r>
      <w:r>
        <w:rPr>
          <w:rFonts w:ascii="Arial" w:hAnsi="Arial" w:cs="Arial"/>
          <w:sz w:val="24"/>
          <w:szCs w:val="24"/>
          <w:lang w:val="en-US"/>
        </w:rPr>
        <w:tab/>
      </w:r>
      <w:r w:rsidR="004778A2">
        <w:rPr>
          <w:rFonts w:ascii="Arial" w:hAnsi="Arial" w:cs="Arial"/>
          <w:sz w:val="24"/>
          <w:szCs w:val="24"/>
          <w:lang w:val="en-US"/>
        </w:rPr>
        <w:t>I</w:t>
      </w:r>
      <w:r w:rsidR="001A6650">
        <w:rPr>
          <w:rFonts w:ascii="Arial" w:hAnsi="Arial" w:cs="Arial"/>
          <w:sz w:val="24"/>
          <w:szCs w:val="24"/>
          <w:lang w:val="en-US"/>
        </w:rPr>
        <w:t>t is clear</w:t>
      </w:r>
      <w:r w:rsidR="004778A2">
        <w:rPr>
          <w:rFonts w:ascii="Arial" w:hAnsi="Arial" w:cs="Arial"/>
          <w:sz w:val="24"/>
          <w:szCs w:val="24"/>
          <w:lang w:val="en-US"/>
        </w:rPr>
        <w:t>, from what I have outlined above,</w:t>
      </w:r>
      <w:r w:rsidR="001A6650">
        <w:rPr>
          <w:rFonts w:ascii="Arial" w:hAnsi="Arial" w:cs="Arial"/>
          <w:sz w:val="24"/>
          <w:szCs w:val="24"/>
          <w:lang w:val="en-US"/>
        </w:rPr>
        <w:t xml:space="preserve"> that the parties were in agreement as to the correctness of the method of valuation. They differed in one respect only and that was on whether the issues relating to the consultancy agreement</w:t>
      </w:r>
      <w:r w:rsidR="00AC2E24">
        <w:rPr>
          <w:rFonts w:ascii="Arial" w:hAnsi="Arial" w:cs="Arial"/>
          <w:sz w:val="24"/>
          <w:szCs w:val="24"/>
          <w:lang w:val="en-US"/>
        </w:rPr>
        <w:t>, the payment of damages to Sumo</w:t>
      </w:r>
      <w:r w:rsidR="001A6650">
        <w:rPr>
          <w:rFonts w:ascii="Arial" w:hAnsi="Arial" w:cs="Arial"/>
          <w:sz w:val="24"/>
          <w:szCs w:val="24"/>
          <w:lang w:val="en-US"/>
        </w:rPr>
        <w:t xml:space="preserve"> and the shareholders agreement should have been taken into account in the valuation. </w:t>
      </w:r>
      <w:r w:rsidR="00D56D98">
        <w:rPr>
          <w:rFonts w:ascii="Arial" w:hAnsi="Arial" w:cs="Arial"/>
          <w:sz w:val="24"/>
          <w:szCs w:val="24"/>
          <w:lang w:val="en-US"/>
        </w:rPr>
        <w:t>The tax</w:t>
      </w:r>
      <w:r w:rsidR="00BC50CC">
        <w:rPr>
          <w:rFonts w:ascii="Arial" w:hAnsi="Arial" w:cs="Arial"/>
          <w:sz w:val="24"/>
          <w:szCs w:val="24"/>
          <w:lang w:val="en-US"/>
        </w:rPr>
        <w:t xml:space="preserve"> court </w:t>
      </w:r>
      <w:r w:rsidR="002F3686">
        <w:rPr>
          <w:rFonts w:ascii="Arial" w:hAnsi="Arial" w:cs="Arial"/>
          <w:sz w:val="24"/>
          <w:szCs w:val="24"/>
          <w:lang w:val="en-US"/>
        </w:rPr>
        <w:t xml:space="preserve">found, with reference to the approach to the valuation by the taxpayer’s expert witnesses, that the methodology </w:t>
      </w:r>
      <w:r w:rsidR="004778A2">
        <w:rPr>
          <w:rFonts w:ascii="Arial" w:hAnsi="Arial" w:cs="Arial"/>
          <w:sz w:val="24"/>
          <w:szCs w:val="24"/>
          <w:lang w:val="en-US"/>
        </w:rPr>
        <w:t>employed</w:t>
      </w:r>
      <w:r w:rsidR="002F3686">
        <w:rPr>
          <w:rFonts w:ascii="Arial" w:hAnsi="Arial" w:cs="Arial"/>
          <w:sz w:val="24"/>
          <w:szCs w:val="24"/>
          <w:lang w:val="en-US"/>
        </w:rPr>
        <w:t xml:space="preserve"> by them and by SARS ‘was the same’ and that ‘[t]his was also the methodology that was proposed by the taxpayer in his objection of 24 February 2012 and when he testified in court he agreed that this was the position’. </w:t>
      </w:r>
    </w:p>
    <w:p w14:paraId="63C852FD" w14:textId="172495B2" w:rsidR="00621169" w:rsidRDefault="00621169" w:rsidP="00BD73E7">
      <w:pPr>
        <w:spacing w:after="0" w:line="360" w:lineRule="auto"/>
        <w:jc w:val="both"/>
        <w:rPr>
          <w:rFonts w:ascii="Arial" w:hAnsi="Arial" w:cs="Arial"/>
          <w:sz w:val="24"/>
          <w:szCs w:val="24"/>
          <w:lang w:val="en-US"/>
        </w:rPr>
      </w:pPr>
    </w:p>
    <w:p w14:paraId="7D70328C" w14:textId="59512F55" w:rsidR="00104D6F" w:rsidRDefault="00104D6F" w:rsidP="00104D6F">
      <w:pPr>
        <w:spacing w:after="0" w:line="360" w:lineRule="auto"/>
        <w:jc w:val="both"/>
        <w:rPr>
          <w:rFonts w:ascii="Arial" w:hAnsi="Arial" w:cs="Arial"/>
          <w:sz w:val="24"/>
          <w:szCs w:val="24"/>
        </w:rPr>
      </w:pPr>
      <w:r>
        <w:rPr>
          <w:rFonts w:ascii="Arial" w:hAnsi="Arial" w:cs="Arial"/>
          <w:sz w:val="24"/>
          <w:szCs w:val="24"/>
        </w:rPr>
        <w:t>[</w:t>
      </w:r>
      <w:r w:rsidR="004778A2">
        <w:rPr>
          <w:rFonts w:ascii="Arial" w:hAnsi="Arial" w:cs="Arial"/>
          <w:sz w:val="24"/>
          <w:szCs w:val="24"/>
        </w:rPr>
        <w:t>41</w:t>
      </w:r>
      <w:r>
        <w:rPr>
          <w:rFonts w:ascii="Arial" w:hAnsi="Arial" w:cs="Arial"/>
          <w:sz w:val="24"/>
          <w:szCs w:val="24"/>
        </w:rPr>
        <w:t>]</w:t>
      </w:r>
      <w:r>
        <w:rPr>
          <w:rFonts w:ascii="Arial" w:hAnsi="Arial" w:cs="Arial"/>
          <w:sz w:val="24"/>
          <w:szCs w:val="24"/>
        </w:rPr>
        <w:tab/>
        <w:t xml:space="preserve">That method was that Venmyn valued the mineral assets of Umthombo as at 5 October 2009. Thayser valued Umthombo’s shares from this, and using Thayser’s valuation, SARS established the value of NMC’s shares and halved that amount to obtain the market value of the taxpayer’s shares that </w:t>
      </w:r>
      <w:r w:rsidRPr="00C779A2">
        <w:rPr>
          <w:rFonts w:ascii="Arial" w:hAnsi="Arial" w:cs="Arial"/>
          <w:sz w:val="24"/>
          <w:szCs w:val="24"/>
        </w:rPr>
        <w:t xml:space="preserve">he </w:t>
      </w:r>
      <w:r w:rsidR="00FF613D" w:rsidRPr="00C779A2">
        <w:rPr>
          <w:rFonts w:ascii="Arial" w:hAnsi="Arial" w:cs="Arial"/>
          <w:sz w:val="24"/>
          <w:szCs w:val="24"/>
        </w:rPr>
        <w:t xml:space="preserve">had </w:t>
      </w:r>
      <w:r w:rsidRPr="00C779A2">
        <w:rPr>
          <w:rFonts w:ascii="Arial" w:hAnsi="Arial" w:cs="Arial"/>
          <w:sz w:val="24"/>
          <w:szCs w:val="24"/>
        </w:rPr>
        <w:t>sold</w:t>
      </w:r>
      <w:r>
        <w:rPr>
          <w:rFonts w:ascii="Arial" w:hAnsi="Arial" w:cs="Arial"/>
          <w:sz w:val="24"/>
          <w:szCs w:val="24"/>
        </w:rPr>
        <w:t xml:space="preserve"> to </w:t>
      </w:r>
      <w:r w:rsidR="004778A2">
        <w:rPr>
          <w:rFonts w:ascii="Arial" w:hAnsi="Arial" w:cs="Arial"/>
          <w:sz w:val="24"/>
          <w:szCs w:val="24"/>
        </w:rPr>
        <w:t>t</w:t>
      </w:r>
      <w:r>
        <w:rPr>
          <w:rFonts w:ascii="Arial" w:hAnsi="Arial" w:cs="Arial"/>
          <w:sz w:val="24"/>
          <w:szCs w:val="24"/>
        </w:rPr>
        <w:t>h</w:t>
      </w:r>
      <w:r w:rsidR="004778A2">
        <w:rPr>
          <w:rFonts w:ascii="Arial" w:hAnsi="Arial" w:cs="Arial"/>
          <w:sz w:val="24"/>
          <w:szCs w:val="24"/>
        </w:rPr>
        <w:t>e</w:t>
      </w:r>
      <w:r>
        <w:rPr>
          <w:rFonts w:ascii="Arial" w:hAnsi="Arial" w:cs="Arial"/>
          <w:sz w:val="24"/>
          <w:szCs w:val="24"/>
        </w:rPr>
        <w:t xml:space="preserve"> trust. Precisely the same method was used by the taxpayer’s expert witness, Mr Charles Stride. </w:t>
      </w:r>
    </w:p>
    <w:p w14:paraId="54502848" w14:textId="77777777" w:rsidR="00104D6F" w:rsidRDefault="00104D6F" w:rsidP="00104D6F">
      <w:pPr>
        <w:spacing w:after="0" w:line="360" w:lineRule="auto"/>
        <w:jc w:val="both"/>
        <w:rPr>
          <w:rFonts w:ascii="Arial" w:hAnsi="Arial" w:cs="Arial"/>
          <w:sz w:val="24"/>
          <w:szCs w:val="24"/>
        </w:rPr>
      </w:pPr>
    </w:p>
    <w:p w14:paraId="22264313" w14:textId="70F62A23" w:rsidR="00104D6F" w:rsidRDefault="00104D6F" w:rsidP="00104D6F">
      <w:pPr>
        <w:spacing w:after="0" w:line="360" w:lineRule="auto"/>
        <w:jc w:val="both"/>
        <w:rPr>
          <w:rFonts w:ascii="Arial" w:hAnsi="Arial" w:cs="Arial"/>
          <w:sz w:val="24"/>
          <w:szCs w:val="24"/>
        </w:rPr>
      </w:pPr>
      <w:r>
        <w:rPr>
          <w:rFonts w:ascii="Arial" w:hAnsi="Arial" w:cs="Arial"/>
          <w:sz w:val="24"/>
          <w:szCs w:val="24"/>
        </w:rPr>
        <w:t>[</w:t>
      </w:r>
      <w:r w:rsidR="00876379">
        <w:rPr>
          <w:rFonts w:ascii="Arial" w:hAnsi="Arial" w:cs="Arial"/>
          <w:sz w:val="24"/>
          <w:szCs w:val="24"/>
        </w:rPr>
        <w:t>4</w:t>
      </w:r>
      <w:r w:rsidR="004778A2">
        <w:rPr>
          <w:rFonts w:ascii="Arial" w:hAnsi="Arial" w:cs="Arial"/>
          <w:sz w:val="24"/>
          <w:szCs w:val="24"/>
        </w:rPr>
        <w:t>2</w:t>
      </w:r>
      <w:r>
        <w:rPr>
          <w:rFonts w:ascii="Arial" w:hAnsi="Arial" w:cs="Arial"/>
          <w:sz w:val="24"/>
          <w:szCs w:val="24"/>
        </w:rPr>
        <w:t>]</w:t>
      </w:r>
      <w:r>
        <w:rPr>
          <w:rFonts w:ascii="Arial" w:hAnsi="Arial" w:cs="Arial"/>
          <w:sz w:val="24"/>
          <w:szCs w:val="24"/>
        </w:rPr>
        <w:tab/>
        <w:t xml:space="preserve">Three days into the hearing of evidence in the tax court, the matter stood down to enable the expert witnesses on both sides to meet. An agreement was reached that </w:t>
      </w:r>
      <w:r>
        <w:rPr>
          <w:rFonts w:ascii="Arial" w:hAnsi="Arial" w:cs="Arial"/>
          <w:sz w:val="24"/>
          <w:szCs w:val="24"/>
        </w:rPr>
        <w:lastRenderedPageBreak/>
        <w:t>the value of Umthombo’s shares was either R152.7 million or R232 million, depending on how the mineral resources</w:t>
      </w:r>
      <w:r w:rsidR="004778A2">
        <w:rPr>
          <w:rFonts w:ascii="Arial" w:hAnsi="Arial" w:cs="Arial"/>
          <w:sz w:val="24"/>
          <w:szCs w:val="24"/>
        </w:rPr>
        <w:t>,</w:t>
      </w:r>
      <w:r>
        <w:rPr>
          <w:rFonts w:ascii="Arial" w:hAnsi="Arial" w:cs="Arial"/>
          <w:sz w:val="24"/>
          <w:szCs w:val="24"/>
        </w:rPr>
        <w:t xml:space="preserve"> in respect of which Umthombo had prospecting rights, were categorised. </w:t>
      </w:r>
    </w:p>
    <w:p w14:paraId="30E7FF7A" w14:textId="77777777" w:rsidR="00104D6F" w:rsidRDefault="00104D6F" w:rsidP="00104D6F">
      <w:pPr>
        <w:spacing w:after="0" w:line="360" w:lineRule="auto"/>
        <w:jc w:val="both"/>
        <w:rPr>
          <w:rFonts w:ascii="Arial" w:hAnsi="Arial" w:cs="Arial"/>
          <w:sz w:val="24"/>
          <w:szCs w:val="24"/>
        </w:rPr>
      </w:pPr>
    </w:p>
    <w:p w14:paraId="4F40C16A" w14:textId="5BDEE9E5" w:rsidR="00104D6F" w:rsidRDefault="00104D6F" w:rsidP="00104D6F">
      <w:pPr>
        <w:spacing w:after="0" w:line="360" w:lineRule="auto"/>
        <w:jc w:val="both"/>
        <w:rPr>
          <w:rFonts w:ascii="Arial" w:hAnsi="Arial" w:cs="Arial"/>
          <w:sz w:val="24"/>
          <w:szCs w:val="24"/>
        </w:rPr>
      </w:pPr>
      <w:r>
        <w:rPr>
          <w:rFonts w:ascii="Arial" w:hAnsi="Arial" w:cs="Arial"/>
          <w:sz w:val="24"/>
          <w:szCs w:val="24"/>
        </w:rPr>
        <w:t>[</w:t>
      </w:r>
      <w:r w:rsidR="00876379">
        <w:rPr>
          <w:rFonts w:ascii="Arial" w:hAnsi="Arial" w:cs="Arial"/>
          <w:sz w:val="24"/>
          <w:szCs w:val="24"/>
        </w:rPr>
        <w:t>4</w:t>
      </w:r>
      <w:r w:rsidR="004778A2">
        <w:rPr>
          <w:rFonts w:ascii="Arial" w:hAnsi="Arial" w:cs="Arial"/>
          <w:sz w:val="24"/>
          <w:szCs w:val="24"/>
        </w:rPr>
        <w:t>3</w:t>
      </w:r>
      <w:r>
        <w:rPr>
          <w:rFonts w:ascii="Arial" w:hAnsi="Arial" w:cs="Arial"/>
          <w:sz w:val="24"/>
          <w:szCs w:val="24"/>
        </w:rPr>
        <w:t>]</w:t>
      </w:r>
      <w:r>
        <w:rPr>
          <w:rFonts w:ascii="Arial" w:hAnsi="Arial" w:cs="Arial"/>
          <w:sz w:val="24"/>
          <w:szCs w:val="24"/>
        </w:rPr>
        <w:tab/>
        <w:t xml:space="preserve">The taxpayer argued that they were ‘resource targets’ while </w:t>
      </w:r>
      <w:r w:rsidR="004778A2">
        <w:rPr>
          <w:rFonts w:ascii="Arial" w:hAnsi="Arial" w:cs="Arial"/>
          <w:sz w:val="24"/>
          <w:szCs w:val="24"/>
        </w:rPr>
        <w:t>the Commissioner</w:t>
      </w:r>
      <w:r>
        <w:rPr>
          <w:rFonts w:ascii="Arial" w:hAnsi="Arial" w:cs="Arial"/>
          <w:sz w:val="24"/>
          <w:szCs w:val="24"/>
        </w:rPr>
        <w:t xml:space="preserve"> was of the view that they were ‘inferred resources’. The effect of this categorisation on the value of Umthombo was significant</w:t>
      </w:r>
      <w:r w:rsidR="00876379">
        <w:rPr>
          <w:rFonts w:ascii="Arial" w:hAnsi="Arial" w:cs="Arial"/>
          <w:sz w:val="24"/>
          <w:szCs w:val="24"/>
        </w:rPr>
        <w:t>,</w:t>
      </w:r>
      <w:r>
        <w:rPr>
          <w:rFonts w:ascii="Arial" w:hAnsi="Arial" w:cs="Arial"/>
          <w:sz w:val="24"/>
          <w:szCs w:val="24"/>
        </w:rPr>
        <w:t xml:space="preserve"> being</w:t>
      </w:r>
      <w:r w:rsidR="00E96FF5">
        <w:rPr>
          <w:rFonts w:ascii="Arial" w:hAnsi="Arial" w:cs="Arial"/>
          <w:sz w:val="24"/>
          <w:szCs w:val="24"/>
        </w:rPr>
        <w:t xml:space="preserve"> a difference in value of</w:t>
      </w:r>
      <w:r>
        <w:rPr>
          <w:rFonts w:ascii="Arial" w:hAnsi="Arial" w:cs="Arial"/>
          <w:sz w:val="24"/>
          <w:szCs w:val="24"/>
        </w:rPr>
        <w:t xml:space="preserve"> R79.3 million. The second issue that the tax court had to deal with was whether </w:t>
      </w:r>
      <w:r w:rsidR="004A05B1">
        <w:rPr>
          <w:rFonts w:ascii="Arial" w:hAnsi="Arial" w:cs="Arial"/>
          <w:sz w:val="24"/>
          <w:szCs w:val="24"/>
        </w:rPr>
        <w:t>the consultancy agreement affected the value of the shares</w:t>
      </w:r>
      <w:r>
        <w:rPr>
          <w:rFonts w:ascii="Arial" w:hAnsi="Arial" w:cs="Arial"/>
          <w:sz w:val="24"/>
          <w:szCs w:val="24"/>
        </w:rPr>
        <w:t xml:space="preserve">.  </w:t>
      </w:r>
    </w:p>
    <w:p w14:paraId="0248CE09" w14:textId="77777777" w:rsidR="00104D6F" w:rsidRDefault="00104D6F" w:rsidP="00104D6F">
      <w:pPr>
        <w:spacing w:after="0" w:line="360" w:lineRule="auto"/>
        <w:jc w:val="both"/>
        <w:rPr>
          <w:rFonts w:ascii="Arial" w:hAnsi="Arial" w:cs="Arial"/>
          <w:sz w:val="24"/>
          <w:szCs w:val="24"/>
        </w:rPr>
      </w:pPr>
    </w:p>
    <w:p w14:paraId="3E14F088" w14:textId="4C58F558" w:rsidR="00104D6F" w:rsidRDefault="00104D6F" w:rsidP="00104D6F">
      <w:pPr>
        <w:spacing w:after="0" w:line="360" w:lineRule="auto"/>
        <w:jc w:val="both"/>
        <w:rPr>
          <w:rFonts w:ascii="Arial" w:hAnsi="Arial" w:cs="Arial"/>
          <w:sz w:val="24"/>
          <w:szCs w:val="24"/>
        </w:rPr>
      </w:pPr>
      <w:r>
        <w:rPr>
          <w:rFonts w:ascii="Arial" w:hAnsi="Arial" w:cs="Arial"/>
          <w:sz w:val="24"/>
          <w:szCs w:val="24"/>
        </w:rPr>
        <w:t>[</w:t>
      </w:r>
      <w:r w:rsidR="00876379">
        <w:rPr>
          <w:rFonts w:ascii="Arial" w:hAnsi="Arial" w:cs="Arial"/>
          <w:sz w:val="24"/>
          <w:szCs w:val="24"/>
        </w:rPr>
        <w:t>4</w:t>
      </w:r>
      <w:r w:rsidR="004A05B1">
        <w:rPr>
          <w:rFonts w:ascii="Arial" w:hAnsi="Arial" w:cs="Arial"/>
          <w:sz w:val="24"/>
          <w:szCs w:val="24"/>
        </w:rPr>
        <w:t>4</w:t>
      </w:r>
      <w:r>
        <w:rPr>
          <w:rFonts w:ascii="Arial" w:hAnsi="Arial" w:cs="Arial"/>
          <w:sz w:val="24"/>
          <w:szCs w:val="24"/>
        </w:rPr>
        <w:t>]</w:t>
      </w:r>
      <w:r>
        <w:rPr>
          <w:rFonts w:ascii="Arial" w:hAnsi="Arial" w:cs="Arial"/>
          <w:sz w:val="24"/>
          <w:szCs w:val="24"/>
        </w:rPr>
        <w:tab/>
        <w:t xml:space="preserve">Both of these issues were decided by the tax court in favour of </w:t>
      </w:r>
      <w:r w:rsidR="004A05B1">
        <w:rPr>
          <w:rFonts w:ascii="Arial" w:hAnsi="Arial" w:cs="Arial"/>
          <w:sz w:val="24"/>
          <w:szCs w:val="24"/>
        </w:rPr>
        <w:t>the Commissioner</w:t>
      </w:r>
      <w:r>
        <w:rPr>
          <w:rFonts w:ascii="Arial" w:hAnsi="Arial" w:cs="Arial"/>
          <w:sz w:val="24"/>
          <w:szCs w:val="24"/>
        </w:rPr>
        <w:t xml:space="preserve">, with the result that the value of the NMC shares sold by the taxpayer to </w:t>
      </w:r>
      <w:r w:rsidR="004A05B1">
        <w:rPr>
          <w:rFonts w:ascii="Arial" w:hAnsi="Arial" w:cs="Arial"/>
          <w:sz w:val="24"/>
          <w:szCs w:val="24"/>
        </w:rPr>
        <w:t>t</w:t>
      </w:r>
      <w:r>
        <w:rPr>
          <w:rFonts w:ascii="Arial" w:hAnsi="Arial" w:cs="Arial"/>
          <w:sz w:val="24"/>
          <w:szCs w:val="24"/>
        </w:rPr>
        <w:t>h</w:t>
      </w:r>
      <w:r w:rsidR="004A05B1">
        <w:rPr>
          <w:rFonts w:ascii="Arial" w:hAnsi="Arial" w:cs="Arial"/>
          <w:sz w:val="24"/>
          <w:szCs w:val="24"/>
        </w:rPr>
        <w:t>e</w:t>
      </w:r>
      <w:r>
        <w:rPr>
          <w:rFonts w:ascii="Arial" w:hAnsi="Arial" w:cs="Arial"/>
          <w:sz w:val="24"/>
          <w:szCs w:val="24"/>
        </w:rPr>
        <w:t xml:space="preserve"> trust was determined to be half of R231 400 000, namely R115 700 000.</w:t>
      </w:r>
    </w:p>
    <w:p w14:paraId="445C7344" w14:textId="77777777" w:rsidR="00104D6F" w:rsidRDefault="00104D6F" w:rsidP="00104D6F">
      <w:pPr>
        <w:spacing w:after="0" w:line="360" w:lineRule="auto"/>
        <w:jc w:val="both"/>
        <w:rPr>
          <w:rFonts w:ascii="Arial" w:hAnsi="Arial" w:cs="Arial"/>
          <w:sz w:val="24"/>
          <w:szCs w:val="24"/>
        </w:rPr>
      </w:pPr>
    </w:p>
    <w:p w14:paraId="1773FEF0" w14:textId="12D2DA32" w:rsidR="00104D6F" w:rsidRDefault="00104D6F" w:rsidP="00104D6F">
      <w:pPr>
        <w:spacing w:after="0" w:line="360" w:lineRule="auto"/>
        <w:jc w:val="both"/>
        <w:rPr>
          <w:rFonts w:ascii="Arial" w:hAnsi="Arial" w:cs="Arial"/>
          <w:sz w:val="24"/>
          <w:szCs w:val="24"/>
        </w:rPr>
      </w:pPr>
      <w:r>
        <w:rPr>
          <w:rFonts w:ascii="Arial" w:hAnsi="Arial" w:cs="Arial"/>
          <w:sz w:val="24"/>
          <w:szCs w:val="24"/>
        </w:rPr>
        <w:t>[</w:t>
      </w:r>
      <w:r w:rsidR="00876379">
        <w:rPr>
          <w:rFonts w:ascii="Arial" w:hAnsi="Arial" w:cs="Arial"/>
          <w:sz w:val="24"/>
          <w:szCs w:val="24"/>
        </w:rPr>
        <w:t>4</w:t>
      </w:r>
      <w:r w:rsidR="004A05B1">
        <w:rPr>
          <w:rFonts w:ascii="Arial" w:hAnsi="Arial" w:cs="Arial"/>
          <w:sz w:val="24"/>
          <w:szCs w:val="24"/>
        </w:rPr>
        <w:t>5</w:t>
      </w:r>
      <w:r>
        <w:rPr>
          <w:rFonts w:ascii="Arial" w:hAnsi="Arial" w:cs="Arial"/>
          <w:sz w:val="24"/>
          <w:szCs w:val="24"/>
        </w:rPr>
        <w:t>]</w:t>
      </w:r>
      <w:r>
        <w:rPr>
          <w:rFonts w:ascii="Arial" w:hAnsi="Arial" w:cs="Arial"/>
          <w:sz w:val="24"/>
          <w:szCs w:val="24"/>
        </w:rPr>
        <w:tab/>
        <w:t>I</w:t>
      </w:r>
      <w:r w:rsidR="004A05B1">
        <w:rPr>
          <w:rFonts w:ascii="Arial" w:hAnsi="Arial" w:cs="Arial"/>
          <w:sz w:val="24"/>
          <w:szCs w:val="24"/>
        </w:rPr>
        <w:t>n respect of the cla</w:t>
      </w:r>
      <w:r>
        <w:rPr>
          <w:rFonts w:ascii="Arial" w:hAnsi="Arial" w:cs="Arial"/>
          <w:sz w:val="24"/>
          <w:szCs w:val="24"/>
        </w:rPr>
        <w:t>ssification of Umthombo’s mineral resources</w:t>
      </w:r>
      <w:r w:rsidR="004A05B1">
        <w:rPr>
          <w:rFonts w:ascii="Arial" w:hAnsi="Arial" w:cs="Arial"/>
          <w:sz w:val="24"/>
          <w:szCs w:val="24"/>
        </w:rPr>
        <w:t>,</w:t>
      </w:r>
      <w:r>
        <w:rPr>
          <w:rFonts w:ascii="Arial" w:hAnsi="Arial" w:cs="Arial"/>
          <w:sz w:val="24"/>
          <w:szCs w:val="24"/>
        </w:rPr>
        <w:t xml:space="preserve"> </w:t>
      </w:r>
      <w:r w:rsidR="004A05B1">
        <w:rPr>
          <w:rFonts w:ascii="Arial" w:hAnsi="Arial" w:cs="Arial"/>
          <w:sz w:val="24"/>
          <w:szCs w:val="24"/>
        </w:rPr>
        <w:t>the Commissioner</w:t>
      </w:r>
      <w:r>
        <w:rPr>
          <w:rFonts w:ascii="Arial" w:hAnsi="Arial" w:cs="Arial"/>
          <w:sz w:val="24"/>
          <w:szCs w:val="24"/>
        </w:rPr>
        <w:t xml:space="preserve"> adduced the evidence of an expert in the field who qualified himself as a ‘competent person’ for purposes of the SAMREC Code’s system of categorising mineral resources. Of the witness called by the taxpayer, however, the tax court observed that he was ‘reluctant to qualify himself as a competent person for purposes of the SAMREC code’, he having said that he may have been ‘on the fringes’ of being a competent person. This being so, his evidence was inadmissible opinion evidence and the tax court correctly found</w:t>
      </w:r>
      <w:r w:rsidR="004A05B1">
        <w:rPr>
          <w:rFonts w:ascii="Arial" w:hAnsi="Arial" w:cs="Arial"/>
          <w:sz w:val="24"/>
          <w:szCs w:val="24"/>
        </w:rPr>
        <w:t>, on the basis of the evidence of the Commissioner’s expert witness,</w:t>
      </w:r>
      <w:r>
        <w:rPr>
          <w:rFonts w:ascii="Arial" w:hAnsi="Arial" w:cs="Arial"/>
          <w:sz w:val="24"/>
          <w:szCs w:val="24"/>
        </w:rPr>
        <w:t xml:space="preserve"> that Umthombo’s mineral resources had been correctly categorised as ‘inferred resources’. </w:t>
      </w:r>
    </w:p>
    <w:p w14:paraId="58080DF6" w14:textId="77777777" w:rsidR="00104D6F" w:rsidRDefault="00104D6F" w:rsidP="00104D6F">
      <w:pPr>
        <w:spacing w:after="0" w:line="360" w:lineRule="auto"/>
        <w:jc w:val="both"/>
        <w:rPr>
          <w:rFonts w:ascii="Arial" w:hAnsi="Arial" w:cs="Arial"/>
          <w:sz w:val="24"/>
          <w:szCs w:val="24"/>
        </w:rPr>
      </w:pPr>
    </w:p>
    <w:p w14:paraId="480C68DD" w14:textId="13D571D0" w:rsidR="00104D6F" w:rsidRDefault="00104D6F" w:rsidP="00104D6F">
      <w:pPr>
        <w:spacing w:after="0" w:line="360" w:lineRule="auto"/>
        <w:jc w:val="both"/>
        <w:rPr>
          <w:rFonts w:ascii="Arial" w:hAnsi="Arial" w:cs="Arial"/>
          <w:sz w:val="24"/>
          <w:szCs w:val="24"/>
        </w:rPr>
      </w:pPr>
      <w:r>
        <w:rPr>
          <w:rFonts w:ascii="Arial" w:hAnsi="Arial" w:cs="Arial"/>
          <w:sz w:val="24"/>
          <w:szCs w:val="24"/>
        </w:rPr>
        <w:t>[</w:t>
      </w:r>
      <w:r w:rsidR="00876379">
        <w:rPr>
          <w:rFonts w:ascii="Arial" w:hAnsi="Arial" w:cs="Arial"/>
          <w:sz w:val="24"/>
          <w:szCs w:val="24"/>
        </w:rPr>
        <w:t>4</w:t>
      </w:r>
      <w:r w:rsidR="004A05B1">
        <w:rPr>
          <w:rFonts w:ascii="Arial" w:hAnsi="Arial" w:cs="Arial"/>
          <w:sz w:val="24"/>
          <w:szCs w:val="24"/>
        </w:rPr>
        <w:t>6</w:t>
      </w:r>
      <w:r>
        <w:rPr>
          <w:rFonts w:ascii="Arial" w:hAnsi="Arial" w:cs="Arial"/>
          <w:sz w:val="24"/>
          <w:szCs w:val="24"/>
        </w:rPr>
        <w:t>]</w:t>
      </w:r>
      <w:r>
        <w:rPr>
          <w:rFonts w:ascii="Arial" w:hAnsi="Arial" w:cs="Arial"/>
          <w:sz w:val="24"/>
          <w:szCs w:val="24"/>
        </w:rPr>
        <w:tab/>
        <w:t>The taxpayer argued that Su</w:t>
      </w:r>
      <w:r w:rsidR="004A05B1">
        <w:rPr>
          <w:rFonts w:ascii="Arial" w:hAnsi="Arial" w:cs="Arial"/>
          <w:sz w:val="24"/>
          <w:szCs w:val="24"/>
        </w:rPr>
        <w:t>m</w:t>
      </w:r>
      <w:r>
        <w:rPr>
          <w:rFonts w:ascii="Arial" w:hAnsi="Arial" w:cs="Arial"/>
          <w:sz w:val="24"/>
          <w:szCs w:val="24"/>
        </w:rPr>
        <w:t>o’s 60 percent participation interest in terms of the consultancy agreement had to be deducted from the value of Umthombo. The tax court rejected this argument on the basis that the consultancy agreement did not create a liability for Umthombo but, at best, ‘a contingent liability in the sense that it may or may not arise depending on whether coal reserves are identified; it is viable for coal mining and Su</w:t>
      </w:r>
      <w:r w:rsidR="004A05B1">
        <w:rPr>
          <w:rFonts w:ascii="Arial" w:hAnsi="Arial" w:cs="Arial"/>
          <w:sz w:val="24"/>
          <w:szCs w:val="24"/>
        </w:rPr>
        <w:t>m</w:t>
      </w:r>
      <w:r>
        <w:rPr>
          <w:rFonts w:ascii="Arial" w:hAnsi="Arial" w:cs="Arial"/>
          <w:sz w:val="24"/>
          <w:szCs w:val="24"/>
        </w:rPr>
        <w:t xml:space="preserve">o Coal decide to request Umthombo to enter into a joint venture’. This contingent liability, the tax court held, ‘cannot be taken into account for purposes of valuing the mineral resources of Umthombo’. </w:t>
      </w:r>
    </w:p>
    <w:p w14:paraId="1F1FBF9A" w14:textId="77777777" w:rsidR="00104D6F" w:rsidRDefault="00104D6F" w:rsidP="00104D6F">
      <w:pPr>
        <w:spacing w:after="0" w:line="360" w:lineRule="auto"/>
        <w:jc w:val="both"/>
        <w:rPr>
          <w:rFonts w:ascii="Arial" w:hAnsi="Arial" w:cs="Arial"/>
          <w:sz w:val="24"/>
          <w:szCs w:val="24"/>
        </w:rPr>
      </w:pPr>
    </w:p>
    <w:p w14:paraId="20063E34" w14:textId="6BF414D3" w:rsidR="00104D6F" w:rsidRDefault="00104D6F" w:rsidP="00104D6F">
      <w:pPr>
        <w:spacing w:after="0" w:line="360" w:lineRule="auto"/>
        <w:jc w:val="both"/>
        <w:rPr>
          <w:rFonts w:ascii="Arial" w:hAnsi="Arial" w:cs="Arial"/>
          <w:sz w:val="24"/>
          <w:szCs w:val="24"/>
        </w:rPr>
      </w:pPr>
      <w:r>
        <w:rPr>
          <w:rFonts w:ascii="Arial" w:hAnsi="Arial" w:cs="Arial"/>
          <w:sz w:val="24"/>
          <w:szCs w:val="24"/>
        </w:rPr>
        <w:lastRenderedPageBreak/>
        <w:t>[</w:t>
      </w:r>
      <w:r w:rsidR="00876379">
        <w:rPr>
          <w:rFonts w:ascii="Arial" w:hAnsi="Arial" w:cs="Arial"/>
          <w:sz w:val="24"/>
          <w:szCs w:val="24"/>
        </w:rPr>
        <w:t>4</w:t>
      </w:r>
      <w:r w:rsidR="004A05B1">
        <w:rPr>
          <w:rFonts w:ascii="Arial" w:hAnsi="Arial" w:cs="Arial"/>
          <w:sz w:val="24"/>
          <w:szCs w:val="24"/>
        </w:rPr>
        <w:t>7</w:t>
      </w:r>
      <w:r>
        <w:rPr>
          <w:rFonts w:ascii="Arial" w:hAnsi="Arial" w:cs="Arial"/>
          <w:sz w:val="24"/>
          <w:szCs w:val="24"/>
        </w:rPr>
        <w:t>]</w:t>
      </w:r>
      <w:r>
        <w:rPr>
          <w:rFonts w:ascii="Arial" w:hAnsi="Arial" w:cs="Arial"/>
          <w:sz w:val="24"/>
          <w:szCs w:val="24"/>
        </w:rPr>
        <w:tab/>
        <w:t>As far as the R300 million paid by Umthombo to Su</w:t>
      </w:r>
      <w:r w:rsidR="004A05B1">
        <w:rPr>
          <w:rFonts w:ascii="Arial" w:hAnsi="Arial" w:cs="Arial"/>
          <w:sz w:val="24"/>
          <w:szCs w:val="24"/>
        </w:rPr>
        <w:t>m</w:t>
      </w:r>
      <w:r>
        <w:rPr>
          <w:rFonts w:ascii="Arial" w:hAnsi="Arial" w:cs="Arial"/>
          <w:sz w:val="24"/>
          <w:szCs w:val="24"/>
        </w:rPr>
        <w:t>o</w:t>
      </w:r>
      <w:r w:rsidR="004A05B1">
        <w:rPr>
          <w:rFonts w:ascii="Arial" w:hAnsi="Arial" w:cs="Arial"/>
          <w:sz w:val="24"/>
          <w:szCs w:val="24"/>
        </w:rPr>
        <w:t xml:space="preserve"> was concerned</w:t>
      </w:r>
      <w:r>
        <w:rPr>
          <w:rFonts w:ascii="Arial" w:hAnsi="Arial" w:cs="Arial"/>
          <w:sz w:val="24"/>
          <w:szCs w:val="24"/>
        </w:rPr>
        <w:t>, the tax court held that it was only 11 months after the sale of the shares that the arbitrator had found that Umthombo had to enter into a joint venture with Su</w:t>
      </w:r>
      <w:r w:rsidR="004A05B1">
        <w:rPr>
          <w:rFonts w:ascii="Arial" w:hAnsi="Arial" w:cs="Arial"/>
          <w:sz w:val="24"/>
          <w:szCs w:val="24"/>
        </w:rPr>
        <w:t>m</w:t>
      </w:r>
      <w:r>
        <w:rPr>
          <w:rFonts w:ascii="Arial" w:hAnsi="Arial" w:cs="Arial"/>
          <w:sz w:val="24"/>
          <w:szCs w:val="24"/>
        </w:rPr>
        <w:t xml:space="preserve">o, and </w:t>
      </w:r>
      <w:r w:rsidR="004A05B1">
        <w:rPr>
          <w:rFonts w:ascii="Arial" w:hAnsi="Arial" w:cs="Arial"/>
          <w:sz w:val="24"/>
          <w:szCs w:val="24"/>
        </w:rPr>
        <w:t>still</w:t>
      </w:r>
      <w:r>
        <w:rPr>
          <w:rFonts w:ascii="Arial" w:hAnsi="Arial" w:cs="Arial"/>
          <w:sz w:val="24"/>
          <w:szCs w:val="24"/>
        </w:rPr>
        <w:t xml:space="preserve"> later that it opted to pay damages</w:t>
      </w:r>
      <w:r w:rsidR="00D31A4B">
        <w:rPr>
          <w:rFonts w:ascii="Arial" w:hAnsi="Arial" w:cs="Arial"/>
          <w:sz w:val="24"/>
          <w:szCs w:val="24"/>
        </w:rPr>
        <w:t xml:space="preserve"> of R300 million</w:t>
      </w:r>
      <w:r>
        <w:rPr>
          <w:rFonts w:ascii="Arial" w:hAnsi="Arial" w:cs="Arial"/>
          <w:sz w:val="24"/>
          <w:szCs w:val="24"/>
        </w:rPr>
        <w:t xml:space="preserve"> to Su</w:t>
      </w:r>
      <w:r w:rsidR="00D31A4B">
        <w:rPr>
          <w:rFonts w:ascii="Arial" w:hAnsi="Arial" w:cs="Arial"/>
          <w:sz w:val="24"/>
          <w:szCs w:val="24"/>
        </w:rPr>
        <w:t>m</w:t>
      </w:r>
      <w:r>
        <w:rPr>
          <w:rFonts w:ascii="Arial" w:hAnsi="Arial" w:cs="Arial"/>
          <w:sz w:val="24"/>
          <w:szCs w:val="24"/>
        </w:rPr>
        <w:t xml:space="preserve">o instead. The tax court </w:t>
      </w:r>
      <w:r w:rsidR="00D31A4B">
        <w:rPr>
          <w:rFonts w:ascii="Arial" w:hAnsi="Arial" w:cs="Arial"/>
          <w:sz w:val="24"/>
          <w:szCs w:val="24"/>
        </w:rPr>
        <w:t xml:space="preserve">also </w:t>
      </w:r>
      <w:r>
        <w:rPr>
          <w:rFonts w:ascii="Arial" w:hAnsi="Arial" w:cs="Arial"/>
          <w:sz w:val="24"/>
          <w:szCs w:val="24"/>
        </w:rPr>
        <w:t>made the point that Umthombo Coal, rather than Umthombo Resources</w:t>
      </w:r>
      <w:r w:rsidR="00D31A4B">
        <w:rPr>
          <w:rFonts w:ascii="Arial" w:hAnsi="Arial" w:cs="Arial"/>
          <w:sz w:val="24"/>
          <w:szCs w:val="24"/>
        </w:rPr>
        <w:t>,</w:t>
      </w:r>
      <w:r>
        <w:rPr>
          <w:rFonts w:ascii="Arial" w:hAnsi="Arial" w:cs="Arial"/>
          <w:sz w:val="24"/>
          <w:szCs w:val="24"/>
        </w:rPr>
        <w:t xml:space="preserve"> had, in terms of the settlement agreement, undertaken to pay this amount to Su</w:t>
      </w:r>
      <w:r w:rsidR="00D31A4B">
        <w:rPr>
          <w:rFonts w:ascii="Arial" w:hAnsi="Arial" w:cs="Arial"/>
          <w:sz w:val="24"/>
          <w:szCs w:val="24"/>
        </w:rPr>
        <w:t>m</w:t>
      </w:r>
      <w:r>
        <w:rPr>
          <w:rFonts w:ascii="Arial" w:hAnsi="Arial" w:cs="Arial"/>
          <w:sz w:val="24"/>
          <w:szCs w:val="24"/>
        </w:rPr>
        <w:t xml:space="preserve">o. Furthermore, if this amount was to be taken into account, so too should the total value of the </w:t>
      </w:r>
      <w:r w:rsidR="00D31A4B">
        <w:rPr>
          <w:rFonts w:ascii="Arial" w:hAnsi="Arial" w:cs="Arial"/>
          <w:sz w:val="24"/>
          <w:szCs w:val="24"/>
        </w:rPr>
        <w:t>‘</w:t>
      </w:r>
      <w:r>
        <w:rPr>
          <w:rFonts w:ascii="Arial" w:hAnsi="Arial" w:cs="Arial"/>
          <w:sz w:val="24"/>
          <w:szCs w:val="24"/>
        </w:rPr>
        <w:t>joint venture</w:t>
      </w:r>
      <w:r w:rsidR="00D31A4B">
        <w:rPr>
          <w:rFonts w:ascii="Arial" w:hAnsi="Arial" w:cs="Arial"/>
          <w:sz w:val="24"/>
          <w:szCs w:val="24"/>
        </w:rPr>
        <w:t>’</w:t>
      </w:r>
      <w:r>
        <w:rPr>
          <w:rFonts w:ascii="Arial" w:hAnsi="Arial" w:cs="Arial"/>
          <w:sz w:val="24"/>
          <w:szCs w:val="24"/>
        </w:rPr>
        <w:t xml:space="preserve">. If this was done, a further R200 million would have been added to the value of Umthombo, increasing </w:t>
      </w:r>
      <w:r w:rsidR="00D31A4B">
        <w:rPr>
          <w:rFonts w:ascii="Arial" w:hAnsi="Arial" w:cs="Arial"/>
          <w:sz w:val="24"/>
          <w:szCs w:val="24"/>
        </w:rPr>
        <w:t>i</w:t>
      </w:r>
      <w:r>
        <w:rPr>
          <w:rFonts w:ascii="Arial" w:hAnsi="Arial" w:cs="Arial"/>
          <w:sz w:val="24"/>
          <w:szCs w:val="24"/>
        </w:rPr>
        <w:t>t</w:t>
      </w:r>
      <w:r w:rsidR="00D31A4B">
        <w:rPr>
          <w:rFonts w:ascii="Arial" w:hAnsi="Arial" w:cs="Arial"/>
          <w:sz w:val="24"/>
          <w:szCs w:val="24"/>
        </w:rPr>
        <w:t>s</w:t>
      </w:r>
      <w:r>
        <w:rPr>
          <w:rFonts w:ascii="Arial" w:hAnsi="Arial" w:cs="Arial"/>
          <w:sz w:val="24"/>
          <w:szCs w:val="24"/>
        </w:rPr>
        <w:t xml:space="preserve"> value. </w:t>
      </w:r>
    </w:p>
    <w:p w14:paraId="2A8D20C4" w14:textId="77777777" w:rsidR="00104D6F" w:rsidRDefault="00104D6F" w:rsidP="00104D6F">
      <w:pPr>
        <w:spacing w:after="0" w:line="360" w:lineRule="auto"/>
        <w:jc w:val="both"/>
        <w:rPr>
          <w:rFonts w:ascii="Arial" w:hAnsi="Arial" w:cs="Arial"/>
          <w:sz w:val="24"/>
          <w:szCs w:val="24"/>
        </w:rPr>
      </w:pPr>
    </w:p>
    <w:p w14:paraId="032ECACF" w14:textId="3104218B" w:rsidR="00104D6F" w:rsidRDefault="00104D6F" w:rsidP="00104D6F">
      <w:pPr>
        <w:spacing w:after="0" w:line="360" w:lineRule="auto"/>
        <w:jc w:val="both"/>
        <w:rPr>
          <w:rFonts w:ascii="Arial" w:hAnsi="Arial" w:cs="Arial"/>
          <w:sz w:val="24"/>
          <w:szCs w:val="24"/>
        </w:rPr>
      </w:pPr>
      <w:r>
        <w:rPr>
          <w:rFonts w:ascii="Arial" w:hAnsi="Arial" w:cs="Arial"/>
          <w:sz w:val="24"/>
          <w:szCs w:val="24"/>
        </w:rPr>
        <w:t>[</w:t>
      </w:r>
      <w:r w:rsidR="00876379">
        <w:rPr>
          <w:rFonts w:ascii="Arial" w:hAnsi="Arial" w:cs="Arial"/>
          <w:sz w:val="24"/>
          <w:szCs w:val="24"/>
        </w:rPr>
        <w:t>4</w:t>
      </w:r>
      <w:r w:rsidR="00D31A4B">
        <w:rPr>
          <w:rFonts w:ascii="Arial" w:hAnsi="Arial" w:cs="Arial"/>
          <w:sz w:val="24"/>
          <w:szCs w:val="24"/>
        </w:rPr>
        <w:t>8</w:t>
      </w:r>
      <w:r>
        <w:rPr>
          <w:rFonts w:ascii="Arial" w:hAnsi="Arial" w:cs="Arial"/>
          <w:sz w:val="24"/>
          <w:szCs w:val="24"/>
        </w:rPr>
        <w:t>]</w:t>
      </w:r>
      <w:r>
        <w:rPr>
          <w:rFonts w:ascii="Arial" w:hAnsi="Arial" w:cs="Arial"/>
          <w:sz w:val="24"/>
          <w:szCs w:val="24"/>
        </w:rPr>
        <w:tab/>
        <w:t>Finally, the tax court did not allow any discount on the basis of the shareholders agreement limiting the transferability of Umthombo’s shares. It did so on the basis of item 31(3) of the Eighth Schedule of the I</w:t>
      </w:r>
      <w:r w:rsidR="00E96FF5">
        <w:rPr>
          <w:rFonts w:ascii="Arial" w:hAnsi="Arial" w:cs="Arial"/>
          <w:sz w:val="24"/>
          <w:szCs w:val="24"/>
        </w:rPr>
        <w:t xml:space="preserve">ncome </w:t>
      </w:r>
      <w:r>
        <w:rPr>
          <w:rFonts w:ascii="Arial" w:hAnsi="Arial" w:cs="Arial"/>
          <w:sz w:val="24"/>
          <w:szCs w:val="24"/>
        </w:rPr>
        <w:t>T</w:t>
      </w:r>
      <w:r w:rsidR="00F9619F">
        <w:rPr>
          <w:rFonts w:ascii="Arial" w:hAnsi="Arial" w:cs="Arial"/>
          <w:sz w:val="24"/>
          <w:szCs w:val="24"/>
        </w:rPr>
        <w:t xml:space="preserve">ax </w:t>
      </w:r>
      <w:r>
        <w:rPr>
          <w:rFonts w:ascii="Arial" w:hAnsi="Arial" w:cs="Arial"/>
          <w:sz w:val="24"/>
          <w:szCs w:val="24"/>
        </w:rPr>
        <w:t>A</w:t>
      </w:r>
      <w:r w:rsidR="00F9619F">
        <w:rPr>
          <w:rFonts w:ascii="Arial" w:hAnsi="Arial" w:cs="Arial"/>
          <w:sz w:val="24"/>
          <w:szCs w:val="24"/>
        </w:rPr>
        <w:t>ct</w:t>
      </w:r>
      <w:r>
        <w:rPr>
          <w:rFonts w:ascii="Arial" w:hAnsi="Arial" w:cs="Arial"/>
          <w:sz w:val="24"/>
          <w:szCs w:val="24"/>
        </w:rPr>
        <w:t xml:space="preserve"> which states that when determining the market value of unlisted shares, no regard may be had to any provision that restricts the transferability of those shares and</w:t>
      </w:r>
      <w:r w:rsidR="00D31A4B">
        <w:rPr>
          <w:rFonts w:ascii="Arial" w:hAnsi="Arial" w:cs="Arial"/>
          <w:sz w:val="24"/>
          <w:szCs w:val="24"/>
        </w:rPr>
        <w:t xml:space="preserve"> that</w:t>
      </w:r>
      <w:r>
        <w:rPr>
          <w:rFonts w:ascii="Arial" w:hAnsi="Arial" w:cs="Arial"/>
          <w:sz w:val="24"/>
          <w:szCs w:val="24"/>
        </w:rPr>
        <w:t xml:space="preserve"> ‘it shall be assumed that those shares were freely transferable’. </w:t>
      </w:r>
    </w:p>
    <w:p w14:paraId="3527253E" w14:textId="77777777" w:rsidR="00104D6F" w:rsidRDefault="00104D6F" w:rsidP="00104D6F">
      <w:pPr>
        <w:spacing w:after="0" w:line="360" w:lineRule="auto"/>
        <w:jc w:val="both"/>
        <w:rPr>
          <w:rFonts w:ascii="Arial" w:hAnsi="Arial" w:cs="Arial"/>
          <w:sz w:val="24"/>
          <w:szCs w:val="24"/>
        </w:rPr>
      </w:pPr>
    </w:p>
    <w:p w14:paraId="39CC7E4A" w14:textId="2C23BC9A" w:rsidR="00104D6F" w:rsidRDefault="00104D6F" w:rsidP="00104D6F">
      <w:pPr>
        <w:spacing w:after="0" w:line="360" w:lineRule="auto"/>
        <w:jc w:val="both"/>
        <w:rPr>
          <w:rFonts w:ascii="Arial" w:hAnsi="Arial" w:cs="Arial"/>
          <w:sz w:val="24"/>
          <w:szCs w:val="24"/>
        </w:rPr>
      </w:pPr>
      <w:r>
        <w:rPr>
          <w:rFonts w:ascii="Arial" w:hAnsi="Arial" w:cs="Arial"/>
          <w:sz w:val="24"/>
          <w:szCs w:val="24"/>
        </w:rPr>
        <w:t>[</w:t>
      </w:r>
      <w:r w:rsidR="00876379">
        <w:rPr>
          <w:rFonts w:ascii="Arial" w:hAnsi="Arial" w:cs="Arial"/>
          <w:sz w:val="24"/>
          <w:szCs w:val="24"/>
        </w:rPr>
        <w:t>4</w:t>
      </w:r>
      <w:r w:rsidR="00D31A4B">
        <w:rPr>
          <w:rFonts w:ascii="Arial" w:hAnsi="Arial" w:cs="Arial"/>
          <w:sz w:val="24"/>
          <w:szCs w:val="24"/>
        </w:rPr>
        <w:t>9</w:t>
      </w:r>
      <w:r>
        <w:rPr>
          <w:rFonts w:ascii="Arial" w:hAnsi="Arial" w:cs="Arial"/>
          <w:sz w:val="24"/>
          <w:szCs w:val="24"/>
        </w:rPr>
        <w:t>]</w:t>
      </w:r>
      <w:r>
        <w:rPr>
          <w:rFonts w:ascii="Arial" w:hAnsi="Arial" w:cs="Arial"/>
          <w:sz w:val="24"/>
          <w:szCs w:val="24"/>
        </w:rPr>
        <w:tab/>
        <w:t>The tax court concluded that capital gains tax in respect of the sale of the NMC shares was to be calculated on the following basis: (a) the value of Umthombo was R232 million ‘according to the agreement between the experts’; (b) an amount of R6 million was to be deducted ‘to determine the value of the Umthombo shares’ in accordance with Thayser’s valuation, leaving a</w:t>
      </w:r>
      <w:r w:rsidR="00D31A4B">
        <w:rPr>
          <w:rFonts w:ascii="Arial" w:hAnsi="Arial" w:cs="Arial"/>
          <w:sz w:val="24"/>
          <w:szCs w:val="24"/>
        </w:rPr>
        <w:t>n</w:t>
      </w:r>
      <w:r>
        <w:rPr>
          <w:rFonts w:ascii="Arial" w:hAnsi="Arial" w:cs="Arial"/>
          <w:sz w:val="24"/>
          <w:szCs w:val="24"/>
        </w:rPr>
        <w:t xml:space="preserve"> amount of R231.4 million; and (c) 50 percent of that amount</w:t>
      </w:r>
      <w:r w:rsidR="00D31A4B">
        <w:rPr>
          <w:rFonts w:ascii="Arial" w:hAnsi="Arial" w:cs="Arial"/>
          <w:sz w:val="24"/>
          <w:szCs w:val="24"/>
        </w:rPr>
        <w:t>,</w:t>
      </w:r>
      <w:r>
        <w:rPr>
          <w:rFonts w:ascii="Arial" w:hAnsi="Arial" w:cs="Arial"/>
          <w:sz w:val="24"/>
          <w:szCs w:val="24"/>
        </w:rPr>
        <w:t xml:space="preserve"> being R115.7 million, was attributable to the NMC shares, on the basis of ‘a method that both SARS and the taxpayer applied to arrive at the value of the NMC shares’. The result was the order that I have quoted in paragraph [7] above. </w:t>
      </w:r>
    </w:p>
    <w:p w14:paraId="7515A14A" w14:textId="77777777" w:rsidR="00104D6F" w:rsidRDefault="00104D6F" w:rsidP="00104D6F">
      <w:pPr>
        <w:spacing w:after="0" w:line="360" w:lineRule="auto"/>
        <w:jc w:val="both"/>
        <w:rPr>
          <w:rFonts w:ascii="Arial" w:hAnsi="Arial" w:cs="Arial"/>
          <w:sz w:val="24"/>
          <w:szCs w:val="24"/>
        </w:rPr>
      </w:pPr>
    </w:p>
    <w:p w14:paraId="59D98DDD" w14:textId="33F521EB" w:rsidR="00104D6F" w:rsidRDefault="00104D6F" w:rsidP="00104D6F">
      <w:pPr>
        <w:spacing w:after="0" w:line="360" w:lineRule="auto"/>
        <w:jc w:val="both"/>
        <w:rPr>
          <w:rFonts w:ascii="Arial" w:hAnsi="Arial" w:cs="Arial"/>
          <w:sz w:val="24"/>
          <w:szCs w:val="24"/>
        </w:rPr>
      </w:pPr>
      <w:r>
        <w:rPr>
          <w:rFonts w:ascii="Arial" w:hAnsi="Arial" w:cs="Arial"/>
          <w:sz w:val="24"/>
          <w:szCs w:val="24"/>
        </w:rPr>
        <w:t>[</w:t>
      </w:r>
      <w:r w:rsidR="00D31A4B">
        <w:rPr>
          <w:rFonts w:ascii="Arial" w:hAnsi="Arial" w:cs="Arial"/>
          <w:sz w:val="24"/>
          <w:szCs w:val="24"/>
        </w:rPr>
        <w:t>50</w:t>
      </w:r>
      <w:r>
        <w:rPr>
          <w:rFonts w:ascii="Arial" w:hAnsi="Arial" w:cs="Arial"/>
          <w:sz w:val="24"/>
          <w:szCs w:val="24"/>
        </w:rPr>
        <w:t>]</w:t>
      </w:r>
      <w:r>
        <w:rPr>
          <w:rFonts w:ascii="Arial" w:hAnsi="Arial" w:cs="Arial"/>
          <w:sz w:val="24"/>
          <w:szCs w:val="24"/>
        </w:rPr>
        <w:tab/>
        <w:t>Pursuant to the tax court’s order, the taxpayer filed a notice of his intention to appeal against parts of the tax court’s order. He sought leave to appeal directly to this court. Francis J granted leave</w:t>
      </w:r>
      <w:r w:rsidR="00D31A4B">
        <w:rPr>
          <w:rFonts w:ascii="Arial" w:hAnsi="Arial" w:cs="Arial"/>
          <w:sz w:val="24"/>
          <w:szCs w:val="24"/>
        </w:rPr>
        <w:t xml:space="preserve"> to appeal</w:t>
      </w:r>
      <w:r>
        <w:rPr>
          <w:rFonts w:ascii="Arial" w:hAnsi="Arial" w:cs="Arial"/>
          <w:sz w:val="24"/>
          <w:szCs w:val="24"/>
        </w:rPr>
        <w:t xml:space="preserve"> to the full court</w:t>
      </w:r>
      <w:r w:rsidR="00F9619F">
        <w:rPr>
          <w:rFonts w:ascii="Arial" w:hAnsi="Arial" w:cs="Arial"/>
          <w:sz w:val="24"/>
          <w:szCs w:val="24"/>
        </w:rPr>
        <w:t xml:space="preserve"> instead</w:t>
      </w:r>
      <w:r>
        <w:rPr>
          <w:rFonts w:ascii="Arial" w:hAnsi="Arial" w:cs="Arial"/>
          <w:sz w:val="24"/>
          <w:szCs w:val="24"/>
        </w:rPr>
        <w:t xml:space="preserve">. </w:t>
      </w:r>
    </w:p>
    <w:p w14:paraId="0A244C67" w14:textId="77777777" w:rsidR="00104D6F" w:rsidRDefault="00104D6F" w:rsidP="00104D6F">
      <w:pPr>
        <w:spacing w:after="0" w:line="360" w:lineRule="auto"/>
        <w:jc w:val="both"/>
        <w:rPr>
          <w:rFonts w:ascii="Arial" w:hAnsi="Arial" w:cs="Arial"/>
          <w:sz w:val="24"/>
          <w:szCs w:val="24"/>
        </w:rPr>
      </w:pPr>
    </w:p>
    <w:p w14:paraId="2D93BB39" w14:textId="4970BD2D" w:rsidR="00104D6F" w:rsidRDefault="00104D6F" w:rsidP="00104D6F">
      <w:pPr>
        <w:spacing w:after="0" w:line="360" w:lineRule="auto"/>
        <w:jc w:val="both"/>
        <w:rPr>
          <w:rFonts w:ascii="Arial" w:hAnsi="Arial" w:cs="Arial"/>
          <w:sz w:val="24"/>
          <w:szCs w:val="24"/>
        </w:rPr>
      </w:pPr>
      <w:r>
        <w:rPr>
          <w:rFonts w:ascii="Arial" w:hAnsi="Arial" w:cs="Arial"/>
          <w:sz w:val="24"/>
          <w:szCs w:val="24"/>
        </w:rPr>
        <w:t>[</w:t>
      </w:r>
      <w:r w:rsidR="00D31A4B">
        <w:rPr>
          <w:rFonts w:ascii="Arial" w:hAnsi="Arial" w:cs="Arial"/>
          <w:sz w:val="24"/>
          <w:szCs w:val="24"/>
        </w:rPr>
        <w:t>51</w:t>
      </w:r>
      <w:r>
        <w:rPr>
          <w:rFonts w:ascii="Arial" w:hAnsi="Arial" w:cs="Arial"/>
          <w:sz w:val="24"/>
          <w:szCs w:val="24"/>
        </w:rPr>
        <w:t>]</w:t>
      </w:r>
      <w:r>
        <w:rPr>
          <w:rFonts w:ascii="Arial" w:hAnsi="Arial" w:cs="Arial"/>
          <w:sz w:val="24"/>
          <w:szCs w:val="24"/>
        </w:rPr>
        <w:tab/>
        <w:t xml:space="preserve">In the notice, two grounds of appeal were raised. The first was that the tax court ‘erred or misdirected itself in failing to find that the sixty (60%) percent discount contained in clause 7 of the written consultancy agreement should be applied to the </w:t>
      </w:r>
      <w:r>
        <w:rPr>
          <w:rFonts w:ascii="Arial" w:hAnsi="Arial" w:cs="Arial"/>
          <w:sz w:val="24"/>
          <w:szCs w:val="24"/>
        </w:rPr>
        <w:lastRenderedPageBreak/>
        <w:t xml:space="preserve">amount contained in Table 6 of Exhibit BB’, that being the joint minute of the experts in relation to the valuation. </w:t>
      </w:r>
      <w:r w:rsidR="00D31A4B">
        <w:rPr>
          <w:rFonts w:ascii="Arial" w:hAnsi="Arial" w:cs="Arial"/>
          <w:sz w:val="24"/>
          <w:szCs w:val="24"/>
        </w:rPr>
        <w:t>The second related to the costs order.</w:t>
      </w:r>
    </w:p>
    <w:p w14:paraId="17824F34" w14:textId="77777777" w:rsidR="00104D6F" w:rsidRDefault="00104D6F" w:rsidP="00104D6F">
      <w:pPr>
        <w:spacing w:after="0" w:line="360" w:lineRule="auto"/>
        <w:jc w:val="both"/>
        <w:rPr>
          <w:rFonts w:ascii="Arial" w:hAnsi="Arial" w:cs="Arial"/>
          <w:sz w:val="24"/>
          <w:szCs w:val="24"/>
        </w:rPr>
      </w:pPr>
    </w:p>
    <w:p w14:paraId="7D253B07" w14:textId="7C7F1FE8" w:rsidR="00104D6F" w:rsidRDefault="00104D6F" w:rsidP="00104D6F">
      <w:pPr>
        <w:spacing w:after="0" w:line="360" w:lineRule="auto"/>
        <w:jc w:val="both"/>
        <w:rPr>
          <w:rFonts w:ascii="Arial" w:hAnsi="Arial" w:cs="Arial"/>
          <w:sz w:val="24"/>
          <w:szCs w:val="24"/>
        </w:rPr>
      </w:pPr>
      <w:r>
        <w:rPr>
          <w:rFonts w:ascii="Arial" w:hAnsi="Arial" w:cs="Arial"/>
          <w:sz w:val="24"/>
          <w:szCs w:val="24"/>
        </w:rPr>
        <w:t>[</w:t>
      </w:r>
      <w:r w:rsidR="00876379">
        <w:rPr>
          <w:rFonts w:ascii="Arial" w:hAnsi="Arial" w:cs="Arial"/>
          <w:sz w:val="24"/>
          <w:szCs w:val="24"/>
        </w:rPr>
        <w:t>5</w:t>
      </w:r>
      <w:r w:rsidR="00D31A4B">
        <w:rPr>
          <w:rFonts w:ascii="Arial" w:hAnsi="Arial" w:cs="Arial"/>
          <w:sz w:val="24"/>
          <w:szCs w:val="24"/>
        </w:rPr>
        <w:t>2</w:t>
      </w:r>
      <w:r>
        <w:rPr>
          <w:rFonts w:ascii="Arial" w:hAnsi="Arial" w:cs="Arial"/>
          <w:sz w:val="24"/>
          <w:szCs w:val="24"/>
        </w:rPr>
        <w:t>]</w:t>
      </w:r>
      <w:r>
        <w:rPr>
          <w:rFonts w:ascii="Arial" w:hAnsi="Arial" w:cs="Arial"/>
          <w:sz w:val="24"/>
          <w:szCs w:val="24"/>
        </w:rPr>
        <w:tab/>
        <w:t>Later in the notice, the taxpayer made it clear that the valuation of Umthombo’s shareholding was not in issue. In paragraph 4, for instance, it was stated that the tax court ‘ought to have subjected the value of R232 000 000 attributed to the shareholding in Umthombo Resources (Pty) Ltd to the 60%/40% split in the determination of the value of the shareholding attributable to the taxpayer . . .’.</w:t>
      </w:r>
    </w:p>
    <w:p w14:paraId="18568424" w14:textId="77777777" w:rsidR="00104D6F" w:rsidRDefault="00104D6F" w:rsidP="00104D6F">
      <w:pPr>
        <w:spacing w:after="0" w:line="360" w:lineRule="auto"/>
        <w:jc w:val="both"/>
        <w:rPr>
          <w:rFonts w:ascii="Arial" w:hAnsi="Arial" w:cs="Arial"/>
          <w:sz w:val="24"/>
          <w:szCs w:val="24"/>
        </w:rPr>
      </w:pPr>
    </w:p>
    <w:p w14:paraId="4A1811A6" w14:textId="753A412D" w:rsidR="00104D6F" w:rsidRDefault="00104D6F" w:rsidP="00104D6F">
      <w:pPr>
        <w:spacing w:after="0" w:line="360" w:lineRule="auto"/>
        <w:jc w:val="both"/>
        <w:rPr>
          <w:rFonts w:ascii="Arial" w:hAnsi="Arial" w:cs="Arial"/>
          <w:sz w:val="24"/>
          <w:szCs w:val="24"/>
        </w:rPr>
      </w:pPr>
      <w:r>
        <w:rPr>
          <w:rFonts w:ascii="Arial" w:hAnsi="Arial" w:cs="Arial"/>
          <w:sz w:val="24"/>
          <w:szCs w:val="24"/>
        </w:rPr>
        <w:t>[</w:t>
      </w:r>
      <w:r w:rsidR="00876379">
        <w:rPr>
          <w:rFonts w:ascii="Arial" w:hAnsi="Arial" w:cs="Arial"/>
          <w:sz w:val="24"/>
          <w:szCs w:val="24"/>
        </w:rPr>
        <w:t>5</w:t>
      </w:r>
      <w:r w:rsidR="00D31A4B">
        <w:rPr>
          <w:rFonts w:ascii="Arial" w:hAnsi="Arial" w:cs="Arial"/>
          <w:sz w:val="24"/>
          <w:szCs w:val="24"/>
        </w:rPr>
        <w:t>3</w:t>
      </w:r>
      <w:r>
        <w:rPr>
          <w:rFonts w:ascii="Arial" w:hAnsi="Arial" w:cs="Arial"/>
          <w:sz w:val="24"/>
          <w:szCs w:val="24"/>
        </w:rPr>
        <w:t>]</w:t>
      </w:r>
      <w:r>
        <w:rPr>
          <w:rFonts w:ascii="Arial" w:hAnsi="Arial" w:cs="Arial"/>
          <w:sz w:val="24"/>
          <w:szCs w:val="24"/>
        </w:rPr>
        <w:tab/>
        <w:t xml:space="preserve">Subsequent to leave to appeal being granted, the taxpayer filed his notice of appeal. As with the previous notice, the taxpayer’s grounds related to the ‘discount’ arising from the consultancy agreement and to costs. These grounds mirrored what was said in the previous notice. What was sought was an order in which the value of the NMC shares was reflected as R46 280 000, calculated as follows: R231 400 000 x 40% = R92 560 000 x 50% = R46 280 000, for purposes of determining the taxpayer’s capital gains tax and donations tax liability. Up to this point, what was evident was that both </w:t>
      </w:r>
      <w:r w:rsidR="00D31A4B">
        <w:rPr>
          <w:rFonts w:ascii="Arial" w:hAnsi="Arial" w:cs="Arial"/>
          <w:sz w:val="24"/>
          <w:szCs w:val="24"/>
        </w:rPr>
        <w:t>the Commissioner</w:t>
      </w:r>
      <w:r>
        <w:rPr>
          <w:rFonts w:ascii="Arial" w:hAnsi="Arial" w:cs="Arial"/>
          <w:sz w:val="24"/>
          <w:szCs w:val="24"/>
        </w:rPr>
        <w:t xml:space="preserve"> and the taxpayer used the same valuation methodology and worked from the same figures. </w:t>
      </w:r>
    </w:p>
    <w:p w14:paraId="1869EC77" w14:textId="77777777" w:rsidR="00104D6F" w:rsidRDefault="00104D6F" w:rsidP="00104D6F">
      <w:pPr>
        <w:spacing w:after="0" w:line="360" w:lineRule="auto"/>
        <w:jc w:val="both"/>
        <w:rPr>
          <w:rFonts w:ascii="Arial" w:hAnsi="Arial" w:cs="Arial"/>
          <w:sz w:val="24"/>
          <w:szCs w:val="24"/>
        </w:rPr>
      </w:pPr>
    </w:p>
    <w:p w14:paraId="32A15EEF" w14:textId="557B7003" w:rsidR="00104D6F" w:rsidRDefault="00104D6F" w:rsidP="00104D6F">
      <w:pPr>
        <w:spacing w:after="0" w:line="360" w:lineRule="auto"/>
        <w:jc w:val="both"/>
        <w:rPr>
          <w:rFonts w:ascii="Arial" w:hAnsi="Arial" w:cs="Arial"/>
          <w:sz w:val="24"/>
          <w:szCs w:val="24"/>
        </w:rPr>
      </w:pPr>
      <w:r>
        <w:rPr>
          <w:rFonts w:ascii="Arial" w:hAnsi="Arial" w:cs="Arial"/>
          <w:sz w:val="24"/>
          <w:szCs w:val="24"/>
        </w:rPr>
        <w:t>[</w:t>
      </w:r>
      <w:r w:rsidR="00876379">
        <w:rPr>
          <w:rFonts w:ascii="Arial" w:hAnsi="Arial" w:cs="Arial"/>
          <w:sz w:val="24"/>
          <w:szCs w:val="24"/>
        </w:rPr>
        <w:t>5</w:t>
      </w:r>
      <w:r w:rsidR="00D31A4B">
        <w:rPr>
          <w:rFonts w:ascii="Arial" w:hAnsi="Arial" w:cs="Arial"/>
          <w:sz w:val="24"/>
          <w:szCs w:val="24"/>
        </w:rPr>
        <w:t>4</w:t>
      </w:r>
      <w:r>
        <w:rPr>
          <w:rFonts w:ascii="Arial" w:hAnsi="Arial" w:cs="Arial"/>
          <w:sz w:val="24"/>
          <w:szCs w:val="24"/>
        </w:rPr>
        <w:t>]</w:t>
      </w:r>
      <w:r>
        <w:rPr>
          <w:rFonts w:ascii="Arial" w:hAnsi="Arial" w:cs="Arial"/>
          <w:sz w:val="24"/>
          <w:szCs w:val="24"/>
        </w:rPr>
        <w:tab/>
        <w:t>The focus of the appeal to the full court changed</w:t>
      </w:r>
      <w:r w:rsidR="00D31A4B">
        <w:rPr>
          <w:rFonts w:ascii="Arial" w:hAnsi="Arial" w:cs="Arial"/>
          <w:sz w:val="24"/>
          <w:szCs w:val="24"/>
        </w:rPr>
        <w:t xml:space="preserve"> at the last minute</w:t>
      </w:r>
      <w:r>
        <w:rPr>
          <w:rFonts w:ascii="Arial" w:hAnsi="Arial" w:cs="Arial"/>
          <w:sz w:val="24"/>
          <w:szCs w:val="24"/>
        </w:rPr>
        <w:t xml:space="preserve">. In the taxpayer’s heads of argument, two more issues were raised and the relief sought differed fundamentally from that stated in the notice of appeal. Now, the taxpayer sought to challenge the valuation methodology </w:t>
      </w:r>
      <w:r w:rsidR="00FF613D" w:rsidRPr="00C779A2">
        <w:rPr>
          <w:rFonts w:ascii="Arial" w:hAnsi="Arial" w:cs="Arial"/>
          <w:sz w:val="24"/>
          <w:szCs w:val="24"/>
        </w:rPr>
        <w:t>i</w:t>
      </w:r>
      <w:r w:rsidRPr="00C779A2">
        <w:rPr>
          <w:rFonts w:ascii="Arial" w:hAnsi="Arial" w:cs="Arial"/>
          <w:sz w:val="24"/>
          <w:szCs w:val="24"/>
        </w:rPr>
        <w:t>n</w:t>
      </w:r>
      <w:r>
        <w:rPr>
          <w:rFonts w:ascii="Arial" w:hAnsi="Arial" w:cs="Arial"/>
          <w:sz w:val="24"/>
          <w:szCs w:val="24"/>
        </w:rPr>
        <w:t xml:space="preserve"> asserting that the market value of the shares was, in fact, never determined. He also sought to re-open the characterisation of Umthombo’s mineral resources. The relief sought was </w:t>
      </w:r>
      <w:r w:rsidR="00F9619F">
        <w:rPr>
          <w:rFonts w:ascii="Arial" w:hAnsi="Arial" w:cs="Arial"/>
          <w:sz w:val="24"/>
          <w:szCs w:val="24"/>
        </w:rPr>
        <w:t xml:space="preserve">altered to </w:t>
      </w:r>
      <w:r>
        <w:rPr>
          <w:rFonts w:ascii="Arial" w:hAnsi="Arial" w:cs="Arial"/>
          <w:sz w:val="24"/>
          <w:szCs w:val="24"/>
        </w:rPr>
        <w:t xml:space="preserve">a setting aside of the assessment and a remittal to </w:t>
      </w:r>
      <w:r w:rsidR="00D31A4B">
        <w:rPr>
          <w:rFonts w:ascii="Arial" w:hAnsi="Arial" w:cs="Arial"/>
          <w:sz w:val="24"/>
          <w:szCs w:val="24"/>
        </w:rPr>
        <w:t>the Commissioner</w:t>
      </w:r>
      <w:r>
        <w:rPr>
          <w:rFonts w:ascii="Arial" w:hAnsi="Arial" w:cs="Arial"/>
          <w:sz w:val="24"/>
          <w:szCs w:val="24"/>
        </w:rPr>
        <w:t xml:space="preserve"> for a new assessment to be made. </w:t>
      </w:r>
    </w:p>
    <w:p w14:paraId="73C3B829" w14:textId="77777777" w:rsidR="00104D6F" w:rsidRDefault="00104D6F" w:rsidP="00104D6F">
      <w:pPr>
        <w:spacing w:after="0" w:line="360" w:lineRule="auto"/>
        <w:jc w:val="both"/>
        <w:rPr>
          <w:rFonts w:ascii="Arial" w:hAnsi="Arial" w:cs="Arial"/>
          <w:sz w:val="24"/>
          <w:szCs w:val="24"/>
        </w:rPr>
      </w:pPr>
    </w:p>
    <w:p w14:paraId="367CE5B8" w14:textId="65C6160D" w:rsidR="00104D6F" w:rsidRDefault="00104D6F" w:rsidP="00104D6F">
      <w:pPr>
        <w:spacing w:after="0" w:line="360" w:lineRule="auto"/>
        <w:jc w:val="both"/>
        <w:rPr>
          <w:rFonts w:ascii="Arial" w:hAnsi="Arial" w:cs="Arial"/>
          <w:sz w:val="24"/>
          <w:szCs w:val="24"/>
        </w:rPr>
      </w:pPr>
      <w:r>
        <w:rPr>
          <w:rFonts w:ascii="Arial" w:hAnsi="Arial" w:cs="Arial"/>
          <w:sz w:val="24"/>
          <w:szCs w:val="24"/>
        </w:rPr>
        <w:t>[</w:t>
      </w:r>
      <w:r w:rsidR="00876379">
        <w:rPr>
          <w:rFonts w:ascii="Arial" w:hAnsi="Arial" w:cs="Arial"/>
          <w:sz w:val="24"/>
          <w:szCs w:val="24"/>
        </w:rPr>
        <w:t>5</w:t>
      </w:r>
      <w:r w:rsidR="00D31A4B">
        <w:rPr>
          <w:rFonts w:ascii="Arial" w:hAnsi="Arial" w:cs="Arial"/>
          <w:sz w:val="24"/>
          <w:szCs w:val="24"/>
        </w:rPr>
        <w:t>5</w:t>
      </w:r>
      <w:r>
        <w:rPr>
          <w:rFonts w:ascii="Arial" w:hAnsi="Arial" w:cs="Arial"/>
          <w:sz w:val="24"/>
          <w:szCs w:val="24"/>
        </w:rPr>
        <w:t>]</w:t>
      </w:r>
      <w:r>
        <w:rPr>
          <w:rFonts w:ascii="Arial" w:hAnsi="Arial" w:cs="Arial"/>
          <w:sz w:val="24"/>
          <w:szCs w:val="24"/>
        </w:rPr>
        <w:tab/>
        <w:t>Not surprisingly, the Commissioner objected to the new grounds raised in the taxpayer’s heads of argument, pointing out that no application to amend his notice of appeal had been made. Dippenaar J pointed out in her judgment</w:t>
      </w:r>
      <w:r w:rsidR="00FF613D">
        <w:rPr>
          <w:rFonts w:ascii="Arial" w:hAnsi="Arial" w:cs="Arial"/>
          <w:sz w:val="24"/>
          <w:szCs w:val="24"/>
        </w:rPr>
        <w:t xml:space="preserve"> </w:t>
      </w:r>
      <w:r w:rsidR="00FF613D" w:rsidRPr="00C779A2">
        <w:rPr>
          <w:rFonts w:ascii="Arial" w:hAnsi="Arial" w:cs="Arial"/>
          <w:sz w:val="24"/>
          <w:szCs w:val="24"/>
        </w:rPr>
        <w:t>on behalf of the full court</w:t>
      </w:r>
      <w:r w:rsidRPr="00C779A2">
        <w:rPr>
          <w:rFonts w:ascii="Arial" w:hAnsi="Arial" w:cs="Arial"/>
          <w:sz w:val="24"/>
          <w:szCs w:val="24"/>
        </w:rPr>
        <w:t xml:space="preserve"> that despite the objection, no application to amend was for</w:t>
      </w:r>
      <w:r>
        <w:rPr>
          <w:rFonts w:ascii="Arial" w:hAnsi="Arial" w:cs="Arial"/>
          <w:sz w:val="24"/>
          <w:szCs w:val="24"/>
        </w:rPr>
        <w:t xml:space="preserve">thcoming during a period of nine months from the date of the objection being raised (in the Commissioner’s heads of argument) until the hearing of the appeal. When the appeal </w:t>
      </w:r>
      <w:r>
        <w:rPr>
          <w:rFonts w:ascii="Arial" w:hAnsi="Arial" w:cs="Arial"/>
          <w:sz w:val="24"/>
          <w:szCs w:val="24"/>
        </w:rPr>
        <w:lastRenderedPageBreak/>
        <w:t xml:space="preserve">was heard, an application to amend the notice of appeal was made from the bar and, as Dippenaar J pointed out, ‘[n]o reasons for the delay or the absence of a formal application were provided’. </w:t>
      </w:r>
    </w:p>
    <w:p w14:paraId="7085A22D" w14:textId="77777777" w:rsidR="00104D6F" w:rsidRDefault="00104D6F" w:rsidP="00104D6F">
      <w:pPr>
        <w:spacing w:after="0" w:line="360" w:lineRule="auto"/>
        <w:jc w:val="both"/>
        <w:rPr>
          <w:rFonts w:ascii="Arial" w:hAnsi="Arial" w:cs="Arial"/>
          <w:sz w:val="24"/>
          <w:szCs w:val="24"/>
        </w:rPr>
      </w:pPr>
    </w:p>
    <w:p w14:paraId="51AB8C7C" w14:textId="30E84855" w:rsidR="00104D6F" w:rsidRDefault="00104D6F" w:rsidP="00104D6F">
      <w:pPr>
        <w:spacing w:after="0" w:line="360" w:lineRule="auto"/>
        <w:jc w:val="both"/>
        <w:rPr>
          <w:rFonts w:ascii="Arial" w:hAnsi="Arial" w:cs="Arial"/>
          <w:sz w:val="24"/>
          <w:szCs w:val="24"/>
        </w:rPr>
      </w:pPr>
      <w:r>
        <w:rPr>
          <w:rFonts w:ascii="Arial" w:hAnsi="Arial" w:cs="Arial"/>
          <w:sz w:val="24"/>
          <w:szCs w:val="24"/>
        </w:rPr>
        <w:t>[</w:t>
      </w:r>
      <w:r w:rsidR="00876379">
        <w:rPr>
          <w:rFonts w:ascii="Arial" w:hAnsi="Arial" w:cs="Arial"/>
          <w:sz w:val="24"/>
          <w:szCs w:val="24"/>
        </w:rPr>
        <w:t>5</w:t>
      </w:r>
      <w:r w:rsidR="007E2700">
        <w:rPr>
          <w:rFonts w:ascii="Arial" w:hAnsi="Arial" w:cs="Arial"/>
          <w:sz w:val="24"/>
          <w:szCs w:val="24"/>
        </w:rPr>
        <w:t>6</w:t>
      </w:r>
      <w:r>
        <w:rPr>
          <w:rFonts w:ascii="Arial" w:hAnsi="Arial" w:cs="Arial"/>
          <w:sz w:val="24"/>
          <w:szCs w:val="24"/>
        </w:rPr>
        <w:t>]</w:t>
      </w:r>
      <w:r>
        <w:rPr>
          <w:rFonts w:ascii="Arial" w:hAnsi="Arial" w:cs="Arial"/>
          <w:sz w:val="24"/>
          <w:szCs w:val="24"/>
        </w:rPr>
        <w:tab/>
        <w:t>The full court refused the taxpayer’s application in respect of the valuation method. It did so for the following reasons. First, the issue of the valuation methodology was not canvassed in the tax court, in the evidence or</w:t>
      </w:r>
      <w:r w:rsidR="00FF613D">
        <w:rPr>
          <w:rFonts w:ascii="Arial" w:hAnsi="Arial" w:cs="Arial"/>
          <w:sz w:val="24"/>
          <w:szCs w:val="24"/>
        </w:rPr>
        <w:t xml:space="preserve"> </w:t>
      </w:r>
      <w:r w:rsidR="00FF613D" w:rsidRPr="00C779A2">
        <w:rPr>
          <w:rFonts w:ascii="Arial" w:hAnsi="Arial" w:cs="Arial"/>
          <w:sz w:val="24"/>
          <w:szCs w:val="24"/>
        </w:rPr>
        <w:t>in</w:t>
      </w:r>
      <w:r>
        <w:rPr>
          <w:rFonts w:ascii="Arial" w:hAnsi="Arial" w:cs="Arial"/>
          <w:sz w:val="24"/>
          <w:szCs w:val="24"/>
        </w:rPr>
        <w:t xml:space="preserve"> the pleadings. Secondly, the taxpayer’s witnesses agreed with the SARS witnesses on the valuation method and on the values, subject to the appropriate characterisation of the mineral resources. Third, the discounted cash flow method</w:t>
      </w:r>
      <w:r w:rsidR="007E2700">
        <w:rPr>
          <w:rFonts w:ascii="Arial" w:hAnsi="Arial" w:cs="Arial"/>
          <w:sz w:val="24"/>
          <w:szCs w:val="24"/>
        </w:rPr>
        <w:t>, that the taxpayer now enthusiastically propounded,</w:t>
      </w:r>
      <w:r>
        <w:rPr>
          <w:rFonts w:ascii="Arial" w:hAnsi="Arial" w:cs="Arial"/>
          <w:sz w:val="24"/>
          <w:szCs w:val="24"/>
        </w:rPr>
        <w:t xml:space="preserve"> could not have been used, because the information necessary for its application was not available. This was common cause. Fourth, a challenge to the valuation method would raise ‘substantial new factual issues not canvassed before the Tax Court and the appellant is seeking to build a case on a foundation not previously laid’. Finally, the </w:t>
      </w:r>
      <w:r w:rsidR="00FF613D" w:rsidRPr="00C779A2">
        <w:rPr>
          <w:rFonts w:ascii="Arial" w:hAnsi="Arial" w:cs="Arial"/>
          <w:sz w:val="24"/>
          <w:szCs w:val="24"/>
        </w:rPr>
        <w:t>principle</w:t>
      </w:r>
      <w:r>
        <w:rPr>
          <w:rFonts w:ascii="Arial" w:hAnsi="Arial" w:cs="Arial"/>
          <w:sz w:val="24"/>
          <w:szCs w:val="24"/>
        </w:rPr>
        <w:t xml:space="preserve"> of finality in litigation would be undermined and a setting aside and remittal of the assessment would have the effect of nullifying the agreement between the expert witnesses. The full court concluded that the ‘methodology issue is not a pure legal point to be determined on accepted facts, nor were the factual considerations on which it relies explored in the Tax Court’.</w:t>
      </w:r>
    </w:p>
    <w:p w14:paraId="3D395FDE" w14:textId="77777777" w:rsidR="00104D6F" w:rsidRDefault="00104D6F" w:rsidP="00104D6F">
      <w:pPr>
        <w:spacing w:after="0" w:line="360" w:lineRule="auto"/>
        <w:jc w:val="both"/>
        <w:rPr>
          <w:rFonts w:ascii="Arial" w:hAnsi="Arial" w:cs="Arial"/>
          <w:sz w:val="24"/>
          <w:szCs w:val="24"/>
        </w:rPr>
      </w:pPr>
    </w:p>
    <w:p w14:paraId="5D1F93ED" w14:textId="253FB488" w:rsidR="00104D6F" w:rsidRDefault="00104D6F" w:rsidP="00104D6F">
      <w:pPr>
        <w:spacing w:after="0" w:line="360" w:lineRule="auto"/>
        <w:jc w:val="both"/>
        <w:rPr>
          <w:rFonts w:ascii="Arial" w:hAnsi="Arial" w:cs="Arial"/>
          <w:sz w:val="24"/>
          <w:szCs w:val="24"/>
        </w:rPr>
      </w:pPr>
      <w:r>
        <w:rPr>
          <w:rFonts w:ascii="Arial" w:hAnsi="Arial" w:cs="Arial"/>
          <w:sz w:val="24"/>
          <w:szCs w:val="24"/>
        </w:rPr>
        <w:t>[</w:t>
      </w:r>
      <w:r w:rsidR="00876379">
        <w:rPr>
          <w:rFonts w:ascii="Arial" w:hAnsi="Arial" w:cs="Arial"/>
          <w:sz w:val="24"/>
          <w:szCs w:val="24"/>
        </w:rPr>
        <w:t>5</w:t>
      </w:r>
      <w:r w:rsidR="007E2700">
        <w:rPr>
          <w:rFonts w:ascii="Arial" w:hAnsi="Arial" w:cs="Arial"/>
          <w:sz w:val="24"/>
          <w:szCs w:val="24"/>
        </w:rPr>
        <w:t>7</w:t>
      </w:r>
      <w:r>
        <w:rPr>
          <w:rFonts w:ascii="Arial" w:hAnsi="Arial" w:cs="Arial"/>
          <w:sz w:val="24"/>
          <w:szCs w:val="24"/>
        </w:rPr>
        <w:t>]</w:t>
      </w:r>
      <w:r>
        <w:rPr>
          <w:rFonts w:ascii="Arial" w:hAnsi="Arial" w:cs="Arial"/>
          <w:sz w:val="24"/>
          <w:szCs w:val="24"/>
        </w:rPr>
        <w:tab/>
        <w:t xml:space="preserve">The full court granted the application for the amendment in respect of the characterisation of the mineral resources. There were thus two grounds that it had to consider, the other being the effect of the consultancy agreement. </w:t>
      </w:r>
    </w:p>
    <w:p w14:paraId="1F7AC17E" w14:textId="77777777" w:rsidR="00104D6F" w:rsidRDefault="00104D6F" w:rsidP="00104D6F">
      <w:pPr>
        <w:spacing w:after="0" w:line="360" w:lineRule="auto"/>
        <w:jc w:val="both"/>
        <w:rPr>
          <w:rFonts w:ascii="Arial" w:hAnsi="Arial" w:cs="Arial"/>
          <w:sz w:val="24"/>
          <w:szCs w:val="24"/>
        </w:rPr>
      </w:pPr>
    </w:p>
    <w:p w14:paraId="435DC2CF" w14:textId="7FEE2B88" w:rsidR="00104D6F" w:rsidRDefault="00104D6F" w:rsidP="00104D6F">
      <w:pPr>
        <w:spacing w:after="0" w:line="360" w:lineRule="auto"/>
        <w:jc w:val="both"/>
        <w:rPr>
          <w:rFonts w:ascii="Arial" w:hAnsi="Arial" w:cs="Arial"/>
          <w:sz w:val="24"/>
          <w:szCs w:val="24"/>
        </w:rPr>
      </w:pPr>
      <w:r>
        <w:rPr>
          <w:rFonts w:ascii="Arial" w:hAnsi="Arial" w:cs="Arial"/>
          <w:sz w:val="24"/>
          <w:szCs w:val="24"/>
        </w:rPr>
        <w:t>[</w:t>
      </w:r>
      <w:r w:rsidR="00876379">
        <w:rPr>
          <w:rFonts w:ascii="Arial" w:hAnsi="Arial" w:cs="Arial"/>
          <w:sz w:val="24"/>
          <w:szCs w:val="24"/>
        </w:rPr>
        <w:t>5</w:t>
      </w:r>
      <w:r w:rsidR="007E2700">
        <w:rPr>
          <w:rFonts w:ascii="Arial" w:hAnsi="Arial" w:cs="Arial"/>
          <w:sz w:val="24"/>
          <w:szCs w:val="24"/>
        </w:rPr>
        <w:t>8</w:t>
      </w:r>
      <w:r>
        <w:rPr>
          <w:rFonts w:ascii="Arial" w:hAnsi="Arial" w:cs="Arial"/>
          <w:sz w:val="24"/>
          <w:szCs w:val="24"/>
        </w:rPr>
        <w:t>]</w:t>
      </w:r>
      <w:r>
        <w:rPr>
          <w:rFonts w:ascii="Arial" w:hAnsi="Arial" w:cs="Arial"/>
          <w:sz w:val="24"/>
          <w:szCs w:val="24"/>
        </w:rPr>
        <w:tab/>
        <w:t>The full court upheld the tax court’s finding on the characterisation of the mineral resources. It did so on two bases. First, the Commissioner’s witness qualified himself as an expert in the field, against the required standard, while the taxpayer’s witness did not. That meant that the former’s evidence was admissible, while the latter’s was inadmissible opinion evidence. Furthermore, the evidence of the former could not be faulted while that of the latter left a lot to be desired.</w:t>
      </w:r>
      <w:r w:rsidR="0004135F">
        <w:rPr>
          <w:rFonts w:ascii="Arial" w:hAnsi="Arial" w:cs="Arial"/>
          <w:sz w:val="24"/>
          <w:szCs w:val="24"/>
        </w:rPr>
        <w:t xml:space="preserve"> </w:t>
      </w:r>
      <w:r>
        <w:rPr>
          <w:rFonts w:ascii="Arial" w:hAnsi="Arial" w:cs="Arial"/>
          <w:sz w:val="24"/>
          <w:szCs w:val="24"/>
        </w:rPr>
        <w:t xml:space="preserve">  </w:t>
      </w:r>
    </w:p>
    <w:p w14:paraId="7F075656" w14:textId="77777777" w:rsidR="00104D6F" w:rsidRPr="00AB06E3" w:rsidRDefault="00104D6F" w:rsidP="00104D6F">
      <w:pPr>
        <w:ind w:left="1440" w:hanging="1440"/>
        <w:rPr>
          <w:rFonts w:ascii="Arial" w:hAnsi="Arial" w:cs="Arial"/>
          <w:sz w:val="24"/>
          <w:szCs w:val="24"/>
        </w:rPr>
      </w:pPr>
    </w:p>
    <w:p w14:paraId="77B710C1" w14:textId="3F7180D0" w:rsidR="00763BB2" w:rsidRDefault="00763BB2" w:rsidP="00BD73E7">
      <w:pPr>
        <w:spacing w:after="0" w:line="360" w:lineRule="auto"/>
        <w:jc w:val="both"/>
        <w:rPr>
          <w:rFonts w:ascii="Arial" w:hAnsi="Arial" w:cs="Arial"/>
          <w:sz w:val="24"/>
          <w:szCs w:val="24"/>
          <w:lang w:val="en-US"/>
        </w:rPr>
      </w:pPr>
      <w:r>
        <w:rPr>
          <w:rFonts w:ascii="Arial" w:hAnsi="Arial" w:cs="Arial"/>
          <w:sz w:val="24"/>
          <w:szCs w:val="24"/>
          <w:lang w:val="en-US"/>
        </w:rPr>
        <w:t>[</w:t>
      </w:r>
      <w:r w:rsidR="00226859">
        <w:rPr>
          <w:rFonts w:ascii="Arial" w:hAnsi="Arial" w:cs="Arial"/>
          <w:sz w:val="24"/>
          <w:szCs w:val="24"/>
          <w:lang w:val="en-US"/>
        </w:rPr>
        <w:t>59</w:t>
      </w:r>
      <w:r>
        <w:rPr>
          <w:rFonts w:ascii="Arial" w:hAnsi="Arial" w:cs="Arial"/>
          <w:sz w:val="24"/>
          <w:szCs w:val="24"/>
          <w:lang w:val="en-US"/>
        </w:rPr>
        <w:t>]</w:t>
      </w:r>
      <w:r>
        <w:rPr>
          <w:rFonts w:ascii="Arial" w:hAnsi="Arial" w:cs="Arial"/>
          <w:sz w:val="24"/>
          <w:szCs w:val="24"/>
          <w:lang w:val="en-US"/>
        </w:rPr>
        <w:tab/>
        <w:t xml:space="preserve">As far as the </w:t>
      </w:r>
      <w:r w:rsidR="00FF613D" w:rsidRPr="00326314">
        <w:rPr>
          <w:rFonts w:ascii="Arial" w:hAnsi="Arial" w:cs="Arial"/>
          <w:sz w:val="24"/>
          <w:szCs w:val="24"/>
          <w:lang w:val="en-US"/>
        </w:rPr>
        <w:t>effect of the consultancy agreement</w:t>
      </w:r>
      <w:r>
        <w:rPr>
          <w:rFonts w:ascii="Arial" w:hAnsi="Arial" w:cs="Arial"/>
          <w:sz w:val="24"/>
          <w:szCs w:val="24"/>
          <w:lang w:val="en-US"/>
        </w:rPr>
        <w:t xml:space="preserve"> was concerned, the full court held that the tax court’s finding that the liability was contingent could not be faulted. </w:t>
      </w:r>
      <w:r>
        <w:rPr>
          <w:rFonts w:ascii="Arial" w:hAnsi="Arial" w:cs="Arial"/>
          <w:sz w:val="24"/>
          <w:szCs w:val="24"/>
          <w:lang w:val="en-US"/>
        </w:rPr>
        <w:lastRenderedPageBreak/>
        <w:t xml:space="preserve">The consultancy agreement required three conditions to be met before a joint venture could be formed. They were that coal reserves had been identified, </w:t>
      </w:r>
      <w:r w:rsidR="007E2700">
        <w:rPr>
          <w:rFonts w:ascii="Arial" w:hAnsi="Arial" w:cs="Arial"/>
          <w:sz w:val="24"/>
          <w:szCs w:val="24"/>
          <w:lang w:val="en-US"/>
        </w:rPr>
        <w:t xml:space="preserve">that </w:t>
      </w:r>
      <w:r>
        <w:rPr>
          <w:rFonts w:ascii="Arial" w:hAnsi="Arial" w:cs="Arial"/>
          <w:sz w:val="24"/>
          <w:szCs w:val="24"/>
          <w:lang w:val="en-US"/>
        </w:rPr>
        <w:t xml:space="preserve">they were viably minable and that Sumo had decided that it wished to enter into a joint venture with Umthombo. At the date of the sale of the shares, the conditions had not been met. In respect of the R300 million paid by Umthombo to Sumo, the full court agreed with the tax court that if it was to be taken into account, so too </w:t>
      </w:r>
      <w:r w:rsidRPr="00326314">
        <w:rPr>
          <w:rFonts w:ascii="Arial" w:hAnsi="Arial" w:cs="Arial"/>
          <w:sz w:val="24"/>
          <w:szCs w:val="24"/>
          <w:lang w:val="en-US"/>
        </w:rPr>
        <w:t>s</w:t>
      </w:r>
      <w:r w:rsidR="00FF613D" w:rsidRPr="00326314">
        <w:rPr>
          <w:rFonts w:ascii="Arial" w:hAnsi="Arial" w:cs="Arial"/>
          <w:sz w:val="24"/>
          <w:szCs w:val="24"/>
          <w:lang w:val="en-US"/>
        </w:rPr>
        <w:t>hould</w:t>
      </w:r>
      <w:r>
        <w:rPr>
          <w:rFonts w:ascii="Arial" w:hAnsi="Arial" w:cs="Arial"/>
          <w:sz w:val="24"/>
          <w:szCs w:val="24"/>
          <w:lang w:val="en-US"/>
        </w:rPr>
        <w:t xml:space="preserve"> R200 million representing Umthombo’s profits – and that would have the effect of increasing the valuation of Umthombo.</w:t>
      </w:r>
      <w:r w:rsidR="00226859">
        <w:rPr>
          <w:rFonts w:ascii="Arial" w:hAnsi="Arial" w:cs="Arial"/>
          <w:sz w:val="24"/>
          <w:szCs w:val="24"/>
          <w:lang w:val="en-US"/>
        </w:rPr>
        <w:t xml:space="preserve"> </w:t>
      </w:r>
    </w:p>
    <w:p w14:paraId="464C3397" w14:textId="77777777" w:rsidR="00763BB2" w:rsidRDefault="00763BB2" w:rsidP="00BD73E7">
      <w:pPr>
        <w:spacing w:after="0" w:line="360" w:lineRule="auto"/>
        <w:jc w:val="both"/>
        <w:rPr>
          <w:rFonts w:ascii="Arial" w:hAnsi="Arial" w:cs="Arial"/>
          <w:sz w:val="24"/>
          <w:szCs w:val="24"/>
          <w:lang w:val="en-US"/>
        </w:rPr>
      </w:pPr>
    </w:p>
    <w:p w14:paraId="66A45622" w14:textId="77777777" w:rsidR="00763BB2" w:rsidRDefault="00763BB2" w:rsidP="00BD73E7">
      <w:pPr>
        <w:spacing w:after="0" w:line="360" w:lineRule="auto"/>
        <w:jc w:val="both"/>
        <w:rPr>
          <w:rFonts w:ascii="Arial" w:hAnsi="Arial" w:cs="Arial"/>
          <w:b/>
          <w:sz w:val="24"/>
          <w:szCs w:val="24"/>
          <w:lang w:val="en-US"/>
        </w:rPr>
      </w:pPr>
      <w:r>
        <w:rPr>
          <w:rFonts w:ascii="Arial" w:hAnsi="Arial" w:cs="Arial"/>
          <w:b/>
          <w:sz w:val="24"/>
          <w:szCs w:val="24"/>
          <w:lang w:val="en-US"/>
        </w:rPr>
        <w:t>Conclusion</w:t>
      </w:r>
    </w:p>
    <w:p w14:paraId="1CD4FEC6" w14:textId="7083CDD8" w:rsidR="008956AB" w:rsidRDefault="00361676" w:rsidP="00BD73E7">
      <w:pPr>
        <w:spacing w:after="0" w:line="360" w:lineRule="auto"/>
        <w:jc w:val="both"/>
        <w:rPr>
          <w:rFonts w:ascii="Arial" w:hAnsi="Arial" w:cs="Arial"/>
          <w:sz w:val="24"/>
          <w:szCs w:val="24"/>
          <w:lang w:val="en-US"/>
        </w:rPr>
      </w:pPr>
      <w:r>
        <w:rPr>
          <w:rFonts w:ascii="Arial" w:hAnsi="Arial" w:cs="Arial"/>
          <w:sz w:val="24"/>
          <w:szCs w:val="24"/>
          <w:lang w:val="en-US"/>
        </w:rPr>
        <w:t>[</w:t>
      </w:r>
      <w:r w:rsidR="007E2700">
        <w:rPr>
          <w:rFonts w:ascii="Arial" w:hAnsi="Arial" w:cs="Arial"/>
          <w:sz w:val="24"/>
          <w:szCs w:val="24"/>
          <w:lang w:val="en-US"/>
        </w:rPr>
        <w:t>6</w:t>
      </w:r>
      <w:r w:rsidR="00226859">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t xml:space="preserve">I have set out </w:t>
      </w:r>
      <w:r w:rsidR="0095566F">
        <w:rPr>
          <w:rFonts w:ascii="Arial" w:hAnsi="Arial" w:cs="Arial"/>
          <w:sz w:val="24"/>
          <w:szCs w:val="24"/>
          <w:lang w:val="en-US"/>
        </w:rPr>
        <w:t>in detail the taxpayer’s objection, the pleadings in the tax court and the notice of appeal before the full court. I have also given a detailed account of the proceedings in the tax court</w:t>
      </w:r>
      <w:r w:rsidR="00F9619F">
        <w:rPr>
          <w:rFonts w:ascii="Arial" w:hAnsi="Arial" w:cs="Arial"/>
          <w:sz w:val="24"/>
          <w:szCs w:val="24"/>
          <w:lang w:val="en-US"/>
        </w:rPr>
        <w:t xml:space="preserve"> and the full court</w:t>
      </w:r>
      <w:r w:rsidR="0095566F">
        <w:rPr>
          <w:rFonts w:ascii="Arial" w:hAnsi="Arial" w:cs="Arial"/>
          <w:sz w:val="24"/>
          <w:szCs w:val="24"/>
          <w:lang w:val="en-US"/>
        </w:rPr>
        <w:t xml:space="preserve">, and </w:t>
      </w:r>
      <w:r w:rsidR="0095566F" w:rsidRPr="00326314">
        <w:rPr>
          <w:rFonts w:ascii="Arial" w:hAnsi="Arial" w:cs="Arial"/>
          <w:sz w:val="24"/>
          <w:szCs w:val="24"/>
          <w:lang w:val="en-US"/>
        </w:rPr>
        <w:t>t</w:t>
      </w:r>
      <w:r w:rsidR="00F9619F" w:rsidRPr="00326314">
        <w:rPr>
          <w:rFonts w:ascii="Arial" w:hAnsi="Arial" w:cs="Arial"/>
          <w:sz w:val="24"/>
          <w:szCs w:val="24"/>
          <w:lang w:val="en-US"/>
        </w:rPr>
        <w:t>he</w:t>
      </w:r>
      <w:r w:rsidR="0095566F" w:rsidRPr="00326314">
        <w:rPr>
          <w:rFonts w:ascii="Arial" w:hAnsi="Arial" w:cs="Arial"/>
          <w:sz w:val="24"/>
          <w:szCs w:val="24"/>
          <w:lang w:val="en-US"/>
        </w:rPr>
        <w:t xml:space="preserve"> reasoning</w:t>
      </w:r>
      <w:r w:rsidR="00FF613D" w:rsidRPr="00326314">
        <w:rPr>
          <w:rFonts w:ascii="Arial" w:hAnsi="Arial" w:cs="Arial"/>
          <w:sz w:val="24"/>
          <w:szCs w:val="24"/>
          <w:lang w:val="en-US"/>
        </w:rPr>
        <w:t xml:space="preserve"> of each</w:t>
      </w:r>
      <w:r w:rsidR="0095566F" w:rsidRPr="00326314">
        <w:rPr>
          <w:rFonts w:ascii="Arial" w:hAnsi="Arial" w:cs="Arial"/>
          <w:sz w:val="24"/>
          <w:szCs w:val="24"/>
          <w:lang w:val="en-US"/>
        </w:rPr>
        <w:t xml:space="preserve"> on the issues before t</w:t>
      </w:r>
      <w:r w:rsidR="00F9619F" w:rsidRPr="00326314">
        <w:rPr>
          <w:rFonts w:ascii="Arial" w:hAnsi="Arial" w:cs="Arial"/>
          <w:sz w:val="24"/>
          <w:szCs w:val="24"/>
          <w:lang w:val="en-US"/>
        </w:rPr>
        <w:t>hem</w:t>
      </w:r>
      <w:r w:rsidR="0095566F" w:rsidRPr="00326314">
        <w:rPr>
          <w:rFonts w:ascii="Arial" w:hAnsi="Arial" w:cs="Arial"/>
          <w:sz w:val="24"/>
          <w:szCs w:val="24"/>
          <w:lang w:val="en-US"/>
        </w:rPr>
        <w:t xml:space="preserve">. </w:t>
      </w:r>
      <w:r w:rsidR="002A458D" w:rsidRPr="00326314">
        <w:rPr>
          <w:rFonts w:ascii="Arial" w:hAnsi="Arial" w:cs="Arial"/>
          <w:sz w:val="24"/>
          <w:szCs w:val="24"/>
          <w:lang w:val="en-US"/>
        </w:rPr>
        <w:t>First, i</w:t>
      </w:r>
      <w:r w:rsidR="0095566F" w:rsidRPr="00326314">
        <w:rPr>
          <w:rFonts w:ascii="Arial" w:hAnsi="Arial" w:cs="Arial"/>
          <w:sz w:val="24"/>
          <w:szCs w:val="24"/>
          <w:lang w:val="en-US"/>
        </w:rPr>
        <w:t>t is apparent that there was never, until the</w:t>
      </w:r>
      <w:r w:rsidR="002A458D" w:rsidRPr="00326314">
        <w:rPr>
          <w:rFonts w:ascii="Arial" w:hAnsi="Arial" w:cs="Arial"/>
          <w:sz w:val="24"/>
          <w:szCs w:val="24"/>
          <w:lang w:val="en-US"/>
        </w:rPr>
        <w:t xml:space="preserve"> filing of the</w:t>
      </w:r>
      <w:r w:rsidR="0095566F" w:rsidRPr="00326314">
        <w:rPr>
          <w:rFonts w:ascii="Arial" w:hAnsi="Arial" w:cs="Arial"/>
          <w:sz w:val="24"/>
          <w:szCs w:val="24"/>
          <w:lang w:val="en-US"/>
        </w:rPr>
        <w:t xml:space="preserve"> taxpayer’s heads of argument in the appeal to the full court</w:t>
      </w:r>
      <w:r w:rsidR="0095566F">
        <w:rPr>
          <w:rFonts w:ascii="Arial" w:hAnsi="Arial" w:cs="Arial"/>
          <w:sz w:val="24"/>
          <w:szCs w:val="24"/>
          <w:lang w:val="en-US"/>
        </w:rPr>
        <w:t>, any suggestion that the taxpayer disputed the method of valuation adopted by Venmyn and Thayser. I</w:t>
      </w:r>
      <w:r w:rsidR="00780743">
        <w:rPr>
          <w:rFonts w:ascii="Arial" w:hAnsi="Arial" w:cs="Arial"/>
          <w:sz w:val="24"/>
          <w:szCs w:val="24"/>
          <w:lang w:val="en-US"/>
        </w:rPr>
        <w:t xml:space="preserve">t was not a ground of </w:t>
      </w:r>
      <w:r w:rsidR="008956AB">
        <w:rPr>
          <w:rFonts w:ascii="Arial" w:hAnsi="Arial" w:cs="Arial"/>
          <w:sz w:val="24"/>
          <w:szCs w:val="24"/>
          <w:lang w:val="en-US"/>
        </w:rPr>
        <w:t xml:space="preserve">objection and neither was it a ground of </w:t>
      </w:r>
      <w:r w:rsidR="00780743">
        <w:rPr>
          <w:rFonts w:ascii="Arial" w:hAnsi="Arial" w:cs="Arial"/>
          <w:sz w:val="24"/>
          <w:szCs w:val="24"/>
          <w:lang w:val="en-US"/>
        </w:rPr>
        <w:t>appeal before the tax court</w:t>
      </w:r>
      <w:r w:rsidR="008956AB">
        <w:rPr>
          <w:rFonts w:ascii="Arial" w:hAnsi="Arial" w:cs="Arial"/>
          <w:sz w:val="24"/>
          <w:szCs w:val="24"/>
          <w:lang w:val="en-US"/>
        </w:rPr>
        <w:t xml:space="preserve">. In </w:t>
      </w:r>
      <w:r w:rsidR="008956AB">
        <w:rPr>
          <w:rFonts w:ascii="Arial" w:hAnsi="Arial" w:cs="Arial"/>
          <w:i/>
          <w:iCs/>
          <w:sz w:val="24"/>
          <w:szCs w:val="24"/>
          <w:lang w:val="en-US"/>
        </w:rPr>
        <w:t>Knox D’Arcy AG v Land and Agricultural Development Bank of South Africa</w:t>
      </w:r>
      <w:r w:rsidR="008956AB">
        <w:rPr>
          <w:rFonts w:ascii="Arial" w:hAnsi="Arial" w:cs="Arial"/>
          <w:sz w:val="24"/>
          <w:szCs w:val="24"/>
          <w:lang w:val="en-US"/>
        </w:rPr>
        <w:t>,</w:t>
      </w:r>
      <w:r w:rsidR="008956AB">
        <w:rPr>
          <w:rStyle w:val="FootnoteReference"/>
          <w:rFonts w:ascii="Arial" w:hAnsi="Arial" w:cs="Arial"/>
          <w:sz w:val="24"/>
          <w:szCs w:val="24"/>
          <w:lang w:val="en-US"/>
        </w:rPr>
        <w:footnoteReference w:id="9"/>
      </w:r>
      <w:r w:rsidR="008956AB">
        <w:rPr>
          <w:rFonts w:ascii="Arial" w:hAnsi="Arial" w:cs="Arial"/>
          <w:sz w:val="24"/>
          <w:szCs w:val="24"/>
          <w:lang w:val="en-US"/>
        </w:rPr>
        <w:t xml:space="preserve"> this court held:</w:t>
      </w:r>
    </w:p>
    <w:p w14:paraId="3808DADF" w14:textId="77729BA2" w:rsidR="008956AB" w:rsidRPr="00A626CD" w:rsidRDefault="008956AB" w:rsidP="00BD73E7">
      <w:pPr>
        <w:spacing w:after="0" w:line="360" w:lineRule="auto"/>
        <w:jc w:val="both"/>
        <w:rPr>
          <w:rFonts w:ascii="Arial" w:hAnsi="Arial" w:cs="Arial"/>
          <w:lang w:val="en-US"/>
        </w:rPr>
      </w:pPr>
      <w:r w:rsidRPr="00A626CD">
        <w:rPr>
          <w:rFonts w:ascii="Arial" w:hAnsi="Arial" w:cs="Arial"/>
          <w:lang w:val="en-US"/>
        </w:rPr>
        <w:t>‘</w:t>
      </w:r>
      <w:r w:rsidR="00A626CD">
        <w:rPr>
          <w:rFonts w:ascii="Arial" w:hAnsi="Arial" w:cs="Arial"/>
          <w:lang w:val="en-US"/>
        </w:rPr>
        <w:t>I</w:t>
      </w:r>
      <w:r w:rsidR="00A626CD" w:rsidRPr="00A626CD">
        <w:rPr>
          <w:rFonts w:ascii="Arial" w:hAnsi="Arial" w:cs="Arial"/>
          <w:color w:val="242121"/>
          <w:shd w:val="clear" w:color="auto" w:fill="FFFFFF"/>
        </w:rPr>
        <w:t>t is trite that litigants must plead material facts relied upon as a basis for the relief sought and define the issues in their pleadings to enable the parties to the action to know what case they have to meet. And a party may not plead one issue and then at the trial, and in this case on appeal, attempt to canvass another which was not put in issue and fully investigated. The Land Bank (and the trial court for that matter) was never put on notice that it would answer a case that it had frustrated, deliberately or otherwise, the performance of the obligation imposed by clause 2.1 of the settlement agreement. Clearly, we cannot now, on appeal, decide issues that have neither been raised nor fully ventilated previously.</w:t>
      </w:r>
      <w:r w:rsidR="00A626CD">
        <w:rPr>
          <w:rFonts w:ascii="Arial" w:hAnsi="Arial" w:cs="Arial"/>
          <w:color w:val="242121"/>
          <w:shd w:val="clear" w:color="auto" w:fill="FFFFFF"/>
        </w:rPr>
        <w:t>’</w:t>
      </w:r>
      <w:r w:rsidR="00A626CD" w:rsidRPr="00A626CD">
        <w:rPr>
          <w:rFonts w:ascii="Arial" w:hAnsi="Arial" w:cs="Arial"/>
          <w:lang w:val="en-US"/>
        </w:rPr>
        <w:t xml:space="preserve"> </w:t>
      </w:r>
    </w:p>
    <w:p w14:paraId="2FFAED55" w14:textId="4ED0B6B8" w:rsidR="00780743" w:rsidRDefault="00A626CD" w:rsidP="00BD73E7">
      <w:pPr>
        <w:spacing w:after="0" w:line="360" w:lineRule="auto"/>
        <w:jc w:val="both"/>
        <w:rPr>
          <w:rFonts w:ascii="Arial" w:hAnsi="Arial" w:cs="Arial"/>
          <w:sz w:val="24"/>
          <w:szCs w:val="24"/>
          <w:lang w:val="en-US"/>
        </w:rPr>
      </w:pPr>
      <w:r>
        <w:rPr>
          <w:rFonts w:ascii="Arial" w:hAnsi="Arial" w:cs="Arial"/>
          <w:sz w:val="24"/>
          <w:szCs w:val="24"/>
          <w:lang w:val="en-US"/>
        </w:rPr>
        <w:t xml:space="preserve">Precisely the same holds good in this appeal. </w:t>
      </w:r>
      <w:r w:rsidR="0013530D">
        <w:rPr>
          <w:rFonts w:ascii="Arial" w:hAnsi="Arial" w:cs="Arial"/>
          <w:sz w:val="24"/>
          <w:szCs w:val="24"/>
          <w:lang w:val="en-US"/>
        </w:rPr>
        <w:t xml:space="preserve">The valuation method was not an issue before the tax court or the full court, and consequently, it was not an issue </w:t>
      </w:r>
      <w:r w:rsidR="0013530D" w:rsidRPr="00326314">
        <w:rPr>
          <w:rFonts w:ascii="Arial" w:hAnsi="Arial" w:cs="Arial"/>
          <w:sz w:val="24"/>
          <w:szCs w:val="24"/>
          <w:lang w:val="en-US"/>
        </w:rPr>
        <w:t>be</w:t>
      </w:r>
      <w:r w:rsidR="002A458D" w:rsidRPr="00326314">
        <w:rPr>
          <w:rFonts w:ascii="Arial" w:hAnsi="Arial" w:cs="Arial"/>
          <w:sz w:val="24"/>
          <w:szCs w:val="24"/>
          <w:lang w:val="en-US"/>
        </w:rPr>
        <w:t>f</w:t>
      </w:r>
      <w:r w:rsidR="0013530D" w:rsidRPr="00326314">
        <w:rPr>
          <w:rFonts w:ascii="Arial" w:hAnsi="Arial" w:cs="Arial"/>
          <w:sz w:val="24"/>
          <w:szCs w:val="24"/>
          <w:lang w:val="en-US"/>
        </w:rPr>
        <w:t>ore t</w:t>
      </w:r>
      <w:r w:rsidR="0013530D">
        <w:rPr>
          <w:rFonts w:ascii="Arial" w:hAnsi="Arial" w:cs="Arial"/>
          <w:sz w:val="24"/>
          <w:szCs w:val="24"/>
          <w:lang w:val="en-US"/>
        </w:rPr>
        <w:t>his court.</w:t>
      </w:r>
      <w:r>
        <w:rPr>
          <w:rFonts w:ascii="Arial" w:hAnsi="Arial" w:cs="Arial"/>
          <w:sz w:val="24"/>
          <w:szCs w:val="24"/>
          <w:lang w:val="en-US"/>
        </w:rPr>
        <w:t xml:space="preserve"> </w:t>
      </w:r>
    </w:p>
    <w:p w14:paraId="7DA40F4F" w14:textId="77777777" w:rsidR="00780743" w:rsidRDefault="00780743" w:rsidP="00BD73E7">
      <w:pPr>
        <w:spacing w:after="0" w:line="360" w:lineRule="auto"/>
        <w:jc w:val="both"/>
        <w:rPr>
          <w:rFonts w:ascii="Arial" w:hAnsi="Arial" w:cs="Arial"/>
          <w:sz w:val="24"/>
          <w:szCs w:val="24"/>
          <w:lang w:val="en-US"/>
        </w:rPr>
      </w:pPr>
    </w:p>
    <w:p w14:paraId="0658F837" w14:textId="38E3AE12" w:rsidR="006C6499" w:rsidRPr="00326314" w:rsidRDefault="00780743" w:rsidP="00BD73E7">
      <w:pPr>
        <w:spacing w:after="0" w:line="360" w:lineRule="auto"/>
        <w:jc w:val="both"/>
        <w:rPr>
          <w:rFonts w:ascii="Arial" w:hAnsi="Arial" w:cs="Arial"/>
          <w:sz w:val="24"/>
          <w:szCs w:val="24"/>
          <w:lang w:val="en-US"/>
        </w:rPr>
      </w:pPr>
      <w:r>
        <w:rPr>
          <w:rFonts w:ascii="Arial" w:hAnsi="Arial" w:cs="Arial"/>
          <w:sz w:val="24"/>
          <w:szCs w:val="24"/>
          <w:lang w:val="en-US"/>
        </w:rPr>
        <w:lastRenderedPageBreak/>
        <w:t>[</w:t>
      </w:r>
      <w:r w:rsidR="007E2700">
        <w:rPr>
          <w:rFonts w:ascii="Arial" w:hAnsi="Arial" w:cs="Arial"/>
          <w:sz w:val="24"/>
          <w:szCs w:val="24"/>
          <w:lang w:val="en-US"/>
        </w:rPr>
        <w:t>6</w:t>
      </w:r>
      <w:r w:rsidR="00F9619F">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13530D">
        <w:rPr>
          <w:rFonts w:ascii="Arial" w:hAnsi="Arial" w:cs="Arial"/>
          <w:sz w:val="24"/>
          <w:szCs w:val="24"/>
          <w:lang w:val="en-US"/>
        </w:rPr>
        <w:t>Secondly, i</w:t>
      </w:r>
      <w:r w:rsidR="00A626CD">
        <w:rPr>
          <w:rFonts w:ascii="Arial" w:hAnsi="Arial" w:cs="Arial"/>
          <w:sz w:val="24"/>
          <w:szCs w:val="24"/>
          <w:lang w:val="en-US"/>
        </w:rPr>
        <w:t>t was common cause that the valuation method that was used was the correct one. There was also agreement as to the value, subject to the characterisation of Umthombo’s mineral resources and the effect of the consultancy agreement.</w:t>
      </w:r>
      <w:r w:rsidR="0013530D">
        <w:rPr>
          <w:rFonts w:ascii="Arial" w:hAnsi="Arial" w:cs="Arial"/>
          <w:sz w:val="24"/>
          <w:szCs w:val="24"/>
          <w:lang w:val="en-US"/>
        </w:rPr>
        <w:t xml:space="preserve"> Both parties applied the same valuation method</w:t>
      </w:r>
      <w:r w:rsidR="001A176C">
        <w:rPr>
          <w:rFonts w:ascii="Arial" w:hAnsi="Arial" w:cs="Arial"/>
          <w:sz w:val="24"/>
          <w:szCs w:val="24"/>
          <w:lang w:val="en-US"/>
        </w:rPr>
        <w:t>.</w:t>
      </w:r>
      <w:r w:rsidR="0013530D">
        <w:rPr>
          <w:rFonts w:ascii="Arial" w:hAnsi="Arial" w:cs="Arial"/>
          <w:sz w:val="24"/>
          <w:szCs w:val="24"/>
          <w:lang w:val="en-US"/>
        </w:rPr>
        <w:t xml:space="preserve"> </w:t>
      </w:r>
      <w:r w:rsidR="00A626CD">
        <w:rPr>
          <w:rFonts w:ascii="Arial" w:hAnsi="Arial" w:cs="Arial"/>
          <w:sz w:val="24"/>
          <w:szCs w:val="24"/>
          <w:lang w:val="en-US"/>
        </w:rPr>
        <w:t>T</w:t>
      </w:r>
      <w:r>
        <w:rPr>
          <w:rFonts w:ascii="Arial" w:hAnsi="Arial" w:cs="Arial"/>
          <w:sz w:val="24"/>
          <w:szCs w:val="24"/>
          <w:lang w:val="en-US"/>
        </w:rPr>
        <w:t>here was</w:t>
      </w:r>
      <w:r w:rsidR="00A626CD">
        <w:rPr>
          <w:rFonts w:ascii="Arial" w:hAnsi="Arial" w:cs="Arial"/>
          <w:sz w:val="24"/>
          <w:szCs w:val="24"/>
          <w:lang w:val="en-US"/>
        </w:rPr>
        <w:t xml:space="preserve"> thus</w:t>
      </w:r>
      <w:r>
        <w:rPr>
          <w:rFonts w:ascii="Arial" w:hAnsi="Arial" w:cs="Arial"/>
          <w:sz w:val="24"/>
          <w:szCs w:val="24"/>
          <w:lang w:val="en-US"/>
        </w:rPr>
        <w:t xml:space="preserve"> never a dispute as to the valuation method</w:t>
      </w:r>
      <w:r w:rsidR="00A626CD">
        <w:rPr>
          <w:rFonts w:ascii="Arial" w:hAnsi="Arial" w:cs="Arial"/>
          <w:sz w:val="24"/>
          <w:szCs w:val="24"/>
          <w:lang w:val="en-US"/>
        </w:rPr>
        <w:t>.</w:t>
      </w:r>
      <w:r>
        <w:rPr>
          <w:rFonts w:ascii="Arial" w:hAnsi="Arial" w:cs="Arial"/>
          <w:sz w:val="24"/>
          <w:szCs w:val="24"/>
          <w:lang w:val="en-US"/>
        </w:rPr>
        <w:t xml:space="preserve"> </w:t>
      </w:r>
      <w:r w:rsidR="00A626CD">
        <w:rPr>
          <w:rFonts w:ascii="Arial" w:hAnsi="Arial" w:cs="Arial"/>
          <w:sz w:val="24"/>
          <w:szCs w:val="24"/>
          <w:lang w:val="en-US"/>
        </w:rPr>
        <w:t>T</w:t>
      </w:r>
      <w:r>
        <w:rPr>
          <w:rFonts w:ascii="Arial" w:hAnsi="Arial" w:cs="Arial"/>
          <w:sz w:val="24"/>
          <w:szCs w:val="24"/>
          <w:lang w:val="en-US"/>
        </w:rPr>
        <w:t xml:space="preserve">his issue was, in effect, settled between the parties. As a result, </w:t>
      </w:r>
      <w:r w:rsidR="002A458D" w:rsidRPr="00326314">
        <w:rPr>
          <w:rFonts w:ascii="Arial" w:hAnsi="Arial" w:cs="Arial"/>
          <w:sz w:val="24"/>
          <w:szCs w:val="24"/>
          <w:lang w:val="en-US"/>
        </w:rPr>
        <w:t xml:space="preserve">it was not permissible for </w:t>
      </w:r>
      <w:r w:rsidRPr="00326314">
        <w:rPr>
          <w:rFonts w:ascii="Arial" w:hAnsi="Arial" w:cs="Arial"/>
          <w:sz w:val="24"/>
          <w:szCs w:val="24"/>
          <w:lang w:val="en-US"/>
        </w:rPr>
        <w:t>the taxpayer to</w:t>
      </w:r>
      <w:r>
        <w:rPr>
          <w:rFonts w:ascii="Arial" w:hAnsi="Arial" w:cs="Arial"/>
          <w:sz w:val="24"/>
          <w:szCs w:val="24"/>
          <w:lang w:val="en-US"/>
        </w:rPr>
        <w:t xml:space="preserve"> raise it, late and opportunistically as he did, as a ground of appeal. The position in this case is similar to that in </w:t>
      </w:r>
      <w:r>
        <w:rPr>
          <w:rFonts w:ascii="Arial" w:hAnsi="Arial" w:cs="Arial"/>
          <w:i/>
          <w:sz w:val="24"/>
          <w:szCs w:val="24"/>
          <w:lang w:val="en-US"/>
        </w:rPr>
        <w:t>Gusha v Road Accident Fund</w:t>
      </w:r>
      <w:r w:rsidR="00590A59">
        <w:rPr>
          <w:rFonts w:ascii="Arial" w:hAnsi="Arial" w:cs="Arial"/>
          <w:sz w:val="24"/>
          <w:szCs w:val="24"/>
          <w:lang w:val="en-US"/>
        </w:rPr>
        <w:t>.</w:t>
      </w:r>
      <w:r w:rsidRPr="00780743">
        <w:rPr>
          <w:rStyle w:val="FootnoteReference"/>
          <w:rFonts w:ascii="Arial" w:hAnsi="Arial" w:cs="Arial"/>
          <w:sz w:val="24"/>
          <w:szCs w:val="24"/>
          <w:lang w:val="en-US"/>
        </w:rPr>
        <w:footnoteReference w:id="10"/>
      </w:r>
      <w:r w:rsidR="00590A59">
        <w:rPr>
          <w:rFonts w:ascii="Arial" w:hAnsi="Arial" w:cs="Arial"/>
          <w:sz w:val="24"/>
          <w:szCs w:val="24"/>
          <w:lang w:val="en-US"/>
        </w:rPr>
        <w:t xml:space="preserve"> </w:t>
      </w:r>
      <w:r w:rsidR="007E2700">
        <w:rPr>
          <w:rFonts w:ascii="Arial" w:hAnsi="Arial" w:cs="Arial"/>
          <w:sz w:val="24"/>
          <w:szCs w:val="24"/>
          <w:lang w:val="en-US"/>
        </w:rPr>
        <w:t>In that case, t</w:t>
      </w:r>
      <w:r w:rsidR="00590A59">
        <w:rPr>
          <w:rFonts w:ascii="Arial" w:hAnsi="Arial" w:cs="Arial"/>
          <w:sz w:val="24"/>
          <w:szCs w:val="24"/>
          <w:lang w:val="en-US"/>
        </w:rPr>
        <w:t>he parties had concluded an agreement, prior to the issue of summons in which the respondent had accepted liability in unqualified terms for the injuries suffered by the appellant in a motor vehicle accident. Later, the respondent applied to amend its pleadings to include a prayer for an apportionment of damages due to what it averred was contributory negligence on the part of the appellant. It was, Leach JA held, impermissible in the face of the unqualified concession of liability</w:t>
      </w:r>
      <w:r w:rsidR="006C6499">
        <w:rPr>
          <w:rFonts w:ascii="Arial" w:hAnsi="Arial" w:cs="Arial"/>
          <w:sz w:val="24"/>
          <w:szCs w:val="24"/>
          <w:lang w:val="en-US"/>
        </w:rPr>
        <w:t xml:space="preserve"> for the respondent ‘to attempt to introduce the appellant’s alleged contributory negligence in order to seek a reduction in the extent of its liability’.</w:t>
      </w:r>
      <w:r w:rsidR="006C6499">
        <w:rPr>
          <w:rStyle w:val="FootnoteReference"/>
          <w:rFonts w:ascii="Arial" w:hAnsi="Arial" w:cs="Arial"/>
          <w:sz w:val="24"/>
          <w:szCs w:val="24"/>
          <w:lang w:val="en-US"/>
        </w:rPr>
        <w:footnoteReference w:id="11"/>
      </w:r>
      <w:r w:rsidR="006C6499">
        <w:rPr>
          <w:rFonts w:ascii="Arial" w:hAnsi="Arial" w:cs="Arial"/>
          <w:sz w:val="24"/>
          <w:szCs w:val="24"/>
          <w:lang w:val="en-US"/>
        </w:rPr>
        <w:t xml:space="preserve"> And for the same reasons, the full court was correct to refuse to allow the taxpayer’s application to amend the notice of appeal to </w:t>
      </w:r>
      <w:r w:rsidR="006C6499" w:rsidRPr="00326314">
        <w:rPr>
          <w:rFonts w:ascii="Arial" w:hAnsi="Arial" w:cs="Arial"/>
          <w:sz w:val="24"/>
          <w:szCs w:val="24"/>
          <w:lang w:val="en-US"/>
        </w:rPr>
        <w:t>include</w:t>
      </w:r>
      <w:r w:rsidR="002A458D" w:rsidRPr="00326314">
        <w:rPr>
          <w:rFonts w:ascii="Arial" w:hAnsi="Arial" w:cs="Arial"/>
          <w:sz w:val="24"/>
          <w:szCs w:val="24"/>
          <w:lang w:val="en-US"/>
        </w:rPr>
        <w:t>,</w:t>
      </w:r>
      <w:r w:rsidR="006C6499" w:rsidRPr="00326314">
        <w:rPr>
          <w:rFonts w:ascii="Arial" w:hAnsi="Arial" w:cs="Arial"/>
          <w:sz w:val="24"/>
          <w:szCs w:val="24"/>
          <w:lang w:val="en-US"/>
        </w:rPr>
        <w:t xml:space="preserve"> </w:t>
      </w:r>
      <w:r w:rsidR="002A458D" w:rsidRPr="00326314">
        <w:rPr>
          <w:rFonts w:ascii="Arial" w:hAnsi="Arial" w:cs="Arial"/>
          <w:sz w:val="24"/>
          <w:szCs w:val="24"/>
          <w:lang w:val="en-US"/>
        </w:rPr>
        <w:t xml:space="preserve">as a </w:t>
      </w:r>
      <w:r w:rsidR="006C6499" w:rsidRPr="00326314">
        <w:rPr>
          <w:rFonts w:ascii="Arial" w:hAnsi="Arial" w:cs="Arial"/>
          <w:sz w:val="24"/>
          <w:szCs w:val="24"/>
          <w:lang w:val="en-US"/>
        </w:rPr>
        <w:t>ground</w:t>
      </w:r>
      <w:r w:rsidR="002A458D" w:rsidRPr="00326314">
        <w:rPr>
          <w:rFonts w:ascii="Arial" w:hAnsi="Arial" w:cs="Arial"/>
          <w:sz w:val="24"/>
          <w:szCs w:val="24"/>
          <w:lang w:val="en-US"/>
        </w:rPr>
        <w:t>,</w:t>
      </w:r>
      <w:r w:rsidR="006C6499" w:rsidRPr="00326314">
        <w:rPr>
          <w:rFonts w:ascii="Arial" w:hAnsi="Arial" w:cs="Arial"/>
          <w:sz w:val="24"/>
          <w:szCs w:val="24"/>
          <w:lang w:val="en-US"/>
        </w:rPr>
        <w:t xml:space="preserve"> the valuation method. It had been agreed to and</w:t>
      </w:r>
      <w:r w:rsidR="002A458D" w:rsidRPr="00326314">
        <w:rPr>
          <w:rFonts w:ascii="Arial" w:hAnsi="Arial" w:cs="Arial"/>
          <w:sz w:val="24"/>
          <w:szCs w:val="24"/>
          <w:lang w:val="en-US"/>
        </w:rPr>
        <w:t xml:space="preserve"> consequently</w:t>
      </w:r>
      <w:r w:rsidR="006C6499" w:rsidRPr="00326314">
        <w:rPr>
          <w:rFonts w:ascii="Arial" w:hAnsi="Arial" w:cs="Arial"/>
          <w:sz w:val="24"/>
          <w:szCs w:val="24"/>
          <w:lang w:val="en-US"/>
        </w:rPr>
        <w:t xml:space="preserve"> was not an issue that could be appealed against.</w:t>
      </w:r>
    </w:p>
    <w:p w14:paraId="40C5FB6D" w14:textId="77777777" w:rsidR="006C6499" w:rsidRPr="00326314" w:rsidRDefault="006C6499" w:rsidP="00BD73E7">
      <w:pPr>
        <w:spacing w:after="0" w:line="360" w:lineRule="auto"/>
        <w:jc w:val="both"/>
        <w:rPr>
          <w:rFonts w:ascii="Arial" w:hAnsi="Arial" w:cs="Arial"/>
          <w:sz w:val="24"/>
          <w:szCs w:val="24"/>
          <w:lang w:val="en-US"/>
        </w:rPr>
      </w:pPr>
    </w:p>
    <w:p w14:paraId="1A293897" w14:textId="3B237440" w:rsidR="00774DE6" w:rsidRDefault="006C6499" w:rsidP="00BD73E7">
      <w:pPr>
        <w:spacing w:after="0" w:line="360" w:lineRule="auto"/>
        <w:jc w:val="both"/>
        <w:rPr>
          <w:rFonts w:ascii="Arial" w:hAnsi="Arial" w:cs="Arial"/>
          <w:sz w:val="24"/>
          <w:szCs w:val="24"/>
          <w:lang w:val="en-US"/>
        </w:rPr>
      </w:pPr>
      <w:r w:rsidRPr="00326314">
        <w:rPr>
          <w:rFonts w:ascii="Arial" w:hAnsi="Arial" w:cs="Arial"/>
          <w:sz w:val="24"/>
          <w:szCs w:val="24"/>
          <w:lang w:val="en-US"/>
        </w:rPr>
        <w:t>[</w:t>
      </w:r>
      <w:r w:rsidR="00876379" w:rsidRPr="00326314">
        <w:rPr>
          <w:rFonts w:ascii="Arial" w:hAnsi="Arial" w:cs="Arial"/>
          <w:sz w:val="24"/>
          <w:szCs w:val="24"/>
          <w:lang w:val="en-US"/>
        </w:rPr>
        <w:t>6</w:t>
      </w:r>
      <w:r w:rsidR="00F9619F" w:rsidRPr="00326314">
        <w:rPr>
          <w:rFonts w:ascii="Arial" w:hAnsi="Arial" w:cs="Arial"/>
          <w:sz w:val="24"/>
          <w:szCs w:val="24"/>
          <w:lang w:val="en-US"/>
        </w:rPr>
        <w:t>2</w:t>
      </w:r>
      <w:r w:rsidRPr="00326314">
        <w:rPr>
          <w:rFonts w:ascii="Arial" w:hAnsi="Arial" w:cs="Arial"/>
          <w:sz w:val="24"/>
          <w:szCs w:val="24"/>
          <w:lang w:val="en-US"/>
        </w:rPr>
        <w:t>]</w:t>
      </w:r>
      <w:r w:rsidR="00E5344F" w:rsidRPr="00326314">
        <w:rPr>
          <w:rFonts w:ascii="Arial" w:hAnsi="Arial" w:cs="Arial"/>
          <w:sz w:val="24"/>
          <w:szCs w:val="24"/>
          <w:lang w:val="en-US"/>
        </w:rPr>
        <w:tab/>
      </w:r>
      <w:r w:rsidR="0013530D" w:rsidRPr="00326314">
        <w:rPr>
          <w:rFonts w:ascii="Arial" w:hAnsi="Arial" w:cs="Arial"/>
          <w:sz w:val="24"/>
          <w:szCs w:val="24"/>
          <w:lang w:val="en-US"/>
        </w:rPr>
        <w:t>Thirdly</w:t>
      </w:r>
      <w:r w:rsidR="00E5344F" w:rsidRPr="00326314">
        <w:rPr>
          <w:rFonts w:ascii="Arial" w:hAnsi="Arial" w:cs="Arial"/>
          <w:sz w:val="24"/>
          <w:szCs w:val="24"/>
          <w:lang w:val="en-US"/>
        </w:rPr>
        <w:t xml:space="preserve">, </w:t>
      </w:r>
      <w:r w:rsidR="00F034A3" w:rsidRPr="00326314">
        <w:rPr>
          <w:rFonts w:ascii="Arial" w:hAnsi="Arial" w:cs="Arial"/>
          <w:sz w:val="24"/>
          <w:szCs w:val="24"/>
          <w:lang w:val="en-US"/>
        </w:rPr>
        <w:t>even on the assumption that</w:t>
      </w:r>
      <w:r w:rsidR="00E5344F" w:rsidRPr="00326314">
        <w:rPr>
          <w:rFonts w:ascii="Arial" w:hAnsi="Arial" w:cs="Arial"/>
          <w:sz w:val="24"/>
          <w:szCs w:val="24"/>
          <w:lang w:val="en-US"/>
        </w:rPr>
        <w:t xml:space="preserve"> the issue had been</w:t>
      </w:r>
      <w:r w:rsidR="00E5344F">
        <w:rPr>
          <w:rFonts w:ascii="Arial" w:hAnsi="Arial" w:cs="Arial"/>
          <w:sz w:val="24"/>
          <w:szCs w:val="24"/>
          <w:lang w:val="en-US"/>
        </w:rPr>
        <w:t xml:space="preserve"> appealable, the taxpayer would have had to establish a misdirection on the part of the full court in the exercise of its discretion to disallow the amendment. I have set out the full court’s reasoning. It furnished a full and complete justification for its decision. The taxpayer ha</w:t>
      </w:r>
      <w:r w:rsidR="00DC0205">
        <w:rPr>
          <w:rFonts w:ascii="Arial" w:hAnsi="Arial" w:cs="Arial"/>
          <w:sz w:val="24"/>
          <w:szCs w:val="24"/>
          <w:lang w:val="en-US"/>
        </w:rPr>
        <w:t>s</w:t>
      </w:r>
      <w:r w:rsidR="00E5344F">
        <w:rPr>
          <w:rFonts w:ascii="Arial" w:hAnsi="Arial" w:cs="Arial"/>
          <w:sz w:val="24"/>
          <w:szCs w:val="24"/>
          <w:lang w:val="en-US"/>
        </w:rPr>
        <w:t xml:space="preserve"> not even attempted to assail the exercise of </w:t>
      </w:r>
      <w:r w:rsidR="00E5344F" w:rsidRPr="00326314">
        <w:rPr>
          <w:rFonts w:ascii="Arial" w:hAnsi="Arial" w:cs="Arial"/>
          <w:sz w:val="24"/>
          <w:szCs w:val="24"/>
          <w:lang w:val="en-US"/>
        </w:rPr>
        <w:t>that discretion</w:t>
      </w:r>
      <w:r w:rsidR="002A458D" w:rsidRPr="00326314">
        <w:rPr>
          <w:rFonts w:ascii="Arial" w:hAnsi="Arial" w:cs="Arial"/>
          <w:sz w:val="24"/>
          <w:szCs w:val="24"/>
          <w:lang w:val="en-US"/>
        </w:rPr>
        <w:t>.</w:t>
      </w:r>
      <w:r w:rsidR="00E5344F" w:rsidRPr="00326314">
        <w:rPr>
          <w:rFonts w:ascii="Arial" w:hAnsi="Arial" w:cs="Arial"/>
          <w:sz w:val="24"/>
          <w:szCs w:val="24"/>
          <w:lang w:val="en-US"/>
        </w:rPr>
        <w:t xml:space="preserve"> </w:t>
      </w:r>
      <w:r w:rsidR="002A458D" w:rsidRPr="00326314">
        <w:rPr>
          <w:rFonts w:ascii="Arial" w:hAnsi="Arial" w:cs="Arial"/>
          <w:sz w:val="24"/>
          <w:szCs w:val="24"/>
          <w:lang w:val="en-US"/>
        </w:rPr>
        <w:t>We are not simply at large and there has been no suggestion that the discretion was not judicially exercised or was influenced by an application of the wrong principles or a misdirection of fact.</w:t>
      </w:r>
      <w:r w:rsidR="00774DE6">
        <w:rPr>
          <w:rFonts w:ascii="Arial" w:hAnsi="Arial" w:cs="Arial"/>
          <w:sz w:val="24"/>
          <w:szCs w:val="24"/>
          <w:lang w:val="en-US"/>
        </w:rPr>
        <w:t xml:space="preserve"> The appeal must fail on this point</w:t>
      </w:r>
      <w:r w:rsidR="0013530D">
        <w:rPr>
          <w:rFonts w:ascii="Arial" w:hAnsi="Arial" w:cs="Arial"/>
          <w:sz w:val="24"/>
          <w:szCs w:val="24"/>
          <w:lang w:val="en-US"/>
        </w:rPr>
        <w:t xml:space="preserve"> on account of all three of the reasons that I have given</w:t>
      </w:r>
      <w:r w:rsidR="00774DE6">
        <w:rPr>
          <w:rFonts w:ascii="Arial" w:hAnsi="Arial" w:cs="Arial"/>
          <w:sz w:val="24"/>
          <w:szCs w:val="24"/>
          <w:lang w:val="en-US"/>
        </w:rPr>
        <w:t>.</w:t>
      </w:r>
    </w:p>
    <w:p w14:paraId="768385E4" w14:textId="77777777" w:rsidR="00774DE6" w:rsidRDefault="00774DE6" w:rsidP="00BD73E7">
      <w:pPr>
        <w:spacing w:after="0" w:line="360" w:lineRule="auto"/>
        <w:jc w:val="both"/>
        <w:rPr>
          <w:rFonts w:ascii="Arial" w:hAnsi="Arial" w:cs="Arial"/>
          <w:sz w:val="24"/>
          <w:szCs w:val="24"/>
          <w:lang w:val="en-US"/>
        </w:rPr>
      </w:pPr>
    </w:p>
    <w:p w14:paraId="75BBF504" w14:textId="7CAF0CD3" w:rsidR="00226859" w:rsidRPr="0004135F" w:rsidRDefault="00774DE6" w:rsidP="00226859">
      <w:pPr>
        <w:spacing w:after="0" w:line="360" w:lineRule="auto"/>
        <w:jc w:val="both"/>
        <w:rPr>
          <w:rFonts w:ascii="Arial" w:hAnsi="Arial" w:cs="Arial"/>
          <w:sz w:val="24"/>
          <w:szCs w:val="24"/>
        </w:rPr>
      </w:pPr>
      <w:r>
        <w:rPr>
          <w:rFonts w:ascii="Arial" w:hAnsi="Arial" w:cs="Arial"/>
          <w:sz w:val="24"/>
          <w:szCs w:val="24"/>
          <w:lang w:val="en-US"/>
        </w:rPr>
        <w:lastRenderedPageBreak/>
        <w:t>[</w:t>
      </w:r>
      <w:r w:rsidR="00876379">
        <w:rPr>
          <w:rFonts w:ascii="Arial" w:hAnsi="Arial" w:cs="Arial"/>
          <w:sz w:val="24"/>
          <w:szCs w:val="24"/>
          <w:lang w:val="en-US"/>
        </w:rPr>
        <w:t>6</w:t>
      </w:r>
      <w:r w:rsidR="00DC0205">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226859">
        <w:rPr>
          <w:rFonts w:ascii="Arial" w:hAnsi="Arial" w:cs="Arial"/>
          <w:sz w:val="24"/>
          <w:szCs w:val="24"/>
        </w:rPr>
        <w:t xml:space="preserve">In my view, the characterisation of Umthombo’s mineral resources was appealable. I am mindful of Corbett JA’s </w:t>
      </w:r>
      <w:r w:rsidR="002A458D" w:rsidRPr="00326314">
        <w:rPr>
          <w:rFonts w:ascii="Arial" w:hAnsi="Arial" w:cs="Arial"/>
          <w:sz w:val="24"/>
          <w:szCs w:val="24"/>
        </w:rPr>
        <w:t>observation</w:t>
      </w:r>
      <w:r w:rsidR="00226859" w:rsidRPr="00326314">
        <w:rPr>
          <w:rFonts w:ascii="Arial" w:hAnsi="Arial" w:cs="Arial"/>
          <w:sz w:val="24"/>
          <w:szCs w:val="24"/>
        </w:rPr>
        <w:t xml:space="preserve"> i</w:t>
      </w:r>
      <w:r w:rsidR="00226859">
        <w:rPr>
          <w:rFonts w:ascii="Arial" w:hAnsi="Arial" w:cs="Arial"/>
          <w:sz w:val="24"/>
          <w:szCs w:val="24"/>
        </w:rPr>
        <w:t xml:space="preserve">n </w:t>
      </w:r>
      <w:r w:rsidR="00226859">
        <w:rPr>
          <w:rFonts w:ascii="Arial" w:hAnsi="Arial" w:cs="Arial"/>
          <w:i/>
          <w:iCs/>
          <w:sz w:val="24"/>
          <w:szCs w:val="24"/>
        </w:rPr>
        <w:t>Matla Coal</w:t>
      </w:r>
      <w:r w:rsidR="00226859" w:rsidRPr="0004135F">
        <w:rPr>
          <w:rStyle w:val="FootnoteReference"/>
          <w:rFonts w:ascii="Arial" w:hAnsi="Arial" w:cs="Arial"/>
          <w:sz w:val="24"/>
          <w:szCs w:val="24"/>
        </w:rPr>
        <w:footnoteReference w:id="12"/>
      </w:r>
      <w:r w:rsidR="00226859">
        <w:rPr>
          <w:rFonts w:ascii="Arial" w:hAnsi="Arial" w:cs="Arial"/>
          <w:i/>
          <w:iCs/>
          <w:sz w:val="24"/>
          <w:szCs w:val="24"/>
        </w:rPr>
        <w:t xml:space="preserve"> </w:t>
      </w:r>
      <w:r w:rsidR="00226859">
        <w:rPr>
          <w:rFonts w:ascii="Arial" w:hAnsi="Arial" w:cs="Arial"/>
          <w:sz w:val="24"/>
          <w:szCs w:val="24"/>
        </w:rPr>
        <w:t xml:space="preserve">that a court should not be unduly technical or rigid in its approach to a taxpayer’s objection and notice of appeal and should focus on ‘the substance of the objection’ within the context of the particular facts of the case. While the issue was not raised expressly as an objection and as a ground of appeal, it was an issue concerned with the proper application of the agreed valuation method </w:t>
      </w:r>
      <w:r w:rsidR="00214DC8">
        <w:rPr>
          <w:rFonts w:ascii="Arial" w:hAnsi="Arial" w:cs="Arial"/>
          <w:sz w:val="24"/>
          <w:szCs w:val="24"/>
        </w:rPr>
        <w:t>a</w:t>
      </w:r>
      <w:r w:rsidR="00226859">
        <w:rPr>
          <w:rFonts w:ascii="Arial" w:hAnsi="Arial" w:cs="Arial"/>
          <w:sz w:val="24"/>
          <w:szCs w:val="24"/>
        </w:rPr>
        <w:t>nd it was fully canvassed in the evidence.</w:t>
      </w:r>
    </w:p>
    <w:p w14:paraId="42B2692C" w14:textId="46B38F7E" w:rsidR="00226859" w:rsidRDefault="00226859" w:rsidP="00BD73E7">
      <w:pPr>
        <w:spacing w:after="0" w:line="360" w:lineRule="auto"/>
        <w:jc w:val="both"/>
        <w:rPr>
          <w:rFonts w:ascii="Arial" w:hAnsi="Arial" w:cs="Arial"/>
          <w:sz w:val="24"/>
          <w:szCs w:val="24"/>
          <w:lang w:val="en-US"/>
        </w:rPr>
      </w:pPr>
    </w:p>
    <w:p w14:paraId="246FC34C" w14:textId="1EFF3A3A" w:rsidR="00B3173A" w:rsidRDefault="00226859" w:rsidP="00BD73E7">
      <w:pPr>
        <w:spacing w:after="0" w:line="360" w:lineRule="auto"/>
        <w:jc w:val="both"/>
        <w:rPr>
          <w:rFonts w:ascii="Arial" w:hAnsi="Arial" w:cs="Arial"/>
          <w:sz w:val="24"/>
          <w:szCs w:val="24"/>
          <w:lang w:val="en-US"/>
        </w:rPr>
      </w:pPr>
      <w:r>
        <w:rPr>
          <w:rFonts w:ascii="Arial" w:hAnsi="Arial" w:cs="Arial"/>
          <w:sz w:val="24"/>
          <w:szCs w:val="24"/>
          <w:lang w:val="en-US"/>
        </w:rPr>
        <w:t>[64]</w:t>
      </w:r>
      <w:r>
        <w:rPr>
          <w:rFonts w:ascii="Arial" w:hAnsi="Arial" w:cs="Arial"/>
          <w:sz w:val="24"/>
          <w:szCs w:val="24"/>
          <w:lang w:val="en-US"/>
        </w:rPr>
        <w:tab/>
      </w:r>
      <w:r w:rsidR="00774DE6">
        <w:rPr>
          <w:rFonts w:ascii="Arial" w:hAnsi="Arial" w:cs="Arial"/>
          <w:sz w:val="24"/>
          <w:szCs w:val="24"/>
          <w:lang w:val="en-US"/>
        </w:rPr>
        <w:t>I have set out</w:t>
      </w:r>
      <w:r w:rsidR="00214DC8">
        <w:rPr>
          <w:rFonts w:ascii="Arial" w:hAnsi="Arial" w:cs="Arial"/>
          <w:sz w:val="24"/>
          <w:szCs w:val="24"/>
          <w:lang w:val="en-US"/>
        </w:rPr>
        <w:t xml:space="preserve"> above</w:t>
      </w:r>
      <w:r w:rsidR="00774DE6">
        <w:rPr>
          <w:rFonts w:ascii="Arial" w:hAnsi="Arial" w:cs="Arial"/>
          <w:sz w:val="24"/>
          <w:szCs w:val="24"/>
          <w:lang w:val="en-US"/>
        </w:rPr>
        <w:t xml:space="preserve"> the reasoning of the tax court and the full court on the characterization of Umthombo’s mineral resources and the effect of the consultancy agreement.</w:t>
      </w:r>
      <w:r>
        <w:rPr>
          <w:rFonts w:ascii="Arial" w:hAnsi="Arial" w:cs="Arial"/>
          <w:sz w:val="24"/>
          <w:szCs w:val="24"/>
          <w:lang w:val="en-US"/>
        </w:rPr>
        <w:t xml:space="preserve"> In respect of both issues, the reasoning of the tax court and of the full court</w:t>
      </w:r>
      <w:r w:rsidR="00214DC8">
        <w:rPr>
          <w:rFonts w:ascii="Arial" w:hAnsi="Arial" w:cs="Arial"/>
          <w:sz w:val="24"/>
          <w:szCs w:val="24"/>
          <w:lang w:val="en-US"/>
        </w:rPr>
        <w:t xml:space="preserve"> was firmly grounded in the </w:t>
      </w:r>
      <w:r w:rsidR="00F9619F">
        <w:rPr>
          <w:rFonts w:ascii="Arial" w:hAnsi="Arial" w:cs="Arial"/>
          <w:sz w:val="24"/>
          <w:szCs w:val="24"/>
          <w:lang w:val="en-US"/>
        </w:rPr>
        <w:t xml:space="preserve">credible </w:t>
      </w:r>
      <w:r w:rsidR="00214DC8">
        <w:rPr>
          <w:rFonts w:ascii="Arial" w:hAnsi="Arial" w:cs="Arial"/>
          <w:sz w:val="24"/>
          <w:szCs w:val="24"/>
          <w:lang w:val="en-US"/>
        </w:rPr>
        <w:t xml:space="preserve">evidence of the expert witnesses called by the Commissioner and </w:t>
      </w:r>
      <w:r>
        <w:rPr>
          <w:rFonts w:ascii="Arial" w:hAnsi="Arial" w:cs="Arial"/>
          <w:sz w:val="24"/>
          <w:szCs w:val="24"/>
          <w:lang w:val="en-US"/>
        </w:rPr>
        <w:t>cannot be faulted.</w:t>
      </w:r>
      <w:r w:rsidR="00214DC8">
        <w:rPr>
          <w:rFonts w:ascii="Arial" w:hAnsi="Arial" w:cs="Arial"/>
          <w:sz w:val="24"/>
          <w:szCs w:val="24"/>
          <w:lang w:val="en-US"/>
        </w:rPr>
        <w:t xml:space="preserve"> As a result, the appeal must fail. </w:t>
      </w:r>
      <w:r>
        <w:rPr>
          <w:rFonts w:ascii="Arial" w:hAnsi="Arial" w:cs="Arial"/>
          <w:sz w:val="24"/>
          <w:szCs w:val="24"/>
          <w:lang w:val="en-US"/>
        </w:rPr>
        <w:t xml:space="preserve"> </w:t>
      </w:r>
      <w:r w:rsidR="00B3173A">
        <w:rPr>
          <w:rFonts w:ascii="Arial" w:hAnsi="Arial" w:cs="Arial"/>
          <w:sz w:val="24"/>
          <w:szCs w:val="24"/>
          <w:lang w:val="en-US"/>
        </w:rPr>
        <w:t xml:space="preserve"> </w:t>
      </w:r>
      <w:r w:rsidR="00774DE6">
        <w:rPr>
          <w:rFonts w:ascii="Arial" w:hAnsi="Arial" w:cs="Arial"/>
          <w:sz w:val="24"/>
          <w:szCs w:val="24"/>
          <w:lang w:val="en-US"/>
        </w:rPr>
        <w:t xml:space="preserve"> </w:t>
      </w:r>
    </w:p>
    <w:p w14:paraId="21FD1326" w14:textId="77777777" w:rsidR="00B3173A" w:rsidRDefault="00B3173A" w:rsidP="00BD73E7">
      <w:pPr>
        <w:spacing w:after="0" w:line="360" w:lineRule="auto"/>
        <w:jc w:val="both"/>
        <w:rPr>
          <w:rFonts w:ascii="Arial" w:hAnsi="Arial" w:cs="Arial"/>
          <w:sz w:val="24"/>
          <w:szCs w:val="24"/>
          <w:lang w:val="en-US"/>
        </w:rPr>
      </w:pPr>
    </w:p>
    <w:p w14:paraId="492E987C" w14:textId="2EFBCD5B" w:rsidR="00774DE6" w:rsidRDefault="00774DE6" w:rsidP="00BD73E7">
      <w:pPr>
        <w:spacing w:after="0" w:line="360" w:lineRule="auto"/>
        <w:jc w:val="both"/>
        <w:rPr>
          <w:rFonts w:ascii="Arial" w:hAnsi="Arial" w:cs="Arial"/>
          <w:sz w:val="24"/>
          <w:szCs w:val="24"/>
          <w:lang w:val="en-US"/>
        </w:rPr>
      </w:pPr>
      <w:r>
        <w:rPr>
          <w:rFonts w:ascii="Arial" w:hAnsi="Arial" w:cs="Arial"/>
          <w:sz w:val="24"/>
          <w:szCs w:val="24"/>
          <w:lang w:val="en-US"/>
        </w:rPr>
        <w:t>[</w:t>
      </w:r>
      <w:r w:rsidR="00876379">
        <w:rPr>
          <w:rFonts w:ascii="Arial" w:hAnsi="Arial" w:cs="Arial"/>
          <w:sz w:val="24"/>
          <w:szCs w:val="24"/>
          <w:lang w:val="en-US"/>
        </w:rPr>
        <w:t>6</w:t>
      </w:r>
      <w:r w:rsidR="00214DC8">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t>I make the following order.</w:t>
      </w:r>
    </w:p>
    <w:p w14:paraId="47861213" w14:textId="75BF2225" w:rsidR="00104D6F" w:rsidRDefault="00774DE6" w:rsidP="00BD73E7">
      <w:pPr>
        <w:spacing w:after="0" w:line="360" w:lineRule="auto"/>
        <w:jc w:val="both"/>
        <w:rPr>
          <w:rFonts w:ascii="Arial" w:hAnsi="Arial" w:cs="Arial"/>
          <w:sz w:val="24"/>
          <w:szCs w:val="24"/>
          <w:lang w:val="en-US"/>
        </w:rPr>
      </w:pPr>
      <w:r>
        <w:rPr>
          <w:rFonts w:ascii="Arial" w:hAnsi="Arial" w:cs="Arial"/>
          <w:sz w:val="24"/>
          <w:szCs w:val="24"/>
          <w:lang w:val="en-US"/>
        </w:rPr>
        <w:t xml:space="preserve">The appeal is dismissed with costs, including the costs of two counsel. </w:t>
      </w:r>
      <w:r w:rsidR="006C6499">
        <w:rPr>
          <w:rFonts w:ascii="Arial" w:hAnsi="Arial" w:cs="Arial"/>
          <w:sz w:val="24"/>
          <w:szCs w:val="24"/>
          <w:lang w:val="en-US"/>
        </w:rPr>
        <w:tab/>
        <w:t xml:space="preserve"> </w:t>
      </w:r>
      <w:r w:rsidR="00590A59">
        <w:rPr>
          <w:rFonts w:ascii="Arial" w:hAnsi="Arial" w:cs="Arial"/>
          <w:sz w:val="24"/>
          <w:szCs w:val="24"/>
          <w:lang w:val="en-US"/>
        </w:rPr>
        <w:t xml:space="preserve"> </w:t>
      </w:r>
      <w:r w:rsidR="00780743">
        <w:rPr>
          <w:rFonts w:ascii="Arial" w:hAnsi="Arial" w:cs="Arial"/>
          <w:sz w:val="24"/>
          <w:szCs w:val="24"/>
          <w:lang w:val="en-US"/>
        </w:rPr>
        <w:t xml:space="preserve"> </w:t>
      </w:r>
      <w:r w:rsidR="0095566F">
        <w:rPr>
          <w:rFonts w:ascii="Arial" w:hAnsi="Arial" w:cs="Arial"/>
          <w:sz w:val="24"/>
          <w:szCs w:val="24"/>
          <w:lang w:val="en-US"/>
        </w:rPr>
        <w:t xml:space="preserve"> </w:t>
      </w:r>
      <w:r w:rsidR="00763BB2">
        <w:rPr>
          <w:rFonts w:ascii="Arial" w:hAnsi="Arial" w:cs="Arial"/>
          <w:sz w:val="24"/>
          <w:szCs w:val="24"/>
          <w:lang w:val="en-US"/>
        </w:rPr>
        <w:t xml:space="preserve"> </w:t>
      </w:r>
    </w:p>
    <w:p w14:paraId="2B234F46" w14:textId="3846A776" w:rsidR="00D56D98" w:rsidRDefault="00D56D98" w:rsidP="00BD73E7">
      <w:pPr>
        <w:spacing w:after="0" w:line="360" w:lineRule="auto"/>
        <w:jc w:val="both"/>
        <w:rPr>
          <w:rFonts w:ascii="Arial" w:hAnsi="Arial" w:cs="Arial"/>
          <w:sz w:val="24"/>
          <w:szCs w:val="24"/>
          <w:lang w:val="en-US"/>
        </w:rPr>
      </w:pPr>
    </w:p>
    <w:p w14:paraId="148182DF" w14:textId="77777777" w:rsidR="00DC0205" w:rsidRDefault="00DC0205" w:rsidP="008423D2">
      <w:pPr>
        <w:spacing w:after="0" w:line="360" w:lineRule="auto"/>
        <w:jc w:val="right"/>
        <w:rPr>
          <w:rFonts w:ascii="Arial" w:hAnsi="Arial" w:cs="Arial"/>
          <w:b/>
          <w:bCs/>
          <w:sz w:val="24"/>
          <w:szCs w:val="24"/>
          <w:lang w:val="en-US"/>
        </w:rPr>
      </w:pPr>
    </w:p>
    <w:p w14:paraId="2A216621" w14:textId="66B6F929" w:rsidR="008423D2" w:rsidRDefault="008423D2" w:rsidP="008423D2">
      <w:pPr>
        <w:spacing w:after="0" w:line="360" w:lineRule="auto"/>
        <w:jc w:val="right"/>
        <w:rPr>
          <w:rFonts w:ascii="Arial" w:hAnsi="Arial" w:cs="Arial"/>
          <w:b/>
          <w:bCs/>
          <w:sz w:val="24"/>
          <w:szCs w:val="24"/>
          <w:lang w:val="en-US"/>
        </w:rPr>
      </w:pPr>
      <w:r>
        <w:rPr>
          <w:rFonts w:ascii="Arial" w:hAnsi="Arial" w:cs="Arial"/>
          <w:b/>
          <w:bCs/>
          <w:sz w:val="24"/>
          <w:szCs w:val="24"/>
          <w:lang w:val="en-US"/>
        </w:rPr>
        <w:t>________________________</w:t>
      </w:r>
    </w:p>
    <w:p w14:paraId="5E57C8F8" w14:textId="77777777" w:rsidR="008423D2" w:rsidRDefault="008423D2" w:rsidP="008423D2">
      <w:pPr>
        <w:spacing w:after="0" w:line="360" w:lineRule="auto"/>
        <w:jc w:val="right"/>
        <w:rPr>
          <w:rFonts w:ascii="Arial" w:hAnsi="Arial" w:cs="Arial"/>
          <w:b/>
          <w:bCs/>
          <w:sz w:val="24"/>
          <w:szCs w:val="24"/>
          <w:lang w:val="en-US"/>
        </w:rPr>
      </w:pPr>
      <w:r>
        <w:rPr>
          <w:rFonts w:ascii="Arial" w:hAnsi="Arial" w:cs="Arial"/>
          <w:b/>
          <w:bCs/>
          <w:sz w:val="24"/>
          <w:szCs w:val="24"/>
          <w:lang w:val="en-US"/>
        </w:rPr>
        <w:t>C Plasket</w:t>
      </w:r>
    </w:p>
    <w:p w14:paraId="68C5A8C9" w14:textId="77777777" w:rsidR="008423D2" w:rsidRDefault="008423D2" w:rsidP="008423D2">
      <w:pPr>
        <w:spacing w:after="0" w:line="360" w:lineRule="auto"/>
        <w:jc w:val="right"/>
        <w:rPr>
          <w:rFonts w:ascii="Arial" w:hAnsi="Arial" w:cs="Arial"/>
          <w:sz w:val="24"/>
          <w:szCs w:val="24"/>
          <w:lang w:val="en-US"/>
        </w:rPr>
      </w:pPr>
      <w:r>
        <w:rPr>
          <w:rFonts w:ascii="Arial" w:hAnsi="Arial" w:cs="Arial"/>
          <w:b/>
          <w:bCs/>
          <w:sz w:val="24"/>
          <w:szCs w:val="24"/>
          <w:lang w:val="en-US"/>
        </w:rPr>
        <w:t>Judge of Appeal</w:t>
      </w:r>
    </w:p>
    <w:p w14:paraId="01E906EF" w14:textId="77777777" w:rsidR="008423D2" w:rsidRDefault="008423D2" w:rsidP="008423D2">
      <w:pPr>
        <w:spacing w:after="0" w:line="360" w:lineRule="auto"/>
        <w:jc w:val="both"/>
        <w:rPr>
          <w:rFonts w:ascii="Arial" w:hAnsi="Arial" w:cs="Arial"/>
          <w:sz w:val="24"/>
          <w:szCs w:val="24"/>
          <w:lang w:val="en-US"/>
        </w:rPr>
      </w:pPr>
    </w:p>
    <w:p w14:paraId="63BB9F1E" w14:textId="77777777" w:rsidR="008423D2" w:rsidRDefault="008423D2" w:rsidP="008423D2">
      <w:pPr>
        <w:spacing w:after="0" w:line="360" w:lineRule="auto"/>
        <w:jc w:val="both"/>
        <w:rPr>
          <w:rFonts w:ascii="Arial" w:hAnsi="Arial" w:cs="Arial"/>
          <w:sz w:val="24"/>
          <w:szCs w:val="24"/>
          <w:lang w:val="en-US"/>
        </w:rPr>
      </w:pPr>
    </w:p>
    <w:p w14:paraId="2FD426C1" w14:textId="77777777" w:rsidR="008423D2" w:rsidRDefault="008423D2" w:rsidP="008423D2">
      <w:pPr>
        <w:spacing w:after="0" w:line="360" w:lineRule="auto"/>
        <w:jc w:val="both"/>
        <w:rPr>
          <w:rFonts w:ascii="Arial" w:hAnsi="Arial" w:cs="Arial"/>
          <w:sz w:val="24"/>
          <w:szCs w:val="24"/>
          <w:lang w:val="en-US"/>
        </w:rPr>
      </w:pPr>
    </w:p>
    <w:p w14:paraId="0ABDC567" w14:textId="77777777" w:rsidR="00DC0205" w:rsidRDefault="00DC0205" w:rsidP="008423D2">
      <w:pPr>
        <w:spacing w:after="0" w:line="360" w:lineRule="auto"/>
        <w:jc w:val="both"/>
        <w:rPr>
          <w:rFonts w:ascii="Arial" w:hAnsi="Arial" w:cs="Arial"/>
          <w:sz w:val="24"/>
          <w:szCs w:val="24"/>
          <w:lang w:val="en-US"/>
        </w:rPr>
      </w:pPr>
    </w:p>
    <w:p w14:paraId="23FE5FB9" w14:textId="77777777" w:rsidR="00DC0205" w:rsidRDefault="00DC0205" w:rsidP="008423D2">
      <w:pPr>
        <w:spacing w:after="0" w:line="360" w:lineRule="auto"/>
        <w:jc w:val="both"/>
        <w:rPr>
          <w:rFonts w:ascii="Arial" w:hAnsi="Arial" w:cs="Arial"/>
          <w:sz w:val="24"/>
          <w:szCs w:val="24"/>
          <w:lang w:val="en-US"/>
        </w:rPr>
      </w:pPr>
    </w:p>
    <w:p w14:paraId="698BB4CE" w14:textId="77777777" w:rsidR="00DC0205" w:rsidRDefault="00DC0205" w:rsidP="008423D2">
      <w:pPr>
        <w:spacing w:after="0" w:line="360" w:lineRule="auto"/>
        <w:jc w:val="both"/>
        <w:rPr>
          <w:rFonts w:ascii="Arial" w:hAnsi="Arial" w:cs="Arial"/>
          <w:sz w:val="24"/>
          <w:szCs w:val="24"/>
          <w:lang w:val="en-US"/>
        </w:rPr>
      </w:pPr>
    </w:p>
    <w:p w14:paraId="46C760B1" w14:textId="77777777" w:rsidR="00DC0205" w:rsidRDefault="00DC0205" w:rsidP="008423D2">
      <w:pPr>
        <w:spacing w:after="0" w:line="360" w:lineRule="auto"/>
        <w:jc w:val="both"/>
        <w:rPr>
          <w:rFonts w:ascii="Arial" w:hAnsi="Arial" w:cs="Arial"/>
          <w:sz w:val="24"/>
          <w:szCs w:val="24"/>
          <w:lang w:val="en-US"/>
        </w:rPr>
      </w:pPr>
    </w:p>
    <w:p w14:paraId="5D349C7C" w14:textId="77777777" w:rsidR="00BF1FA9" w:rsidRDefault="00BF1FA9" w:rsidP="008423D2">
      <w:pPr>
        <w:spacing w:after="0" w:line="360" w:lineRule="auto"/>
        <w:jc w:val="both"/>
        <w:rPr>
          <w:rFonts w:ascii="Arial" w:hAnsi="Arial" w:cs="Arial"/>
          <w:sz w:val="24"/>
          <w:szCs w:val="24"/>
          <w:lang w:val="en-US"/>
        </w:rPr>
      </w:pPr>
    </w:p>
    <w:p w14:paraId="466422D4" w14:textId="77777777" w:rsidR="00BF1FA9" w:rsidRDefault="00BF1FA9" w:rsidP="008423D2">
      <w:pPr>
        <w:spacing w:after="0" w:line="360" w:lineRule="auto"/>
        <w:jc w:val="both"/>
        <w:rPr>
          <w:rFonts w:ascii="Arial" w:hAnsi="Arial" w:cs="Arial"/>
          <w:sz w:val="24"/>
          <w:szCs w:val="24"/>
          <w:lang w:val="en-US"/>
        </w:rPr>
      </w:pPr>
    </w:p>
    <w:p w14:paraId="0A98FA6F" w14:textId="77777777" w:rsidR="00BF1FA9" w:rsidRDefault="00BF1FA9" w:rsidP="008423D2">
      <w:pPr>
        <w:spacing w:after="0" w:line="360" w:lineRule="auto"/>
        <w:jc w:val="both"/>
        <w:rPr>
          <w:rFonts w:ascii="Arial" w:hAnsi="Arial" w:cs="Arial"/>
          <w:sz w:val="24"/>
          <w:szCs w:val="24"/>
          <w:lang w:val="en-US"/>
        </w:rPr>
      </w:pPr>
    </w:p>
    <w:p w14:paraId="29CC1884" w14:textId="77777777" w:rsidR="00BF1FA9" w:rsidRDefault="00BF1FA9" w:rsidP="008423D2">
      <w:pPr>
        <w:spacing w:after="0" w:line="360" w:lineRule="auto"/>
        <w:jc w:val="both"/>
        <w:rPr>
          <w:rFonts w:ascii="Arial" w:hAnsi="Arial" w:cs="Arial"/>
          <w:sz w:val="24"/>
          <w:szCs w:val="24"/>
          <w:lang w:val="en-US"/>
        </w:rPr>
      </w:pPr>
    </w:p>
    <w:p w14:paraId="2B480FBB" w14:textId="3933870B" w:rsidR="008423D2" w:rsidRDefault="008423D2" w:rsidP="008423D2">
      <w:pPr>
        <w:spacing w:after="0" w:line="360" w:lineRule="auto"/>
        <w:jc w:val="both"/>
        <w:rPr>
          <w:rFonts w:ascii="Arial" w:hAnsi="Arial" w:cs="Arial"/>
          <w:sz w:val="24"/>
          <w:szCs w:val="24"/>
          <w:lang w:val="en-US"/>
        </w:rPr>
      </w:pPr>
      <w:r>
        <w:rPr>
          <w:rFonts w:ascii="Arial" w:hAnsi="Arial" w:cs="Arial"/>
          <w:sz w:val="24"/>
          <w:szCs w:val="24"/>
          <w:lang w:val="en-US"/>
        </w:rPr>
        <w:lastRenderedPageBreak/>
        <w:t>APPEARANCES</w:t>
      </w:r>
    </w:p>
    <w:p w14:paraId="06903BBC" w14:textId="77777777" w:rsidR="008423D2" w:rsidRDefault="008423D2" w:rsidP="008423D2">
      <w:pPr>
        <w:spacing w:after="0" w:line="360" w:lineRule="auto"/>
        <w:jc w:val="both"/>
        <w:rPr>
          <w:rFonts w:ascii="Arial" w:hAnsi="Arial" w:cs="Arial"/>
          <w:sz w:val="24"/>
          <w:szCs w:val="24"/>
          <w:lang w:val="en-US"/>
        </w:rPr>
      </w:pPr>
    </w:p>
    <w:p w14:paraId="66505F5E" w14:textId="4A38AF33" w:rsidR="008423D2" w:rsidRDefault="008423D2" w:rsidP="008423D2">
      <w:pPr>
        <w:spacing w:after="0" w:line="360" w:lineRule="auto"/>
        <w:jc w:val="both"/>
        <w:rPr>
          <w:rFonts w:ascii="Arial" w:hAnsi="Arial" w:cs="Arial"/>
          <w:sz w:val="24"/>
          <w:szCs w:val="24"/>
          <w:lang w:val="en-US"/>
        </w:rPr>
      </w:pPr>
      <w:r>
        <w:rPr>
          <w:rFonts w:ascii="Arial" w:hAnsi="Arial" w:cs="Arial"/>
          <w:sz w:val="24"/>
          <w:szCs w:val="24"/>
          <w:lang w:val="en-US"/>
        </w:rPr>
        <w:t>For the appellant: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C92165">
        <w:rPr>
          <w:rFonts w:ascii="Arial" w:hAnsi="Arial" w:cs="Arial"/>
          <w:sz w:val="24"/>
          <w:szCs w:val="24"/>
          <w:lang w:val="en-US"/>
        </w:rPr>
        <w:t>A E Bham SC and J Potter</w:t>
      </w:r>
    </w:p>
    <w:p w14:paraId="346786F5" w14:textId="684AD8B9" w:rsidR="008423D2" w:rsidRDefault="008423D2" w:rsidP="008423D2">
      <w:pPr>
        <w:spacing w:after="0" w:line="360" w:lineRule="auto"/>
        <w:ind w:left="5040" w:hanging="5040"/>
        <w:jc w:val="both"/>
        <w:rPr>
          <w:rFonts w:ascii="Arial" w:hAnsi="Arial" w:cs="Arial"/>
          <w:sz w:val="24"/>
          <w:szCs w:val="24"/>
          <w:lang w:val="en-US"/>
        </w:rPr>
      </w:pPr>
      <w:r>
        <w:rPr>
          <w:rFonts w:ascii="Arial" w:hAnsi="Arial" w:cs="Arial"/>
          <w:sz w:val="24"/>
          <w:szCs w:val="24"/>
          <w:lang w:val="en-US"/>
        </w:rPr>
        <w:t>Instructed by:</w:t>
      </w:r>
      <w:r>
        <w:rPr>
          <w:rFonts w:ascii="Arial" w:hAnsi="Arial" w:cs="Arial"/>
          <w:sz w:val="24"/>
          <w:szCs w:val="24"/>
          <w:lang w:val="en-US"/>
        </w:rPr>
        <w:tab/>
        <w:t>Faber Goertz Ellis Austen Inc, Johannesburg</w:t>
      </w:r>
    </w:p>
    <w:p w14:paraId="02B13315" w14:textId="15CD489C" w:rsidR="008423D2" w:rsidRDefault="008423D2" w:rsidP="008423D2">
      <w:pPr>
        <w:spacing w:after="0" w:line="360" w:lineRule="auto"/>
        <w:ind w:left="5040" w:hanging="5040"/>
        <w:jc w:val="both"/>
        <w:rPr>
          <w:rFonts w:ascii="Arial" w:hAnsi="Arial" w:cs="Arial"/>
          <w:sz w:val="24"/>
          <w:szCs w:val="24"/>
          <w:lang w:val="en-US"/>
        </w:rPr>
      </w:pPr>
      <w:r>
        <w:rPr>
          <w:rFonts w:ascii="Arial" w:hAnsi="Arial" w:cs="Arial"/>
          <w:sz w:val="24"/>
          <w:szCs w:val="24"/>
          <w:lang w:val="en-US"/>
        </w:rPr>
        <w:tab/>
        <w:t>McIntyre Van der Post, Bloemfontein</w:t>
      </w:r>
    </w:p>
    <w:p w14:paraId="63016A71" w14:textId="77777777" w:rsidR="008423D2" w:rsidRDefault="008423D2" w:rsidP="008423D2">
      <w:pPr>
        <w:spacing w:after="0" w:line="360" w:lineRule="auto"/>
        <w:ind w:left="5040" w:hanging="5040"/>
        <w:jc w:val="both"/>
        <w:rPr>
          <w:rFonts w:ascii="Arial" w:hAnsi="Arial" w:cs="Arial"/>
          <w:sz w:val="24"/>
          <w:szCs w:val="24"/>
          <w:lang w:val="en-US"/>
        </w:rPr>
      </w:pPr>
    </w:p>
    <w:p w14:paraId="485D6BA3" w14:textId="175CF723" w:rsidR="008423D2" w:rsidRDefault="00CA2E30" w:rsidP="008423D2">
      <w:pPr>
        <w:spacing w:after="0" w:line="360" w:lineRule="auto"/>
        <w:ind w:left="5040" w:hanging="5040"/>
        <w:jc w:val="both"/>
        <w:rPr>
          <w:rFonts w:ascii="Arial" w:hAnsi="Arial" w:cs="Arial"/>
          <w:sz w:val="24"/>
          <w:szCs w:val="24"/>
          <w:lang w:val="en-US"/>
        </w:rPr>
      </w:pPr>
      <w:r>
        <w:rPr>
          <w:rFonts w:ascii="Arial" w:hAnsi="Arial" w:cs="Arial"/>
          <w:sz w:val="24"/>
          <w:szCs w:val="24"/>
          <w:lang w:val="en-US"/>
        </w:rPr>
        <w:t>For the respondent</w:t>
      </w:r>
      <w:r w:rsidR="008423D2">
        <w:rPr>
          <w:rFonts w:ascii="Arial" w:hAnsi="Arial" w:cs="Arial"/>
          <w:sz w:val="24"/>
          <w:szCs w:val="24"/>
          <w:lang w:val="en-US"/>
        </w:rPr>
        <w:t>:</w:t>
      </w:r>
      <w:r w:rsidR="008423D2">
        <w:rPr>
          <w:rFonts w:ascii="Arial" w:hAnsi="Arial" w:cs="Arial"/>
          <w:sz w:val="24"/>
          <w:szCs w:val="24"/>
          <w:lang w:val="en-US"/>
        </w:rPr>
        <w:tab/>
      </w:r>
      <w:r w:rsidR="00C92165">
        <w:rPr>
          <w:rFonts w:ascii="Arial" w:hAnsi="Arial" w:cs="Arial"/>
          <w:sz w:val="24"/>
          <w:szCs w:val="24"/>
          <w:lang w:val="en-US"/>
        </w:rPr>
        <w:t>C Louw SC and H J Snyman</w:t>
      </w:r>
    </w:p>
    <w:p w14:paraId="42F71CFD" w14:textId="7605A6C3" w:rsidR="008423D2" w:rsidRDefault="008423D2" w:rsidP="008423D2">
      <w:pPr>
        <w:spacing w:after="0" w:line="360" w:lineRule="auto"/>
        <w:ind w:left="5040" w:hanging="5040"/>
        <w:jc w:val="both"/>
        <w:rPr>
          <w:rFonts w:ascii="Arial" w:hAnsi="Arial" w:cs="Arial"/>
          <w:sz w:val="24"/>
          <w:szCs w:val="24"/>
          <w:lang w:val="en-US"/>
        </w:rPr>
      </w:pPr>
      <w:r>
        <w:rPr>
          <w:rFonts w:ascii="Arial" w:hAnsi="Arial" w:cs="Arial"/>
          <w:sz w:val="24"/>
          <w:szCs w:val="24"/>
          <w:lang w:val="en-US"/>
        </w:rPr>
        <w:t>Instructed by:</w:t>
      </w:r>
      <w:r>
        <w:rPr>
          <w:rFonts w:ascii="Arial" w:hAnsi="Arial" w:cs="Arial"/>
          <w:sz w:val="24"/>
          <w:szCs w:val="24"/>
          <w:lang w:val="en-US"/>
        </w:rPr>
        <w:tab/>
        <w:t>Klagsbrun Edelstein Bosman De Vries, Pretoria</w:t>
      </w:r>
    </w:p>
    <w:p w14:paraId="1D1FE869" w14:textId="0BBBA145" w:rsidR="008423D2" w:rsidRPr="0042187E" w:rsidRDefault="008423D2" w:rsidP="008423D2">
      <w:pPr>
        <w:spacing w:after="0" w:line="360" w:lineRule="auto"/>
        <w:ind w:left="5040" w:hanging="5040"/>
        <w:jc w:val="both"/>
        <w:rPr>
          <w:rFonts w:ascii="Arial" w:hAnsi="Arial" w:cs="Arial"/>
          <w:sz w:val="24"/>
          <w:szCs w:val="24"/>
          <w:lang w:val="en-US"/>
        </w:rPr>
      </w:pPr>
      <w:r>
        <w:rPr>
          <w:rFonts w:ascii="Arial" w:hAnsi="Arial" w:cs="Arial"/>
          <w:sz w:val="24"/>
          <w:szCs w:val="24"/>
          <w:lang w:val="en-US"/>
        </w:rPr>
        <w:tab/>
        <w:t>Symington De Kok, Bloemfontein</w:t>
      </w:r>
    </w:p>
    <w:p w14:paraId="07CEF889" w14:textId="77777777" w:rsidR="008423D2" w:rsidRPr="00FC371E" w:rsidRDefault="008423D2" w:rsidP="00BD73E7">
      <w:pPr>
        <w:spacing w:after="0" w:line="360" w:lineRule="auto"/>
        <w:jc w:val="both"/>
        <w:rPr>
          <w:rFonts w:ascii="Arial" w:hAnsi="Arial" w:cs="Arial"/>
          <w:sz w:val="24"/>
          <w:szCs w:val="24"/>
          <w:lang w:val="en-US"/>
        </w:rPr>
      </w:pPr>
    </w:p>
    <w:sectPr w:rsidR="008423D2" w:rsidRPr="00FC371E" w:rsidSect="00D80EC9">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A82B1" w14:textId="77777777" w:rsidR="003E27E0" w:rsidRDefault="003E27E0" w:rsidP="007C4A7C">
      <w:pPr>
        <w:spacing w:after="0" w:line="240" w:lineRule="auto"/>
      </w:pPr>
      <w:r>
        <w:separator/>
      </w:r>
    </w:p>
  </w:endnote>
  <w:endnote w:type="continuationSeparator" w:id="0">
    <w:p w14:paraId="5D7DFB3A" w14:textId="77777777" w:rsidR="003E27E0" w:rsidRDefault="003E27E0" w:rsidP="007C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7FAE6" w14:textId="77777777" w:rsidR="003E27E0" w:rsidRDefault="003E27E0" w:rsidP="007C4A7C">
      <w:pPr>
        <w:spacing w:after="0" w:line="240" w:lineRule="auto"/>
      </w:pPr>
      <w:r>
        <w:separator/>
      </w:r>
    </w:p>
  </w:footnote>
  <w:footnote w:type="continuationSeparator" w:id="0">
    <w:p w14:paraId="53E5165C" w14:textId="77777777" w:rsidR="003E27E0" w:rsidRDefault="003E27E0" w:rsidP="007C4A7C">
      <w:pPr>
        <w:spacing w:after="0" w:line="240" w:lineRule="auto"/>
      </w:pPr>
      <w:r>
        <w:continuationSeparator/>
      </w:r>
    </w:p>
  </w:footnote>
  <w:footnote w:id="1">
    <w:p w14:paraId="14C5EC88" w14:textId="6F5E3D2D" w:rsidR="00664A9C" w:rsidRPr="00803BD7" w:rsidRDefault="00664A9C" w:rsidP="00664A9C">
      <w:pPr>
        <w:pStyle w:val="FootnoteText"/>
        <w:jc w:val="both"/>
        <w:rPr>
          <w:rFonts w:ascii="Arial" w:hAnsi="Arial" w:cs="Arial"/>
          <w:lang w:val="en-US"/>
        </w:rPr>
      </w:pPr>
      <w:r>
        <w:rPr>
          <w:rStyle w:val="FootnoteReference"/>
        </w:rPr>
        <w:footnoteRef/>
      </w:r>
      <w:r>
        <w:t xml:space="preserve"> </w:t>
      </w:r>
      <w:r w:rsidR="003C1D50">
        <w:rPr>
          <w:rFonts w:ascii="Arial" w:hAnsi="Arial" w:cs="Arial"/>
          <w:i/>
          <w:iCs/>
          <w:lang w:val="en-US"/>
        </w:rPr>
        <w:t>Lion Match Company (Pty) Ltd v Commissioner for the South African Revenue Service</w:t>
      </w:r>
      <w:r w:rsidR="003C1D50">
        <w:rPr>
          <w:rFonts w:ascii="Arial" w:hAnsi="Arial" w:cs="Arial"/>
          <w:lang w:val="en-US"/>
        </w:rPr>
        <w:t xml:space="preserve"> [2018] ZASCA 36 para 6.</w:t>
      </w:r>
      <w:r w:rsidR="00803BD7">
        <w:rPr>
          <w:rFonts w:ascii="Arial" w:hAnsi="Arial" w:cs="Arial"/>
          <w:lang w:val="en-US"/>
        </w:rPr>
        <w:t xml:space="preserve"> See too </w:t>
      </w:r>
      <w:r w:rsidR="00803BD7">
        <w:rPr>
          <w:rFonts w:ascii="Arial" w:hAnsi="Arial" w:cs="Arial"/>
          <w:i/>
          <w:iCs/>
          <w:lang w:val="en-US"/>
        </w:rPr>
        <w:t>Wingate-Pearse v Commissioner, South African Revenue Service</w:t>
      </w:r>
      <w:r w:rsidR="00803BD7">
        <w:rPr>
          <w:rFonts w:ascii="Arial" w:hAnsi="Arial" w:cs="Arial"/>
          <w:lang w:val="en-US"/>
        </w:rPr>
        <w:t xml:space="preserve"> [2016] ZASCA 109; 2017 (1) SA 542 (SCA) para 6.</w:t>
      </w:r>
    </w:p>
  </w:footnote>
  <w:footnote w:id="2">
    <w:p w14:paraId="41463CAD" w14:textId="1DCC496E" w:rsidR="00923BB3" w:rsidRPr="00923BB3" w:rsidRDefault="00923BB3" w:rsidP="00923BB3">
      <w:pPr>
        <w:pStyle w:val="FootnoteText"/>
        <w:jc w:val="both"/>
        <w:rPr>
          <w:rFonts w:ascii="Arial" w:hAnsi="Arial" w:cs="Arial"/>
          <w:lang w:val="en-US"/>
        </w:rPr>
      </w:pPr>
      <w:r>
        <w:rPr>
          <w:rStyle w:val="FootnoteReference"/>
        </w:rPr>
        <w:footnoteRef/>
      </w:r>
      <w:r>
        <w:t xml:space="preserve"> </w:t>
      </w:r>
      <w:r>
        <w:rPr>
          <w:rFonts w:ascii="Arial" w:hAnsi="Arial" w:cs="Arial"/>
          <w:i/>
          <w:iCs/>
          <w:lang w:val="en-US"/>
        </w:rPr>
        <w:t>H R Computek (Pty) Ltd v Commissioner for the South African Revenue Service</w:t>
      </w:r>
      <w:r>
        <w:rPr>
          <w:rFonts w:ascii="Arial" w:hAnsi="Arial" w:cs="Arial"/>
          <w:lang w:val="en-US"/>
        </w:rPr>
        <w:t xml:space="preserve"> [2012] ZASCA 178 para 12.</w:t>
      </w:r>
    </w:p>
  </w:footnote>
  <w:footnote w:id="3">
    <w:p w14:paraId="2459D403" w14:textId="37DF5306" w:rsidR="005D2419" w:rsidRPr="005D2419" w:rsidRDefault="005D2419" w:rsidP="005D2419">
      <w:pPr>
        <w:pStyle w:val="FootnoteText"/>
        <w:jc w:val="both"/>
        <w:rPr>
          <w:rFonts w:ascii="Arial" w:hAnsi="Arial" w:cs="Arial"/>
          <w:lang w:val="en-US"/>
        </w:rPr>
      </w:pPr>
      <w:r>
        <w:rPr>
          <w:rStyle w:val="FootnoteReference"/>
        </w:rPr>
        <w:footnoteRef/>
      </w:r>
      <w:r>
        <w:t xml:space="preserve"> </w:t>
      </w:r>
      <w:r>
        <w:rPr>
          <w:rFonts w:ascii="Arial" w:hAnsi="Arial" w:cs="Arial"/>
          <w:i/>
          <w:iCs/>
          <w:lang w:val="en-US"/>
        </w:rPr>
        <w:t>Matla Coal Ltd v Commissioner for Inland Revenue</w:t>
      </w:r>
      <w:r>
        <w:rPr>
          <w:rFonts w:ascii="Arial" w:hAnsi="Arial" w:cs="Arial"/>
          <w:lang w:val="en-US"/>
        </w:rPr>
        <w:t xml:space="preserve"> [1986] ZASCA </w:t>
      </w:r>
      <w:r w:rsidR="00D97973">
        <w:rPr>
          <w:rFonts w:ascii="Arial" w:hAnsi="Arial" w:cs="Arial"/>
          <w:lang w:val="en-US"/>
        </w:rPr>
        <w:t>120</w:t>
      </w:r>
      <w:r>
        <w:rPr>
          <w:rFonts w:ascii="Arial" w:hAnsi="Arial" w:cs="Arial"/>
          <w:lang w:val="en-US"/>
        </w:rPr>
        <w:t>; 1987 (1) SA 108 (A) at 125C-</w:t>
      </w:r>
      <w:r w:rsidR="00E24F71">
        <w:rPr>
          <w:rFonts w:ascii="Arial" w:hAnsi="Arial" w:cs="Arial"/>
          <w:lang w:val="en-US"/>
        </w:rPr>
        <w:t>D</w:t>
      </w:r>
      <w:r>
        <w:rPr>
          <w:rFonts w:ascii="Arial" w:hAnsi="Arial" w:cs="Arial"/>
          <w:lang w:val="en-US"/>
        </w:rPr>
        <w:t>.</w:t>
      </w:r>
    </w:p>
  </w:footnote>
  <w:footnote w:id="4">
    <w:p w14:paraId="65986B23" w14:textId="3A984891" w:rsidR="00E24F71" w:rsidRPr="00E24F71" w:rsidRDefault="00E24F71" w:rsidP="00E24F71">
      <w:pPr>
        <w:pStyle w:val="FootnoteText"/>
        <w:jc w:val="both"/>
        <w:rPr>
          <w:rFonts w:ascii="Arial" w:hAnsi="Arial" w:cs="Arial"/>
          <w:lang w:val="en-US"/>
        </w:rPr>
      </w:pPr>
      <w:r>
        <w:rPr>
          <w:rStyle w:val="FootnoteReference"/>
        </w:rPr>
        <w:footnoteRef/>
      </w:r>
      <w:r>
        <w:t xml:space="preserve"> </w:t>
      </w:r>
      <w:r>
        <w:rPr>
          <w:rFonts w:ascii="Arial" w:hAnsi="Arial" w:cs="Arial"/>
          <w:lang w:val="en-US"/>
        </w:rPr>
        <w:t>At 125I-J.</w:t>
      </w:r>
    </w:p>
  </w:footnote>
  <w:footnote w:id="5">
    <w:p w14:paraId="5982EC71" w14:textId="02A5A0C5" w:rsidR="00BE26D8" w:rsidRPr="00BE26D8" w:rsidRDefault="00BE26D8" w:rsidP="00BE26D8">
      <w:pPr>
        <w:pStyle w:val="FootnoteText"/>
        <w:jc w:val="both"/>
        <w:rPr>
          <w:rFonts w:ascii="Arial" w:hAnsi="Arial" w:cs="Arial"/>
          <w:lang w:val="en-US"/>
        </w:rPr>
      </w:pPr>
      <w:r>
        <w:rPr>
          <w:rStyle w:val="FootnoteReference"/>
        </w:rPr>
        <w:footnoteRef/>
      </w:r>
      <w:r>
        <w:t xml:space="preserve"> </w:t>
      </w:r>
      <w:r>
        <w:rPr>
          <w:rFonts w:ascii="Arial" w:hAnsi="Arial" w:cs="Arial"/>
          <w:lang w:val="en-US"/>
        </w:rPr>
        <w:t>Rule 7(1).</w:t>
      </w:r>
    </w:p>
  </w:footnote>
  <w:footnote w:id="6">
    <w:p w14:paraId="5AFCD74F" w14:textId="61AF054E" w:rsidR="00BE26D8" w:rsidRPr="00BE26D8" w:rsidRDefault="00BE26D8" w:rsidP="00BE26D8">
      <w:pPr>
        <w:pStyle w:val="FootnoteText"/>
        <w:jc w:val="both"/>
        <w:rPr>
          <w:rFonts w:ascii="Arial" w:hAnsi="Arial" w:cs="Arial"/>
          <w:lang w:val="en-US"/>
        </w:rPr>
      </w:pPr>
      <w:r>
        <w:rPr>
          <w:rStyle w:val="FootnoteReference"/>
        </w:rPr>
        <w:footnoteRef/>
      </w:r>
      <w:r>
        <w:t xml:space="preserve"> </w:t>
      </w:r>
      <w:r>
        <w:rPr>
          <w:rFonts w:ascii="Arial" w:hAnsi="Arial" w:cs="Arial"/>
          <w:lang w:val="en-US"/>
        </w:rPr>
        <w:t>Rule 7(2)</w:t>
      </w:r>
      <w:r>
        <w:rPr>
          <w:rFonts w:ascii="Arial" w:hAnsi="Arial" w:cs="Arial"/>
          <w:i/>
          <w:iCs/>
          <w:lang w:val="en-US"/>
        </w:rPr>
        <w:t>(a)</w:t>
      </w:r>
      <w:r>
        <w:rPr>
          <w:rFonts w:ascii="Arial" w:hAnsi="Arial" w:cs="Arial"/>
          <w:lang w:val="en-US"/>
        </w:rPr>
        <w:t>.</w:t>
      </w:r>
    </w:p>
  </w:footnote>
  <w:footnote w:id="7">
    <w:p w14:paraId="534BC72C" w14:textId="20B46B28" w:rsidR="006952FA" w:rsidRPr="006952FA" w:rsidRDefault="006952FA" w:rsidP="006952FA">
      <w:pPr>
        <w:pStyle w:val="FootnoteText"/>
        <w:jc w:val="both"/>
        <w:rPr>
          <w:rFonts w:ascii="Arial" w:hAnsi="Arial" w:cs="Arial"/>
          <w:lang w:val="en-US"/>
        </w:rPr>
      </w:pPr>
      <w:r>
        <w:rPr>
          <w:rStyle w:val="FootnoteReference"/>
        </w:rPr>
        <w:footnoteRef/>
      </w:r>
      <w:r>
        <w:t xml:space="preserve"> </w:t>
      </w:r>
      <w:r>
        <w:rPr>
          <w:rFonts w:ascii="Arial" w:hAnsi="Arial" w:cs="Arial"/>
          <w:lang w:val="en-US"/>
        </w:rPr>
        <w:t>Rule 7(2)</w:t>
      </w:r>
      <w:r>
        <w:rPr>
          <w:rFonts w:ascii="Arial" w:hAnsi="Arial" w:cs="Arial"/>
          <w:i/>
          <w:iCs/>
          <w:lang w:val="en-US"/>
        </w:rPr>
        <w:t>(b)</w:t>
      </w:r>
      <w:r>
        <w:rPr>
          <w:rFonts w:ascii="Arial" w:hAnsi="Arial" w:cs="Arial"/>
          <w:lang w:val="en-US"/>
        </w:rPr>
        <w:t>.</w:t>
      </w:r>
    </w:p>
  </w:footnote>
  <w:footnote w:id="8">
    <w:p w14:paraId="3A97C1C1" w14:textId="3027EAE9" w:rsidR="00B84981" w:rsidRPr="00B84981" w:rsidRDefault="00B84981" w:rsidP="00B84981">
      <w:pPr>
        <w:pStyle w:val="FootnoteText"/>
        <w:jc w:val="both"/>
        <w:rPr>
          <w:rFonts w:ascii="Arial" w:hAnsi="Arial" w:cs="Arial"/>
          <w:lang w:val="en-US"/>
        </w:rPr>
      </w:pPr>
      <w:r>
        <w:rPr>
          <w:rStyle w:val="FootnoteReference"/>
        </w:rPr>
        <w:footnoteRef/>
      </w:r>
      <w:r>
        <w:t xml:space="preserve"> </w:t>
      </w:r>
      <w:r>
        <w:rPr>
          <w:rFonts w:ascii="Arial" w:hAnsi="Arial" w:cs="Arial"/>
          <w:lang w:val="en-US"/>
        </w:rPr>
        <w:t>Rule 10(1)</w:t>
      </w:r>
      <w:r>
        <w:rPr>
          <w:rFonts w:ascii="Arial" w:hAnsi="Arial" w:cs="Arial"/>
          <w:i/>
          <w:iCs/>
          <w:lang w:val="en-US"/>
        </w:rPr>
        <w:t>(a)</w:t>
      </w:r>
      <w:r>
        <w:rPr>
          <w:rFonts w:ascii="Arial" w:hAnsi="Arial" w:cs="Arial"/>
          <w:lang w:val="en-US"/>
        </w:rPr>
        <w:t>.</w:t>
      </w:r>
    </w:p>
  </w:footnote>
  <w:footnote w:id="9">
    <w:p w14:paraId="4CAE85C2" w14:textId="637389F5" w:rsidR="008956AB" w:rsidRPr="008956AB" w:rsidRDefault="008956AB" w:rsidP="008956AB">
      <w:pPr>
        <w:pStyle w:val="FootnoteText"/>
        <w:jc w:val="both"/>
        <w:rPr>
          <w:rFonts w:ascii="Arial" w:hAnsi="Arial" w:cs="Arial"/>
          <w:i/>
          <w:iCs/>
          <w:lang w:val="en-US"/>
        </w:rPr>
      </w:pPr>
      <w:r>
        <w:rPr>
          <w:rStyle w:val="FootnoteReference"/>
        </w:rPr>
        <w:footnoteRef/>
      </w:r>
      <w:r>
        <w:t xml:space="preserve"> </w:t>
      </w:r>
      <w:r>
        <w:rPr>
          <w:rFonts w:ascii="Arial" w:hAnsi="Arial" w:cs="Arial"/>
          <w:i/>
          <w:iCs/>
          <w:lang w:val="en-US"/>
        </w:rPr>
        <w:t>Knox D’Arcy AG v Land and Agricultural Bank of South Africa</w:t>
      </w:r>
      <w:r>
        <w:rPr>
          <w:rFonts w:ascii="Arial" w:hAnsi="Arial" w:cs="Arial"/>
          <w:lang w:val="en-US"/>
        </w:rPr>
        <w:t xml:space="preserve"> [2013] ZASCA </w:t>
      </w:r>
      <w:r w:rsidR="00A626CD">
        <w:rPr>
          <w:rFonts w:ascii="Arial" w:hAnsi="Arial" w:cs="Arial"/>
          <w:lang w:val="en-US"/>
        </w:rPr>
        <w:t>93</w:t>
      </w:r>
      <w:r>
        <w:rPr>
          <w:rFonts w:ascii="Arial" w:hAnsi="Arial" w:cs="Arial"/>
          <w:lang w:val="en-US"/>
        </w:rPr>
        <w:t>;</w:t>
      </w:r>
      <w:r w:rsidR="00A626CD">
        <w:rPr>
          <w:rFonts w:ascii="Arial" w:hAnsi="Arial" w:cs="Arial"/>
          <w:lang w:val="en-US"/>
        </w:rPr>
        <w:t xml:space="preserve"> [2013] </w:t>
      </w:r>
      <w:r w:rsidR="00F9619F">
        <w:rPr>
          <w:rFonts w:ascii="Arial" w:hAnsi="Arial" w:cs="Arial"/>
          <w:lang w:val="en-US"/>
        </w:rPr>
        <w:t>3</w:t>
      </w:r>
      <w:r w:rsidR="00A626CD">
        <w:rPr>
          <w:rFonts w:ascii="Arial" w:hAnsi="Arial" w:cs="Arial"/>
          <w:lang w:val="en-US"/>
        </w:rPr>
        <w:t xml:space="preserve"> All SA 404 (SCA) para 35.</w:t>
      </w:r>
      <w:r>
        <w:rPr>
          <w:rFonts w:ascii="Arial" w:hAnsi="Arial" w:cs="Arial"/>
          <w:lang w:val="en-US"/>
        </w:rPr>
        <w:t xml:space="preserve"> </w:t>
      </w:r>
      <w:r>
        <w:rPr>
          <w:rFonts w:ascii="Arial" w:hAnsi="Arial" w:cs="Arial"/>
          <w:i/>
          <w:iCs/>
          <w:lang w:val="en-US"/>
        </w:rPr>
        <w:t xml:space="preserve"> </w:t>
      </w:r>
    </w:p>
  </w:footnote>
  <w:footnote w:id="10">
    <w:p w14:paraId="19A1FB46" w14:textId="38957A81" w:rsidR="00780743" w:rsidRPr="00780743" w:rsidRDefault="00780743" w:rsidP="00780743">
      <w:pPr>
        <w:pStyle w:val="FootnoteText"/>
        <w:jc w:val="both"/>
        <w:rPr>
          <w:rFonts w:ascii="Arial" w:hAnsi="Arial" w:cs="Arial"/>
        </w:rPr>
      </w:pPr>
      <w:r>
        <w:rPr>
          <w:rStyle w:val="FootnoteReference"/>
        </w:rPr>
        <w:footnoteRef/>
      </w:r>
      <w:r>
        <w:t xml:space="preserve"> </w:t>
      </w:r>
      <w:r>
        <w:rPr>
          <w:rFonts w:ascii="Arial" w:hAnsi="Arial" w:cs="Arial"/>
          <w:i/>
        </w:rPr>
        <w:t>Gusha v Road Accident Fund</w:t>
      </w:r>
      <w:r>
        <w:rPr>
          <w:rFonts w:ascii="Arial" w:hAnsi="Arial" w:cs="Arial"/>
        </w:rPr>
        <w:t xml:space="preserve"> [2012] ZASCA 242; 2012 (2) SA 371 (SCA).</w:t>
      </w:r>
    </w:p>
  </w:footnote>
  <w:footnote w:id="11">
    <w:p w14:paraId="57C436FC" w14:textId="306A42CD" w:rsidR="006C6499" w:rsidRPr="006C6499" w:rsidRDefault="006C6499" w:rsidP="006C6499">
      <w:pPr>
        <w:pStyle w:val="FootnoteText"/>
        <w:jc w:val="both"/>
        <w:rPr>
          <w:rFonts w:ascii="Arial" w:hAnsi="Arial" w:cs="Arial"/>
        </w:rPr>
      </w:pPr>
      <w:r>
        <w:rPr>
          <w:rStyle w:val="FootnoteReference"/>
        </w:rPr>
        <w:footnoteRef/>
      </w:r>
      <w:r>
        <w:t xml:space="preserve"> </w:t>
      </w:r>
      <w:r>
        <w:rPr>
          <w:rFonts w:ascii="Arial" w:hAnsi="Arial" w:cs="Arial"/>
        </w:rPr>
        <w:t>Para 15.</w:t>
      </w:r>
    </w:p>
  </w:footnote>
  <w:footnote w:id="12">
    <w:p w14:paraId="7194A41F" w14:textId="77777777" w:rsidR="00226859" w:rsidRPr="0004135F" w:rsidRDefault="00226859" w:rsidP="00226859">
      <w:pPr>
        <w:pStyle w:val="FootnoteText"/>
        <w:jc w:val="both"/>
        <w:rPr>
          <w:rFonts w:ascii="Arial" w:hAnsi="Arial" w:cs="Arial"/>
          <w:lang w:val="en-US"/>
        </w:rPr>
      </w:pPr>
      <w:r>
        <w:rPr>
          <w:rStyle w:val="FootnoteReference"/>
        </w:rPr>
        <w:footnoteRef/>
      </w:r>
      <w:r>
        <w:t xml:space="preserve"> </w:t>
      </w:r>
      <w:r>
        <w:rPr>
          <w:rFonts w:ascii="Arial" w:hAnsi="Arial" w:cs="Arial"/>
          <w:lang w:val="en-US"/>
        </w:rPr>
        <w:t>Note 3 at 125I-J.</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532229"/>
      <w:docPartObj>
        <w:docPartGallery w:val="Page Numbers (Top of Page)"/>
        <w:docPartUnique/>
      </w:docPartObj>
    </w:sdtPr>
    <w:sdtEndPr>
      <w:rPr>
        <w:noProof/>
      </w:rPr>
    </w:sdtEndPr>
    <w:sdtContent>
      <w:p w14:paraId="28B559CA" w14:textId="2F78F5DC" w:rsidR="007C4A7C" w:rsidRDefault="007C4A7C">
        <w:pPr>
          <w:pStyle w:val="Header"/>
          <w:jc w:val="right"/>
        </w:pPr>
        <w:r>
          <w:fldChar w:fldCharType="begin"/>
        </w:r>
        <w:r>
          <w:instrText xml:space="preserve"> PAGE   \* MERGEFORMAT </w:instrText>
        </w:r>
        <w:r>
          <w:fldChar w:fldCharType="separate"/>
        </w:r>
        <w:r w:rsidR="007A41BE">
          <w:rPr>
            <w:noProof/>
          </w:rPr>
          <w:t>4</w:t>
        </w:r>
        <w:r>
          <w:rPr>
            <w:noProof/>
          </w:rPr>
          <w:fldChar w:fldCharType="end"/>
        </w:r>
      </w:p>
    </w:sdtContent>
  </w:sdt>
  <w:p w14:paraId="72084E89" w14:textId="77777777" w:rsidR="007C4A7C" w:rsidRDefault="007C4A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E7"/>
    <w:rsid w:val="00013B9A"/>
    <w:rsid w:val="000162D3"/>
    <w:rsid w:val="0004135F"/>
    <w:rsid w:val="00055942"/>
    <w:rsid w:val="00081D01"/>
    <w:rsid w:val="000C5219"/>
    <w:rsid w:val="000F62CE"/>
    <w:rsid w:val="00101AA9"/>
    <w:rsid w:val="00101FE2"/>
    <w:rsid w:val="00104D6F"/>
    <w:rsid w:val="00133ADF"/>
    <w:rsid w:val="0013530D"/>
    <w:rsid w:val="001401DE"/>
    <w:rsid w:val="001403CA"/>
    <w:rsid w:val="00160C32"/>
    <w:rsid w:val="00161E17"/>
    <w:rsid w:val="00183D73"/>
    <w:rsid w:val="001A176C"/>
    <w:rsid w:val="001A6650"/>
    <w:rsid w:val="001A793F"/>
    <w:rsid w:val="001C4328"/>
    <w:rsid w:val="001E59D4"/>
    <w:rsid w:val="001E60C9"/>
    <w:rsid w:val="001E6D41"/>
    <w:rsid w:val="001E788F"/>
    <w:rsid w:val="001F0B10"/>
    <w:rsid w:val="00201CA8"/>
    <w:rsid w:val="002038A1"/>
    <w:rsid w:val="002073C1"/>
    <w:rsid w:val="002101C5"/>
    <w:rsid w:val="00214DC8"/>
    <w:rsid w:val="00222DBE"/>
    <w:rsid w:val="002263EA"/>
    <w:rsid w:val="00226859"/>
    <w:rsid w:val="002550DB"/>
    <w:rsid w:val="0026544A"/>
    <w:rsid w:val="0027171C"/>
    <w:rsid w:val="0028108E"/>
    <w:rsid w:val="002818B0"/>
    <w:rsid w:val="002A458D"/>
    <w:rsid w:val="002B20CA"/>
    <w:rsid w:val="002C0E38"/>
    <w:rsid w:val="002C4B7D"/>
    <w:rsid w:val="002C7E13"/>
    <w:rsid w:val="002F3686"/>
    <w:rsid w:val="002F424B"/>
    <w:rsid w:val="00315C1A"/>
    <w:rsid w:val="003244D0"/>
    <w:rsid w:val="00326314"/>
    <w:rsid w:val="003510C0"/>
    <w:rsid w:val="00351EB3"/>
    <w:rsid w:val="00361676"/>
    <w:rsid w:val="0038418E"/>
    <w:rsid w:val="00391BCB"/>
    <w:rsid w:val="00394014"/>
    <w:rsid w:val="003B6798"/>
    <w:rsid w:val="003C1D50"/>
    <w:rsid w:val="003E27E0"/>
    <w:rsid w:val="00407FF7"/>
    <w:rsid w:val="00435CFD"/>
    <w:rsid w:val="004371C3"/>
    <w:rsid w:val="00442177"/>
    <w:rsid w:val="00461EAD"/>
    <w:rsid w:val="004778A2"/>
    <w:rsid w:val="004A05B1"/>
    <w:rsid w:val="004A59AD"/>
    <w:rsid w:val="004B1EBF"/>
    <w:rsid w:val="004B4F92"/>
    <w:rsid w:val="004C4A13"/>
    <w:rsid w:val="004D0C5E"/>
    <w:rsid w:val="004D3309"/>
    <w:rsid w:val="005222E3"/>
    <w:rsid w:val="005304C3"/>
    <w:rsid w:val="00532734"/>
    <w:rsid w:val="005333D0"/>
    <w:rsid w:val="00547406"/>
    <w:rsid w:val="00552BF9"/>
    <w:rsid w:val="00556F4B"/>
    <w:rsid w:val="00565E90"/>
    <w:rsid w:val="00566F9F"/>
    <w:rsid w:val="005679E1"/>
    <w:rsid w:val="00582269"/>
    <w:rsid w:val="00590A59"/>
    <w:rsid w:val="005A4366"/>
    <w:rsid w:val="005B5731"/>
    <w:rsid w:val="005C40AF"/>
    <w:rsid w:val="005C4D26"/>
    <w:rsid w:val="005C5EAA"/>
    <w:rsid w:val="005D2419"/>
    <w:rsid w:val="005D2B60"/>
    <w:rsid w:val="005E1825"/>
    <w:rsid w:val="006074A2"/>
    <w:rsid w:val="00621169"/>
    <w:rsid w:val="0063157A"/>
    <w:rsid w:val="006323AC"/>
    <w:rsid w:val="00637DFB"/>
    <w:rsid w:val="00645250"/>
    <w:rsid w:val="006513A2"/>
    <w:rsid w:val="00664A9C"/>
    <w:rsid w:val="00671AD4"/>
    <w:rsid w:val="006952FA"/>
    <w:rsid w:val="0069783C"/>
    <w:rsid w:val="006A2FBE"/>
    <w:rsid w:val="006C18C1"/>
    <w:rsid w:val="006C6499"/>
    <w:rsid w:val="006D60EB"/>
    <w:rsid w:val="006F3C39"/>
    <w:rsid w:val="00705B58"/>
    <w:rsid w:val="00746BDA"/>
    <w:rsid w:val="00750FED"/>
    <w:rsid w:val="00763BB2"/>
    <w:rsid w:val="00774DE6"/>
    <w:rsid w:val="00780743"/>
    <w:rsid w:val="00793313"/>
    <w:rsid w:val="007A41BE"/>
    <w:rsid w:val="007A699E"/>
    <w:rsid w:val="007C4A7C"/>
    <w:rsid w:val="007C69CC"/>
    <w:rsid w:val="007D5938"/>
    <w:rsid w:val="007E2700"/>
    <w:rsid w:val="007E3D5F"/>
    <w:rsid w:val="007F4964"/>
    <w:rsid w:val="00803BD7"/>
    <w:rsid w:val="008423D2"/>
    <w:rsid w:val="008535F0"/>
    <w:rsid w:val="00873B15"/>
    <w:rsid w:val="00876379"/>
    <w:rsid w:val="008956AB"/>
    <w:rsid w:val="00897C8C"/>
    <w:rsid w:val="008D2A9B"/>
    <w:rsid w:val="008E0874"/>
    <w:rsid w:val="009012F2"/>
    <w:rsid w:val="00907EC7"/>
    <w:rsid w:val="00923BB3"/>
    <w:rsid w:val="00945DA0"/>
    <w:rsid w:val="009549EF"/>
    <w:rsid w:val="0095566F"/>
    <w:rsid w:val="009562EA"/>
    <w:rsid w:val="00962017"/>
    <w:rsid w:val="00971011"/>
    <w:rsid w:val="009842D8"/>
    <w:rsid w:val="00996D1F"/>
    <w:rsid w:val="009B3B10"/>
    <w:rsid w:val="009D6D51"/>
    <w:rsid w:val="009F6672"/>
    <w:rsid w:val="00A04E6C"/>
    <w:rsid w:val="00A17461"/>
    <w:rsid w:val="00A626CD"/>
    <w:rsid w:val="00A641C9"/>
    <w:rsid w:val="00A67741"/>
    <w:rsid w:val="00A72CD9"/>
    <w:rsid w:val="00A77ADF"/>
    <w:rsid w:val="00AA3379"/>
    <w:rsid w:val="00AC2E24"/>
    <w:rsid w:val="00B27B16"/>
    <w:rsid w:val="00B3173A"/>
    <w:rsid w:val="00B53135"/>
    <w:rsid w:val="00B76706"/>
    <w:rsid w:val="00B7722C"/>
    <w:rsid w:val="00B81743"/>
    <w:rsid w:val="00B84981"/>
    <w:rsid w:val="00B85F5C"/>
    <w:rsid w:val="00B91DA9"/>
    <w:rsid w:val="00B942EA"/>
    <w:rsid w:val="00BA2749"/>
    <w:rsid w:val="00BB7AE7"/>
    <w:rsid w:val="00BC047B"/>
    <w:rsid w:val="00BC50CC"/>
    <w:rsid w:val="00BD5FF4"/>
    <w:rsid w:val="00BD73E7"/>
    <w:rsid w:val="00BE26D8"/>
    <w:rsid w:val="00BF1FA9"/>
    <w:rsid w:val="00BF3D61"/>
    <w:rsid w:val="00BF5062"/>
    <w:rsid w:val="00BF5157"/>
    <w:rsid w:val="00C01794"/>
    <w:rsid w:val="00C2374F"/>
    <w:rsid w:val="00C27006"/>
    <w:rsid w:val="00C42192"/>
    <w:rsid w:val="00C44BFD"/>
    <w:rsid w:val="00C5500C"/>
    <w:rsid w:val="00C66DE9"/>
    <w:rsid w:val="00C746C7"/>
    <w:rsid w:val="00C779A2"/>
    <w:rsid w:val="00C9156A"/>
    <w:rsid w:val="00C92165"/>
    <w:rsid w:val="00C946E9"/>
    <w:rsid w:val="00CA2E30"/>
    <w:rsid w:val="00CB06F7"/>
    <w:rsid w:val="00CC3E29"/>
    <w:rsid w:val="00CE1299"/>
    <w:rsid w:val="00D026D3"/>
    <w:rsid w:val="00D107F4"/>
    <w:rsid w:val="00D12391"/>
    <w:rsid w:val="00D31A4B"/>
    <w:rsid w:val="00D341FB"/>
    <w:rsid w:val="00D53E80"/>
    <w:rsid w:val="00D56D98"/>
    <w:rsid w:val="00D73493"/>
    <w:rsid w:val="00D75B17"/>
    <w:rsid w:val="00D80EC9"/>
    <w:rsid w:val="00D86128"/>
    <w:rsid w:val="00D90AAB"/>
    <w:rsid w:val="00D97973"/>
    <w:rsid w:val="00DB724A"/>
    <w:rsid w:val="00DC0205"/>
    <w:rsid w:val="00DC238A"/>
    <w:rsid w:val="00DC30F4"/>
    <w:rsid w:val="00DC7BD7"/>
    <w:rsid w:val="00DD7BC7"/>
    <w:rsid w:val="00E24F71"/>
    <w:rsid w:val="00E267D0"/>
    <w:rsid w:val="00E32FA3"/>
    <w:rsid w:val="00E42985"/>
    <w:rsid w:val="00E5344F"/>
    <w:rsid w:val="00E61B48"/>
    <w:rsid w:val="00E91F81"/>
    <w:rsid w:val="00E94EE0"/>
    <w:rsid w:val="00E96FF5"/>
    <w:rsid w:val="00EA2724"/>
    <w:rsid w:val="00EB3F6E"/>
    <w:rsid w:val="00EE5C1F"/>
    <w:rsid w:val="00EF0ED5"/>
    <w:rsid w:val="00EF77EA"/>
    <w:rsid w:val="00F034A3"/>
    <w:rsid w:val="00F21C10"/>
    <w:rsid w:val="00F259F8"/>
    <w:rsid w:val="00F26C26"/>
    <w:rsid w:val="00F271C0"/>
    <w:rsid w:val="00F320D6"/>
    <w:rsid w:val="00F575F7"/>
    <w:rsid w:val="00F636E9"/>
    <w:rsid w:val="00F65B11"/>
    <w:rsid w:val="00F66444"/>
    <w:rsid w:val="00F71F27"/>
    <w:rsid w:val="00F9619F"/>
    <w:rsid w:val="00F972EF"/>
    <w:rsid w:val="00FA4142"/>
    <w:rsid w:val="00FB554C"/>
    <w:rsid w:val="00FC1C2D"/>
    <w:rsid w:val="00FC327F"/>
    <w:rsid w:val="00FC371E"/>
    <w:rsid w:val="00FC5B6B"/>
    <w:rsid w:val="00FE3441"/>
    <w:rsid w:val="00FE7F54"/>
    <w:rsid w:val="00FF61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3AE2"/>
  <w15:chartTrackingRefBased/>
  <w15:docId w15:val="{7A3F719B-53BC-4339-BE41-7EEC28F4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A7C"/>
  </w:style>
  <w:style w:type="paragraph" w:styleId="Footer">
    <w:name w:val="footer"/>
    <w:basedOn w:val="Normal"/>
    <w:link w:val="FooterChar"/>
    <w:uiPriority w:val="99"/>
    <w:unhideWhenUsed/>
    <w:rsid w:val="007C4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A7C"/>
  </w:style>
  <w:style w:type="paragraph" w:styleId="FootnoteText">
    <w:name w:val="footnote text"/>
    <w:basedOn w:val="Normal"/>
    <w:link w:val="FootnoteTextChar"/>
    <w:uiPriority w:val="99"/>
    <w:semiHidden/>
    <w:unhideWhenUsed/>
    <w:rsid w:val="00664A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A9C"/>
    <w:rPr>
      <w:sz w:val="20"/>
      <w:szCs w:val="20"/>
    </w:rPr>
  </w:style>
  <w:style w:type="character" w:styleId="FootnoteReference">
    <w:name w:val="footnote reference"/>
    <w:basedOn w:val="DefaultParagraphFont"/>
    <w:uiPriority w:val="99"/>
    <w:semiHidden/>
    <w:unhideWhenUsed/>
    <w:rsid w:val="00664A9C"/>
    <w:rPr>
      <w:vertAlign w:val="superscript"/>
    </w:rPr>
  </w:style>
  <w:style w:type="paragraph" w:styleId="BalloonText">
    <w:name w:val="Balloon Text"/>
    <w:basedOn w:val="Normal"/>
    <w:link w:val="BalloonTextChar"/>
    <w:uiPriority w:val="99"/>
    <w:semiHidden/>
    <w:unhideWhenUsed/>
    <w:rsid w:val="00962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17"/>
    <w:rPr>
      <w:rFonts w:ascii="Segoe UI" w:hAnsi="Segoe UI" w:cs="Segoe UI"/>
      <w:sz w:val="18"/>
      <w:szCs w:val="18"/>
    </w:rPr>
  </w:style>
  <w:style w:type="character" w:styleId="Hyperlink">
    <w:name w:val="Hyperlink"/>
    <w:basedOn w:val="DefaultParagraphFont"/>
    <w:uiPriority w:val="99"/>
    <w:semiHidden/>
    <w:unhideWhenUsed/>
    <w:rsid w:val="00A62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6A49B-65AA-4415-B682-70785D86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6172</Words>
  <Characters>35186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Plasket</dc:creator>
  <cp:keywords/>
  <dc:description/>
  <cp:lastModifiedBy>Ayanda Mdletshe</cp:lastModifiedBy>
  <cp:revision>2</cp:revision>
  <cp:lastPrinted>2022-09-28T14:46:00Z</cp:lastPrinted>
  <dcterms:created xsi:type="dcterms:W3CDTF">2022-10-24T10:45:00Z</dcterms:created>
  <dcterms:modified xsi:type="dcterms:W3CDTF">2022-10-24T10:45:00Z</dcterms:modified>
</cp:coreProperties>
</file>