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8CFFE" w14:textId="77777777" w:rsidR="00017D10" w:rsidRPr="003238AC" w:rsidRDefault="00017D10" w:rsidP="00017D10">
      <w:pPr>
        <w:widowControl w:val="0"/>
        <w:autoSpaceDE w:val="0"/>
        <w:autoSpaceDN w:val="0"/>
        <w:adjustRightInd w:val="0"/>
        <w:spacing w:after="0" w:line="240" w:lineRule="auto"/>
        <w:rPr>
          <w:rFonts w:ascii="Arial" w:eastAsiaTheme="minorEastAsia" w:hAnsi="Arial" w:cs="Arial"/>
          <w:sz w:val="24"/>
          <w:szCs w:val="24"/>
          <w:lang w:eastAsia="en-ZA"/>
        </w:rPr>
      </w:pPr>
      <w:bookmarkStart w:id="0" w:name="_GoBack"/>
      <w:bookmarkEnd w:id="0"/>
      <w:r w:rsidRPr="003238AC">
        <w:rPr>
          <w:rFonts w:ascii="Arial" w:eastAsiaTheme="minorEastAsia" w:hAnsi="Arial" w:cs="Arial"/>
          <w:noProof/>
          <w:sz w:val="24"/>
          <w:szCs w:val="24"/>
          <w:lang w:eastAsia="en-ZA"/>
        </w:rPr>
        <w:drawing>
          <wp:anchor distT="0" distB="0" distL="114300" distR="114300" simplePos="0" relativeHeight="251659264" behindDoc="0" locked="0" layoutInCell="1" allowOverlap="1" wp14:anchorId="6731809F" wp14:editId="6ED75339">
            <wp:simplePos x="0" y="0"/>
            <wp:positionH relativeFrom="margin">
              <wp:align>center</wp:align>
            </wp:positionH>
            <wp:positionV relativeFrom="paragraph">
              <wp:posOffset>0</wp:posOffset>
            </wp:positionV>
            <wp:extent cx="876300" cy="914400"/>
            <wp:effectExtent l="0" t="0" r="0" b="0"/>
            <wp:wrapSquare wrapText="bothSides"/>
            <wp:docPr id="3"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004068" w14:textId="77777777" w:rsidR="00017D10" w:rsidRPr="003238AC" w:rsidRDefault="00017D10" w:rsidP="00017D10">
      <w:pPr>
        <w:widowControl w:val="0"/>
        <w:autoSpaceDE w:val="0"/>
        <w:autoSpaceDN w:val="0"/>
        <w:adjustRightInd w:val="0"/>
        <w:spacing w:after="0" w:line="240" w:lineRule="auto"/>
        <w:rPr>
          <w:rFonts w:ascii="Arial" w:eastAsiaTheme="minorEastAsia" w:hAnsi="Arial" w:cs="Arial"/>
          <w:sz w:val="24"/>
          <w:szCs w:val="24"/>
          <w:lang w:eastAsia="en-ZA"/>
        </w:rPr>
      </w:pPr>
    </w:p>
    <w:p w14:paraId="00B39673" w14:textId="77777777" w:rsidR="00017D10" w:rsidRPr="00453C03" w:rsidRDefault="00017D10" w:rsidP="00017D10">
      <w:pPr>
        <w:widowControl w:val="0"/>
        <w:autoSpaceDE w:val="0"/>
        <w:autoSpaceDN w:val="0"/>
        <w:adjustRightInd w:val="0"/>
        <w:spacing w:after="120" w:line="360" w:lineRule="auto"/>
        <w:rPr>
          <w:rFonts w:ascii="Arial" w:eastAsiaTheme="minorEastAsia" w:hAnsi="Arial" w:cs="Arial"/>
          <w:b/>
          <w:bCs/>
          <w:sz w:val="24"/>
          <w:szCs w:val="24"/>
          <w:lang w:eastAsia="en-ZA"/>
        </w:rPr>
      </w:pPr>
    </w:p>
    <w:p w14:paraId="049F63E4" w14:textId="77777777" w:rsidR="00017D10" w:rsidRPr="00453C03" w:rsidRDefault="00017D10" w:rsidP="00B07D16">
      <w:pPr>
        <w:widowControl w:val="0"/>
        <w:autoSpaceDE w:val="0"/>
        <w:autoSpaceDN w:val="0"/>
        <w:adjustRightInd w:val="0"/>
        <w:spacing w:after="100" w:afterAutospacing="1" w:line="360" w:lineRule="auto"/>
        <w:jc w:val="center"/>
        <w:rPr>
          <w:rFonts w:ascii="Arial" w:eastAsiaTheme="minorEastAsia" w:hAnsi="Arial" w:cs="Arial"/>
          <w:b/>
          <w:bCs/>
          <w:sz w:val="24"/>
          <w:szCs w:val="24"/>
          <w:lang w:eastAsia="en-ZA"/>
        </w:rPr>
      </w:pPr>
    </w:p>
    <w:p w14:paraId="71C7D873" w14:textId="77777777" w:rsidR="00017D10" w:rsidRPr="002B125A" w:rsidRDefault="00017D10" w:rsidP="00017D10">
      <w:pPr>
        <w:widowControl w:val="0"/>
        <w:autoSpaceDE w:val="0"/>
        <w:autoSpaceDN w:val="0"/>
        <w:adjustRightInd w:val="0"/>
        <w:spacing w:after="0" w:line="360" w:lineRule="auto"/>
        <w:jc w:val="center"/>
        <w:rPr>
          <w:rFonts w:ascii="Arial" w:eastAsiaTheme="minorEastAsia" w:hAnsi="Arial" w:cs="Arial"/>
          <w:b/>
          <w:bCs/>
          <w:sz w:val="24"/>
          <w:szCs w:val="24"/>
          <w:lang w:eastAsia="en-ZA"/>
        </w:rPr>
      </w:pPr>
      <w:r w:rsidRPr="002B125A">
        <w:rPr>
          <w:rFonts w:ascii="Arial" w:eastAsiaTheme="minorEastAsia" w:hAnsi="Arial" w:cs="Arial"/>
          <w:b/>
          <w:bCs/>
          <w:sz w:val="24"/>
          <w:szCs w:val="24"/>
          <w:lang w:eastAsia="en-ZA"/>
        </w:rPr>
        <w:t>THE SUPREME COURT OF APPEAL OF SOUTH AFRICA</w:t>
      </w:r>
    </w:p>
    <w:p w14:paraId="1AC7A913" w14:textId="77777777" w:rsidR="00017D10" w:rsidRPr="002B125A" w:rsidRDefault="00017D10" w:rsidP="00007007">
      <w:pPr>
        <w:widowControl w:val="0"/>
        <w:tabs>
          <w:tab w:val="left" w:pos="623"/>
          <w:tab w:val="center" w:pos="4513"/>
        </w:tabs>
        <w:autoSpaceDE w:val="0"/>
        <w:autoSpaceDN w:val="0"/>
        <w:adjustRightInd w:val="0"/>
        <w:spacing w:after="0" w:line="276" w:lineRule="auto"/>
        <w:jc w:val="center"/>
        <w:outlineLvl w:val="0"/>
        <w:rPr>
          <w:rFonts w:ascii="Arial" w:eastAsiaTheme="minorEastAsia" w:hAnsi="Arial" w:cs="Arial"/>
          <w:b/>
          <w:bCs/>
          <w:sz w:val="24"/>
          <w:szCs w:val="24"/>
          <w:lang w:eastAsia="en-ZA"/>
        </w:rPr>
      </w:pPr>
      <w:r w:rsidRPr="002B125A">
        <w:rPr>
          <w:rFonts w:ascii="Arial" w:eastAsiaTheme="minorEastAsia" w:hAnsi="Arial" w:cs="Arial"/>
          <w:b/>
          <w:bCs/>
          <w:sz w:val="24"/>
          <w:szCs w:val="24"/>
          <w:lang w:eastAsia="en-ZA"/>
        </w:rPr>
        <w:t>JUDGMENT</w:t>
      </w:r>
    </w:p>
    <w:p w14:paraId="78AE0AB3" w14:textId="3C5B8C81" w:rsidR="00017D10" w:rsidRPr="002B125A" w:rsidRDefault="00B07D16" w:rsidP="000253BC">
      <w:pPr>
        <w:widowControl w:val="0"/>
        <w:autoSpaceDE w:val="0"/>
        <w:autoSpaceDN w:val="0"/>
        <w:adjustRightInd w:val="0"/>
        <w:spacing w:after="0" w:line="240" w:lineRule="auto"/>
        <w:ind w:left="720" w:firstLine="720"/>
        <w:jc w:val="right"/>
        <w:outlineLvl w:val="0"/>
        <w:rPr>
          <w:rFonts w:ascii="Arial" w:eastAsiaTheme="minorEastAsia" w:hAnsi="Arial" w:cs="Arial"/>
          <w:b/>
          <w:bCs/>
          <w:sz w:val="24"/>
          <w:szCs w:val="24"/>
          <w:lang w:eastAsia="en-ZA"/>
        </w:rPr>
      </w:pPr>
      <w:r w:rsidRPr="002B125A">
        <w:rPr>
          <w:rFonts w:ascii="Arial" w:eastAsiaTheme="minorEastAsia" w:hAnsi="Arial" w:cs="Arial"/>
          <w:b/>
          <w:bCs/>
          <w:sz w:val="24"/>
          <w:szCs w:val="24"/>
          <w:lang w:eastAsia="en-ZA"/>
        </w:rPr>
        <w:t>Reportable</w:t>
      </w:r>
    </w:p>
    <w:p w14:paraId="47DD7C33" w14:textId="77777777" w:rsidR="00017D10" w:rsidRPr="002B125A" w:rsidRDefault="00017D10" w:rsidP="00017D10">
      <w:pPr>
        <w:autoSpaceDE w:val="0"/>
        <w:autoSpaceDN w:val="0"/>
        <w:adjustRightInd w:val="0"/>
        <w:spacing w:after="0" w:line="240" w:lineRule="auto"/>
        <w:rPr>
          <w:rFonts w:ascii="Arial" w:hAnsi="Arial" w:cs="Arial"/>
          <w:b/>
          <w:bCs/>
          <w:color w:val="0D0D0D"/>
          <w:sz w:val="24"/>
          <w:szCs w:val="24"/>
        </w:rPr>
      </w:pPr>
      <w:r w:rsidRPr="002B125A">
        <w:rPr>
          <w:rFonts w:ascii="Arial" w:hAnsi="Arial" w:cs="Arial"/>
          <w:color w:val="0D0D0D"/>
          <w:sz w:val="24"/>
          <w:szCs w:val="24"/>
        </w:rPr>
        <w:t xml:space="preserve">                                                                                                 </w:t>
      </w:r>
      <w:r w:rsidR="006C4B9B" w:rsidRPr="002B125A">
        <w:rPr>
          <w:rFonts w:ascii="Arial" w:hAnsi="Arial" w:cs="Arial"/>
          <w:color w:val="0D0D0D"/>
          <w:sz w:val="24"/>
          <w:szCs w:val="24"/>
        </w:rPr>
        <w:t xml:space="preserve">       </w:t>
      </w:r>
      <w:r w:rsidRPr="002B125A">
        <w:rPr>
          <w:rFonts w:ascii="Arial" w:hAnsi="Arial" w:cs="Arial"/>
          <w:color w:val="0D0D0D"/>
          <w:sz w:val="24"/>
          <w:szCs w:val="24"/>
        </w:rPr>
        <w:t xml:space="preserve">Case No: </w:t>
      </w:r>
      <w:r w:rsidRPr="002B125A">
        <w:rPr>
          <w:rFonts w:ascii="Arial" w:hAnsi="Arial" w:cs="Arial"/>
          <w:b/>
          <w:bCs/>
          <w:color w:val="0D0D0D"/>
          <w:sz w:val="24"/>
          <w:szCs w:val="24"/>
        </w:rPr>
        <w:t>972/2020</w:t>
      </w:r>
    </w:p>
    <w:p w14:paraId="163CF95C" w14:textId="77777777" w:rsidR="000253BC" w:rsidRDefault="000253BC" w:rsidP="00007007">
      <w:pPr>
        <w:autoSpaceDE w:val="0"/>
        <w:autoSpaceDN w:val="0"/>
        <w:adjustRightInd w:val="0"/>
        <w:spacing w:after="120" w:line="240" w:lineRule="auto"/>
        <w:rPr>
          <w:rFonts w:ascii="Arial" w:hAnsi="Arial" w:cs="Arial"/>
          <w:color w:val="0D0D0D"/>
          <w:sz w:val="24"/>
          <w:szCs w:val="24"/>
        </w:rPr>
      </w:pPr>
    </w:p>
    <w:p w14:paraId="16F27E15" w14:textId="77777777" w:rsidR="00017D10" w:rsidRPr="002B125A" w:rsidRDefault="00017D10" w:rsidP="00007007">
      <w:pPr>
        <w:autoSpaceDE w:val="0"/>
        <w:autoSpaceDN w:val="0"/>
        <w:adjustRightInd w:val="0"/>
        <w:spacing w:after="120" w:line="240" w:lineRule="auto"/>
        <w:rPr>
          <w:rFonts w:ascii="Arial" w:hAnsi="Arial" w:cs="Arial"/>
          <w:color w:val="0D0D0D"/>
          <w:sz w:val="24"/>
          <w:szCs w:val="24"/>
        </w:rPr>
      </w:pPr>
      <w:r w:rsidRPr="002B125A">
        <w:rPr>
          <w:rFonts w:ascii="Arial" w:hAnsi="Arial" w:cs="Arial"/>
          <w:color w:val="0D0D0D"/>
          <w:sz w:val="24"/>
          <w:szCs w:val="24"/>
        </w:rPr>
        <w:t xml:space="preserve">In </w:t>
      </w:r>
      <w:r w:rsidRPr="002B125A">
        <w:rPr>
          <w:rFonts w:ascii="Arial" w:hAnsi="Arial" w:cs="Arial"/>
          <w:color w:val="222222"/>
          <w:sz w:val="24"/>
          <w:szCs w:val="24"/>
        </w:rPr>
        <w:t xml:space="preserve">the </w:t>
      </w:r>
      <w:r w:rsidRPr="002B125A">
        <w:rPr>
          <w:rFonts w:ascii="Arial" w:hAnsi="Arial" w:cs="Arial"/>
          <w:color w:val="0D0D0D"/>
          <w:sz w:val="24"/>
          <w:szCs w:val="24"/>
        </w:rPr>
        <w:t>matter between:</w:t>
      </w:r>
    </w:p>
    <w:p w14:paraId="6FDB9F07" w14:textId="1480B47E" w:rsidR="00017D10" w:rsidRPr="002B125A" w:rsidRDefault="00017D10" w:rsidP="003238AC">
      <w:pPr>
        <w:autoSpaceDE w:val="0"/>
        <w:autoSpaceDN w:val="0"/>
        <w:adjustRightInd w:val="0"/>
        <w:spacing w:after="240" w:line="240" w:lineRule="auto"/>
        <w:rPr>
          <w:rFonts w:ascii="Arial" w:hAnsi="Arial" w:cs="Arial"/>
          <w:b/>
          <w:bCs/>
          <w:color w:val="0D0D0D"/>
          <w:sz w:val="24"/>
          <w:szCs w:val="24"/>
        </w:rPr>
      </w:pPr>
      <w:r w:rsidRPr="002B125A">
        <w:rPr>
          <w:rFonts w:ascii="Arial" w:hAnsi="Arial" w:cs="Arial"/>
          <w:b/>
          <w:bCs/>
          <w:color w:val="0D0D0D"/>
          <w:sz w:val="24"/>
          <w:szCs w:val="24"/>
        </w:rPr>
        <w:t>SAGADAVA NAIDOO</w:t>
      </w:r>
      <w:r w:rsidR="000253BC">
        <w:rPr>
          <w:rFonts w:ascii="Arial" w:hAnsi="Arial" w:cs="Arial"/>
          <w:b/>
          <w:bCs/>
          <w:color w:val="0D0D0D"/>
          <w:sz w:val="24"/>
          <w:szCs w:val="24"/>
        </w:rPr>
        <w:tab/>
      </w:r>
      <w:r w:rsidR="000253BC">
        <w:rPr>
          <w:rFonts w:ascii="Arial" w:hAnsi="Arial" w:cs="Arial"/>
          <w:b/>
          <w:bCs/>
          <w:color w:val="0D0D0D"/>
          <w:sz w:val="24"/>
          <w:szCs w:val="24"/>
        </w:rPr>
        <w:tab/>
      </w:r>
      <w:r w:rsidR="000253BC">
        <w:rPr>
          <w:rFonts w:ascii="Arial" w:hAnsi="Arial" w:cs="Arial"/>
          <w:b/>
          <w:bCs/>
          <w:color w:val="0D0D0D"/>
          <w:sz w:val="24"/>
          <w:szCs w:val="24"/>
        </w:rPr>
        <w:tab/>
      </w:r>
      <w:r w:rsidR="000253BC">
        <w:rPr>
          <w:rFonts w:ascii="Arial" w:hAnsi="Arial" w:cs="Arial"/>
          <w:b/>
          <w:bCs/>
          <w:color w:val="0D0D0D"/>
          <w:sz w:val="24"/>
          <w:szCs w:val="24"/>
        </w:rPr>
        <w:tab/>
      </w:r>
      <w:r w:rsidR="000253BC">
        <w:rPr>
          <w:rFonts w:ascii="Arial" w:hAnsi="Arial" w:cs="Arial"/>
          <w:b/>
          <w:bCs/>
          <w:color w:val="0D0D0D"/>
          <w:sz w:val="24"/>
          <w:szCs w:val="24"/>
        </w:rPr>
        <w:tab/>
      </w:r>
      <w:r w:rsidR="000253BC">
        <w:rPr>
          <w:rFonts w:ascii="Arial" w:hAnsi="Arial" w:cs="Arial"/>
          <w:b/>
          <w:bCs/>
          <w:color w:val="0D0D0D"/>
          <w:sz w:val="24"/>
          <w:szCs w:val="24"/>
        </w:rPr>
        <w:tab/>
        <w:t xml:space="preserve">     </w:t>
      </w:r>
      <w:r w:rsidR="00007007" w:rsidRPr="002B125A">
        <w:rPr>
          <w:rFonts w:ascii="Arial" w:hAnsi="Arial" w:cs="Arial"/>
          <w:b/>
          <w:bCs/>
          <w:color w:val="0D0D0D"/>
          <w:sz w:val="24"/>
          <w:szCs w:val="24"/>
        </w:rPr>
        <w:t>FIRST APPELLANT</w:t>
      </w:r>
    </w:p>
    <w:p w14:paraId="5770C09C" w14:textId="0D367BC0" w:rsidR="00017D10" w:rsidRPr="002B125A" w:rsidRDefault="00007007" w:rsidP="000253BC">
      <w:pPr>
        <w:autoSpaceDE w:val="0"/>
        <w:autoSpaceDN w:val="0"/>
        <w:adjustRightInd w:val="0"/>
        <w:spacing w:after="0" w:line="240" w:lineRule="auto"/>
        <w:rPr>
          <w:rFonts w:ascii="Arial" w:hAnsi="Arial" w:cs="Arial"/>
          <w:b/>
          <w:bCs/>
          <w:color w:val="0D0D0D"/>
          <w:sz w:val="24"/>
          <w:szCs w:val="24"/>
        </w:rPr>
      </w:pPr>
      <w:r w:rsidRPr="002B125A">
        <w:rPr>
          <w:rFonts w:ascii="Arial" w:hAnsi="Arial" w:cs="Arial"/>
          <w:b/>
          <w:bCs/>
          <w:color w:val="0D0D0D"/>
          <w:sz w:val="24"/>
          <w:szCs w:val="24"/>
        </w:rPr>
        <w:t>ODORA TRADING CC</w:t>
      </w:r>
      <w:r w:rsidR="000253BC">
        <w:rPr>
          <w:rFonts w:ascii="Arial" w:hAnsi="Arial" w:cs="Arial"/>
          <w:b/>
          <w:bCs/>
          <w:color w:val="0D0D0D"/>
          <w:sz w:val="24"/>
          <w:szCs w:val="24"/>
        </w:rPr>
        <w:tab/>
      </w:r>
      <w:r w:rsidR="000253BC">
        <w:rPr>
          <w:rFonts w:ascii="Arial" w:hAnsi="Arial" w:cs="Arial"/>
          <w:b/>
          <w:bCs/>
          <w:color w:val="0D0D0D"/>
          <w:sz w:val="24"/>
          <w:szCs w:val="24"/>
        </w:rPr>
        <w:tab/>
      </w:r>
      <w:r w:rsidR="000253BC">
        <w:rPr>
          <w:rFonts w:ascii="Arial" w:hAnsi="Arial" w:cs="Arial"/>
          <w:b/>
          <w:bCs/>
          <w:color w:val="0D0D0D"/>
          <w:sz w:val="24"/>
          <w:szCs w:val="24"/>
        </w:rPr>
        <w:tab/>
      </w:r>
      <w:r w:rsidR="000253BC">
        <w:rPr>
          <w:rFonts w:ascii="Arial" w:hAnsi="Arial" w:cs="Arial"/>
          <w:b/>
          <w:bCs/>
          <w:color w:val="0D0D0D"/>
          <w:sz w:val="24"/>
          <w:szCs w:val="24"/>
        </w:rPr>
        <w:tab/>
      </w:r>
      <w:r w:rsidR="000253BC">
        <w:rPr>
          <w:rFonts w:ascii="Arial" w:hAnsi="Arial" w:cs="Arial"/>
          <w:b/>
          <w:bCs/>
          <w:color w:val="0D0D0D"/>
          <w:sz w:val="24"/>
          <w:szCs w:val="24"/>
        </w:rPr>
        <w:tab/>
      </w:r>
      <w:r w:rsidR="000253BC">
        <w:rPr>
          <w:rFonts w:ascii="Arial" w:hAnsi="Arial" w:cs="Arial"/>
          <w:b/>
          <w:bCs/>
          <w:color w:val="0D0D0D"/>
          <w:sz w:val="24"/>
          <w:szCs w:val="24"/>
        </w:rPr>
        <w:tab/>
      </w:r>
      <w:r w:rsidRPr="002B125A">
        <w:rPr>
          <w:rFonts w:ascii="Arial" w:hAnsi="Arial" w:cs="Arial"/>
          <w:b/>
          <w:bCs/>
          <w:color w:val="0D0D0D"/>
          <w:sz w:val="24"/>
          <w:szCs w:val="24"/>
        </w:rPr>
        <w:t>SECOND APPELLANT</w:t>
      </w:r>
    </w:p>
    <w:p w14:paraId="7E3628F9" w14:textId="77777777" w:rsidR="000253BC" w:rsidRDefault="000253BC" w:rsidP="000253BC">
      <w:pPr>
        <w:autoSpaceDE w:val="0"/>
        <w:autoSpaceDN w:val="0"/>
        <w:adjustRightInd w:val="0"/>
        <w:spacing w:after="0" w:line="240" w:lineRule="auto"/>
        <w:rPr>
          <w:rFonts w:ascii="Arial" w:hAnsi="Arial" w:cs="Arial"/>
          <w:color w:val="0D0D0D"/>
          <w:sz w:val="24"/>
          <w:szCs w:val="24"/>
        </w:rPr>
      </w:pPr>
    </w:p>
    <w:p w14:paraId="1B99FE43" w14:textId="3C9CF558" w:rsidR="00017D10" w:rsidRDefault="000253BC" w:rsidP="000253BC">
      <w:pPr>
        <w:autoSpaceDE w:val="0"/>
        <w:autoSpaceDN w:val="0"/>
        <w:adjustRightInd w:val="0"/>
        <w:spacing w:after="0" w:line="240" w:lineRule="auto"/>
        <w:rPr>
          <w:rFonts w:ascii="Arial" w:hAnsi="Arial" w:cs="Arial"/>
          <w:color w:val="0D0D0D"/>
          <w:sz w:val="24"/>
          <w:szCs w:val="24"/>
        </w:rPr>
      </w:pPr>
      <w:r>
        <w:rPr>
          <w:rFonts w:ascii="Arial" w:hAnsi="Arial" w:cs="Arial"/>
          <w:color w:val="0D0D0D"/>
          <w:sz w:val="24"/>
          <w:szCs w:val="24"/>
        </w:rPr>
        <w:t>a</w:t>
      </w:r>
      <w:r w:rsidR="00017D10" w:rsidRPr="002B125A">
        <w:rPr>
          <w:rFonts w:ascii="Arial" w:hAnsi="Arial" w:cs="Arial"/>
          <w:color w:val="0D0D0D"/>
          <w:sz w:val="24"/>
          <w:szCs w:val="24"/>
        </w:rPr>
        <w:t>nd</w:t>
      </w:r>
    </w:p>
    <w:p w14:paraId="7ECEC972" w14:textId="77777777" w:rsidR="000253BC" w:rsidRPr="002B125A" w:rsidRDefault="000253BC" w:rsidP="000253BC">
      <w:pPr>
        <w:autoSpaceDE w:val="0"/>
        <w:autoSpaceDN w:val="0"/>
        <w:adjustRightInd w:val="0"/>
        <w:spacing w:after="0" w:line="240" w:lineRule="auto"/>
        <w:rPr>
          <w:rFonts w:ascii="Arial" w:hAnsi="Arial" w:cs="Arial"/>
          <w:color w:val="0D0D0D"/>
          <w:sz w:val="24"/>
          <w:szCs w:val="24"/>
        </w:rPr>
      </w:pPr>
    </w:p>
    <w:p w14:paraId="7DBBFECB" w14:textId="77777777" w:rsidR="00017D10" w:rsidRPr="002B125A" w:rsidRDefault="00017D10" w:rsidP="003238AC">
      <w:pPr>
        <w:autoSpaceDE w:val="0"/>
        <w:autoSpaceDN w:val="0"/>
        <w:adjustRightInd w:val="0"/>
        <w:spacing w:after="120" w:line="360" w:lineRule="auto"/>
        <w:rPr>
          <w:rFonts w:ascii="Arial" w:hAnsi="Arial" w:cs="Arial"/>
          <w:b/>
          <w:bCs/>
          <w:color w:val="0D0D0D"/>
          <w:sz w:val="24"/>
          <w:szCs w:val="24"/>
        </w:rPr>
      </w:pPr>
      <w:r w:rsidRPr="002B125A">
        <w:rPr>
          <w:rFonts w:ascii="Arial" w:hAnsi="Arial" w:cs="Arial"/>
          <w:b/>
          <w:bCs/>
          <w:color w:val="0D0D0D"/>
          <w:sz w:val="24"/>
          <w:szCs w:val="24"/>
        </w:rPr>
        <w:t xml:space="preserve">THE DUBE TRADEPORT CORPORATION     </w:t>
      </w:r>
      <w:r w:rsidR="00453C03" w:rsidRPr="002B125A">
        <w:rPr>
          <w:rFonts w:ascii="Arial" w:hAnsi="Arial" w:cs="Arial"/>
          <w:b/>
          <w:bCs/>
          <w:color w:val="0D0D0D"/>
          <w:sz w:val="24"/>
          <w:szCs w:val="24"/>
        </w:rPr>
        <w:t xml:space="preserve">                   </w:t>
      </w:r>
      <w:r w:rsidRPr="002B125A">
        <w:rPr>
          <w:rFonts w:ascii="Arial" w:hAnsi="Arial" w:cs="Arial"/>
          <w:b/>
          <w:bCs/>
          <w:color w:val="0D0D0D"/>
          <w:sz w:val="24"/>
          <w:szCs w:val="24"/>
        </w:rPr>
        <w:t xml:space="preserve">     </w:t>
      </w:r>
      <w:r w:rsidR="00007007" w:rsidRPr="002B125A">
        <w:rPr>
          <w:rFonts w:ascii="Arial" w:hAnsi="Arial" w:cs="Arial"/>
          <w:b/>
          <w:bCs/>
          <w:color w:val="0D0D0D"/>
          <w:sz w:val="24"/>
          <w:szCs w:val="24"/>
        </w:rPr>
        <w:t>FIRST RESPONDENT</w:t>
      </w:r>
    </w:p>
    <w:p w14:paraId="302AA344" w14:textId="77777777" w:rsidR="00017D10" w:rsidRPr="002B125A" w:rsidRDefault="00007007" w:rsidP="003238AC">
      <w:pPr>
        <w:autoSpaceDE w:val="0"/>
        <w:autoSpaceDN w:val="0"/>
        <w:adjustRightInd w:val="0"/>
        <w:spacing w:after="120" w:line="360" w:lineRule="auto"/>
        <w:rPr>
          <w:rFonts w:ascii="Arial" w:hAnsi="Arial" w:cs="Arial"/>
          <w:b/>
          <w:bCs/>
          <w:color w:val="0D0D0D"/>
          <w:sz w:val="24"/>
          <w:szCs w:val="24"/>
        </w:rPr>
      </w:pPr>
      <w:r w:rsidRPr="002B125A">
        <w:rPr>
          <w:rFonts w:ascii="Arial" w:hAnsi="Arial" w:cs="Arial"/>
          <w:b/>
          <w:bCs/>
          <w:color w:val="0D0D0D"/>
          <w:sz w:val="24"/>
          <w:szCs w:val="24"/>
        </w:rPr>
        <w:t xml:space="preserve">SIVARAJ NAIDOO                                                 </w:t>
      </w:r>
      <w:r w:rsidR="00453C03" w:rsidRPr="002B125A">
        <w:rPr>
          <w:rFonts w:ascii="Arial" w:hAnsi="Arial" w:cs="Arial"/>
          <w:b/>
          <w:bCs/>
          <w:color w:val="0D0D0D"/>
          <w:sz w:val="24"/>
          <w:szCs w:val="24"/>
        </w:rPr>
        <w:t xml:space="preserve">             </w:t>
      </w:r>
      <w:r w:rsidRPr="002B125A">
        <w:rPr>
          <w:rFonts w:ascii="Arial" w:hAnsi="Arial" w:cs="Arial"/>
          <w:b/>
          <w:bCs/>
          <w:color w:val="0D0D0D"/>
          <w:sz w:val="24"/>
          <w:szCs w:val="24"/>
        </w:rPr>
        <w:t>SECOND RESPONDENT</w:t>
      </w:r>
    </w:p>
    <w:p w14:paraId="6EC6225F" w14:textId="77777777" w:rsidR="00017D10" w:rsidRDefault="00007007" w:rsidP="00B12358">
      <w:pPr>
        <w:autoSpaceDE w:val="0"/>
        <w:autoSpaceDN w:val="0"/>
        <w:adjustRightInd w:val="0"/>
        <w:spacing w:after="0" w:line="240" w:lineRule="auto"/>
        <w:rPr>
          <w:rFonts w:ascii="Arial" w:hAnsi="Arial" w:cs="Arial"/>
          <w:b/>
          <w:bCs/>
          <w:color w:val="0D0D0D"/>
          <w:sz w:val="24"/>
          <w:szCs w:val="24"/>
        </w:rPr>
      </w:pPr>
      <w:r w:rsidRPr="002B125A">
        <w:rPr>
          <w:rFonts w:ascii="Arial" w:hAnsi="Arial" w:cs="Arial"/>
          <w:b/>
          <w:bCs/>
          <w:color w:val="0D0D0D"/>
          <w:sz w:val="24"/>
          <w:szCs w:val="24"/>
        </w:rPr>
        <w:t xml:space="preserve">THE REGISTRAR OF DEEDS                                 </w:t>
      </w:r>
      <w:r w:rsidR="00453C03" w:rsidRPr="002B125A">
        <w:rPr>
          <w:rFonts w:ascii="Arial" w:hAnsi="Arial" w:cs="Arial"/>
          <w:b/>
          <w:bCs/>
          <w:color w:val="0D0D0D"/>
          <w:sz w:val="24"/>
          <w:szCs w:val="24"/>
        </w:rPr>
        <w:t xml:space="preserve">                </w:t>
      </w:r>
      <w:r w:rsidRPr="002B125A">
        <w:rPr>
          <w:rFonts w:ascii="Arial" w:hAnsi="Arial" w:cs="Arial"/>
          <w:b/>
          <w:bCs/>
          <w:color w:val="0D0D0D"/>
          <w:sz w:val="24"/>
          <w:szCs w:val="24"/>
        </w:rPr>
        <w:t>THIRD RESPONDENT</w:t>
      </w:r>
    </w:p>
    <w:p w14:paraId="3F203943" w14:textId="29FF3E39" w:rsidR="00B12358" w:rsidRPr="002B125A" w:rsidRDefault="00B12358" w:rsidP="00B12358">
      <w:pPr>
        <w:autoSpaceDE w:val="0"/>
        <w:autoSpaceDN w:val="0"/>
        <w:adjustRightInd w:val="0"/>
        <w:spacing w:after="0" w:line="360" w:lineRule="auto"/>
        <w:rPr>
          <w:rFonts w:ascii="Arial" w:hAnsi="Arial" w:cs="Arial"/>
          <w:b/>
          <w:bCs/>
          <w:color w:val="0D0D0D"/>
          <w:sz w:val="24"/>
          <w:szCs w:val="24"/>
        </w:rPr>
      </w:pPr>
      <w:r>
        <w:rPr>
          <w:rFonts w:ascii="Arial" w:hAnsi="Arial" w:cs="Arial"/>
          <w:b/>
          <w:bCs/>
          <w:color w:val="0D0D0D"/>
          <w:sz w:val="24"/>
          <w:szCs w:val="24"/>
        </w:rPr>
        <w:t>PIETERMARITZBURG</w:t>
      </w:r>
    </w:p>
    <w:p w14:paraId="422178F8" w14:textId="2B8D45B1" w:rsidR="00017D10" w:rsidRPr="002B125A" w:rsidRDefault="00017D10" w:rsidP="003238AC">
      <w:pPr>
        <w:widowControl w:val="0"/>
        <w:autoSpaceDE w:val="0"/>
        <w:autoSpaceDN w:val="0"/>
        <w:adjustRightInd w:val="0"/>
        <w:spacing w:after="100" w:afterAutospacing="1" w:line="276" w:lineRule="auto"/>
        <w:ind w:right="113"/>
        <w:jc w:val="both"/>
        <w:rPr>
          <w:rFonts w:ascii="Arial" w:eastAsiaTheme="minorEastAsia" w:hAnsi="Arial" w:cs="Arial"/>
          <w:b/>
          <w:sz w:val="24"/>
          <w:szCs w:val="24"/>
          <w:lang w:eastAsia="en-ZA"/>
        </w:rPr>
      </w:pPr>
      <w:r w:rsidRPr="002B125A">
        <w:rPr>
          <w:rFonts w:ascii="Arial" w:eastAsiaTheme="minorEastAsia" w:hAnsi="Arial" w:cs="Arial"/>
          <w:b/>
          <w:sz w:val="24"/>
          <w:szCs w:val="24"/>
          <w:lang w:eastAsia="en-ZA"/>
        </w:rPr>
        <w:t>Neutral citation:</w:t>
      </w:r>
      <w:r w:rsidRPr="002B125A">
        <w:rPr>
          <w:rFonts w:ascii="Arial" w:eastAsiaTheme="minorEastAsia" w:hAnsi="Arial" w:cs="Arial"/>
          <w:bCs/>
          <w:sz w:val="24"/>
          <w:szCs w:val="24"/>
          <w:lang w:eastAsia="en-ZA"/>
        </w:rPr>
        <w:t xml:space="preserve"> </w:t>
      </w:r>
      <w:r w:rsidRPr="002B125A">
        <w:rPr>
          <w:rFonts w:ascii="Arial" w:hAnsi="Arial" w:cs="Arial"/>
          <w:i/>
          <w:iCs/>
          <w:color w:val="0D0D0D"/>
          <w:sz w:val="24"/>
          <w:szCs w:val="24"/>
        </w:rPr>
        <w:t>Naidoo and Another v The Dube Tradeport Corporation</w:t>
      </w:r>
      <w:r w:rsidRPr="002B125A">
        <w:rPr>
          <w:rFonts w:ascii="Arial" w:eastAsiaTheme="minorEastAsia" w:hAnsi="Arial" w:cs="Arial"/>
          <w:i/>
          <w:iCs/>
          <w:sz w:val="24"/>
          <w:szCs w:val="24"/>
          <w:lang w:eastAsia="en-ZA"/>
        </w:rPr>
        <w:t xml:space="preserve"> and Others</w:t>
      </w:r>
      <w:r w:rsidRPr="002B125A">
        <w:rPr>
          <w:rFonts w:ascii="Arial" w:eastAsiaTheme="minorEastAsia" w:hAnsi="Arial" w:cs="Arial"/>
          <w:bCs/>
          <w:sz w:val="24"/>
          <w:szCs w:val="24"/>
          <w:lang w:eastAsia="en-ZA"/>
        </w:rPr>
        <w:t xml:space="preserve"> (Case no 972/2020) [202</w:t>
      </w:r>
      <w:r w:rsidR="00343FE3">
        <w:rPr>
          <w:rFonts w:ascii="Arial" w:eastAsiaTheme="minorEastAsia" w:hAnsi="Arial" w:cs="Arial"/>
          <w:bCs/>
          <w:sz w:val="24"/>
          <w:szCs w:val="24"/>
          <w:lang w:eastAsia="en-ZA"/>
        </w:rPr>
        <w:t>2</w:t>
      </w:r>
      <w:r w:rsidRPr="002B125A">
        <w:rPr>
          <w:rFonts w:ascii="Arial" w:eastAsiaTheme="minorEastAsia" w:hAnsi="Arial" w:cs="Arial"/>
          <w:bCs/>
          <w:sz w:val="24"/>
          <w:szCs w:val="24"/>
          <w:lang w:eastAsia="en-ZA"/>
        </w:rPr>
        <w:t xml:space="preserve">] ZASCA </w:t>
      </w:r>
      <w:r w:rsidR="00343FE3">
        <w:rPr>
          <w:rFonts w:ascii="Arial" w:eastAsiaTheme="minorEastAsia" w:hAnsi="Arial" w:cs="Arial"/>
          <w:bCs/>
          <w:sz w:val="24"/>
          <w:szCs w:val="24"/>
          <w:lang w:eastAsia="en-ZA"/>
        </w:rPr>
        <w:t xml:space="preserve">14 </w:t>
      </w:r>
      <w:r w:rsidRPr="002B125A">
        <w:rPr>
          <w:rFonts w:ascii="Arial" w:eastAsiaTheme="minorEastAsia" w:hAnsi="Arial" w:cs="Arial"/>
          <w:bCs/>
          <w:sz w:val="24"/>
          <w:szCs w:val="24"/>
          <w:lang w:eastAsia="en-ZA"/>
        </w:rPr>
        <w:t>(</w:t>
      </w:r>
      <w:r w:rsidR="00343FE3">
        <w:rPr>
          <w:rFonts w:ascii="Arial" w:eastAsiaTheme="minorEastAsia" w:hAnsi="Arial" w:cs="Arial"/>
          <w:bCs/>
          <w:sz w:val="24"/>
          <w:szCs w:val="24"/>
          <w:lang w:eastAsia="en-ZA"/>
        </w:rPr>
        <w:t>2</w:t>
      </w:r>
      <w:r w:rsidR="00414329">
        <w:rPr>
          <w:rFonts w:ascii="Arial" w:eastAsiaTheme="minorEastAsia" w:hAnsi="Arial" w:cs="Arial"/>
          <w:bCs/>
          <w:sz w:val="24"/>
          <w:szCs w:val="24"/>
          <w:lang w:eastAsia="en-ZA"/>
        </w:rPr>
        <w:t>7</w:t>
      </w:r>
      <w:r w:rsidR="00343FE3">
        <w:rPr>
          <w:rFonts w:ascii="Arial" w:eastAsiaTheme="minorEastAsia" w:hAnsi="Arial" w:cs="Arial"/>
          <w:bCs/>
          <w:sz w:val="24"/>
          <w:szCs w:val="24"/>
          <w:lang w:eastAsia="en-ZA"/>
        </w:rPr>
        <w:t xml:space="preserve"> </w:t>
      </w:r>
      <w:r w:rsidRPr="002B125A">
        <w:rPr>
          <w:rFonts w:ascii="Arial" w:eastAsiaTheme="minorEastAsia" w:hAnsi="Arial" w:cs="Arial"/>
          <w:bCs/>
          <w:sz w:val="24"/>
          <w:szCs w:val="24"/>
          <w:lang w:eastAsia="en-ZA"/>
        </w:rPr>
        <w:t xml:space="preserve">January 2022) </w:t>
      </w:r>
    </w:p>
    <w:p w14:paraId="192A8FA6" w14:textId="77777777" w:rsidR="00017D10" w:rsidRPr="002B125A" w:rsidRDefault="00017D10" w:rsidP="003238AC">
      <w:pPr>
        <w:widowControl w:val="0"/>
        <w:autoSpaceDE w:val="0"/>
        <w:autoSpaceDN w:val="0"/>
        <w:adjustRightInd w:val="0"/>
        <w:spacing w:after="240" w:line="240" w:lineRule="auto"/>
        <w:ind w:left="1440" w:hanging="1440"/>
        <w:jc w:val="both"/>
        <w:rPr>
          <w:rFonts w:ascii="Arial" w:eastAsiaTheme="minorEastAsia" w:hAnsi="Arial" w:cs="Arial"/>
          <w:sz w:val="24"/>
          <w:szCs w:val="24"/>
          <w:lang w:eastAsia="en-ZA"/>
        </w:rPr>
      </w:pPr>
      <w:r w:rsidRPr="002B125A">
        <w:rPr>
          <w:rFonts w:ascii="Arial" w:eastAsiaTheme="minorEastAsia" w:hAnsi="Arial" w:cs="Arial"/>
          <w:b/>
          <w:sz w:val="24"/>
          <w:szCs w:val="24"/>
          <w:lang w:eastAsia="en-ZA"/>
        </w:rPr>
        <w:t>Coram:</w:t>
      </w:r>
      <w:r w:rsidRPr="002B125A">
        <w:rPr>
          <w:rFonts w:ascii="Arial" w:eastAsiaTheme="minorEastAsia" w:hAnsi="Arial" w:cs="Arial"/>
          <w:b/>
          <w:sz w:val="24"/>
          <w:szCs w:val="24"/>
          <w:lang w:eastAsia="en-ZA"/>
        </w:rPr>
        <w:tab/>
      </w:r>
      <w:bookmarkStart w:id="1" w:name="_Hlk64406736"/>
      <w:r w:rsidRPr="002B125A">
        <w:rPr>
          <w:rFonts w:ascii="Arial" w:eastAsiaTheme="minorEastAsia" w:hAnsi="Arial" w:cs="Arial"/>
          <w:sz w:val="24"/>
          <w:szCs w:val="24"/>
          <w:lang w:eastAsia="en-ZA"/>
        </w:rPr>
        <w:t xml:space="preserve">MOCUMIE, MAKGOKA, </w:t>
      </w:r>
      <w:r w:rsidRPr="002B125A">
        <w:rPr>
          <w:rFonts w:ascii="Arial" w:hAnsi="Arial" w:cs="Arial"/>
          <w:sz w:val="24"/>
          <w:szCs w:val="24"/>
        </w:rPr>
        <w:t>MOTHLE,</w:t>
      </w:r>
      <w:r w:rsidRPr="002B125A">
        <w:rPr>
          <w:rFonts w:ascii="Arial" w:eastAsiaTheme="minorEastAsia" w:hAnsi="Arial" w:cs="Arial"/>
          <w:sz w:val="24"/>
          <w:szCs w:val="24"/>
          <w:lang w:eastAsia="en-ZA"/>
        </w:rPr>
        <w:t xml:space="preserve"> </w:t>
      </w:r>
      <w:r w:rsidRPr="002B125A">
        <w:rPr>
          <w:rFonts w:ascii="Arial" w:hAnsi="Arial" w:cs="Arial"/>
          <w:sz w:val="24"/>
          <w:szCs w:val="24"/>
        </w:rPr>
        <w:t>MABINDLA-BOQWANA JJA</w:t>
      </w:r>
      <w:r w:rsidRPr="002B125A">
        <w:rPr>
          <w:rFonts w:ascii="Arial" w:eastAsiaTheme="minorEastAsia" w:hAnsi="Arial" w:cs="Arial"/>
          <w:sz w:val="24"/>
          <w:szCs w:val="24"/>
          <w:lang w:eastAsia="en-ZA"/>
        </w:rPr>
        <w:t xml:space="preserve"> and </w:t>
      </w:r>
      <w:r w:rsidRPr="002B125A">
        <w:rPr>
          <w:rFonts w:ascii="Arial" w:hAnsi="Arial" w:cs="Arial"/>
          <w:sz w:val="24"/>
          <w:szCs w:val="24"/>
        </w:rPr>
        <w:t>WEINER AJA</w:t>
      </w:r>
      <w:r w:rsidRPr="002B125A">
        <w:rPr>
          <w:rFonts w:ascii="Arial" w:eastAsiaTheme="minorEastAsia" w:hAnsi="Arial" w:cs="Arial"/>
          <w:sz w:val="24"/>
          <w:szCs w:val="24"/>
          <w:lang w:eastAsia="en-ZA"/>
        </w:rPr>
        <w:t xml:space="preserve"> </w:t>
      </w:r>
    </w:p>
    <w:bookmarkEnd w:id="1"/>
    <w:p w14:paraId="10D586B5" w14:textId="77777777" w:rsidR="00017D10" w:rsidRPr="002B125A" w:rsidRDefault="00017D10" w:rsidP="00017D10">
      <w:pPr>
        <w:widowControl w:val="0"/>
        <w:tabs>
          <w:tab w:val="left" w:pos="720"/>
          <w:tab w:val="left" w:pos="1440"/>
          <w:tab w:val="left" w:pos="2160"/>
          <w:tab w:val="left" w:pos="2880"/>
          <w:tab w:val="left" w:pos="3600"/>
          <w:tab w:val="left" w:pos="7628"/>
        </w:tabs>
        <w:autoSpaceDE w:val="0"/>
        <w:autoSpaceDN w:val="0"/>
        <w:adjustRightInd w:val="0"/>
        <w:spacing w:before="100" w:beforeAutospacing="1" w:after="120" w:line="360" w:lineRule="auto"/>
        <w:jc w:val="both"/>
        <w:outlineLvl w:val="0"/>
        <w:rPr>
          <w:rFonts w:ascii="Arial" w:eastAsiaTheme="minorEastAsia" w:hAnsi="Arial" w:cs="Arial"/>
          <w:sz w:val="24"/>
          <w:szCs w:val="24"/>
          <w:lang w:eastAsia="en-ZA"/>
        </w:rPr>
      </w:pPr>
      <w:r w:rsidRPr="002B125A">
        <w:rPr>
          <w:rFonts w:ascii="Arial" w:eastAsiaTheme="minorEastAsia" w:hAnsi="Arial" w:cs="Arial"/>
          <w:b/>
          <w:sz w:val="24"/>
          <w:szCs w:val="24"/>
          <w:lang w:eastAsia="en-ZA"/>
        </w:rPr>
        <w:t>Heard:</w:t>
      </w:r>
      <w:r w:rsidRPr="002B125A">
        <w:rPr>
          <w:rFonts w:ascii="Arial" w:eastAsiaTheme="minorEastAsia" w:hAnsi="Arial" w:cs="Arial"/>
          <w:sz w:val="24"/>
          <w:szCs w:val="24"/>
          <w:lang w:eastAsia="en-ZA"/>
        </w:rPr>
        <w:tab/>
        <w:t>25 NOVEMBER 2021</w:t>
      </w:r>
    </w:p>
    <w:p w14:paraId="6A9D9875" w14:textId="48B5ECAC" w:rsidR="00017D10" w:rsidRPr="002B125A" w:rsidRDefault="00017D10" w:rsidP="00453C03">
      <w:pPr>
        <w:widowControl w:val="0"/>
        <w:autoSpaceDE w:val="0"/>
        <w:autoSpaceDN w:val="0"/>
        <w:adjustRightInd w:val="0"/>
        <w:spacing w:after="240" w:line="360" w:lineRule="auto"/>
        <w:jc w:val="both"/>
        <w:outlineLvl w:val="0"/>
        <w:rPr>
          <w:rFonts w:ascii="Arial" w:eastAsiaTheme="minorEastAsia" w:hAnsi="Arial" w:cs="Arial"/>
          <w:sz w:val="24"/>
          <w:szCs w:val="24"/>
          <w:lang w:eastAsia="en-ZA"/>
        </w:rPr>
      </w:pPr>
      <w:r w:rsidRPr="002B125A">
        <w:rPr>
          <w:rFonts w:ascii="Arial" w:eastAsiaTheme="minorEastAsia" w:hAnsi="Arial" w:cs="Arial"/>
          <w:b/>
          <w:sz w:val="24"/>
          <w:szCs w:val="24"/>
          <w:lang w:eastAsia="en-ZA"/>
        </w:rPr>
        <w:t>Delivered:</w:t>
      </w:r>
      <w:r w:rsidRPr="002B125A">
        <w:rPr>
          <w:rFonts w:ascii="Arial" w:eastAsiaTheme="minorEastAsia" w:hAnsi="Arial" w:cs="Arial"/>
          <w:b/>
          <w:sz w:val="24"/>
          <w:szCs w:val="24"/>
          <w:lang w:eastAsia="en-ZA"/>
        </w:rPr>
        <w:tab/>
      </w:r>
      <w:r w:rsidRPr="002B125A">
        <w:rPr>
          <w:rFonts w:ascii="Arial" w:eastAsiaTheme="minorEastAsia" w:hAnsi="Arial" w:cs="Arial"/>
          <w:sz w:val="24"/>
          <w:szCs w:val="24"/>
          <w:lang w:eastAsia="en-ZA"/>
        </w:rPr>
        <w:t xml:space="preserve">This judgment was handed down electronically by circulation to the parties’ representatives by email, publication on the Supreme Court of Appeal website and release to SAFLII. The time and date for hand down is deemed to be 10h00 on the </w:t>
      </w:r>
      <w:r w:rsidR="00343FE3">
        <w:rPr>
          <w:rFonts w:ascii="Arial" w:eastAsiaTheme="minorEastAsia" w:hAnsi="Arial" w:cs="Arial"/>
          <w:sz w:val="24"/>
          <w:szCs w:val="24"/>
          <w:lang w:eastAsia="en-ZA"/>
        </w:rPr>
        <w:t>2</w:t>
      </w:r>
      <w:r w:rsidR="00414329">
        <w:rPr>
          <w:rFonts w:ascii="Arial" w:eastAsiaTheme="minorEastAsia" w:hAnsi="Arial" w:cs="Arial"/>
          <w:sz w:val="24"/>
          <w:szCs w:val="24"/>
          <w:lang w:eastAsia="en-ZA"/>
        </w:rPr>
        <w:t>7</w:t>
      </w:r>
      <w:r w:rsidR="00343FE3" w:rsidRPr="00343FE3">
        <w:rPr>
          <w:rFonts w:ascii="Arial" w:eastAsiaTheme="minorEastAsia" w:hAnsi="Arial" w:cs="Arial"/>
          <w:sz w:val="24"/>
          <w:szCs w:val="24"/>
          <w:vertAlign w:val="superscript"/>
          <w:lang w:eastAsia="en-ZA"/>
        </w:rPr>
        <w:t>th</w:t>
      </w:r>
      <w:r w:rsidRPr="002B125A">
        <w:rPr>
          <w:rFonts w:ascii="Arial" w:eastAsiaTheme="minorEastAsia" w:hAnsi="Arial" w:cs="Arial"/>
          <w:sz w:val="24"/>
          <w:szCs w:val="24"/>
          <w:lang w:eastAsia="en-ZA"/>
        </w:rPr>
        <w:t xml:space="preserve"> day of January 2022.</w:t>
      </w:r>
    </w:p>
    <w:p w14:paraId="3AEE9E04" w14:textId="77777777" w:rsidR="00B94E28" w:rsidRPr="002B125A" w:rsidRDefault="00017D10" w:rsidP="00E861A2">
      <w:pPr>
        <w:widowControl w:val="0"/>
        <w:autoSpaceDE w:val="0"/>
        <w:autoSpaceDN w:val="0"/>
        <w:adjustRightInd w:val="0"/>
        <w:spacing w:after="0" w:line="360" w:lineRule="auto"/>
        <w:contextualSpacing/>
        <w:jc w:val="both"/>
        <w:rPr>
          <w:rFonts w:ascii="Arial" w:eastAsiaTheme="minorEastAsia" w:hAnsi="Arial" w:cs="Arial"/>
          <w:bCs/>
          <w:sz w:val="24"/>
          <w:szCs w:val="24"/>
          <w:lang w:eastAsia="en-ZA"/>
        </w:rPr>
      </w:pPr>
      <w:r w:rsidRPr="002B125A">
        <w:rPr>
          <w:rFonts w:ascii="Arial" w:eastAsiaTheme="minorEastAsia" w:hAnsi="Arial" w:cs="Arial"/>
          <w:b/>
          <w:sz w:val="24"/>
          <w:szCs w:val="24"/>
          <w:lang w:eastAsia="en-ZA"/>
        </w:rPr>
        <w:t xml:space="preserve">Summary: </w:t>
      </w:r>
      <w:r w:rsidR="00EF31AD" w:rsidRPr="002B125A">
        <w:rPr>
          <w:rFonts w:ascii="Arial" w:eastAsiaTheme="minorEastAsia" w:hAnsi="Arial" w:cs="Arial"/>
          <w:bCs/>
          <w:sz w:val="24"/>
          <w:szCs w:val="24"/>
          <w:lang w:eastAsia="en-ZA"/>
        </w:rPr>
        <w:t xml:space="preserve">Civil procedure – </w:t>
      </w:r>
      <w:r w:rsidR="00B94E28" w:rsidRPr="002B125A">
        <w:rPr>
          <w:rFonts w:ascii="Arial" w:eastAsiaTheme="minorEastAsia" w:hAnsi="Arial" w:cs="Arial"/>
          <w:bCs/>
          <w:sz w:val="24"/>
          <w:szCs w:val="24"/>
          <w:lang w:eastAsia="en-ZA"/>
        </w:rPr>
        <w:t>E</w:t>
      </w:r>
      <w:r w:rsidRPr="002B125A">
        <w:rPr>
          <w:rFonts w:ascii="Arial" w:eastAsiaTheme="minorEastAsia" w:hAnsi="Arial" w:cs="Arial"/>
          <w:bCs/>
          <w:sz w:val="24"/>
          <w:szCs w:val="24"/>
          <w:lang w:eastAsia="en-ZA"/>
        </w:rPr>
        <w:t>xception</w:t>
      </w:r>
      <w:r w:rsidR="00927600" w:rsidRPr="002B125A">
        <w:rPr>
          <w:rFonts w:ascii="Arial" w:eastAsiaTheme="minorEastAsia" w:hAnsi="Arial" w:cs="Arial"/>
          <w:bCs/>
          <w:sz w:val="24"/>
          <w:szCs w:val="24"/>
          <w:lang w:eastAsia="en-ZA"/>
        </w:rPr>
        <w:t xml:space="preserve"> proceedings</w:t>
      </w:r>
      <w:r w:rsidRPr="002B125A">
        <w:rPr>
          <w:rFonts w:ascii="Arial" w:eastAsiaTheme="minorEastAsia" w:hAnsi="Arial" w:cs="Arial"/>
          <w:bCs/>
          <w:sz w:val="24"/>
          <w:szCs w:val="24"/>
          <w:lang w:eastAsia="en-ZA"/>
        </w:rPr>
        <w:t xml:space="preserve"> – </w:t>
      </w:r>
      <w:r w:rsidR="00B94E28" w:rsidRPr="002B125A">
        <w:rPr>
          <w:rFonts w:ascii="Arial" w:eastAsiaTheme="minorEastAsia" w:hAnsi="Arial" w:cs="Arial"/>
          <w:bCs/>
          <w:sz w:val="24"/>
          <w:szCs w:val="24"/>
          <w:lang w:eastAsia="en-ZA"/>
        </w:rPr>
        <w:t>proper approach restated.</w:t>
      </w:r>
    </w:p>
    <w:p w14:paraId="72C75337" w14:textId="63D0687A" w:rsidR="00B12358" w:rsidRDefault="00926F1C" w:rsidP="00B12358">
      <w:pPr>
        <w:widowControl w:val="0"/>
        <w:autoSpaceDE w:val="0"/>
        <w:autoSpaceDN w:val="0"/>
        <w:adjustRightInd w:val="0"/>
        <w:spacing w:after="0" w:line="360" w:lineRule="auto"/>
        <w:contextualSpacing/>
        <w:jc w:val="both"/>
        <w:rPr>
          <w:rFonts w:ascii="Arial" w:eastAsiaTheme="minorEastAsia" w:hAnsi="Arial" w:cs="Arial"/>
          <w:bCs/>
          <w:sz w:val="24"/>
          <w:szCs w:val="24"/>
          <w:lang w:eastAsia="en-ZA"/>
        </w:rPr>
      </w:pPr>
      <w:r w:rsidRPr="002B125A">
        <w:rPr>
          <w:rFonts w:ascii="Arial" w:eastAsiaTheme="minorEastAsia" w:hAnsi="Arial" w:cs="Arial"/>
          <w:bCs/>
          <w:sz w:val="24"/>
          <w:szCs w:val="24"/>
          <w:lang w:eastAsia="en-ZA"/>
        </w:rPr>
        <w:t>Close Corporation</w:t>
      </w:r>
      <w:r w:rsidR="00B94E28" w:rsidRPr="002B125A">
        <w:rPr>
          <w:rFonts w:ascii="Arial" w:eastAsiaTheme="minorEastAsia" w:hAnsi="Arial" w:cs="Arial"/>
          <w:bCs/>
          <w:sz w:val="24"/>
          <w:szCs w:val="24"/>
          <w:lang w:eastAsia="en-ZA"/>
        </w:rPr>
        <w:t>s</w:t>
      </w:r>
      <w:r w:rsidRPr="002B125A">
        <w:rPr>
          <w:rFonts w:ascii="Arial" w:eastAsiaTheme="minorEastAsia" w:hAnsi="Arial" w:cs="Arial"/>
          <w:bCs/>
          <w:sz w:val="24"/>
          <w:szCs w:val="24"/>
          <w:lang w:eastAsia="en-ZA"/>
        </w:rPr>
        <w:t xml:space="preserve"> – </w:t>
      </w:r>
      <w:r w:rsidR="00B94E28" w:rsidRPr="002B125A">
        <w:rPr>
          <w:rFonts w:ascii="Arial" w:eastAsiaTheme="minorEastAsia" w:hAnsi="Arial" w:cs="Arial"/>
          <w:bCs/>
          <w:sz w:val="24"/>
          <w:szCs w:val="24"/>
          <w:lang w:eastAsia="en-ZA"/>
        </w:rPr>
        <w:t>common law derivative action –</w:t>
      </w:r>
      <w:r w:rsidR="002F02B7" w:rsidRPr="002B125A">
        <w:rPr>
          <w:rFonts w:ascii="Arial" w:eastAsiaTheme="minorEastAsia" w:hAnsi="Arial" w:cs="Arial"/>
          <w:bCs/>
          <w:sz w:val="24"/>
          <w:szCs w:val="24"/>
          <w:lang w:eastAsia="en-ZA"/>
        </w:rPr>
        <w:t xml:space="preserve"> </w:t>
      </w:r>
      <w:r w:rsidR="00B94E28" w:rsidRPr="002B125A">
        <w:rPr>
          <w:rFonts w:ascii="Arial" w:eastAsiaTheme="minorEastAsia" w:hAnsi="Arial" w:cs="Arial"/>
          <w:bCs/>
          <w:sz w:val="24"/>
          <w:szCs w:val="24"/>
          <w:lang w:eastAsia="en-ZA"/>
        </w:rPr>
        <w:t>whether available in respect of close corporations</w:t>
      </w:r>
      <w:r w:rsidR="00D76D16" w:rsidRPr="002B125A">
        <w:rPr>
          <w:rFonts w:ascii="Arial" w:eastAsiaTheme="minorEastAsia" w:hAnsi="Arial" w:cs="Arial"/>
          <w:bCs/>
          <w:sz w:val="24"/>
          <w:szCs w:val="24"/>
          <w:lang w:eastAsia="en-ZA"/>
        </w:rPr>
        <w:t xml:space="preserve"> – w</w:t>
      </w:r>
      <w:r w:rsidR="00B94E28" w:rsidRPr="002B125A">
        <w:rPr>
          <w:rFonts w:ascii="Arial" w:eastAsiaTheme="minorEastAsia" w:hAnsi="Arial" w:cs="Arial"/>
          <w:bCs/>
          <w:sz w:val="24"/>
          <w:szCs w:val="24"/>
          <w:lang w:eastAsia="en-ZA"/>
        </w:rPr>
        <w:t xml:space="preserve">hether </w:t>
      </w:r>
      <w:r w:rsidRPr="002B125A">
        <w:rPr>
          <w:rFonts w:ascii="Arial" w:eastAsiaTheme="minorEastAsia" w:hAnsi="Arial" w:cs="Arial"/>
          <w:bCs/>
          <w:sz w:val="24"/>
          <w:szCs w:val="24"/>
          <w:lang w:eastAsia="en-ZA"/>
        </w:rPr>
        <w:t xml:space="preserve">an alleged beneficial owner of member’s interest </w:t>
      </w:r>
      <w:r w:rsidR="00D76D16" w:rsidRPr="002B125A">
        <w:rPr>
          <w:rFonts w:ascii="Arial" w:eastAsiaTheme="minorEastAsia" w:hAnsi="Arial" w:cs="Arial"/>
          <w:bCs/>
          <w:sz w:val="24"/>
          <w:szCs w:val="24"/>
          <w:lang w:eastAsia="en-ZA"/>
        </w:rPr>
        <w:t xml:space="preserve">in a </w:t>
      </w:r>
      <w:r w:rsidR="00017D10" w:rsidRPr="002B125A">
        <w:rPr>
          <w:rFonts w:ascii="Arial" w:eastAsiaTheme="minorEastAsia" w:hAnsi="Arial" w:cs="Arial"/>
          <w:bCs/>
          <w:sz w:val="24"/>
          <w:szCs w:val="24"/>
          <w:lang w:eastAsia="en-ZA"/>
        </w:rPr>
        <w:t>close corporation</w:t>
      </w:r>
      <w:r w:rsidR="007C2A0D" w:rsidRPr="002B125A">
        <w:rPr>
          <w:rFonts w:ascii="Arial" w:eastAsiaTheme="minorEastAsia" w:hAnsi="Arial" w:cs="Arial"/>
          <w:bCs/>
          <w:sz w:val="24"/>
          <w:szCs w:val="24"/>
          <w:lang w:eastAsia="en-ZA"/>
        </w:rPr>
        <w:t xml:space="preserve"> </w:t>
      </w:r>
      <w:r w:rsidR="00B94E28" w:rsidRPr="002B125A">
        <w:rPr>
          <w:rFonts w:ascii="Arial" w:eastAsiaTheme="minorEastAsia" w:hAnsi="Arial" w:cs="Arial"/>
          <w:bCs/>
          <w:sz w:val="24"/>
          <w:szCs w:val="24"/>
          <w:lang w:eastAsia="en-ZA"/>
        </w:rPr>
        <w:t xml:space="preserve">can invoke </w:t>
      </w:r>
      <w:r w:rsidR="00D76D16" w:rsidRPr="002B125A">
        <w:rPr>
          <w:rFonts w:ascii="Arial" w:eastAsiaTheme="minorEastAsia" w:hAnsi="Arial" w:cs="Arial"/>
          <w:bCs/>
          <w:sz w:val="24"/>
          <w:szCs w:val="24"/>
          <w:lang w:eastAsia="en-ZA"/>
        </w:rPr>
        <w:t>derivative</w:t>
      </w:r>
      <w:r w:rsidR="00B94E28" w:rsidRPr="002B125A">
        <w:rPr>
          <w:rFonts w:ascii="Arial" w:eastAsiaTheme="minorEastAsia" w:hAnsi="Arial" w:cs="Arial"/>
          <w:bCs/>
          <w:sz w:val="24"/>
          <w:szCs w:val="24"/>
          <w:lang w:eastAsia="en-ZA"/>
        </w:rPr>
        <w:t xml:space="preserve"> action on behalf of close corporation.</w:t>
      </w:r>
      <w:r w:rsidR="00D76D16" w:rsidRPr="002B125A">
        <w:rPr>
          <w:rFonts w:ascii="Arial" w:eastAsiaTheme="minorEastAsia" w:hAnsi="Arial" w:cs="Arial"/>
          <w:bCs/>
          <w:sz w:val="24"/>
          <w:szCs w:val="24"/>
          <w:lang w:eastAsia="en-ZA"/>
        </w:rPr>
        <w:t xml:space="preserve"> Section 54 of Close Corporations Act 69 of 1984</w:t>
      </w:r>
      <w:r w:rsidR="002F02B7" w:rsidRPr="002B125A">
        <w:rPr>
          <w:rFonts w:ascii="Arial" w:eastAsiaTheme="minorEastAsia" w:hAnsi="Arial" w:cs="Arial"/>
          <w:bCs/>
          <w:sz w:val="24"/>
          <w:szCs w:val="24"/>
          <w:lang w:eastAsia="en-ZA"/>
        </w:rPr>
        <w:t xml:space="preserve"> – third party’s reliance thereon must be bona fide and innocent.</w:t>
      </w:r>
      <w:r w:rsidR="00B12358">
        <w:rPr>
          <w:rFonts w:ascii="Arial" w:eastAsiaTheme="minorEastAsia" w:hAnsi="Arial" w:cs="Arial"/>
          <w:bCs/>
          <w:sz w:val="24"/>
          <w:szCs w:val="24"/>
          <w:lang w:eastAsia="en-ZA"/>
        </w:rPr>
        <w:br w:type="page"/>
      </w:r>
    </w:p>
    <w:p w14:paraId="1D891AAC" w14:textId="77777777" w:rsidR="00017D10" w:rsidRPr="002B125A" w:rsidRDefault="00017D10" w:rsidP="00017D10">
      <w:pPr>
        <w:widowControl w:val="0"/>
        <w:autoSpaceDE w:val="0"/>
        <w:autoSpaceDN w:val="0"/>
        <w:adjustRightInd w:val="0"/>
        <w:spacing w:after="120" w:line="360" w:lineRule="auto"/>
        <w:jc w:val="both"/>
        <w:rPr>
          <w:rFonts w:ascii="Arial" w:eastAsiaTheme="minorEastAsia" w:hAnsi="Arial" w:cs="Arial"/>
          <w:sz w:val="24"/>
          <w:szCs w:val="24"/>
          <w:lang w:eastAsia="en-ZA"/>
        </w:rPr>
      </w:pPr>
      <w:r w:rsidRPr="002B125A">
        <w:rPr>
          <w:rFonts w:ascii="Arial" w:eastAsiaTheme="minorEastAsia" w:hAnsi="Arial" w:cs="Arial"/>
          <w:sz w:val="24"/>
          <w:szCs w:val="24"/>
          <w:lang w:eastAsia="en-ZA"/>
        </w:rPr>
        <w:lastRenderedPageBreak/>
        <w:t>________________________________________________________________</w:t>
      </w:r>
      <w:r w:rsidR="005E0AC9" w:rsidRPr="002B125A">
        <w:rPr>
          <w:rFonts w:ascii="Arial" w:eastAsiaTheme="minorEastAsia" w:hAnsi="Arial" w:cs="Arial"/>
          <w:sz w:val="24"/>
          <w:szCs w:val="24"/>
          <w:lang w:eastAsia="en-ZA"/>
        </w:rPr>
        <w:t>___</w:t>
      </w:r>
    </w:p>
    <w:p w14:paraId="2FD102D1" w14:textId="77777777" w:rsidR="00017D10" w:rsidRPr="002B125A" w:rsidRDefault="00017D10" w:rsidP="00017D10">
      <w:pPr>
        <w:widowControl w:val="0"/>
        <w:autoSpaceDE w:val="0"/>
        <w:autoSpaceDN w:val="0"/>
        <w:adjustRightInd w:val="0"/>
        <w:spacing w:after="0" w:line="360" w:lineRule="auto"/>
        <w:jc w:val="center"/>
        <w:rPr>
          <w:rFonts w:ascii="Arial" w:eastAsiaTheme="minorEastAsia" w:hAnsi="Arial" w:cs="Arial"/>
          <w:b/>
          <w:sz w:val="24"/>
          <w:szCs w:val="24"/>
          <w:lang w:eastAsia="en-ZA"/>
        </w:rPr>
      </w:pPr>
      <w:r w:rsidRPr="002B125A">
        <w:rPr>
          <w:rFonts w:ascii="Arial" w:eastAsiaTheme="minorEastAsia" w:hAnsi="Arial" w:cs="Arial"/>
          <w:b/>
          <w:sz w:val="24"/>
          <w:szCs w:val="24"/>
          <w:lang w:eastAsia="en-ZA"/>
        </w:rPr>
        <w:t>ORDER</w:t>
      </w:r>
    </w:p>
    <w:p w14:paraId="0065C699" w14:textId="77777777" w:rsidR="00017D10" w:rsidRPr="002B125A" w:rsidRDefault="00017D10" w:rsidP="00017D10">
      <w:pPr>
        <w:widowControl w:val="0"/>
        <w:autoSpaceDE w:val="0"/>
        <w:autoSpaceDN w:val="0"/>
        <w:adjustRightInd w:val="0"/>
        <w:spacing w:after="360" w:line="360" w:lineRule="auto"/>
        <w:jc w:val="both"/>
        <w:rPr>
          <w:rFonts w:ascii="Arial" w:eastAsiaTheme="minorEastAsia" w:hAnsi="Arial" w:cs="Arial"/>
          <w:sz w:val="24"/>
          <w:szCs w:val="24"/>
          <w:lang w:eastAsia="en-ZA"/>
        </w:rPr>
      </w:pPr>
      <w:r w:rsidRPr="002B125A">
        <w:rPr>
          <w:rFonts w:ascii="Arial" w:eastAsiaTheme="minorEastAsia" w:hAnsi="Arial" w:cs="Arial"/>
          <w:sz w:val="24"/>
          <w:szCs w:val="24"/>
          <w:lang w:eastAsia="en-ZA"/>
        </w:rPr>
        <w:t>________________________________________________________________</w:t>
      </w:r>
      <w:r w:rsidR="005E0AC9" w:rsidRPr="002B125A">
        <w:rPr>
          <w:rFonts w:ascii="Arial" w:eastAsiaTheme="minorEastAsia" w:hAnsi="Arial" w:cs="Arial"/>
          <w:sz w:val="24"/>
          <w:szCs w:val="24"/>
          <w:lang w:eastAsia="en-ZA"/>
        </w:rPr>
        <w:t>___</w:t>
      </w:r>
    </w:p>
    <w:p w14:paraId="5B8097AC" w14:textId="77777777" w:rsidR="00017D10" w:rsidRPr="002B125A" w:rsidRDefault="00017D10" w:rsidP="00017D10">
      <w:pPr>
        <w:widowControl w:val="0"/>
        <w:autoSpaceDE w:val="0"/>
        <w:autoSpaceDN w:val="0"/>
        <w:adjustRightInd w:val="0"/>
        <w:spacing w:after="0" w:line="360" w:lineRule="auto"/>
        <w:jc w:val="both"/>
        <w:rPr>
          <w:rFonts w:ascii="Arial" w:eastAsiaTheme="minorEastAsia" w:hAnsi="Arial" w:cs="Arial"/>
          <w:sz w:val="24"/>
          <w:szCs w:val="24"/>
          <w:lang w:eastAsia="en-ZA"/>
        </w:rPr>
      </w:pPr>
      <w:r w:rsidRPr="002B125A">
        <w:rPr>
          <w:rFonts w:ascii="Arial" w:eastAsiaTheme="minorEastAsia" w:hAnsi="Arial" w:cs="Arial"/>
          <w:sz w:val="24"/>
          <w:szCs w:val="24"/>
          <w:lang w:eastAsia="en-ZA"/>
        </w:rPr>
        <w:t xml:space="preserve">On appeal from: </w:t>
      </w:r>
      <w:bookmarkStart w:id="2" w:name="_Hlk92393248"/>
      <w:r w:rsidRPr="002B125A">
        <w:rPr>
          <w:rFonts w:ascii="Arial" w:hAnsi="Arial" w:cs="Arial"/>
          <w:color w:val="0D0D0D"/>
          <w:sz w:val="24"/>
          <w:szCs w:val="24"/>
        </w:rPr>
        <w:t xml:space="preserve">KwaZulu-Natal Division </w:t>
      </w:r>
      <w:r w:rsidRPr="002B125A">
        <w:rPr>
          <w:rFonts w:ascii="Arial" w:eastAsiaTheme="minorEastAsia" w:hAnsi="Arial" w:cs="Arial"/>
          <w:sz w:val="24"/>
          <w:szCs w:val="24"/>
          <w:lang w:eastAsia="en-ZA"/>
        </w:rPr>
        <w:t xml:space="preserve">of the High Court, </w:t>
      </w:r>
      <w:r w:rsidRPr="002B125A">
        <w:rPr>
          <w:rFonts w:ascii="Arial" w:hAnsi="Arial" w:cs="Arial"/>
          <w:color w:val="0D0D0D"/>
          <w:sz w:val="24"/>
          <w:szCs w:val="24"/>
        </w:rPr>
        <w:t>Durban</w:t>
      </w:r>
      <w:r w:rsidRPr="002B125A">
        <w:rPr>
          <w:rFonts w:ascii="Arial" w:eastAsiaTheme="minorEastAsia" w:hAnsi="Arial" w:cs="Arial"/>
          <w:sz w:val="24"/>
          <w:szCs w:val="24"/>
          <w:lang w:eastAsia="en-ZA"/>
        </w:rPr>
        <w:t xml:space="preserve"> </w:t>
      </w:r>
      <w:bookmarkEnd w:id="2"/>
      <w:r w:rsidRPr="002B125A">
        <w:rPr>
          <w:rFonts w:ascii="Arial" w:eastAsiaTheme="minorEastAsia" w:hAnsi="Arial" w:cs="Arial"/>
          <w:sz w:val="24"/>
          <w:szCs w:val="24"/>
          <w:lang w:eastAsia="en-ZA"/>
        </w:rPr>
        <w:t>(Lopes J sitting as court of first instance):</w:t>
      </w:r>
    </w:p>
    <w:p w14:paraId="6F47953F" w14:textId="77777777" w:rsidR="00017D10" w:rsidRPr="002B125A" w:rsidRDefault="00017D10" w:rsidP="00B07D16">
      <w:pPr>
        <w:pStyle w:val="ListParagraph"/>
        <w:widowControl w:val="0"/>
        <w:numPr>
          <w:ilvl w:val="0"/>
          <w:numId w:val="2"/>
        </w:numPr>
        <w:autoSpaceDE w:val="0"/>
        <w:autoSpaceDN w:val="0"/>
        <w:adjustRightInd w:val="0"/>
        <w:spacing w:after="0" w:line="360" w:lineRule="auto"/>
        <w:ind w:left="420" w:right="170"/>
        <w:jc w:val="both"/>
        <w:rPr>
          <w:rFonts w:ascii="Arial" w:eastAsiaTheme="minorEastAsia" w:hAnsi="Arial" w:cs="Arial"/>
          <w:sz w:val="24"/>
          <w:szCs w:val="24"/>
          <w:lang w:eastAsia="en-ZA"/>
        </w:rPr>
      </w:pPr>
      <w:bookmarkStart w:id="3" w:name="_Hlk74359997"/>
      <w:r w:rsidRPr="002B125A">
        <w:rPr>
          <w:rFonts w:ascii="Arial" w:eastAsiaTheme="minorEastAsia" w:hAnsi="Arial" w:cs="Arial"/>
          <w:sz w:val="24"/>
          <w:szCs w:val="24"/>
          <w:lang w:eastAsia="en-ZA"/>
        </w:rPr>
        <w:t>The appeal is</w:t>
      </w:r>
      <w:bookmarkStart w:id="4" w:name="_Hlk67186368"/>
      <w:bookmarkStart w:id="5" w:name="_Hlk58083911"/>
      <w:r w:rsidRPr="002B125A">
        <w:rPr>
          <w:rFonts w:ascii="Arial" w:eastAsiaTheme="minorEastAsia" w:hAnsi="Arial" w:cs="Arial"/>
          <w:sz w:val="24"/>
          <w:szCs w:val="24"/>
          <w:lang w:eastAsia="en-ZA"/>
        </w:rPr>
        <w:t xml:space="preserve"> </w:t>
      </w:r>
      <w:r w:rsidR="00B07D16" w:rsidRPr="002B125A">
        <w:rPr>
          <w:rFonts w:ascii="Arial" w:eastAsiaTheme="minorEastAsia" w:hAnsi="Arial" w:cs="Arial"/>
          <w:sz w:val="24"/>
          <w:szCs w:val="24"/>
          <w:lang w:eastAsia="en-ZA"/>
        </w:rPr>
        <w:t>upheld with costs</w:t>
      </w:r>
      <w:r w:rsidR="00BA73C5" w:rsidRPr="002B125A">
        <w:rPr>
          <w:rFonts w:ascii="Arial" w:eastAsiaTheme="minorEastAsia" w:hAnsi="Arial" w:cs="Arial"/>
          <w:sz w:val="24"/>
          <w:szCs w:val="24"/>
          <w:lang w:eastAsia="en-ZA"/>
        </w:rPr>
        <w:t>.</w:t>
      </w:r>
    </w:p>
    <w:p w14:paraId="28359277" w14:textId="77777777" w:rsidR="00B07D16" w:rsidRPr="002B125A" w:rsidRDefault="00B07D16" w:rsidP="00B07D16">
      <w:pPr>
        <w:pStyle w:val="ListParagraph"/>
        <w:widowControl w:val="0"/>
        <w:numPr>
          <w:ilvl w:val="0"/>
          <w:numId w:val="2"/>
        </w:numPr>
        <w:autoSpaceDE w:val="0"/>
        <w:autoSpaceDN w:val="0"/>
        <w:adjustRightInd w:val="0"/>
        <w:spacing w:after="0" w:line="360" w:lineRule="auto"/>
        <w:ind w:left="420" w:right="170"/>
        <w:jc w:val="both"/>
        <w:rPr>
          <w:rFonts w:ascii="Arial" w:eastAsiaTheme="minorEastAsia" w:hAnsi="Arial" w:cs="Arial"/>
          <w:sz w:val="24"/>
          <w:szCs w:val="24"/>
          <w:lang w:eastAsia="en-ZA"/>
        </w:rPr>
      </w:pPr>
      <w:r w:rsidRPr="002B125A">
        <w:rPr>
          <w:rFonts w:ascii="Arial" w:eastAsiaTheme="minorEastAsia" w:hAnsi="Arial" w:cs="Arial"/>
          <w:sz w:val="24"/>
          <w:szCs w:val="24"/>
          <w:lang w:eastAsia="en-ZA"/>
        </w:rPr>
        <w:t>The order of the high court is set aside and substituted with the following:</w:t>
      </w:r>
    </w:p>
    <w:p w14:paraId="2A40AD62" w14:textId="5502410C" w:rsidR="00B07D16" w:rsidRPr="002B125A" w:rsidRDefault="00B07D16" w:rsidP="00B07D16">
      <w:pPr>
        <w:pStyle w:val="ListParagraph"/>
        <w:widowControl w:val="0"/>
        <w:autoSpaceDE w:val="0"/>
        <w:autoSpaceDN w:val="0"/>
        <w:adjustRightInd w:val="0"/>
        <w:spacing w:after="0" w:line="360" w:lineRule="auto"/>
        <w:ind w:left="0" w:right="170"/>
        <w:jc w:val="both"/>
        <w:rPr>
          <w:rFonts w:ascii="Arial" w:eastAsiaTheme="minorEastAsia" w:hAnsi="Arial" w:cs="Arial"/>
          <w:sz w:val="24"/>
          <w:szCs w:val="24"/>
          <w:lang w:eastAsia="en-ZA"/>
        </w:rPr>
      </w:pPr>
      <w:r w:rsidRPr="002B125A">
        <w:rPr>
          <w:rFonts w:ascii="Arial" w:eastAsiaTheme="minorEastAsia" w:hAnsi="Arial" w:cs="Arial"/>
          <w:sz w:val="24"/>
          <w:szCs w:val="24"/>
          <w:lang w:eastAsia="en-ZA"/>
        </w:rPr>
        <w:t>‘1 The exception is dismissed with costs’</w:t>
      </w:r>
      <w:r w:rsidR="007B4BF5">
        <w:rPr>
          <w:rFonts w:ascii="Arial" w:eastAsiaTheme="minorEastAsia" w:hAnsi="Arial" w:cs="Arial"/>
          <w:sz w:val="24"/>
          <w:szCs w:val="24"/>
          <w:lang w:eastAsia="en-ZA"/>
        </w:rPr>
        <w:t>.</w:t>
      </w:r>
    </w:p>
    <w:bookmarkEnd w:id="3"/>
    <w:bookmarkEnd w:id="4"/>
    <w:bookmarkEnd w:id="5"/>
    <w:p w14:paraId="0E484D64" w14:textId="77777777" w:rsidR="00017D10" w:rsidRPr="002B125A" w:rsidRDefault="00017D10" w:rsidP="00017D10">
      <w:pPr>
        <w:widowControl w:val="0"/>
        <w:autoSpaceDE w:val="0"/>
        <w:autoSpaceDN w:val="0"/>
        <w:adjustRightInd w:val="0"/>
        <w:spacing w:after="120" w:line="360" w:lineRule="auto"/>
        <w:jc w:val="both"/>
        <w:rPr>
          <w:rFonts w:ascii="Arial" w:eastAsiaTheme="minorEastAsia" w:hAnsi="Arial" w:cs="Arial"/>
          <w:b/>
          <w:sz w:val="24"/>
          <w:szCs w:val="24"/>
          <w:lang w:eastAsia="en-ZA"/>
        </w:rPr>
      </w:pPr>
      <w:r w:rsidRPr="002B125A">
        <w:rPr>
          <w:rFonts w:ascii="Arial" w:eastAsiaTheme="minorEastAsia" w:hAnsi="Arial" w:cs="Arial"/>
          <w:sz w:val="24"/>
          <w:szCs w:val="24"/>
          <w:lang w:eastAsia="en-ZA"/>
        </w:rPr>
        <w:t>________________________________________________________________</w:t>
      </w:r>
      <w:r w:rsidR="005E0AC9" w:rsidRPr="002B125A">
        <w:rPr>
          <w:rFonts w:ascii="Arial" w:eastAsiaTheme="minorEastAsia" w:hAnsi="Arial" w:cs="Arial"/>
          <w:sz w:val="24"/>
          <w:szCs w:val="24"/>
          <w:lang w:eastAsia="en-ZA"/>
        </w:rPr>
        <w:t>___</w:t>
      </w:r>
    </w:p>
    <w:p w14:paraId="06CD9F11" w14:textId="77777777" w:rsidR="00017D10" w:rsidRPr="002B125A" w:rsidRDefault="00017D10" w:rsidP="00017D10">
      <w:pPr>
        <w:widowControl w:val="0"/>
        <w:autoSpaceDE w:val="0"/>
        <w:autoSpaceDN w:val="0"/>
        <w:adjustRightInd w:val="0"/>
        <w:spacing w:after="0" w:line="360" w:lineRule="auto"/>
        <w:jc w:val="center"/>
        <w:rPr>
          <w:rFonts w:ascii="Arial" w:eastAsiaTheme="minorEastAsia" w:hAnsi="Arial" w:cs="Arial"/>
          <w:b/>
          <w:sz w:val="24"/>
          <w:szCs w:val="24"/>
          <w:lang w:eastAsia="en-ZA"/>
        </w:rPr>
      </w:pPr>
      <w:r w:rsidRPr="002B125A">
        <w:rPr>
          <w:rFonts w:ascii="Arial" w:eastAsiaTheme="minorEastAsia" w:hAnsi="Arial" w:cs="Arial"/>
          <w:b/>
          <w:sz w:val="24"/>
          <w:szCs w:val="24"/>
          <w:lang w:eastAsia="en-ZA"/>
        </w:rPr>
        <w:t>JUDGMENT</w:t>
      </w:r>
    </w:p>
    <w:p w14:paraId="195C0953" w14:textId="77777777" w:rsidR="00017D10" w:rsidRPr="002B125A" w:rsidRDefault="00017D10" w:rsidP="00017D10">
      <w:pPr>
        <w:widowControl w:val="0"/>
        <w:autoSpaceDE w:val="0"/>
        <w:autoSpaceDN w:val="0"/>
        <w:adjustRightInd w:val="0"/>
        <w:spacing w:after="240" w:line="360" w:lineRule="auto"/>
        <w:jc w:val="both"/>
        <w:rPr>
          <w:rFonts w:ascii="Arial" w:eastAsiaTheme="minorEastAsia" w:hAnsi="Arial" w:cs="Arial"/>
          <w:sz w:val="24"/>
          <w:szCs w:val="24"/>
          <w:lang w:eastAsia="en-ZA"/>
        </w:rPr>
      </w:pPr>
      <w:r w:rsidRPr="002B125A">
        <w:rPr>
          <w:rFonts w:ascii="Arial" w:eastAsiaTheme="minorEastAsia" w:hAnsi="Arial" w:cs="Arial"/>
          <w:sz w:val="24"/>
          <w:szCs w:val="24"/>
          <w:lang w:eastAsia="en-ZA"/>
        </w:rPr>
        <w:t>________________________________________________________________</w:t>
      </w:r>
      <w:r w:rsidR="005E0AC9" w:rsidRPr="002B125A">
        <w:rPr>
          <w:rFonts w:ascii="Arial" w:eastAsiaTheme="minorEastAsia" w:hAnsi="Arial" w:cs="Arial"/>
          <w:sz w:val="24"/>
          <w:szCs w:val="24"/>
          <w:lang w:eastAsia="en-ZA"/>
        </w:rPr>
        <w:t>___</w:t>
      </w:r>
    </w:p>
    <w:p w14:paraId="15A9A603" w14:textId="22C82E26" w:rsidR="00855FDF" w:rsidRPr="002B125A" w:rsidRDefault="00017D10" w:rsidP="00855FDF">
      <w:pPr>
        <w:widowControl w:val="0"/>
        <w:autoSpaceDE w:val="0"/>
        <w:autoSpaceDN w:val="0"/>
        <w:adjustRightInd w:val="0"/>
        <w:spacing w:after="120" w:line="240" w:lineRule="auto"/>
        <w:ind w:left="1440" w:hanging="1440"/>
        <w:jc w:val="both"/>
        <w:rPr>
          <w:rFonts w:ascii="Arial" w:eastAsiaTheme="minorEastAsia" w:hAnsi="Arial" w:cs="Arial"/>
          <w:sz w:val="24"/>
          <w:szCs w:val="24"/>
          <w:lang w:eastAsia="en-ZA"/>
        </w:rPr>
      </w:pPr>
      <w:bookmarkStart w:id="6" w:name="_Hlk58083624"/>
      <w:r w:rsidRPr="002B125A">
        <w:rPr>
          <w:rFonts w:ascii="Arial" w:eastAsiaTheme="minorEastAsia" w:hAnsi="Arial" w:cs="Arial"/>
          <w:b/>
          <w:sz w:val="24"/>
          <w:szCs w:val="24"/>
          <w:lang w:eastAsia="en-ZA"/>
        </w:rPr>
        <w:t>Makgoka JA</w:t>
      </w:r>
      <w:bookmarkEnd w:id="6"/>
      <w:r w:rsidRPr="002B125A">
        <w:rPr>
          <w:rFonts w:ascii="Arial" w:eastAsiaTheme="minorEastAsia" w:hAnsi="Arial" w:cs="Arial"/>
          <w:b/>
          <w:sz w:val="24"/>
          <w:szCs w:val="24"/>
          <w:lang w:eastAsia="en-ZA"/>
        </w:rPr>
        <w:t xml:space="preserve"> (</w:t>
      </w:r>
      <w:r w:rsidR="00855FDF" w:rsidRPr="00855FDF">
        <w:rPr>
          <w:rFonts w:ascii="Arial" w:eastAsiaTheme="minorEastAsia" w:hAnsi="Arial" w:cs="Arial"/>
          <w:b/>
          <w:bCs/>
          <w:sz w:val="24"/>
          <w:szCs w:val="24"/>
          <w:lang w:eastAsia="en-ZA"/>
        </w:rPr>
        <w:t xml:space="preserve">Mocumie, </w:t>
      </w:r>
      <w:r w:rsidR="00855FDF" w:rsidRPr="00855FDF">
        <w:rPr>
          <w:rFonts w:ascii="Arial" w:hAnsi="Arial" w:cs="Arial"/>
          <w:b/>
          <w:bCs/>
          <w:sz w:val="24"/>
          <w:szCs w:val="24"/>
        </w:rPr>
        <w:t>Mothle,</w:t>
      </w:r>
      <w:r w:rsidR="00855FDF" w:rsidRPr="00855FDF">
        <w:rPr>
          <w:rFonts w:ascii="Arial" w:eastAsiaTheme="minorEastAsia" w:hAnsi="Arial" w:cs="Arial"/>
          <w:b/>
          <w:bCs/>
          <w:sz w:val="24"/>
          <w:szCs w:val="24"/>
          <w:lang w:eastAsia="en-ZA"/>
        </w:rPr>
        <w:t xml:space="preserve"> </w:t>
      </w:r>
      <w:r w:rsidR="00855FDF" w:rsidRPr="00855FDF">
        <w:rPr>
          <w:rFonts w:ascii="Arial" w:hAnsi="Arial" w:cs="Arial"/>
          <w:b/>
          <w:bCs/>
          <w:sz w:val="24"/>
          <w:szCs w:val="24"/>
        </w:rPr>
        <w:t>Mabindla-Boqwana JJA</w:t>
      </w:r>
      <w:r w:rsidR="00855FDF" w:rsidRPr="00855FDF">
        <w:rPr>
          <w:rFonts w:ascii="Arial" w:eastAsiaTheme="minorEastAsia" w:hAnsi="Arial" w:cs="Arial"/>
          <w:b/>
          <w:bCs/>
          <w:sz w:val="24"/>
          <w:szCs w:val="24"/>
          <w:lang w:eastAsia="en-ZA"/>
        </w:rPr>
        <w:t xml:space="preserve"> and </w:t>
      </w:r>
      <w:r w:rsidR="00855FDF" w:rsidRPr="00855FDF">
        <w:rPr>
          <w:rFonts w:ascii="Arial" w:hAnsi="Arial" w:cs="Arial"/>
          <w:b/>
          <w:bCs/>
          <w:sz w:val="24"/>
          <w:szCs w:val="24"/>
        </w:rPr>
        <w:t>Weiner AJA</w:t>
      </w:r>
      <w:r w:rsidR="00855FDF" w:rsidRPr="002B125A">
        <w:rPr>
          <w:rFonts w:ascii="Arial" w:eastAsiaTheme="minorEastAsia" w:hAnsi="Arial" w:cs="Arial"/>
          <w:sz w:val="24"/>
          <w:szCs w:val="24"/>
          <w:lang w:eastAsia="en-ZA"/>
        </w:rPr>
        <w:t xml:space="preserve"> </w:t>
      </w:r>
    </w:p>
    <w:p w14:paraId="7ADE66D4" w14:textId="28527518" w:rsidR="00017D10" w:rsidRPr="002B125A" w:rsidRDefault="00017D10" w:rsidP="00855FDF">
      <w:pPr>
        <w:widowControl w:val="0"/>
        <w:autoSpaceDE w:val="0"/>
        <w:autoSpaceDN w:val="0"/>
        <w:adjustRightInd w:val="0"/>
        <w:spacing w:after="120" w:line="360" w:lineRule="auto"/>
        <w:jc w:val="both"/>
        <w:rPr>
          <w:rFonts w:ascii="Arial" w:eastAsiaTheme="minorEastAsia" w:hAnsi="Arial" w:cs="Arial"/>
          <w:b/>
          <w:sz w:val="24"/>
          <w:szCs w:val="24"/>
          <w:lang w:eastAsia="en-ZA"/>
        </w:rPr>
      </w:pPr>
      <w:r w:rsidRPr="002B125A">
        <w:rPr>
          <w:rFonts w:ascii="Arial" w:eastAsiaTheme="minorEastAsia" w:hAnsi="Arial" w:cs="Arial"/>
          <w:b/>
          <w:sz w:val="24"/>
          <w:szCs w:val="24"/>
          <w:lang w:eastAsia="en-ZA"/>
        </w:rPr>
        <w:t>concurring):</w:t>
      </w:r>
    </w:p>
    <w:p w14:paraId="411BBD44" w14:textId="3355C904" w:rsidR="00AD34CF" w:rsidRPr="002C6715" w:rsidRDefault="00017D10" w:rsidP="008A0CD1">
      <w:pPr>
        <w:pStyle w:val="MEMONUMBERED"/>
        <w:numPr>
          <w:ilvl w:val="0"/>
          <w:numId w:val="1"/>
        </w:numPr>
        <w:kinsoku w:val="0"/>
        <w:overflowPunct w:val="0"/>
        <w:autoSpaceDE w:val="0"/>
        <w:autoSpaceDN w:val="0"/>
        <w:adjustRightInd w:val="0"/>
        <w:spacing w:before="1" w:after="480" w:line="360" w:lineRule="auto"/>
        <w:ind w:left="0" w:right="-7" w:firstLine="0"/>
        <w:rPr>
          <w:rFonts w:ascii="Arial" w:hAnsi="Arial" w:cs="Arial"/>
          <w:bCs/>
        </w:rPr>
      </w:pPr>
      <w:r w:rsidRPr="002C6715">
        <w:rPr>
          <w:rFonts w:ascii="Arial" w:hAnsi="Arial" w:cs="Arial"/>
          <w:bCs/>
        </w:rPr>
        <w:t xml:space="preserve">This is an appeal against </w:t>
      </w:r>
      <w:r w:rsidR="00B6595E" w:rsidRPr="002C6715">
        <w:rPr>
          <w:rFonts w:ascii="Arial" w:hAnsi="Arial" w:cs="Arial"/>
          <w:bCs/>
        </w:rPr>
        <w:t xml:space="preserve">the </w:t>
      </w:r>
      <w:r w:rsidRPr="002C6715">
        <w:rPr>
          <w:rFonts w:ascii="Arial" w:hAnsi="Arial" w:cs="Arial"/>
          <w:bCs/>
        </w:rPr>
        <w:t>order of the KwaZulu-Natal Division of the High Court, Durban (the high court)</w:t>
      </w:r>
      <w:r w:rsidR="00BA73C5" w:rsidRPr="002C6715">
        <w:rPr>
          <w:rFonts w:ascii="Arial" w:hAnsi="Arial" w:cs="Arial"/>
          <w:bCs/>
        </w:rPr>
        <w:t>,</w:t>
      </w:r>
      <w:r w:rsidRPr="002C6715">
        <w:rPr>
          <w:rFonts w:ascii="Arial" w:hAnsi="Arial" w:cs="Arial"/>
          <w:bCs/>
        </w:rPr>
        <w:t xml:space="preserve"> which upheld the exception of the first respondent, </w:t>
      </w:r>
      <w:r w:rsidR="00927600" w:rsidRPr="002C6715">
        <w:rPr>
          <w:rFonts w:ascii="Arial" w:hAnsi="Arial" w:cs="Arial"/>
          <w:bCs/>
        </w:rPr>
        <w:t xml:space="preserve">The </w:t>
      </w:r>
      <w:r w:rsidRPr="002C6715">
        <w:rPr>
          <w:rFonts w:ascii="Arial" w:hAnsi="Arial" w:cs="Arial"/>
          <w:bCs/>
        </w:rPr>
        <w:t>Dube Tradeport Corporation</w:t>
      </w:r>
      <w:r w:rsidR="00BA73C5" w:rsidRPr="002C6715">
        <w:rPr>
          <w:rFonts w:ascii="Arial" w:hAnsi="Arial" w:cs="Arial"/>
          <w:bCs/>
        </w:rPr>
        <w:t xml:space="preserve"> (Dube</w:t>
      </w:r>
      <w:r w:rsidR="00EC6775" w:rsidRPr="002C6715">
        <w:rPr>
          <w:rFonts w:ascii="Arial" w:hAnsi="Arial" w:cs="Arial"/>
          <w:bCs/>
        </w:rPr>
        <w:t xml:space="preserve"> Tradeport</w:t>
      </w:r>
      <w:r w:rsidR="00BA73C5" w:rsidRPr="002C6715">
        <w:rPr>
          <w:rFonts w:ascii="Arial" w:hAnsi="Arial" w:cs="Arial"/>
          <w:bCs/>
        </w:rPr>
        <w:t>)</w:t>
      </w:r>
      <w:r w:rsidRPr="002C6715">
        <w:rPr>
          <w:rFonts w:ascii="Arial" w:hAnsi="Arial" w:cs="Arial"/>
          <w:bCs/>
        </w:rPr>
        <w:t>, to the appellants’ particulars of claim</w:t>
      </w:r>
      <w:r w:rsidR="00BA73C5" w:rsidRPr="002C6715">
        <w:rPr>
          <w:rFonts w:ascii="Arial" w:hAnsi="Arial" w:cs="Arial"/>
          <w:bCs/>
        </w:rPr>
        <w:t xml:space="preserve">. In the action, the first appellant, Mr </w:t>
      </w:r>
      <w:bookmarkStart w:id="7" w:name="_Hlk92394454"/>
      <w:r w:rsidR="00BA73C5" w:rsidRPr="002C6715">
        <w:rPr>
          <w:rFonts w:ascii="Arial" w:hAnsi="Arial" w:cs="Arial"/>
          <w:bCs/>
        </w:rPr>
        <w:t>Sagadava</w:t>
      </w:r>
      <w:bookmarkEnd w:id="7"/>
      <w:r w:rsidR="00BA73C5" w:rsidRPr="002C6715">
        <w:rPr>
          <w:rFonts w:ascii="Arial" w:hAnsi="Arial" w:cs="Arial"/>
          <w:bCs/>
        </w:rPr>
        <w:t xml:space="preserve"> Naidoo (Sagadava) </w:t>
      </w:r>
      <w:r w:rsidR="00EC6775" w:rsidRPr="002C6715">
        <w:rPr>
          <w:rFonts w:ascii="Arial" w:hAnsi="Arial" w:cs="Arial"/>
          <w:bCs/>
        </w:rPr>
        <w:t>and the second appellant, Odora Trading CC (Odora)</w:t>
      </w:r>
      <w:r w:rsidR="004D4648" w:rsidRPr="002C6715">
        <w:rPr>
          <w:rFonts w:ascii="Arial" w:hAnsi="Arial" w:cs="Arial"/>
          <w:bCs/>
        </w:rPr>
        <w:t>, a close corporation,</w:t>
      </w:r>
      <w:r w:rsidR="00EC6775" w:rsidRPr="002C6715">
        <w:rPr>
          <w:rFonts w:ascii="Arial" w:hAnsi="Arial" w:cs="Arial"/>
          <w:bCs/>
        </w:rPr>
        <w:t xml:space="preserve"> sued the first defendant, Mr </w:t>
      </w:r>
      <w:bookmarkStart w:id="8" w:name="_Hlk92394504"/>
      <w:bookmarkStart w:id="9" w:name="_Hlk92396215"/>
      <w:r w:rsidR="00EC6775" w:rsidRPr="002C6715">
        <w:rPr>
          <w:rFonts w:ascii="Arial" w:hAnsi="Arial" w:cs="Arial"/>
          <w:bCs/>
        </w:rPr>
        <w:t>Sivaraj</w:t>
      </w:r>
      <w:bookmarkEnd w:id="8"/>
      <w:r w:rsidR="00EC6775" w:rsidRPr="002C6715">
        <w:rPr>
          <w:rFonts w:ascii="Arial" w:hAnsi="Arial" w:cs="Arial"/>
          <w:bCs/>
        </w:rPr>
        <w:t xml:space="preserve"> </w:t>
      </w:r>
      <w:bookmarkEnd w:id="9"/>
      <w:r w:rsidR="00EC6775" w:rsidRPr="002C6715">
        <w:rPr>
          <w:rFonts w:ascii="Arial" w:hAnsi="Arial" w:cs="Arial"/>
          <w:bCs/>
        </w:rPr>
        <w:t>Naidoo (</w:t>
      </w:r>
      <w:bookmarkStart w:id="10" w:name="_Hlk93052695"/>
      <w:bookmarkStart w:id="11" w:name="_Hlk93054396"/>
      <w:r w:rsidR="00EC6775" w:rsidRPr="002C6715">
        <w:rPr>
          <w:rFonts w:ascii="Arial" w:hAnsi="Arial" w:cs="Arial"/>
          <w:bCs/>
        </w:rPr>
        <w:t>Sivaraj</w:t>
      </w:r>
      <w:bookmarkEnd w:id="10"/>
      <w:r w:rsidR="00EC6775" w:rsidRPr="002C6715">
        <w:rPr>
          <w:rFonts w:ascii="Arial" w:hAnsi="Arial" w:cs="Arial"/>
          <w:bCs/>
        </w:rPr>
        <w:t>)</w:t>
      </w:r>
      <w:bookmarkEnd w:id="11"/>
      <w:r w:rsidR="00EC6775" w:rsidRPr="002C6715">
        <w:rPr>
          <w:rFonts w:ascii="Arial" w:hAnsi="Arial" w:cs="Arial"/>
          <w:bCs/>
        </w:rPr>
        <w:t xml:space="preserve"> and Dube Tradeport </w:t>
      </w:r>
      <w:r w:rsidR="006E308D" w:rsidRPr="002C6715">
        <w:rPr>
          <w:rFonts w:ascii="Arial" w:hAnsi="Arial" w:cs="Arial"/>
          <w:bCs/>
        </w:rPr>
        <w:t xml:space="preserve">to set aside the sale of certain </w:t>
      </w:r>
      <w:r w:rsidR="009D5231" w:rsidRPr="002C6715">
        <w:rPr>
          <w:rFonts w:ascii="Arial" w:hAnsi="Arial" w:cs="Arial"/>
          <w:bCs/>
        </w:rPr>
        <w:t>farms, known as the Penare Farm Properties (the properties)</w:t>
      </w:r>
      <w:r w:rsidR="006E308D" w:rsidRPr="002C6715">
        <w:rPr>
          <w:rFonts w:ascii="Arial" w:hAnsi="Arial" w:cs="Arial"/>
          <w:bCs/>
        </w:rPr>
        <w:t xml:space="preserve"> by Odora to Dube Tradeport. </w:t>
      </w:r>
      <w:r w:rsidR="00927600" w:rsidRPr="002C6715">
        <w:rPr>
          <w:rFonts w:ascii="Arial" w:hAnsi="Arial" w:cs="Arial"/>
          <w:bCs/>
        </w:rPr>
        <w:t>Sagadava and Sivaraj are brothers, hence the reference to them by their first names. This is without any disrespect, but solely to distinguish the two brothers.</w:t>
      </w:r>
    </w:p>
    <w:p w14:paraId="54C9F77B" w14:textId="5D26B0A3" w:rsidR="007B4BF5" w:rsidRPr="002C6715" w:rsidRDefault="007B4BF5" w:rsidP="008A0CD1">
      <w:pPr>
        <w:pStyle w:val="MEMONUMBERED"/>
        <w:numPr>
          <w:ilvl w:val="0"/>
          <w:numId w:val="1"/>
        </w:numPr>
        <w:kinsoku w:val="0"/>
        <w:overflowPunct w:val="0"/>
        <w:autoSpaceDE w:val="0"/>
        <w:autoSpaceDN w:val="0"/>
        <w:adjustRightInd w:val="0"/>
        <w:spacing w:before="1" w:after="480" w:line="360" w:lineRule="auto"/>
        <w:ind w:left="0" w:right="-7" w:firstLine="0"/>
        <w:rPr>
          <w:rFonts w:ascii="Arial" w:hAnsi="Arial" w:cs="Arial"/>
          <w:bCs/>
        </w:rPr>
      </w:pPr>
      <w:r w:rsidRPr="002C6715">
        <w:rPr>
          <w:rFonts w:ascii="Arial" w:hAnsi="Arial" w:cs="Arial"/>
          <w:bCs/>
        </w:rPr>
        <w:t xml:space="preserve">Sivaraj is the sole registered member of Odora, and accordingly holds the entire member’s interest in it. However, it was alleged in the particulars of claim that Sagadava was the actual beneficial owner of the member’s interest in Odora, and that Sivaraj holds the member’s interest on behalf of Sagadava, and as his nominee.  This was alleged to be pursuant to certain oral agreements between Sagadava and Sivaraj. Accordingly, it was alleged, Sivaraj had no right to sell the property to Dube Tradeport without Sagadava’s consent. On that basis, it was alleged that Sagadava had instituted </w:t>
      </w:r>
      <w:r w:rsidRPr="002C6715">
        <w:rPr>
          <w:rFonts w:ascii="Arial" w:hAnsi="Arial" w:cs="Arial"/>
          <w:bCs/>
        </w:rPr>
        <w:lastRenderedPageBreak/>
        <w:t>a derivative action on behalf of Odora, and a personal action in his own name to set aside the sale of the properties.</w:t>
      </w:r>
    </w:p>
    <w:p w14:paraId="77D4499E" w14:textId="5D5AF7F6" w:rsidR="00017D10" w:rsidRPr="002C6715" w:rsidRDefault="006A57BE" w:rsidP="00AF6E68">
      <w:pPr>
        <w:pStyle w:val="MEMONUMBERED"/>
        <w:numPr>
          <w:ilvl w:val="0"/>
          <w:numId w:val="1"/>
        </w:numPr>
        <w:kinsoku w:val="0"/>
        <w:overflowPunct w:val="0"/>
        <w:autoSpaceDE w:val="0"/>
        <w:autoSpaceDN w:val="0"/>
        <w:adjustRightInd w:val="0"/>
        <w:spacing w:before="1" w:after="480" w:line="360" w:lineRule="auto"/>
        <w:ind w:left="0" w:right="-7" w:firstLine="0"/>
        <w:rPr>
          <w:rFonts w:ascii="Arial" w:hAnsi="Arial" w:cs="Arial"/>
          <w:bCs/>
        </w:rPr>
      </w:pPr>
      <w:r w:rsidRPr="002C6715">
        <w:rPr>
          <w:rFonts w:ascii="Arial" w:hAnsi="Arial" w:cs="Arial"/>
          <w:bCs/>
        </w:rPr>
        <w:t xml:space="preserve">The properties </w:t>
      </w:r>
      <w:r w:rsidR="006E308D" w:rsidRPr="002C6715">
        <w:rPr>
          <w:rFonts w:ascii="Arial" w:hAnsi="Arial" w:cs="Arial"/>
          <w:bCs/>
        </w:rPr>
        <w:t xml:space="preserve">were the sole assets of </w:t>
      </w:r>
      <w:r w:rsidRPr="002C6715">
        <w:rPr>
          <w:rFonts w:ascii="Arial" w:hAnsi="Arial" w:cs="Arial"/>
          <w:bCs/>
        </w:rPr>
        <w:t>Odora, and were sold pursuant to a written purchase agreement between Odora (under the controlling mind of Sivaraj) and Dube Tradeport. Pursuant to the sale, the properties were transferred and registered in the name of Dube Tradeport</w:t>
      </w:r>
      <w:r w:rsidR="00226C78" w:rsidRPr="002C6715">
        <w:rPr>
          <w:rFonts w:ascii="Arial" w:hAnsi="Arial" w:cs="Arial"/>
          <w:bCs/>
        </w:rPr>
        <w:t>, hence the formal citation of t</w:t>
      </w:r>
      <w:r w:rsidR="00EC6775" w:rsidRPr="002C6715">
        <w:rPr>
          <w:rFonts w:ascii="Arial" w:hAnsi="Arial" w:cs="Arial"/>
          <w:bCs/>
        </w:rPr>
        <w:t xml:space="preserve">he third respondent, the Registrar of Deeds, </w:t>
      </w:r>
      <w:r w:rsidR="00226C78" w:rsidRPr="002C6715">
        <w:rPr>
          <w:rFonts w:ascii="Arial" w:hAnsi="Arial" w:cs="Arial"/>
          <w:bCs/>
        </w:rPr>
        <w:t xml:space="preserve">against whom </w:t>
      </w:r>
      <w:r w:rsidR="004D4648" w:rsidRPr="002C6715">
        <w:rPr>
          <w:rFonts w:ascii="Arial" w:hAnsi="Arial" w:cs="Arial"/>
          <w:bCs/>
        </w:rPr>
        <w:t>no relief was sought</w:t>
      </w:r>
      <w:r w:rsidR="00927600" w:rsidRPr="002C6715">
        <w:rPr>
          <w:rFonts w:ascii="Arial" w:hAnsi="Arial" w:cs="Arial"/>
          <w:bCs/>
        </w:rPr>
        <w:t>, and who, a</w:t>
      </w:r>
      <w:r w:rsidR="00226C78" w:rsidRPr="002C6715">
        <w:rPr>
          <w:rFonts w:ascii="Arial" w:hAnsi="Arial" w:cs="Arial"/>
          <w:bCs/>
        </w:rPr>
        <w:t xml:space="preserve">s a result, </w:t>
      </w:r>
      <w:r w:rsidR="00927600" w:rsidRPr="002C6715">
        <w:rPr>
          <w:rFonts w:ascii="Arial" w:hAnsi="Arial" w:cs="Arial"/>
          <w:bCs/>
        </w:rPr>
        <w:t xml:space="preserve">did not oppose the action and does not participate </w:t>
      </w:r>
      <w:r w:rsidR="00226C78" w:rsidRPr="002C6715">
        <w:rPr>
          <w:rFonts w:ascii="Arial" w:hAnsi="Arial" w:cs="Arial"/>
          <w:bCs/>
        </w:rPr>
        <w:t xml:space="preserve">in this </w:t>
      </w:r>
      <w:r w:rsidR="00927600" w:rsidRPr="002C6715">
        <w:rPr>
          <w:rFonts w:ascii="Arial" w:hAnsi="Arial" w:cs="Arial"/>
          <w:bCs/>
        </w:rPr>
        <w:t>appeal.</w:t>
      </w:r>
      <w:r w:rsidR="004D4648" w:rsidRPr="002C6715">
        <w:rPr>
          <w:rFonts w:ascii="Arial" w:hAnsi="Arial" w:cs="Arial"/>
          <w:bCs/>
        </w:rPr>
        <w:t xml:space="preserve"> </w:t>
      </w:r>
    </w:p>
    <w:p w14:paraId="26192411" w14:textId="77777777" w:rsidR="00AD34CF" w:rsidRPr="002C6715" w:rsidRDefault="00017D10" w:rsidP="00AD34CF">
      <w:pPr>
        <w:pStyle w:val="MEMONUMBERED"/>
        <w:numPr>
          <w:ilvl w:val="0"/>
          <w:numId w:val="1"/>
        </w:numPr>
        <w:kinsoku w:val="0"/>
        <w:overflowPunct w:val="0"/>
        <w:spacing w:before="1" w:after="480" w:line="360" w:lineRule="auto"/>
        <w:ind w:left="0" w:right="-7" w:firstLine="0"/>
        <w:rPr>
          <w:rFonts w:ascii="Arial" w:hAnsi="Arial" w:cs="Arial"/>
          <w:bCs/>
        </w:rPr>
      </w:pPr>
      <w:r w:rsidRPr="002C6715">
        <w:rPr>
          <w:rFonts w:ascii="Arial" w:hAnsi="Arial" w:cs="Arial"/>
          <w:bCs/>
        </w:rPr>
        <w:t>In the particulars of claim, Sagadava</w:t>
      </w:r>
      <w:r w:rsidR="009D5231" w:rsidRPr="002C6715">
        <w:rPr>
          <w:rFonts w:ascii="Arial" w:hAnsi="Arial" w:cs="Arial"/>
          <w:bCs/>
        </w:rPr>
        <w:t>’s</w:t>
      </w:r>
      <w:r w:rsidRPr="002C6715">
        <w:rPr>
          <w:rFonts w:ascii="Arial" w:hAnsi="Arial" w:cs="Arial"/>
          <w:bCs/>
        </w:rPr>
        <w:t xml:space="preserve"> claim to </w:t>
      </w:r>
      <w:r w:rsidR="00391C4C" w:rsidRPr="002C6715">
        <w:rPr>
          <w:rFonts w:ascii="Arial" w:hAnsi="Arial" w:cs="Arial"/>
          <w:bCs/>
        </w:rPr>
        <w:t xml:space="preserve">be </w:t>
      </w:r>
      <w:r w:rsidRPr="002C6715">
        <w:rPr>
          <w:rFonts w:ascii="Arial" w:hAnsi="Arial" w:cs="Arial"/>
          <w:bCs/>
        </w:rPr>
        <w:t xml:space="preserve">the </w:t>
      </w:r>
      <w:r w:rsidR="00391C4C" w:rsidRPr="002C6715">
        <w:rPr>
          <w:rFonts w:ascii="Arial" w:hAnsi="Arial" w:cs="Arial"/>
          <w:bCs/>
        </w:rPr>
        <w:t xml:space="preserve">beneficial owner of the </w:t>
      </w:r>
      <w:r w:rsidRPr="002C6715">
        <w:rPr>
          <w:rFonts w:ascii="Arial" w:hAnsi="Arial" w:cs="Arial"/>
          <w:bCs/>
        </w:rPr>
        <w:t>member</w:t>
      </w:r>
      <w:r w:rsidR="00391C4C" w:rsidRPr="002C6715">
        <w:rPr>
          <w:rFonts w:ascii="Arial" w:hAnsi="Arial" w:cs="Arial"/>
          <w:bCs/>
        </w:rPr>
        <w:t>’</w:t>
      </w:r>
      <w:r w:rsidRPr="002C6715">
        <w:rPr>
          <w:rFonts w:ascii="Arial" w:hAnsi="Arial" w:cs="Arial"/>
          <w:bCs/>
        </w:rPr>
        <w:t xml:space="preserve">s </w:t>
      </w:r>
      <w:r w:rsidR="00391C4C" w:rsidRPr="002C6715">
        <w:rPr>
          <w:rFonts w:ascii="Arial" w:hAnsi="Arial" w:cs="Arial"/>
          <w:bCs/>
        </w:rPr>
        <w:t xml:space="preserve">interest in </w:t>
      </w:r>
      <w:r w:rsidRPr="002C6715">
        <w:rPr>
          <w:rFonts w:ascii="Arial" w:hAnsi="Arial" w:cs="Arial"/>
          <w:bCs/>
        </w:rPr>
        <w:t>Odora and of the properties</w:t>
      </w:r>
      <w:r w:rsidR="00C67BDD" w:rsidRPr="002C6715">
        <w:rPr>
          <w:rFonts w:ascii="Arial" w:hAnsi="Arial" w:cs="Arial"/>
          <w:bCs/>
        </w:rPr>
        <w:t>,</w:t>
      </w:r>
      <w:r w:rsidRPr="002C6715">
        <w:rPr>
          <w:rFonts w:ascii="Arial" w:hAnsi="Arial" w:cs="Arial"/>
          <w:bCs/>
        </w:rPr>
        <w:t xml:space="preserve"> </w:t>
      </w:r>
      <w:r w:rsidR="009D5231" w:rsidRPr="002C6715">
        <w:rPr>
          <w:rFonts w:ascii="Arial" w:hAnsi="Arial" w:cs="Arial"/>
          <w:bCs/>
        </w:rPr>
        <w:t xml:space="preserve">was explained </w:t>
      </w:r>
      <w:r w:rsidRPr="002C6715">
        <w:rPr>
          <w:rFonts w:ascii="Arial" w:hAnsi="Arial" w:cs="Arial"/>
          <w:bCs/>
        </w:rPr>
        <w:t xml:space="preserve">as follows. Initially </w:t>
      </w:r>
      <w:r w:rsidR="009D5231" w:rsidRPr="002C6715">
        <w:rPr>
          <w:rFonts w:ascii="Arial" w:hAnsi="Arial" w:cs="Arial"/>
          <w:bCs/>
        </w:rPr>
        <w:t xml:space="preserve">Sagadava </w:t>
      </w:r>
      <w:r w:rsidRPr="002C6715">
        <w:rPr>
          <w:rFonts w:ascii="Arial" w:hAnsi="Arial" w:cs="Arial"/>
          <w:bCs/>
        </w:rPr>
        <w:t xml:space="preserve">held the entire member’s interest in Odora. During December 2001 Odora purchased the properties. </w:t>
      </w:r>
      <w:r w:rsidR="009D5231" w:rsidRPr="002C6715">
        <w:rPr>
          <w:rFonts w:ascii="Arial" w:hAnsi="Arial" w:cs="Arial"/>
          <w:bCs/>
        </w:rPr>
        <w:t>O</w:t>
      </w:r>
      <w:r w:rsidRPr="002C6715">
        <w:rPr>
          <w:rFonts w:ascii="Arial" w:hAnsi="Arial" w:cs="Arial"/>
          <w:bCs/>
        </w:rPr>
        <w:t>n 20 January 20</w:t>
      </w:r>
      <w:r w:rsidR="00C462D4" w:rsidRPr="002C6715">
        <w:rPr>
          <w:rFonts w:ascii="Arial" w:hAnsi="Arial" w:cs="Arial"/>
          <w:bCs/>
        </w:rPr>
        <w:t>0</w:t>
      </w:r>
      <w:r w:rsidRPr="002C6715">
        <w:rPr>
          <w:rFonts w:ascii="Arial" w:hAnsi="Arial" w:cs="Arial"/>
          <w:bCs/>
        </w:rPr>
        <w:t xml:space="preserve">1 </w:t>
      </w:r>
      <w:r w:rsidR="009D5231" w:rsidRPr="002C6715">
        <w:rPr>
          <w:rFonts w:ascii="Arial" w:hAnsi="Arial" w:cs="Arial"/>
          <w:bCs/>
        </w:rPr>
        <w:t xml:space="preserve">Sagadava </w:t>
      </w:r>
      <w:r w:rsidRPr="002C6715">
        <w:rPr>
          <w:rFonts w:ascii="Arial" w:hAnsi="Arial" w:cs="Arial"/>
          <w:bCs/>
        </w:rPr>
        <w:t xml:space="preserve">and Sivaraj concluded an oral agreement in terms of which certain assets in </w:t>
      </w:r>
      <w:bookmarkStart w:id="12" w:name="_Hlk92397045"/>
      <w:r w:rsidRPr="002C6715">
        <w:rPr>
          <w:rFonts w:ascii="Arial" w:hAnsi="Arial" w:cs="Arial"/>
          <w:bCs/>
        </w:rPr>
        <w:t>Sagadava</w:t>
      </w:r>
      <w:bookmarkEnd w:id="12"/>
      <w:r w:rsidRPr="002C6715">
        <w:rPr>
          <w:rFonts w:ascii="Arial" w:hAnsi="Arial" w:cs="Arial"/>
          <w:bCs/>
        </w:rPr>
        <w:t>’s possession</w:t>
      </w:r>
      <w:r w:rsidR="00304076" w:rsidRPr="002C6715">
        <w:rPr>
          <w:rFonts w:ascii="Arial" w:hAnsi="Arial" w:cs="Arial"/>
          <w:bCs/>
        </w:rPr>
        <w:t>,</w:t>
      </w:r>
      <w:r w:rsidRPr="002C6715">
        <w:rPr>
          <w:rFonts w:ascii="Arial" w:hAnsi="Arial" w:cs="Arial"/>
          <w:bCs/>
        </w:rPr>
        <w:t xml:space="preserve"> were to be divided between the</w:t>
      </w:r>
      <w:r w:rsidR="00C67BDD" w:rsidRPr="002C6715">
        <w:rPr>
          <w:rFonts w:ascii="Arial" w:hAnsi="Arial" w:cs="Arial"/>
          <w:bCs/>
        </w:rPr>
        <w:t xml:space="preserve"> two brothers</w:t>
      </w:r>
      <w:r w:rsidRPr="002C6715">
        <w:rPr>
          <w:rFonts w:ascii="Arial" w:hAnsi="Arial" w:cs="Arial"/>
          <w:bCs/>
        </w:rPr>
        <w:t xml:space="preserve"> on a 50/50 percent basis (the 2001 agreement). Those assets included </w:t>
      </w:r>
      <w:bookmarkStart w:id="13" w:name="_Hlk92395521"/>
      <w:bookmarkStart w:id="14" w:name="_Hlk93055689"/>
      <w:r w:rsidRPr="002C6715">
        <w:rPr>
          <w:rFonts w:ascii="Arial" w:hAnsi="Arial" w:cs="Arial"/>
          <w:bCs/>
        </w:rPr>
        <w:t>Sagadava</w:t>
      </w:r>
      <w:bookmarkEnd w:id="13"/>
      <w:r w:rsidRPr="002C6715">
        <w:rPr>
          <w:rFonts w:ascii="Arial" w:hAnsi="Arial" w:cs="Arial"/>
          <w:bCs/>
        </w:rPr>
        <w:t xml:space="preserve"> </w:t>
      </w:r>
      <w:bookmarkEnd w:id="14"/>
      <w:r w:rsidRPr="002C6715">
        <w:rPr>
          <w:rFonts w:ascii="Arial" w:hAnsi="Arial" w:cs="Arial"/>
          <w:bCs/>
        </w:rPr>
        <w:t xml:space="preserve">member’s interest and loan account in Odora. As already stated, </w:t>
      </w:r>
      <w:r w:rsidR="00C67BDD" w:rsidRPr="002C6715">
        <w:rPr>
          <w:rFonts w:ascii="Arial" w:hAnsi="Arial" w:cs="Arial"/>
          <w:bCs/>
        </w:rPr>
        <w:t xml:space="preserve">the properties in issue were already </w:t>
      </w:r>
      <w:r w:rsidRPr="002C6715">
        <w:rPr>
          <w:rFonts w:ascii="Arial" w:hAnsi="Arial" w:cs="Arial"/>
          <w:bCs/>
        </w:rPr>
        <w:t xml:space="preserve">the assets of Odora at that stage. Accordingly, the properties became part of the 2001 agreement. The ultimate agreement was that the assets would be registered in the personal names of </w:t>
      </w:r>
      <w:bookmarkStart w:id="15" w:name="_Hlk93055844"/>
      <w:r w:rsidRPr="002C6715">
        <w:rPr>
          <w:rFonts w:ascii="Arial" w:hAnsi="Arial" w:cs="Arial"/>
          <w:bCs/>
        </w:rPr>
        <w:t>Sagadava and Sivaraj</w:t>
      </w:r>
      <w:bookmarkEnd w:id="15"/>
      <w:r w:rsidRPr="002C6715">
        <w:rPr>
          <w:rFonts w:ascii="Arial" w:hAnsi="Arial" w:cs="Arial"/>
          <w:bCs/>
        </w:rPr>
        <w:t xml:space="preserve">. </w:t>
      </w:r>
      <w:r w:rsidR="00C67BDD" w:rsidRPr="002C6715">
        <w:rPr>
          <w:rFonts w:ascii="Arial" w:hAnsi="Arial" w:cs="Arial"/>
          <w:bCs/>
        </w:rPr>
        <w:t>However, t</w:t>
      </w:r>
      <w:r w:rsidRPr="002C6715">
        <w:rPr>
          <w:rFonts w:ascii="Arial" w:hAnsi="Arial" w:cs="Arial"/>
          <w:bCs/>
        </w:rPr>
        <w:t xml:space="preserve">he latter repudiated the 2001 agreement and refused to sign any record of it. In response, Sagadava refused to accept </w:t>
      </w:r>
      <w:r w:rsidR="00C67BDD" w:rsidRPr="002C6715">
        <w:rPr>
          <w:rFonts w:ascii="Arial" w:hAnsi="Arial" w:cs="Arial"/>
          <w:bCs/>
        </w:rPr>
        <w:t xml:space="preserve">Sivaraj’s </w:t>
      </w:r>
      <w:r w:rsidRPr="002C6715">
        <w:rPr>
          <w:rFonts w:ascii="Arial" w:hAnsi="Arial" w:cs="Arial"/>
          <w:bCs/>
        </w:rPr>
        <w:t xml:space="preserve">repudiation and elected to hold </w:t>
      </w:r>
      <w:r w:rsidR="00C67BDD" w:rsidRPr="002C6715">
        <w:rPr>
          <w:rFonts w:ascii="Arial" w:hAnsi="Arial" w:cs="Arial"/>
          <w:bCs/>
        </w:rPr>
        <w:t xml:space="preserve">him </w:t>
      </w:r>
      <w:r w:rsidRPr="002C6715">
        <w:rPr>
          <w:rFonts w:ascii="Arial" w:hAnsi="Arial" w:cs="Arial"/>
          <w:bCs/>
        </w:rPr>
        <w:t xml:space="preserve">liable </w:t>
      </w:r>
      <w:r w:rsidR="00C462D4" w:rsidRPr="002C6715">
        <w:rPr>
          <w:rFonts w:ascii="Arial" w:hAnsi="Arial" w:cs="Arial"/>
          <w:bCs/>
        </w:rPr>
        <w:t xml:space="preserve">to </w:t>
      </w:r>
      <w:r w:rsidRPr="002C6715">
        <w:rPr>
          <w:rFonts w:ascii="Arial" w:hAnsi="Arial" w:cs="Arial"/>
          <w:bCs/>
        </w:rPr>
        <w:t xml:space="preserve">the agreement. </w:t>
      </w:r>
    </w:p>
    <w:p w14:paraId="2D8968C8" w14:textId="77777777" w:rsidR="00017D10" w:rsidRPr="002C6715" w:rsidRDefault="00017D10" w:rsidP="007C2A0D">
      <w:pPr>
        <w:pStyle w:val="MEMONUMBERED"/>
        <w:numPr>
          <w:ilvl w:val="0"/>
          <w:numId w:val="1"/>
        </w:numPr>
        <w:kinsoku w:val="0"/>
        <w:overflowPunct w:val="0"/>
        <w:spacing w:before="1" w:after="480" w:line="360" w:lineRule="auto"/>
        <w:ind w:left="0" w:right="-7" w:firstLine="0"/>
        <w:rPr>
          <w:rFonts w:ascii="Arial" w:hAnsi="Arial" w:cs="Arial"/>
          <w:bCs/>
        </w:rPr>
      </w:pPr>
      <w:r w:rsidRPr="002C6715">
        <w:rPr>
          <w:rFonts w:ascii="Arial" w:hAnsi="Arial" w:cs="Arial"/>
          <w:bCs/>
        </w:rPr>
        <w:t xml:space="preserve">In the alternative to the 2001 agreement, it was pleaded that during 1998, </w:t>
      </w:r>
      <w:r w:rsidR="00C462D4" w:rsidRPr="002C6715">
        <w:rPr>
          <w:rFonts w:ascii="Arial" w:hAnsi="Arial" w:cs="Arial"/>
          <w:bCs/>
        </w:rPr>
        <w:t xml:space="preserve">Sagadava and Sivaraj </w:t>
      </w:r>
      <w:r w:rsidRPr="002C6715">
        <w:rPr>
          <w:rFonts w:ascii="Arial" w:hAnsi="Arial" w:cs="Arial"/>
          <w:bCs/>
        </w:rPr>
        <w:t xml:space="preserve">concluded an agreement in terms of which Sivaraj would hold certain assets on behalf of Sagadava, as his nominee (the 1998 agreement). Shortly thereafter, in 2001, Odora purchased the properties, which became part of the 1998 agreement.  On 13 January 2014, Sagadava instituted action in the high court against Sivaraj seeking an order that his (Sagadava’s) member’s interest in Odora be transferred and delivered to him. Sivaraj defended the action, also claiming to act on behalf of Odora. While that action was pending, on 18 December 2015, Sivaraj, </w:t>
      </w:r>
      <w:r w:rsidRPr="002C6715">
        <w:rPr>
          <w:rFonts w:ascii="Arial" w:hAnsi="Arial" w:cs="Arial"/>
          <w:bCs/>
        </w:rPr>
        <w:lastRenderedPageBreak/>
        <w:t>purportedly on behalf of Odora, sold the properties to Dube.</w:t>
      </w:r>
      <w:r w:rsidR="00C67BDD" w:rsidRPr="002C6715">
        <w:rPr>
          <w:rFonts w:ascii="Arial" w:hAnsi="Arial" w:cs="Arial"/>
          <w:bCs/>
        </w:rPr>
        <w:t xml:space="preserve"> This is the impugned purchase agreement.</w:t>
      </w:r>
    </w:p>
    <w:p w14:paraId="0B859AE0" w14:textId="77777777" w:rsidR="00017D10" w:rsidRPr="002C6715" w:rsidRDefault="007C501E" w:rsidP="003238AC">
      <w:pPr>
        <w:pStyle w:val="MEMONUMBERED"/>
        <w:numPr>
          <w:ilvl w:val="0"/>
          <w:numId w:val="1"/>
        </w:numPr>
        <w:kinsoku w:val="0"/>
        <w:overflowPunct w:val="0"/>
        <w:spacing w:before="1" w:after="480" w:line="360" w:lineRule="auto"/>
        <w:ind w:left="0" w:right="-7" w:firstLine="0"/>
        <w:rPr>
          <w:rFonts w:ascii="Arial" w:hAnsi="Arial" w:cs="Arial"/>
          <w:bCs/>
          <w:u w:val="single"/>
        </w:rPr>
      </w:pPr>
      <w:r w:rsidRPr="002C6715">
        <w:rPr>
          <w:rFonts w:ascii="Arial" w:hAnsi="Arial" w:cs="Arial"/>
          <w:bCs/>
        </w:rPr>
        <w:t>Regarding locus standi, i</w:t>
      </w:r>
      <w:r w:rsidR="00017D10" w:rsidRPr="002C6715">
        <w:rPr>
          <w:rFonts w:ascii="Arial" w:hAnsi="Arial" w:cs="Arial"/>
          <w:bCs/>
        </w:rPr>
        <w:t xml:space="preserve">t was alleged that Odora was being prevented from pursuing its rights itself by virtue of the alleged unlawful actions of Sivaraj, as the registered holder of the entire member’s interest in Odora. Thus, </w:t>
      </w:r>
      <w:r w:rsidRPr="002C6715">
        <w:rPr>
          <w:rFonts w:ascii="Arial" w:hAnsi="Arial" w:cs="Arial"/>
          <w:bCs/>
        </w:rPr>
        <w:t xml:space="preserve">it was averred, </w:t>
      </w:r>
      <w:r w:rsidR="00017D10" w:rsidRPr="002C6715">
        <w:rPr>
          <w:rFonts w:ascii="Arial" w:hAnsi="Arial" w:cs="Arial"/>
          <w:bCs/>
        </w:rPr>
        <w:t>Sagadava brought a ‘partially derivative action’ on behalf of Odora in relation to the purchase agreement referred to above, and a personal action in respect of his own rights.</w:t>
      </w:r>
      <w:r w:rsidR="002626A5" w:rsidRPr="002C6715">
        <w:rPr>
          <w:rFonts w:ascii="Arial" w:hAnsi="Arial" w:cs="Arial"/>
          <w:bCs/>
        </w:rPr>
        <w:t xml:space="preserve"> </w:t>
      </w:r>
      <w:r w:rsidR="00017D10" w:rsidRPr="002C6715">
        <w:rPr>
          <w:rFonts w:ascii="Arial" w:hAnsi="Arial" w:cs="Arial"/>
          <w:bCs/>
        </w:rPr>
        <w:t xml:space="preserve">Accordingly, </w:t>
      </w:r>
      <w:r w:rsidR="00814CFF" w:rsidRPr="002C6715">
        <w:rPr>
          <w:rFonts w:ascii="Arial" w:hAnsi="Arial" w:cs="Arial"/>
          <w:bCs/>
        </w:rPr>
        <w:t xml:space="preserve">an order was </w:t>
      </w:r>
      <w:r w:rsidR="00017D10" w:rsidRPr="002C6715">
        <w:rPr>
          <w:rFonts w:ascii="Arial" w:hAnsi="Arial" w:cs="Arial"/>
          <w:bCs/>
        </w:rPr>
        <w:t>sought</w:t>
      </w:r>
      <w:r w:rsidR="00814CFF" w:rsidRPr="002C6715">
        <w:rPr>
          <w:rFonts w:ascii="Arial" w:hAnsi="Arial" w:cs="Arial"/>
          <w:bCs/>
        </w:rPr>
        <w:t xml:space="preserve"> </w:t>
      </w:r>
      <w:r w:rsidR="00017D10" w:rsidRPr="002C6715">
        <w:rPr>
          <w:rFonts w:ascii="Arial" w:hAnsi="Arial" w:cs="Arial"/>
          <w:bCs/>
        </w:rPr>
        <w:t xml:space="preserve">declaring the purchase agreement </w:t>
      </w:r>
      <w:r w:rsidR="002626A5" w:rsidRPr="002C6715">
        <w:rPr>
          <w:rFonts w:ascii="Arial" w:hAnsi="Arial" w:cs="Arial"/>
          <w:bCs/>
        </w:rPr>
        <w:t xml:space="preserve">to be null and void, and for </w:t>
      </w:r>
      <w:r w:rsidR="00017D10" w:rsidRPr="002C6715">
        <w:rPr>
          <w:rFonts w:ascii="Arial" w:hAnsi="Arial" w:cs="Arial"/>
          <w:bCs/>
        </w:rPr>
        <w:t>directing the properties to be re-transferred to Odora</w:t>
      </w:r>
      <w:r w:rsidR="002626A5" w:rsidRPr="002C6715">
        <w:rPr>
          <w:rFonts w:ascii="Arial" w:hAnsi="Arial" w:cs="Arial"/>
          <w:bCs/>
        </w:rPr>
        <w:t>, together with certain ancillary relief.</w:t>
      </w:r>
      <w:r w:rsidR="00017D10" w:rsidRPr="002C6715">
        <w:rPr>
          <w:rFonts w:ascii="Arial" w:hAnsi="Arial" w:cs="Arial"/>
          <w:bCs/>
        </w:rPr>
        <w:t xml:space="preserve"> </w:t>
      </w:r>
    </w:p>
    <w:p w14:paraId="1F932B2A" w14:textId="460F52AA" w:rsidR="006F602D" w:rsidRPr="002C6715" w:rsidRDefault="00017D10" w:rsidP="004144BD">
      <w:pPr>
        <w:pStyle w:val="MEMONUMBERED"/>
        <w:numPr>
          <w:ilvl w:val="0"/>
          <w:numId w:val="1"/>
        </w:numPr>
        <w:kinsoku w:val="0"/>
        <w:overflowPunct w:val="0"/>
        <w:autoSpaceDE w:val="0"/>
        <w:autoSpaceDN w:val="0"/>
        <w:adjustRightInd w:val="0"/>
        <w:spacing w:before="1" w:after="480" w:line="360" w:lineRule="auto"/>
        <w:ind w:left="0" w:right="-7" w:firstLine="0"/>
        <w:rPr>
          <w:rFonts w:ascii="Arial" w:hAnsi="Arial" w:cs="Arial"/>
          <w:bCs/>
        </w:rPr>
      </w:pPr>
      <w:r w:rsidRPr="002C6715">
        <w:rPr>
          <w:rFonts w:ascii="Arial" w:hAnsi="Arial" w:cs="Arial"/>
          <w:bCs/>
        </w:rPr>
        <w:t>In response</w:t>
      </w:r>
      <w:r w:rsidR="00AD34CF" w:rsidRPr="002C6715">
        <w:rPr>
          <w:rFonts w:ascii="Arial" w:hAnsi="Arial" w:cs="Arial"/>
          <w:bCs/>
        </w:rPr>
        <w:t xml:space="preserve"> to the summons</w:t>
      </w:r>
      <w:r w:rsidRPr="002C6715">
        <w:rPr>
          <w:rFonts w:ascii="Arial" w:hAnsi="Arial" w:cs="Arial"/>
          <w:bCs/>
        </w:rPr>
        <w:t>, both Dube</w:t>
      </w:r>
      <w:r w:rsidR="007C501E" w:rsidRPr="002C6715">
        <w:rPr>
          <w:rFonts w:ascii="Arial" w:hAnsi="Arial" w:cs="Arial"/>
          <w:bCs/>
        </w:rPr>
        <w:t xml:space="preserve"> Tradeport</w:t>
      </w:r>
      <w:r w:rsidRPr="002C6715">
        <w:rPr>
          <w:rFonts w:ascii="Arial" w:hAnsi="Arial" w:cs="Arial"/>
          <w:bCs/>
        </w:rPr>
        <w:t xml:space="preserve"> and Sivaraj filed</w:t>
      </w:r>
      <w:r w:rsidR="00D7128D" w:rsidRPr="002C6715">
        <w:rPr>
          <w:rFonts w:ascii="Arial" w:hAnsi="Arial" w:cs="Arial"/>
          <w:bCs/>
        </w:rPr>
        <w:t xml:space="preserve"> notices of intention to defend, and later,</w:t>
      </w:r>
      <w:r w:rsidRPr="002C6715">
        <w:rPr>
          <w:rFonts w:ascii="Arial" w:hAnsi="Arial" w:cs="Arial"/>
          <w:bCs/>
        </w:rPr>
        <w:t xml:space="preserve"> exceptions to the particulars of claim. Before the matter was argued in the high court, Sivaraj withdrew his exception. Accordingly, the court only considered Dube</w:t>
      </w:r>
      <w:r w:rsidR="007C501E" w:rsidRPr="002C6715">
        <w:rPr>
          <w:rFonts w:ascii="Arial" w:hAnsi="Arial" w:cs="Arial"/>
          <w:bCs/>
        </w:rPr>
        <w:t xml:space="preserve"> Tradeport</w:t>
      </w:r>
      <w:r w:rsidRPr="002C6715">
        <w:rPr>
          <w:rFonts w:ascii="Arial" w:hAnsi="Arial" w:cs="Arial"/>
          <w:bCs/>
        </w:rPr>
        <w:t>’s exception, which was pre</w:t>
      </w:r>
      <w:r w:rsidR="007C501E" w:rsidRPr="002C6715">
        <w:rPr>
          <w:rFonts w:ascii="Arial" w:hAnsi="Arial" w:cs="Arial"/>
          <w:bCs/>
        </w:rPr>
        <w:t>dicated</w:t>
      </w:r>
      <w:r w:rsidRPr="002C6715">
        <w:rPr>
          <w:rFonts w:ascii="Arial" w:hAnsi="Arial" w:cs="Arial"/>
          <w:bCs/>
        </w:rPr>
        <w:t xml:space="preserve"> on the contention</w:t>
      </w:r>
      <w:r w:rsidR="00681674" w:rsidRPr="002C6715">
        <w:rPr>
          <w:rFonts w:ascii="Arial" w:hAnsi="Arial" w:cs="Arial"/>
          <w:bCs/>
        </w:rPr>
        <w:t xml:space="preserve"> </w:t>
      </w:r>
      <w:bookmarkStart w:id="16" w:name="_Hlk92398718"/>
      <w:r w:rsidR="006F602D" w:rsidRPr="002C6715">
        <w:rPr>
          <w:rFonts w:ascii="Arial" w:hAnsi="Arial" w:cs="Arial"/>
          <w:bCs/>
        </w:rPr>
        <w:t xml:space="preserve">that because </w:t>
      </w:r>
      <w:r w:rsidRPr="002C6715">
        <w:rPr>
          <w:rFonts w:ascii="Arial" w:hAnsi="Arial" w:cs="Arial"/>
          <w:bCs/>
        </w:rPr>
        <w:t>Sagadava was not a member of Odora</w:t>
      </w:r>
      <w:bookmarkEnd w:id="16"/>
      <w:r w:rsidR="006F602D" w:rsidRPr="002C6715">
        <w:rPr>
          <w:rFonts w:ascii="Arial" w:hAnsi="Arial" w:cs="Arial"/>
          <w:bCs/>
        </w:rPr>
        <w:t xml:space="preserve"> he could not bring an action on its behalf, and that, in any event, </w:t>
      </w:r>
      <w:r w:rsidRPr="002C6715">
        <w:rPr>
          <w:rFonts w:ascii="Arial" w:hAnsi="Arial" w:cs="Arial"/>
          <w:bCs/>
        </w:rPr>
        <w:t>s 54 of the Close Corporations Act 69 of 1984</w:t>
      </w:r>
      <w:r w:rsidR="00D7128D" w:rsidRPr="002C6715">
        <w:rPr>
          <w:rFonts w:ascii="Arial" w:hAnsi="Arial" w:cs="Arial"/>
          <w:bCs/>
        </w:rPr>
        <w:t xml:space="preserve"> (the Close Corporations Act)</w:t>
      </w:r>
      <w:r w:rsidR="006F602D" w:rsidRPr="002C6715">
        <w:rPr>
          <w:rFonts w:ascii="Arial" w:hAnsi="Arial" w:cs="Arial"/>
          <w:bCs/>
        </w:rPr>
        <w:t xml:space="preserve"> protected Dube Tradeport.</w:t>
      </w:r>
      <w:r w:rsidR="00E164BD" w:rsidRPr="002C6715">
        <w:rPr>
          <w:rFonts w:ascii="Arial" w:hAnsi="Arial" w:cs="Arial"/>
          <w:bCs/>
        </w:rPr>
        <w:t xml:space="preserve"> That </w:t>
      </w:r>
      <w:r w:rsidR="00E164BD" w:rsidRPr="002C6715">
        <w:rPr>
          <w:rFonts w:ascii="Arial" w:hAnsi="Arial" w:cs="Arial"/>
          <w:bCs/>
          <w:color w:val="202124"/>
          <w:shd w:val="clear" w:color="auto" w:fill="FFFFFF"/>
        </w:rPr>
        <w:t>section provides that a member of a close corporation is an agent of the close corporation in dealings with a third party and has the power to bind the close corporation, except</w:t>
      </w:r>
      <w:r w:rsidR="004144BD" w:rsidRPr="002C6715">
        <w:rPr>
          <w:rFonts w:ascii="Arial" w:hAnsi="Arial" w:cs="Arial"/>
          <w:bCs/>
          <w:color w:val="202124"/>
          <w:shd w:val="clear" w:color="auto" w:fill="FFFFFF"/>
        </w:rPr>
        <w:t xml:space="preserve"> where a third </w:t>
      </w:r>
      <w:r w:rsidR="0097465E" w:rsidRPr="002C6715">
        <w:rPr>
          <w:rFonts w:ascii="Arial" w:hAnsi="Arial" w:cs="Arial"/>
          <w:bCs/>
          <w:color w:val="202124"/>
          <w:shd w:val="clear" w:color="auto" w:fill="FFFFFF"/>
        </w:rPr>
        <w:t xml:space="preserve">party </w:t>
      </w:r>
      <w:r w:rsidR="004144BD" w:rsidRPr="002C6715">
        <w:rPr>
          <w:rFonts w:ascii="Arial" w:hAnsi="Arial" w:cs="Arial"/>
          <w:bCs/>
          <w:color w:val="202124"/>
          <w:shd w:val="clear" w:color="auto" w:fill="FFFFFF"/>
        </w:rPr>
        <w:t>knows or ought to have known of the member’s lack of authority to transact on behalf of the close corporation</w:t>
      </w:r>
      <w:r w:rsidR="00E164BD" w:rsidRPr="002C6715">
        <w:rPr>
          <w:rFonts w:ascii="Arial" w:hAnsi="Arial" w:cs="Arial"/>
          <w:bCs/>
          <w:color w:val="202124"/>
          <w:shd w:val="clear" w:color="auto" w:fill="FFFFFF"/>
        </w:rPr>
        <w:t>. I consider the provisions of this section</w:t>
      </w:r>
      <w:r w:rsidR="0097465E" w:rsidRPr="002C6715">
        <w:rPr>
          <w:rFonts w:ascii="Arial" w:hAnsi="Arial" w:cs="Arial"/>
          <w:bCs/>
          <w:color w:val="202124"/>
          <w:shd w:val="clear" w:color="auto" w:fill="FFFFFF"/>
        </w:rPr>
        <w:t xml:space="preserve"> in more detail </w:t>
      </w:r>
      <w:r w:rsidR="00E164BD" w:rsidRPr="002C6715">
        <w:rPr>
          <w:rFonts w:ascii="Arial" w:hAnsi="Arial" w:cs="Arial"/>
          <w:bCs/>
          <w:color w:val="202124"/>
          <w:shd w:val="clear" w:color="auto" w:fill="FFFFFF"/>
        </w:rPr>
        <w:t>later</w:t>
      </w:r>
      <w:r w:rsidR="00AF6E68" w:rsidRPr="002C6715">
        <w:rPr>
          <w:rFonts w:ascii="Arial" w:hAnsi="Arial" w:cs="Arial"/>
          <w:bCs/>
          <w:color w:val="202124"/>
          <w:shd w:val="clear" w:color="auto" w:fill="FFFFFF"/>
        </w:rPr>
        <w:t>.</w:t>
      </w:r>
      <w:r w:rsidR="00E164BD" w:rsidRPr="002C6715">
        <w:rPr>
          <w:rFonts w:ascii="Arial" w:hAnsi="Arial" w:cs="Arial"/>
          <w:bCs/>
          <w:color w:val="202124"/>
          <w:shd w:val="clear" w:color="auto" w:fill="FFFFFF"/>
        </w:rPr>
        <w:t xml:space="preserve"> </w:t>
      </w:r>
    </w:p>
    <w:p w14:paraId="6BEBAF0A" w14:textId="46C63C0A" w:rsidR="002626A5" w:rsidRPr="002C6715" w:rsidRDefault="002F6A75" w:rsidP="006F602D">
      <w:pPr>
        <w:pStyle w:val="MEMONUMBERED"/>
        <w:numPr>
          <w:ilvl w:val="0"/>
          <w:numId w:val="1"/>
        </w:numPr>
        <w:kinsoku w:val="0"/>
        <w:overflowPunct w:val="0"/>
        <w:autoSpaceDE w:val="0"/>
        <w:autoSpaceDN w:val="0"/>
        <w:adjustRightInd w:val="0"/>
        <w:spacing w:before="1" w:after="480" w:line="360" w:lineRule="auto"/>
        <w:ind w:left="0" w:right="-7" w:firstLine="0"/>
        <w:rPr>
          <w:rFonts w:ascii="Arial" w:hAnsi="Arial" w:cs="Arial"/>
          <w:bCs/>
        </w:rPr>
      </w:pPr>
      <w:r w:rsidRPr="002C6715">
        <w:rPr>
          <w:rFonts w:ascii="Arial" w:hAnsi="Arial" w:cs="Arial"/>
          <w:bCs/>
        </w:rPr>
        <w:t xml:space="preserve">In its judgment, the high court first considered whether a common law derivative action is available in respect </w:t>
      </w:r>
      <w:r w:rsidR="00CF62C8" w:rsidRPr="002C6715">
        <w:rPr>
          <w:rFonts w:ascii="Arial" w:hAnsi="Arial" w:cs="Arial"/>
          <w:bCs/>
        </w:rPr>
        <w:t xml:space="preserve">of </w:t>
      </w:r>
      <w:r w:rsidRPr="002C6715">
        <w:rPr>
          <w:rFonts w:ascii="Arial" w:hAnsi="Arial" w:cs="Arial"/>
          <w:bCs/>
        </w:rPr>
        <w:t xml:space="preserve">close corporations, and </w:t>
      </w:r>
      <w:r w:rsidR="00D7128D" w:rsidRPr="002C6715">
        <w:rPr>
          <w:rFonts w:ascii="Arial" w:hAnsi="Arial" w:cs="Arial"/>
          <w:bCs/>
        </w:rPr>
        <w:t xml:space="preserve">held </w:t>
      </w:r>
      <w:r w:rsidRPr="002C6715">
        <w:rPr>
          <w:rFonts w:ascii="Arial" w:hAnsi="Arial" w:cs="Arial"/>
          <w:bCs/>
        </w:rPr>
        <w:t xml:space="preserve">that it was. However, it concluded that </w:t>
      </w:r>
      <w:r w:rsidR="00D7128D" w:rsidRPr="002C6715">
        <w:rPr>
          <w:rFonts w:ascii="Arial" w:hAnsi="Arial" w:cs="Arial"/>
          <w:bCs/>
        </w:rPr>
        <w:t xml:space="preserve">because </w:t>
      </w:r>
      <w:r w:rsidRPr="002C6715">
        <w:rPr>
          <w:rFonts w:ascii="Arial" w:hAnsi="Arial" w:cs="Arial"/>
          <w:bCs/>
        </w:rPr>
        <w:t>Sagadava</w:t>
      </w:r>
      <w:r w:rsidR="00D7128D" w:rsidRPr="002C6715">
        <w:rPr>
          <w:rFonts w:ascii="Arial" w:hAnsi="Arial" w:cs="Arial"/>
          <w:bCs/>
        </w:rPr>
        <w:t xml:space="preserve"> was</w:t>
      </w:r>
      <w:r w:rsidRPr="002C6715">
        <w:rPr>
          <w:rFonts w:ascii="Arial" w:hAnsi="Arial" w:cs="Arial"/>
          <w:bCs/>
        </w:rPr>
        <w:t xml:space="preserve"> not a registered member of Odora, </w:t>
      </w:r>
      <w:r w:rsidR="00D7128D" w:rsidRPr="002C6715">
        <w:rPr>
          <w:rFonts w:ascii="Arial" w:hAnsi="Arial" w:cs="Arial"/>
          <w:bCs/>
        </w:rPr>
        <w:t xml:space="preserve">he </w:t>
      </w:r>
      <w:r w:rsidRPr="002C6715">
        <w:rPr>
          <w:rFonts w:ascii="Arial" w:hAnsi="Arial" w:cs="Arial"/>
          <w:bCs/>
        </w:rPr>
        <w:t xml:space="preserve">was not entitled, in terms of that law, to institute an action </w:t>
      </w:r>
      <w:r w:rsidR="00D7128D" w:rsidRPr="002C6715">
        <w:rPr>
          <w:rFonts w:ascii="Arial" w:hAnsi="Arial" w:cs="Arial"/>
          <w:bCs/>
        </w:rPr>
        <w:t xml:space="preserve">on its behalf or </w:t>
      </w:r>
      <w:r w:rsidRPr="002C6715">
        <w:rPr>
          <w:rFonts w:ascii="Arial" w:hAnsi="Arial" w:cs="Arial"/>
          <w:bCs/>
        </w:rPr>
        <w:t xml:space="preserve">in </w:t>
      </w:r>
      <w:r w:rsidR="00D7128D" w:rsidRPr="002C6715">
        <w:rPr>
          <w:rFonts w:ascii="Arial" w:hAnsi="Arial" w:cs="Arial"/>
          <w:bCs/>
        </w:rPr>
        <w:t xml:space="preserve">its </w:t>
      </w:r>
      <w:r w:rsidRPr="002C6715">
        <w:rPr>
          <w:rFonts w:ascii="Arial" w:hAnsi="Arial" w:cs="Arial"/>
          <w:bCs/>
        </w:rPr>
        <w:t>name.</w:t>
      </w:r>
      <w:r w:rsidR="00017D10" w:rsidRPr="002C6715">
        <w:rPr>
          <w:rFonts w:ascii="Arial" w:hAnsi="Arial" w:cs="Arial"/>
          <w:bCs/>
        </w:rPr>
        <w:t xml:space="preserve"> </w:t>
      </w:r>
      <w:bookmarkStart w:id="17" w:name="_Hlk92624611"/>
      <w:r w:rsidR="00304076" w:rsidRPr="002C6715">
        <w:rPr>
          <w:rFonts w:ascii="Arial" w:hAnsi="Arial" w:cs="Arial"/>
          <w:bCs/>
        </w:rPr>
        <w:t xml:space="preserve">According to the high court, neither s 49 </w:t>
      </w:r>
      <w:r w:rsidR="00B6595E" w:rsidRPr="002C6715">
        <w:rPr>
          <w:rFonts w:ascii="Arial" w:hAnsi="Arial" w:cs="Arial"/>
          <w:bCs/>
        </w:rPr>
        <w:t xml:space="preserve">nor s </w:t>
      </w:r>
      <w:r w:rsidR="00304076" w:rsidRPr="002C6715">
        <w:rPr>
          <w:rFonts w:ascii="Arial" w:hAnsi="Arial" w:cs="Arial"/>
          <w:bCs/>
        </w:rPr>
        <w:t xml:space="preserve">50 of the </w:t>
      </w:r>
      <w:r w:rsidR="00CC5563" w:rsidRPr="002C6715">
        <w:rPr>
          <w:rFonts w:ascii="Arial" w:hAnsi="Arial" w:cs="Arial"/>
          <w:bCs/>
        </w:rPr>
        <w:t xml:space="preserve">Close Corporations </w:t>
      </w:r>
      <w:r w:rsidR="00304076" w:rsidRPr="002C6715">
        <w:rPr>
          <w:rFonts w:ascii="Arial" w:hAnsi="Arial" w:cs="Arial"/>
          <w:bCs/>
        </w:rPr>
        <w:t xml:space="preserve">Act granted Sagadava the right to institute an action in the name of Odora. </w:t>
      </w:r>
      <w:r w:rsidR="00F45956" w:rsidRPr="002C6715">
        <w:rPr>
          <w:rFonts w:ascii="Arial" w:hAnsi="Arial" w:cs="Arial"/>
          <w:bCs/>
        </w:rPr>
        <w:t xml:space="preserve">In any event, </w:t>
      </w:r>
      <w:r w:rsidR="002C6715" w:rsidRPr="00197A42">
        <w:rPr>
          <w:rFonts w:ascii="Arial" w:hAnsi="Arial" w:cs="Arial"/>
          <w:bCs/>
        </w:rPr>
        <w:t>concluded the high court, a</w:t>
      </w:r>
      <w:r w:rsidR="00304076" w:rsidRPr="00197A42">
        <w:rPr>
          <w:rFonts w:ascii="Arial" w:hAnsi="Arial" w:cs="Arial"/>
          <w:bCs/>
        </w:rPr>
        <w:t xml:space="preserve">s </w:t>
      </w:r>
      <w:r w:rsidR="002C6715" w:rsidRPr="00197A42">
        <w:rPr>
          <w:rFonts w:ascii="Arial" w:hAnsi="Arial" w:cs="Arial"/>
          <w:bCs/>
        </w:rPr>
        <w:t>Sagadava</w:t>
      </w:r>
      <w:r w:rsidR="00304076" w:rsidRPr="002C6715">
        <w:rPr>
          <w:rFonts w:ascii="Arial" w:hAnsi="Arial" w:cs="Arial"/>
          <w:bCs/>
        </w:rPr>
        <w:t xml:space="preserve"> had relied on the common law derivative action to advance the suit of Odora, he could not rely on s 50. </w:t>
      </w:r>
    </w:p>
    <w:p w14:paraId="4BA70918" w14:textId="768E4157" w:rsidR="00AD34CF" w:rsidRPr="002C6715" w:rsidRDefault="00665DEF" w:rsidP="006F602D">
      <w:pPr>
        <w:pStyle w:val="MEMONUMBERED"/>
        <w:numPr>
          <w:ilvl w:val="0"/>
          <w:numId w:val="1"/>
        </w:numPr>
        <w:kinsoku w:val="0"/>
        <w:overflowPunct w:val="0"/>
        <w:autoSpaceDE w:val="0"/>
        <w:autoSpaceDN w:val="0"/>
        <w:adjustRightInd w:val="0"/>
        <w:spacing w:before="1" w:after="480" w:line="360" w:lineRule="auto"/>
        <w:ind w:left="0" w:right="-7" w:firstLine="0"/>
        <w:rPr>
          <w:rFonts w:ascii="Arial" w:hAnsi="Arial" w:cs="Arial"/>
          <w:bCs/>
        </w:rPr>
      </w:pPr>
      <w:r w:rsidRPr="002C6715">
        <w:rPr>
          <w:rFonts w:ascii="Arial" w:hAnsi="Arial" w:cs="Arial"/>
          <w:bCs/>
        </w:rPr>
        <w:t>T</w:t>
      </w:r>
      <w:r w:rsidR="00764468" w:rsidRPr="002C6715">
        <w:rPr>
          <w:rFonts w:ascii="Arial" w:hAnsi="Arial" w:cs="Arial"/>
          <w:bCs/>
        </w:rPr>
        <w:t xml:space="preserve">he high court </w:t>
      </w:r>
      <w:r w:rsidRPr="002C6715">
        <w:rPr>
          <w:rFonts w:ascii="Arial" w:hAnsi="Arial" w:cs="Arial"/>
          <w:bCs/>
        </w:rPr>
        <w:t xml:space="preserve">also </w:t>
      </w:r>
      <w:r w:rsidR="00764468" w:rsidRPr="002C6715">
        <w:rPr>
          <w:rFonts w:ascii="Arial" w:hAnsi="Arial" w:cs="Arial"/>
          <w:bCs/>
        </w:rPr>
        <w:t xml:space="preserve">considered </w:t>
      </w:r>
      <w:r w:rsidR="00E96492" w:rsidRPr="002C6715">
        <w:rPr>
          <w:rFonts w:ascii="Arial" w:hAnsi="Arial" w:cs="Arial"/>
          <w:bCs/>
        </w:rPr>
        <w:t>s 54 of the Close Corporations Act</w:t>
      </w:r>
      <w:r w:rsidR="00764468" w:rsidRPr="002C6715">
        <w:rPr>
          <w:rFonts w:ascii="Arial" w:hAnsi="Arial" w:cs="Arial"/>
          <w:bCs/>
        </w:rPr>
        <w:t xml:space="preserve">. It held that its provisions </w:t>
      </w:r>
      <w:r w:rsidR="00E96492" w:rsidRPr="002C6715">
        <w:rPr>
          <w:rFonts w:ascii="Arial" w:hAnsi="Arial" w:cs="Arial"/>
          <w:bCs/>
        </w:rPr>
        <w:t>preclude the action by both Sagadava and Odora against Dube Tradeport, as the latter had transacted with Sivaraj, the sole member of Odora</w:t>
      </w:r>
      <w:r w:rsidR="007F4C00" w:rsidRPr="002C6715">
        <w:rPr>
          <w:rFonts w:ascii="Arial" w:hAnsi="Arial" w:cs="Arial"/>
          <w:bCs/>
        </w:rPr>
        <w:t>, and who, as its agent, had the power to bind it.</w:t>
      </w:r>
      <w:r w:rsidRPr="002C6715">
        <w:rPr>
          <w:rFonts w:ascii="Arial" w:hAnsi="Arial" w:cs="Arial"/>
          <w:bCs/>
        </w:rPr>
        <w:t xml:space="preserve"> Thus</w:t>
      </w:r>
      <w:r w:rsidR="007F4C00" w:rsidRPr="002C6715">
        <w:rPr>
          <w:rFonts w:ascii="Arial" w:hAnsi="Arial" w:cs="Arial"/>
          <w:bCs/>
        </w:rPr>
        <w:t xml:space="preserve">, the high court reasoned, Dube Tradeport was protected against the negative effects of the ultra vires doctrine and the doctrine of constructive notice. </w:t>
      </w:r>
      <w:r w:rsidR="00E96492" w:rsidRPr="002C6715">
        <w:rPr>
          <w:rFonts w:ascii="Arial" w:hAnsi="Arial" w:cs="Arial"/>
          <w:bCs/>
        </w:rPr>
        <w:t xml:space="preserve"> </w:t>
      </w:r>
    </w:p>
    <w:p w14:paraId="6214BE4D" w14:textId="77777777" w:rsidR="00E96492" w:rsidRPr="002C6715" w:rsidRDefault="00E96492" w:rsidP="006F602D">
      <w:pPr>
        <w:pStyle w:val="MEMONUMBERED"/>
        <w:numPr>
          <w:ilvl w:val="0"/>
          <w:numId w:val="1"/>
        </w:numPr>
        <w:kinsoku w:val="0"/>
        <w:overflowPunct w:val="0"/>
        <w:autoSpaceDE w:val="0"/>
        <w:autoSpaceDN w:val="0"/>
        <w:adjustRightInd w:val="0"/>
        <w:spacing w:before="1" w:after="480" w:line="360" w:lineRule="auto"/>
        <w:ind w:left="0" w:right="-7" w:firstLine="0"/>
        <w:rPr>
          <w:rFonts w:ascii="Arial" w:hAnsi="Arial" w:cs="Arial"/>
          <w:bCs/>
        </w:rPr>
      </w:pPr>
      <w:r w:rsidRPr="002C6715">
        <w:rPr>
          <w:rFonts w:ascii="Arial" w:hAnsi="Arial" w:cs="Arial"/>
          <w:bCs/>
        </w:rPr>
        <w:t>On these findings, the high court concluded that the appellants’ pleaded case did not set out a cause of action against Dube</w:t>
      </w:r>
      <w:r w:rsidR="00665DEF" w:rsidRPr="002C6715">
        <w:rPr>
          <w:rFonts w:ascii="Arial" w:hAnsi="Arial" w:cs="Arial"/>
          <w:bCs/>
        </w:rPr>
        <w:t xml:space="preserve"> Tradeport</w:t>
      </w:r>
      <w:r w:rsidRPr="002C6715">
        <w:rPr>
          <w:rFonts w:ascii="Arial" w:hAnsi="Arial" w:cs="Arial"/>
          <w:bCs/>
        </w:rPr>
        <w:t xml:space="preserve">. It accordingly upheld the </w:t>
      </w:r>
      <w:r w:rsidR="00304076" w:rsidRPr="002C6715">
        <w:rPr>
          <w:rFonts w:ascii="Arial" w:hAnsi="Arial" w:cs="Arial"/>
          <w:bCs/>
        </w:rPr>
        <w:t xml:space="preserve">exception with costs. </w:t>
      </w:r>
      <w:r w:rsidRPr="002C6715">
        <w:rPr>
          <w:rFonts w:ascii="Arial" w:hAnsi="Arial" w:cs="Arial"/>
          <w:bCs/>
        </w:rPr>
        <w:t xml:space="preserve"> </w:t>
      </w:r>
      <w:r w:rsidR="00304076" w:rsidRPr="002C6715">
        <w:rPr>
          <w:rFonts w:ascii="Arial" w:hAnsi="Arial" w:cs="Arial"/>
          <w:bCs/>
        </w:rPr>
        <w:t>B</w:t>
      </w:r>
      <w:r w:rsidRPr="002C6715">
        <w:rPr>
          <w:rFonts w:ascii="Arial" w:hAnsi="Arial" w:cs="Arial"/>
          <w:bCs/>
        </w:rPr>
        <w:t>ased on its finding in respect of s 54, the high court found it pointless to afford the appellants leave to amend their particulars of claim</w:t>
      </w:r>
      <w:r w:rsidR="00304076" w:rsidRPr="002C6715">
        <w:rPr>
          <w:rFonts w:ascii="Arial" w:hAnsi="Arial" w:cs="Arial"/>
          <w:bCs/>
        </w:rPr>
        <w:t>, ‘as they cannot amend to succeed against [Dube</w:t>
      </w:r>
      <w:r w:rsidR="00665DEF" w:rsidRPr="002C6715">
        <w:rPr>
          <w:rFonts w:ascii="Arial" w:hAnsi="Arial" w:cs="Arial"/>
          <w:bCs/>
        </w:rPr>
        <w:t xml:space="preserve"> Tradeport</w:t>
      </w:r>
      <w:r w:rsidR="00304076" w:rsidRPr="002C6715">
        <w:rPr>
          <w:rFonts w:ascii="Arial" w:hAnsi="Arial" w:cs="Arial"/>
          <w:bCs/>
        </w:rPr>
        <w:t>]’</w:t>
      </w:r>
      <w:r w:rsidR="00681674" w:rsidRPr="002C6715">
        <w:rPr>
          <w:rFonts w:ascii="Arial" w:hAnsi="Arial" w:cs="Arial"/>
          <w:bCs/>
        </w:rPr>
        <w:t>.</w:t>
      </w:r>
      <w:r w:rsidRPr="002C6715">
        <w:rPr>
          <w:rFonts w:ascii="Arial" w:hAnsi="Arial" w:cs="Arial"/>
          <w:bCs/>
        </w:rPr>
        <w:t xml:space="preserve"> The issue in the appeal, with the leave of the high court, is whether its findings and conclusion are correct.</w:t>
      </w:r>
    </w:p>
    <w:p w14:paraId="50D56EFB" w14:textId="1A174788" w:rsidR="00017D10" w:rsidRPr="002C6715" w:rsidRDefault="00665DEF" w:rsidP="003238AC">
      <w:pPr>
        <w:pStyle w:val="MEMONUMBERED"/>
        <w:numPr>
          <w:ilvl w:val="0"/>
          <w:numId w:val="1"/>
        </w:numPr>
        <w:kinsoku w:val="0"/>
        <w:overflowPunct w:val="0"/>
        <w:autoSpaceDE w:val="0"/>
        <w:autoSpaceDN w:val="0"/>
        <w:adjustRightInd w:val="0"/>
        <w:spacing w:before="1" w:after="480" w:line="360" w:lineRule="auto"/>
        <w:ind w:left="0" w:right="-7" w:firstLine="0"/>
        <w:rPr>
          <w:rFonts w:ascii="Arial" w:hAnsi="Arial" w:cs="Arial"/>
        </w:rPr>
      </w:pPr>
      <w:r w:rsidRPr="002C6715">
        <w:rPr>
          <w:rFonts w:ascii="Arial" w:hAnsi="Arial" w:cs="Arial"/>
        </w:rPr>
        <w:t>Before I consider the contentions before us, i</w:t>
      </w:r>
      <w:r w:rsidR="00E921CE" w:rsidRPr="002C6715">
        <w:rPr>
          <w:rFonts w:ascii="Arial" w:hAnsi="Arial" w:cs="Arial"/>
        </w:rPr>
        <w:t xml:space="preserve">t is necessary to briefly explain the origin and nature of </w:t>
      </w:r>
      <w:r w:rsidR="00AD34CF" w:rsidRPr="002C6715">
        <w:rPr>
          <w:rFonts w:ascii="Arial" w:hAnsi="Arial" w:cs="Arial"/>
        </w:rPr>
        <w:t>the</w:t>
      </w:r>
      <w:r w:rsidR="00E921CE" w:rsidRPr="002C6715">
        <w:rPr>
          <w:rFonts w:ascii="Arial" w:hAnsi="Arial" w:cs="Arial"/>
        </w:rPr>
        <w:t xml:space="preserve"> common law derivative action. It </w:t>
      </w:r>
      <w:r w:rsidR="00017D10" w:rsidRPr="002C6715">
        <w:rPr>
          <w:rFonts w:ascii="Arial" w:hAnsi="Arial" w:cs="Arial"/>
        </w:rPr>
        <w:t xml:space="preserve">is an exception to the rule </w:t>
      </w:r>
      <w:r w:rsidRPr="002C6715">
        <w:rPr>
          <w:rFonts w:ascii="Arial" w:hAnsi="Arial" w:cs="Arial"/>
        </w:rPr>
        <w:t xml:space="preserve">enunciated </w:t>
      </w:r>
      <w:r w:rsidR="00017D10" w:rsidRPr="002C6715">
        <w:rPr>
          <w:rFonts w:ascii="Arial" w:hAnsi="Arial" w:cs="Arial"/>
        </w:rPr>
        <w:t xml:space="preserve">in </w:t>
      </w:r>
      <w:r w:rsidRPr="002C6715">
        <w:rPr>
          <w:rFonts w:ascii="Arial" w:hAnsi="Arial" w:cs="Arial"/>
        </w:rPr>
        <w:t xml:space="preserve">the </w:t>
      </w:r>
      <w:r w:rsidR="00017D10" w:rsidRPr="002C6715">
        <w:rPr>
          <w:rFonts w:ascii="Arial" w:hAnsi="Arial" w:cs="Arial"/>
        </w:rPr>
        <w:t xml:space="preserve">English </w:t>
      </w:r>
      <w:r w:rsidRPr="002C6715">
        <w:rPr>
          <w:rFonts w:ascii="Arial" w:hAnsi="Arial" w:cs="Arial"/>
        </w:rPr>
        <w:t xml:space="preserve">decision </w:t>
      </w:r>
      <w:r w:rsidR="00DE286F" w:rsidRPr="002C6715">
        <w:rPr>
          <w:rFonts w:ascii="Arial" w:hAnsi="Arial" w:cs="Arial"/>
        </w:rPr>
        <w:t xml:space="preserve">of </w:t>
      </w:r>
      <w:r w:rsidR="00017D10" w:rsidRPr="002C6715">
        <w:rPr>
          <w:rFonts w:ascii="Arial" w:hAnsi="Arial" w:cs="Arial"/>
          <w:i/>
          <w:iCs/>
        </w:rPr>
        <w:t>Foss v Harbottle</w:t>
      </w:r>
      <w:r w:rsidR="00017D10" w:rsidRPr="002C6715">
        <w:rPr>
          <w:rFonts w:ascii="Arial" w:hAnsi="Arial" w:cs="Arial"/>
        </w:rPr>
        <w:t xml:space="preserve"> (1843) 2 Hare 461; 67 ER 189 that individual shareholders have no cause of action in law for any wrongs done to the corporation and that if an action is to be brought in respect of such losses, it must be brought by the corporation itself. The exception is available where what has been done amounts to fraud and the wrongdoers are themselves in control of the company. </w:t>
      </w:r>
      <w:r w:rsidR="00AC3B3E" w:rsidRPr="002C6715">
        <w:rPr>
          <w:rFonts w:ascii="Arial" w:hAnsi="Arial" w:cs="Arial"/>
        </w:rPr>
        <w:t>Although t</w:t>
      </w:r>
      <w:r w:rsidR="00017D10" w:rsidRPr="002C6715">
        <w:rPr>
          <w:rFonts w:ascii="Arial" w:hAnsi="Arial" w:cs="Arial"/>
        </w:rPr>
        <w:t xml:space="preserve">here has </w:t>
      </w:r>
      <w:r w:rsidR="00E96492" w:rsidRPr="002C6715">
        <w:rPr>
          <w:rFonts w:ascii="Arial" w:hAnsi="Arial" w:cs="Arial"/>
        </w:rPr>
        <w:t xml:space="preserve">not </w:t>
      </w:r>
      <w:r w:rsidR="00017D10" w:rsidRPr="002C6715">
        <w:rPr>
          <w:rFonts w:ascii="Arial" w:hAnsi="Arial" w:cs="Arial"/>
        </w:rPr>
        <w:t>been an express adoption by this Court of the English law of derivative actions as part of our common law</w:t>
      </w:r>
      <w:r w:rsidR="00AC3B3E" w:rsidRPr="002C6715">
        <w:rPr>
          <w:rFonts w:ascii="Arial" w:hAnsi="Arial" w:cs="Arial"/>
        </w:rPr>
        <w:t>, it has been consistently applied</w:t>
      </w:r>
      <w:r w:rsidR="00017D10" w:rsidRPr="002C6715">
        <w:rPr>
          <w:rFonts w:ascii="Arial" w:hAnsi="Arial" w:cs="Arial"/>
        </w:rPr>
        <w:t xml:space="preserve">. </w:t>
      </w:r>
      <w:r w:rsidR="00994960" w:rsidRPr="002C6715">
        <w:rPr>
          <w:rFonts w:ascii="Arial" w:hAnsi="Arial" w:cs="Arial"/>
        </w:rPr>
        <w:t xml:space="preserve">                          </w:t>
      </w:r>
      <w:r w:rsidR="00017D10" w:rsidRPr="002C6715">
        <w:rPr>
          <w:rFonts w:ascii="Arial" w:hAnsi="Arial" w:cs="Arial"/>
        </w:rPr>
        <w:t xml:space="preserve">In </w:t>
      </w:r>
      <w:r w:rsidR="00DE286F" w:rsidRPr="002C6715">
        <w:rPr>
          <w:rFonts w:ascii="Arial" w:hAnsi="Arial" w:cs="Arial"/>
          <w:i/>
          <w:iCs/>
          <w:shd w:val="clear" w:color="auto" w:fill="FFFFFF"/>
        </w:rPr>
        <w:t>Francis George Hill Family Trust </w:t>
      </w:r>
      <w:r w:rsidR="00DE286F" w:rsidRPr="002C6715">
        <w:rPr>
          <w:rFonts w:ascii="Arial" w:hAnsi="Arial" w:cs="Arial"/>
          <w:shd w:val="clear" w:color="auto" w:fill="FFFFFF"/>
        </w:rPr>
        <w:t>v </w:t>
      </w:r>
      <w:r w:rsidR="00DE286F" w:rsidRPr="002C6715">
        <w:rPr>
          <w:rFonts w:ascii="Arial" w:hAnsi="Arial" w:cs="Arial"/>
          <w:i/>
          <w:iCs/>
          <w:shd w:val="clear" w:color="auto" w:fill="FFFFFF"/>
        </w:rPr>
        <w:t>South African Reserve Bank and Others</w:t>
      </w:r>
      <w:r w:rsidR="00DE286F" w:rsidRPr="002C6715">
        <w:rPr>
          <w:rFonts w:ascii="Arial" w:hAnsi="Arial" w:cs="Arial"/>
          <w:shd w:val="clear" w:color="auto" w:fill="FFFFFF"/>
        </w:rPr>
        <w:t xml:space="preserve"> </w:t>
      </w:r>
      <w:r w:rsidR="00DE286F" w:rsidRPr="002C6715">
        <w:rPr>
          <w:rFonts w:ascii="Arial" w:hAnsi="Arial" w:cs="Arial"/>
        </w:rPr>
        <w:t xml:space="preserve">1992 (3) SA 91 (A) </w:t>
      </w:r>
      <w:r w:rsidR="00AC3B3E" w:rsidRPr="002C6715">
        <w:rPr>
          <w:rFonts w:ascii="Arial" w:hAnsi="Arial" w:cs="Arial"/>
          <w:iCs/>
        </w:rPr>
        <w:t>the question was left open</w:t>
      </w:r>
      <w:r w:rsidR="00681674" w:rsidRPr="002C6715">
        <w:rPr>
          <w:rFonts w:ascii="Arial" w:hAnsi="Arial" w:cs="Arial"/>
          <w:iCs/>
        </w:rPr>
        <w:t xml:space="preserve"> as</w:t>
      </w:r>
      <w:r w:rsidR="00AC3B3E" w:rsidRPr="002C6715">
        <w:rPr>
          <w:rFonts w:ascii="Arial" w:hAnsi="Arial" w:cs="Arial"/>
          <w:iCs/>
        </w:rPr>
        <w:t xml:space="preserve"> </w:t>
      </w:r>
      <w:r w:rsidR="00017D10" w:rsidRPr="002C6715">
        <w:rPr>
          <w:rFonts w:ascii="Arial" w:hAnsi="Arial" w:cs="Arial"/>
          <w:iCs/>
        </w:rPr>
        <w:t xml:space="preserve">it was deemed unnecessary to </w:t>
      </w:r>
      <w:r w:rsidR="00DE286F" w:rsidRPr="002C6715">
        <w:rPr>
          <w:rFonts w:ascii="Arial" w:hAnsi="Arial" w:cs="Arial"/>
          <w:iCs/>
        </w:rPr>
        <w:t xml:space="preserve">determine </w:t>
      </w:r>
      <w:r w:rsidR="00681674" w:rsidRPr="002C6715">
        <w:rPr>
          <w:rFonts w:ascii="Arial" w:hAnsi="Arial" w:cs="Arial"/>
          <w:iCs/>
        </w:rPr>
        <w:t xml:space="preserve">it because the court </w:t>
      </w:r>
      <w:r w:rsidR="00DE286F" w:rsidRPr="002C6715">
        <w:rPr>
          <w:rFonts w:ascii="Arial" w:hAnsi="Arial" w:cs="Arial"/>
          <w:iCs/>
        </w:rPr>
        <w:t xml:space="preserve">considered </w:t>
      </w:r>
      <w:r w:rsidR="00DE286F" w:rsidRPr="002C6715">
        <w:rPr>
          <w:rFonts w:ascii="Arial" w:hAnsi="Arial" w:cs="Arial"/>
        </w:rPr>
        <w:t xml:space="preserve">that </w:t>
      </w:r>
      <w:r w:rsidR="00017D10" w:rsidRPr="002C6715">
        <w:rPr>
          <w:rFonts w:ascii="Arial" w:hAnsi="Arial" w:cs="Arial"/>
        </w:rPr>
        <w:t>the facts of the case did</w:t>
      </w:r>
      <w:r w:rsidR="00394696" w:rsidRPr="002C6715">
        <w:rPr>
          <w:rFonts w:ascii="Arial" w:hAnsi="Arial" w:cs="Arial"/>
        </w:rPr>
        <w:t xml:space="preserve"> </w:t>
      </w:r>
      <w:r w:rsidR="00017D10" w:rsidRPr="002C6715">
        <w:rPr>
          <w:rFonts w:ascii="Arial" w:hAnsi="Arial" w:cs="Arial"/>
        </w:rPr>
        <w:t>not</w:t>
      </w:r>
      <w:r w:rsidR="00681674" w:rsidRPr="002C6715">
        <w:rPr>
          <w:rFonts w:ascii="Arial" w:hAnsi="Arial" w:cs="Arial"/>
        </w:rPr>
        <w:t xml:space="preserve"> </w:t>
      </w:r>
      <w:r w:rsidR="00017D10" w:rsidRPr="002C6715">
        <w:rPr>
          <w:rFonts w:ascii="Arial" w:hAnsi="Arial" w:cs="Arial"/>
        </w:rPr>
        <w:t xml:space="preserve">fall </w:t>
      </w:r>
      <w:r w:rsidR="00017D10" w:rsidRPr="002C6715">
        <w:rPr>
          <w:rFonts w:ascii="Arial" w:hAnsi="Arial" w:cs="Arial"/>
          <w:iCs/>
        </w:rPr>
        <w:t>within the exception.</w:t>
      </w:r>
      <w:r w:rsidR="00017D10" w:rsidRPr="002C6715">
        <w:rPr>
          <w:rFonts w:ascii="Arial" w:hAnsi="Arial" w:cs="Arial"/>
          <w:i/>
        </w:rPr>
        <w:t xml:space="preserve"> </w:t>
      </w:r>
      <w:r w:rsidR="00017D10" w:rsidRPr="002C6715">
        <w:rPr>
          <w:rFonts w:ascii="Arial" w:hAnsi="Arial" w:cs="Arial"/>
          <w:iCs/>
        </w:rPr>
        <w:t>However, as noted in</w:t>
      </w:r>
      <w:r w:rsidR="00017D10" w:rsidRPr="002C6715">
        <w:rPr>
          <w:rFonts w:ascii="Arial" w:hAnsi="Arial" w:cs="Arial"/>
          <w:i/>
        </w:rPr>
        <w:t xml:space="preserve"> </w:t>
      </w:r>
      <w:bookmarkStart w:id="18" w:name="_Hlk93058615"/>
      <w:r w:rsidR="00017D10" w:rsidRPr="002C6715">
        <w:rPr>
          <w:rFonts w:ascii="Arial" w:hAnsi="Arial" w:cs="Arial"/>
          <w:i/>
          <w:iCs/>
        </w:rPr>
        <w:t xml:space="preserve">Lewis Group Ltd v Woollam &amp; Others </w:t>
      </w:r>
      <w:bookmarkStart w:id="19" w:name="_Hlk93082225"/>
      <w:r w:rsidR="00E51BF3" w:rsidRPr="002C6715">
        <w:rPr>
          <w:rFonts w:ascii="Arial" w:hAnsi="Arial" w:cs="Arial"/>
        </w:rPr>
        <w:t xml:space="preserve">[2017] 1 All SA 192 (WCC); </w:t>
      </w:r>
      <w:bookmarkEnd w:id="19"/>
      <w:r w:rsidR="00017D10" w:rsidRPr="002C6715">
        <w:rPr>
          <w:rFonts w:ascii="Arial" w:hAnsi="Arial" w:cs="Arial"/>
        </w:rPr>
        <w:t>2017 (2) SA 547 (</w:t>
      </w:r>
      <w:r w:rsidR="003E21AC" w:rsidRPr="002C6715">
        <w:rPr>
          <w:rFonts w:ascii="Arial" w:hAnsi="Arial" w:cs="Arial"/>
        </w:rPr>
        <w:t>WC</w:t>
      </w:r>
      <w:r w:rsidR="00017D10" w:rsidRPr="002C6715">
        <w:rPr>
          <w:rFonts w:ascii="Arial" w:hAnsi="Arial" w:cs="Arial"/>
        </w:rPr>
        <w:t>C) para 30</w:t>
      </w:r>
      <w:bookmarkEnd w:id="18"/>
      <w:r w:rsidR="00017D10" w:rsidRPr="002C6715">
        <w:rPr>
          <w:rFonts w:ascii="Arial" w:hAnsi="Arial" w:cs="Arial"/>
        </w:rPr>
        <w:t>, subsequent decisions of this Court appear to have accepted, without discussion, that the common law exception form</w:t>
      </w:r>
      <w:r w:rsidR="00CF62C8" w:rsidRPr="002C6715">
        <w:rPr>
          <w:rFonts w:ascii="Arial" w:hAnsi="Arial" w:cs="Arial"/>
        </w:rPr>
        <w:t>s</w:t>
      </w:r>
      <w:r w:rsidR="00017D10" w:rsidRPr="002C6715">
        <w:rPr>
          <w:rFonts w:ascii="Arial" w:hAnsi="Arial" w:cs="Arial"/>
        </w:rPr>
        <w:t xml:space="preserve"> part of our law.</w:t>
      </w:r>
      <w:r w:rsidR="006F602D" w:rsidRPr="002C6715">
        <w:rPr>
          <w:rStyle w:val="FootnoteReference"/>
          <w:rFonts w:ascii="Arial" w:hAnsi="Arial" w:cs="Arial"/>
          <w:bCs/>
        </w:rPr>
        <w:footnoteReference w:id="1"/>
      </w:r>
      <w:r w:rsidR="00017D10" w:rsidRPr="002C6715">
        <w:rPr>
          <w:rFonts w:ascii="Arial" w:hAnsi="Arial" w:cs="Arial"/>
        </w:rPr>
        <w:t xml:space="preserve"> </w:t>
      </w:r>
      <w:bookmarkEnd w:id="17"/>
    </w:p>
    <w:p w14:paraId="27358CD8" w14:textId="24CA454F" w:rsidR="00DD1DB7" w:rsidRPr="002C6715" w:rsidRDefault="00017D10" w:rsidP="00DD1DB7">
      <w:pPr>
        <w:pStyle w:val="MEMONUMBERED"/>
        <w:numPr>
          <w:ilvl w:val="0"/>
          <w:numId w:val="1"/>
        </w:numPr>
        <w:kinsoku w:val="0"/>
        <w:overflowPunct w:val="0"/>
        <w:autoSpaceDE w:val="0"/>
        <w:autoSpaceDN w:val="0"/>
        <w:adjustRightInd w:val="0"/>
        <w:spacing w:before="1" w:line="360" w:lineRule="auto"/>
        <w:ind w:left="0" w:right="-7" w:firstLine="0"/>
        <w:rPr>
          <w:rFonts w:ascii="Arial" w:hAnsi="Arial" w:cs="Arial"/>
          <w:bCs/>
        </w:rPr>
      </w:pPr>
      <w:r w:rsidRPr="002C6715">
        <w:rPr>
          <w:rFonts w:ascii="Arial" w:hAnsi="Arial" w:cs="Arial"/>
          <w:bCs/>
        </w:rPr>
        <w:t>In this Court, the following contentions were advanced on behalf of Dube</w:t>
      </w:r>
      <w:r w:rsidR="00624D22" w:rsidRPr="002C6715">
        <w:rPr>
          <w:rFonts w:ascii="Arial" w:hAnsi="Arial" w:cs="Arial"/>
          <w:bCs/>
        </w:rPr>
        <w:t xml:space="preserve"> Tradeport</w:t>
      </w:r>
      <w:r w:rsidRPr="002C6715">
        <w:rPr>
          <w:rFonts w:ascii="Arial" w:hAnsi="Arial" w:cs="Arial"/>
          <w:bCs/>
        </w:rPr>
        <w:t xml:space="preserve">. Because the common </w:t>
      </w:r>
      <w:r w:rsidR="00CC5563" w:rsidRPr="002C6715">
        <w:rPr>
          <w:rFonts w:ascii="Arial" w:hAnsi="Arial" w:cs="Arial"/>
          <w:bCs/>
        </w:rPr>
        <w:t xml:space="preserve">law </w:t>
      </w:r>
      <w:r w:rsidRPr="002C6715">
        <w:rPr>
          <w:rFonts w:ascii="Arial" w:hAnsi="Arial" w:cs="Arial"/>
          <w:bCs/>
        </w:rPr>
        <w:t xml:space="preserve">derivative action was abolished in </w:t>
      </w:r>
      <w:r w:rsidR="00F45956" w:rsidRPr="002C6715">
        <w:rPr>
          <w:rFonts w:ascii="Arial" w:hAnsi="Arial" w:cs="Arial"/>
          <w:bCs/>
        </w:rPr>
        <w:t xml:space="preserve">s 165(1) of </w:t>
      </w:r>
      <w:r w:rsidRPr="002C6715">
        <w:rPr>
          <w:rFonts w:ascii="Arial" w:hAnsi="Arial" w:cs="Arial"/>
          <w:bCs/>
        </w:rPr>
        <w:t xml:space="preserve">the Companies Act </w:t>
      </w:r>
      <w:r w:rsidR="006228ED" w:rsidRPr="002C6715">
        <w:rPr>
          <w:rFonts w:ascii="Arial" w:hAnsi="Arial" w:cs="Arial"/>
          <w:bCs/>
        </w:rPr>
        <w:t xml:space="preserve">71 of 2008 </w:t>
      </w:r>
      <w:r w:rsidRPr="002C6715">
        <w:rPr>
          <w:rFonts w:ascii="Arial" w:hAnsi="Arial" w:cs="Arial"/>
          <w:bCs/>
        </w:rPr>
        <w:t xml:space="preserve">and replaced with a statutory derivative action, there was no common law derivative action </w:t>
      </w:r>
      <w:r w:rsidR="00026BD2" w:rsidRPr="002C6715">
        <w:rPr>
          <w:rFonts w:ascii="Arial" w:hAnsi="Arial" w:cs="Arial"/>
          <w:bCs/>
        </w:rPr>
        <w:t xml:space="preserve">applicable </w:t>
      </w:r>
      <w:r w:rsidRPr="002C6715">
        <w:rPr>
          <w:rFonts w:ascii="Arial" w:hAnsi="Arial" w:cs="Arial"/>
          <w:bCs/>
        </w:rPr>
        <w:t xml:space="preserve">to close corporations. In any event, the appellants were barred from bringing the action by reason of ss 49 and 50 of the Close Corporation Act. Both sections are expressly limited to proceedings being instituted by </w:t>
      </w:r>
      <w:r w:rsidR="00026BD2" w:rsidRPr="002C6715">
        <w:rPr>
          <w:rFonts w:ascii="Arial" w:hAnsi="Arial" w:cs="Arial"/>
          <w:bCs/>
        </w:rPr>
        <w:t xml:space="preserve">registered members of a close corporation designated in the founding statement. </w:t>
      </w:r>
      <w:r w:rsidR="00DD1DB7" w:rsidRPr="002C6715">
        <w:rPr>
          <w:rFonts w:ascii="Arial" w:hAnsi="Arial" w:cs="Arial"/>
          <w:bCs/>
        </w:rPr>
        <w:t>Section 49(1) provides that:</w:t>
      </w:r>
    </w:p>
    <w:p w14:paraId="4C68F7D6" w14:textId="77777777" w:rsidR="00DD1DB7" w:rsidRPr="002C6715" w:rsidRDefault="00DD1DB7" w:rsidP="00DD1DB7">
      <w:pPr>
        <w:pStyle w:val="MEMONUMBERED"/>
        <w:kinsoku w:val="0"/>
        <w:overflowPunct w:val="0"/>
        <w:autoSpaceDE w:val="0"/>
        <w:autoSpaceDN w:val="0"/>
        <w:adjustRightInd w:val="0"/>
        <w:spacing w:before="1" w:after="240" w:line="360" w:lineRule="auto"/>
        <w:ind w:right="-7"/>
        <w:rPr>
          <w:rFonts w:ascii="Arial" w:hAnsi="Arial" w:cs="Arial"/>
          <w:bCs/>
          <w:sz w:val="22"/>
          <w:szCs w:val="22"/>
        </w:rPr>
      </w:pPr>
      <w:r w:rsidRPr="002C6715">
        <w:rPr>
          <w:rFonts w:ascii="Arial" w:hAnsi="Arial" w:cs="Arial"/>
          <w:bCs/>
          <w:sz w:val="22"/>
          <w:szCs w:val="22"/>
        </w:rPr>
        <w:t>‘Any member of a corporation who alleges that any particular act or omission of the corporation or one or more other members is unfairly prejudicial, unjust or inequitable to him or her, or to some members including him or her, or that the affairs of the corporation are being conducted in a manner unfairly prejudicial, unjust or inequitable to him or her, or to some members including him or her, may make an application to a Court for an order under this section.’</w:t>
      </w:r>
    </w:p>
    <w:p w14:paraId="4D3C88D7" w14:textId="3B4910FF" w:rsidR="00DD1DB7" w:rsidRPr="002C6715" w:rsidRDefault="00DD1DB7" w:rsidP="00CA5E89">
      <w:pPr>
        <w:pStyle w:val="MEMONUMBERED"/>
        <w:kinsoku w:val="0"/>
        <w:overflowPunct w:val="0"/>
        <w:autoSpaceDE w:val="0"/>
        <w:autoSpaceDN w:val="0"/>
        <w:adjustRightInd w:val="0"/>
        <w:spacing w:before="1" w:after="480" w:line="360" w:lineRule="auto"/>
        <w:ind w:right="-7"/>
        <w:rPr>
          <w:rFonts w:ascii="Arial" w:hAnsi="Arial" w:cs="Arial"/>
          <w:bCs/>
        </w:rPr>
      </w:pPr>
      <w:r w:rsidRPr="002C6715">
        <w:rPr>
          <w:rFonts w:ascii="Arial" w:hAnsi="Arial" w:cs="Arial"/>
          <w:bCs/>
        </w:rPr>
        <w:t>Section 50 gives the right to a member to institute proceedings against fellow-members on behalf of corporation, where among other things, a member or a former member of a corporation is liable to the corporation for (a) breach of a duty arising from his or her fiduciary relationship to the corporation in terms of s 42; or (b) negligence in terms of s 43.</w:t>
      </w:r>
    </w:p>
    <w:p w14:paraId="270F7950" w14:textId="3E7B4D16" w:rsidR="00017D10" w:rsidRPr="002C6715" w:rsidRDefault="00DD1DB7" w:rsidP="007C2A0D">
      <w:pPr>
        <w:pStyle w:val="MEMONUMBERED"/>
        <w:numPr>
          <w:ilvl w:val="0"/>
          <w:numId w:val="1"/>
        </w:numPr>
        <w:kinsoku w:val="0"/>
        <w:overflowPunct w:val="0"/>
        <w:autoSpaceDE w:val="0"/>
        <w:autoSpaceDN w:val="0"/>
        <w:adjustRightInd w:val="0"/>
        <w:spacing w:before="1" w:after="480" w:line="360" w:lineRule="auto"/>
        <w:ind w:left="0" w:right="-7" w:firstLine="0"/>
        <w:rPr>
          <w:rFonts w:ascii="Arial" w:hAnsi="Arial" w:cs="Arial"/>
          <w:bCs/>
        </w:rPr>
      </w:pPr>
      <w:r w:rsidRPr="002C6715">
        <w:rPr>
          <w:rFonts w:ascii="Arial" w:hAnsi="Arial" w:cs="Arial"/>
          <w:bCs/>
        </w:rPr>
        <w:t>The contention on behalf of Dube Tradeport was that, a</w:t>
      </w:r>
      <w:r w:rsidR="00017D10" w:rsidRPr="002C6715">
        <w:rPr>
          <w:rFonts w:ascii="Arial" w:hAnsi="Arial" w:cs="Arial"/>
          <w:bCs/>
        </w:rPr>
        <w:t>s Sagadava is not</w:t>
      </w:r>
      <w:r w:rsidR="00942770" w:rsidRPr="002C6715">
        <w:rPr>
          <w:rFonts w:ascii="Arial" w:hAnsi="Arial" w:cs="Arial"/>
          <w:bCs/>
        </w:rPr>
        <w:t xml:space="preserve"> </w:t>
      </w:r>
      <w:r w:rsidR="00017D10" w:rsidRPr="002C6715">
        <w:rPr>
          <w:rFonts w:ascii="Arial" w:hAnsi="Arial" w:cs="Arial"/>
          <w:bCs/>
        </w:rPr>
        <w:t>a member</w:t>
      </w:r>
      <w:r w:rsidRPr="002C6715">
        <w:rPr>
          <w:rFonts w:ascii="Arial" w:hAnsi="Arial" w:cs="Arial"/>
          <w:bCs/>
        </w:rPr>
        <w:t xml:space="preserve"> of Odora</w:t>
      </w:r>
      <w:r w:rsidR="00017D10" w:rsidRPr="002C6715">
        <w:rPr>
          <w:rFonts w:ascii="Arial" w:hAnsi="Arial" w:cs="Arial"/>
          <w:bCs/>
        </w:rPr>
        <w:t xml:space="preserve">, </w:t>
      </w:r>
      <w:r w:rsidR="00942770" w:rsidRPr="002C6715">
        <w:rPr>
          <w:rFonts w:ascii="Arial" w:hAnsi="Arial" w:cs="Arial"/>
          <w:bCs/>
        </w:rPr>
        <w:t>he is excluded from pursuing any legal proceedings on behalf of Odora. I</w:t>
      </w:r>
      <w:r w:rsidR="00017D10" w:rsidRPr="002C6715">
        <w:rPr>
          <w:rFonts w:ascii="Arial" w:hAnsi="Arial" w:cs="Arial"/>
          <w:bCs/>
        </w:rPr>
        <w:t xml:space="preserve">t was </w:t>
      </w:r>
      <w:r w:rsidR="00942770" w:rsidRPr="002C6715">
        <w:rPr>
          <w:rFonts w:ascii="Arial" w:hAnsi="Arial" w:cs="Arial"/>
          <w:bCs/>
        </w:rPr>
        <w:t xml:space="preserve">also </w:t>
      </w:r>
      <w:r w:rsidR="00017D10" w:rsidRPr="002C6715">
        <w:rPr>
          <w:rFonts w:ascii="Arial" w:hAnsi="Arial" w:cs="Arial"/>
          <w:bCs/>
        </w:rPr>
        <w:t>incompetent</w:t>
      </w:r>
      <w:r w:rsidR="006228ED" w:rsidRPr="002C6715">
        <w:rPr>
          <w:rFonts w:ascii="Arial" w:hAnsi="Arial" w:cs="Arial"/>
          <w:bCs/>
        </w:rPr>
        <w:t>, so w</w:t>
      </w:r>
      <w:r w:rsidR="00316206" w:rsidRPr="002C6715">
        <w:rPr>
          <w:rFonts w:ascii="Arial" w:hAnsi="Arial" w:cs="Arial"/>
          <w:bCs/>
        </w:rPr>
        <w:t>as</w:t>
      </w:r>
      <w:r w:rsidR="006228ED" w:rsidRPr="002C6715">
        <w:rPr>
          <w:rFonts w:ascii="Arial" w:hAnsi="Arial" w:cs="Arial"/>
          <w:bCs/>
        </w:rPr>
        <w:t xml:space="preserve"> the contention,</w:t>
      </w:r>
      <w:r w:rsidR="00017D10" w:rsidRPr="002C6715">
        <w:rPr>
          <w:rFonts w:ascii="Arial" w:hAnsi="Arial" w:cs="Arial"/>
          <w:bCs/>
        </w:rPr>
        <w:t xml:space="preserve"> for Odora to bring an action itself or </w:t>
      </w:r>
      <w:r w:rsidR="00942770" w:rsidRPr="002C6715">
        <w:rPr>
          <w:rFonts w:ascii="Arial" w:hAnsi="Arial" w:cs="Arial"/>
          <w:bCs/>
        </w:rPr>
        <w:t xml:space="preserve">to be </w:t>
      </w:r>
      <w:r w:rsidR="00017D10" w:rsidRPr="002C6715">
        <w:rPr>
          <w:rFonts w:ascii="Arial" w:hAnsi="Arial" w:cs="Arial"/>
          <w:bCs/>
        </w:rPr>
        <w:t xml:space="preserve">assisted by </w:t>
      </w:r>
      <w:r w:rsidR="00942770" w:rsidRPr="002C6715">
        <w:rPr>
          <w:rFonts w:ascii="Arial" w:hAnsi="Arial" w:cs="Arial"/>
          <w:bCs/>
        </w:rPr>
        <w:t xml:space="preserve">a non-member, </w:t>
      </w:r>
      <w:r w:rsidR="00017D10" w:rsidRPr="002C6715">
        <w:rPr>
          <w:rFonts w:ascii="Arial" w:hAnsi="Arial" w:cs="Arial"/>
          <w:bCs/>
        </w:rPr>
        <w:t xml:space="preserve">Sagadava. </w:t>
      </w:r>
    </w:p>
    <w:p w14:paraId="17ADBBA5" w14:textId="20150E29" w:rsidR="00017D10" w:rsidRPr="002C6715" w:rsidRDefault="00017D10" w:rsidP="007C2A0D">
      <w:pPr>
        <w:pStyle w:val="MEMONUMBERED"/>
        <w:numPr>
          <w:ilvl w:val="0"/>
          <w:numId w:val="1"/>
        </w:numPr>
        <w:kinsoku w:val="0"/>
        <w:overflowPunct w:val="0"/>
        <w:autoSpaceDE w:val="0"/>
        <w:autoSpaceDN w:val="0"/>
        <w:adjustRightInd w:val="0"/>
        <w:spacing w:before="1" w:after="480" w:line="360" w:lineRule="auto"/>
        <w:ind w:left="0" w:right="-7" w:firstLine="0"/>
        <w:rPr>
          <w:rFonts w:ascii="Arial" w:hAnsi="Arial" w:cs="Arial"/>
          <w:bCs/>
        </w:rPr>
      </w:pPr>
      <w:r w:rsidRPr="002C6715">
        <w:rPr>
          <w:rFonts w:ascii="Arial" w:hAnsi="Arial" w:cs="Arial"/>
          <w:bCs/>
        </w:rPr>
        <w:t xml:space="preserve">It seems </w:t>
      </w:r>
      <w:r w:rsidR="00942770" w:rsidRPr="002C6715">
        <w:rPr>
          <w:rFonts w:ascii="Arial" w:hAnsi="Arial" w:cs="Arial"/>
          <w:bCs/>
        </w:rPr>
        <w:t xml:space="preserve">to me </w:t>
      </w:r>
      <w:r w:rsidR="002E4BA9" w:rsidRPr="002C6715">
        <w:rPr>
          <w:rFonts w:ascii="Arial" w:hAnsi="Arial" w:cs="Arial"/>
          <w:bCs/>
        </w:rPr>
        <w:t>there are</w:t>
      </w:r>
      <w:r w:rsidR="00942770" w:rsidRPr="002C6715">
        <w:rPr>
          <w:rFonts w:ascii="Arial" w:hAnsi="Arial" w:cs="Arial"/>
          <w:bCs/>
        </w:rPr>
        <w:t xml:space="preserve"> three</w:t>
      </w:r>
      <w:r w:rsidR="002E4BA9" w:rsidRPr="002C6715">
        <w:rPr>
          <w:rFonts w:ascii="Arial" w:hAnsi="Arial" w:cs="Arial"/>
          <w:bCs/>
        </w:rPr>
        <w:t xml:space="preserve"> issues for determination. T</w:t>
      </w:r>
      <w:r w:rsidR="00462A4F" w:rsidRPr="002C6715">
        <w:rPr>
          <w:rFonts w:ascii="Arial" w:hAnsi="Arial" w:cs="Arial"/>
          <w:bCs/>
        </w:rPr>
        <w:t xml:space="preserve">he anterior </w:t>
      </w:r>
      <w:r w:rsidR="002E4BA9" w:rsidRPr="002C6715">
        <w:rPr>
          <w:rFonts w:ascii="Arial" w:hAnsi="Arial" w:cs="Arial"/>
          <w:bCs/>
        </w:rPr>
        <w:t xml:space="preserve">issue </w:t>
      </w:r>
      <w:r w:rsidR="00462A4F" w:rsidRPr="002C6715">
        <w:rPr>
          <w:rFonts w:ascii="Arial" w:hAnsi="Arial" w:cs="Arial"/>
          <w:bCs/>
        </w:rPr>
        <w:t xml:space="preserve">is </w:t>
      </w:r>
      <w:r w:rsidR="00624D22" w:rsidRPr="002C6715">
        <w:rPr>
          <w:rFonts w:ascii="Arial" w:hAnsi="Arial" w:cs="Arial"/>
          <w:bCs/>
        </w:rPr>
        <w:t xml:space="preserve">the locus standi of both Sagadava </w:t>
      </w:r>
      <w:r w:rsidR="00942770" w:rsidRPr="002C6715">
        <w:rPr>
          <w:rFonts w:ascii="Arial" w:hAnsi="Arial" w:cs="Arial"/>
          <w:bCs/>
        </w:rPr>
        <w:t xml:space="preserve">and </w:t>
      </w:r>
      <w:r w:rsidR="00624D22" w:rsidRPr="002C6715">
        <w:rPr>
          <w:rFonts w:ascii="Arial" w:hAnsi="Arial" w:cs="Arial"/>
          <w:bCs/>
        </w:rPr>
        <w:t>Odora.</w:t>
      </w:r>
      <w:r w:rsidRPr="002C6715">
        <w:rPr>
          <w:rFonts w:ascii="Arial" w:hAnsi="Arial" w:cs="Arial"/>
          <w:bCs/>
        </w:rPr>
        <w:t xml:space="preserve"> </w:t>
      </w:r>
      <w:r w:rsidR="00624D22" w:rsidRPr="002C6715">
        <w:rPr>
          <w:rFonts w:ascii="Arial" w:hAnsi="Arial" w:cs="Arial"/>
          <w:bCs/>
        </w:rPr>
        <w:t xml:space="preserve">That is dependent on </w:t>
      </w:r>
      <w:r w:rsidRPr="002C6715">
        <w:rPr>
          <w:rFonts w:ascii="Arial" w:hAnsi="Arial" w:cs="Arial"/>
          <w:bCs/>
        </w:rPr>
        <w:t>Sagadava</w:t>
      </w:r>
      <w:r w:rsidR="00624D22" w:rsidRPr="002C6715">
        <w:rPr>
          <w:rFonts w:ascii="Arial" w:hAnsi="Arial" w:cs="Arial"/>
          <w:bCs/>
        </w:rPr>
        <w:t xml:space="preserve">’s claim that he is the ‘beneficial owner’ </w:t>
      </w:r>
      <w:r w:rsidR="00840B4E" w:rsidRPr="002C6715">
        <w:rPr>
          <w:rFonts w:ascii="Arial" w:hAnsi="Arial" w:cs="Arial"/>
          <w:bCs/>
        </w:rPr>
        <w:t xml:space="preserve">of </w:t>
      </w:r>
      <w:r w:rsidR="00624D22" w:rsidRPr="002C6715">
        <w:rPr>
          <w:rFonts w:ascii="Arial" w:hAnsi="Arial" w:cs="Arial"/>
          <w:bCs/>
        </w:rPr>
        <w:t>the member’s interest in Odora</w:t>
      </w:r>
      <w:r w:rsidR="00462A4F" w:rsidRPr="002C6715">
        <w:rPr>
          <w:rFonts w:ascii="Arial" w:hAnsi="Arial" w:cs="Arial"/>
          <w:bCs/>
        </w:rPr>
        <w:t>.</w:t>
      </w:r>
      <w:r w:rsidRPr="002C6715">
        <w:rPr>
          <w:rFonts w:ascii="Arial" w:hAnsi="Arial" w:cs="Arial"/>
          <w:bCs/>
        </w:rPr>
        <w:t xml:space="preserve"> </w:t>
      </w:r>
      <w:r w:rsidR="00C32325" w:rsidRPr="002C6715">
        <w:rPr>
          <w:rFonts w:ascii="Arial" w:hAnsi="Arial" w:cs="Arial"/>
          <w:bCs/>
        </w:rPr>
        <w:t>The second</w:t>
      </w:r>
      <w:r w:rsidR="00B024EF" w:rsidRPr="002C6715">
        <w:rPr>
          <w:rFonts w:ascii="Arial" w:hAnsi="Arial" w:cs="Arial"/>
          <w:bCs/>
        </w:rPr>
        <w:t xml:space="preserve"> issue</w:t>
      </w:r>
      <w:r w:rsidR="00C32325" w:rsidRPr="002C6715">
        <w:rPr>
          <w:rFonts w:ascii="Arial" w:hAnsi="Arial" w:cs="Arial"/>
          <w:bCs/>
        </w:rPr>
        <w:t xml:space="preserve"> is </w:t>
      </w:r>
      <w:r w:rsidRPr="002C6715">
        <w:rPr>
          <w:rFonts w:ascii="Arial" w:hAnsi="Arial" w:cs="Arial"/>
          <w:bCs/>
        </w:rPr>
        <w:t xml:space="preserve">whether a common law derivative action upon which </w:t>
      </w:r>
      <w:bookmarkStart w:id="20" w:name="_Hlk92656494"/>
      <w:r w:rsidRPr="002C6715">
        <w:rPr>
          <w:rFonts w:ascii="Arial" w:hAnsi="Arial" w:cs="Arial"/>
          <w:bCs/>
        </w:rPr>
        <w:t>Sagadava</w:t>
      </w:r>
      <w:bookmarkEnd w:id="20"/>
      <w:r w:rsidRPr="002C6715">
        <w:rPr>
          <w:rFonts w:ascii="Arial" w:hAnsi="Arial" w:cs="Arial"/>
          <w:bCs/>
        </w:rPr>
        <w:t xml:space="preserve"> relies, is available in respect of close corporations. </w:t>
      </w:r>
      <w:r w:rsidR="00B024EF" w:rsidRPr="002C6715">
        <w:rPr>
          <w:rFonts w:ascii="Arial" w:hAnsi="Arial" w:cs="Arial"/>
          <w:bCs/>
        </w:rPr>
        <w:t xml:space="preserve">If it is, </w:t>
      </w:r>
      <w:r w:rsidR="00942770" w:rsidRPr="002C6715">
        <w:rPr>
          <w:rFonts w:ascii="Arial" w:hAnsi="Arial" w:cs="Arial"/>
          <w:bCs/>
        </w:rPr>
        <w:t xml:space="preserve">a subset of that </w:t>
      </w:r>
      <w:r w:rsidR="00B024EF" w:rsidRPr="002C6715">
        <w:rPr>
          <w:rFonts w:ascii="Arial" w:hAnsi="Arial" w:cs="Arial"/>
          <w:bCs/>
        </w:rPr>
        <w:t xml:space="preserve">is whether Sagadava is entitled to bring such action on behalf of Odora. </w:t>
      </w:r>
      <w:r w:rsidR="00C32325" w:rsidRPr="002C6715">
        <w:rPr>
          <w:rFonts w:ascii="Arial" w:hAnsi="Arial" w:cs="Arial"/>
          <w:bCs/>
        </w:rPr>
        <w:t xml:space="preserve">The </w:t>
      </w:r>
      <w:r w:rsidR="00AE0E00" w:rsidRPr="002C6715">
        <w:rPr>
          <w:rFonts w:ascii="Arial" w:hAnsi="Arial" w:cs="Arial"/>
          <w:bCs/>
        </w:rPr>
        <w:t xml:space="preserve">third </w:t>
      </w:r>
      <w:r w:rsidR="00C32325" w:rsidRPr="002C6715">
        <w:rPr>
          <w:rFonts w:ascii="Arial" w:hAnsi="Arial" w:cs="Arial"/>
          <w:bCs/>
        </w:rPr>
        <w:t>is whether s 54 of the Close Corporations Act protects Dube Tradeport.</w:t>
      </w:r>
      <w:r w:rsidR="00B024EF" w:rsidRPr="002C6715">
        <w:rPr>
          <w:rFonts w:ascii="Arial" w:hAnsi="Arial" w:cs="Arial"/>
          <w:bCs/>
        </w:rPr>
        <w:t xml:space="preserve"> Needless to say, </w:t>
      </w:r>
      <w:r w:rsidR="00AE0E00" w:rsidRPr="002C6715">
        <w:rPr>
          <w:rFonts w:ascii="Arial" w:hAnsi="Arial" w:cs="Arial"/>
          <w:bCs/>
        </w:rPr>
        <w:t xml:space="preserve">both </w:t>
      </w:r>
      <w:r w:rsidR="00B024EF" w:rsidRPr="002C6715">
        <w:rPr>
          <w:rFonts w:ascii="Arial" w:hAnsi="Arial" w:cs="Arial"/>
          <w:bCs/>
        </w:rPr>
        <w:t>the second</w:t>
      </w:r>
      <w:r w:rsidR="00AE0E00" w:rsidRPr="002C6715">
        <w:rPr>
          <w:rFonts w:ascii="Arial" w:hAnsi="Arial" w:cs="Arial"/>
          <w:bCs/>
        </w:rPr>
        <w:t xml:space="preserve"> and</w:t>
      </w:r>
      <w:r w:rsidR="00B024EF" w:rsidRPr="002C6715">
        <w:rPr>
          <w:rFonts w:ascii="Arial" w:hAnsi="Arial" w:cs="Arial"/>
          <w:bCs/>
        </w:rPr>
        <w:t xml:space="preserve"> third issues arise only if the anterior issue is answered in the affirmative.  </w:t>
      </w:r>
    </w:p>
    <w:p w14:paraId="7F046AA6" w14:textId="051BDDBD" w:rsidR="00462A4F" w:rsidRPr="002C6715" w:rsidRDefault="00C907B6" w:rsidP="003238AC">
      <w:pPr>
        <w:pStyle w:val="MEMONUMBERED"/>
        <w:numPr>
          <w:ilvl w:val="0"/>
          <w:numId w:val="1"/>
        </w:numPr>
        <w:kinsoku w:val="0"/>
        <w:overflowPunct w:val="0"/>
        <w:autoSpaceDE w:val="0"/>
        <w:autoSpaceDN w:val="0"/>
        <w:adjustRightInd w:val="0"/>
        <w:spacing w:before="1" w:line="360" w:lineRule="auto"/>
        <w:ind w:left="0" w:right="-7" w:firstLine="0"/>
        <w:rPr>
          <w:rFonts w:ascii="Arial" w:hAnsi="Arial" w:cs="Arial"/>
          <w:bCs/>
        </w:rPr>
      </w:pPr>
      <w:r w:rsidRPr="002C6715">
        <w:rPr>
          <w:rFonts w:ascii="Arial" w:hAnsi="Arial" w:cs="Arial"/>
          <w:bCs/>
        </w:rPr>
        <w:t xml:space="preserve">With regard to the </w:t>
      </w:r>
      <w:r w:rsidR="00AE0E00" w:rsidRPr="002C6715">
        <w:rPr>
          <w:rFonts w:ascii="Arial" w:hAnsi="Arial" w:cs="Arial"/>
          <w:bCs/>
        </w:rPr>
        <w:t>anterior issue</w:t>
      </w:r>
      <w:r w:rsidRPr="002C6715">
        <w:rPr>
          <w:rFonts w:ascii="Arial" w:hAnsi="Arial" w:cs="Arial"/>
          <w:bCs/>
        </w:rPr>
        <w:t xml:space="preserve">, regard must be had to the pleadings. </w:t>
      </w:r>
      <w:r w:rsidR="00FE26B6" w:rsidRPr="002C6715">
        <w:rPr>
          <w:rFonts w:ascii="Arial" w:hAnsi="Arial" w:cs="Arial"/>
          <w:bCs/>
        </w:rPr>
        <w:t xml:space="preserve">               </w:t>
      </w:r>
      <w:r w:rsidR="00462A4F" w:rsidRPr="002C6715">
        <w:rPr>
          <w:rFonts w:ascii="Arial" w:hAnsi="Arial" w:cs="Arial"/>
          <w:bCs/>
        </w:rPr>
        <w:t xml:space="preserve">As mentioned already, Sagadava was cited in the summons as the first plaintiff and Odora as the second plaintiff. The complaint </w:t>
      </w:r>
      <w:r w:rsidR="00AE0E00" w:rsidRPr="002C6715">
        <w:rPr>
          <w:rFonts w:ascii="Arial" w:hAnsi="Arial" w:cs="Arial"/>
          <w:bCs/>
        </w:rPr>
        <w:t xml:space="preserve">in the exception </w:t>
      </w:r>
      <w:r w:rsidR="00462A4F" w:rsidRPr="002C6715">
        <w:rPr>
          <w:rFonts w:ascii="Arial" w:hAnsi="Arial" w:cs="Arial"/>
          <w:bCs/>
        </w:rPr>
        <w:t xml:space="preserve">is that Sagadava should have brought the action in his own name on behalf of Odora, and not in Odora’s name. </w:t>
      </w:r>
      <w:r w:rsidR="00AE0E00" w:rsidRPr="002C6715">
        <w:rPr>
          <w:rFonts w:ascii="Arial" w:hAnsi="Arial" w:cs="Arial"/>
          <w:bCs/>
        </w:rPr>
        <w:t xml:space="preserve">To consider this complaint, the allegations in the particulars of claim must be read as a whole and in context. </w:t>
      </w:r>
      <w:r w:rsidR="00462A4F" w:rsidRPr="002C6715">
        <w:rPr>
          <w:rFonts w:ascii="Arial" w:hAnsi="Arial" w:cs="Arial"/>
          <w:bCs/>
        </w:rPr>
        <w:t xml:space="preserve">In relevant parts, the </w:t>
      </w:r>
      <w:r w:rsidR="00AE0E00" w:rsidRPr="002C6715">
        <w:rPr>
          <w:rFonts w:ascii="Arial" w:hAnsi="Arial" w:cs="Arial"/>
          <w:bCs/>
        </w:rPr>
        <w:t>particular</w:t>
      </w:r>
      <w:r w:rsidR="00DC2034" w:rsidRPr="002C6715">
        <w:rPr>
          <w:rFonts w:ascii="Arial" w:hAnsi="Arial" w:cs="Arial"/>
          <w:bCs/>
        </w:rPr>
        <w:t xml:space="preserve">s of claim contain the </w:t>
      </w:r>
      <w:r w:rsidR="00462A4F" w:rsidRPr="002C6715">
        <w:rPr>
          <w:rFonts w:ascii="Arial" w:hAnsi="Arial" w:cs="Arial"/>
          <w:bCs/>
        </w:rPr>
        <w:t>following allegations</w:t>
      </w:r>
      <w:r w:rsidR="00DC2034" w:rsidRPr="002C6715">
        <w:rPr>
          <w:rFonts w:ascii="Arial" w:hAnsi="Arial" w:cs="Arial"/>
          <w:bCs/>
        </w:rPr>
        <w:t>:</w:t>
      </w:r>
      <w:r w:rsidR="00462A4F" w:rsidRPr="002C6715">
        <w:rPr>
          <w:rFonts w:ascii="Arial" w:hAnsi="Arial" w:cs="Arial"/>
          <w:bCs/>
        </w:rPr>
        <w:t xml:space="preserve"> </w:t>
      </w:r>
    </w:p>
    <w:p w14:paraId="677C6DF8" w14:textId="77777777" w:rsidR="00462A4F" w:rsidRPr="002C6715" w:rsidRDefault="00462A4F" w:rsidP="00462A4F">
      <w:pPr>
        <w:pStyle w:val="JUDGMENTNUMBERED"/>
        <w:numPr>
          <w:ilvl w:val="0"/>
          <w:numId w:val="0"/>
        </w:numPr>
        <w:kinsoku w:val="0"/>
        <w:overflowPunct w:val="0"/>
        <w:autoSpaceDE w:val="0"/>
        <w:autoSpaceDN w:val="0"/>
        <w:adjustRightInd w:val="0"/>
        <w:spacing w:before="1"/>
        <w:ind w:right="-7"/>
        <w:rPr>
          <w:rFonts w:ascii="Arial" w:hAnsi="Arial" w:cs="Arial"/>
          <w:bCs/>
          <w:sz w:val="22"/>
        </w:rPr>
      </w:pPr>
      <w:r w:rsidRPr="002C6715">
        <w:rPr>
          <w:rFonts w:ascii="Arial" w:hAnsi="Arial" w:cs="Arial"/>
          <w:bCs/>
          <w:sz w:val="22"/>
        </w:rPr>
        <w:t>‘[3]   As pleaded more fully below this action is partially a derivative action by [Sagadava] on behalf of [Odora]</w:t>
      </w:r>
      <w:r w:rsidR="00DC2034" w:rsidRPr="002C6715">
        <w:rPr>
          <w:rFonts w:ascii="Arial" w:hAnsi="Arial" w:cs="Arial"/>
          <w:bCs/>
          <w:sz w:val="22"/>
        </w:rPr>
        <w:t xml:space="preserve"> </w:t>
      </w:r>
      <w:r w:rsidRPr="002C6715">
        <w:rPr>
          <w:rFonts w:ascii="Arial" w:hAnsi="Arial" w:cs="Arial"/>
          <w:bCs/>
          <w:sz w:val="22"/>
        </w:rPr>
        <w:t>which is prevented from pursuing its rights itself by virtue of the unlawful actions of [Siva</w:t>
      </w:r>
      <w:r w:rsidR="00992AD5" w:rsidRPr="002C6715">
        <w:rPr>
          <w:rFonts w:ascii="Arial" w:hAnsi="Arial" w:cs="Arial"/>
          <w:bCs/>
          <w:sz w:val="22"/>
        </w:rPr>
        <w:t>ra</w:t>
      </w:r>
      <w:r w:rsidRPr="002C6715">
        <w:rPr>
          <w:rFonts w:ascii="Arial" w:hAnsi="Arial" w:cs="Arial"/>
          <w:bCs/>
          <w:sz w:val="22"/>
        </w:rPr>
        <w:t>j</w:t>
      </w:r>
      <w:r w:rsidR="00DC2034" w:rsidRPr="002C6715">
        <w:rPr>
          <w:rFonts w:ascii="Arial" w:hAnsi="Arial" w:cs="Arial"/>
          <w:bCs/>
          <w:sz w:val="22"/>
        </w:rPr>
        <w:t>]</w:t>
      </w:r>
      <w:r w:rsidRPr="002C6715">
        <w:rPr>
          <w:rFonts w:ascii="Arial" w:hAnsi="Arial" w:cs="Arial"/>
          <w:bCs/>
          <w:sz w:val="22"/>
        </w:rPr>
        <w:t xml:space="preserve"> as the present registered member of the entire members' interest in [Odora].</w:t>
      </w:r>
    </w:p>
    <w:p w14:paraId="2B93B31D" w14:textId="77777777" w:rsidR="00462A4F" w:rsidRPr="002C6715" w:rsidRDefault="00462A4F" w:rsidP="00462A4F">
      <w:pPr>
        <w:spacing w:after="0" w:line="360" w:lineRule="auto"/>
        <w:jc w:val="both"/>
        <w:rPr>
          <w:rFonts w:ascii="Arial" w:hAnsi="Arial" w:cs="Arial"/>
          <w:bCs/>
        </w:rPr>
      </w:pPr>
      <w:r w:rsidRPr="002C6715">
        <w:rPr>
          <w:rFonts w:ascii="Arial" w:hAnsi="Arial" w:cs="Arial"/>
          <w:bCs/>
        </w:rPr>
        <w:t>…</w:t>
      </w:r>
    </w:p>
    <w:p w14:paraId="5C4B2837" w14:textId="77777777" w:rsidR="00462A4F" w:rsidRPr="002C6715" w:rsidRDefault="00462A4F" w:rsidP="00462A4F">
      <w:pPr>
        <w:spacing w:after="0" w:line="360" w:lineRule="auto"/>
        <w:jc w:val="both"/>
        <w:rPr>
          <w:rFonts w:ascii="Arial" w:hAnsi="Arial" w:cs="Arial"/>
          <w:bCs/>
        </w:rPr>
      </w:pPr>
      <w:r w:rsidRPr="002C6715">
        <w:rPr>
          <w:rFonts w:ascii="Arial" w:hAnsi="Arial" w:cs="Arial"/>
          <w:bCs/>
        </w:rPr>
        <w:t xml:space="preserve">[20] The present action is a derivative action in respect of [Odora’s] rights in relation to the purchase agreement and is also a personal action by [Sagadava] in respect of his own rights. </w:t>
      </w:r>
    </w:p>
    <w:p w14:paraId="4A52A72A" w14:textId="77777777" w:rsidR="00462A4F" w:rsidRPr="002C6715" w:rsidRDefault="00462A4F" w:rsidP="00462A4F">
      <w:pPr>
        <w:spacing w:after="120" w:line="360" w:lineRule="auto"/>
        <w:jc w:val="both"/>
        <w:rPr>
          <w:rFonts w:ascii="Arial" w:hAnsi="Arial" w:cs="Arial"/>
          <w:bCs/>
        </w:rPr>
      </w:pPr>
      <w:r w:rsidRPr="002C6715">
        <w:rPr>
          <w:rFonts w:ascii="Arial" w:hAnsi="Arial" w:cs="Arial"/>
          <w:bCs/>
        </w:rPr>
        <w:t>…</w:t>
      </w:r>
    </w:p>
    <w:p w14:paraId="5FE3C049" w14:textId="77777777" w:rsidR="00462A4F" w:rsidRPr="002C6715" w:rsidRDefault="00462A4F" w:rsidP="00462A4F">
      <w:pPr>
        <w:spacing w:line="360" w:lineRule="auto"/>
        <w:jc w:val="both"/>
        <w:rPr>
          <w:rFonts w:ascii="Arial" w:hAnsi="Arial" w:cs="Arial"/>
          <w:bCs/>
        </w:rPr>
      </w:pPr>
      <w:r w:rsidRPr="002C6715">
        <w:rPr>
          <w:rFonts w:ascii="Arial" w:hAnsi="Arial" w:cs="Arial"/>
          <w:bCs/>
        </w:rPr>
        <w:t>(31) [Odora] is prevented by [Siva</w:t>
      </w:r>
      <w:r w:rsidR="00992AD5" w:rsidRPr="002C6715">
        <w:rPr>
          <w:rFonts w:ascii="Arial" w:hAnsi="Arial" w:cs="Arial"/>
          <w:bCs/>
        </w:rPr>
        <w:t>ra</w:t>
      </w:r>
      <w:r w:rsidRPr="002C6715">
        <w:rPr>
          <w:rFonts w:ascii="Arial" w:hAnsi="Arial" w:cs="Arial"/>
          <w:bCs/>
        </w:rPr>
        <w:t>j’s] said unlawful control and actions from taking action itself in relation to the purchase agreement, and [Siva</w:t>
      </w:r>
      <w:r w:rsidR="00992AD5" w:rsidRPr="002C6715">
        <w:rPr>
          <w:rFonts w:ascii="Arial" w:hAnsi="Arial" w:cs="Arial"/>
          <w:bCs/>
        </w:rPr>
        <w:t>ra</w:t>
      </w:r>
      <w:r w:rsidRPr="002C6715">
        <w:rPr>
          <w:rFonts w:ascii="Arial" w:hAnsi="Arial" w:cs="Arial"/>
          <w:bCs/>
        </w:rPr>
        <w:t xml:space="preserve">j], purporting to act on behalf of [Odora], has refused to do so. </w:t>
      </w:r>
    </w:p>
    <w:p w14:paraId="3F549C0B" w14:textId="77777777" w:rsidR="00462A4F" w:rsidRPr="002C6715" w:rsidRDefault="00462A4F" w:rsidP="003238AC">
      <w:pPr>
        <w:spacing w:after="480" w:line="360" w:lineRule="auto"/>
        <w:jc w:val="both"/>
        <w:rPr>
          <w:rFonts w:ascii="Arial" w:hAnsi="Arial" w:cs="Arial"/>
          <w:bCs/>
        </w:rPr>
      </w:pPr>
      <w:r w:rsidRPr="002C6715">
        <w:rPr>
          <w:rFonts w:ascii="Arial" w:hAnsi="Arial" w:cs="Arial"/>
          <w:bCs/>
        </w:rPr>
        <w:t xml:space="preserve">[32] [Sagadava] is accordingly entitled, by derivative action, to do so on behalf of [Odora].’    </w:t>
      </w:r>
    </w:p>
    <w:p w14:paraId="2BF31E93" w14:textId="2BC47821" w:rsidR="00260864" w:rsidRPr="002C6715" w:rsidRDefault="00260864" w:rsidP="003238AC">
      <w:pPr>
        <w:pStyle w:val="MEMONUMBERED"/>
        <w:numPr>
          <w:ilvl w:val="0"/>
          <w:numId w:val="1"/>
        </w:numPr>
        <w:kinsoku w:val="0"/>
        <w:overflowPunct w:val="0"/>
        <w:autoSpaceDE w:val="0"/>
        <w:autoSpaceDN w:val="0"/>
        <w:adjustRightInd w:val="0"/>
        <w:spacing w:before="1" w:after="480" w:line="360" w:lineRule="auto"/>
        <w:ind w:left="0" w:right="-7" w:firstLine="0"/>
        <w:rPr>
          <w:rFonts w:ascii="Arial" w:hAnsi="Arial" w:cs="Arial"/>
          <w:bCs/>
        </w:rPr>
      </w:pPr>
      <w:r w:rsidRPr="002C6715">
        <w:rPr>
          <w:rFonts w:ascii="Arial" w:hAnsi="Arial" w:cs="Arial"/>
          <w:bCs/>
        </w:rPr>
        <w:t>On a simple</w:t>
      </w:r>
      <w:r w:rsidR="00DC2034" w:rsidRPr="002C6715">
        <w:rPr>
          <w:rFonts w:ascii="Arial" w:hAnsi="Arial" w:cs="Arial"/>
          <w:bCs/>
        </w:rPr>
        <w:t xml:space="preserve"> and sensible reading </w:t>
      </w:r>
      <w:r w:rsidRPr="002C6715">
        <w:rPr>
          <w:rFonts w:ascii="Arial" w:hAnsi="Arial" w:cs="Arial"/>
          <w:bCs/>
        </w:rPr>
        <w:t>of these allegations, the essence is</w:t>
      </w:r>
      <w:r w:rsidR="00DC2034" w:rsidRPr="002C6715">
        <w:rPr>
          <w:rFonts w:ascii="Arial" w:hAnsi="Arial" w:cs="Arial"/>
          <w:bCs/>
        </w:rPr>
        <w:t xml:space="preserve"> clear </w:t>
      </w:r>
      <w:r w:rsidRPr="002C6715">
        <w:rPr>
          <w:rFonts w:ascii="Arial" w:hAnsi="Arial" w:cs="Arial"/>
          <w:bCs/>
        </w:rPr>
        <w:t xml:space="preserve">that it is not Odora itself that is suing, but Sagadava suing on its behalf, and in his own name. Thus, Sagadava was suing in two capacities, namely in his personal capacity as a victim of </w:t>
      </w:r>
      <w:r w:rsidR="0094507C" w:rsidRPr="002C6715">
        <w:rPr>
          <w:rFonts w:ascii="Arial" w:hAnsi="Arial" w:cs="Arial"/>
          <w:bCs/>
        </w:rPr>
        <w:t xml:space="preserve">an </w:t>
      </w:r>
      <w:r w:rsidRPr="002C6715">
        <w:rPr>
          <w:rFonts w:ascii="Arial" w:hAnsi="Arial" w:cs="Arial"/>
          <w:bCs/>
        </w:rPr>
        <w:t xml:space="preserve">alleged fraud perpetrated against him by Sivaraj, and in his representative capacity on behalf of Odora. </w:t>
      </w:r>
      <w:r w:rsidR="00994960" w:rsidRPr="002C6715">
        <w:rPr>
          <w:rFonts w:ascii="Arial" w:hAnsi="Arial" w:cs="Arial"/>
          <w:bCs/>
        </w:rPr>
        <w:t>O</w:t>
      </w:r>
      <w:r w:rsidR="00756521" w:rsidRPr="002C6715">
        <w:rPr>
          <w:rFonts w:ascii="Arial" w:hAnsi="Arial" w:cs="Arial"/>
          <w:bCs/>
        </w:rPr>
        <w:t>n the</w:t>
      </w:r>
      <w:r w:rsidR="00994960" w:rsidRPr="002C6715">
        <w:rPr>
          <w:rFonts w:ascii="Arial" w:hAnsi="Arial" w:cs="Arial"/>
          <w:bCs/>
        </w:rPr>
        <w:t xml:space="preserve"> basis of</w:t>
      </w:r>
      <w:r w:rsidR="00756521" w:rsidRPr="002C6715">
        <w:rPr>
          <w:rFonts w:ascii="Arial" w:hAnsi="Arial" w:cs="Arial"/>
          <w:bCs/>
        </w:rPr>
        <w:t xml:space="preserve"> established principles of derivative action, Odora was not supposed to be cited as a plaintiff. </w:t>
      </w:r>
      <w:r w:rsidRPr="002C6715">
        <w:rPr>
          <w:rFonts w:ascii="Arial" w:hAnsi="Arial" w:cs="Arial"/>
          <w:bCs/>
        </w:rPr>
        <w:t>But</w:t>
      </w:r>
      <w:r w:rsidR="00994960" w:rsidRPr="002C6715">
        <w:rPr>
          <w:rFonts w:ascii="Arial" w:hAnsi="Arial" w:cs="Arial"/>
          <w:bCs/>
        </w:rPr>
        <w:t xml:space="preserve"> merely </w:t>
      </w:r>
      <w:r w:rsidR="004B1CBA" w:rsidRPr="002C6715">
        <w:rPr>
          <w:rFonts w:ascii="Arial" w:hAnsi="Arial" w:cs="Arial"/>
          <w:bCs/>
        </w:rPr>
        <w:t xml:space="preserve">because </w:t>
      </w:r>
      <w:r w:rsidR="00994960" w:rsidRPr="002C6715">
        <w:rPr>
          <w:rFonts w:ascii="Arial" w:hAnsi="Arial" w:cs="Arial"/>
          <w:bCs/>
        </w:rPr>
        <w:t>it has been cited</w:t>
      </w:r>
      <w:r w:rsidR="004B1CBA" w:rsidRPr="002C6715">
        <w:rPr>
          <w:rFonts w:ascii="Arial" w:hAnsi="Arial" w:cs="Arial"/>
          <w:bCs/>
        </w:rPr>
        <w:t>,</w:t>
      </w:r>
      <w:r w:rsidRPr="002C6715">
        <w:rPr>
          <w:rFonts w:ascii="Arial" w:hAnsi="Arial" w:cs="Arial"/>
          <w:bCs/>
        </w:rPr>
        <w:t xml:space="preserve"> does not detract from the fact that Sagadava purported to sue on behalf of Odora. </w:t>
      </w:r>
      <w:r w:rsidR="00DC2034" w:rsidRPr="002C6715">
        <w:rPr>
          <w:rFonts w:ascii="Arial" w:hAnsi="Arial" w:cs="Arial"/>
          <w:bCs/>
        </w:rPr>
        <w:t>This is expressly averred.</w:t>
      </w:r>
      <w:r w:rsidRPr="002C6715">
        <w:rPr>
          <w:rFonts w:ascii="Arial" w:hAnsi="Arial" w:cs="Arial"/>
          <w:bCs/>
        </w:rPr>
        <w:t xml:space="preserve"> However, despite the imperfections, the essence of Sagadava’s locus standi was clear.  </w:t>
      </w:r>
      <w:r w:rsidRPr="002C6715">
        <w:rPr>
          <w:rFonts w:ascii="Arial" w:hAnsi="Arial" w:cs="Arial"/>
          <w:lang w:val="en-GB"/>
        </w:rPr>
        <w:t>An over-technical approach should be avoided because it destroys the usefulness of the exception procedure, which is to weed out cases without legal merit.</w:t>
      </w:r>
      <w:r w:rsidRPr="002C6715">
        <w:rPr>
          <w:rStyle w:val="FootnoteReference"/>
          <w:rFonts w:ascii="Arial" w:hAnsi="Arial" w:cs="Arial"/>
        </w:rPr>
        <w:footnoteReference w:id="2"/>
      </w:r>
      <w:r w:rsidR="00DC2034" w:rsidRPr="002C6715">
        <w:rPr>
          <w:rFonts w:ascii="Arial" w:hAnsi="Arial" w:cs="Arial"/>
          <w:lang w:val="en-GB"/>
        </w:rPr>
        <w:t xml:space="preserve"> On the face of it, Sagadava’s case cannot be classified in the category of those ‘without legal merit</w:t>
      </w:r>
      <w:r w:rsidR="00B23F29" w:rsidRPr="002C6715">
        <w:rPr>
          <w:rFonts w:ascii="Arial" w:hAnsi="Arial" w:cs="Arial"/>
          <w:lang w:val="en-GB"/>
        </w:rPr>
        <w:t>’.</w:t>
      </w:r>
    </w:p>
    <w:p w14:paraId="28E8B94E" w14:textId="77777777" w:rsidR="00A55157" w:rsidRPr="002C6715" w:rsidRDefault="00017D10" w:rsidP="00316206">
      <w:pPr>
        <w:pStyle w:val="MEMONUMBERED"/>
        <w:numPr>
          <w:ilvl w:val="0"/>
          <w:numId w:val="1"/>
        </w:numPr>
        <w:kinsoku w:val="0"/>
        <w:overflowPunct w:val="0"/>
        <w:autoSpaceDE w:val="0"/>
        <w:autoSpaceDN w:val="0"/>
        <w:adjustRightInd w:val="0"/>
        <w:spacing w:before="1" w:line="360" w:lineRule="auto"/>
        <w:ind w:left="0" w:right="-7" w:firstLine="0"/>
        <w:rPr>
          <w:rFonts w:ascii="Arial" w:hAnsi="Arial" w:cs="Arial"/>
          <w:bCs/>
        </w:rPr>
      </w:pPr>
      <w:r w:rsidRPr="002C6715">
        <w:rPr>
          <w:rFonts w:ascii="Arial" w:hAnsi="Arial" w:cs="Arial"/>
          <w:bCs/>
        </w:rPr>
        <w:t>I have earlier detailed Sagadava’s claim</w:t>
      </w:r>
      <w:r w:rsidR="00BF42F2" w:rsidRPr="002C6715">
        <w:rPr>
          <w:rFonts w:ascii="Arial" w:hAnsi="Arial" w:cs="Arial"/>
          <w:bCs/>
        </w:rPr>
        <w:t>s</w:t>
      </w:r>
      <w:r w:rsidRPr="002C6715">
        <w:rPr>
          <w:rFonts w:ascii="Arial" w:hAnsi="Arial" w:cs="Arial"/>
          <w:bCs/>
        </w:rPr>
        <w:t xml:space="preserve"> to the membership of Odora.</w:t>
      </w:r>
      <w:r w:rsidR="00B23F29" w:rsidRPr="002C6715">
        <w:rPr>
          <w:rFonts w:ascii="Arial" w:hAnsi="Arial" w:cs="Arial"/>
          <w:bCs/>
        </w:rPr>
        <w:t xml:space="preserve"> To recap, </w:t>
      </w:r>
      <w:r w:rsidRPr="002C6715">
        <w:rPr>
          <w:rFonts w:ascii="Arial" w:hAnsi="Arial" w:cs="Arial"/>
          <w:bCs/>
        </w:rPr>
        <w:t xml:space="preserve">he alleges that he was in fact, the sole member, alternatively, a 50 percent member, of Odora and that there was an </w:t>
      </w:r>
      <w:r w:rsidR="002716B0" w:rsidRPr="002C6715">
        <w:rPr>
          <w:rFonts w:ascii="Arial" w:hAnsi="Arial" w:cs="Arial"/>
          <w:bCs/>
        </w:rPr>
        <w:t xml:space="preserve">oral </w:t>
      </w:r>
      <w:r w:rsidRPr="002C6715">
        <w:rPr>
          <w:rFonts w:ascii="Arial" w:hAnsi="Arial" w:cs="Arial"/>
          <w:bCs/>
        </w:rPr>
        <w:t>agreement between him and Sivaraj that the latter would hold the membership of Odora on his behalf</w:t>
      </w:r>
      <w:r w:rsidR="002716B0" w:rsidRPr="002C6715">
        <w:rPr>
          <w:rFonts w:ascii="Arial" w:hAnsi="Arial" w:cs="Arial"/>
          <w:bCs/>
        </w:rPr>
        <w:t xml:space="preserve"> as his nominee</w:t>
      </w:r>
      <w:r w:rsidRPr="002C6715">
        <w:rPr>
          <w:rFonts w:ascii="Arial" w:hAnsi="Arial" w:cs="Arial"/>
          <w:bCs/>
        </w:rPr>
        <w:t>.</w:t>
      </w:r>
      <w:r w:rsidR="002716B0" w:rsidRPr="002C6715">
        <w:rPr>
          <w:rFonts w:ascii="Arial" w:hAnsi="Arial" w:cs="Arial"/>
          <w:bCs/>
        </w:rPr>
        <w:t xml:space="preserve"> The high court seemingly doubted Sagadava’s assertions</w:t>
      </w:r>
      <w:r w:rsidR="00C043F5" w:rsidRPr="002C6715">
        <w:rPr>
          <w:rFonts w:ascii="Arial" w:hAnsi="Arial" w:cs="Arial"/>
          <w:bCs/>
        </w:rPr>
        <w:t xml:space="preserve"> in this regard</w:t>
      </w:r>
      <w:r w:rsidR="002716B0" w:rsidRPr="002C6715">
        <w:rPr>
          <w:rFonts w:ascii="Arial" w:hAnsi="Arial" w:cs="Arial"/>
          <w:bCs/>
        </w:rPr>
        <w:t>.</w:t>
      </w:r>
      <w:r w:rsidRPr="002C6715">
        <w:rPr>
          <w:rFonts w:ascii="Arial" w:hAnsi="Arial" w:cs="Arial"/>
          <w:bCs/>
        </w:rPr>
        <w:t xml:space="preserve"> </w:t>
      </w:r>
      <w:r w:rsidR="002716B0" w:rsidRPr="002C6715">
        <w:rPr>
          <w:rFonts w:ascii="Arial" w:hAnsi="Arial" w:cs="Arial"/>
          <w:bCs/>
        </w:rPr>
        <w:t>It said:</w:t>
      </w:r>
    </w:p>
    <w:p w14:paraId="0319BF41" w14:textId="77777777" w:rsidR="00017D10" w:rsidRPr="002C6715" w:rsidRDefault="00017D10" w:rsidP="003238AC">
      <w:pPr>
        <w:pStyle w:val="MEMONUMBERED"/>
        <w:kinsoku w:val="0"/>
        <w:overflowPunct w:val="0"/>
        <w:autoSpaceDE w:val="0"/>
        <w:autoSpaceDN w:val="0"/>
        <w:adjustRightInd w:val="0"/>
        <w:spacing w:before="1" w:after="480" w:line="360" w:lineRule="auto"/>
        <w:ind w:right="-7"/>
        <w:rPr>
          <w:rFonts w:ascii="Arial" w:hAnsi="Arial" w:cs="Arial"/>
          <w:sz w:val="22"/>
          <w:szCs w:val="22"/>
        </w:rPr>
      </w:pPr>
      <w:r w:rsidRPr="002C6715">
        <w:rPr>
          <w:rFonts w:ascii="Arial" w:hAnsi="Arial" w:cs="Arial"/>
          <w:sz w:val="22"/>
          <w:szCs w:val="22"/>
        </w:rPr>
        <w:t xml:space="preserve">‘[Sagadava] is not the registered member of Odora, and accordingly, he is not capable of passing a resolution as a member authorising the institution of such an action. An acceptance by me that he is in fact the sole member or a 50 per cent member, (for the purpose of the exception) does not solve the </w:t>
      </w:r>
      <w:r w:rsidR="00B23F29" w:rsidRPr="002C6715">
        <w:rPr>
          <w:rFonts w:ascii="Arial" w:hAnsi="Arial" w:cs="Arial"/>
          <w:sz w:val="22"/>
          <w:szCs w:val="22"/>
        </w:rPr>
        <w:t xml:space="preserve">[his] </w:t>
      </w:r>
      <w:r w:rsidRPr="002C6715">
        <w:rPr>
          <w:rFonts w:ascii="Arial" w:hAnsi="Arial" w:cs="Arial"/>
          <w:sz w:val="22"/>
          <w:szCs w:val="22"/>
        </w:rPr>
        <w:t>problem. As a legal stranger to Odora, albeit one who claims a right to be a member, does not enable him to authorise the institution of proceedings in the name of Odora.’</w:t>
      </w:r>
    </w:p>
    <w:p w14:paraId="0DCAD2E5" w14:textId="53C2BD0D" w:rsidR="00AA113E" w:rsidRPr="002C6715" w:rsidRDefault="00C043F5" w:rsidP="003238AC">
      <w:pPr>
        <w:pStyle w:val="MEMONUMBERED"/>
        <w:numPr>
          <w:ilvl w:val="0"/>
          <w:numId w:val="1"/>
        </w:numPr>
        <w:kinsoku w:val="0"/>
        <w:overflowPunct w:val="0"/>
        <w:autoSpaceDE w:val="0"/>
        <w:autoSpaceDN w:val="0"/>
        <w:adjustRightInd w:val="0"/>
        <w:spacing w:before="1" w:after="480" w:line="360" w:lineRule="auto"/>
        <w:ind w:left="0" w:right="-7" w:firstLine="0"/>
        <w:rPr>
          <w:rFonts w:ascii="Arial" w:hAnsi="Arial" w:cs="Arial"/>
          <w:bCs/>
        </w:rPr>
      </w:pPr>
      <w:r w:rsidRPr="002C6715">
        <w:rPr>
          <w:rFonts w:ascii="Arial" w:hAnsi="Arial" w:cs="Arial"/>
          <w:bCs/>
        </w:rPr>
        <w:t xml:space="preserve">With respect, the high court erred. </w:t>
      </w:r>
      <w:bookmarkStart w:id="21" w:name="_Hlk94092801"/>
      <w:r w:rsidR="00017D10" w:rsidRPr="002C6715">
        <w:rPr>
          <w:rFonts w:ascii="Arial" w:hAnsi="Arial" w:cs="Arial"/>
          <w:bCs/>
        </w:rPr>
        <w:t>This being an exception stage, the factual averments by Sagadava must have been accepted as correct, unless they are manifestly false,</w:t>
      </w:r>
      <w:r w:rsidR="00017D10" w:rsidRPr="002C6715">
        <w:rPr>
          <w:rStyle w:val="FootnoteReference"/>
          <w:rFonts w:ascii="Arial" w:hAnsi="Arial" w:cs="Arial"/>
          <w:bCs/>
        </w:rPr>
        <w:footnoteReference w:id="3"/>
      </w:r>
      <w:r w:rsidR="00D07A83" w:rsidRPr="002C6715">
        <w:rPr>
          <w:rFonts w:ascii="Arial" w:hAnsi="Arial" w:cs="Arial"/>
          <w:bCs/>
        </w:rPr>
        <w:t xml:space="preserve"> which fact is not apparent from the pleadings</w:t>
      </w:r>
      <w:r w:rsidR="00017D10" w:rsidRPr="002C6715">
        <w:rPr>
          <w:rFonts w:ascii="Arial" w:hAnsi="Arial" w:cs="Arial"/>
          <w:bCs/>
        </w:rPr>
        <w:t>.</w:t>
      </w:r>
      <w:bookmarkEnd w:id="21"/>
      <w:r w:rsidR="00017D10" w:rsidRPr="002C6715">
        <w:rPr>
          <w:rFonts w:ascii="Arial" w:hAnsi="Arial" w:cs="Arial"/>
          <w:bCs/>
        </w:rPr>
        <w:t xml:space="preserve"> The high court should not have gone beyond the allegations. It could well be that at the trial, the allegations </w:t>
      </w:r>
      <w:r w:rsidRPr="002C6715">
        <w:rPr>
          <w:rFonts w:ascii="Arial" w:hAnsi="Arial" w:cs="Arial"/>
          <w:bCs/>
        </w:rPr>
        <w:t xml:space="preserve">turn out </w:t>
      </w:r>
      <w:r w:rsidR="00017D10" w:rsidRPr="002C6715">
        <w:rPr>
          <w:rFonts w:ascii="Arial" w:hAnsi="Arial" w:cs="Arial"/>
          <w:bCs/>
        </w:rPr>
        <w:t xml:space="preserve">to be false. But for the purposes of the exception, their truthfulness should have been accepted. </w:t>
      </w:r>
      <w:r w:rsidR="00B23F29" w:rsidRPr="002C6715">
        <w:rPr>
          <w:rFonts w:ascii="Arial" w:hAnsi="Arial" w:cs="Arial"/>
          <w:bCs/>
        </w:rPr>
        <w:t>The high court’s reasoning also suffers an internal contradiction. The high court said that even if it accepts that Sagadava is the sole, or 50 percent member of Odora, he is ‘a stranger to Odora</w:t>
      </w:r>
      <w:r w:rsidR="00A528D6" w:rsidRPr="002C6715">
        <w:rPr>
          <w:rFonts w:ascii="Arial" w:hAnsi="Arial" w:cs="Arial"/>
          <w:bCs/>
        </w:rPr>
        <w:t>’ who could not institute an action on its behalf. It defies logic that as a member, even a sole member, Sagadava could, in the same breadth, be ‘a stranger’ to it.</w:t>
      </w:r>
      <w:r w:rsidR="00B23F29" w:rsidRPr="002C6715">
        <w:rPr>
          <w:rFonts w:ascii="Arial" w:hAnsi="Arial" w:cs="Arial"/>
          <w:bCs/>
        </w:rPr>
        <w:t xml:space="preserve"> </w:t>
      </w:r>
      <w:r w:rsidR="00017D10" w:rsidRPr="002C6715">
        <w:rPr>
          <w:rFonts w:ascii="Arial" w:hAnsi="Arial" w:cs="Arial"/>
          <w:bCs/>
        </w:rPr>
        <w:t>It follows that</w:t>
      </w:r>
      <w:r w:rsidR="005A67BC" w:rsidRPr="002C6715">
        <w:rPr>
          <w:rFonts w:ascii="Arial" w:hAnsi="Arial" w:cs="Arial"/>
          <w:bCs/>
        </w:rPr>
        <w:t xml:space="preserve"> for the purposes of the exception,</w:t>
      </w:r>
      <w:r w:rsidR="00017D10" w:rsidRPr="002C6715">
        <w:rPr>
          <w:rFonts w:ascii="Arial" w:hAnsi="Arial" w:cs="Arial"/>
          <w:bCs/>
        </w:rPr>
        <w:t xml:space="preserve"> </w:t>
      </w:r>
      <w:r w:rsidR="0037268F" w:rsidRPr="002C6715">
        <w:rPr>
          <w:rFonts w:ascii="Arial" w:hAnsi="Arial" w:cs="Arial"/>
          <w:bCs/>
        </w:rPr>
        <w:t xml:space="preserve">facts regarding </w:t>
      </w:r>
      <w:r w:rsidR="00017D10" w:rsidRPr="002C6715">
        <w:rPr>
          <w:rFonts w:ascii="Arial" w:hAnsi="Arial" w:cs="Arial"/>
          <w:bCs/>
        </w:rPr>
        <w:t>Sagadava’s membership of Odora</w:t>
      </w:r>
      <w:r w:rsidRPr="002C6715">
        <w:rPr>
          <w:rFonts w:ascii="Arial" w:hAnsi="Arial" w:cs="Arial"/>
          <w:bCs/>
        </w:rPr>
        <w:t>, and therefore his locus standi</w:t>
      </w:r>
      <w:r w:rsidR="00A528D6" w:rsidRPr="002C6715">
        <w:rPr>
          <w:rFonts w:ascii="Arial" w:hAnsi="Arial" w:cs="Arial"/>
          <w:bCs/>
        </w:rPr>
        <w:t xml:space="preserve"> to bring a derivative action on its behalf</w:t>
      </w:r>
      <w:r w:rsidRPr="002C6715">
        <w:rPr>
          <w:rFonts w:ascii="Arial" w:hAnsi="Arial" w:cs="Arial"/>
          <w:bCs/>
        </w:rPr>
        <w:t>,</w:t>
      </w:r>
      <w:r w:rsidR="005A67BC" w:rsidRPr="002C6715">
        <w:rPr>
          <w:rFonts w:ascii="Arial" w:hAnsi="Arial" w:cs="Arial"/>
          <w:bCs/>
        </w:rPr>
        <w:t xml:space="preserve"> had been established</w:t>
      </w:r>
      <w:r w:rsidR="00A528D6" w:rsidRPr="002C6715">
        <w:rPr>
          <w:rFonts w:ascii="Arial" w:hAnsi="Arial" w:cs="Arial"/>
          <w:bCs/>
        </w:rPr>
        <w:t xml:space="preserve"> and should therefore have been accepted by the high court.</w:t>
      </w:r>
    </w:p>
    <w:p w14:paraId="39094A1A" w14:textId="77777777" w:rsidR="00AA113E" w:rsidRPr="002C6715" w:rsidRDefault="00D92D26" w:rsidP="00D92D26">
      <w:pPr>
        <w:pStyle w:val="MEMONUMBERED"/>
        <w:numPr>
          <w:ilvl w:val="0"/>
          <w:numId w:val="1"/>
        </w:numPr>
        <w:kinsoku w:val="0"/>
        <w:overflowPunct w:val="0"/>
        <w:autoSpaceDE w:val="0"/>
        <w:autoSpaceDN w:val="0"/>
        <w:adjustRightInd w:val="0"/>
        <w:spacing w:before="1" w:after="480" w:line="360" w:lineRule="auto"/>
        <w:ind w:left="0" w:right="-7" w:firstLine="0"/>
        <w:rPr>
          <w:rFonts w:ascii="Arial" w:hAnsi="Arial" w:cs="Arial"/>
          <w:bCs/>
        </w:rPr>
      </w:pPr>
      <w:r w:rsidRPr="002C6715">
        <w:rPr>
          <w:rFonts w:ascii="Arial" w:hAnsi="Arial" w:cs="Arial"/>
          <w:bCs/>
        </w:rPr>
        <w:t xml:space="preserve">This </w:t>
      </w:r>
      <w:r w:rsidR="00AA113E" w:rsidRPr="002C6715">
        <w:rPr>
          <w:rFonts w:ascii="Arial" w:hAnsi="Arial" w:cs="Arial"/>
          <w:bCs/>
        </w:rPr>
        <w:t>brings me to the second issue</w:t>
      </w:r>
      <w:r w:rsidR="00A528D6" w:rsidRPr="002C6715">
        <w:rPr>
          <w:rFonts w:ascii="Arial" w:hAnsi="Arial" w:cs="Arial"/>
          <w:bCs/>
        </w:rPr>
        <w:t>,</w:t>
      </w:r>
      <w:r w:rsidR="00AA113E" w:rsidRPr="002C6715">
        <w:rPr>
          <w:rFonts w:ascii="Arial" w:hAnsi="Arial" w:cs="Arial"/>
          <w:bCs/>
        </w:rPr>
        <w:t xml:space="preserve"> </w:t>
      </w:r>
      <w:r w:rsidR="00A528D6" w:rsidRPr="002C6715">
        <w:rPr>
          <w:rFonts w:ascii="Arial" w:hAnsi="Arial" w:cs="Arial"/>
          <w:bCs/>
        </w:rPr>
        <w:t xml:space="preserve">namely, </w:t>
      </w:r>
      <w:r w:rsidR="00AA113E" w:rsidRPr="002C6715">
        <w:rPr>
          <w:rFonts w:ascii="Arial" w:hAnsi="Arial" w:cs="Arial"/>
          <w:bCs/>
        </w:rPr>
        <w:t xml:space="preserve">whether a common law derivative action is available in respect of close corporations. As already mentioned, the high court answered this question in the affirmative. That conclusion was assailed in this Court on behalf of Dube Tradeport on the basis that such action is excluded by ss 49 and 50 of the Close Corporations Act. It is therefore necessary to consider this contention.   </w:t>
      </w:r>
    </w:p>
    <w:p w14:paraId="02A5320C" w14:textId="65D4BD6F" w:rsidR="00017D10" w:rsidRPr="002C6715" w:rsidRDefault="00017D10" w:rsidP="007C2A0D">
      <w:pPr>
        <w:pStyle w:val="MEMONUMBERED"/>
        <w:numPr>
          <w:ilvl w:val="0"/>
          <w:numId w:val="1"/>
        </w:numPr>
        <w:kinsoku w:val="0"/>
        <w:overflowPunct w:val="0"/>
        <w:autoSpaceDE w:val="0"/>
        <w:autoSpaceDN w:val="0"/>
        <w:adjustRightInd w:val="0"/>
        <w:spacing w:before="1" w:after="480" w:line="360" w:lineRule="auto"/>
        <w:ind w:left="0" w:right="-7" w:firstLine="0"/>
        <w:rPr>
          <w:rFonts w:ascii="Arial" w:hAnsi="Arial" w:cs="Arial"/>
          <w:bCs/>
        </w:rPr>
      </w:pPr>
      <w:r w:rsidRPr="002C6715">
        <w:rPr>
          <w:rFonts w:ascii="Arial" w:hAnsi="Arial" w:cs="Arial"/>
          <w:bCs/>
        </w:rPr>
        <w:t xml:space="preserve">Prior to the promulgation of the Companies Act, a common law derivative action was </w:t>
      </w:r>
      <w:r w:rsidR="00954138" w:rsidRPr="002C6715">
        <w:rPr>
          <w:rFonts w:ascii="Arial" w:hAnsi="Arial" w:cs="Arial"/>
          <w:bCs/>
        </w:rPr>
        <w:t xml:space="preserve">recognised </w:t>
      </w:r>
      <w:r w:rsidRPr="002C6715">
        <w:rPr>
          <w:rFonts w:ascii="Arial" w:hAnsi="Arial" w:cs="Arial"/>
          <w:bCs/>
        </w:rPr>
        <w:t>in respect of companies, and by extension, to close corporations.</w:t>
      </w:r>
      <w:r w:rsidR="00AA113E" w:rsidRPr="002C6715">
        <w:rPr>
          <w:rStyle w:val="FootnoteReference"/>
          <w:rFonts w:ascii="Arial" w:hAnsi="Arial" w:cs="Arial"/>
          <w:bCs/>
        </w:rPr>
        <w:footnoteReference w:id="4"/>
      </w:r>
      <w:r w:rsidRPr="002C6715">
        <w:rPr>
          <w:rFonts w:ascii="Arial" w:hAnsi="Arial" w:cs="Arial"/>
          <w:bCs/>
        </w:rPr>
        <w:t xml:space="preserve"> Statutorily, ss 266-268 of the repealed Companies Act 61 of 1973, offered rights to members to take legal proceedings, or cause legal proceedings to be taken on behalf of the company when</w:t>
      </w:r>
      <w:r w:rsidR="000D164A" w:rsidRPr="002C6715">
        <w:rPr>
          <w:rFonts w:ascii="Arial" w:hAnsi="Arial" w:cs="Arial"/>
          <w:bCs/>
        </w:rPr>
        <w:t>,</w:t>
      </w:r>
      <w:r w:rsidRPr="002C6715">
        <w:rPr>
          <w:rFonts w:ascii="Arial" w:hAnsi="Arial" w:cs="Arial"/>
          <w:bCs/>
        </w:rPr>
        <w:t xml:space="preserve"> acting through its directors, the company failed to take such proceedings. In respect of close corporations, ss 49 and 50</w:t>
      </w:r>
      <w:r w:rsidR="00260BB8" w:rsidRPr="002C6715">
        <w:rPr>
          <w:rFonts w:ascii="Arial" w:hAnsi="Arial" w:cs="Arial"/>
          <w:bCs/>
        </w:rPr>
        <w:t>, to which I have already referred,</w:t>
      </w:r>
      <w:r w:rsidRPr="002C6715">
        <w:rPr>
          <w:rFonts w:ascii="Arial" w:hAnsi="Arial" w:cs="Arial"/>
          <w:bCs/>
        </w:rPr>
        <w:t xml:space="preserve"> provide members with similar rights. </w:t>
      </w:r>
      <w:r w:rsidR="00260BB8" w:rsidRPr="002C6715">
        <w:rPr>
          <w:rFonts w:ascii="Arial" w:hAnsi="Arial" w:cs="Arial"/>
          <w:bCs/>
        </w:rPr>
        <w:t xml:space="preserve">These statutory rights, have always been parallel, and complimentary to, the common law rights of shareholders of companies and members of close corporations to pursue derivative actions on behalf of their respective corporate entities. They were never meant to oust those common law rights. </w:t>
      </w:r>
    </w:p>
    <w:p w14:paraId="6F2E19CD" w14:textId="2B416361" w:rsidR="00A55157" w:rsidRPr="002C6715" w:rsidRDefault="00017D10" w:rsidP="007C2A0D">
      <w:pPr>
        <w:pStyle w:val="MEMONUMBERED"/>
        <w:numPr>
          <w:ilvl w:val="0"/>
          <w:numId w:val="1"/>
        </w:numPr>
        <w:kinsoku w:val="0"/>
        <w:overflowPunct w:val="0"/>
        <w:autoSpaceDE w:val="0"/>
        <w:autoSpaceDN w:val="0"/>
        <w:adjustRightInd w:val="0"/>
        <w:spacing w:before="1" w:after="480" w:line="360" w:lineRule="auto"/>
        <w:ind w:left="0" w:right="-7" w:firstLine="0"/>
        <w:rPr>
          <w:rFonts w:ascii="Arial" w:hAnsi="Arial" w:cs="Arial"/>
          <w:bCs/>
        </w:rPr>
      </w:pPr>
      <w:r w:rsidRPr="002C6715">
        <w:rPr>
          <w:rFonts w:ascii="Arial" w:hAnsi="Arial" w:cs="Arial"/>
          <w:bCs/>
        </w:rPr>
        <w:t>The Companies Act, however, abolished the common law right of derivative action in s 165, and substituted it with a statutory right.</w:t>
      </w:r>
      <w:r w:rsidR="002232FD" w:rsidRPr="002C6715">
        <w:rPr>
          <w:rStyle w:val="FootnoteReference"/>
          <w:rFonts w:ascii="Arial" w:hAnsi="Arial" w:cs="Arial"/>
          <w:bCs/>
        </w:rPr>
        <w:footnoteReference w:id="5"/>
      </w:r>
      <w:r w:rsidRPr="002C6715">
        <w:rPr>
          <w:rFonts w:ascii="Arial" w:hAnsi="Arial" w:cs="Arial"/>
          <w:bCs/>
        </w:rPr>
        <w:t xml:space="preserve"> This, however, has not affected the common law rights in respect of close corporations which were incorporated prior to the commencement of the Companies Act but which have not converted to companies pursuant to that Act.</w:t>
      </w:r>
      <w:r w:rsidRPr="002C6715">
        <w:rPr>
          <w:rStyle w:val="FootnoteReference"/>
          <w:rFonts w:ascii="Arial" w:hAnsi="Arial" w:cs="Arial"/>
          <w:bCs/>
        </w:rPr>
        <w:footnoteReference w:id="6"/>
      </w:r>
      <w:r w:rsidRPr="002C6715">
        <w:rPr>
          <w:rFonts w:ascii="Arial" w:hAnsi="Arial" w:cs="Arial"/>
          <w:bCs/>
        </w:rPr>
        <w:t xml:space="preserve"> </w:t>
      </w:r>
      <w:r w:rsidR="000F0DDA" w:rsidRPr="002C6715">
        <w:rPr>
          <w:rFonts w:ascii="Arial" w:hAnsi="Arial" w:cs="Arial"/>
          <w:bCs/>
        </w:rPr>
        <w:t xml:space="preserve"> </w:t>
      </w:r>
      <w:r w:rsidR="002E11A6" w:rsidRPr="002C6715">
        <w:rPr>
          <w:rFonts w:ascii="Arial" w:hAnsi="Arial" w:cs="Arial"/>
          <w:bCs/>
        </w:rPr>
        <w:t xml:space="preserve">The </w:t>
      </w:r>
      <w:r w:rsidR="00D053AF" w:rsidRPr="002C6715">
        <w:rPr>
          <w:rFonts w:ascii="Arial" w:hAnsi="Arial" w:cs="Arial"/>
          <w:bCs/>
        </w:rPr>
        <w:t>comparison sought to be drawn by the respondent between ss 49 and 50 of the Close Corporations Act and s 165 of the Companies Act is</w:t>
      </w:r>
      <w:r w:rsidR="00260BB8" w:rsidRPr="002C6715">
        <w:rPr>
          <w:rFonts w:ascii="Arial" w:hAnsi="Arial" w:cs="Arial"/>
          <w:bCs/>
        </w:rPr>
        <w:t xml:space="preserve"> </w:t>
      </w:r>
      <w:r w:rsidR="00C23914" w:rsidRPr="002C6715">
        <w:rPr>
          <w:rFonts w:ascii="Arial" w:hAnsi="Arial" w:cs="Arial"/>
          <w:bCs/>
        </w:rPr>
        <w:t>misplaced</w:t>
      </w:r>
      <w:r w:rsidR="00D053AF" w:rsidRPr="002C6715">
        <w:rPr>
          <w:rFonts w:ascii="Arial" w:hAnsi="Arial" w:cs="Arial"/>
          <w:bCs/>
        </w:rPr>
        <w:t xml:space="preserve">. Not only is the </w:t>
      </w:r>
      <w:r w:rsidR="002E11A6" w:rsidRPr="002C6715">
        <w:rPr>
          <w:rFonts w:ascii="Arial" w:hAnsi="Arial" w:cs="Arial"/>
          <w:bCs/>
        </w:rPr>
        <w:t>abolition of common law der</w:t>
      </w:r>
      <w:r w:rsidR="00D053AF" w:rsidRPr="002C6715">
        <w:rPr>
          <w:rFonts w:ascii="Arial" w:hAnsi="Arial" w:cs="Arial"/>
          <w:bCs/>
        </w:rPr>
        <w:t>iv</w:t>
      </w:r>
      <w:r w:rsidR="002E11A6" w:rsidRPr="002C6715">
        <w:rPr>
          <w:rFonts w:ascii="Arial" w:hAnsi="Arial" w:cs="Arial"/>
          <w:bCs/>
        </w:rPr>
        <w:t xml:space="preserve">ative </w:t>
      </w:r>
      <w:r w:rsidR="00D053AF" w:rsidRPr="002C6715">
        <w:rPr>
          <w:rFonts w:ascii="Arial" w:hAnsi="Arial" w:cs="Arial"/>
          <w:bCs/>
        </w:rPr>
        <w:t xml:space="preserve">actions </w:t>
      </w:r>
      <w:r w:rsidR="002E11A6" w:rsidRPr="002C6715">
        <w:rPr>
          <w:rFonts w:ascii="Arial" w:hAnsi="Arial" w:cs="Arial"/>
          <w:bCs/>
        </w:rPr>
        <w:t>expressly stated in s 165(1) of the Companies Act</w:t>
      </w:r>
      <w:r w:rsidR="00D053AF" w:rsidRPr="002C6715">
        <w:rPr>
          <w:rFonts w:ascii="Arial" w:hAnsi="Arial" w:cs="Arial"/>
          <w:bCs/>
        </w:rPr>
        <w:t xml:space="preserve">, </w:t>
      </w:r>
      <w:r w:rsidR="002E11A6" w:rsidRPr="002C6715">
        <w:rPr>
          <w:rFonts w:ascii="Arial" w:hAnsi="Arial" w:cs="Arial"/>
          <w:bCs/>
        </w:rPr>
        <w:t>s 165(</w:t>
      </w:r>
      <w:r w:rsidR="002E11A6" w:rsidRPr="002C6715">
        <w:rPr>
          <w:rFonts w:ascii="Arial" w:hAnsi="Arial" w:cs="Arial"/>
          <w:bCs/>
          <w:i/>
          <w:iCs/>
        </w:rPr>
        <w:t>d</w:t>
      </w:r>
      <w:r w:rsidR="002E11A6" w:rsidRPr="002C6715">
        <w:rPr>
          <w:rFonts w:ascii="Arial" w:hAnsi="Arial" w:cs="Arial"/>
          <w:bCs/>
        </w:rPr>
        <w:t xml:space="preserve">) </w:t>
      </w:r>
      <w:r w:rsidR="00D053AF" w:rsidRPr="002C6715">
        <w:rPr>
          <w:rFonts w:ascii="Arial" w:hAnsi="Arial" w:cs="Arial"/>
          <w:bCs/>
        </w:rPr>
        <w:t xml:space="preserve">provides for a third party </w:t>
      </w:r>
      <w:r w:rsidR="002E11A6" w:rsidRPr="002C6715">
        <w:rPr>
          <w:rFonts w:ascii="Arial" w:hAnsi="Arial" w:cs="Arial"/>
          <w:bCs/>
        </w:rPr>
        <w:t>right</w:t>
      </w:r>
      <w:r w:rsidR="00D053AF" w:rsidRPr="002C6715">
        <w:rPr>
          <w:rFonts w:ascii="Arial" w:hAnsi="Arial" w:cs="Arial"/>
          <w:bCs/>
        </w:rPr>
        <w:t xml:space="preserve">, which is not found in ss 49 and 50 of the Close Corporations Act. </w:t>
      </w:r>
      <w:r w:rsidRPr="002C6715">
        <w:rPr>
          <w:rFonts w:ascii="Arial" w:hAnsi="Arial" w:cs="Arial"/>
          <w:bCs/>
        </w:rPr>
        <w:t>The situation remains therefore that the common law rights of member</w:t>
      </w:r>
      <w:r w:rsidR="000D164A" w:rsidRPr="002C6715">
        <w:rPr>
          <w:rFonts w:ascii="Arial" w:hAnsi="Arial" w:cs="Arial"/>
          <w:bCs/>
        </w:rPr>
        <w:t>s</w:t>
      </w:r>
      <w:r w:rsidRPr="002C6715">
        <w:rPr>
          <w:rFonts w:ascii="Arial" w:hAnsi="Arial" w:cs="Arial"/>
          <w:bCs/>
        </w:rPr>
        <w:t xml:space="preserve"> of close corporation</w:t>
      </w:r>
      <w:r w:rsidR="000D164A" w:rsidRPr="002C6715">
        <w:rPr>
          <w:rFonts w:ascii="Arial" w:hAnsi="Arial" w:cs="Arial"/>
          <w:bCs/>
        </w:rPr>
        <w:t>s</w:t>
      </w:r>
      <w:r w:rsidRPr="002C6715">
        <w:rPr>
          <w:rFonts w:ascii="Arial" w:hAnsi="Arial" w:cs="Arial"/>
          <w:bCs/>
        </w:rPr>
        <w:t>, including an actual, unregistered owner of a member’s interest, to bring a derivative action</w:t>
      </w:r>
      <w:r w:rsidR="000D164A" w:rsidRPr="002C6715">
        <w:rPr>
          <w:rFonts w:ascii="Arial" w:hAnsi="Arial" w:cs="Arial"/>
          <w:bCs/>
        </w:rPr>
        <w:t>,</w:t>
      </w:r>
      <w:r w:rsidRPr="002C6715">
        <w:rPr>
          <w:rFonts w:ascii="Arial" w:hAnsi="Arial" w:cs="Arial"/>
          <w:bCs/>
        </w:rPr>
        <w:t xml:space="preserve"> are still available. </w:t>
      </w:r>
    </w:p>
    <w:p w14:paraId="56A0B88B" w14:textId="3D17FB3F" w:rsidR="00017D10" w:rsidRPr="002C6715" w:rsidRDefault="00D92D26" w:rsidP="007C2A0D">
      <w:pPr>
        <w:pStyle w:val="MEMONUMBERED"/>
        <w:numPr>
          <w:ilvl w:val="0"/>
          <w:numId w:val="1"/>
        </w:numPr>
        <w:kinsoku w:val="0"/>
        <w:overflowPunct w:val="0"/>
        <w:autoSpaceDE w:val="0"/>
        <w:autoSpaceDN w:val="0"/>
        <w:adjustRightInd w:val="0"/>
        <w:spacing w:before="1" w:after="480" w:line="360" w:lineRule="auto"/>
        <w:ind w:left="0" w:right="-7" w:firstLine="0"/>
        <w:rPr>
          <w:rFonts w:ascii="Arial" w:hAnsi="Arial" w:cs="Arial"/>
          <w:bCs/>
        </w:rPr>
      </w:pPr>
      <w:r w:rsidRPr="002C6715">
        <w:rPr>
          <w:rFonts w:ascii="Arial" w:hAnsi="Arial" w:cs="Arial"/>
          <w:bCs/>
        </w:rPr>
        <w:t xml:space="preserve">In the particulars of claim it was averred that Odora has not converted to a company, and </w:t>
      </w:r>
      <w:r w:rsidR="000D164A" w:rsidRPr="002C6715">
        <w:rPr>
          <w:rFonts w:ascii="Arial" w:hAnsi="Arial" w:cs="Arial"/>
          <w:bCs/>
        </w:rPr>
        <w:t xml:space="preserve">that </w:t>
      </w:r>
      <w:r w:rsidRPr="002C6715">
        <w:rPr>
          <w:rFonts w:ascii="Arial" w:hAnsi="Arial" w:cs="Arial"/>
          <w:bCs/>
        </w:rPr>
        <w:t xml:space="preserve">s 165 of the Companies Act therefore does not apply to it. </w:t>
      </w:r>
      <w:r w:rsidR="00017D10" w:rsidRPr="002C6715">
        <w:rPr>
          <w:rFonts w:ascii="Arial" w:hAnsi="Arial" w:cs="Arial"/>
          <w:bCs/>
        </w:rPr>
        <w:t xml:space="preserve">It follows that Sagadava is entitled, as he has done, to pursue a derivative action according to the common law on behalf of Odora. It is important to point </w:t>
      </w:r>
      <w:r w:rsidR="00E6438C" w:rsidRPr="002C6715">
        <w:rPr>
          <w:rFonts w:ascii="Arial" w:hAnsi="Arial" w:cs="Arial"/>
          <w:bCs/>
        </w:rPr>
        <w:t xml:space="preserve">out </w:t>
      </w:r>
      <w:r w:rsidR="00017D10" w:rsidRPr="002C6715">
        <w:rPr>
          <w:rFonts w:ascii="Arial" w:hAnsi="Arial" w:cs="Arial"/>
          <w:bCs/>
        </w:rPr>
        <w:t xml:space="preserve">that Sagadava has not purported to rely on ss 49 or 50. He pursues his common law rights as </w:t>
      </w:r>
      <w:r w:rsidR="00E6438C" w:rsidRPr="002C6715">
        <w:rPr>
          <w:rFonts w:ascii="Arial" w:hAnsi="Arial" w:cs="Arial"/>
          <w:bCs/>
        </w:rPr>
        <w:t xml:space="preserve">the </w:t>
      </w:r>
      <w:r w:rsidR="00017D10" w:rsidRPr="002C6715">
        <w:rPr>
          <w:rFonts w:ascii="Arial" w:hAnsi="Arial" w:cs="Arial"/>
          <w:bCs/>
        </w:rPr>
        <w:t xml:space="preserve">actual </w:t>
      </w:r>
      <w:r w:rsidR="00E6438C" w:rsidRPr="002C6715">
        <w:rPr>
          <w:rFonts w:ascii="Arial" w:hAnsi="Arial" w:cs="Arial"/>
          <w:bCs/>
        </w:rPr>
        <w:t xml:space="preserve">and </w:t>
      </w:r>
      <w:r w:rsidR="00017D10" w:rsidRPr="002C6715">
        <w:rPr>
          <w:rFonts w:ascii="Arial" w:hAnsi="Arial" w:cs="Arial"/>
          <w:bCs/>
        </w:rPr>
        <w:t>factual, albeit unregistered, member of Odora.</w:t>
      </w:r>
    </w:p>
    <w:p w14:paraId="6ED49C10" w14:textId="77777777" w:rsidR="00017D10" w:rsidRPr="002C6715" w:rsidRDefault="00157AFF" w:rsidP="007C2A0D">
      <w:pPr>
        <w:pStyle w:val="MEMONUMBERED"/>
        <w:numPr>
          <w:ilvl w:val="0"/>
          <w:numId w:val="1"/>
        </w:numPr>
        <w:kinsoku w:val="0"/>
        <w:overflowPunct w:val="0"/>
        <w:autoSpaceDE w:val="0"/>
        <w:autoSpaceDN w:val="0"/>
        <w:adjustRightInd w:val="0"/>
        <w:spacing w:before="1" w:after="120" w:line="360" w:lineRule="auto"/>
        <w:ind w:left="0" w:right="-7" w:firstLine="0"/>
        <w:rPr>
          <w:rFonts w:ascii="Arial" w:hAnsi="Arial" w:cs="Arial"/>
          <w:bCs/>
        </w:rPr>
      </w:pPr>
      <w:r w:rsidRPr="002C6715">
        <w:rPr>
          <w:rFonts w:ascii="Arial" w:hAnsi="Arial" w:cs="Arial"/>
          <w:bCs/>
        </w:rPr>
        <w:t xml:space="preserve">I now turn to </w:t>
      </w:r>
      <w:r w:rsidR="00F26DD9" w:rsidRPr="002C6715">
        <w:rPr>
          <w:rFonts w:ascii="Arial" w:hAnsi="Arial" w:cs="Arial"/>
          <w:bCs/>
        </w:rPr>
        <w:t xml:space="preserve">the third issue, which concerns </w:t>
      </w:r>
      <w:r w:rsidR="00017D10" w:rsidRPr="002C6715">
        <w:rPr>
          <w:rFonts w:ascii="Arial" w:hAnsi="Arial" w:cs="Arial"/>
          <w:bCs/>
        </w:rPr>
        <w:t>s 54 of the Close Corporations Act</w:t>
      </w:r>
      <w:r w:rsidR="00F26DD9" w:rsidRPr="002C6715">
        <w:rPr>
          <w:rFonts w:ascii="Arial" w:hAnsi="Arial" w:cs="Arial"/>
          <w:bCs/>
        </w:rPr>
        <w:t>, and whether Dube Tradeport is protected by it</w:t>
      </w:r>
      <w:r w:rsidR="00017D10" w:rsidRPr="002C6715">
        <w:rPr>
          <w:rFonts w:ascii="Arial" w:hAnsi="Arial" w:cs="Arial"/>
          <w:bCs/>
        </w:rPr>
        <w:t xml:space="preserve">. The section deals with the powers of members to bind </w:t>
      </w:r>
      <w:r w:rsidR="00260864" w:rsidRPr="002C6715">
        <w:rPr>
          <w:rFonts w:ascii="Arial" w:hAnsi="Arial" w:cs="Arial"/>
          <w:bCs/>
        </w:rPr>
        <w:t xml:space="preserve">a close </w:t>
      </w:r>
      <w:r w:rsidR="00017D10" w:rsidRPr="002C6715">
        <w:rPr>
          <w:rFonts w:ascii="Arial" w:hAnsi="Arial" w:cs="Arial"/>
          <w:bCs/>
        </w:rPr>
        <w:t xml:space="preserve">corporation. It reads: </w:t>
      </w:r>
    </w:p>
    <w:p w14:paraId="6D73FD68" w14:textId="77777777" w:rsidR="00017D10" w:rsidRPr="002C6715" w:rsidRDefault="00017D10" w:rsidP="007C2A0D">
      <w:pPr>
        <w:pStyle w:val="MEMONUMBERED"/>
        <w:kinsoku w:val="0"/>
        <w:overflowPunct w:val="0"/>
        <w:autoSpaceDE w:val="0"/>
        <w:autoSpaceDN w:val="0"/>
        <w:adjustRightInd w:val="0"/>
        <w:spacing w:before="1" w:line="360" w:lineRule="auto"/>
        <w:ind w:right="-7"/>
        <w:rPr>
          <w:rFonts w:ascii="Arial" w:hAnsi="Arial" w:cs="Arial"/>
          <w:bCs/>
          <w:sz w:val="22"/>
          <w:szCs w:val="22"/>
        </w:rPr>
      </w:pPr>
      <w:r w:rsidRPr="002C6715">
        <w:rPr>
          <w:rFonts w:ascii="Arial" w:hAnsi="Arial" w:cs="Arial"/>
          <w:bCs/>
          <w:sz w:val="22"/>
          <w:szCs w:val="22"/>
        </w:rPr>
        <w:t xml:space="preserve">‘1. Subject to the provisions of this section, any member of a corporation shall in relation to a person who is not a member and is dealing with the corporation, be an agent of the corporation. </w:t>
      </w:r>
    </w:p>
    <w:p w14:paraId="15CD78B1" w14:textId="77777777" w:rsidR="00BF42F2" w:rsidRPr="002C6715" w:rsidRDefault="00017D10" w:rsidP="003238AC">
      <w:pPr>
        <w:pStyle w:val="MEMONUMBERED"/>
        <w:kinsoku w:val="0"/>
        <w:overflowPunct w:val="0"/>
        <w:autoSpaceDE w:val="0"/>
        <w:autoSpaceDN w:val="0"/>
        <w:adjustRightInd w:val="0"/>
        <w:spacing w:before="1" w:after="480" w:line="360" w:lineRule="auto"/>
        <w:ind w:right="-7"/>
        <w:rPr>
          <w:rFonts w:ascii="Arial" w:hAnsi="Arial" w:cs="Arial"/>
          <w:bCs/>
          <w:sz w:val="22"/>
          <w:szCs w:val="22"/>
        </w:rPr>
      </w:pPr>
      <w:r w:rsidRPr="002C6715">
        <w:rPr>
          <w:rFonts w:ascii="Arial" w:hAnsi="Arial" w:cs="Arial"/>
          <w:bCs/>
          <w:sz w:val="22"/>
          <w:szCs w:val="22"/>
        </w:rPr>
        <w:t>2. Any act of a member shall bind a corporation whether or not such act is performed for the carrying on of the business of the corporation unless the members so acting has in fact no power to act for the corporation in the particular matter and the person with whom the member deals</w:t>
      </w:r>
      <w:r w:rsidR="005E0AC9" w:rsidRPr="002C6715">
        <w:rPr>
          <w:rFonts w:ascii="Arial" w:hAnsi="Arial" w:cs="Arial"/>
          <w:bCs/>
        </w:rPr>
        <w:t>,</w:t>
      </w:r>
      <w:r w:rsidRPr="002C6715">
        <w:rPr>
          <w:rFonts w:ascii="Arial" w:hAnsi="Arial" w:cs="Arial"/>
          <w:bCs/>
          <w:sz w:val="22"/>
          <w:szCs w:val="22"/>
        </w:rPr>
        <w:t xml:space="preserve"> has </w:t>
      </w:r>
      <w:bookmarkStart w:id="22" w:name="_Hlk92797300"/>
      <w:r w:rsidRPr="002C6715">
        <w:rPr>
          <w:rFonts w:ascii="Arial" w:hAnsi="Arial" w:cs="Arial"/>
          <w:bCs/>
          <w:sz w:val="22"/>
          <w:szCs w:val="22"/>
        </w:rPr>
        <w:t xml:space="preserve">or ought reasonably to </w:t>
      </w:r>
      <w:bookmarkEnd w:id="22"/>
      <w:r w:rsidRPr="002C6715">
        <w:rPr>
          <w:rFonts w:ascii="Arial" w:hAnsi="Arial" w:cs="Arial"/>
          <w:bCs/>
          <w:sz w:val="22"/>
          <w:szCs w:val="22"/>
        </w:rPr>
        <w:t xml:space="preserve">have </w:t>
      </w:r>
      <w:bookmarkStart w:id="23" w:name="_Hlk92797092"/>
      <w:r w:rsidRPr="002C6715">
        <w:rPr>
          <w:rFonts w:ascii="Arial" w:hAnsi="Arial" w:cs="Arial"/>
          <w:bCs/>
          <w:sz w:val="22"/>
          <w:szCs w:val="22"/>
        </w:rPr>
        <w:t>knowledge of the fact that the member has no such power</w:t>
      </w:r>
      <w:bookmarkEnd w:id="23"/>
      <w:r w:rsidRPr="002C6715">
        <w:rPr>
          <w:rFonts w:ascii="Arial" w:hAnsi="Arial" w:cs="Arial"/>
          <w:bCs/>
          <w:sz w:val="22"/>
          <w:szCs w:val="22"/>
        </w:rPr>
        <w:t>.’</w:t>
      </w:r>
    </w:p>
    <w:p w14:paraId="069BE629" w14:textId="77777777" w:rsidR="00BF42F2" w:rsidRPr="002C6715" w:rsidRDefault="00017D10" w:rsidP="007C2A0D">
      <w:pPr>
        <w:pStyle w:val="MEMONUMBERED"/>
        <w:numPr>
          <w:ilvl w:val="0"/>
          <w:numId w:val="1"/>
        </w:numPr>
        <w:kinsoku w:val="0"/>
        <w:overflowPunct w:val="0"/>
        <w:autoSpaceDE w:val="0"/>
        <w:autoSpaceDN w:val="0"/>
        <w:adjustRightInd w:val="0"/>
        <w:spacing w:before="1" w:after="480" w:line="360" w:lineRule="auto"/>
        <w:ind w:left="0" w:right="-7" w:firstLine="0"/>
        <w:rPr>
          <w:rFonts w:ascii="Arial" w:hAnsi="Arial" w:cs="Arial"/>
          <w:bCs/>
        </w:rPr>
      </w:pPr>
      <w:r w:rsidRPr="002C6715">
        <w:rPr>
          <w:rFonts w:ascii="Arial" w:hAnsi="Arial" w:cs="Arial"/>
          <w:bCs/>
        </w:rPr>
        <w:t xml:space="preserve">Evidently, the purpose of </w:t>
      </w:r>
      <w:r w:rsidR="00157AFF" w:rsidRPr="002C6715">
        <w:rPr>
          <w:rFonts w:ascii="Arial" w:hAnsi="Arial" w:cs="Arial"/>
          <w:bCs/>
        </w:rPr>
        <w:t xml:space="preserve">this </w:t>
      </w:r>
      <w:r w:rsidRPr="002C6715">
        <w:rPr>
          <w:rFonts w:ascii="Arial" w:hAnsi="Arial" w:cs="Arial"/>
          <w:bCs/>
        </w:rPr>
        <w:t>s</w:t>
      </w:r>
      <w:r w:rsidR="00157AFF" w:rsidRPr="002C6715">
        <w:rPr>
          <w:rFonts w:ascii="Arial" w:hAnsi="Arial" w:cs="Arial"/>
          <w:bCs/>
        </w:rPr>
        <w:t>ection</w:t>
      </w:r>
      <w:r w:rsidRPr="002C6715">
        <w:rPr>
          <w:rFonts w:ascii="Arial" w:hAnsi="Arial" w:cs="Arial"/>
          <w:bCs/>
        </w:rPr>
        <w:t xml:space="preserve"> is to protect third parties who ha</w:t>
      </w:r>
      <w:r w:rsidR="00157AFF" w:rsidRPr="002C6715">
        <w:rPr>
          <w:rFonts w:ascii="Arial" w:hAnsi="Arial" w:cs="Arial"/>
          <w:bCs/>
        </w:rPr>
        <w:t>d</w:t>
      </w:r>
      <w:r w:rsidRPr="002C6715">
        <w:rPr>
          <w:rFonts w:ascii="Arial" w:hAnsi="Arial" w:cs="Arial"/>
          <w:bCs/>
        </w:rPr>
        <w:t xml:space="preserve"> bona fide </w:t>
      </w:r>
      <w:r w:rsidR="00F26DD9" w:rsidRPr="002C6715">
        <w:rPr>
          <w:rFonts w:ascii="Arial" w:hAnsi="Arial" w:cs="Arial"/>
          <w:bCs/>
        </w:rPr>
        <w:t xml:space="preserve">transacted </w:t>
      </w:r>
      <w:r w:rsidRPr="002C6715">
        <w:rPr>
          <w:rFonts w:ascii="Arial" w:hAnsi="Arial" w:cs="Arial"/>
          <w:bCs/>
        </w:rPr>
        <w:t>with a member of a close corporation</w:t>
      </w:r>
      <w:r w:rsidR="00157AFF" w:rsidRPr="002C6715">
        <w:rPr>
          <w:rFonts w:ascii="Arial" w:hAnsi="Arial" w:cs="Arial"/>
          <w:bCs/>
        </w:rPr>
        <w:t>,</w:t>
      </w:r>
      <w:r w:rsidRPr="002C6715">
        <w:rPr>
          <w:rFonts w:ascii="Arial" w:hAnsi="Arial" w:cs="Arial"/>
          <w:bCs/>
        </w:rPr>
        <w:t xml:space="preserve"> against the negative effects of the ultra vires doctrine and the doctrine of constructive notice. </w:t>
      </w:r>
      <w:r w:rsidR="00297A38" w:rsidRPr="002C6715">
        <w:rPr>
          <w:rFonts w:ascii="Arial" w:hAnsi="Arial" w:cs="Arial"/>
          <w:bCs/>
        </w:rPr>
        <w:t>It was submitted on behalf of Dube Tradeport that it</w:t>
      </w:r>
      <w:r w:rsidR="00AF4FFD" w:rsidRPr="002C6715">
        <w:rPr>
          <w:rFonts w:ascii="Arial" w:hAnsi="Arial" w:cs="Arial"/>
          <w:bCs/>
        </w:rPr>
        <w:t xml:space="preserve"> was protected under this section as it transacted with a member of Odora, Sivaraj, who, on the basis of s 54, was an agent of Odora and had the authority to bind it. Also, because he was the sole registered member.</w:t>
      </w:r>
      <w:r w:rsidR="00297A38" w:rsidRPr="002C6715">
        <w:rPr>
          <w:rFonts w:ascii="Arial" w:hAnsi="Arial" w:cs="Arial"/>
          <w:bCs/>
        </w:rPr>
        <w:t xml:space="preserve"> </w:t>
      </w:r>
    </w:p>
    <w:p w14:paraId="25D96DCA" w14:textId="5DEABCD2" w:rsidR="00180051" w:rsidRPr="002C6715" w:rsidRDefault="00AF4FFD" w:rsidP="00180051">
      <w:pPr>
        <w:pStyle w:val="MEMONUMBERED"/>
        <w:numPr>
          <w:ilvl w:val="0"/>
          <w:numId w:val="1"/>
        </w:numPr>
        <w:kinsoku w:val="0"/>
        <w:overflowPunct w:val="0"/>
        <w:autoSpaceDE w:val="0"/>
        <w:autoSpaceDN w:val="0"/>
        <w:adjustRightInd w:val="0"/>
        <w:spacing w:before="1" w:after="480" w:line="360" w:lineRule="auto"/>
        <w:ind w:left="0" w:right="-7" w:firstLine="0"/>
        <w:rPr>
          <w:rFonts w:ascii="Arial" w:hAnsi="Arial" w:cs="Arial"/>
          <w:bCs/>
        </w:rPr>
      </w:pPr>
      <w:r w:rsidRPr="002C6715">
        <w:rPr>
          <w:rFonts w:ascii="Arial" w:hAnsi="Arial" w:cs="Arial"/>
          <w:bCs/>
        </w:rPr>
        <w:t xml:space="preserve">At face value, this submission is attractive. </w:t>
      </w:r>
      <w:r w:rsidR="00017D10" w:rsidRPr="002C6715">
        <w:rPr>
          <w:rFonts w:ascii="Arial" w:hAnsi="Arial" w:cs="Arial"/>
          <w:bCs/>
        </w:rPr>
        <w:t xml:space="preserve">However, the caveat in sub-rule (2) is </w:t>
      </w:r>
      <w:r w:rsidR="00F26DD9" w:rsidRPr="002C6715">
        <w:rPr>
          <w:rFonts w:ascii="Arial" w:hAnsi="Arial" w:cs="Arial"/>
          <w:bCs/>
        </w:rPr>
        <w:t xml:space="preserve">equally </w:t>
      </w:r>
      <w:r w:rsidR="00017D10" w:rsidRPr="002C6715">
        <w:rPr>
          <w:rFonts w:ascii="Arial" w:hAnsi="Arial" w:cs="Arial"/>
          <w:bCs/>
        </w:rPr>
        <w:t>important. Where the third party knows, or ought reasonably to know</w:t>
      </w:r>
      <w:r w:rsidR="00F26DD9" w:rsidRPr="002C6715">
        <w:rPr>
          <w:rFonts w:ascii="Arial" w:hAnsi="Arial" w:cs="Arial"/>
          <w:bCs/>
        </w:rPr>
        <w:t>,</w:t>
      </w:r>
      <w:r w:rsidR="00017D10" w:rsidRPr="002C6715">
        <w:rPr>
          <w:rFonts w:ascii="Arial" w:hAnsi="Arial" w:cs="Arial"/>
          <w:bCs/>
        </w:rPr>
        <w:t xml:space="preserve"> that the member he or she is dealing with has no power to act for the </w:t>
      </w:r>
      <w:r w:rsidR="00F26DD9" w:rsidRPr="002C6715">
        <w:rPr>
          <w:rFonts w:ascii="Arial" w:hAnsi="Arial" w:cs="Arial"/>
          <w:bCs/>
        </w:rPr>
        <w:t xml:space="preserve">close </w:t>
      </w:r>
      <w:r w:rsidR="00017D10" w:rsidRPr="002C6715">
        <w:rPr>
          <w:rFonts w:ascii="Arial" w:hAnsi="Arial" w:cs="Arial"/>
          <w:bCs/>
        </w:rPr>
        <w:t>corporation, such third party does not enjoy the protection afforded by the section</w:t>
      </w:r>
      <w:r w:rsidR="00017D10" w:rsidRPr="002C6715">
        <w:rPr>
          <w:rFonts w:ascii="Arial" w:hAnsi="Arial" w:cs="Arial"/>
          <w:bCs/>
          <w:i/>
          <w:iCs/>
        </w:rPr>
        <w:t xml:space="preserve">. </w:t>
      </w:r>
      <w:r w:rsidR="00180051" w:rsidRPr="002C6715">
        <w:rPr>
          <w:rFonts w:ascii="Arial" w:hAnsi="Arial" w:cs="Arial"/>
          <w:bCs/>
        </w:rPr>
        <w:t>In the present case, in their particulars of claim, the appellants alluded to the dispute between Sagadava and Sivaraj in respect of the membership of Odora and the ownership of the properties. They pointed out that Sagadava had, pursuant to that dispute, instituted an action for, among others, an order directing Sivaraj to transfer and deliver to him, Odora’s member’s interest, which action was pending. The appellants went on to make extensive allegations of fraud, unlawfulness and misrepresentations against Sivaraj in relation to Odora and in particular, the sale of the properties to Dube</w:t>
      </w:r>
      <w:r w:rsidR="00F26DD9" w:rsidRPr="002C6715">
        <w:rPr>
          <w:rFonts w:ascii="Arial" w:hAnsi="Arial" w:cs="Arial"/>
          <w:bCs/>
        </w:rPr>
        <w:t xml:space="preserve"> Tradeport</w:t>
      </w:r>
      <w:r w:rsidR="00180051" w:rsidRPr="002C6715">
        <w:rPr>
          <w:rFonts w:ascii="Arial" w:hAnsi="Arial" w:cs="Arial"/>
          <w:bCs/>
        </w:rPr>
        <w:t xml:space="preserve">. </w:t>
      </w:r>
    </w:p>
    <w:p w14:paraId="2155AF62" w14:textId="342F716C" w:rsidR="00A55157" w:rsidRPr="002C6715" w:rsidRDefault="00A55157" w:rsidP="003238AC">
      <w:pPr>
        <w:pStyle w:val="MEMONUMBERED"/>
        <w:numPr>
          <w:ilvl w:val="0"/>
          <w:numId w:val="1"/>
        </w:numPr>
        <w:kinsoku w:val="0"/>
        <w:overflowPunct w:val="0"/>
        <w:autoSpaceDE w:val="0"/>
        <w:autoSpaceDN w:val="0"/>
        <w:adjustRightInd w:val="0"/>
        <w:spacing w:before="1" w:line="360" w:lineRule="auto"/>
        <w:ind w:left="0" w:right="-7" w:firstLine="0"/>
        <w:rPr>
          <w:rFonts w:ascii="Arial" w:hAnsi="Arial" w:cs="Arial"/>
          <w:bCs/>
        </w:rPr>
      </w:pPr>
      <w:r w:rsidRPr="002C6715">
        <w:rPr>
          <w:rFonts w:ascii="Arial" w:hAnsi="Arial" w:cs="Arial"/>
          <w:bCs/>
        </w:rPr>
        <w:t>Importantly, in respect of Dube</w:t>
      </w:r>
      <w:r w:rsidR="00F26DD9" w:rsidRPr="002C6715">
        <w:rPr>
          <w:rFonts w:ascii="Arial" w:hAnsi="Arial" w:cs="Arial"/>
          <w:bCs/>
        </w:rPr>
        <w:t xml:space="preserve"> Tradeport</w:t>
      </w:r>
      <w:r w:rsidRPr="002C6715">
        <w:rPr>
          <w:rFonts w:ascii="Arial" w:hAnsi="Arial" w:cs="Arial"/>
          <w:bCs/>
        </w:rPr>
        <w:t>, the appellants alleged that Dube</w:t>
      </w:r>
      <w:r w:rsidR="00F26DD9" w:rsidRPr="002C6715">
        <w:rPr>
          <w:rFonts w:ascii="Arial" w:hAnsi="Arial" w:cs="Arial"/>
          <w:bCs/>
        </w:rPr>
        <w:t xml:space="preserve"> Tradeport</w:t>
      </w:r>
      <w:r w:rsidRPr="002C6715">
        <w:rPr>
          <w:rFonts w:ascii="Arial" w:hAnsi="Arial" w:cs="Arial"/>
          <w:bCs/>
        </w:rPr>
        <w:t xml:space="preserve"> (a) was aware of the dispute between Sagadava and Sivaraj, and the pending action in respect thereof; (b) accordingly knew or ought to have known of Sagadava’s claimed rights</w:t>
      </w:r>
      <w:r w:rsidR="001F769E" w:rsidRPr="002C6715">
        <w:rPr>
          <w:rFonts w:ascii="Arial" w:hAnsi="Arial" w:cs="Arial"/>
          <w:bCs/>
        </w:rPr>
        <w:t>;</w:t>
      </w:r>
      <w:r w:rsidRPr="002C6715">
        <w:rPr>
          <w:rFonts w:ascii="Arial" w:hAnsi="Arial" w:cs="Arial"/>
          <w:bCs/>
        </w:rPr>
        <w:t xml:space="preserve"> and (c) was therefore not a bona fide possessor who was unaware of Sagadava’s prior claims. In essence, the appellants alleged that Sivaraj had no actual power to sell the properties on behalf of Odora because he was a </w:t>
      </w:r>
      <w:r w:rsidR="00A60D23" w:rsidRPr="002C6715">
        <w:rPr>
          <w:rFonts w:ascii="Arial" w:hAnsi="Arial" w:cs="Arial"/>
          <w:bCs/>
        </w:rPr>
        <w:t xml:space="preserve">50% member of Odora or alternatively a </w:t>
      </w:r>
      <w:r w:rsidRPr="002C6715">
        <w:rPr>
          <w:rFonts w:ascii="Arial" w:hAnsi="Arial" w:cs="Arial"/>
          <w:bCs/>
        </w:rPr>
        <w:t>mere nominee of Sagadava, and that Dube Tradeport knew it, or in the circumstances, ought to have known it. In this regard, it is important to have regard to the impugned purchase agreement between Odora and Dube Tradeport, which is attached to the particulars</w:t>
      </w:r>
      <w:r w:rsidR="00A60D23" w:rsidRPr="002C6715">
        <w:rPr>
          <w:rFonts w:ascii="Arial" w:hAnsi="Arial" w:cs="Arial"/>
          <w:bCs/>
        </w:rPr>
        <w:t xml:space="preserve"> of claim and</w:t>
      </w:r>
      <w:r w:rsidRPr="002C6715">
        <w:rPr>
          <w:rFonts w:ascii="Arial" w:hAnsi="Arial" w:cs="Arial"/>
          <w:bCs/>
        </w:rPr>
        <w:t xml:space="preserve"> therefore part of the </w:t>
      </w:r>
      <w:r w:rsidR="001F769E" w:rsidRPr="002C6715">
        <w:rPr>
          <w:rFonts w:ascii="Arial" w:hAnsi="Arial" w:cs="Arial"/>
          <w:bCs/>
        </w:rPr>
        <w:t xml:space="preserve">exception proceedings. </w:t>
      </w:r>
      <w:r w:rsidRPr="002C6715">
        <w:rPr>
          <w:rFonts w:ascii="Arial" w:hAnsi="Arial" w:cs="Arial"/>
          <w:bCs/>
        </w:rPr>
        <w:t xml:space="preserve">Clause 4.3 thereof is a so-called ‘escape clause’, created in favour of Dube Tradeport, in the event Odora was unable to deliver the purchased properties to it. It reads as follows: </w:t>
      </w:r>
    </w:p>
    <w:p w14:paraId="6F3603A3" w14:textId="77777777" w:rsidR="00A55157" w:rsidRPr="002C6715" w:rsidRDefault="00A55157" w:rsidP="00A55157">
      <w:pPr>
        <w:pStyle w:val="MEMONUMBERED"/>
        <w:kinsoku w:val="0"/>
        <w:overflowPunct w:val="0"/>
        <w:autoSpaceDE w:val="0"/>
        <w:autoSpaceDN w:val="0"/>
        <w:adjustRightInd w:val="0"/>
        <w:spacing w:before="1" w:after="480" w:line="360" w:lineRule="auto"/>
        <w:ind w:right="-7"/>
        <w:rPr>
          <w:rFonts w:ascii="Arial" w:hAnsi="Arial" w:cs="Arial"/>
          <w:bCs/>
          <w:sz w:val="22"/>
          <w:szCs w:val="22"/>
        </w:rPr>
      </w:pPr>
      <w:r w:rsidRPr="002C6715">
        <w:rPr>
          <w:rFonts w:ascii="Arial" w:hAnsi="Arial" w:cs="Arial"/>
          <w:bCs/>
          <w:sz w:val="22"/>
          <w:szCs w:val="22"/>
        </w:rPr>
        <w:t>‘4.3 In the event that this Agreement is cancelled or set aside, or the transfer of the Properties to [Dube</w:t>
      </w:r>
      <w:r w:rsidR="001F769E" w:rsidRPr="002C6715">
        <w:rPr>
          <w:rFonts w:ascii="Arial" w:hAnsi="Arial" w:cs="Arial"/>
          <w:bCs/>
          <w:sz w:val="22"/>
          <w:szCs w:val="22"/>
        </w:rPr>
        <w:t xml:space="preserve"> Tradeport</w:t>
      </w:r>
      <w:r w:rsidRPr="002C6715">
        <w:rPr>
          <w:rFonts w:ascii="Arial" w:hAnsi="Arial" w:cs="Arial"/>
          <w:bCs/>
          <w:sz w:val="22"/>
          <w:szCs w:val="22"/>
        </w:rPr>
        <w:t>] is cancelled or set aside, (either before or after the Registration Date), or [Odora] being unable to deliver the Properties to [Dube</w:t>
      </w:r>
      <w:r w:rsidR="001F769E" w:rsidRPr="002C6715">
        <w:rPr>
          <w:rFonts w:ascii="Arial" w:hAnsi="Arial" w:cs="Arial"/>
          <w:bCs/>
          <w:sz w:val="22"/>
          <w:szCs w:val="22"/>
        </w:rPr>
        <w:t xml:space="preserve"> Tradeport</w:t>
      </w:r>
      <w:r w:rsidRPr="002C6715">
        <w:rPr>
          <w:rFonts w:ascii="Arial" w:hAnsi="Arial" w:cs="Arial"/>
          <w:bCs/>
          <w:sz w:val="22"/>
          <w:szCs w:val="22"/>
        </w:rPr>
        <w:t>] for any reason, (whether as a result of the said dispute, or for any other reason), then [Odora] will repay the Purchase Price and interest to [Dube</w:t>
      </w:r>
      <w:r w:rsidR="001F769E" w:rsidRPr="002C6715">
        <w:rPr>
          <w:rFonts w:ascii="Arial" w:hAnsi="Arial" w:cs="Arial"/>
          <w:bCs/>
          <w:sz w:val="22"/>
          <w:szCs w:val="22"/>
        </w:rPr>
        <w:t xml:space="preserve"> Tradeport</w:t>
      </w:r>
      <w:r w:rsidRPr="002C6715">
        <w:rPr>
          <w:rFonts w:ascii="Arial" w:hAnsi="Arial" w:cs="Arial"/>
          <w:bCs/>
          <w:sz w:val="22"/>
          <w:szCs w:val="22"/>
        </w:rPr>
        <w:t>], no occupational rental will be paid by [Dube</w:t>
      </w:r>
      <w:r w:rsidR="001F769E" w:rsidRPr="002C6715">
        <w:rPr>
          <w:rFonts w:ascii="Arial" w:hAnsi="Arial" w:cs="Arial"/>
          <w:bCs/>
          <w:sz w:val="22"/>
          <w:szCs w:val="22"/>
        </w:rPr>
        <w:t xml:space="preserve"> Tradeport</w:t>
      </w:r>
      <w:r w:rsidRPr="002C6715">
        <w:rPr>
          <w:rFonts w:ascii="Arial" w:hAnsi="Arial" w:cs="Arial"/>
          <w:bCs/>
          <w:sz w:val="22"/>
          <w:szCs w:val="22"/>
        </w:rPr>
        <w:t>], and [Odora] will refund [Dube</w:t>
      </w:r>
      <w:r w:rsidR="001F769E" w:rsidRPr="002C6715">
        <w:rPr>
          <w:rFonts w:ascii="Arial" w:hAnsi="Arial" w:cs="Arial"/>
          <w:bCs/>
          <w:sz w:val="22"/>
          <w:szCs w:val="22"/>
        </w:rPr>
        <w:t xml:space="preserve"> Tradeport</w:t>
      </w:r>
      <w:r w:rsidRPr="002C6715">
        <w:rPr>
          <w:rFonts w:ascii="Arial" w:hAnsi="Arial" w:cs="Arial"/>
          <w:bCs/>
          <w:sz w:val="22"/>
          <w:szCs w:val="22"/>
        </w:rPr>
        <w:t>] any costs or rates paid by [Dube</w:t>
      </w:r>
      <w:r w:rsidR="001F769E" w:rsidRPr="002C6715">
        <w:rPr>
          <w:rFonts w:ascii="Arial" w:hAnsi="Arial" w:cs="Arial"/>
          <w:bCs/>
          <w:sz w:val="22"/>
          <w:szCs w:val="22"/>
        </w:rPr>
        <w:t xml:space="preserve"> Tradeport</w:t>
      </w:r>
      <w:r w:rsidRPr="002C6715">
        <w:rPr>
          <w:rFonts w:ascii="Arial" w:hAnsi="Arial" w:cs="Arial"/>
          <w:bCs/>
          <w:sz w:val="22"/>
          <w:szCs w:val="22"/>
        </w:rPr>
        <w:t>].</w:t>
      </w:r>
    </w:p>
    <w:p w14:paraId="06367789" w14:textId="6E90CD06" w:rsidR="00017D10" w:rsidRPr="002C6715" w:rsidRDefault="00017D10" w:rsidP="003238AC">
      <w:pPr>
        <w:pStyle w:val="MEMONUMBERED"/>
        <w:numPr>
          <w:ilvl w:val="0"/>
          <w:numId w:val="1"/>
        </w:numPr>
        <w:kinsoku w:val="0"/>
        <w:overflowPunct w:val="0"/>
        <w:autoSpaceDE w:val="0"/>
        <w:autoSpaceDN w:val="0"/>
        <w:adjustRightInd w:val="0"/>
        <w:spacing w:before="1" w:line="360" w:lineRule="auto"/>
        <w:ind w:left="0" w:right="-7" w:firstLine="0"/>
        <w:rPr>
          <w:rFonts w:ascii="Arial" w:hAnsi="Arial" w:cs="Arial"/>
          <w:bCs/>
        </w:rPr>
      </w:pPr>
      <w:r w:rsidRPr="002C6715">
        <w:rPr>
          <w:rFonts w:ascii="Arial" w:hAnsi="Arial" w:cs="Arial"/>
          <w:bCs/>
        </w:rPr>
        <w:t xml:space="preserve">The high court accepted that Dube was aware of the dispute between </w:t>
      </w:r>
      <w:r w:rsidR="001F769E" w:rsidRPr="002C6715">
        <w:rPr>
          <w:rFonts w:ascii="Arial" w:hAnsi="Arial" w:cs="Arial"/>
          <w:bCs/>
        </w:rPr>
        <w:t xml:space="preserve">Sagadava and Sivaraj </w:t>
      </w:r>
      <w:r w:rsidRPr="002C6715">
        <w:rPr>
          <w:rFonts w:ascii="Arial" w:hAnsi="Arial" w:cs="Arial"/>
          <w:bCs/>
        </w:rPr>
        <w:t xml:space="preserve">over </w:t>
      </w:r>
      <w:r w:rsidR="00E6438C" w:rsidRPr="002C6715">
        <w:rPr>
          <w:rFonts w:ascii="Arial" w:hAnsi="Arial" w:cs="Arial"/>
          <w:bCs/>
        </w:rPr>
        <w:t xml:space="preserve">the </w:t>
      </w:r>
      <w:r w:rsidRPr="002C6715">
        <w:rPr>
          <w:rFonts w:ascii="Arial" w:hAnsi="Arial" w:cs="Arial"/>
          <w:bCs/>
        </w:rPr>
        <w:t>membership of Odora</w:t>
      </w:r>
      <w:r w:rsidR="001F769E" w:rsidRPr="002C6715">
        <w:rPr>
          <w:rFonts w:ascii="Arial" w:hAnsi="Arial" w:cs="Arial"/>
          <w:bCs/>
        </w:rPr>
        <w:t xml:space="preserve"> and the properties</w:t>
      </w:r>
      <w:r w:rsidRPr="002C6715">
        <w:rPr>
          <w:rFonts w:ascii="Arial" w:hAnsi="Arial" w:cs="Arial"/>
          <w:bCs/>
        </w:rPr>
        <w:t xml:space="preserve"> when it concluded the impugned purchase agreement with Odora. It also accepted that the ‘escape clause’ was inserted with this in mind. However, it concluded that this was not enough for Dube</w:t>
      </w:r>
      <w:r w:rsidR="001F769E" w:rsidRPr="002C6715">
        <w:rPr>
          <w:rFonts w:ascii="Arial" w:hAnsi="Arial" w:cs="Arial"/>
          <w:bCs/>
        </w:rPr>
        <w:t xml:space="preserve"> Tradeport </w:t>
      </w:r>
      <w:r w:rsidRPr="002C6715">
        <w:rPr>
          <w:rFonts w:ascii="Arial" w:hAnsi="Arial" w:cs="Arial"/>
          <w:bCs/>
        </w:rPr>
        <w:t>to lose the protection afforded in s 54, ‘because of the lack of knowledge of [Dube</w:t>
      </w:r>
      <w:r w:rsidR="001F769E" w:rsidRPr="002C6715">
        <w:rPr>
          <w:rFonts w:ascii="Arial" w:hAnsi="Arial" w:cs="Arial"/>
          <w:bCs/>
        </w:rPr>
        <w:t xml:space="preserve"> Tradeport</w:t>
      </w:r>
      <w:r w:rsidRPr="002C6715">
        <w:rPr>
          <w:rFonts w:ascii="Arial" w:hAnsi="Arial" w:cs="Arial"/>
          <w:bCs/>
        </w:rPr>
        <w:t xml:space="preserve">] as to the truth of the membership ownership.’ The high court further said: </w:t>
      </w:r>
    </w:p>
    <w:p w14:paraId="729464DC" w14:textId="77777777" w:rsidR="00017D10" w:rsidRPr="002C6715" w:rsidRDefault="00017D10" w:rsidP="007C2A0D">
      <w:pPr>
        <w:pStyle w:val="MEMONUMBERED"/>
        <w:kinsoku w:val="0"/>
        <w:overflowPunct w:val="0"/>
        <w:autoSpaceDE w:val="0"/>
        <w:autoSpaceDN w:val="0"/>
        <w:adjustRightInd w:val="0"/>
        <w:spacing w:before="1" w:after="480" w:line="360" w:lineRule="auto"/>
        <w:ind w:right="-7"/>
        <w:rPr>
          <w:rFonts w:ascii="Arial" w:hAnsi="Arial" w:cs="Arial"/>
          <w:bCs/>
          <w:sz w:val="22"/>
          <w:szCs w:val="22"/>
        </w:rPr>
      </w:pPr>
      <w:r w:rsidRPr="002C6715">
        <w:rPr>
          <w:rFonts w:ascii="Arial" w:hAnsi="Arial" w:cs="Arial"/>
          <w:bCs/>
          <w:sz w:val="22"/>
          <w:szCs w:val="22"/>
        </w:rPr>
        <w:t>‘</w:t>
      </w:r>
      <w:r w:rsidR="00BC0166" w:rsidRPr="002C6715">
        <w:rPr>
          <w:rFonts w:ascii="Arial" w:hAnsi="Arial" w:cs="Arial"/>
          <w:bCs/>
          <w:sz w:val="22"/>
          <w:szCs w:val="22"/>
        </w:rPr>
        <w:t xml:space="preserve">… </w:t>
      </w:r>
      <w:r w:rsidRPr="002C6715">
        <w:rPr>
          <w:rFonts w:ascii="Arial" w:hAnsi="Arial" w:cs="Arial"/>
          <w:bCs/>
          <w:sz w:val="22"/>
          <w:szCs w:val="22"/>
        </w:rPr>
        <w:t>[I] cannot conclude that [Dube] knew, or reasonably ought to have known the truth of the membership arrangement between [Sagada</w:t>
      </w:r>
      <w:r w:rsidR="00BC0166" w:rsidRPr="002C6715">
        <w:rPr>
          <w:rFonts w:ascii="Arial" w:hAnsi="Arial" w:cs="Arial"/>
          <w:bCs/>
          <w:sz w:val="22"/>
          <w:szCs w:val="22"/>
        </w:rPr>
        <w:t>va</w:t>
      </w:r>
      <w:r w:rsidRPr="002C6715">
        <w:rPr>
          <w:rFonts w:ascii="Arial" w:hAnsi="Arial" w:cs="Arial"/>
          <w:bCs/>
          <w:sz w:val="22"/>
          <w:szCs w:val="22"/>
        </w:rPr>
        <w:t>] and [Siva</w:t>
      </w:r>
      <w:r w:rsidR="00992AD5" w:rsidRPr="002C6715">
        <w:rPr>
          <w:rFonts w:ascii="Arial" w:hAnsi="Arial" w:cs="Arial"/>
          <w:bCs/>
          <w:sz w:val="22"/>
          <w:szCs w:val="22"/>
        </w:rPr>
        <w:t>ra</w:t>
      </w:r>
      <w:r w:rsidRPr="002C6715">
        <w:rPr>
          <w:rFonts w:ascii="Arial" w:hAnsi="Arial" w:cs="Arial"/>
          <w:bCs/>
          <w:sz w:val="22"/>
          <w:szCs w:val="22"/>
        </w:rPr>
        <w:t>j]. [Dube</w:t>
      </w:r>
      <w:r w:rsidR="001F769E" w:rsidRPr="002C6715">
        <w:rPr>
          <w:rFonts w:ascii="Arial" w:hAnsi="Arial" w:cs="Arial"/>
          <w:bCs/>
          <w:sz w:val="22"/>
          <w:szCs w:val="22"/>
        </w:rPr>
        <w:t xml:space="preserve"> Tradeport</w:t>
      </w:r>
      <w:r w:rsidRPr="002C6715">
        <w:rPr>
          <w:rFonts w:ascii="Arial" w:hAnsi="Arial" w:cs="Arial"/>
          <w:bCs/>
          <w:sz w:val="22"/>
          <w:szCs w:val="22"/>
        </w:rPr>
        <w:t>] was plainly aware that the two brothers were in dispute. That is clear from the incorporation of the dispute in the sale agreement as a mechanism for the first respondent to escape from the sale agreement. Even so, does that mean that Dube TradePort knew of the truth, or reasonably should have done so? Surely they probably did not - that is why the escape clause was included in the sale agreement - just in case they were being misled. Had they known, or been capable of establishing the truth, they would almost certainly have done so. The sale agreement was, after all, no trifling matter.’</w:t>
      </w:r>
    </w:p>
    <w:p w14:paraId="41EE3E90" w14:textId="10DB5CE2" w:rsidR="007A754F" w:rsidRPr="002C6715" w:rsidRDefault="00F6045C" w:rsidP="004760B6">
      <w:pPr>
        <w:pStyle w:val="MEMONUMBERED"/>
        <w:numPr>
          <w:ilvl w:val="0"/>
          <w:numId w:val="1"/>
        </w:numPr>
        <w:kinsoku w:val="0"/>
        <w:overflowPunct w:val="0"/>
        <w:autoSpaceDE w:val="0"/>
        <w:autoSpaceDN w:val="0"/>
        <w:adjustRightInd w:val="0"/>
        <w:spacing w:before="1" w:after="480" w:line="360" w:lineRule="auto"/>
        <w:ind w:left="0" w:right="-7" w:firstLine="0"/>
        <w:rPr>
          <w:rFonts w:ascii="Arial" w:hAnsi="Arial" w:cs="Arial"/>
          <w:bCs/>
        </w:rPr>
      </w:pPr>
      <w:r w:rsidRPr="002C6715">
        <w:rPr>
          <w:rFonts w:ascii="Arial" w:hAnsi="Arial" w:cs="Arial"/>
          <w:bCs/>
        </w:rPr>
        <w:t xml:space="preserve">I </w:t>
      </w:r>
      <w:r w:rsidR="008A0CD1" w:rsidRPr="002C6715">
        <w:rPr>
          <w:rFonts w:ascii="Arial" w:hAnsi="Arial" w:cs="Arial"/>
          <w:bCs/>
        </w:rPr>
        <w:t xml:space="preserve">am </w:t>
      </w:r>
      <w:r w:rsidR="0076654A" w:rsidRPr="002C6715">
        <w:rPr>
          <w:rFonts w:ascii="Arial" w:hAnsi="Arial" w:cs="Arial"/>
          <w:bCs/>
        </w:rPr>
        <w:t xml:space="preserve">in </w:t>
      </w:r>
      <w:r w:rsidR="008A0CD1" w:rsidRPr="002C6715">
        <w:rPr>
          <w:rFonts w:ascii="Arial" w:hAnsi="Arial" w:cs="Arial"/>
          <w:bCs/>
        </w:rPr>
        <w:t>respectful</w:t>
      </w:r>
      <w:r w:rsidR="0076654A" w:rsidRPr="002C6715">
        <w:rPr>
          <w:rFonts w:ascii="Arial" w:hAnsi="Arial" w:cs="Arial"/>
          <w:bCs/>
        </w:rPr>
        <w:t xml:space="preserve"> disagreement with</w:t>
      </w:r>
      <w:r w:rsidRPr="002C6715">
        <w:rPr>
          <w:rFonts w:ascii="Arial" w:hAnsi="Arial" w:cs="Arial"/>
          <w:bCs/>
        </w:rPr>
        <w:t xml:space="preserve"> this reasoning</w:t>
      </w:r>
      <w:r w:rsidR="00017D10" w:rsidRPr="002C6715">
        <w:rPr>
          <w:rFonts w:ascii="Arial" w:hAnsi="Arial" w:cs="Arial"/>
          <w:bCs/>
        </w:rPr>
        <w:t xml:space="preserve">. Section 54 has two requirements as pertains </w:t>
      </w:r>
      <w:r w:rsidR="00E6438C" w:rsidRPr="002C6715">
        <w:rPr>
          <w:rFonts w:ascii="Arial" w:hAnsi="Arial" w:cs="Arial"/>
          <w:bCs/>
        </w:rPr>
        <w:t xml:space="preserve">to </w:t>
      </w:r>
      <w:r w:rsidR="00017D10" w:rsidRPr="002C6715">
        <w:rPr>
          <w:rFonts w:ascii="Arial" w:hAnsi="Arial" w:cs="Arial"/>
          <w:bCs/>
        </w:rPr>
        <w:t>the knowledge of a third party</w:t>
      </w:r>
      <w:r w:rsidR="00455D88" w:rsidRPr="002C6715">
        <w:rPr>
          <w:rFonts w:ascii="Arial" w:hAnsi="Arial" w:cs="Arial"/>
          <w:bCs/>
        </w:rPr>
        <w:t xml:space="preserve"> of a member of a close corporation’s lack of authority</w:t>
      </w:r>
      <w:r w:rsidR="00017D10" w:rsidRPr="002C6715">
        <w:rPr>
          <w:rFonts w:ascii="Arial" w:hAnsi="Arial" w:cs="Arial"/>
          <w:bCs/>
        </w:rPr>
        <w:t>: actual</w:t>
      </w:r>
      <w:r w:rsidR="00455D88" w:rsidRPr="002C6715">
        <w:rPr>
          <w:rFonts w:ascii="Arial" w:hAnsi="Arial" w:cs="Arial"/>
          <w:bCs/>
        </w:rPr>
        <w:t xml:space="preserve"> </w:t>
      </w:r>
      <w:r w:rsidR="00017D10" w:rsidRPr="002C6715">
        <w:rPr>
          <w:rFonts w:ascii="Arial" w:hAnsi="Arial" w:cs="Arial"/>
          <w:bCs/>
        </w:rPr>
        <w:t>or imputed</w:t>
      </w:r>
      <w:r w:rsidR="00455D88" w:rsidRPr="002C6715">
        <w:rPr>
          <w:rFonts w:ascii="Arial" w:hAnsi="Arial" w:cs="Arial"/>
          <w:bCs/>
        </w:rPr>
        <w:t xml:space="preserve"> knowledge</w:t>
      </w:r>
      <w:r w:rsidR="00017D10" w:rsidRPr="002C6715">
        <w:rPr>
          <w:rFonts w:ascii="Arial" w:hAnsi="Arial" w:cs="Arial"/>
          <w:bCs/>
        </w:rPr>
        <w:t>.</w:t>
      </w:r>
      <w:r w:rsidR="00455D88" w:rsidRPr="002C6715">
        <w:rPr>
          <w:rFonts w:ascii="Arial" w:hAnsi="Arial" w:cs="Arial"/>
          <w:bCs/>
        </w:rPr>
        <w:t xml:space="preserve"> These requirements are in the alternative.</w:t>
      </w:r>
      <w:r w:rsidR="00017D10" w:rsidRPr="002C6715">
        <w:rPr>
          <w:rFonts w:ascii="Arial" w:hAnsi="Arial" w:cs="Arial"/>
          <w:bCs/>
        </w:rPr>
        <w:t xml:space="preserve"> The appellants relied on the latter. </w:t>
      </w:r>
      <w:r w:rsidR="000837CE" w:rsidRPr="002C6715">
        <w:rPr>
          <w:rFonts w:ascii="Arial" w:hAnsi="Arial" w:cs="Arial"/>
          <w:bCs/>
        </w:rPr>
        <w:t>Whether a third party knew or ought to have known of the member’s lack of power to act for the corporation is a factual question</w:t>
      </w:r>
      <w:r w:rsidR="00A60D23" w:rsidRPr="002C6715">
        <w:rPr>
          <w:rFonts w:ascii="Arial" w:hAnsi="Arial" w:cs="Arial"/>
          <w:bCs/>
        </w:rPr>
        <w:t>,</w:t>
      </w:r>
      <w:r w:rsidR="000837CE" w:rsidRPr="002C6715">
        <w:rPr>
          <w:rFonts w:ascii="Arial" w:hAnsi="Arial" w:cs="Arial"/>
          <w:bCs/>
        </w:rPr>
        <w:t xml:space="preserve"> the truthfulness of which can only be determined at the trial. The court said that Dube </w:t>
      </w:r>
      <w:r w:rsidR="00D01C7C" w:rsidRPr="002C6715">
        <w:rPr>
          <w:rFonts w:ascii="Arial" w:hAnsi="Arial" w:cs="Arial"/>
          <w:bCs/>
        </w:rPr>
        <w:t xml:space="preserve">Tradeport </w:t>
      </w:r>
      <w:r w:rsidR="000837CE" w:rsidRPr="002C6715">
        <w:rPr>
          <w:rFonts w:ascii="Arial" w:hAnsi="Arial" w:cs="Arial"/>
          <w:bCs/>
        </w:rPr>
        <w:t>‘… surely … probably did not know…’</w:t>
      </w:r>
      <w:r w:rsidR="004760B6" w:rsidRPr="002C6715">
        <w:rPr>
          <w:rFonts w:ascii="Arial" w:hAnsi="Arial" w:cs="Arial"/>
          <w:bCs/>
        </w:rPr>
        <w:t xml:space="preserve">.  </w:t>
      </w:r>
      <w:r w:rsidR="00017D10" w:rsidRPr="002C6715">
        <w:rPr>
          <w:rFonts w:ascii="Arial" w:hAnsi="Arial" w:cs="Arial"/>
          <w:bCs/>
        </w:rPr>
        <w:t xml:space="preserve">The high court was not sitting </w:t>
      </w:r>
      <w:r w:rsidR="004760B6" w:rsidRPr="002C6715">
        <w:rPr>
          <w:rFonts w:ascii="Arial" w:hAnsi="Arial" w:cs="Arial"/>
          <w:bCs/>
        </w:rPr>
        <w:t>in the</w:t>
      </w:r>
      <w:r w:rsidR="00017D10" w:rsidRPr="002C6715">
        <w:rPr>
          <w:rFonts w:ascii="Arial" w:hAnsi="Arial" w:cs="Arial"/>
          <w:bCs/>
        </w:rPr>
        <w:t xml:space="preserve"> trial</w:t>
      </w:r>
      <w:r w:rsidR="004760B6" w:rsidRPr="002C6715">
        <w:rPr>
          <w:rFonts w:ascii="Arial" w:hAnsi="Arial" w:cs="Arial"/>
          <w:bCs/>
        </w:rPr>
        <w:t xml:space="preserve"> of the main action</w:t>
      </w:r>
      <w:r w:rsidR="00017D10" w:rsidRPr="002C6715">
        <w:rPr>
          <w:rFonts w:ascii="Arial" w:hAnsi="Arial" w:cs="Arial"/>
          <w:bCs/>
        </w:rPr>
        <w:t xml:space="preserve">. It was </w:t>
      </w:r>
      <w:r w:rsidR="00455D88" w:rsidRPr="002C6715">
        <w:rPr>
          <w:rFonts w:ascii="Arial" w:hAnsi="Arial" w:cs="Arial"/>
          <w:bCs/>
        </w:rPr>
        <w:t xml:space="preserve">therefore </w:t>
      </w:r>
      <w:r w:rsidR="000837CE" w:rsidRPr="002C6715">
        <w:rPr>
          <w:rFonts w:ascii="Arial" w:hAnsi="Arial" w:cs="Arial"/>
          <w:bCs/>
        </w:rPr>
        <w:t xml:space="preserve">in no position to </w:t>
      </w:r>
      <w:r w:rsidR="00017D10" w:rsidRPr="002C6715">
        <w:rPr>
          <w:rFonts w:ascii="Arial" w:hAnsi="Arial" w:cs="Arial"/>
          <w:bCs/>
        </w:rPr>
        <w:t>determine probabilities or throw doubt on the facts alleged in the particulars of claim,</w:t>
      </w:r>
      <w:r w:rsidR="007A754F" w:rsidRPr="002C6715">
        <w:rPr>
          <w:rFonts w:ascii="Arial" w:hAnsi="Arial" w:cs="Arial"/>
          <w:bCs/>
        </w:rPr>
        <w:t xml:space="preserve"> for the simple reason that it had only one version before it, namely that of the appellants.</w:t>
      </w:r>
      <w:r w:rsidR="00017D10" w:rsidRPr="002C6715">
        <w:rPr>
          <w:rFonts w:ascii="Arial" w:hAnsi="Arial" w:cs="Arial"/>
          <w:bCs/>
        </w:rPr>
        <w:t xml:space="preserve"> </w:t>
      </w:r>
      <w:r w:rsidR="004760B6" w:rsidRPr="002C6715">
        <w:rPr>
          <w:rFonts w:ascii="Arial" w:hAnsi="Arial" w:cs="Arial"/>
          <w:bCs/>
        </w:rPr>
        <w:t>As stated already, it had to accept that version, unless it was patently false, which is not the case here.</w:t>
      </w:r>
    </w:p>
    <w:p w14:paraId="6BE2F0DA" w14:textId="3827A8BE" w:rsidR="004760B6" w:rsidRPr="002C6715" w:rsidRDefault="007A754F" w:rsidP="00EE4581">
      <w:pPr>
        <w:pStyle w:val="MEMONUMBERED"/>
        <w:numPr>
          <w:ilvl w:val="0"/>
          <w:numId w:val="1"/>
        </w:numPr>
        <w:kinsoku w:val="0"/>
        <w:overflowPunct w:val="0"/>
        <w:autoSpaceDE w:val="0"/>
        <w:autoSpaceDN w:val="0"/>
        <w:adjustRightInd w:val="0"/>
        <w:spacing w:before="1" w:after="480" w:line="360" w:lineRule="auto"/>
        <w:ind w:left="0" w:right="-7" w:firstLine="0"/>
        <w:rPr>
          <w:rFonts w:ascii="Arial" w:hAnsi="Arial" w:cs="Arial"/>
          <w:bCs/>
        </w:rPr>
      </w:pPr>
      <w:r w:rsidRPr="002C6715">
        <w:rPr>
          <w:rFonts w:ascii="Arial" w:hAnsi="Arial" w:cs="Arial"/>
          <w:bCs/>
        </w:rPr>
        <w:t xml:space="preserve">For </w:t>
      </w:r>
      <w:r w:rsidR="004760B6" w:rsidRPr="002C6715">
        <w:rPr>
          <w:rFonts w:ascii="Arial" w:hAnsi="Arial" w:cs="Arial"/>
          <w:bCs/>
        </w:rPr>
        <w:t xml:space="preserve">the </w:t>
      </w:r>
      <w:r w:rsidRPr="002C6715">
        <w:rPr>
          <w:rFonts w:ascii="Arial" w:hAnsi="Arial" w:cs="Arial"/>
          <w:bCs/>
        </w:rPr>
        <w:t>purposes of exception proceedings, it was sufficient that the appellants had alleged that Dube</w:t>
      </w:r>
      <w:r w:rsidR="00455D88" w:rsidRPr="002C6715">
        <w:rPr>
          <w:rFonts w:ascii="Arial" w:hAnsi="Arial" w:cs="Arial"/>
          <w:bCs/>
        </w:rPr>
        <w:t xml:space="preserve"> Tradeport</w:t>
      </w:r>
      <w:r w:rsidRPr="002C6715">
        <w:rPr>
          <w:rFonts w:ascii="Arial" w:hAnsi="Arial" w:cs="Arial"/>
          <w:bCs/>
        </w:rPr>
        <w:t xml:space="preserve"> was aware of: (a) the dispute between the parties; (b) the nature thereof and (c) that it concerned the very properties it purchased from Odora. </w:t>
      </w:r>
      <w:r w:rsidR="00EE4581" w:rsidRPr="002C6715">
        <w:rPr>
          <w:rFonts w:ascii="Arial" w:hAnsi="Arial" w:cs="Arial"/>
          <w:bCs/>
        </w:rPr>
        <w:t xml:space="preserve">Accepting these to be true for the purposes of the exception, </w:t>
      </w:r>
      <w:r w:rsidRPr="002C6715">
        <w:rPr>
          <w:rFonts w:ascii="Arial" w:hAnsi="Arial" w:cs="Arial"/>
          <w:bCs/>
        </w:rPr>
        <w:t>Dube</w:t>
      </w:r>
      <w:r w:rsidR="00EE4581" w:rsidRPr="002C6715">
        <w:rPr>
          <w:rFonts w:ascii="Arial" w:hAnsi="Arial" w:cs="Arial"/>
          <w:bCs/>
        </w:rPr>
        <w:t xml:space="preserve"> Tradeport</w:t>
      </w:r>
      <w:r w:rsidRPr="002C6715">
        <w:rPr>
          <w:rFonts w:ascii="Arial" w:hAnsi="Arial" w:cs="Arial"/>
          <w:bCs/>
        </w:rPr>
        <w:t xml:space="preserve"> did not have to know the truthfulness of Sagadava’s claims</w:t>
      </w:r>
      <w:r w:rsidR="002232FD" w:rsidRPr="002C6715">
        <w:rPr>
          <w:rFonts w:ascii="Arial" w:hAnsi="Arial" w:cs="Arial"/>
          <w:bCs/>
        </w:rPr>
        <w:t xml:space="preserve"> regarding the membership of Odora</w:t>
      </w:r>
      <w:r w:rsidR="00EE4581" w:rsidRPr="002C6715">
        <w:rPr>
          <w:rFonts w:ascii="Arial" w:hAnsi="Arial" w:cs="Arial"/>
          <w:bCs/>
        </w:rPr>
        <w:t xml:space="preserve">. It is sufficient that it subjectively foresaw the possibility of their truthfulness, </w:t>
      </w:r>
      <w:r w:rsidR="00017D10" w:rsidRPr="002C6715">
        <w:rPr>
          <w:rFonts w:ascii="Arial" w:hAnsi="Arial" w:cs="Arial"/>
          <w:bCs/>
        </w:rPr>
        <w:t xml:space="preserve">but proceeded with the purchase agreement nevertheless. </w:t>
      </w:r>
    </w:p>
    <w:p w14:paraId="7C3ED387" w14:textId="36E35223" w:rsidR="00017D10" w:rsidRPr="002C6715" w:rsidRDefault="00017D10" w:rsidP="004760B6">
      <w:pPr>
        <w:pStyle w:val="MEMONUMBERED"/>
        <w:numPr>
          <w:ilvl w:val="0"/>
          <w:numId w:val="1"/>
        </w:numPr>
        <w:kinsoku w:val="0"/>
        <w:overflowPunct w:val="0"/>
        <w:autoSpaceDE w:val="0"/>
        <w:autoSpaceDN w:val="0"/>
        <w:adjustRightInd w:val="0"/>
        <w:spacing w:before="1" w:line="360" w:lineRule="auto"/>
        <w:ind w:left="0" w:right="-7" w:firstLine="0"/>
        <w:rPr>
          <w:rFonts w:ascii="Arial" w:hAnsi="Arial" w:cs="Arial"/>
          <w:bCs/>
        </w:rPr>
      </w:pPr>
      <w:r w:rsidRPr="002C6715">
        <w:rPr>
          <w:rFonts w:ascii="Arial" w:hAnsi="Arial" w:cs="Arial"/>
          <w:bCs/>
        </w:rPr>
        <w:t xml:space="preserve">This is how the doctrine of </w:t>
      </w:r>
      <w:r w:rsidR="00F6045C" w:rsidRPr="002C6715">
        <w:rPr>
          <w:rFonts w:ascii="Arial" w:hAnsi="Arial" w:cs="Arial"/>
          <w:bCs/>
        </w:rPr>
        <w:t xml:space="preserve">constructive </w:t>
      </w:r>
      <w:r w:rsidRPr="002C6715">
        <w:rPr>
          <w:rFonts w:ascii="Arial" w:hAnsi="Arial" w:cs="Arial"/>
          <w:bCs/>
        </w:rPr>
        <w:t xml:space="preserve">notice applies. In terms of that doctrine, a person who acquires an asset while aware that someone else has a prior personal right to it, may be held bound to give effect to that right. </w:t>
      </w:r>
      <w:r w:rsidRPr="002C6715">
        <w:rPr>
          <w:rFonts w:ascii="Arial" w:hAnsi="Arial" w:cs="Arial"/>
          <w:bCs/>
          <w:lang w:val="af-ZA"/>
        </w:rPr>
        <w:t xml:space="preserve">In </w:t>
      </w:r>
      <w:r w:rsidRPr="002C6715">
        <w:rPr>
          <w:rFonts w:ascii="Arial" w:hAnsi="Arial" w:cs="Arial"/>
          <w:bCs/>
          <w:i/>
          <w:iCs/>
        </w:rPr>
        <w:t>Meridian Bay Restaurant (Pty) Ltd v Mitchell SC</w:t>
      </w:r>
      <w:r w:rsidRPr="002C6715">
        <w:rPr>
          <w:rFonts w:ascii="Arial" w:hAnsi="Arial" w:cs="Arial"/>
          <w:bCs/>
        </w:rPr>
        <w:t xml:space="preserve"> NO [2011] ZASCA 30; 2011 (4) SA 1 (SCA) para 17</w:t>
      </w:r>
      <w:r w:rsidR="00455D88" w:rsidRPr="002C6715">
        <w:rPr>
          <w:rFonts w:ascii="Arial" w:hAnsi="Arial" w:cs="Arial"/>
          <w:bCs/>
        </w:rPr>
        <w:t>,</w:t>
      </w:r>
      <w:r w:rsidRPr="002C6715">
        <w:rPr>
          <w:rFonts w:ascii="Arial" w:hAnsi="Arial" w:cs="Arial"/>
          <w:bCs/>
        </w:rPr>
        <w:t xml:space="preserve"> it was pointed out that </w:t>
      </w:r>
      <w:r w:rsidR="00455D88" w:rsidRPr="002C6715">
        <w:rPr>
          <w:rFonts w:ascii="Arial" w:hAnsi="Arial" w:cs="Arial"/>
          <w:bCs/>
          <w:lang w:val="af-ZA"/>
        </w:rPr>
        <w:t xml:space="preserve">the </w:t>
      </w:r>
      <w:r w:rsidRPr="002C6715">
        <w:rPr>
          <w:rFonts w:ascii="Arial" w:hAnsi="Arial" w:cs="Arial"/>
          <w:bCs/>
          <w:lang w:val="af-ZA"/>
        </w:rPr>
        <w:t xml:space="preserve">only requirement for the operation of the doctrine is actual knowledge (or perhaps </w:t>
      </w:r>
      <w:r w:rsidRPr="002C6715">
        <w:rPr>
          <w:rFonts w:ascii="Arial" w:hAnsi="Arial" w:cs="Arial"/>
          <w:bCs/>
          <w:i/>
          <w:iCs/>
          <w:lang w:val="af-ZA"/>
        </w:rPr>
        <w:t>dolus</w:t>
      </w:r>
      <w:r w:rsidRPr="002C6715">
        <w:rPr>
          <w:rFonts w:ascii="Arial" w:hAnsi="Arial" w:cs="Arial"/>
          <w:bCs/>
          <w:lang w:val="af-ZA"/>
        </w:rPr>
        <w:t xml:space="preserve"> </w:t>
      </w:r>
      <w:r w:rsidRPr="002C6715">
        <w:rPr>
          <w:rFonts w:ascii="Arial" w:hAnsi="Arial" w:cs="Arial"/>
          <w:bCs/>
          <w:i/>
          <w:iCs/>
          <w:lang w:val="af-ZA"/>
        </w:rPr>
        <w:t>eventualis</w:t>
      </w:r>
      <w:r w:rsidRPr="002C6715">
        <w:rPr>
          <w:rFonts w:ascii="Arial" w:hAnsi="Arial" w:cs="Arial"/>
          <w:bCs/>
          <w:lang w:val="af-ZA"/>
        </w:rPr>
        <w:t>) with regard to the prior personal right on the part of the acquirer. Once this requirement is satisfied, the holder of the personal right is afforded what is in effect a limited real right against the acquirer. This Court explained at para 18:</w:t>
      </w:r>
    </w:p>
    <w:p w14:paraId="1145D775" w14:textId="77777777" w:rsidR="00017D10" w:rsidRPr="002C6715" w:rsidRDefault="00017D10" w:rsidP="007C2A0D">
      <w:pPr>
        <w:pStyle w:val="MEMONUMBERED"/>
        <w:kinsoku w:val="0"/>
        <w:overflowPunct w:val="0"/>
        <w:autoSpaceDE w:val="0"/>
        <w:autoSpaceDN w:val="0"/>
        <w:adjustRightInd w:val="0"/>
        <w:spacing w:before="1" w:after="480" w:line="360" w:lineRule="auto"/>
        <w:ind w:right="-7"/>
        <w:rPr>
          <w:rFonts w:ascii="Arial" w:hAnsi="Arial" w:cs="Arial"/>
          <w:bCs/>
          <w:sz w:val="22"/>
          <w:szCs w:val="22"/>
        </w:rPr>
      </w:pPr>
      <w:r w:rsidRPr="002C6715">
        <w:rPr>
          <w:rFonts w:ascii="Arial" w:hAnsi="Arial" w:cs="Arial"/>
          <w:bCs/>
          <w:sz w:val="22"/>
          <w:szCs w:val="22"/>
          <w:lang w:val="af-ZA"/>
        </w:rPr>
        <w:t xml:space="preserve">‘Thus C, the acquirer of the real right, does not need to have actual knowledge of B’s prior right. It suffices that C </w:t>
      </w:r>
      <w:bookmarkStart w:id="24" w:name="_Hlk92808874"/>
      <w:r w:rsidRPr="002C6715">
        <w:rPr>
          <w:rFonts w:ascii="Arial" w:hAnsi="Arial" w:cs="Arial"/>
          <w:bCs/>
          <w:sz w:val="22"/>
          <w:szCs w:val="22"/>
          <w:lang w:val="af-ZA"/>
        </w:rPr>
        <w:t xml:space="preserve">subjectively foresaw the possibility of the existence of B’s personal right but proceeded with the acquisition of his real right regardless of the consequences to B’s prior personal right...’ </w:t>
      </w:r>
    </w:p>
    <w:bookmarkEnd w:id="24"/>
    <w:p w14:paraId="3F676F42" w14:textId="77777777" w:rsidR="00017D10" w:rsidRPr="002C6715" w:rsidRDefault="00017D10" w:rsidP="00456DE7">
      <w:pPr>
        <w:pStyle w:val="MEMONUMBERED"/>
        <w:numPr>
          <w:ilvl w:val="0"/>
          <w:numId w:val="1"/>
        </w:numPr>
        <w:kinsoku w:val="0"/>
        <w:overflowPunct w:val="0"/>
        <w:autoSpaceDE w:val="0"/>
        <w:autoSpaceDN w:val="0"/>
        <w:adjustRightInd w:val="0"/>
        <w:spacing w:before="1" w:line="360" w:lineRule="auto"/>
        <w:ind w:left="0" w:right="-7" w:firstLine="0"/>
        <w:rPr>
          <w:rFonts w:ascii="Arial" w:hAnsi="Arial" w:cs="Arial"/>
          <w:bCs/>
        </w:rPr>
      </w:pPr>
      <w:r w:rsidRPr="002C6715">
        <w:rPr>
          <w:rFonts w:ascii="Arial" w:hAnsi="Arial" w:cs="Arial"/>
          <w:bCs/>
        </w:rPr>
        <w:t>Dube</w:t>
      </w:r>
      <w:r w:rsidR="002D50B8" w:rsidRPr="002C6715">
        <w:rPr>
          <w:rFonts w:ascii="Arial" w:hAnsi="Arial" w:cs="Arial"/>
          <w:bCs/>
        </w:rPr>
        <w:t xml:space="preserve"> Tradeport</w:t>
      </w:r>
      <w:r w:rsidRPr="002C6715">
        <w:rPr>
          <w:rFonts w:ascii="Arial" w:hAnsi="Arial" w:cs="Arial"/>
          <w:bCs/>
        </w:rPr>
        <w:t>’s position is also akin to a purchaser described</w:t>
      </w:r>
      <w:r w:rsidR="0091083B" w:rsidRPr="002C6715">
        <w:rPr>
          <w:rFonts w:ascii="Arial" w:hAnsi="Arial" w:cs="Arial"/>
          <w:bCs/>
        </w:rPr>
        <w:t xml:space="preserve"> thus</w:t>
      </w:r>
      <w:r w:rsidRPr="002C6715">
        <w:rPr>
          <w:rFonts w:ascii="Arial" w:hAnsi="Arial" w:cs="Arial"/>
          <w:bCs/>
        </w:rPr>
        <w:t xml:space="preserve"> in </w:t>
      </w:r>
      <w:r w:rsidRPr="002C6715">
        <w:rPr>
          <w:rFonts w:ascii="Arial" w:hAnsi="Arial" w:cs="Arial"/>
          <w:bCs/>
          <w:i/>
          <w:iCs/>
        </w:rPr>
        <w:t>Dhayanunth v Narain</w:t>
      </w:r>
      <w:r w:rsidRPr="002C6715">
        <w:rPr>
          <w:rFonts w:ascii="Arial" w:hAnsi="Arial" w:cs="Arial"/>
          <w:bCs/>
        </w:rPr>
        <w:t xml:space="preserve"> 1983 (1) SA 565 (N) at 565:</w:t>
      </w:r>
    </w:p>
    <w:p w14:paraId="7E2402F3" w14:textId="77777777" w:rsidR="00017D10" w:rsidRPr="002C6715" w:rsidRDefault="00017D10" w:rsidP="007C2A0D">
      <w:pPr>
        <w:pStyle w:val="MEMONUMBERED"/>
        <w:kinsoku w:val="0"/>
        <w:overflowPunct w:val="0"/>
        <w:autoSpaceDE w:val="0"/>
        <w:autoSpaceDN w:val="0"/>
        <w:adjustRightInd w:val="0"/>
        <w:spacing w:before="1" w:after="480" w:line="360" w:lineRule="auto"/>
        <w:ind w:right="-7"/>
        <w:rPr>
          <w:rFonts w:ascii="Arial" w:hAnsi="Arial" w:cs="Arial"/>
          <w:bCs/>
          <w:sz w:val="22"/>
          <w:szCs w:val="22"/>
        </w:rPr>
      </w:pPr>
      <w:r w:rsidRPr="002C6715">
        <w:rPr>
          <w:rFonts w:ascii="Arial" w:hAnsi="Arial" w:cs="Arial"/>
          <w:bCs/>
          <w:sz w:val="22"/>
          <w:szCs w:val="22"/>
        </w:rPr>
        <w:t>‘</w:t>
      </w:r>
      <w:r w:rsidR="002D50B8" w:rsidRPr="002C6715">
        <w:rPr>
          <w:rFonts w:ascii="Arial" w:hAnsi="Arial" w:cs="Arial"/>
          <w:bCs/>
          <w:sz w:val="22"/>
          <w:szCs w:val="22"/>
        </w:rPr>
        <w:t xml:space="preserve">… </w:t>
      </w:r>
      <w:r w:rsidRPr="002C6715">
        <w:rPr>
          <w:rFonts w:ascii="Arial" w:hAnsi="Arial" w:cs="Arial"/>
          <w:bCs/>
          <w:sz w:val="22"/>
          <w:szCs w:val="22"/>
        </w:rPr>
        <w:t>[</w:t>
      </w:r>
      <w:r w:rsidR="0091083B" w:rsidRPr="002C6715">
        <w:rPr>
          <w:rFonts w:ascii="Arial" w:hAnsi="Arial" w:cs="Arial"/>
          <w:bCs/>
          <w:sz w:val="22"/>
          <w:szCs w:val="22"/>
        </w:rPr>
        <w:t xml:space="preserve">A </w:t>
      </w:r>
      <w:r w:rsidR="004E02D2" w:rsidRPr="002C6715">
        <w:rPr>
          <w:rFonts w:ascii="Arial" w:hAnsi="Arial" w:cs="Arial"/>
          <w:bCs/>
          <w:sz w:val="22"/>
          <w:szCs w:val="22"/>
        </w:rPr>
        <w:t>p</w:t>
      </w:r>
      <w:r w:rsidR="0091083B" w:rsidRPr="002C6715">
        <w:rPr>
          <w:rFonts w:ascii="Arial" w:hAnsi="Arial" w:cs="Arial"/>
          <w:bCs/>
          <w:sz w:val="22"/>
          <w:szCs w:val="22"/>
        </w:rPr>
        <w:t>urchaser who</w:t>
      </w:r>
      <w:r w:rsidRPr="002C6715">
        <w:rPr>
          <w:rFonts w:ascii="Arial" w:hAnsi="Arial" w:cs="Arial"/>
          <w:bCs/>
          <w:sz w:val="22"/>
          <w:szCs w:val="22"/>
        </w:rPr>
        <w:t xml:space="preserve">] has been apprised, prior to purchasing the property, of the existence of some right in the property vested in a third party in such a way as to make it incumbent upon him to enquire, before purchasing the property, precisely what that right comprised. If he does not do so, he cannot be heard … to say that he did not know the precise nature of the third party’s right. The imperfection of his knowledge is attributable to his own act in wilfully shutting his eyes and failing to see what was perfectly obvious.’ </w:t>
      </w:r>
    </w:p>
    <w:p w14:paraId="46922B86" w14:textId="372FCD0A" w:rsidR="00096ADF" w:rsidRPr="002C6715" w:rsidRDefault="00017D10" w:rsidP="007C2A0D">
      <w:pPr>
        <w:pStyle w:val="MEMONUMBERED"/>
        <w:numPr>
          <w:ilvl w:val="0"/>
          <w:numId w:val="1"/>
        </w:numPr>
        <w:kinsoku w:val="0"/>
        <w:overflowPunct w:val="0"/>
        <w:autoSpaceDE w:val="0"/>
        <w:autoSpaceDN w:val="0"/>
        <w:adjustRightInd w:val="0"/>
        <w:spacing w:before="1" w:after="480" w:line="360" w:lineRule="auto"/>
        <w:ind w:left="0" w:right="-7" w:firstLine="0"/>
        <w:rPr>
          <w:rFonts w:ascii="Arial" w:hAnsi="Arial" w:cs="Arial"/>
          <w:bCs/>
        </w:rPr>
      </w:pPr>
      <w:r w:rsidRPr="002C6715">
        <w:rPr>
          <w:rFonts w:ascii="Arial" w:hAnsi="Arial" w:cs="Arial"/>
          <w:bCs/>
        </w:rPr>
        <w:t>In the present case, there is more than sufficient basis to accept that Dube</w:t>
      </w:r>
      <w:r w:rsidR="00455D88" w:rsidRPr="002C6715">
        <w:rPr>
          <w:rFonts w:ascii="Arial" w:hAnsi="Arial" w:cs="Arial"/>
          <w:bCs/>
        </w:rPr>
        <w:t xml:space="preserve"> Tradeport</w:t>
      </w:r>
      <w:r w:rsidRPr="002C6715">
        <w:rPr>
          <w:rFonts w:ascii="Arial" w:hAnsi="Arial" w:cs="Arial"/>
          <w:bCs/>
        </w:rPr>
        <w:t xml:space="preserve"> </w:t>
      </w:r>
      <w:r w:rsidRPr="002C6715">
        <w:rPr>
          <w:rFonts w:ascii="Arial" w:hAnsi="Arial" w:cs="Arial"/>
          <w:bCs/>
          <w:lang w:val="af-ZA"/>
        </w:rPr>
        <w:t>subjectively foresaw the possibility of the</w:t>
      </w:r>
      <w:r w:rsidR="002D50B8" w:rsidRPr="002C6715">
        <w:rPr>
          <w:rFonts w:ascii="Arial" w:hAnsi="Arial" w:cs="Arial"/>
          <w:bCs/>
          <w:lang w:val="af-ZA"/>
        </w:rPr>
        <w:t xml:space="preserve"> truthfulness</w:t>
      </w:r>
      <w:r w:rsidRPr="002C6715">
        <w:rPr>
          <w:rFonts w:ascii="Arial" w:hAnsi="Arial" w:cs="Arial"/>
          <w:bCs/>
          <w:lang w:val="af-ZA"/>
        </w:rPr>
        <w:t xml:space="preserve"> of Sagadava’s </w:t>
      </w:r>
      <w:r w:rsidR="002D50B8" w:rsidRPr="002C6715">
        <w:rPr>
          <w:rFonts w:ascii="Arial" w:hAnsi="Arial" w:cs="Arial"/>
          <w:bCs/>
          <w:lang w:val="af-ZA"/>
        </w:rPr>
        <w:t xml:space="preserve">claims </w:t>
      </w:r>
      <w:r w:rsidRPr="002C6715">
        <w:rPr>
          <w:rFonts w:ascii="Arial" w:hAnsi="Arial" w:cs="Arial"/>
          <w:bCs/>
          <w:lang w:val="af-ZA"/>
        </w:rPr>
        <w:t xml:space="preserve">in respect of Odora and the properties, but proceeded with the acquisition of the properties regardless of the consequences of </w:t>
      </w:r>
      <w:r w:rsidR="002D50B8" w:rsidRPr="002C6715">
        <w:rPr>
          <w:rFonts w:ascii="Arial" w:hAnsi="Arial" w:cs="Arial"/>
          <w:bCs/>
          <w:lang w:val="af-ZA"/>
        </w:rPr>
        <w:t>those</w:t>
      </w:r>
      <w:r w:rsidRPr="002C6715">
        <w:rPr>
          <w:rFonts w:ascii="Arial" w:hAnsi="Arial" w:cs="Arial"/>
          <w:bCs/>
          <w:lang w:val="af-ZA"/>
        </w:rPr>
        <w:t xml:space="preserve"> claims. Importantly, the dispute concerned the very properties that Dube </w:t>
      </w:r>
      <w:r w:rsidR="002D50B8" w:rsidRPr="002C6715">
        <w:rPr>
          <w:rFonts w:ascii="Arial" w:hAnsi="Arial" w:cs="Arial"/>
          <w:bCs/>
          <w:lang w:val="af-ZA"/>
        </w:rPr>
        <w:t xml:space="preserve">Tradeport </w:t>
      </w:r>
      <w:r w:rsidRPr="002C6715">
        <w:rPr>
          <w:rFonts w:ascii="Arial" w:hAnsi="Arial" w:cs="Arial"/>
          <w:bCs/>
          <w:lang w:val="af-ZA"/>
        </w:rPr>
        <w:t xml:space="preserve">purchased from Odora. </w:t>
      </w:r>
      <w:r w:rsidR="002D50B8" w:rsidRPr="002C6715">
        <w:rPr>
          <w:rFonts w:ascii="Arial" w:hAnsi="Arial" w:cs="Arial"/>
          <w:bCs/>
          <w:lang w:val="af-ZA"/>
        </w:rPr>
        <w:t xml:space="preserve">What is more, </w:t>
      </w:r>
      <w:r w:rsidR="00CF62C8" w:rsidRPr="002C6715">
        <w:rPr>
          <w:rFonts w:ascii="Arial" w:hAnsi="Arial" w:cs="Arial"/>
          <w:bCs/>
          <w:lang w:val="af-ZA"/>
        </w:rPr>
        <w:t xml:space="preserve">should </w:t>
      </w:r>
      <w:r w:rsidRPr="002C6715">
        <w:rPr>
          <w:rFonts w:ascii="Arial" w:hAnsi="Arial" w:cs="Arial"/>
          <w:bCs/>
          <w:lang w:val="af-ZA"/>
        </w:rPr>
        <w:t xml:space="preserve">Sagavada’s claim be true, the transaction, being one to dispose of immovable property of a close corporation, would </w:t>
      </w:r>
      <w:r w:rsidR="002D50B8" w:rsidRPr="002C6715">
        <w:rPr>
          <w:rFonts w:ascii="Arial" w:hAnsi="Arial" w:cs="Arial"/>
          <w:bCs/>
          <w:lang w:val="af-ZA"/>
        </w:rPr>
        <w:t xml:space="preserve">be </w:t>
      </w:r>
      <w:r w:rsidR="002D50B8" w:rsidRPr="002C6715">
        <w:rPr>
          <w:rFonts w:ascii="Arial" w:hAnsi="Arial" w:cs="Arial"/>
          <w:bCs/>
          <w:lang w:val="en-ZA"/>
        </w:rPr>
        <w:t xml:space="preserve">subject to the provisions of </w:t>
      </w:r>
      <w:r w:rsidRPr="002C6715">
        <w:rPr>
          <w:rFonts w:ascii="Arial" w:hAnsi="Arial" w:cs="Arial"/>
          <w:bCs/>
          <w:lang w:val="en-ZA"/>
        </w:rPr>
        <w:t>s</w:t>
      </w:r>
      <w:r w:rsidR="00925708" w:rsidRPr="002C6715">
        <w:rPr>
          <w:rFonts w:ascii="Arial" w:hAnsi="Arial" w:cs="Arial"/>
          <w:bCs/>
          <w:lang w:val="en-ZA"/>
        </w:rPr>
        <w:t> </w:t>
      </w:r>
      <w:r w:rsidRPr="002C6715">
        <w:rPr>
          <w:rFonts w:ascii="Arial" w:hAnsi="Arial" w:cs="Arial"/>
          <w:bCs/>
          <w:lang w:val="en-ZA"/>
        </w:rPr>
        <w:t>46(</w:t>
      </w:r>
      <w:r w:rsidRPr="002C6715">
        <w:rPr>
          <w:rFonts w:ascii="Arial" w:hAnsi="Arial" w:cs="Arial"/>
          <w:bCs/>
          <w:i/>
          <w:iCs/>
          <w:lang w:val="en-ZA"/>
        </w:rPr>
        <w:t>b</w:t>
      </w:r>
      <w:r w:rsidRPr="002C6715">
        <w:rPr>
          <w:rFonts w:ascii="Arial" w:hAnsi="Arial" w:cs="Arial"/>
          <w:bCs/>
          <w:lang w:val="en-ZA"/>
        </w:rPr>
        <w:t>)(iv) of the Close Corporations Act,</w:t>
      </w:r>
      <w:r w:rsidRPr="002C6715">
        <w:rPr>
          <w:rFonts w:ascii="Arial" w:hAnsi="Arial" w:cs="Arial"/>
          <w:bCs/>
          <w:lang w:val="af-ZA"/>
        </w:rPr>
        <w:t xml:space="preserve"> </w:t>
      </w:r>
      <w:r w:rsidR="002D50B8" w:rsidRPr="002C6715">
        <w:rPr>
          <w:rFonts w:ascii="Arial" w:hAnsi="Arial" w:cs="Arial"/>
          <w:bCs/>
          <w:lang w:val="af-ZA"/>
        </w:rPr>
        <w:t xml:space="preserve">in terms of which </w:t>
      </w:r>
      <w:r w:rsidRPr="002C6715">
        <w:rPr>
          <w:rFonts w:ascii="Arial" w:hAnsi="Arial" w:cs="Arial"/>
          <w:bCs/>
          <w:lang w:val="en-ZA"/>
        </w:rPr>
        <w:t>the consent in writing of both Sagadava and Si</w:t>
      </w:r>
      <w:r w:rsidR="00096ADF" w:rsidRPr="002C6715">
        <w:rPr>
          <w:rFonts w:ascii="Arial" w:hAnsi="Arial" w:cs="Arial"/>
          <w:bCs/>
          <w:lang w:val="en-ZA"/>
        </w:rPr>
        <w:t>vara</w:t>
      </w:r>
      <w:r w:rsidRPr="002C6715">
        <w:rPr>
          <w:rFonts w:ascii="Arial" w:hAnsi="Arial" w:cs="Arial"/>
          <w:bCs/>
          <w:lang w:val="en-ZA"/>
        </w:rPr>
        <w:t>j</w:t>
      </w:r>
      <w:r w:rsidR="00B85AE1" w:rsidRPr="002C6715">
        <w:rPr>
          <w:rFonts w:ascii="Arial" w:hAnsi="Arial" w:cs="Arial"/>
          <w:bCs/>
          <w:lang w:val="en-ZA"/>
        </w:rPr>
        <w:t xml:space="preserve"> would be </w:t>
      </w:r>
      <w:r w:rsidR="00B85AE1" w:rsidRPr="002C6715">
        <w:rPr>
          <w:rFonts w:ascii="Arial" w:hAnsi="Arial" w:cs="Arial"/>
          <w:bCs/>
          <w:lang w:val="af-ZA"/>
        </w:rPr>
        <w:t>required</w:t>
      </w:r>
      <w:r w:rsidRPr="002C6715">
        <w:rPr>
          <w:rFonts w:ascii="Arial" w:hAnsi="Arial" w:cs="Arial"/>
          <w:bCs/>
          <w:lang w:val="en-ZA"/>
        </w:rPr>
        <w:t xml:space="preserve">. </w:t>
      </w:r>
    </w:p>
    <w:p w14:paraId="709C8845" w14:textId="2421CBAB" w:rsidR="00096ADF" w:rsidRPr="002C6715" w:rsidRDefault="00017D10" w:rsidP="007C2A0D">
      <w:pPr>
        <w:pStyle w:val="MEMONUMBERED"/>
        <w:numPr>
          <w:ilvl w:val="0"/>
          <w:numId w:val="1"/>
        </w:numPr>
        <w:kinsoku w:val="0"/>
        <w:overflowPunct w:val="0"/>
        <w:autoSpaceDE w:val="0"/>
        <w:autoSpaceDN w:val="0"/>
        <w:adjustRightInd w:val="0"/>
        <w:spacing w:before="1" w:after="480" w:line="360" w:lineRule="auto"/>
        <w:ind w:left="0" w:right="-7" w:firstLine="0"/>
        <w:rPr>
          <w:rFonts w:ascii="Arial" w:hAnsi="Arial" w:cs="Arial"/>
          <w:bCs/>
        </w:rPr>
      </w:pPr>
      <w:r w:rsidRPr="002C6715">
        <w:rPr>
          <w:rFonts w:ascii="Arial" w:hAnsi="Arial" w:cs="Arial"/>
          <w:bCs/>
          <w:lang w:val="en-ZA"/>
        </w:rPr>
        <w:t xml:space="preserve">Given the </w:t>
      </w:r>
      <w:r w:rsidR="00B85AE1" w:rsidRPr="002C6715">
        <w:rPr>
          <w:rFonts w:ascii="Arial" w:hAnsi="Arial" w:cs="Arial"/>
          <w:bCs/>
          <w:lang w:val="en-ZA"/>
        </w:rPr>
        <w:t>acrimonious</w:t>
      </w:r>
      <w:r w:rsidR="00091A62" w:rsidRPr="002C6715">
        <w:rPr>
          <w:rFonts w:ascii="Arial" w:hAnsi="Arial" w:cs="Arial"/>
          <w:bCs/>
          <w:lang w:val="en-ZA"/>
        </w:rPr>
        <w:t xml:space="preserve"> nature of</w:t>
      </w:r>
      <w:r w:rsidR="00B85AE1" w:rsidRPr="002C6715">
        <w:rPr>
          <w:rFonts w:ascii="Arial" w:hAnsi="Arial" w:cs="Arial"/>
          <w:bCs/>
          <w:lang w:val="en-ZA"/>
        </w:rPr>
        <w:t xml:space="preserve"> </w:t>
      </w:r>
      <w:r w:rsidR="00091A62" w:rsidRPr="002C6715">
        <w:rPr>
          <w:rFonts w:ascii="Arial" w:hAnsi="Arial" w:cs="Arial"/>
          <w:bCs/>
          <w:lang w:val="en-ZA"/>
        </w:rPr>
        <w:t xml:space="preserve">the </w:t>
      </w:r>
      <w:r w:rsidRPr="002C6715">
        <w:rPr>
          <w:rFonts w:ascii="Arial" w:hAnsi="Arial" w:cs="Arial"/>
          <w:bCs/>
          <w:lang w:val="en-ZA"/>
        </w:rPr>
        <w:t>dispute</w:t>
      </w:r>
      <w:r w:rsidR="00091A62" w:rsidRPr="002C6715">
        <w:rPr>
          <w:rFonts w:ascii="Arial" w:hAnsi="Arial" w:cs="Arial"/>
          <w:bCs/>
          <w:lang w:val="en-ZA"/>
        </w:rPr>
        <w:t xml:space="preserve"> between Sagadava and Sivaraj</w:t>
      </w:r>
      <w:r w:rsidRPr="002C6715">
        <w:rPr>
          <w:rFonts w:ascii="Arial" w:hAnsi="Arial" w:cs="Arial"/>
          <w:bCs/>
          <w:lang w:val="en-ZA"/>
        </w:rPr>
        <w:t xml:space="preserve">, </w:t>
      </w:r>
      <w:r w:rsidR="00855E34" w:rsidRPr="002C6715">
        <w:rPr>
          <w:rFonts w:ascii="Arial" w:hAnsi="Arial" w:cs="Arial"/>
          <w:bCs/>
          <w:lang w:val="en-ZA"/>
        </w:rPr>
        <w:t xml:space="preserve">of </w:t>
      </w:r>
      <w:r w:rsidRPr="002C6715">
        <w:rPr>
          <w:rFonts w:ascii="Arial" w:hAnsi="Arial" w:cs="Arial"/>
          <w:bCs/>
          <w:lang w:val="en-ZA"/>
        </w:rPr>
        <w:t>which Dube</w:t>
      </w:r>
      <w:r w:rsidR="00B85AE1" w:rsidRPr="002C6715">
        <w:rPr>
          <w:rFonts w:ascii="Arial" w:hAnsi="Arial" w:cs="Arial"/>
          <w:bCs/>
          <w:lang w:val="en-ZA"/>
        </w:rPr>
        <w:t xml:space="preserve"> Tradeport</w:t>
      </w:r>
      <w:r w:rsidRPr="002C6715">
        <w:rPr>
          <w:rFonts w:ascii="Arial" w:hAnsi="Arial" w:cs="Arial"/>
          <w:bCs/>
          <w:lang w:val="en-ZA"/>
        </w:rPr>
        <w:t xml:space="preserve"> was aware,</w:t>
      </w:r>
      <w:r w:rsidR="00091A62" w:rsidRPr="002C6715">
        <w:rPr>
          <w:rFonts w:ascii="Arial" w:hAnsi="Arial" w:cs="Arial"/>
          <w:bCs/>
          <w:lang w:val="en-ZA"/>
        </w:rPr>
        <w:t xml:space="preserve"> the latter</w:t>
      </w:r>
      <w:r w:rsidR="00855E34" w:rsidRPr="002C6715">
        <w:rPr>
          <w:rFonts w:ascii="Arial" w:hAnsi="Arial" w:cs="Arial"/>
          <w:bCs/>
          <w:lang w:val="en-ZA"/>
        </w:rPr>
        <w:t xml:space="preserve"> </w:t>
      </w:r>
      <w:r w:rsidR="00B85AE1" w:rsidRPr="002C6715">
        <w:rPr>
          <w:rFonts w:ascii="Arial" w:hAnsi="Arial" w:cs="Arial"/>
          <w:bCs/>
          <w:lang w:val="en-ZA"/>
        </w:rPr>
        <w:t xml:space="preserve">could not reasonably have believed that the required </w:t>
      </w:r>
      <w:r w:rsidR="00091A62" w:rsidRPr="002C6715">
        <w:rPr>
          <w:rFonts w:ascii="Arial" w:hAnsi="Arial" w:cs="Arial"/>
          <w:bCs/>
          <w:lang w:val="en-ZA"/>
        </w:rPr>
        <w:t xml:space="preserve">written </w:t>
      </w:r>
      <w:r w:rsidR="00B85AE1" w:rsidRPr="002C6715">
        <w:rPr>
          <w:rFonts w:ascii="Arial" w:hAnsi="Arial" w:cs="Arial"/>
          <w:bCs/>
          <w:lang w:val="en-ZA"/>
        </w:rPr>
        <w:t xml:space="preserve">consent would be given. </w:t>
      </w:r>
      <w:r w:rsidRPr="002C6715">
        <w:rPr>
          <w:rFonts w:ascii="Arial" w:hAnsi="Arial" w:cs="Arial"/>
          <w:bCs/>
          <w:lang w:val="en-ZA"/>
        </w:rPr>
        <w:t>By proceeding with the purchase agreement under these circumstances, Dube</w:t>
      </w:r>
      <w:r w:rsidR="00855E34" w:rsidRPr="002C6715">
        <w:rPr>
          <w:rFonts w:ascii="Arial" w:hAnsi="Arial" w:cs="Arial"/>
          <w:bCs/>
          <w:lang w:val="en-ZA"/>
        </w:rPr>
        <w:t xml:space="preserve"> </w:t>
      </w:r>
      <w:r w:rsidR="00B85AE1" w:rsidRPr="002C6715">
        <w:rPr>
          <w:rFonts w:ascii="Arial" w:hAnsi="Arial" w:cs="Arial"/>
          <w:bCs/>
          <w:lang w:val="en-ZA"/>
        </w:rPr>
        <w:t>Tradeport</w:t>
      </w:r>
      <w:r w:rsidRPr="002C6715">
        <w:rPr>
          <w:rFonts w:ascii="Arial" w:hAnsi="Arial" w:cs="Arial"/>
          <w:bCs/>
          <w:lang w:val="en-ZA"/>
        </w:rPr>
        <w:t xml:space="preserve"> accepted the risk that Sagada</w:t>
      </w:r>
      <w:r w:rsidR="00B85AE1" w:rsidRPr="002C6715">
        <w:rPr>
          <w:rFonts w:ascii="Arial" w:hAnsi="Arial" w:cs="Arial"/>
          <w:bCs/>
          <w:lang w:val="en-ZA"/>
        </w:rPr>
        <w:t>va</w:t>
      </w:r>
      <w:r w:rsidRPr="002C6715">
        <w:rPr>
          <w:rFonts w:ascii="Arial" w:hAnsi="Arial" w:cs="Arial"/>
          <w:bCs/>
          <w:lang w:val="en-ZA"/>
        </w:rPr>
        <w:t>’s claims might be upheld</w:t>
      </w:r>
      <w:r w:rsidR="00B85AE1" w:rsidRPr="002C6715">
        <w:rPr>
          <w:rFonts w:ascii="Arial" w:hAnsi="Arial" w:cs="Arial"/>
          <w:bCs/>
          <w:lang w:val="en-ZA"/>
        </w:rPr>
        <w:t>.</w:t>
      </w:r>
      <w:r w:rsidRPr="002C6715">
        <w:rPr>
          <w:rFonts w:ascii="Arial" w:hAnsi="Arial" w:cs="Arial"/>
          <w:bCs/>
          <w:lang w:val="en-ZA"/>
        </w:rPr>
        <w:t xml:space="preserve"> </w:t>
      </w:r>
      <w:r w:rsidR="00B85AE1" w:rsidRPr="002C6715">
        <w:rPr>
          <w:rFonts w:ascii="Arial" w:hAnsi="Arial" w:cs="Arial"/>
          <w:bCs/>
          <w:lang w:val="en-ZA"/>
        </w:rPr>
        <w:t>I</w:t>
      </w:r>
      <w:r w:rsidRPr="002C6715">
        <w:rPr>
          <w:rFonts w:ascii="Arial" w:hAnsi="Arial" w:cs="Arial"/>
          <w:bCs/>
          <w:lang w:val="en-ZA"/>
        </w:rPr>
        <w:t xml:space="preserve">n </w:t>
      </w:r>
      <w:r w:rsidR="00B85AE1" w:rsidRPr="002C6715">
        <w:rPr>
          <w:rFonts w:ascii="Arial" w:hAnsi="Arial" w:cs="Arial"/>
          <w:bCs/>
          <w:lang w:val="en-ZA"/>
        </w:rPr>
        <w:t xml:space="preserve">that </w:t>
      </w:r>
      <w:r w:rsidRPr="002C6715">
        <w:rPr>
          <w:rFonts w:ascii="Arial" w:hAnsi="Arial" w:cs="Arial"/>
          <w:bCs/>
          <w:lang w:val="en-ZA"/>
        </w:rPr>
        <w:t xml:space="preserve">event Odora could not deliver the properties, hence the ‘escape clause’ in the purchase agreement. </w:t>
      </w:r>
    </w:p>
    <w:p w14:paraId="4024C20B" w14:textId="3F8F1E49" w:rsidR="00017D10" w:rsidRPr="002C6715" w:rsidRDefault="000044E5" w:rsidP="007C2A0D">
      <w:pPr>
        <w:pStyle w:val="MEMONUMBERED"/>
        <w:numPr>
          <w:ilvl w:val="0"/>
          <w:numId w:val="1"/>
        </w:numPr>
        <w:kinsoku w:val="0"/>
        <w:overflowPunct w:val="0"/>
        <w:autoSpaceDE w:val="0"/>
        <w:autoSpaceDN w:val="0"/>
        <w:adjustRightInd w:val="0"/>
        <w:spacing w:before="1" w:after="480" w:line="360" w:lineRule="auto"/>
        <w:ind w:left="0" w:right="-7" w:firstLine="0"/>
        <w:rPr>
          <w:rFonts w:ascii="Arial" w:hAnsi="Arial" w:cs="Arial"/>
          <w:bCs/>
        </w:rPr>
      </w:pPr>
      <w:r w:rsidRPr="002C6715">
        <w:rPr>
          <w:rFonts w:ascii="Arial" w:hAnsi="Arial" w:cs="Arial"/>
          <w:bCs/>
          <w:lang w:val="en-ZA"/>
        </w:rPr>
        <w:t>The upshot of these considerations is that</w:t>
      </w:r>
      <w:r w:rsidR="00017D10" w:rsidRPr="002C6715">
        <w:rPr>
          <w:rFonts w:ascii="Arial" w:hAnsi="Arial" w:cs="Arial"/>
          <w:bCs/>
          <w:lang w:val="en-ZA"/>
        </w:rPr>
        <w:t xml:space="preserve"> Dube</w:t>
      </w:r>
      <w:r w:rsidR="00B85AE1" w:rsidRPr="002C6715">
        <w:rPr>
          <w:rFonts w:ascii="Arial" w:hAnsi="Arial" w:cs="Arial"/>
          <w:bCs/>
          <w:lang w:val="en-ZA"/>
        </w:rPr>
        <w:t xml:space="preserve"> Tradeport</w:t>
      </w:r>
      <w:r w:rsidR="00017D10" w:rsidRPr="002C6715">
        <w:rPr>
          <w:rFonts w:ascii="Arial" w:hAnsi="Arial" w:cs="Arial"/>
          <w:bCs/>
          <w:lang w:val="en-ZA"/>
        </w:rPr>
        <w:t xml:space="preserve"> was not a bona fide, innocent purchaser. </w:t>
      </w:r>
      <w:r w:rsidR="00B85AE1" w:rsidRPr="002C6715">
        <w:rPr>
          <w:rFonts w:ascii="Arial" w:hAnsi="Arial" w:cs="Arial"/>
          <w:bCs/>
          <w:lang w:val="en-ZA"/>
        </w:rPr>
        <w:t>It had t</w:t>
      </w:r>
      <w:r w:rsidR="00017D10" w:rsidRPr="002C6715">
        <w:rPr>
          <w:rFonts w:ascii="Arial" w:hAnsi="Arial" w:cs="Arial"/>
          <w:bCs/>
          <w:lang w:val="en-ZA"/>
        </w:rPr>
        <w:t>he imputed knowledge</w:t>
      </w:r>
      <w:r w:rsidR="00855E34" w:rsidRPr="002C6715">
        <w:rPr>
          <w:rFonts w:ascii="Arial" w:hAnsi="Arial" w:cs="Arial"/>
          <w:bCs/>
          <w:lang w:val="en-ZA"/>
        </w:rPr>
        <w:t xml:space="preserve"> envisaged in s 54(2) of the Close Corporations Act</w:t>
      </w:r>
      <w:r w:rsidR="00B85AE1" w:rsidRPr="002C6715">
        <w:rPr>
          <w:rFonts w:ascii="Arial" w:hAnsi="Arial" w:cs="Arial"/>
          <w:bCs/>
          <w:lang w:val="en-ZA"/>
        </w:rPr>
        <w:t>. This</w:t>
      </w:r>
      <w:r w:rsidR="00017D10" w:rsidRPr="002C6715">
        <w:rPr>
          <w:rFonts w:ascii="Arial" w:hAnsi="Arial" w:cs="Arial"/>
          <w:bCs/>
          <w:lang w:val="en-ZA"/>
        </w:rPr>
        <w:t xml:space="preserve"> removed from it the protection of s 54(</w:t>
      </w:r>
      <w:r w:rsidR="00855E34" w:rsidRPr="002C6715">
        <w:rPr>
          <w:rFonts w:ascii="Arial" w:hAnsi="Arial" w:cs="Arial"/>
          <w:bCs/>
          <w:lang w:val="en-ZA"/>
        </w:rPr>
        <w:t>1</w:t>
      </w:r>
      <w:r w:rsidR="00017D10" w:rsidRPr="002C6715">
        <w:rPr>
          <w:rFonts w:ascii="Arial" w:hAnsi="Arial" w:cs="Arial"/>
          <w:bCs/>
          <w:lang w:val="en-ZA"/>
        </w:rPr>
        <w:t>)</w:t>
      </w:r>
      <w:r w:rsidR="00855E34" w:rsidRPr="002C6715">
        <w:rPr>
          <w:rFonts w:ascii="Arial" w:hAnsi="Arial" w:cs="Arial"/>
          <w:bCs/>
          <w:lang w:val="en-ZA"/>
        </w:rPr>
        <w:t>.</w:t>
      </w:r>
      <w:r w:rsidR="00B85AE1" w:rsidRPr="002C6715">
        <w:rPr>
          <w:rFonts w:ascii="Arial" w:hAnsi="Arial" w:cs="Arial"/>
          <w:bCs/>
          <w:lang w:val="en-ZA"/>
        </w:rPr>
        <w:t xml:space="preserve"> </w:t>
      </w:r>
      <w:r w:rsidR="00017D10" w:rsidRPr="002C6715">
        <w:rPr>
          <w:rFonts w:ascii="Arial" w:hAnsi="Arial" w:cs="Arial"/>
          <w:bCs/>
          <w:lang w:val="en-ZA"/>
        </w:rPr>
        <w:t xml:space="preserve">It follows that the </w:t>
      </w:r>
      <w:r w:rsidRPr="002C6715">
        <w:rPr>
          <w:rFonts w:ascii="Arial" w:hAnsi="Arial" w:cs="Arial"/>
          <w:bCs/>
          <w:lang w:val="en-ZA"/>
        </w:rPr>
        <w:t xml:space="preserve">                   </w:t>
      </w:r>
      <w:r w:rsidR="00017D10" w:rsidRPr="002C6715">
        <w:rPr>
          <w:rFonts w:ascii="Arial" w:hAnsi="Arial" w:cs="Arial"/>
          <w:bCs/>
          <w:lang w:val="en-ZA"/>
        </w:rPr>
        <w:t>s 54</w:t>
      </w:r>
      <w:r w:rsidR="00855E34" w:rsidRPr="002C6715">
        <w:rPr>
          <w:rFonts w:ascii="Arial" w:hAnsi="Arial" w:cs="Arial"/>
          <w:bCs/>
          <w:lang w:val="en-ZA"/>
        </w:rPr>
        <w:t xml:space="preserve"> </w:t>
      </w:r>
      <w:r w:rsidR="00017D10" w:rsidRPr="002C6715">
        <w:rPr>
          <w:rFonts w:ascii="Arial" w:hAnsi="Arial" w:cs="Arial"/>
          <w:bCs/>
          <w:lang w:val="en-ZA"/>
        </w:rPr>
        <w:t xml:space="preserve">issue should </w:t>
      </w:r>
      <w:r w:rsidR="00063780" w:rsidRPr="002C6715">
        <w:rPr>
          <w:rFonts w:ascii="Arial" w:hAnsi="Arial" w:cs="Arial"/>
          <w:bCs/>
          <w:lang w:val="en-ZA"/>
        </w:rPr>
        <w:t xml:space="preserve">also </w:t>
      </w:r>
      <w:r w:rsidR="00017D10" w:rsidRPr="002C6715">
        <w:rPr>
          <w:rFonts w:ascii="Arial" w:hAnsi="Arial" w:cs="Arial"/>
          <w:bCs/>
          <w:lang w:val="en-ZA"/>
        </w:rPr>
        <w:t>have been decided against Dube</w:t>
      </w:r>
      <w:r w:rsidRPr="002C6715">
        <w:rPr>
          <w:rFonts w:ascii="Arial" w:hAnsi="Arial" w:cs="Arial"/>
          <w:bCs/>
          <w:lang w:val="en-ZA"/>
        </w:rPr>
        <w:t xml:space="preserve"> Tradeport</w:t>
      </w:r>
      <w:r w:rsidR="00017D10" w:rsidRPr="002C6715">
        <w:rPr>
          <w:rFonts w:ascii="Arial" w:hAnsi="Arial" w:cs="Arial"/>
          <w:bCs/>
          <w:lang w:val="en-ZA"/>
        </w:rPr>
        <w:t>.</w:t>
      </w:r>
    </w:p>
    <w:p w14:paraId="5D34E6F4" w14:textId="28B92D3D" w:rsidR="0091083B" w:rsidRPr="002C6715" w:rsidRDefault="008863E0" w:rsidP="0091083B">
      <w:pPr>
        <w:pStyle w:val="MEMONUMBERED"/>
        <w:numPr>
          <w:ilvl w:val="0"/>
          <w:numId w:val="1"/>
        </w:numPr>
        <w:kinsoku w:val="0"/>
        <w:overflowPunct w:val="0"/>
        <w:autoSpaceDE w:val="0"/>
        <w:autoSpaceDN w:val="0"/>
        <w:adjustRightInd w:val="0"/>
        <w:spacing w:before="1" w:after="480" w:line="360" w:lineRule="auto"/>
        <w:ind w:left="0" w:right="-7" w:firstLine="0"/>
        <w:rPr>
          <w:rFonts w:ascii="Arial" w:hAnsi="Arial" w:cs="Arial"/>
          <w:bCs/>
        </w:rPr>
      </w:pPr>
      <w:r w:rsidRPr="002C6715">
        <w:rPr>
          <w:rFonts w:ascii="Arial" w:hAnsi="Arial" w:cs="Arial"/>
          <w:bCs/>
        </w:rPr>
        <w:t>In sum, the main flaw in the</w:t>
      </w:r>
      <w:r w:rsidR="00CB555A" w:rsidRPr="002C6715">
        <w:rPr>
          <w:rFonts w:ascii="Arial" w:hAnsi="Arial" w:cs="Arial"/>
          <w:bCs/>
        </w:rPr>
        <w:t xml:space="preserve"> judgment of </w:t>
      </w:r>
      <w:r w:rsidRPr="002C6715">
        <w:rPr>
          <w:rFonts w:ascii="Arial" w:hAnsi="Arial" w:cs="Arial"/>
          <w:bCs/>
        </w:rPr>
        <w:t xml:space="preserve">the high court is </w:t>
      </w:r>
      <w:r w:rsidR="00CB555A" w:rsidRPr="002C6715">
        <w:rPr>
          <w:rFonts w:ascii="Arial" w:hAnsi="Arial" w:cs="Arial"/>
          <w:bCs/>
        </w:rPr>
        <w:t xml:space="preserve">the failure to </w:t>
      </w:r>
      <w:r w:rsidR="00FE26B6" w:rsidRPr="002C6715">
        <w:rPr>
          <w:rFonts w:ascii="Arial" w:hAnsi="Arial" w:cs="Arial"/>
          <w:bCs/>
        </w:rPr>
        <w:t>apply the</w:t>
      </w:r>
      <w:r w:rsidR="00091A62" w:rsidRPr="002C6715">
        <w:rPr>
          <w:rFonts w:ascii="Arial" w:hAnsi="Arial" w:cs="Arial"/>
          <w:bCs/>
        </w:rPr>
        <w:t xml:space="preserve"> established </w:t>
      </w:r>
      <w:r w:rsidR="00CB555A" w:rsidRPr="002C6715">
        <w:rPr>
          <w:rFonts w:ascii="Arial" w:hAnsi="Arial" w:cs="Arial"/>
          <w:bCs/>
        </w:rPr>
        <w:t>approach in respect of exceptions, namely to accept as true and correct, the factual averments in the particulars of claim</w:t>
      </w:r>
      <w:r w:rsidR="00855E34" w:rsidRPr="002C6715">
        <w:rPr>
          <w:rFonts w:ascii="Arial" w:hAnsi="Arial" w:cs="Arial"/>
          <w:bCs/>
        </w:rPr>
        <w:t>, unless clearly false and untenable</w:t>
      </w:r>
      <w:r w:rsidR="00CB555A" w:rsidRPr="002C6715">
        <w:rPr>
          <w:rFonts w:ascii="Arial" w:hAnsi="Arial" w:cs="Arial"/>
          <w:bCs/>
        </w:rPr>
        <w:t xml:space="preserve">. This led </w:t>
      </w:r>
      <w:r w:rsidR="009A6974" w:rsidRPr="002C6715">
        <w:rPr>
          <w:rFonts w:ascii="Arial" w:hAnsi="Arial" w:cs="Arial"/>
          <w:bCs/>
        </w:rPr>
        <w:t>to a wrong</w:t>
      </w:r>
      <w:r w:rsidR="00CB555A" w:rsidRPr="002C6715">
        <w:rPr>
          <w:rFonts w:ascii="Arial" w:hAnsi="Arial" w:cs="Arial"/>
          <w:bCs/>
        </w:rPr>
        <w:t xml:space="preserve"> conclusion that </w:t>
      </w:r>
      <w:r w:rsidRPr="002C6715">
        <w:rPr>
          <w:rFonts w:ascii="Arial" w:hAnsi="Arial" w:cs="Arial"/>
          <w:bCs/>
        </w:rPr>
        <w:t xml:space="preserve">Sagadava is not a member of Odora. </w:t>
      </w:r>
      <w:r w:rsidR="00CB555A" w:rsidRPr="002C6715">
        <w:rPr>
          <w:rFonts w:ascii="Arial" w:hAnsi="Arial" w:cs="Arial"/>
          <w:bCs/>
        </w:rPr>
        <w:t xml:space="preserve">Had it adopted the proper approach, it would have accepted the </w:t>
      </w:r>
      <w:r w:rsidR="00B90FE3" w:rsidRPr="002C6715">
        <w:rPr>
          <w:rFonts w:ascii="Arial" w:hAnsi="Arial" w:cs="Arial"/>
          <w:bCs/>
        </w:rPr>
        <w:t xml:space="preserve">appellants’ </w:t>
      </w:r>
      <w:r w:rsidRPr="002C6715">
        <w:rPr>
          <w:rFonts w:ascii="Arial" w:hAnsi="Arial" w:cs="Arial"/>
          <w:bCs/>
        </w:rPr>
        <w:t xml:space="preserve">uncontested </w:t>
      </w:r>
      <w:r w:rsidR="00B90FE3" w:rsidRPr="002C6715">
        <w:rPr>
          <w:rFonts w:ascii="Arial" w:hAnsi="Arial" w:cs="Arial"/>
          <w:bCs/>
        </w:rPr>
        <w:t xml:space="preserve">averments </w:t>
      </w:r>
      <w:r w:rsidRPr="002C6715">
        <w:rPr>
          <w:rFonts w:ascii="Arial" w:hAnsi="Arial" w:cs="Arial"/>
          <w:bCs/>
        </w:rPr>
        <w:t>that Sagadava is the beneficial owner of the member’s interest in Odora, and that Sivaraj was his nominee</w:t>
      </w:r>
      <w:r w:rsidR="00B90FE3" w:rsidRPr="002C6715">
        <w:rPr>
          <w:rFonts w:ascii="Arial" w:hAnsi="Arial" w:cs="Arial"/>
          <w:bCs/>
        </w:rPr>
        <w:t>. On that basis, it should have found that Sivaraj had no authority to sell the properties</w:t>
      </w:r>
      <w:r w:rsidR="00855E34" w:rsidRPr="002C6715">
        <w:rPr>
          <w:rFonts w:ascii="Arial" w:hAnsi="Arial" w:cs="Arial"/>
          <w:bCs/>
        </w:rPr>
        <w:t xml:space="preserve"> to Dube Tradeport</w:t>
      </w:r>
      <w:r w:rsidR="00B90FE3" w:rsidRPr="002C6715">
        <w:rPr>
          <w:rFonts w:ascii="Arial" w:hAnsi="Arial" w:cs="Arial"/>
          <w:bCs/>
        </w:rPr>
        <w:t>. As regards Dube Tradeport,</w:t>
      </w:r>
      <w:r w:rsidR="00855E34" w:rsidRPr="002C6715">
        <w:rPr>
          <w:rFonts w:ascii="Arial" w:hAnsi="Arial" w:cs="Arial"/>
          <w:bCs/>
        </w:rPr>
        <w:t xml:space="preserve"> the high court</w:t>
      </w:r>
      <w:r w:rsidR="00B90FE3" w:rsidRPr="002C6715">
        <w:rPr>
          <w:rFonts w:ascii="Arial" w:hAnsi="Arial" w:cs="Arial"/>
          <w:bCs/>
        </w:rPr>
        <w:t xml:space="preserve"> should have found that </w:t>
      </w:r>
      <w:r w:rsidR="00B35D8F" w:rsidRPr="002C6715">
        <w:rPr>
          <w:rFonts w:ascii="Arial" w:hAnsi="Arial" w:cs="Arial"/>
          <w:bCs/>
        </w:rPr>
        <w:t>given</w:t>
      </w:r>
      <w:r w:rsidR="00B90FE3" w:rsidRPr="002C6715">
        <w:rPr>
          <w:rFonts w:ascii="Arial" w:hAnsi="Arial" w:cs="Arial"/>
          <w:bCs/>
        </w:rPr>
        <w:t xml:space="preserve"> the allegations made against </w:t>
      </w:r>
      <w:r w:rsidR="00B35D8F" w:rsidRPr="002C6715">
        <w:rPr>
          <w:rFonts w:ascii="Arial" w:hAnsi="Arial" w:cs="Arial"/>
          <w:bCs/>
        </w:rPr>
        <w:t xml:space="preserve">it </w:t>
      </w:r>
      <w:r w:rsidR="00B90FE3" w:rsidRPr="002C6715">
        <w:rPr>
          <w:rFonts w:ascii="Arial" w:hAnsi="Arial" w:cs="Arial"/>
          <w:bCs/>
        </w:rPr>
        <w:t xml:space="preserve">in the particulars of claim, </w:t>
      </w:r>
      <w:r w:rsidR="00B35D8F" w:rsidRPr="002C6715">
        <w:rPr>
          <w:rFonts w:ascii="Arial" w:hAnsi="Arial" w:cs="Arial"/>
          <w:bCs/>
        </w:rPr>
        <w:t>its reliance on</w:t>
      </w:r>
      <w:r w:rsidR="00B90FE3" w:rsidRPr="002C6715">
        <w:rPr>
          <w:rFonts w:ascii="Arial" w:hAnsi="Arial" w:cs="Arial"/>
          <w:bCs/>
        </w:rPr>
        <w:t xml:space="preserve"> s 54</w:t>
      </w:r>
      <w:r w:rsidR="00855E34" w:rsidRPr="002C6715">
        <w:rPr>
          <w:rFonts w:ascii="Arial" w:hAnsi="Arial" w:cs="Arial"/>
          <w:bCs/>
        </w:rPr>
        <w:t>(1)</w:t>
      </w:r>
      <w:r w:rsidR="00B90FE3" w:rsidRPr="002C6715">
        <w:rPr>
          <w:rFonts w:ascii="Arial" w:hAnsi="Arial" w:cs="Arial"/>
          <w:bCs/>
        </w:rPr>
        <w:t xml:space="preserve"> was unavailing.</w:t>
      </w:r>
      <w:r w:rsidR="00ED0205" w:rsidRPr="002C6715">
        <w:rPr>
          <w:rFonts w:ascii="Arial" w:hAnsi="Arial" w:cs="Arial"/>
          <w:bCs/>
        </w:rPr>
        <w:t xml:space="preserve"> </w:t>
      </w:r>
    </w:p>
    <w:p w14:paraId="518CF901" w14:textId="77777777" w:rsidR="000044E5" w:rsidRPr="002C6715" w:rsidRDefault="00ED0205" w:rsidP="004E6DD2">
      <w:pPr>
        <w:pStyle w:val="MEMONUMBERED"/>
        <w:numPr>
          <w:ilvl w:val="0"/>
          <w:numId w:val="1"/>
        </w:numPr>
        <w:kinsoku w:val="0"/>
        <w:overflowPunct w:val="0"/>
        <w:autoSpaceDE w:val="0"/>
        <w:autoSpaceDN w:val="0"/>
        <w:adjustRightInd w:val="0"/>
        <w:spacing w:before="1" w:after="480" w:line="360" w:lineRule="auto"/>
        <w:ind w:left="0" w:right="-7" w:firstLine="0"/>
        <w:rPr>
          <w:rFonts w:ascii="Arial" w:hAnsi="Arial" w:cs="Arial"/>
          <w:bCs/>
        </w:rPr>
      </w:pPr>
      <w:r w:rsidRPr="002C6715">
        <w:rPr>
          <w:rFonts w:ascii="Arial" w:hAnsi="Arial" w:cs="Arial"/>
          <w:bCs/>
        </w:rPr>
        <w:t xml:space="preserve">It must be borne in mind that </w:t>
      </w:r>
      <w:r w:rsidRPr="002C6715">
        <w:rPr>
          <w:rFonts w:ascii="Arial" w:hAnsi="Arial" w:cs="Arial"/>
        </w:rPr>
        <w:t>an excipient who alleges that a summons does not disclose a cause of action must establish that, upon any construction of the particulars of claim, no cause of action is disclosed.</w:t>
      </w:r>
      <w:r w:rsidRPr="002C6715">
        <w:rPr>
          <w:rStyle w:val="FootnoteReference"/>
          <w:rFonts w:ascii="Arial" w:hAnsi="Arial" w:cs="Arial"/>
        </w:rPr>
        <w:footnoteReference w:id="7"/>
      </w:r>
      <w:r w:rsidRPr="002C6715">
        <w:rPr>
          <w:rFonts w:ascii="Arial" w:hAnsi="Arial" w:cs="Arial"/>
        </w:rPr>
        <w:t xml:space="preserve"> In my view, this cannot be said of the appellants’ particulars of claim.</w:t>
      </w:r>
      <w:r w:rsidR="004E6DD2" w:rsidRPr="002C6715">
        <w:rPr>
          <w:rFonts w:ascii="Arial" w:hAnsi="Arial" w:cs="Arial"/>
          <w:bCs/>
        </w:rPr>
        <w:t xml:space="preserve"> </w:t>
      </w:r>
      <w:r w:rsidR="000044E5" w:rsidRPr="002C6715">
        <w:rPr>
          <w:rFonts w:ascii="Arial" w:hAnsi="Arial" w:cs="Arial"/>
          <w:bCs/>
        </w:rPr>
        <w:t xml:space="preserve">In all the circumstances Dube Tradeport’s exception should have been dismissed. The appeal must </w:t>
      </w:r>
      <w:r w:rsidR="006D0139" w:rsidRPr="002C6715">
        <w:rPr>
          <w:rFonts w:ascii="Arial" w:hAnsi="Arial" w:cs="Arial"/>
          <w:bCs/>
        </w:rPr>
        <w:t xml:space="preserve">therefore </w:t>
      </w:r>
      <w:r w:rsidR="000044E5" w:rsidRPr="002C6715">
        <w:rPr>
          <w:rFonts w:ascii="Arial" w:hAnsi="Arial" w:cs="Arial"/>
          <w:bCs/>
        </w:rPr>
        <w:t>succeed.</w:t>
      </w:r>
    </w:p>
    <w:p w14:paraId="28397774" w14:textId="77777777" w:rsidR="000044E5" w:rsidRPr="002C6715" w:rsidRDefault="008A0CD1" w:rsidP="003238AC">
      <w:pPr>
        <w:pStyle w:val="MEMONUMBERED"/>
        <w:numPr>
          <w:ilvl w:val="0"/>
          <w:numId w:val="1"/>
        </w:numPr>
        <w:kinsoku w:val="0"/>
        <w:overflowPunct w:val="0"/>
        <w:autoSpaceDE w:val="0"/>
        <w:autoSpaceDN w:val="0"/>
        <w:adjustRightInd w:val="0"/>
        <w:spacing w:before="1" w:line="360" w:lineRule="auto"/>
        <w:ind w:left="0" w:right="-7" w:firstLine="0"/>
        <w:rPr>
          <w:rFonts w:ascii="Arial" w:hAnsi="Arial" w:cs="Arial"/>
          <w:bCs/>
        </w:rPr>
      </w:pPr>
      <w:r w:rsidRPr="002C6715">
        <w:rPr>
          <w:rFonts w:ascii="Arial" w:hAnsi="Arial" w:cs="Arial"/>
          <w:bCs/>
        </w:rPr>
        <w:t>In the result t</w:t>
      </w:r>
      <w:r w:rsidR="000044E5" w:rsidRPr="002C6715">
        <w:rPr>
          <w:rFonts w:ascii="Arial" w:hAnsi="Arial" w:cs="Arial"/>
          <w:bCs/>
        </w:rPr>
        <w:t>he following order is made:</w:t>
      </w:r>
    </w:p>
    <w:p w14:paraId="3FA859AF" w14:textId="77777777" w:rsidR="000044E5" w:rsidRPr="002C6715" w:rsidRDefault="000044E5" w:rsidP="003238AC">
      <w:pPr>
        <w:pStyle w:val="JUDGMENTNUMBERED"/>
        <w:numPr>
          <w:ilvl w:val="0"/>
          <w:numId w:val="0"/>
        </w:numPr>
        <w:ind w:left="360" w:hanging="360"/>
        <w:rPr>
          <w:rFonts w:ascii="Arial" w:hAnsi="Arial" w:cs="Arial"/>
          <w:sz w:val="24"/>
          <w:szCs w:val="24"/>
          <w:lang w:eastAsia="en-ZA"/>
        </w:rPr>
      </w:pPr>
      <w:r w:rsidRPr="002C6715">
        <w:rPr>
          <w:rFonts w:ascii="Arial" w:hAnsi="Arial" w:cs="Arial"/>
          <w:sz w:val="24"/>
          <w:szCs w:val="24"/>
          <w:lang w:eastAsia="en-ZA"/>
        </w:rPr>
        <w:t>1   The appeal is upheld with costs.</w:t>
      </w:r>
    </w:p>
    <w:p w14:paraId="38855F6C" w14:textId="77777777" w:rsidR="000044E5" w:rsidRPr="002C6715" w:rsidRDefault="000044E5" w:rsidP="003238AC">
      <w:pPr>
        <w:pStyle w:val="JUDGMENTNUMBERED"/>
        <w:numPr>
          <w:ilvl w:val="0"/>
          <w:numId w:val="0"/>
        </w:numPr>
        <w:ind w:left="360" w:hanging="360"/>
        <w:rPr>
          <w:rFonts w:ascii="Arial" w:hAnsi="Arial" w:cs="Arial"/>
          <w:sz w:val="24"/>
          <w:szCs w:val="24"/>
          <w:lang w:eastAsia="en-ZA"/>
        </w:rPr>
      </w:pPr>
      <w:r w:rsidRPr="002C6715">
        <w:rPr>
          <w:rFonts w:ascii="Arial" w:hAnsi="Arial" w:cs="Arial"/>
          <w:sz w:val="24"/>
          <w:szCs w:val="24"/>
          <w:lang w:eastAsia="en-ZA"/>
        </w:rPr>
        <w:t>2   The order of the high court is set aside and substituted with the following:</w:t>
      </w:r>
    </w:p>
    <w:p w14:paraId="6FAA8BB2" w14:textId="77777777" w:rsidR="000044E5" w:rsidRPr="002C6715" w:rsidRDefault="000044E5" w:rsidP="000044E5">
      <w:pPr>
        <w:pStyle w:val="ListParagraph"/>
        <w:widowControl w:val="0"/>
        <w:autoSpaceDE w:val="0"/>
        <w:autoSpaceDN w:val="0"/>
        <w:adjustRightInd w:val="0"/>
        <w:spacing w:after="0" w:line="360" w:lineRule="auto"/>
        <w:ind w:left="0" w:right="170"/>
        <w:jc w:val="both"/>
        <w:rPr>
          <w:rFonts w:ascii="Arial" w:eastAsiaTheme="minorEastAsia" w:hAnsi="Arial" w:cs="Arial"/>
          <w:sz w:val="24"/>
          <w:szCs w:val="24"/>
          <w:lang w:eastAsia="en-ZA"/>
        </w:rPr>
      </w:pPr>
      <w:r w:rsidRPr="002C6715">
        <w:rPr>
          <w:rFonts w:ascii="Arial" w:eastAsiaTheme="minorEastAsia" w:hAnsi="Arial" w:cs="Arial"/>
          <w:sz w:val="24"/>
          <w:szCs w:val="24"/>
          <w:lang w:eastAsia="en-ZA"/>
        </w:rPr>
        <w:t>‘1 The exception is dismissed with costs’.</w:t>
      </w:r>
    </w:p>
    <w:p w14:paraId="7CBE2738" w14:textId="77777777" w:rsidR="004E6DD2" w:rsidRPr="002C6715" w:rsidRDefault="004E6DD2" w:rsidP="000044E5">
      <w:pPr>
        <w:pStyle w:val="ListParagraph"/>
        <w:widowControl w:val="0"/>
        <w:autoSpaceDE w:val="0"/>
        <w:autoSpaceDN w:val="0"/>
        <w:adjustRightInd w:val="0"/>
        <w:spacing w:after="0" w:line="360" w:lineRule="auto"/>
        <w:ind w:left="0" w:right="170"/>
        <w:jc w:val="both"/>
        <w:rPr>
          <w:rFonts w:ascii="Arial" w:eastAsiaTheme="minorEastAsia" w:hAnsi="Arial" w:cs="Arial"/>
          <w:sz w:val="24"/>
          <w:szCs w:val="24"/>
          <w:lang w:eastAsia="en-ZA"/>
        </w:rPr>
      </w:pPr>
    </w:p>
    <w:p w14:paraId="25F37D6A" w14:textId="77777777" w:rsidR="004E6DD2" w:rsidRPr="002C6715" w:rsidRDefault="004E6DD2" w:rsidP="000044E5">
      <w:pPr>
        <w:pStyle w:val="ListParagraph"/>
        <w:widowControl w:val="0"/>
        <w:autoSpaceDE w:val="0"/>
        <w:autoSpaceDN w:val="0"/>
        <w:adjustRightInd w:val="0"/>
        <w:spacing w:after="0" w:line="360" w:lineRule="auto"/>
        <w:ind w:left="0" w:right="170"/>
        <w:jc w:val="both"/>
        <w:rPr>
          <w:rFonts w:ascii="Arial" w:eastAsiaTheme="minorEastAsia" w:hAnsi="Arial" w:cs="Arial"/>
          <w:sz w:val="24"/>
          <w:szCs w:val="24"/>
          <w:lang w:eastAsia="en-ZA"/>
        </w:rPr>
      </w:pPr>
    </w:p>
    <w:p w14:paraId="091F1EE8" w14:textId="77777777" w:rsidR="000044E5" w:rsidRPr="002C6715" w:rsidRDefault="000044E5" w:rsidP="003238AC">
      <w:pPr>
        <w:pStyle w:val="MEMONUMBERED"/>
        <w:kinsoku w:val="0"/>
        <w:overflowPunct w:val="0"/>
        <w:autoSpaceDE w:val="0"/>
        <w:autoSpaceDN w:val="0"/>
        <w:adjustRightInd w:val="0"/>
        <w:spacing w:before="1" w:after="480" w:line="360" w:lineRule="auto"/>
        <w:ind w:right="-7"/>
        <w:rPr>
          <w:rFonts w:ascii="Arial" w:hAnsi="Arial" w:cs="Arial"/>
          <w:bCs/>
        </w:rPr>
      </w:pPr>
    </w:p>
    <w:p w14:paraId="09F16421" w14:textId="77777777" w:rsidR="00456DE7" w:rsidRPr="002C6715" w:rsidRDefault="00456DE7" w:rsidP="003238AC">
      <w:pPr>
        <w:pStyle w:val="MEMONUMBERED"/>
        <w:kinsoku w:val="0"/>
        <w:overflowPunct w:val="0"/>
        <w:autoSpaceDE w:val="0"/>
        <w:autoSpaceDN w:val="0"/>
        <w:adjustRightInd w:val="0"/>
        <w:spacing w:before="1" w:after="480" w:line="360" w:lineRule="auto"/>
        <w:ind w:right="-7"/>
        <w:rPr>
          <w:rFonts w:ascii="Arial" w:hAnsi="Arial" w:cs="Arial"/>
          <w:bCs/>
        </w:rPr>
      </w:pPr>
    </w:p>
    <w:p w14:paraId="106041A1" w14:textId="35E42370" w:rsidR="00017D10" w:rsidRDefault="00017D10" w:rsidP="007B3985">
      <w:pPr>
        <w:spacing w:after="0" w:line="240" w:lineRule="auto"/>
        <w:jc w:val="right"/>
        <w:rPr>
          <w:rFonts w:ascii="Arial" w:hAnsi="Arial" w:cs="Arial"/>
          <w:sz w:val="24"/>
          <w:szCs w:val="24"/>
        </w:rPr>
      </w:pPr>
      <w:r w:rsidRPr="002C6715">
        <w:rPr>
          <w:rFonts w:ascii="Arial" w:hAnsi="Arial" w:cs="Arial"/>
          <w:sz w:val="24"/>
          <w:szCs w:val="24"/>
        </w:rPr>
        <w:t>____________________</w:t>
      </w:r>
    </w:p>
    <w:p w14:paraId="6D817C55" w14:textId="77777777" w:rsidR="007B3985" w:rsidRPr="002C6715" w:rsidRDefault="007B3985" w:rsidP="007B3985">
      <w:pPr>
        <w:spacing w:after="0" w:line="240" w:lineRule="auto"/>
        <w:jc w:val="right"/>
        <w:rPr>
          <w:rFonts w:ascii="Arial" w:hAnsi="Arial" w:cs="Arial"/>
          <w:sz w:val="24"/>
          <w:szCs w:val="24"/>
        </w:rPr>
      </w:pPr>
    </w:p>
    <w:p w14:paraId="587A70A7" w14:textId="357FE65F" w:rsidR="0033077F" w:rsidRPr="002C6715" w:rsidRDefault="00017D10" w:rsidP="007B3985">
      <w:pPr>
        <w:spacing w:after="120" w:line="240" w:lineRule="auto"/>
        <w:ind w:left="227"/>
        <w:jc w:val="right"/>
        <w:rPr>
          <w:rFonts w:ascii="Arial" w:hAnsi="Arial" w:cs="Arial"/>
          <w:sz w:val="24"/>
          <w:szCs w:val="24"/>
        </w:rPr>
      </w:pPr>
      <w:r w:rsidRPr="002C6715">
        <w:rPr>
          <w:rFonts w:ascii="Arial" w:hAnsi="Arial" w:cs="Arial"/>
          <w:sz w:val="24"/>
          <w:szCs w:val="24"/>
        </w:rPr>
        <w:t>T Makgoka</w:t>
      </w:r>
      <w:r w:rsidR="0033077F" w:rsidRPr="002C6715">
        <w:rPr>
          <w:rFonts w:ascii="Arial" w:hAnsi="Arial" w:cs="Arial"/>
          <w:sz w:val="24"/>
          <w:szCs w:val="24"/>
        </w:rPr>
        <w:t xml:space="preserve"> </w:t>
      </w:r>
    </w:p>
    <w:p w14:paraId="009A2BF1" w14:textId="77777777" w:rsidR="007B3985" w:rsidRDefault="00017D10" w:rsidP="007B3985">
      <w:pPr>
        <w:spacing w:after="0" w:line="240" w:lineRule="auto"/>
        <w:ind w:left="227"/>
        <w:jc w:val="right"/>
        <w:rPr>
          <w:rFonts w:ascii="Arial" w:hAnsi="Arial" w:cs="Arial"/>
          <w:sz w:val="24"/>
          <w:szCs w:val="24"/>
        </w:rPr>
      </w:pPr>
      <w:r w:rsidRPr="002C6715">
        <w:rPr>
          <w:rFonts w:ascii="Arial" w:hAnsi="Arial" w:cs="Arial"/>
          <w:sz w:val="24"/>
          <w:szCs w:val="24"/>
        </w:rPr>
        <w:t>Judge of Appeal</w:t>
      </w:r>
    </w:p>
    <w:p w14:paraId="1A3E925B" w14:textId="77777777" w:rsidR="007B3985" w:rsidRDefault="007B3985" w:rsidP="003238AC">
      <w:pPr>
        <w:spacing w:after="0" w:line="240" w:lineRule="auto"/>
        <w:ind w:left="227"/>
        <w:rPr>
          <w:rFonts w:ascii="Arial" w:hAnsi="Arial" w:cs="Arial"/>
          <w:sz w:val="24"/>
          <w:szCs w:val="24"/>
        </w:rPr>
      </w:pPr>
    </w:p>
    <w:p w14:paraId="6C409D51" w14:textId="35946DA1" w:rsidR="00B07D16" w:rsidRPr="003238AC" w:rsidRDefault="00B07D16" w:rsidP="003238AC">
      <w:pPr>
        <w:spacing w:after="0" w:line="240" w:lineRule="auto"/>
        <w:ind w:left="227"/>
      </w:pPr>
      <w:r w:rsidRPr="003238AC">
        <w:br w:type="page"/>
      </w:r>
    </w:p>
    <w:p w14:paraId="033CB854" w14:textId="77777777" w:rsidR="00017D10" w:rsidRPr="003238AC" w:rsidRDefault="00017D10" w:rsidP="007C2A0D">
      <w:pPr>
        <w:widowControl w:val="0"/>
        <w:autoSpaceDE w:val="0"/>
        <w:autoSpaceDN w:val="0"/>
        <w:adjustRightInd w:val="0"/>
        <w:spacing w:after="0" w:line="360" w:lineRule="auto"/>
        <w:jc w:val="both"/>
        <w:rPr>
          <w:rFonts w:ascii="Arial" w:eastAsia="MS Mincho" w:hAnsi="Arial" w:cs="Arial"/>
          <w:bCs/>
          <w:sz w:val="24"/>
          <w:szCs w:val="24"/>
          <w:lang w:eastAsia="en-ZA"/>
        </w:rPr>
      </w:pPr>
      <w:r w:rsidRPr="003238AC">
        <w:rPr>
          <w:rFonts w:ascii="Arial" w:eastAsia="MS Mincho" w:hAnsi="Arial" w:cs="Arial"/>
          <w:bCs/>
          <w:sz w:val="24"/>
          <w:szCs w:val="24"/>
          <w:lang w:eastAsia="en-ZA"/>
        </w:rPr>
        <w:t>APPEARANCES</w:t>
      </w:r>
      <w:r w:rsidR="00096ADF" w:rsidRPr="003238AC">
        <w:rPr>
          <w:rFonts w:ascii="Arial" w:eastAsia="MS Mincho" w:hAnsi="Arial" w:cs="Arial"/>
          <w:bCs/>
          <w:sz w:val="24"/>
          <w:szCs w:val="24"/>
          <w:lang w:eastAsia="en-ZA"/>
        </w:rPr>
        <w:t>:</w:t>
      </w:r>
    </w:p>
    <w:p w14:paraId="4B7810AF" w14:textId="74AD1B87" w:rsidR="00017D10" w:rsidRPr="003238AC" w:rsidRDefault="00017D10" w:rsidP="007C2A0D">
      <w:pPr>
        <w:widowControl w:val="0"/>
        <w:autoSpaceDE w:val="0"/>
        <w:autoSpaceDN w:val="0"/>
        <w:adjustRightInd w:val="0"/>
        <w:spacing w:after="0" w:line="360" w:lineRule="auto"/>
        <w:ind w:left="2880" w:hanging="2880"/>
        <w:jc w:val="both"/>
        <w:rPr>
          <w:rFonts w:ascii="Arial" w:eastAsia="MS Mincho" w:hAnsi="Arial" w:cs="Arial"/>
          <w:bCs/>
          <w:sz w:val="24"/>
          <w:szCs w:val="24"/>
          <w:lang w:eastAsia="en-ZA"/>
        </w:rPr>
      </w:pPr>
      <w:r w:rsidRPr="003238AC">
        <w:rPr>
          <w:rFonts w:ascii="Arial" w:eastAsia="MS Mincho" w:hAnsi="Arial" w:cs="Arial"/>
          <w:bCs/>
          <w:sz w:val="24"/>
          <w:szCs w:val="24"/>
          <w:lang w:eastAsia="en-ZA"/>
        </w:rPr>
        <w:t xml:space="preserve">For </w:t>
      </w:r>
      <w:r w:rsidR="00992AD5" w:rsidRPr="003238AC">
        <w:rPr>
          <w:rFonts w:ascii="Arial" w:eastAsia="MS Mincho" w:hAnsi="Arial" w:cs="Arial"/>
          <w:bCs/>
          <w:sz w:val="24"/>
          <w:szCs w:val="24"/>
          <w:lang w:eastAsia="en-ZA"/>
        </w:rPr>
        <w:t>a</w:t>
      </w:r>
      <w:r w:rsidRPr="003238AC">
        <w:rPr>
          <w:rFonts w:ascii="Arial" w:eastAsia="MS Mincho" w:hAnsi="Arial" w:cs="Arial"/>
          <w:bCs/>
          <w:sz w:val="24"/>
          <w:szCs w:val="24"/>
          <w:lang w:eastAsia="en-ZA"/>
        </w:rPr>
        <w:t>ppellants</w:t>
      </w:r>
      <w:r w:rsidR="00343FE3">
        <w:rPr>
          <w:rFonts w:ascii="Arial" w:eastAsia="MS Mincho" w:hAnsi="Arial" w:cs="Arial"/>
          <w:bCs/>
          <w:sz w:val="24"/>
          <w:szCs w:val="24"/>
          <w:lang w:eastAsia="en-ZA"/>
        </w:rPr>
        <w:t>:</w:t>
      </w:r>
      <w:r w:rsidR="00343FE3">
        <w:rPr>
          <w:rFonts w:ascii="Arial" w:eastAsia="MS Mincho" w:hAnsi="Arial" w:cs="Arial"/>
          <w:bCs/>
          <w:sz w:val="24"/>
          <w:szCs w:val="24"/>
          <w:lang w:eastAsia="en-ZA"/>
        </w:rPr>
        <w:tab/>
      </w:r>
      <w:r w:rsidRPr="003238AC">
        <w:rPr>
          <w:rFonts w:ascii="Arial" w:hAnsi="Arial" w:cs="Arial"/>
          <w:bCs/>
          <w:sz w:val="24"/>
          <w:szCs w:val="24"/>
        </w:rPr>
        <w:t>G</w:t>
      </w:r>
      <w:r w:rsidR="00992AD5" w:rsidRPr="003238AC">
        <w:rPr>
          <w:rFonts w:ascii="Arial" w:hAnsi="Arial" w:cs="Arial"/>
          <w:bCs/>
          <w:sz w:val="24"/>
          <w:szCs w:val="24"/>
        </w:rPr>
        <w:t xml:space="preserve"> </w:t>
      </w:r>
      <w:r w:rsidRPr="003238AC">
        <w:rPr>
          <w:rFonts w:ascii="Arial" w:hAnsi="Arial" w:cs="Arial"/>
          <w:bCs/>
          <w:sz w:val="24"/>
          <w:szCs w:val="24"/>
        </w:rPr>
        <w:t>D Harpur SC</w:t>
      </w:r>
    </w:p>
    <w:p w14:paraId="5824DCD2" w14:textId="47CD3BBB" w:rsidR="00017D10" w:rsidRPr="003238AC" w:rsidRDefault="00017D10" w:rsidP="007C2A0D">
      <w:pPr>
        <w:widowControl w:val="0"/>
        <w:autoSpaceDE w:val="0"/>
        <w:autoSpaceDN w:val="0"/>
        <w:adjustRightInd w:val="0"/>
        <w:spacing w:after="0" w:line="360" w:lineRule="auto"/>
        <w:jc w:val="both"/>
        <w:rPr>
          <w:rFonts w:ascii="Arial" w:eastAsia="MS Mincho" w:hAnsi="Arial" w:cs="Arial"/>
          <w:bCs/>
          <w:sz w:val="24"/>
          <w:szCs w:val="24"/>
          <w:lang w:eastAsia="en-ZA"/>
        </w:rPr>
      </w:pPr>
      <w:r w:rsidRPr="003238AC">
        <w:rPr>
          <w:rFonts w:ascii="Arial" w:eastAsia="MS Mincho" w:hAnsi="Arial" w:cs="Arial"/>
          <w:bCs/>
          <w:sz w:val="24"/>
          <w:szCs w:val="24"/>
          <w:lang w:eastAsia="en-ZA"/>
        </w:rPr>
        <w:tab/>
      </w:r>
      <w:r w:rsidRPr="003238AC">
        <w:rPr>
          <w:rFonts w:ascii="Arial" w:eastAsia="MS Mincho" w:hAnsi="Arial" w:cs="Arial"/>
          <w:bCs/>
          <w:sz w:val="24"/>
          <w:szCs w:val="24"/>
          <w:lang w:eastAsia="en-ZA"/>
        </w:rPr>
        <w:tab/>
      </w:r>
      <w:r w:rsidRPr="003238AC">
        <w:rPr>
          <w:rFonts w:ascii="Arial" w:eastAsia="MS Mincho" w:hAnsi="Arial" w:cs="Arial"/>
          <w:bCs/>
          <w:sz w:val="24"/>
          <w:szCs w:val="24"/>
          <w:lang w:eastAsia="en-ZA"/>
        </w:rPr>
        <w:tab/>
      </w:r>
      <w:r w:rsidR="00343FE3">
        <w:rPr>
          <w:rFonts w:ascii="Arial" w:eastAsia="MS Mincho" w:hAnsi="Arial" w:cs="Arial"/>
          <w:bCs/>
          <w:sz w:val="24"/>
          <w:szCs w:val="24"/>
          <w:lang w:eastAsia="en-ZA"/>
        </w:rPr>
        <w:tab/>
      </w:r>
      <w:r w:rsidRPr="003238AC">
        <w:rPr>
          <w:rFonts w:ascii="Arial" w:eastAsia="MS Mincho" w:hAnsi="Arial" w:cs="Arial"/>
          <w:bCs/>
          <w:sz w:val="24"/>
          <w:szCs w:val="24"/>
          <w:lang w:eastAsia="en-ZA"/>
        </w:rPr>
        <w:t>Instructed by:</w:t>
      </w:r>
    </w:p>
    <w:p w14:paraId="19384D91" w14:textId="38331C78" w:rsidR="00017D10" w:rsidRPr="003238AC" w:rsidRDefault="00017D10" w:rsidP="007C2A0D">
      <w:pPr>
        <w:autoSpaceDE w:val="0"/>
        <w:autoSpaceDN w:val="0"/>
        <w:adjustRightInd w:val="0"/>
        <w:spacing w:after="0" w:line="360" w:lineRule="auto"/>
        <w:rPr>
          <w:rFonts w:ascii="Arial" w:hAnsi="Arial" w:cs="Arial"/>
          <w:bCs/>
          <w:sz w:val="24"/>
          <w:szCs w:val="24"/>
        </w:rPr>
      </w:pPr>
      <w:r w:rsidRPr="003238AC">
        <w:rPr>
          <w:rFonts w:ascii="Arial" w:eastAsia="MS Mincho" w:hAnsi="Arial" w:cs="Arial"/>
          <w:bCs/>
          <w:sz w:val="24"/>
          <w:szCs w:val="24"/>
          <w:lang w:eastAsia="en-ZA"/>
        </w:rPr>
        <w:tab/>
      </w:r>
      <w:r w:rsidRPr="003238AC">
        <w:rPr>
          <w:rFonts w:ascii="Arial" w:eastAsia="MS Mincho" w:hAnsi="Arial" w:cs="Arial"/>
          <w:bCs/>
          <w:sz w:val="24"/>
          <w:szCs w:val="24"/>
          <w:lang w:eastAsia="en-ZA"/>
        </w:rPr>
        <w:tab/>
      </w:r>
      <w:r w:rsidRPr="003238AC">
        <w:rPr>
          <w:rFonts w:ascii="Arial" w:eastAsia="MS Mincho" w:hAnsi="Arial" w:cs="Arial"/>
          <w:bCs/>
          <w:sz w:val="24"/>
          <w:szCs w:val="24"/>
          <w:lang w:eastAsia="en-ZA"/>
        </w:rPr>
        <w:tab/>
      </w:r>
      <w:r w:rsidR="00343FE3">
        <w:rPr>
          <w:rFonts w:ascii="Arial" w:eastAsia="MS Mincho" w:hAnsi="Arial" w:cs="Arial"/>
          <w:bCs/>
          <w:sz w:val="24"/>
          <w:szCs w:val="24"/>
          <w:lang w:eastAsia="en-ZA"/>
        </w:rPr>
        <w:tab/>
      </w:r>
      <w:r w:rsidRPr="003238AC">
        <w:rPr>
          <w:rFonts w:ascii="Arial" w:hAnsi="Arial" w:cs="Arial"/>
          <w:bCs/>
          <w:sz w:val="24"/>
          <w:szCs w:val="24"/>
        </w:rPr>
        <w:t>Dwarika, Naidoo &amp; Company, Durban</w:t>
      </w:r>
      <w:r w:rsidRPr="003238AC">
        <w:rPr>
          <w:rFonts w:ascii="Arial" w:eastAsia="MS Mincho" w:hAnsi="Arial" w:cs="Arial"/>
          <w:bCs/>
          <w:sz w:val="24"/>
          <w:szCs w:val="24"/>
          <w:lang w:eastAsia="en-ZA"/>
        </w:rPr>
        <w:t xml:space="preserve"> </w:t>
      </w:r>
    </w:p>
    <w:p w14:paraId="20046F05" w14:textId="30060F57" w:rsidR="00017D10" w:rsidRPr="003238AC" w:rsidRDefault="00343FE3" w:rsidP="00343FE3">
      <w:pPr>
        <w:widowControl w:val="0"/>
        <w:autoSpaceDE w:val="0"/>
        <w:autoSpaceDN w:val="0"/>
        <w:adjustRightInd w:val="0"/>
        <w:spacing w:after="0" w:line="360" w:lineRule="auto"/>
        <w:ind w:left="2115" w:firstLine="720"/>
        <w:jc w:val="both"/>
        <w:rPr>
          <w:rFonts w:ascii="Arial" w:eastAsia="MS Mincho" w:hAnsi="Arial" w:cs="Arial"/>
          <w:bCs/>
          <w:sz w:val="24"/>
          <w:szCs w:val="24"/>
          <w:lang w:eastAsia="en-ZA"/>
        </w:rPr>
      </w:pPr>
      <w:r>
        <w:rPr>
          <w:rFonts w:ascii="Arial" w:eastAsia="MS Mincho" w:hAnsi="Arial" w:cs="Arial"/>
          <w:bCs/>
          <w:sz w:val="24"/>
          <w:szCs w:val="24"/>
          <w:lang w:eastAsia="en-ZA"/>
        </w:rPr>
        <w:t xml:space="preserve"> </w:t>
      </w:r>
      <w:r w:rsidR="00017D10" w:rsidRPr="003238AC">
        <w:rPr>
          <w:rFonts w:ascii="Arial" w:eastAsia="MS Mincho" w:hAnsi="Arial" w:cs="Arial"/>
          <w:bCs/>
          <w:sz w:val="24"/>
          <w:szCs w:val="24"/>
          <w:lang w:eastAsia="en-ZA"/>
        </w:rPr>
        <w:t>Fixane Attorneys, Bloemfontein</w:t>
      </w:r>
      <w:r w:rsidR="004E6DD2">
        <w:rPr>
          <w:rFonts w:ascii="Arial" w:eastAsia="MS Mincho" w:hAnsi="Arial" w:cs="Arial"/>
          <w:bCs/>
          <w:sz w:val="24"/>
          <w:szCs w:val="24"/>
          <w:lang w:eastAsia="en-ZA"/>
        </w:rPr>
        <w:t>.</w:t>
      </w:r>
    </w:p>
    <w:p w14:paraId="6523E742" w14:textId="77777777" w:rsidR="00017D10" w:rsidRPr="003238AC" w:rsidRDefault="00017D10" w:rsidP="007C2A0D">
      <w:pPr>
        <w:widowControl w:val="0"/>
        <w:autoSpaceDE w:val="0"/>
        <w:autoSpaceDN w:val="0"/>
        <w:adjustRightInd w:val="0"/>
        <w:spacing w:after="0" w:line="360" w:lineRule="auto"/>
        <w:jc w:val="both"/>
        <w:rPr>
          <w:rFonts w:ascii="Arial" w:eastAsia="MS Mincho" w:hAnsi="Arial" w:cs="Arial"/>
          <w:bCs/>
          <w:sz w:val="24"/>
          <w:szCs w:val="24"/>
          <w:lang w:eastAsia="en-ZA"/>
        </w:rPr>
      </w:pPr>
    </w:p>
    <w:p w14:paraId="2D6BC404" w14:textId="58CD4A2B" w:rsidR="00017D10" w:rsidRPr="003238AC" w:rsidRDefault="00017D10" w:rsidP="007C2A0D">
      <w:pPr>
        <w:widowControl w:val="0"/>
        <w:autoSpaceDE w:val="0"/>
        <w:autoSpaceDN w:val="0"/>
        <w:adjustRightInd w:val="0"/>
        <w:spacing w:after="0" w:line="360" w:lineRule="auto"/>
        <w:ind w:left="2835" w:hanging="2977"/>
        <w:jc w:val="both"/>
        <w:rPr>
          <w:rFonts w:ascii="Arial" w:eastAsia="MS Mincho" w:hAnsi="Arial" w:cs="Arial"/>
          <w:bCs/>
          <w:sz w:val="24"/>
          <w:szCs w:val="24"/>
          <w:lang w:eastAsia="en-ZA"/>
        </w:rPr>
      </w:pPr>
      <w:r w:rsidRPr="003238AC">
        <w:rPr>
          <w:rFonts w:ascii="Arial" w:eastAsia="MS Mincho" w:hAnsi="Arial" w:cs="Arial"/>
          <w:bCs/>
          <w:sz w:val="24"/>
          <w:szCs w:val="24"/>
          <w:lang w:eastAsia="en-ZA"/>
        </w:rPr>
        <w:t xml:space="preserve">For </w:t>
      </w:r>
      <w:r w:rsidR="00992AD5" w:rsidRPr="003238AC">
        <w:rPr>
          <w:rFonts w:ascii="Arial" w:eastAsia="MS Mincho" w:hAnsi="Arial" w:cs="Arial"/>
          <w:bCs/>
          <w:sz w:val="24"/>
          <w:szCs w:val="24"/>
          <w:lang w:eastAsia="en-ZA"/>
        </w:rPr>
        <w:t>first r</w:t>
      </w:r>
      <w:r w:rsidRPr="003238AC">
        <w:rPr>
          <w:rFonts w:ascii="Arial" w:eastAsia="MS Mincho" w:hAnsi="Arial" w:cs="Arial"/>
          <w:bCs/>
          <w:sz w:val="24"/>
          <w:szCs w:val="24"/>
          <w:lang w:eastAsia="en-ZA"/>
        </w:rPr>
        <w:t>espondent</w:t>
      </w:r>
      <w:r w:rsidR="00343FE3">
        <w:rPr>
          <w:rFonts w:ascii="Arial" w:eastAsia="MS Mincho" w:hAnsi="Arial" w:cs="Arial"/>
          <w:bCs/>
          <w:sz w:val="24"/>
          <w:szCs w:val="24"/>
          <w:lang w:eastAsia="en-ZA"/>
        </w:rPr>
        <w:t>:</w:t>
      </w:r>
      <w:r w:rsidR="00343FE3">
        <w:rPr>
          <w:rFonts w:ascii="Arial" w:eastAsia="MS Mincho" w:hAnsi="Arial" w:cs="Arial"/>
          <w:bCs/>
          <w:sz w:val="24"/>
          <w:szCs w:val="24"/>
          <w:lang w:eastAsia="en-ZA"/>
        </w:rPr>
        <w:tab/>
      </w:r>
      <w:r w:rsidRPr="003238AC">
        <w:rPr>
          <w:rFonts w:ascii="Arial" w:hAnsi="Arial" w:cs="Arial"/>
          <w:bCs/>
          <w:sz w:val="24"/>
          <w:szCs w:val="24"/>
        </w:rPr>
        <w:t>A</w:t>
      </w:r>
      <w:r w:rsidR="00992AD5" w:rsidRPr="003238AC">
        <w:rPr>
          <w:rFonts w:ascii="Arial" w:hAnsi="Arial" w:cs="Arial"/>
          <w:bCs/>
          <w:sz w:val="24"/>
          <w:szCs w:val="24"/>
        </w:rPr>
        <w:t xml:space="preserve"> </w:t>
      </w:r>
      <w:r w:rsidRPr="003238AC">
        <w:rPr>
          <w:rFonts w:ascii="Arial" w:hAnsi="Arial" w:cs="Arial"/>
          <w:bCs/>
          <w:sz w:val="24"/>
          <w:szCs w:val="24"/>
        </w:rPr>
        <w:t>J Dickson SC</w:t>
      </w:r>
      <w:r w:rsidRPr="003238AC">
        <w:rPr>
          <w:rFonts w:ascii="Arial" w:eastAsiaTheme="minorEastAsia" w:hAnsi="Arial" w:cs="Arial"/>
          <w:bCs/>
          <w:sz w:val="24"/>
          <w:szCs w:val="24"/>
          <w:lang w:eastAsia="en-ZA"/>
        </w:rPr>
        <w:t xml:space="preserve"> </w:t>
      </w:r>
    </w:p>
    <w:p w14:paraId="1A4B9CA8" w14:textId="56A3261E" w:rsidR="00017D10" w:rsidRPr="003238AC" w:rsidRDefault="00017D10" w:rsidP="00343FE3">
      <w:pPr>
        <w:pStyle w:val="MEMONUMBERED"/>
        <w:kinsoku w:val="0"/>
        <w:overflowPunct w:val="0"/>
        <w:spacing w:line="360" w:lineRule="auto"/>
        <w:ind w:left="2115" w:firstLine="720"/>
        <w:rPr>
          <w:rFonts w:ascii="Arial" w:hAnsi="Arial" w:cs="Arial"/>
          <w:bCs/>
        </w:rPr>
      </w:pPr>
      <w:r w:rsidRPr="003238AC">
        <w:rPr>
          <w:rFonts w:ascii="Arial" w:eastAsia="MS Mincho" w:hAnsi="Arial" w:cs="Arial"/>
          <w:bCs/>
        </w:rPr>
        <w:t>Instructed by:</w:t>
      </w:r>
      <w:r w:rsidRPr="003238AC">
        <w:rPr>
          <w:rFonts w:ascii="Arial" w:hAnsi="Arial" w:cs="Arial"/>
          <w:bCs/>
        </w:rPr>
        <w:t xml:space="preserve">  PKX Attorneys, Pietermaritzburg</w:t>
      </w:r>
    </w:p>
    <w:p w14:paraId="61C58C48" w14:textId="4BFA2636" w:rsidR="00017D10" w:rsidRPr="003238AC" w:rsidRDefault="00017D10" w:rsidP="00343FE3">
      <w:pPr>
        <w:widowControl w:val="0"/>
        <w:autoSpaceDE w:val="0"/>
        <w:autoSpaceDN w:val="0"/>
        <w:adjustRightInd w:val="0"/>
        <w:spacing w:after="0" w:line="360" w:lineRule="auto"/>
        <w:ind w:left="2115" w:firstLine="720"/>
        <w:jc w:val="both"/>
        <w:rPr>
          <w:rFonts w:ascii="Arial" w:eastAsia="MS Mincho" w:hAnsi="Arial" w:cs="Arial"/>
          <w:bCs/>
          <w:sz w:val="24"/>
          <w:szCs w:val="24"/>
          <w:lang w:eastAsia="en-ZA"/>
        </w:rPr>
      </w:pPr>
      <w:r w:rsidRPr="003238AC">
        <w:rPr>
          <w:rFonts w:ascii="Arial" w:eastAsia="MS Mincho" w:hAnsi="Arial" w:cs="Arial"/>
          <w:bCs/>
          <w:sz w:val="24"/>
          <w:szCs w:val="24"/>
          <w:lang w:eastAsia="en-ZA"/>
        </w:rPr>
        <w:t>Lovius Block Attorneys, Bloemfontein</w:t>
      </w:r>
      <w:r w:rsidR="004E6DD2">
        <w:rPr>
          <w:rFonts w:ascii="Arial" w:eastAsia="MS Mincho" w:hAnsi="Arial" w:cs="Arial"/>
          <w:bCs/>
          <w:sz w:val="24"/>
          <w:szCs w:val="24"/>
          <w:lang w:eastAsia="en-ZA"/>
        </w:rPr>
        <w:t>.</w:t>
      </w:r>
    </w:p>
    <w:p w14:paraId="72A38949" w14:textId="77777777" w:rsidR="00017D10" w:rsidRPr="003238AC" w:rsidRDefault="00017D10" w:rsidP="007C2A0D">
      <w:pPr>
        <w:pStyle w:val="MEMONUMBERED"/>
        <w:kinsoku w:val="0"/>
        <w:overflowPunct w:val="0"/>
        <w:spacing w:before="1" w:after="480" w:line="360" w:lineRule="auto"/>
        <w:ind w:right="-7"/>
        <w:rPr>
          <w:rFonts w:ascii="Arial" w:hAnsi="Arial" w:cs="Arial"/>
          <w:bCs/>
          <w:sz w:val="28"/>
          <w:szCs w:val="28"/>
        </w:rPr>
      </w:pPr>
    </w:p>
    <w:p w14:paraId="06D69B47" w14:textId="77777777" w:rsidR="00017D10" w:rsidRPr="003238AC" w:rsidRDefault="00017D10" w:rsidP="007C2A0D">
      <w:pPr>
        <w:pStyle w:val="MEMONUMBERED"/>
        <w:kinsoku w:val="0"/>
        <w:overflowPunct w:val="0"/>
        <w:spacing w:before="1" w:after="480" w:line="360" w:lineRule="auto"/>
        <w:ind w:right="-7"/>
        <w:rPr>
          <w:rFonts w:ascii="Arial" w:hAnsi="Arial" w:cs="Arial"/>
          <w:bCs/>
          <w:sz w:val="28"/>
          <w:szCs w:val="28"/>
        </w:rPr>
      </w:pPr>
    </w:p>
    <w:p w14:paraId="720F99AE" w14:textId="77777777" w:rsidR="00017D10" w:rsidRPr="003238AC" w:rsidRDefault="00017D10" w:rsidP="00017D10">
      <w:pPr>
        <w:pStyle w:val="MEMONUMBERED"/>
        <w:kinsoku w:val="0"/>
        <w:overflowPunct w:val="0"/>
        <w:spacing w:before="1" w:after="480"/>
        <w:ind w:right="-7"/>
        <w:rPr>
          <w:rFonts w:ascii="Arial" w:hAnsi="Arial" w:cs="Arial"/>
          <w:sz w:val="27"/>
          <w:szCs w:val="27"/>
        </w:rPr>
      </w:pPr>
    </w:p>
    <w:p w14:paraId="5B878C77" w14:textId="77777777" w:rsidR="00017D10" w:rsidRPr="003238AC" w:rsidRDefault="00017D10" w:rsidP="00017D10">
      <w:pPr>
        <w:rPr>
          <w:rFonts w:ascii="Arial" w:hAnsi="Arial" w:cs="Arial"/>
        </w:rPr>
      </w:pPr>
    </w:p>
    <w:p w14:paraId="7A248C91" w14:textId="77777777" w:rsidR="00017D10" w:rsidRPr="003238AC" w:rsidRDefault="00017D10">
      <w:pPr>
        <w:rPr>
          <w:rFonts w:ascii="Arial" w:hAnsi="Arial" w:cs="Arial"/>
        </w:rPr>
      </w:pPr>
    </w:p>
    <w:sectPr w:rsidR="00017D10" w:rsidRPr="003238AC" w:rsidSect="001476C7">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C9326" w14:textId="77777777" w:rsidR="00563D51" w:rsidRDefault="00563D51" w:rsidP="00017D10">
      <w:pPr>
        <w:spacing w:after="0" w:line="240" w:lineRule="auto"/>
      </w:pPr>
      <w:r>
        <w:separator/>
      </w:r>
    </w:p>
  </w:endnote>
  <w:endnote w:type="continuationSeparator" w:id="0">
    <w:p w14:paraId="4B35BAEE" w14:textId="77777777" w:rsidR="00563D51" w:rsidRDefault="00563D51" w:rsidP="00017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4B6DB" w14:textId="77777777" w:rsidR="00563D51" w:rsidRDefault="00563D51" w:rsidP="00017D10">
      <w:pPr>
        <w:spacing w:after="0" w:line="240" w:lineRule="auto"/>
      </w:pPr>
      <w:r>
        <w:separator/>
      </w:r>
    </w:p>
  </w:footnote>
  <w:footnote w:type="continuationSeparator" w:id="0">
    <w:p w14:paraId="5A85F61D" w14:textId="77777777" w:rsidR="00563D51" w:rsidRDefault="00563D51" w:rsidP="00017D10">
      <w:pPr>
        <w:spacing w:after="0" w:line="240" w:lineRule="auto"/>
      </w:pPr>
      <w:r>
        <w:continuationSeparator/>
      </w:r>
    </w:p>
  </w:footnote>
  <w:footnote w:id="1">
    <w:p w14:paraId="47E04169" w14:textId="77777777" w:rsidR="00925708" w:rsidRPr="003238AC" w:rsidRDefault="00925708" w:rsidP="003238AC">
      <w:pPr>
        <w:pStyle w:val="FootnoteText"/>
        <w:spacing w:after="120"/>
        <w:jc w:val="both"/>
        <w:rPr>
          <w:rFonts w:ascii="Arial" w:hAnsi="Arial" w:cs="Arial"/>
        </w:rPr>
      </w:pPr>
      <w:r w:rsidRPr="003238AC">
        <w:rPr>
          <w:rStyle w:val="FootnoteReference"/>
          <w:rFonts w:ascii="Arial" w:hAnsi="Arial" w:cs="Arial"/>
        </w:rPr>
        <w:footnoteRef/>
      </w:r>
      <w:r w:rsidRPr="003238AC">
        <w:rPr>
          <w:rFonts w:ascii="Arial" w:hAnsi="Arial" w:cs="Arial"/>
        </w:rPr>
        <w:t xml:space="preserve"> </w:t>
      </w:r>
      <w:r w:rsidRPr="003238AC">
        <w:rPr>
          <w:rFonts w:ascii="Arial" w:hAnsi="Arial" w:cs="Arial"/>
          <w:lang w:val="en-GB"/>
        </w:rPr>
        <w:t xml:space="preserve">In </w:t>
      </w:r>
      <w:r w:rsidRPr="003238AC">
        <w:rPr>
          <w:rFonts w:ascii="Arial" w:hAnsi="Arial" w:cs="Arial"/>
          <w:bCs/>
          <w:i/>
          <w:iCs/>
        </w:rPr>
        <w:t xml:space="preserve">Lewis Group Ltd v Woollam &amp; Others </w:t>
      </w:r>
      <w:r w:rsidRPr="003238AC">
        <w:rPr>
          <w:rFonts w:ascii="Arial" w:hAnsi="Arial" w:cs="Arial"/>
        </w:rPr>
        <w:t xml:space="preserve">[2017] 1 All SA 192 (WCC); </w:t>
      </w:r>
      <w:r w:rsidRPr="003238AC">
        <w:rPr>
          <w:rFonts w:ascii="Arial" w:hAnsi="Arial" w:cs="Arial"/>
          <w:bCs/>
        </w:rPr>
        <w:t xml:space="preserve">2017 (2) SA 547 (C) para 30, reference is made to: </w:t>
      </w:r>
      <w:r w:rsidRPr="003238AC">
        <w:rPr>
          <w:rFonts w:ascii="Arial" w:hAnsi="Arial" w:cs="Arial"/>
          <w:i/>
        </w:rPr>
        <w:t>Wimbledon Lodge (Pty) Ltd v Gore NO and Others</w:t>
      </w:r>
      <w:r w:rsidRPr="003238AC">
        <w:rPr>
          <w:rFonts w:ascii="Arial" w:hAnsi="Arial" w:cs="Arial"/>
        </w:rPr>
        <w:t xml:space="preserve"> 2003 (5) SA 315 (SCA); [2003] 2 All SA 179 (SCA), </w:t>
      </w:r>
      <w:r w:rsidRPr="003238AC">
        <w:rPr>
          <w:rFonts w:ascii="Arial" w:hAnsi="Arial" w:cs="Arial"/>
          <w:i/>
        </w:rPr>
        <w:t>Trinity Asset Management (Pty) Ltd and Others v Investec Bank Ltd and Others</w:t>
      </w:r>
      <w:r w:rsidRPr="003238AC">
        <w:rPr>
          <w:rFonts w:ascii="Arial" w:hAnsi="Arial" w:cs="Arial"/>
        </w:rPr>
        <w:t xml:space="preserve"> 2009 (4) SA 89 (SCA); </w:t>
      </w:r>
      <w:r w:rsidRPr="003238AC">
        <w:rPr>
          <w:rFonts w:ascii="Arial" w:hAnsi="Arial" w:cs="Arial"/>
          <w:i/>
        </w:rPr>
        <w:t>Letseng Diamonds Ltd v JCI Ltd and Others</w:t>
      </w:r>
      <w:r w:rsidRPr="003238AC">
        <w:rPr>
          <w:rFonts w:ascii="Arial" w:hAnsi="Arial" w:cs="Arial"/>
        </w:rPr>
        <w:t xml:space="preserve"> 2009 (4) SA 58 (SCA); </w:t>
      </w:r>
      <w:r w:rsidRPr="003238AC">
        <w:rPr>
          <w:rFonts w:ascii="Arial" w:hAnsi="Arial" w:cs="Arial"/>
          <w:i/>
        </w:rPr>
        <w:t>Cassim and Another v Voyager Property Management and Others</w:t>
      </w:r>
      <w:r w:rsidRPr="003238AC">
        <w:rPr>
          <w:rFonts w:ascii="Arial" w:hAnsi="Arial" w:cs="Arial"/>
        </w:rPr>
        <w:t xml:space="preserve"> 2011 (6) SA 544 (SCA); </w:t>
      </w:r>
      <w:r w:rsidRPr="003238AC">
        <w:rPr>
          <w:rFonts w:ascii="Arial" w:hAnsi="Arial" w:cs="Arial"/>
          <w:i/>
        </w:rPr>
        <w:t>Communicare and Others v Khan and Another</w:t>
      </w:r>
      <w:r w:rsidRPr="003238AC">
        <w:rPr>
          <w:rFonts w:ascii="Arial" w:hAnsi="Arial" w:cs="Arial"/>
        </w:rPr>
        <w:t xml:space="preserve"> 2013 (4) SA 482 (SCA); </w:t>
      </w:r>
      <w:r w:rsidRPr="003238AC">
        <w:rPr>
          <w:rFonts w:ascii="Arial" w:hAnsi="Arial" w:cs="Arial"/>
          <w:i/>
        </w:rPr>
        <w:t>Gihwala and Others v Grancy Property Ltd and Others</w:t>
      </w:r>
      <w:r w:rsidRPr="003238AC">
        <w:rPr>
          <w:rFonts w:ascii="Arial" w:hAnsi="Arial" w:cs="Arial"/>
        </w:rPr>
        <w:t xml:space="preserve"> [2016] ZASCA 35; [2016] 2 All SA 649 (SCA) and </w:t>
      </w:r>
      <w:r w:rsidRPr="003238AC">
        <w:rPr>
          <w:rFonts w:ascii="Arial" w:hAnsi="Arial" w:cs="Arial"/>
          <w:i/>
        </w:rPr>
        <w:t>Itzikowitz v Absa Bank Ltd</w:t>
      </w:r>
      <w:r w:rsidRPr="003238AC">
        <w:rPr>
          <w:rFonts w:ascii="Arial" w:hAnsi="Arial" w:cs="Arial"/>
        </w:rPr>
        <w:t xml:space="preserve"> 2016 (4) SA 432 (SCA).  </w:t>
      </w:r>
    </w:p>
    <w:p w14:paraId="31AE8300" w14:textId="77777777" w:rsidR="00925708" w:rsidRPr="003238AC" w:rsidRDefault="00925708">
      <w:pPr>
        <w:pStyle w:val="FootnoteText"/>
        <w:rPr>
          <w:rFonts w:ascii="Arial" w:hAnsi="Arial" w:cs="Arial"/>
          <w:lang w:val="en-GB"/>
        </w:rPr>
      </w:pPr>
    </w:p>
  </w:footnote>
  <w:footnote w:id="2">
    <w:p w14:paraId="0EE472F1" w14:textId="77777777" w:rsidR="00925708" w:rsidRPr="000253BC" w:rsidRDefault="00925708" w:rsidP="006E41C7">
      <w:pPr>
        <w:pStyle w:val="Heading2"/>
        <w:shd w:val="clear" w:color="auto" w:fill="FFFFFF"/>
        <w:spacing w:before="0" w:line="240" w:lineRule="auto"/>
        <w:rPr>
          <w:rFonts w:ascii="Arial" w:hAnsi="Arial" w:cs="Arial"/>
          <w:color w:val="auto"/>
        </w:rPr>
      </w:pPr>
      <w:r w:rsidRPr="003238AC">
        <w:rPr>
          <w:rStyle w:val="FootnoteReference"/>
          <w:rFonts w:ascii="Arial" w:hAnsi="Arial" w:cs="Arial"/>
          <w:color w:val="auto"/>
          <w:sz w:val="20"/>
          <w:szCs w:val="20"/>
        </w:rPr>
        <w:footnoteRef/>
      </w:r>
      <w:r w:rsidRPr="003238AC">
        <w:rPr>
          <w:rFonts w:ascii="Arial" w:hAnsi="Arial" w:cs="Arial"/>
          <w:color w:val="auto"/>
          <w:sz w:val="20"/>
          <w:szCs w:val="20"/>
        </w:rPr>
        <w:t xml:space="preserve"> </w:t>
      </w:r>
      <w:r w:rsidRPr="003238AC">
        <w:rPr>
          <w:rFonts w:ascii="Arial" w:hAnsi="Arial" w:cs="Arial"/>
          <w:i/>
          <w:iCs/>
          <w:color w:val="auto"/>
          <w:sz w:val="20"/>
          <w:szCs w:val="20"/>
        </w:rPr>
        <w:t>Telematrix (Pty) Ltd v Advertising Standards Authority SA</w:t>
      </w:r>
      <w:r w:rsidRPr="003238AC">
        <w:rPr>
          <w:rFonts w:ascii="Arial" w:hAnsi="Arial" w:cs="Arial"/>
          <w:color w:val="auto"/>
          <w:sz w:val="20"/>
          <w:szCs w:val="20"/>
        </w:rPr>
        <w:t xml:space="preserve"> [2005] ZASCA 73; 2006 (1) SA 461 (SCA) [2006] 1 All SA 6 (SCA) para 3.</w:t>
      </w:r>
    </w:p>
  </w:footnote>
  <w:footnote w:id="3">
    <w:p w14:paraId="6D1A41A8" w14:textId="77777777" w:rsidR="00925708" w:rsidRPr="003238AC" w:rsidRDefault="00925708" w:rsidP="00E66F2B">
      <w:pPr>
        <w:pStyle w:val="FootnoteText"/>
        <w:jc w:val="both"/>
        <w:rPr>
          <w:rFonts w:ascii="Arial" w:hAnsi="Arial" w:cs="Arial"/>
        </w:rPr>
      </w:pPr>
      <w:r w:rsidRPr="003238AC">
        <w:rPr>
          <w:rStyle w:val="FootnoteReference"/>
          <w:rFonts w:ascii="Arial" w:hAnsi="Arial" w:cs="Arial"/>
        </w:rPr>
        <w:footnoteRef/>
      </w:r>
      <w:r w:rsidRPr="003238AC">
        <w:rPr>
          <w:rFonts w:ascii="Arial" w:hAnsi="Arial" w:cs="Arial"/>
        </w:rPr>
        <w:t xml:space="preserve"> </w:t>
      </w:r>
      <w:r w:rsidRPr="003238AC">
        <w:rPr>
          <w:rFonts w:ascii="Arial" w:hAnsi="Arial" w:cs="Arial"/>
          <w:i/>
          <w:iCs/>
        </w:rPr>
        <w:t>Natal Fresh Produce Growers' Association and Others v Agroserve (Pty) Ltd and Others</w:t>
      </w:r>
      <w:r w:rsidRPr="003238AC">
        <w:rPr>
          <w:rFonts w:ascii="Arial" w:hAnsi="Arial" w:cs="Arial"/>
        </w:rPr>
        <w:t xml:space="preserve"> 1990 (4) SA 749 (N) at 754J-755B; </w:t>
      </w:r>
      <w:r w:rsidRPr="003238AC">
        <w:rPr>
          <w:rFonts w:ascii="Arial" w:hAnsi="Arial" w:cs="Arial"/>
          <w:i/>
          <w:iCs/>
        </w:rPr>
        <w:t>Voget and Others v Kleynhans</w:t>
      </w:r>
      <w:r w:rsidRPr="003238AC">
        <w:rPr>
          <w:rFonts w:ascii="Arial" w:hAnsi="Arial" w:cs="Arial"/>
        </w:rPr>
        <w:t xml:space="preserve"> 2003 (2) SA 148 (C) para 9; </w:t>
      </w:r>
      <w:r w:rsidRPr="003238AC">
        <w:rPr>
          <w:rFonts w:ascii="Arial" w:hAnsi="Arial" w:cs="Arial"/>
          <w:i/>
          <w:iCs/>
        </w:rPr>
        <w:t>Trinity Asset Management (Pty) Ltd and Others v Investec Bank Limited</w:t>
      </w:r>
      <w:r w:rsidRPr="003238AC">
        <w:rPr>
          <w:rFonts w:ascii="Arial" w:hAnsi="Arial" w:cs="Arial"/>
        </w:rPr>
        <w:t xml:space="preserve"> [2008] ZASCA 158; 2009 (4) SA 89 (SCA); [2009] 2 All SA 449 (SCA) para </w:t>
      </w:r>
      <w:r>
        <w:rPr>
          <w:rFonts w:ascii="Arial" w:hAnsi="Arial" w:cs="Arial"/>
        </w:rPr>
        <w:t>55.</w:t>
      </w:r>
      <w:r w:rsidRPr="003238AC">
        <w:rPr>
          <w:rFonts w:ascii="Arial" w:hAnsi="Arial" w:cs="Arial"/>
          <w:shd w:val="clear" w:color="auto" w:fill="FFFFFF"/>
          <w:lang w:val="en-US"/>
        </w:rPr>
        <w:t xml:space="preserve"> </w:t>
      </w:r>
      <w:r w:rsidRPr="003238AC">
        <w:rPr>
          <w:rFonts w:ascii="Arial" w:hAnsi="Arial" w:cs="Arial"/>
        </w:rPr>
        <w:t xml:space="preserve"> </w:t>
      </w:r>
    </w:p>
  </w:footnote>
  <w:footnote w:id="4">
    <w:p w14:paraId="2355B1C6" w14:textId="77777777" w:rsidR="00925708" w:rsidRPr="003238AC" w:rsidRDefault="00925708" w:rsidP="003238AC">
      <w:pPr>
        <w:pStyle w:val="MEMONUMBERED"/>
        <w:kinsoku w:val="0"/>
        <w:overflowPunct w:val="0"/>
        <w:autoSpaceDE w:val="0"/>
        <w:autoSpaceDN w:val="0"/>
        <w:adjustRightInd w:val="0"/>
        <w:spacing w:before="1" w:line="240" w:lineRule="auto"/>
        <w:ind w:right="-7"/>
        <w:rPr>
          <w:rFonts w:ascii="Arial" w:hAnsi="Arial" w:cs="Arial"/>
          <w:bCs/>
        </w:rPr>
      </w:pPr>
      <w:r w:rsidRPr="003238AC">
        <w:rPr>
          <w:rStyle w:val="FootnoteReference"/>
          <w:rFonts w:ascii="Arial" w:hAnsi="Arial" w:cs="Arial"/>
          <w:sz w:val="20"/>
          <w:szCs w:val="20"/>
        </w:rPr>
        <w:footnoteRef/>
      </w:r>
      <w:r w:rsidRPr="003238AC">
        <w:rPr>
          <w:rFonts w:ascii="Arial" w:hAnsi="Arial" w:cs="Arial"/>
          <w:sz w:val="20"/>
          <w:szCs w:val="20"/>
        </w:rPr>
        <w:t xml:space="preserve"> </w:t>
      </w:r>
      <w:r w:rsidRPr="003238AC">
        <w:rPr>
          <w:rFonts w:ascii="Arial" w:hAnsi="Arial" w:cs="Arial"/>
          <w:bCs/>
          <w:sz w:val="20"/>
          <w:szCs w:val="20"/>
        </w:rPr>
        <w:t xml:space="preserve">In </w:t>
      </w:r>
      <w:r w:rsidRPr="003238AC">
        <w:rPr>
          <w:rFonts w:ascii="Arial" w:hAnsi="Arial" w:cs="Arial"/>
          <w:bCs/>
          <w:i/>
          <w:iCs/>
          <w:sz w:val="20"/>
          <w:szCs w:val="20"/>
        </w:rPr>
        <w:t>TWK Agriculture Ltd v NCT Forestry Co-Operative Ltd &amp; Others</w:t>
      </w:r>
      <w:r w:rsidRPr="003238AC">
        <w:rPr>
          <w:rFonts w:ascii="Arial" w:hAnsi="Arial" w:cs="Arial"/>
          <w:bCs/>
          <w:sz w:val="20"/>
          <w:szCs w:val="20"/>
        </w:rPr>
        <w:t xml:space="preserve"> 2006 (6) SA 20 (N) the common law derivative action was extended in respect of co-operatives. It was there decided that </w:t>
      </w:r>
      <w:r w:rsidRPr="003238AC">
        <w:rPr>
          <w:rFonts w:ascii="Arial" w:hAnsi="Arial" w:cs="Arial"/>
          <w:bCs/>
          <w:sz w:val="20"/>
          <w:szCs w:val="20"/>
          <w:shd w:val="clear" w:color="auto" w:fill="FFFFFF"/>
        </w:rPr>
        <w:t>the common law principles of minority protection in companies are applicable to co-operatives, and that, accordingly, a common derivative action is available to a member of a co-operative.</w:t>
      </w:r>
      <w:r w:rsidRPr="003238AC">
        <w:rPr>
          <w:rFonts w:ascii="Arial" w:hAnsi="Arial" w:cs="Arial"/>
          <w:bCs/>
          <w:sz w:val="20"/>
          <w:szCs w:val="20"/>
          <w:u w:val="single"/>
          <w:shd w:val="clear" w:color="auto" w:fill="FFFFFF"/>
        </w:rPr>
        <w:t xml:space="preserve"> </w:t>
      </w:r>
      <w:r w:rsidRPr="003238AC">
        <w:rPr>
          <w:rFonts w:ascii="Arial" w:hAnsi="Arial" w:cs="Arial"/>
          <w:bCs/>
          <w:sz w:val="20"/>
          <w:szCs w:val="20"/>
        </w:rPr>
        <w:t xml:space="preserve"> </w:t>
      </w:r>
    </w:p>
  </w:footnote>
  <w:footnote w:id="5">
    <w:p w14:paraId="3D47D6BD" w14:textId="77777777" w:rsidR="002232FD" w:rsidRPr="00E41C62" w:rsidRDefault="002232FD" w:rsidP="002232FD">
      <w:pPr>
        <w:pStyle w:val="FootnoteText"/>
        <w:jc w:val="both"/>
        <w:rPr>
          <w:rFonts w:ascii="Arial" w:hAnsi="Arial" w:cs="Arial"/>
        </w:rPr>
      </w:pPr>
      <w:r w:rsidRPr="00E41C62">
        <w:rPr>
          <w:rStyle w:val="FootnoteReference"/>
          <w:rFonts w:ascii="Arial" w:hAnsi="Arial" w:cs="Arial"/>
        </w:rPr>
        <w:footnoteRef/>
      </w:r>
      <w:r w:rsidRPr="00E41C62">
        <w:rPr>
          <w:rFonts w:ascii="Arial" w:hAnsi="Arial" w:cs="Arial"/>
        </w:rPr>
        <w:t xml:space="preserve"> Section 165 of the Companies Act 71 of 2008 reads:  </w:t>
      </w:r>
    </w:p>
    <w:p w14:paraId="0805E8EE" w14:textId="77777777" w:rsidR="002232FD" w:rsidRPr="006E32A6" w:rsidRDefault="002232FD" w:rsidP="002232FD">
      <w:pPr>
        <w:pStyle w:val="FootnoteText"/>
        <w:jc w:val="both"/>
        <w:rPr>
          <w:lang w:val="en-GB"/>
        </w:rPr>
      </w:pPr>
      <w:r w:rsidRPr="00E41C62">
        <w:rPr>
          <w:rFonts w:ascii="Arial" w:hAnsi="Arial" w:cs="Arial"/>
        </w:rPr>
        <w:t>‘Any right at common law of a person other than a company to bring or prosecute any legal proceedings on behalf of that company is abolished, and the rights in this section are in substitution for any such abolished right.</w:t>
      </w:r>
    </w:p>
  </w:footnote>
  <w:footnote w:id="6">
    <w:p w14:paraId="2991ABCF" w14:textId="77777777" w:rsidR="00925708" w:rsidRPr="003238AC" w:rsidRDefault="00925708" w:rsidP="00017D10">
      <w:pPr>
        <w:pStyle w:val="MEMONUMBERED"/>
        <w:kinsoku w:val="0"/>
        <w:overflowPunct w:val="0"/>
        <w:autoSpaceDE w:val="0"/>
        <w:autoSpaceDN w:val="0"/>
        <w:adjustRightInd w:val="0"/>
        <w:spacing w:before="1" w:after="480" w:line="240" w:lineRule="auto"/>
        <w:ind w:right="-7"/>
        <w:rPr>
          <w:rFonts w:ascii="Arial" w:hAnsi="Arial" w:cs="Arial"/>
          <w:b/>
          <w:bCs/>
          <w:sz w:val="20"/>
          <w:szCs w:val="20"/>
        </w:rPr>
      </w:pPr>
      <w:r w:rsidRPr="003238AC">
        <w:rPr>
          <w:rStyle w:val="FootnoteReference"/>
          <w:rFonts w:ascii="Arial" w:hAnsi="Arial" w:cs="Arial"/>
          <w:sz w:val="20"/>
          <w:szCs w:val="20"/>
        </w:rPr>
        <w:footnoteRef/>
      </w:r>
      <w:r w:rsidRPr="003238AC">
        <w:rPr>
          <w:rFonts w:ascii="Arial" w:hAnsi="Arial" w:cs="Arial"/>
          <w:sz w:val="20"/>
          <w:szCs w:val="20"/>
        </w:rPr>
        <w:t xml:space="preserve"> </w:t>
      </w:r>
      <w:r w:rsidRPr="003238AC">
        <w:rPr>
          <w:rFonts w:ascii="Arial" w:hAnsi="Arial" w:cs="Arial"/>
          <w:sz w:val="20"/>
          <w:szCs w:val="20"/>
          <w:shd w:val="clear" w:color="auto" w:fill="FFFFFF"/>
        </w:rPr>
        <w:t xml:space="preserve">In terms of Schedule 3(3) of the Companies Act, close corporations will continue to exist indefinitely until they are deregistered or dissolved under the current Close Corporations Act, or converted to a company under in terms of s 1(1) of Schedule 2 of the Act. The current Close Corporations Act (with slight amendments) and the new Companies Act will exist concurrently and close corporations will be required to comply with the provisions of both Acts. </w:t>
      </w:r>
    </w:p>
    <w:p w14:paraId="5478E47D" w14:textId="77777777" w:rsidR="00925708" w:rsidRPr="003238AC" w:rsidRDefault="00925708" w:rsidP="00017D10">
      <w:pPr>
        <w:pStyle w:val="FootnoteText"/>
        <w:rPr>
          <w:rFonts w:ascii="Arial" w:hAnsi="Arial" w:cs="Arial"/>
        </w:rPr>
      </w:pPr>
    </w:p>
  </w:footnote>
  <w:footnote w:id="7">
    <w:p w14:paraId="3CE26368" w14:textId="77777777" w:rsidR="00925708" w:rsidRPr="003238AC" w:rsidRDefault="00925708" w:rsidP="003238AC">
      <w:pPr>
        <w:pStyle w:val="Heading2"/>
        <w:shd w:val="clear" w:color="auto" w:fill="FFFFFF"/>
        <w:spacing w:before="240" w:after="180" w:line="240" w:lineRule="auto"/>
        <w:rPr>
          <w:rFonts w:ascii="Arial" w:eastAsia="Times New Roman" w:hAnsi="Arial" w:cs="Arial"/>
          <w:color w:val="auto"/>
          <w:sz w:val="20"/>
          <w:szCs w:val="20"/>
          <w:lang w:eastAsia="en-ZA"/>
        </w:rPr>
      </w:pPr>
      <w:r w:rsidRPr="003238AC">
        <w:rPr>
          <w:rStyle w:val="FootnoteReference"/>
          <w:rFonts w:ascii="Arial" w:hAnsi="Arial" w:cs="Arial"/>
          <w:color w:val="auto"/>
          <w:sz w:val="20"/>
          <w:szCs w:val="20"/>
        </w:rPr>
        <w:footnoteRef/>
      </w:r>
      <w:r w:rsidRPr="003238AC">
        <w:rPr>
          <w:rFonts w:ascii="Arial" w:hAnsi="Arial" w:cs="Arial"/>
          <w:color w:val="auto"/>
          <w:sz w:val="20"/>
          <w:szCs w:val="20"/>
        </w:rPr>
        <w:t xml:space="preserve"> </w:t>
      </w:r>
      <w:r w:rsidRPr="003238AC">
        <w:rPr>
          <w:rFonts w:ascii="Arial" w:hAnsi="Arial" w:cs="Arial"/>
          <w:i/>
          <w:iCs/>
          <w:color w:val="auto"/>
          <w:sz w:val="20"/>
          <w:szCs w:val="20"/>
        </w:rPr>
        <w:t>Fairoaks Investment Holdings (Pty) Ltd. and Another v Oliver and Others</w:t>
      </w:r>
      <w:r w:rsidRPr="003238AC">
        <w:rPr>
          <w:rFonts w:ascii="Arial" w:hAnsi="Arial" w:cs="Arial"/>
          <w:color w:val="auto"/>
          <w:sz w:val="20"/>
          <w:szCs w:val="20"/>
        </w:rPr>
        <w:t xml:space="preserve"> [2008] ZASCA 41;</w:t>
      </w:r>
      <w:r w:rsidRPr="003238AC">
        <w:rPr>
          <w:rFonts w:ascii="Arial" w:eastAsia="Times New Roman" w:hAnsi="Arial" w:cs="Arial"/>
          <w:color w:val="auto"/>
          <w:sz w:val="20"/>
          <w:szCs w:val="20"/>
          <w:lang w:eastAsia="en-ZA"/>
        </w:rPr>
        <w:t xml:space="preserve"> </w:t>
      </w:r>
      <w:r w:rsidRPr="003238AC">
        <w:rPr>
          <w:rFonts w:ascii="Arial" w:hAnsi="Arial" w:cs="Arial"/>
          <w:color w:val="auto"/>
          <w:sz w:val="20"/>
          <w:szCs w:val="20"/>
        </w:rPr>
        <w:t>[2008] 3 All SA 365 (SCA); 2008 (4) SA 302 (SCA)</w:t>
      </w:r>
      <w:r w:rsidRPr="003238AC">
        <w:rPr>
          <w:rFonts w:ascii="Arial" w:eastAsia="Times New Roman" w:hAnsi="Arial" w:cs="Arial"/>
          <w:color w:val="auto"/>
          <w:sz w:val="20"/>
          <w:szCs w:val="20"/>
          <w:lang w:eastAsia="en-ZA"/>
        </w:rPr>
        <w:t xml:space="preserve"> </w:t>
      </w:r>
      <w:r w:rsidRPr="003238AC">
        <w:rPr>
          <w:rFonts w:ascii="Arial" w:hAnsi="Arial" w:cs="Arial"/>
          <w:color w:val="auto"/>
          <w:sz w:val="20"/>
          <w:szCs w:val="20"/>
        </w:rPr>
        <w:t>para 12.</w:t>
      </w:r>
    </w:p>
    <w:p w14:paraId="540C5802" w14:textId="5C013892" w:rsidR="00925708" w:rsidRPr="003238AC" w:rsidRDefault="00925708" w:rsidP="00ED0205">
      <w:pPr>
        <w:pStyle w:val="FootnoteText"/>
        <w:spacing w:after="120"/>
        <w:ind w:left="284" w:hanging="284"/>
        <w:rPr>
          <w:rFonts w:ascii="Arial" w:hAnsi="Arial" w:cs="Arial"/>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018791"/>
      <w:docPartObj>
        <w:docPartGallery w:val="Page Numbers (Top of Page)"/>
        <w:docPartUnique/>
      </w:docPartObj>
    </w:sdtPr>
    <w:sdtEndPr>
      <w:rPr>
        <w:rFonts w:ascii="Arial" w:hAnsi="Arial" w:cs="Arial"/>
        <w:noProof/>
      </w:rPr>
    </w:sdtEndPr>
    <w:sdtContent>
      <w:p w14:paraId="11BE45AE" w14:textId="5F57F8EC" w:rsidR="00925708" w:rsidRPr="007B3985" w:rsidRDefault="00925708">
        <w:pPr>
          <w:pStyle w:val="Header"/>
          <w:jc w:val="right"/>
          <w:rPr>
            <w:rFonts w:ascii="Arial" w:hAnsi="Arial" w:cs="Arial"/>
          </w:rPr>
        </w:pPr>
        <w:r w:rsidRPr="007B3985">
          <w:rPr>
            <w:rFonts w:ascii="Arial" w:hAnsi="Arial" w:cs="Arial"/>
          </w:rPr>
          <w:fldChar w:fldCharType="begin"/>
        </w:r>
        <w:r w:rsidRPr="007B3985">
          <w:rPr>
            <w:rFonts w:ascii="Arial" w:hAnsi="Arial" w:cs="Arial"/>
          </w:rPr>
          <w:instrText xml:space="preserve"> PAGE   \* MERGEFORMAT </w:instrText>
        </w:r>
        <w:r w:rsidRPr="007B3985">
          <w:rPr>
            <w:rFonts w:ascii="Arial" w:hAnsi="Arial" w:cs="Arial"/>
          </w:rPr>
          <w:fldChar w:fldCharType="separate"/>
        </w:r>
        <w:r w:rsidR="0081025F">
          <w:rPr>
            <w:rFonts w:ascii="Arial" w:hAnsi="Arial" w:cs="Arial"/>
            <w:noProof/>
          </w:rPr>
          <w:t>3</w:t>
        </w:r>
        <w:r w:rsidRPr="007B3985">
          <w:rPr>
            <w:rFonts w:ascii="Arial" w:hAnsi="Arial" w:cs="Arial"/>
            <w:noProof/>
          </w:rPr>
          <w:fldChar w:fldCharType="end"/>
        </w:r>
      </w:p>
    </w:sdtContent>
  </w:sdt>
  <w:p w14:paraId="4B83D18B" w14:textId="77777777" w:rsidR="00925708" w:rsidRDefault="009257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A26"/>
    <w:multiLevelType w:val="hybridMultilevel"/>
    <w:tmpl w:val="7F50A176"/>
    <w:lvl w:ilvl="0" w:tplc="CC36EC82">
      <w:start w:val="1"/>
      <w:numFmt w:val="decimal"/>
      <w:pStyle w:val="JUDGMENTNUMBERED"/>
      <w:lvlText w:val="[%1]"/>
      <w:lvlJc w:val="left"/>
      <w:pPr>
        <w:ind w:left="360" w:hanging="360"/>
      </w:pPr>
      <w:rPr>
        <w:rFonts w:ascii="Arial" w:hAnsi="Arial" w:cs="Arial"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1" w:tplc="E72E60BC">
      <w:start w:val="1"/>
      <w:numFmt w:val="decimal"/>
      <w:lvlText w:val="(%2)"/>
      <w:lvlJc w:val="left"/>
      <w:pPr>
        <w:ind w:left="2716" w:hanging="360"/>
      </w:pPr>
      <w:rPr>
        <w:rFonts w:cs="Times New Roman" w:hint="default"/>
      </w:rPr>
    </w:lvl>
    <w:lvl w:ilvl="2" w:tplc="12EA14DC">
      <w:start w:val="1"/>
      <w:numFmt w:val="decimal"/>
      <w:lvlText w:val="%3."/>
      <w:lvlJc w:val="left"/>
      <w:pPr>
        <w:ind w:left="4046" w:hanging="360"/>
      </w:pPr>
      <w:rPr>
        <w:rFonts w:ascii="Times New Roman" w:hAnsi="Times New Roman" w:cs="Times New Roman" w:hint="default"/>
        <w:i w:val="0"/>
        <w:strike w:val="0"/>
        <w:sz w:val="28"/>
        <w:szCs w:val="28"/>
      </w:rPr>
    </w:lvl>
    <w:lvl w:ilvl="3" w:tplc="E1B6A6B4">
      <w:start w:val="1"/>
      <w:numFmt w:val="lowerLetter"/>
      <w:lvlText w:val="(%4)"/>
      <w:lvlJc w:val="left"/>
      <w:pPr>
        <w:ind w:left="3526" w:hanging="720"/>
      </w:pPr>
      <w:rPr>
        <w:rFonts w:ascii="Arial" w:eastAsia="Times New Roman" w:hAnsi="Arial" w:cs="Arial" w:hint="default"/>
        <w:b w:val="0"/>
        <w:bCs/>
      </w:rPr>
    </w:lvl>
    <w:lvl w:ilvl="4" w:tplc="AC666328">
      <w:start w:val="1"/>
      <w:numFmt w:val="lowerLetter"/>
      <w:lvlText w:val="(%5)"/>
      <w:lvlJc w:val="left"/>
      <w:pPr>
        <w:ind w:left="4876" w:hanging="360"/>
      </w:pPr>
      <w:rPr>
        <w:rFonts w:cs="Times New Roman" w:hint="default"/>
      </w:rPr>
    </w:lvl>
    <w:lvl w:ilvl="5" w:tplc="0409001B">
      <w:start w:val="1"/>
      <w:numFmt w:val="lowerRoman"/>
      <w:lvlText w:val="%6."/>
      <w:lvlJc w:val="right"/>
      <w:pPr>
        <w:ind w:left="5596" w:hanging="180"/>
      </w:pPr>
      <w:rPr>
        <w:rFonts w:cs="Times New Roman"/>
      </w:rPr>
    </w:lvl>
    <w:lvl w:ilvl="6" w:tplc="0409000F" w:tentative="1">
      <w:start w:val="1"/>
      <w:numFmt w:val="decimal"/>
      <w:lvlText w:val="%7."/>
      <w:lvlJc w:val="left"/>
      <w:pPr>
        <w:ind w:left="6316" w:hanging="360"/>
      </w:pPr>
      <w:rPr>
        <w:rFonts w:cs="Times New Roman"/>
      </w:rPr>
    </w:lvl>
    <w:lvl w:ilvl="7" w:tplc="04090019" w:tentative="1">
      <w:start w:val="1"/>
      <w:numFmt w:val="lowerLetter"/>
      <w:lvlText w:val="%8."/>
      <w:lvlJc w:val="left"/>
      <w:pPr>
        <w:ind w:left="7036" w:hanging="360"/>
      </w:pPr>
      <w:rPr>
        <w:rFonts w:cs="Times New Roman"/>
      </w:rPr>
    </w:lvl>
    <w:lvl w:ilvl="8" w:tplc="0409001B" w:tentative="1">
      <w:start w:val="1"/>
      <w:numFmt w:val="lowerRoman"/>
      <w:lvlText w:val="%9."/>
      <w:lvlJc w:val="right"/>
      <w:pPr>
        <w:ind w:left="7756" w:hanging="180"/>
      </w:pPr>
      <w:rPr>
        <w:rFonts w:cs="Times New Roman"/>
      </w:rPr>
    </w:lvl>
  </w:abstractNum>
  <w:abstractNum w:abstractNumId="1" w15:restartNumberingAfterBreak="0">
    <w:nsid w:val="0C2636A3"/>
    <w:multiLevelType w:val="hybridMultilevel"/>
    <w:tmpl w:val="EF82129C"/>
    <w:lvl w:ilvl="0" w:tplc="8898DA4A">
      <w:start w:val="1"/>
      <w:numFmt w:val="decimal"/>
      <w:lvlText w:val="%1"/>
      <w:lvlJc w:val="left"/>
      <w:pPr>
        <w:ind w:left="2264" w:hanging="420"/>
      </w:pPr>
      <w:rPr>
        <w:rFonts w:hint="default"/>
      </w:rPr>
    </w:lvl>
    <w:lvl w:ilvl="1" w:tplc="1C090019" w:tentative="1">
      <w:start w:val="1"/>
      <w:numFmt w:val="lowerLetter"/>
      <w:lvlText w:val="%2."/>
      <w:lvlJc w:val="left"/>
      <w:pPr>
        <w:ind w:left="2924" w:hanging="360"/>
      </w:pPr>
    </w:lvl>
    <w:lvl w:ilvl="2" w:tplc="1C09001B" w:tentative="1">
      <w:start w:val="1"/>
      <w:numFmt w:val="lowerRoman"/>
      <w:lvlText w:val="%3."/>
      <w:lvlJc w:val="right"/>
      <w:pPr>
        <w:ind w:left="3644" w:hanging="180"/>
      </w:pPr>
    </w:lvl>
    <w:lvl w:ilvl="3" w:tplc="1C09000F" w:tentative="1">
      <w:start w:val="1"/>
      <w:numFmt w:val="decimal"/>
      <w:lvlText w:val="%4."/>
      <w:lvlJc w:val="left"/>
      <w:pPr>
        <w:ind w:left="4364" w:hanging="360"/>
      </w:pPr>
    </w:lvl>
    <w:lvl w:ilvl="4" w:tplc="1C090019" w:tentative="1">
      <w:start w:val="1"/>
      <w:numFmt w:val="lowerLetter"/>
      <w:lvlText w:val="%5."/>
      <w:lvlJc w:val="left"/>
      <w:pPr>
        <w:ind w:left="5084" w:hanging="360"/>
      </w:pPr>
    </w:lvl>
    <w:lvl w:ilvl="5" w:tplc="1C09001B" w:tentative="1">
      <w:start w:val="1"/>
      <w:numFmt w:val="lowerRoman"/>
      <w:lvlText w:val="%6."/>
      <w:lvlJc w:val="right"/>
      <w:pPr>
        <w:ind w:left="5804" w:hanging="180"/>
      </w:pPr>
    </w:lvl>
    <w:lvl w:ilvl="6" w:tplc="1C09000F" w:tentative="1">
      <w:start w:val="1"/>
      <w:numFmt w:val="decimal"/>
      <w:lvlText w:val="%7."/>
      <w:lvlJc w:val="left"/>
      <w:pPr>
        <w:ind w:left="6524" w:hanging="360"/>
      </w:pPr>
    </w:lvl>
    <w:lvl w:ilvl="7" w:tplc="1C090019" w:tentative="1">
      <w:start w:val="1"/>
      <w:numFmt w:val="lowerLetter"/>
      <w:lvlText w:val="%8."/>
      <w:lvlJc w:val="left"/>
      <w:pPr>
        <w:ind w:left="7244" w:hanging="360"/>
      </w:pPr>
    </w:lvl>
    <w:lvl w:ilvl="8" w:tplc="1C09001B" w:tentative="1">
      <w:start w:val="1"/>
      <w:numFmt w:val="lowerRoman"/>
      <w:lvlText w:val="%9."/>
      <w:lvlJc w:val="right"/>
      <w:pPr>
        <w:ind w:left="79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D10"/>
    <w:rsid w:val="000044E5"/>
    <w:rsid w:val="00007007"/>
    <w:rsid w:val="00017D10"/>
    <w:rsid w:val="00023988"/>
    <w:rsid w:val="000253BC"/>
    <w:rsid w:val="00026BD2"/>
    <w:rsid w:val="00063780"/>
    <w:rsid w:val="000837CE"/>
    <w:rsid w:val="00091A62"/>
    <w:rsid w:val="00096ADF"/>
    <w:rsid w:val="000D164A"/>
    <w:rsid w:val="000D2086"/>
    <w:rsid w:val="000E27B1"/>
    <w:rsid w:val="000F0DDA"/>
    <w:rsid w:val="00125DE9"/>
    <w:rsid w:val="001476C7"/>
    <w:rsid w:val="00157AFF"/>
    <w:rsid w:val="00165E99"/>
    <w:rsid w:val="00180051"/>
    <w:rsid w:val="00197A42"/>
    <w:rsid w:val="001F769E"/>
    <w:rsid w:val="002232FD"/>
    <w:rsid w:val="00226C78"/>
    <w:rsid w:val="00227363"/>
    <w:rsid w:val="002333E2"/>
    <w:rsid w:val="00260864"/>
    <w:rsid w:val="00260BB8"/>
    <w:rsid w:val="002626A5"/>
    <w:rsid w:val="002716B0"/>
    <w:rsid w:val="0027462E"/>
    <w:rsid w:val="00297A38"/>
    <w:rsid w:val="002A36DF"/>
    <w:rsid w:val="002B125A"/>
    <w:rsid w:val="002C6715"/>
    <w:rsid w:val="002D1FC5"/>
    <w:rsid w:val="002D50B8"/>
    <w:rsid w:val="002E11A6"/>
    <w:rsid w:val="002E4BA9"/>
    <w:rsid w:val="002F02B7"/>
    <w:rsid w:val="002F6A75"/>
    <w:rsid w:val="00304076"/>
    <w:rsid w:val="00316206"/>
    <w:rsid w:val="003238AC"/>
    <w:rsid w:val="0033077F"/>
    <w:rsid w:val="00343FE3"/>
    <w:rsid w:val="0037268F"/>
    <w:rsid w:val="00391C4C"/>
    <w:rsid w:val="00394696"/>
    <w:rsid w:val="003A504E"/>
    <w:rsid w:val="003E21AC"/>
    <w:rsid w:val="00414329"/>
    <w:rsid w:val="004144BD"/>
    <w:rsid w:val="00432A9D"/>
    <w:rsid w:val="0044437B"/>
    <w:rsid w:val="00453C03"/>
    <w:rsid w:val="00455D88"/>
    <w:rsid w:val="00456DE7"/>
    <w:rsid w:val="00462A4F"/>
    <w:rsid w:val="00475D4F"/>
    <w:rsid w:val="004760B6"/>
    <w:rsid w:val="004818F2"/>
    <w:rsid w:val="004B1CBA"/>
    <w:rsid w:val="004D4648"/>
    <w:rsid w:val="004E02D2"/>
    <w:rsid w:val="004E6DD2"/>
    <w:rsid w:val="005179E2"/>
    <w:rsid w:val="005561BC"/>
    <w:rsid w:val="00563D51"/>
    <w:rsid w:val="00573CE9"/>
    <w:rsid w:val="005A67BC"/>
    <w:rsid w:val="005B0B30"/>
    <w:rsid w:val="005E0AC9"/>
    <w:rsid w:val="005E22D4"/>
    <w:rsid w:val="00600F33"/>
    <w:rsid w:val="00603A13"/>
    <w:rsid w:val="006228ED"/>
    <w:rsid w:val="00624D22"/>
    <w:rsid w:val="00656620"/>
    <w:rsid w:val="00665DEF"/>
    <w:rsid w:val="00681674"/>
    <w:rsid w:val="006A57BE"/>
    <w:rsid w:val="006C4B9B"/>
    <w:rsid w:val="006D0139"/>
    <w:rsid w:val="006D0332"/>
    <w:rsid w:val="006E308D"/>
    <w:rsid w:val="006E41C7"/>
    <w:rsid w:val="006F28A3"/>
    <w:rsid w:val="006F602D"/>
    <w:rsid w:val="00703825"/>
    <w:rsid w:val="00745DED"/>
    <w:rsid w:val="00756521"/>
    <w:rsid w:val="00764468"/>
    <w:rsid w:val="0076654A"/>
    <w:rsid w:val="007A754F"/>
    <w:rsid w:val="007A7C2F"/>
    <w:rsid w:val="007B122B"/>
    <w:rsid w:val="007B3985"/>
    <w:rsid w:val="007B4BF5"/>
    <w:rsid w:val="007B70DC"/>
    <w:rsid w:val="007C2A0D"/>
    <w:rsid w:val="007C501E"/>
    <w:rsid w:val="007F4C00"/>
    <w:rsid w:val="0081025F"/>
    <w:rsid w:val="00814CFF"/>
    <w:rsid w:val="00840B4E"/>
    <w:rsid w:val="00855E34"/>
    <w:rsid w:val="00855FDF"/>
    <w:rsid w:val="008863E0"/>
    <w:rsid w:val="008A0CD1"/>
    <w:rsid w:val="008B7F23"/>
    <w:rsid w:val="0091083B"/>
    <w:rsid w:val="00916862"/>
    <w:rsid w:val="00925708"/>
    <w:rsid w:val="00926F1C"/>
    <w:rsid w:val="00927600"/>
    <w:rsid w:val="0093204C"/>
    <w:rsid w:val="00942770"/>
    <w:rsid w:val="0094507C"/>
    <w:rsid w:val="00951BC0"/>
    <w:rsid w:val="00954138"/>
    <w:rsid w:val="0097465E"/>
    <w:rsid w:val="00992AD5"/>
    <w:rsid w:val="00994960"/>
    <w:rsid w:val="00997574"/>
    <w:rsid w:val="009A6974"/>
    <w:rsid w:val="009B24D8"/>
    <w:rsid w:val="009D5231"/>
    <w:rsid w:val="00A00EE4"/>
    <w:rsid w:val="00A25A27"/>
    <w:rsid w:val="00A51F8D"/>
    <w:rsid w:val="00A528D6"/>
    <w:rsid w:val="00A55157"/>
    <w:rsid w:val="00A56D09"/>
    <w:rsid w:val="00A60D23"/>
    <w:rsid w:val="00AA113E"/>
    <w:rsid w:val="00AA363B"/>
    <w:rsid w:val="00AA6B46"/>
    <w:rsid w:val="00AC3B3E"/>
    <w:rsid w:val="00AD34CF"/>
    <w:rsid w:val="00AE0E00"/>
    <w:rsid w:val="00AF4FFD"/>
    <w:rsid w:val="00AF6E68"/>
    <w:rsid w:val="00B024EF"/>
    <w:rsid w:val="00B04FF9"/>
    <w:rsid w:val="00B07D16"/>
    <w:rsid w:val="00B12358"/>
    <w:rsid w:val="00B23F29"/>
    <w:rsid w:val="00B35377"/>
    <w:rsid w:val="00B35D8F"/>
    <w:rsid w:val="00B6595E"/>
    <w:rsid w:val="00B85AE1"/>
    <w:rsid w:val="00B90FE3"/>
    <w:rsid w:val="00B94E28"/>
    <w:rsid w:val="00BA73C5"/>
    <w:rsid w:val="00BC0166"/>
    <w:rsid w:val="00BF42F2"/>
    <w:rsid w:val="00C0210B"/>
    <w:rsid w:val="00C043F5"/>
    <w:rsid w:val="00C23914"/>
    <w:rsid w:val="00C32325"/>
    <w:rsid w:val="00C462D4"/>
    <w:rsid w:val="00C568AC"/>
    <w:rsid w:val="00C67BDD"/>
    <w:rsid w:val="00C80E49"/>
    <w:rsid w:val="00C860EA"/>
    <w:rsid w:val="00C907B6"/>
    <w:rsid w:val="00CA5E89"/>
    <w:rsid w:val="00CB555A"/>
    <w:rsid w:val="00CC5563"/>
    <w:rsid w:val="00CD55A1"/>
    <w:rsid w:val="00CF62C8"/>
    <w:rsid w:val="00D01C7C"/>
    <w:rsid w:val="00D053AF"/>
    <w:rsid w:val="00D07A83"/>
    <w:rsid w:val="00D146F3"/>
    <w:rsid w:val="00D1705B"/>
    <w:rsid w:val="00D51E78"/>
    <w:rsid w:val="00D7128D"/>
    <w:rsid w:val="00D76D16"/>
    <w:rsid w:val="00D92D26"/>
    <w:rsid w:val="00DC2034"/>
    <w:rsid w:val="00DD1DB7"/>
    <w:rsid w:val="00DD5AC8"/>
    <w:rsid w:val="00DE286F"/>
    <w:rsid w:val="00E03515"/>
    <w:rsid w:val="00E164BD"/>
    <w:rsid w:val="00E416F7"/>
    <w:rsid w:val="00E41C62"/>
    <w:rsid w:val="00E500A8"/>
    <w:rsid w:val="00E51BF3"/>
    <w:rsid w:val="00E6438C"/>
    <w:rsid w:val="00E667A5"/>
    <w:rsid w:val="00E66F2B"/>
    <w:rsid w:val="00E670F8"/>
    <w:rsid w:val="00E861A2"/>
    <w:rsid w:val="00E921CE"/>
    <w:rsid w:val="00E96492"/>
    <w:rsid w:val="00EC6775"/>
    <w:rsid w:val="00ED0205"/>
    <w:rsid w:val="00EE3243"/>
    <w:rsid w:val="00EE4581"/>
    <w:rsid w:val="00EF31AD"/>
    <w:rsid w:val="00F1305D"/>
    <w:rsid w:val="00F26DD9"/>
    <w:rsid w:val="00F33784"/>
    <w:rsid w:val="00F41290"/>
    <w:rsid w:val="00F45956"/>
    <w:rsid w:val="00F51654"/>
    <w:rsid w:val="00F6045C"/>
    <w:rsid w:val="00FE0D17"/>
    <w:rsid w:val="00FE26B6"/>
    <w:rsid w:val="00FF5B9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0A02F"/>
  <w15:chartTrackingRefBased/>
  <w15:docId w15:val="{87922FCA-E6AE-4642-9948-2388D8D8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D10"/>
  </w:style>
  <w:style w:type="paragraph" w:styleId="Heading2">
    <w:name w:val="heading 2"/>
    <w:basedOn w:val="Normal"/>
    <w:next w:val="Normal"/>
    <w:link w:val="Heading2Char"/>
    <w:uiPriority w:val="9"/>
    <w:unhideWhenUsed/>
    <w:qFormat/>
    <w:rsid w:val="00E51B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next w:val="Normal"/>
    <w:qFormat/>
    <w:rsid w:val="00017D10"/>
    <w:pPr>
      <w:numPr>
        <w:numId w:val="1"/>
      </w:numPr>
      <w:spacing w:after="0" w:line="360" w:lineRule="auto"/>
      <w:jc w:val="both"/>
    </w:pPr>
    <w:rPr>
      <w:rFonts w:ascii="Times New Roman" w:eastAsiaTheme="minorEastAsia" w:hAnsi="Times New Roman" w:cs="Times New Roman"/>
      <w:sz w:val="26"/>
    </w:rPr>
  </w:style>
  <w:style w:type="paragraph" w:customStyle="1" w:styleId="MEMONUMBERED">
    <w:name w:val="MEMO NUMBERED"/>
    <w:basedOn w:val="Normal"/>
    <w:link w:val="MEMONUMBEREDChar"/>
    <w:qFormat/>
    <w:rsid w:val="00017D10"/>
    <w:pPr>
      <w:spacing w:after="0" w:line="480" w:lineRule="auto"/>
      <w:jc w:val="both"/>
    </w:pPr>
    <w:rPr>
      <w:rFonts w:ascii="Times New Roman" w:eastAsiaTheme="minorEastAsia" w:hAnsi="Times New Roman" w:cs="Times New Roman"/>
      <w:sz w:val="24"/>
      <w:szCs w:val="24"/>
      <w:lang w:val="en-US" w:eastAsia="en-ZA"/>
    </w:rPr>
  </w:style>
  <w:style w:type="character" w:customStyle="1" w:styleId="MEMONUMBEREDChar">
    <w:name w:val="MEMO NUMBERED Char"/>
    <w:link w:val="MEMONUMBERED"/>
    <w:locked/>
    <w:rsid w:val="00017D10"/>
    <w:rPr>
      <w:rFonts w:ascii="Times New Roman" w:eastAsiaTheme="minorEastAsia" w:hAnsi="Times New Roman" w:cs="Times New Roman"/>
      <w:sz w:val="24"/>
      <w:szCs w:val="24"/>
      <w:lang w:val="en-US" w:eastAsia="en-ZA"/>
    </w:rPr>
  </w:style>
  <w:style w:type="paragraph" w:styleId="FootnoteText">
    <w:name w:val="footnote text"/>
    <w:basedOn w:val="Normal"/>
    <w:link w:val="FootnoteTextChar"/>
    <w:unhideWhenUsed/>
    <w:rsid w:val="00017D10"/>
    <w:pPr>
      <w:spacing w:after="0" w:line="240" w:lineRule="auto"/>
    </w:pPr>
    <w:rPr>
      <w:sz w:val="20"/>
      <w:szCs w:val="20"/>
    </w:rPr>
  </w:style>
  <w:style w:type="character" w:customStyle="1" w:styleId="FootnoteTextChar">
    <w:name w:val="Footnote Text Char"/>
    <w:basedOn w:val="DefaultParagraphFont"/>
    <w:link w:val="FootnoteText"/>
    <w:rsid w:val="00017D10"/>
    <w:rPr>
      <w:sz w:val="20"/>
      <w:szCs w:val="20"/>
    </w:rPr>
  </w:style>
  <w:style w:type="character" w:styleId="FootnoteReference">
    <w:name w:val="footnote reference"/>
    <w:basedOn w:val="DefaultParagraphFont"/>
    <w:unhideWhenUsed/>
    <w:rsid w:val="00017D10"/>
    <w:rPr>
      <w:vertAlign w:val="superscript"/>
    </w:rPr>
  </w:style>
  <w:style w:type="paragraph" w:styleId="ListParagraph">
    <w:name w:val="List Paragraph"/>
    <w:basedOn w:val="Normal"/>
    <w:uiPriority w:val="34"/>
    <w:qFormat/>
    <w:rsid w:val="00B07D16"/>
    <w:pPr>
      <w:ind w:left="720"/>
      <w:contextualSpacing/>
    </w:pPr>
  </w:style>
  <w:style w:type="paragraph" w:styleId="Header">
    <w:name w:val="header"/>
    <w:basedOn w:val="Normal"/>
    <w:link w:val="HeaderChar"/>
    <w:uiPriority w:val="99"/>
    <w:unhideWhenUsed/>
    <w:rsid w:val="0014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6C7"/>
  </w:style>
  <w:style w:type="paragraph" w:styleId="Footer">
    <w:name w:val="footer"/>
    <w:basedOn w:val="Normal"/>
    <w:link w:val="FooterChar"/>
    <w:uiPriority w:val="99"/>
    <w:unhideWhenUsed/>
    <w:rsid w:val="0014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6C7"/>
  </w:style>
  <w:style w:type="paragraph" w:styleId="Revision">
    <w:name w:val="Revision"/>
    <w:hidden/>
    <w:uiPriority w:val="99"/>
    <w:semiHidden/>
    <w:rsid w:val="00226C78"/>
    <w:pPr>
      <w:spacing w:after="0" w:line="240" w:lineRule="auto"/>
    </w:pPr>
  </w:style>
  <w:style w:type="character" w:customStyle="1" w:styleId="Heading2Char">
    <w:name w:val="Heading 2 Char"/>
    <w:basedOn w:val="DefaultParagraphFont"/>
    <w:link w:val="Heading2"/>
    <w:uiPriority w:val="9"/>
    <w:rsid w:val="00E51BF3"/>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B24D8"/>
    <w:rPr>
      <w:sz w:val="16"/>
      <w:szCs w:val="16"/>
    </w:rPr>
  </w:style>
  <w:style w:type="paragraph" w:styleId="CommentText">
    <w:name w:val="annotation text"/>
    <w:basedOn w:val="Normal"/>
    <w:link w:val="CommentTextChar"/>
    <w:uiPriority w:val="99"/>
    <w:semiHidden/>
    <w:unhideWhenUsed/>
    <w:rsid w:val="009B24D8"/>
    <w:pPr>
      <w:spacing w:line="240" w:lineRule="auto"/>
    </w:pPr>
    <w:rPr>
      <w:sz w:val="20"/>
      <w:szCs w:val="20"/>
    </w:rPr>
  </w:style>
  <w:style w:type="character" w:customStyle="1" w:styleId="CommentTextChar">
    <w:name w:val="Comment Text Char"/>
    <w:basedOn w:val="DefaultParagraphFont"/>
    <w:link w:val="CommentText"/>
    <w:uiPriority w:val="99"/>
    <w:semiHidden/>
    <w:rsid w:val="009B24D8"/>
    <w:rPr>
      <w:sz w:val="20"/>
      <w:szCs w:val="20"/>
    </w:rPr>
  </w:style>
  <w:style w:type="paragraph" w:styleId="CommentSubject">
    <w:name w:val="annotation subject"/>
    <w:basedOn w:val="CommentText"/>
    <w:next w:val="CommentText"/>
    <w:link w:val="CommentSubjectChar"/>
    <w:uiPriority w:val="99"/>
    <w:semiHidden/>
    <w:unhideWhenUsed/>
    <w:rsid w:val="009B24D8"/>
    <w:rPr>
      <w:b/>
      <w:bCs/>
    </w:rPr>
  </w:style>
  <w:style w:type="character" w:customStyle="1" w:styleId="CommentSubjectChar">
    <w:name w:val="Comment Subject Char"/>
    <w:basedOn w:val="CommentTextChar"/>
    <w:link w:val="CommentSubject"/>
    <w:uiPriority w:val="99"/>
    <w:semiHidden/>
    <w:rsid w:val="009B24D8"/>
    <w:rPr>
      <w:b/>
      <w:bCs/>
      <w:sz w:val="20"/>
      <w:szCs w:val="20"/>
    </w:rPr>
  </w:style>
  <w:style w:type="paragraph" w:styleId="BalloonText">
    <w:name w:val="Balloon Text"/>
    <w:basedOn w:val="Normal"/>
    <w:link w:val="BalloonTextChar"/>
    <w:uiPriority w:val="99"/>
    <w:semiHidden/>
    <w:unhideWhenUsed/>
    <w:rsid w:val="009B2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4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936661">
      <w:bodyDiv w:val="1"/>
      <w:marLeft w:val="0"/>
      <w:marRight w:val="0"/>
      <w:marTop w:val="0"/>
      <w:marBottom w:val="0"/>
      <w:divBdr>
        <w:top w:val="none" w:sz="0" w:space="0" w:color="auto"/>
        <w:left w:val="none" w:sz="0" w:space="0" w:color="auto"/>
        <w:bottom w:val="none" w:sz="0" w:space="0" w:color="auto"/>
        <w:right w:val="none" w:sz="0" w:space="0" w:color="auto"/>
      </w:divBdr>
    </w:div>
    <w:div w:id="1269195631">
      <w:bodyDiv w:val="1"/>
      <w:marLeft w:val="0"/>
      <w:marRight w:val="0"/>
      <w:marTop w:val="0"/>
      <w:marBottom w:val="0"/>
      <w:divBdr>
        <w:top w:val="none" w:sz="0" w:space="0" w:color="auto"/>
        <w:left w:val="none" w:sz="0" w:space="0" w:color="auto"/>
        <w:bottom w:val="none" w:sz="0" w:space="0" w:color="auto"/>
        <w:right w:val="none" w:sz="0" w:space="0" w:color="auto"/>
      </w:divBdr>
    </w:div>
    <w:div w:id="1639265706">
      <w:bodyDiv w:val="1"/>
      <w:marLeft w:val="0"/>
      <w:marRight w:val="0"/>
      <w:marTop w:val="0"/>
      <w:marBottom w:val="0"/>
      <w:divBdr>
        <w:top w:val="none" w:sz="0" w:space="0" w:color="auto"/>
        <w:left w:val="none" w:sz="0" w:space="0" w:color="auto"/>
        <w:bottom w:val="none" w:sz="0" w:space="0" w:color="auto"/>
        <w:right w:val="none" w:sz="0" w:space="0" w:color="auto"/>
      </w:divBdr>
    </w:div>
    <w:div w:id="179116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F9D7E-E74D-4EDD-96E6-808595FA7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4639</Words>
  <Characters>26446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T Makgoka</dc:creator>
  <cp:keywords/>
  <dc:description/>
  <cp:lastModifiedBy>Mary Bruce</cp:lastModifiedBy>
  <cp:revision>2</cp:revision>
  <cp:lastPrinted>2022-01-26T12:55:00Z</cp:lastPrinted>
  <dcterms:created xsi:type="dcterms:W3CDTF">2022-01-27T08:46:00Z</dcterms:created>
  <dcterms:modified xsi:type="dcterms:W3CDTF">2022-01-27T08:46:00Z</dcterms:modified>
</cp:coreProperties>
</file>