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7CE3B5B4" w:rsidR="00ED4C63" w:rsidRPr="00055B58" w:rsidRDefault="00ED4C63" w:rsidP="00BA0036">
      <w:pPr>
        <w:spacing w:line="360" w:lineRule="auto"/>
        <w:rPr>
          <w:rFonts w:ascii="Arial" w:hAnsi="Arial" w:cs="Arial"/>
          <w:bCs/>
          <w:sz w:val="28"/>
          <w:szCs w:val="28"/>
        </w:rPr>
      </w:pPr>
    </w:p>
    <w:p w14:paraId="66293B04" w14:textId="695B3549" w:rsidR="00ED4C63" w:rsidRPr="00055B58" w:rsidRDefault="00ED4C63" w:rsidP="00BA0036">
      <w:pPr>
        <w:spacing w:line="360" w:lineRule="auto"/>
        <w:jc w:val="center"/>
        <w:rPr>
          <w:rFonts w:ascii="Arial" w:hAnsi="Arial" w:cs="Arial"/>
          <w:b/>
          <w:bCs/>
          <w:sz w:val="28"/>
          <w:szCs w:val="28"/>
        </w:rPr>
      </w:pPr>
    </w:p>
    <w:p w14:paraId="56C9F76C" w14:textId="77777777" w:rsidR="00ED4C63" w:rsidRPr="00055B58" w:rsidRDefault="00ED4C63" w:rsidP="00BA0036">
      <w:pPr>
        <w:spacing w:line="360" w:lineRule="auto"/>
        <w:jc w:val="center"/>
        <w:rPr>
          <w:rFonts w:ascii="Arial" w:hAnsi="Arial" w:cs="Arial"/>
          <w:b/>
          <w:bCs/>
          <w:sz w:val="28"/>
          <w:szCs w:val="28"/>
        </w:rPr>
      </w:pPr>
    </w:p>
    <w:p w14:paraId="1D25C473" w14:textId="33E5AE34" w:rsidR="00ED4C63" w:rsidRPr="00055B58" w:rsidRDefault="00ED4C63" w:rsidP="00BA0036">
      <w:pPr>
        <w:spacing w:line="360" w:lineRule="auto"/>
        <w:jc w:val="center"/>
        <w:rPr>
          <w:rFonts w:ascii="Arial" w:hAnsi="Arial" w:cs="Arial"/>
          <w:b/>
          <w:bCs/>
          <w:sz w:val="28"/>
          <w:szCs w:val="28"/>
        </w:rPr>
      </w:pPr>
    </w:p>
    <w:p w14:paraId="4CEE3DED" w14:textId="46BEA84F" w:rsidR="00093030" w:rsidRPr="00055B58" w:rsidRDefault="00DF5665" w:rsidP="00BA0036">
      <w:pPr>
        <w:spacing w:line="360" w:lineRule="auto"/>
        <w:jc w:val="center"/>
        <w:rPr>
          <w:rFonts w:ascii="Arial" w:hAnsi="Arial" w:cs="Arial"/>
          <w:b/>
          <w:bCs/>
          <w:sz w:val="28"/>
          <w:szCs w:val="28"/>
        </w:rPr>
      </w:pPr>
      <w:r w:rsidRPr="00055B58">
        <w:rPr>
          <w:rFonts w:ascii="Arial" w:hAnsi="Arial" w:cs="Arial"/>
          <w:noProof/>
          <w:lang w:val="en-US"/>
        </w:rPr>
        <w:drawing>
          <wp:anchor distT="0" distB="0" distL="114300" distR="114300" simplePos="0" relativeHeight="251666432" behindDoc="0" locked="0" layoutInCell="1" allowOverlap="1" wp14:anchorId="3BC73704" wp14:editId="6E7F98FB">
            <wp:simplePos x="0" y="0"/>
            <wp:positionH relativeFrom="margin">
              <wp:posOffset>2495550</wp:posOffset>
            </wp:positionH>
            <wp:positionV relativeFrom="paragraph">
              <wp:posOffset>-817880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ACA983E" w14:textId="403C187B" w:rsidR="00093030" w:rsidRPr="00055B58" w:rsidRDefault="00093030" w:rsidP="00BA0036">
      <w:pPr>
        <w:spacing w:line="360" w:lineRule="auto"/>
        <w:jc w:val="center"/>
        <w:rPr>
          <w:rFonts w:ascii="Arial" w:hAnsi="Arial" w:cs="Arial"/>
          <w:b/>
          <w:bCs/>
        </w:rPr>
      </w:pPr>
      <w:r w:rsidRPr="00055B58">
        <w:rPr>
          <w:rFonts w:ascii="Arial" w:hAnsi="Arial" w:cs="Arial"/>
          <w:b/>
          <w:bCs/>
        </w:rPr>
        <w:t>THE SUPREME</w:t>
      </w:r>
      <w:r w:rsidR="002F610C" w:rsidRPr="00055B58">
        <w:rPr>
          <w:rFonts w:ascii="Arial" w:hAnsi="Arial" w:cs="Arial"/>
          <w:b/>
          <w:bCs/>
        </w:rPr>
        <w:t xml:space="preserve"> COURT OF APPEAL OF SOUTH AFRICA</w:t>
      </w:r>
    </w:p>
    <w:p w14:paraId="793F78FB" w14:textId="77777777" w:rsidR="00093030" w:rsidRPr="00055B58" w:rsidRDefault="00093030" w:rsidP="00BA0036">
      <w:pPr>
        <w:pStyle w:val="Heading3"/>
        <w:jc w:val="center"/>
        <w:rPr>
          <w:b/>
          <w:i w:val="0"/>
          <w:szCs w:val="28"/>
        </w:rPr>
      </w:pPr>
      <w:r w:rsidRPr="00055B58">
        <w:rPr>
          <w:b/>
          <w:i w:val="0"/>
          <w:sz w:val="24"/>
        </w:rPr>
        <w:t>JUDGMENT</w:t>
      </w:r>
    </w:p>
    <w:p w14:paraId="13113C22" w14:textId="77777777" w:rsidR="00093030" w:rsidRPr="00055B58" w:rsidRDefault="00093030" w:rsidP="00BA0036">
      <w:pPr>
        <w:spacing w:line="360" w:lineRule="auto"/>
        <w:jc w:val="center"/>
        <w:rPr>
          <w:rFonts w:ascii="Arial" w:hAnsi="Arial" w:cs="Arial"/>
          <w:b/>
          <w:bCs/>
        </w:rPr>
      </w:pPr>
      <w:r w:rsidRPr="00055B58">
        <w:rPr>
          <w:rFonts w:ascii="Arial" w:hAnsi="Arial" w:cs="Arial"/>
        </w:rPr>
        <w:tab/>
      </w:r>
    </w:p>
    <w:p w14:paraId="173C9D13" w14:textId="7709BAFC" w:rsidR="00093030" w:rsidRPr="00055B58" w:rsidRDefault="00093030" w:rsidP="00BA0036">
      <w:pPr>
        <w:spacing w:line="360" w:lineRule="auto"/>
        <w:jc w:val="right"/>
        <w:rPr>
          <w:rFonts w:ascii="Arial" w:hAnsi="Arial" w:cs="Arial"/>
          <w:b/>
        </w:rPr>
      </w:pPr>
      <w:r w:rsidRPr="00055B58">
        <w:rPr>
          <w:rFonts w:ascii="Arial" w:hAnsi="Arial" w:cs="Arial"/>
          <w:b/>
        </w:rPr>
        <w:t>Reportable</w:t>
      </w:r>
    </w:p>
    <w:p w14:paraId="0B62A8A3" w14:textId="5A0FD927" w:rsidR="001910E7" w:rsidRPr="00055B58" w:rsidRDefault="000F13E9" w:rsidP="00BA0036">
      <w:pPr>
        <w:spacing w:line="360" w:lineRule="auto"/>
        <w:jc w:val="right"/>
        <w:rPr>
          <w:rFonts w:ascii="Arial" w:hAnsi="Arial" w:cs="Arial"/>
        </w:rPr>
      </w:pPr>
      <w:r w:rsidRPr="00055B58">
        <w:rPr>
          <w:rFonts w:ascii="Arial" w:hAnsi="Arial" w:cs="Arial"/>
        </w:rPr>
        <w:t xml:space="preserve">Case no: </w:t>
      </w:r>
      <w:r w:rsidR="00126FE5" w:rsidRPr="00055B58">
        <w:rPr>
          <w:rFonts w:ascii="Arial" w:hAnsi="Arial" w:cs="Arial"/>
        </w:rPr>
        <w:t>346</w:t>
      </w:r>
      <w:r w:rsidR="00BE61C6" w:rsidRPr="00055B58">
        <w:rPr>
          <w:rFonts w:ascii="Arial" w:hAnsi="Arial" w:cs="Arial"/>
        </w:rPr>
        <w:t>/</w:t>
      </w:r>
      <w:r w:rsidR="00F2439E" w:rsidRPr="00055B58">
        <w:rPr>
          <w:rFonts w:ascii="Arial" w:hAnsi="Arial" w:cs="Arial"/>
        </w:rPr>
        <w:t>2021</w:t>
      </w:r>
    </w:p>
    <w:p w14:paraId="62EC3AAC" w14:textId="77777777" w:rsidR="001910E7" w:rsidRPr="00055B58" w:rsidRDefault="001910E7" w:rsidP="00BA0036">
      <w:pPr>
        <w:spacing w:line="360" w:lineRule="auto"/>
        <w:rPr>
          <w:rFonts w:ascii="Arial" w:hAnsi="Arial" w:cs="Arial"/>
        </w:rPr>
      </w:pPr>
    </w:p>
    <w:p w14:paraId="1B93C0F0" w14:textId="77777777" w:rsidR="001910E7" w:rsidRPr="00055B58" w:rsidRDefault="001910E7" w:rsidP="00BA0036">
      <w:pPr>
        <w:spacing w:line="360" w:lineRule="auto"/>
        <w:rPr>
          <w:rFonts w:ascii="Arial" w:hAnsi="Arial" w:cs="Arial"/>
        </w:rPr>
      </w:pPr>
      <w:r w:rsidRPr="00055B58">
        <w:rPr>
          <w:rFonts w:ascii="Arial" w:hAnsi="Arial" w:cs="Arial"/>
        </w:rPr>
        <w:t>In the matter between:</w:t>
      </w:r>
    </w:p>
    <w:p w14:paraId="0E5D729C" w14:textId="77777777" w:rsidR="006E2774" w:rsidRPr="00055B58" w:rsidRDefault="006E2774" w:rsidP="00BA0036">
      <w:pPr>
        <w:widowControl w:val="0"/>
        <w:tabs>
          <w:tab w:val="right" w:pos="9360"/>
        </w:tabs>
        <w:autoSpaceDE w:val="0"/>
        <w:autoSpaceDN w:val="0"/>
        <w:adjustRightInd w:val="0"/>
        <w:spacing w:line="360" w:lineRule="auto"/>
        <w:rPr>
          <w:rFonts w:ascii="Arial" w:hAnsi="Arial" w:cs="Arial"/>
          <w:b/>
          <w:bCs/>
        </w:rPr>
      </w:pPr>
    </w:p>
    <w:p w14:paraId="7373D170" w14:textId="5E1AE423" w:rsidR="00236C2D" w:rsidRPr="00055B58" w:rsidRDefault="00126FE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LEBASHE FINANCIAL SERVICES (PTY) LTD</w:t>
      </w:r>
      <w:r w:rsidR="00B625EE" w:rsidRPr="00055B58">
        <w:rPr>
          <w:rFonts w:ascii="Arial" w:hAnsi="Arial" w:cs="Arial"/>
          <w:b/>
          <w:bCs/>
        </w:rPr>
        <w:tab/>
        <w:t xml:space="preserve"> APPELLANT</w:t>
      </w:r>
    </w:p>
    <w:p w14:paraId="6F14B850" w14:textId="77777777" w:rsidR="00B42EEE" w:rsidRPr="00055B58" w:rsidRDefault="00B42EEE" w:rsidP="00BA0036">
      <w:pPr>
        <w:widowControl w:val="0"/>
        <w:tabs>
          <w:tab w:val="right" w:pos="9360"/>
        </w:tabs>
        <w:autoSpaceDE w:val="0"/>
        <w:autoSpaceDN w:val="0"/>
        <w:adjustRightInd w:val="0"/>
        <w:spacing w:line="360" w:lineRule="auto"/>
        <w:rPr>
          <w:rFonts w:ascii="Arial" w:hAnsi="Arial" w:cs="Arial"/>
          <w:b/>
          <w:bCs/>
        </w:rPr>
      </w:pPr>
    </w:p>
    <w:p w14:paraId="77F251E1" w14:textId="77777777" w:rsidR="007A0413" w:rsidRPr="00055B58" w:rsidRDefault="007A0413" w:rsidP="00BA0036">
      <w:pPr>
        <w:widowControl w:val="0"/>
        <w:autoSpaceDE w:val="0"/>
        <w:autoSpaceDN w:val="0"/>
        <w:adjustRightInd w:val="0"/>
        <w:spacing w:line="360" w:lineRule="auto"/>
        <w:rPr>
          <w:rFonts w:ascii="Arial" w:hAnsi="Arial" w:cs="Arial"/>
          <w:bCs/>
          <w:iCs/>
        </w:rPr>
      </w:pPr>
      <w:r w:rsidRPr="00055B58">
        <w:rPr>
          <w:rFonts w:ascii="Arial" w:hAnsi="Arial" w:cs="Arial"/>
          <w:bCs/>
          <w:iCs/>
        </w:rPr>
        <w:t>and</w:t>
      </w:r>
    </w:p>
    <w:p w14:paraId="16476FFD" w14:textId="77777777" w:rsidR="00B42EEE" w:rsidRPr="00055B58" w:rsidRDefault="00B42EEE" w:rsidP="00BA0036">
      <w:pPr>
        <w:widowControl w:val="0"/>
        <w:tabs>
          <w:tab w:val="right" w:pos="9360"/>
        </w:tabs>
        <w:autoSpaceDE w:val="0"/>
        <w:autoSpaceDN w:val="0"/>
        <w:adjustRightInd w:val="0"/>
        <w:spacing w:line="360" w:lineRule="auto"/>
        <w:rPr>
          <w:rFonts w:ascii="Arial" w:hAnsi="Arial" w:cs="Arial"/>
        </w:rPr>
      </w:pPr>
    </w:p>
    <w:p w14:paraId="514CC3A5" w14:textId="448D1064" w:rsidR="00B42EEE" w:rsidRPr="00055B58" w:rsidRDefault="001513E5" w:rsidP="00BA0036">
      <w:pPr>
        <w:widowControl w:val="0"/>
        <w:tabs>
          <w:tab w:val="right" w:pos="9360"/>
        </w:tabs>
        <w:autoSpaceDE w:val="0"/>
        <w:autoSpaceDN w:val="0"/>
        <w:adjustRightInd w:val="0"/>
        <w:spacing w:line="360" w:lineRule="auto"/>
        <w:rPr>
          <w:rFonts w:ascii="Arial" w:hAnsi="Arial" w:cs="Arial"/>
          <w:b/>
        </w:rPr>
      </w:pPr>
      <w:r w:rsidRPr="00055B58">
        <w:rPr>
          <w:rFonts w:ascii="Arial" w:hAnsi="Arial" w:cs="Arial"/>
          <w:b/>
        </w:rPr>
        <w:t xml:space="preserve">THE </w:t>
      </w:r>
      <w:r w:rsidR="00126FE5" w:rsidRPr="00055B58">
        <w:rPr>
          <w:rFonts w:ascii="Arial" w:hAnsi="Arial" w:cs="Arial"/>
          <w:b/>
        </w:rPr>
        <w:t>PRUDENTIAL AUTHORITY</w:t>
      </w:r>
      <w:r w:rsidR="00303468" w:rsidRPr="00055B58">
        <w:rPr>
          <w:rFonts w:ascii="Arial" w:hAnsi="Arial" w:cs="Arial"/>
          <w:b/>
        </w:rPr>
        <w:tab/>
        <w:t xml:space="preserve">FIRST </w:t>
      </w:r>
      <w:r w:rsidR="00B42EEE" w:rsidRPr="00055B58">
        <w:rPr>
          <w:rFonts w:ascii="Arial" w:hAnsi="Arial" w:cs="Arial"/>
          <w:b/>
        </w:rPr>
        <w:t>RESPONDENT</w:t>
      </w:r>
    </w:p>
    <w:p w14:paraId="52EB1421" w14:textId="77777777" w:rsidR="00B42EEE" w:rsidRPr="00055B58" w:rsidRDefault="00B42EEE" w:rsidP="00BA0036">
      <w:pPr>
        <w:widowControl w:val="0"/>
        <w:tabs>
          <w:tab w:val="right" w:pos="9360"/>
        </w:tabs>
        <w:autoSpaceDE w:val="0"/>
        <w:autoSpaceDN w:val="0"/>
        <w:adjustRightInd w:val="0"/>
        <w:spacing w:line="360" w:lineRule="auto"/>
        <w:rPr>
          <w:rFonts w:ascii="Arial" w:hAnsi="Arial" w:cs="Arial"/>
          <w:b/>
          <w:bCs/>
        </w:rPr>
      </w:pPr>
    </w:p>
    <w:p w14:paraId="1F701154" w14:textId="669BC459" w:rsidR="00B42EEE" w:rsidRPr="00055B58" w:rsidRDefault="00126FE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BOPHELO LIFE INSURANCE COMPANY LIMITED</w:t>
      </w:r>
      <w:r w:rsidR="00303468" w:rsidRPr="00055B58">
        <w:rPr>
          <w:rFonts w:ascii="Arial" w:hAnsi="Arial" w:cs="Arial"/>
          <w:b/>
          <w:bCs/>
        </w:rPr>
        <w:tab/>
        <w:t xml:space="preserve">SECOND </w:t>
      </w:r>
      <w:r w:rsidR="00B42EEE" w:rsidRPr="00055B58">
        <w:rPr>
          <w:rFonts w:ascii="Arial" w:hAnsi="Arial" w:cs="Arial"/>
          <w:b/>
          <w:bCs/>
        </w:rPr>
        <w:t>RESPONDENT</w:t>
      </w:r>
      <w:r w:rsidR="00855DDC" w:rsidRPr="00055B58">
        <w:rPr>
          <w:rFonts w:ascii="Arial" w:hAnsi="Arial" w:cs="Arial"/>
          <w:b/>
          <w:bCs/>
        </w:rPr>
        <w:t xml:space="preserve">    </w:t>
      </w:r>
    </w:p>
    <w:p w14:paraId="512CC424" w14:textId="77777777" w:rsidR="00B42EEE" w:rsidRPr="00055B58" w:rsidRDefault="00B42EEE" w:rsidP="00BA0036">
      <w:pPr>
        <w:widowControl w:val="0"/>
        <w:tabs>
          <w:tab w:val="right" w:pos="9360"/>
        </w:tabs>
        <w:autoSpaceDE w:val="0"/>
        <w:autoSpaceDN w:val="0"/>
        <w:adjustRightInd w:val="0"/>
        <w:spacing w:line="360" w:lineRule="auto"/>
        <w:rPr>
          <w:rFonts w:ascii="Arial" w:hAnsi="Arial" w:cs="Arial"/>
          <w:b/>
          <w:bCs/>
        </w:rPr>
      </w:pPr>
    </w:p>
    <w:p w14:paraId="2A405A28" w14:textId="12C12BE0" w:rsidR="00B42EEE" w:rsidRPr="00055B58" w:rsidRDefault="00126FE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NZALO INSURANCE SERVICES LIMITED</w:t>
      </w:r>
      <w:r w:rsidR="00303468" w:rsidRPr="00055B58">
        <w:rPr>
          <w:rFonts w:ascii="Arial" w:hAnsi="Arial" w:cs="Arial"/>
          <w:b/>
          <w:bCs/>
        </w:rPr>
        <w:tab/>
        <w:t xml:space="preserve">THIRD </w:t>
      </w:r>
      <w:r w:rsidR="00B42EEE" w:rsidRPr="00055B58">
        <w:rPr>
          <w:rFonts w:ascii="Arial" w:hAnsi="Arial" w:cs="Arial"/>
          <w:b/>
          <w:bCs/>
        </w:rPr>
        <w:t>RESPONDENT</w:t>
      </w:r>
    </w:p>
    <w:p w14:paraId="7E396EAE" w14:textId="77777777" w:rsidR="00303468" w:rsidRPr="00055B58" w:rsidRDefault="00303468" w:rsidP="00BA0036">
      <w:pPr>
        <w:widowControl w:val="0"/>
        <w:tabs>
          <w:tab w:val="right" w:pos="9360"/>
        </w:tabs>
        <w:autoSpaceDE w:val="0"/>
        <w:autoSpaceDN w:val="0"/>
        <w:adjustRightInd w:val="0"/>
        <w:spacing w:line="360" w:lineRule="auto"/>
        <w:rPr>
          <w:rFonts w:ascii="Arial" w:hAnsi="Arial" w:cs="Arial"/>
          <w:b/>
          <w:bCs/>
        </w:rPr>
      </w:pPr>
    </w:p>
    <w:p w14:paraId="0297210C" w14:textId="77777777" w:rsidR="00780D65" w:rsidRPr="00055B58" w:rsidRDefault="00780D6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TRUE SOUTH ACTUARIES AND CONSULTANTS</w:t>
      </w:r>
    </w:p>
    <w:p w14:paraId="2C5D9E91" w14:textId="6EB699D1" w:rsidR="00915056" w:rsidRPr="00055B58" w:rsidRDefault="00780D6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(PTY) LTD</w:t>
      </w:r>
      <w:r w:rsidR="00303468" w:rsidRPr="00055B58">
        <w:rPr>
          <w:rFonts w:ascii="Arial" w:hAnsi="Arial" w:cs="Arial"/>
          <w:b/>
          <w:bCs/>
        </w:rPr>
        <w:tab/>
        <w:t xml:space="preserve">FOURTH </w:t>
      </w:r>
      <w:r w:rsidR="00B42EEE" w:rsidRPr="00055B58">
        <w:rPr>
          <w:rFonts w:ascii="Arial" w:hAnsi="Arial" w:cs="Arial"/>
          <w:b/>
          <w:bCs/>
        </w:rPr>
        <w:t>RESPONDENT</w:t>
      </w:r>
    </w:p>
    <w:p w14:paraId="6CFAB531" w14:textId="77777777" w:rsidR="00915056" w:rsidRPr="00055B58" w:rsidRDefault="00915056" w:rsidP="00BA0036">
      <w:pPr>
        <w:widowControl w:val="0"/>
        <w:tabs>
          <w:tab w:val="right" w:pos="9360"/>
        </w:tabs>
        <w:autoSpaceDE w:val="0"/>
        <w:autoSpaceDN w:val="0"/>
        <w:adjustRightInd w:val="0"/>
        <w:spacing w:line="360" w:lineRule="auto"/>
        <w:rPr>
          <w:rFonts w:ascii="Arial" w:hAnsi="Arial" w:cs="Arial"/>
          <w:b/>
          <w:bCs/>
        </w:rPr>
      </w:pPr>
    </w:p>
    <w:p w14:paraId="3A2F83E9" w14:textId="1C7E2B95" w:rsidR="00915056" w:rsidRPr="00055B58" w:rsidRDefault="00780D6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FRANCOIS HUGO N.O.</w:t>
      </w:r>
      <w:r w:rsidR="00915056" w:rsidRPr="00055B58">
        <w:rPr>
          <w:rFonts w:ascii="Arial" w:hAnsi="Arial" w:cs="Arial"/>
          <w:b/>
          <w:bCs/>
        </w:rPr>
        <w:tab/>
        <w:t>FIFTH RESPONDENT</w:t>
      </w:r>
    </w:p>
    <w:p w14:paraId="110F874F" w14:textId="77777777" w:rsidR="00915056" w:rsidRPr="00055B58" w:rsidRDefault="00915056" w:rsidP="00BA0036">
      <w:pPr>
        <w:widowControl w:val="0"/>
        <w:tabs>
          <w:tab w:val="right" w:pos="9360"/>
        </w:tabs>
        <w:autoSpaceDE w:val="0"/>
        <w:autoSpaceDN w:val="0"/>
        <w:adjustRightInd w:val="0"/>
        <w:spacing w:line="360" w:lineRule="auto"/>
        <w:rPr>
          <w:rFonts w:ascii="Arial" w:hAnsi="Arial" w:cs="Arial"/>
          <w:b/>
          <w:bCs/>
        </w:rPr>
      </w:pPr>
    </w:p>
    <w:p w14:paraId="6D7FFF90" w14:textId="154BA111" w:rsidR="00915056" w:rsidRPr="00055B58" w:rsidRDefault="00780D6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PAUL ZONDAGH N.O.</w:t>
      </w:r>
      <w:r w:rsidR="00915056" w:rsidRPr="00055B58">
        <w:rPr>
          <w:rFonts w:ascii="Arial" w:hAnsi="Arial" w:cs="Arial"/>
          <w:b/>
          <w:bCs/>
        </w:rPr>
        <w:tab/>
        <w:t>SIXTH RESPONDENT</w:t>
      </w:r>
    </w:p>
    <w:p w14:paraId="53114D33" w14:textId="77777777" w:rsidR="00915056" w:rsidRPr="00055B58" w:rsidRDefault="00915056" w:rsidP="00BA0036">
      <w:pPr>
        <w:widowControl w:val="0"/>
        <w:tabs>
          <w:tab w:val="right" w:pos="9360"/>
        </w:tabs>
        <w:autoSpaceDE w:val="0"/>
        <w:autoSpaceDN w:val="0"/>
        <w:adjustRightInd w:val="0"/>
        <w:spacing w:line="360" w:lineRule="auto"/>
        <w:rPr>
          <w:rFonts w:ascii="Arial" w:hAnsi="Arial" w:cs="Arial"/>
          <w:b/>
          <w:bCs/>
        </w:rPr>
      </w:pPr>
    </w:p>
    <w:p w14:paraId="70A44A4C" w14:textId="53DEDC74" w:rsidR="00915056" w:rsidRPr="00055B58" w:rsidRDefault="00780D6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THE FINANCIAL SECTOR CONDUCT AUTHORITY</w:t>
      </w:r>
      <w:r w:rsidR="00915056" w:rsidRPr="00055B58">
        <w:rPr>
          <w:rFonts w:ascii="Arial" w:hAnsi="Arial" w:cs="Arial"/>
          <w:b/>
          <w:bCs/>
        </w:rPr>
        <w:tab/>
        <w:t>SEVENTH RESPONDENT</w:t>
      </w:r>
    </w:p>
    <w:p w14:paraId="027138DD" w14:textId="77777777" w:rsidR="00915056" w:rsidRPr="00055B58" w:rsidRDefault="00915056" w:rsidP="00BA0036">
      <w:pPr>
        <w:widowControl w:val="0"/>
        <w:tabs>
          <w:tab w:val="right" w:pos="9360"/>
        </w:tabs>
        <w:autoSpaceDE w:val="0"/>
        <w:autoSpaceDN w:val="0"/>
        <w:adjustRightInd w:val="0"/>
        <w:spacing w:line="360" w:lineRule="auto"/>
        <w:rPr>
          <w:rFonts w:ascii="Arial" w:hAnsi="Arial" w:cs="Arial"/>
          <w:b/>
          <w:bCs/>
        </w:rPr>
      </w:pPr>
    </w:p>
    <w:p w14:paraId="7DAE16BD" w14:textId="4227921F" w:rsidR="00915056" w:rsidRPr="00055B58" w:rsidRDefault="00780D65" w:rsidP="00BA0036">
      <w:pPr>
        <w:widowControl w:val="0"/>
        <w:tabs>
          <w:tab w:val="right" w:pos="9360"/>
        </w:tabs>
        <w:autoSpaceDE w:val="0"/>
        <w:autoSpaceDN w:val="0"/>
        <w:adjustRightInd w:val="0"/>
        <w:spacing w:line="360" w:lineRule="auto"/>
        <w:rPr>
          <w:rFonts w:ascii="Arial" w:hAnsi="Arial" w:cs="Arial"/>
          <w:b/>
          <w:bCs/>
        </w:rPr>
      </w:pPr>
      <w:r w:rsidRPr="00055B58">
        <w:rPr>
          <w:rFonts w:ascii="Arial" w:hAnsi="Arial" w:cs="Arial"/>
          <w:b/>
          <w:bCs/>
        </w:rPr>
        <w:t>THE TRANSPORT SECTOR RETIREMENT FUND</w:t>
      </w:r>
      <w:r w:rsidR="00915056" w:rsidRPr="00055B58">
        <w:rPr>
          <w:rFonts w:ascii="Arial" w:hAnsi="Arial" w:cs="Arial"/>
          <w:b/>
          <w:bCs/>
        </w:rPr>
        <w:tab/>
        <w:t>EIGHTH RESPONDENT</w:t>
      </w:r>
    </w:p>
    <w:p w14:paraId="36DA3C2C" w14:textId="77777777" w:rsidR="00915056" w:rsidRPr="00055B58" w:rsidRDefault="00915056" w:rsidP="00BA0036">
      <w:pPr>
        <w:widowControl w:val="0"/>
        <w:tabs>
          <w:tab w:val="right" w:pos="9360"/>
        </w:tabs>
        <w:autoSpaceDE w:val="0"/>
        <w:autoSpaceDN w:val="0"/>
        <w:adjustRightInd w:val="0"/>
        <w:spacing w:line="360" w:lineRule="auto"/>
        <w:rPr>
          <w:rFonts w:ascii="Arial" w:hAnsi="Arial" w:cs="Arial"/>
          <w:b/>
          <w:bCs/>
        </w:rPr>
      </w:pPr>
    </w:p>
    <w:p w14:paraId="28154893" w14:textId="2F78754E" w:rsidR="001910E7" w:rsidRPr="00055B58" w:rsidRDefault="001910E7" w:rsidP="00BA0036">
      <w:pPr>
        <w:spacing w:line="360" w:lineRule="auto"/>
        <w:ind w:hanging="2382"/>
        <w:jc w:val="both"/>
        <w:rPr>
          <w:rFonts w:ascii="Arial" w:hAnsi="Arial" w:cs="Arial"/>
        </w:rPr>
      </w:pPr>
      <w:r w:rsidRPr="00055B58">
        <w:rPr>
          <w:rFonts w:ascii="Arial" w:hAnsi="Arial" w:cs="Arial"/>
          <w:b/>
          <w:bCs/>
        </w:rPr>
        <w:lastRenderedPageBreak/>
        <w:t>Neutral citation:</w:t>
      </w:r>
      <w:r w:rsidRPr="00055B58">
        <w:rPr>
          <w:rFonts w:ascii="Arial" w:hAnsi="Arial" w:cs="Arial"/>
          <w:b/>
          <w:bCs/>
        </w:rPr>
        <w:tab/>
      </w:r>
      <w:proofErr w:type="spellStart"/>
      <w:r w:rsidR="00780D65" w:rsidRPr="00055B58">
        <w:rPr>
          <w:rFonts w:ascii="Arial" w:hAnsi="Arial" w:cs="Arial"/>
          <w:bCs/>
          <w:i/>
        </w:rPr>
        <w:t>Lebashe</w:t>
      </w:r>
      <w:proofErr w:type="spellEnd"/>
      <w:r w:rsidR="00780D65" w:rsidRPr="00055B58">
        <w:rPr>
          <w:rFonts w:ascii="Arial" w:hAnsi="Arial" w:cs="Arial"/>
          <w:bCs/>
          <w:i/>
        </w:rPr>
        <w:t xml:space="preserve"> Financial Services (Pty) Ltd v The Prudential Authority</w:t>
      </w:r>
      <w:r w:rsidR="00A53144" w:rsidRPr="00055B58">
        <w:rPr>
          <w:rFonts w:ascii="Arial" w:hAnsi="Arial" w:cs="Arial"/>
          <w:bCs/>
          <w:i/>
        </w:rPr>
        <w:t xml:space="preserve"> </w:t>
      </w:r>
      <w:r w:rsidR="00041049" w:rsidRPr="00055B58">
        <w:rPr>
          <w:rFonts w:ascii="Arial" w:hAnsi="Arial" w:cs="Arial"/>
          <w:bCs/>
          <w:i/>
        </w:rPr>
        <w:t>and Others</w:t>
      </w:r>
      <w:r w:rsidR="009E2CB6" w:rsidRPr="00055B58">
        <w:rPr>
          <w:rFonts w:ascii="Arial" w:hAnsi="Arial" w:cs="Arial"/>
          <w:bCs/>
          <w:i/>
        </w:rPr>
        <w:t xml:space="preserve"> </w:t>
      </w:r>
      <w:r w:rsidRPr="00055B58">
        <w:rPr>
          <w:rFonts w:ascii="Arial" w:hAnsi="Arial" w:cs="Arial"/>
          <w:bCs/>
        </w:rPr>
        <w:t>(</w:t>
      </w:r>
      <w:r w:rsidR="00780D65" w:rsidRPr="00055B58">
        <w:rPr>
          <w:rFonts w:ascii="Arial" w:hAnsi="Arial" w:cs="Arial"/>
          <w:bCs/>
        </w:rPr>
        <w:t>346</w:t>
      </w:r>
      <w:r w:rsidR="00F2439E" w:rsidRPr="00055B58">
        <w:rPr>
          <w:rFonts w:ascii="Arial" w:hAnsi="Arial" w:cs="Arial"/>
          <w:bCs/>
        </w:rPr>
        <w:t>/2021</w:t>
      </w:r>
      <w:r w:rsidR="00722A6E" w:rsidRPr="00055B58">
        <w:rPr>
          <w:rFonts w:ascii="Arial" w:hAnsi="Arial" w:cs="Arial"/>
          <w:bCs/>
        </w:rPr>
        <w:t>) [202</w:t>
      </w:r>
      <w:r w:rsidR="00084190" w:rsidRPr="00055B58">
        <w:rPr>
          <w:rFonts w:ascii="Arial" w:hAnsi="Arial" w:cs="Arial"/>
          <w:bCs/>
        </w:rPr>
        <w:t>2</w:t>
      </w:r>
      <w:r w:rsidR="00722A6E" w:rsidRPr="00055B58">
        <w:rPr>
          <w:rFonts w:ascii="Arial" w:hAnsi="Arial" w:cs="Arial"/>
          <w:bCs/>
        </w:rPr>
        <w:t xml:space="preserve">] </w:t>
      </w:r>
      <w:r w:rsidR="00BD108B" w:rsidRPr="00055B58">
        <w:rPr>
          <w:rFonts w:ascii="Arial" w:hAnsi="Arial" w:cs="Arial"/>
          <w:bCs/>
        </w:rPr>
        <w:t xml:space="preserve">ZASCA </w:t>
      </w:r>
      <w:r w:rsidR="006A2F22" w:rsidRPr="00055B58">
        <w:rPr>
          <w:rFonts w:ascii="Arial" w:hAnsi="Arial" w:cs="Arial"/>
          <w:bCs/>
        </w:rPr>
        <w:t>141</w:t>
      </w:r>
      <w:r w:rsidR="009054A4" w:rsidRPr="00055B58">
        <w:rPr>
          <w:rFonts w:ascii="Arial" w:hAnsi="Arial" w:cs="Arial"/>
          <w:bCs/>
        </w:rPr>
        <w:t xml:space="preserve"> </w:t>
      </w:r>
      <w:r w:rsidRPr="00055B58">
        <w:rPr>
          <w:rFonts w:ascii="Arial" w:hAnsi="Arial" w:cs="Arial"/>
          <w:bCs/>
        </w:rPr>
        <w:t>(</w:t>
      </w:r>
      <w:r w:rsidR="005F3285" w:rsidRPr="00055B58">
        <w:rPr>
          <w:rFonts w:ascii="Arial" w:hAnsi="Arial" w:cs="Arial"/>
          <w:bCs/>
        </w:rPr>
        <w:t>24 October</w:t>
      </w:r>
      <w:r w:rsidR="00A53144" w:rsidRPr="00055B58">
        <w:rPr>
          <w:rFonts w:ascii="Arial" w:hAnsi="Arial" w:cs="Arial"/>
          <w:bCs/>
        </w:rPr>
        <w:t xml:space="preserve"> </w:t>
      </w:r>
      <w:r w:rsidR="001724F2" w:rsidRPr="00055B58">
        <w:rPr>
          <w:rFonts w:ascii="Arial" w:hAnsi="Arial" w:cs="Arial"/>
          <w:bCs/>
        </w:rPr>
        <w:t>2022</w:t>
      </w:r>
      <w:r w:rsidRPr="00055B58">
        <w:rPr>
          <w:rFonts w:ascii="Arial" w:hAnsi="Arial" w:cs="Arial"/>
          <w:bCs/>
        </w:rPr>
        <w:t>)</w:t>
      </w:r>
    </w:p>
    <w:p w14:paraId="0A840705" w14:textId="572B9E92" w:rsidR="001910E7" w:rsidRPr="00055B58" w:rsidRDefault="001910E7" w:rsidP="00BA0036">
      <w:pPr>
        <w:spacing w:line="360" w:lineRule="auto"/>
        <w:ind w:hanging="1588"/>
        <w:jc w:val="both"/>
        <w:rPr>
          <w:rFonts w:ascii="Arial" w:hAnsi="Arial" w:cs="Arial"/>
          <w:b/>
          <w:bCs/>
          <w:i/>
          <w:iCs/>
        </w:rPr>
      </w:pPr>
      <w:r w:rsidRPr="00055B58">
        <w:rPr>
          <w:rFonts w:ascii="Arial" w:hAnsi="Arial" w:cs="Arial"/>
          <w:b/>
          <w:bCs/>
        </w:rPr>
        <w:t>Coram:</w:t>
      </w:r>
      <w:r w:rsidR="002963C5" w:rsidRPr="00055B58">
        <w:rPr>
          <w:rFonts w:ascii="Arial" w:hAnsi="Arial" w:cs="Arial"/>
        </w:rPr>
        <w:tab/>
      </w:r>
      <w:r w:rsidR="00A53144" w:rsidRPr="00055B58">
        <w:rPr>
          <w:rFonts w:ascii="Arial" w:hAnsi="Arial" w:cs="Arial"/>
        </w:rPr>
        <w:t xml:space="preserve">PONNAN, VAN DER MERWE and </w:t>
      </w:r>
      <w:r w:rsidR="00780D65" w:rsidRPr="00055B58">
        <w:rPr>
          <w:rFonts w:ascii="Arial" w:hAnsi="Arial" w:cs="Arial"/>
        </w:rPr>
        <w:t>MOTHLE JJA and BASSON and WINDELL AJJA</w:t>
      </w:r>
    </w:p>
    <w:p w14:paraId="60DBC0AF" w14:textId="7CF318DE" w:rsidR="001910E7" w:rsidRPr="00055B58" w:rsidRDefault="001910E7" w:rsidP="00BA0036">
      <w:pPr>
        <w:tabs>
          <w:tab w:val="left" w:pos="851"/>
          <w:tab w:val="left" w:pos="1418"/>
          <w:tab w:val="left" w:pos="1843"/>
        </w:tabs>
        <w:spacing w:line="360" w:lineRule="auto"/>
        <w:rPr>
          <w:rFonts w:ascii="Arial" w:hAnsi="Arial" w:cs="Arial"/>
          <w:b/>
          <w:bCs/>
        </w:rPr>
      </w:pPr>
      <w:r w:rsidRPr="00055B58">
        <w:rPr>
          <w:rFonts w:ascii="Arial" w:hAnsi="Arial" w:cs="Arial"/>
          <w:b/>
          <w:bCs/>
        </w:rPr>
        <w:t>Heard</w:t>
      </w:r>
      <w:r w:rsidR="008C3224" w:rsidRPr="00055B58">
        <w:rPr>
          <w:rFonts w:ascii="Arial" w:hAnsi="Arial" w:cs="Arial"/>
        </w:rPr>
        <w:t>:</w:t>
      </w:r>
      <w:r w:rsidR="008C3224" w:rsidRPr="00055B58">
        <w:rPr>
          <w:rFonts w:ascii="Arial" w:hAnsi="Arial" w:cs="Arial"/>
        </w:rPr>
        <w:tab/>
      </w:r>
      <w:r w:rsidR="008C3224" w:rsidRPr="00055B58">
        <w:rPr>
          <w:rFonts w:ascii="Arial" w:hAnsi="Arial" w:cs="Arial"/>
        </w:rPr>
        <w:tab/>
        <w:t xml:space="preserve">   </w:t>
      </w:r>
      <w:r w:rsidR="00AC094B" w:rsidRPr="00055B58">
        <w:rPr>
          <w:rFonts w:ascii="Arial" w:hAnsi="Arial" w:cs="Arial"/>
        </w:rPr>
        <w:t>1</w:t>
      </w:r>
      <w:r w:rsidR="002A02A2" w:rsidRPr="00055B58">
        <w:rPr>
          <w:rFonts w:ascii="Arial" w:hAnsi="Arial" w:cs="Arial"/>
        </w:rPr>
        <w:t>5</w:t>
      </w:r>
      <w:r w:rsidR="00A53144" w:rsidRPr="00055B58">
        <w:rPr>
          <w:rFonts w:ascii="Arial" w:hAnsi="Arial" w:cs="Arial"/>
        </w:rPr>
        <w:t xml:space="preserve"> September</w:t>
      </w:r>
      <w:r w:rsidR="00084190" w:rsidRPr="00055B58">
        <w:rPr>
          <w:rFonts w:ascii="Arial" w:hAnsi="Arial" w:cs="Arial"/>
        </w:rPr>
        <w:t xml:space="preserve"> 2022</w:t>
      </w:r>
    </w:p>
    <w:p w14:paraId="52CE489D" w14:textId="7CF81A79" w:rsidR="001910E7" w:rsidRPr="00055B58" w:rsidRDefault="001910E7" w:rsidP="00BA0036">
      <w:pPr>
        <w:spacing w:line="360" w:lineRule="auto"/>
        <w:jc w:val="both"/>
        <w:rPr>
          <w:rFonts w:ascii="Arial" w:hAnsi="Arial" w:cs="Arial"/>
        </w:rPr>
      </w:pPr>
      <w:r w:rsidRPr="00055B58">
        <w:rPr>
          <w:rFonts w:ascii="Arial" w:hAnsi="Arial" w:cs="Arial"/>
          <w:b/>
          <w:bCs/>
        </w:rPr>
        <w:t>Delivered</w:t>
      </w:r>
      <w:r w:rsidR="000F325E" w:rsidRPr="00055B58">
        <w:rPr>
          <w:rFonts w:ascii="Arial" w:hAnsi="Arial" w:cs="Arial"/>
        </w:rPr>
        <w:t>:</w:t>
      </w:r>
      <w:r w:rsidR="008C3224" w:rsidRPr="00055B58">
        <w:rPr>
          <w:rFonts w:ascii="Arial" w:hAnsi="Arial" w:cs="Arial"/>
        </w:rPr>
        <w:tab/>
      </w:r>
      <w:r w:rsidR="005F3285" w:rsidRPr="00055B58">
        <w:rPr>
          <w:rFonts w:ascii="Arial" w:hAnsi="Arial" w:cs="Arial"/>
        </w:rPr>
        <w:t>24 October</w:t>
      </w:r>
      <w:r w:rsidR="00BA5524" w:rsidRPr="00055B58">
        <w:rPr>
          <w:rFonts w:ascii="Arial" w:hAnsi="Arial" w:cs="Arial"/>
        </w:rPr>
        <w:t xml:space="preserve"> 2022</w:t>
      </w:r>
    </w:p>
    <w:p w14:paraId="2C03E889" w14:textId="6321EADE" w:rsidR="000C6D38" w:rsidRPr="00055B58" w:rsidRDefault="001910E7" w:rsidP="00BA0036">
      <w:pPr>
        <w:tabs>
          <w:tab w:val="left" w:pos="709"/>
          <w:tab w:val="left" w:pos="1134"/>
        </w:tabs>
        <w:spacing w:line="360" w:lineRule="auto"/>
        <w:jc w:val="both"/>
        <w:rPr>
          <w:rFonts w:ascii="Arial" w:hAnsi="Arial" w:cs="Arial"/>
          <w:bCs/>
        </w:rPr>
      </w:pPr>
      <w:r w:rsidRPr="00055B58">
        <w:rPr>
          <w:rFonts w:ascii="Arial" w:hAnsi="Arial" w:cs="Arial"/>
          <w:b/>
          <w:bCs/>
        </w:rPr>
        <w:t>Summary:</w:t>
      </w:r>
      <w:r w:rsidR="008C3224" w:rsidRPr="00055B58">
        <w:rPr>
          <w:rFonts w:ascii="Arial" w:hAnsi="Arial" w:cs="Arial"/>
          <w:b/>
          <w:bCs/>
        </w:rPr>
        <w:tab/>
      </w:r>
      <w:bookmarkStart w:id="0" w:name="_GoBack"/>
      <w:bookmarkEnd w:id="0"/>
      <w:r w:rsidR="00BC1062" w:rsidRPr="00055B58">
        <w:rPr>
          <w:rFonts w:ascii="Arial" w:hAnsi="Arial" w:cs="Arial"/>
          <w:bCs/>
        </w:rPr>
        <w:t>Practice</w:t>
      </w:r>
      <w:r w:rsidR="00C574C7" w:rsidRPr="00055B58">
        <w:rPr>
          <w:rFonts w:ascii="Arial" w:hAnsi="Arial" w:cs="Arial"/>
          <w:bCs/>
        </w:rPr>
        <w:t xml:space="preserve"> – standing o</w:t>
      </w:r>
      <w:r w:rsidR="004853BA" w:rsidRPr="00055B58">
        <w:rPr>
          <w:rFonts w:ascii="Arial" w:hAnsi="Arial" w:cs="Arial"/>
          <w:bCs/>
        </w:rPr>
        <w:t>n appeal – depends on directness</w:t>
      </w:r>
      <w:r w:rsidR="00C574C7" w:rsidRPr="00055B58">
        <w:rPr>
          <w:rFonts w:ascii="Arial" w:hAnsi="Arial" w:cs="Arial"/>
          <w:bCs/>
        </w:rPr>
        <w:t xml:space="preserve"> and </w:t>
      </w:r>
      <w:r w:rsidR="005C79F4" w:rsidRPr="00055B58">
        <w:rPr>
          <w:rFonts w:ascii="Arial" w:hAnsi="Arial" w:cs="Arial"/>
          <w:bCs/>
        </w:rPr>
        <w:t>sufficiency</w:t>
      </w:r>
      <w:r w:rsidR="00C574C7" w:rsidRPr="00055B58">
        <w:rPr>
          <w:rFonts w:ascii="Arial" w:hAnsi="Arial" w:cs="Arial"/>
          <w:bCs/>
        </w:rPr>
        <w:t xml:space="preserve"> of interest in relief claimed on appeal – creditor and shareholder of holding company of </w:t>
      </w:r>
      <w:r w:rsidR="00435F7C" w:rsidRPr="00055B58">
        <w:rPr>
          <w:rFonts w:ascii="Arial" w:hAnsi="Arial" w:cs="Arial"/>
          <w:bCs/>
        </w:rPr>
        <w:t xml:space="preserve">insolvent </w:t>
      </w:r>
      <w:r w:rsidR="00C574C7" w:rsidRPr="00055B58">
        <w:rPr>
          <w:rFonts w:ascii="Arial" w:hAnsi="Arial" w:cs="Arial"/>
          <w:bCs/>
        </w:rPr>
        <w:t xml:space="preserve">insurer has no locus </w:t>
      </w:r>
      <w:proofErr w:type="spellStart"/>
      <w:r w:rsidR="00C574C7" w:rsidRPr="00055B58">
        <w:rPr>
          <w:rFonts w:ascii="Arial" w:hAnsi="Arial" w:cs="Arial"/>
          <w:bCs/>
        </w:rPr>
        <w:t>standi</w:t>
      </w:r>
      <w:proofErr w:type="spellEnd"/>
      <w:r w:rsidR="00C574C7" w:rsidRPr="00055B58">
        <w:rPr>
          <w:rFonts w:ascii="Arial" w:hAnsi="Arial" w:cs="Arial"/>
          <w:bCs/>
        </w:rPr>
        <w:t xml:space="preserve"> to seek curatorship of </w:t>
      </w:r>
      <w:r w:rsidR="00435F7C" w:rsidRPr="00055B58">
        <w:rPr>
          <w:rFonts w:ascii="Arial" w:hAnsi="Arial" w:cs="Arial"/>
          <w:bCs/>
        </w:rPr>
        <w:t>insurer under s 54</w:t>
      </w:r>
      <w:r w:rsidR="00C574C7" w:rsidRPr="00055B58">
        <w:rPr>
          <w:rFonts w:ascii="Arial" w:hAnsi="Arial" w:cs="Arial"/>
          <w:bCs/>
        </w:rPr>
        <w:t xml:space="preserve"> of Insurance Act 18 of 2017 (Insurance Act) instead of liquidation.</w:t>
      </w:r>
    </w:p>
    <w:p w14:paraId="64F22017" w14:textId="31D63F42" w:rsidR="005E6F4C" w:rsidRPr="00055B58" w:rsidRDefault="00C574C7" w:rsidP="00BA0036">
      <w:pPr>
        <w:tabs>
          <w:tab w:val="left" w:pos="709"/>
          <w:tab w:val="left" w:pos="1134"/>
        </w:tabs>
        <w:spacing w:line="360" w:lineRule="auto"/>
        <w:jc w:val="both"/>
        <w:rPr>
          <w:rFonts w:ascii="Arial" w:hAnsi="Arial" w:cs="Arial"/>
          <w:bCs/>
        </w:rPr>
      </w:pPr>
      <w:r w:rsidRPr="00055B58">
        <w:rPr>
          <w:rFonts w:ascii="Arial" w:hAnsi="Arial" w:cs="Arial"/>
          <w:bCs/>
        </w:rPr>
        <w:t>Insurance Act – interpretation of s 54(5) – precludes commencement of business rescue or winding-up by resolution or court order –</w:t>
      </w:r>
      <w:r w:rsidR="001617DF" w:rsidRPr="00055B58">
        <w:rPr>
          <w:rFonts w:ascii="Arial" w:hAnsi="Arial" w:cs="Arial"/>
          <w:bCs/>
        </w:rPr>
        <w:t xml:space="preserve"> </w:t>
      </w:r>
      <w:r w:rsidRPr="00055B58">
        <w:rPr>
          <w:rFonts w:ascii="Arial" w:hAnsi="Arial" w:cs="Arial"/>
          <w:bCs/>
        </w:rPr>
        <w:t xml:space="preserve">proceedings </w:t>
      </w:r>
      <w:r w:rsidR="001617DF" w:rsidRPr="00055B58">
        <w:rPr>
          <w:rFonts w:ascii="Arial" w:hAnsi="Arial" w:cs="Arial"/>
          <w:bCs/>
        </w:rPr>
        <w:t xml:space="preserve">as such </w:t>
      </w:r>
      <w:r w:rsidRPr="00055B58">
        <w:rPr>
          <w:rFonts w:ascii="Arial" w:hAnsi="Arial" w:cs="Arial"/>
          <w:bCs/>
        </w:rPr>
        <w:t xml:space="preserve">not prohibited and not void – nature of powers of curator under s 54(2) </w:t>
      </w:r>
      <w:r w:rsidR="001617DF" w:rsidRPr="00055B58">
        <w:rPr>
          <w:rFonts w:ascii="Arial" w:hAnsi="Arial" w:cs="Arial"/>
          <w:bCs/>
        </w:rPr>
        <w:t xml:space="preserve">– </w:t>
      </w:r>
      <w:r w:rsidRPr="00055B58">
        <w:rPr>
          <w:rFonts w:ascii="Arial" w:hAnsi="Arial" w:cs="Arial"/>
          <w:bCs/>
        </w:rPr>
        <w:t xml:space="preserve">to hold, investigate and report – no duty to seek rescue or recapitalisation of insurer. </w:t>
      </w:r>
    </w:p>
    <w:p w14:paraId="79A45084" w14:textId="563809A6" w:rsidR="00B625EE" w:rsidRPr="00055B58" w:rsidRDefault="00B625EE" w:rsidP="00BA0036">
      <w:pPr>
        <w:pBdr>
          <w:bottom w:val="single" w:sz="12" w:space="1" w:color="auto"/>
        </w:pBdr>
        <w:spacing w:line="360" w:lineRule="auto"/>
        <w:rPr>
          <w:rFonts w:ascii="Arial" w:hAnsi="Arial" w:cs="Arial"/>
          <w:bCs/>
        </w:rPr>
      </w:pPr>
    </w:p>
    <w:p w14:paraId="78752FFC" w14:textId="68566A32" w:rsidR="00B625EE" w:rsidRPr="00055B58" w:rsidRDefault="00B625EE" w:rsidP="00BA0036">
      <w:pPr>
        <w:spacing w:line="360" w:lineRule="auto"/>
        <w:jc w:val="right"/>
        <w:rPr>
          <w:rFonts w:ascii="Arial" w:eastAsia="MS Mincho" w:hAnsi="Arial" w:cs="Arial"/>
        </w:rPr>
      </w:pPr>
    </w:p>
    <w:p w14:paraId="42BECD88" w14:textId="77777777" w:rsidR="00B625EE" w:rsidRPr="00055B58" w:rsidRDefault="00B625EE" w:rsidP="00BA0036">
      <w:pPr>
        <w:pBdr>
          <w:bottom w:val="single" w:sz="12" w:space="1" w:color="auto"/>
        </w:pBdr>
        <w:spacing w:line="360" w:lineRule="auto"/>
        <w:jc w:val="center"/>
        <w:rPr>
          <w:rFonts w:ascii="Arial" w:eastAsia="MS Mincho" w:hAnsi="Arial" w:cs="Arial"/>
          <w:b/>
        </w:rPr>
      </w:pPr>
      <w:r w:rsidRPr="00055B58">
        <w:rPr>
          <w:rFonts w:ascii="Arial" w:eastAsia="MS Mincho" w:hAnsi="Arial" w:cs="Arial"/>
          <w:b/>
        </w:rPr>
        <w:t xml:space="preserve">ORDER </w:t>
      </w:r>
    </w:p>
    <w:p w14:paraId="2CDFC555" w14:textId="77777777" w:rsidR="00B625EE" w:rsidRPr="00055B58" w:rsidRDefault="00B625EE" w:rsidP="00BA0036">
      <w:pPr>
        <w:pBdr>
          <w:bottom w:val="single" w:sz="12" w:space="1" w:color="auto"/>
        </w:pBdr>
        <w:spacing w:line="360" w:lineRule="auto"/>
        <w:jc w:val="center"/>
        <w:rPr>
          <w:rFonts w:ascii="Arial" w:eastAsia="MS Mincho" w:hAnsi="Arial" w:cs="Arial"/>
          <w:b/>
          <w:sz w:val="16"/>
          <w:szCs w:val="16"/>
        </w:rPr>
      </w:pPr>
    </w:p>
    <w:p w14:paraId="1FA20913" w14:textId="77777777" w:rsidR="00B625EE" w:rsidRPr="00055B58" w:rsidRDefault="00B625EE" w:rsidP="00BA0036">
      <w:pPr>
        <w:spacing w:line="360" w:lineRule="auto"/>
        <w:jc w:val="both"/>
        <w:rPr>
          <w:rFonts w:ascii="Arial" w:eastAsia="MS Mincho" w:hAnsi="Arial" w:cs="Arial"/>
          <w:b/>
        </w:rPr>
      </w:pPr>
    </w:p>
    <w:p w14:paraId="1C24440E" w14:textId="22451D0C" w:rsidR="00B128A6" w:rsidRPr="00055B58" w:rsidRDefault="00B625EE" w:rsidP="00BA0036">
      <w:pPr>
        <w:spacing w:line="360" w:lineRule="auto"/>
        <w:jc w:val="both"/>
        <w:rPr>
          <w:rFonts w:ascii="Arial" w:hAnsi="Arial" w:cs="Arial"/>
          <w:bCs/>
        </w:rPr>
      </w:pPr>
      <w:r w:rsidRPr="00055B58">
        <w:rPr>
          <w:rFonts w:ascii="Arial" w:hAnsi="Arial" w:cs="Arial"/>
          <w:b/>
          <w:bCs/>
        </w:rPr>
        <w:t xml:space="preserve">On appeal from: </w:t>
      </w:r>
      <w:r w:rsidR="00BE49F0" w:rsidRPr="00055B58">
        <w:rPr>
          <w:rFonts w:ascii="Arial" w:hAnsi="Arial" w:cs="Arial"/>
          <w:bCs/>
        </w:rPr>
        <w:t>Gauteng Local</w:t>
      </w:r>
      <w:r w:rsidR="00B259DD" w:rsidRPr="00055B58">
        <w:rPr>
          <w:rFonts w:ascii="Arial" w:hAnsi="Arial" w:cs="Arial"/>
          <w:bCs/>
        </w:rPr>
        <w:t xml:space="preserve"> Division of the High Court, </w:t>
      </w:r>
      <w:r w:rsidR="00BE49F0" w:rsidRPr="00055B58">
        <w:rPr>
          <w:rFonts w:ascii="Arial" w:hAnsi="Arial" w:cs="Arial"/>
          <w:bCs/>
        </w:rPr>
        <w:t>Johannesburg</w:t>
      </w:r>
      <w:r w:rsidR="00D35101" w:rsidRPr="00055B58">
        <w:rPr>
          <w:rFonts w:ascii="Arial" w:hAnsi="Arial" w:cs="Arial"/>
          <w:bCs/>
        </w:rPr>
        <w:t xml:space="preserve"> </w:t>
      </w:r>
      <w:r w:rsidR="00AE43C6" w:rsidRPr="00055B58">
        <w:rPr>
          <w:rFonts w:ascii="Arial" w:hAnsi="Arial" w:cs="Arial"/>
          <w:bCs/>
        </w:rPr>
        <w:t>(</w:t>
      </w:r>
      <w:proofErr w:type="spellStart"/>
      <w:r w:rsidR="00BE49F0" w:rsidRPr="00055B58">
        <w:rPr>
          <w:rFonts w:ascii="Arial" w:hAnsi="Arial" w:cs="Arial"/>
          <w:bCs/>
        </w:rPr>
        <w:t>Yacoob</w:t>
      </w:r>
      <w:proofErr w:type="spellEnd"/>
      <w:r w:rsidR="00BE49F0" w:rsidRPr="00055B58">
        <w:rPr>
          <w:rFonts w:ascii="Arial" w:hAnsi="Arial" w:cs="Arial"/>
          <w:bCs/>
        </w:rPr>
        <w:t xml:space="preserve"> J</w:t>
      </w:r>
      <w:r w:rsidR="00D35101" w:rsidRPr="00055B58">
        <w:rPr>
          <w:rFonts w:ascii="Arial" w:hAnsi="Arial" w:cs="Arial"/>
          <w:bCs/>
        </w:rPr>
        <w:t xml:space="preserve">), </w:t>
      </w:r>
      <w:r w:rsidR="002C6925" w:rsidRPr="00055B58">
        <w:rPr>
          <w:rFonts w:ascii="Arial" w:hAnsi="Arial" w:cs="Arial"/>
          <w:bCs/>
        </w:rPr>
        <w:t>sitting as court of</w:t>
      </w:r>
      <w:r w:rsidR="0073103F" w:rsidRPr="00055B58">
        <w:rPr>
          <w:rFonts w:ascii="Arial" w:hAnsi="Arial" w:cs="Arial"/>
          <w:bCs/>
        </w:rPr>
        <w:t xml:space="preserve"> </w:t>
      </w:r>
      <w:r w:rsidR="007D1C94" w:rsidRPr="00055B58">
        <w:rPr>
          <w:rFonts w:ascii="Arial" w:hAnsi="Arial" w:cs="Arial"/>
          <w:bCs/>
        </w:rPr>
        <w:t>first instance</w:t>
      </w:r>
      <w:r w:rsidR="00680A12" w:rsidRPr="00055B58">
        <w:rPr>
          <w:rFonts w:ascii="Arial" w:hAnsi="Arial" w:cs="Arial"/>
          <w:bCs/>
        </w:rPr>
        <w:t>:</w:t>
      </w:r>
    </w:p>
    <w:p w14:paraId="2877FD4B" w14:textId="77777777" w:rsidR="002429D2" w:rsidRPr="00055B58" w:rsidRDefault="002429D2" w:rsidP="00BA0036">
      <w:pPr>
        <w:spacing w:line="360" w:lineRule="auto"/>
        <w:jc w:val="both"/>
        <w:rPr>
          <w:rFonts w:ascii="Arial" w:hAnsi="Arial" w:cs="Arial"/>
          <w:bCs/>
        </w:rPr>
      </w:pPr>
    </w:p>
    <w:p w14:paraId="419D5732" w14:textId="4C26E092" w:rsidR="000F61A3" w:rsidRPr="00055B58" w:rsidRDefault="000F61A3" w:rsidP="00BA0036">
      <w:pPr>
        <w:tabs>
          <w:tab w:val="left" w:pos="0"/>
        </w:tabs>
        <w:spacing w:line="360" w:lineRule="auto"/>
        <w:ind w:hanging="1800"/>
        <w:jc w:val="both"/>
        <w:rPr>
          <w:rFonts w:ascii="Arial" w:hAnsi="Arial" w:cs="Arial"/>
        </w:rPr>
      </w:pPr>
      <w:r w:rsidRPr="00055B58">
        <w:rPr>
          <w:rFonts w:ascii="Arial" w:hAnsi="Arial" w:cs="Arial"/>
        </w:rPr>
        <w:tab/>
        <w:t xml:space="preserve">The appeal is dismissed with costs, including the costs of two counsel. </w:t>
      </w:r>
    </w:p>
    <w:p w14:paraId="0E72150B" w14:textId="77777777" w:rsidR="00BE49F0" w:rsidRPr="00055B58" w:rsidRDefault="00BE49F0" w:rsidP="00BA0036">
      <w:pPr>
        <w:pBdr>
          <w:bottom w:val="single" w:sz="12" w:space="1" w:color="auto"/>
        </w:pBdr>
        <w:spacing w:line="360" w:lineRule="auto"/>
        <w:contextualSpacing/>
        <w:jc w:val="both"/>
        <w:rPr>
          <w:rFonts w:ascii="Arial" w:hAnsi="Arial" w:cs="Arial"/>
          <w:sz w:val="16"/>
          <w:szCs w:val="16"/>
        </w:rPr>
      </w:pPr>
    </w:p>
    <w:p w14:paraId="499DFC0C" w14:textId="77777777" w:rsidR="00BE49F0" w:rsidRPr="00055B58" w:rsidRDefault="00BE49F0" w:rsidP="00BA0036">
      <w:pPr>
        <w:pBdr>
          <w:bottom w:val="single" w:sz="12" w:space="1" w:color="auto"/>
        </w:pBdr>
        <w:spacing w:line="360" w:lineRule="auto"/>
        <w:contextualSpacing/>
        <w:jc w:val="both"/>
        <w:rPr>
          <w:rFonts w:ascii="Arial" w:hAnsi="Arial" w:cs="Arial"/>
          <w:sz w:val="16"/>
          <w:szCs w:val="16"/>
        </w:rPr>
      </w:pPr>
    </w:p>
    <w:p w14:paraId="4757D57C" w14:textId="77777777" w:rsidR="00B625EE" w:rsidRPr="00055B58" w:rsidRDefault="00B625EE" w:rsidP="00BA0036">
      <w:pPr>
        <w:spacing w:line="360" w:lineRule="auto"/>
        <w:jc w:val="both"/>
        <w:rPr>
          <w:rFonts w:ascii="Arial" w:eastAsia="MS Mincho" w:hAnsi="Arial" w:cs="Arial"/>
          <w:b/>
          <w:sz w:val="20"/>
          <w:szCs w:val="20"/>
        </w:rPr>
      </w:pPr>
    </w:p>
    <w:p w14:paraId="0FA5D3EF" w14:textId="77777777" w:rsidR="00B625EE" w:rsidRPr="00055B58" w:rsidRDefault="00B625EE" w:rsidP="00BA0036">
      <w:pPr>
        <w:pBdr>
          <w:bottom w:val="single" w:sz="12" w:space="1" w:color="auto"/>
        </w:pBdr>
        <w:spacing w:line="360" w:lineRule="auto"/>
        <w:jc w:val="center"/>
        <w:rPr>
          <w:rFonts w:ascii="Arial" w:hAnsi="Arial" w:cs="Arial"/>
          <w:b/>
        </w:rPr>
      </w:pPr>
      <w:r w:rsidRPr="00055B58">
        <w:rPr>
          <w:rFonts w:ascii="Arial" w:hAnsi="Arial" w:cs="Arial"/>
          <w:b/>
        </w:rPr>
        <w:t>JUDGMENT</w:t>
      </w:r>
    </w:p>
    <w:p w14:paraId="67C04227" w14:textId="77777777" w:rsidR="00B625EE" w:rsidRPr="00055B58" w:rsidRDefault="00B625EE" w:rsidP="00BA0036">
      <w:pPr>
        <w:pBdr>
          <w:bottom w:val="single" w:sz="12" w:space="1" w:color="auto"/>
        </w:pBdr>
        <w:spacing w:line="360" w:lineRule="auto"/>
        <w:jc w:val="center"/>
        <w:rPr>
          <w:rFonts w:ascii="Arial" w:hAnsi="Arial" w:cs="Arial"/>
          <w:b/>
          <w:sz w:val="16"/>
          <w:szCs w:val="16"/>
        </w:rPr>
      </w:pPr>
    </w:p>
    <w:p w14:paraId="55B6B333" w14:textId="77777777" w:rsidR="00B625EE" w:rsidRPr="00055B58" w:rsidRDefault="00B625EE" w:rsidP="00BA0036">
      <w:pPr>
        <w:spacing w:line="360" w:lineRule="auto"/>
        <w:jc w:val="both"/>
        <w:rPr>
          <w:rFonts w:ascii="Arial" w:eastAsia="MS Mincho" w:hAnsi="Arial" w:cs="Arial"/>
          <w:b/>
          <w:sz w:val="16"/>
          <w:szCs w:val="16"/>
        </w:rPr>
      </w:pPr>
    </w:p>
    <w:p w14:paraId="0F44167C" w14:textId="4FCF7DFE" w:rsidR="00B625EE" w:rsidRPr="00055B58" w:rsidRDefault="00B625EE" w:rsidP="00BA0036">
      <w:pPr>
        <w:spacing w:line="360" w:lineRule="auto"/>
        <w:jc w:val="both"/>
        <w:rPr>
          <w:rFonts w:ascii="Arial" w:hAnsi="Arial" w:cs="Arial"/>
          <w:b/>
          <w:lang w:val="en-ZA"/>
        </w:rPr>
      </w:pPr>
      <w:r w:rsidRPr="00055B58">
        <w:rPr>
          <w:rFonts w:ascii="Arial" w:hAnsi="Arial" w:cs="Arial"/>
          <w:b/>
        </w:rPr>
        <w:t>Van der Merwe</w:t>
      </w:r>
      <w:r w:rsidR="005D0CD5" w:rsidRPr="00055B58">
        <w:rPr>
          <w:rFonts w:ascii="Arial" w:hAnsi="Arial" w:cs="Arial"/>
          <w:b/>
        </w:rPr>
        <w:t xml:space="preserve"> JA</w:t>
      </w:r>
      <w:r w:rsidRPr="00055B58">
        <w:rPr>
          <w:rFonts w:ascii="Arial" w:hAnsi="Arial" w:cs="Arial"/>
          <w:b/>
        </w:rPr>
        <w:t xml:space="preserve"> (</w:t>
      </w:r>
      <w:proofErr w:type="spellStart"/>
      <w:r w:rsidR="00165A9F" w:rsidRPr="00055B58">
        <w:rPr>
          <w:rFonts w:ascii="Arial" w:hAnsi="Arial" w:cs="Arial"/>
          <w:b/>
        </w:rPr>
        <w:t>Ponnan</w:t>
      </w:r>
      <w:proofErr w:type="spellEnd"/>
      <w:r w:rsidR="00165A9F" w:rsidRPr="00055B58">
        <w:rPr>
          <w:rFonts w:ascii="Arial" w:hAnsi="Arial" w:cs="Arial"/>
          <w:b/>
        </w:rPr>
        <w:t xml:space="preserve"> and </w:t>
      </w:r>
      <w:proofErr w:type="spellStart"/>
      <w:r w:rsidR="00165A9F" w:rsidRPr="00055B58">
        <w:rPr>
          <w:rFonts w:ascii="Arial" w:hAnsi="Arial" w:cs="Arial"/>
          <w:b/>
        </w:rPr>
        <w:t>Mothle</w:t>
      </w:r>
      <w:proofErr w:type="spellEnd"/>
      <w:r w:rsidR="00165A9F" w:rsidRPr="00055B58">
        <w:rPr>
          <w:rFonts w:ascii="Arial" w:hAnsi="Arial" w:cs="Arial"/>
          <w:b/>
        </w:rPr>
        <w:t xml:space="preserve"> JJA and </w:t>
      </w:r>
      <w:proofErr w:type="spellStart"/>
      <w:r w:rsidR="00165A9F" w:rsidRPr="00055B58">
        <w:rPr>
          <w:rFonts w:ascii="Arial" w:hAnsi="Arial" w:cs="Arial"/>
          <w:b/>
        </w:rPr>
        <w:t>Basson</w:t>
      </w:r>
      <w:proofErr w:type="spellEnd"/>
      <w:r w:rsidR="00165A9F" w:rsidRPr="00055B58">
        <w:rPr>
          <w:rFonts w:ascii="Arial" w:hAnsi="Arial" w:cs="Arial"/>
          <w:b/>
        </w:rPr>
        <w:t xml:space="preserve"> and </w:t>
      </w:r>
      <w:proofErr w:type="spellStart"/>
      <w:r w:rsidR="00165A9F" w:rsidRPr="00055B58">
        <w:rPr>
          <w:rFonts w:ascii="Arial" w:hAnsi="Arial" w:cs="Arial"/>
          <w:b/>
        </w:rPr>
        <w:t>Windell</w:t>
      </w:r>
      <w:proofErr w:type="spellEnd"/>
      <w:r w:rsidR="00165A9F" w:rsidRPr="00055B58">
        <w:rPr>
          <w:rFonts w:ascii="Arial" w:hAnsi="Arial" w:cs="Arial"/>
          <w:b/>
        </w:rPr>
        <w:t xml:space="preserve"> AJJA</w:t>
      </w:r>
      <w:r w:rsidR="008C3224" w:rsidRPr="00055B58">
        <w:rPr>
          <w:rFonts w:ascii="Arial" w:hAnsi="Arial" w:cs="Arial"/>
          <w:b/>
        </w:rPr>
        <w:t xml:space="preserve"> concurring</w:t>
      </w:r>
      <w:r w:rsidRPr="00055B58">
        <w:rPr>
          <w:rFonts w:ascii="Arial" w:hAnsi="Arial" w:cs="Arial"/>
          <w:b/>
        </w:rPr>
        <w:t>)</w:t>
      </w:r>
      <w:r w:rsidR="00BE49F0" w:rsidRPr="00055B58">
        <w:rPr>
          <w:rFonts w:ascii="Arial" w:hAnsi="Arial" w:cs="Arial"/>
          <w:b/>
        </w:rPr>
        <w:t>:</w:t>
      </w:r>
    </w:p>
    <w:p w14:paraId="203443A7" w14:textId="08BD03EE" w:rsidR="002F2AD4" w:rsidRPr="00055B58" w:rsidRDefault="00F243B3" w:rsidP="00BA0036">
      <w:pPr>
        <w:tabs>
          <w:tab w:val="left" w:pos="284"/>
        </w:tabs>
        <w:spacing w:line="360" w:lineRule="auto"/>
        <w:jc w:val="both"/>
        <w:rPr>
          <w:rFonts w:ascii="Arial" w:hAnsi="Arial" w:cs="Arial"/>
        </w:rPr>
      </w:pPr>
      <w:r w:rsidRPr="00055B58">
        <w:rPr>
          <w:rFonts w:ascii="Arial" w:hAnsi="Arial" w:cs="Arial"/>
        </w:rPr>
        <w:t>[1]</w:t>
      </w:r>
      <w:r w:rsidRPr="00055B58">
        <w:rPr>
          <w:rFonts w:ascii="Arial" w:hAnsi="Arial" w:cs="Arial"/>
        </w:rPr>
        <w:tab/>
      </w:r>
      <w:r w:rsidR="00855DDC" w:rsidRPr="00055B58">
        <w:rPr>
          <w:rFonts w:ascii="Arial" w:hAnsi="Arial" w:cs="Arial"/>
        </w:rPr>
        <w:tab/>
      </w:r>
      <w:r w:rsidR="008A051F" w:rsidRPr="00055B58">
        <w:rPr>
          <w:rFonts w:ascii="Arial" w:hAnsi="Arial" w:cs="Arial"/>
        </w:rPr>
        <w:t xml:space="preserve"> </w:t>
      </w:r>
      <w:r w:rsidR="00B66D04" w:rsidRPr="00055B58">
        <w:rPr>
          <w:rFonts w:ascii="Arial" w:hAnsi="Arial" w:cs="Arial"/>
        </w:rPr>
        <w:t xml:space="preserve">In terms of s 32 of the Financial Sector Regulation Act 9 of 2017, the first respondent, the Prudential Authority, is a juristic person that operates within the administration of the South African Reserve Bank. On 6 November 2018, the Prudential Authority obtained orders in the Gauteng Local Division, Johannesburg (the high court) placing </w:t>
      </w:r>
      <w:proofErr w:type="spellStart"/>
      <w:r w:rsidR="00B66D04" w:rsidRPr="00055B58">
        <w:rPr>
          <w:rFonts w:ascii="Arial" w:hAnsi="Arial" w:cs="Arial"/>
        </w:rPr>
        <w:t>Bophelo</w:t>
      </w:r>
      <w:proofErr w:type="spellEnd"/>
      <w:r w:rsidR="00B66D04" w:rsidRPr="00055B58">
        <w:rPr>
          <w:rFonts w:ascii="Arial" w:hAnsi="Arial" w:cs="Arial"/>
        </w:rPr>
        <w:t xml:space="preserve"> Life Insurance Company Limited (</w:t>
      </w:r>
      <w:proofErr w:type="spellStart"/>
      <w:r w:rsidR="00B66D04" w:rsidRPr="00055B58">
        <w:rPr>
          <w:rFonts w:ascii="Arial" w:hAnsi="Arial" w:cs="Arial"/>
        </w:rPr>
        <w:t>Bophelo</w:t>
      </w:r>
      <w:proofErr w:type="spellEnd"/>
      <w:r w:rsidR="00B66D04" w:rsidRPr="00055B58">
        <w:rPr>
          <w:rFonts w:ascii="Arial" w:hAnsi="Arial" w:cs="Arial"/>
        </w:rPr>
        <w:t xml:space="preserve">) and </w:t>
      </w:r>
      <w:proofErr w:type="spellStart"/>
      <w:r w:rsidR="00B66D04" w:rsidRPr="00055B58">
        <w:rPr>
          <w:rFonts w:ascii="Arial" w:hAnsi="Arial" w:cs="Arial"/>
        </w:rPr>
        <w:t>Nzalo</w:t>
      </w:r>
      <w:proofErr w:type="spellEnd"/>
      <w:r w:rsidR="00B66D04" w:rsidRPr="00055B58">
        <w:rPr>
          <w:rFonts w:ascii="Arial" w:hAnsi="Arial" w:cs="Arial"/>
        </w:rPr>
        <w:t xml:space="preserve"> Insurance Services Limited (</w:t>
      </w:r>
      <w:proofErr w:type="spellStart"/>
      <w:r w:rsidR="00B66D04" w:rsidRPr="00055B58">
        <w:rPr>
          <w:rFonts w:ascii="Arial" w:hAnsi="Arial" w:cs="Arial"/>
        </w:rPr>
        <w:t>Nzalo</w:t>
      </w:r>
      <w:proofErr w:type="spellEnd"/>
      <w:r w:rsidR="00B66D04" w:rsidRPr="00055B58">
        <w:rPr>
          <w:rFonts w:ascii="Arial" w:hAnsi="Arial" w:cs="Arial"/>
        </w:rPr>
        <w:t>) under provisional curatorship in terms of s 54(1) of the Insurance Act 18 of 2017 (the Insurance Act). Whilst these orders were in force and</w:t>
      </w:r>
      <w:r w:rsidR="003317C7" w:rsidRPr="00055B58">
        <w:rPr>
          <w:rFonts w:ascii="Arial" w:hAnsi="Arial" w:cs="Arial"/>
        </w:rPr>
        <w:t>,</w:t>
      </w:r>
      <w:r w:rsidR="00B66D04" w:rsidRPr="00055B58">
        <w:rPr>
          <w:rFonts w:ascii="Arial" w:hAnsi="Arial" w:cs="Arial"/>
        </w:rPr>
        <w:t xml:space="preserve"> at the instance of </w:t>
      </w:r>
      <w:r w:rsidR="00B66D04" w:rsidRPr="00055B58">
        <w:rPr>
          <w:rFonts w:ascii="Arial" w:hAnsi="Arial" w:cs="Arial"/>
        </w:rPr>
        <w:lastRenderedPageBreak/>
        <w:t xml:space="preserve">the Prudential Authority, the high court </w:t>
      </w:r>
      <w:r w:rsidR="009A1485" w:rsidRPr="00055B58">
        <w:rPr>
          <w:rFonts w:ascii="Arial" w:hAnsi="Arial" w:cs="Arial"/>
        </w:rPr>
        <w:t xml:space="preserve">placed </w:t>
      </w:r>
      <w:proofErr w:type="spellStart"/>
      <w:r w:rsidR="009A1485" w:rsidRPr="00055B58">
        <w:rPr>
          <w:rFonts w:ascii="Arial" w:hAnsi="Arial" w:cs="Arial"/>
        </w:rPr>
        <w:t>Bophelo</w:t>
      </w:r>
      <w:proofErr w:type="spellEnd"/>
      <w:r w:rsidR="00B66D04" w:rsidRPr="00055B58">
        <w:rPr>
          <w:rFonts w:ascii="Arial" w:hAnsi="Arial" w:cs="Arial"/>
        </w:rPr>
        <w:t xml:space="preserve"> and </w:t>
      </w:r>
      <w:proofErr w:type="spellStart"/>
      <w:r w:rsidR="00B66D04" w:rsidRPr="00055B58">
        <w:rPr>
          <w:rFonts w:ascii="Arial" w:hAnsi="Arial" w:cs="Arial"/>
        </w:rPr>
        <w:t>Nzalo</w:t>
      </w:r>
      <w:proofErr w:type="spellEnd"/>
      <w:r w:rsidR="00B66D04" w:rsidRPr="00055B58">
        <w:rPr>
          <w:rFonts w:ascii="Arial" w:hAnsi="Arial" w:cs="Arial"/>
        </w:rPr>
        <w:t xml:space="preserve"> under pro</w:t>
      </w:r>
      <w:r w:rsidR="005B2185" w:rsidRPr="00055B58">
        <w:rPr>
          <w:rFonts w:ascii="Arial" w:hAnsi="Arial" w:cs="Arial"/>
        </w:rPr>
        <w:t>visional winding-up. Eventually</w:t>
      </w:r>
      <w:r w:rsidR="00B66D04" w:rsidRPr="00055B58">
        <w:rPr>
          <w:rFonts w:ascii="Arial" w:hAnsi="Arial" w:cs="Arial"/>
        </w:rPr>
        <w:t xml:space="preserve"> the high court discharged the provisional curatorship orders and made final liquidation orders in respect of </w:t>
      </w:r>
      <w:r w:rsidR="003317C7" w:rsidRPr="00055B58">
        <w:rPr>
          <w:rFonts w:ascii="Arial" w:hAnsi="Arial" w:cs="Arial"/>
        </w:rPr>
        <w:t>both of them</w:t>
      </w:r>
      <w:r w:rsidR="00B66D04" w:rsidRPr="00055B58">
        <w:rPr>
          <w:rFonts w:ascii="Arial" w:hAnsi="Arial" w:cs="Arial"/>
        </w:rPr>
        <w:t xml:space="preserve">. The appellant, </w:t>
      </w:r>
      <w:proofErr w:type="spellStart"/>
      <w:r w:rsidR="00B66D04" w:rsidRPr="00055B58">
        <w:rPr>
          <w:rFonts w:ascii="Arial" w:hAnsi="Arial" w:cs="Arial"/>
        </w:rPr>
        <w:t>Lebashe</w:t>
      </w:r>
      <w:proofErr w:type="spellEnd"/>
      <w:r w:rsidR="00B66D04" w:rsidRPr="00055B58">
        <w:rPr>
          <w:rFonts w:ascii="Arial" w:hAnsi="Arial" w:cs="Arial"/>
        </w:rPr>
        <w:t xml:space="preserve"> Financial </w:t>
      </w:r>
      <w:r w:rsidR="0092678F" w:rsidRPr="00055B58">
        <w:rPr>
          <w:rFonts w:ascii="Arial" w:hAnsi="Arial" w:cs="Arial"/>
        </w:rPr>
        <w:t>Services</w:t>
      </w:r>
      <w:r w:rsidR="00B66D04" w:rsidRPr="00055B58">
        <w:rPr>
          <w:rFonts w:ascii="Arial" w:hAnsi="Arial" w:cs="Arial"/>
        </w:rPr>
        <w:t xml:space="preserve"> (Pty) Ltd (</w:t>
      </w:r>
      <w:proofErr w:type="spellStart"/>
      <w:r w:rsidR="00B66D04" w:rsidRPr="00055B58">
        <w:rPr>
          <w:rFonts w:ascii="Arial" w:hAnsi="Arial" w:cs="Arial"/>
        </w:rPr>
        <w:t>Lebashe</w:t>
      </w:r>
      <w:proofErr w:type="spellEnd"/>
      <w:r w:rsidR="00B66D04" w:rsidRPr="00055B58">
        <w:rPr>
          <w:rFonts w:ascii="Arial" w:hAnsi="Arial" w:cs="Arial"/>
        </w:rPr>
        <w:t>), which had by agreement been granted leave to intervene in the liquidation</w:t>
      </w:r>
      <w:r w:rsidR="002F540F" w:rsidRPr="00055B58">
        <w:rPr>
          <w:rFonts w:ascii="Arial" w:hAnsi="Arial" w:cs="Arial"/>
        </w:rPr>
        <w:t xml:space="preserve"> applications, obtained leave from the high court to appeal to this court. </w:t>
      </w:r>
      <w:proofErr w:type="spellStart"/>
      <w:r w:rsidR="002F540F" w:rsidRPr="00055B58">
        <w:rPr>
          <w:rFonts w:ascii="Arial" w:hAnsi="Arial" w:cs="Arial"/>
        </w:rPr>
        <w:t>Lebashe</w:t>
      </w:r>
      <w:proofErr w:type="spellEnd"/>
      <w:r w:rsidR="002F540F" w:rsidRPr="00055B58">
        <w:rPr>
          <w:rFonts w:ascii="Arial" w:hAnsi="Arial" w:cs="Arial"/>
        </w:rPr>
        <w:t>, in essence, seeks to have the liquidation orders</w:t>
      </w:r>
      <w:r w:rsidR="0092678F" w:rsidRPr="00055B58">
        <w:rPr>
          <w:rFonts w:ascii="Arial" w:hAnsi="Arial" w:cs="Arial"/>
        </w:rPr>
        <w:t xml:space="preserve"> overturned and the </w:t>
      </w:r>
      <w:proofErr w:type="spellStart"/>
      <w:r w:rsidR="0092678F" w:rsidRPr="00055B58">
        <w:rPr>
          <w:rFonts w:ascii="Arial" w:hAnsi="Arial" w:cs="Arial"/>
        </w:rPr>
        <w:t>curatorships</w:t>
      </w:r>
      <w:proofErr w:type="spellEnd"/>
      <w:r w:rsidR="0092678F" w:rsidRPr="00055B58">
        <w:rPr>
          <w:rFonts w:ascii="Arial" w:hAnsi="Arial" w:cs="Arial"/>
        </w:rPr>
        <w:t xml:space="preserve"> reinstated. The main issues are whether</w:t>
      </w:r>
      <w:r w:rsidR="00AC49CD" w:rsidRPr="00055B58">
        <w:rPr>
          <w:rFonts w:ascii="Arial" w:hAnsi="Arial" w:cs="Arial"/>
        </w:rPr>
        <w:t>: firstly,</w:t>
      </w:r>
      <w:r w:rsidR="0092678F" w:rsidRPr="00055B58">
        <w:rPr>
          <w:rFonts w:ascii="Arial" w:hAnsi="Arial" w:cs="Arial"/>
        </w:rPr>
        <w:t xml:space="preserve"> </w:t>
      </w:r>
      <w:proofErr w:type="spellStart"/>
      <w:r w:rsidR="0092678F" w:rsidRPr="00055B58">
        <w:rPr>
          <w:rFonts w:ascii="Arial" w:hAnsi="Arial" w:cs="Arial"/>
        </w:rPr>
        <w:t>Lebashe</w:t>
      </w:r>
      <w:proofErr w:type="spellEnd"/>
      <w:r w:rsidR="0092678F" w:rsidRPr="00055B58">
        <w:rPr>
          <w:rFonts w:ascii="Arial" w:hAnsi="Arial" w:cs="Arial"/>
        </w:rPr>
        <w:t xml:space="preserve"> has standing to obtain that relief on appeal and</w:t>
      </w:r>
      <w:r w:rsidR="00FE1355" w:rsidRPr="00055B58">
        <w:rPr>
          <w:rFonts w:ascii="Arial" w:hAnsi="Arial" w:cs="Arial"/>
        </w:rPr>
        <w:t>, secondly</w:t>
      </w:r>
      <w:r w:rsidR="00AC49CD" w:rsidRPr="00055B58">
        <w:rPr>
          <w:rFonts w:ascii="Arial" w:hAnsi="Arial" w:cs="Arial"/>
        </w:rPr>
        <w:t xml:space="preserve">, </w:t>
      </w:r>
      <w:r w:rsidR="00720EA3" w:rsidRPr="00055B58">
        <w:rPr>
          <w:rFonts w:ascii="Arial" w:hAnsi="Arial" w:cs="Arial"/>
        </w:rPr>
        <w:t>a proper case has been made out for such relief</w:t>
      </w:r>
      <w:r w:rsidR="0092678F" w:rsidRPr="00055B58">
        <w:rPr>
          <w:rFonts w:ascii="Arial" w:hAnsi="Arial" w:cs="Arial"/>
        </w:rPr>
        <w:t xml:space="preserve">. Only </w:t>
      </w:r>
      <w:proofErr w:type="spellStart"/>
      <w:r w:rsidR="0092678F" w:rsidRPr="00055B58">
        <w:rPr>
          <w:rFonts w:ascii="Arial" w:hAnsi="Arial" w:cs="Arial"/>
        </w:rPr>
        <w:t>Lebashe</w:t>
      </w:r>
      <w:proofErr w:type="spellEnd"/>
      <w:r w:rsidR="0092678F" w:rsidRPr="00055B58">
        <w:rPr>
          <w:rFonts w:ascii="Arial" w:hAnsi="Arial" w:cs="Arial"/>
        </w:rPr>
        <w:t xml:space="preserve"> and the Prudential Authority took part in the appeal. </w:t>
      </w:r>
    </w:p>
    <w:p w14:paraId="3D03B2E6" w14:textId="77777777" w:rsidR="00711397" w:rsidRPr="00055B58" w:rsidRDefault="00711397" w:rsidP="00BA0036">
      <w:pPr>
        <w:tabs>
          <w:tab w:val="left" w:pos="284"/>
        </w:tabs>
        <w:spacing w:line="360" w:lineRule="auto"/>
        <w:jc w:val="both"/>
        <w:rPr>
          <w:rFonts w:ascii="Arial" w:hAnsi="Arial" w:cs="Arial"/>
        </w:rPr>
      </w:pPr>
    </w:p>
    <w:p w14:paraId="253D754F" w14:textId="002EA928" w:rsidR="00223F39" w:rsidRPr="00055B58" w:rsidRDefault="00711397" w:rsidP="00BA0036">
      <w:pPr>
        <w:tabs>
          <w:tab w:val="left" w:pos="284"/>
        </w:tabs>
        <w:spacing w:line="360" w:lineRule="auto"/>
        <w:jc w:val="both"/>
        <w:rPr>
          <w:rFonts w:ascii="Arial" w:hAnsi="Arial" w:cs="Arial"/>
          <w:b/>
        </w:rPr>
      </w:pPr>
      <w:r w:rsidRPr="00055B58">
        <w:rPr>
          <w:rFonts w:ascii="Arial" w:hAnsi="Arial" w:cs="Arial"/>
          <w:b/>
        </w:rPr>
        <w:t>Background</w:t>
      </w:r>
    </w:p>
    <w:p w14:paraId="7C88DE9C" w14:textId="778C978E" w:rsidR="00DD43F3" w:rsidRPr="00055B58" w:rsidRDefault="00223F39" w:rsidP="00BA0036">
      <w:pPr>
        <w:tabs>
          <w:tab w:val="left" w:pos="284"/>
        </w:tabs>
        <w:spacing w:line="360" w:lineRule="auto"/>
        <w:jc w:val="both"/>
        <w:rPr>
          <w:rFonts w:ascii="Arial" w:hAnsi="Arial" w:cs="Arial"/>
        </w:rPr>
      </w:pPr>
      <w:r w:rsidRPr="00055B58">
        <w:rPr>
          <w:rFonts w:ascii="Arial" w:hAnsi="Arial" w:cs="Arial"/>
        </w:rPr>
        <w:t>[2]</w:t>
      </w:r>
      <w:r w:rsidRPr="00055B58">
        <w:rPr>
          <w:rFonts w:ascii="Arial" w:hAnsi="Arial" w:cs="Arial"/>
        </w:rPr>
        <w:tab/>
      </w:r>
      <w:r w:rsidRPr="00055B58">
        <w:rPr>
          <w:rFonts w:ascii="Arial" w:hAnsi="Arial" w:cs="Arial"/>
        </w:rPr>
        <w:tab/>
      </w:r>
      <w:proofErr w:type="spellStart"/>
      <w:r w:rsidR="00E02B7F" w:rsidRPr="00055B58">
        <w:rPr>
          <w:rFonts w:ascii="Arial" w:hAnsi="Arial" w:cs="Arial"/>
        </w:rPr>
        <w:t>Bophelo</w:t>
      </w:r>
      <w:proofErr w:type="spellEnd"/>
      <w:r w:rsidR="00E02B7F" w:rsidRPr="00055B58">
        <w:rPr>
          <w:rFonts w:ascii="Arial" w:hAnsi="Arial" w:cs="Arial"/>
        </w:rPr>
        <w:t xml:space="preserve"> and </w:t>
      </w:r>
      <w:proofErr w:type="spellStart"/>
      <w:r w:rsidR="00E02B7F" w:rsidRPr="00055B58">
        <w:rPr>
          <w:rFonts w:ascii="Arial" w:hAnsi="Arial" w:cs="Arial"/>
        </w:rPr>
        <w:t>Nzalo</w:t>
      </w:r>
      <w:proofErr w:type="spellEnd"/>
      <w:r w:rsidR="00E02B7F" w:rsidRPr="00055B58">
        <w:rPr>
          <w:rFonts w:ascii="Arial" w:hAnsi="Arial" w:cs="Arial"/>
        </w:rPr>
        <w:t xml:space="preserve"> are public companies that were licensed to conduct insurance business under the Insurance Act. On 10 April 2014, </w:t>
      </w:r>
      <w:proofErr w:type="spellStart"/>
      <w:r w:rsidR="00E02B7F" w:rsidRPr="00055B58">
        <w:rPr>
          <w:rFonts w:ascii="Arial" w:hAnsi="Arial" w:cs="Arial"/>
        </w:rPr>
        <w:t>Bophelo</w:t>
      </w:r>
      <w:proofErr w:type="spellEnd"/>
      <w:r w:rsidR="00E02B7F" w:rsidRPr="00055B58">
        <w:rPr>
          <w:rFonts w:ascii="Arial" w:hAnsi="Arial" w:cs="Arial"/>
        </w:rPr>
        <w:t xml:space="preserve"> was licensed as a long-term insurer. </w:t>
      </w:r>
      <w:proofErr w:type="spellStart"/>
      <w:r w:rsidR="00E02B7F" w:rsidRPr="00055B58">
        <w:rPr>
          <w:rFonts w:ascii="Arial" w:hAnsi="Arial" w:cs="Arial"/>
        </w:rPr>
        <w:t>Nzalo</w:t>
      </w:r>
      <w:proofErr w:type="spellEnd"/>
      <w:r w:rsidR="00E02B7F" w:rsidRPr="00055B58">
        <w:rPr>
          <w:rFonts w:ascii="Arial" w:hAnsi="Arial" w:cs="Arial"/>
        </w:rPr>
        <w:t xml:space="preserve"> was licensed as a short-term insurer on 2 November 2016. </w:t>
      </w:r>
      <w:proofErr w:type="spellStart"/>
      <w:r w:rsidR="00E02B7F" w:rsidRPr="00055B58">
        <w:rPr>
          <w:rFonts w:ascii="Arial" w:hAnsi="Arial" w:cs="Arial"/>
        </w:rPr>
        <w:t>Bophelo</w:t>
      </w:r>
      <w:proofErr w:type="spellEnd"/>
      <w:r w:rsidR="00E02B7F" w:rsidRPr="00055B58">
        <w:rPr>
          <w:rFonts w:ascii="Arial" w:hAnsi="Arial" w:cs="Arial"/>
        </w:rPr>
        <w:t xml:space="preserve"> and </w:t>
      </w:r>
      <w:proofErr w:type="spellStart"/>
      <w:r w:rsidR="00E02B7F" w:rsidRPr="00055B58">
        <w:rPr>
          <w:rFonts w:ascii="Arial" w:hAnsi="Arial" w:cs="Arial"/>
        </w:rPr>
        <w:t>Nzalo</w:t>
      </w:r>
      <w:proofErr w:type="spellEnd"/>
      <w:r w:rsidR="00E02B7F" w:rsidRPr="00055B58">
        <w:rPr>
          <w:rFonts w:ascii="Arial" w:hAnsi="Arial" w:cs="Arial"/>
        </w:rPr>
        <w:t xml:space="preserve"> </w:t>
      </w:r>
      <w:r w:rsidR="00BA73F0" w:rsidRPr="00055B58">
        <w:rPr>
          <w:rFonts w:ascii="Arial" w:hAnsi="Arial" w:cs="Arial"/>
        </w:rPr>
        <w:t xml:space="preserve">(jointly referred to as the insurers) </w:t>
      </w:r>
      <w:r w:rsidR="00E02B7F" w:rsidRPr="00055B58">
        <w:rPr>
          <w:rFonts w:ascii="Arial" w:hAnsi="Arial" w:cs="Arial"/>
        </w:rPr>
        <w:t xml:space="preserve">are wholly owned by </w:t>
      </w:r>
      <w:proofErr w:type="spellStart"/>
      <w:r w:rsidR="00E02B7F" w:rsidRPr="00055B58">
        <w:rPr>
          <w:rFonts w:ascii="Arial" w:hAnsi="Arial" w:cs="Arial"/>
        </w:rPr>
        <w:t>Bophelo</w:t>
      </w:r>
      <w:proofErr w:type="spellEnd"/>
      <w:r w:rsidR="00E02B7F" w:rsidRPr="00055B58">
        <w:rPr>
          <w:rFonts w:ascii="Arial" w:hAnsi="Arial" w:cs="Arial"/>
        </w:rPr>
        <w:t xml:space="preserve"> Insurance Group Limited (BIG). Prior to the developments that I shall allude to, </w:t>
      </w:r>
      <w:proofErr w:type="spellStart"/>
      <w:r w:rsidR="00E02B7F" w:rsidRPr="00055B58">
        <w:rPr>
          <w:rFonts w:ascii="Arial" w:hAnsi="Arial" w:cs="Arial"/>
        </w:rPr>
        <w:t>Vele</w:t>
      </w:r>
      <w:proofErr w:type="spellEnd"/>
      <w:r w:rsidR="00E02B7F" w:rsidRPr="00055B58">
        <w:rPr>
          <w:rFonts w:ascii="Arial" w:hAnsi="Arial" w:cs="Arial"/>
        </w:rPr>
        <w:t xml:space="preserve"> Financial Group (Pty) Ltd (</w:t>
      </w:r>
      <w:proofErr w:type="spellStart"/>
      <w:r w:rsidR="00E02B7F" w:rsidRPr="00055B58">
        <w:rPr>
          <w:rFonts w:ascii="Arial" w:hAnsi="Arial" w:cs="Arial"/>
        </w:rPr>
        <w:t>Vele</w:t>
      </w:r>
      <w:proofErr w:type="spellEnd"/>
      <w:r w:rsidR="00E02B7F" w:rsidRPr="00055B58">
        <w:rPr>
          <w:rFonts w:ascii="Arial" w:hAnsi="Arial" w:cs="Arial"/>
        </w:rPr>
        <w:t xml:space="preserve">) held </w:t>
      </w:r>
      <w:r w:rsidR="00AC49CD" w:rsidRPr="00055B58">
        <w:rPr>
          <w:rFonts w:ascii="Arial" w:hAnsi="Arial" w:cs="Arial"/>
        </w:rPr>
        <w:t xml:space="preserve">a </w:t>
      </w:r>
      <w:r w:rsidR="00E02B7F" w:rsidRPr="00055B58">
        <w:rPr>
          <w:rFonts w:ascii="Arial" w:hAnsi="Arial" w:cs="Arial"/>
        </w:rPr>
        <w:t>70 per cent shareholding in BIG and the Public Investment Corporation (SOC) Limited held t</w:t>
      </w:r>
      <w:r w:rsidR="005B2185" w:rsidRPr="00055B58">
        <w:rPr>
          <w:rFonts w:ascii="Arial" w:hAnsi="Arial" w:cs="Arial"/>
        </w:rPr>
        <w:t xml:space="preserve">he remaining 30 per cent. </w:t>
      </w:r>
      <w:proofErr w:type="spellStart"/>
      <w:r w:rsidR="005B2185" w:rsidRPr="00055B58">
        <w:rPr>
          <w:rFonts w:ascii="Arial" w:hAnsi="Arial" w:cs="Arial"/>
        </w:rPr>
        <w:t>Vele</w:t>
      </w:r>
      <w:proofErr w:type="spellEnd"/>
      <w:r w:rsidR="005B2185" w:rsidRPr="00055B58">
        <w:rPr>
          <w:rFonts w:ascii="Arial" w:hAnsi="Arial" w:cs="Arial"/>
        </w:rPr>
        <w:t xml:space="preserve"> </w:t>
      </w:r>
      <w:r w:rsidR="00E02B7F" w:rsidRPr="00055B58">
        <w:rPr>
          <w:rFonts w:ascii="Arial" w:hAnsi="Arial" w:cs="Arial"/>
        </w:rPr>
        <w:t xml:space="preserve">was </w:t>
      </w:r>
      <w:r w:rsidR="005B2185" w:rsidRPr="00055B58">
        <w:rPr>
          <w:rFonts w:ascii="Arial" w:hAnsi="Arial" w:cs="Arial"/>
        </w:rPr>
        <w:t xml:space="preserve">also </w:t>
      </w:r>
      <w:r w:rsidR="00E02B7F" w:rsidRPr="00055B58">
        <w:rPr>
          <w:rFonts w:ascii="Arial" w:hAnsi="Arial" w:cs="Arial"/>
        </w:rPr>
        <w:t xml:space="preserve">a shareholder in VBS Mutual Bank Limited (VBS). </w:t>
      </w:r>
    </w:p>
    <w:p w14:paraId="3A1D14F1" w14:textId="77777777" w:rsidR="00E02B7F" w:rsidRPr="00055B58" w:rsidRDefault="00E02B7F" w:rsidP="00BA0036">
      <w:pPr>
        <w:tabs>
          <w:tab w:val="left" w:pos="284"/>
        </w:tabs>
        <w:spacing w:line="360" w:lineRule="auto"/>
        <w:jc w:val="both"/>
        <w:rPr>
          <w:rFonts w:ascii="Arial" w:hAnsi="Arial" w:cs="Arial"/>
          <w:b/>
        </w:rPr>
      </w:pPr>
    </w:p>
    <w:p w14:paraId="555C3DA1" w14:textId="77777777" w:rsidR="002E2C1D" w:rsidRPr="00055B58" w:rsidRDefault="00DD43F3" w:rsidP="00BA0036">
      <w:pPr>
        <w:tabs>
          <w:tab w:val="left" w:pos="284"/>
        </w:tabs>
        <w:spacing w:line="360" w:lineRule="auto"/>
        <w:jc w:val="both"/>
        <w:rPr>
          <w:rFonts w:ascii="Arial" w:hAnsi="Arial" w:cs="Arial"/>
        </w:rPr>
      </w:pPr>
      <w:r w:rsidRPr="00055B58">
        <w:rPr>
          <w:rFonts w:ascii="Arial" w:hAnsi="Arial" w:cs="Arial"/>
        </w:rPr>
        <w:t>[3]</w:t>
      </w:r>
      <w:r w:rsidRPr="00055B58">
        <w:rPr>
          <w:rFonts w:ascii="Arial" w:hAnsi="Arial" w:cs="Arial"/>
        </w:rPr>
        <w:tab/>
      </w:r>
      <w:r w:rsidRPr="00055B58">
        <w:rPr>
          <w:rFonts w:ascii="Arial" w:hAnsi="Arial" w:cs="Arial"/>
        </w:rPr>
        <w:tab/>
      </w:r>
      <w:r w:rsidR="002E2C1D" w:rsidRPr="00055B58">
        <w:rPr>
          <w:rFonts w:ascii="Arial" w:hAnsi="Arial" w:cs="Arial"/>
        </w:rPr>
        <w:t xml:space="preserve">Section 36(1) of the Insurance Act provides: </w:t>
      </w:r>
    </w:p>
    <w:p w14:paraId="048ED89D" w14:textId="77777777" w:rsidR="00920FEC" w:rsidRPr="00055B58" w:rsidRDefault="002E2C1D" w:rsidP="00BA0036">
      <w:pPr>
        <w:tabs>
          <w:tab w:val="left" w:pos="284"/>
        </w:tabs>
        <w:spacing w:line="360" w:lineRule="auto"/>
        <w:jc w:val="both"/>
        <w:rPr>
          <w:rFonts w:ascii="Arial" w:hAnsi="Arial" w:cs="Arial"/>
          <w:sz w:val="22"/>
          <w:szCs w:val="22"/>
        </w:rPr>
      </w:pPr>
      <w:r w:rsidRPr="00055B58">
        <w:rPr>
          <w:rFonts w:ascii="Arial" w:hAnsi="Arial" w:cs="Arial"/>
          <w:sz w:val="22"/>
          <w:szCs w:val="22"/>
        </w:rPr>
        <w:t>‘An insurer must at all times maintain its business in a financially sound condition, by holding eligible own funds that are at least equal to the minimum capital requirement or solvency capital requirement, as prescribed, whichever is the greater.’</w:t>
      </w:r>
    </w:p>
    <w:p w14:paraId="5D1A1901" w14:textId="2CD6BA40" w:rsidR="00DD43F3" w:rsidRPr="00055B58" w:rsidRDefault="00920FEC" w:rsidP="00BA0036">
      <w:pPr>
        <w:tabs>
          <w:tab w:val="left" w:pos="284"/>
        </w:tabs>
        <w:spacing w:line="360" w:lineRule="auto"/>
        <w:jc w:val="both"/>
        <w:rPr>
          <w:rFonts w:ascii="Arial" w:hAnsi="Arial" w:cs="Arial"/>
        </w:rPr>
      </w:pPr>
      <w:r w:rsidRPr="00055B58">
        <w:rPr>
          <w:rFonts w:ascii="Arial" w:hAnsi="Arial" w:cs="Arial"/>
        </w:rPr>
        <w:t xml:space="preserve">The Prudential Authority prescribes these requirements under s 36(6). In addition, it was a condition of the registration of </w:t>
      </w:r>
      <w:proofErr w:type="spellStart"/>
      <w:r w:rsidRPr="00055B58">
        <w:rPr>
          <w:rFonts w:ascii="Arial" w:hAnsi="Arial" w:cs="Arial"/>
        </w:rPr>
        <w:t>Bophelo</w:t>
      </w:r>
      <w:proofErr w:type="spellEnd"/>
      <w:r w:rsidRPr="00055B58">
        <w:rPr>
          <w:rFonts w:ascii="Arial" w:hAnsi="Arial" w:cs="Arial"/>
        </w:rPr>
        <w:t xml:space="preserve"> as an insurer that it </w:t>
      </w:r>
      <w:r w:rsidR="00047B8E" w:rsidRPr="00055B58">
        <w:rPr>
          <w:rFonts w:ascii="Arial" w:hAnsi="Arial" w:cs="Arial"/>
        </w:rPr>
        <w:t>had to</w:t>
      </w:r>
      <w:r w:rsidRPr="00055B58">
        <w:rPr>
          <w:rFonts w:ascii="Arial" w:hAnsi="Arial" w:cs="Arial"/>
        </w:rPr>
        <w:t xml:space="preserve"> maintain a capital adequacy cover of 1.2. This meant that capital held by </w:t>
      </w:r>
      <w:proofErr w:type="spellStart"/>
      <w:r w:rsidRPr="00055B58">
        <w:rPr>
          <w:rFonts w:ascii="Arial" w:hAnsi="Arial" w:cs="Arial"/>
        </w:rPr>
        <w:t>Bophelo</w:t>
      </w:r>
      <w:proofErr w:type="spellEnd"/>
      <w:r w:rsidRPr="00055B58">
        <w:rPr>
          <w:rFonts w:ascii="Arial" w:hAnsi="Arial" w:cs="Arial"/>
        </w:rPr>
        <w:t xml:space="preserve"> at any given time had to amount to at least 1.2 times the aggregate of its obligations to policyholders</w:t>
      </w:r>
      <w:r w:rsidR="009479D9" w:rsidRPr="00055B58">
        <w:rPr>
          <w:rFonts w:ascii="Arial" w:hAnsi="Arial" w:cs="Arial"/>
        </w:rPr>
        <w:t xml:space="preserve"> </w:t>
      </w:r>
      <w:r w:rsidRPr="00055B58">
        <w:rPr>
          <w:rFonts w:ascii="Arial" w:hAnsi="Arial" w:cs="Arial"/>
        </w:rPr>
        <w:t xml:space="preserve">and other liabilities. </w:t>
      </w:r>
    </w:p>
    <w:p w14:paraId="67E86EB2" w14:textId="77777777" w:rsidR="009479D9" w:rsidRPr="00055B58" w:rsidRDefault="009479D9" w:rsidP="00BA0036">
      <w:pPr>
        <w:tabs>
          <w:tab w:val="left" w:pos="284"/>
        </w:tabs>
        <w:spacing w:line="360" w:lineRule="auto"/>
        <w:jc w:val="both"/>
        <w:rPr>
          <w:rFonts w:ascii="Arial" w:hAnsi="Arial" w:cs="Arial"/>
        </w:rPr>
      </w:pPr>
    </w:p>
    <w:p w14:paraId="1828261F" w14:textId="2102B0D4" w:rsidR="009479D9" w:rsidRPr="00055B58" w:rsidRDefault="008C5614" w:rsidP="00BA0036">
      <w:pPr>
        <w:tabs>
          <w:tab w:val="left" w:pos="284"/>
        </w:tabs>
        <w:spacing w:line="360" w:lineRule="auto"/>
        <w:jc w:val="both"/>
        <w:rPr>
          <w:rFonts w:ascii="Arial" w:hAnsi="Arial" w:cs="Arial"/>
        </w:rPr>
      </w:pPr>
      <w:r w:rsidRPr="00055B58">
        <w:rPr>
          <w:rFonts w:ascii="Arial" w:hAnsi="Arial" w:cs="Arial"/>
        </w:rPr>
        <w:t>[4]</w:t>
      </w:r>
      <w:r w:rsidRPr="00055B58">
        <w:rPr>
          <w:rFonts w:ascii="Arial" w:hAnsi="Arial" w:cs="Arial"/>
        </w:rPr>
        <w:tab/>
      </w:r>
      <w:r w:rsidRPr="00055B58">
        <w:rPr>
          <w:rFonts w:ascii="Arial" w:hAnsi="Arial" w:cs="Arial"/>
        </w:rPr>
        <w:tab/>
      </w:r>
      <w:r w:rsidR="008C0AD7" w:rsidRPr="00055B58">
        <w:rPr>
          <w:rFonts w:ascii="Arial" w:hAnsi="Arial" w:cs="Arial"/>
        </w:rPr>
        <w:t xml:space="preserve">To comply with these requirements, </w:t>
      </w:r>
      <w:proofErr w:type="spellStart"/>
      <w:r w:rsidR="008C0AD7" w:rsidRPr="00055B58">
        <w:rPr>
          <w:rFonts w:ascii="Arial" w:hAnsi="Arial" w:cs="Arial"/>
        </w:rPr>
        <w:t>Bophelo</w:t>
      </w:r>
      <w:proofErr w:type="spellEnd"/>
      <w:r w:rsidR="008C0AD7" w:rsidRPr="00055B58">
        <w:rPr>
          <w:rFonts w:ascii="Arial" w:hAnsi="Arial" w:cs="Arial"/>
        </w:rPr>
        <w:t xml:space="preserve"> deposited an amount of approximately R114 million with VBS. That represented in the order of 68 per cent of </w:t>
      </w:r>
      <w:proofErr w:type="spellStart"/>
      <w:r w:rsidR="008C0AD7" w:rsidRPr="00055B58">
        <w:rPr>
          <w:rFonts w:ascii="Arial" w:hAnsi="Arial" w:cs="Arial"/>
        </w:rPr>
        <w:t>Bophelo’s</w:t>
      </w:r>
      <w:proofErr w:type="spellEnd"/>
      <w:r w:rsidR="008C0AD7" w:rsidRPr="00055B58">
        <w:rPr>
          <w:rFonts w:ascii="Arial" w:hAnsi="Arial" w:cs="Arial"/>
        </w:rPr>
        <w:t xml:space="preserve"> total assets. However, VBS was placed under curatorship in terms of the Banks Act 94 of 1990 during March 2015 and subsequently placed in final winding-up. </w:t>
      </w:r>
      <w:proofErr w:type="spellStart"/>
      <w:r w:rsidR="008C0AD7" w:rsidRPr="00055B58">
        <w:rPr>
          <w:rFonts w:ascii="Arial" w:hAnsi="Arial" w:cs="Arial"/>
        </w:rPr>
        <w:t>Lebashe</w:t>
      </w:r>
      <w:proofErr w:type="spellEnd"/>
      <w:r w:rsidR="008C0AD7" w:rsidRPr="00055B58">
        <w:rPr>
          <w:rFonts w:ascii="Arial" w:hAnsi="Arial" w:cs="Arial"/>
        </w:rPr>
        <w:t xml:space="preserve"> accepts that the deposit </w:t>
      </w:r>
      <w:r w:rsidR="00244E72" w:rsidRPr="00055B58">
        <w:rPr>
          <w:rFonts w:ascii="Arial" w:hAnsi="Arial" w:cs="Arial"/>
        </w:rPr>
        <w:t>of</w:t>
      </w:r>
      <w:r w:rsidR="008C0AD7" w:rsidRPr="00055B58">
        <w:rPr>
          <w:rFonts w:ascii="Arial" w:hAnsi="Arial" w:cs="Arial"/>
        </w:rPr>
        <w:t xml:space="preserve"> </w:t>
      </w:r>
      <w:proofErr w:type="spellStart"/>
      <w:r w:rsidR="008C0AD7" w:rsidRPr="00055B58">
        <w:rPr>
          <w:rFonts w:ascii="Arial" w:hAnsi="Arial" w:cs="Arial"/>
        </w:rPr>
        <w:t>Bophelo</w:t>
      </w:r>
      <w:proofErr w:type="spellEnd"/>
      <w:r w:rsidR="008C0AD7" w:rsidRPr="00055B58">
        <w:rPr>
          <w:rFonts w:ascii="Arial" w:hAnsi="Arial" w:cs="Arial"/>
        </w:rPr>
        <w:t xml:space="preserve"> was ‘effectively lost’. </w:t>
      </w:r>
      <w:r w:rsidR="00D77783" w:rsidRPr="00055B58">
        <w:rPr>
          <w:rFonts w:ascii="Arial" w:hAnsi="Arial" w:cs="Arial"/>
        </w:rPr>
        <w:t xml:space="preserve"> </w:t>
      </w:r>
    </w:p>
    <w:p w14:paraId="14732AC9" w14:textId="77777777" w:rsidR="00D77783" w:rsidRPr="00055B58" w:rsidRDefault="00D77783" w:rsidP="00BA0036">
      <w:pPr>
        <w:tabs>
          <w:tab w:val="left" w:pos="284"/>
        </w:tabs>
        <w:spacing w:line="360" w:lineRule="auto"/>
        <w:jc w:val="both"/>
        <w:rPr>
          <w:rFonts w:ascii="Arial" w:hAnsi="Arial" w:cs="Arial"/>
        </w:rPr>
      </w:pPr>
    </w:p>
    <w:p w14:paraId="213D1CAA" w14:textId="3B467836" w:rsidR="00D77783" w:rsidRPr="00055B58" w:rsidRDefault="00D77783" w:rsidP="00BA0036">
      <w:pPr>
        <w:tabs>
          <w:tab w:val="left" w:pos="284"/>
        </w:tabs>
        <w:spacing w:line="360" w:lineRule="auto"/>
        <w:jc w:val="both"/>
        <w:rPr>
          <w:rFonts w:ascii="Arial" w:hAnsi="Arial" w:cs="Arial"/>
        </w:rPr>
      </w:pPr>
      <w:r w:rsidRPr="00055B58">
        <w:rPr>
          <w:rFonts w:ascii="Arial" w:hAnsi="Arial" w:cs="Arial"/>
        </w:rPr>
        <w:lastRenderedPageBreak/>
        <w:t>[5]</w:t>
      </w:r>
      <w:r w:rsidRPr="00055B58">
        <w:rPr>
          <w:rFonts w:ascii="Arial" w:hAnsi="Arial" w:cs="Arial"/>
        </w:rPr>
        <w:tab/>
      </w:r>
      <w:r w:rsidRPr="00055B58">
        <w:rPr>
          <w:rFonts w:ascii="Arial" w:hAnsi="Arial" w:cs="Arial"/>
        </w:rPr>
        <w:tab/>
      </w:r>
      <w:r w:rsidR="001D7C4C" w:rsidRPr="00055B58">
        <w:rPr>
          <w:rFonts w:ascii="Arial" w:hAnsi="Arial" w:cs="Arial"/>
        </w:rPr>
        <w:t xml:space="preserve"> </w:t>
      </w:r>
      <w:r w:rsidR="00B108F4" w:rsidRPr="00055B58">
        <w:rPr>
          <w:rFonts w:ascii="Arial" w:hAnsi="Arial" w:cs="Arial"/>
        </w:rPr>
        <w:t xml:space="preserve">This understandably caused the Prudential Authority to become concerned about the financial soundness of </w:t>
      </w:r>
      <w:proofErr w:type="spellStart"/>
      <w:r w:rsidR="00B108F4" w:rsidRPr="00055B58">
        <w:rPr>
          <w:rFonts w:ascii="Arial" w:hAnsi="Arial" w:cs="Arial"/>
        </w:rPr>
        <w:t>Bophelo</w:t>
      </w:r>
      <w:proofErr w:type="spellEnd"/>
      <w:r w:rsidR="00B108F4" w:rsidRPr="00055B58">
        <w:rPr>
          <w:rFonts w:ascii="Arial" w:hAnsi="Arial" w:cs="Arial"/>
        </w:rPr>
        <w:t xml:space="preserve">. As </w:t>
      </w:r>
      <w:proofErr w:type="spellStart"/>
      <w:r w:rsidR="00B108F4" w:rsidRPr="00055B58">
        <w:rPr>
          <w:rFonts w:ascii="Arial" w:hAnsi="Arial" w:cs="Arial"/>
        </w:rPr>
        <w:t>Vele</w:t>
      </w:r>
      <w:proofErr w:type="spellEnd"/>
      <w:r w:rsidR="00B108F4" w:rsidRPr="00055B58">
        <w:rPr>
          <w:rFonts w:ascii="Arial" w:hAnsi="Arial" w:cs="Arial"/>
        </w:rPr>
        <w:t xml:space="preserve"> was a shareholder in both VBS and BIG, it also</w:t>
      </w:r>
      <w:r w:rsidR="00B74FAD" w:rsidRPr="00055B58">
        <w:rPr>
          <w:rFonts w:ascii="Arial" w:hAnsi="Arial" w:cs="Arial"/>
        </w:rPr>
        <w:t xml:space="preserve"> had concerns about the ability of BIG to continue to fund </w:t>
      </w:r>
      <w:proofErr w:type="spellStart"/>
      <w:r w:rsidR="00B74FAD" w:rsidRPr="00055B58">
        <w:rPr>
          <w:rFonts w:ascii="Arial" w:hAnsi="Arial" w:cs="Arial"/>
        </w:rPr>
        <w:t>Nzalo</w:t>
      </w:r>
      <w:proofErr w:type="spellEnd"/>
      <w:r w:rsidR="00B74FAD" w:rsidRPr="00055B58">
        <w:rPr>
          <w:rFonts w:ascii="Arial" w:hAnsi="Arial" w:cs="Arial"/>
        </w:rPr>
        <w:t xml:space="preserve">. </w:t>
      </w:r>
      <w:proofErr w:type="gramStart"/>
      <w:r w:rsidR="00B74FAD" w:rsidRPr="00055B58">
        <w:rPr>
          <w:rFonts w:ascii="Arial" w:hAnsi="Arial" w:cs="Arial"/>
        </w:rPr>
        <w:t>Therefore</w:t>
      </w:r>
      <w:proofErr w:type="gramEnd"/>
      <w:r w:rsidR="00B74FAD" w:rsidRPr="00055B58">
        <w:rPr>
          <w:rFonts w:ascii="Arial" w:hAnsi="Arial" w:cs="Arial"/>
        </w:rPr>
        <w:t xml:space="preserve"> the Prudential Authority proceeded to engage with</w:t>
      </w:r>
      <w:r w:rsidR="00BA73F0" w:rsidRPr="00055B58">
        <w:rPr>
          <w:rFonts w:ascii="Arial" w:hAnsi="Arial" w:cs="Arial"/>
        </w:rPr>
        <w:t xml:space="preserve"> the insurers</w:t>
      </w:r>
      <w:r w:rsidR="00FD2809" w:rsidRPr="00055B58">
        <w:rPr>
          <w:rFonts w:ascii="Arial" w:hAnsi="Arial" w:cs="Arial"/>
        </w:rPr>
        <w:t>, as well as BIG.</w:t>
      </w:r>
      <w:r w:rsidR="00B74FAD" w:rsidRPr="00055B58">
        <w:rPr>
          <w:rFonts w:ascii="Arial" w:hAnsi="Arial" w:cs="Arial"/>
        </w:rPr>
        <w:t xml:space="preserve"> On 26 April 2018, the Prudential Authority notified the insurers that they were, with immediate effect, prohibited from writing new business. </w:t>
      </w:r>
    </w:p>
    <w:p w14:paraId="65142B80" w14:textId="77777777" w:rsidR="001D7C4C" w:rsidRPr="00055B58" w:rsidRDefault="001D7C4C" w:rsidP="00BA0036">
      <w:pPr>
        <w:tabs>
          <w:tab w:val="left" w:pos="284"/>
        </w:tabs>
        <w:spacing w:line="360" w:lineRule="auto"/>
        <w:jc w:val="both"/>
        <w:rPr>
          <w:rFonts w:ascii="Arial" w:hAnsi="Arial" w:cs="Arial"/>
        </w:rPr>
      </w:pPr>
    </w:p>
    <w:p w14:paraId="1C8E2973" w14:textId="7614E8ED" w:rsidR="00C82F34" w:rsidRPr="00055B58" w:rsidRDefault="001D7C4C" w:rsidP="00BA0036">
      <w:pPr>
        <w:tabs>
          <w:tab w:val="left" w:pos="284"/>
        </w:tabs>
        <w:spacing w:line="360" w:lineRule="auto"/>
        <w:jc w:val="both"/>
        <w:rPr>
          <w:rFonts w:ascii="Arial" w:hAnsi="Arial" w:cs="Arial"/>
        </w:rPr>
      </w:pPr>
      <w:r w:rsidRPr="00055B58">
        <w:rPr>
          <w:rFonts w:ascii="Arial" w:hAnsi="Arial" w:cs="Arial"/>
        </w:rPr>
        <w:t>[6]</w:t>
      </w:r>
      <w:r w:rsidRPr="00055B58">
        <w:rPr>
          <w:rFonts w:ascii="Arial" w:hAnsi="Arial" w:cs="Arial"/>
        </w:rPr>
        <w:tab/>
      </w:r>
      <w:r w:rsidRPr="00055B58">
        <w:rPr>
          <w:rFonts w:ascii="Arial" w:hAnsi="Arial" w:cs="Arial"/>
        </w:rPr>
        <w:tab/>
      </w:r>
      <w:r w:rsidR="00FD7111" w:rsidRPr="00055B58">
        <w:rPr>
          <w:rFonts w:ascii="Arial" w:hAnsi="Arial" w:cs="Arial"/>
        </w:rPr>
        <w:t xml:space="preserve">These engagements naturally raised the matter of the recapitalisation of the insurers. At </w:t>
      </w:r>
      <w:r w:rsidR="00FD2809" w:rsidRPr="00055B58">
        <w:rPr>
          <w:rFonts w:ascii="Arial" w:hAnsi="Arial" w:cs="Arial"/>
        </w:rPr>
        <w:t>a</w:t>
      </w:r>
      <w:r w:rsidR="00FD7111" w:rsidRPr="00055B58">
        <w:rPr>
          <w:rFonts w:ascii="Arial" w:hAnsi="Arial" w:cs="Arial"/>
        </w:rPr>
        <w:t xml:space="preserve"> meeting held on 1 June 2018, the Prudential Authority informed these parties that it required proof that an amount of at least R100 million was immediately available to meet the capital requirements of the insurers. It required such proof by no later than 8h30 on 8 June 2018.</w:t>
      </w:r>
      <w:r w:rsidR="00FD2809" w:rsidRPr="00055B58">
        <w:rPr>
          <w:rFonts w:ascii="Arial" w:hAnsi="Arial" w:cs="Arial"/>
        </w:rPr>
        <w:t xml:space="preserve"> </w:t>
      </w:r>
      <w:r w:rsidR="00285725" w:rsidRPr="00055B58">
        <w:rPr>
          <w:rFonts w:ascii="Arial" w:hAnsi="Arial" w:cs="Arial"/>
        </w:rPr>
        <w:t xml:space="preserve">The deadline was not met, but on 12 June 2018, the Prudential Authority received written confirmation that </w:t>
      </w:r>
      <w:proofErr w:type="spellStart"/>
      <w:r w:rsidR="00285725" w:rsidRPr="00055B58">
        <w:rPr>
          <w:rFonts w:ascii="Arial" w:hAnsi="Arial" w:cs="Arial"/>
        </w:rPr>
        <w:t>Lebashe</w:t>
      </w:r>
      <w:proofErr w:type="spellEnd"/>
      <w:r w:rsidR="00285725" w:rsidRPr="00055B58">
        <w:rPr>
          <w:rFonts w:ascii="Arial" w:hAnsi="Arial" w:cs="Arial"/>
        </w:rPr>
        <w:t xml:space="preserve"> had deposited R100 million into its attorneys’ trust account. According to this document, R60 million would be paid to </w:t>
      </w:r>
      <w:proofErr w:type="spellStart"/>
      <w:r w:rsidR="00285725" w:rsidRPr="00055B58">
        <w:rPr>
          <w:rFonts w:ascii="Arial" w:hAnsi="Arial" w:cs="Arial"/>
        </w:rPr>
        <w:t>Bophelo</w:t>
      </w:r>
      <w:proofErr w:type="spellEnd"/>
      <w:r w:rsidR="00285725" w:rsidRPr="00055B58">
        <w:rPr>
          <w:rFonts w:ascii="Arial" w:hAnsi="Arial" w:cs="Arial"/>
        </w:rPr>
        <w:t xml:space="preserve"> and R40 million to </w:t>
      </w:r>
      <w:proofErr w:type="spellStart"/>
      <w:r w:rsidR="00285725" w:rsidRPr="00055B58">
        <w:rPr>
          <w:rFonts w:ascii="Arial" w:hAnsi="Arial" w:cs="Arial"/>
        </w:rPr>
        <w:t>Nzalo</w:t>
      </w:r>
      <w:proofErr w:type="spellEnd"/>
      <w:r w:rsidR="00285725" w:rsidRPr="00055B58">
        <w:rPr>
          <w:rFonts w:ascii="Arial" w:hAnsi="Arial" w:cs="Arial"/>
        </w:rPr>
        <w:t xml:space="preserve">. The Prudential Authority insisted on proof that these funds had actually been paid to the insurers. On 28 June 2018, it eventually received confirmation thereof. </w:t>
      </w:r>
      <w:r w:rsidR="00D875B7" w:rsidRPr="00055B58">
        <w:rPr>
          <w:rFonts w:ascii="Arial" w:hAnsi="Arial" w:cs="Arial"/>
        </w:rPr>
        <w:t xml:space="preserve"> </w:t>
      </w:r>
    </w:p>
    <w:p w14:paraId="5F6F4302" w14:textId="0962DB34" w:rsidR="00082D45" w:rsidRPr="00055B58" w:rsidRDefault="00847989" w:rsidP="00BA0036">
      <w:pPr>
        <w:tabs>
          <w:tab w:val="left" w:pos="284"/>
        </w:tabs>
        <w:spacing w:line="360" w:lineRule="auto"/>
        <w:ind w:hanging="794"/>
        <w:jc w:val="both"/>
        <w:rPr>
          <w:rFonts w:ascii="Arial" w:hAnsi="Arial" w:cs="Arial"/>
          <w:sz w:val="22"/>
          <w:szCs w:val="22"/>
        </w:rPr>
      </w:pPr>
      <w:r w:rsidRPr="00055B58">
        <w:rPr>
          <w:rFonts w:ascii="Arial" w:hAnsi="Arial" w:cs="Arial"/>
          <w:sz w:val="22"/>
          <w:szCs w:val="22"/>
        </w:rPr>
        <w:tab/>
      </w:r>
    </w:p>
    <w:p w14:paraId="4A6A8270" w14:textId="63D0FBC6" w:rsidR="00082D45" w:rsidRPr="00055B58" w:rsidRDefault="00FA558E" w:rsidP="00BA0036">
      <w:pPr>
        <w:tabs>
          <w:tab w:val="left" w:pos="284"/>
        </w:tabs>
        <w:spacing w:line="360" w:lineRule="auto"/>
        <w:ind w:hanging="794"/>
        <w:jc w:val="both"/>
        <w:rPr>
          <w:rFonts w:ascii="Arial" w:hAnsi="Arial" w:cs="Arial"/>
        </w:rPr>
      </w:pPr>
      <w:r w:rsidRPr="00055B58">
        <w:rPr>
          <w:rFonts w:ascii="Arial" w:hAnsi="Arial" w:cs="Arial"/>
        </w:rPr>
        <w:tab/>
      </w:r>
      <w:r w:rsidR="00E3570B" w:rsidRPr="00055B58">
        <w:rPr>
          <w:rFonts w:ascii="Arial" w:hAnsi="Arial" w:cs="Arial"/>
        </w:rPr>
        <w:t>[7</w:t>
      </w:r>
      <w:r w:rsidR="00082D45" w:rsidRPr="00055B58">
        <w:rPr>
          <w:rFonts w:ascii="Arial" w:hAnsi="Arial" w:cs="Arial"/>
        </w:rPr>
        <w:t>]</w:t>
      </w:r>
      <w:r w:rsidR="00082D45" w:rsidRPr="00055B58">
        <w:rPr>
          <w:rFonts w:ascii="Arial" w:hAnsi="Arial" w:cs="Arial"/>
        </w:rPr>
        <w:tab/>
      </w:r>
      <w:r w:rsidR="00082D45" w:rsidRPr="00055B58">
        <w:rPr>
          <w:rFonts w:ascii="Arial" w:hAnsi="Arial" w:cs="Arial"/>
        </w:rPr>
        <w:tab/>
        <w:t xml:space="preserve"> </w:t>
      </w:r>
      <w:r w:rsidR="00B625E1" w:rsidRPr="00055B58">
        <w:rPr>
          <w:rFonts w:ascii="Arial" w:hAnsi="Arial" w:cs="Arial"/>
        </w:rPr>
        <w:t xml:space="preserve">The arrangements that led to these payments were as follows. </w:t>
      </w:r>
      <w:proofErr w:type="spellStart"/>
      <w:r w:rsidR="00B625E1" w:rsidRPr="00055B58">
        <w:rPr>
          <w:rFonts w:ascii="Arial" w:hAnsi="Arial" w:cs="Arial"/>
        </w:rPr>
        <w:t>Lebashe</w:t>
      </w:r>
      <w:proofErr w:type="spellEnd"/>
      <w:r w:rsidR="00B625E1" w:rsidRPr="00055B58">
        <w:rPr>
          <w:rFonts w:ascii="Arial" w:hAnsi="Arial" w:cs="Arial"/>
        </w:rPr>
        <w:t>, who described</w:t>
      </w:r>
      <w:r w:rsidR="00716347" w:rsidRPr="00055B58">
        <w:rPr>
          <w:rFonts w:ascii="Arial" w:hAnsi="Arial" w:cs="Arial"/>
        </w:rPr>
        <w:t xml:space="preserve"> itself as an investment holding company, was approached to recapitalise BIG. </w:t>
      </w:r>
      <w:r w:rsidR="00CA7CF9" w:rsidRPr="00055B58">
        <w:rPr>
          <w:rFonts w:ascii="Arial" w:hAnsi="Arial" w:cs="Arial"/>
        </w:rPr>
        <w:t xml:space="preserve">According to </w:t>
      </w:r>
      <w:proofErr w:type="spellStart"/>
      <w:r w:rsidR="00CA7CF9" w:rsidRPr="00055B58">
        <w:rPr>
          <w:rFonts w:ascii="Arial" w:hAnsi="Arial" w:cs="Arial"/>
        </w:rPr>
        <w:t>Lebashe</w:t>
      </w:r>
      <w:proofErr w:type="spellEnd"/>
      <w:r w:rsidR="00BA73F0" w:rsidRPr="00055B58">
        <w:rPr>
          <w:rFonts w:ascii="Arial" w:hAnsi="Arial" w:cs="Arial"/>
        </w:rPr>
        <w:t>,</w:t>
      </w:r>
      <w:r w:rsidR="00CA7CF9" w:rsidRPr="00055B58">
        <w:rPr>
          <w:rFonts w:ascii="Arial" w:hAnsi="Arial" w:cs="Arial"/>
        </w:rPr>
        <w:t xml:space="preserve"> it obtained </w:t>
      </w:r>
      <w:proofErr w:type="spellStart"/>
      <w:r w:rsidR="00CA7CF9" w:rsidRPr="00055B58">
        <w:rPr>
          <w:rFonts w:ascii="Arial" w:hAnsi="Arial" w:cs="Arial"/>
        </w:rPr>
        <w:t>Vele’s</w:t>
      </w:r>
      <w:proofErr w:type="spellEnd"/>
      <w:r w:rsidR="00CA7CF9" w:rsidRPr="00055B58">
        <w:rPr>
          <w:rFonts w:ascii="Arial" w:hAnsi="Arial" w:cs="Arial"/>
        </w:rPr>
        <w:t xml:space="preserve"> 70 per cent shareholding in BIG at around this time. </w:t>
      </w:r>
      <w:r w:rsidR="00716347" w:rsidRPr="00055B58">
        <w:rPr>
          <w:rFonts w:ascii="Arial" w:hAnsi="Arial" w:cs="Arial"/>
        </w:rPr>
        <w:t xml:space="preserve">After negotiations, </w:t>
      </w:r>
      <w:proofErr w:type="spellStart"/>
      <w:r w:rsidR="00716347" w:rsidRPr="00055B58">
        <w:rPr>
          <w:rFonts w:ascii="Arial" w:hAnsi="Arial" w:cs="Arial"/>
        </w:rPr>
        <w:t>Lebashe</w:t>
      </w:r>
      <w:proofErr w:type="spellEnd"/>
      <w:r w:rsidR="00716347" w:rsidRPr="00055B58">
        <w:rPr>
          <w:rFonts w:ascii="Arial" w:hAnsi="Arial" w:cs="Arial"/>
        </w:rPr>
        <w:t xml:space="preserve"> and BIG entered into a written loan agreement</w:t>
      </w:r>
      <w:r w:rsidR="00E3570B" w:rsidRPr="00055B58">
        <w:rPr>
          <w:rFonts w:ascii="Arial" w:hAnsi="Arial" w:cs="Arial"/>
        </w:rPr>
        <w:t xml:space="preserve"> on 26 June 2018</w:t>
      </w:r>
      <w:r w:rsidR="00716347" w:rsidRPr="00055B58">
        <w:rPr>
          <w:rFonts w:ascii="Arial" w:hAnsi="Arial" w:cs="Arial"/>
        </w:rPr>
        <w:t xml:space="preserve">. In terms thereof, </w:t>
      </w:r>
      <w:proofErr w:type="spellStart"/>
      <w:r w:rsidR="00716347" w:rsidRPr="00055B58">
        <w:rPr>
          <w:rFonts w:ascii="Arial" w:hAnsi="Arial" w:cs="Arial"/>
        </w:rPr>
        <w:t>Lebashe</w:t>
      </w:r>
      <w:proofErr w:type="spellEnd"/>
      <w:r w:rsidR="00716347" w:rsidRPr="00055B58">
        <w:rPr>
          <w:rFonts w:ascii="Arial" w:hAnsi="Arial" w:cs="Arial"/>
        </w:rPr>
        <w:t xml:space="preserve"> lent and advanced the capital sum of R100 million to BIG. The loan agreement did not evidence a long-term commitment by </w:t>
      </w:r>
      <w:proofErr w:type="spellStart"/>
      <w:r w:rsidR="00716347" w:rsidRPr="00055B58">
        <w:rPr>
          <w:rFonts w:ascii="Arial" w:hAnsi="Arial" w:cs="Arial"/>
        </w:rPr>
        <w:t>Lebashe</w:t>
      </w:r>
      <w:proofErr w:type="spellEnd"/>
      <w:r w:rsidR="00716347" w:rsidRPr="00055B58">
        <w:rPr>
          <w:rFonts w:ascii="Arial" w:hAnsi="Arial" w:cs="Arial"/>
        </w:rPr>
        <w:t xml:space="preserve">. The loan had to be repaid 30 calendar days after the ‘Advancement Date’. That meant the first business day after the ‘Effective Date’. That, in turn, referred to the date on which </w:t>
      </w:r>
      <w:proofErr w:type="spellStart"/>
      <w:r w:rsidR="00716347" w:rsidRPr="00055B58">
        <w:rPr>
          <w:rFonts w:ascii="Arial" w:hAnsi="Arial" w:cs="Arial"/>
        </w:rPr>
        <w:t>Lebashe</w:t>
      </w:r>
      <w:proofErr w:type="spellEnd"/>
      <w:r w:rsidR="00716347" w:rsidRPr="00055B58">
        <w:rPr>
          <w:rFonts w:ascii="Arial" w:hAnsi="Arial" w:cs="Arial"/>
        </w:rPr>
        <w:t xml:space="preserve"> confirmed in writing that the suspensive conditions to the loan agreement had been fulfilled or waived. But in terms of clause 2, the suspensive conditions had to be fulfilled </w:t>
      </w:r>
      <w:r w:rsidR="00BA73F0" w:rsidRPr="00055B58">
        <w:rPr>
          <w:rFonts w:ascii="Arial" w:hAnsi="Arial" w:cs="Arial"/>
        </w:rPr>
        <w:t xml:space="preserve">by </w:t>
      </w:r>
      <w:r w:rsidR="0073447F" w:rsidRPr="00055B58">
        <w:rPr>
          <w:rFonts w:ascii="Arial" w:hAnsi="Arial" w:cs="Arial"/>
        </w:rPr>
        <w:t>no</w:t>
      </w:r>
      <w:r w:rsidR="00716347" w:rsidRPr="00055B58">
        <w:rPr>
          <w:rFonts w:ascii="Arial" w:hAnsi="Arial" w:cs="Arial"/>
        </w:rPr>
        <w:t xml:space="preserve"> later than 22 June 2018 (except if an extended date </w:t>
      </w:r>
      <w:r w:rsidR="00E3570B" w:rsidRPr="00055B58">
        <w:rPr>
          <w:rFonts w:ascii="Arial" w:hAnsi="Arial" w:cs="Arial"/>
        </w:rPr>
        <w:t>was</w:t>
      </w:r>
      <w:r w:rsidR="00716347" w:rsidRPr="00055B58">
        <w:rPr>
          <w:rFonts w:ascii="Arial" w:hAnsi="Arial" w:cs="Arial"/>
        </w:rPr>
        <w:t xml:space="preserve"> mutually </w:t>
      </w:r>
      <w:proofErr w:type="gramStart"/>
      <w:r w:rsidR="00716347" w:rsidRPr="00055B58">
        <w:rPr>
          <w:rFonts w:ascii="Arial" w:hAnsi="Arial" w:cs="Arial"/>
        </w:rPr>
        <w:t>been</w:t>
      </w:r>
      <w:proofErr w:type="gramEnd"/>
      <w:r w:rsidR="00716347" w:rsidRPr="00055B58">
        <w:rPr>
          <w:rFonts w:ascii="Arial" w:hAnsi="Arial" w:cs="Arial"/>
        </w:rPr>
        <w:t xml:space="preserve"> agreed upon, which did not happen). </w:t>
      </w:r>
    </w:p>
    <w:p w14:paraId="4D904DDA" w14:textId="77777777" w:rsidR="00082D45" w:rsidRPr="00055B58" w:rsidRDefault="00082D45" w:rsidP="00BA0036">
      <w:pPr>
        <w:tabs>
          <w:tab w:val="left" w:pos="284"/>
        </w:tabs>
        <w:spacing w:line="360" w:lineRule="auto"/>
        <w:ind w:hanging="794"/>
        <w:jc w:val="both"/>
        <w:rPr>
          <w:rFonts w:ascii="Arial" w:hAnsi="Arial" w:cs="Arial"/>
        </w:rPr>
      </w:pPr>
    </w:p>
    <w:p w14:paraId="34078A79" w14:textId="6357C7CC" w:rsidR="00082D45" w:rsidRPr="00055B58" w:rsidRDefault="006518A1" w:rsidP="00BA0036">
      <w:pPr>
        <w:tabs>
          <w:tab w:val="left" w:pos="284"/>
        </w:tabs>
        <w:spacing w:line="360" w:lineRule="auto"/>
        <w:jc w:val="both"/>
        <w:rPr>
          <w:rFonts w:ascii="Arial" w:hAnsi="Arial" w:cs="Arial"/>
        </w:rPr>
      </w:pPr>
      <w:r w:rsidRPr="00055B58">
        <w:rPr>
          <w:rFonts w:ascii="Arial" w:hAnsi="Arial" w:cs="Arial"/>
        </w:rPr>
        <w:t>[8</w:t>
      </w:r>
      <w:r w:rsidR="00082D45" w:rsidRPr="00055B58">
        <w:rPr>
          <w:rFonts w:ascii="Arial" w:hAnsi="Arial" w:cs="Arial"/>
        </w:rPr>
        <w:t>]</w:t>
      </w:r>
      <w:r w:rsidR="00082D45" w:rsidRPr="00055B58">
        <w:rPr>
          <w:rFonts w:ascii="Arial" w:hAnsi="Arial" w:cs="Arial"/>
        </w:rPr>
        <w:tab/>
      </w:r>
      <w:r w:rsidR="00082D45" w:rsidRPr="00055B58">
        <w:rPr>
          <w:rFonts w:ascii="Arial" w:hAnsi="Arial" w:cs="Arial"/>
        </w:rPr>
        <w:tab/>
      </w:r>
      <w:r w:rsidR="000F61AB" w:rsidRPr="00055B58">
        <w:rPr>
          <w:rFonts w:ascii="Arial" w:hAnsi="Arial" w:cs="Arial"/>
        </w:rPr>
        <w:t xml:space="preserve"> </w:t>
      </w:r>
      <w:r w:rsidR="0022112F" w:rsidRPr="00055B58">
        <w:rPr>
          <w:rFonts w:ascii="Arial" w:hAnsi="Arial" w:cs="Arial"/>
        </w:rPr>
        <w:t xml:space="preserve">The loan agreement provided that the capital received by BIG ‘shall immediately be transferred in agreed proportions’ to the insurers, in exchange for subscriptions by BIG for additional shares in each of the insurers. On 26 June 2018, </w:t>
      </w:r>
      <w:proofErr w:type="spellStart"/>
      <w:r w:rsidR="0022112F" w:rsidRPr="00055B58">
        <w:rPr>
          <w:rFonts w:ascii="Arial" w:hAnsi="Arial" w:cs="Arial"/>
        </w:rPr>
        <w:t>Bophelo</w:t>
      </w:r>
      <w:proofErr w:type="spellEnd"/>
      <w:r w:rsidR="0022112F" w:rsidRPr="00055B58">
        <w:rPr>
          <w:rFonts w:ascii="Arial" w:hAnsi="Arial" w:cs="Arial"/>
        </w:rPr>
        <w:t xml:space="preserve"> and BIG concluded a written share subscription agreement in terms of which </w:t>
      </w:r>
      <w:proofErr w:type="spellStart"/>
      <w:r w:rsidR="0022112F" w:rsidRPr="00055B58">
        <w:rPr>
          <w:rFonts w:ascii="Arial" w:hAnsi="Arial" w:cs="Arial"/>
        </w:rPr>
        <w:t>Bophelo</w:t>
      </w:r>
      <w:proofErr w:type="spellEnd"/>
      <w:r w:rsidR="0022112F" w:rsidRPr="00055B58">
        <w:rPr>
          <w:rFonts w:ascii="Arial" w:hAnsi="Arial" w:cs="Arial"/>
        </w:rPr>
        <w:t xml:space="preserve"> would issue and allot 100 ordinary shares in the name of BIG, in exchange for the subscription price of R60 million. On the same date, </w:t>
      </w:r>
      <w:proofErr w:type="spellStart"/>
      <w:r w:rsidR="0022112F" w:rsidRPr="00055B58">
        <w:rPr>
          <w:rFonts w:ascii="Arial" w:hAnsi="Arial" w:cs="Arial"/>
        </w:rPr>
        <w:t>Nzalo</w:t>
      </w:r>
      <w:proofErr w:type="spellEnd"/>
      <w:r w:rsidR="0022112F" w:rsidRPr="00055B58">
        <w:rPr>
          <w:rFonts w:ascii="Arial" w:hAnsi="Arial" w:cs="Arial"/>
        </w:rPr>
        <w:t xml:space="preserve"> and BIG concluded a similar agreeme</w:t>
      </w:r>
      <w:r w:rsidR="009407A2" w:rsidRPr="00055B58">
        <w:rPr>
          <w:rFonts w:ascii="Arial" w:hAnsi="Arial" w:cs="Arial"/>
        </w:rPr>
        <w:t xml:space="preserve">nt. It provided that BIG would pay the subscription price of R40 million for 120 </w:t>
      </w:r>
      <w:r w:rsidR="00E3570B" w:rsidRPr="00055B58">
        <w:rPr>
          <w:rFonts w:ascii="Arial" w:hAnsi="Arial" w:cs="Arial"/>
        </w:rPr>
        <w:t xml:space="preserve">newly issued </w:t>
      </w:r>
      <w:r w:rsidR="009407A2" w:rsidRPr="00055B58">
        <w:rPr>
          <w:rFonts w:ascii="Arial" w:hAnsi="Arial" w:cs="Arial"/>
        </w:rPr>
        <w:t xml:space="preserve">ordinary shares in </w:t>
      </w:r>
      <w:proofErr w:type="spellStart"/>
      <w:r w:rsidR="009407A2" w:rsidRPr="00055B58">
        <w:rPr>
          <w:rFonts w:ascii="Arial" w:hAnsi="Arial" w:cs="Arial"/>
        </w:rPr>
        <w:t>Nzalo</w:t>
      </w:r>
      <w:proofErr w:type="spellEnd"/>
      <w:r w:rsidR="009407A2" w:rsidRPr="00055B58">
        <w:rPr>
          <w:rFonts w:ascii="Arial" w:hAnsi="Arial" w:cs="Arial"/>
        </w:rPr>
        <w:t xml:space="preserve">. Both these agreements were subject to suspensive conditions. </w:t>
      </w:r>
      <w:proofErr w:type="spellStart"/>
      <w:r w:rsidR="009407A2" w:rsidRPr="00055B58">
        <w:rPr>
          <w:rFonts w:ascii="Arial" w:hAnsi="Arial" w:cs="Arial"/>
        </w:rPr>
        <w:lastRenderedPageBreak/>
        <w:t>Lebashe</w:t>
      </w:r>
      <w:proofErr w:type="spellEnd"/>
      <w:r w:rsidR="009407A2" w:rsidRPr="00055B58">
        <w:rPr>
          <w:rFonts w:ascii="Arial" w:hAnsi="Arial" w:cs="Arial"/>
        </w:rPr>
        <w:t xml:space="preserve"> stated that these conditions were not fulfilled timeously or at all, as a result of ‘the hasty manner in which the whole process was handled and due to the pressure’ of the Prudential Authority. According to </w:t>
      </w:r>
      <w:proofErr w:type="spellStart"/>
      <w:r w:rsidR="009407A2" w:rsidRPr="00055B58">
        <w:rPr>
          <w:rFonts w:ascii="Arial" w:hAnsi="Arial" w:cs="Arial"/>
        </w:rPr>
        <w:t>Lebashe</w:t>
      </w:r>
      <w:proofErr w:type="spellEnd"/>
      <w:r w:rsidR="009407A2" w:rsidRPr="00055B58">
        <w:rPr>
          <w:rFonts w:ascii="Arial" w:hAnsi="Arial" w:cs="Arial"/>
        </w:rPr>
        <w:t xml:space="preserve">, the result was that these monies were paid by BIG to the insurers respectively as shareholders’ loans. </w:t>
      </w:r>
    </w:p>
    <w:p w14:paraId="3C3D58D2" w14:textId="77777777" w:rsidR="000F61AB" w:rsidRPr="00055B58" w:rsidRDefault="000F61AB" w:rsidP="00BA0036">
      <w:pPr>
        <w:tabs>
          <w:tab w:val="left" w:pos="284"/>
        </w:tabs>
        <w:spacing w:line="360" w:lineRule="auto"/>
        <w:ind w:hanging="794"/>
        <w:jc w:val="both"/>
        <w:rPr>
          <w:rFonts w:ascii="Arial" w:hAnsi="Arial" w:cs="Arial"/>
        </w:rPr>
      </w:pPr>
    </w:p>
    <w:p w14:paraId="56AFB239" w14:textId="4663562A" w:rsidR="007D68F9" w:rsidRPr="00055B58" w:rsidRDefault="00FA558E" w:rsidP="00BA0036">
      <w:pPr>
        <w:tabs>
          <w:tab w:val="left" w:pos="284"/>
        </w:tabs>
        <w:spacing w:line="360" w:lineRule="auto"/>
        <w:ind w:hanging="794"/>
        <w:jc w:val="both"/>
        <w:rPr>
          <w:rFonts w:ascii="Arial" w:hAnsi="Arial" w:cs="Arial"/>
        </w:rPr>
      </w:pPr>
      <w:r w:rsidRPr="00055B58">
        <w:rPr>
          <w:rFonts w:ascii="Arial" w:hAnsi="Arial" w:cs="Arial"/>
        </w:rPr>
        <w:tab/>
      </w:r>
      <w:r w:rsidR="006518A1" w:rsidRPr="00055B58">
        <w:rPr>
          <w:rFonts w:ascii="Arial" w:hAnsi="Arial" w:cs="Arial"/>
        </w:rPr>
        <w:t>[9</w:t>
      </w:r>
      <w:r w:rsidR="000F61AB" w:rsidRPr="00055B58">
        <w:rPr>
          <w:rFonts w:ascii="Arial" w:hAnsi="Arial" w:cs="Arial"/>
        </w:rPr>
        <w:t>]</w:t>
      </w:r>
      <w:r w:rsidR="006518A1" w:rsidRPr="00055B58">
        <w:rPr>
          <w:rFonts w:ascii="Arial" w:hAnsi="Arial" w:cs="Arial"/>
        </w:rPr>
        <w:tab/>
      </w:r>
      <w:r w:rsidR="000F61AB" w:rsidRPr="00055B58">
        <w:rPr>
          <w:rFonts w:ascii="Arial" w:hAnsi="Arial" w:cs="Arial"/>
        </w:rPr>
        <w:tab/>
      </w:r>
      <w:r w:rsidR="003F1A47" w:rsidRPr="00055B58">
        <w:rPr>
          <w:rFonts w:ascii="Arial" w:hAnsi="Arial" w:cs="Arial"/>
        </w:rPr>
        <w:t xml:space="preserve">On 31 July 2018, </w:t>
      </w:r>
      <w:proofErr w:type="spellStart"/>
      <w:r w:rsidR="003F1A47" w:rsidRPr="00055B58">
        <w:rPr>
          <w:rFonts w:ascii="Arial" w:hAnsi="Arial" w:cs="Arial"/>
        </w:rPr>
        <w:t>Vele</w:t>
      </w:r>
      <w:proofErr w:type="spellEnd"/>
      <w:r w:rsidR="003F1A47" w:rsidRPr="00055B58">
        <w:rPr>
          <w:rFonts w:ascii="Arial" w:hAnsi="Arial" w:cs="Arial"/>
        </w:rPr>
        <w:t xml:space="preserve"> was placed in winding-up at the instance of the curator of VBS. Meanwhile, so </w:t>
      </w:r>
      <w:proofErr w:type="spellStart"/>
      <w:r w:rsidR="003F1A47" w:rsidRPr="00055B58">
        <w:rPr>
          <w:rFonts w:ascii="Arial" w:hAnsi="Arial" w:cs="Arial"/>
        </w:rPr>
        <w:t>Lebashe</w:t>
      </w:r>
      <w:proofErr w:type="spellEnd"/>
      <w:r w:rsidR="003F1A47" w:rsidRPr="00055B58">
        <w:rPr>
          <w:rFonts w:ascii="Arial" w:hAnsi="Arial" w:cs="Arial"/>
        </w:rPr>
        <w:t xml:space="preserve"> said, a due diligence process exposed issues regarding the management of the insurers. In terms of a letter of demand dated 26 October 2018, </w:t>
      </w:r>
      <w:proofErr w:type="spellStart"/>
      <w:r w:rsidR="003F1A47" w:rsidRPr="00055B58">
        <w:rPr>
          <w:rFonts w:ascii="Arial" w:hAnsi="Arial" w:cs="Arial"/>
        </w:rPr>
        <w:t>Lebashe</w:t>
      </w:r>
      <w:proofErr w:type="spellEnd"/>
      <w:r w:rsidR="003F1A47" w:rsidRPr="00055B58">
        <w:rPr>
          <w:rFonts w:ascii="Arial" w:hAnsi="Arial" w:cs="Arial"/>
        </w:rPr>
        <w:t xml:space="preserve"> claimed repayment of the capital and interest under the loan (then amounting to approximately R106 million) from BIG. On the same day, BIG paid the sum of R87 million to </w:t>
      </w:r>
      <w:proofErr w:type="spellStart"/>
      <w:r w:rsidR="003F1A47" w:rsidRPr="00055B58">
        <w:rPr>
          <w:rFonts w:ascii="Arial" w:hAnsi="Arial" w:cs="Arial"/>
        </w:rPr>
        <w:t>Lebashe</w:t>
      </w:r>
      <w:proofErr w:type="spellEnd"/>
      <w:r w:rsidR="00E3570B" w:rsidRPr="00055B58">
        <w:rPr>
          <w:rFonts w:ascii="Arial" w:hAnsi="Arial" w:cs="Arial"/>
        </w:rPr>
        <w:t>,</w:t>
      </w:r>
      <w:r w:rsidR="003F1A47" w:rsidRPr="00055B58">
        <w:rPr>
          <w:rFonts w:ascii="Arial" w:hAnsi="Arial" w:cs="Arial"/>
        </w:rPr>
        <w:t xml:space="preserve"> leaving an outstanding balance of </w:t>
      </w:r>
      <w:r w:rsidR="00D123D7" w:rsidRPr="00055B58">
        <w:rPr>
          <w:rFonts w:ascii="Arial" w:hAnsi="Arial" w:cs="Arial"/>
        </w:rPr>
        <w:t>some</w:t>
      </w:r>
      <w:r w:rsidR="003F1A47" w:rsidRPr="00055B58">
        <w:rPr>
          <w:rFonts w:ascii="Arial" w:hAnsi="Arial" w:cs="Arial"/>
        </w:rPr>
        <w:t xml:space="preserve"> R19 million.</w:t>
      </w:r>
    </w:p>
    <w:p w14:paraId="670A60D7" w14:textId="77777777" w:rsidR="003508EB" w:rsidRPr="00055B58" w:rsidRDefault="003508EB" w:rsidP="00BA0036">
      <w:pPr>
        <w:tabs>
          <w:tab w:val="left" w:pos="284"/>
        </w:tabs>
        <w:spacing w:line="360" w:lineRule="auto"/>
        <w:ind w:hanging="794"/>
        <w:jc w:val="both"/>
        <w:rPr>
          <w:rFonts w:ascii="Arial" w:hAnsi="Arial" w:cs="Arial"/>
        </w:rPr>
      </w:pPr>
    </w:p>
    <w:p w14:paraId="14320E6C" w14:textId="71F7FA25" w:rsidR="003508EB" w:rsidRPr="00055B58" w:rsidRDefault="003508EB" w:rsidP="00BA0036">
      <w:pPr>
        <w:tabs>
          <w:tab w:val="left" w:pos="284"/>
          <w:tab w:val="left" w:pos="851"/>
        </w:tabs>
        <w:spacing w:line="360" w:lineRule="auto"/>
        <w:ind w:hanging="794"/>
        <w:jc w:val="both"/>
        <w:rPr>
          <w:rFonts w:ascii="Arial" w:hAnsi="Arial" w:cs="Arial"/>
          <w:sz w:val="22"/>
          <w:szCs w:val="22"/>
        </w:rPr>
      </w:pPr>
      <w:r w:rsidRPr="00055B58">
        <w:rPr>
          <w:rFonts w:ascii="Arial" w:hAnsi="Arial" w:cs="Arial"/>
        </w:rPr>
        <w:tab/>
      </w:r>
      <w:r w:rsidR="006518A1" w:rsidRPr="00055B58">
        <w:rPr>
          <w:rFonts w:ascii="Arial" w:hAnsi="Arial" w:cs="Arial"/>
        </w:rPr>
        <w:t>[10</w:t>
      </w:r>
      <w:r w:rsidRPr="00055B58">
        <w:rPr>
          <w:rFonts w:ascii="Arial" w:hAnsi="Arial" w:cs="Arial"/>
        </w:rPr>
        <w:t xml:space="preserve">] </w:t>
      </w:r>
      <w:r w:rsidRPr="00055B58">
        <w:rPr>
          <w:rFonts w:ascii="Arial" w:hAnsi="Arial" w:cs="Arial"/>
        </w:rPr>
        <w:tab/>
        <w:t xml:space="preserve">On 29 October 2018, the Prudential Authority was advised that </w:t>
      </w:r>
      <w:proofErr w:type="spellStart"/>
      <w:r w:rsidRPr="00055B58">
        <w:rPr>
          <w:rFonts w:ascii="Arial" w:hAnsi="Arial" w:cs="Arial"/>
        </w:rPr>
        <w:t>Lebashe</w:t>
      </w:r>
      <w:proofErr w:type="spellEnd"/>
      <w:r w:rsidRPr="00055B58">
        <w:rPr>
          <w:rFonts w:ascii="Arial" w:hAnsi="Arial" w:cs="Arial"/>
        </w:rPr>
        <w:t xml:space="preserve"> had withdrawn its capital injection. As a result, the Prudential Authority </w:t>
      </w:r>
      <w:r w:rsidRPr="00055B58">
        <w:rPr>
          <w:rFonts w:ascii="Arial" w:hAnsi="Arial" w:cs="Arial"/>
          <w:i/>
        </w:rPr>
        <w:t>ex parte</w:t>
      </w:r>
      <w:r w:rsidRPr="00055B58">
        <w:rPr>
          <w:rFonts w:ascii="Arial" w:hAnsi="Arial" w:cs="Arial"/>
        </w:rPr>
        <w:t xml:space="preserve"> approached the high court on an urgent basis for orders placing each of the insurers under provisional curatorship in terms of s 54(1)</w:t>
      </w:r>
      <w:r w:rsidRPr="00055B58">
        <w:rPr>
          <w:rFonts w:ascii="Arial" w:hAnsi="Arial" w:cs="Arial"/>
          <w:i/>
        </w:rPr>
        <w:t xml:space="preserve">(a) </w:t>
      </w:r>
      <w:r w:rsidRPr="00055B58">
        <w:rPr>
          <w:rFonts w:ascii="Arial" w:hAnsi="Arial" w:cs="Arial"/>
        </w:rPr>
        <w:t>of the Insurance Act. The high court granted the order</w:t>
      </w:r>
      <w:r w:rsidR="00E3570B" w:rsidRPr="00055B58">
        <w:rPr>
          <w:rFonts w:ascii="Arial" w:hAnsi="Arial" w:cs="Arial"/>
        </w:rPr>
        <w:t>s</w:t>
      </w:r>
      <w:r w:rsidRPr="00055B58">
        <w:rPr>
          <w:rFonts w:ascii="Arial" w:hAnsi="Arial" w:cs="Arial"/>
        </w:rPr>
        <w:t xml:space="preserve"> sought on 6 November</w:t>
      </w:r>
      <w:r w:rsidR="0000710D" w:rsidRPr="00055B58">
        <w:rPr>
          <w:rFonts w:ascii="Arial" w:hAnsi="Arial" w:cs="Arial"/>
        </w:rPr>
        <w:t xml:space="preserve"> 2018. The return date of </w:t>
      </w:r>
      <w:r w:rsidR="00721B09" w:rsidRPr="00055B58">
        <w:rPr>
          <w:rFonts w:ascii="Arial" w:hAnsi="Arial" w:cs="Arial"/>
        </w:rPr>
        <w:t xml:space="preserve">each </w:t>
      </w:r>
      <w:r w:rsidR="0000710D" w:rsidRPr="00055B58">
        <w:rPr>
          <w:rFonts w:ascii="Arial" w:hAnsi="Arial" w:cs="Arial"/>
        </w:rPr>
        <w:t>provisional order was 11 March 2019.</w:t>
      </w:r>
    </w:p>
    <w:p w14:paraId="723DF295" w14:textId="42A537D5" w:rsidR="007265B6" w:rsidRPr="00055B58" w:rsidRDefault="007D68F9" w:rsidP="00BA0036">
      <w:pPr>
        <w:tabs>
          <w:tab w:val="left" w:pos="284"/>
        </w:tabs>
        <w:spacing w:line="360" w:lineRule="auto"/>
        <w:jc w:val="both"/>
        <w:rPr>
          <w:rFonts w:ascii="Arial" w:hAnsi="Arial" w:cs="Arial"/>
          <w:b/>
        </w:rPr>
      </w:pPr>
      <w:r w:rsidRPr="00055B58">
        <w:rPr>
          <w:rFonts w:ascii="Arial" w:hAnsi="Arial" w:cs="Arial"/>
        </w:rPr>
        <w:tab/>
      </w:r>
      <w:r w:rsidR="003508EB" w:rsidRPr="00055B58">
        <w:rPr>
          <w:rFonts w:ascii="Arial" w:hAnsi="Arial" w:cs="Arial"/>
        </w:rPr>
        <w:t xml:space="preserve"> </w:t>
      </w:r>
    </w:p>
    <w:p w14:paraId="45588F6E" w14:textId="35FD1274" w:rsidR="007265B6" w:rsidRPr="00055B58" w:rsidRDefault="007265B6" w:rsidP="00BA0036">
      <w:pPr>
        <w:tabs>
          <w:tab w:val="left" w:pos="284"/>
        </w:tabs>
        <w:spacing w:line="360" w:lineRule="auto"/>
        <w:ind w:hanging="794"/>
        <w:jc w:val="both"/>
        <w:rPr>
          <w:rFonts w:ascii="Arial" w:hAnsi="Arial" w:cs="Arial"/>
        </w:rPr>
      </w:pPr>
      <w:r w:rsidRPr="00055B58">
        <w:rPr>
          <w:rFonts w:ascii="Arial" w:hAnsi="Arial" w:cs="Arial"/>
        </w:rPr>
        <w:tab/>
      </w:r>
      <w:r w:rsidR="006518A1" w:rsidRPr="00055B58">
        <w:rPr>
          <w:rFonts w:ascii="Arial" w:hAnsi="Arial" w:cs="Arial"/>
        </w:rPr>
        <w:t>[11</w:t>
      </w:r>
      <w:r w:rsidRPr="00055B58">
        <w:rPr>
          <w:rFonts w:ascii="Arial" w:hAnsi="Arial" w:cs="Arial"/>
        </w:rPr>
        <w:t>]</w:t>
      </w:r>
      <w:r w:rsidRPr="00055B58">
        <w:rPr>
          <w:rFonts w:ascii="Arial" w:hAnsi="Arial" w:cs="Arial"/>
        </w:rPr>
        <w:tab/>
      </w:r>
      <w:r w:rsidR="00C2549F" w:rsidRPr="00055B58">
        <w:rPr>
          <w:rFonts w:ascii="Arial" w:hAnsi="Arial" w:cs="Arial"/>
        </w:rPr>
        <w:t xml:space="preserve"> </w:t>
      </w:r>
      <w:r w:rsidR="00AA5D51" w:rsidRPr="00055B58">
        <w:rPr>
          <w:rFonts w:ascii="Arial" w:hAnsi="Arial" w:cs="Arial"/>
        </w:rPr>
        <w:t xml:space="preserve">These orders appointed True South Actuaries and Consultants (Pty) Ltd, represented by Mr Francois Hugo and Mr Paul </w:t>
      </w:r>
      <w:proofErr w:type="spellStart"/>
      <w:r w:rsidR="00AA5D51" w:rsidRPr="00055B58">
        <w:rPr>
          <w:rFonts w:ascii="Arial" w:hAnsi="Arial" w:cs="Arial"/>
        </w:rPr>
        <w:t>Zondagh</w:t>
      </w:r>
      <w:proofErr w:type="spellEnd"/>
      <w:r w:rsidR="00AA5D51" w:rsidRPr="00055B58">
        <w:rPr>
          <w:rFonts w:ascii="Arial" w:hAnsi="Arial" w:cs="Arial"/>
        </w:rPr>
        <w:t>, as the provisional curator (the curator) of each of the insurers. Pending the return date, the curator was vested with all the powers and duties in s 54(2) of the Insurance Act. Paragraph 5 of the order in th</w:t>
      </w:r>
      <w:r w:rsidR="00EA2B8D" w:rsidRPr="00055B58">
        <w:rPr>
          <w:rFonts w:ascii="Arial" w:hAnsi="Arial" w:cs="Arial"/>
        </w:rPr>
        <w:t xml:space="preserve">e </w:t>
      </w:r>
      <w:proofErr w:type="spellStart"/>
      <w:r w:rsidR="00EA2B8D" w:rsidRPr="00055B58">
        <w:rPr>
          <w:rFonts w:ascii="Arial" w:hAnsi="Arial" w:cs="Arial"/>
        </w:rPr>
        <w:t>Bophelo</w:t>
      </w:r>
      <w:proofErr w:type="spellEnd"/>
      <w:r w:rsidR="00EA2B8D" w:rsidRPr="00055B58">
        <w:rPr>
          <w:rFonts w:ascii="Arial" w:hAnsi="Arial" w:cs="Arial"/>
        </w:rPr>
        <w:t xml:space="preserve"> application provided:</w:t>
      </w:r>
    </w:p>
    <w:p w14:paraId="1B668F33" w14:textId="3BD94A7A" w:rsidR="00CE4513" w:rsidRPr="00055B58" w:rsidRDefault="00CE4513" w:rsidP="00BA0036">
      <w:pPr>
        <w:tabs>
          <w:tab w:val="left" w:pos="284"/>
        </w:tabs>
        <w:spacing w:line="360" w:lineRule="auto"/>
        <w:ind w:hanging="794"/>
        <w:jc w:val="both"/>
        <w:rPr>
          <w:rFonts w:ascii="Arial" w:hAnsi="Arial" w:cs="Arial"/>
          <w:sz w:val="22"/>
          <w:szCs w:val="22"/>
        </w:rPr>
      </w:pPr>
      <w:r w:rsidRPr="00055B58">
        <w:rPr>
          <w:rFonts w:ascii="Arial" w:hAnsi="Arial" w:cs="Arial"/>
        </w:rPr>
        <w:tab/>
      </w:r>
      <w:r w:rsidRPr="00055B58">
        <w:rPr>
          <w:rFonts w:ascii="Arial" w:hAnsi="Arial" w:cs="Arial"/>
          <w:sz w:val="22"/>
          <w:szCs w:val="22"/>
        </w:rPr>
        <w:t xml:space="preserve">‘Pending the return day of this order, all actions, proceedings, the execution of all writs, summonses and other processes against </w:t>
      </w:r>
      <w:proofErr w:type="spellStart"/>
      <w:r w:rsidRPr="00055B58">
        <w:rPr>
          <w:rFonts w:ascii="Arial" w:hAnsi="Arial" w:cs="Arial"/>
          <w:sz w:val="22"/>
          <w:szCs w:val="22"/>
        </w:rPr>
        <w:t>Bophelo</w:t>
      </w:r>
      <w:proofErr w:type="spellEnd"/>
      <w:r w:rsidRPr="00055B58">
        <w:rPr>
          <w:rFonts w:ascii="Arial" w:hAnsi="Arial" w:cs="Arial"/>
          <w:sz w:val="22"/>
          <w:szCs w:val="22"/>
        </w:rPr>
        <w:t>, including any proceedings before the Commission of Conciliation, Mediation and Arbitration, are hereby stayed and are not to be instituted or proceeded with, without the leave of this Court.’</w:t>
      </w:r>
    </w:p>
    <w:p w14:paraId="1A0AFDB8" w14:textId="594225C7" w:rsidR="00CE4513" w:rsidRPr="00055B58" w:rsidRDefault="00CE4513" w:rsidP="00BA0036">
      <w:pPr>
        <w:tabs>
          <w:tab w:val="left" w:pos="284"/>
        </w:tabs>
        <w:spacing w:line="360" w:lineRule="auto"/>
        <w:ind w:hanging="794"/>
        <w:jc w:val="both"/>
        <w:rPr>
          <w:rFonts w:ascii="Arial" w:hAnsi="Arial" w:cs="Arial"/>
        </w:rPr>
      </w:pPr>
      <w:r w:rsidRPr="00055B58">
        <w:rPr>
          <w:rFonts w:ascii="Arial" w:hAnsi="Arial" w:cs="Arial"/>
          <w:sz w:val="22"/>
          <w:szCs w:val="22"/>
        </w:rPr>
        <w:tab/>
      </w:r>
      <w:r w:rsidRPr="00055B58">
        <w:rPr>
          <w:rFonts w:ascii="Arial" w:hAnsi="Arial" w:cs="Arial"/>
        </w:rPr>
        <w:t xml:space="preserve">The order in </w:t>
      </w:r>
      <w:r w:rsidR="008041D1" w:rsidRPr="00055B58">
        <w:rPr>
          <w:rFonts w:ascii="Arial" w:hAnsi="Arial" w:cs="Arial"/>
        </w:rPr>
        <w:t>respect of</w:t>
      </w:r>
      <w:r w:rsidRPr="00055B58">
        <w:rPr>
          <w:rFonts w:ascii="Arial" w:hAnsi="Arial" w:cs="Arial"/>
        </w:rPr>
        <w:t xml:space="preserve"> </w:t>
      </w:r>
      <w:proofErr w:type="spellStart"/>
      <w:r w:rsidRPr="00055B58">
        <w:rPr>
          <w:rFonts w:ascii="Arial" w:hAnsi="Arial" w:cs="Arial"/>
        </w:rPr>
        <w:t>Nzalo</w:t>
      </w:r>
      <w:proofErr w:type="spellEnd"/>
      <w:r w:rsidRPr="00055B58">
        <w:rPr>
          <w:rFonts w:ascii="Arial" w:hAnsi="Arial" w:cs="Arial"/>
        </w:rPr>
        <w:t xml:space="preserve">, of course, contained an identical provision. </w:t>
      </w:r>
    </w:p>
    <w:p w14:paraId="156EA5DA" w14:textId="77777777" w:rsidR="00C2549F" w:rsidRPr="00055B58" w:rsidRDefault="00C2549F" w:rsidP="00BA0036">
      <w:pPr>
        <w:tabs>
          <w:tab w:val="left" w:pos="284"/>
        </w:tabs>
        <w:spacing w:line="360" w:lineRule="auto"/>
        <w:ind w:hanging="794"/>
        <w:jc w:val="both"/>
        <w:rPr>
          <w:rFonts w:ascii="Arial" w:hAnsi="Arial" w:cs="Arial"/>
        </w:rPr>
      </w:pPr>
    </w:p>
    <w:p w14:paraId="283B7EC3" w14:textId="3062464F" w:rsidR="00C2549F" w:rsidRPr="00055B58" w:rsidRDefault="00C2549F" w:rsidP="00BA0036">
      <w:pPr>
        <w:tabs>
          <w:tab w:val="left" w:pos="284"/>
        </w:tabs>
        <w:spacing w:line="360" w:lineRule="auto"/>
        <w:ind w:hanging="794"/>
        <w:jc w:val="both"/>
        <w:rPr>
          <w:rFonts w:ascii="Arial" w:hAnsi="Arial" w:cs="Arial"/>
        </w:rPr>
      </w:pPr>
      <w:r w:rsidRPr="00055B58">
        <w:rPr>
          <w:rFonts w:ascii="Arial" w:hAnsi="Arial" w:cs="Arial"/>
        </w:rPr>
        <w:tab/>
      </w:r>
      <w:r w:rsidR="006518A1" w:rsidRPr="00055B58">
        <w:rPr>
          <w:rFonts w:ascii="Arial" w:hAnsi="Arial" w:cs="Arial"/>
        </w:rPr>
        <w:t>[12</w:t>
      </w:r>
      <w:r w:rsidRPr="00055B58">
        <w:rPr>
          <w:rFonts w:ascii="Arial" w:hAnsi="Arial" w:cs="Arial"/>
        </w:rPr>
        <w:t>]</w:t>
      </w:r>
      <w:r w:rsidRPr="00055B58">
        <w:rPr>
          <w:rFonts w:ascii="Arial" w:hAnsi="Arial" w:cs="Arial"/>
        </w:rPr>
        <w:tab/>
        <w:t xml:space="preserve"> </w:t>
      </w:r>
      <w:r w:rsidR="00C73D15" w:rsidRPr="00055B58">
        <w:rPr>
          <w:rFonts w:ascii="Arial" w:hAnsi="Arial" w:cs="Arial"/>
        </w:rPr>
        <w:t>The provisional curatorship orders directed the curator to furnish a report to the high court (with a copy served on the Prudential Authority)</w:t>
      </w:r>
      <w:r w:rsidR="00B71C5D" w:rsidRPr="00055B58">
        <w:rPr>
          <w:rFonts w:ascii="Arial" w:hAnsi="Arial" w:cs="Arial"/>
        </w:rPr>
        <w:t xml:space="preserve"> by no later than 5 days prior to the return date, </w:t>
      </w:r>
      <w:r w:rsidR="00D01D56" w:rsidRPr="00055B58">
        <w:rPr>
          <w:rFonts w:ascii="Arial" w:hAnsi="Arial" w:cs="Arial"/>
        </w:rPr>
        <w:t>regarding</w:t>
      </w:r>
      <w:r w:rsidR="00B71C5D" w:rsidRPr="00055B58">
        <w:rPr>
          <w:rFonts w:ascii="Arial" w:hAnsi="Arial" w:cs="Arial"/>
        </w:rPr>
        <w:t xml:space="preserve"> the matters listed therein. For convenience, I again reproduce the relevant </w:t>
      </w:r>
      <w:r w:rsidR="00EA2B8D" w:rsidRPr="00055B58">
        <w:rPr>
          <w:rFonts w:ascii="Arial" w:hAnsi="Arial" w:cs="Arial"/>
        </w:rPr>
        <w:t xml:space="preserve">extract from the </w:t>
      </w:r>
      <w:proofErr w:type="spellStart"/>
      <w:r w:rsidR="00EA2B8D" w:rsidRPr="00055B58">
        <w:rPr>
          <w:rFonts w:ascii="Arial" w:hAnsi="Arial" w:cs="Arial"/>
        </w:rPr>
        <w:t>Bophelo</w:t>
      </w:r>
      <w:proofErr w:type="spellEnd"/>
      <w:r w:rsidR="00EA2B8D" w:rsidRPr="00055B58">
        <w:rPr>
          <w:rFonts w:ascii="Arial" w:hAnsi="Arial" w:cs="Arial"/>
        </w:rPr>
        <w:t xml:space="preserve"> order:</w:t>
      </w:r>
    </w:p>
    <w:p w14:paraId="35590D1D" w14:textId="739E56BE" w:rsidR="00B71C5D" w:rsidRPr="00055B58" w:rsidRDefault="00DF5665" w:rsidP="00BA0036">
      <w:pPr>
        <w:spacing w:line="360" w:lineRule="auto"/>
        <w:ind w:hanging="793"/>
        <w:jc w:val="both"/>
        <w:rPr>
          <w:rFonts w:ascii="Arial" w:hAnsi="Arial" w:cs="Arial"/>
          <w:sz w:val="22"/>
          <w:szCs w:val="22"/>
        </w:rPr>
      </w:pPr>
      <w:r w:rsidRPr="00055B58">
        <w:rPr>
          <w:rFonts w:ascii="Arial" w:hAnsi="Arial" w:cs="Arial"/>
          <w:sz w:val="22"/>
          <w:szCs w:val="22"/>
        </w:rPr>
        <w:t>‘9.1</w:t>
      </w:r>
      <w:r w:rsidRPr="00055B58">
        <w:rPr>
          <w:rFonts w:ascii="Arial" w:hAnsi="Arial" w:cs="Arial"/>
          <w:sz w:val="22"/>
          <w:szCs w:val="22"/>
        </w:rPr>
        <w:tab/>
        <w:t>T</w:t>
      </w:r>
      <w:r w:rsidR="00161800" w:rsidRPr="00055B58">
        <w:rPr>
          <w:rFonts w:ascii="Arial" w:hAnsi="Arial" w:cs="Arial"/>
          <w:sz w:val="22"/>
          <w:szCs w:val="22"/>
        </w:rPr>
        <w:t xml:space="preserve">he overall financial position of </w:t>
      </w:r>
      <w:proofErr w:type="spellStart"/>
      <w:r w:rsidR="00161800" w:rsidRPr="00055B58">
        <w:rPr>
          <w:rFonts w:ascii="Arial" w:hAnsi="Arial" w:cs="Arial"/>
          <w:sz w:val="22"/>
          <w:szCs w:val="22"/>
        </w:rPr>
        <w:t>Bophelo</w:t>
      </w:r>
      <w:proofErr w:type="spellEnd"/>
      <w:r w:rsidR="00161800" w:rsidRPr="00055B58">
        <w:rPr>
          <w:rFonts w:ascii="Arial" w:hAnsi="Arial" w:cs="Arial"/>
          <w:sz w:val="22"/>
          <w:szCs w:val="22"/>
        </w:rPr>
        <w:t xml:space="preserve">, with specific details of its financial soundness, assets, liabilities, Minimum Capital Requirements and Solvency Capital Requirements; </w:t>
      </w:r>
    </w:p>
    <w:p w14:paraId="5F682831" w14:textId="5EB63373" w:rsidR="00161800" w:rsidRPr="00055B58" w:rsidRDefault="00161800"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lastRenderedPageBreak/>
        <w:tab/>
        <w:t>9.2</w:t>
      </w:r>
      <w:r w:rsidRPr="00055B58">
        <w:rPr>
          <w:rFonts w:ascii="Arial" w:hAnsi="Arial" w:cs="Arial"/>
          <w:sz w:val="22"/>
          <w:szCs w:val="22"/>
        </w:rPr>
        <w:tab/>
        <w:t xml:space="preserve">the status of any business conducted by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or any of its subsidiaries, holding companies, affiliated or associated companies, involving money received from policyholders and other parties in connection with insurance; </w:t>
      </w:r>
    </w:p>
    <w:p w14:paraId="0EE09FB1" w14:textId="147F059E" w:rsidR="00161800" w:rsidRPr="00055B58" w:rsidRDefault="00161800"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9.3</w:t>
      </w:r>
      <w:r w:rsidRPr="00055B58">
        <w:rPr>
          <w:rFonts w:ascii="Arial" w:hAnsi="Arial" w:cs="Arial"/>
          <w:sz w:val="22"/>
          <w:szCs w:val="22"/>
        </w:rPr>
        <w:tab/>
        <w:t xml:space="preserve">the number and value of policies issued by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in the various classes of insurance business; </w:t>
      </w:r>
    </w:p>
    <w:p w14:paraId="4E02046E" w14:textId="1E28D168" w:rsidR="00BB12E7" w:rsidRPr="00055B58" w:rsidRDefault="00BB12E7"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9.4</w:t>
      </w:r>
      <w:r w:rsidRPr="00055B58">
        <w:rPr>
          <w:rFonts w:ascii="Arial" w:hAnsi="Arial" w:cs="Arial"/>
          <w:sz w:val="22"/>
          <w:szCs w:val="22"/>
        </w:rPr>
        <w:tab/>
        <w:t xml:space="preserve">any irregularities committed by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its directors, management, officers, members, auditors, investors (including but not limited to </w:t>
      </w:r>
      <w:proofErr w:type="spellStart"/>
      <w:r w:rsidRPr="00055B58">
        <w:rPr>
          <w:rFonts w:ascii="Arial" w:hAnsi="Arial" w:cs="Arial"/>
          <w:sz w:val="22"/>
          <w:szCs w:val="22"/>
        </w:rPr>
        <w:t>Lebashe</w:t>
      </w:r>
      <w:proofErr w:type="spellEnd"/>
      <w:r w:rsidRPr="00055B58">
        <w:rPr>
          <w:rFonts w:ascii="Arial" w:hAnsi="Arial" w:cs="Arial"/>
          <w:sz w:val="22"/>
          <w:szCs w:val="22"/>
        </w:rPr>
        <w:t xml:space="preserve"> Financial Services (Proprietary) Limited) (“</w:t>
      </w:r>
      <w:proofErr w:type="spellStart"/>
      <w:r w:rsidRPr="00055B58">
        <w:rPr>
          <w:rFonts w:ascii="Arial" w:hAnsi="Arial" w:cs="Arial"/>
          <w:sz w:val="22"/>
          <w:szCs w:val="22"/>
        </w:rPr>
        <w:t>Lebashe</w:t>
      </w:r>
      <w:proofErr w:type="spellEnd"/>
      <w:r w:rsidRPr="00055B58">
        <w:rPr>
          <w:rFonts w:ascii="Arial" w:hAnsi="Arial" w:cs="Arial"/>
          <w:sz w:val="22"/>
          <w:szCs w:val="22"/>
        </w:rPr>
        <w:t>”)</w:t>
      </w:r>
      <w:r w:rsidR="003006D5" w:rsidRPr="00055B58">
        <w:rPr>
          <w:rFonts w:ascii="Arial" w:hAnsi="Arial" w:cs="Arial"/>
          <w:sz w:val="22"/>
          <w:szCs w:val="22"/>
        </w:rPr>
        <w:t xml:space="preserve"> and shareholders, and full details of the contravention of any laws in the conduct of its business; </w:t>
      </w:r>
    </w:p>
    <w:p w14:paraId="7733ED70" w14:textId="654668EB" w:rsidR="003006D5" w:rsidRPr="00055B58" w:rsidRDefault="003006D5"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9.5</w:t>
      </w:r>
      <w:r w:rsidRPr="00055B58">
        <w:rPr>
          <w:rFonts w:ascii="Arial" w:hAnsi="Arial" w:cs="Arial"/>
          <w:sz w:val="22"/>
          <w:szCs w:val="22"/>
        </w:rPr>
        <w:tab/>
        <w:t xml:space="preserve">what further steps should be taken and by whom in order to safeguard the interests of the policyholders and other creditors of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w:t>
      </w:r>
    </w:p>
    <w:p w14:paraId="5933F7DB" w14:textId="3F0CD588" w:rsidR="003006D5" w:rsidRPr="00055B58" w:rsidRDefault="003006D5"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9.6</w:t>
      </w:r>
      <w:r w:rsidRPr="00055B58">
        <w:rPr>
          <w:rFonts w:ascii="Arial" w:hAnsi="Arial" w:cs="Arial"/>
          <w:sz w:val="22"/>
          <w:szCs w:val="22"/>
        </w:rPr>
        <w:tab/>
        <w:t xml:space="preserve">the viability of the business of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and any other entity in which the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has a direct interest, and set out the ways to ensure the survival of the business of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in particular with regard to the protection of the interests of its policyholders; </w:t>
      </w:r>
    </w:p>
    <w:p w14:paraId="6A688670" w14:textId="39BC6BB6" w:rsidR="003006D5" w:rsidRPr="00055B58" w:rsidRDefault="003006D5"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9.7</w:t>
      </w:r>
      <w:r w:rsidRPr="00055B58">
        <w:rPr>
          <w:rFonts w:ascii="Arial" w:hAnsi="Arial" w:cs="Arial"/>
          <w:sz w:val="22"/>
          <w:szCs w:val="22"/>
        </w:rPr>
        <w:tab/>
        <w:t xml:space="preserve">the curator’s opinion as to whether </w:t>
      </w:r>
      <w:proofErr w:type="spellStart"/>
      <w:r w:rsidRPr="00055B58">
        <w:rPr>
          <w:rFonts w:ascii="Arial" w:hAnsi="Arial" w:cs="Arial"/>
          <w:sz w:val="22"/>
          <w:szCs w:val="22"/>
        </w:rPr>
        <w:t>Lebashe</w:t>
      </w:r>
      <w:proofErr w:type="spellEnd"/>
      <w:r w:rsidRPr="00055B58">
        <w:rPr>
          <w:rFonts w:ascii="Arial" w:hAnsi="Arial" w:cs="Arial"/>
          <w:sz w:val="22"/>
          <w:szCs w:val="22"/>
        </w:rPr>
        <w:t xml:space="preserve"> was permitted to withdraw the funds invested by it in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(if indeed such funds have been withdrawn by </w:t>
      </w:r>
      <w:proofErr w:type="spellStart"/>
      <w:r w:rsidRPr="00055B58">
        <w:rPr>
          <w:rFonts w:ascii="Arial" w:hAnsi="Arial" w:cs="Arial"/>
          <w:sz w:val="22"/>
          <w:szCs w:val="22"/>
        </w:rPr>
        <w:t>Lebashe</w:t>
      </w:r>
      <w:proofErr w:type="spellEnd"/>
      <w:r w:rsidRPr="00055B58">
        <w:rPr>
          <w:rFonts w:ascii="Arial" w:hAnsi="Arial" w:cs="Arial"/>
          <w:sz w:val="22"/>
          <w:szCs w:val="22"/>
        </w:rPr>
        <w:t xml:space="preserve">); </w:t>
      </w:r>
    </w:p>
    <w:p w14:paraId="0C7CFB10" w14:textId="1ACDEE04" w:rsidR="003006D5" w:rsidRPr="00055B58" w:rsidRDefault="003006D5"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9.8</w:t>
      </w:r>
      <w:r w:rsidRPr="00055B58">
        <w:rPr>
          <w:rFonts w:ascii="Arial" w:hAnsi="Arial" w:cs="Arial"/>
          <w:sz w:val="22"/>
          <w:szCs w:val="22"/>
        </w:rPr>
        <w:tab/>
        <w:t xml:space="preserve">the curator’s opinion as to whether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should be placed in liquidation; and if so, the persons to be appointed as liquidators of </w:t>
      </w:r>
      <w:proofErr w:type="spellStart"/>
      <w:r w:rsidRPr="00055B58">
        <w:rPr>
          <w:rFonts w:ascii="Arial" w:hAnsi="Arial" w:cs="Arial"/>
          <w:sz w:val="22"/>
          <w:szCs w:val="22"/>
        </w:rPr>
        <w:t>Bophelo</w:t>
      </w:r>
      <w:proofErr w:type="spellEnd"/>
      <w:r w:rsidRPr="00055B58">
        <w:rPr>
          <w:rFonts w:ascii="Arial" w:hAnsi="Arial" w:cs="Arial"/>
          <w:sz w:val="22"/>
          <w:szCs w:val="22"/>
        </w:rPr>
        <w:t xml:space="preserve">. This must include: the number of persons to be appointed as liquidators and details of their experience; and </w:t>
      </w:r>
    </w:p>
    <w:p w14:paraId="6930DCC7" w14:textId="275DC68F" w:rsidR="003006D5" w:rsidRPr="00055B58" w:rsidRDefault="003006D5" w:rsidP="00BA0036">
      <w:pPr>
        <w:tabs>
          <w:tab w:val="left" w:pos="0"/>
        </w:tabs>
        <w:spacing w:line="360" w:lineRule="auto"/>
        <w:ind w:hanging="1588"/>
        <w:jc w:val="both"/>
        <w:rPr>
          <w:rFonts w:ascii="Arial" w:hAnsi="Arial" w:cs="Arial"/>
          <w:sz w:val="22"/>
          <w:szCs w:val="22"/>
        </w:rPr>
      </w:pPr>
      <w:r w:rsidRPr="00055B58">
        <w:rPr>
          <w:rFonts w:ascii="Arial" w:hAnsi="Arial" w:cs="Arial"/>
          <w:sz w:val="22"/>
          <w:szCs w:val="22"/>
        </w:rPr>
        <w:tab/>
        <w:t>9.9</w:t>
      </w:r>
      <w:r w:rsidRPr="00055B58">
        <w:rPr>
          <w:rFonts w:ascii="Arial" w:hAnsi="Arial" w:cs="Arial"/>
          <w:sz w:val="22"/>
          <w:szCs w:val="22"/>
        </w:rPr>
        <w:tab/>
        <w:t xml:space="preserve">the </w:t>
      </w:r>
      <w:r w:rsidR="00B03D5D" w:rsidRPr="00055B58">
        <w:rPr>
          <w:rFonts w:ascii="Arial" w:hAnsi="Arial" w:cs="Arial"/>
          <w:sz w:val="22"/>
          <w:szCs w:val="22"/>
        </w:rPr>
        <w:t xml:space="preserve">curator’s opinion as to whether the rule </w:t>
      </w:r>
      <w:r w:rsidR="00B03D5D" w:rsidRPr="00055B58">
        <w:rPr>
          <w:rFonts w:ascii="Arial" w:hAnsi="Arial" w:cs="Arial"/>
          <w:i/>
          <w:sz w:val="22"/>
          <w:szCs w:val="22"/>
        </w:rPr>
        <w:t>nisi</w:t>
      </w:r>
      <w:r w:rsidR="00B03D5D" w:rsidRPr="00055B58">
        <w:rPr>
          <w:rFonts w:ascii="Arial" w:hAnsi="Arial" w:cs="Arial"/>
          <w:sz w:val="22"/>
          <w:szCs w:val="22"/>
        </w:rPr>
        <w:t xml:space="preserve"> should be confirmed, its provisional appointment should be made final, and if so, to give an indication of the term required for completion of the </w:t>
      </w:r>
      <w:r w:rsidR="00E3107C" w:rsidRPr="00055B58">
        <w:rPr>
          <w:rFonts w:ascii="Arial" w:hAnsi="Arial" w:cs="Arial"/>
          <w:sz w:val="22"/>
          <w:szCs w:val="22"/>
        </w:rPr>
        <w:t>curatorship</w:t>
      </w:r>
      <w:r w:rsidR="00B03D5D" w:rsidRPr="00055B58">
        <w:rPr>
          <w:rFonts w:ascii="Arial" w:hAnsi="Arial" w:cs="Arial"/>
          <w:sz w:val="22"/>
          <w:szCs w:val="22"/>
        </w:rPr>
        <w:t>.’</w:t>
      </w:r>
    </w:p>
    <w:p w14:paraId="3C8F801E" w14:textId="77777777" w:rsidR="00C2549F" w:rsidRPr="00055B58" w:rsidRDefault="00C2549F" w:rsidP="00BA0036">
      <w:pPr>
        <w:tabs>
          <w:tab w:val="left" w:pos="284"/>
        </w:tabs>
        <w:spacing w:line="360" w:lineRule="auto"/>
        <w:ind w:hanging="794"/>
        <w:jc w:val="both"/>
        <w:rPr>
          <w:rFonts w:ascii="Arial" w:hAnsi="Arial" w:cs="Arial"/>
        </w:rPr>
      </w:pPr>
    </w:p>
    <w:p w14:paraId="54D07075" w14:textId="45302342" w:rsidR="00C2549F" w:rsidRPr="00055B58" w:rsidRDefault="006518A1" w:rsidP="00BA0036">
      <w:pPr>
        <w:tabs>
          <w:tab w:val="left" w:pos="284"/>
        </w:tabs>
        <w:spacing w:line="360" w:lineRule="auto"/>
        <w:ind w:hanging="794"/>
        <w:jc w:val="both"/>
        <w:rPr>
          <w:rFonts w:ascii="Arial" w:hAnsi="Arial" w:cs="Arial"/>
        </w:rPr>
      </w:pPr>
      <w:r w:rsidRPr="00055B58">
        <w:rPr>
          <w:rFonts w:ascii="Arial" w:hAnsi="Arial" w:cs="Arial"/>
        </w:rPr>
        <w:tab/>
        <w:t>[13</w:t>
      </w:r>
      <w:r w:rsidR="00C2549F" w:rsidRPr="00055B58">
        <w:rPr>
          <w:rFonts w:ascii="Arial" w:hAnsi="Arial" w:cs="Arial"/>
        </w:rPr>
        <w:t>]</w:t>
      </w:r>
      <w:r w:rsidR="00C2549F" w:rsidRPr="00055B58">
        <w:rPr>
          <w:rFonts w:ascii="Arial" w:hAnsi="Arial" w:cs="Arial"/>
        </w:rPr>
        <w:tab/>
      </w:r>
      <w:r w:rsidR="00762251" w:rsidRPr="00055B58">
        <w:rPr>
          <w:rFonts w:ascii="Arial" w:hAnsi="Arial" w:cs="Arial"/>
        </w:rPr>
        <w:t xml:space="preserve"> </w:t>
      </w:r>
      <w:r w:rsidR="00E3107C" w:rsidRPr="00055B58">
        <w:rPr>
          <w:rFonts w:ascii="Arial" w:hAnsi="Arial" w:cs="Arial"/>
        </w:rPr>
        <w:t xml:space="preserve">The high court also ordered </w:t>
      </w:r>
      <w:r w:rsidR="00E3570B" w:rsidRPr="00055B58">
        <w:rPr>
          <w:rFonts w:ascii="Arial" w:hAnsi="Arial" w:cs="Arial"/>
        </w:rPr>
        <w:t>the</w:t>
      </w:r>
      <w:r w:rsidR="00E3107C" w:rsidRPr="00055B58">
        <w:rPr>
          <w:rFonts w:ascii="Arial" w:hAnsi="Arial" w:cs="Arial"/>
        </w:rPr>
        <w:t xml:space="preserve"> curator to furnish the Prudential Authority with progress reports on a weekly basis, the first to be submitted 30 days after </w:t>
      </w:r>
      <w:r w:rsidR="00721B09" w:rsidRPr="00055B58">
        <w:rPr>
          <w:rFonts w:ascii="Arial" w:hAnsi="Arial" w:cs="Arial"/>
        </w:rPr>
        <w:t xml:space="preserve">acceptance by </w:t>
      </w:r>
      <w:r w:rsidR="00E3107C" w:rsidRPr="00055B58">
        <w:rPr>
          <w:rFonts w:ascii="Arial" w:hAnsi="Arial" w:cs="Arial"/>
        </w:rPr>
        <w:t xml:space="preserve">the curator </w:t>
      </w:r>
      <w:r w:rsidR="00721B09" w:rsidRPr="00055B58">
        <w:rPr>
          <w:rFonts w:ascii="Arial" w:hAnsi="Arial" w:cs="Arial"/>
        </w:rPr>
        <w:t xml:space="preserve">of </w:t>
      </w:r>
      <w:r w:rsidR="00E3107C" w:rsidRPr="00055B58">
        <w:rPr>
          <w:rFonts w:ascii="Arial" w:hAnsi="Arial" w:cs="Arial"/>
        </w:rPr>
        <w:t>the provisional appointment. The curator, however, produced only one combined progress report</w:t>
      </w:r>
      <w:r w:rsidR="004C5E7B" w:rsidRPr="00055B58">
        <w:rPr>
          <w:rFonts w:ascii="Arial" w:hAnsi="Arial" w:cs="Arial"/>
        </w:rPr>
        <w:t xml:space="preserve">, on 5 December 2018. The curator explained that it was unable to furnish other or further progress reports or a final report, because the insurers had insufficient </w:t>
      </w:r>
      <w:r w:rsidR="00E3570B" w:rsidRPr="00055B58">
        <w:rPr>
          <w:rFonts w:ascii="Arial" w:hAnsi="Arial" w:cs="Arial"/>
        </w:rPr>
        <w:t>funds. That</w:t>
      </w:r>
      <w:r w:rsidR="004C5E7B" w:rsidRPr="00055B58">
        <w:rPr>
          <w:rFonts w:ascii="Arial" w:hAnsi="Arial" w:cs="Arial"/>
        </w:rPr>
        <w:t xml:space="preserve"> was something that it could not fairly be criticised for. </w:t>
      </w:r>
    </w:p>
    <w:p w14:paraId="6F02DB1D" w14:textId="77777777" w:rsidR="00762251" w:rsidRPr="00055B58" w:rsidRDefault="00762251" w:rsidP="00BA0036">
      <w:pPr>
        <w:tabs>
          <w:tab w:val="left" w:pos="284"/>
        </w:tabs>
        <w:spacing w:line="360" w:lineRule="auto"/>
        <w:ind w:hanging="794"/>
        <w:jc w:val="both"/>
        <w:rPr>
          <w:rFonts w:ascii="Arial" w:hAnsi="Arial" w:cs="Arial"/>
        </w:rPr>
      </w:pPr>
    </w:p>
    <w:p w14:paraId="2AEF2C61" w14:textId="20BBC39C" w:rsidR="00762251" w:rsidRPr="00055B58" w:rsidRDefault="00762251" w:rsidP="00BA0036">
      <w:pPr>
        <w:tabs>
          <w:tab w:val="left" w:pos="284"/>
        </w:tabs>
        <w:spacing w:line="360" w:lineRule="auto"/>
        <w:ind w:hanging="794"/>
        <w:jc w:val="both"/>
        <w:rPr>
          <w:rFonts w:ascii="Arial" w:hAnsi="Arial" w:cs="Arial"/>
        </w:rPr>
      </w:pPr>
      <w:r w:rsidRPr="00055B58">
        <w:rPr>
          <w:rFonts w:ascii="Arial" w:hAnsi="Arial" w:cs="Arial"/>
        </w:rPr>
        <w:tab/>
      </w:r>
      <w:r w:rsidR="006518A1" w:rsidRPr="00055B58">
        <w:rPr>
          <w:rFonts w:ascii="Arial" w:hAnsi="Arial" w:cs="Arial"/>
        </w:rPr>
        <w:t>[14</w:t>
      </w:r>
      <w:r w:rsidRPr="00055B58">
        <w:rPr>
          <w:rFonts w:ascii="Arial" w:hAnsi="Arial" w:cs="Arial"/>
        </w:rPr>
        <w:t>]</w:t>
      </w:r>
      <w:r w:rsidRPr="00055B58">
        <w:rPr>
          <w:rFonts w:ascii="Arial" w:hAnsi="Arial" w:cs="Arial"/>
        </w:rPr>
        <w:tab/>
      </w:r>
      <w:r w:rsidR="001E3B37" w:rsidRPr="00055B58">
        <w:rPr>
          <w:rFonts w:ascii="Arial" w:hAnsi="Arial" w:cs="Arial"/>
        </w:rPr>
        <w:t xml:space="preserve"> </w:t>
      </w:r>
      <w:r w:rsidR="00CE5E43" w:rsidRPr="00055B58">
        <w:rPr>
          <w:rFonts w:ascii="Arial" w:hAnsi="Arial" w:cs="Arial"/>
        </w:rPr>
        <w:t>The progress report, nevertheless, told a woeful tale about the</w:t>
      </w:r>
      <w:r w:rsidR="00D01D56" w:rsidRPr="00055B58">
        <w:rPr>
          <w:rFonts w:ascii="Arial" w:hAnsi="Arial" w:cs="Arial"/>
        </w:rPr>
        <w:t xml:space="preserve"> </w:t>
      </w:r>
      <w:r w:rsidR="00CE5E43" w:rsidRPr="00055B58">
        <w:rPr>
          <w:rFonts w:ascii="Arial" w:hAnsi="Arial" w:cs="Arial"/>
        </w:rPr>
        <w:t xml:space="preserve">financial position and long-term business prospects of each of the insurers. The report demonstrated that, as at 30 November 2018, the liabilities of </w:t>
      </w:r>
      <w:proofErr w:type="spellStart"/>
      <w:r w:rsidR="00CE5E43" w:rsidRPr="00055B58">
        <w:rPr>
          <w:rFonts w:ascii="Arial" w:hAnsi="Arial" w:cs="Arial"/>
        </w:rPr>
        <w:t>Bophelo</w:t>
      </w:r>
      <w:proofErr w:type="spellEnd"/>
      <w:r w:rsidR="00CE5E43" w:rsidRPr="00055B58">
        <w:rPr>
          <w:rFonts w:ascii="Arial" w:hAnsi="Arial" w:cs="Arial"/>
        </w:rPr>
        <w:t xml:space="preserve"> exceeded its assets by R58 million. On the same date, </w:t>
      </w:r>
      <w:proofErr w:type="spellStart"/>
      <w:r w:rsidR="00CE5E43" w:rsidRPr="00055B58">
        <w:rPr>
          <w:rFonts w:ascii="Arial" w:hAnsi="Arial" w:cs="Arial"/>
        </w:rPr>
        <w:t>Nzalo’s</w:t>
      </w:r>
      <w:proofErr w:type="spellEnd"/>
      <w:r w:rsidR="00CE5E43" w:rsidRPr="00055B58">
        <w:rPr>
          <w:rFonts w:ascii="Arial" w:hAnsi="Arial" w:cs="Arial"/>
        </w:rPr>
        <w:t xml:space="preserve"> liabilities were R30 million in excess of its assets. </w:t>
      </w:r>
    </w:p>
    <w:p w14:paraId="64466637" w14:textId="77777777" w:rsidR="001E3B37" w:rsidRPr="00055B58" w:rsidRDefault="001E3B37" w:rsidP="00BA0036">
      <w:pPr>
        <w:tabs>
          <w:tab w:val="left" w:pos="284"/>
        </w:tabs>
        <w:spacing w:line="360" w:lineRule="auto"/>
        <w:ind w:hanging="794"/>
        <w:jc w:val="both"/>
        <w:rPr>
          <w:rFonts w:ascii="Arial" w:hAnsi="Arial" w:cs="Arial"/>
        </w:rPr>
      </w:pPr>
    </w:p>
    <w:p w14:paraId="758E3DD1" w14:textId="2DD271DE" w:rsidR="00672EB6" w:rsidRPr="00055B58" w:rsidRDefault="001E3B37" w:rsidP="00BA0036">
      <w:pPr>
        <w:tabs>
          <w:tab w:val="left" w:pos="284"/>
        </w:tabs>
        <w:spacing w:line="360" w:lineRule="auto"/>
        <w:ind w:hanging="794"/>
        <w:jc w:val="both"/>
        <w:rPr>
          <w:rFonts w:ascii="Arial" w:hAnsi="Arial" w:cs="Arial"/>
        </w:rPr>
      </w:pPr>
      <w:r w:rsidRPr="00055B58">
        <w:rPr>
          <w:rFonts w:ascii="Arial" w:hAnsi="Arial" w:cs="Arial"/>
        </w:rPr>
        <w:tab/>
      </w:r>
      <w:r w:rsidR="006518A1" w:rsidRPr="00055B58">
        <w:rPr>
          <w:rFonts w:ascii="Arial" w:hAnsi="Arial" w:cs="Arial"/>
        </w:rPr>
        <w:t>[15</w:t>
      </w:r>
      <w:r w:rsidRPr="00055B58">
        <w:rPr>
          <w:rFonts w:ascii="Arial" w:hAnsi="Arial" w:cs="Arial"/>
        </w:rPr>
        <w:t>]</w:t>
      </w:r>
      <w:r w:rsidRPr="00055B58">
        <w:rPr>
          <w:rFonts w:ascii="Arial" w:hAnsi="Arial" w:cs="Arial"/>
        </w:rPr>
        <w:tab/>
      </w:r>
      <w:proofErr w:type="spellStart"/>
      <w:r w:rsidR="00672EB6" w:rsidRPr="00055B58">
        <w:rPr>
          <w:rFonts w:ascii="Arial" w:hAnsi="Arial" w:cs="Arial"/>
        </w:rPr>
        <w:t>Bophelo’s</w:t>
      </w:r>
      <w:proofErr w:type="spellEnd"/>
      <w:r w:rsidR="00672EB6" w:rsidRPr="00055B58">
        <w:rPr>
          <w:rFonts w:ascii="Arial" w:hAnsi="Arial" w:cs="Arial"/>
        </w:rPr>
        <w:t xml:space="preserve"> main business was to provide risk policies to two group schemes, the Private Security Sector Provident Fund (PSSPF) and the Transport Sector Retirement Fund (TSRF). As at November 2018, </w:t>
      </w:r>
      <w:proofErr w:type="spellStart"/>
      <w:r w:rsidR="00672EB6" w:rsidRPr="00055B58">
        <w:rPr>
          <w:rFonts w:ascii="Arial" w:hAnsi="Arial" w:cs="Arial"/>
        </w:rPr>
        <w:t>Bophelo</w:t>
      </w:r>
      <w:proofErr w:type="spellEnd"/>
      <w:r w:rsidR="00672EB6" w:rsidRPr="00055B58">
        <w:rPr>
          <w:rFonts w:ascii="Arial" w:hAnsi="Arial" w:cs="Arial"/>
        </w:rPr>
        <w:t xml:space="preserve"> provided cover under roughly 272 000 policies. Roughly 200 000 of these related to the </w:t>
      </w:r>
      <w:r w:rsidR="00672EB6" w:rsidRPr="00055B58">
        <w:rPr>
          <w:rFonts w:ascii="Arial" w:hAnsi="Arial" w:cs="Arial"/>
        </w:rPr>
        <w:lastRenderedPageBreak/>
        <w:t xml:space="preserve">PSSPF, </w:t>
      </w:r>
      <w:r w:rsidR="00F531F1" w:rsidRPr="00055B58">
        <w:rPr>
          <w:rFonts w:ascii="Arial" w:hAnsi="Arial" w:cs="Arial"/>
        </w:rPr>
        <w:t xml:space="preserve">which </w:t>
      </w:r>
      <w:r w:rsidR="00672EB6" w:rsidRPr="00055B58">
        <w:rPr>
          <w:rFonts w:ascii="Arial" w:hAnsi="Arial" w:cs="Arial"/>
        </w:rPr>
        <w:t xml:space="preserve">had given notice of the termination of its agreement with </w:t>
      </w:r>
      <w:proofErr w:type="spellStart"/>
      <w:r w:rsidR="00672EB6" w:rsidRPr="00055B58">
        <w:rPr>
          <w:rFonts w:ascii="Arial" w:hAnsi="Arial" w:cs="Arial"/>
        </w:rPr>
        <w:t>Bophelo</w:t>
      </w:r>
      <w:proofErr w:type="spellEnd"/>
      <w:r w:rsidR="00672EB6" w:rsidRPr="00055B58">
        <w:rPr>
          <w:rFonts w:ascii="Arial" w:hAnsi="Arial" w:cs="Arial"/>
        </w:rPr>
        <w:t xml:space="preserve"> at the end of December 2018. About 70 000 of these policies resorted under the TSRF. On the ground that </w:t>
      </w:r>
      <w:proofErr w:type="spellStart"/>
      <w:r w:rsidR="00672EB6" w:rsidRPr="00055B58">
        <w:rPr>
          <w:rFonts w:ascii="Arial" w:hAnsi="Arial" w:cs="Arial"/>
        </w:rPr>
        <w:t>Bophelo</w:t>
      </w:r>
      <w:proofErr w:type="spellEnd"/>
      <w:r w:rsidR="00672EB6" w:rsidRPr="00055B58">
        <w:rPr>
          <w:rFonts w:ascii="Arial" w:hAnsi="Arial" w:cs="Arial"/>
        </w:rPr>
        <w:t xml:space="preserve"> would be unable to pay claims under these policies, the curator urged the TSRF to arrange alternative cover from 1 January 2019, but no commitment to do so was forthcoming. At the end of November 2018, the curator consequently gave 90 days’ notice of the termination of the contract between the TSRF and </w:t>
      </w:r>
      <w:proofErr w:type="spellStart"/>
      <w:r w:rsidR="00672EB6" w:rsidRPr="00055B58">
        <w:rPr>
          <w:rFonts w:ascii="Arial" w:hAnsi="Arial" w:cs="Arial"/>
        </w:rPr>
        <w:t>Bophelo</w:t>
      </w:r>
      <w:proofErr w:type="spellEnd"/>
      <w:r w:rsidR="00672EB6" w:rsidRPr="00055B58">
        <w:rPr>
          <w:rFonts w:ascii="Arial" w:hAnsi="Arial" w:cs="Arial"/>
        </w:rPr>
        <w:t xml:space="preserve">. Thus, only some 2 000 policies remained </w:t>
      </w:r>
      <w:r w:rsidR="00170EE2" w:rsidRPr="00055B58">
        <w:rPr>
          <w:rFonts w:ascii="Arial" w:hAnsi="Arial" w:cs="Arial"/>
        </w:rPr>
        <w:t xml:space="preserve">extant. At the time </w:t>
      </w:r>
      <w:r w:rsidR="00153713" w:rsidRPr="00055B58">
        <w:rPr>
          <w:rFonts w:ascii="Arial" w:hAnsi="Arial" w:cs="Arial"/>
        </w:rPr>
        <w:t xml:space="preserve">almost all policies with </w:t>
      </w:r>
      <w:proofErr w:type="spellStart"/>
      <w:r w:rsidR="00153713" w:rsidRPr="00055B58">
        <w:rPr>
          <w:rFonts w:ascii="Arial" w:hAnsi="Arial" w:cs="Arial"/>
        </w:rPr>
        <w:t>Nzalo</w:t>
      </w:r>
      <w:proofErr w:type="spellEnd"/>
      <w:r w:rsidR="00153713" w:rsidRPr="00055B58">
        <w:rPr>
          <w:rFonts w:ascii="Arial" w:hAnsi="Arial" w:cs="Arial"/>
        </w:rPr>
        <w:t xml:space="preserve"> had been cancelled and moved to other insurers. </w:t>
      </w:r>
    </w:p>
    <w:p w14:paraId="687D09DB" w14:textId="77777777" w:rsidR="00733016" w:rsidRPr="00055B58" w:rsidRDefault="00733016" w:rsidP="00BA0036">
      <w:pPr>
        <w:tabs>
          <w:tab w:val="left" w:pos="0"/>
        </w:tabs>
        <w:spacing w:line="360" w:lineRule="auto"/>
        <w:ind w:hanging="1590"/>
        <w:jc w:val="both"/>
        <w:rPr>
          <w:rFonts w:ascii="Arial" w:hAnsi="Arial" w:cs="Arial"/>
          <w:sz w:val="22"/>
          <w:szCs w:val="22"/>
        </w:rPr>
      </w:pPr>
    </w:p>
    <w:p w14:paraId="1FF0175D" w14:textId="3831BA29" w:rsidR="00733016" w:rsidRPr="00055B58" w:rsidRDefault="00733016" w:rsidP="00BA0036">
      <w:pPr>
        <w:tabs>
          <w:tab w:val="left" w:pos="0"/>
        </w:tabs>
        <w:spacing w:line="360" w:lineRule="auto"/>
        <w:ind w:hanging="739"/>
        <w:jc w:val="both"/>
        <w:rPr>
          <w:rFonts w:ascii="Arial" w:hAnsi="Arial" w:cs="Arial"/>
        </w:rPr>
      </w:pPr>
      <w:r w:rsidRPr="00055B58">
        <w:rPr>
          <w:rFonts w:ascii="Arial" w:hAnsi="Arial" w:cs="Arial"/>
          <w:sz w:val="22"/>
          <w:szCs w:val="22"/>
        </w:rPr>
        <w:tab/>
      </w:r>
      <w:r w:rsidR="006518A1" w:rsidRPr="00055B58">
        <w:rPr>
          <w:rFonts w:ascii="Arial" w:hAnsi="Arial" w:cs="Arial"/>
        </w:rPr>
        <w:t>[16</w:t>
      </w:r>
      <w:r w:rsidRPr="00055B58">
        <w:rPr>
          <w:rFonts w:ascii="Arial" w:hAnsi="Arial" w:cs="Arial"/>
        </w:rPr>
        <w:t>]</w:t>
      </w:r>
      <w:r w:rsidRPr="00055B58">
        <w:rPr>
          <w:rFonts w:ascii="Arial" w:hAnsi="Arial" w:cs="Arial"/>
        </w:rPr>
        <w:tab/>
      </w:r>
      <w:r w:rsidR="00367399" w:rsidRPr="00055B58">
        <w:rPr>
          <w:rFonts w:ascii="Arial" w:hAnsi="Arial" w:cs="Arial"/>
        </w:rPr>
        <w:t xml:space="preserve"> </w:t>
      </w:r>
      <w:r w:rsidR="00E30D08" w:rsidRPr="00055B58">
        <w:rPr>
          <w:rFonts w:ascii="Arial" w:hAnsi="Arial" w:cs="Arial"/>
        </w:rPr>
        <w:t>In the respect of each i</w:t>
      </w:r>
      <w:r w:rsidR="00742C53" w:rsidRPr="00055B58">
        <w:rPr>
          <w:rFonts w:ascii="Arial" w:hAnsi="Arial" w:cs="Arial"/>
        </w:rPr>
        <w:t>nsurer, their curator reported:</w:t>
      </w:r>
    </w:p>
    <w:p w14:paraId="06CA49C0" w14:textId="5D657F15" w:rsidR="00367399" w:rsidRPr="00055B58" w:rsidRDefault="00E30D08" w:rsidP="00BA0036">
      <w:pPr>
        <w:tabs>
          <w:tab w:val="left" w:pos="0"/>
        </w:tabs>
        <w:spacing w:line="360" w:lineRule="auto"/>
        <w:ind w:hanging="1590"/>
        <w:jc w:val="both"/>
        <w:rPr>
          <w:rFonts w:ascii="Arial" w:hAnsi="Arial" w:cs="Arial"/>
          <w:sz w:val="22"/>
          <w:szCs w:val="22"/>
        </w:rPr>
      </w:pPr>
      <w:r w:rsidRPr="00055B58">
        <w:rPr>
          <w:rFonts w:ascii="Arial" w:hAnsi="Arial" w:cs="Arial"/>
        </w:rPr>
        <w:tab/>
      </w:r>
      <w:r w:rsidRPr="00055B58">
        <w:rPr>
          <w:rFonts w:ascii="Arial" w:hAnsi="Arial" w:cs="Arial"/>
          <w:sz w:val="22"/>
          <w:szCs w:val="22"/>
        </w:rPr>
        <w:t>‘After having settled all liabilities and adequately capitalised the business</w:t>
      </w:r>
      <w:r w:rsidR="00486BCC" w:rsidRPr="00055B58">
        <w:rPr>
          <w:rFonts w:ascii="Arial" w:hAnsi="Arial" w:cs="Arial"/>
          <w:sz w:val="22"/>
          <w:szCs w:val="22"/>
        </w:rPr>
        <w:t>, it would also be akin to a new insurer (apart from the brand damage sustained), starting from having to sell the first policy and thus the reality of operational expense overruns until scale can be achieved in due course.’</w:t>
      </w:r>
    </w:p>
    <w:p w14:paraId="29538F18" w14:textId="45982B84" w:rsidR="0052235F" w:rsidRPr="00055B58" w:rsidRDefault="0052235F" w:rsidP="00BA0036">
      <w:pPr>
        <w:tabs>
          <w:tab w:val="left" w:pos="0"/>
        </w:tabs>
        <w:spacing w:line="360" w:lineRule="auto"/>
        <w:ind w:hanging="1590"/>
        <w:jc w:val="both"/>
        <w:rPr>
          <w:rFonts w:ascii="Arial" w:hAnsi="Arial" w:cs="Arial"/>
        </w:rPr>
      </w:pPr>
      <w:r w:rsidRPr="00055B58">
        <w:rPr>
          <w:rFonts w:ascii="Arial" w:hAnsi="Arial" w:cs="Arial"/>
          <w:sz w:val="22"/>
          <w:szCs w:val="22"/>
        </w:rPr>
        <w:tab/>
      </w:r>
      <w:r w:rsidR="00AE0B41" w:rsidRPr="00055B58">
        <w:rPr>
          <w:rFonts w:ascii="Arial" w:hAnsi="Arial" w:cs="Arial"/>
        </w:rPr>
        <w:t>It concluded:</w:t>
      </w:r>
    </w:p>
    <w:p w14:paraId="7ABE64D9" w14:textId="77777777" w:rsidR="00BD486B" w:rsidRPr="00055B58" w:rsidRDefault="0052235F" w:rsidP="00BA0036">
      <w:pPr>
        <w:tabs>
          <w:tab w:val="left" w:pos="0"/>
        </w:tabs>
        <w:spacing w:line="360" w:lineRule="auto"/>
        <w:ind w:hanging="1590"/>
        <w:jc w:val="both"/>
        <w:rPr>
          <w:rFonts w:ascii="Arial" w:hAnsi="Arial" w:cs="Arial"/>
          <w:sz w:val="22"/>
          <w:szCs w:val="22"/>
        </w:rPr>
      </w:pPr>
      <w:r w:rsidRPr="00055B58">
        <w:rPr>
          <w:rFonts w:ascii="Arial" w:hAnsi="Arial" w:cs="Arial"/>
        </w:rPr>
        <w:tab/>
      </w:r>
      <w:r w:rsidRPr="00055B58">
        <w:rPr>
          <w:rFonts w:ascii="Arial" w:hAnsi="Arial" w:cs="Arial"/>
          <w:sz w:val="22"/>
          <w:szCs w:val="22"/>
        </w:rPr>
        <w:t>‘As set out through general reasoning above, both insurers are facing bleak longer-term prospects. At the date hereof, it seems that only substantial recapitalisation could possibly ensure the continued existence of the insurers over the longer-term.’</w:t>
      </w:r>
    </w:p>
    <w:p w14:paraId="2BD07AA7" w14:textId="44F9DECC" w:rsidR="0052235F" w:rsidRPr="00055B58" w:rsidRDefault="00BD486B" w:rsidP="00BA0036">
      <w:pPr>
        <w:tabs>
          <w:tab w:val="left" w:pos="0"/>
        </w:tabs>
        <w:spacing w:line="360" w:lineRule="auto"/>
        <w:ind w:hanging="1590"/>
        <w:jc w:val="both"/>
        <w:rPr>
          <w:rFonts w:ascii="Arial" w:hAnsi="Arial" w:cs="Arial"/>
          <w:sz w:val="22"/>
          <w:szCs w:val="22"/>
        </w:rPr>
      </w:pPr>
      <w:r w:rsidRPr="00055B58">
        <w:rPr>
          <w:rFonts w:ascii="Arial" w:hAnsi="Arial" w:cs="Arial"/>
          <w:sz w:val="22"/>
          <w:szCs w:val="22"/>
        </w:rPr>
        <w:tab/>
      </w:r>
      <w:r w:rsidR="0052235F" w:rsidRPr="00055B58">
        <w:rPr>
          <w:rFonts w:ascii="Arial" w:hAnsi="Arial" w:cs="Arial"/>
          <w:sz w:val="22"/>
          <w:szCs w:val="22"/>
        </w:rPr>
        <w:t xml:space="preserve"> </w:t>
      </w:r>
    </w:p>
    <w:p w14:paraId="448CEBFA" w14:textId="7E30F9C8" w:rsidR="00367399" w:rsidRPr="00055B58" w:rsidRDefault="00367399" w:rsidP="00BA0036">
      <w:pPr>
        <w:tabs>
          <w:tab w:val="left" w:pos="0"/>
        </w:tabs>
        <w:spacing w:line="360" w:lineRule="auto"/>
        <w:ind w:hanging="1590"/>
        <w:jc w:val="both"/>
        <w:rPr>
          <w:rFonts w:ascii="Arial" w:hAnsi="Arial" w:cs="Arial"/>
        </w:rPr>
      </w:pPr>
      <w:r w:rsidRPr="00055B58">
        <w:rPr>
          <w:rFonts w:ascii="Arial" w:hAnsi="Arial" w:cs="Arial"/>
        </w:rPr>
        <w:tab/>
      </w:r>
      <w:r w:rsidR="006518A1" w:rsidRPr="00055B58">
        <w:rPr>
          <w:rFonts w:ascii="Arial" w:hAnsi="Arial" w:cs="Arial"/>
        </w:rPr>
        <w:t>[17</w:t>
      </w:r>
      <w:r w:rsidRPr="00055B58">
        <w:rPr>
          <w:rFonts w:ascii="Arial" w:hAnsi="Arial" w:cs="Arial"/>
        </w:rPr>
        <w:t>]</w:t>
      </w:r>
      <w:r w:rsidRPr="00055B58">
        <w:rPr>
          <w:rFonts w:ascii="Arial" w:hAnsi="Arial" w:cs="Arial"/>
        </w:rPr>
        <w:tab/>
      </w:r>
      <w:r w:rsidR="007D7ACE" w:rsidRPr="00055B58">
        <w:rPr>
          <w:rFonts w:ascii="Arial" w:hAnsi="Arial" w:cs="Arial"/>
        </w:rPr>
        <w:t xml:space="preserve"> </w:t>
      </w:r>
      <w:r w:rsidR="00BE07F9" w:rsidRPr="00055B58">
        <w:rPr>
          <w:rFonts w:ascii="Arial" w:hAnsi="Arial" w:cs="Arial"/>
        </w:rPr>
        <w:t xml:space="preserve">In the light of this report, the Prudential Authority resolved to apply for the provisional liquidation of the insurers. On 4 February 2019, it launched such applications, which were set down for hearing on 12 February 2019. In the main, the grounds for winding-up were that both the insurers were ‘hopelessly </w:t>
      </w:r>
      <w:r w:rsidR="00260B4C" w:rsidRPr="00055B58">
        <w:rPr>
          <w:rFonts w:ascii="Arial" w:hAnsi="Arial" w:cs="Arial"/>
        </w:rPr>
        <w:t>insolvent’, had</w:t>
      </w:r>
      <w:r w:rsidR="00BE07F9" w:rsidRPr="00055B58">
        <w:rPr>
          <w:rFonts w:ascii="Arial" w:hAnsi="Arial" w:cs="Arial"/>
        </w:rPr>
        <w:t xml:space="preserve"> no directors</w:t>
      </w:r>
      <w:r w:rsidR="00260B4C" w:rsidRPr="00055B58">
        <w:rPr>
          <w:rFonts w:ascii="Arial" w:hAnsi="Arial" w:cs="Arial"/>
        </w:rPr>
        <w:t xml:space="preserve"> </w:t>
      </w:r>
      <w:r w:rsidR="00BE07F9" w:rsidRPr="00055B58">
        <w:rPr>
          <w:rFonts w:ascii="Arial" w:hAnsi="Arial" w:cs="Arial"/>
        </w:rPr>
        <w:t xml:space="preserve">and </w:t>
      </w:r>
      <w:r w:rsidR="00F531F1" w:rsidRPr="00055B58">
        <w:rPr>
          <w:rFonts w:ascii="Arial" w:hAnsi="Arial" w:cs="Arial"/>
        </w:rPr>
        <w:t xml:space="preserve">had </w:t>
      </w:r>
      <w:r w:rsidR="00BE07F9" w:rsidRPr="00055B58">
        <w:rPr>
          <w:rFonts w:ascii="Arial" w:hAnsi="Arial" w:cs="Arial"/>
        </w:rPr>
        <w:t xml:space="preserve">ceased to be going concerns. The Prudential Authority also </w:t>
      </w:r>
      <w:r w:rsidR="00E3570B" w:rsidRPr="00055B58">
        <w:rPr>
          <w:rFonts w:ascii="Arial" w:hAnsi="Arial" w:cs="Arial"/>
        </w:rPr>
        <w:t>averred</w:t>
      </w:r>
      <w:r w:rsidR="00BE07F9" w:rsidRPr="00055B58">
        <w:rPr>
          <w:rFonts w:ascii="Arial" w:hAnsi="Arial" w:cs="Arial"/>
        </w:rPr>
        <w:t xml:space="preserve"> that in the event of the provisional winding-up of the insurers, the provisional </w:t>
      </w:r>
      <w:proofErr w:type="spellStart"/>
      <w:r w:rsidR="00BE07F9" w:rsidRPr="00055B58">
        <w:rPr>
          <w:rFonts w:ascii="Arial" w:hAnsi="Arial" w:cs="Arial"/>
        </w:rPr>
        <w:t>curatorships</w:t>
      </w:r>
      <w:proofErr w:type="spellEnd"/>
      <w:r w:rsidR="00BE07F9" w:rsidRPr="00055B58">
        <w:rPr>
          <w:rFonts w:ascii="Arial" w:hAnsi="Arial" w:cs="Arial"/>
        </w:rPr>
        <w:t xml:space="preserve"> would have served their purpose and indicated that it would seek their discharge. </w:t>
      </w:r>
    </w:p>
    <w:p w14:paraId="74E2A15E" w14:textId="77777777" w:rsidR="007D7ACE" w:rsidRPr="00055B58" w:rsidRDefault="007D7ACE" w:rsidP="00BA0036">
      <w:pPr>
        <w:tabs>
          <w:tab w:val="left" w:pos="0"/>
        </w:tabs>
        <w:spacing w:line="360" w:lineRule="auto"/>
        <w:ind w:hanging="1590"/>
        <w:jc w:val="both"/>
        <w:rPr>
          <w:rFonts w:ascii="Arial" w:hAnsi="Arial" w:cs="Arial"/>
        </w:rPr>
      </w:pPr>
    </w:p>
    <w:p w14:paraId="2EBAD8C0" w14:textId="18FBD645" w:rsidR="007D7ACE" w:rsidRPr="00055B58" w:rsidRDefault="007D7ACE" w:rsidP="00BA0036">
      <w:pPr>
        <w:tabs>
          <w:tab w:val="left" w:pos="0"/>
        </w:tabs>
        <w:spacing w:line="360" w:lineRule="auto"/>
        <w:ind w:hanging="1590"/>
        <w:jc w:val="both"/>
        <w:rPr>
          <w:rFonts w:ascii="Arial" w:hAnsi="Arial" w:cs="Arial"/>
        </w:rPr>
      </w:pPr>
      <w:r w:rsidRPr="00055B58">
        <w:rPr>
          <w:rFonts w:ascii="Arial" w:hAnsi="Arial" w:cs="Arial"/>
        </w:rPr>
        <w:tab/>
      </w:r>
      <w:r w:rsidR="006518A1" w:rsidRPr="00055B58">
        <w:rPr>
          <w:rFonts w:ascii="Arial" w:hAnsi="Arial" w:cs="Arial"/>
        </w:rPr>
        <w:t>[18</w:t>
      </w:r>
      <w:r w:rsidRPr="00055B58">
        <w:rPr>
          <w:rFonts w:ascii="Arial" w:hAnsi="Arial" w:cs="Arial"/>
        </w:rPr>
        <w:t>]</w:t>
      </w:r>
      <w:r w:rsidRPr="00055B58">
        <w:rPr>
          <w:rFonts w:ascii="Arial" w:hAnsi="Arial" w:cs="Arial"/>
        </w:rPr>
        <w:tab/>
      </w:r>
      <w:r w:rsidR="00370428" w:rsidRPr="00055B58">
        <w:rPr>
          <w:rFonts w:ascii="Arial" w:hAnsi="Arial" w:cs="Arial"/>
        </w:rPr>
        <w:t xml:space="preserve"> </w:t>
      </w:r>
      <w:r w:rsidR="00400338" w:rsidRPr="00055B58">
        <w:rPr>
          <w:rFonts w:ascii="Arial" w:hAnsi="Arial" w:cs="Arial"/>
        </w:rPr>
        <w:t xml:space="preserve">On 11 February 2019, </w:t>
      </w:r>
      <w:proofErr w:type="spellStart"/>
      <w:r w:rsidR="00400338" w:rsidRPr="00055B58">
        <w:rPr>
          <w:rFonts w:ascii="Arial" w:hAnsi="Arial" w:cs="Arial"/>
        </w:rPr>
        <w:t>Lebashe</w:t>
      </w:r>
      <w:proofErr w:type="spellEnd"/>
      <w:r w:rsidR="00400338" w:rsidRPr="00055B58">
        <w:rPr>
          <w:rFonts w:ascii="Arial" w:hAnsi="Arial" w:cs="Arial"/>
        </w:rPr>
        <w:t xml:space="preserve"> delivered an application for leave to intervene in the liquidation applications. </w:t>
      </w:r>
      <w:r w:rsidR="00641A55" w:rsidRPr="00055B58">
        <w:rPr>
          <w:rFonts w:ascii="Arial" w:hAnsi="Arial" w:cs="Arial"/>
        </w:rPr>
        <w:t xml:space="preserve">In addition, on 7 March 2019, </w:t>
      </w:r>
      <w:proofErr w:type="spellStart"/>
      <w:r w:rsidR="00641A55" w:rsidRPr="00055B58">
        <w:rPr>
          <w:rFonts w:ascii="Arial" w:hAnsi="Arial" w:cs="Arial"/>
        </w:rPr>
        <w:t>Lebashe</w:t>
      </w:r>
      <w:proofErr w:type="spellEnd"/>
      <w:r w:rsidR="00641A55" w:rsidRPr="00055B58">
        <w:rPr>
          <w:rFonts w:ascii="Arial" w:hAnsi="Arial" w:cs="Arial"/>
        </w:rPr>
        <w:t xml:space="preserve"> filed what was described as a ‘conditional answering affidavit’, which so it stated, ‘will become unconditional if and when </w:t>
      </w:r>
      <w:proofErr w:type="spellStart"/>
      <w:r w:rsidR="00641A55" w:rsidRPr="00055B58">
        <w:rPr>
          <w:rFonts w:ascii="Arial" w:hAnsi="Arial" w:cs="Arial"/>
        </w:rPr>
        <w:t>Lebashe</w:t>
      </w:r>
      <w:proofErr w:type="spellEnd"/>
      <w:r w:rsidR="00641A55" w:rsidRPr="00055B58">
        <w:rPr>
          <w:rFonts w:ascii="Arial" w:hAnsi="Arial" w:cs="Arial"/>
        </w:rPr>
        <w:t xml:space="preserve"> is granted leave to intervene in the winding-up application’. </w:t>
      </w:r>
      <w:r w:rsidR="00400338" w:rsidRPr="00055B58">
        <w:rPr>
          <w:rFonts w:ascii="Arial" w:hAnsi="Arial" w:cs="Arial"/>
        </w:rPr>
        <w:t xml:space="preserve">On 12 February 2019, however, the high court issued a provisional liquidation order in respect of each insurer, with the same return date as the provisional curatorship orders, namely 11 March 2019. It postponed </w:t>
      </w:r>
      <w:proofErr w:type="spellStart"/>
      <w:r w:rsidR="00400338" w:rsidRPr="00055B58">
        <w:rPr>
          <w:rFonts w:ascii="Arial" w:hAnsi="Arial" w:cs="Arial"/>
        </w:rPr>
        <w:t>Lebashe’s</w:t>
      </w:r>
      <w:proofErr w:type="spellEnd"/>
      <w:r w:rsidR="00400338" w:rsidRPr="00055B58">
        <w:rPr>
          <w:rFonts w:ascii="Arial" w:hAnsi="Arial" w:cs="Arial"/>
        </w:rPr>
        <w:t xml:space="preserve"> intervention application to the same date. </w:t>
      </w:r>
    </w:p>
    <w:p w14:paraId="7B00A9AD" w14:textId="77777777" w:rsidR="00370428" w:rsidRPr="00055B58" w:rsidRDefault="00370428" w:rsidP="00BA0036">
      <w:pPr>
        <w:tabs>
          <w:tab w:val="left" w:pos="0"/>
        </w:tabs>
        <w:spacing w:line="360" w:lineRule="auto"/>
        <w:ind w:hanging="1590"/>
        <w:jc w:val="both"/>
        <w:rPr>
          <w:rFonts w:ascii="Arial" w:hAnsi="Arial" w:cs="Arial"/>
        </w:rPr>
      </w:pPr>
    </w:p>
    <w:p w14:paraId="14D3C87F" w14:textId="61A2443A" w:rsidR="00370428" w:rsidRPr="00055B58" w:rsidRDefault="00370428" w:rsidP="00BA0036">
      <w:pPr>
        <w:tabs>
          <w:tab w:val="left" w:pos="0"/>
        </w:tabs>
        <w:spacing w:line="360" w:lineRule="auto"/>
        <w:ind w:hanging="1590"/>
        <w:jc w:val="both"/>
        <w:rPr>
          <w:rFonts w:ascii="Arial" w:hAnsi="Arial" w:cs="Arial"/>
        </w:rPr>
      </w:pPr>
      <w:r w:rsidRPr="00055B58">
        <w:rPr>
          <w:rFonts w:ascii="Arial" w:hAnsi="Arial" w:cs="Arial"/>
        </w:rPr>
        <w:tab/>
      </w:r>
      <w:r w:rsidR="006518A1" w:rsidRPr="00055B58">
        <w:rPr>
          <w:rFonts w:ascii="Arial" w:hAnsi="Arial" w:cs="Arial"/>
        </w:rPr>
        <w:t>[19</w:t>
      </w:r>
      <w:r w:rsidRPr="00055B58">
        <w:rPr>
          <w:rFonts w:ascii="Arial" w:hAnsi="Arial" w:cs="Arial"/>
        </w:rPr>
        <w:t>]</w:t>
      </w:r>
      <w:r w:rsidRPr="00055B58">
        <w:rPr>
          <w:rFonts w:ascii="Arial" w:hAnsi="Arial" w:cs="Arial"/>
        </w:rPr>
        <w:tab/>
      </w:r>
      <w:r w:rsidR="00D67280" w:rsidRPr="00055B58">
        <w:rPr>
          <w:rFonts w:ascii="Arial" w:hAnsi="Arial" w:cs="Arial"/>
        </w:rPr>
        <w:t xml:space="preserve"> </w:t>
      </w:r>
      <w:r w:rsidR="003B5438" w:rsidRPr="00055B58">
        <w:rPr>
          <w:rFonts w:ascii="Arial" w:hAnsi="Arial" w:cs="Arial"/>
        </w:rPr>
        <w:t xml:space="preserve">On 11 March 2019 and subsequently, the return date of the four provisional orders was extended. In the meantime, the high court granted leave to </w:t>
      </w:r>
      <w:proofErr w:type="spellStart"/>
      <w:r w:rsidR="003B5438" w:rsidRPr="00055B58">
        <w:rPr>
          <w:rFonts w:ascii="Arial" w:hAnsi="Arial" w:cs="Arial"/>
        </w:rPr>
        <w:t>Lebashe</w:t>
      </w:r>
      <w:proofErr w:type="spellEnd"/>
      <w:r w:rsidR="003B5438" w:rsidRPr="00055B58">
        <w:rPr>
          <w:rFonts w:ascii="Arial" w:hAnsi="Arial" w:cs="Arial"/>
        </w:rPr>
        <w:t xml:space="preserve"> to intervene in the liquidation </w:t>
      </w:r>
      <w:r w:rsidR="003B5438" w:rsidRPr="00055B58">
        <w:rPr>
          <w:rFonts w:ascii="Arial" w:hAnsi="Arial" w:cs="Arial"/>
        </w:rPr>
        <w:lastRenderedPageBreak/>
        <w:t xml:space="preserve">applications, by agreement between the relevant parties. Thus, </w:t>
      </w:r>
      <w:proofErr w:type="spellStart"/>
      <w:r w:rsidR="003B5438" w:rsidRPr="00055B58">
        <w:rPr>
          <w:rFonts w:ascii="Arial" w:hAnsi="Arial" w:cs="Arial"/>
        </w:rPr>
        <w:t>Lebashe’s</w:t>
      </w:r>
      <w:proofErr w:type="spellEnd"/>
      <w:r w:rsidR="003B5438" w:rsidRPr="00055B58">
        <w:rPr>
          <w:rFonts w:ascii="Arial" w:hAnsi="Arial" w:cs="Arial"/>
        </w:rPr>
        <w:t xml:space="preserve"> earlier conditional answering affidavit was duly placed before the high court. The high court also granted leave to the TSRF</w:t>
      </w:r>
      <w:r w:rsidR="008C7B08" w:rsidRPr="00055B58">
        <w:rPr>
          <w:rFonts w:ascii="Arial" w:hAnsi="Arial" w:cs="Arial"/>
        </w:rPr>
        <w:t xml:space="preserve"> to intervene in the </w:t>
      </w:r>
      <w:proofErr w:type="spellStart"/>
      <w:r w:rsidR="008C7B08" w:rsidRPr="00055B58">
        <w:rPr>
          <w:rFonts w:ascii="Arial" w:hAnsi="Arial" w:cs="Arial"/>
        </w:rPr>
        <w:t>Bophelo</w:t>
      </w:r>
      <w:proofErr w:type="spellEnd"/>
      <w:r w:rsidR="008C7B08" w:rsidRPr="00055B58">
        <w:rPr>
          <w:rFonts w:ascii="Arial" w:hAnsi="Arial" w:cs="Arial"/>
        </w:rPr>
        <w:t xml:space="preserve"> liquidation application. These were the only parties that opposed the relief sought. The curator filed </w:t>
      </w:r>
      <w:r w:rsidR="00E3570B" w:rsidRPr="00055B58">
        <w:rPr>
          <w:rFonts w:ascii="Arial" w:hAnsi="Arial" w:cs="Arial"/>
        </w:rPr>
        <w:t>affidavits</w:t>
      </w:r>
      <w:r w:rsidR="008C7B08" w:rsidRPr="00055B58">
        <w:rPr>
          <w:rFonts w:ascii="Arial" w:hAnsi="Arial" w:cs="Arial"/>
        </w:rPr>
        <w:t xml:space="preserve"> </w:t>
      </w:r>
      <w:r w:rsidR="00E3570B" w:rsidRPr="00055B58">
        <w:rPr>
          <w:rFonts w:ascii="Arial" w:hAnsi="Arial" w:cs="Arial"/>
        </w:rPr>
        <w:t xml:space="preserve">confirming </w:t>
      </w:r>
      <w:r w:rsidR="008C7B08" w:rsidRPr="00055B58">
        <w:rPr>
          <w:rFonts w:ascii="Arial" w:hAnsi="Arial" w:cs="Arial"/>
        </w:rPr>
        <w:t xml:space="preserve">that the insurers were insolvent. </w:t>
      </w:r>
    </w:p>
    <w:p w14:paraId="69BE83C6" w14:textId="77777777" w:rsidR="00D67280" w:rsidRPr="00055B58" w:rsidRDefault="00D67280" w:rsidP="00BA0036">
      <w:pPr>
        <w:tabs>
          <w:tab w:val="left" w:pos="0"/>
        </w:tabs>
        <w:spacing w:line="360" w:lineRule="auto"/>
        <w:ind w:hanging="1590"/>
        <w:jc w:val="both"/>
        <w:rPr>
          <w:rFonts w:ascii="Arial" w:hAnsi="Arial" w:cs="Arial"/>
        </w:rPr>
      </w:pPr>
    </w:p>
    <w:p w14:paraId="48BAC6B5" w14:textId="292042BB" w:rsidR="0099602C" w:rsidRPr="00055B58" w:rsidRDefault="00D856E2" w:rsidP="00BA0036">
      <w:pPr>
        <w:tabs>
          <w:tab w:val="left" w:pos="0"/>
        </w:tabs>
        <w:spacing w:line="360" w:lineRule="auto"/>
        <w:ind w:hanging="1590"/>
        <w:jc w:val="both"/>
        <w:rPr>
          <w:rFonts w:ascii="Arial" w:hAnsi="Arial" w:cs="Arial"/>
        </w:rPr>
      </w:pPr>
      <w:r w:rsidRPr="00055B58">
        <w:rPr>
          <w:rFonts w:ascii="Arial" w:hAnsi="Arial" w:cs="Arial"/>
        </w:rPr>
        <w:tab/>
      </w:r>
      <w:r w:rsidR="006518A1" w:rsidRPr="00055B58">
        <w:rPr>
          <w:rFonts w:ascii="Arial" w:hAnsi="Arial" w:cs="Arial"/>
        </w:rPr>
        <w:t>[20</w:t>
      </w:r>
      <w:r w:rsidRPr="00055B58">
        <w:rPr>
          <w:rFonts w:ascii="Arial" w:hAnsi="Arial" w:cs="Arial"/>
        </w:rPr>
        <w:t>]</w:t>
      </w:r>
      <w:r w:rsidRPr="00055B58">
        <w:rPr>
          <w:rFonts w:ascii="Arial" w:hAnsi="Arial" w:cs="Arial"/>
        </w:rPr>
        <w:tab/>
      </w:r>
      <w:r w:rsidR="00C1600B" w:rsidRPr="00055B58">
        <w:rPr>
          <w:rFonts w:ascii="Arial" w:hAnsi="Arial" w:cs="Arial"/>
        </w:rPr>
        <w:t xml:space="preserve">In its answering affidavit, </w:t>
      </w:r>
      <w:proofErr w:type="spellStart"/>
      <w:r w:rsidR="00C1600B" w:rsidRPr="00055B58">
        <w:rPr>
          <w:rFonts w:ascii="Arial" w:hAnsi="Arial" w:cs="Arial"/>
        </w:rPr>
        <w:t>Lebashe</w:t>
      </w:r>
      <w:proofErr w:type="spellEnd"/>
      <w:r w:rsidR="00C1600B" w:rsidRPr="00055B58">
        <w:rPr>
          <w:rFonts w:ascii="Arial" w:hAnsi="Arial" w:cs="Arial"/>
        </w:rPr>
        <w:t xml:space="preserve"> rightly did not dispute that the insurers were insolvent. It contended, however, that s 54(5) of the Insurance Act precluded the provisional liquidation orders. I shall reproduce this subsection shortly. </w:t>
      </w:r>
      <w:proofErr w:type="spellStart"/>
      <w:r w:rsidR="00C1600B" w:rsidRPr="00055B58">
        <w:rPr>
          <w:rFonts w:ascii="Arial" w:hAnsi="Arial" w:cs="Arial"/>
        </w:rPr>
        <w:t>Lebashe</w:t>
      </w:r>
      <w:proofErr w:type="spellEnd"/>
      <w:r w:rsidR="00C1600B" w:rsidRPr="00055B58">
        <w:rPr>
          <w:rFonts w:ascii="Arial" w:hAnsi="Arial" w:cs="Arial"/>
        </w:rPr>
        <w:t xml:space="preserve"> also adequately foreshadowed an argument that para 5 of the provisional curatorship orders did the same. </w:t>
      </w:r>
      <w:proofErr w:type="gramStart"/>
      <w:r w:rsidR="00E3570B" w:rsidRPr="00055B58">
        <w:rPr>
          <w:rFonts w:ascii="Arial" w:hAnsi="Arial" w:cs="Arial"/>
        </w:rPr>
        <w:t>Alternatively</w:t>
      </w:r>
      <w:proofErr w:type="gramEnd"/>
      <w:r w:rsidR="00E3570B" w:rsidRPr="00055B58">
        <w:rPr>
          <w:rFonts w:ascii="Arial" w:hAnsi="Arial" w:cs="Arial"/>
        </w:rPr>
        <w:t xml:space="preserve"> it</w:t>
      </w:r>
      <w:r w:rsidR="00C1600B" w:rsidRPr="00055B58">
        <w:rPr>
          <w:rFonts w:ascii="Arial" w:hAnsi="Arial" w:cs="Arial"/>
        </w:rPr>
        <w:t xml:space="preserve"> sought the setting aside or stay of the provisional liquidation orders on the ground that the curator had not reported on steps taken by it to recapitalise the insurers. </w:t>
      </w:r>
    </w:p>
    <w:p w14:paraId="724AE755" w14:textId="77777777" w:rsidR="00C1600B" w:rsidRPr="00055B58" w:rsidRDefault="00C1600B" w:rsidP="00BA0036">
      <w:pPr>
        <w:tabs>
          <w:tab w:val="left" w:pos="0"/>
        </w:tabs>
        <w:spacing w:line="360" w:lineRule="auto"/>
        <w:ind w:hanging="1590"/>
        <w:jc w:val="both"/>
        <w:rPr>
          <w:rFonts w:ascii="Arial" w:hAnsi="Arial" w:cs="Arial"/>
          <w:sz w:val="22"/>
          <w:szCs w:val="22"/>
        </w:rPr>
      </w:pPr>
    </w:p>
    <w:p w14:paraId="4192F331" w14:textId="4ACFBF47" w:rsidR="00282B81" w:rsidRPr="00055B58" w:rsidRDefault="0099602C" w:rsidP="00BA0036">
      <w:pPr>
        <w:tabs>
          <w:tab w:val="left" w:pos="0"/>
        </w:tabs>
        <w:spacing w:line="360" w:lineRule="auto"/>
        <w:ind w:hanging="1590"/>
        <w:jc w:val="both"/>
        <w:rPr>
          <w:rFonts w:ascii="Arial" w:hAnsi="Arial" w:cs="Arial"/>
        </w:rPr>
      </w:pPr>
      <w:r w:rsidRPr="00055B58">
        <w:rPr>
          <w:rFonts w:ascii="Arial" w:hAnsi="Arial" w:cs="Arial"/>
          <w:sz w:val="22"/>
          <w:szCs w:val="22"/>
        </w:rPr>
        <w:tab/>
      </w:r>
      <w:r w:rsidR="006518A1" w:rsidRPr="00055B58">
        <w:rPr>
          <w:rFonts w:ascii="Arial" w:hAnsi="Arial" w:cs="Arial"/>
        </w:rPr>
        <w:t>[21</w:t>
      </w:r>
      <w:r w:rsidRPr="00055B58">
        <w:rPr>
          <w:rFonts w:ascii="Arial" w:hAnsi="Arial" w:cs="Arial"/>
        </w:rPr>
        <w:t>]</w:t>
      </w:r>
      <w:r w:rsidRPr="00055B58">
        <w:rPr>
          <w:rFonts w:ascii="Arial" w:hAnsi="Arial" w:cs="Arial"/>
        </w:rPr>
        <w:tab/>
      </w:r>
      <w:r w:rsidR="00282B81" w:rsidRPr="00055B58">
        <w:rPr>
          <w:rFonts w:ascii="Arial" w:hAnsi="Arial" w:cs="Arial"/>
          <w:i/>
          <w:sz w:val="22"/>
          <w:szCs w:val="22"/>
        </w:rPr>
        <w:t xml:space="preserve"> </w:t>
      </w:r>
      <w:r w:rsidR="0014796B" w:rsidRPr="00055B58">
        <w:rPr>
          <w:rFonts w:ascii="Arial" w:hAnsi="Arial" w:cs="Arial"/>
        </w:rPr>
        <w:t>All</w:t>
      </w:r>
      <w:r w:rsidR="00F551E3" w:rsidRPr="00055B58">
        <w:rPr>
          <w:rFonts w:ascii="Arial" w:hAnsi="Arial" w:cs="Arial"/>
        </w:rPr>
        <w:t xml:space="preserve"> four applications eventually </w:t>
      </w:r>
      <w:r w:rsidR="0014796B" w:rsidRPr="00055B58">
        <w:rPr>
          <w:rFonts w:ascii="Arial" w:hAnsi="Arial" w:cs="Arial"/>
        </w:rPr>
        <w:t xml:space="preserve">came before </w:t>
      </w:r>
      <w:proofErr w:type="spellStart"/>
      <w:r w:rsidR="0014796B" w:rsidRPr="00055B58">
        <w:rPr>
          <w:rFonts w:ascii="Arial" w:hAnsi="Arial" w:cs="Arial"/>
        </w:rPr>
        <w:t>Yacoob</w:t>
      </w:r>
      <w:proofErr w:type="spellEnd"/>
      <w:r w:rsidR="0014796B" w:rsidRPr="00055B58">
        <w:rPr>
          <w:rFonts w:ascii="Arial" w:hAnsi="Arial" w:cs="Arial"/>
        </w:rPr>
        <w:t xml:space="preserve"> J, who conveniently dealt with them in one judgment. The high court determined that the provisional curatorship orders should be discharged. It rejected </w:t>
      </w:r>
      <w:proofErr w:type="spellStart"/>
      <w:r w:rsidR="0014796B" w:rsidRPr="00055B58">
        <w:rPr>
          <w:rFonts w:ascii="Arial" w:hAnsi="Arial" w:cs="Arial"/>
        </w:rPr>
        <w:t>Lebashe’s</w:t>
      </w:r>
      <w:proofErr w:type="spellEnd"/>
      <w:r w:rsidR="0014796B" w:rsidRPr="00055B58">
        <w:rPr>
          <w:rFonts w:ascii="Arial" w:hAnsi="Arial" w:cs="Arial"/>
        </w:rPr>
        <w:t xml:space="preserve"> contention that s 54(5) of the Insurance Act rendered the provisional liquidation orders incompetent and proceeded to confirm them. </w:t>
      </w:r>
    </w:p>
    <w:p w14:paraId="66BFA475" w14:textId="77777777" w:rsidR="0014796B" w:rsidRPr="00055B58" w:rsidRDefault="0014796B" w:rsidP="00BA0036">
      <w:pPr>
        <w:tabs>
          <w:tab w:val="left" w:pos="0"/>
        </w:tabs>
        <w:spacing w:line="360" w:lineRule="auto"/>
        <w:ind w:hanging="1590"/>
        <w:jc w:val="both"/>
        <w:rPr>
          <w:rFonts w:ascii="Arial" w:hAnsi="Arial" w:cs="Arial"/>
        </w:rPr>
      </w:pPr>
    </w:p>
    <w:p w14:paraId="6114FC1C" w14:textId="0DCB980E" w:rsidR="0014796B" w:rsidRPr="00055B58" w:rsidRDefault="0014796B" w:rsidP="00BA0036">
      <w:pPr>
        <w:tabs>
          <w:tab w:val="left" w:pos="0"/>
        </w:tabs>
        <w:spacing w:line="360" w:lineRule="auto"/>
        <w:ind w:hanging="1590"/>
        <w:jc w:val="both"/>
        <w:rPr>
          <w:rFonts w:ascii="Arial" w:hAnsi="Arial" w:cs="Arial"/>
          <w:b/>
        </w:rPr>
      </w:pPr>
      <w:r w:rsidRPr="00055B58">
        <w:rPr>
          <w:rFonts w:ascii="Arial" w:hAnsi="Arial" w:cs="Arial"/>
        </w:rPr>
        <w:tab/>
      </w:r>
      <w:r w:rsidRPr="00055B58">
        <w:rPr>
          <w:rFonts w:ascii="Arial" w:hAnsi="Arial" w:cs="Arial"/>
          <w:b/>
        </w:rPr>
        <w:t>Analysis</w:t>
      </w:r>
    </w:p>
    <w:p w14:paraId="2819A11D" w14:textId="71FDC8FA" w:rsidR="00E3570B" w:rsidRPr="00055B58" w:rsidRDefault="00282B81" w:rsidP="00BA0036">
      <w:pPr>
        <w:tabs>
          <w:tab w:val="left" w:pos="0"/>
        </w:tabs>
        <w:spacing w:line="360" w:lineRule="auto"/>
        <w:ind w:hanging="1800"/>
        <w:jc w:val="both"/>
        <w:rPr>
          <w:rFonts w:ascii="Arial" w:hAnsi="Arial" w:cs="Arial"/>
        </w:rPr>
      </w:pPr>
      <w:r w:rsidRPr="00055B58">
        <w:rPr>
          <w:rFonts w:ascii="Arial" w:hAnsi="Arial" w:cs="Arial"/>
          <w:i/>
          <w:sz w:val="22"/>
          <w:szCs w:val="22"/>
        </w:rPr>
        <w:tab/>
      </w:r>
      <w:r w:rsidR="006518A1" w:rsidRPr="00055B58">
        <w:rPr>
          <w:rFonts w:ascii="Arial" w:hAnsi="Arial" w:cs="Arial"/>
        </w:rPr>
        <w:t>[22</w:t>
      </w:r>
      <w:r w:rsidR="002C0394" w:rsidRPr="00055B58">
        <w:rPr>
          <w:rFonts w:ascii="Arial" w:hAnsi="Arial" w:cs="Arial"/>
        </w:rPr>
        <w:t>]</w:t>
      </w:r>
      <w:r w:rsidR="002C0394" w:rsidRPr="00055B58">
        <w:rPr>
          <w:rFonts w:ascii="Arial" w:hAnsi="Arial" w:cs="Arial"/>
        </w:rPr>
        <w:tab/>
      </w:r>
      <w:r w:rsidR="00376354" w:rsidRPr="00055B58">
        <w:rPr>
          <w:rFonts w:ascii="Arial" w:hAnsi="Arial" w:cs="Arial"/>
        </w:rPr>
        <w:t>In the light of what I have said, there are three issues in the appeal</w:t>
      </w:r>
      <w:r w:rsidR="00720EA3" w:rsidRPr="00055B58">
        <w:rPr>
          <w:rFonts w:ascii="Arial" w:hAnsi="Arial" w:cs="Arial"/>
        </w:rPr>
        <w:t>, namely whether</w:t>
      </w:r>
      <w:r w:rsidR="00376354" w:rsidRPr="00055B58">
        <w:rPr>
          <w:rFonts w:ascii="Arial" w:hAnsi="Arial" w:cs="Arial"/>
        </w:rPr>
        <w:t xml:space="preserve">: </w:t>
      </w:r>
    </w:p>
    <w:p w14:paraId="271DA882" w14:textId="106B99B7" w:rsidR="00E3570B" w:rsidRPr="00055B58" w:rsidRDefault="00E3570B" w:rsidP="00BA0036">
      <w:pPr>
        <w:tabs>
          <w:tab w:val="left" w:pos="0"/>
        </w:tabs>
        <w:spacing w:line="360" w:lineRule="auto"/>
        <w:ind w:hanging="1800"/>
        <w:jc w:val="both"/>
        <w:rPr>
          <w:rFonts w:ascii="Arial" w:hAnsi="Arial" w:cs="Arial"/>
        </w:rPr>
      </w:pPr>
      <w:r w:rsidRPr="00055B58">
        <w:rPr>
          <w:rFonts w:ascii="Arial" w:hAnsi="Arial" w:cs="Arial"/>
        </w:rPr>
        <w:tab/>
      </w:r>
      <w:r w:rsidR="00376354" w:rsidRPr="00055B58">
        <w:rPr>
          <w:rFonts w:ascii="Arial" w:hAnsi="Arial" w:cs="Arial"/>
        </w:rPr>
        <w:t xml:space="preserve">(a)  </w:t>
      </w:r>
      <w:r w:rsidR="00206EDB" w:rsidRPr="00055B58">
        <w:rPr>
          <w:rFonts w:ascii="Arial" w:hAnsi="Arial" w:cs="Arial"/>
        </w:rPr>
        <w:tab/>
      </w:r>
      <w:proofErr w:type="spellStart"/>
      <w:r w:rsidR="00376354" w:rsidRPr="00055B58">
        <w:rPr>
          <w:rFonts w:ascii="Arial" w:hAnsi="Arial" w:cs="Arial"/>
        </w:rPr>
        <w:t>Lebashe</w:t>
      </w:r>
      <w:proofErr w:type="spellEnd"/>
      <w:r w:rsidR="00376354" w:rsidRPr="00055B58">
        <w:rPr>
          <w:rFonts w:ascii="Arial" w:hAnsi="Arial" w:cs="Arial"/>
        </w:rPr>
        <w:t xml:space="preserve"> has standing in the appeal; </w:t>
      </w:r>
    </w:p>
    <w:p w14:paraId="7F05372C" w14:textId="0AF4B45C" w:rsidR="00E3570B" w:rsidRPr="00055B58" w:rsidRDefault="00E3570B" w:rsidP="00BA0036">
      <w:pPr>
        <w:tabs>
          <w:tab w:val="left" w:pos="0"/>
        </w:tabs>
        <w:spacing w:line="360" w:lineRule="auto"/>
        <w:ind w:hanging="1800"/>
        <w:jc w:val="both"/>
        <w:rPr>
          <w:rFonts w:ascii="Arial" w:hAnsi="Arial" w:cs="Arial"/>
        </w:rPr>
      </w:pPr>
      <w:r w:rsidRPr="00055B58">
        <w:rPr>
          <w:rFonts w:ascii="Arial" w:hAnsi="Arial" w:cs="Arial"/>
        </w:rPr>
        <w:tab/>
      </w:r>
      <w:r w:rsidR="00376354" w:rsidRPr="00055B58">
        <w:rPr>
          <w:rFonts w:ascii="Arial" w:hAnsi="Arial" w:cs="Arial"/>
        </w:rPr>
        <w:t xml:space="preserve">(b) </w:t>
      </w:r>
      <w:r w:rsidRPr="00055B58">
        <w:rPr>
          <w:rFonts w:ascii="Arial" w:hAnsi="Arial" w:cs="Arial"/>
        </w:rPr>
        <w:tab/>
      </w:r>
      <w:r w:rsidR="00720EA3" w:rsidRPr="00055B58">
        <w:rPr>
          <w:rFonts w:ascii="Arial" w:hAnsi="Arial" w:cs="Arial"/>
        </w:rPr>
        <w:t>Section</w:t>
      </w:r>
      <w:r w:rsidR="00376354" w:rsidRPr="00055B58">
        <w:rPr>
          <w:rFonts w:ascii="Arial" w:hAnsi="Arial" w:cs="Arial"/>
        </w:rPr>
        <w:t xml:space="preserve"> 54(5) of the Insurance Act and/or para 5 of the provisional curatorship orders precluded final liquidation orders in respect of the insurers; and </w:t>
      </w:r>
    </w:p>
    <w:p w14:paraId="578B894C" w14:textId="68B7EDB5" w:rsidR="007F68BC" w:rsidRPr="00055B58" w:rsidRDefault="00E3570B" w:rsidP="00BA0036">
      <w:pPr>
        <w:tabs>
          <w:tab w:val="left" w:pos="0"/>
        </w:tabs>
        <w:spacing w:line="360" w:lineRule="auto"/>
        <w:ind w:hanging="1800"/>
        <w:jc w:val="both"/>
        <w:rPr>
          <w:rFonts w:ascii="Arial" w:hAnsi="Arial" w:cs="Arial"/>
        </w:rPr>
      </w:pPr>
      <w:r w:rsidRPr="00055B58">
        <w:rPr>
          <w:rFonts w:ascii="Arial" w:hAnsi="Arial" w:cs="Arial"/>
        </w:rPr>
        <w:tab/>
      </w:r>
      <w:r w:rsidR="00376354" w:rsidRPr="00055B58">
        <w:rPr>
          <w:rFonts w:ascii="Arial" w:hAnsi="Arial" w:cs="Arial"/>
        </w:rPr>
        <w:t xml:space="preserve">(c) </w:t>
      </w:r>
      <w:r w:rsidRPr="00055B58">
        <w:rPr>
          <w:rFonts w:ascii="Arial" w:hAnsi="Arial" w:cs="Arial"/>
        </w:rPr>
        <w:tab/>
      </w:r>
      <w:r w:rsidR="00720EA3" w:rsidRPr="00055B58">
        <w:rPr>
          <w:rFonts w:ascii="Arial" w:hAnsi="Arial" w:cs="Arial"/>
        </w:rPr>
        <w:t>T</w:t>
      </w:r>
      <w:r w:rsidR="00376354" w:rsidRPr="00055B58">
        <w:rPr>
          <w:rFonts w:ascii="Arial" w:hAnsi="Arial" w:cs="Arial"/>
        </w:rPr>
        <w:t xml:space="preserve">he curator was in law required to seek </w:t>
      </w:r>
      <w:r w:rsidR="007E476C" w:rsidRPr="00055B58">
        <w:rPr>
          <w:rFonts w:ascii="Arial" w:hAnsi="Arial" w:cs="Arial"/>
        </w:rPr>
        <w:t xml:space="preserve">- </w:t>
      </w:r>
      <w:r w:rsidR="00376354" w:rsidRPr="00055B58">
        <w:rPr>
          <w:rFonts w:ascii="Arial" w:hAnsi="Arial" w:cs="Arial"/>
        </w:rPr>
        <w:t xml:space="preserve">or effect </w:t>
      </w:r>
      <w:r w:rsidR="007E476C" w:rsidRPr="00055B58">
        <w:rPr>
          <w:rFonts w:ascii="Arial" w:hAnsi="Arial" w:cs="Arial"/>
        </w:rPr>
        <w:t xml:space="preserve">- </w:t>
      </w:r>
      <w:r w:rsidR="00376354" w:rsidRPr="00055B58">
        <w:rPr>
          <w:rFonts w:ascii="Arial" w:hAnsi="Arial" w:cs="Arial"/>
        </w:rPr>
        <w:t xml:space="preserve">the </w:t>
      </w:r>
      <w:r w:rsidR="005E6B4D" w:rsidRPr="00055B58">
        <w:rPr>
          <w:rFonts w:ascii="Arial" w:hAnsi="Arial" w:cs="Arial"/>
        </w:rPr>
        <w:t>recapitalisation</w:t>
      </w:r>
      <w:r w:rsidR="00376354" w:rsidRPr="00055B58">
        <w:rPr>
          <w:rFonts w:ascii="Arial" w:hAnsi="Arial" w:cs="Arial"/>
        </w:rPr>
        <w:t xml:space="preserve"> of the insurers.</w:t>
      </w:r>
    </w:p>
    <w:p w14:paraId="7C7778AF" w14:textId="77777777" w:rsidR="00376354" w:rsidRPr="00055B58" w:rsidRDefault="00376354" w:rsidP="00BA0036">
      <w:pPr>
        <w:tabs>
          <w:tab w:val="left" w:pos="0"/>
        </w:tabs>
        <w:spacing w:line="360" w:lineRule="auto"/>
        <w:ind w:hanging="1800"/>
        <w:jc w:val="both"/>
        <w:rPr>
          <w:rFonts w:ascii="Arial" w:hAnsi="Arial" w:cs="Arial"/>
        </w:rPr>
      </w:pPr>
    </w:p>
    <w:p w14:paraId="7AA2CB86" w14:textId="55E9F73F" w:rsidR="00752FA4" w:rsidRPr="00055B58" w:rsidRDefault="00376354" w:rsidP="00BA0036">
      <w:pPr>
        <w:tabs>
          <w:tab w:val="left" w:pos="0"/>
        </w:tabs>
        <w:spacing w:line="360" w:lineRule="auto"/>
        <w:ind w:hanging="2384"/>
        <w:jc w:val="both"/>
        <w:rPr>
          <w:rFonts w:ascii="Arial" w:hAnsi="Arial" w:cs="Arial"/>
          <w:b/>
        </w:rPr>
      </w:pPr>
      <w:r w:rsidRPr="00055B58">
        <w:rPr>
          <w:rFonts w:ascii="Arial" w:hAnsi="Arial" w:cs="Arial"/>
        </w:rPr>
        <w:tab/>
      </w:r>
      <w:r w:rsidRPr="00055B58">
        <w:rPr>
          <w:rFonts w:ascii="Arial" w:hAnsi="Arial" w:cs="Arial"/>
          <w:b/>
        </w:rPr>
        <w:t>Standing</w:t>
      </w:r>
      <w:r w:rsidR="00752FA4" w:rsidRPr="00055B58">
        <w:rPr>
          <w:rFonts w:ascii="Arial" w:hAnsi="Arial" w:cs="Arial"/>
          <w:b/>
        </w:rPr>
        <w:tab/>
      </w:r>
    </w:p>
    <w:p w14:paraId="1FEFCA10" w14:textId="12551201" w:rsidR="00900D81" w:rsidRPr="00055B58" w:rsidRDefault="006518A1" w:rsidP="00BA0036">
      <w:pPr>
        <w:tabs>
          <w:tab w:val="left" w:pos="0"/>
        </w:tabs>
        <w:spacing w:line="360" w:lineRule="auto"/>
        <w:ind w:hanging="1800"/>
        <w:jc w:val="both"/>
        <w:rPr>
          <w:rFonts w:ascii="Arial" w:hAnsi="Arial" w:cs="Arial"/>
        </w:rPr>
      </w:pPr>
      <w:r w:rsidRPr="00055B58">
        <w:rPr>
          <w:rFonts w:ascii="Arial" w:hAnsi="Arial" w:cs="Arial"/>
        </w:rPr>
        <w:tab/>
        <w:t>[23</w:t>
      </w:r>
      <w:r w:rsidR="00752FA4" w:rsidRPr="00055B58">
        <w:rPr>
          <w:rFonts w:ascii="Arial" w:hAnsi="Arial" w:cs="Arial"/>
        </w:rPr>
        <w:t>]</w:t>
      </w:r>
      <w:r w:rsidR="00752FA4" w:rsidRPr="00055B58">
        <w:rPr>
          <w:rFonts w:ascii="Arial" w:hAnsi="Arial" w:cs="Arial"/>
        </w:rPr>
        <w:tab/>
      </w:r>
      <w:r w:rsidR="00900D81" w:rsidRPr="00055B58">
        <w:rPr>
          <w:rFonts w:ascii="Arial" w:hAnsi="Arial" w:cs="Arial"/>
        </w:rPr>
        <w:t xml:space="preserve"> </w:t>
      </w:r>
      <w:r w:rsidR="00BC625A" w:rsidRPr="00055B58">
        <w:rPr>
          <w:rFonts w:ascii="Arial" w:hAnsi="Arial" w:cs="Arial"/>
        </w:rPr>
        <w:t xml:space="preserve">As I have said, </w:t>
      </w:r>
      <w:proofErr w:type="spellStart"/>
      <w:r w:rsidR="00BC625A" w:rsidRPr="00055B58">
        <w:rPr>
          <w:rFonts w:ascii="Arial" w:hAnsi="Arial" w:cs="Arial"/>
        </w:rPr>
        <w:t>Lebashe</w:t>
      </w:r>
      <w:proofErr w:type="spellEnd"/>
      <w:r w:rsidR="00BC625A" w:rsidRPr="00055B58">
        <w:rPr>
          <w:rFonts w:ascii="Arial" w:hAnsi="Arial" w:cs="Arial"/>
        </w:rPr>
        <w:t xml:space="preserve"> had been granted leave to intervene in the liquidation applications by agreement</w:t>
      </w:r>
      <w:r w:rsidR="004373F1" w:rsidRPr="00055B58">
        <w:rPr>
          <w:rFonts w:ascii="Arial" w:hAnsi="Arial" w:cs="Arial"/>
        </w:rPr>
        <w:t xml:space="preserve"> and obtained leave from the high court to appeal to this c</w:t>
      </w:r>
      <w:r w:rsidR="007F2F5D" w:rsidRPr="00055B58">
        <w:rPr>
          <w:rFonts w:ascii="Arial" w:hAnsi="Arial" w:cs="Arial"/>
        </w:rPr>
        <w:t xml:space="preserve">ourt. </w:t>
      </w:r>
      <w:r w:rsidR="00BC625A" w:rsidRPr="00055B58">
        <w:rPr>
          <w:rFonts w:ascii="Arial" w:hAnsi="Arial" w:cs="Arial"/>
        </w:rPr>
        <w:t xml:space="preserve">That, however, did not relieve </w:t>
      </w:r>
      <w:proofErr w:type="spellStart"/>
      <w:r w:rsidR="00BC625A" w:rsidRPr="00055B58">
        <w:rPr>
          <w:rFonts w:ascii="Arial" w:hAnsi="Arial" w:cs="Arial"/>
        </w:rPr>
        <w:t>Lebashe</w:t>
      </w:r>
      <w:proofErr w:type="spellEnd"/>
      <w:r w:rsidR="00BC625A" w:rsidRPr="00055B58">
        <w:rPr>
          <w:rFonts w:ascii="Arial" w:hAnsi="Arial" w:cs="Arial"/>
        </w:rPr>
        <w:t xml:space="preserve"> of the duty to satisfy this court that it has locus </w:t>
      </w:r>
      <w:proofErr w:type="spellStart"/>
      <w:r w:rsidR="00BC625A" w:rsidRPr="00055B58">
        <w:rPr>
          <w:rFonts w:ascii="Arial" w:hAnsi="Arial" w:cs="Arial"/>
        </w:rPr>
        <w:t>standi</w:t>
      </w:r>
      <w:proofErr w:type="spellEnd"/>
      <w:r w:rsidR="00BC625A" w:rsidRPr="00055B58">
        <w:rPr>
          <w:rFonts w:ascii="Arial" w:hAnsi="Arial" w:cs="Arial"/>
        </w:rPr>
        <w:t xml:space="preserve"> to obtain the relief that it seeks on appeal. That is so for two main reasons. The </w:t>
      </w:r>
      <w:r w:rsidR="00195B28" w:rsidRPr="00055B58">
        <w:rPr>
          <w:rFonts w:ascii="Arial" w:hAnsi="Arial" w:cs="Arial"/>
        </w:rPr>
        <w:t xml:space="preserve">first is that the </w:t>
      </w:r>
      <w:r w:rsidR="004373F1" w:rsidRPr="00055B58">
        <w:rPr>
          <w:rFonts w:ascii="Arial" w:hAnsi="Arial" w:cs="Arial"/>
        </w:rPr>
        <w:t>respective</w:t>
      </w:r>
      <w:r w:rsidR="00FD6EBB" w:rsidRPr="00055B58">
        <w:rPr>
          <w:rFonts w:ascii="Arial" w:hAnsi="Arial" w:cs="Arial"/>
        </w:rPr>
        <w:t xml:space="preserve"> tests are not identical. Germane to the second, are</w:t>
      </w:r>
      <w:r w:rsidR="00BC625A" w:rsidRPr="00055B58">
        <w:rPr>
          <w:rFonts w:ascii="Arial" w:hAnsi="Arial" w:cs="Arial"/>
        </w:rPr>
        <w:t xml:space="preserve"> the oft-repeated dicta that the scarce resources of this court should not be expended on deciding abstract or academic issues. </w:t>
      </w:r>
    </w:p>
    <w:p w14:paraId="4D278E8B" w14:textId="2DBA8A5F" w:rsidR="00900D81" w:rsidRPr="00055B58" w:rsidRDefault="00900D81" w:rsidP="00BA0036">
      <w:pPr>
        <w:tabs>
          <w:tab w:val="left" w:pos="0"/>
        </w:tabs>
        <w:spacing w:line="360" w:lineRule="auto"/>
        <w:ind w:hanging="1800"/>
        <w:jc w:val="both"/>
        <w:rPr>
          <w:rFonts w:ascii="Arial" w:hAnsi="Arial" w:cs="Arial"/>
          <w:b/>
        </w:rPr>
      </w:pPr>
      <w:r w:rsidRPr="00055B58">
        <w:rPr>
          <w:rFonts w:ascii="Arial" w:hAnsi="Arial" w:cs="Arial"/>
        </w:rPr>
        <w:tab/>
      </w:r>
    </w:p>
    <w:p w14:paraId="094B03EB" w14:textId="771FCB2C" w:rsidR="00934DF9" w:rsidRPr="00055B58" w:rsidRDefault="00900D81" w:rsidP="00BA0036">
      <w:pPr>
        <w:tabs>
          <w:tab w:val="left" w:pos="0"/>
        </w:tabs>
        <w:spacing w:line="360" w:lineRule="auto"/>
        <w:ind w:hanging="1800"/>
        <w:jc w:val="both"/>
        <w:rPr>
          <w:rFonts w:ascii="Arial" w:hAnsi="Arial" w:cs="Arial"/>
        </w:rPr>
      </w:pPr>
      <w:r w:rsidRPr="00055B58">
        <w:rPr>
          <w:rFonts w:ascii="Arial" w:hAnsi="Arial" w:cs="Arial"/>
        </w:rPr>
        <w:tab/>
      </w:r>
      <w:r w:rsidR="006518A1" w:rsidRPr="00055B58">
        <w:rPr>
          <w:rFonts w:ascii="Arial" w:hAnsi="Arial" w:cs="Arial"/>
        </w:rPr>
        <w:t>[24</w:t>
      </w:r>
      <w:r w:rsidRPr="00055B58">
        <w:rPr>
          <w:rFonts w:ascii="Arial" w:hAnsi="Arial" w:cs="Arial"/>
        </w:rPr>
        <w:t>]</w:t>
      </w:r>
      <w:r w:rsidRPr="00055B58">
        <w:rPr>
          <w:rFonts w:ascii="Arial" w:hAnsi="Arial" w:cs="Arial"/>
        </w:rPr>
        <w:tab/>
      </w:r>
      <w:r w:rsidR="00934DF9" w:rsidRPr="00055B58">
        <w:rPr>
          <w:rFonts w:ascii="Arial" w:hAnsi="Arial" w:cs="Arial"/>
        </w:rPr>
        <w:t xml:space="preserve"> </w:t>
      </w:r>
      <w:r w:rsidR="00A10195" w:rsidRPr="00055B58">
        <w:rPr>
          <w:rFonts w:ascii="Arial" w:hAnsi="Arial" w:cs="Arial"/>
        </w:rPr>
        <w:t xml:space="preserve">As Harms JA said in </w:t>
      </w:r>
      <w:r w:rsidR="00A10195" w:rsidRPr="00055B58">
        <w:rPr>
          <w:rFonts w:ascii="Arial" w:hAnsi="Arial" w:cs="Arial"/>
          <w:i/>
        </w:rPr>
        <w:t xml:space="preserve">Gross </w:t>
      </w:r>
      <w:r w:rsidR="00575B9E" w:rsidRPr="00055B58">
        <w:rPr>
          <w:rFonts w:ascii="Arial" w:hAnsi="Arial" w:cs="Arial"/>
          <w:i/>
        </w:rPr>
        <w:t>&amp;</w:t>
      </w:r>
      <w:r w:rsidR="00A10195" w:rsidRPr="00055B58">
        <w:rPr>
          <w:rFonts w:ascii="Arial" w:hAnsi="Arial" w:cs="Arial"/>
          <w:i/>
        </w:rPr>
        <w:t xml:space="preserve"> Others v </w:t>
      </w:r>
      <w:proofErr w:type="spellStart"/>
      <w:r w:rsidR="00A10195" w:rsidRPr="00055B58">
        <w:rPr>
          <w:rFonts w:ascii="Arial" w:hAnsi="Arial" w:cs="Arial"/>
          <w:i/>
        </w:rPr>
        <w:t>Pentz</w:t>
      </w:r>
      <w:proofErr w:type="spellEnd"/>
      <w:r w:rsidR="00A10195" w:rsidRPr="00055B58">
        <w:rPr>
          <w:rFonts w:ascii="Arial" w:hAnsi="Arial" w:cs="Arial"/>
        </w:rPr>
        <w:t xml:space="preserve"> 1996 (4) SA 617 (A) at 632C: </w:t>
      </w:r>
    </w:p>
    <w:p w14:paraId="739BDA48" w14:textId="77CFC613" w:rsidR="00A10195" w:rsidRPr="00055B58" w:rsidRDefault="00A10195" w:rsidP="00BA0036">
      <w:pPr>
        <w:tabs>
          <w:tab w:val="left" w:pos="0"/>
        </w:tabs>
        <w:spacing w:line="360" w:lineRule="auto"/>
        <w:ind w:hanging="1800"/>
        <w:jc w:val="both"/>
        <w:rPr>
          <w:rFonts w:ascii="Arial" w:hAnsi="Arial" w:cs="Arial"/>
          <w:sz w:val="22"/>
          <w:szCs w:val="22"/>
        </w:rPr>
      </w:pPr>
      <w:r w:rsidRPr="00055B58">
        <w:rPr>
          <w:rFonts w:ascii="Arial" w:hAnsi="Arial" w:cs="Arial"/>
        </w:rPr>
        <w:lastRenderedPageBreak/>
        <w:tab/>
      </w:r>
      <w:r w:rsidRPr="00055B58">
        <w:rPr>
          <w:rFonts w:ascii="Arial" w:hAnsi="Arial" w:cs="Arial"/>
          <w:sz w:val="22"/>
          <w:szCs w:val="22"/>
        </w:rPr>
        <w:t xml:space="preserve">‘The question of </w:t>
      </w:r>
      <w:r w:rsidRPr="00055B58">
        <w:rPr>
          <w:rFonts w:ascii="Arial" w:hAnsi="Arial" w:cs="Arial"/>
          <w:i/>
          <w:sz w:val="22"/>
          <w:szCs w:val="22"/>
        </w:rPr>
        <w:t xml:space="preserve">locus </w:t>
      </w:r>
      <w:proofErr w:type="spellStart"/>
      <w:r w:rsidRPr="00055B58">
        <w:rPr>
          <w:rFonts w:ascii="Arial" w:hAnsi="Arial" w:cs="Arial"/>
          <w:i/>
          <w:sz w:val="22"/>
          <w:szCs w:val="22"/>
        </w:rPr>
        <w:t>standi</w:t>
      </w:r>
      <w:proofErr w:type="spellEnd"/>
      <w:r w:rsidRPr="00055B58">
        <w:rPr>
          <w:rFonts w:ascii="Arial" w:hAnsi="Arial" w:cs="Arial"/>
          <w:i/>
          <w:sz w:val="22"/>
          <w:szCs w:val="22"/>
        </w:rPr>
        <w:t xml:space="preserve"> </w:t>
      </w:r>
      <w:r w:rsidRPr="00055B58">
        <w:rPr>
          <w:rFonts w:ascii="Arial" w:hAnsi="Arial" w:cs="Arial"/>
          <w:sz w:val="22"/>
          <w:szCs w:val="22"/>
        </w:rPr>
        <w:t>is in a sense a procedural matter, but it is also a matter of substance. It concerns the sufficiency and directness of interest in the litigation in order to be accepted as a litigating party.’</w:t>
      </w:r>
    </w:p>
    <w:p w14:paraId="78EEB15F" w14:textId="39EE840B" w:rsidR="00A10195" w:rsidRPr="00055B58" w:rsidRDefault="00A10195" w:rsidP="00BA0036">
      <w:pPr>
        <w:tabs>
          <w:tab w:val="left" w:pos="0"/>
        </w:tabs>
        <w:spacing w:line="360" w:lineRule="auto"/>
        <w:ind w:hanging="1800"/>
        <w:jc w:val="both"/>
        <w:rPr>
          <w:rFonts w:ascii="Arial" w:hAnsi="Arial" w:cs="Arial"/>
        </w:rPr>
      </w:pPr>
      <w:r w:rsidRPr="00055B58">
        <w:rPr>
          <w:rFonts w:ascii="Arial" w:hAnsi="Arial" w:cs="Arial"/>
          <w:sz w:val="22"/>
          <w:szCs w:val="22"/>
        </w:rPr>
        <w:tab/>
      </w:r>
      <w:r w:rsidRPr="00055B58">
        <w:rPr>
          <w:rFonts w:ascii="Arial" w:hAnsi="Arial" w:cs="Arial"/>
        </w:rPr>
        <w:t xml:space="preserve">See also </w:t>
      </w:r>
      <w:proofErr w:type="spellStart"/>
      <w:r w:rsidRPr="00055B58">
        <w:rPr>
          <w:rFonts w:ascii="Arial" w:hAnsi="Arial" w:cs="Arial"/>
          <w:i/>
        </w:rPr>
        <w:t>Sandton</w:t>
      </w:r>
      <w:proofErr w:type="spellEnd"/>
      <w:r w:rsidRPr="00055B58">
        <w:rPr>
          <w:rFonts w:ascii="Arial" w:hAnsi="Arial" w:cs="Arial"/>
          <w:i/>
        </w:rPr>
        <w:t xml:space="preserve"> Civic Precinct (Pty) Ltd v City of Johannesburg </w:t>
      </w:r>
      <w:r w:rsidR="00575B9E" w:rsidRPr="00055B58">
        <w:rPr>
          <w:rFonts w:ascii="Arial" w:hAnsi="Arial" w:cs="Arial"/>
          <w:i/>
        </w:rPr>
        <w:t>&amp;</w:t>
      </w:r>
      <w:r w:rsidRPr="00055B58">
        <w:rPr>
          <w:rFonts w:ascii="Arial" w:hAnsi="Arial" w:cs="Arial"/>
          <w:i/>
        </w:rPr>
        <w:t xml:space="preserve"> Another</w:t>
      </w:r>
      <w:r w:rsidRPr="00055B58">
        <w:rPr>
          <w:rFonts w:ascii="Arial" w:hAnsi="Arial" w:cs="Arial"/>
        </w:rPr>
        <w:t xml:space="preserve"> </w:t>
      </w:r>
      <w:r w:rsidR="0075793B" w:rsidRPr="00055B58">
        <w:rPr>
          <w:rFonts w:ascii="Arial" w:hAnsi="Arial" w:cs="Arial"/>
        </w:rPr>
        <w:t xml:space="preserve">[2008] ZASCA 104; </w:t>
      </w:r>
      <w:r w:rsidRPr="00055B58">
        <w:rPr>
          <w:rFonts w:ascii="Arial" w:hAnsi="Arial" w:cs="Arial"/>
        </w:rPr>
        <w:t xml:space="preserve">2009 (1) SA 317 (SCA) para 19. </w:t>
      </w:r>
      <w:r w:rsidR="009B25BF" w:rsidRPr="00055B58">
        <w:rPr>
          <w:rFonts w:ascii="Arial" w:hAnsi="Arial" w:cs="Arial"/>
        </w:rPr>
        <w:t xml:space="preserve">Although there are no hard and fast rules in this regard, the general rule is that a direct and existing interest in the relief is required. A direct interest is one that is not too far removed and an existing interest is one that is not abstract, academic or hypothetical. See </w:t>
      </w:r>
      <w:r w:rsidR="009B25BF" w:rsidRPr="00055B58">
        <w:rPr>
          <w:rFonts w:ascii="Arial" w:hAnsi="Arial" w:cs="Arial"/>
          <w:i/>
        </w:rPr>
        <w:t xml:space="preserve">Cabinet of the Transitional Government for the Territory of South West Africa v </w:t>
      </w:r>
      <w:proofErr w:type="spellStart"/>
      <w:r w:rsidR="009B25BF" w:rsidRPr="00055B58">
        <w:rPr>
          <w:rFonts w:ascii="Arial" w:hAnsi="Arial" w:cs="Arial"/>
          <w:i/>
        </w:rPr>
        <w:t>Eins</w:t>
      </w:r>
      <w:proofErr w:type="spellEnd"/>
      <w:r w:rsidR="009B25BF" w:rsidRPr="00055B58">
        <w:rPr>
          <w:rFonts w:ascii="Arial" w:hAnsi="Arial" w:cs="Arial"/>
        </w:rPr>
        <w:t xml:space="preserve"> 1988 (3) SA 369 (A) at 388B-H; </w:t>
      </w:r>
      <w:r w:rsidR="0038596C" w:rsidRPr="00055B58">
        <w:rPr>
          <w:rFonts w:ascii="Arial" w:hAnsi="Arial" w:cs="Arial"/>
          <w:i/>
        </w:rPr>
        <w:t xml:space="preserve">Jacobs </w:t>
      </w:r>
      <w:proofErr w:type="spellStart"/>
      <w:r w:rsidR="0038596C" w:rsidRPr="00055B58">
        <w:rPr>
          <w:rFonts w:ascii="Arial" w:hAnsi="Arial" w:cs="Arial"/>
          <w:i/>
        </w:rPr>
        <w:t>en</w:t>
      </w:r>
      <w:proofErr w:type="spellEnd"/>
      <w:r w:rsidR="0038596C" w:rsidRPr="00055B58">
        <w:rPr>
          <w:rFonts w:ascii="Arial" w:hAnsi="Arial" w:cs="Arial"/>
          <w:i/>
        </w:rPr>
        <w:t xml:space="preserve"> ‘n Ander v </w:t>
      </w:r>
      <w:proofErr w:type="spellStart"/>
      <w:r w:rsidR="0038596C" w:rsidRPr="00055B58">
        <w:rPr>
          <w:rFonts w:ascii="Arial" w:hAnsi="Arial" w:cs="Arial"/>
          <w:i/>
        </w:rPr>
        <w:t>Waks</w:t>
      </w:r>
      <w:proofErr w:type="spellEnd"/>
      <w:r w:rsidR="0038596C" w:rsidRPr="00055B58">
        <w:rPr>
          <w:rFonts w:ascii="Arial" w:hAnsi="Arial" w:cs="Arial"/>
          <w:i/>
        </w:rPr>
        <w:t xml:space="preserve"> </w:t>
      </w:r>
      <w:proofErr w:type="spellStart"/>
      <w:r w:rsidR="0038596C" w:rsidRPr="00055B58">
        <w:rPr>
          <w:rFonts w:ascii="Arial" w:hAnsi="Arial" w:cs="Arial"/>
          <w:i/>
        </w:rPr>
        <w:t>en</w:t>
      </w:r>
      <w:proofErr w:type="spellEnd"/>
      <w:r w:rsidR="0038596C" w:rsidRPr="00055B58">
        <w:rPr>
          <w:rFonts w:ascii="Arial" w:hAnsi="Arial" w:cs="Arial"/>
          <w:i/>
        </w:rPr>
        <w:t xml:space="preserve"> </w:t>
      </w:r>
      <w:proofErr w:type="spellStart"/>
      <w:r w:rsidR="0038596C" w:rsidRPr="00055B58">
        <w:rPr>
          <w:rFonts w:ascii="Arial" w:hAnsi="Arial" w:cs="Arial"/>
          <w:i/>
        </w:rPr>
        <w:t>Andere</w:t>
      </w:r>
      <w:proofErr w:type="spellEnd"/>
      <w:r w:rsidR="0038596C" w:rsidRPr="00055B58">
        <w:rPr>
          <w:rFonts w:ascii="Arial" w:hAnsi="Arial" w:cs="Arial"/>
          <w:i/>
        </w:rPr>
        <w:t xml:space="preserve"> </w:t>
      </w:r>
      <w:r w:rsidR="0038596C" w:rsidRPr="00055B58">
        <w:rPr>
          <w:rFonts w:ascii="Arial" w:hAnsi="Arial" w:cs="Arial"/>
        </w:rPr>
        <w:t xml:space="preserve">1992 (1) SA 521 (A) at 534A-E and </w:t>
      </w:r>
      <w:r w:rsidR="002530E6" w:rsidRPr="00055B58">
        <w:rPr>
          <w:rFonts w:ascii="Arial" w:hAnsi="Arial" w:cs="Arial"/>
          <w:i/>
        </w:rPr>
        <w:t xml:space="preserve">Public Protector </w:t>
      </w:r>
      <w:proofErr w:type="gramStart"/>
      <w:r w:rsidR="002530E6" w:rsidRPr="00055B58">
        <w:rPr>
          <w:rFonts w:ascii="Arial" w:hAnsi="Arial" w:cs="Arial"/>
          <w:i/>
        </w:rPr>
        <w:t>v</w:t>
      </w:r>
      <w:proofErr w:type="gramEnd"/>
      <w:r w:rsidR="002530E6" w:rsidRPr="00055B58">
        <w:rPr>
          <w:rFonts w:ascii="Arial" w:hAnsi="Arial" w:cs="Arial"/>
          <w:i/>
        </w:rPr>
        <w:t xml:space="preserve"> Mail &amp; Guardian Ltd </w:t>
      </w:r>
      <w:r w:rsidR="00575B9E" w:rsidRPr="00055B58">
        <w:rPr>
          <w:rFonts w:ascii="Arial" w:hAnsi="Arial" w:cs="Arial"/>
          <w:i/>
        </w:rPr>
        <w:t>&amp;</w:t>
      </w:r>
      <w:r w:rsidR="002530E6" w:rsidRPr="00055B58">
        <w:rPr>
          <w:rFonts w:ascii="Arial" w:hAnsi="Arial" w:cs="Arial"/>
          <w:i/>
        </w:rPr>
        <w:t xml:space="preserve"> Others </w:t>
      </w:r>
      <w:r w:rsidR="0075793B" w:rsidRPr="00055B58">
        <w:rPr>
          <w:rFonts w:ascii="Arial" w:hAnsi="Arial" w:cs="Arial"/>
        </w:rPr>
        <w:t xml:space="preserve">[2011] ZASCA 108; </w:t>
      </w:r>
      <w:r w:rsidR="002530E6" w:rsidRPr="00055B58">
        <w:rPr>
          <w:rFonts w:ascii="Arial" w:hAnsi="Arial" w:cs="Arial"/>
        </w:rPr>
        <w:t xml:space="preserve">2011 (4) SA 420 (SCA) para 29. </w:t>
      </w:r>
    </w:p>
    <w:p w14:paraId="44818749" w14:textId="77777777" w:rsidR="00934DF9" w:rsidRPr="00055B58" w:rsidRDefault="00934DF9" w:rsidP="00BA0036">
      <w:pPr>
        <w:tabs>
          <w:tab w:val="left" w:pos="0"/>
        </w:tabs>
        <w:spacing w:line="360" w:lineRule="auto"/>
        <w:ind w:hanging="1800"/>
        <w:jc w:val="both"/>
        <w:rPr>
          <w:rFonts w:ascii="Arial" w:hAnsi="Arial" w:cs="Arial"/>
        </w:rPr>
      </w:pPr>
    </w:p>
    <w:p w14:paraId="382FCF4A" w14:textId="6C9566E3" w:rsidR="00934DF9" w:rsidRPr="00055B58" w:rsidRDefault="00934DF9" w:rsidP="00BA0036">
      <w:pPr>
        <w:tabs>
          <w:tab w:val="left" w:pos="0"/>
        </w:tabs>
        <w:spacing w:line="360" w:lineRule="auto"/>
        <w:ind w:hanging="1800"/>
        <w:jc w:val="both"/>
        <w:rPr>
          <w:rFonts w:ascii="Arial" w:hAnsi="Arial" w:cs="Arial"/>
        </w:rPr>
      </w:pPr>
      <w:r w:rsidRPr="00055B58">
        <w:rPr>
          <w:rFonts w:ascii="Arial" w:hAnsi="Arial" w:cs="Arial"/>
        </w:rPr>
        <w:tab/>
      </w:r>
      <w:r w:rsidR="006518A1" w:rsidRPr="00055B58">
        <w:rPr>
          <w:rFonts w:ascii="Arial" w:hAnsi="Arial" w:cs="Arial"/>
        </w:rPr>
        <w:t>[25</w:t>
      </w:r>
      <w:r w:rsidRPr="00055B58">
        <w:rPr>
          <w:rFonts w:ascii="Arial" w:hAnsi="Arial" w:cs="Arial"/>
        </w:rPr>
        <w:t>]</w:t>
      </w:r>
      <w:r w:rsidRPr="00055B58">
        <w:rPr>
          <w:rFonts w:ascii="Arial" w:hAnsi="Arial" w:cs="Arial"/>
        </w:rPr>
        <w:tab/>
      </w:r>
      <w:r w:rsidR="00681373" w:rsidRPr="00055B58">
        <w:rPr>
          <w:rFonts w:ascii="Arial" w:hAnsi="Arial" w:cs="Arial"/>
        </w:rPr>
        <w:t xml:space="preserve">The </w:t>
      </w:r>
      <w:r w:rsidR="007A3C1B" w:rsidRPr="00055B58">
        <w:rPr>
          <w:rFonts w:ascii="Arial" w:hAnsi="Arial" w:cs="Arial"/>
        </w:rPr>
        <w:t xml:space="preserve">winding-up orders in respect of the insurers do not, of course, operate against </w:t>
      </w:r>
      <w:proofErr w:type="spellStart"/>
      <w:r w:rsidR="007A3C1B" w:rsidRPr="00055B58">
        <w:rPr>
          <w:rFonts w:ascii="Arial" w:hAnsi="Arial" w:cs="Arial"/>
        </w:rPr>
        <w:t>Lebashe</w:t>
      </w:r>
      <w:proofErr w:type="spellEnd"/>
      <w:r w:rsidR="007A3C1B" w:rsidRPr="00055B58">
        <w:rPr>
          <w:rFonts w:ascii="Arial" w:hAnsi="Arial" w:cs="Arial"/>
        </w:rPr>
        <w:t xml:space="preserve">. What then is </w:t>
      </w:r>
      <w:proofErr w:type="spellStart"/>
      <w:r w:rsidR="007A3C1B" w:rsidRPr="00055B58">
        <w:rPr>
          <w:rFonts w:ascii="Arial" w:hAnsi="Arial" w:cs="Arial"/>
        </w:rPr>
        <w:t>Lebashe’s</w:t>
      </w:r>
      <w:proofErr w:type="spellEnd"/>
      <w:r w:rsidR="007A3C1B" w:rsidRPr="00055B58">
        <w:rPr>
          <w:rFonts w:ascii="Arial" w:hAnsi="Arial" w:cs="Arial"/>
        </w:rPr>
        <w:t xml:space="preserve"> interest in having the liquidation orders overturned? </w:t>
      </w:r>
      <w:proofErr w:type="spellStart"/>
      <w:r w:rsidR="00635857" w:rsidRPr="00055B58">
        <w:rPr>
          <w:rFonts w:ascii="Arial" w:hAnsi="Arial" w:cs="Arial"/>
        </w:rPr>
        <w:t>Lebashe</w:t>
      </w:r>
      <w:proofErr w:type="spellEnd"/>
      <w:r w:rsidR="00635857" w:rsidRPr="00055B58">
        <w:rPr>
          <w:rFonts w:ascii="Arial" w:hAnsi="Arial" w:cs="Arial"/>
        </w:rPr>
        <w:t xml:space="preserve"> is a creditor of BIG. I accept that it is also the majority shareholder of BIG, which holds the shares in the insurers. These were the only factors referred to by counsel for </w:t>
      </w:r>
      <w:proofErr w:type="spellStart"/>
      <w:r w:rsidR="00635857" w:rsidRPr="00055B58">
        <w:rPr>
          <w:rFonts w:ascii="Arial" w:hAnsi="Arial" w:cs="Arial"/>
        </w:rPr>
        <w:t>Lebashe</w:t>
      </w:r>
      <w:proofErr w:type="spellEnd"/>
      <w:r w:rsidR="00635857" w:rsidRPr="00055B58">
        <w:rPr>
          <w:rFonts w:ascii="Arial" w:hAnsi="Arial" w:cs="Arial"/>
        </w:rPr>
        <w:t xml:space="preserve"> when this court raised this issue during argument. On this basis, however, </w:t>
      </w:r>
      <w:proofErr w:type="spellStart"/>
      <w:r w:rsidR="00635857" w:rsidRPr="00055B58">
        <w:rPr>
          <w:rFonts w:ascii="Arial" w:hAnsi="Arial" w:cs="Arial"/>
        </w:rPr>
        <w:t>Lebashe</w:t>
      </w:r>
      <w:proofErr w:type="spellEnd"/>
      <w:r w:rsidR="00635857" w:rsidRPr="00055B58">
        <w:rPr>
          <w:rFonts w:ascii="Arial" w:hAnsi="Arial" w:cs="Arial"/>
        </w:rPr>
        <w:t xml:space="preserve"> is only a creditor and shareholder of the holding company of the insurers. As such, there are no legal relationships between </w:t>
      </w:r>
      <w:proofErr w:type="spellStart"/>
      <w:r w:rsidR="00635857" w:rsidRPr="00055B58">
        <w:rPr>
          <w:rFonts w:ascii="Arial" w:hAnsi="Arial" w:cs="Arial"/>
        </w:rPr>
        <w:t>Lebashe</w:t>
      </w:r>
      <w:proofErr w:type="spellEnd"/>
      <w:r w:rsidR="00635857" w:rsidRPr="00055B58">
        <w:rPr>
          <w:rFonts w:ascii="Arial" w:hAnsi="Arial" w:cs="Arial"/>
        </w:rPr>
        <w:t xml:space="preserve"> and the insurers. </w:t>
      </w:r>
      <w:proofErr w:type="spellStart"/>
      <w:r w:rsidR="00635857" w:rsidRPr="00055B58">
        <w:rPr>
          <w:rFonts w:ascii="Arial" w:hAnsi="Arial" w:cs="Arial"/>
        </w:rPr>
        <w:t>Lebashe</w:t>
      </w:r>
      <w:proofErr w:type="spellEnd"/>
      <w:r w:rsidR="00635857" w:rsidRPr="00055B58">
        <w:rPr>
          <w:rFonts w:ascii="Arial" w:hAnsi="Arial" w:cs="Arial"/>
        </w:rPr>
        <w:t xml:space="preserve"> has no rights to a preferred legal process of dealing with the undisputed insolvency of the insurers, even though it may have an indirect financial or commercial interest therein. In my view, </w:t>
      </w:r>
      <w:proofErr w:type="spellStart"/>
      <w:r w:rsidR="00635857" w:rsidRPr="00055B58">
        <w:rPr>
          <w:rFonts w:ascii="Arial" w:hAnsi="Arial" w:cs="Arial"/>
        </w:rPr>
        <w:t>Lebashe’s</w:t>
      </w:r>
      <w:proofErr w:type="spellEnd"/>
      <w:r w:rsidR="00635857" w:rsidRPr="00055B58">
        <w:rPr>
          <w:rFonts w:ascii="Arial" w:hAnsi="Arial" w:cs="Arial"/>
        </w:rPr>
        <w:t xml:space="preserve"> interest is too indirect and insufficient to clothe it with locus </w:t>
      </w:r>
      <w:proofErr w:type="spellStart"/>
      <w:r w:rsidR="00635857" w:rsidRPr="00055B58">
        <w:rPr>
          <w:rFonts w:ascii="Arial" w:hAnsi="Arial" w:cs="Arial"/>
        </w:rPr>
        <w:t>standi</w:t>
      </w:r>
      <w:proofErr w:type="spellEnd"/>
      <w:r w:rsidR="00635857" w:rsidRPr="00055B58">
        <w:rPr>
          <w:rFonts w:ascii="Arial" w:hAnsi="Arial" w:cs="Arial"/>
        </w:rPr>
        <w:t xml:space="preserve"> in the appeal. </w:t>
      </w:r>
      <w:r w:rsidR="009C05FC" w:rsidRPr="00055B58">
        <w:rPr>
          <w:rFonts w:ascii="Arial" w:hAnsi="Arial" w:cs="Arial"/>
        </w:rPr>
        <w:t xml:space="preserve"> </w:t>
      </w:r>
    </w:p>
    <w:p w14:paraId="5C918B7C" w14:textId="77777777" w:rsidR="009C05FC" w:rsidRPr="00055B58" w:rsidRDefault="009C05FC" w:rsidP="00BA0036">
      <w:pPr>
        <w:tabs>
          <w:tab w:val="left" w:pos="0"/>
        </w:tabs>
        <w:spacing w:line="360" w:lineRule="auto"/>
        <w:ind w:hanging="1800"/>
        <w:jc w:val="both"/>
        <w:rPr>
          <w:rFonts w:ascii="Arial" w:hAnsi="Arial" w:cs="Arial"/>
        </w:rPr>
      </w:pPr>
    </w:p>
    <w:p w14:paraId="56A0F108" w14:textId="25BDAC41" w:rsidR="009C05FC" w:rsidRPr="00055B58" w:rsidRDefault="009C05FC" w:rsidP="00BA0036">
      <w:pPr>
        <w:tabs>
          <w:tab w:val="left" w:pos="0"/>
        </w:tabs>
        <w:spacing w:line="360" w:lineRule="auto"/>
        <w:ind w:hanging="1800"/>
        <w:jc w:val="both"/>
        <w:rPr>
          <w:rFonts w:ascii="Arial" w:hAnsi="Arial" w:cs="Arial"/>
          <w:lang w:val="en-ZA"/>
        </w:rPr>
      </w:pPr>
      <w:r w:rsidRPr="00055B58">
        <w:rPr>
          <w:rFonts w:ascii="Arial" w:hAnsi="Arial" w:cs="Arial"/>
        </w:rPr>
        <w:tab/>
      </w:r>
      <w:r w:rsidR="006518A1" w:rsidRPr="00055B58">
        <w:rPr>
          <w:rFonts w:ascii="Arial" w:hAnsi="Arial" w:cs="Arial"/>
        </w:rPr>
        <w:t>[26</w:t>
      </w:r>
      <w:r w:rsidRPr="00055B58">
        <w:rPr>
          <w:rFonts w:ascii="Arial" w:hAnsi="Arial" w:cs="Arial"/>
        </w:rPr>
        <w:t>]</w:t>
      </w:r>
      <w:r w:rsidRPr="00055B58">
        <w:rPr>
          <w:rFonts w:ascii="Arial" w:hAnsi="Arial" w:cs="Arial"/>
        </w:rPr>
        <w:tab/>
        <w:t xml:space="preserve"> </w:t>
      </w:r>
      <w:r w:rsidR="00A83724" w:rsidRPr="00055B58">
        <w:rPr>
          <w:rFonts w:ascii="Arial" w:hAnsi="Arial" w:cs="Arial"/>
        </w:rPr>
        <w:t xml:space="preserve">The high court ought to have considered these matters in determining whether leave to appeal should be granted. And, quite frankly, that should have resulted in a refusal of leave to appeal. </w:t>
      </w:r>
      <w:r w:rsidR="009B7E76" w:rsidRPr="00055B58">
        <w:rPr>
          <w:rFonts w:ascii="Arial" w:hAnsi="Arial" w:cs="Arial"/>
        </w:rPr>
        <w:t>It follows that the appeal must fail for this reason alone. Ordinarily that would have been the end of the matter. However, the remaining issues have been fully argued, are novel and are likely to arise in the future. In the circumstances, I regard it in the interest</w:t>
      </w:r>
      <w:r w:rsidR="0001358D" w:rsidRPr="00055B58">
        <w:rPr>
          <w:rFonts w:ascii="Arial" w:hAnsi="Arial" w:cs="Arial"/>
        </w:rPr>
        <w:t>s</w:t>
      </w:r>
      <w:r w:rsidR="009B7E76" w:rsidRPr="00055B58">
        <w:rPr>
          <w:rFonts w:ascii="Arial" w:hAnsi="Arial" w:cs="Arial"/>
        </w:rPr>
        <w:t xml:space="preserve"> of justice to determine the remaining issues. </w:t>
      </w:r>
    </w:p>
    <w:p w14:paraId="7E3D47FA" w14:textId="77777777" w:rsidR="009B7E76" w:rsidRPr="00055B58" w:rsidRDefault="009B7E76" w:rsidP="00BA0036">
      <w:pPr>
        <w:tabs>
          <w:tab w:val="left" w:pos="0"/>
        </w:tabs>
        <w:spacing w:line="360" w:lineRule="auto"/>
        <w:ind w:hanging="1800"/>
        <w:jc w:val="both"/>
        <w:rPr>
          <w:rFonts w:ascii="Arial" w:hAnsi="Arial" w:cs="Arial"/>
        </w:rPr>
      </w:pPr>
    </w:p>
    <w:p w14:paraId="2374390E" w14:textId="3E80E87D" w:rsidR="006975DC" w:rsidRPr="00055B58" w:rsidRDefault="009B7E76" w:rsidP="00BA0036">
      <w:pPr>
        <w:tabs>
          <w:tab w:val="left" w:pos="0"/>
        </w:tabs>
        <w:spacing w:line="360" w:lineRule="auto"/>
        <w:ind w:hanging="1800"/>
        <w:jc w:val="both"/>
        <w:rPr>
          <w:rFonts w:ascii="Arial" w:hAnsi="Arial" w:cs="Arial"/>
          <w:b/>
        </w:rPr>
      </w:pPr>
      <w:r w:rsidRPr="00055B58">
        <w:rPr>
          <w:rFonts w:ascii="Arial" w:hAnsi="Arial" w:cs="Arial"/>
        </w:rPr>
        <w:tab/>
      </w:r>
      <w:r w:rsidRPr="00055B58">
        <w:rPr>
          <w:rFonts w:ascii="Arial" w:hAnsi="Arial" w:cs="Arial"/>
          <w:b/>
        </w:rPr>
        <w:t>Statutory context</w:t>
      </w:r>
      <w:r w:rsidR="00B918AC" w:rsidRPr="00055B58">
        <w:rPr>
          <w:rFonts w:ascii="Arial" w:hAnsi="Arial" w:cs="Arial"/>
          <w:b/>
        </w:rPr>
        <w:t xml:space="preserve"> of s 54 of the Insurance Act</w:t>
      </w:r>
    </w:p>
    <w:p w14:paraId="3CBD9B56" w14:textId="361E583B" w:rsidR="006975DC" w:rsidRPr="00055B58" w:rsidRDefault="00A42335" w:rsidP="00BA0036">
      <w:pPr>
        <w:tabs>
          <w:tab w:val="left" w:pos="0"/>
        </w:tabs>
        <w:spacing w:line="360" w:lineRule="auto"/>
        <w:ind w:hanging="1800"/>
        <w:jc w:val="both"/>
        <w:rPr>
          <w:rFonts w:ascii="Arial" w:hAnsi="Arial" w:cs="Arial"/>
        </w:rPr>
      </w:pPr>
      <w:r w:rsidRPr="00055B58">
        <w:rPr>
          <w:rFonts w:ascii="Arial" w:hAnsi="Arial" w:cs="Arial"/>
        </w:rPr>
        <w:tab/>
        <w:t>[27</w:t>
      </w:r>
      <w:r w:rsidR="006975DC" w:rsidRPr="00055B58">
        <w:rPr>
          <w:rFonts w:ascii="Arial" w:hAnsi="Arial" w:cs="Arial"/>
        </w:rPr>
        <w:t>]</w:t>
      </w:r>
      <w:r w:rsidR="006975DC" w:rsidRPr="00055B58">
        <w:rPr>
          <w:rFonts w:ascii="Arial" w:hAnsi="Arial" w:cs="Arial"/>
        </w:rPr>
        <w:tab/>
      </w:r>
      <w:r w:rsidR="00917509" w:rsidRPr="00055B58">
        <w:rPr>
          <w:rFonts w:ascii="Arial" w:hAnsi="Arial" w:cs="Arial"/>
        </w:rPr>
        <w:t xml:space="preserve"> </w:t>
      </w:r>
      <w:r w:rsidR="00B918AC" w:rsidRPr="00055B58">
        <w:rPr>
          <w:rFonts w:ascii="Arial" w:hAnsi="Arial" w:cs="Arial"/>
        </w:rPr>
        <w:t>Chapter 9 (</w:t>
      </w:r>
      <w:proofErr w:type="spellStart"/>
      <w:r w:rsidR="00B918AC" w:rsidRPr="00055B58">
        <w:rPr>
          <w:rFonts w:ascii="Arial" w:hAnsi="Arial" w:cs="Arial"/>
        </w:rPr>
        <w:t>ss</w:t>
      </w:r>
      <w:proofErr w:type="spellEnd"/>
      <w:r w:rsidR="00B918AC" w:rsidRPr="00055B58">
        <w:rPr>
          <w:rFonts w:ascii="Arial" w:hAnsi="Arial" w:cs="Arial"/>
        </w:rPr>
        <w:t xml:space="preserve"> 52-59) of the Insurance Act is entitled ‘Resolution’. It consists of four parts that provides powers to the Prudential Authority to deal with non-compliant insurers and controlling companies (as defined). It is not necessary to make further reference to controlling companies. Part 1 (s 53) provides that the Prudential Authority may appoint a statutory manager in terms of s 5A of the Financial Institutions (Protection of Funds) Act 28 of 2001 (FIPF) in respect of an insurer. Part 2 (s 54) deals with curatorship. In terms of Part 3 (</w:t>
      </w:r>
      <w:proofErr w:type="spellStart"/>
      <w:r w:rsidR="00B918AC" w:rsidRPr="00055B58">
        <w:rPr>
          <w:rFonts w:ascii="Arial" w:hAnsi="Arial" w:cs="Arial"/>
        </w:rPr>
        <w:t>ss</w:t>
      </w:r>
      <w:proofErr w:type="spellEnd"/>
      <w:r w:rsidR="00B918AC" w:rsidRPr="00055B58">
        <w:rPr>
          <w:rFonts w:ascii="Arial" w:hAnsi="Arial" w:cs="Arial"/>
        </w:rPr>
        <w:t xml:space="preserve"> 55-56) provision is made for the Prudential Authority to </w:t>
      </w:r>
      <w:r w:rsidR="00B918AC" w:rsidRPr="00055B58">
        <w:rPr>
          <w:rFonts w:ascii="Arial" w:hAnsi="Arial" w:cs="Arial"/>
        </w:rPr>
        <w:lastRenderedPageBreak/>
        <w:t xml:space="preserve">apply to a court for an order placing an insurer under business rescue in terms of the Companies Act 71 of 2008 (the Companies Act). </w:t>
      </w:r>
    </w:p>
    <w:p w14:paraId="7C4CCCC9" w14:textId="77777777" w:rsidR="009C05FC" w:rsidRPr="00055B58" w:rsidRDefault="009C05FC" w:rsidP="00BA0036">
      <w:pPr>
        <w:tabs>
          <w:tab w:val="left" w:pos="0"/>
        </w:tabs>
        <w:spacing w:line="360" w:lineRule="auto"/>
        <w:ind w:hanging="1800"/>
        <w:jc w:val="both"/>
        <w:rPr>
          <w:rFonts w:ascii="Arial" w:hAnsi="Arial" w:cs="Arial"/>
        </w:rPr>
      </w:pPr>
    </w:p>
    <w:p w14:paraId="29593FA5" w14:textId="343B146F" w:rsidR="009C05FC" w:rsidRPr="00055B58" w:rsidRDefault="006975DC"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[28</w:t>
      </w:r>
      <w:r w:rsidR="009C05FC" w:rsidRPr="00055B58">
        <w:rPr>
          <w:rFonts w:ascii="Arial" w:hAnsi="Arial" w:cs="Arial"/>
        </w:rPr>
        <w:t>]</w:t>
      </w:r>
      <w:r w:rsidR="009C05FC" w:rsidRPr="00055B58">
        <w:rPr>
          <w:rFonts w:ascii="Arial" w:hAnsi="Arial" w:cs="Arial"/>
        </w:rPr>
        <w:tab/>
      </w:r>
      <w:r w:rsidR="00935F41" w:rsidRPr="00055B58">
        <w:rPr>
          <w:rFonts w:ascii="Arial" w:hAnsi="Arial" w:cs="Arial"/>
        </w:rPr>
        <w:t xml:space="preserve"> </w:t>
      </w:r>
      <w:r w:rsidR="00FE4A0E" w:rsidRPr="00055B58">
        <w:rPr>
          <w:rFonts w:ascii="Arial" w:hAnsi="Arial" w:cs="Arial"/>
        </w:rPr>
        <w:t>Part 4 (</w:t>
      </w:r>
      <w:proofErr w:type="spellStart"/>
      <w:r w:rsidR="00FE4A0E" w:rsidRPr="00055B58">
        <w:rPr>
          <w:rFonts w:ascii="Arial" w:hAnsi="Arial" w:cs="Arial"/>
        </w:rPr>
        <w:t>ss</w:t>
      </w:r>
      <w:proofErr w:type="spellEnd"/>
      <w:r w:rsidR="00FE4A0E" w:rsidRPr="00055B58">
        <w:rPr>
          <w:rFonts w:ascii="Arial" w:hAnsi="Arial" w:cs="Arial"/>
        </w:rPr>
        <w:t xml:space="preserve"> 57-59) provides for the winding-up of an insurer at the instance of the Prudential Authority, in these terms: </w:t>
      </w:r>
    </w:p>
    <w:p w14:paraId="64D60318" w14:textId="63AF9320" w:rsidR="00FE4A0E" w:rsidRPr="00055B58" w:rsidRDefault="00FE4A0E" w:rsidP="00BA0036">
      <w:pPr>
        <w:tabs>
          <w:tab w:val="left" w:pos="0"/>
        </w:tabs>
        <w:spacing w:line="360" w:lineRule="auto"/>
        <w:ind w:hanging="1800"/>
        <w:jc w:val="both"/>
        <w:rPr>
          <w:rFonts w:ascii="Arial" w:hAnsi="Arial" w:cs="Arial"/>
          <w:sz w:val="22"/>
          <w:szCs w:val="22"/>
        </w:rPr>
      </w:pPr>
      <w:r w:rsidRPr="00055B58">
        <w:rPr>
          <w:rFonts w:ascii="Arial" w:hAnsi="Arial" w:cs="Arial"/>
        </w:rPr>
        <w:tab/>
      </w:r>
      <w:r w:rsidRPr="00055B58">
        <w:rPr>
          <w:rFonts w:ascii="Arial" w:hAnsi="Arial" w:cs="Arial"/>
          <w:sz w:val="22"/>
          <w:szCs w:val="22"/>
        </w:rPr>
        <w:t>‘Despite any other law under which an insurer is incorporated, sections 79 to 81 of, and item 9 of Schedule 5 to, the Companies Act shall, subject to this section and with the necessary changes, apply in relation to the winding-up of an insurer or a controlling company, and to the exclusion of any similar provisions under the Co-operatives Act or any other law under which an insurer or controlling company is established or incorporated, and in such application the Prudential Authority is deemed to be a person authorised under the Companies Act to make an application to the court for the winding-up thereof.’</w:t>
      </w:r>
    </w:p>
    <w:p w14:paraId="50F57F11" w14:textId="3260C6B3" w:rsidR="00B40372" w:rsidRPr="00055B58" w:rsidRDefault="00B40372" w:rsidP="00BA0036">
      <w:pPr>
        <w:tabs>
          <w:tab w:val="left" w:pos="0"/>
        </w:tabs>
        <w:spacing w:line="360" w:lineRule="auto"/>
        <w:ind w:hanging="1800"/>
        <w:jc w:val="both"/>
        <w:rPr>
          <w:rFonts w:ascii="Arial" w:hAnsi="Arial" w:cs="Arial"/>
        </w:rPr>
      </w:pPr>
      <w:r w:rsidRPr="00055B58">
        <w:rPr>
          <w:rFonts w:ascii="Arial" w:hAnsi="Arial" w:cs="Arial"/>
          <w:sz w:val="22"/>
          <w:szCs w:val="22"/>
        </w:rPr>
        <w:tab/>
      </w:r>
      <w:r w:rsidRPr="00055B58">
        <w:rPr>
          <w:rFonts w:ascii="Arial" w:hAnsi="Arial" w:cs="Arial"/>
        </w:rPr>
        <w:t xml:space="preserve">Section 57(2) gives particulars as to how these provisions of the Companies Act should be applied to the winding-up of an insurer in terms of this section. </w:t>
      </w:r>
    </w:p>
    <w:p w14:paraId="4214BFCD" w14:textId="77777777" w:rsidR="006975DC" w:rsidRPr="00055B58" w:rsidRDefault="006975DC" w:rsidP="00BA0036">
      <w:pPr>
        <w:tabs>
          <w:tab w:val="left" w:pos="0"/>
        </w:tabs>
        <w:spacing w:line="360" w:lineRule="auto"/>
        <w:ind w:hanging="1800"/>
        <w:jc w:val="both"/>
        <w:rPr>
          <w:rFonts w:ascii="Arial" w:hAnsi="Arial" w:cs="Arial"/>
        </w:rPr>
      </w:pPr>
    </w:p>
    <w:p w14:paraId="310F05CC" w14:textId="0CC2589A" w:rsidR="006975DC" w:rsidRPr="00055B58" w:rsidRDefault="006975DC"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[29</w:t>
      </w:r>
      <w:r w:rsidRPr="00055B58">
        <w:rPr>
          <w:rFonts w:ascii="Arial" w:hAnsi="Arial" w:cs="Arial"/>
        </w:rPr>
        <w:t>]</w:t>
      </w:r>
      <w:r w:rsidRPr="00055B58">
        <w:rPr>
          <w:rFonts w:ascii="Arial" w:hAnsi="Arial" w:cs="Arial"/>
        </w:rPr>
        <w:tab/>
        <w:t xml:space="preserve"> </w:t>
      </w:r>
      <w:r w:rsidR="00901555" w:rsidRPr="00055B58">
        <w:rPr>
          <w:rFonts w:ascii="Arial" w:hAnsi="Arial" w:cs="Arial"/>
        </w:rPr>
        <w:t xml:space="preserve">Section 54(1) of the Insurance Act reads: </w:t>
      </w:r>
    </w:p>
    <w:p w14:paraId="1791064F" w14:textId="77777777" w:rsidR="00901555" w:rsidRPr="00055B58" w:rsidRDefault="00901555" w:rsidP="00BA0036">
      <w:pPr>
        <w:tabs>
          <w:tab w:val="left" w:pos="0"/>
        </w:tabs>
        <w:spacing w:line="360" w:lineRule="auto"/>
        <w:ind w:hanging="1800"/>
        <w:jc w:val="both"/>
        <w:rPr>
          <w:rFonts w:ascii="Arial" w:hAnsi="Arial" w:cs="Arial"/>
          <w:sz w:val="22"/>
          <w:szCs w:val="22"/>
        </w:rPr>
      </w:pPr>
      <w:r w:rsidRPr="00055B58">
        <w:rPr>
          <w:rFonts w:ascii="Arial" w:hAnsi="Arial" w:cs="Arial"/>
        </w:rPr>
        <w:tab/>
      </w:r>
      <w:r w:rsidRPr="00055B58">
        <w:rPr>
          <w:rFonts w:ascii="Arial" w:hAnsi="Arial" w:cs="Arial"/>
          <w:sz w:val="22"/>
          <w:szCs w:val="22"/>
        </w:rPr>
        <w:t>‘(1)</w:t>
      </w:r>
      <w:r w:rsidRPr="00055B58">
        <w:rPr>
          <w:rFonts w:ascii="Arial" w:hAnsi="Arial" w:cs="Arial"/>
          <w:sz w:val="22"/>
          <w:szCs w:val="22"/>
        </w:rPr>
        <w:tab/>
        <w:t>Despite any other law–</w:t>
      </w:r>
    </w:p>
    <w:p w14:paraId="34F5566D" w14:textId="77777777" w:rsidR="00901555" w:rsidRPr="00055B58" w:rsidRDefault="00901555" w:rsidP="00BA0036">
      <w:pPr>
        <w:tabs>
          <w:tab w:val="left" w:pos="0"/>
        </w:tabs>
        <w:spacing w:line="360" w:lineRule="auto"/>
        <w:ind w:hanging="1800"/>
        <w:jc w:val="both"/>
        <w:rPr>
          <w:rFonts w:ascii="Arial" w:hAnsi="Arial" w:cs="Arial"/>
          <w:sz w:val="22"/>
          <w:szCs w:val="22"/>
        </w:rPr>
      </w:pPr>
      <w:r w:rsidRPr="00055B58">
        <w:rPr>
          <w:rFonts w:ascii="Arial" w:hAnsi="Arial" w:cs="Arial"/>
          <w:sz w:val="22"/>
          <w:szCs w:val="22"/>
        </w:rPr>
        <w:tab/>
      </w:r>
      <w:r w:rsidRPr="00055B58">
        <w:rPr>
          <w:rFonts w:ascii="Arial" w:hAnsi="Arial" w:cs="Arial"/>
          <w:i/>
          <w:sz w:val="22"/>
          <w:szCs w:val="22"/>
        </w:rPr>
        <w:t>(a)</w:t>
      </w:r>
      <w:r w:rsidRPr="00055B58">
        <w:rPr>
          <w:rFonts w:ascii="Arial" w:hAnsi="Arial" w:cs="Arial"/>
          <w:i/>
          <w:sz w:val="22"/>
          <w:szCs w:val="22"/>
        </w:rPr>
        <w:tab/>
      </w:r>
      <w:r w:rsidRPr="00055B58">
        <w:rPr>
          <w:rFonts w:ascii="Arial" w:hAnsi="Arial" w:cs="Arial"/>
          <w:sz w:val="22"/>
          <w:szCs w:val="22"/>
        </w:rPr>
        <w:t>the court may, on application by the Prudential Authority; or</w:t>
      </w:r>
    </w:p>
    <w:p w14:paraId="7C212F48" w14:textId="29A2A86E" w:rsidR="00901555" w:rsidRPr="00055B58" w:rsidRDefault="00901555" w:rsidP="00BA0036">
      <w:pPr>
        <w:tabs>
          <w:tab w:val="left" w:pos="0"/>
        </w:tabs>
        <w:spacing w:line="360" w:lineRule="auto"/>
        <w:ind w:hanging="2594"/>
        <w:jc w:val="both"/>
        <w:rPr>
          <w:rFonts w:ascii="Arial" w:hAnsi="Arial" w:cs="Arial"/>
          <w:sz w:val="22"/>
          <w:szCs w:val="22"/>
        </w:rPr>
      </w:pPr>
      <w:r w:rsidRPr="00055B58">
        <w:rPr>
          <w:rFonts w:ascii="Arial" w:hAnsi="Arial" w:cs="Arial"/>
          <w:sz w:val="22"/>
          <w:szCs w:val="22"/>
        </w:rPr>
        <w:tab/>
      </w:r>
      <w:r w:rsidRPr="00055B58">
        <w:rPr>
          <w:rFonts w:ascii="Arial" w:hAnsi="Arial" w:cs="Arial"/>
          <w:i/>
          <w:sz w:val="22"/>
          <w:szCs w:val="22"/>
        </w:rPr>
        <w:t>(b)</w:t>
      </w:r>
      <w:r w:rsidRPr="00055B58">
        <w:rPr>
          <w:rFonts w:ascii="Arial" w:hAnsi="Arial" w:cs="Arial"/>
          <w:i/>
          <w:sz w:val="22"/>
          <w:szCs w:val="22"/>
        </w:rPr>
        <w:tab/>
      </w:r>
      <w:r w:rsidRPr="00055B58">
        <w:rPr>
          <w:rFonts w:ascii="Arial" w:hAnsi="Arial" w:cs="Arial"/>
          <w:sz w:val="22"/>
          <w:szCs w:val="22"/>
        </w:rPr>
        <w:t xml:space="preserve">the Prudential Authority may by agreement with an insurer or controlling company and without the intervention of the court,  </w:t>
      </w:r>
    </w:p>
    <w:p w14:paraId="70C43877" w14:textId="79A94219" w:rsidR="006975DC" w:rsidRPr="00055B58" w:rsidRDefault="00901555" w:rsidP="00BA0036">
      <w:pPr>
        <w:tabs>
          <w:tab w:val="left" w:pos="0"/>
        </w:tabs>
        <w:spacing w:line="360" w:lineRule="auto"/>
        <w:ind w:hanging="1800"/>
        <w:jc w:val="both"/>
        <w:rPr>
          <w:rFonts w:ascii="Arial" w:hAnsi="Arial" w:cs="Arial"/>
        </w:rPr>
      </w:pPr>
      <w:r w:rsidRPr="00055B58">
        <w:rPr>
          <w:rFonts w:ascii="Arial" w:hAnsi="Arial" w:cs="Arial"/>
          <w:i/>
          <w:sz w:val="22"/>
          <w:szCs w:val="22"/>
        </w:rPr>
        <w:tab/>
      </w:r>
      <w:r w:rsidRPr="00055B58">
        <w:rPr>
          <w:rFonts w:ascii="Arial" w:hAnsi="Arial" w:cs="Arial"/>
          <w:sz w:val="22"/>
          <w:szCs w:val="22"/>
        </w:rPr>
        <w:t xml:space="preserve">appoint a curator in terms of section 5 of the Financial Institutions (Protection of Funds) Act in respect of any insurer or controlling company. </w:t>
      </w:r>
    </w:p>
    <w:p w14:paraId="3906251C" w14:textId="6024D5CD" w:rsidR="006975DC" w:rsidRPr="00055B58" w:rsidRDefault="006975DC" w:rsidP="00BA0036">
      <w:pPr>
        <w:tabs>
          <w:tab w:val="left" w:pos="0"/>
        </w:tabs>
        <w:spacing w:line="360" w:lineRule="auto"/>
        <w:ind w:hanging="1800"/>
        <w:jc w:val="both"/>
        <w:rPr>
          <w:rFonts w:ascii="Arial" w:hAnsi="Arial" w:cs="Arial"/>
          <w:b/>
        </w:rPr>
      </w:pPr>
      <w:r w:rsidRPr="00055B58">
        <w:rPr>
          <w:rFonts w:ascii="Arial" w:hAnsi="Arial" w:cs="Arial"/>
        </w:rPr>
        <w:tab/>
      </w:r>
    </w:p>
    <w:p w14:paraId="42B9A121" w14:textId="6DB9C977" w:rsidR="00A71FB6" w:rsidRPr="00055B58" w:rsidRDefault="006975DC"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[30</w:t>
      </w:r>
      <w:r w:rsidRPr="00055B58">
        <w:rPr>
          <w:rFonts w:ascii="Arial" w:hAnsi="Arial" w:cs="Arial"/>
        </w:rPr>
        <w:t>]</w:t>
      </w:r>
      <w:r w:rsidR="009756BC" w:rsidRPr="00055B58">
        <w:rPr>
          <w:rFonts w:ascii="Arial" w:hAnsi="Arial" w:cs="Arial"/>
        </w:rPr>
        <w:tab/>
      </w:r>
      <w:r w:rsidR="00A71FB6" w:rsidRPr="00055B58">
        <w:rPr>
          <w:rFonts w:ascii="Arial" w:hAnsi="Arial" w:cs="Arial"/>
        </w:rPr>
        <w:t xml:space="preserve"> </w:t>
      </w:r>
      <w:r w:rsidR="006D0F6B" w:rsidRPr="00055B58">
        <w:rPr>
          <w:rFonts w:ascii="Arial" w:hAnsi="Arial" w:cs="Arial"/>
        </w:rPr>
        <w:t xml:space="preserve">Section 5(1) of the FIPF provides for an application, on an </w:t>
      </w:r>
      <w:r w:rsidR="006D0F6B" w:rsidRPr="00055B58">
        <w:rPr>
          <w:rFonts w:ascii="Arial" w:hAnsi="Arial" w:cs="Arial"/>
          <w:i/>
        </w:rPr>
        <w:t>ex parte</w:t>
      </w:r>
      <w:r w:rsidR="006D0F6B" w:rsidRPr="00055B58">
        <w:rPr>
          <w:rFonts w:ascii="Arial" w:hAnsi="Arial" w:cs="Arial"/>
        </w:rPr>
        <w:t xml:space="preserve"> basis, for the appointment of a curator. Section 5(2) reads: </w:t>
      </w:r>
    </w:p>
    <w:p w14:paraId="7CCF010B" w14:textId="77777777" w:rsidR="00DB6420" w:rsidRPr="00055B58" w:rsidRDefault="006D0F6B" w:rsidP="00BA0036">
      <w:pPr>
        <w:tabs>
          <w:tab w:val="left" w:pos="0"/>
        </w:tabs>
        <w:spacing w:line="360" w:lineRule="auto"/>
        <w:ind w:hanging="1800"/>
        <w:jc w:val="both"/>
        <w:rPr>
          <w:rFonts w:ascii="Arial" w:hAnsi="Arial" w:cs="Arial"/>
          <w:sz w:val="22"/>
          <w:szCs w:val="22"/>
        </w:rPr>
      </w:pPr>
      <w:r w:rsidRPr="00055B58">
        <w:rPr>
          <w:rFonts w:ascii="Arial" w:hAnsi="Arial" w:cs="Arial"/>
        </w:rPr>
        <w:tab/>
      </w:r>
      <w:r w:rsidRPr="00055B58">
        <w:rPr>
          <w:rFonts w:ascii="Arial" w:hAnsi="Arial" w:cs="Arial"/>
          <w:sz w:val="22"/>
          <w:szCs w:val="22"/>
        </w:rPr>
        <w:t>‘</w:t>
      </w:r>
      <w:r w:rsidR="00DB6420" w:rsidRPr="00055B58">
        <w:rPr>
          <w:rFonts w:ascii="Arial" w:hAnsi="Arial" w:cs="Arial"/>
          <w:sz w:val="22"/>
          <w:szCs w:val="22"/>
        </w:rPr>
        <w:t>(2)</w:t>
      </w:r>
      <w:r w:rsidR="00DB6420" w:rsidRPr="00055B58">
        <w:rPr>
          <w:rFonts w:ascii="Arial" w:hAnsi="Arial" w:cs="Arial"/>
          <w:sz w:val="22"/>
          <w:szCs w:val="22"/>
        </w:rPr>
        <w:tab/>
        <w:t>Upon an application in terms of subsection (1) the court may–</w:t>
      </w:r>
    </w:p>
    <w:p w14:paraId="36C0F850" w14:textId="77777777" w:rsidR="00DB6420" w:rsidRPr="00055B58" w:rsidRDefault="00DB6420" w:rsidP="00BA0036">
      <w:pPr>
        <w:tabs>
          <w:tab w:val="left" w:pos="0"/>
        </w:tabs>
        <w:spacing w:line="360" w:lineRule="auto"/>
        <w:ind w:hanging="2594"/>
        <w:jc w:val="both"/>
        <w:rPr>
          <w:rFonts w:ascii="Arial" w:hAnsi="Arial" w:cs="Arial"/>
          <w:sz w:val="22"/>
          <w:szCs w:val="22"/>
        </w:rPr>
      </w:pPr>
      <w:r w:rsidRPr="00055B58">
        <w:rPr>
          <w:rFonts w:ascii="Arial" w:hAnsi="Arial" w:cs="Arial"/>
          <w:sz w:val="22"/>
          <w:szCs w:val="22"/>
        </w:rPr>
        <w:tab/>
      </w:r>
      <w:r w:rsidRPr="00055B58">
        <w:rPr>
          <w:rFonts w:ascii="Arial" w:hAnsi="Arial" w:cs="Arial"/>
          <w:i/>
          <w:sz w:val="22"/>
          <w:szCs w:val="22"/>
        </w:rPr>
        <w:t>(a)</w:t>
      </w:r>
      <w:r w:rsidRPr="00055B58">
        <w:rPr>
          <w:rFonts w:ascii="Arial" w:hAnsi="Arial" w:cs="Arial"/>
          <w:i/>
          <w:sz w:val="22"/>
          <w:szCs w:val="22"/>
        </w:rPr>
        <w:tab/>
      </w:r>
      <w:r w:rsidRPr="00055B58">
        <w:rPr>
          <w:rFonts w:ascii="Arial" w:hAnsi="Arial" w:cs="Arial"/>
          <w:sz w:val="22"/>
          <w:szCs w:val="22"/>
        </w:rPr>
        <w:t>on good cause shown, provisionally appoint a curator to take control of, and to manage the whole or any part of, the business of the institution on such conditions and for such a period as the court deems fit; and</w:t>
      </w:r>
    </w:p>
    <w:p w14:paraId="7F2D3E16" w14:textId="416812F0" w:rsidR="006D0F6B" w:rsidRPr="00055B58" w:rsidRDefault="00DB6420" w:rsidP="00BA0036">
      <w:pPr>
        <w:tabs>
          <w:tab w:val="left" w:pos="0"/>
        </w:tabs>
        <w:spacing w:line="360" w:lineRule="auto"/>
        <w:ind w:hanging="2594"/>
        <w:jc w:val="both"/>
        <w:rPr>
          <w:rFonts w:ascii="Arial" w:hAnsi="Arial" w:cs="Arial"/>
          <w:sz w:val="22"/>
          <w:szCs w:val="22"/>
        </w:rPr>
      </w:pPr>
      <w:r w:rsidRPr="00055B58">
        <w:rPr>
          <w:rFonts w:ascii="Arial" w:hAnsi="Arial" w:cs="Arial"/>
          <w:sz w:val="22"/>
          <w:szCs w:val="22"/>
        </w:rPr>
        <w:tab/>
      </w:r>
      <w:r w:rsidRPr="00055B58">
        <w:rPr>
          <w:rFonts w:ascii="Arial" w:hAnsi="Arial" w:cs="Arial"/>
          <w:i/>
          <w:sz w:val="22"/>
          <w:szCs w:val="22"/>
        </w:rPr>
        <w:t>(b)</w:t>
      </w:r>
      <w:r w:rsidRPr="00055B58">
        <w:rPr>
          <w:rFonts w:ascii="Arial" w:hAnsi="Arial" w:cs="Arial"/>
          <w:i/>
          <w:sz w:val="22"/>
          <w:szCs w:val="22"/>
        </w:rPr>
        <w:tab/>
      </w:r>
      <w:r w:rsidRPr="00055B58">
        <w:rPr>
          <w:rFonts w:ascii="Arial" w:hAnsi="Arial" w:cs="Arial"/>
          <w:sz w:val="22"/>
          <w:szCs w:val="22"/>
        </w:rPr>
        <w:t xml:space="preserve">simultaneously grant a rule </w:t>
      </w:r>
      <w:r w:rsidRPr="00055B58">
        <w:rPr>
          <w:rFonts w:ascii="Arial" w:hAnsi="Arial" w:cs="Arial"/>
          <w:i/>
          <w:sz w:val="22"/>
          <w:szCs w:val="22"/>
        </w:rPr>
        <w:t xml:space="preserve">nisi </w:t>
      </w:r>
      <w:r w:rsidRPr="00055B58">
        <w:rPr>
          <w:rFonts w:ascii="Arial" w:hAnsi="Arial" w:cs="Arial"/>
          <w:sz w:val="22"/>
          <w:szCs w:val="22"/>
        </w:rPr>
        <w:t xml:space="preserve">calling upon the institution and other interested parties to show cause on a day mentioned in the rule why the appointment of the curator should not be confirmed.’ </w:t>
      </w:r>
    </w:p>
    <w:p w14:paraId="582E53A2" w14:textId="210FCA31" w:rsidR="00786224" w:rsidRPr="00055B58" w:rsidRDefault="00786224" w:rsidP="00BA0036">
      <w:pPr>
        <w:tabs>
          <w:tab w:val="left" w:pos="0"/>
        </w:tabs>
        <w:spacing w:line="360" w:lineRule="auto"/>
        <w:ind w:hanging="1800"/>
        <w:jc w:val="both"/>
        <w:rPr>
          <w:rFonts w:ascii="Arial" w:hAnsi="Arial" w:cs="Arial"/>
        </w:rPr>
      </w:pPr>
      <w:r w:rsidRPr="00055B58">
        <w:rPr>
          <w:rFonts w:ascii="Arial" w:hAnsi="Arial" w:cs="Arial"/>
          <w:i/>
          <w:sz w:val="22"/>
          <w:szCs w:val="22"/>
        </w:rPr>
        <w:tab/>
      </w:r>
      <w:r w:rsidRPr="00055B58">
        <w:rPr>
          <w:rFonts w:ascii="Arial" w:hAnsi="Arial" w:cs="Arial"/>
        </w:rPr>
        <w:t>If</w:t>
      </w:r>
      <w:r w:rsidR="00DD1EDD" w:rsidRPr="00055B58">
        <w:rPr>
          <w:rFonts w:ascii="Arial" w:hAnsi="Arial" w:cs="Arial"/>
        </w:rPr>
        <w:t xml:space="preserve"> </w:t>
      </w:r>
      <w:r w:rsidRPr="00055B58">
        <w:rPr>
          <w:rFonts w:ascii="Arial" w:hAnsi="Arial" w:cs="Arial"/>
        </w:rPr>
        <w:t xml:space="preserve">at the hearing pursuant to the rule </w:t>
      </w:r>
      <w:r w:rsidRPr="00055B58">
        <w:rPr>
          <w:rFonts w:ascii="Arial" w:hAnsi="Arial" w:cs="Arial"/>
          <w:i/>
        </w:rPr>
        <w:t>nisi</w:t>
      </w:r>
      <w:r w:rsidRPr="00055B58">
        <w:rPr>
          <w:rFonts w:ascii="Arial" w:hAnsi="Arial" w:cs="Arial"/>
        </w:rPr>
        <w:t>, the court is satisfied that it is desirable to do so, it may confirm the appointment of the curator</w:t>
      </w:r>
      <w:r w:rsidR="0014722D" w:rsidRPr="00055B58">
        <w:rPr>
          <w:rFonts w:ascii="Arial" w:hAnsi="Arial" w:cs="Arial"/>
        </w:rPr>
        <w:t xml:space="preserve"> (s 5(4) of the FIPF)</w:t>
      </w:r>
      <w:r w:rsidRPr="00055B58">
        <w:rPr>
          <w:rFonts w:ascii="Arial" w:hAnsi="Arial" w:cs="Arial"/>
        </w:rPr>
        <w:t xml:space="preserve">. </w:t>
      </w:r>
    </w:p>
    <w:p w14:paraId="25DD021C" w14:textId="77777777" w:rsidR="00A71FB6" w:rsidRPr="00055B58" w:rsidRDefault="00A71FB6" w:rsidP="00BA0036">
      <w:pPr>
        <w:tabs>
          <w:tab w:val="left" w:pos="0"/>
        </w:tabs>
        <w:spacing w:line="360" w:lineRule="auto"/>
        <w:ind w:hanging="1800"/>
        <w:jc w:val="both"/>
        <w:rPr>
          <w:rFonts w:ascii="Arial" w:hAnsi="Arial" w:cs="Arial"/>
        </w:rPr>
      </w:pPr>
    </w:p>
    <w:p w14:paraId="6C4DC0E6" w14:textId="4DF0E024" w:rsidR="006975DC" w:rsidRPr="00055B58" w:rsidRDefault="00A71FB6"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[31</w:t>
      </w:r>
      <w:r w:rsidRPr="00055B58">
        <w:rPr>
          <w:rFonts w:ascii="Arial" w:hAnsi="Arial" w:cs="Arial"/>
        </w:rPr>
        <w:t>]</w:t>
      </w:r>
      <w:r w:rsidRPr="00055B58">
        <w:rPr>
          <w:rFonts w:ascii="Arial" w:hAnsi="Arial" w:cs="Arial"/>
        </w:rPr>
        <w:tab/>
      </w:r>
      <w:r w:rsidR="002E7A0E" w:rsidRPr="00055B58">
        <w:rPr>
          <w:rFonts w:ascii="Arial" w:hAnsi="Arial" w:cs="Arial"/>
        </w:rPr>
        <w:t xml:space="preserve"> </w:t>
      </w:r>
      <w:r w:rsidR="00580AB6" w:rsidRPr="00055B58">
        <w:rPr>
          <w:rFonts w:ascii="Arial" w:hAnsi="Arial" w:cs="Arial"/>
        </w:rPr>
        <w:t>In terms of s 5(5)</w:t>
      </w:r>
      <w:r w:rsidR="00253CC7" w:rsidRPr="00055B58">
        <w:rPr>
          <w:rFonts w:ascii="Arial" w:hAnsi="Arial" w:cs="Arial"/>
        </w:rPr>
        <w:t>,</w:t>
      </w:r>
      <w:r w:rsidR="00580AB6" w:rsidRPr="00055B58">
        <w:rPr>
          <w:rFonts w:ascii="Arial" w:hAnsi="Arial" w:cs="Arial"/>
        </w:rPr>
        <w:t xml:space="preserve"> a court may for the purposes of a provisional appointment under s 5(2)</w:t>
      </w:r>
      <w:r w:rsidR="00580AB6" w:rsidRPr="00055B58">
        <w:rPr>
          <w:rFonts w:ascii="Arial" w:hAnsi="Arial" w:cs="Arial"/>
          <w:i/>
        </w:rPr>
        <w:t>(a)</w:t>
      </w:r>
      <w:r w:rsidR="00580AB6" w:rsidRPr="00055B58">
        <w:rPr>
          <w:rFonts w:ascii="Arial" w:hAnsi="Arial" w:cs="Arial"/>
        </w:rPr>
        <w:t xml:space="preserve"> and a final appointment under s 5(4), make an order with regard to </w:t>
      </w:r>
      <w:r w:rsidR="00580AB6" w:rsidRPr="00055B58">
        <w:rPr>
          <w:rFonts w:ascii="Arial" w:hAnsi="Arial" w:cs="Arial"/>
          <w:i/>
        </w:rPr>
        <w:t>inter alia</w:t>
      </w:r>
      <w:r w:rsidR="00580AB6" w:rsidRPr="00055B58">
        <w:rPr>
          <w:rFonts w:ascii="Arial" w:hAnsi="Arial" w:cs="Arial"/>
        </w:rPr>
        <w:t xml:space="preserve">: the suspension of legal proceedings against the institution for the duration of the curatorship; the authority of the curator to </w:t>
      </w:r>
      <w:r w:rsidR="00580AB6" w:rsidRPr="00055B58">
        <w:rPr>
          <w:rFonts w:ascii="Arial" w:hAnsi="Arial" w:cs="Arial"/>
        </w:rPr>
        <w:lastRenderedPageBreak/>
        <w:t xml:space="preserve">investigate the affairs of the institution; and the powers and duties of the curator. Section 5(9) provides that the court may, on good cause shown, cancel the appointment of a curator at any time. </w:t>
      </w:r>
    </w:p>
    <w:p w14:paraId="4608F953" w14:textId="77777777" w:rsidR="00580AB6" w:rsidRPr="00055B58" w:rsidRDefault="00580AB6" w:rsidP="00BA0036">
      <w:pPr>
        <w:tabs>
          <w:tab w:val="left" w:pos="0"/>
        </w:tabs>
        <w:spacing w:line="360" w:lineRule="auto"/>
        <w:ind w:hanging="1800"/>
        <w:jc w:val="both"/>
        <w:rPr>
          <w:rFonts w:ascii="Arial" w:hAnsi="Arial" w:cs="Arial"/>
        </w:rPr>
      </w:pPr>
    </w:p>
    <w:p w14:paraId="3CF8384B" w14:textId="03D750D4" w:rsidR="002E7A0E" w:rsidRPr="00055B58" w:rsidRDefault="00580AB6" w:rsidP="00BA0036">
      <w:pPr>
        <w:tabs>
          <w:tab w:val="left" w:pos="0"/>
        </w:tabs>
        <w:spacing w:line="360" w:lineRule="auto"/>
        <w:ind w:hanging="1800"/>
        <w:jc w:val="both"/>
        <w:rPr>
          <w:rFonts w:ascii="Arial" w:hAnsi="Arial" w:cs="Arial"/>
          <w:b/>
        </w:rPr>
      </w:pPr>
      <w:r w:rsidRPr="00055B58">
        <w:rPr>
          <w:rFonts w:ascii="Arial" w:hAnsi="Arial" w:cs="Arial"/>
        </w:rPr>
        <w:tab/>
      </w:r>
      <w:r w:rsidRPr="00055B58">
        <w:rPr>
          <w:rFonts w:ascii="Arial" w:hAnsi="Arial" w:cs="Arial"/>
          <w:b/>
        </w:rPr>
        <w:t xml:space="preserve">Final liquidation precluded? </w:t>
      </w:r>
    </w:p>
    <w:p w14:paraId="24681F02" w14:textId="4D3112CB" w:rsidR="003279AD" w:rsidRPr="00055B58" w:rsidRDefault="00A42335" w:rsidP="00BA0036">
      <w:pPr>
        <w:tabs>
          <w:tab w:val="left" w:pos="0"/>
        </w:tabs>
        <w:spacing w:line="360" w:lineRule="auto"/>
        <w:ind w:hanging="1800"/>
        <w:jc w:val="both"/>
        <w:rPr>
          <w:rFonts w:ascii="Arial" w:hAnsi="Arial" w:cs="Arial"/>
        </w:rPr>
      </w:pPr>
      <w:r w:rsidRPr="00055B58">
        <w:rPr>
          <w:rFonts w:ascii="Arial" w:hAnsi="Arial" w:cs="Arial"/>
        </w:rPr>
        <w:tab/>
        <w:t>[32</w:t>
      </w:r>
      <w:r w:rsidR="002E7A0E" w:rsidRPr="00055B58">
        <w:rPr>
          <w:rFonts w:ascii="Arial" w:hAnsi="Arial" w:cs="Arial"/>
        </w:rPr>
        <w:t>]</w:t>
      </w:r>
      <w:r w:rsidR="002E7A0E" w:rsidRPr="00055B58">
        <w:rPr>
          <w:rFonts w:ascii="Arial" w:hAnsi="Arial" w:cs="Arial"/>
        </w:rPr>
        <w:tab/>
      </w:r>
      <w:r w:rsidR="00905A9F" w:rsidRPr="00055B58">
        <w:rPr>
          <w:rFonts w:ascii="Arial" w:hAnsi="Arial" w:cs="Arial"/>
        </w:rPr>
        <w:t xml:space="preserve">Section 54(5) of the Insurance Act reads: </w:t>
      </w:r>
    </w:p>
    <w:p w14:paraId="4F3998E5" w14:textId="1E07CB8C" w:rsidR="00905A9F" w:rsidRPr="00055B58" w:rsidRDefault="00905A9F" w:rsidP="00BA0036">
      <w:pPr>
        <w:tabs>
          <w:tab w:val="left" w:pos="0"/>
        </w:tabs>
        <w:spacing w:line="360" w:lineRule="auto"/>
        <w:ind w:hanging="1800"/>
        <w:jc w:val="both"/>
        <w:rPr>
          <w:rFonts w:ascii="Arial" w:hAnsi="Arial" w:cs="Arial"/>
          <w:sz w:val="22"/>
          <w:szCs w:val="22"/>
        </w:rPr>
      </w:pPr>
      <w:r w:rsidRPr="00055B58">
        <w:rPr>
          <w:rFonts w:ascii="Arial" w:hAnsi="Arial" w:cs="Arial"/>
        </w:rPr>
        <w:tab/>
      </w:r>
      <w:r w:rsidRPr="00055B58">
        <w:rPr>
          <w:rFonts w:ascii="Arial" w:hAnsi="Arial" w:cs="Arial"/>
          <w:sz w:val="22"/>
          <w:szCs w:val="22"/>
        </w:rPr>
        <w:t>‘An insurer or a controlling company may not begin or enter business rescue or be wound-up while under curatorship within the meaning of the Financial Institutions (Protection of Funds) Act, unless the curator applies for the business rescue or winding-up.’</w:t>
      </w:r>
    </w:p>
    <w:p w14:paraId="2970EEBF" w14:textId="77777777" w:rsidR="006965B9" w:rsidRPr="00055B58" w:rsidRDefault="006965B9" w:rsidP="00BA0036">
      <w:pPr>
        <w:tabs>
          <w:tab w:val="left" w:pos="0"/>
        </w:tabs>
        <w:spacing w:line="360" w:lineRule="auto"/>
        <w:ind w:hanging="1800"/>
        <w:jc w:val="both"/>
        <w:rPr>
          <w:rFonts w:ascii="Arial" w:hAnsi="Arial" w:cs="Arial"/>
          <w:sz w:val="22"/>
          <w:szCs w:val="22"/>
        </w:rPr>
      </w:pPr>
    </w:p>
    <w:p w14:paraId="6C83EEB3" w14:textId="2A82D850" w:rsidR="006965B9" w:rsidRPr="00055B58" w:rsidRDefault="006965B9" w:rsidP="00BA0036">
      <w:pPr>
        <w:tabs>
          <w:tab w:val="left" w:pos="0"/>
        </w:tabs>
        <w:spacing w:line="360" w:lineRule="auto"/>
        <w:ind w:hanging="1800"/>
        <w:jc w:val="both"/>
        <w:rPr>
          <w:rFonts w:ascii="Arial" w:hAnsi="Arial" w:cs="Arial"/>
        </w:rPr>
      </w:pPr>
      <w:r w:rsidRPr="00055B58">
        <w:rPr>
          <w:rFonts w:ascii="Arial" w:hAnsi="Arial" w:cs="Arial"/>
          <w:sz w:val="22"/>
          <w:szCs w:val="22"/>
        </w:rPr>
        <w:tab/>
      </w:r>
      <w:r w:rsidR="00A42335" w:rsidRPr="00055B58">
        <w:rPr>
          <w:rFonts w:ascii="Arial" w:hAnsi="Arial" w:cs="Arial"/>
        </w:rPr>
        <w:t>[33</w:t>
      </w:r>
      <w:r w:rsidRPr="00055B58">
        <w:rPr>
          <w:rFonts w:ascii="Arial" w:hAnsi="Arial" w:cs="Arial"/>
        </w:rPr>
        <w:t>]</w:t>
      </w:r>
      <w:r w:rsidRPr="00055B58">
        <w:rPr>
          <w:rFonts w:ascii="Arial" w:hAnsi="Arial" w:cs="Arial"/>
        </w:rPr>
        <w:tab/>
      </w:r>
      <w:r w:rsidR="005B440F" w:rsidRPr="00055B58">
        <w:rPr>
          <w:rFonts w:ascii="Arial" w:hAnsi="Arial" w:cs="Arial"/>
        </w:rPr>
        <w:t xml:space="preserve"> </w:t>
      </w:r>
      <w:r w:rsidR="00623C66" w:rsidRPr="00055B58">
        <w:rPr>
          <w:rFonts w:ascii="Arial" w:hAnsi="Arial" w:cs="Arial"/>
        </w:rPr>
        <w:t xml:space="preserve">In rejecting </w:t>
      </w:r>
      <w:proofErr w:type="spellStart"/>
      <w:r w:rsidR="00623C66" w:rsidRPr="00055B58">
        <w:rPr>
          <w:rFonts w:ascii="Arial" w:hAnsi="Arial" w:cs="Arial"/>
        </w:rPr>
        <w:t>Lebashe’s</w:t>
      </w:r>
      <w:proofErr w:type="spellEnd"/>
      <w:r w:rsidR="00623C66" w:rsidRPr="00055B58">
        <w:rPr>
          <w:rFonts w:ascii="Arial" w:hAnsi="Arial" w:cs="Arial"/>
        </w:rPr>
        <w:t xml:space="preserve"> argument that s 54(5) precluded the provisional liquidation orders, the court a quo essentially reasoned that the expression ‘be wound-up’ did not refer to the commencement of a winding-up, but to the process of winding-up. See </w:t>
      </w:r>
      <w:r w:rsidR="00623C66" w:rsidRPr="00055B58">
        <w:rPr>
          <w:rFonts w:ascii="Arial" w:hAnsi="Arial" w:cs="Arial"/>
          <w:i/>
        </w:rPr>
        <w:t xml:space="preserve">GCC Engineering </w:t>
      </w:r>
      <w:r w:rsidR="00575B9E" w:rsidRPr="00055B58">
        <w:rPr>
          <w:rFonts w:ascii="Arial" w:hAnsi="Arial" w:cs="Arial"/>
          <w:i/>
        </w:rPr>
        <w:t>&amp;</w:t>
      </w:r>
      <w:r w:rsidR="00623C66" w:rsidRPr="00055B58">
        <w:rPr>
          <w:rFonts w:ascii="Arial" w:hAnsi="Arial" w:cs="Arial"/>
          <w:i/>
        </w:rPr>
        <w:t xml:space="preserve"> Others v </w:t>
      </w:r>
      <w:proofErr w:type="spellStart"/>
      <w:r w:rsidR="00623C66" w:rsidRPr="00055B58">
        <w:rPr>
          <w:rFonts w:ascii="Arial" w:hAnsi="Arial" w:cs="Arial"/>
          <w:i/>
        </w:rPr>
        <w:t>Maroos</w:t>
      </w:r>
      <w:proofErr w:type="spellEnd"/>
      <w:r w:rsidR="00623C66" w:rsidRPr="00055B58">
        <w:rPr>
          <w:rFonts w:ascii="Arial" w:hAnsi="Arial" w:cs="Arial"/>
        </w:rPr>
        <w:t xml:space="preserve"> [2018] ZASCA 178; 2019 (2) SA 379 (SCA) para 17. </w:t>
      </w:r>
      <w:r w:rsidR="00DF7269" w:rsidRPr="00055B58">
        <w:rPr>
          <w:rFonts w:ascii="Arial" w:hAnsi="Arial" w:cs="Arial"/>
        </w:rPr>
        <w:t xml:space="preserve">For the reasons that follow, this interpretation is not tenable. </w:t>
      </w:r>
    </w:p>
    <w:p w14:paraId="26803656" w14:textId="77777777" w:rsidR="005B440F" w:rsidRPr="00055B58" w:rsidRDefault="005B440F" w:rsidP="00BA0036">
      <w:pPr>
        <w:tabs>
          <w:tab w:val="left" w:pos="0"/>
        </w:tabs>
        <w:spacing w:line="360" w:lineRule="auto"/>
        <w:ind w:hanging="1800"/>
        <w:jc w:val="both"/>
        <w:rPr>
          <w:rFonts w:ascii="Arial" w:hAnsi="Arial" w:cs="Arial"/>
        </w:rPr>
      </w:pPr>
    </w:p>
    <w:p w14:paraId="70F1D274" w14:textId="0383169A" w:rsidR="005B440F" w:rsidRPr="00055B58" w:rsidRDefault="005B440F"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[34</w:t>
      </w:r>
      <w:r w:rsidRPr="00055B58">
        <w:rPr>
          <w:rFonts w:ascii="Arial" w:hAnsi="Arial" w:cs="Arial"/>
        </w:rPr>
        <w:t>]</w:t>
      </w:r>
      <w:r w:rsidRPr="00055B58">
        <w:rPr>
          <w:rFonts w:ascii="Arial" w:hAnsi="Arial" w:cs="Arial"/>
        </w:rPr>
        <w:tab/>
        <w:t xml:space="preserve"> </w:t>
      </w:r>
      <w:r w:rsidR="00A973B7" w:rsidRPr="00055B58">
        <w:rPr>
          <w:rFonts w:ascii="Arial" w:hAnsi="Arial" w:cs="Arial"/>
        </w:rPr>
        <w:t>First, it fails to have regard to the full text of s 54(5). The phrase ‘An insurer may not begin or enter business rescue . . .’, clearly refers to the adoption and filing of a resolution to begin business rescue in terms of s 129 and a court order placing a company under business rescue in terms of s 131 of the Companies Act. Thus, unlike s 53(2) of the Insurance A</w:t>
      </w:r>
      <w:r w:rsidR="00610401" w:rsidRPr="00055B58">
        <w:rPr>
          <w:rFonts w:ascii="Arial" w:hAnsi="Arial" w:cs="Arial"/>
        </w:rPr>
        <w:t>ct</w:t>
      </w:r>
      <w:r w:rsidR="00A973B7" w:rsidRPr="00055B58">
        <w:rPr>
          <w:rFonts w:ascii="Arial" w:hAnsi="Arial" w:cs="Arial"/>
        </w:rPr>
        <w:t xml:space="preserve"> (which provides that no business rescue or winding-up proceedings may be commenced whilst a statutory manager holds office), s 54(5) has to do with t</w:t>
      </w:r>
      <w:r w:rsidR="00263B58" w:rsidRPr="00055B58">
        <w:rPr>
          <w:rFonts w:ascii="Arial" w:hAnsi="Arial" w:cs="Arial"/>
        </w:rPr>
        <w:t>he effecting of business rescue or wind</w:t>
      </w:r>
      <w:r w:rsidR="00AB43FA" w:rsidRPr="00055B58">
        <w:rPr>
          <w:rFonts w:ascii="Arial" w:hAnsi="Arial" w:cs="Arial"/>
        </w:rPr>
        <w:t>ing</w:t>
      </w:r>
      <w:r w:rsidR="00263B58" w:rsidRPr="00055B58">
        <w:rPr>
          <w:rFonts w:ascii="Arial" w:hAnsi="Arial" w:cs="Arial"/>
        </w:rPr>
        <w:t>-up.</w:t>
      </w:r>
      <w:r w:rsidR="00A973B7" w:rsidRPr="00055B58">
        <w:rPr>
          <w:rFonts w:ascii="Arial" w:hAnsi="Arial" w:cs="Arial"/>
        </w:rPr>
        <w:t xml:space="preserve"> Winding-up of </w:t>
      </w:r>
      <w:r w:rsidR="00311CC2" w:rsidRPr="00055B58">
        <w:rPr>
          <w:rFonts w:ascii="Arial" w:hAnsi="Arial" w:cs="Arial"/>
        </w:rPr>
        <w:t>a solvent company</w:t>
      </w:r>
      <w:r w:rsidR="00A973B7" w:rsidRPr="00055B58">
        <w:rPr>
          <w:rFonts w:ascii="Arial" w:hAnsi="Arial" w:cs="Arial"/>
        </w:rPr>
        <w:t xml:space="preserve"> is effected either by the adoption and filing of a special resolution in terms of s 80 or a court order under s 81 of the Companies Act. The same applies to an insolvent company in terms of s 343, s 344 and s 349 of the Companies Act 61 of 1973 (which continues in force by reason of item 9 of Schedule 5 to the Companies Act). Thus, it would make no sense to prohibit the coming into effect of business rescue whilst a curatorship is in place, but not </w:t>
      </w:r>
      <w:r w:rsidR="00263B58" w:rsidRPr="00055B58">
        <w:rPr>
          <w:rFonts w:ascii="Arial" w:hAnsi="Arial" w:cs="Arial"/>
        </w:rPr>
        <w:t>the</w:t>
      </w:r>
      <w:r w:rsidR="00A973B7" w:rsidRPr="00055B58">
        <w:rPr>
          <w:rFonts w:ascii="Arial" w:hAnsi="Arial" w:cs="Arial"/>
        </w:rPr>
        <w:t xml:space="preserve"> commencement of liquidation, which </w:t>
      </w:r>
      <w:r w:rsidR="00263B58" w:rsidRPr="00055B58">
        <w:rPr>
          <w:rFonts w:ascii="Arial" w:hAnsi="Arial" w:cs="Arial"/>
        </w:rPr>
        <w:t>would have</w:t>
      </w:r>
      <w:r w:rsidR="00A973B7" w:rsidRPr="00055B58">
        <w:rPr>
          <w:rFonts w:ascii="Arial" w:hAnsi="Arial" w:cs="Arial"/>
        </w:rPr>
        <w:t xml:space="preserve"> far more drastic consequences. </w:t>
      </w:r>
    </w:p>
    <w:p w14:paraId="0CB4D386" w14:textId="77777777" w:rsidR="005B440F" w:rsidRPr="00055B58" w:rsidRDefault="005B440F" w:rsidP="00BA0036">
      <w:pPr>
        <w:tabs>
          <w:tab w:val="left" w:pos="0"/>
        </w:tabs>
        <w:spacing w:line="360" w:lineRule="auto"/>
        <w:ind w:hanging="1800"/>
        <w:jc w:val="both"/>
        <w:rPr>
          <w:rFonts w:ascii="Arial" w:hAnsi="Arial" w:cs="Arial"/>
        </w:rPr>
      </w:pPr>
    </w:p>
    <w:p w14:paraId="5B6C78C0" w14:textId="706234DB" w:rsidR="00A00EBD" w:rsidRPr="00055B58" w:rsidRDefault="005B440F"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[35</w:t>
      </w:r>
      <w:r w:rsidRPr="00055B58">
        <w:rPr>
          <w:rFonts w:ascii="Arial" w:hAnsi="Arial" w:cs="Arial"/>
        </w:rPr>
        <w:t>]</w:t>
      </w:r>
      <w:r w:rsidRPr="00055B58">
        <w:rPr>
          <w:rFonts w:ascii="Arial" w:hAnsi="Arial" w:cs="Arial"/>
        </w:rPr>
        <w:tab/>
      </w:r>
      <w:r w:rsidR="00EF63C6" w:rsidRPr="00055B58">
        <w:rPr>
          <w:rFonts w:ascii="Arial" w:hAnsi="Arial" w:cs="Arial"/>
        </w:rPr>
        <w:t xml:space="preserve">The process of winding-up (the realisation of assets) is, of course, not itself something that one can apply for in a court. A curator can only apply for a winding-up order. The phrase: ‘An insurer may not be wound-up . . . unless the curator applies for the . . . winding-up’, must therefore mean that in these circumstances a liquidation may not be ordered unless the curator applies for it. </w:t>
      </w:r>
    </w:p>
    <w:p w14:paraId="336BEF72" w14:textId="77777777" w:rsidR="00141E4A" w:rsidRPr="00055B58" w:rsidRDefault="00141E4A" w:rsidP="00BA0036">
      <w:pPr>
        <w:tabs>
          <w:tab w:val="left" w:pos="0"/>
        </w:tabs>
        <w:spacing w:line="360" w:lineRule="auto"/>
        <w:ind w:hanging="1800"/>
        <w:jc w:val="both"/>
        <w:rPr>
          <w:rFonts w:ascii="Arial" w:hAnsi="Arial" w:cs="Arial"/>
          <w:b/>
        </w:rPr>
      </w:pPr>
    </w:p>
    <w:p w14:paraId="7A0E61F5" w14:textId="28E89EC0" w:rsidR="00010C8A" w:rsidRPr="00055B58" w:rsidRDefault="00A00EBD" w:rsidP="00BA0036">
      <w:pPr>
        <w:tabs>
          <w:tab w:val="left" w:pos="0"/>
        </w:tabs>
        <w:spacing w:line="360" w:lineRule="auto"/>
        <w:ind w:hanging="1800"/>
        <w:jc w:val="both"/>
        <w:rPr>
          <w:rFonts w:ascii="Arial" w:hAnsi="Arial" w:cs="Arial"/>
        </w:rPr>
      </w:pPr>
      <w:r w:rsidRPr="00055B58">
        <w:rPr>
          <w:rFonts w:ascii="Arial" w:hAnsi="Arial" w:cs="Arial"/>
        </w:rPr>
        <w:lastRenderedPageBreak/>
        <w:tab/>
      </w:r>
      <w:r w:rsidR="00A42335" w:rsidRPr="00055B58">
        <w:rPr>
          <w:rFonts w:ascii="Arial" w:hAnsi="Arial" w:cs="Arial"/>
        </w:rPr>
        <w:t>[36</w:t>
      </w:r>
      <w:r w:rsidRPr="00055B58">
        <w:rPr>
          <w:rFonts w:ascii="Arial" w:hAnsi="Arial" w:cs="Arial"/>
        </w:rPr>
        <w:t>]</w:t>
      </w:r>
      <w:r w:rsidRPr="00055B58">
        <w:rPr>
          <w:rFonts w:ascii="Arial" w:hAnsi="Arial" w:cs="Arial"/>
        </w:rPr>
        <w:tab/>
      </w:r>
      <w:r w:rsidR="00141E4A" w:rsidRPr="00055B58">
        <w:rPr>
          <w:rFonts w:ascii="Arial" w:hAnsi="Arial" w:cs="Arial"/>
        </w:rPr>
        <w:t xml:space="preserve">In the second place, having regard to the powers and duties of curators and liquidators respectively, curatorship and liquidation cannot co-exist. Who, one might ask, would have the duty to take custody and control of the assets of the insurer and to safeguard them, should it simultaneously be under curatorship and in liquidation? This is a powerful indicator that a liquidation order may not be issued in respect of an insurer that is under curatorship. </w:t>
      </w:r>
    </w:p>
    <w:p w14:paraId="7C79C2ED" w14:textId="77777777" w:rsidR="00010C8A" w:rsidRPr="00055B58" w:rsidRDefault="00010C8A" w:rsidP="00BA0036">
      <w:pPr>
        <w:tabs>
          <w:tab w:val="left" w:pos="0"/>
        </w:tabs>
        <w:spacing w:line="360" w:lineRule="auto"/>
        <w:ind w:hanging="1800"/>
        <w:jc w:val="both"/>
        <w:rPr>
          <w:rFonts w:ascii="Arial" w:hAnsi="Arial" w:cs="Arial"/>
        </w:rPr>
      </w:pPr>
    </w:p>
    <w:p w14:paraId="6637F29C" w14:textId="699DB361" w:rsidR="00010C8A" w:rsidRPr="00055B58" w:rsidRDefault="00010C8A"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[37</w:t>
      </w:r>
      <w:r w:rsidRPr="00055B58">
        <w:rPr>
          <w:rFonts w:ascii="Arial" w:hAnsi="Arial" w:cs="Arial"/>
        </w:rPr>
        <w:t>]</w:t>
      </w:r>
      <w:r w:rsidRPr="00055B58">
        <w:rPr>
          <w:rFonts w:ascii="Arial" w:hAnsi="Arial" w:cs="Arial"/>
        </w:rPr>
        <w:tab/>
      </w:r>
      <w:r w:rsidR="00244526" w:rsidRPr="00055B58">
        <w:rPr>
          <w:rFonts w:ascii="Arial" w:hAnsi="Arial" w:cs="Arial"/>
        </w:rPr>
        <w:t xml:space="preserve"> </w:t>
      </w:r>
      <w:r w:rsidR="00141E4A" w:rsidRPr="00055B58">
        <w:rPr>
          <w:rFonts w:ascii="Arial" w:hAnsi="Arial" w:cs="Arial"/>
        </w:rPr>
        <w:t>On this basis</w:t>
      </w:r>
      <w:r w:rsidR="00A370F0" w:rsidRPr="00055B58">
        <w:rPr>
          <w:rFonts w:ascii="Arial" w:hAnsi="Arial" w:cs="Arial"/>
        </w:rPr>
        <w:t>,</w:t>
      </w:r>
      <w:r w:rsidR="00141E4A" w:rsidRPr="00055B58">
        <w:rPr>
          <w:rFonts w:ascii="Arial" w:hAnsi="Arial" w:cs="Arial"/>
        </w:rPr>
        <w:t xml:space="preserve"> there is conflict between the provisions of s 54(5) and those of s 57(1). Should the latter mean that the Prudential Authority may</w:t>
      </w:r>
      <w:r w:rsidR="00A370F0" w:rsidRPr="00055B58">
        <w:rPr>
          <w:rFonts w:ascii="Arial" w:hAnsi="Arial" w:cs="Arial"/>
        </w:rPr>
        <w:t>,</w:t>
      </w:r>
      <w:r w:rsidR="00141E4A" w:rsidRPr="00055B58">
        <w:rPr>
          <w:rFonts w:ascii="Arial" w:hAnsi="Arial" w:cs="Arial"/>
        </w:rPr>
        <w:t xml:space="preserve"> irrespective of an existing curatorship</w:t>
      </w:r>
      <w:r w:rsidR="00622EDF" w:rsidRPr="00055B58">
        <w:rPr>
          <w:rFonts w:ascii="Arial" w:hAnsi="Arial" w:cs="Arial"/>
        </w:rPr>
        <w:t>,</w:t>
      </w:r>
      <w:r w:rsidR="00141E4A" w:rsidRPr="00055B58">
        <w:rPr>
          <w:rFonts w:ascii="Arial" w:hAnsi="Arial" w:cs="Arial"/>
        </w:rPr>
        <w:t xml:space="preserve"> at any time obtain a winding-up order, s 54(5) </w:t>
      </w:r>
      <w:r w:rsidR="00263B58" w:rsidRPr="00055B58">
        <w:rPr>
          <w:rFonts w:ascii="Arial" w:hAnsi="Arial" w:cs="Arial"/>
        </w:rPr>
        <w:t>(</w:t>
      </w:r>
      <w:r w:rsidR="00141E4A" w:rsidRPr="00055B58">
        <w:rPr>
          <w:rFonts w:ascii="Arial" w:hAnsi="Arial" w:cs="Arial"/>
        </w:rPr>
        <w:t>and s 53(2)</w:t>
      </w:r>
      <w:r w:rsidR="00263B58" w:rsidRPr="00055B58">
        <w:rPr>
          <w:rFonts w:ascii="Arial" w:hAnsi="Arial" w:cs="Arial"/>
        </w:rPr>
        <w:t>)</w:t>
      </w:r>
      <w:r w:rsidR="00141E4A" w:rsidRPr="00055B58">
        <w:rPr>
          <w:rFonts w:ascii="Arial" w:hAnsi="Arial" w:cs="Arial"/>
        </w:rPr>
        <w:t xml:space="preserve"> would be rendered nugatory. That could clearly not have been intended. In my view, the answer lies in the maxim </w:t>
      </w:r>
      <w:proofErr w:type="spellStart"/>
      <w:r w:rsidR="00141E4A" w:rsidRPr="00055B58">
        <w:rPr>
          <w:rFonts w:ascii="Arial" w:hAnsi="Arial" w:cs="Arial"/>
          <w:i/>
        </w:rPr>
        <w:t>generalia</w:t>
      </w:r>
      <w:proofErr w:type="spellEnd"/>
      <w:r w:rsidR="00141E4A" w:rsidRPr="00055B58">
        <w:rPr>
          <w:rFonts w:ascii="Arial" w:hAnsi="Arial" w:cs="Arial"/>
          <w:i/>
        </w:rPr>
        <w:t xml:space="preserve"> </w:t>
      </w:r>
      <w:proofErr w:type="spellStart"/>
      <w:r w:rsidR="00141E4A" w:rsidRPr="00055B58">
        <w:rPr>
          <w:rFonts w:ascii="Arial" w:hAnsi="Arial" w:cs="Arial"/>
          <w:i/>
        </w:rPr>
        <w:t>specialibus</w:t>
      </w:r>
      <w:proofErr w:type="spellEnd"/>
      <w:r w:rsidR="00141E4A" w:rsidRPr="00055B58">
        <w:rPr>
          <w:rFonts w:ascii="Arial" w:hAnsi="Arial" w:cs="Arial"/>
          <w:i/>
        </w:rPr>
        <w:t xml:space="preserve"> non </w:t>
      </w:r>
      <w:proofErr w:type="spellStart"/>
      <w:r w:rsidR="00141E4A" w:rsidRPr="00055B58">
        <w:rPr>
          <w:rFonts w:ascii="Arial" w:hAnsi="Arial" w:cs="Arial"/>
          <w:i/>
        </w:rPr>
        <w:t>derogant</w:t>
      </w:r>
      <w:proofErr w:type="spellEnd"/>
      <w:r w:rsidR="00141E4A" w:rsidRPr="00055B58">
        <w:rPr>
          <w:rFonts w:ascii="Arial" w:hAnsi="Arial" w:cs="Arial"/>
          <w:i/>
        </w:rPr>
        <w:t xml:space="preserve">. </w:t>
      </w:r>
      <w:r w:rsidR="00141E4A" w:rsidRPr="00055B58">
        <w:rPr>
          <w:rFonts w:ascii="Arial" w:hAnsi="Arial" w:cs="Arial"/>
        </w:rPr>
        <w:t xml:space="preserve">See </w:t>
      </w:r>
      <w:r w:rsidR="00141E4A" w:rsidRPr="00055B58">
        <w:rPr>
          <w:rFonts w:ascii="Arial" w:hAnsi="Arial" w:cs="Arial"/>
          <w:i/>
        </w:rPr>
        <w:t xml:space="preserve">Sunny South Canners (Pty) Ltd v </w:t>
      </w:r>
      <w:proofErr w:type="spellStart"/>
      <w:r w:rsidR="00141E4A" w:rsidRPr="00055B58">
        <w:rPr>
          <w:rFonts w:ascii="Arial" w:hAnsi="Arial" w:cs="Arial"/>
          <w:i/>
        </w:rPr>
        <w:t>Mbangxa</w:t>
      </w:r>
      <w:proofErr w:type="spellEnd"/>
      <w:r w:rsidR="00141E4A" w:rsidRPr="00055B58">
        <w:rPr>
          <w:rFonts w:ascii="Arial" w:hAnsi="Arial" w:cs="Arial"/>
          <w:i/>
        </w:rPr>
        <w:t xml:space="preserve"> &amp; Others NNO</w:t>
      </w:r>
      <w:r w:rsidR="00141E4A" w:rsidRPr="00055B58">
        <w:rPr>
          <w:rFonts w:ascii="Arial" w:hAnsi="Arial" w:cs="Arial"/>
        </w:rPr>
        <w:t xml:space="preserve"> 2001 (2) SA 49 (SCA) para 27. The special provision (s 54(5)</w:t>
      </w:r>
      <w:r w:rsidR="00A370F0" w:rsidRPr="00055B58">
        <w:rPr>
          <w:rFonts w:ascii="Arial" w:hAnsi="Arial" w:cs="Arial"/>
        </w:rPr>
        <w:t>) limits the application of the general one (s 57(1)).</w:t>
      </w:r>
    </w:p>
    <w:p w14:paraId="31509E63" w14:textId="77777777" w:rsidR="00244526" w:rsidRPr="00055B58" w:rsidRDefault="00244526" w:rsidP="00BA0036">
      <w:pPr>
        <w:tabs>
          <w:tab w:val="left" w:pos="0"/>
        </w:tabs>
        <w:spacing w:line="360" w:lineRule="auto"/>
        <w:ind w:hanging="1800"/>
        <w:jc w:val="both"/>
        <w:rPr>
          <w:rFonts w:ascii="Arial" w:hAnsi="Arial" w:cs="Arial"/>
        </w:rPr>
      </w:pPr>
    </w:p>
    <w:p w14:paraId="2D3DA77F" w14:textId="72D8FF1F" w:rsidR="00244526" w:rsidRPr="00055B58" w:rsidRDefault="00A42335" w:rsidP="00BA0036">
      <w:pPr>
        <w:tabs>
          <w:tab w:val="left" w:pos="0"/>
        </w:tabs>
        <w:spacing w:line="360" w:lineRule="auto"/>
        <w:ind w:hanging="1800"/>
        <w:jc w:val="both"/>
        <w:rPr>
          <w:rFonts w:ascii="Arial" w:hAnsi="Arial" w:cs="Arial"/>
        </w:rPr>
      </w:pPr>
      <w:r w:rsidRPr="00055B58">
        <w:rPr>
          <w:rFonts w:ascii="Arial" w:hAnsi="Arial" w:cs="Arial"/>
        </w:rPr>
        <w:tab/>
        <w:t>[38</w:t>
      </w:r>
      <w:r w:rsidR="00244526" w:rsidRPr="00055B58">
        <w:rPr>
          <w:rFonts w:ascii="Arial" w:hAnsi="Arial" w:cs="Arial"/>
        </w:rPr>
        <w:t>]</w:t>
      </w:r>
      <w:r w:rsidR="00244526" w:rsidRPr="00055B58">
        <w:rPr>
          <w:rFonts w:ascii="Arial" w:hAnsi="Arial" w:cs="Arial"/>
        </w:rPr>
        <w:tab/>
        <w:t xml:space="preserve"> </w:t>
      </w:r>
      <w:r w:rsidR="00810309" w:rsidRPr="00055B58">
        <w:rPr>
          <w:rFonts w:ascii="Arial" w:hAnsi="Arial" w:cs="Arial"/>
        </w:rPr>
        <w:t xml:space="preserve">It follows that by reason of s 54(5), the provisional liquidation orders in respect of the insurers should not have been granted. That result should also have flowed from the provisions of para 5 of the provisional curatorship orders. It will be recalled that it provided, </w:t>
      </w:r>
      <w:r w:rsidR="00810309" w:rsidRPr="00055B58">
        <w:rPr>
          <w:rFonts w:ascii="Arial" w:hAnsi="Arial" w:cs="Arial"/>
          <w:i/>
        </w:rPr>
        <w:t>inter alia</w:t>
      </w:r>
      <w:r w:rsidR="00810309" w:rsidRPr="00055B58">
        <w:rPr>
          <w:rFonts w:ascii="Arial" w:hAnsi="Arial" w:cs="Arial"/>
        </w:rPr>
        <w:t xml:space="preserve">, that pending the return date of the order, proceedings against the insurer ‘are hereby stayed and are not to be instituted or proceeded with, without the leave of the Court’. That leave had not been obtained. </w:t>
      </w:r>
    </w:p>
    <w:p w14:paraId="3983AF0C" w14:textId="77777777" w:rsidR="00244526" w:rsidRPr="00055B58" w:rsidRDefault="00244526" w:rsidP="00BA0036">
      <w:pPr>
        <w:tabs>
          <w:tab w:val="left" w:pos="0"/>
        </w:tabs>
        <w:spacing w:line="360" w:lineRule="auto"/>
        <w:ind w:hanging="1800"/>
        <w:jc w:val="both"/>
        <w:rPr>
          <w:rFonts w:ascii="Arial" w:hAnsi="Arial" w:cs="Arial"/>
        </w:rPr>
      </w:pPr>
    </w:p>
    <w:p w14:paraId="1E54CEDD" w14:textId="69521795" w:rsidR="00244526" w:rsidRPr="00055B58" w:rsidRDefault="00244526"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[39</w:t>
      </w:r>
      <w:r w:rsidRPr="00055B58">
        <w:rPr>
          <w:rFonts w:ascii="Arial" w:hAnsi="Arial" w:cs="Arial"/>
        </w:rPr>
        <w:t>]</w:t>
      </w:r>
      <w:r w:rsidRPr="00055B58">
        <w:rPr>
          <w:rFonts w:ascii="Arial" w:hAnsi="Arial" w:cs="Arial"/>
        </w:rPr>
        <w:tab/>
      </w:r>
      <w:r w:rsidR="00810309" w:rsidRPr="00055B58">
        <w:rPr>
          <w:rFonts w:ascii="Arial" w:hAnsi="Arial" w:cs="Arial"/>
        </w:rPr>
        <w:t xml:space="preserve">In </w:t>
      </w:r>
      <w:r w:rsidR="00810309" w:rsidRPr="00055B58">
        <w:rPr>
          <w:rFonts w:ascii="Arial" w:hAnsi="Arial" w:cs="Arial"/>
          <w:i/>
        </w:rPr>
        <w:t xml:space="preserve">Born Free Investments 247 (Pty) Ltd v Pierre du Plessis </w:t>
      </w:r>
      <w:proofErr w:type="spellStart"/>
      <w:r w:rsidR="00810309" w:rsidRPr="00055B58">
        <w:rPr>
          <w:rFonts w:ascii="Arial" w:hAnsi="Arial" w:cs="Arial"/>
          <w:i/>
        </w:rPr>
        <w:t>Kriel</w:t>
      </w:r>
      <w:proofErr w:type="spellEnd"/>
      <w:r w:rsidR="00810309" w:rsidRPr="00055B58">
        <w:rPr>
          <w:rFonts w:ascii="Arial" w:hAnsi="Arial" w:cs="Arial"/>
          <w:i/>
        </w:rPr>
        <w:t xml:space="preserve"> NO</w:t>
      </w:r>
      <w:r w:rsidR="00810309" w:rsidRPr="00055B58">
        <w:rPr>
          <w:rFonts w:ascii="Arial" w:hAnsi="Arial" w:cs="Arial"/>
        </w:rPr>
        <w:t xml:space="preserve"> [2019] ZASCA 21, this court was called upon to determine the legal effect of an order that was materially the same as para 5 of the provisional curatorship orders. It reasoned as follows: </w:t>
      </w:r>
    </w:p>
    <w:p w14:paraId="1357E728" w14:textId="3CED20F4" w:rsidR="00670DA1" w:rsidRPr="00055B58" w:rsidRDefault="00670DA1" w:rsidP="00BA0036">
      <w:pPr>
        <w:tabs>
          <w:tab w:val="left" w:pos="0"/>
        </w:tabs>
        <w:spacing w:line="360" w:lineRule="auto"/>
        <w:ind w:hanging="1800"/>
        <w:jc w:val="both"/>
        <w:rPr>
          <w:rFonts w:ascii="Arial" w:hAnsi="Arial" w:cs="Arial"/>
          <w:sz w:val="22"/>
          <w:szCs w:val="22"/>
        </w:rPr>
      </w:pPr>
      <w:r w:rsidRPr="00055B58">
        <w:rPr>
          <w:rFonts w:ascii="Arial" w:hAnsi="Arial" w:cs="Arial"/>
        </w:rPr>
        <w:tab/>
      </w:r>
      <w:r w:rsidRPr="00055B58">
        <w:rPr>
          <w:rFonts w:ascii="Arial" w:hAnsi="Arial" w:cs="Arial"/>
          <w:sz w:val="22"/>
          <w:szCs w:val="22"/>
        </w:rPr>
        <w:t xml:space="preserve">‘Although paragraph 6.2 is clumsily worded, it does not state that non-compliance with its provisions would result in a nullity. To accept that failure to obtain leave of the court prior to instituting legal proceedings leads to nullity would, in my view, lead to injustice. It would also lead to inconsistency, because existing actions would be stayed, but an action instituted without prior leave would be dismissed, which seems an extreme and unnecessary result. It would be contrary to s 34 of the Constitution which provides that </w:t>
      </w:r>
      <w:r w:rsidR="00452DD5" w:rsidRPr="00055B58">
        <w:rPr>
          <w:rFonts w:ascii="Arial" w:hAnsi="Arial" w:cs="Arial"/>
          <w:sz w:val="22"/>
          <w:szCs w:val="22"/>
        </w:rPr>
        <w:t>“</w:t>
      </w:r>
      <w:r w:rsidRPr="00055B58">
        <w:rPr>
          <w:rFonts w:ascii="Arial" w:hAnsi="Arial" w:cs="Arial"/>
          <w:sz w:val="22"/>
          <w:szCs w:val="22"/>
        </w:rPr>
        <w:t>everyone has the right to have any dispute that can be resolved by the application of the law decided in a fair public hearing before a court</w:t>
      </w:r>
      <w:r w:rsidR="00452DD5" w:rsidRPr="00055B58">
        <w:rPr>
          <w:rFonts w:ascii="Arial" w:hAnsi="Arial" w:cs="Arial"/>
          <w:sz w:val="22"/>
          <w:szCs w:val="22"/>
        </w:rPr>
        <w:t>”. Suppose a creditor, oblivious to the moratorium, issued summons without obtaining the leave of the court, it would mean that it would be precluded from proceeding with its claim because its summons was a nullity for want of prior leave of the court. Such a construction, in my view, would be unjust. It seems to me that a sensible interpretation of paragraph 6.2 is that an action may not be instituted without the leave of the court, and where it has been instituted, such action should be stayed until leave is obtained.’</w:t>
      </w:r>
    </w:p>
    <w:p w14:paraId="0CD82788" w14:textId="77777777" w:rsidR="002C0B88" w:rsidRPr="00055B58" w:rsidRDefault="002C0B88" w:rsidP="00BA0036">
      <w:pPr>
        <w:tabs>
          <w:tab w:val="left" w:pos="0"/>
        </w:tabs>
        <w:spacing w:line="360" w:lineRule="auto"/>
        <w:ind w:hanging="1800"/>
        <w:jc w:val="both"/>
        <w:rPr>
          <w:rFonts w:ascii="Arial" w:hAnsi="Arial" w:cs="Arial"/>
          <w:sz w:val="22"/>
          <w:szCs w:val="22"/>
        </w:rPr>
      </w:pPr>
    </w:p>
    <w:p w14:paraId="74AE5B24" w14:textId="775719FC" w:rsidR="002C0B88" w:rsidRPr="00055B58" w:rsidRDefault="002C0B88" w:rsidP="00BA0036">
      <w:pPr>
        <w:tabs>
          <w:tab w:val="left" w:pos="0"/>
        </w:tabs>
        <w:spacing w:line="360" w:lineRule="auto"/>
        <w:ind w:hanging="1800"/>
        <w:jc w:val="both"/>
        <w:rPr>
          <w:rFonts w:ascii="Arial" w:hAnsi="Arial" w:cs="Arial"/>
        </w:rPr>
      </w:pPr>
      <w:r w:rsidRPr="00055B58">
        <w:rPr>
          <w:rFonts w:ascii="Arial" w:hAnsi="Arial" w:cs="Arial"/>
          <w:sz w:val="22"/>
          <w:szCs w:val="22"/>
        </w:rPr>
        <w:lastRenderedPageBreak/>
        <w:tab/>
      </w:r>
      <w:r w:rsidR="00A42335" w:rsidRPr="00055B58">
        <w:rPr>
          <w:rFonts w:ascii="Arial" w:hAnsi="Arial" w:cs="Arial"/>
        </w:rPr>
        <w:t>[40</w:t>
      </w:r>
      <w:r w:rsidRPr="00055B58">
        <w:rPr>
          <w:rFonts w:ascii="Arial" w:hAnsi="Arial" w:cs="Arial"/>
        </w:rPr>
        <w:t>]</w:t>
      </w:r>
      <w:r w:rsidRPr="00055B58">
        <w:rPr>
          <w:rFonts w:ascii="Arial" w:hAnsi="Arial" w:cs="Arial"/>
        </w:rPr>
        <w:tab/>
        <w:t xml:space="preserve">In my view, this reasoning is not only applicable to para 5 of the provisional curatorship orders, but also to non-compliance with s 54(5). As I have demonstrated, it does not seek to prohibit the institution of proceedings, but the commencement of business rescue or winding-up by a resolution or court order. If anything, therefore, there is </w:t>
      </w:r>
      <w:r w:rsidR="00572CF4" w:rsidRPr="00055B58">
        <w:rPr>
          <w:rFonts w:ascii="Arial" w:hAnsi="Arial" w:cs="Arial"/>
        </w:rPr>
        <w:t xml:space="preserve">a </w:t>
      </w:r>
      <w:r w:rsidRPr="00055B58">
        <w:rPr>
          <w:rFonts w:ascii="Arial" w:hAnsi="Arial" w:cs="Arial"/>
        </w:rPr>
        <w:t xml:space="preserve">clearer indication </w:t>
      </w:r>
      <w:r w:rsidR="005E3BF9" w:rsidRPr="00055B58">
        <w:rPr>
          <w:rFonts w:ascii="Arial" w:hAnsi="Arial" w:cs="Arial"/>
        </w:rPr>
        <w:t xml:space="preserve">in s 54(5) </w:t>
      </w:r>
      <w:r w:rsidRPr="00055B58">
        <w:rPr>
          <w:rFonts w:ascii="Arial" w:hAnsi="Arial" w:cs="Arial"/>
        </w:rPr>
        <w:t xml:space="preserve">that the liquidation applications were not themselves rendered null and void. The provisional liquidation orders were incompetent, but the applications for liquidation not. By operation of law, they were stayed whilst the </w:t>
      </w:r>
      <w:proofErr w:type="spellStart"/>
      <w:r w:rsidRPr="00055B58">
        <w:rPr>
          <w:rFonts w:ascii="Arial" w:hAnsi="Arial" w:cs="Arial"/>
        </w:rPr>
        <w:t>curatorships</w:t>
      </w:r>
      <w:proofErr w:type="spellEnd"/>
      <w:r w:rsidRPr="00055B58">
        <w:rPr>
          <w:rFonts w:ascii="Arial" w:hAnsi="Arial" w:cs="Arial"/>
        </w:rPr>
        <w:t xml:space="preserve"> were in place. </w:t>
      </w:r>
    </w:p>
    <w:p w14:paraId="64F8B56C" w14:textId="77777777" w:rsidR="002C0B88" w:rsidRPr="00055B58" w:rsidRDefault="002C0B88" w:rsidP="00BA0036">
      <w:pPr>
        <w:tabs>
          <w:tab w:val="left" w:pos="0"/>
        </w:tabs>
        <w:spacing w:line="360" w:lineRule="auto"/>
        <w:ind w:hanging="1800"/>
        <w:jc w:val="both"/>
        <w:rPr>
          <w:rFonts w:ascii="Arial" w:hAnsi="Arial" w:cs="Arial"/>
        </w:rPr>
      </w:pPr>
    </w:p>
    <w:p w14:paraId="2EA145BC" w14:textId="61F79276" w:rsidR="00EB3BDB" w:rsidRPr="00055B58" w:rsidRDefault="002C0B88"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[41</w:t>
      </w:r>
      <w:r w:rsidRPr="00055B58">
        <w:rPr>
          <w:rFonts w:ascii="Arial" w:hAnsi="Arial" w:cs="Arial"/>
        </w:rPr>
        <w:t>]</w:t>
      </w:r>
      <w:r w:rsidRPr="00055B58">
        <w:rPr>
          <w:rFonts w:ascii="Arial" w:hAnsi="Arial" w:cs="Arial"/>
        </w:rPr>
        <w:tab/>
        <w:t xml:space="preserve">It follows that the liquidation applications could be proceeded with once the </w:t>
      </w:r>
      <w:proofErr w:type="spellStart"/>
      <w:r w:rsidRPr="00055B58">
        <w:rPr>
          <w:rFonts w:ascii="Arial" w:hAnsi="Arial" w:cs="Arial"/>
        </w:rPr>
        <w:t>curatorships</w:t>
      </w:r>
      <w:proofErr w:type="spellEnd"/>
      <w:r w:rsidRPr="00055B58">
        <w:rPr>
          <w:rFonts w:ascii="Arial" w:hAnsi="Arial" w:cs="Arial"/>
        </w:rPr>
        <w:t xml:space="preserve"> came to an end. That, in effect, was what happened in the court a quo. The court firstly considered whether it was desirable (in terms of s 5(4) of the FIPF) to confirm the provisional curatorship orders and concluded that they should be discharged. It then proceeded to hold </w:t>
      </w:r>
      <w:r w:rsidR="00EB3BDB" w:rsidRPr="00055B58">
        <w:rPr>
          <w:rFonts w:ascii="Arial" w:hAnsi="Arial" w:cs="Arial"/>
        </w:rPr>
        <w:t>that</w:t>
      </w:r>
      <w:r w:rsidRPr="00055B58">
        <w:rPr>
          <w:rFonts w:ascii="Arial" w:hAnsi="Arial" w:cs="Arial"/>
        </w:rPr>
        <w:t xml:space="preserve"> final winding-up order</w:t>
      </w:r>
      <w:r w:rsidR="00EB3BDB" w:rsidRPr="00055B58">
        <w:rPr>
          <w:rFonts w:ascii="Arial" w:hAnsi="Arial" w:cs="Arial"/>
        </w:rPr>
        <w:t xml:space="preserve">s should be issued. </w:t>
      </w:r>
    </w:p>
    <w:p w14:paraId="37538C8D" w14:textId="77777777" w:rsidR="00EB3BDB" w:rsidRPr="00055B58" w:rsidRDefault="00EB3BDB" w:rsidP="00BA0036">
      <w:pPr>
        <w:tabs>
          <w:tab w:val="left" w:pos="0"/>
        </w:tabs>
        <w:spacing w:line="360" w:lineRule="auto"/>
        <w:ind w:hanging="1800"/>
        <w:jc w:val="both"/>
        <w:rPr>
          <w:rFonts w:ascii="Arial" w:hAnsi="Arial" w:cs="Arial"/>
        </w:rPr>
      </w:pPr>
    </w:p>
    <w:p w14:paraId="5B7150F7" w14:textId="2D2FB630" w:rsidR="002C0B88" w:rsidRPr="00055B58" w:rsidRDefault="00EB3BDB"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[42</w:t>
      </w:r>
      <w:r w:rsidRPr="00055B58">
        <w:rPr>
          <w:rFonts w:ascii="Arial" w:hAnsi="Arial" w:cs="Arial"/>
        </w:rPr>
        <w:t>]</w:t>
      </w:r>
      <w:r w:rsidRPr="00055B58">
        <w:rPr>
          <w:rFonts w:ascii="Arial" w:hAnsi="Arial" w:cs="Arial"/>
        </w:rPr>
        <w:tab/>
        <w:t xml:space="preserve"> </w:t>
      </w:r>
      <w:r w:rsidR="00AD5832" w:rsidRPr="00055B58">
        <w:rPr>
          <w:rFonts w:ascii="Arial" w:hAnsi="Arial" w:cs="Arial"/>
        </w:rPr>
        <w:t xml:space="preserve">While </w:t>
      </w:r>
      <w:r w:rsidRPr="00055B58">
        <w:rPr>
          <w:rFonts w:ascii="Arial" w:hAnsi="Arial" w:cs="Arial"/>
        </w:rPr>
        <w:t xml:space="preserve">a final winding-up order is </w:t>
      </w:r>
      <w:r w:rsidR="00AD5832" w:rsidRPr="00055B58">
        <w:rPr>
          <w:rFonts w:ascii="Arial" w:hAnsi="Arial" w:cs="Arial"/>
        </w:rPr>
        <w:t xml:space="preserve">usually </w:t>
      </w:r>
      <w:r w:rsidRPr="00055B58">
        <w:rPr>
          <w:rFonts w:ascii="Arial" w:hAnsi="Arial" w:cs="Arial"/>
        </w:rPr>
        <w:t xml:space="preserve">preceded by a provisional order and a rule </w:t>
      </w:r>
      <w:r w:rsidRPr="00055B58">
        <w:rPr>
          <w:rFonts w:ascii="Arial" w:hAnsi="Arial" w:cs="Arial"/>
          <w:i/>
        </w:rPr>
        <w:t>nisi</w:t>
      </w:r>
      <w:r w:rsidRPr="00055B58">
        <w:rPr>
          <w:rFonts w:ascii="Arial" w:hAnsi="Arial" w:cs="Arial"/>
        </w:rPr>
        <w:t>, calling upon interested parties to show cause why on the return date a final winding-up order should not be made</w:t>
      </w:r>
      <w:r w:rsidR="00AD5832" w:rsidRPr="00055B58">
        <w:rPr>
          <w:rFonts w:ascii="Arial" w:hAnsi="Arial" w:cs="Arial"/>
        </w:rPr>
        <w:t>,</w:t>
      </w:r>
      <w:r w:rsidR="00572CF4" w:rsidRPr="00055B58">
        <w:rPr>
          <w:rFonts w:ascii="Arial" w:hAnsi="Arial" w:cs="Arial"/>
        </w:rPr>
        <w:t xml:space="preserve"> that is not invariably so and</w:t>
      </w:r>
      <w:r w:rsidRPr="00055B58">
        <w:rPr>
          <w:rFonts w:ascii="Arial" w:hAnsi="Arial" w:cs="Arial"/>
        </w:rPr>
        <w:t xml:space="preserve"> valid provisional liquidation orders </w:t>
      </w:r>
      <w:r w:rsidR="00263B58" w:rsidRPr="00055B58">
        <w:rPr>
          <w:rFonts w:ascii="Arial" w:hAnsi="Arial" w:cs="Arial"/>
        </w:rPr>
        <w:t>are</w:t>
      </w:r>
      <w:r w:rsidRPr="00055B58">
        <w:rPr>
          <w:rFonts w:ascii="Arial" w:hAnsi="Arial" w:cs="Arial"/>
        </w:rPr>
        <w:t xml:space="preserve"> not prerequisit</w:t>
      </w:r>
      <w:r w:rsidR="001E1073" w:rsidRPr="00055B58">
        <w:rPr>
          <w:rFonts w:ascii="Arial" w:hAnsi="Arial" w:cs="Arial"/>
        </w:rPr>
        <w:t>es for final winding-up orders</w:t>
      </w:r>
      <w:r w:rsidRPr="00055B58">
        <w:rPr>
          <w:rFonts w:ascii="Arial" w:hAnsi="Arial" w:cs="Arial"/>
        </w:rPr>
        <w:t xml:space="preserve">. Thus, the </w:t>
      </w:r>
      <w:r w:rsidR="00572CF4" w:rsidRPr="00055B58">
        <w:rPr>
          <w:rFonts w:ascii="Arial" w:hAnsi="Arial" w:cs="Arial"/>
        </w:rPr>
        <w:t xml:space="preserve">issuance of the </w:t>
      </w:r>
      <w:r w:rsidRPr="00055B58">
        <w:rPr>
          <w:rFonts w:ascii="Arial" w:hAnsi="Arial" w:cs="Arial"/>
        </w:rPr>
        <w:t xml:space="preserve">final winding-up orders were not precluded by s 54 (5) of the Insurance Act, nor by para 5 of the provisional curatorship orders. </w:t>
      </w:r>
    </w:p>
    <w:p w14:paraId="78EEC637" w14:textId="77777777" w:rsidR="00EB3BDB" w:rsidRPr="00055B58" w:rsidRDefault="00EB3BDB" w:rsidP="00BA0036">
      <w:pPr>
        <w:tabs>
          <w:tab w:val="left" w:pos="0"/>
        </w:tabs>
        <w:spacing w:line="360" w:lineRule="auto"/>
        <w:ind w:hanging="1800"/>
        <w:jc w:val="both"/>
        <w:rPr>
          <w:rFonts w:ascii="Arial" w:hAnsi="Arial" w:cs="Arial"/>
        </w:rPr>
      </w:pPr>
    </w:p>
    <w:p w14:paraId="0F2B12E0" w14:textId="252F2E07" w:rsidR="00EB3BDB" w:rsidRPr="00055B58" w:rsidRDefault="00EB3BDB" w:rsidP="00BA0036">
      <w:pPr>
        <w:tabs>
          <w:tab w:val="left" w:pos="0"/>
        </w:tabs>
        <w:spacing w:line="360" w:lineRule="auto"/>
        <w:ind w:hanging="1800"/>
        <w:jc w:val="both"/>
        <w:rPr>
          <w:rFonts w:ascii="Arial" w:hAnsi="Arial" w:cs="Arial"/>
          <w:b/>
        </w:rPr>
      </w:pPr>
      <w:r w:rsidRPr="00055B58">
        <w:rPr>
          <w:rFonts w:ascii="Arial" w:hAnsi="Arial" w:cs="Arial"/>
        </w:rPr>
        <w:tab/>
      </w:r>
      <w:r w:rsidRPr="00055B58">
        <w:rPr>
          <w:rFonts w:ascii="Arial" w:hAnsi="Arial" w:cs="Arial"/>
          <w:b/>
        </w:rPr>
        <w:t>Duty on curator to effect recapitalisation</w:t>
      </w:r>
      <w:r w:rsidR="00263B58" w:rsidRPr="00055B58">
        <w:rPr>
          <w:rFonts w:ascii="Arial" w:hAnsi="Arial" w:cs="Arial"/>
          <w:b/>
        </w:rPr>
        <w:t>?</w:t>
      </w:r>
    </w:p>
    <w:p w14:paraId="573C99A9" w14:textId="494FD2FE" w:rsidR="00810309" w:rsidRPr="00055B58" w:rsidRDefault="00810309"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[43</w:t>
      </w:r>
      <w:r w:rsidR="00A03110" w:rsidRPr="00055B58">
        <w:rPr>
          <w:rFonts w:ascii="Arial" w:hAnsi="Arial" w:cs="Arial"/>
        </w:rPr>
        <w:t>]</w:t>
      </w:r>
      <w:r w:rsidR="00A03110" w:rsidRPr="00055B58">
        <w:rPr>
          <w:rFonts w:ascii="Arial" w:hAnsi="Arial" w:cs="Arial"/>
        </w:rPr>
        <w:tab/>
      </w:r>
      <w:proofErr w:type="spellStart"/>
      <w:r w:rsidR="00A03110" w:rsidRPr="00055B58">
        <w:rPr>
          <w:rFonts w:ascii="Arial" w:hAnsi="Arial" w:cs="Arial"/>
        </w:rPr>
        <w:t>Lebashe</w:t>
      </w:r>
      <w:proofErr w:type="spellEnd"/>
      <w:r w:rsidR="00A03110" w:rsidRPr="00055B58">
        <w:rPr>
          <w:rFonts w:ascii="Arial" w:hAnsi="Arial" w:cs="Arial"/>
        </w:rPr>
        <w:t xml:space="preserve"> complained that the liquidation of the insurers was premature, as </w:t>
      </w:r>
      <w:r w:rsidR="00263B58" w:rsidRPr="00055B58">
        <w:rPr>
          <w:rFonts w:ascii="Arial" w:hAnsi="Arial" w:cs="Arial"/>
        </w:rPr>
        <w:t>the</w:t>
      </w:r>
      <w:r w:rsidR="00A03110" w:rsidRPr="00055B58">
        <w:rPr>
          <w:rFonts w:ascii="Arial" w:hAnsi="Arial" w:cs="Arial"/>
        </w:rPr>
        <w:t xml:space="preserve"> curator had not yet reported on the steps taken by it to recapitalise them. This contention implied that the curator had a duty to do so. As I shall show, however, this contention is refuted by the text, context and purpose of the provisional curatorship orders. </w:t>
      </w:r>
    </w:p>
    <w:p w14:paraId="617B5694" w14:textId="77777777" w:rsidR="00A97F74" w:rsidRPr="00055B58" w:rsidRDefault="00A97F74" w:rsidP="00BA0036">
      <w:pPr>
        <w:tabs>
          <w:tab w:val="left" w:pos="0"/>
        </w:tabs>
        <w:spacing w:line="360" w:lineRule="auto"/>
        <w:ind w:hanging="1800"/>
        <w:jc w:val="both"/>
        <w:rPr>
          <w:rFonts w:ascii="Arial" w:hAnsi="Arial" w:cs="Arial"/>
        </w:rPr>
      </w:pPr>
    </w:p>
    <w:p w14:paraId="53B55E7B" w14:textId="38274104" w:rsidR="00A97F74" w:rsidRPr="00055B58" w:rsidRDefault="00A97F74"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[44</w:t>
      </w:r>
      <w:r w:rsidRPr="00055B58">
        <w:rPr>
          <w:rFonts w:ascii="Arial" w:hAnsi="Arial" w:cs="Arial"/>
        </w:rPr>
        <w:t>]</w:t>
      </w:r>
      <w:r w:rsidRPr="00055B58">
        <w:rPr>
          <w:rFonts w:ascii="Arial" w:hAnsi="Arial" w:cs="Arial"/>
        </w:rPr>
        <w:tab/>
        <w:t xml:space="preserve">These orders, in essence, conveyed that the curator had to take control of the businesses of the insurers, investigate their affairs and report to the high court on the stipulated topics. They said nothing about seeking or obtaining capital injections or long-term financing for the insurers. The stipulated topics themselves demonstrated that the curator was not required to do anything of the sort. </w:t>
      </w:r>
    </w:p>
    <w:p w14:paraId="07297252" w14:textId="77777777" w:rsidR="00A97F74" w:rsidRPr="00055B58" w:rsidRDefault="00A97F74" w:rsidP="00BA0036">
      <w:pPr>
        <w:tabs>
          <w:tab w:val="left" w:pos="0"/>
        </w:tabs>
        <w:spacing w:line="360" w:lineRule="auto"/>
        <w:ind w:hanging="1800"/>
        <w:jc w:val="both"/>
        <w:rPr>
          <w:rFonts w:ascii="Arial" w:hAnsi="Arial" w:cs="Arial"/>
        </w:rPr>
      </w:pPr>
    </w:p>
    <w:p w14:paraId="5C136BE9" w14:textId="7F09DCD8" w:rsidR="00A97F74" w:rsidRPr="00055B58" w:rsidRDefault="00A97F74"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[45</w:t>
      </w:r>
      <w:r w:rsidRPr="00055B58">
        <w:rPr>
          <w:rFonts w:ascii="Arial" w:hAnsi="Arial" w:cs="Arial"/>
        </w:rPr>
        <w:t>]</w:t>
      </w:r>
      <w:r w:rsidRPr="00055B58">
        <w:rPr>
          <w:rFonts w:ascii="Arial" w:hAnsi="Arial" w:cs="Arial"/>
        </w:rPr>
        <w:tab/>
      </w:r>
      <w:r w:rsidR="002B2B72" w:rsidRPr="00055B58">
        <w:rPr>
          <w:rFonts w:ascii="Arial" w:hAnsi="Arial" w:cs="Arial"/>
        </w:rPr>
        <w:t xml:space="preserve">This accorded with the provisions of s 54(2) which, as I have said, were incorporated in these orders. It is not necessary to reproduce this lengthy subsection. It suffices to say that it provided the </w:t>
      </w:r>
      <w:r w:rsidR="002B2B72" w:rsidRPr="00055B58">
        <w:rPr>
          <w:rFonts w:ascii="Arial" w:hAnsi="Arial" w:cs="Arial"/>
        </w:rPr>
        <w:lastRenderedPageBreak/>
        <w:t>curator with wide powers to manage and investigate. In terms of s 54(2)</w:t>
      </w:r>
      <w:r w:rsidR="002B2B72" w:rsidRPr="00055B58">
        <w:rPr>
          <w:rFonts w:ascii="Arial" w:hAnsi="Arial" w:cs="Arial"/>
          <w:i/>
        </w:rPr>
        <w:t>(e)</w:t>
      </w:r>
      <w:r w:rsidR="002B2B72" w:rsidRPr="00055B58">
        <w:rPr>
          <w:rFonts w:ascii="Arial" w:hAnsi="Arial" w:cs="Arial"/>
        </w:rPr>
        <w:t>, the powers vested in the curator had to be exercised ‘with a view to conserving the business’. And in terms of s 54(2)</w:t>
      </w:r>
      <w:r w:rsidR="002B2B72" w:rsidRPr="00055B58">
        <w:rPr>
          <w:rFonts w:ascii="Arial" w:hAnsi="Arial" w:cs="Arial"/>
          <w:i/>
        </w:rPr>
        <w:t>(e)</w:t>
      </w:r>
      <w:r w:rsidR="002B2B72" w:rsidRPr="00055B58">
        <w:rPr>
          <w:rFonts w:ascii="Arial" w:hAnsi="Arial" w:cs="Arial"/>
        </w:rPr>
        <w:t xml:space="preserve">(iii), it could only raise funding on behalf of the insurer with the prior approval of the Prudential Authority to provide security over the assets of the insurer. </w:t>
      </w:r>
    </w:p>
    <w:p w14:paraId="0F675C7F" w14:textId="77777777" w:rsidR="002B2B72" w:rsidRPr="00055B58" w:rsidRDefault="002B2B72" w:rsidP="00BA0036">
      <w:pPr>
        <w:tabs>
          <w:tab w:val="left" w:pos="0"/>
        </w:tabs>
        <w:spacing w:line="360" w:lineRule="auto"/>
        <w:ind w:hanging="1800"/>
        <w:jc w:val="both"/>
        <w:rPr>
          <w:rFonts w:ascii="Arial" w:hAnsi="Arial" w:cs="Arial"/>
        </w:rPr>
      </w:pPr>
    </w:p>
    <w:p w14:paraId="379D16E8" w14:textId="624C2862" w:rsidR="002B2B72" w:rsidRPr="00055B58" w:rsidRDefault="002B2B72"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[46</w:t>
      </w:r>
      <w:r w:rsidRPr="00055B58">
        <w:rPr>
          <w:rFonts w:ascii="Arial" w:hAnsi="Arial" w:cs="Arial"/>
        </w:rPr>
        <w:t>]</w:t>
      </w:r>
      <w:r w:rsidRPr="00055B58">
        <w:rPr>
          <w:rFonts w:ascii="Arial" w:hAnsi="Arial" w:cs="Arial"/>
        </w:rPr>
        <w:tab/>
      </w:r>
      <w:r w:rsidR="00852FD2" w:rsidRPr="00055B58">
        <w:rPr>
          <w:rFonts w:ascii="Arial" w:hAnsi="Arial" w:cs="Arial"/>
        </w:rPr>
        <w:t xml:space="preserve">Thus, the curatorship of the insurer was only a means to an end. By its nature it would be of temporary duration. And its purpose was not to rescue the business of the insurer. That option, as I have said, was available to the Prudential Authority under Part 3 of Chapter 9. It follows that this argument cannot be sustained. </w:t>
      </w:r>
    </w:p>
    <w:p w14:paraId="60320EF1" w14:textId="77777777" w:rsidR="00852FD2" w:rsidRPr="00055B58" w:rsidRDefault="00852FD2" w:rsidP="00BA0036">
      <w:pPr>
        <w:tabs>
          <w:tab w:val="left" w:pos="0"/>
        </w:tabs>
        <w:spacing w:line="360" w:lineRule="auto"/>
        <w:ind w:hanging="1800"/>
        <w:jc w:val="both"/>
        <w:rPr>
          <w:rFonts w:ascii="Arial" w:hAnsi="Arial" w:cs="Arial"/>
        </w:rPr>
      </w:pPr>
    </w:p>
    <w:p w14:paraId="31600267" w14:textId="4BC4B6D5" w:rsidR="00852FD2" w:rsidRPr="00055B58" w:rsidRDefault="00852FD2" w:rsidP="00BA0036">
      <w:pPr>
        <w:tabs>
          <w:tab w:val="left" w:pos="0"/>
        </w:tabs>
        <w:spacing w:line="360" w:lineRule="auto"/>
        <w:ind w:hanging="1800"/>
        <w:jc w:val="both"/>
        <w:rPr>
          <w:rFonts w:ascii="Arial" w:hAnsi="Arial" w:cs="Arial"/>
        </w:rPr>
      </w:pPr>
      <w:r w:rsidRPr="00055B58">
        <w:rPr>
          <w:rFonts w:ascii="Arial" w:hAnsi="Arial" w:cs="Arial"/>
        </w:rPr>
        <w:tab/>
      </w:r>
      <w:r w:rsidR="00A42335" w:rsidRPr="00055B58">
        <w:rPr>
          <w:rFonts w:ascii="Arial" w:hAnsi="Arial" w:cs="Arial"/>
        </w:rPr>
        <w:t>[47</w:t>
      </w:r>
      <w:r w:rsidRPr="00055B58">
        <w:rPr>
          <w:rFonts w:ascii="Arial" w:hAnsi="Arial" w:cs="Arial"/>
        </w:rPr>
        <w:t>]</w:t>
      </w:r>
      <w:r w:rsidRPr="00055B58">
        <w:rPr>
          <w:rFonts w:ascii="Arial" w:hAnsi="Arial" w:cs="Arial"/>
        </w:rPr>
        <w:tab/>
      </w:r>
      <w:r w:rsidR="000F61A3" w:rsidRPr="00055B58">
        <w:rPr>
          <w:rFonts w:ascii="Arial" w:hAnsi="Arial" w:cs="Arial"/>
        </w:rPr>
        <w:t xml:space="preserve">The appeal is dismissed with costs, including the costs of two counsel. </w:t>
      </w:r>
    </w:p>
    <w:p w14:paraId="2CA503ED" w14:textId="77777777" w:rsidR="00244526" w:rsidRPr="00055B58" w:rsidRDefault="00244526" w:rsidP="00BA0036">
      <w:pPr>
        <w:tabs>
          <w:tab w:val="left" w:pos="0"/>
        </w:tabs>
        <w:spacing w:line="360" w:lineRule="auto"/>
        <w:ind w:hanging="1800"/>
        <w:jc w:val="both"/>
        <w:rPr>
          <w:rFonts w:ascii="Arial" w:hAnsi="Arial" w:cs="Arial"/>
        </w:rPr>
      </w:pPr>
    </w:p>
    <w:p w14:paraId="3ED05351" w14:textId="7E9A8B84" w:rsidR="00073E5C" w:rsidRPr="00055B58" w:rsidRDefault="00B304FE" w:rsidP="00BA0036">
      <w:pPr>
        <w:tabs>
          <w:tab w:val="left" w:pos="0"/>
        </w:tabs>
        <w:spacing w:line="360" w:lineRule="auto"/>
        <w:ind w:hanging="1800"/>
        <w:jc w:val="both"/>
        <w:rPr>
          <w:rFonts w:ascii="Arial" w:hAnsi="Arial" w:cs="Arial"/>
        </w:rPr>
      </w:pPr>
      <w:r w:rsidRPr="00055B58">
        <w:rPr>
          <w:rFonts w:ascii="Arial" w:hAnsi="Arial" w:cs="Arial"/>
        </w:rPr>
        <w:t xml:space="preserve">  </w:t>
      </w:r>
      <w:r w:rsidR="0099602C" w:rsidRPr="00055B58">
        <w:rPr>
          <w:rFonts w:ascii="Arial" w:hAnsi="Arial" w:cs="Arial"/>
        </w:rPr>
        <w:tab/>
      </w:r>
    </w:p>
    <w:p w14:paraId="1ACA8325" w14:textId="77777777" w:rsidR="00D94001" w:rsidRPr="00055B58" w:rsidRDefault="00D94001" w:rsidP="00BA0036">
      <w:pPr>
        <w:spacing w:line="360" w:lineRule="auto"/>
        <w:contextualSpacing/>
        <w:jc w:val="right"/>
        <w:rPr>
          <w:rFonts w:ascii="Arial" w:eastAsia="MS Mincho" w:hAnsi="Arial" w:cs="Arial"/>
          <w:noProof/>
          <w:lang w:eastAsia="en-ZA"/>
        </w:rPr>
      </w:pPr>
      <w:r w:rsidRPr="00055B58">
        <w:rPr>
          <w:rFonts w:ascii="Arial" w:eastAsia="MS Mincho" w:hAnsi="Arial" w:cs="Arial"/>
          <w:noProof/>
          <w:lang w:eastAsia="en-ZA"/>
        </w:rPr>
        <w:t>_______________________</w:t>
      </w:r>
    </w:p>
    <w:p w14:paraId="6615D52A" w14:textId="77777777" w:rsidR="00D94001" w:rsidRPr="00055B58" w:rsidRDefault="00D94001" w:rsidP="00BA0036">
      <w:pPr>
        <w:spacing w:line="360" w:lineRule="auto"/>
        <w:contextualSpacing/>
        <w:jc w:val="right"/>
        <w:rPr>
          <w:rFonts w:ascii="Arial" w:eastAsia="MS Mincho" w:hAnsi="Arial" w:cs="Arial"/>
        </w:rPr>
      </w:pPr>
      <w:r w:rsidRPr="00055B58">
        <w:rPr>
          <w:rFonts w:ascii="Arial" w:eastAsia="MS Mincho" w:hAnsi="Arial" w:cs="Arial"/>
        </w:rPr>
        <w:t>C H G VAN DER MERWE</w:t>
      </w:r>
    </w:p>
    <w:p w14:paraId="6E9FAB55" w14:textId="77777777" w:rsidR="00D94001" w:rsidRPr="00055B58" w:rsidRDefault="00D94001" w:rsidP="00BA0036">
      <w:pPr>
        <w:spacing w:line="360" w:lineRule="auto"/>
        <w:contextualSpacing/>
        <w:jc w:val="right"/>
        <w:rPr>
          <w:rFonts w:ascii="Arial" w:hAnsi="Arial" w:cs="Arial"/>
          <w:i/>
        </w:rPr>
      </w:pPr>
      <w:r w:rsidRPr="00055B58">
        <w:rPr>
          <w:rFonts w:ascii="Arial" w:eastAsia="MS Mincho" w:hAnsi="Arial" w:cs="Arial"/>
        </w:rPr>
        <w:t>JUDGE OF APPEAL</w:t>
      </w:r>
    </w:p>
    <w:p w14:paraId="1A707108" w14:textId="77777777" w:rsidR="00D62D82" w:rsidRPr="00055B58" w:rsidRDefault="00D62D82" w:rsidP="00BA0036">
      <w:pPr>
        <w:spacing w:line="360" w:lineRule="auto"/>
        <w:rPr>
          <w:rFonts w:ascii="Arial" w:hAnsi="Arial" w:cs="Arial"/>
        </w:rPr>
      </w:pPr>
    </w:p>
    <w:p w14:paraId="66ACF421" w14:textId="77777777" w:rsidR="00D62D82" w:rsidRPr="00055B58" w:rsidRDefault="00D62D82" w:rsidP="00BA0036">
      <w:pPr>
        <w:spacing w:line="360" w:lineRule="auto"/>
        <w:rPr>
          <w:rFonts w:ascii="Arial" w:hAnsi="Arial" w:cs="Arial"/>
        </w:rPr>
      </w:pPr>
    </w:p>
    <w:p w14:paraId="1B2BCABE" w14:textId="77777777" w:rsidR="00751CC1" w:rsidRPr="00055B58" w:rsidRDefault="00751CC1" w:rsidP="00BA0036">
      <w:pPr>
        <w:spacing w:line="360" w:lineRule="auto"/>
        <w:rPr>
          <w:rFonts w:ascii="Arial" w:hAnsi="Arial" w:cs="Arial"/>
        </w:rPr>
      </w:pPr>
    </w:p>
    <w:p w14:paraId="54A6E23E" w14:textId="77777777" w:rsidR="00A42335" w:rsidRPr="00055B58" w:rsidRDefault="00A42335" w:rsidP="00BA0036">
      <w:pPr>
        <w:spacing w:line="360" w:lineRule="auto"/>
        <w:rPr>
          <w:rFonts w:ascii="Arial" w:hAnsi="Arial" w:cs="Arial"/>
        </w:rPr>
      </w:pPr>
    </w:p>
    <w:p w14:paraId="63CFC473" w14:textId="3CCF56A0" w:rsidR="00093030" w:rsidRPr="00055B58" w:rsidRDefault="00093030" w:rsidP="00BA0036">
      <w:pPr>
        <w:spacing w:line="360" w:lineRule="auto"/>
        <w:rPr>
          <w:rFonts w:ascii="Arial" w:hAnsi="Arial" w:cs="Arial"/>
        </w:rPr>
      </w:pPr>
      <w:r w:rsidRPr="00055B58">
        <w:rPr>
          <w:rFonts w:ascii="Arial" w:hAnsi="Arial" w:cs="Arial"/>
        </w:rPr>
        <w:t>Appearances</w:t>
      </w:r>
      <w:r w:rsidR="00A262F5" w:rsidRPr="00055B58">
        <w:rPr>
          <w:rFonts w:ascii="Arial" w:hAnsi="Arial" w:cs="Arial"/>
        </w:rPr>
        <w:t>:</w:t>
      </w:r>
      <w:r w:rsidR="00AD437A" w:rsidRPr="00055B58">
        <w:rPr>
          <w:rFonts w:ascii="Arial" w:hAnsi="Arial" w:cs="Arial"/>
        </w:rPr>
        <w:tab/>
      </w:r>
      <w:r w:rsidR="00AD437A" w:rsidRPr="00055B58">
        <w:rPr>
          <w:rFonts w:ascii="Arial" w:hAnsi="Arial" w:cs="Arial"/>
        </w:rPr>
        <w:tab/>
      </w:r>
      <w:r w:rsidR="00AD437A" w:rsidRPr="00055B58">
        <w:rPr>
          <w:rFonts w:ascii="Arial" w:hAnsi="Arial" w:cs="Arial"/>
        </w:rPr>
        <w:tab/>
      </w:r>
    </w:p>
    <w:p w14:paraId="34B06EC8" w14:textId="77777777" w:rsidR="003B40A2" w:rsidRPr="00055B58" w:rsidRDefault="003B40A2" w:rsidP="00BA0036">
      <w:pPr>
        <w:spacing w:line="360" w:lineRule="auto"/>
        <w:rPr>
          <w:rFonts w:ascii="Arial" w:hAnsi="Arial" w:cs="Arial"/>
        </w:rPr>
      </w:pPr>
    </w:p>
    <w:p w14:paraId="6F96C3EC" w14:textId="11519249" w:rsidR="003B40A2" w:rsidRPr="00055B58" w:rsidRDefault="003B40A2" w:rsidP="00BA0036">
      <w:pPr>
        <w:spacing w:line="360" w:lineRule="auto"/>
        <w:rPr>
          <w:rFonts w:ascii="Arial" w:hAnsi="Arial" w:cs="Arial"/>
        </w:rPr>
      </w:pPr>
      <w:r w:rsidRPr="00055B58">
        <w:rPr>
          <w:rFonts w:ascii="Arial" w:hAnsi="Arial" w:cs="Arial"/>
        </w:rPr>
        <w:t>For appellant:</w:t>
      </w:r>
      <w:r w:rsidRPr="00055B58">
        <w:rPr>
          <w:rFonts w:ascii="Arial" w:hAnsi="Arial" w:cs="Arial"/>
        </w:rPr>
        <w:tab/>
      </w:r>
      <w:r w:rsidR="00432F90" w:rsidRPr="00055B58">
        <w:rPr>
          <w:rFonts w:ascii="Arial" w:hAnsi="Arial" w:cs="Arial"/>
        </w:rPr>
        <w:tab/>
      </w:r>
      <w:r w:rsidR="00257896" w:rsidRPr="00055B58">
        <w:rPr>
          <w:rFonts w:ascii="Arial" w:hAnsi="Arial" w:cs="Arial"/>
        </w:rPr>
        <w:tab/>
      </w:r>
      <w:r w:rsidR="00D71CBA" w:rsidRPr="00055B58">
        <w:rPr>
          <w:rFonts w:ascii="Arial" w:hAnsi="Arial" w:cs="Arial"/>
        </w:rPr>
        <w:t xml:space="preserve">T J B </w:t>
      </w:r>
      <w:proofErr w:type="spellStart"/>
      <w:r w:rsidR="00D71CBA" w:rsidRPr="00055B58">
        <w:rPr>
          <w:rFonts w:ascii="Arial" w:hAnsi="Arial" w:cs="Arial"/>
        </w:rPr>
        <w:t>Bokaba</w:t>
      </w:r>
      <w:proofErr w:type="spellEnd"/>
      <w:r w:rsidR="00D71CBA" w:rsidRPr="00055B58">
        <w:rPr>
          <w:rFonts w:ascii="Arial" w:hAnsi="Arial" w:cs="Arial"/>
        </w:rPr>
        <w:t xml:space="preserve"> SC and A C McKenzie</w:t>
      </w:r>
    </w:p>
    <w:p w14:paraId="05E729B4" w14:textId="74BAC3D8" w:rsidR="003B40A2" w:rsidRPr="00055B58" w:rsidRDefault="00432F90" w:rsidP="00BA0036">
      <w:pPr>
        <w:spacing w:line="360" w:lineRule="auto"/>
        <w:rPr>
          <w:rFonts w:ascii="Arial" w:hAnsi="Arial" w:cs="Arial"/>
          <w:bCs/>
        </w:rPr>
      </w:pPr>
      <w:r w:rsidRPr="00055B58">
        <w:rPr>
          <w:rFonts w:ascii="Arial" w:hAnsi="Arial" w:cs="Arial"/>
          <w:bCs/>
        </w:rPr>
        <w:t>Instructed by:</w:t>
      </w:r>
      <w:r w:rsidRPr="00055B58">
        <w:rPr>
          <w:rFonts w:ascii="Arial" w:hAnsi="Arial" w:cs="Arial"/>
          <w:bCs/>
        </w:rPr>
        <w:tab/>
      </w:r>
      <w:r w:rsidRPr="00055B58">
        <w:rPr>
          <w:rFonts w:ascii="Arial" w:hAnsi="Arial" w:cs="Arial"/>
          <w:bCs/>
        </w:rPr>
        <w:tab/>
      </w:r>
      <w:r w:rsidR="003B40A2" w:rsidRPr="00055B58">
        <w:rPr>
          <w:rFonts w:ascii="Arial" w:hAnsi="Arial" w:cs="Arial"/>
          <w:bCs/>
        </w:rPr>
        <w:t xml:space="preserve"> </w:t>
      </w:r>
      <w:r w:rsidR="00B84DB2" w:rsidRPr="00055B58">
        <w:rPr>
          <w:rFonts w:ascii="Arial" w:hAnsi="Arial" w:cs="Arial"/>
          <w:bCs/>
        </w:rPr>
        <w:tab/>
      </w:r>
      <w:r w:rsidR="000C6FA9" w:rsidRPr="00055B58">
        <w:rPr>
          <w:rFonts w:ascii="Arial" w:hAnsi="Arial" w:cs="Arial"/>
          <w:bCs/>
        </w:rPr>
        <w:t>Rams</w:t>
      </w:r>
      <w:r w:rsidR="00EA054A" w:rsidRPr="00055B58">
        <w:rPr>
          <w:rFonts w:ascii="Arial" w:hAnsi="Arial" w:cs="Arial"/>
          <w:bCs/>
        </w:rPr>
        <w:t xml:space="preserve"> </w:t>
      </w:r>
      <w:r w:rsidR="00D97CA9" w:rsidRPr="00055B58">
        <w:rPr>
          <w:rFonts w:ascii="Arial" w:hAnsi="Arial" w:cs="Arial"/>
          <w:bCs/>
        </w:rPr>
        <w:t>Attorneys</w:t>
      </w:r>
      <w:r w:rsidR="00751CC1" w:rsidRPr="00055B58">
        <w:rPr>
          <w:rFonts w:ascii="Arial" w:hAnsi="Arial" w:cs="Arial"/>
          <w:bCs/>
        </w:rPr>
        <w:t xml:space="preserve">, </w:t>
      </w:r>
      <w:proofErr w:type="spellStart"/>
      <w:r w:rsidR="00D97CA9" w:rsidRPr="00055B58">
        <w:rPr>
          <w:rFonts w:ascii="Arial" w:hAnsi="Arial" w:cs="Arial"/>
          <w:bCs/>
        </w:rPr>
        <w:t>Sandton</w:t>
      </w:r>
      <w:proofErr w:type="spellEnd"/>
    </w:p>
    <w:p w14:paraId="10378056" w14:textId="3A387AFE" w:rsidR="003B40A2" w:rsidRPr="00055B58" w:rsidRDefault="009F57D6" w:rsidP="00BA0036">
      <w:pPr>
        <w:spacing w:line="360" w:lineRule="auto"/>
        <w:rPr>
          <w:rFonts w:ascii="Arial" w:hAnsi="Arial" w:cs="Arial"/>
          <w:bCs/>
        </w:rPr>
      </w:pPr>
      <w:r w:rsidRPr="00055B58">
        <w:rPr>
          <w:rFonts w:ascii="Arial" w:hAnsi="Arial" w:cs="Arial"/>
          <w:bCs/>
        </w:rPr>
        <w:tab/>
      </w:r>
      <w:r w:rsidR="00B625EE" w:rsidRPr="00055B58">
        <w:rPr>
          <w:rFonts w:ascii="Arial" w:hAnsi="Arial" w:cs="Arial"/>
          <w:bCs/>
        </w:rPr>
        <w:tab/>
      </w:r>
      <w:r w:rsidR="00B625EE" w:rsidRPr="00055B58">
        <w:rPr>
          <w:rFonts w:ascii="Arial" w:hAnsi="Arial" w:cs="Arial"/>
          <w:bCs/>
        </w:rPr>
        <w:tab/>
      </w:r>
      <w:r w:rsidR="00257896" w:rsidRPr="00055B58">
        <w:rPr>
          <w:rFonts w:ascii="Arial" w:hAnsi="Arial" w:cs="Arial"/>
          <w:bCs/>
        </w:rPr>
        <w:tab/>
      </w:r>
      <w:r w:rsidR="0091347C" w:rsidRPr="00055B58">
        <w:rPr>
          <w:rFonts w:ascii="Arial" w:hAnsi="Arial" w:cs="Arial"/>
          <w:bCs/>
        </w:rPr>
        <w:t>Honey Attorneys</w:t>
      </w:r>
      <w:r w:rsidR="00855DDC" w:rsidRPr="00055B58">
        <w:rPr>
          <w:rFonts w:ascii="Arial" w:hAnsi="Arial" w:cs="Arial"/>
          <w:bCs/>
        </w:rPr>
        <w:t xml:space="preserve">, </w:t>
      </w:r>
      <w:r w:rsidR="003B40A2" w:rsidRPr="00055B58">
        <w:rPr>
          <w:rFonts w:ascii="Arial" w:hAnsi="Arial" w:cs="Arial"/>
          <w:bCs/>
        </w:rPr>
        <w:t>Bloemfontein</w:t>
      </w:r>
      <w:r w:rsidR="002D4AB6" w:rsidRPr="00055B58">
        <w:rPr>
          <w:rFonts w:ascii="Arial" w:hAnsi="Arial" w:cs="Arial"/>
          <w:bCs/>
        </w:rPr>
        <w:t>.</w:t>
      </w:r>
    </w:p>
    <w:p w14:paraId="3C432195" w14:textId="77777777" w:rsidR="003B40A2" w:rsidRPr="00055B58" w:rsidRDefault="003B40A2" w:rsidP="00BA0036">
      <w:pPr>
        <w:spacing w:line="360" w:lineRule="auto"/>
        <w:rPr>
          <w:rFonts w:ascii="Arial" w:hAnsi="Arial" w:cs="Arial"/>
          <w:bCs/>
        </w:rPr>
      </w:pPr>
      <w:r w:rsidRPr="00055B58">
        <w:rPr>
          <w:rFonts w:ascii="Arial" w:hAnsi="Arial" w:cs="Arial"/>
          <w:bCs/>
        </w:rPr>
        <w:t xml:space="preserve"> </w:t>
      </w:r>
    </w:p>
    <w:p w14:paraId="766C2FC3" w14:textId="14A28515" w:rsidR="003B40A2" w:rsidRPr="00055B58" w:rsidRDefault="003B40A2" w:rsidP="00BA0036">
      <w:pPr>
        <w:spacing w:line="360" w:lineRule="auto"/>
        <w:rPr>
          <w:rFonts w:ascii="Arial" w:hAnsi="Arial" w:cs="Arial"/>
        </w:rPr>
      </w:pPr>
      <w:r w:rsidRPr="00055B58">
        <w:rPr>
          <w:rFonts w:ascii="Arial" w:hAnsi="Arial" w:cs="Arial"/>
        </w:rPr>
        <w:t>For</w:t>
      </w:r>
      <w:r w:rsidR="00432F90" w:rsidRPr="00055B58">
        <w:rPr>
          <w:rFonts w:ascii="Arial" w:hAnsi="Arial" w:cs="Arial"/>
        </w:rPr>
        <w:t xml:space="preserve"> </w:t>
      </w:r>
      <w:r w:rsidR="0055377F" w:rsidRPr="00055B58">
        <w:rPr>
          <w:rFonts w:ascii="Arial" w:hAnsi="Arial" w:cs="Arial"/>
        </w:rPr>
        <w:t xml:space="preserve">first </w:t>
      </w:r>
      <w:r w:rsidRPr="00055B58">
        <w:rPr>
          <w:rFonts w:ascii="Arial" w:hAnsi="Arial" w:cs="Arial"/>
        </w:rPr>
        <w:t>respondent:</w:t>
      </w:r>
      <w:r w:rsidRPr="00055B58">
        <w:rPr>
          <w:rFonts w:ascii="Arial" w:hAnsi="Arial" w:cs="Arial"/>
        </w:rPr>
        <w:tab/>
      </w:r>
      <w:r w:rsidR="00B625EE" w:rsidRPr="00055B58">
        <w:rPr>
          <w:rFonts w:ascii="Arial" w:hAnsi="Arial" w:cs="Arial"/>
        </w:rPr>
        <w:tab/>
      </w:r>
      <w:r w:rsidR="00D71CBA" w:rsidRPr="00055B58">
        <w:rPr>
          <w:rFonts w:ascii="Arial" w:hAnsi="Arial" w:cs="Arial"/>
        </w:rPr>
        <w:t xml:space="preserve">A E </w:t>
      </w:r>
      <w:proofErr w:type="spellStart"/>
      <w:r w:rsidR="00D71CBA" w:rsidRPr="00055B58">
        <w:rPr>
          <w:rFonts w:ascii="Arial" w:hAnsi="Arial" w:cs="Arial"/>
        </w:rPr>
        <w:t>Bham</w:t>
      </w:r>
      <w:proofErr w:type="spellEnd"/>
      <w:r w:rsidR="00D71CBA" w:rsidRPr="00055B58">
        <w:rPr>
          <w:rFonts w:ascii="Arial" w:hAnsi="Arial" w:cs="Arial"/>
        </w:rPr>
        <w:t xml:space="preserve"> SC and J E Smit</w:t>
      </w:r>
      <w:r w:rsidR="00257896" w:rsidRPr="00055B58">
        <w:rPr>
          <w:rFonts w:ascii="Arial" w:hAnsi="Arial" w:cs="Arial"/>
        </w:rPr>
        <w:tab/>
      </w:r>
    </w:p>
    <w:p w14:paraId="2F71357D" w14:textId="37AB0AB3" w:rsidR="00F2439E" w:rsidRPr="00055B58" w:rsidRDefault="003B40A2" w:rsidP="00BA0036">
      <w:pPr>
        <w:spacing w:line="360" w:lineRule="auto"/>
        <w:rPr>
          <w:rFonts w:ascii="Arial" w:hAnsi="Arial" w:cs="Arial"/>
          <w:bCs/>
        </w:rPr>
      </w:pPr>
      <w:r w:rsidRPr="00055B58">
        <w:rPr>
          <w:rFonts w:ascii="Arial" w:hAnsi="Arial" w:cs="Arial"/>
          <w:bCs/>
        </w:rPr>
        <w:t>Instructed by:</w:t>
      </w:r>
      <w:r w:rsidRPr="00055B58">
        <w:rPr>
          <w:rFonts w:ascii="Arial" w:hAnsi="Arial" w:cs="Arial"/>
          <w:bCs/>
        </w:rPr>
        <w:tab/>
      </w:r>
      <w:r w:rsidR="00432F90" w:rsidRPr="00055B58">
        <w:rPr>
          <w:rFonts w:ascii="Arial" w:hAnsi="Arial" w:cs="Arial"/>
          <w:bCs/>
        </w:rPr>
        <w:tab/>
      </w:r>
      <w:r w:rsidR="00B84DB2" w:rsidRPr="00055B58">
        <w:rPr>
          <w:rFonts w:ascii="Arial" w:hAnsi="Arial" w:cs="Arial"/>
          <w:bCs/>
        </w:rPr>
        <w:tab/>
      </w:r>
      <w:proofErr w:type="spellStart"/>
      <w:r w:rsidR="00EA054A" w:rsidRPr="00055B58">
        <w:rPr>
          <w:rFonts w:ascii="Arial" w:hAnsi="Arial" w:cs="Arial"/>
          <w:bCs/>
        </w:rPr>
        <w:t>Werksmans</w:t>
      </w:r>
      <w:proofErr w:type="spellEnd"/>
      <w:r w:rsidR="00EA054A" w:rsidRPr="00055B58">
        <w:rPr>
          <w:rFonts w:ascii="Arial" w:hAnsi="Arial" w:cs="Arial"/>
          <w:bCs/>
        </w:rPr>
        <w:t xml:space="preserve"> Attorneys, </w:t>
      </w:r>
      <w:proofErr w:type="spellStart"/>
      <w:r w:rsidR="00EA054A" w:rsidRPr="00055B58">
        <w:rPr>
          <w:rFonts w:ascii="Arial" w:hAnsi="Arial" w:cs="Arial"/>
          <w:bCs/>
        </w:rPr>
        <w:t>Sandton</w:t>
      </w:r>
      <w:proofErr w:type="spellEnd"/>
    </w:p>
    <w:p w14:paraId="251DDABF" w14:textId="078919CE" w:rsidR="003B40A2" w:rsidRPr="00055B58" w:rsidRDefault="00855DDC" w:rsidP="00BA0036">
      <w:pPr>
        <w:spacing w:line="360" w:lineRule="auto"/>
        <w:rPr>
          <w:rFonts w:ascii="Arial" w:hAnsi="Arial" w:cs="Arial"/>
          <w:bCs/>
        </w:rPr>
      </w:pPr>
      <w:r w:rsidRPr="00055B58">
        <w:rPr>
          <w:rFonts w:ascii="Arial" w:hAnsi="Arial" w:cs="Arial"/>
          <w:bCs/>
        </w:rPr>
        <w:tab/>
      </w:r>
      <w:r w:rsidRPr="00055B58">
        <w:rPr>
          <w:rFonts w:ascii="Arial" w:hAnsi="Arial" w:cs="Arial"/>
          <w:bCs/>
        </w:rPr>
        <w:tab/>
      </w:r>
      <w:r w:rsidRPr="00055B58">
        <w:rPr>
          <w:rFonts w:ascii="Arial" w:hAnsi="Arial" w:cs="Arial"/>
          <w:bCs/>
        </w:rPr>
        <w:tab/>
      </w:r>
      <w:r w:rsidRPr="00055B58">
        <w:rPr>
          <w:rFonts w:ascii="Arial" w:hAnsi="Arial" w:cs="Arial"/>
          <w:bCs/>
        </w:rPr>
        <w:tab/>
      </w:r>
      <w:r w:rsidR="0091347C" w:rsidRPr="00055B58">
        <w:rPr>
          <w:rFonts w:ascii="Arial" w:hAnsi="Arial" w:cs="Arial"/>
          <w:bCs/>
        </w:rPr>
        <w:t xml:space="preserve">Symington &amp; De </w:t>
      </w:r>
      <w:proofErr w:type="spellStart"/>
      <w:r w:rsidR="0091347C" w:rsidRPr="00055B58">
        <w:rPr>
          <w:rFonts w:ascii="Arial" w:hAnsi="Arial" w:cs="Arial"/>
          <w:bCs/>
        </w:rPr>
        <w:t>Kok</w:t>
      </w:r>
      <w:proofErr w:type="spellEnd"/>
      <w:r w:rsidRPr="00055B58">
        <w:rPr>
          <w:rFonts w:ascii="Arial" w:hAnsi="Arial" w:cs="Arial"/>
          <w:bCs/>
        </w:rPr>
        <w:t xml:space="preserve">, </w:t>
      </w:r>
      <w:r w:rsidR="003B40A2" w:rsidRPr="00055B58">
        <w:rPr>
          <w:rFonts w:ascii="Arial" w:hAnsi="Arial" w:cs="Arial"/>
          <w:bCs/>
        </w:rPr>
        <w:t>Bloemfontein</w:t>
      </w:r>
      <w:r w:rsidR="00C1799A" w:rsidRPr="00055B58">
        <w:rPr>
          <w:rFonts w:ascii="Arial" w:hAnsi="Arial" w:cs="Arial"/>
          <w:bCs/>
        </w:rPr>
        <w:t>.</w:t>
      </w:r>
    </w:p>
    <w:p w14:paraId="1282B63F" w14:textId="77777777" w:rsidR="000F0C58" w:rsidRPr="00055B58" w:rsidRDefault="000F0C58" w:rsidP="00BA0036">
      <w:pPr>
        <w:spacing w:line="360" w:lineRule="auto"/>
        <w:rPr>
          <w:rFonts w:ascii="Arial" w:hAnsi="Arial" w:cs="Arial"/>
          <w:bCs/>
        </w:rPr>
      </w:pPr>
    </w:p>
    <w:p w14:paraId="0CD06EBB" w14:textId="629E68D7" w:rsidR="000F0C58" w:rsidRPr="00055B58" w:rsidRDefault="000F0C58" w:rsidP="00BA0036">
      <w:pPr>
        <w:spacing w:line="360" w:lineRule="auto"/>
        <w:rPr>
          <w:rFonts w:ascii="Arial" w:hAnsi="Arial" w:cs="Arial"/>
          <w:bCs/>
        </w:rPr>
      </w:pPr>
      <w:r w:rsidRPr="00055B58">
        <w:rPr>
          <w:rFonts w:ascii="Arial" w:hAnsi="Arial" w:cs="Arial"/>
          <w:bCs/>
        </w:rPr>
        <w:tab/>
      </w:r>
      <w:r w:rsidRPr="00055B58">
        <w:rPr>
          <w:rFonts w:ascii="Arial" w:hAnsi="Arial" w:cs="Arial"/>
          <w:bCs/>
        </w:rPr>
        <w:tab/>
      </w:r>
      <w:r w:rsidRPr="00055B58">
        <w:rPr>
          <w:rFonts w:ascii="Arial" w:hAnsi="Arial" w:cs="Arial"/>
          <w:bCs/>
        </w:rPr>
        <w:tab/>
      </w:r>
      <w:r w:rsidRPr="00055B58">
        <w:rPr>
          <w:rFonts w:ascii="Arial" w:hAnsi="Arial" w:cs="Arial"/>
          <w:bCs/>
        </w:rPr>
        <w:tab/>
      </w:r>
    </w:p>
    <w:p w14:paraId="15D70EE6" w14:textId="77777777" w:rsidR="0091347C" w:rsidRPr="00055B58" w:rsidRDefault="0091347C" w:rsidP="00BA0036">
      <w:pPr>
        <w:spacing w:line="360" w:lineRule="auto"/>
        <w:rPr>
          <w:rFonts w:ascii="Arial" w:hAnsi="Arial" w:cs="Arial"/>
          <w:bCs/>
        </w:rPr>
      </w:pPr>
    </w:p>
    <w:p w14:paraId="0540B75E" w14:textId="77777777" w:rsidR="004F05EE" w:rsidRPr="00055B58" w:rsidRDefault="004F05EE" w:rsidP="00BA0036">
      <w:pPr>
        <w:spacing w:line="360" w:lineRule="auto"/>
        <w:rPr>
          <w:rFonts w:ascii="Arial" w:hAnsi="Arial" w:cs="Arial"/>
          <w:bCs/>
        </w:rPr>
      </w:pPr>
    </w:p>
    <w:sectPr w:rsidR="004F05EE" w:rsidRPr="00055B58" w:rsidSect="00A22E13">
      <w:headerReference w:type="even" r:id="rId9"/>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EAD9" w14:textId="77777777" w:rsidR="005C425B" w:rsidRDefault="005C425B">
      <w:r>
        <w:separator/>
      </w:r>
    </w:p>
  </w:endnote>
  <w:endnote w:type="continuationSeparator" w:id="0">
    <w:p w14:paraId="41F07A2B" w14:textId="77777777" w:rsidR="005C425B" w:rsidRDefault="005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67E7" w14:textId="77777777" w:rsidR="005C425B" w:rsidRDefault="005C425B">
      <w:r>
        <w:separator/>
      </w:r>
    </w:p>
  </w:footnote>
  <w:footnote w:type="continuationSeparator" w:id="0">
    <w:p w14:paraId="5DA948CF" w14:textId="77777777" w:rsidR="005C425B" w:rsidRDefault="005C4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141E4A" w:rsidRDefault="00141E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141E4A" w:rsidRDefault="00141E4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3642"/>
      <w:docPartObj>
        <w:docPartGallery w:val="Page Numbers (Top of Page)"/>
        <w:docPartUnique/>
      </w:docPartObj>
    </w:sdtPr>
    <w:sdtEndPr>
      <w:rPr>
        <w:noProof/>
      </w:rPr>
    </w:sdtEndPr>
    <w:sdtContent>
      <w:p w14:paraId="7FD50DC9" w14:textId="4E339CC0" w:rsidR="00141E4A" w:rsidRDefault="00141E4A">
        <w:pPr>
          <w:pStyle w:val="Header"/>
          <w:jc w:val="right"/>
        </w:pPr>
        <w:r>
          <w:fldChar w:fldCharType="begin"/>
        </w:r>
        <w:r>
          <w:instrText xml:space="preserve"> PAGE   \* MERGEFORMAT </w:instrText>
        </w:r>
        <w:r>
          <w:fldChar w:fldCharType="separate"/>
        </w:r>
        <w:r w:rsidR="00A22E13">
          <w:rPr>
            <w:noProof/>
          </w:rPr>
          <w:t>14</w:t>
        </w:r>
        <w:r>
          <w:rPr>
            <w:noProof/>
          </w:rPr>
          <w:fldChar w:fldCharType="end"/>
        </w:r>
      </w:p>
    </w:sdtContent>
  </w:sdt>
  <w:p w14:paraId="1609F8FE" w14:textId="77777777" w:rsidR="00141E4A" w:rsidRPr="00E90B15" w:rsidRDefault="00141E4A">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EC3"/>
    <w:multiLevelType w:val="hybridMultilevel"/>
    <w:tmpl w:val="81CE3236"/>
    <w:lvl w:ilvl="0" w:tplc="36B41106">
      <w:start w:val="1"/>
      <w:numFmt w:val="decimal"/>
      <w:lvlText w:val="%1"/>
      <w:lvlJc w:val="left"/>
      <w:pPr>
        <w:ind w:left="1155" w:hanging="7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0E00A0"/>
    <w:multiLevelType w:val="hybridMultilevel"/>
    <w:tmpl w:val="4CF4C5D4"/>
    <w:lvl w:ilvl="0" w:tplc="AF7492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3E2A7D"/>
    <w:multiLevelType w:val="hybridMultilevel"/>
    <w:tmpl w:val="66FE74B4"/>
    <w:lvl w:ilvl="0" w:tplc="8A8461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476F"/>
    <w:multiLevelType w:val="hybridMultilevel"/>
    <w:tmpl w:val="F2288D8C"/>
    <w:lvl w:ilvl="0" w:tplc="3D1CB9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65500"/>
    <w:multiLevelType w:val="hybridMultilevel"/>
    <w:tmpl w:val="913298EC"/>
    <w:lvl w:ilvl="0" w:tplc="A77CBF7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8"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233D78"/>
    <w:multiLevelType w:val="hybridMultilevel"/>
    <w:tmpl w:val="6D749706"/>
    <w:lvl w:ilvl="0" w:tplc="358A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03575B"/>
    <w:multiLevelType w:val="hybridMultilevel"/>
    <w:tmpl w:val="3B3A7E88"/>
    <w:lvl w:ilvl="0" w:tplc="BC5489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6E0302"/>
    <w:multiLevelType w:val="hybridMultilevel"/>
    <w:tmpl w:val="6DF025FC"/>
    <w:lvl w:ilvl="0" w:tplc="A308E358">
      <w:start w:val="1"/>
      <w:numFmt w:val="decimal"/>
      <w:lvlText w:val="%1"/>
      <w:lvlJc w:val="left"/>
      <w:pPr>
        <w:ind w:left="502" w:hanging="360"/>
      </w:pPr>
      <w:rPr>
        <w:rFonts w:hint="default"/>
        <w:color w:val="auto"/>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3AA45D2"/>
    <w:multiLevelType w:val="hybridMultilevel"/>
    <w:tmpl w:val="896C5D0C"/>
    <w:lvl w:ilvl="0" w:tplc="BCA8FEAA">
      <w:start w:val="1"/>
      <w:numFmt w:val="decimal"/>
      <w:lvlText w:val="%1"/>
      <w:lvlJc w:val="left"/>
      <w:pPr>
        <w:ind w:left="1611" w:hanging="360"/>
      </w:pPr>
      <w:rPr>
        <w:rFonts w:hint="default"/>
      </w:rPr>
    </w:lvl>
    <w:lvl w:ilvl="1" w:tplc="1C090019">
      <w:start w:val="1"/>
      <w:numFmt w:val="lowerLetter"/>
      <w:lvlText w:val="%2."/>
      <w:lvlJc w:val="left"/>
      <w:pPr>
        <w:ind w:left="2331" w:hanging="360"/>
      </w:pPr>
    </w:lvl>
    <w:lvl w:ilvl="2" w:tplc="1C09001B" w:tentative="1">
      <w:start w:val="1"/>
      <w:numFmt w:val="lowerRoman"/>
      <w:lvlText w:val="%3."/>
      <w:lvlJc w:val="right"/>
      <w:pPr>
        <w:ind w:left="3051" w:hanging="180"/>
      </w:pPr>
    </w:lvl>
    <w:lvl w:ilvl="3" w:tplc="1C09000F" w:tentative="1">
      <w:start w:val="1"/>
      <w:numFmt w:val="decimal"/>
      <w:lvlText w:val="%4."/>
      <w:lvlJc w:val="left"/>
      <w:pPr>
        <w:ind w:left="3771" w:hanging="360"/>
      </w:pPr>
    </w:lvl>
    <w:lvl w:ilvl="4" w:tplc="1C090019" w:tentative="1">
      <w:start w:val="1"/>
      <w:numFmt w:val="lowerLetter"/>
      <w:lvlText w:val="%5."/>
      <w:lvlJc w:val="left"/>
      <w:pPr>
        <w:ind w:left="4491" w:hanging="360"/>
      </w:pPr>
    </w:lvl>
    <w:lvl w:ilvl="5" w:tplc="1C09001B" w:tentative="1">
      <w:start w:val="1"/>
      <w:numFmt w:val="lowerRoman"/>
      <w:lvlText w:val="%6."/>
      <w:lvlJc w:val="right"/>
      <w:pPr>
        <w:ind w:left="5211" w:hanging="180"/>
      </w:pPr>
    </w:lvl>
    <w:lvl w:ilvl="6" w:tplc="1C09000F" w:tentative="1">
      <w:start w:val="1"/>
      <w:numFmt w:val="decimal"/>
      <w:lvlText w:val="%7."/>
      <w:lvlJc w:val="left"/>
      <w:pPr>
        <w:ind w:left="5931" w:hanging="360"/>
      </w:pPr>
    </w:lvl>
    <w:lvl w:ilvl="7" w:tplc="1C090019" w:tentative="1">
      <w:start w:val="1"/>
      <w:numFmt w:val="lowerLetter"/>
      <w:lvlText w:val="%8."/>
      <w:lvlJc w:val="left"/>
      <w:pPr>
        <w:ind w:left="6651" w:hanging="360"/>
      </w:pPr>
    </w:lvl>
    <w:lvl w:ilvl="8" w:tplc="1C09001B" w:tentative="1">
      <w:start w:val="1"/>
      <w:numFmt w:val="lowerRoman"/>
      <w:lvlText w:val="%9."/>
      <w:lvlJc w:val="right"/>
      <w:pPr>
        <w:ind w:left="7371" w:hanging="180"/>
      </w:pPr>
    </w:lvl>
  </w:abstractNum>
  <w:abstractNum w:abstractNumId="17"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8E236C9"/>
    <w:multiLevelType w:val="hybridMultilevel"/>
    <w:tmpl w:val="9BC8B5BC"/>
    <w:lvl w:ilvl="0" w:tplc="4AD65BA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B0433"/>
    <w:multiLevelType w:val="hybridMultilevel"/>
    <w:tmpl w:val="03785A26"/>
    <w:lvl w:ilvl="0" w:tplc="358A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4"/>
  </w:num>
  <w:num w:numId="4">
    <w:abstractNumId w:val="17"/>
  </w:num>
  <w:num w:numId="5">
    <w:abstractNumId w:val="13"/>
  </w:num>
  <w:num w:numId="6">
    <w:abstractNumId w:val="8"/>
  </w:num>
  <w:num w:numId="7">
    <w:abstractNumId w:val="11"/>
  </w:num>
  <w:num w:numId="8">
    <w:abstractNumId w:val="6"/>
  </w:num>
  <w:num w:numId="9">
    <w:abstractNumId w:val="15"/>
  </w:num>
  <w:num w:numId="10">
    <w:abstractNumId w:val="18"/>
  </w:num>
  <w:num w:numId="11">
    <w:abstractNumId w:val="7"/>
  </w:num>
  <w:num w:numId="12">
    <w:abstractNumId w:val="5"/>
  </w:num>
  <w:num w:numId="13">
    <w:abstractNumId w:val="10"/>
  </w:num>
  <w:num w:numId="14">
    <w:abstractNumId w:val="4"/>
  </w:num>
  <w:num w:numId="15">
    <w:abstractNumId w:val="19"/>
  </w:num>
  <w:num w:numId="16">
    <w:abstractNumId w:val="2"/>
  </w:num>
  <w:num w:numId="17">
    <w:abstractNumId w:val="9"/>
  </w:num>
  <w:num w:numId="18">
    <w:abstractNumId w:val="1"/>
  </w:num>
  <w:num w:numId="19">
    <w:abstractNumId w:val="21"/>
  </w:num>
  <w:num w:numId="20">
    <w:abstractNumId w:val="12"/>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DF"/>
    <w:rsid w:val="00001193"/>
    <w:rsid w:val="00001DB0"/>
    <w:rsid w:val="000049B7"/>
    <w:rsid w:val="00004A38"/>
    <w:rsid w:val="00005095"/>
    <w:rsid w:val="0000616B"/>
    <w:rsid w:val="00006C1C"/>
    <w:rsid w:val="00006F6B"/>
    <w:rsid w:val="0000710D"/>
    <w:rsid w:val="00010C8A"/>
    <w:rsid w:val="00011532"/>
    <w:rsid w:val="0001358D"/>
    <w:rsid w:val="00013602"/>
    <w:rsid w:val="00023D16"/>
    <w:rsid w:val="0002608C"/>
    <w:rsid w:val="00026214"/>
    <w:rsid w:val="000266AC"/>
    <w:rsid w:val="0002709F"/>
    <w:rsid w:val="0002771A"/>
    <w:rsid w:val="00027C48"/>
    <w:rsid w:val="00031EA4"/>
    <w:rsid w:val="00032669"/>
    <w:rsid w:val="0003511F"/>
    <w:rsid w:val="00035D9C"/>
    <w:rsid w:val="0003646C"/>
    <w:rsid w:val="00037EE9"/>
    <w:rsid w:val="00041049"/>
    <w:rsid w:val="00041848"/>
    <w:rsid w:val="000450F7"/>
    <w:rsid w:val="0004692E"/>
    <w:rsid w:val="00047B8E"/>
    <w:rsid w:val="00052FD2"/>
    <w:rsid w:val="000544D3"/>
    <w:rsid w:val="00055B58"/>
    <w:rsid w:val="00056A43"/>
    <w:rsid w:val="0006092F"/>
    <w:rsid w:val="00060FE8"/>
    <w:rsid w:val="00062146"/>
    <w:rsid w:val="00062BAE"/>
    <w:rsid w:val="00063FE4"/>
    <w:rsid w:val="00066A8C"/>
    <w:rsid w:val="00066D22"/>
    <w:rsid w:val="00067A07"/>
    <w:rsid w:val="00067C69"/>
    <w:rsid w:val="00067CF8"/>
    <w:rsid w:val="0007009F"/>
    <w:rsid w:val="00070882"/>
    <w:rsid w:val="0007303C"/>
    <w:rsid w:val="0007319C"/>
    <w:rsid w:val="00073E5C"/>
    <w:rsid w:val="00074A73"/>
    <w:rsid w:val="00082D45"/>
    <w:rsid w:val="00082D79"/>
    <w:rsid w:val="00084190"/>
    <w:rsid w:val="00084C99"/>
    <w:rsid w:val="0009299C"/>
    <w:rsid w:val="00093030"/>
    <w:rsid w:val="000943C6"/>
    <w:rsid w:val="000974ED"/>
    <w:rsid w:val="000A1518"/>
    <w:rsid w:val="000A1CF5"/>
    <w:rsid w:val="000A7FDB"/>
    <w:rsid w:val="000B1685"/>
    <w:rsid w:val="000B1799"/>
    <w:rsid w:val="000B5F12"/>
    <w:rsid w:val="000C16AA"/>
    <w:rsid w:val="000C6D38"/>
    <w:rsid w:val="000C6FA9"/>
    <w:rsid w:val="000D04A1"/>
    <w:rsid w:val="000D10B8"/>
    <w:rsid w:val="000D2250"/>
    <w:rsid w:val="000D2A84"/>
    <w:rsid w:val="000D45B6"/>
    <w:rsid w:val="000D4D7A"/>
    <w:rsid w:val="000D6DD4"/>
    <w:rsid w:val="000D71B8"/>
    <w:rsid w:val="000E03A7"/>
    <w:rsid w:val="000E07D7"/>
    <w:rsid w:val="000E2289"/>
    <w:rsid w:val="000E3A05"/>
    <w:rsid w:val="000E4018"/>
    <w:rsid w:val="000E4C8A"/>
    <w:rsid w:val="000F012A"/>
    <w:rsid w:val="000F0ADB"/>
    <w:rsid w:val="000F0C58"/>
    <w:rsid w:val="000F13E9"/>
    <w:rsid w:val="000F1680"/>
    <w:rsid w:val="000F2D4B"/>
    <w:rsid w:val="000F325E"/>
    <w:rsid w:val="000F36A8"/>
    <w:rsid w:val="000F61A3"/>
    <w:rsid w:val="000F61AB"/>
    <w:rsid w:val="000F6ED5"/>
    <w:rsid w:val="000F7403"/>
    <w:rsid w:val="001028B5"/>
    <w:rsid w:val="0010296F"/>
    <w:rsid w:val="00102C8C"/>
    <w:rsid w:val="00106C1E"/>
    <w:rsid w:val="00107072"/>
    <w:rsid w:val="00107449"/>
    <w:rsid w:val="00107BC6"/>
    <w:rsid w:val="001117D7"/>
    <w:rsid w:val="0011636B"/>
    <w:rsid w:val="00116A08"/>
    <w:rsid w:val="001205BB"/>
    <w:rsid w:val="00120C7D"/>
    <w:rsid w:val="00123BD2"/>
    <w:rsid w:val="00125B7C"/>
    <w:rsid w:val="00126FE5"/>
    <w:rsid w:val="0012714A"/>
    <w:rsid w:val="00127B00"/>
    <w:rsid w:val="00130454"/>
    <w:rsid w:val="00132110"/>
    <w:rsid w:val="0013349C"/>
    <w:rsid w:val="00133AD0"/>
    <w:rsid w:val="00133EBC"/>
    <w:rsid w:val="001405B2"/>
    <w:rsid w:val="001405C8"/>
    <w:rsid w:val="00141E4A"/>
    <w:rsid w:val="00142314"/>
    <w:rsid w:val="001445AF"/>
    <w:rsid w:val="00145BF9"/>
    <w:rsid w:val="0014686F"/>
    <w:rsid w:val="00146E95"/>
    <w:rsid w:val="0014722D"/>
    <w:rsid w:val="0014796B"/>
    <w:rsid w:val="001513E5"/>
    <w:rsid w:val="001521BA"/>
    <w:rsid w:val="001536E7"/>
    <w:rsid w:val="00153713"/>
    <w:rsid w:val="00153BD0"/>
    <w:rsid w:val="00155979"/>
    <w:rsid w:val="00155F7E"/>
    <w:rsid w:val="00156AE4"/>
    <w:rsid w:val="001602BF"/>
    <w:rsid w:val="001603E8"/>
    <w:rsid w:val="00160A34"/>
    <w:rsid w:val="00160D71"/>
    <w:rsid w:val="00161722"/>
    <w:rsid w:val="001617DF"/>
    <w:rsid w:val="00161800"/>
    <w:rsid w:val="00161C83"/>
    <w:rsid w:val="001624C6"/>
    <w:rsid w:val="00165280"/>
    <w:rsid w:val="00165A9F"/>
    <w:rsid w:val="001663EE"/>
    <w:rsid w:val="001663FE"/>
    <w:rsid w:val="00167CF1"/>
    <w:rsid w:val="00170EE2"/>
    <w:rsid w:val="001724F2"/>
    <w:rsid w:val="00175473"/>
    <w:rsid w:val="001756A6"/>
    <w:rsid w:val="0017576B"/>
    <w:rsid w:val="00177312"/>
    <w:rsid w:val="001800D6"/>
    <w:rsid w:val="00180441"/>
    <w:rsid w:val="0018188C"/>
    <w:rsid w:val="001821BF"/>
    <w:rsid w:val="00183149"/>
    <w:rsid w:val="001834CD"/>
    <w:rsid w:val="00183ACB"/>
    <w:rsid w:val="00184A40"/>
    <w:rsid w:val="00185E39"/>
    <w:rsid w:val="00187053"/>
    <w:rsid w:val="00187B8A"/>
    <w:rsid w:val="001910E7"/>
    <w:rsid w:val="00191BC4"/>
    <w:rsid w:val="00191D15"/>
    <w:rsid w:val="001954DD"/>
    <w:rsid w:val="00195B28"/>
    <w:rsid w:val="00195E43"/>
    <w:rsid w:val="0019759D"/>
    <w:rsid w:val="001A00E8"/>
    <w:rsid w:val="001A2186"/>
    <w:rsid w:val="001A282B"/>
    <w:rsid w:val="001A2AD6"/>
    <w:rsid w:val="001A373F"/>
    <w:rsid w:val="001A43D1"/>
    <w:rsid w:val="001B1446"/>
    <w:rsid w:val="001B171D"/>
    <w:rsid w:val="001B5808"/>
    <w:rsid w:val="001B5A79"/>
    <w:rsid w:val="001B6003"/>
    <w:rsid w:val="001B7AD7"/>
    <w:rsid w:val="001B7F4B"/>
    <w:rsid w:val="001C01C3"/>
    <w:rsid w:val="001C48DD"/>
    <w:rsid w:val="001C4B2F"/>
    <w:rsid w:val="001C5050"/>
    <w:rsid w:val="001C5729"/>
    <w:rsid w:val="001C62ED"/>
    <w:rsid w:val="001C6AE5"/>
    <w:rsid w:val="001C7DDB"/>
    <w:rsid w:val="001D0320"/>
    <w:rsid w:val="001D05EE"/>
    <w:rsid w:val="001D2F90"/>
    <w:rsid w:val="001D3F7F"/>
    <w:rsid w:val="001D5000"/>
    <w:rsid w:val="001D5248"/>
    <w:rsid w:val="001D5363"/>
    <w:rsid w:val="001D773B"/>
    <w:rsid w:val="001D7C4C"/>
    <w:rsid w:val="001E1073"/>
    <w:rsid w:val="001E22C1"/>
    <w:rsid w:val="001E24ED"/>
    <w:rsid w:val="001E3B37"/>
    <w:rsid w:val="001E3BCC"/>
    <w:rsid w:val="001E4420"/>
    <w:rsid w:val="001E45DF"/>
    <w:rsid w:val="001E590B"/>
    <w:rsid w:val="001E6119"/>
    <w:rsid w:val="001E782C"/>
    <w:rsid w:val="001F1F0F"/>
    <w:rsid w:val="001F39B0"/>
    <w:rsid w:val="001F4D9B"/>
    <w:rsid w:val="001F5BA5"/>
    <w:rsid w:val="001F79B3"/>
    <w:rsid w:val="001F7B80"/>
    <w:rsid w:val="00200121"/>
    <w:rsid w:val="002001A9"/>
    <w:rsid w:val="00201A3E"/>
    <w:rsid w:val="00202B5A"/>
    <w:rsid w:val="00202C83"/>
    <w:rsid w:val="002044D1"/>
    <w:rsid w:val="00204958"/>
    <w:rsid w:val="00205595"/>
    <w:rsid w:val="0020601B"/>
    <w:rsid w:val="00206EDB"/>
    <w:rsid w:val="00210EF2"/>
    <w:rsid w:val="00215857"/>
    <w:rsid w:val="00220866"/>
    <w:rsid w:val="00220881"/>
    <w:rsid w:val="0022112F"/>
    <w:rsid w:val="002235BD"/>
    <w:rsid w:val="0022392A"/>
    <w:rsid w:val="00223945"/>
    <w:rsid w:val="00223F39"/>
    <w:rsid w:val="00225BBC"/>
    <w:rsid w:val="00230082"/>
    <w:rsid w:val="0023283A"/>
    <w:rsid w:val="00232EBF"/>
    <w:rsid w:val="00232FDF"/>
    <w:rsid w:val="00232FED"/>
    <w:rsid w:val="00233D66"/>
    <w:rsid w:val="002341A3"/>
    <w:rsid w:val="002349F8"/>
    <w:rsid w:val="00236C2D"/>
    <w:rsid w:val="00240AA7"/>
    <w:rsid w:val="00241863"/>
    <w:rsid w:val="002429D2"/>
    <w:rsid w:val="002439D6"/>
    <w:rsid w:val="00244526"/>
    <w:rsid w:val="00244BEB"/>
    <w:rsid w:val="00244E72"/>
    <w:rsid w:val="00246613"/>
    <w:rsid w:val="002467C8"/>
    <w:rsid w:val="00247056"/>
    <w:rsid w:val="002504A4"/>
    <w:rsid w:val="00250645"/>
    <w:rsid w:val="00252F95"/>
    <w:rsid w:val="002530E6"/>
    <w:rsid w:val="00253CC7"/>
    <w:rsid w:val="0025430E"/>
    <w:rsid w:val="00256D1C"/>
    <w:rsid w:val="0025731F"/>
    <w:rsid w:val="00257896"/>
    <w:rsid w:val="0026058D"/>
    <w:rsid w:val="00260859"/>
    <w:rsid w:val="00260B4C"/>
    <w:rsid w:val="00260BA0"/>
    <w:rsid w:val="00260E0F"/>
    <w:rsid w:val="002632AB"/>
    <w:rsid w:val="002632FB"/>
    <w:rsid w:val="00263B58"/>
    <w:rsid w:val="002655CD"/>
    <w:rsid w:val="00265865"/>
    <w:rsid w:val="00271F83"/>
    <w:rsid w:val="0027236B"/>
    <w:rsid w:val="0027337F"/>
    <w:rsid w:val="00274EF3"/>
    <w:rsid w:val="0027562B"/>
    <w:rsid w:val="00276D49"/>
    <w:rsid w:val="00280F22"/>
    <w:rsid w:val="00281468"/>
    <w:rsid w:val="00282B81"/>
    <w:rsid w:val="00283390"/>
    <w:rsid w:val="00283594"/>
    <w:rsid w:val="0028462A"/>
    <w:rsid w:val="0028557E"/>
    <w:rsid w:val="002856AB"/>
    <w:rsid w:val="00285725"/>
    <w:rsid w:val="00285944"/>
    <w:rsid w:val="002865AA"/>
    <w:rsid w:val="002878A7"/>
    <w:rsid w:val="00287BD0"/>
    <w:rsid w:val="00290A48"/>
    <w:rsid w:val="00291A8C"/>
    <w:rsid w:val="00292053"/>
    <w:rsid w:val="00292A32"/>
    <w:rsid w:val="00292DC0"/>
    <w:rsid w:val="002963C5"/>
    <w:rsid w:val="00297D60"/>
    <w:rsid w:val="002A02A2"/>
    <w:rsid w:val="002A0965"/>
    <w:rsid w:val="002A42D1"/>
    <w:rsid w:val="002A4CF0"/>
    <w:rsid w:val="002A4EEE"/>
    <w:rsid w:val="002A5121"/>
    <w:rsid w:val="002A70CC"/>
    <w:rsid w:val="002B1180"/>
    <w:rsid w:val="002B2B72"/>
    <w:rsid w:val="002B2C7F"/>
    <w:rsid w:val="002B529D"/>
    <w:rsid w:val="002B5C45"/>
    <w:rsid w:val="002B68BA"/>
    <w:rsid w:val="002B77F0"/>
    <w:rsid w:val="002C02C5"/>
    <w:rsid w:val="002C0394"/>
    <w:rsid w:val="002C0533"/>
    <w:rsid w:val="002C0B88"/>
    <w:rsid w:val="002C330D"/>
    <w:rsid w:val="002C6925"/>
    <w:rsid w:val="002C7593"/>
    <w:rsid w:val="002D2121"/>
    <w:rsid w:val="002D4AB6"/>
    <w:rsid w:val="002D749D"/>
    <w:rsid w:val="002D7CE1"/>
    <w:rsid w:val="002E1A1B"/>
    <w:rsid w:val="002E2C1D"/>
    <w:rsid w:val="002E3500"/>
    <w:rsid w:val="002E42A2"/>
    <w:rsid w:val="002E4B3D"/>
    <w:rsid w:val="002E61F9"/>
    <w:rsid w:val="002E6C7F"/>
    <w:rsid w:val="002E7A0E"/>
    <w:rsid w:val="002F2AD4"/>
    <w:rsid w:val="002F540F"/>
    <w:rsid w:val="002F610C"/>
    <w:rsid w:val="002F62CC"/>
    <w:rsid w:val="002F635E"/>
    <w:rsid w:val="002F65FE"/>
    <w:rsid w:val="002F797D"/>
    <w:rsid w:val="00300221"/>
    <w:rsid w:val="003006D5"/>
    <w:rsid w:val="00300756"/>
    <w:rsid w:val="003030AA"/>
    <w:rsid w:val="00303468"/>
    <w:rsid w:val="00304276"/>
    <w:rsid w:val="00304ACD"/>
    <w:rsid w:val="00305BAC"/>
    <w:rsid w:val="00307343"/>
    <w:rsid w:val="00310D00"/>
    <w:rsid w:val="00310E95"/>
    <w:rsid w:val="00311CC2"/>
    <w:rsid w:val="00311DA7"/>
    <w:rsid w:val="00311F20"/>
    <w:rsid w:val="00312404"/>
    <w:rsid w:val="00314E0C"/>
    <w:rsid w:val="00315704"/>
    <w:rsid w:val="00315CC1"/>
    <w:rsid w:val="0031737A"/>
    <w:rsid w:val="00322059"/>
    <w:rsid w:val="00322491"/>
    <w:rsid w:val="003225C8"/>
    <w:rsid w:val="0032305C"/>
    <w:rsid w:val="00323579"/>
    <w:rsid w:val="00325F9F"/>
    <w:rsid w:val="0032601F"/>
    <w:rsid w:val="003279AD"/>
    <w:rsid w:val="003317C7"/>
    <w:rsid w:val="00333427"/>
    <w:rsid w:val="00333C97"/>
    <w:rsid w:val="00334F56"/>
    <w:rsid w:val="0033563E"/>
    <w:rsid w:val="0034036D"/>
    <w:rsid w:val="0034280C"/>
    <w:rsid w:val="00343ECA"/>
    <w:rsid w:val="00344264"/>
    <w:rsid w:val="00344847"/>
    <w:rsid w:val="003448E5"/>
    <w:rsid w:val="00344FB1"/>
    <w:rsid w:val="00346F59"/>
    <w:rsid w:val="003508EB"/>
    <w:rsid w:val="003516D2"/>
    <w:rsid w:val="00353B16"/>
    <w:rsid w:val="00356768"/>
    <w:rsid w:val="00362001"/>
    <w:rsid w:val="00362CA7"/>
    <w:rsid w:val="00363236"/>
    <w:rsid w:val="0036623C"/>
    <w:rsid w:val="00367399"/>
    <w:rsid w:val="00370428"/>
    <w:rsid w:val="00371293"/>
    <w:rsid w:val="0037547D"/>
    <w:rsid w:val="00375A98"/>
    <w:rsid w:val="00375AFD"/>
    <w:rsid w:val="00376354"/>
    <w:rsid w:val="00380ABD"/>
    <w:rsid w:val="0038168B"/>
    <w:rsid w:val="00381A89"/>
    <w:rsid w:val="00381AE8"/>
    <w:rsid w:val="0038250D"/>
    <w:rsid w:val="0038252F"/>
    <w:rsid w:val="003826D3"/>
    <w:rsid w:val="00382A78"/>
    <w:rsid w:val="00382B9C"/>
    <w:rsid w:val="00383461"/>
    <w:rsid w:val="0038596C"/>
    <w:rsid w:val="00387552"/>
    <w:rsid w:val="00392ED9"/>
    <w:rsid w:val="003955E3"/>
    <w:rsid w:val="0039647E"/>
    <w:rsid w:val="003974AD"/>
    <w:rsid w:val="003A1F42"/>
    <w:rsid w:val="003A29B8"/>
    <w:rsid w:val="003A3165"/>
    <w:rsid w:val="003A5012"/>
    <w:rsid w:val="003A545B"/>
    <w:rsid w:val="003A59A0"/>
    <w:rsid w:val="003A5AD5"/>
    <w:rsid w:val="003A6621"/>
    <w:rsid w:val="003B24E2"/>
    <w:rsid w:val="003B28E7"/>
    <w:rsid w:val="003B40A2"/>
    <w:rsid w:val="003B4203"/>
    <w:rsid w:val="003B5438"/>
    <w:rsid w:val="003B7A76"/>
    <w:rsid w:val="003C144C"/>
    <w:rsid w:val="003C2F1C"/>
    <w:rsid w:val="003C42B0"/>
    <w:rsid w:val="003C43A7"/>
    <w:rsid w:val="003C4C51"/>
    <w:rsid w:val="003C59DB"/>
    <w:rsid w:val="003C6743"/>
    <w:rsid w:val="003C6919"/>
    <w:rsid w:val="003D4290"/>
    <w:rsid w:val="003D4CB0"/>
    <w:rsid w:val="003D5438"/>
    <w:rsid w:val="003D573B"/>
    <w:rsid w:val="003D61E4"/>
    <w:rsid w:val="003D64FA"/>
    <w:rsid w:val="003D68B9"/>
    <w:rsid w:val="003D7AE8"/>
    <w:rsid w:val="003D7B9F"/>
    <w:rsid w:val="003E0255"/>
    <w:rsid w:val="003E10F0"/>
    <w:rsid w:val="003E1BAD"/>
    <w:rsid w:val="003E1EA3"/>
    <w:rsid w:val="003E4BF6"/>
    <w:rsid w:val="003E5065"/>
    <w:rsid w:val="003E5992"/>
    <w:rsid w:val="003E61B1"/>
    <w:rsid w:val="003F0B55"/>
    <w:rsid w:val="003F1A47"/>
    <w:rsid w:val="003F3243"/>
    <w:rsid w:val="003F3EA7"/>
    <w:rsid w:val="00400338"/>
    <w:rsid w:val="00401532"/>
    <w:rsid w:val="0040175B"/>
    <w:rsid w:val="004027E1"/>
    <w:rsid w:val="00402AF4"/>
    <w:rsid w:val="00402CE2"/>
    <w:rsid w:val="0040480D"/>
    <w:rsid w:val="00404851"/>
    <w:rsid w:val="0040572E"/>
    <w:rsid w:val="00406576"/>
    <w:rsid w:val="0040727B"/>
    <w:rsid w:val="00407413"/>
    <w:rsid w:val="004101C3"/>
    <w:rsid w:val="00410263"/>
    <w:rsid w:val="00411104"/>
    <w:rsid w:val="0041180C"/>
    <w:rsid w:val="004122EA"/>
    <w:rsid w:val="00412851"/>
    <w:rsid w:val="00413647"/>
    <w:rsid w:val="00414DEB"/>
    <w:rsid w:val="004166AD"/>
    <w:rsid w:val="00417073"/>
    <w:rsid w:val="0041718C"/>
    <w:rsid w:val="00420828"/>
    <w:rsid w:val="00420852"/>
    <w:rsid w:val="004222EE"/>
    <w:rsid w:val="004226A5"/>
    <w:rsid w:val="00422FAE"/>
    <w:rsid w:val="004238B5"/>
    <w:rsid w:val="0042501A"/>
    <w:rsid w:val="00425FC1"/>
    <w:rsid w:val="00426095"/>
    <w:rsid w:val="004309B0"/>
    <w:rsid w:val="00430A84"/>
    <w:rsid w:val="004324C3"/>
    <w:rsid w:val="00432C2B"/>
    <w:rsid w:val="00432D09"/>
    <w:rsid w:val="00432F90"/>
    <w:rsid w:val="004337D7"/>
    <w:rsid w:val="00435F7C"/>
    <w:rsid w:val="00436887"/>
    <w:rsid w:val="00436BDE"/>
    <w:rsid w:val="00437124"/>
    <w:rsid w:val="004373F1"/>
    <w:rsid w:val="00441073"/>
    <w:rsid w:val="004461E0"/>
    <w:rsid w:val="004520E7"/>
    <w:rsid w:val="0045262B"/>
    <w:rsid w:val="004527E5"/>
    <w:rsid w:val="00452DD5"/>
    <w:rsid w:val="00453D6A"/>
    <w:rsid w:val="0045749D"/>
    <w:rsid w:val="00457C70"/>
    <w:rsid w:val="00460B39"/>
    <w:rsid w:val="00461744"/>
    <w:rsid w:val="00461E34"/>
    <w:rsid w:val="00461F7D"/>
    <w:rsid w:val="00461FBA"/>
    <w:rsid w:val="00462817"/>
    <w:rsid w:val="00462F33"/>
    <w:rsid w:val="00463C61"/>
    <w:rsid w:val="0046472A"/>
    <w:rsid w:val="00465EB0"/>
    <w:rsid w:val="004667E3"/>
    <w:rsid w:val="00467680"/>
    <w:rsid w:val="00470CBC"/>
    <w:rsid w:val="00471529"/>
    <w:rsid w:val="004719E8"/>
    <w:rsid w:val="00472340"/>
    <w:rsid w:val="00472DD6"/>
    <w:rsid w:val="00472E19"/>
    <w:rsid w:val="00476861"/>
    <w:rsid w:val="00477B12"/>
    <w:rsid w:val="00481774"/>
    <w:rsid w:val="00483BA1"/>
    <w:rsid w:val="004845AA"/>
    <w:rsid w:val="00484BA6"/>
    <w:rsid w:val="004853BA"/>
    <w:rsid w:val="00485A71"/>
    <w:rsid w:val="00486BCC"/>
    <w:rsid w:val="00487172"/>
    <w:rsid w:val="00490467"/>
    <w:rsid w:val="0049169A"/>
    <w:rsid w:val="00493BFC"/>
    <w:rsid w:val="0049401F"/>
    <w:rsid w:val="00494105"/>
    <w:rsid w:val="004A05E1"/>
    <w:rsid w:val="004A2349"/>
    <w:rsid w:val="004A279C"/>
    <w:rsid w:val="004A36DE"/>
    <w:rsid w:val="004A38C5"/>
    <w:rsid w:val="004A4475"/>
    <w:rsid w:val="004A4743"/>
    <w:rsid w:val="004A7C82"/>
    <w:rsid w:val="004B0DED"/>
    <w:rsid w:val="004B2B82"/>
    <w:rsid w:val="004B2ED1"/>
    <w:rsid w:val="004B54B1"/>
    <w:rsid w:val="004C0805"/>
    <w:rsid w:val="004C32A2"/>
    <w:rsid w:val="004C36DC"/>
    <w:rsid w:val="004C4EBE"/>
    <w:rsid w:val="004C5E7B"/>
    <w:rsid w:val="004C6C92"/>
    <w:rsid w:val="004D102D"/>
    <w:rsid w:val="004D2265"/>
    <w:rsid w:val="004D2673"/>
    <w:rsid w:val="004D355B"/>
    <w:rsid w:val="004D51CE"/>
    <w:rsid w:val="004D5D7E"/>
    <w:rsid w:val="004D636B"/>
    <w:rsid w:val="004D6BB8"/>
    <w:rsid w:val="004D7874"/>
    <w:rsid w:val="004D7D31"/>
    <w:rsid w:val="004D7EF2"/>
    <w:rsid w:val="004E08F1"/>
    <w:rsid w:val="004E0A72"/>
    <w:rsid w:val="004E22D6"/>
    <w:rsid w:val="004E38E7"/>
    <w:rsid w:val="004E444A"/>
    <w:rsid w:val="004E469D"/>
    <w:rsid w:val="004E4E9D"/>
    <w:rsid w:val="004E5081"/>
    <w:rsid w:val="004E75C7"/>
    <w:rsid w:val="004E7A78"/>
    <w:rsid w:val="004F000D"/>
    <w:rsid w:val="004F05EE"/>
    <w:rsid w:val="004F10C6"/>
    <w:rsid w:val="004F3287"/>
    <w:rsid w:val="005011FF"/>
    <w:rsid w:val="005016B6"/>
    <w:rsid w:val="005018BB"/>
    <w:rsid w:val="00501DF8"/>
    <w:rsid w:val="00501E28"/>
    <w:rsid w:val="005039A4"/>
    <w:rsid w:val="005052DC"/>
    <w:rsid w:val="00507868"/>
    <w:rsid w:val="00507A8F"/>
    <w:rsid w:val="00507D11"/>
    <w:rsid w:val="00512469"/>
    <w:rsid w:val="005128D5"/>
    <w:rsid w:val="00513FC0"/>
    <w:rsid w:val="005144B8"/>
    <w:rsid w:val="0051479D"/>
    <w:rsid w:val="00515B18"/>
    <w:rsid w:val="0051612A"/>
    <w:rsid w:val="00517757"/>
    <w:rsid w:val="00517E1C"/>
    <w:rsid w:val="00520FF2"/>
    <w:rsid w:val="005214EA"/>
    <w:rsid w:val="00521DD2"/>
    <w:rsid w:val="0052219D"/>
    <w:rsid w:val="005221B5"/>
    <w:rsid w:val="0052235F"/>
    <w:rsid w:val="005234EB"/>
    <w:rsid w:val="00524123"/>
    <w:rsid w:val="00524E89"/>
    <w:rsid w:val="00525212"/>
    <w:rsid w:val="0052534E"/>
    <w:rsid w:val="0052545D"/>
    <w:rsid w:val="0052562E"/>
    <w:rsid w:val="00525F44"/>
    <w:rsid w:val="00526F26"/>
    <w:rsid w:val="00527A25"/>
    <w:rsid w:val="00527B5C"/>
    <w:rsid w:val="005307CC"/>
    <w:rsid w:val="00530D74"/>
    <w:rsid w:val="00531D13"/>
    <w:rsid w:val="00535C0F"/>
    <w:rsid w:val="00535C2A"/>
    <w:rsid w:val="00535EF8"/>
    <w:rsid w:val="00535F2D"/>
    <w:rsid w:val="005423DB"/>
    <w:rsid w:val="0054282E"/>
    <w:rsid w:val="005441A8"/>
    <w:rsid w:val="005460EA"/>
    <w:rsid w:val="00547091"/>
    <w:rsid w:val="005505EB"/>
    <w:rsid w:val="005510AF"/>
    <w:rsid w:val="00551677"/>
    <w:rsid w:val="005520C9"/>
    <w:rsid w:val="00552187"/>
    <w:rsid w:val="0055377F"/>
    <w:rsid w:val="0055488E"/>
    <w:rsid w:val="00554F85"/>
    <w:rsid w:val="0055507F"/>
    <w:rsid w:val="00555C2A"/>
    <w:rsid w:val="0055703B"/>
    <w:rsid w:val="0056072F"/>
    <w:rsid w:val="005608BE"/>
    <w:rsid w:val="0056158A"/>
    <w:rsid w:val="00562686"/>
    <w:rsid w:val="00564EE5"/>
    <w:rsid w:val="00565362"/>
    <w:rsid w:val="005711DB"/>
    <w:rsid w:val="00571430"/>
    <w:rsid w:val="00572CF4"/>
    <w:rsid w:val="005737EE"/>
    <w:rsid w:val="00575B9E"/>
    <w:rsid w:val="00576C20"/>
    <w:rsid w:val="00576CE3"/>
    <w:rsid w:val="005778F4"/>
    <w:rsid w:val="00577CB4"/>
    <w:rsid w:val="005802F4"/>
    <w:rsid w:val="00580AB6"/>
    <w:rsid w:val="00581153"/>
    <w:rsid w:val="00582667"/>
    <w:rsid w:val="00584925"/>
    <w:rsid w:val="0058502F"/>
    <w:rsid w:val="005851F6"/>
    <w:rsid w:val="00585711"/>
    <w:rsid w:val="00586A85"/>
    <w:rsid w:val="00586D71"/>
    <w:rsid w:val="00590E40"/>
    <w:rsid w:val="00591875"/>
    <w:rsid w:val="00591B51"/>
    <w:rsid w:val="00593BB6"/>
    <w:rsid w:val="00593F76"/>
    <w:rsid w:val="005952EA"/>
    <w:rsid w:val="0059598C"/>
    <w:rsid w:val="005A0DF6"/>
    <w:rsid w:val="005A1696"/>
    <w:rsid w:val="005A227F"/>
    <w:rsid w:val="005A58C3"/>
    <w:rsid w:val="005A6BF5"/>
    <w:rsid w:val="005B00C5"/>
    <w:rsid w:val="005B0828"/>
    <w:rsid w:val="005B2185"/>
    <w:rsid w:val="005B2D6A"/>
    <w:rsid w:val="005B440B"/>
    <w:rsid w:val="005B440F"/>
    <w:rsid w:val="005C086A"/>
    <w:rsid w:val="005C0A19"/>
    <w:rsid w:val="005C2111"/>
    <w:rsid w:val="005C2262"/>
    <w:rsid w:val="005C27E6"/>
    <w:rsid w:val="005C425B"/>
    <w:rsid w:val="005C4E46"/>
    <w:rsid w:val="005C4E8D"/>
    <w:rsid w:val="005C75AC"/>
    <w:rsid w:val="005C79F4"/>
    <w:rsid w:val="005C7F86"/>
    <w:rsid w:val="005D0CD5"/>
    <w:rsid w:val="005D24A5"/>
    <w:rsid w:val="005D275F"/>
    <w:rsid w:val="005D29FD"/>
    <w:rsid w:val="005D2F47"/>
    <w:rsid w:val="005D52D6"/>
    <w:rsid w:val="005D53C5"/>
    <w:rsid w:val="005D5D6F"/>
    <w:rsid w:val="005D6967"/>
    <w:rsid w:val="005D6D9F"/>
    <w:rsid w:val="005E0E11"/>
    <w:rsid w:val="005E1DC9"/>
    <w:rsid w:val="005E28EC"/>
    <w:rsid w:val="005E2B18"/>
    <w:rsid w:val="005E2DD9"/>
    <w:rsid w:val="005E31D8"/>
    <w:rsid w:val="005E3BF9"/>
    <w:rsid w:val="005E693A"/>
    <w:rsid w:val="005E6B4D"/>
    <w:rsid w:val="005E6F4C"/>
    <w:rsid w:val="005F0C83"/>
    <w:rsid w:val="005F0EFC"/>
    <w:rsid w:val="005F3285"/>
    <w:rsid w:val="00601F04"/>
    <w:rsid w:val="0060348A"/>
    <w:rsid w:val="0060464A"/>
    <w:rsid w:val="00604A5D"/>
    <w:rsid w:val="00605C3C"/>
    <w:rsid w:val="006066A2"/>
    <w:rsid w:val="00606CA2"/>
    <w:rsid w:val="00606DBD"/>
    <w:rsid w:val="00610401"/>
    <w:rsid w:val="00610974"/>
    <w:rsid w:val="00611443"/>
    <w:rsid w:val="00611D93"/>
    <w:rsid w:val="00613BCC"/>
    <w:rsid w:val="00614449"/>
    <w:rsid w:val="0061489A"/>
    <w:rsid w:val="006156C9"/>
    <w:rsid w:val="00615DCB"/>
    <w:rsid w:val="00616118"/>
    <w:rsid w:val="00617E09"/>
    <w:rsid w:val="00617F56"/>
    <w:rsid w:val="00621496"/>
    <w:rsid w:val="006228D6"/>
    <w:rsid w:val="00622EDF"/>
    <w:rsid w:val="006236BD"/>
    <w:rsid w:val="00623893"/>
    <w:rsid w:val="00623C66"/>
    <w:rsid w:val="0062637C"/>
    <w:rsid w:val="00627F4E"/>
    <w:rsid w:val="00631F7F"/>
    <w:rsid w:val="00632E6A"/>
    <w:rsid w:val="00632F67"/>
    <w:rsid w:val="00635857"/>
    <w:rsid w:val="00637C57"/>
    <w:rsid w:val="00640039"/>
    <w:rsid w:val="00640171"/>
    <w:rsid w:val="00640B59"/>
    <w:rsid w:val="00641048"/>
    <w:rsid w:val="0064124A"/>
    <w:rsid w:val="0064136A"/>
    <w:rsid w:val="00641A55"/>
    <w:rsid w:val="00641C2E"/>
    <w:rsid w:val="00643092"/>
    <w:rsid w:val="006451EB"/>
    <w:rsid w:val="00645224"/>
    <w:rsid w:val="00646556"/>
    <w:rsid w:val="0065005D"/>
    <w:rsid w:val="006518A1"/>
    <w:rsid w:val="006529D8"/>
    <w:rsid w:val="00657BE7"/>
    <w:rsid w:val="006641A4"/>
    <w:rsid w:val="00670DA1"/>
    <w:rsid w:val="00672A0B"/>
    <w:rsid w:val="00672C35"/>
    <w:rsid w:val="00672EB6"/>
    <w:rsid w:val="00674F7C"/>
    <w:rsid w:val="006770FC"/>
    <w:rsid w:val="00680A12"/>
    <w:rsid w:val="00680A5A"/>
    <w:rsid w:val="00681373"/>
    <w:rsid w:val="00683E54"/>
    <w:rsid w:val="00684049"/>
    <w:rsid w:val="006840C7"/>
    <w:rsid w:val="006850AF"/>
    <w:rsid w:val="006852D4"/>
    <w:rsid w:val="00686BD3"/>
    <w:rsid w:val="00687B9D"/>
    <w:rsid w:val="00690872"/>
    <w:rsid w:val="006923B4"/>
    <w:rsid w:val="006923B7"/>
    <w:rsid w:val="0069328B"/>
    <w:rsid w:val="00693ACF"/>
    <w:rsid w:val="00695D1D"/>
    <w:rsid w:val="006965B9"/>
    <w:rsid w:val="00697435"/>
    <w:rsid w:val="006975DC"/>
    <w:rsid w:val="006A0423"/>
    <w:rsid w:val="006A053C"/>
    <w:rsid w:val="006A09C7"/>
    <w:rsid w:val="006A0D38"/>
    <w:rsid w:val="006A2DD8"/>
    <w:rsid w:val="006A2F22"/>
    <w:rsid w:val="006A3190"/>
    <w:rsid w:val="006A3AC4"/>
    <w:rsid w:val="006A4D8F"/>
    <w:rsid w:val="006A5651"/>
    <w:rsid w:val="006A58AC"/>
    <w:rsid w:val="006A5C12"/>
    <w:rsid w:val="006A6C99"/>
    <w:rsid w:val="006A6DBF"/>
    <w:rsid w:val="006A72D1"/>
    <w:rsid w:val="006B0123"/>
    <w:rsid w:val="006B2812"/>
    <w:rsid w:val="006B4AD8"/>
    <w:rsid w:val="006B648C"/>
    <w:rsid w:val="006B759F"/>
    <w:rsid w:val="006B7B2A"/>
    <w:rsid w:val="006C348B"/>
    <w:rsid w:val="006C4205"/>
    <w:rsid w:val="006C45F1"/>
    <w:rsid w:val="006C6CA3"/>
    <w:rsid w:val="006C7486"/>
    <w:rsid w:val="006D0426"/>
    <w:rsid w:val="006D0F6B"/>
    <w:rsid w:val="006D3E82"/>
    <w:rsid w:val="006D455C"/>
    <w:rsid w:val="006D5984"/>
    <w:rsid w:val="006D5DB0"/>
    <w:rsid w:val="006D60CC"/>
    <w:rsid w:val="006D6A06"/>
    <w:rsid w:val="006D71AA"/>
    <w:rsid w:val="006E2774"/>
    <w:rsid w:val="006E37E1"/>
    <w:rsid w:val="006E4103"/>
    <w:rsid w:val="006E56E3"/>
    <w:rsid w:val="006E5EBB"/>
    <w:rsid w:val="006F184A"/>
    <w:rsid w:val="006F1FDE"/>
    <w:rsid w:val="006F4FD4"/>
    <w:rsid w:val="006F6D0B"/>
    <w:rsid w:val="006F70FD"/>
    <w:rsid w:val="006F77CD"/>
    <w:rsid w:val="00704F4F"/>
    <w:rsid w:val="007052F5"/>
    <w:rsid w:val="007070A9"/>
    <w:rsid w:val="00707584"/>
    <w:rsid w:val="00707B8F"/>
    <w:rsid w:val="0071035E"/>
    <w:rsid w:val="00711397"/>
    <w:rsid w:val="0071226A"/>
    <w:rsid w:val="007138C9"/>
    <w:rsid w:val="00716347"/>
    <w:rsid w:val="00720B6C"/>
    <w:rsid w:val="00720EA3"/>
    <w:rsid w:val="00721B09"/>
    <w:rsid w:val="00721C85"/>
    <w:rsid w:val="00722431"/>
    <w:rsid w:val="00722A6E"/>
    <w:rsid w:val="00724575"/>
    <w:rsid w:val="00724D4A"/>
    <w:rsid w:val="00724EE5"/>
    <w:rsid w:val="007255D6"/>
    <w:rsid w:val="00725876"/>
    <w:rsid w:val="007265B6"/>
    <w:rsid w:val="00726DA7"/>
    <w:rsid w:val="0073103F"/>
    <w:rsid w:val="00732B65"/>
    <w:rsid w:val="00733016"/>
    <w:rsid w:val="00733634"/>
    <w:rsid w:val="00733C87"/>
    <w:rsid w:val="0073447F"/>
    <w:rsid w:val="00735EE8"/>
    <w:rsid w:val="00736D56"/>
    <w:rsid w:val="00741EFF"/>
    <w:rsid w:val="00742C53"/>
    <w:rsid w:val="007446E4"/>
    <w:rsid w:val="0074470E"/>
    <w:rsid w:val="00744D94"/>
    <w:rsid w:val="00746B30"/>
    <w:rsid w:val="007479DD"/>
    <w:rsid w:val="00750832"/>
    <w:rsid w:val="00751747"/>
    <w:rsid w:val="00751CC1"/>
    <w:rsid w:val="00752FA4"/>
    <w:rsid w:val="007537C8"/>
    <w:rsid w:val="00753E10"/>
    <w:rsid w:val="00754751"/>
    <w:rsid w:val="00754E35"/>
    <w:rsid w:val="007556D9"/>
    <w:rsid w:val="00756CF3"/>
    <w:rsid w:val="00756EA6"/>
    <w:rsid w:val="0075743F"/>
    <w:rsid w:val="0075793B"/>
    <w:rsid w:val="00760F88"/>
    <w:rsid w:val="00762251"/>
    <w:rsid w:val="0076332B"/>
    <w:rsid w:val="00763800"/>
    <w:rsid w:val="00767672"/>
    <w:rsid w:val="00770D37"/>
    <w:rsid w:val="00771084"/>
    <w:rsid w:val="00772089"/>
    <w:rsid w:val="0077286E"/>
    <w:rsid w:val="00772F27"/>
    <w:rsid w:val="00774648"/>
    <w:rsid w:val="007746C8"/>
    <w:rsid w:val="00774BAA"/>
    <w:rsid w:val="00780954"/>
    <w:rsid w:val="00780D65"/>
    <w:rsid w:val="007817F4"/>
    <w:rsid w:val="00782CFF"/>
    <w:rsid w:val="00784341"/>
    <w:rsid w:val="00786224"/>
    <w:rsid w:val="00787787"/>
    <w:rsid w:val="0079042C"/>
    <w:rsid w:val="007938FF"/>
    <w:rsid w:val="00793A9B"/>
    <w:rsid w:val="00795047"/>
    <w:rsid w:val="00797D13"/>
    <w:rsid w:val="007A0413"/>
    <w:rsid w:val="007A18DA"/>
    <w:rsid w:val="007A1F55"/>
    <w:rsid w:val="007A3175"/>
    <w:rsid w:val="007A3C1B"/>
    <w:rsid w:val="007A633F"/>
    <w:rsid w:val="007A7440"/>
    <w:rsid w:val="007B0C94"/>
    <w:rsid w:val="007B3692"/>
    <w:rsid w:val="007B3CA4"/>
    <w:rsid w:val="007B45F0"/>
    <w:rsid w:val="007B4B40"/>
    <w:rsid w:val="007B5C09"/>
    <w:rsid w:val="007B623F"/>
    <w:rsid w:val="007C10E6"/>
    <w:rsid w:val="007C1C41"/>
    <w:rsid w:val="007C2F35"/>
    <w:rsid w:val="007C3599"/>
    <w:rsid w:val="007C3E99"/>
    <w:rsid w:val="007C6F53"/>
    <w:rsid w:val="007D1C94"/>
    <w:rsid w:val="007D29E1"/>
    <w:rsid w:val="007D44D0"/>
    <w:rsid w:val="007D6271"/>
    <w:rsid w:val="007D68F9"/>
    <w:rsid w:val="007D77A7"/>
    <w:rsid w:val="007D78F7"/>
    <w:rsid w:val="007D7ACE"/>
    <w:rsid w:val="007E0AD4"/>
    <w:rsid w:val="007E35C8"/>
    <w:rsid w:val="007E476C"/>
    <w:rsid w:val="007E71CA"/>
    <w:rsid w:val="007E799D"/>
    <w:rsid w:val="007F0440"/>
    <w:rsid w:val="007F10D4"/>
    <w:rsid w:val="007F1569"/>
    <w:rsid w:val="007F2303"/>
    <w:rsid w:val="007F2F5D"/>
    <w:rsid w:val="007F3DEA"/>
    <w:rsid w:val="007F45CF"/>
    <w:rsid w:val="007F68BC"/>
    <w:rsid w:val="007F69DE"/>
    <w:rsid w:val="007F6A57"/>
    <w:rsid w:val="007F6CE2"/>
    <w:rsid w:val="007F75E2"/>
    <w:rsid w:val="007F7B1D"/>
    <w:rsid w:val="0080190D"/>
    <w:rsid w:val="00803458"/>
    <w:rsid w:val="008039E8"/>
    <w:rsid w:val="008041D1"/>
    <w:rsid w:val="0080560E"/>
    <w:rsid w:val="00807DCF"/>
    <w:rsid w:val="00810309"/>
    <w:rsid w:val="00810FF9"/>
    <w:rsid w:val="00811073"/>
    <w:rsid w:val="00815A5A"/>
    <w:rsid w:val="008213A9"/>
    <w:rsid w:val="00821536"/>
    <w:rsid w:val="00822E92"/>
    <w:rsid w:val="00823D61"/>
    <w:rsid w:val="00824F3B"/>
    <w:rsid w:val="008269D9"/>
    <w:rsid w:val="00827053"/>
    <w:rsid w:val="00827D85"/>
    <w:rsid w:val="008307E9"/>
    <w:rsid w:val="00834EE5"/>
    <w:rsid w:val="00835689"/>
    <w:rsid w:val="008363DC"/>
    <w:rsid w:val="0084056F"/>
    <w:rsid w:val="00840A7A"/>
    <w:rsid w:val="0084230F"/>
    <w:rsid w:val="008424BA"/>
    <w:rsid w:val="0084558B"/>
    <w:rsid w:val="008475B1"/>
    <w:rsid w:val="00847989"/>
    <w:rsid w:val="00851466"/>
    <w:rsid w:val="00851969"/>
    <w:rsid w:val="00852FD2"/>
    <w:rsid w:val="00854482"/>
    <w:rsid w:val="008548F2"/>
    <w:rsid w:val="00854A40"/>
    <w:rsid w:val="00855CB2"/>
    <w:rsid w:val="00855D0B"/>
    <w:rsid w:val="00855DDC"/>
    <w:rsid w:val="00857612"/>
    <w:rsid w:val="0086014D"/>
    <w:rsid w:val="008604B0"/>
    <w:rsid w:val="0086364A"/>
    <w:rsid w:val="0086616F"/>
    <w:rsid w:val="00867446"/>
    <w:rsid w:val="00867652"/>
    <w:rsid w:val="00872FEA"/>
    <w:rsid w:val="00873C51"/>
    <w:rsid w:val="0087408D"/>
    <w:rsid w:val="008742B8"/>
    <w:rsid w:val="00875F38"/>
    <w:rsid w:val="00880CAC"/>
    <w:rsid w:val="008810F3"/>
    <w:rsid w:val="008815E6"/>
    <w:rsid w:val="00882E74"/>
    <w:rsid w:val="00882FF4"/>
    <w:rsid w:val="008839E5"/>
    <w:rsid w:val="00883CE0"/>
    <w:rsid w:val="0088444D"/>
    <w:rsid w:val="008869E1"/>
    <w:rsid w:val="00887B3A"/>
    <w:rsid w:val="00890E71"/>
    <w:rsid w:val="00890F60"/>
    <w:rsid w:val="0089285E"/>
    <w:rsid w:val="00892CF6"/>
    <w:rsid w:val="00894922"/>
    <w:rsid w:val="00896F2B"/>
    <w:rsid w:val="00897289"/>
    <w:rsid w:val="008A051F"/>
    <w:rsid w:val="008A12F2"/>
    <w:rsid w:val="008A19EC"/>
    <w:rsid w:val="008A364B"/>
    <w:rsid w:val="008A38D5"/>
    <w:rsid w:val="008A53E6"/>
    <w:rsid w:val="008A590D"/>
    <w:rsid w:val="008A748C"/>
    <w:rsid w:val="008A76E1"/>
    <w:rsid w:val="008B02EE"/>
    <w:rsid w:val="008B16BB"/>
    <w:rsid w:val="008B1839"/>
    <w:rsid w:val="008B2116"/>
    <w:rsid w:val="008B23FE"/>
    <w:rsid w:val="008B25BB"/>
    <w:rsid w:val="008B2761"/>
    <w:rsid w:val="008B2E57"/>
    <w:rsid w:val="008B45FE"/>
    <w:rsid w:val="008B4EBF"/>
    <w:rsid w:val="008B5DCD"/>
    <w:rsid w:val="008B67FB"/>
    <w:rsid w:val="008C0AD7"/>
    <w:rsid w:val="008C3224"/>
    <w:rsid w:val="008C337F"/>
    <w:rsid w:val="008C34DF"/>
    <w:rsid w:val="008C523E"/>
    <w:rsid w:val="008C52D4"/>
    <w:rsid w:val="008C5614"/>
    <w:rsid w:val="008C574F"/>
    <w:rsid w:val="008C62BE"/>
    <w:rsid w:val="008C6F52"/>
    <w:rsid w:val="008C764B"/>
    <w:rsid w:val="008C7B08"/>
    <w:rsid w:val="008D0155"/>
    <w:rsid w:val="008D0A3E"/>
    <w:rsid w:val="008D2451"/>
    <w:rsid w:val="008D4691"/>
    <w:rsid w:val="008D4AAA"/>
    <w:rsid w:val="008E0429"/>
    <w:rsid w:val="008E2564"/>
    <w:rsid w:val="008E2936"/>
    <w:rsid w:val="008E46AA"/>
    <w:rsid w:val="008E5BB6"/>
    <w:rsid w:val="008E6C69"/>
    <w:rsid w:val="008E74FC"/>
    <w:rsid w:val="008F0AA1"/>
    <w:rsid w:val="008F0ACC"/>
    <w:rsid w:val="008F1070"/>
    <w:rsid w:val="008F1177"/>
    <w:rsid w:val="008F1CE1"/>
    <w:rsid w:val="008F3D36"/>
    <w:rsid w:val="008F3E5B"/>
    <w:rsid w:val="00900CC0"/>
    <w:rsid w:val="00900D81"/>
    <w:rsid w:val="00900DF1"/>
    <w:rsid w:val="009012AA"/>
    <w:rsid w:val="00901555"/>
    <w:rsid w:val="0090225E"/>
    <w:rsid w:val="0090251C"/>
    <w:rsid w:val="00904B1E"/>
    <w:rsid w:val="009054A4"/>
    <w:rsid w:val="00905A9F"/>
    <w:rsid w:val="00906403"/>
    <w:rsid w:val="009074D7"/>
    <w:rsid w:val="009105B7"/>
    <w:rsid w:val="00910E1B"/>
    <w:rsid w:val="009114B7"/>
    <w:rsid w:val="009119EC"/>
    <w:rsid w:val="00912D4D"/>
    <w:rsid w:val="009132D5"/>
    <w:rsid w:val="0091347C"/>
    <w:rsid w:val="00915029"/>
    <w:rsid w:val="00915056"/>
    <w:rsid w:val="0091530A"/>
    <w:rsid w:val="00915A24"/>
    <w:rsid w:val="0091618A"/>
    <w:rsid w:val="00916F5E"/>
    <w:rsid w:val="00916FFB"/>
    <w:rsid w:val="00917509"/>
    <w:rsid w:val="00917A98"/>
    <w:rsid w:val="00920FEC"/>
    <w:rsid w:val="00924668"/>
    <w:rsid w:val="0092678F"/>
    <w:rsid w:val="0092681D"/>
    <w:rsid w:val="00927190"/>
    <w:rsid w:val="00931284"/>
    <w:rsid w:val="00931833"/>
    <w:rsid w:val="00931933"/>
    <w:rsid w:val="00931A31"/>
    <w:rsid w:val="00931C1F"/>
    <w:rsid w:val="00931EA6"/>
    <w:rsid w:val="00931F7E"/>
    <w:rsid w:val="0093294A"/>
    <w:rsid w:val="009344C4"/>
    <w:rsid w:val="00934DF9"/>
    <w:rsid w:val="00935988"/>
    <w:rsid w:val="00935F41"/>
    <w:rsid w:val="00936916"/>
    <w:rsid w:val="00940109"/>
    <w:rsid w:val="009407A2"/>
    <w:rsid w:val="009419F6"/>
    <w:rsid w:val="009421F2"/>
    <w:rsid w:val="00942940"/>
    <w:rsid w:val="009435CF"/>
    <w:rsid w:val="00943917"/>
    <w:rsid w:val="0094406A"/>
    <w:rsid w:val="009440C6"/>
    <w:rsid w:val="00944739"/>
    <w:rsid w:val="009451D6"/>
    <w:rsid w:val="00947894"/>
    <w:rsid w:val="009479D9"/>
    <w:rsid w:val="009503D4"/>
    <w:rsid w:val="0095118B"/>
    <w:rsid w:val="00951483"/>
    <w:rsid w:val="00953219"/>
    <w:rsid w:val="00953843"/>
    <w:rsid w:val="009543E9"/>
    <w:rsid w:val="00954677"/>
    <w:rsid w:val="0095768B"/>
    <w:rsid w:val="00961E53"/>
    <w:rsid w:val="00962167"/>
    <w:rsid w:val="009623EC"/>
    <w:rsid w:val="0096360B"/>
    <w:rsid w:val="0096419B"/>
    <w:rsid w:val="009648AC"/>
    <w:rsid w:val="009650CA"/>
    <w:rsid w:val="00965BAF"/>
    <w:rsid w:val="00965F75"/>
    <w:rsid w:val="00966544"/>
    <w:rsid w:val="00966A67"/>
    <w:rsid w:val="009676B8"/>
    <w:rsid w:val="0097095C"/>
    <w:rsid w:val="00970A43"/>
    <w:rsid w:val="009716A8"/>
    <w:rsid w:val="009732E6"/>
    <w:rsid w:val="00973B86"/>
    <w:rsid w:val="00974EAB"/>
    <w:rsid w:val="009756BC"/>
    <w:rsid w:val="00977D10"/>
    <w:rsid w:val="00991220"/>
    <w:rsid w:val="009914F8"/>
    <w:rsid w:val="0099355C"/>
    <w:rsid w:val="0099533D"/>
    <w:rsid w:val="0099602C"/>
    <w:rsid w:val="00996AA5"/>
    <w:rsid w:val="009975D1"/>
    <w:rsid w:val="009A1342"/>
    <w:rsid w:val="009A1485"/>
    <w:rsid w:val="009A1AFF"/>
    <w:rsid w:val="009A1DF2"/>
    <w:rsid w:val="009A278C"/>
    <w:rsid w:val="009A3876"/>
    <w:rsid w:val="009A3BAA"/>
    <w:rsid w:val="009A516D"/>
    <w:rsid w:val="009A691C"/>
    <w:rsid w:val="009B01C2"/>
    <w:rsid w:val="009B25BF"/>
    <w:rsid w:val="009B6E07"/>
    <w:rsid w:val="009B7E76"/>
    <w:rsid w:val="009C02F3"/>
    <w:rsid w:val="009C05FC"/>
    <w:rsid w:val="009C1E94"/>
    <w:rsid w:val="009C3584"/>
    <w:rsid w:val="009C526B"/>
    <w:rsid w:val="009C7EB6"/>
    <w:rsid w:val="009D0BD5"/>
    <w:rsid w:val="009D160B"/>
    <w:rsid w:val="009D2A8E"/>
    <w:rsid w:val="009D5061"/>
    <w:rsid w:val="009D7AA2"/>
    <w:rsid w:val="009E0456"/>
    <w:rsid w:val="009E0E23"/>
    <w:rsid w:val="009E2938"/>
    <w:rsid w:val="009E2CB6"/>
    <w:rsid w:val="009E3003"/>
    <w:rsid w:val="009E3A3C"/>
    <w:rsid w:val="009E406A"/>
    <w:rsid w:val="009E5B87"/>
    <w:rsid w:val="009E703A"/>
    <w:rsid w:val="009F015E"/>
    <w:rsid w:val="009F0F67"/>
    <w:rsid w:val="009F168E"/>
    <w:rsid w:val="009F33CA"/>
    <w:rsid w:val="009F39F1"/>
    <w:rsid w:val="009F57D6"/>
    <w:rsid w:val="009F58BA"/>
    <w:rsid w:val="009F77A0"/>
    <w:rsid w:val="00A00EBD"/>
    <w:rsid w:val="00A02155"/>
    <w:rsid w:val="00A03110"/>
    <w:rsid w:val="00A034AC"/>
    <w:rsid w:val="00A0530B"/>
    <w:rsid w:val="00A05F0C"/>
    <w:rsid w:val="00A10195"/>
    <w:rsid w:val="00A10D62"/>
    <w:rsid w:val="00A13D03"/>
    <w:rsid w:val="00A14022"/>
    <w:rsid w:val="00A16C5A"/>
    <w:rsid w:val="00A2006D"/>
    <w:rsid w:val="00A213B1"/>
    <w:rsid w:val="00A22E13"/>
    <w:rsid w:val="00A23B01"/>
    <w:rsid w:val="00A23D93"/>
    <w:rsid w:val="00A241F9"/>
    <w:rsid w:val="00A255E6"/>
    <w:rsid w:val="00A2601B"/>
    <w:rsid w:val="00A262F5"/>
    <w:rsid w:val="00A27657"/>
    <w:rsid w:val="00A27B59"/>
    <w:rsid w:val="00A302B6"/>
    <w:rsid w:val="00A302D2"/>
    <w:rsid w:val="00A303B5"/>
    <w:rsid w:val="00A32737"/>
    <w:rsid w:val="00A34750"/>
    <w:rsid w:val="00A370F0"/>
    <w:rsid w:val="00A40AD7"/>
    <w:rsid w:val="00A41781"/>
    <w:rsid w:val="00A42335"/>
    <w:rsid w:val="00A42358"/>
    <w:rsid w:val="00A5048F"/>
    <w:rsid w:val="00A50AA6"/>
    <w:rsid w:val="00A51032"/>
    <w:rsid w:val="00A527A0"/>
    <w:rsid w:val="00A52A52"/>
    <w:rsid w:val="00A53144"/>
    <w:rsid w:val="00A60286"/>
    <w:rsid w:val="00A61A94"/>
    <w:rsid w:val="00A66D44"/>
    <w:rsid w:val="00A70E0E"/>
    <w:rsid w:val="00A70ECA"/>
    <w:rsid w:val="00A70F4A"/>
    <w:rsid w:val="00A71787"/>
    <w:rsid w:val="00A71FB6"/>
    <w:rsid w:val="00A73679"/>
    <w:rsid w:val="00A73E73"/>
    <w:rsid w:val="00A74A64"/>
    <w:rsid w:val="00A74F1E"/>
    <w:rsid w:val="00A7779D"/>
    <w:rsid w:val="00A80895"/>
    <w:rsid w:val="00A80F7D"/>
    <w:rsid w:val="00A815D7"/>
    <w:rsid w:val="00A81AA3"/>
    <w:rsid w:val="00A821F1"/>
    <w:rsid w:val="00A82241"/>
    <w:rsid w:val="00A8288E"/>
    <w:rsid w:val="00A83724"/>
    <w:rsid w:val="00A83F34"/>
    <w:rsid w:val="00A862B0"/>
    <w:rsid w:val="00A86707"/>
    <w:rsid w:val="00A86DD0"/>
    <w:rsid w:val="00A9022D"/>
    <w:rsid w:val="00A91A70"/>
    <w:rsid w:val="00A93E25"/>
    <w:rsid w:val="00A9431F"/>
    <w:rsid w:val="00A951C0"/>
    <w:rsid w:val="00A960E7"/>
    <w:rsid w:val="00A964D3"/>
    <w:rsid w:val="00A96C8B"/>
    <w:rsid w:val="00A973B7"/>
    <w:rsid w:val="00A97F74"/>
    <w:rsid w:val="00AA1D88"/>
    <w:rsid w:val="00AA5D51"/>
    <w:rsid w:val="00AA6187"/>
    <w:rsid w:val="00AB33AF"/>
    <w:rsid w:val="00AB3EAE"/>
    <w:rsid w:val="00AB43FA"/>
    <w:rsid w:val="00AB5850"/>
    <w:rsid w:val="00AB61D1"/>
    <w:rsid w:val="00AC05B6"/>
    <w:rsid w:val="00AC094B"/>
    <w:rsid w:val="00AC0A49"/>
    <w:rsid w:val="00AC0F5E"/>
    <w:rsid w:val="00AC2403"/>
    <w:rsid w:val="00AC2DD0"/>
    <w:rsid w:val="00AC2FF7"/>
    <w:rsid w:val="00AC4133"/>
    <w:rsid w:val="00AC4772"/>
    <w:rsid w:val="00AC49CD"/>
    <w:rsid w:val="00AC4F9D"/>
    <w:rsid w:val="00AC5284"/>
    <w:rsid w:val="00AC53AE"/>
    <w:rsid w:val="00AC551E"/>
    <w:rsid w:val="00AC5F9B"/>
    <w:rsid w:val="00AC66FC"/>
    <w:rsid w:val="00AC718E"/>
    <w:rsid w:val="00AC7B2D"/>
    <w:rsid w:val="00AD0EDB"/>
    <w:rsid w:val="00AD1272"/>
    <w:rsid w:val="00AD143D"/>
    <w:rsid w:val="00AD1FC0"/>
    <w:rsid w:val="00AD2534"/>
    <w:rsid w:val="00AD25AC"/>
    <w:rsid w:val="00AD3F3B"/>
    <w:rsid w:val="00AD437A"/>
    <w:rsid w:val="00AD5832"/>
    <w:rsid w:val="00AD5E6A"/>
    <w:rsid w:val="00AD721F"/>
    <w:rsid w:val="00AD7A38"/>
    <w:rsid w:val="00AE0B41"/>
    <w:rsid w:val="00AE1852"/>
    <w:rsid w:val="00AE3612"/>
    <w:rsid w:val="00AE4325"/>
    <w:rsid w:val="00AE43C6"/>
    <w:rsid w:val="00AE62C0"/>
    <w:rsid w:val="00AE681D"/>
    <w:rsid w:val="00AE75D1"/>
    <w:rsid w:val="00AE7655"/>
    <w:rsid w:val="00AE7715"/>
    <w:rsid w:val="00AF3422"/>
    <w:rsid w:val="00AF4244"/>
    <w:rsid w:val="00AF5B7C"/>
    <w:rsid w:val="00AF65E0"/>
    <w:rsid w:val="00AF67A3"/>
    <w:rsid w:val="00AF73B7"/>
    <w:rsid w:val="00B03D5D"/>
    <w:rsid w:val="00B0586F"/>
    <w:rsid w:val="00B05A08"/>
    <w:rsid w:val="00B0769A"/>
    <w:rsid w:val="00B077C7"/>
    <w:rsid w:val="00B108F4"/>
    <w:rsid w:val="00B11D77"/>
    <w:rsid w:val="00B128A6"/>
    <w:rsid w:val="00B12BBF"/>
    <w:rsid w:val="00B13E9D"/>
    <w:rsid w:val="00B14B4F"/>
    <w:rsid w:val="00B14D66"/>
    <w:rsid w:val="00B14DB3"/>
    <w:rsid w:val="00B16791"/>
    <w:rsid w:val="00B16F39"/>
    <w:rsid w:val="00B17DCA"/>
    <w:rsid w:val="00B20B7A"/>
    <w:rsid w:val="00B2319F"/>
    <w:rsid w:val="00B232C2"/>
    <w:rsid w:val="00B23305"/>
    <w:rsid w:val="00B247E8"/>
    <w:rsid w:val="00B24915"/>
    <w:rsid w:val="00B25078"/>
    <w:rsid w:val="00B259DD"/>
    <w:rsid w:val="00B26BAD"/>
    <w:rsid w:val="00B27979"/>
    <w:rsid w:val="00B2799D"/>
    <w:rsid w:val="00B304E1"/>
    <w:rsid w:val="00B304FE"/>
    <w:rsid w:val="00B319DA"/>
    <w:rsid w:val="00B32025"/>
    <w:rsid w:val="00B325D3"/>
    <w:rsid w:val="00B3508A"/>
    <w:rsid w:val="00B36A86"/>
    <w:rsid w:val="00B37511"/>
    <w:rsid w:val="00B40372"/>
    <w:rsid w:val="00B42EEE"/>
    <w:rsid w:val="00B46F95"/>
    <w:rsid w:val="00B4777F"/>
    <w:rsid w:val="00B5086F"/>
    <w:rsid w:val="00B5230F"/>
    <w:rsid w:val="00B53C0F"/>
    <w:rsid w:val="00B55207"/>
    <w:rsid w:val="00B55311"/>
    <w:rsid w:val="00B55D10"/>
    <w:rsid w:val="00B572A4"/>
    <w:rsid w:val="00B60218"/>
    <w:rsid w:val="00B61CCE"/>
    <w:rsid w:val="00B625E1"/>
    <w:rsid w:val="00B625EE"/>
    <w:rsid w:val="00B6451A"/>
    <w:rsid w:val="00B64F93"/>
    <w:rsid w:val="00B66D04"/>
    <w:rsid w:val="00B71C5D"/>
    <w:rsid w:val="00B71EF5"/>
    <w:rsid w:val="00B72179"/>
    <w:rsid w:val="00B72687"/>
    <w:rsid w:val="00B74FAD"/>
    <w:rsid w:val="00B7571F"/>
    <w:rsid w:val="00B7635B"/>
    <w:rsid w:val="00B7735E"/>
    <w:rsid w:val="00B8010F"/>
    <w:rsid w:val="00B80433"/>
    <w:rsid w:val="00B81091"/>
    <w:rsid w:val="00B835AF"/>
    <w:rsid w:val="00B84DB2"/>
    <w:rsid w:val="00B91139"/>
    <w:rsid w:val="00B918AC"/>
    <w:rsid w:val="00B91C2D"/>
    <w:rsid w:val="00B925C4"/>
    <w:rsid w:val="00BA0036"/>
    <w:rsid w:val="00BA05FD"/>
    <w:rsid w:val="00BA0C39"/>
    <w:rsid w:val="00BA0F21"/>
    <w:rsid w:val="00BA16F3"/>
    <w:rsid w:val="00BA1906"/>
    <w:rsid w:val="00BA1F84"/>
    <w:rsid w:val="00BA3A48"/>
    <w:rsid w:val="00BA46C1"/>
    <w:rsid w:val="00BA49BC"/>
    <w:rsid w:val="00BA51BE"/>
    <w:rsid w:val="00BA5524"/>
    <w:rsid w:val="00BA557D"/>
    <w:rsid w:val="00BA5EB8"/>
    <w:rsid w:val="00BA6469"/>
    <w:rsid w:val="00BA6988"/>
    <w:rsid w:val="00BA73F0"/>
    <w:rsid w:val="00BA7B86"/>
    <w:rsid w:val="00BB003A"/>
    <w:rsid w:val="00BB0D67"/>
    <w:rsid w:val="00BB12E7"/>
    <w:rsid w:val="00BB29B7"/>
    <w:rsid w:val="00BB3F63"/>
    <w:rsid w:val="00BB50EA"/>
    <w:rsid w:val="00BB51F1"/>
    <w:rsid w:val="00BB5239"/>
    <w:rsid w:val="00BB7DA8"/>
    <w:rsid w:val="00BC0EF6"/>
    <w:rsid w:val="00BC1062"/>
    <w:rsid w:val="00BC1403"/>
    <w:rsid w:val="00BC187D"/>
    <w:rsid w:val="00BC1DB4"/>
    <w:rsid w:val="00BC3776"/>
    <w:rsid w:val="00BC4979"/>
    <w:rsid w:val="00BC4A2B"/>
    <w:rsid w:val="00BC5160"/>
    <w:rsid w:val="00BC625A"/>
    <w:rsid w:val="00BC69BD"/>
    <w:rsid w:val="00BD066A"/>
    <w:rsid w:val="00BD108B"/>
    <w:rsid w:val="00BD24AD"/>
    <w:rsid w:val="00BD2734"/>
    <w:rsid w:val="00BD2A51"/>
    <w:rsid w:val="00BD3E06"/>
    <w:rsid w:val="00BD486B"/>
    <w:rsid w:val="00BD57B9"/>
    <w:rsid w:val="00BE07F9"/>
    <w:rsid w:val="00BE11C2"/>
    <w:rsid w:val="00BE264F"/>
    <w:rsid w:val="00BE328F"/>
    <w:rsid w:val="00BE49F0"/>
    <w:rsid w:val="00BE51F6"/>
    <w:rsid w:val="00BE61C6"/>
    <w:rsid w:val="00BE76C0"/>
    <w:rsid w:val="00BF2777"/>
    <w:rsid w:val="00BF39B0"/>
    <w:rsid w:val="00BF3FB4"/>
    <w:rsid w:val="00BF65CD"/>
    <w:rsid w:val="00BF680B"/>
    <w:rsid w:val="00BF6C9F"/>
    <w:rsid w:val="00C03942"/>
    <w:rsid w:val="00C0524F"/>
    <w:rsid w:val="00C05260"/>
    <w:rsid w:val="00C05486"/>
    <w:rsid w:val="00C054C8"/>
    <w:rsid w:val="00C06C3C"/>
    <w:rsid w:val="00C0780C"/>
    <w:rsid w:val="00C11254"/>
    <w:rsid w:val="00C11270"/>
    <w:rsid w:val="00C1196D"/>
    <w:rsid w:val="00C11B7C"/>
    <w:rsid w:val="00C13282"/>
    <w:rsid w:val="00C1417E"/>
    <w:rsid w:val="00C147B6"/>
    <w:rsid w:val="00C1600B"/>
    <w:rsid w:val="00C1639A"/>
    <w:rsid w:val="00C1799A"/>
    <w:rsid w:val="00C17C85"/>
    <w:rsid w:val="00C17E75"/>
    <w:rsid w:val="00C2022E"/>
    <w:rsid w:val="00C21931"/>
    <w:rsid w:val="00C21FE8"/>
    <w:rsid w:val="00C221A7"/>
    <w:rsid w:val="00C23198"/>
    <w:rsid w:val="00C23FDA"/>
    <w:rsid w:val="00C24CF4"/>
    <w:rsid w:val="00C2549F"/>
    <w:rsid w:val="00C25D5A"/>
    <w:rsid w:val="00C265E8"/>
    <w:rsid w:val="00C2679F"/>
    <w:rsid w:val="00C268C7"/>
    <w:rsid w:val="00C27899"/>
    <w:rsid w:val="00C279E1"/>
    <w:rsid w:val="00C309C2"/>
    <w:rsid w:val="00C314F6"/>
    <w:rsid w:val="00C31798"/>
    <w:rsid w:val="00C32405"/>
    <w:rsid w:val="00C336F9"/>
    <w:rsid w:val="00C3370B"/>
    <w:rsid w:val="00C3376F"/>
    <w:rsid w:val="00C34607"/>
    <w:rsid w:val="00C34848"/>
    <w:rsid w:val="00C36B3B"/>
    <w:rsid w:val="00C376F3"/>
    <w:rsid w:val="00C378CD"/>
    <w:rsid w:val="00C409CA"/>
    <w:rsid w:val="00C40B19"/>
    <w:rsid w:val="00C40D3A"/>
    <w:rsid w:val="00C44243"/>
    <w:rsid w:val="00C4624B"/>
    <w:rsid w:val="00C46291"/>
    <w:rsid w:val="00C46B33"/>
    <w:rsid w:val="00C46CFB"/>
    <w:rsid w:val="00C4764A"/>
    <w:rsid w:val="00C5099D"/>
    <w:rsid w:val="00C516FD"/>
    <w:rsid w:val="00C5206C"/>
    <w:rsid w:val="00C53344"/>
    <w:rsid w:val="00C538E7"/>
    <w:rsid w:val="00C55AE0"/>
    <w:rsid w:val="00C560AE"/>
    <w:rsid w:val="00C5694D"/>
    <w:rsid w:val="00C56F00"/>
    <w:rsid w:val="00C56F65"/>
    <w:rsid w:val="00C574C7"/>
    <w:rsid w:val="00C5757F"/>
    <w:rsid w:val="00C5789A"/>
    <w:rsid w:val="00C578DE"/>
    <w:rsid w:val="00C61BB1"/>
    <w:rsid w:val="00C61BC9"/>
    <w:rsid w:val="00C63086"/>
    <w:rsid w:val="00C6385F"/>
    <w:rsid w:val="00C649FD"/>
    <w:rsid w:val="00C6716D"/>
    <w:rsid w:val="00C67679"/>
    <w:rsid w:val="00C703BF"/>
    <w:rsid w:val="00C71566"/>
    <w:rsid w:val="00C73D15"/>
    <w:rsid w:val="00C746B0"/>
    <w:rsid w:val="00C7483A"/>
    <w:rsid w:val="00C75170"/>
    <w:rsid w:val="00C76CA7"/>
    <w:rsid w:val="00C772E3"/>
    <w:rsid w:val="00C776BB"/>
    <w:rsid w:val="00C80251"/>
    <w:rsid w:val="00C8144D"/>
    <w:rsid w:val="00C81C25"/>
    <w:rsid w:val="00C82F34"/>
    <w:rsid w:val="00C82F66"/>
    <w:rsid w:val="00C8473B"/>
    <w:rsid w:val="00C85B7F"/>
    <w:rsid w:val="00C867DE"/>
    <w:rsid w:val="00C869A0"/>
    <w:rsid w:val="00C901BD"/>
    <w:rsid w:val="00C91189"/>
    <w:rsid w:val="00C92D30"/>
    <w:rsid w:val="00C93538"/>
    <w:rsid w:val="00C9365D"/>
    <w:rsid w:val="00C9707C"/>
    <w:rsid w:val="00CA10B8"/>
    <w:rsid w:val="00CA127E"/>
    <w:rsid w:val="00CA2198"/>
    <w:rsid w:val="00CA237B"/>
    <w:rsid w:val="00CA2C95"/>
    <w:rsid w:val="00CA4693"/>
    <w:rsid w:val="00CA6A8F"/>
    <w:rsid w:val="00CA7CF9"/>
    <w:rsid w:val="00CB2A83"/>
    <w:rsid w:val="00CB4921"/>
    <w:rsid w:val="00CB6EA1"/>
    <w:rsid w:val="00CC1132"/>
    <w:rsid w:val="00CC1ECC"/>
    <w:rsid w:val="00CC2B8F"/>
    <w:rsid w:val="00CC2E71"/>
    <w:rsid w:val="00CC3F9D"/>
    <w:rsid w:val="00CC4C9E"/>
    <w:rsid w:val="00CC6A69"/>
    <w:rsid w:val="00CC6D42"/>
    <w:rsid w:val="00CD0A78"/>
    <w:rsid w:val="00CD2117"/>
    <w:rsid w:val="00CD243E"/>
    <w:rsid w:val="00CD41FD"/>
    <w:rsid w:val="00CE0F74"/>
    <w:rsid w:val="00CE4513"/>
    <w:rsid w:val="00CE5E43"/>
    <w:rsid w:val="00CE63B3"/>
    <w:rsid w:val="00CE66ED"/>
    <w:rsid w:val="00CE6F5E"/>
    <w:rsid w:val="00CF1B8F"/>
    <w:rsid w:val="00CF28F3"/>
    <w:rsid w:val="00CF310A"/>
    <w:rsid w:val="00CF5A2B"/>
    <w:rsid w:val="00CF79C9"/>
    <w:rsid w:val="00D006DE"/>
    <w:rsid w:val="00D01CDA"/>
    <w:rsid w:val="00D01D56"/>
    <w:rsid w:val="00D02517"/>
    <w:rsid w:val="00D037AF"/>
    <w:rsid w:val="00D048DB"/>
    <w:rsid w:val="00D05CA1"/>
    <w:rsid w:val="00D064C7"/>
    <w:rsid w:val="00D120E5"/>
    <w:rsid w:val="00D123D7"/>
    <w:rsid w:val="00D125D8"/>
    <w:rsid w:val="00D127C0"/>
    <w:rsid w:val="00D13CA6"/>
    <w:rsid w:val="00D151EE"/>
    <w:rsid w:val="00D169E4"/>
    <w:rsid w:val="00D23B25"/>
    <w:rsid w:val="00D24151"/>
    <w:rsid w:val="00D262BE"/>
    <w:rsid w:val="00D331CA"/>
    <w:rsid w:val="00D3366A"/>
    <w:rsid w:val="00D34127"/>
    <w:rsid w:val="00D34C3F"/>
    <w:rsid w:val="00D35101"/>
    <w:rsid w:val="00D354FE"/>
    <w:rsid w:val="00D35C26"/>
    <w:rsid w:val="00D35C70"/>
    <w:rsid w:val="00D368B2"/>
    <w:rsid w:val="00D3748D"/>
    <w:rsid w:val="00D37547"/>
    <w:rsid w:val="00D37F8F"/>
    <w:rsid w:val="00D41B2F"/>
    <w:rsid w:val="00D42AA6"/>
    <w:rsid w:val="00D45159"/>
    <w:rsid w:val="00D45597"/>
    <w:rsid w:val="00D50D67"/>
    <w:rsid w:val="00D51606"/>
    <w:rsid w:val="00D522AF"/>
    <w:rsid w:val="00D52794"/>
    <w:rsid w:val="00D527E2"/>
    <w:rsid w:val="00D5419A"/>
    <w:rsid w:val="00D5447D"/>
    <w:rsid w:val="00D57AB3"/>
    <w:rsid w:val="00D60567"/>
    <w:rsid w:val="00D617EA"/>
    <w:rsid w:val="00D62D82"/>
    <w:rsid w:val="00D6426E"/>
    <w:rsid w:val="00D644F0"/>
    <w:rsid w:val="00D65830"/>
    <w:rsid w:val="00D65EC3"/>
    <w:rsid w:val="00D65FAE"/>
    <w:rsid w:val="00D66608"/>
    <w:rsid w:val="00D66DD3"/>
    <w:rsid w:val="00D67280"/>
    <w:rsid w:val="00D6747E"/>
    <w:rsid w:val="00D70539"/>
    <w:rsid w:val="00D70B7D"/>
    <w:rsid w:val="00D71CBA"/>
    <w:rsid w:val="00D72A14"/>
    <w:rsid w:val="00D740D7"/>
    <w:rsid w:val="00D77783"/>
    <w:rsid w:val="00D77F6F"/>
    <w:rsid w:val="00D83A3D"/>
    <w:rsid w:val="00D83E03"/>
    <w:rsid w:val="00D85026"/>
    <w:rsid w:val="00D85099"/>
    <w:rsid w:val="00D856E2"/>
    <w:rsid w:val="00D861BE"/>
    <w:rsid w:val="00D875B7"/>
    <w:rsid w:val="00D876E0"/>
    <w:rsid w:val="00D87B82"/>
    <w:rsid w:val="00D9046A"/>
    <w:rsid w:val="00D9242C"/>
    <w:rsid w:val="00D927EA"/>
    <w:rsid w:val="00D94001"/>
    <w:rsid w:val="00D95706"/>
    <w:rsid w:val="00D95A23"/>
    <w:rsid w:val="00D95C49"/>
    <w:rsid w:val="00D96014"/>
    <w:rsid w:val="00D978FA"/>
    <w:rsid w:val="00D97CA9"/>
    <w:rsid w:val="00DA07D6"/>
    <w:rsid w:val="00DA30FD"/>
    <w:rsid w:val="00DA39FD"/>
    <w:rsid w:val="00DA466E"/>
    <w:rsid w:val="00DA6619"/>
    <w:rsid w:val="00DA7E96"/>
    <w:rsid w:val="00DB2D71"/>
    <w:rsid w:val="00DB3662"/>
    <w:rsid w:val="00DB3DF8"/>
    <w:rsid w:val="00DB6420"/>
    <w:rsid w:val="00DC11A2"/>
    <w:rsid w:val="00DC3D83"/>
    <w:rsid w:val="00DC5726"/>
    <w:rsid w:val="00DC618D"/>
    <w:rsid w:val="00DC7326"/>
    <w:rsid w:val="00DC7CB0"/>
    <w:rsid w:val="00DC7CD7"/>
    <w:rsid w:val="00DD1EDD"/>
    <w:rsid w:val="00DD221B"/>
    <w:rsid w:val="00DD27FA"/>
    <w:rsid w:val="00DD2B15"/>
    <w:rsid w:val="00DD43F3"/>
    <w:rsid w:val="00DD645D"/>
    <w:rsid w:val="00DD64B3"/>
    <w:rsid w:val="00DD7A0B"/>
    <w:rsid w:val="00DE1189"/>
    <w:rsid w:val="00DE3F76"/>
    <w:rsid w:val="00DE490D"/>
    <w:rsid w:val="00DF0B3A"/>
    <w:rsid w:val="00DF104C"/>
    <w:rsid w:val="00DF3D9A"/>
    <w:rsid w:val="00DF3FCB"/>
    <w:rsid w:val="00DF4A4A"/>
    <w:rsid w:val="00DF5665"/>
    <w:rsid w:val="00DF6C70"/>
    <w:rsid w:val="00DF7269"/>
    <w:rsid w:val="00DF73A5"/>
    <w:rsid w:val="00DF7F17"/>
    <w:rsid w:val="00E00E01"/>
    <w:rsid w:val="00E022D0"/>
    <w:rsid w:val="00E02B7F"/>
    <w:rsid w:val="00E042C7"/>
    <w:rsid w:val="00E04714"/>
    <w:rsid w:val="00E049FD"/>
    <w:rsid w:val="00E05512"/>
    <w:rsid w:val="00E05863"/>
    <w:rsid w:val="00E07C79"/>
    <w:rsid w:val="00E10312"/>
    <w:rsid w:val="00E11C79"/>
    <w:rsid w:val="00E14F9F"/>
    <w:rsid w:val="00E156D5"/>
    <w:rsid w:val="00E1619F"/>
    <w:rsid w:val="00E20C62"/>
    <w:rsid w:val="00E30B31"/>
    <w:rsid w:val="00E30D08"/>
    <w:rsid w:val="00E3107C"/>
    <w:rsid w:val="00E3130D"/>
    <w:rsid w:val="00E31757"/>
    <w:rsid w:val="00E31B86"/>
    <w:rsid w:val="00E3253C"/>
    <w:rsid w:val="00E34A54"/>
    <w:rsid w:val="00E3570B"/>
    <w:rsid w:val="00E366C1"/>
    <w:rsid w:val="00E42368"/>
    <w:rsid w:val="00E447AF"/>
    <w:rsid w:val="00E44B48"/>
    <w:rsid w:val="00E47861"/>
    <w:rsid w:val="00E47C34"/>
    <w:rsid w:val="00E47EE9"/>
    <w:rsid w:val="00E51923"/>
    <w:rsid w:val="00E52749"/>
    <w:rsid w:val="00E52CAC"/>
    <w:rsid w:val="00E52CFB"/>
    <w:rsid w:val="00E54276"/>
    <w:rsid w:val="00E5502D"/>
    <w:rsid w:val="00E551CA"/>
    <w:rsid w:val="00E55F01"/>
    <w:rsid w:val="00E56CF5"/>
    <w:rsid w:val="00E61887"/>
    <w:rsid w:val="00E6307F"/>
    <w:rsid w:val="00E643B9"/>
    <w:rsid w:val="00E65012"/>
    <w:rsid w:val="00E6588F"/>
    <w:rsid w:val="00E67731"/>
    <w:rsid w:val="00E67EFF"/>
    <w:rsid w:val="00E70B47"/>
    <w:rsid w:val="00E72382"/>
    <w:rsid w:val="00E73AB2"/>
    <w:rsid w:val="00E73BBB"/>
    <w:rsid w:val="00E73F78"/>
    <w:rsid w:val="00E74525"/>
    <w:rsid w:val="00E7661B"/>
    <w:rsid w:val="00E76BDF"/>
    <w:rsid w:val="00E77CC1"/>
    <w:rsid w:val="00E82162"/>
    <w:rsid w:val="00E826F2"/>
    <w:rsid w:val="00E833D5"/>
    <w:rsid w:val="00E8380B"/>
    <w:rsid w:val="00E839A3"/>
    <w:rsid w:val="00E85A27"/>
    <w:rsid w:val="00E85E6E"/>
    <w:rsid w:val="00E85F19"/>
    <w:rsid w:val="00E87C36"/>
    <w:rsid w:val="00E904B0"/>
    <w:rsid w:val="00E90B15"/>
    <w:rsid w:val="00E90DB6"/>
    <w:rsid w:val="00E92188"/>
    <w:rsid w:val="00E92335"/>
    <w:rsid w:val="00E93003"/>
    <w:rsid w:val="00E93AE5"/>
    <w:rsid w:val="00E94C20"/>
    <w:rsid w:val="00E95890"/>
    <w:rsid w:val="00E967A2"/>
    <w:rsid w:val="00E9688D"/>
    <w:rsid w:val="00E97643"/>
    <w:rsid w:val="00EA054A"/>
    <w:rsid w:val="00EA0B46"/>
    <w:rsid w:val="00EA0C07"/>
    <w:rsid w:val="00EA2B8D"/>
    <w:rsid w:val="00EA69C9"/>
    <w:rsid w:val="00EB0BB6"/>
    <w:rsid w:val="00EB151E"/>
    <w:rsid w:val="00EB2C6C"/>
    <w:rsid w:val="00EB3BDB"/>
    <w:rsid w:val="00EB40F3"/>
    <w:rsid w:val="00EB4CB8"/>
    <w:rsid w:val="00EB55AE"/>
    <w:rsid w:val="00EB5E55"/>
    <w:rsid w:val="00EB7880"/>
    <w:rsid w:val="00EC0BDF"/>
    <w:rsid w:val="00EC4BD8"/>
    <w:rsid w:val="00EC538A"/>
    <w:rsid w:val="00EC5E0C"/>
    <w:rsid w:val="00EC5F87"/>
    <w:rsid w:val="00EC6B99"/>
    <w:rsid w:val="00EC72EC"/>
    <w:rsid w:val="00ED0C75"/>
    <w:rsid w:val="00ED3347"/>
    <w:rsid w:val="00ED4C63"/>
    <w:rsid w:val="00ED533F"/>
    <w:rsid w:val="00ED59F6"/>
    <w:rsid w:val="00ED74ED"/>
    <w:rsid w:val="00EE136C"/>
    <w:rsid w:val="00EE1611"/>
    <w:rsid w:val="00EE2EC9"/>
    <w:rsid w:val="00EE343B"/>
    <w:rsid w:val="00EE3C58"/>
    <w:rsid w:val="00EE434B"/>
    <w:rsid w:val="00EE4970"/>
    <w:rsid w:val="00EE4C0C"/>
    <w:rsid w:val="00EE4D20"/>
    <w:rsid w:val="00EE5D84"/>
    <w:rsid w:val="00EE6C82"/>
    <w:rsid w:val="00EE76AE"/>
    <w:rsid w:val="00EE7CCF"/>
    <w:rsid w:val="00EF03DB"/>
    <w:rsid w:val="00EF0565"/>
    <w:rsid w:val="00EF1051"/>
    <w:rsid w:val="00EF1BBE"/>
    <w:rsid w:val="00EF3C40"/>
    <w:rsid w:val="00EF536B"/>
    <w:rsid w:val="00EF63C6"/>
    <w:rsid w:val="00EF6742"/>
    <w:rsid w:val="00F027B0"/>
    <w:rsid w:val="00F02805"/>
    <w:rsid w:val="00F043C7"/>
    <w:rsid w:val="00F05AA4"/>
    <w:rsid w:val="00F064F9"/>
    <w:rsid w:val="00F0676F"/>
    <w:rsid w:val="00F0746F"/>
    <w:rsid w:val="00F1059F"/>
    <w:rsid w:val="00F105A4"/>
    <w:rsid w:val="00F106B0"/>
    <w:rsid w:val="00F11110"/>
    <w:rsid w:val="00F11D00"/>
    <w:rsid w:val="00F132D3"/>
    <w:rsid w:val="00F152B9"/>
    <w:rsid w:val="00F15BD7"/>
    <w:rsid w:val="00F202B4"/>
    <w:rsid w:val="00F207B6"/>
    <w:rsid w:val="00F219C5"/>
    <w:rsid w:val="00F23990"/>
    <w:rsid w:val="00F2439E"/>
    <w:rsid w:val="00F243B3"/>
    <w:rsid w:val="00F260C9"/>
    <w:rsid w:val="00F26734"/>
    <w:rsid w:val="00F26739"/>
    <w:rsid w:val="00F2690B"/>
    <w:rsid w:val="00F26A2C"/>
    <w:rsid w:val="00F26E63"/>
    <w:rsid w:val="00F3041D"/>
    <w:rsid w:val="00F32A8E"/>
    <w:rsid w:val="00F36D32"/>
    <w:rsid w:val="00F427F8"/>
    <w:rsid w:val="00F4393A"/>
    <w:rsid w:val="00F46A6A"/>
    <w:rsid w:val="00F4796B"/>
    <w:rsid w:val="00F507CE"/>
    <w:rsid w:val="00F51EAC"/>
    <w:rsid w:val="00F5246B"/>
    <w:rsid w:val="00F5260E"/>
    <w:rsid w:val="00F5274C"/>
    <w:rsid w:val="00F531F1"/>
    <w:rsid w:val="00F534E6"/>
    <w:rsid w:val="00F54699"/>
    <w:rsid w:val="00F54C32"/>
    <w:rsid w:val="00F551E3"/>
    <w:rsid w:val="00F551E9"/>
    <w:rsid w:val="00F55DEE"/>
    <w:rsid w:val="00F56462"/>
    <w:rsid w:val="00F5789A"/>
    <w:rsid w:val="00F57E31"/>
    <w:rsid w:val="00F60473"/>
    <w:rsid w:val="00F637F2"/>
    <w:rsid w:val="00F63CF3"/>
    <w:rsid w:val="00F67695"/>
    <w:rsid w:val="00F730FC"/>
    <w:rsid w:val="00F762BD"/>
    <w:rsid w:val="00F77CCA"/>
    <w:rsid w:val="00F80E1B"/>
    <w:rsid w:val="00F85F12"/>
    <w:rsid w:val="00F860D3"/>
    <w:rsid w:val="00F863EB"/>
    <w:rsid w:val="00F86A12"/>
    <w:rsid w:val="00F90765"/>
    <w:rsid w:val="00F921D2"/>
    <w:rsid w:val="00F9320D"/>
    <w:rsid w:val="00F9413F"/>
    <w:rsid w:val="00F95313"/>
    <w:rsid w:val="00F954D4"/>
    <w:rsid w:val="00F955EF"/>
    <w:rsid w:val="00F96D73"/>
    <w:rsid w:val="00FA02C8"/>
    <w:rsid w:val="00FA1AE2"/>
    <w:rsid w:val="00FA40F6"/>
    <w:rsid w:val="00FA558E"/>
    <w:rsid w:val="00FB1F0C"/>
    <w:rsid w:val="00FB3597"/>
    <w:rsid w:val="00FB52AC"/>
    <w:rsid w:val="00FB5CFA"/>
    <w:rsid w:val="00FB6CAC"/>
    <w:rsid w:val="00FB7889"/>
    <w:rsid w:val="00FB7AE9"/>
    <w:rsid w:val="00FC026E"/>
    <w:rsid w:val="00FC34A7"/>
    <w:rsid w:val="00FC670D"/>
    <w:rsid w:val="00FC6A6F"/>
    <w:rsid w:val="00FC6AD9"/>
    <w:rsid w:val="00FC7D19"/>
    <w:rsid w:val="00FD0C49"/>
    <w:rsid w:val="00FD1DF4"/>
    <w:rsid w:val="00FD2724"/>
    <w:rsid w:val="00FD2809"/>
    <w:rsid w:val="00FD388F"/>
    <w:rsid w:val="00FD5D5E"/>
    <w:rsid w:val="00FD68BA"/>
    <w:rsid w:val="00FD6AD2"/>
    <w:rsid w:val="00FD6EBB"/>
    <w:rsid w:val="00FD7111"/>
    <w:rsid w:val="00FE04CE"/>
    <w:rsid w:val="00FE12EE"/>
    <w:rsid w:val="00FE1355"/>
    <w:rsid w:val="00FE280D"/>
    <w:rsid w:val="00FE2D53"/>
    <w:rsid w:val="00FE4A0E"/>
    <w:rsid w:val="00FF12E3"/>
    <w:rsid w:val="00FF32A8"/>
    <w:rsid w:val="00FF5737"/>
    <w:rsid w:val="00FF5CF6"/>
    <w:rsid w:val="00FF5FA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0A6595B7-AFCE-404D-8A4B-362F6B3F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8E5B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8E5BB6"/>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9054A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7354">
      <w:bodyDiv w:val="1"/>
      <w:marLeft w:val="0"/>
      <w:marRight w:val="0"/>
      <w:marTop w:val="0"/>
      <w:marBottom w:val="0"/>
      <w:divBdr>
        <w:top w:val="none" w:sz="0" w:space="0" w:color="auto"/>
        <w:left w:val="none" w:sz="0" w:space="0" w:color="auto"/>
        <w:bottom w:val="none" w:sz="0" w:space="0" w:color="auto"/>
        <w:right w:val="none" w:sz="0" w:space="0" w:color="auto"/>
      </w:divBdr>
    </w:div>
    <w:div w:id="850989545">
      <w:bodyDiv w:val="1"/>
      <w:marLeft w:val="0"/>
      <w:marRight w:val="0"/>
      <w:marTop w:val="0"/>
      <w:marBottom w:val="0"/>
      <w:divBdr>
        <w:top w:val="none" w:sz="0" w:space="0" w:color="auto"/>
        <w:left w:val="none" w:sz="0" w:space="0" w:color="auto"/>
        <w:bottom w:val="none" w:sz="0" w:space="0" w:color="auto"/>
        <w:right w:val="none" w:sz="0" w:space="0" w:color="auto"/>
      </w:divBdr>
    </w:div>
    <w:div w:id="15930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D678-E8E2-43FC-B24E-9823AD1A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Wallis</dc:creator>
  <cp:lastModifiedBy>Sathish</cp:lastModifiedBy>
  <cp:revision>13</cp:revision>
  <cp:lastPrinted>2022-10-13T06:56:00Z</cp:lastPrinted>
  <dcterms:created xsi:type="dcterms:W3CDTF">2022-10-25T09:43:00Z</dcterms:created>
  <dcterms:modified xsi:type="dcterms:W3CDTF">2024-02-27T18:52:00Z</dcterms:modified>
</cp:coreProperties>
</file>